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30 - Conflict of Laws" w:id="1"/>
      <w:bookmarkEnd w:id="1"/>
      <w:r>
        <w:rPr>
          <w:b w:val="0"/>
        </w:rPr>
      </w: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1. - Preliminary </w:t>
      </w:r>
      <w:r>
        <w:rPr>
          <w:rFonts w:ascii="Arial"/>
          <w:b/>
          <w:spacing w:val="-2"/>
          <w:sz w:val="24"/>
        </w:rPr>
        <w:t>Considerations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1"/>
        <w:rPr>
          <w:rFonts w:ascii="Arial"/>
          <w:b/>
          <w:sz w:val="18"/>
        </w:rPr>
      </w:pPr>
    </w:p>
    <w:p>
      <w:pPr>
        <w:pStyle w:val="Heading2"/>
        <w:spacing w:before="1"/>
      </w:pPr>
      <w:r>
        <w:rPr/>
        <w:t>30-</w:t>
      </w:r>
      <w:r>
        <w:rPr>
          <w:spacing w:val="-5"/>
        </w:rPr>
        <w:t>001</w:t>
      </w:r>
    </w:p>
    <w:p>
      <w:pPr>
        <w:pStyle w:val="BodyText"/>
        <w:spacing w:line="235" w:lineRule="auto" w:before="202"/>
        <w:ind w:left="165" w:right="167"/>
        <w:jc w:val="both"/>
      </w:pPr>
      <w:r>
        <w:rPr/>
        <mc:AlternateContent>
          <mc:Choice Requires="wps">
            <w:drawing>
              <wp:anchor distT="0" distB="0" distL="0" distR="0" allowOverlap="1" layoutInCell="1" locked="0" behindDoc="1" simplePos="0" relativeHeight="481197056">
                <wp:simplePos x="0" y="0"/>
                <wp:positionH relativeFrom="page">
                  <wp:posOffset>6194425</wp:posOffset>
                </wp:positionH>
                <wp:positionV relativeFrom="paragraph">
                  <wp:posOffset>763681</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9424" from="487.75pt,60.132423pt" to="491.086pt,60.132423pt" stroked="true" strokeweight=".428pt" strokecolor="#005da1">
                <v:stroke dashstyle="solid"/>
                <w10:wrap type="none"/>
              </v:line>
            </w:pict>
          </mc:Fallback>
        </mc:AlternateContent>
      </w:r>
      <w:r>
        <w:rPr/>
        <w:t>A contract may be connected with several territorial jurisdicions because the parties to it reside </w:t>
      </w:r>
      <w:r>
        <w:rPr/>
        <w:t>in different countries, or because the contract is made in one country but is to be performed in a</w:t>
      </w:r>
      <w:r>
        <w:rPr>
          <w:spacing w:val="80"/>
        </w:rPr>
        <w:t> </w:t>
      </w:r>
      <w:r>
        <w:rPr/>
        <w:t>different country or concerns subject-matter which is situated in a different country, or for other </w:t>
      </w:r>
      <w:bookmarkStart w:name="_bookmark0" w:id="2"/>
      <w:bookmarkEnd w:id="2"/>
      <w:r>
        <w:rPr/>
        <w:t>reasons.</w:t>
      </w:r>
      <w:r>
        <w:rPr/>
        <w:t> In such cases it may become necessary to determine which legal system is to govern the contract or a particular aspect of it, i.e. to determine what is the law applicable to the contract. </w:t>
      </w:r>
      <w:r>
        <w:rPr>
          <w:color w:val="005DA1"/>
          <w:vertAlign w:val="superscript"/>
        </w:rPr>
        <w:t>1</w:t>
      </w:r>
    </w:p>
    <w:p>
      <w:pPr>
        <w:pStyle w:val="BodyText"/>
      </w:pPr>
    </w:p>
    <w:p>
      <w:pPr>
        <w:pStyle w:val="BodyText"/>
        <w:spacing w:before="37"/>
      </w:pPr>
    </w:p>
    <w:p>
      <w:pPr>
        <w:spacing w:before="0"/>
        <w:ind w:left="165" w:right="0" w:firstLine="0"/>
        <w:jc w:val="left"/>
        <w:rPr>
          <w:rFonts w:ascii="Arial"/>
          <w:b/>
          <w:sz w:val="18"/>
        </w:rPr>
      </w:pPr>
      <w:r>
        <w:rPr>
          <w:rFonts w:ascii="Arial"/>
          <w:b/>
          <w:sz w:val="18"/>
        </w:rPr>
        <w:t>Sources of the </w:t>
      </w:r>
      <w:r>
        <w:rPr>
          <w:rFonts w:ascii="Arial"/>
          <w:b/>
          <w:spacing w:val="-5"/>
          <w:sz w:val="18"/>
        </w:rPr>
        <w:t>law</w:t>
      </w:r>
    </w:p>
    <w:p>
      <w:pPr>
        <w:pStyle w:val="BodyText"/>
        <w:spacing w:before="41"/>
        <w:rPr>
          <w:rFonts w:ascii="Arial"/>
          <w:b/>
          <w:sz w:val="18"/>
        </w:rPr>
      </w:pPr>
    </w:p>
    <w:p>
      <w:pPr>
        <w:pStyle w:val="Heading2"/>
      </w:pPr>
      <w:r>
        <w:rPr/>
        <w:t>30-</w:t>
      </w:r>
      <w:r>
        <w:rPr>
          <w:spacing w:val="-5"/>
        </w:rPr>
        <w:t>002</w:t>
      </w:r>
    </w:p>
    <w:p>
      <w:pPr>
        <w:pStyle w:val="BodyText"/>
        <w:spacing w:line="235" w:lineRule="auto" w:before="203"/>
        <w:ind w:left="165" w:right="167"/>
        <w:jc w:val="both"/>
      </w:pPr>
      <w:r>
        <w:rPr/>
        <mc:AlternateContent>
          <mc:Choice Requires="wps">
            <w:drawing>
              <wp:anchor distT="0" distB="0" distL="0" distR="0" allowOverlap="1" layoutInCell="1" locked="0" behindDoc="1" simplePos="0" relativeHeight="481197568">
                <wp:simplePos x="0" y="0"/>
                <wp:positionH relativeFrom="page">
                  <wp:posOffset>6595998</wp:posOffset>
                </wp:positionH>
                <wp:positionV relativeFrom="paragraph">
                  <wp:posOffset>335497</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8912" from="519.369995pt,26.417089pt" to="522.705995pt,26.417089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1198080">
                <wp:simplePos x="0" y="0"/>
                <wp:positionH relativeFrom="page">
                  <wp:posOffset>4413630</wp:posOffset>
                </wp:positionH>
                <wp:positionV relativeFrom="paragraph">
                  <wp:posOffset>621247</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8400" from="347.529999pt,48.917091pt" to="350.865999pt,48.917091pt" stroked="true" strokeweight=".428pt" strokecolor="#005da1">
                <v:stroke dashstyle="solid"/>
                <w10:wrap type="none"/>
              </v:line>
            </w:pict>
          </mc:Fallback>
        </mc:AlternateContent>
      </w:r>
      <w:bookmarkStart w:name="_bookmark1" w:id="3"/>
      <w:bookmarkEnd w:id="3"/>
      <w:r>
        <w:rPr/>
      </w:r>
      <w:r>
        <w:rPr/>
        <w:t>This chapter is concerned with the elucidation of the choice of law rules according to which the </w:t>
      </w:r>
      <w:r>
        <w:rPr/>
        <w:t>law applicable to a contract which is connected with more than one territorial jurisdiction is determined. </w:t>
      </w:r>
      <w:r>
        <w:rPr>
          <w:color w:val="005DA1"/>
          <w:vertAlign w:val="superscript"/>
        </w:rPr>
        <w:t>2</w:t>
      </w:r>
      <w:r>
        <w:rPr>
          <w:color w:val="005DA1"/>
          <w:vertAlign w:val="baseline"/>
        </w:rPr>
        <w:t> </w:t>
      </w:r>
      <w:bookmarkStart w:name="_bookmark2" w:id="4"/>
      <w:bookmarkEnd w:id="4"/>
      <w:r>
        <w:rPr>
          <w:color w:val="005DA1"/>
          <w:w w:val="92"/>
          <w:vertAlign w:val="baseline"/>
        </w:rPr>
      </w:r>
      <w:r>
        <w:rPr>
          <w:vertAlign w:val="baseline"/>
        </w:rPr>
        <w:t>Originally, these rules were to be found in the common law as developed by the courts. According to these rules, a contract was governed by its “proper law”. </w:t>
      </w:r>
      <w:r>
        <w:rPr>
          <w:color w:val="005DA1"/>
          <w:vertAlign w:val="superscript"/>
        </w:rPr>
        <w:t>3</w:t>
      </w:r>
      <w:r>
        <w:rPr>
          <w:color w:val="005DA1"/>
          <w:vertAlign w:val="baseline"/>
        </w:rPr>
        <w:t> </w:t>
      </w:r>
      <w:r>
        <w:rPr>
          <w:vertAlign w:val="baseline"/>
        </w:rPr>
        <w:t>These common law rules were first substantially reformulated as a result of the implementation in the United Kingdom of the Rome Convention on the Law Applicable to Contractual Obligations 1980 (“the Rome Convention”) in the </w:t>
      </w:r>
      <w:bookmarkStart w:name="_bookmark3" w:id="5"/>
      <w:bookmarkEnd w:id="5"/>
      <w:r>
        <w:rPr>
          <w:vertAlign w:val="baseline"/>
        </w:rPr>
        <w:t>Contracts</w:t>
      </w:r>
      <w:r>
        <w:rPr>
          <w:vertAlign w:val="baseline"/>
        </w:rPr>
        <w:t> (Applicable Law) Act 1990. The rules of that Convention, as implemented in the Act of</w:t>
      </w:r>
      <w:r>
        <w:rPr>
          <w:spacing w:val="40"/>
          <w:vertAlign w:val="baseline"/>
        </w:rPr>
        <w:t> </w:t>
      </w:r>
      <w:r>
        <w:rPr>
          <w:vertAlign w:val="baseline"/>
        </w:rPr>
        <w:t>1990,</w:t>
      </w:r>
      <w:r>
        <w:rPr>
          <w:spacing w:val="6"/>
          <w:vertAlign w:val="baseline"/>
        </w:rPr>
        <w:t> </w:t>
      </w:r>
      <w:r>
        <w:rPr>
          <w:vertAlign w:val="baseline"/>
        </w:rPr>
        <w:t>will</w:t>
      </w:r>
      <w:r>
        <w:rPr>
          <w:spacing w:val="6"/>
          <w:vertAlign w:val="baseline"/>
        </w:rPr>
        <w:t> </w:t>
      </w:r>
      <w:r>
        <w:rPr>
          <w:vertAlign w:val="baseline"/>
        </w:rPr>
        <w:t>apply</w:t>
      </w:r>
      <w:r>
        <w:rPr>
          <w:spacing w:val="6"/>
          <w:vertAlign w:val="baseline"/>
        </w:rPr>
        <w:t> </w:t>
      </w:r>
      <w:r>
        <w:rPr>
          <w:vertAlign w:val="baseline"/>
        </w:rPr>
        <w:t>to</w:t>
      </w:r>
      <w:r>
        <w:rPr>
          <w:spacing w:val="6"/>
          <w:vertAlign w:val="baseline"/>
        </w:rPr>
        <w:t> </w:t>
      </w:r>
      <w:r>
        <w:rPr>
          <w:vertAlign w:val="baseline"/>
        </w:rPr>
        <w:t>determine</w:t>
      </w:r>
      <w:r>
        <w:rPr>
          <w:spacing w:val="6"/>
          <w:vertAlign w:val="baseline"/>
        </w:rPr>
        <w:t> </w:t>
      </w:r>
      <w:r>
        <w:rPr>
          <w:vertAlign w:val="baseline"/>
        </w:rPr>
        <w:t>the</w:t>
      </w:r>
      <w:r>
        <w:rPr>
          <w:spacing w:val="6"/>
          <w:vertAlign w:val="baseline"/>
        </w:rPr>
        <w:t> </w:t>
      </w:r>
      <w:r>
        <w:rPr>
          <w:vertAlign w:val="baseline"/>
        </w:rPr>
        <w:t>law</w:t>
      </w:r>
      <w:r>
        <w:rPr>
          <w:spacing w:val="6"/>
          <w:vertAlign w:val="baseline"/>
        </w:rPr>
        <w:t> </w:t>
      </w:r>
      <w:r>
        <w:rPr>
          <w:vertAlign w:val="baseline"/>
        </w:rPr>
        <w:t>applicable</w:t>
      </w:r>
      <w:r>
        <w:rPr>
          <w:spacing w:val="6"/>
          <w:vertAlign w:val="baseline"/>
        </w:rPr>
        <w:t> </w:t>
      </w:r>
      <w:r>
        <w:rPr>
          <w:vertAlign w:val="baseline"/>
        </w:rPr>
        <w:t>to</w:t>
      </w:r>
      <w:r>
        <w:rPr>
          <w:spacing w:val="6"/>
          <w:vertAlign w:val="baseline"/>
        </w:rPr>
        <w:t> </w:t>
      </w:r>
      <w:r>
        <w:rPr>
          <w:vertAlign w:val="baseline"/>
        </w:rPr>
        <w:t>a</w:t>
      </w:r>
      <w:r>
        <w:rPr>
          <w:spacing w:val="6"/>
          <w:vertAlign w:val="baseline"/>
        </w:rPr>
        <w:t> </w:t>
      </w:r>
      <w:r>
        <w:rPr>
          <w:vertAlign w:val="baseline"/>
        </w:rPr>
        <w:t>contract</w:t>
      </w:r>
      <w:r>
        <w:rPr>
          <w:spacing w:val="6"/>
          <w:vertAlign w:val="baseline"/>
        </w:rPr>
        <w:t> </w:t>
      </w:r>
      <w:r>
        <w:rPr>
          <w:vertAlign w:val="baseline"/>
        </w:rPr>
        <w:t>which</w:t>
      </w:r>
      <w:r>
        <w:rPr>
          <w:spacing w:val="6"/>
          <w:vertAlign w:val="baseline"/>
        </w:rPr>
        <w:t> </w:t>
      </w:r>
      <w:r>
        <w:rPr>
          <w:vertAlign w:val="baseline"/>
        </w:rPr>
        <w:t>is</w:t>
      </w:r>
      <w:r>
        <w:rPr>
          <w:spacing w:val="6"/>
          <w:vertAlign w:val="baseline"/>
        </w:rPr>
        <w:t> </w:t>
      </w:r>
      <w:r>
        <w:rPr>
          <w:vertAlign w:val="baseline"/>
        </w:rPr>
        <w:t>entered</w:t>
      </w:r>
      <w:r>
        <w:rPr>
          <w:spacing w:val="6"/>
          <w:vertAlign w:val="baseline"/>
        </w:rPr>
        <w:t> </w:t>
      </w:r>
      <w:r>
        <w:rPr>
          <w:vertAlign w:val="baseline"/>
        </w:rPr>
        <w:t>into</w:t>
      </w:r>
      <w:r>
        <w:rPr>
          <w:spacing w:val="6"/>
          <w:vertAlign w:val="baseline"/>
        </w:rPr>
        <w:t> </w:t>
      </w:r>
      <w:r>
        <w:rPr>
          <w:vertAlign w:val="baseline"/>
        </w:rPr>
        <w:t>after</w:t>
      </w:r>
      <w:r>
        <w:rPr>
          <w:spacing w:val="6"/>
          <w:vertAlign w:val="baseline"/>
        </w:rPr>
        <w:t> </w:t>
      </w:r>
      <w:r>
        <w:rPr>
          <w:vertAlign w:val="baseline"/>
        </w:rPr>
        <w:t>April</w:t>
      </w:r>
      <w:r>
        <w:rPr>
          <w:spacing w:val="6"/>
          <w:vertAlign w:val="baseline"/>
        </w:rPr>
        <w:t> </w:t>
      </w:r>
      <w:r>
        <w:rPr>
          <w:vertAlign w:val="baseline"/>
        </w:rPr>
        <w:t>1,</w:t>
      </w:r>
      <w:r>
        <w:rPr>
          <w:spacing w:val="6"/>
          <w:vertAlign w:val="baseline"/>
        </w:rPr>
        <w:t> </w:t>
      </w:r>
      <w:r>
        <w:rPr>
          <w:spacing w:val="-2"/>
          <w:vertAlign w:val="baseline"/>
        </w:rPr>
        <w:t>1991,</w:t>
      </w:r>
    </w:p>
    <w:p>
      <w:pPr>
        <w:pStyle w:val="BodyText"/>
        <w:spacing w:line="235" w:lineRule="auto"/>
        <w:ind w:left="165" w:right="167"/>
        <w:jc w:val="both"/>
      </w:pPr>
      <w:r>
        <w:rPr/>
        <mc:AlternateContent>
          <mc:Choice Requires="wps">
            <w:drawing>
              <wp:anchor distT="0" distB="0" distL="0" distR="0" allowOverlap="1" layoutInCell="1" locked="0" behindDoc="1" simplePos="0" relativeHeight="481198592">
                <wp:simplePos x="0" y="0"/>
                <wp:positionH relativeFrom="page">
                  <wp:posOffset>914400</wp:posOffset>
                </wp:positionH>
                <wp:positionV relativeFrom="paragraph">
                  <wp:posOffset>61782</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7888" from="72pt,4.864746pt" to="75.336pt,4.86474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1199104">
                <wp:simplePos x="0" y="0"/>
                <wp:positionH relativeFrom="page">
                  <wp:posOffset>914400</wp:posOffset>
                </wp:positionH>
                <wp:positionV relativeFrom="paragraph">
                  <wp:posOffset>347532</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7376" from="72pt,27.364746pt" to="75.336pt,27.36474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1199616">
                <wp:simplePos x="0" y="0"/>
                <wp:positionH relativeFrom="page">
                  <wp:posOffset>2919222</wp:posOffset>
                </wp:positionH>
                <wp:positionV relativeFrom="paragraph">
                  <wp:posOffset>633282</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6864" from="229.860001pt,49.864746pt" to="233.196001pt,49.864746pt" stroked="true" strokeweight=".428pt" strokecolor="#005da1">
                <v:stroke dashstyle="solid"/>
                <w10:wrap type="none"/>
              </v:line>
            </w:pict>
          </mc:Fallback>
        </mc:AlternateContent>
      </w:r>
      <w:r>
        <w:rPr>
          <w:color w:val="005DA1"/>
          <w:vertAlign w:val="superscript"/>
        </w:rPr>
        <w:t>4</w:t>
      </w:r>
      <w:r>
        <w:rPr>
          <w:color w:val="005DA1"/>
          <w:vertAlign w:val="baseline"/>
        </w:rPr>
        <w:t> </w:t>
      </w:r>
      <w:bookmarkStart w:name="_bookmark4" w:id="6"/>
      <w:bookmarkEnd w:id="6"/>
      <w:r>
        <w:rPr>
          <w:color w:val="005DA1"/>
          <w:spacing w:val="-8"/>
          <w:vertAlign w:val="baseline"/>
        </w:rPr>
      </w:r>
      <w:r>
        <w:rPr>
          <w:vertAlign w:val="baseline"/>
        </w:rPr>
        <w:t>but before December 17, 2009. As from the latter date, the Rome Convention is replaced </w:t>
      </w:r>
      <w:r>
        <w:rPr>
          <w:vertAlign w:val="baseline"/>
        </w:rPr>
        <w:t>by Regulation (EC) 593/2008 of June 17, 2008 on the law applicable to contractual obligations (Rome I). </w:t>
      </w:r>
      <w:r>
        <w:rPr>
          <w:color w:val="005DA1"/>
          <w:vertAlign w:val="superscript"/>
        </w:rPr>
        <w:t>5</w:t>
      </w:r>
      <w:r>
        <w:rPr>
          <w:color w:val="005DA1"/>
          <w:vertAlign w:val="baseline"/>
        </w:rPr>
        <w:t> </w:t>
      </w:r>
      <w:r>
        <w:rPr>
          <w:vertAlign w:val="baseline"/>
        </w:rPr>
        <w:t>This Regulation (hereafter “the Rome I Regulation” or “the Regulation”) arose out of a revision of the </w:t>
      </w:r>
      <w:bookmarkStart w:name="_bookmark5" w:id="7"/>
      <w:bookmarkEnd w:id="7"/>
      <w:r>
        <w:rPr>
          <w:vertAlign w:val="baseline"/>
        </w:rPr>
        <w:t>Rome</w:t>
      </w:r>
      <w:r>
        <w:rPr>
          <w:vertAlign w:val="baseline"/>
        </w:rPr>
        <w:t> Convention and will apply to determine the law applicable to contracts concluded after its date of application, December 17, 2009. </w:t>
      </w:r>
      <w:r>
        <w:rPr>
          <w:color w:val="005DA1"/>
          <w:vertAlign w:val="superscript"/>
        </w:rPr>
        <w:t>6</w:t>
      </w:r>
    </w:p>
    <w:p>
      <w:pPr>
        <w:pStyle w:val="BodyText"/>
      </w:pPr>
    </w:p>
    <w:p>
      <w:pPr>
        <w:pStyle w:val="BodyText"/>
        <w:spacing w:before="33"/>
      </w:pPr>
    </w:p>
    <w:p>
      <w:pPr>
        <w:spacing w:before="1"/>
        <w:ind w:left="165" w:right="0" w:firstLine="0"/>
        <w:jc w:val="left"/>
        <w:rPr>
          <w:rFonts w:ascii="Arial" w:hAnsi="Arial"/>
          <w:b/>
          <w:sz w:val="18"/>
        </w:rPr>
      </w:pPr>
      <w:r>
        <w:rPr>
          <w:rFonts w:ascii="Arial" w:hAnsi="Arial"/>
          <w:b/>
          <w:spacing w:val="-2"/>
          <w:sz w:val="18"/>
        </w:rPr>
        <w:t>“Brexit”</w:t>
      </w:r>
    </w:p>
    <w:p>
      <w:pPr>
        <w:pStyle w:val="BodyText"/>
        <w:spacing w:before="41"/>
        <w:rPr>
          <w:rFonts w:ascii="Arial"/>
          <w:b/>
          <w:sz w:val="18"/>
        </w:rPr>
      </w:pPr>
    </w:p>
    <w:p>
      <w:pPr>
        <w:pStyle w:val="Heading2"/>
      </w:pPr>
      <w:r>
        <w:rPr/>
        <w:t>30-</w:t>
      </w:r>
      <w:r>
        <w:rPr>
          <w:spacing w:val="-4"/>
        </w:rPr>
        <w:t>002A</w:t>
      </w:r>
    </w:p>
    <w:p>
      <w:pPr>
        <w:pStyle w:val="BodyText"/>
        <w:spacing w:before="212"/>
        <w:rPr>
          <w:rFonts w:ascii="Arial"/>
          <w:b/>
        </w:rPr>
      </w:pPr>
    </w:p>
    <w:p>
      <w:pPr>
        <w:pStyle w:val="BodyText"/>
        <w:spacing w:line="235" w:lineRule="auto" w:before="1"/>
        <w:ind w:left="165" w:right="167"/>
        <w:jc w:val="both"/>
      </w:pPr>
      <w:r>
        <w:rPr/>
        <mc:AlternateContent>
          <mc:Choice Requires="wps">
            <w:drawing>
              <wp:anchor distT="0" distB="0" distL="0" distR="0" allowOverlap="1" layoutInCell="1" locked="0" behindDoc="1" simplePos="0" relativeHeight="481200128">
                <wp:simplePos x="0" y="0"/>
                <wp:positionH relativeFrom="page">
                  <wp:posOffset>2016264</wp:posOffset>
                </wp:positionH>
                <wp:positionV relativeFrom="paragraph">
                  <wp:posOffset>64139</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6352" from="158.761002pt,5.050391pt" to="162.097002pt,5.050391pt" stroked="true" strokeweight=".428pt" strokecolor="#005da1">
                <v:stroke dashstyle="solid"/>
                <w10:wrap type="none"/>
              </v:line>
            </w:pict>
          </mc:Fallback>
        </mc:AlternateContent>
      </w:r>
      <w:r>
        <w:rPr>
          <w:position w:val="-2"/>
        </w:rPr>
        <w:drawing>
          <wp:inline distT="0" distB="0" distL="0" distR="0">
            <wp:extent cx="107988" cy="107988"/>
            <wp:effectExtent l="0" t="0" r="0" b="0"/>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6" w:id="8"/>
      <w:bookmarkEnd w:id="8"/>
      <w:r>
        <w:rPr>
          <w:rFonts w:ascii="Times New Roman" w:hAnsi="Times New Roman"/>
          <w:spacing w:val="7"/>
        </w:rPr>
      </w:r>
      <w:r>
        <w:rPr/>
        <w:t>As noted above, </w:t>
      </w:r>
      <w:r>
        <w:rPr>
          <w:color w:val="005DA1"/>
          <w:vertAlign w:val="superscript"/>
        </w:rPr>
        <w:t>7</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1"/>
          <w:vertAlign w:val="baseline"/>
        </w:rPr>
        <w:t> </w:t>
      </w:r>
      <w:r>
        <w:rPr>
          <w:vertAlign w:val="baseline"/>
        </w:rPr>
        <w:t>the future legal relationship of the UK to the EU remains to be determined. In the absence of any arrangements which include the UK remaining bound by EU law, the impact on conflict of laws is potentially very significant. Key European private international law </w:t>
      </w:r>
      <w:r>
        <w:rPr>
          <w:vertAlign w:val="baseline"/>
        </w:rPr>
        <w:t>instruments, notably the Brussels I Regulation (recast) (which governs jurisdiction in European cases) and the Rome II Regulation (which governs choice of law in non-contractual cases) would cease to have effect. Most significantly for the purposes of this chapter, the Rome I Regulation, which applies to all contracts entered into on or after December 17, 2009, and whose rules form the main subject matter of this chapter, would no longer be directly effective EU law. One possibility is that the UK would return to the position under the Contracts (Applicable Law) Act 1990, which implemented the Rome Convention</w:t>
      </w:r>
      <w:r>
        <w:rPr>
          <w:spacing w:val="18"/>
          <w:vertAlign w:val="baseline"/>
        </w:rPr>
        <w:t> </w:t>
      </w:r>
      <w:r>
        <w:rPr>
          <w:vertAlign w:val="baseline"/>
        </w:rPr>
        <w:t>into</w:t>
      </w:r>
      <w:r>
        <w:rPr>
          <w:spacing w:val="18"/>
          <w:vertAlign w:val="baseline"/>
        </w:rPr>
        <w:t> </w:t>
      </w:r>
      <w:r>
        <w:rPr>
          <w:vertAlign w:val="baseline"/>
        </w:rPr>
        <w:t>English</w:t>
      </w:r>
      <w:r>
        <w:rPr>
          <w:spacing w:val="18"/>
          <w:vertAlign w:val="baseline"/>
        </w:rPr>
        <w:t> </w:t>
      </w:r>
      <w:r>
        <w:rPr>
          <w:vertAlign w:val="baseline"/>
        </w:rPr>
        <w:t>law.</w:t>
      </w:r>
      <w:r>
        <w:rPr>
          <w:spacing w:val="18"/>
          <w:vertAlign w:val="baseline"/>
        </w:rPr>
        <w:t> </w:t>
      </w:r>
      <w:r>
        <w:rPr>
          <w:vertAlign w:val="baseline"/>
        </w:rPr>
        <w:t>However,</w:t>
      </w:r>
      <w:r>
        <w:rPr>
          <w:spacing w:val="18"/>
          <w:vertAlign w:val="baseline"/>
        </w:rPr>
        <w:t> </w:t>
      </w:r>
      <w:r>
        <w:rPr>
          <w:vertAlign w:val="baseline"/>
        </w:rPr>
        <w:t>the</w:t>
      </w:r>
      <w:r>
        <w:rPr>
          <w:spacing w:val="18"/>
          <w:vertAlign w:val="baseline"/>
        </w:rPr>
        <w:t> </w:t>
      </w:r>
      <w:r>
        <w:rPr>
          <w:vertAlign w:val="baseline"/>
        </w:rPr>
        <w:t>status</w:t>
      </w:r>
      <w:r>
        <w:rPr>
          <w:spacing w:val="18"/>
          <w:vertAlign w:val="baseline"/>
        </w:rPr>
        <w:t> </w:t>
      </w:r>
      <w:r>
        <w:rPr>
          <w:vertAlign w:val="baseline"/>
        </w:rPr>
        <w:t>of</w:t>
      </w:r>
      <w:r>
        <w:rPr>
          <w:spacing w:val="18"/>
          <w:vertAlign w:val="baseline"/>
        </w:rPr>
        <w:t> </w:t>
      </w:r>
      <w:r>
        <w:rPr>
          <w:vertAlign w:val="baseline"/>
        </w:rPr>
        <w:t>those</w:t>
      </w:r>
      <w:r>
        <w:rPr>
          <w:spacing w:val="18"/>
          <w:vertAlign w:val="baseline"/>
        </w:rPr>
        <w:t> </w:t>
      </w:r>
      <w:r>
        <w:rPr>
          <w:vertAlign w:val="baseline"/>
        </w:rPr>
        <w:t>rules</w:t>
      </w:r>
      <w:r>
        <w:rPr>
          <w:spacing w:val="18"/>
          <w:vertAlign w:val="baseline"/>
        </w:rPr>
        <w:t> </w:t>
      </w:r>
      <w:r>
        <w:rPr>
          <w:vertAlign w:val="baseline"/>
        </w:rPr>
        <w:t>following</w:t>
      </w:r>
      <w:r>
        <w:rPr>
          <w:spacing w:val="18"/>
          <w:vertAlign w:val="baseline"/>
        </w:rPr>
        <w:t> </w:t>
      </w:r>
      <w:r>
        <w:rPr>
          <w:vertAlign w:val="baseline"/>
        </w:rPr>
        <w:t>the</w:t>
      </w:r>
      <w:r>
        <w:rPr>
          <w:spacing w:val="18"/>
          <w:vertAlign w:val="baseline"/>
        </w:rPr>
        <w:t> </w:t>
      </w:r>
      <w:r>
        <w:rPr>
          <w:vertAlign w:val="baseline"/>
        </w:rPr>
        <w:t>UK’s</w:t>
      </w:r>
      <w:r>
        <w:rPr>
          <w:spacing w:val="18"/>
          <w:vertAlign w:val="baseline"/>
        </w:rPr>
        <w:t> </w:t>
      </w:r>
      <w:r>
        <w:rPr>
          <w:vertAlign w:val="baseline"/>
        </w:rPr>
        <w:t>exit</w:t>
      </w:r>
      <w:r>
        <w:rPr>
          <w:spacing w:val="18"/>
          <w:vertAlign w:val="baseline"/>
        </w:rPr>
        <w:t> </w:t>
      </w:r>
      <w:r>
        <w:rPr>
          <w:vertAlign w:val="baseline"/>
        </w:rPr>
        <w:t>from</w:t>
      </w:r>
      <w:r>
        <w:rPr>
          <w:spacing w:val="18"/>
          <w:vertAlign w:val="baseline"/>
        </w:rPr>
        <w:t> </w:t>
      </w:r>
      <w:r>
        <w:rPr>
          <w:vertAlign w:val="baseline"/>
        </w:rPr>
        <w:t>the</w:t>
      </w:r>
      <w:r>
        <w:rPr>
          <w:spacing w:val="18"/>
          <w:vertAlign w:val="baseline"/>
        </w:rPr>
        <w:t> </w:t>
      </w:r>
      <w:r>
        <w:rPr>
          <w:spacing w:val="-5"/>
          <w:vertAlign w:val="baseline"/>
        </w:rPr>
        <w:t>EU</w:t>
      </w:r>
    </w:p>
    <w:p>
      <w:pPr>
        <w:pStyle w:val="BodyText"/>
        <w:spacing w:after="0" w:line="235" w:lineRule="auto"/>
        <w:jc w:val="both"/>
        <w:sectPr>
          <w:headerReference w:type="default" r:id="rId5"/>
          <w:type w:val="continuous"/>
          <w:pgSz w:w="11900" w:h="16840"/>
          <w:pgMar w:header="971" w:footer="0" w:top="1300" w:bottom="280" w:left="1275" w:right="1275"/>
          <w:pgNumType w:start="1"/>
        </w:sectPr>
      </w:pPr>
    </w:p>
    <w:p>
      <w:pPr>
        <w:pStyle w:val="BodyText"/>
        <w:spacing w:line="235" w:lineRule="auto" w:before="110"/>
        <w:ind w:left="165" w:right="167"/>
        <w:jc w:val="both"/>
      </w:pPr>
      <w:r>
        <w:rPr/>
        <w:t>raises difficult issues of international law and UK statutory law. Alternatively, as choice of law </w:t>
      </w:r>
      <w:r>
        <w:rPr/>
        <w:t>rules</w:t>
      </w:r>
      <w:r>
        <w:rPr>
          <w:spacing w:val="40"/>
        </w:rPr>
        <w:t> </w:t>
      </w:r>
      <w:r>
        <w:rPr/>
        <w:t>are unilateral (not requiring reciprocity, unlike rules of jurisdiction) it would be possible for the UK to enact national legislation which substantially mirrors the Rome I Regulation. All of these issues</w:t>
      </w:r>
      <w:r>
        <w:rPr>
          <w:spacing w:val="40"/>
        </w:rPr>
        <w:t> </w:t>
      </w:r>
      <w:bookmarkStart w:name="_bookmark7" w:id="9"/>
      <w:bookmarkEnd w:id="9"/>
      <w:r>
        <w:rPr/>
        <w:t>remain</w:t>
      </w:r>
      <w:r>
        <w:rPr>
          <w:spacing w:val="1"/>
        </w:rPr>
        <w:t> </w:t>
      </w:r>
      <w:r>
        <w:rPr/>
        <w:t>to</w:t>
      </w:r>
      <w:r>
        <w:rPr>
          <w:spacing w:val="1"/>
        </w:rPr>
        <w:t> </w:t>
      </w:r>
      <w:r>
        <w:rPr/>
        <w:t>be</w:t>
      </w:r>
      <w:r>
        <w:rPr>
          <w:spacing w:val="1"/>
        </w:rPr>
        <w:t> </w:t>
      </w:r>
      <w:r>
        <w:rPr/>
        <w:t>determined</w:t>
      </w:r>
      <w:r>
        <w:rPr>
          <w:spacing w:val="1"/>
        </w:rPr>
        <w:t> </w:t>
      </w:r>
      <w:r>
        <w:rPr/>
        <w:t>and</w:t>
      </w:r>
      <w:r>
        <w:rPr>
          <w:spacing w:val="1"/>
        </w:rPr>
        <w:t> </w:t>
      </w:r>
      <w:r>
        <w:rPr/>
        <w:t>this</w:t>
      </w:r>
      <w:r>
        <w:rPr>
          <w:spacing w:val="1"/>
        </w:rPr>
        <w:t> </w:t>
      </w:r>
      <w:r>
        <w:rPr/>
        <w:t>text</w:t>
      </w:r>
      <w:r>
        <w:rPr>
          <w:spacing w:val="1"/>
        </w:rPr>
        <w:t> </w:t>
      </w:r>
      <w:r>
        <w:rPr/>
        <w:t>to</w:t>
      </w:r>
      <w:r>
        <w:rPr>
          <w:spacing w:val="1"/>
        </w:rPr>
        <w:t> </w:t>
      </w:r>
      <w:r>
        <w:rPr/>
        <w:t>Chapter</w:t>
      </w:r>
      <w:r>
        <w:rPr>
          <w:spacing w:val="1"/>
        </w:rPr>
        <w:t> </w:t>
      </w:r>
      <w:r>
        <w:rPr/>
        <w:t>30,</w:t>
      </w:r>
      <w:r>
        <w:rPr>
          <w:spacing w:val="1"/>
        </w:rPr>
        <w:t> </w:t>
      </w:r>
      <w:r>
        <w:rPr/>
        <w:t>and</w:t>
      </w:r>
      <w:r>
        <w:rPr>
          <w:spacing w:val="1"/>
        </w:rPr>
        <w:t> </w:t>
      </w:r>
      <w:r>
        <w:rPr/>
        <w:t>particularly</w:t>
      </w:r>
      <w:r>
        <w:rPr>
          <w:spacing w:val="1"/>
        </w:rPr>
        <w:t> </w:t>
      </w:r>
      <w:r>
        <w:rPr/>
        <w:t>the</w:t>
      </w:r>
      <w:r>
        <w:rPr>
          <w:spacing w:val="1"/>
        </w:rPr>
        <w:t> </w:t>
      </w:r>
      <w:r>
        <w:rPr/>
        <w:t>discussion</w:t>
      </w:r>
      <w:r>
        <w:rPr>
          <w:spacing w:val="1"/>
        </w:rPr>
        <w:t> </w:t>
      </w:r>
      <w:r>
        <w:rPr/>
        <w:t>of</w:t>
      </w:r>
      <w:r>
        <w:rPr>
          <w:spacing w:val="1"/>
        </w:rPr>
        <w:t> </w:t>
      </w:r>
      <w:r>
        <w:rPr/>
        <w:t>conflict</w:t>
      </w:r>
      <w:r>
        <w:rPr>
          <w:spacing w:val="1"/>
        </w:rPr>
        <w:t> </w:t>
      </w:r>
      <w:r>
        <w:rPr/>
        <w:t>of</w:t>
      </w:r>
      <w:r>
        <w:rPr>
          <w:spacing w:val="1"/>
        </w:rPr>
        <w:t> </w:t>
      </w:r>
      <w:r>
        <w:rPr>
          <w:spacing w:val="-2"/>
        </w:rPr>
        <w:t>laws,</w:t>
      </w:r>
    </w:p>
    <w:p>
      <w:pPr>
        <w:pStyle w:val="BodyText"/>
        <w:spacing w:before="115"/>
        <w:ind w:left="165"/>
        <w:jc w:val="both"/>
        <w:rPr>
          <w:position w:val="-2"/>
        </w:rPr>
      </w:pPr>
      <w:r>
        <w:rPr>
          <w:position w:val="-2"/>
        </w:rPr>
        <mc:AlternateContent>
          <mc:Choice Requires="wps">
            <w:drawing>
              <wp:anchor distT="0" distB="0" distL="0" distR="0" allowOverlap="1" layoutInCell="1" locked="0" behindDoc="1" simplePos="0" relativeHeight="481201152">
                <wp:simplePos x="0" y="0"/>
                <wp:positionH relativeFrom="page">
                  <wp:posOffset>5855334</wp:posOffset>
                </wp:positionH>
                <wp:positionV relativeFrom="paragraph">
                  <wp:posOffset>139134</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5328" from="461.049988pt,10.955469pt" to="464.385988pt,10.955469pt" stroked="true" strokeweight=".428pt" strokecolor="#005da1">
                <v:stroke dashstyle="solid"/>
                <w10:wrap type="none"/>
              </v:line>
            </w:pict>
          </mc:Fallback>
        </mc:AlternateContent>
      </w:r>
      <w:r>
        <w:rPr/>
        <w:t>remains written on the premise that the status of EU law in UK law remains unchanged. </w:t>
      </w:r>
      <w:r>
        <w:rPr>
          <w:color w:val="005DA1"/>
          <w:vertAlign w:val="superscript"/>
        </w:rPr>
        <w:t>8</w:t>
      </w:r>
      <w:r>
        <w:rPr>
          <w:color w:val="005DA1"/>
          <w:spacing w:val="80"/>
          <w:w w:val="150"/>
          <w:vertAlign w:val="baseline"/>
        </w:rPr>
        <w:t> </w:t>
      </w:r>
      <w:r>
        <w:rPr>
          <w:color w:val="005DA1"/>
          <w:position w:val="-2"/>
          <w:vertAlign w:val="baseline"/>
        </w:rPr>
        <w:drawing>
          <wp:inline distT="0" distB="0" distL="0" distR="0">
            <wp:extent cx="107988" cy="1079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Structure of this </w:t>
      </w:r>
      <w:r>
        <w:rPr>
          <w:rFonts w:ascii="Arial"/>
          <w:b/>
          <w:spacing w:val="-2"/>
          <w:sz w:val="18"/>
        </w:rPr>
        <w:t>chapter</w:t>
      </w:r>
    </w:p>
    <w:p>
      <w:pPr>
        <w:pStyle w:val="BodyText"/>
        <w:spacing w:before="42"/>
        <w:rPr>
          <w:rFonts w:ascii="Arial"/>
          <w:b/>
          <w:sz w:val="18"/>
        </w:rPr>
      </w:pPr>
    </w:p>
    <w:p>
      <w:pPr>
        <w:pStyle w:val="Heading2"/>
      </w:pPr>
      <w:r>
        <w:rPr/>
        <w:t>30-</w:t>
      </w:r>
      <w:r>
        <w:rPr>
          <w:spacing w:val="-5"/>
        </w:rPr>
        <w:t>003</w:t>
      </w:r>
    </w:p>
    <w:p>
      <w:pPr>
        <w:pStyle w:val="BodyText"/>
        <w:spacing w:line="235" w:lineRule="auto" w:before="202"/>
        <w:ind w:left="164" w:right="167"/>
        <w:jc w:val="both"/>
      </w:pPr>
      <w:r>
        <w:rPr/>
        <mc:AlternateContent>
          <mc:Choice Requires="wps">
            <w:drawing>
              <wp:anchor distT="0" distB="0" distL="0" distR="0" allowOverlap="1" layoutInCell="1" locked="0" behindDoc="1" simplePos="0" relativeHeight="481201664">
                <wp:simplePos x="0" y="0"/>
                <wp:positionH relativeFrom="page">
                  <wp:posOffset>914400</wp:posOffset>
                </wp:positionH>
                <wp:positionV relativeFrom="paragraph">
                  <wp:posOffset>335103</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4816" from="72pt,26.386133pt" to="75.336pt,26.386133pt" stroked="true" strokeweight=".428pt" strokecolor="#005da1">
                <v:stroke dashstyle="solid"/>
                <w10:wrap type="none"/>
              </v:line>
            </w:pict>
          </mc:Fallback>
        </mc:AlternateContent>
      </w:r>
      <w:bookmarkStart w:name="_bookmark8" w:id="10"/>
      <w:bookmarkEnd w:id="10"/>
      <w:r>
        <w:rPr/>
      </w:r>
      <w:bookmarkStart w:name="_bookmark9" w:id="11"/>
      <w:bookmarkEnd w:id="11"/>
      <w:r>
        <w:rPr/>
      </w:r>
      <w:r>
        <w:rPr/>
        <w:t>This Chapter gives a brief account of the common law principles, by way of background, in Section 2. </w:t>
      </w:r>
      <w:r>
        <w:rPr>
          <w:color w:val="005DA1"/>
          <w:vertAlign w:val="superscript"/>
        </w:rPr>
        <w:t>9</w:t>
      </w:r>
      <w:r>
        <w:rPr>
          <w:color w:val="005DA1"/>
          <w:vertAlign w:val="baseline"/>
        </w:rPr>
        <w:t> </w:t>
      </w:r>
      <w:r>
        <w:rPr>
          <w:vertAlign w:val="baseline"/>
        </w:rPr>
        <w:t>Section 3</w:t>
      </w:r>
      <w:r>
        <w:rPr>
          <w:spacing w:val="-1"/>
          <w:vertAlign w:val="baseline"/>
        </w:rPr>
        <w:t> </w:t>
      </w:r>
      <w:r>
        <w:rPr>
          <w:color w:val="005DA1"/>
          <w:u w:val="single" w:color="005DA1"/>
          <w:vertAlign w:val="superscript"/>
        </w:rPr>
        <w:t>10</w:t>
      </w:r>
      <w:r>
        <w:rPr>
          <w:color w:val="005DA1"/>
          <w:vertAlign w:val="baseline"/>
        </w:rPr>
        <w:t> </w:t>
      </w:r>
      <w:r>
        <w:rPr>
          <w:vertAlign w:val="baseline"/>
        </w:rPr>
        <w:t>seeks to analyse the provisions of the Rome Convention, since these will form the </w:t>
      </w:r>
      <w:r>
        <w:rPr>
          <w:vertAlign w:val="baseline"/>
        </w:rPr>
        <w:t>basis </w:t>
      </w:r>
      <w:bookmarkStart w:name="_bookmark10" w:id="12"/>
      <w:bookmarkEnd w:id="12"/>
      <w:r>
        <w:rPr>
          <w:vertAlign w:val="baseline"/>
        </w:rPr>
        <w:t>of</w:t>
      </w:r>
      <w:r>
        <w:rPr>
          <w:vertAlign w:val="baseline"/>
        </w:rPr>
        <w:t> the law in respect of contracts concluded after April 1, 1991, but before December 17, 2009, the date on which the Rome I Regulation entered into force. Section 4 </w:t>
      </w:r>
      <w:r>
        <w:rPr>
          <w:color w:val="005DA1"/>
          <w:u w:val="single" w:color="005DA1"/>
          <w:vertAlign w:val="superscript"/>
        </w:rPr>
        <w:t>11</w:t>
      </w:r>
      <w:r>
        <w:rPr>
          <w:color w:val="005DA1"/>
          <w:vertAlign w:val="baseline"/>
        </w:rPr>
        <w:t> </w:t>
      </w:r>
      <w:r>
        <w:rPr>
          <w:vertAlign w:val="baseline"/>
        </w:rPr>
        <w:t>provides a commentary on the </w:t>
      </w:r>
      <w:bookmarkStart w:name="_bookmark11" w:id="13"/>
      <w:bookmarkEnd w:id="13"/>
      <w:r>
        <w:rPr>
          <w:vertAlign w:val="baseline"/>
        </w:rPr>
        <w:t>Rome</w:t>
      </w:r>
      <w:r>
        <w:rPr>
          <w:vertAlign w:val="baseline"/>
        </w:rPr>
        <w:t> I Regulation, drawing attention to similarities and differences between the earlier Convention and the Regulation, as relevant. Section 5 </w:t>
      </w:r>
      <w:r>
        <w:rPr>
          <w:color w:val="005DA1"/>
          <w:u w:val="single" w:color="005DA1"/>
          <w:vertAlign w:val="superscript"/>
        </w:rPr>
        <w:t>12</w:t>
      </w:r>
      <w:r>
        <w:rPr>
          <w:color w:val="005DA1"/>
          <w:vertAlign w:val="baseline"/>
        </w:rPr>
        <w:t> </w:t>
      </w:r>
      <w:r>
        <w:rPr>
          <w:vertAlign w:val="baseline"/>
        </w:rPr>
        <w:t>explores the scope of the applicable law and the relevance of other laws in the context of the incidents of the contract and the various issues which may arise in a contractual context. That section considers these matters from the perspective of the common law, the Rome Convention and the Rome I Regulation.</w:t>
      </w:r>
    </w:p>
    <w:p>
      <w:pPr>
        <w:pStyle w:val="BodyText"/>
      </w:pPr>
    </w:p>
    <w:p>
      <w:pPr>
        <w:pStyle w:val="BodyText"/>
        <w:spacing w:before="35"/>
      </w:pPr>
    </w:p>
    <w:p>
      <w:pPr>
        <w:spacing w:before="1"/>
        <w:ind w:left="164" w:right="0" w:firstLine="0"/>
        <w:jc w:val="left"/>
        <w:rPr>
          <w:rFonts w:ascii="Arial"/>
          <w:b/>
          <w:sz w:val="18"/>
        </w:rPr>
      </w:pPr>
      <w:r>
        <w:rPr>
          <w:rFonts w:ascii="Arial"/>
          <w:b/>
          <w:spacing w:val="-2"/>
          <w:sz w:val="18"/>
        </w:rPr>
        <w:t>Terminology</w:t>
      </w:r>
    </w:p>
    <w:p>
      <w:pPr>
        <w:pStyle w:val="BodyText"/>
        <w:spacing w:before="41"/>
        <w:rPr>
          <w:rFonts w:ascii="Arial"/>
          <w:b/>
          <w:sz w:val="18"/>
        </w:rPr>
      </w:pPr>
    </w:p>
    <w:p>
      <w:pPr>
        <w:pStyle w:val="Heading2"/>
        <w:ind w:left="164"/>
      </w:pPr>
      <w:r>
        <w:rPr/>
        <w:t>30-</w:t>
      </w:r>
      <w:r>
        <w:rPr>
          <w:spacing w:val="-5"/>
        </w:rPr>
        <w:t>004</w:t>
      </w:r>
    </w:p>
    <w:p>
      <w:pPr>
        <w:pStyle w:val="BodyText"/>
        <w:spacing w:line="235" w:lineRule="auto" w:before="202"/>
        <w:ind w:left="164" w:right="168"/>
        <w:jc w:val="both"/>
      </w:pPr>
      <w:r>
        <w:rPr/>
        <w:t>The Rome Convention and the Rome I Regulation do not adopt the familiar terminology of </w:t>
      </w:r>
      <w:r>
        <w:rPr/>
        <w:t>the common law; in particular, they abandon the linguistic usage “proper law of a contract” and replace that usage with their own terminology. This terminology is variously, “applicable law”, “law applicable to the contract”, “governing law” or “law governing the contract”. This terminology is used interchangeably in sections 3, 4 and 5 of the Chapter. The phrase “proper law of a contract” is, however, retained for the purpose of the discussion of the common law in section 2.</w:t>
      </w:r>
    </w:p>
    <w:p>
      <w:pPr>
        <w:pStyle w:val="BodyText"/>
      </w:pPr>
    </w:p>
    <w:p>
      <w:pPr>
        <w:pStyle w:val="BodyText"/>
        <w:spacing w:before="38"/>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185653</wp:posOffset>
                </wp:positionV>
                <wp:extent cx="572452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8348pt;width:450.75pt;height:.1pt;mso-position-horizontal-relative:page;mso-position-vertical-relative:paragraph;z-index:-15725056;mso-wrap-distance-left:0;mso-wrap-distance-right:0" id="docshape2"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1202176">
                <wp:simplePos x="0" y="0"/>
                <wp:positionH relativeFrom="page">
                  <wp:posOffset>914400</wp:posOffset>
                </wp:positionH>
                <wp:positionV relativeFrom="paragraph">
                  <wp:posOffset>94576</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4304" from="72pt,7.446977pt" to="75.892pt,7.446977pt" stroked="true" strokeweight=".5pt" strokecolor="#005da1">
                <v:stroke dashstyle="solid"/>
                <w10:wrap type="none"/>
              </v:line>
            </w:pict>
          </mc:Fallback>
        </mc:AlternateContent>
      </w:r>
      <w:bookmarkStart w:name="_bookmark12" w:id="14"/>
      <w:bookmarkEnd w:id="14"/>
      <w:r>
        <w:rPr/>
      </w:r>
      <w:hyperlink w:history="true" w:anchor="_bookmark0">
        <w:r>
          <w:rPr>
            <w:color w:val="005DA1"/>
            <w:spacing w:val="-6"/>
            <w:position w:val="5"/>
            <w:sz w:val="14"/>
          </w:rPr>
          <w:t>1</w:t>
        </w:r>
      </w:hyperlink>
      <w:r>
        <w:rPr>
          <w:spacing w:val="-6"/>
          <w:position w:val="5"/>
          <w:sz w:val="14"/>
        </w:rPr>
        <w:t>.</w:t>
      </w:r>
      <w:r>
        <w:rPr>
          <w:position w:val="5"/>
          <w:sz w:val="14"/>
        </w:rPr>
        <w:tab/>
      </w:r>
      <w:r>
        <w:rPr/>
        <w:t>It will also be necessary to decide whether the court of the forum, i.e. the English court, has </w:t>
      </w:r>
      <w:r>
        <w:rPr>
          <w:rFonts w:ascii="Arial"/>
          <w:i/>
        </w:rPr>
        <w:t>jurisdiction </w:t>
      </w:r>
      <w:r>
        <w:rPr/>
        <w:t>to entertain an action arising out of such a contract. On the issue of jurisdiction </w:t>
      </w:r>
      <w:r>
        <w:rPr/>
        <w:t>in such cases, see Dicey, Morris and Collins on the Conflict of Laws, 15th edn (2012), Chs 10-14; Cheshire, North and Fawcett, </w:t>
      </w:r>
      <w:r>
        <w:rPr>
          <w:rFonts w:ascii="Arial"/>
          <w:i/>
        </w:rPr>
        <w:t>Private International Law</w:t>
      </w:r>
      <w:r>
        <w:rPr/>
        <w:t>, 14th edn (2008), Chs 10-14.</w:t>
      </w:r>
    </w:p>
    <w:p>
      <w:pPr>
        <w:pStyle w:val="BodyText"/>
        <w:spacing w:before="8"/>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1202688">
                <wp:simplePos x="0" y="0"/>
                <wp:positionH relativeFrom="page">
                  <wp:posOffset>914400</wp:posOffset>
                </wp:positionH>
                <wp:positionV relativeFrom="paragraph">
                  <wp:posOffset>94891</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3792" from="72pt,7.471781pt" to="75.892pt,7.471781pt" stroked="true" strokeweight=".5pt" strokecolor="#005da1">
                <v:stroke dashstyle="solid"/>
                <w10:wrap type="none"/>
              </v:line>
            </w:pict>
          </mc:Fallback>
        </mc:AlternateContent>
      </w:r>
      <w:bookmarkStart w:name="_bookmark13" w:id="15"/>
      <w:bookmarkEnd w:id="15"/>
      <w:r>
        <w:rPr/>
      </w:r>
      <w:hyperlink w:history="true" w:anchor="_bookmark1">
        <w:r>
          <w:rPr>
            <w:color w:val="005DA1"/>
            <w:spacing w:val="-6"/>
            <w:position w:val="5"/>
            <w:sz w:val="14"/>
          </w:rPr>
          <w:t>2</w:t>
        </w:r>
      </w:hyperlink>
      <w:r>
        <w:rPr>
          <w:spacing w:val="-6"/>
          <w:position w:val="5"/>
          <w:sz w:val="14"/>
        </w:rPr>
        <w:t>.</w:t>
      </w:r>
      <w:r>
        <w:rPr>
          <w:position w:val="5"/>
          <w:sz w:val="14"/>
        </w:rPr>
        <w:tab/>
      </w:r>
      <w:r>
        <w:rPr/>
        <w:t>It</w:t>
      </w:r>
      <w:r>
        <w:rPr>
          <w:spacing w:val="-2"/>
        </w:rPr>
        <w:t> </w:t>
      </w:r>
      <w:r>
        <w:rPr/>
        <w:t>is</w:t>
      </w:r>
      <w:r>
        <w:rPr>
          <w:spacing w:val="-2"/>
        </w:rPr>
        <w:t> </w:t>
      </w:r>
      <w:r>
        <w:rPr/>
        <w:t>not</w:t>
      </w:r>
      <w:r>
        <w:rPr>
          <w:spacing w:val="-2"/>
        </w:rPr>
        <w:t> </w:t>
      </w:r>
      <w:r>
        <w:rPr/>
        <w:t>concerned</w:t>
      </w:r>
      <w:r>
        <w:rPr>
          <w:spacing w:val="-2"/>
        </w:rPr>
        <w:t> </w:t>
      </w:r>
      <w:r>
        <w:rPr/>
        <w:t>with</w:t>
      </w:r>
      <w:r>
        <w:rPr>
          <w:spacing w:val="-2"/>
        </w:rPr>
        <w:t> </w:t>
      </w:r>
      <w:r>
        <w:rPr/>
        <w:t>the</w:t>
      </w:r>
      <w:r>
        <w:rPr>
          <w:spacing w:val="-2"/>
        </w:rPr>
        <w:t> </w:t>
      </w:r>
      <w:r>
        <w:rPr/>
        <w:t>rules</w:t>
      </w:r>
      <w:r>
        <w:rPr>
          <w:spacing w:val="-2"/>
        </w:rPr>
        <w:t> </w:t>
      </w:r>
      <w:r>
        <w:rPr/>
        <w:t>as</w:t>
      </w:r>
      <w:r>
        <w:rPr>
          <w:spacing w:val="-2"/>
        </w:rPr>
        <w:t> </w:t>
      </w:r>
      <w:r>
        <w:rPr/>
        <w:t>to</w:t>
      </w:r>
      <w:r>
        <w:rPr>
          <w:spacing w:val="-2"/>
        </w:rPr>
        <w:t> </w:t>
      </w:r>
      <w:r>
        <w:rPr/>
        <w:t>the</w:t>
      </w:r>
      <w:r>
        <w:rPr>
          <w:spacing w:val="-2"/>
        </w:rPr>
        <w:t> </w:t>
      </w:r>
      <w:r>
        <w:rPr/>
        <w:t>jurisdiction</w:t>
      </w:r>
      <w:r>
        <w:rPr>
          <w:spacing w:val="-2"/>
        </w:rPr>
        <w:t> </w:t>
      </w:r>
      <w:r>
        <w:rPr/>
        <w:t>of</w:t>
      </w:r>
      <w:r>
        <w:rPr>
          <w:spacing w:val="-2"/>
        </w:rPr>
        <w:t> </w:t>
      </w:r>
      <w:r>
        <w:rPr/>
        <w:t>English</w:t>
      </w:r>
      <w:r>
        <w:rPr>
          <w:spacing w:val="-2"/>
        </w:rPr>
        <w:t> </w:t>
      </w:r>
      <w:r>
        <w:rPr/>
        <w:t>courts:</w:t>
      </w:r>
      <w:r>
        <w:rPr>
          <w:spacing w:val="-2"/>
        </w:rPr>
        <w:t> </w:t>
      </w:r>
      <w:r>
        <w:rPr/>
        <w:t>see</w:t>
      </w:r>
      <w:r>
        <w:rPr>
          <w:spacing w:val="-2"/>
        </w:rPr>
        <w:t> </w:t>
      </w:r>
      <w:r>
        <w:rPr/>
        <w:t>preceding</w:t>
      </w:r>
      <w:r>
        <w:rPr>
          <w:spacing w:val="-2"/>
        </w:rPr>
        <w:t> </w:t>
      </w:r>
      <w:r>
        <w:rPr/>
        <w:t>note.</w:t>
      </w:r>
      <w:r>
        <w:rPr>
          <w:spacing w:val="-2"/>
        </w:rPr>
        <w:t> </w:t>
      </w:r>
      <w:r>
        <w:rPr/>
        <w:t>Nor is it concerned with the rules relating to the recognition of foreign judgments, as to which see Dicey, Morris and Collins, 15th edn (2012), Chs 14 and 15; Cheshire, North and Fawcett, Chs 15 and 16. The conflict of laws’ aspects of arbitration (as to which see Dicey, Morris and Collins 15th edn (2012), Ch.16; Cheshire and North, Ch.17) are similarly excluded. For the conflict of laws with regard to negotiable instruments see below, paras 30-037, 30-038, 30-155 and Vol.II, paras 34-192 et seq. Some contracts for the sale of goods made on or after August 18, 1972, which are connected with several territorial jurisdictions may be governed by the provisions of the Uniform Law on International Sales Act 1967 and will not necessitate examination of the rules of the conflict of laws: Sch.I art.2. See Vol.II, para.44-013. See also Hague Draft</w:t>
      </w:r>
      <w:r>
        <w:rPr>
          <w:spacing w:val="40"/>
        </w:rPr>
        <w:t> </w:t>
      </w:r>
      <w:r>
        <w:rPr/>
        <w:t>Principles on Choice of Law in International Contracts (Hague Conference on Private International Law (November, 2013)).</w:t>
      </w:r>
    </w:p>
    <w:p>
      <w:pPr>
        <w:pStyle w:val="BodyText"/>
        <w:spacing w:before="2"/>
      </w:pPr>
    </w:p>
    <w:p>
      <w:pPr>
        <w:pStyle w:val="BodyText"/>
        <w:tabs>
          <w:tab w:pos="705" w:val="left" w:leader="none"/>
        </w:tabs>
        <w:ind w:left="165"/>
      </w:pPr>
      <w:r>
        <w:rPr/>
        <mc:AlternateContent>
          <mc:Choice Requires="wps">
            <w:drawing>
              <wp:anchor distT="0" distB="0" distL="0" distR="0" allowOverlap="1" layoutInCell="1" locked="0" behindDoc="1" simplePos="0" relativeHeight="481203200">
                <wp:simplePos x="0" y="0"/>
                <wp:positionH relativeFrom="page">
                  <wp:posOffset>914400</wp:posOffset>
                </wp:positionH>
                <wp:positionV relativeFrom="paragraph">
                  <wp:posOffset>97081</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3280" from="72pt,7.644242pt" to="75.892pt,7.644242pt" stroked="true" strokeweight=".5pt" strokecolor="#005da1">
                <v:stroke dashstyle="solid"/>
                <w10:wrap type="none"/>
              </v:line>
            </w:pict>
          </mc:Fallback>
        </mc:AlternateContent>
      </w:r>
      <w:bookmarkStart w:name="_bookmark14" w:id="16"/>
      <w:bookmarkEnd w:id="16"/>
      <w:r>
        <w:rPr/>
      </w:r>
      <w:hyperlink w:history="true" w:anchor="_bookmark2">
        <w:r>
          <w:rPr>
            <w:color w:val="005DA1"/>
            <w:spacing w:val="-5"/>
            <w:position w:val="5"/>
            <w:sz w:val="14"/>
          </w:rPr>
          <w:t>3</w:t>
        </w:r>
      </w:hyperlink>
      <w:r>
        <w:rPr>
          <w:spacing w:val="-5"/>
          <w:position w:val="5"/>
          <w:sz w:val="14"/>
        </w:rPr>
        <w:t>.</w:t>
      </w:r>
      <w:r>
        <w:rPr>
          <w:position w:val="5"/>
          <w:sz w:val="14"/>
        </w:rPr>
        <w:tab/>
      </w:r>
      <w:r>
        <w:rPr/>
        <w:t>See below, paras 30-005 et </w:t>
      </w:r>
      <w:r>
        <w:rPr>
          <w:spacing w:val="-4"/>
        </w:rPr>
        <w:t>seq.</w:t>
      </w:r>
    </w:p>
    <w:p>
      <w:pPr>
        <w:pStyle w:val="BodyText"/>
        <w:spacing w:before="9"/>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1203712">
                <wp:simplePos x="0" y="0"/>
                <wp:positionH relativeFrom="page">
                  <wp:posOffset>914400</wp:posOffset>
                </wp:positionH>
                <wp:positionV relativeFrom="paragraph">
                  <wp:posOffset>94566</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2768" from="72pt,7.446195pt" to="75.892pt,7.446195pt" stroked="true" strokeweight=".5pt" strokecolor="#005da1">
                <v:stroke dashstyle="solid"/>
                <w10:wrap type="none"/>
              </v:line>
            </w:pict>
          </mc:Fallback>
        </mc:AlternateContent>
      </w:r>
      <w:bookmarkStart w:name="_bookmark15" w:id="17"/>
      <w:bookmarkEnd w:id="17"/>
      <w:r>
        <w:rPr/>
      </w:r>
      <w:hyperlink w:history="true" w:anchor="_bookmark3">
        <w:r>
          <w:rPr>
            <w:color w:val="005DA1"/>
            <w:spacing w:val="-6"/>
            <w:position w:val="5"/>
            <w:sz w:val="14"/>
          </w:rPr>
          <w:t>4</w:t>
        </w:r>
      </w:hyperlink>
      <w:r>
        <w:rPr>
          <w:spacing w:val="-6"/>
          <w:position w:val="5"/>
          <w:sz w:val="14"/>
        </w:rPr>
        <w:t>.</w:t>
      </w:r>
      <w:r>
        <w:rPr>
          <w:position w:val="5"/>
          <w:sz w:val="14"/>
        </w:rPr>
        <w:tab/>
      </w:r>
      <w:r>
        <w:rPr>
          <w:sz w:val="20"/>
        </w:rPr>
        <w:t>The date on which the 1990 Act entered into force: see Rome Convention art.17; </w:t>
      </w:r>
      <w:r>
        <w:rPr>
          <w:rFonts w:ascii="Arial" w:hAnsi="Arial"/>
          <w:i/>
          <w:sz w:val="20"/>
        </w:rPr>
        <w:t>Society of Lloyd’s v Fraser [1998] C.L.C. 1630, 1651</w:t>
      </w:r>
      <w:r>
        <w:rPr>
          <w:sz w:val="20"/>
        </w:rPr>
        <w:t>. Some contracts may, depending on </w:t>
      </w:r>
      <w:r>
        <w:rPr>
          <w:sz w:val="20"/>
        </w:rPr>
        <w:t>the circumstances,</w:t>
      </w:r>
      <w:r>
        <w:rPr>
          <w:spacing w:val="-3"/>
          <w:sz w:val="20"/>
        </w:rPr>
        <w:t> </w:t>
      </w:r>
      <w:r>
        <w:rPr>
          <w:sz w:val="20"/>
        </w:rPr>
        <w:t>straddle</w:t>
      </w:r>
      <w:r>
        <w:rPr>
          <w:spacing w:val="-3"/>
          <w:sz w:val="20"/>
        </w:rPr>
        <w:t> </w:t>
      </w:r>
      <w:r>
        <w:rPr>
          <w:sz w:val="20"/>
        </w:rPr>
        <w:t>the</w:t>
      </w:r>
      <w:r>
        <w:rPr>
          <w:spacing w:val="-3"/>
          <w:sz w:val="20"/>
        </w:rPr>
        <w:t> </w:t>
      </w:r>
      <w:r>
        <w:rPr>
          <w:sz w:val="20"/>
        </w:rPr>
        <w:t>relevant</w:t>
      </w:r>
      <w:r>
        <w:rPr>
          <w:spacing w:val="-3"/>
          <w:sz w:val="20"/>
        </w:rPr>
        <w:t> </w:t>
      </w:r>
      <w:r>
        <w:rPr>
          <w:sz w:val="20"/>
        </w:rPr>
        <w:t>periods:</w:t>
      </w:r>
      <w:r>
        <w:rPr>
          <w:spacing w:val="-3"/>
          <w:sz w:val="20"/>
        </w:rPr>
        <w:t> </w:t>
      </w:r>
      <w:r>
        <w:rPr>
          <w:sz w:val="20"/>
        </w:rPr>
        <w:t>see</w:t>
      </w:r>
      <w:r>
        <w:rPr>
          <w:spacing w:val="-3"/>
          <w:sz w:val="20"/>
        </w:rPr>
        <w:t> </w:t>
      </w:r>
      <w:r>
        <w:rPr>
          <w:sz w:val="20"/>
        </w:rPr>
        <w:t>e.g.</w:t>
      </w:r>
      <w:r>
        <w:rPr>
          <w:spacing w:val="-4"/>
          <w:sz w:val="20"/>
        </w:rPr>
        <w:t> </w:t>
      </w:r>
      <w:r>
        <w:rPr>
          <w:rFonts w:ascii="Arial" w:hAnsi="Arial"/>
          <w:i/>
          <w:sz w:val="20"/>
        </w:rPr>
        <w:t>BGC</w:t>
      </w:r>
      <w:r>
        <w:rPr>
          <w:rFonts w:ascii="Arial" w:hAnsi="Arial"/>
          <w:i/>
          <w:spacing w:val="-3"/>
          <w:sz w:val="20"/>
        </w:rPr>
        <w:t> </w:t>
      </w:r>
      <w:r>
        <w:rPr>
          <w:rFonts w:ascii="Arial" w:hAnsi="Arial"/>
          <w:i/>
          <w:sz w:val="20"/>
        </w:rPr>
        <w:t>Capital</w:t>
      </w:r>
      <w:r>
        <w:rPr>
          <w:rFonts w:ascii="Arial" w:hAnsi="Arial"/>
          <w:i/>
          <w:spacing w:val="-3"/>
          <w:sz w:val="20"/>
        </w:rPr>
        <w:t> </w:t>
      </w:r>
      <w:r>
        <w:rPr>
          <w:rFonts w:ascii="Arial" w:hAnsi="Arial"/>
          <w:i/>
          <w:sz w:val="20"/>
        </w:rPr>
        <w:t>Markets</w:t>
      </w:r>
      <w:r>
        <w:rPr>
          <w:rFonts w:ascii="Arial" w:hAnsi="Arial"/>
          <w:i/>
          <w:spacing w:val="-3"/>
          <w:sz w:val="20"/>
        </w:rPr>
        <w:t> </w:t>
      </w:r>
      <w:r>
        <w:rPr>
          <w:rFonts w:ascii="Arial" w:hAnsi="Arial"/>
          <w:i/>
          <w:sz w:val="20"/>
        </w:rPr>
        <w:t>(Switzerland)</w:t>
      </w:r>
      <w:r>
        <w:rPr>
          <w:rFonts w:ascii="Arial" w:hAnsi="Arial"/>
          <w:i/>
          <w:spacing w:val="-3"/>
          <w:sz w:val="20"/>
        </w:rPr>
        <w:t> </w:t>
      </w:r>
      <w:r>
        <w:rPr>
          <w:rFonts w:ascii="Arial" w:hAnsi="Arial"/>
          <w:i/>
          <w:sz w:val="20"/>
        </w:rPr>
        <w:t>LLC</w:t>
      </w:r>
      <w:r>
        <w:rPr>
          <w:rFonts w:ascii="Arial" w:hAnsi="Arial"/>
          <w:i/>
          <w:spacing w:val="-3"/>
          <w:sz w:val="20"/>
        </w:rPr>
        <w:t> </w:t>
      </w:r>
      <w:r>
        <w:rPr>
          <w:rFonts w:ascii="Arial" w:hAnsi="Arial"/>
          <w:i/>
          <w:sz w:val="20"/>
        </w:rPr>
        <w:t>v Rees [2011] EWHC 2009 (QB)</w:t>
      </w:r>
      <w:r>
        <w:rPr>
          <w:sz w:val="20"/>
        </w:rPr>
        <w:t>.</w:t>
      </w:r>
    </w:p>
    <w:p>
      <w:pPr>
        <w:spacing w:after="0" w:line="235" w:lineRule="auto"/>
        <w:jc w:val="both"/>
        <w:rPr>
          <w:sz w:val="20"/>
        </w:rPr>
        <w:sectPr>
          <w:pgSz w:w="11900" w:h="16840"/>
          <w:pgMar w:header="971" w:footer="0" w:top="1300" w:bottom="280" w:left="1275" w:right="1275"/>
        </w:sectPr>
      </w:pPr>
    </w:p>
    <w:p>
      <w:pPr>
        <w:pStyle w:val="BodyText"/>
        <w:tabs>
          <w:tab w:pos="705" w:val="left" w:leader="none"/>
        </w:tabs>
        <w:spacing w:line="235" w:lineRule="auto" w:before="170"/>
        <w:ind w:left="705" w:right="168" w:hanging="541"/>
      </w:pPr>
      <w:r>
        <w:rPr/>
        <mc:AlternateContent>
          <mc:Choice Requires="wps">
            <w:drawing>
              <wp:anchor distT="0" distB="0" distL="0" distR="0" allowOverlap="1" layoutInCell="1" locked="0" behindDoc="0" simplePos="0" relativeHeight="15736832">
                <wp:simplePos x="0" y="0"/>
                <wp:positionH relativeFrom="page">
                  <wp:posOffset>914400</wp:posOffset>
                </wp:positionH>
                <wp:positionV relativeFrom="paragraph">
                  <wp:posOffset>202750</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72pt,15.964641pt" to="75.892pt,15.964641pt" stroked="true" strokeweight=".5pt" strokecolor="#005da1">
                <v:stroke dashstyle="solid"/>
                <w10:wrap type="none"/>
              </v:line>
            </w:pict>
          </mc:Fallback>
        </mc:AlternateContent>
      </w:r>
      <w:hyperlink w:history="true" w:anchor="_bookmark4">
        <w:r>
          <w:rPr>
            <w:color w:val="005DA1"/>
            <w:spacing w:val="-6"/>
            <w:position w:val="5"/>
            <w:sz w:val="14"/>
          </w:rPr>
          <w:t>5</w:t>
        </w:r>
      </w:hyperlink>
      <w:r>
        <w:rPr>
          <w:spacing w:val="-6"/>
          <w:position w:val="5"/>
          <w:sz w:val="14"/>
        </w:rPr>
        <w:t>.</w:t>
      </w:r>
      <w:r>
        <w:rPr>
          <w:position w:val="5"/>
          <w:sz w:val="14"/>
        </w:rPr>
        <w:tab/>
      </w:r>
      <w:r>
        <w:rPr/>
        <w:t>Regulation</w:t>
      </w:r>
      <w:r>
        <w:rPr>
          <w:spacing w:val="29"/>
        </w:rPr>
        <w:t> </w:t>
      </w:r>
      <w:r>
        <w:rPr/>
        <w:t>(EC)</w:t>
      </w:r>
      <w:r>
        <w:rPr>
          <w:spacing w:val="29"/>
        </w:rPr>
        <w:t> </w:t>
      </w:r>
      <w:r>
        <w:rPr/>
        <w:t>593/2008</w:t>
      </w:r>
      <w:r>
        <w:rPr>
          <w:spacing w:val="29"/>
        </w:rPr>
        <w:t> </w:t>
      </w:r>
      <w:r>
        <w:rPr/>
        <w:t>of</w:t>
      </w:r>
      <w:r>
        <w:rPr>
          <w:spacing w:val="29"/>
        </w:rPr>
        <w:t> </w:t>
      </w:r>
      <w:r>
        <w:rPr/>
        <w:t>June</w:t>
      </w:r>
      <w:r>
        <w:rPr>
          <w:spacing w:val="29"/>
        </w:rPr>
        <w:t> </w:t>
      </w:r>
      <w:r>
        <w:rPr/>
        <w:t>17,</w:t>
      </w:r>
      <w:r>
        <w:rPr>
          <w:spacing w:val="29"/>
        </w:rPr>
        <w:t> </w:t>
      </w:r>
      <w:r>
        <w:rPr/>
        <w:t>2008</w:t>
      </w:r>
      <w:r>
        <w:rPr>
          <w:spacing w:val="29"/>
        </w:rPr>
        <w:t> </w:t>
      </w:r>
      <w:r>
        <w:rPr/>
        <w:t>on</w:t>
      </w:r>
      <w:r>
        <w:rPr>
          <w:spacing w:val="29"/>
        </w:rPr>
        <w:t> </w:t>
      </w:r>
      <w:r>
        <w:rPr/>
        <w:t>the</w:t>
      </w:r>
      <w:r>
        <w:rPr>
          <w:spacing w:val="29"/>
        </w:rPr>
        <w:t> </w:t>
      </w:r>
      <w:r>
        <w:rPr/>
        <w:t>law</w:t>
      </w:r>
      <w:r>
        <w:rPr>
          <w:spacing w:val="29"/>
        </w:rPr>
        <w:t> </w:t>
      </w:r>
      <w:r>
        <w:rPr/>
        <w:t>applicable</w:t>
      </w:r>
      <w:r>
        <w:rPr>
          <w:spacing w:val="29"/>
        </w:rPr>
        <w:t> </w:t>
      </w:r>
      <w:r>
        <w:rPr/>
        <w:t>to</w:t>
      </w:r>
      <w:r>
        <w:rPr>
          <w:spacing w:val="29"/>
        </w:rPr>
        <w:t> </w:t>
      </w:r>
      <w:r>
        <w:rPr/>
        <w:t>contractual</w:t>
      </w:r>
      <w:r>
        <w:rPr>
          <w:spacing w:val="29"/>
        </w:rPr>
        <w:t> </w:t>
      </w:r>
      <w:r>
        <w:rPr/>
        <w:t>obligations (Rome I) [2008] O.J. L177/6.</w:t>
      </w:r>
    </w:p>
    <w:p>
      <w:pPr>
        <w:pStyle w:val="BodyText"/>
        <w:spacing w:before="6"/>
      </w:pPr>
    </w:p>
    <w:p>
      <w:pPr>
        <w:pStyle w:val="BodyText"/>
        <w:tabs>
          <w:tab w:pos="705" w:val="left" w:leader="none"/>
        </w:tabs>
        <w:ind w:left="165"/>
      </w:pPr>
      <w:r>
        <w:rPr/>
        <mc:AlternateContent>
          <mc:Choice Requires="wps">
            <w:drawing>
              <wp:anchor distT="0" distB="0" distL="0" distR="0" allowOverlap="1" layoutInCell="1" locked="0" behindDoc="1" simplePos="0" relativeHeight="481205760">
                <wp:simplePos x="0" y="0"/>
                <wp:positionH relativeFrom="page">
                  <wp:posOffset>914400</wp:posOffset>
                </wp:positionH>
                <wp:positionV relativeFrom="paragraph">
                  <wp:posOffset>96869</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10720" from="72pt,7.627531pt" to="75.892pt,7.627531pt" stroked="true" strokeweight=".5pt" strokecolor="#005da1">
                <v:stroke dashstyle="solid"/>
                <w10:wrap type="none"/>
              </v:line>
            </w:pict>
          </mc:Fallback>
        </mc:AlternateContent>
      </w:r>
      <w:bookmarkStart w:name="_bookmark16" w:id="18"/>
      <w:bookmarkEnd w:id="18"/>
      <w:r>
        <w:rPr/>
      </w:r>
      <w:hyperlink w:history="true" w:anchor="_bookmark5">
        <w:r>
          <w:rPr>
            <w:color w:val="005DA1"/>
            <w:spacing w:val="-5"/>
            <w:position w:val="5"/>
            <w:sz w:val="14"/>
          </w:rPr>
          <w:t>6</w:t>
        </w:r>
      </w:hyperlink>
      <w:r>
        <w:rPr>
          <w:spacing w:val="-5"/>
          <w:position w:val="5"/>
          <w:sz w:val="14"/>
        </w:rPr>
        <w:t>.</w:t>
      </w:r>
      <w:r>
        <w:rPr>
          <w:position w:val="5"/>
          <w:sz w:val="14"/>
        </w:rPr>
        <w:tab/>
      </w:r>
      <w:r>
        <w:rPr/>
        <w:t>Rome I Regulation arts 28, </w:t>
      </w:r>
      <w:r>
        <w:rPr>
          <w:spacing w:val="-5"/>
        </w:rPr>
        <w:t>29.</w:t>
      </w:r>
    </w:p>
    <w:p>
      <w:pPr>
        <w:pStyle w:val="BodyText"/>
        <w:spacing w:before="81"/>
        <w:rPr>
          <w:sz w:val="14"/>
        </w:rPr>
      </w:pPr>
    </w:p>
    <w:p>
      <w:pPr>
        <w:spacing w:line="137" w:lineRule="exact" w:before="0"/>
        <w:ind w:left="165" w:right="0" w:firstLine="0"/>
        <w:jc w:val="left"/>
        <w:rPr>
          <w:sz w:val="14"/>
        </w:rPr>
      </w:pPr>
      <w:r>
        <w:rPr>
          <w:sz w:val="14"/>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92445</wp:posOffset>
                </wp:positionV>
                <wp:extent cx="4953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79191pt;width:3.9pt;height:.1pt;mso-position-horizontal-relative:page;mso-position-vertical-relative:paragraph;z-index:-15721472;mso-wrap-distance-left:0;mso-wrap-distance-right:0" id="docshape3"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37856">
            <wp:simplePos x="0" y="0"/>
            <wp:positionH relativeFrom="page">
              <wp:posOffset>1257846</wp:posOffset>
            </wp:positionH>
            <wp:positionV relativeFrom="paragraph">
              <wp:posOffset>99735</wp:posOffset>
            </wp:positionV>
            <wp:extent cx="107988" cy="107988"/>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7" w:id="19"/>
      <w:bookmarkEnd w:id="19"/>
      <w:r>
        <w:rPr/>
      </w:r>
      <w:hyperlink w:history="true" w:anchor="_bookmark6">
        <w:r>
          <w:rPr>
            <w:color w:val="005DA1"/>
            <w:spacing w:val="-5"/>
            <w:sz w:val="14"/>
          </w:rPr>
          <w:t>7</w:t>
        </w:r>
      </w:hyperlink>
      <w:r>
        <w:rPr>
          <w:spacing w:val="-5"/>
          <w:sz w:val="14"/>
        </w:rPr>
        <w:t>.</w:t>
      </w:r>
    </w:p>
    <w:p>
      <w:pPr>
        <w:pStyle w:val="BodyText"/>
        <w:spacing w:line="192" w:lineRule="exact"/>
        <w:ind w:left="875"/>
      </w:pPr>
      <w:r>
        <w:rPr/>
        <w:t>See above, paras 1-013A—1-</w:t>
      </w:r>
      <w:r>
        <w:rPr>
          <w:spacing w:val="-2"/>
        </w:rPr>
        <w:t>013E.</w:t>
      </w:r>
    </w:p>
    <w:p>
      <w:pPr>
        <w:pStyle w:val="BodyText"/>
        <w:spacing w:before="81"/>
        <w:rPr>
          <w:sz w:val="14"/>
        </w:rPr>
      </w:pPr>
    </w:p>
    <w:p>
      <w:pPr>
        <w:spacing w:line="137" w:lineRule="exact" w:before="0"/>
        <w:ind w:left="165" w:right="0" w:firstLine="0"/>
        <w:jc w:val="left"/>
        <w:rPr>
          <w:sz w:val="14"/>
        </w:rPr>
      </w:pPr>
      <w:r>
        <w:rPr>
          <w:sz w:val="14"/>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92424</wp:posOffset>
                </wp:positionV>
                <wp:extent cx="4953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77543pt;width:3.9pt;height:.1pt;mso-position-horizontal-relative:page;mso-position-vertical-relative:paragraph;z-index:-15720960;mso-wrap-distance-left:0;mso-wrap-distance-right:0" id="docshape4"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38368">
            <wp:simplePos x="0" y="0"/>
            <wp:positionH relativeFrom="page">
              <wp:posOffset>1257846</wp:posOffset>
            </wp:positionH>
            <wp:positionV relativeFrom="paragraph">
              <wp:posOffset>99714</wp:posOffset>
            </wp:positionV>
            <wp:extent cx="107988" cy="107988"/>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 w:id="20"/>
      <w:bookmarkEnd w:id="20"/>
      <w:r>
        <w:rPr/>
      </w:r>
      <w:hyperlink w:history="true" w:anchor="_bookmark7">
        <w:r>
          <w:rPr>
            <w:color w:val="005DA1"/>
            <w:spacing w:val="-5"/>
            <w:sz w:val="14"/>
          </w:rPr>
          <w:t>8</w:t>
        </w:r>
      </w:hyperlink>
      <w:r>
        <w:rPr>
          <w:spacing w:val="-5"/>
          <w:sz w:val="14"/>
        </w:rPr>
        <w:t>.</w:t>
      </w:r>
    </w:p>
    <w:p>
      <w:pPr>
        <w:pStyle w:val="BodyText"/>
        <w:spacing w:line="189" w:lineRule="exact"/>
        <w:ind w:left="875"/>
        <w:jc w:val="both"/>
      </w:pPr>
      <w:r>
        <w:rPr/>
        <w:t>For</w:t>
      </w:r>
      <w:r>
        <w:rPr>
          <w:spacing w:val="21"/>
        </w:rPr>
        <w:t> </w:t>
      </w:r>
      <w:r>
        <w:rPr/>
        <w:t>a</w:t>
      </w:r>
      <w:r>
        <w:rPr>
          <w:spacing w:val="21"/>
        </w:rPr>
        <w:t> </w:t>
      </w:r>
      <w:r>
        <w:rPr/>
        <w:t>discussion</w:t>
      </w:r>
      <w:r>
        <w:rPr>
          <w:spacing w:val="21"/>
        </w:rPr>
        <w:t> </w:t>
      </w:r>
      <w:r>
        <w:rPr/>
        <w:t>see</w:t>
      </w:r>
      <w:r>
        <w:rPr>
          <w:spacing w:val="21"/>
        </w:rPr>
        <w:t> </w:t>
      </w:r>
      <w:r>
        <w:rPr/>
        <w:t>A.</w:t>
      </w:r>
      <w:r>
        <w:rPr>
          <w:spacing w:val="21"/>
        </w:rPr>
        <w:t> </w:t>
      </w:r>
      <w:r>
        <w:rPr/>
        <w:t>Dickinson,</w:t>
      </w:r>
      <w:r>
        <w:rPr>
          <w:spacing w:val="21"/>
        </w:rPr>
        <w:t> </w:t>
      </w:r>
      <w:r>
        <w:rPr/>
        <w:t>“Back</w:t>
      </w:r>
      <w:r>
        <w:rPr>
          <w:spacing w:val="21"/>
        </w:rPr>
        <w:t> </w:t>
      </w:r>
      <w:r>
        <w:rPr/>
        <w:t>to</w:t>
      </w:r>
      <w:r>
        <w:rPr>
          <w:spacing w:val="21"/>
        </w:rPr>
        <w:t> </w:t>
      </w:r>
      <w:r>
        <w:rPr/>
        <w:t>the</w:t>
      </w:r>
      <w:r>
        <w:rPr>
          <w:spacing w:val="21"/>
        </w:rPr>
        <w:t> </w:t>
      </w:r>
      <w:r>
        <w:rPr/>
        <w:t>future:</w:t>
      </w:r>
      <w:r>
        <w:rPr>
          <w:spacing w:val="21"/>
        </w:rPr>
        <w:t> </w:t>
      </w:r>
      <w:r>
        <w:rPr/>
        <w:t>the</w:t>
      </w:r>
      <w:r>
        <w:rPr>
          <w:spacing w:val="21"/>
        </w:rPr>
        <w:t> </w:t>
      </w:r>
      <w:r>
        <w:rPr/>
        <w:t>UK’s</w:t>
      </w:r>
      <w:r>
        <w:rPr>
          <w:spacing w:val="21"/>
        </w:rPr>
        <w:t> </w:t>
      </w:r>
      <w:r>
        <w:rPr/>
        <w:t>EU</w:t>
      </w:r>
      <w:r>
        <w:rPr>
          <w:spacing w:val="21"/>
        </w:rPr>
        <w:t> </w:t>
      </w:r>
      <w:r>
        <w:rPr/>
        <w:t>exit</w:t>
      </w:r>
      <w:r>
        <w:rPr>
          <w:spacing w:val="21"/>
        </w:rPr>
        <w:t> </w:t>
      </w:r>
      <w:r>
        <w:rPr/>
        <w:t>and</w:t>
      </w:r>
      <w:r>
        <w:rPr>
          <w:spacing w:val="21"/>
        </w:rPr>
        <w:t> </w:t>
      </w:r>
      <w:r>
        <w:rPr/>
        <w:t>the</w:t>
      </w:r>
      <w:r>
        <w:rPr>
          <w:spacing w:val="21"/>
        </w:rPr>
        <w:t> </w:t>
      </w:r>
      <w:r>
        <w:rPr/>
        <w:t>conflict</w:t>
      </w:r>
      <w:r>
        <w:rPr>
          <w:spacing w:val="21"/>
        </w:rPr>
        <w:t> </w:t>
      </w:r>
      <w:r>
        <w:rPr>
          <w:spacing w:val="-5"/>
        </w:rPr>
        <w:t>of</w:t>
      </w:r>
    </w:p>
    <w:p>
      <w:pPr>
        <w:pStyle w:val="BodyText"/>
        <w:spacing w:line="235" w:lineRule="auto" w:before="1"/>
        <w:ind w:left="705" w:right="167"/>
        <w:jc w:val="both"/>
      </w:pPr>
      <w:r>
        <w:rPr/>
        <w:t>laws” [2016] JPIL 195; P. Rogerson, “Litigation post-Brexit” [2017] N.L.J. 2016; J. Harris “How will Brexit impact on cross-border litigation?” [2016] S.J. 160; “Brexit &amp; cross-border </w:t>
      </w:r>
      <w:r>
        <w:rPr/>
        <w:t>dispute resolution” [2016] N.L.J. 166; The General Council of the Bar, Brexit Working Group, Brexit Papers (December 2016); Commercial Bar Association (COMBAR) Brexit Report Conflict of Laws Sub-Group (January 5, 2017); The Law Society of England and Wales, Brexit and the</w:t>
      </w:r>
      <w:r>
        <w:rPr>
          <w:spacing w:val="40"/>
        </w:rPr>
        <w:t> </w:t>
      </w:r>
      <w:r>
        <w:rPr/>
        <w:t>Law</w:t>
      </w:r>
      <w:r>
        <w:rPr>
          <w:spacing w:val="80"/>
        </w:rPr>
        <w:t> </w:t>
      </w:r>
      <w:r>
        <w:rPr/>
        <w:t>(January</w:t>
      </w:r>
      <w:r>
        <w:rPr>
          <w:spacing w:val="80"/>
        </w:rPr>
        <w:t> </w:t>
      </w:r>
      <w:r>
        <w:rPr/>
        <w:t>2017);</w:t>
      </w:r>
      <w:r>
        <w:rPr>
          <w:spacing w:val="80"/>
        </w:rPr>
        <w:t> </w:t>
      </w:r>
      <w:r>
        <w:rPr/>
        <w:t>Final</w:t>
      </w:r>
      <w:r>
        <w:rPr>
          <w:spacing w:val="80"/>
        </w:rPr>
        <w:t> </w:t>
      </w:r>
      <w:r>
        <w:rPr/>
        <w:t>Report</w:t>
      </w:r>
      <w:r>
        <w:rPr>
          <w:spacing w:val="80"/>
        </w:rPr>
        <w:t> </w:t>
      </w:r>
      <w:r>
        <w:rPr/>
        <w:t>of</w:t>
      </w:r>
      <w:r>
        <w:rPr>
          <w:spacing w:val="80"/>
        </w:rPr>
        <w:t> </w:t>
      </w:r>
      <w:r>
        <w:rPr/>
        <w:t>the</w:t>
      </w:r>
      <w:r>
        <w:rPr>
          <w:spacing w:val="80"/>
        </w:rPr>
        <w:t> </w:t>
      </w:r>
      <w:r>
        <w:rPr/>
        <w:t>House</w:t>
      </w:r>
      <w:r>
        <w:rPr>
          <w:spacing w:val="80"/>
        </w:rPr>
        <w:t> </w:t>
      </w:r>
      <w:r>
        <w:rPr/>
        <w:t>of</w:t>
      </w:r>
      <w:r>
        <w:rPr>
          <w:spacing w:val="80"/>
        </w:rPr>
        <w:t> </w:t>
      </w:r>
      <w:r>
        <w:rPr/>
        <w:t>Lords</w:t>
      </w:r>
      <w:r>
        <w:rPr>
          <w:spacing w:val="80"/>
        </w:rPr>
        <w:t> </w:t>
      </w:r>
      <w:r>
        <w:rPr/>
        <w:t>European</w:t>
      </w:r>
      <w:r>
        <w:rPr>
          <w:spacing w:val="80"/>
        </w:rPr>
        <w:t> </w:t>
      </w:r>
      <w:r>
        <w:rPr/>
        <w:t>Union</w:t>
      </w:r>
      <w:r>
        <w:rPr>
          <w:spacing w:val="80"/>
        </w:rPr>
        <w:t> </w:t>
      </w:r>
      <w:r>
        <w:rPr/>
        <w:t>Justice Sub-Committee “Implications of Brexit for the justice system” (March 14, 2017).</w:t>
      </w:r>
    </w:p>
    <w:p>
      <w:pPr>
        <w:pStyle w:val="BodyText"/>
        <w:spacing w:before="3"/>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1207296">
                <wp:simplePos x="0" y="0"/>
                <wp:positionH relativeFrom="page">
                  <wp:posOffset>914400</wp:posOffset>
                </wp:positionH>
                <wp:positionV relativeFrom="paragraph">
                  <wp:posOffset>97396</wp:posOffset>
                </wp:positionV>
                <wp:extent cx="495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109184" from="72pt,7.669047pt" to="75.892pt,7.669047pt" stroked="true" strokeweight=".5pt" strokecolor="#005da1">
                <v:stroke dashstyle="solid"/>
                <w10:wrap type="none"/>
              </v:line>
            </w:pict>
          </mc:Fallback>
        </mc:AlternateContent>
      </w:r>
      <w:bookmarkStart w:name="_bookmark19" w:id="21"/>
      <w:bookmarkEnd w:id="21"/>
      <w:r>
        <w:rPr/>
      </w:r>
      <w:hyperlink w:history="true" w:anchor="_bookmark8">
        <w:r>
          <w:rPr>
            <w:color w:val="005DA1"/>
            <w:spacing w:val="-5"/>
            <w:position w:val="5"/>
            <w:sz w:val="14"/>
          </w:rPr>
          <w:t>9</w:t>
        </w:r>
      </w:hyperlink>
      <w:r>
        <w:rPr>
          <w:spacing w:val="-5"/>
          <w:position w:val="5"/>
          <w:sz w:val="14"/>
        </w:rPr>
        <w:t>.</w:t>
      </w:r>
      <w:r>
        <w:rPr>
          <w:position w:val="5"/>
          <w:sz w:val="14"/>
        </w:rPr>
        <w:tab/>
      </w:r>
      <w:r>
        <w:rPr/>
        <w:t>Below,</w:t>
      </w:r>
      <w:r>
        <w:rPr>
          <w:spacing w:val="-2"/>
        </w:rPr>
        <w:t> </w:t>
      </w:r>
      <w:r>
        <w:rPr/>
        <w:t>paras 30-005 et </w:t>
      </w:r>
      <w:r>
        <w:rPr>
          <w:spacing w:val="-4"/>
        </w:rPr>
        <w:t>seq.</w:t>
      </w:r>
    </w:p>
    <w:p>
      <w:pPr>
        <w:pStyle w:val="BodyText"/>
        <w:spacing w:before="4"/>
      </w:pPr>
    </w:p>
    <w:p>
      <w:pPr>
        <w:pStyle w:val="BodyText"/>
        <w:tabs>
          <w:tab w:pos="705" w:val="left" w:leader="none"/>
        </w:tabs>
        <w:spacing w:before="1"/>
        <w:ind w:left="165"/>
      </w:pPr>
      <w:bookmarkStart w:name="_bookmark20" w:id="22"/>
      <w:bookmarkEnd w:id="22"/>
      <w:r>
        <w:rPr/>
      </w:r>
      <w:hyperlink w:history="true" w:anchor="_bookmark9">
        <w:r>
          <w:rPr>
            <w:color w:val="005DA1"/>
            <w:spacing w:val="-5"/>
            <w:position w:val="5"/>
            <w:sz w:val="14"/>
            <w:u w:val="single" w:color="005DA1"/>
          </w:rPr>
          <w:t>10</w:t>
        </w:r>
      </w:hyperlink>
      <w:r>
        <w:rPr>
          <w:spacing w:val="-5"/>
          <w:position w:val="5"/>
          <w:sz w:val="14"/>
        </w:rPr>
        <w:t>.</w:t>
      </w:r>
      <w:r>
        <w:rPr>
          <w:position w:val="5"/>
          <w:sz w:val="14"/>
        </w:rPr>
        <w:tab/>
      </w:r>
      <w:r>
        <w:rPr/>
        <w:t>Below,</w:t>
      </w:r>
      <w:r>
        <w:rPr>
          <w:spacing w:val="-2"/>
        </w:rPr>
        <w:t> </w:t>
      </w:r>
      <w:r>
        <w:rPr/>
        <w:t>paras 30-017 et </w:t>
      </w:r>
      <w:r>
        <w:rPr>
          <w:spacing w:val="-4"/>
        </w:rPr>
        <w:t>seq.</w:t>
      </w:r>
    </w:p>
    <w:p>
      <w:pPr>
        <w:pStyle w:val="BodyText"/>
        <w:spacing w:before="8"/>
      </w:pPr>
    </w:p>
    <w:p>
      <w:pPr>
        <w:pStyle w:val="BodyText"/>
        <w:tabs>
          <w:tab w:pos="705" w:val="left" w:leader="none"/>
        </w:tabs>
        <w:spacing w:line="235" w:lineRule="auto"/>
        <w:ind w:left="705" w:right="168" w:hanging="541"/>
      </w:pPr>
      <w:bookmarkStart w:name="_bookmark21" w:id="23"/>
      <w:bookmarkEnd w:id="23"/>
      <w:r>
        <w:rPr/>
      </w:r>
      <w:hyperlink w:history="true" w:anchor="_bookmark10">
        <w:r>
          <w:rPr>
            <w:color w:val="005DA1"/>
            <w:spacing w:val="-4"/>
            <w:position w:val="5"/>
            <w:sz w:val="14"/>
            <w:u w:val="single" w:color="005DA1"/>
          </w:rPr>
          <w:t>11</w:t>
        </w:r>
      </w:hyperlink>
      <w:r>
        <w:rPr>
          <w:spacing w:val="-4"/>
          <w:position w:val="5"/>
          <w:sz w:val="14"/>
        </w:rPr>
        <w:t>.</w:t>
      </w:r>
      <w:r>
        <w:rPr>
          <w:position w:val="5"/>
          <w:sz w:val="14"/>
        </w:rPr>
        <w:tab/>
      </w:r>
      <w:r>
        <w:rPr/>
        <w:t>Below, paras 30-129 et seq. The reader considering either instrument is advised to consult the relevant passages relating to each one, in, respectively, sections 3 and 4.</w:t>
      </w:r>
    </w:p>
    <w:p>
      <w:pPr>
        <w:pStyle w:val="BodyText"/>
        <w:spacing w:before="6"/>
      </w:pPr>
    </w:p>
    <w:p>
      <w:pPr>
        <w:pStyle w:val="BodyText"/>
        <w:tabs>
          <w:tab w:pos="705" w:val="left" w:leader="none"/>
        </w:tabs>
        <w:ind w:left="165"/>
      </w:pPr>
      <w:bookmarkStart w:name="_bookmark22" w:id="24"/>
      <w:bookmarkEnd w:id="24"/>
      <w:r>
        <w:rPr/>
      </w:r>
      <w:hyperlink w:history="true" w:anchor="_bookmark11">
        <w:r>
          <w:rPr>
            <w:color w:val="005DA1"/>
            <w:spacing w:val="-5"/>
            <w:position w:val="5"/>
            <w:sz w:val="14"/>
            <w:u w:val="single" w:color="005DA1"/>
          </w:rPr>
          <w:t>12</w:t>
        </w:r>
      </w:hyperlink>
      <w:r>
        <w:rPr>
          <w:spacing w:val="-5"/>
          <w:position w:val="5"/>
          <w:sz w:val="14"/>
        </w:rPr>
        <w:t>.</w:t>
      </w:r>
      <w:r>
        <w:rPr>
          <w:position w:val="5"/>
          <w:sz w:val="14"/>
        </w:rPr>
        <w:tab/>
      </w:r>
      <w:r>
        <w:rPr/>
        <w:t>Below,</w:t>
      </w:r>
      <w:r>
        <w:rPr>
          <w:spacing w:val="-2"/>
        </w:rPr>
        <w:t> </w:t>
      </w:r>
      <w:r>
        <w:rPr/>
        <w:t>paras 30-304 et </w:t>
      </w:r>
      <w:r>
        <w:rPr>
          <w:spacing w:val="-4"/>
        </w:rPr>
        <w:t>seq.</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0" w:right="3" w:firstLine="0"/>
        <w:jc w:val="center"/>
        <w:rPr>
          <w:rFonts w:ascii="Arial"/>
          <w:b/>
          <w:position w:val="11"/>
          <w:sz w:val="12"/>
        </w:rPr>
      </w:pPr>
      <w:bookmarkStart w:name="_bookmark23" w:id="25"/>
      <w:bookmarkEnd w:id="25"/>
      <w:r>
        <w:rPr/>
      </w:r>
      <w:r>
        <w:rPr>
          <w:rFonts w:ascii="Arial"/>
          <w:b/>
          <w:sz w:val="24"/>
        </w:rPr>
        <w:t>Section 2. - Common Law: The Doctrine of the Proper Law of a Contract </w:t>
      </w:r>
      <w:r>
        <w:rPr>
          <w:rFonts w:ascii="Arial"/>
          <w:b/>
          <w:color w:val="005DA1"/>
          <w:spacing w:val="-5"/>
          <w:position w:val="11"/>
          <w:sz w:val="12"/>
          <w:u w:val="single" w:color="005DA1"/>
        </w:rPr>
        <w:t>13</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Statement of the </w:t>
      </w:r>
      <w:r>
        <w:rPr>
          <w:rFonts w:ascii="Arial"/>
          <w:b/>
          <w:spacing w:val="-2"/>
          <w:sz w:val="18"/>
        </w:rPr>
        <w:t>doctrine</w:t>
      </w:r>
    </w:p>
    <w:p>
      <w:pPr>
        <w:pStyle w:val="BodyText"/>
        <w:spacing w:before="41"/>
        <w:rPr>
          <w:rFonts w:ascii="Arial"/>
          <w:b/>
          <w:sz w:val="18"/>
        </w:rPr>
      </w:pPr>
    </w:p>
    <w:p>
      <w:pPr>
        <w:pStyle w:val="Heading2"/>
        <w:spacing w:before="1"/>
      </w:pPr>
      <w:r>
        <w:rPr/>
        <w:t>30-</w:t>
      </w:r>
      <w:r>
        <w:rPr>
          <w:spacing w:val="-5"/>
        </w:rPr>
        <w:t>005</w:t>
      </w:r>
    </w:p>
    <w:p>
      <w:pPr>
        <w:pStyle w:val="BodyText"/>
        <w:spacing w:line="235" w:lineRule="auto" w:before="202"/>
        <w:ind w:left="165" w:right="167"/>
        <w:jc w:val="both"/>
      </w:pPr>
      <w:bookmarkStart w:name="_bookmark24" w:id="26"/>
      <w:bookmarkEnd w:id="26"/>
      <w:r>
        <w:rPr/>
      </w:r>
      <w:r>
        <w:rPr/>
        <w:t>The modern approach to the problem of determining the proper law of a contract involved the need to </w:t>
      </w:r>
      <w:bookmarkStart w:name="_bookmark25" w:id="27"/>
      <w:bookmarkEnd w:id="27"/>
      <w:r>
        <w:rPr/>
        <w:t>examine</w:t>
      </w:r>
      <w:r>
        <w:rPr/>
        <w:t> three possible situations. </w:t>
      </w:r>
      <w:r>
        <w:rPr>
          <w:color w:val="005DA1"/>
          <w:u w:val="single" w:color="005DA1"/>
          <w:vertAlign w:val="superscript"/>
        </w:rPr>
        <w:t>14</w:t>
      </w:r>
      <w:r>
        <w:rPr>
          <w:color w:val="005DA1"/>
          <w:vertAlign w:val="baseline"/>
        </w:rPr>
        <w:t> </w:t>
      </w:r>
      <w:r>
        <w:rPr>
          <w:vertAlign w:val="baseline"/>
        </w:rPr>
        <w:t>If the parties had made an express choice of law in the </w:t>
      </w:r>
      <w:r>
        <w:rPr>
          <w:vertAlign w:val="baseline"/>
        </w:rPr>
        <w:t>contract itself,</w:t>
      </w:r>
      <w:r>
        <w:rPr>
          <w:spacing w:val="-2"/>
          <w:vertAlign w:val="baseline"/>
        </w:rPr>
        <w:t> </w:t>
      </w:r>
      <w:r>
        <w:rPr>
          <w:vertAlign w:val="baseline"/>
        </w:rPr>
        <w:t>then,</w:t>
      </w:r>
      <w:r>
        <w:rPr>
          <w:spacing w:val="-2"/>
          <w:vertAlign w:val="baseline"/>
        </w:rPr>
        <w:t> </w:t>
      </w:r>
      <w:r>
        <w:rPr>
          <w:vertAlign w:val="baseline"/>
        </w:rPr>
        <w:t>subject</w:t>
      </w:r>
      <w:r>
        <w:rPr>
          <w:spacing w:val="-2"/>
          <w:vertAlign w:val="baseline"/>
        </w:rPr>
        <w:t> </w:t>
      </w:r>
      <w:r>
        <w:rPr>
          <w:vertAlign w:val="baseline"/>
        </w:rPr>
        <w:t>to</w:t>
      </w:r>
      <w:r>
        <w:rPr>
          <w:spacing w:val="-2"/>
          <w:vertAlign w:val="baseline"/>
        </w:rPr>
        <w:t> </w:t>
      </w:r>
      <w:r>
        <w:rPr>
          <w:vertAlign w:val="baseline"/>
        </w:rPr>
        <w:t>certain</w:t>
      </w:r>
      <w:r>
        <w:rPr>
          <w:spacing w:val="-2"/>
          <w:vertAlign w:val="baseline"/>
        </w:rPr>
        <w:t> </w:t>
      </w:r>
      <w:r>
        <w:rPr>
          <w:vertAlign w:val="baseline"/>
        </w:rPr>
        <w:t>limitations,</w:t>
      </w:r>
      <w:r>
        <w:rPr>
          <w:spacing w:val="-3"/>
          <w:vertAlign w:val="baseline"/>
        </w:rPr>
        <w:t> </w:t>
      </w:r>
      <w:r>
        <w:rPr>
          <w:color w:val="005DA1"/>
          <w:u w:val="single" w:color="005DA1"/>
          <w:vertAlign w:val="superscript"/>
        </w:rPr>
        <w:t>15</w:t>
      </w:r>
      <w:r>
        <w:rPr>
          <w:color w:val="005DA1"/>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that</w:t>
      </w:r>
      <w:r>
        <w:rPr>
          <w:spacing w:val="-2"/>
          <w:vertAlign w:val="baseline"/>
        </w:rPr>
        <w:t> </w:t>
      </w:r>
      <w:r>
        <w:rPr>
          <w:vertAlign w:val="baseline"/>
        </w:rPr>
        <w:t>they</w:t>
      </w:r>
      <w:r>
        <w:rPr>
          <w:spacing w:val="-2"/>
          <w:vertAlign w:val="baseline"/>
        </w:rPr>
        <w:t> </w:t>
      </w:r>
      <w:r>
        <w:rPr>
          <w:vertAlign w:val="baseline"/>
        </w:rPr>
        <w:t>had</w:t>
      </w:r>
      <w:r>
        <w:rPr>
          <w:spacing w:val="-2"/>
          <w:vertAlign w:val="baseline"/>
        </w:rPr>
        <w:t> </w:t>
      </w:r>
      <w:r>
        <w:rPr>
          <w:vertAlign w:val="baseline"/>
        </w:rPr>
        <w:t>chosen</w:t>
      </w:r>
      <w:r>
        <w:rPr>
          <w:spacing w:val="-2"/>
          <w:vertAlign w:val="baseline"/>
        </w:rPr>
        <w:t> </w:t>
      </w:r>
      <w:r>
        <w:rPr>
          <w:vertAlign w:val="baseline"/>
        </w:rPr>
        <w:t>would</w:t>
      </w:r>
      <w:r>
        <w:rPr>
          <w:spacing w:val="-2"/>
          <w:vertAlign w:val="baseline"/>
        </w:rPr>
        <w:t> </w:t>
      </w:r>
      <w:r>
        <w:rPr>
          <w:vertAlign w:val="baseline"/>
        </w:rPr>
        <w:t>govern.</w:t>
      </w:r>
      <w:r>
        <w:rPr>
          <w:spacing w:val="-2"/>
          <w:vertAlign w:val="baseline"/>
        </w:rPr>
        <w:t> </w:t>
      </w:r>
      <w:r>
        <w:rPr>
          <w:vertAlign w:val="baseline"/>
        </w:rPr>
        <w:t>If</w:t>
      </w:r>
      <w:r>
        <w:rPr>
          <w:spacing w:val="-2"/>
          <w:vertAlign w:val="baseline"/>
        </w:rPr>
        <w:t> </w:t>
      </w:r>
      <w:r>
        <w:rPr>
          <w:vertAlign w:val="baseline"/>
        </w:rPr>
        <w:t>there</w:t>
      </w:r>
      <w:r>
        <w:rPr>
          <w:spacing w:val="-2"/>
          <w:vertAlign w:val="baseline"/>
        </w:rPr>
        <w:t> </w:t>
      </w:r>
      <w:r>
        <w:rPr>
          <w:vertAlign w:val="baseline"/>
        </w:rPr>
        <w:t>was</w:t>
      </w:r>
      <w:r>
        <w:rPr>
          <w:spacing w:val="-2"/>
          <w:vertAlign w:val="baseline"/>
        </w:rPr>
        <w:t> </w:t>
      </w:r>
      <w:r>
        <w:rPr>
          <w:vertAlign w:val="baseline"/>
        </w:rPr>
        <w:t>no express choice, the court had to examine all the facts surrounding the contract to determine whether there was an inferred or implied choice of law by the parties. In the absence of any choice, express or implied, the court ceased to look for the intention of the parties (since they were presumed to have no </w:t>
      </w:r>
      <w:bookmarkStart w:name="_bookmark26" w:id="28"/>
      <w:bookmarkEnd w:id="28"/>
      <w:r>
        <w:rPr>
          <w:vertAlign w:val="baseline"/>
        </w:rPr>
        <w:t>intention</w:t>
      </w:r>
      <w:r>
        <w:rPr>
          <w:vertAlign w:val="baseline"/>
        </w:rPr>
        <w:t> on the point) and proceeded, on objective grounds, to determine and apply “the system of law with which the transaction has the closest and most real connection”. </w:t>
      </w:r>
      <w:r>
        <w:rPr>
          <w:color w:val="005DA1"/>
          <w:u w:val="single" w:color="005DA1"/>
          <w:vertAlign w:val="superscript"/>
        </w:rPr>
        <w:t>16</w:t>
      </w:r>
      <w:r>
        <w:rPr>
          <w:color w:val="005DA1"/>
          <w:vertAlign w:val="baseline"/>
        </w:rPr>
        <w:t> </w:t>
      </w:r>
      <w:r>
        <w:rPr>
          <w:vertAlign w:val="baseline"/>
        </w:rPr>
        <w:t>It was, however, often </w:t>
      </w:r>
      <w:bookmarkStart w:name="_bookmark27" w:id="29"/>
      <w:bookmarkEnd w:id="29"/>
      <w:r>
        <w:rPr>
          <w:vertAlign w:val="baseline"/>
        </w:rPr>
        <w:t>difficult</w:t>
      </w:r>
      <w:r>
        <w:rPr>
          <w:vertAlign w:val="baseline"/>
        </w:rPr>
        <w:t> to distinguish between the second and third approaches, i.e. implied choice and no choice, and the same decision could well be justified on either approach. </w:t>
      </w:r>
      <w:r>
        <w:rPr>
          <w:color w:val="005DA1"/>
          <w:u w:val="single" w:color="005DA1"/>
          <w:vertAlign w:val="superscript"/>
        </w:rPr>
        <w:t>17</w:t>
      </w:r>
      <w:r>
        <w:rPr>
          <w:color w:val="005DA1"/>
          <w:vertAlign w:val="baseline"/>
        </w:rPr>
        <w:t> </w:t>
      </w:r>
      <w:r>
        <w:rPr>
          <w:vertAlign w:val="baseline"/>
        </w:rPr>
        <w:t>What was clear was that there </w:t>
      </w:r>
      <w:bookmarkStart w:name="_bookmark28" w:id="30"/>
      <w:bookmarkEnd w:id="30"/>
      <w:r>
        <w:rPr>
          <w:vertAlign w:val="baseline"/>
        </w:rPr>
        <w:t>must</w:t>
      </w:r>
      <w:r>
        <w:rPr>
          <w:spacing w:val="-1"/>
          <w:vertAlign w:val="baseline"/>
        </w:rPr>
        <w:t> </w:t>
      </w:r>
      <w:r>
        <w:rPr>
          <w:vertAlign w:val="baseline"/>
        </w:rPr>
        <w:t>be</w:t>
      </w:r>
      <w:r>
        <w:rPr>
          <w:spacing w:val="-1"/>
          <w:vertAlign w:val="baseline"/>
        </w:rPr>
        <w:t> </w:t>
      </w:r>
      <w:r>
        <w:rPr>
          <w:vertAlign w:val="baseline"/>
        </w:rPr>
        <w:t>a</w:t>
      </w:r>
      <w:r>
        <w:rPr>
          <w:spacing w:val="-1"/>
          <w:vertAlign w:val="baseline"/>
        </w:rPr>
        <w:t> </w:t>
      </w:r>
      <w:r>
        <w:rPr>
          <w:vertAlign w:val="baseline"/>
        </w:rPr>
        <w:t>proper</w:t>
      </w:r>
      <w:r>
        <w:rPr>
          <w:spacing w:val="-1"/>
          <w:vertAlign w:val="baseline"/>
        </w:rPr>
        <w:t> </w:t>
      </w:r>
      <w:r>
        <w:rPr>
          <w:vertAlign w:val="baseline"/>
        </w:rPr>
        <w:t>law</w:t>
      </w:r>
      <w:r>
        <w:rPr>
          <w:spacing w:val="-1"/>
          <w:vertAlign w:val="baseline"/>
        </w:rPr>
        <w:t> </w:t>
      </w:r>
      <w:r>
        <w:rPr>
          <w:vertAlign w:val="baseline"/>
        </w:rPr>
        <w:t>and</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possible</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which</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governed</w:t>
      </w:r>
      <w:r>
        <w:rPr>
          <w:spacing w:val="-1"/>
          <w:vertAlign w:val="baseline"/>
        </w:rPr>
        <w:t> </w:t>
      </w:r>
      <w:r>
        <w:rPr>
          <w:vertAlign w:val="baseline"/>
        </w:rPr>
        <w:t>by</w:t>
      </w:r>
      <w:r>
        <w:rPr>
          <w:spacing w:val="-1"/>
          <w:vertAlign w:val="baseline"/>
        </w:rPr>
        <w:t> </w:t>
      </w:r>
      <w:r>
        <w:rPr>
          <w:vertAlign w:val="baseline"/>
        </w:rPr>
        <w:t>some </w:t>
      </w:r>
      <w:bookmarkStart w:name="_bookmark29" w:id="31"/>
      <w:bookmarkEnd w:id="31"/>
      <w:r>
        <w:rPr>
          <w:vertAlign w:val="baseline"/>
        </w:rPr>
        <w:t>system</w:t>
      </w:r>
      <w:r>
        <w:rPr>
          <w:spacing w:val="-2"/>
          <w:vertAlign w:val="baseline"/>
        </w:rPr>
        <w:t> </w:t>
      </w:r>
      <w:r>
        <w:rPr>
          <w:vertAlign w:val="baseline"/>
        </w:rPr>
        <w:t>of</w:t>
      </w:r>
      <w:r>
        <w:rPr>
          <w:spacing w:val="-2"/>
          <w:vertAlign w:val="baseline"/>
        </w:rPr>
        <w:t> </w:t>
      </w:r>
      <w:r>
        <w:rPr>
          <w:vertAlign w:val="baseline"/>
        </w:rPr>
        <w:t>private</w:t>
      </w:r>
      <w:r>
        <w:rPr>
          <w:spacing w:val="-2"/>
          <w:vertAlign w:val="baseline"/>
        </w:rPr>
        <w:t> </w:t>
      </w:r>
      <w:r>
        <w:rPr>
          <w:vertAlign w:val="baseline"/>
        </w:rPr>
        <w:t>law.</w:t>
      </w:r>
      <w:r>
        <w:rPr>
          <w:spacing w:val="-2"/>
          <w:vertAlign w:val="baseline"/>
        </w:rPr>
        <w:t> </w:t>
      </w:r>
      <w:r>
        <w:rPr>
          <w:color w:val="005DA1"/>
          <w:u w:val="single" w:color="005DA1"/>
          <w:vertAlign w:val="superscript"/>
        </w:rPr>
        <w:t>18</w:t>
      </w:r>
      <w:r>
        <w:rPr>
          <w:color w:val="005DA1"/>
          <w:spacing w:val="-2"/>
          <w:vertAlign w:val="baseline"/>
        </w:rPr>
        <w:t> </w:t>
      </w:r>
      <w:r>
        <w:rPr>
          <w:vertAlign w:val="baseline"/>
        </w:rPr>
        <w:t>Furthermore,</w:t>
      </w:r>
      <w:r>
        <w:rPr>
          <w:spacing w:val="-2"/>
          <w:vertAlign w:val="baseline"/>
        </w:rPr>
        <w:t> </w:t>
      </w:r>
      <w:r>
        <w:rPr>
          <w:vertAlign w:val="baseline"/>
        </w:rPr>
        <w:t>there</w:t>
      </w:r>
      <w:r>
        <w:rPr>
          <w:spacing w:val="-2"/>
          <w:vertAlign w:val="baseline"/>
        </w:rPr>
        <w:t> </w:t>
      </w:r>
      <w:r>
        <w:rPr>
          <w:vertAlign w:val="baseline"/>
        </w:rPr>
        <w:t>had</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a</w:t>
      </w:r>
      <w:r>
        <w:rPr>
          <w:spacing w:val="-2"/>
          <w:vertAlign w:val="baseline"/>
        </w:rPr>
        <w:t> </w:t>
      </w:r>
      <w:r>
        <w:rPr>
          <w:vertAlign w:val="baseline"/>
        </w:rPr>
        <w:t>proper</w:t>
      </w:r>
      <w:r>
        <w:rPr>
          <w:spacing w:val="-2"/>
          <w:vertAlign w:val="baseline"/>
        </w:rPr>
        <w:t> </w:t>
      </w:r>
      <w:r>
        <w:rPr>
          <w:vertAlign w:val="baseline"/>
        </w:rPr>
        <w:t>law</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time</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was </w:t>
      </w:r>
      <w:bookmarkStart w:name="_bookmark30" w:id="32"/>
      <w:bookmarkEnd w:id="32"/>
      <w:r>
        <w:rPr>
          <w:vertAlign w:val="baseline"/>
        </w:rPr>
        <w:t>made.</w:t>
      </w:r>
      <w:r>
        <w:rPr>
          <w:vertAlign w:val="baseline"/>
        </w:rPr>
        <w:t> </w:t>
      </w:r>
      <w:r>
        <w:rPr>
          <w:color w:val="005DA1"/>
          <w:u w:val="single" w:color="005DA1"/>
          <w:vertAlign w:val="superscript"/>
        </w:rPr>
        <w:t>19</w:t>
      </w:r>
      <w:r>
        <w:rPr>
          <w:color w:val="005DA1"/>
          <w:vertAlign w:val="baseline"/>
        </w:rPr>
        <w:t> </w:t>
      </w:r>
      <w:r>
        <w:rPr>
          <w:vertAlign w:val="baseline"/>
        </w:rPr>
        <w:t>There could not be a proper law which “floats”, i.e. is not identified when the contract was made but which was left to be determined later by the unilateral act of one of the parties. </w:t>
      </w:r>
      <w:r>
        <w:rPr>
          <w:color w:val="005DA1"/>
          <w:u w:val="single" w:color="005DA1"/>
          <w:vertAlign w:val="superscript"/>
        </w:rPr>
        <w:t>20</w:t>
      </w:r>
      <w:r>
        <w:rPr>
          <w:color w:val="005DA1"/>
          <w:vertAlign w:val="baseline"/>
        </w:rPr>
        <w:t> </w:t>
      </w:r>
      <w:r>
        <w:rPr>
          <w:vertAlign w:val="baseline"/>
        </w:rPr>
        <w:t>In </w:t>
      </w:r>
      <w:bookmarkStart w:name="_bookmark31" w:id="33"/>
      <w:bookmarkEnd w:id="33"/>
      <w:r>
        <w:rPr>
          <w:vertAlign w:val="baseline"/>
        </w:rPr>
        <w:t>determining</w:t>
      </w:r>
      <w:r>
        <w:rPr>
          <w:vertAlign w:val="baseline"/>
        </w:rPr>
        <w:t> the governing law at the time the contract was made, conduct or events subsequent to that date could not be taken into account. </w:t>
      </w:r>
      <w:r>
        <w:rPr>
          <w:color w:val="005DA1"/>
          <w:u w:val="single" w:color="005DA1"/>
          <w:vertAlign w:val="superscript"/>
        </w:rPr>
        <w:t>21</w:t>
      </w:r>
      <w:r>
        <w:rPr>
          <w:color w:val="005DA1"/>
          <w:vertAlign w:val="baseline"/>
        </w:rPr>
        <w:t> </w:t>
      </w:r>
      <w:r>
        <w:rPr>
          <w:vertAlign w:val="baseline"/>
        </w:rPr>
        <w:t>A contract could, however, validly provide for two proper </w:t>
      </w:r>
      <w:bookmarkStart w:name="_bookmark32" w:id="34"/>
      <w:bookmarkEnd w:id="34"/>
      <w:r>
        <w:rPr>
          <w:vertAlign w:val="baseline"/>
        </w:rPr>
        <w:t>laws,</w:t>
      </w:r>
      <w:r>
        <w:rPr>
          <w:vertAlign w:val="baseline"/>
        </w:rPr>
        <w:t> the second to be applied if the event on which the application of the first depends was </w:t>
      </w:r>
      <w:bookmarkStart w:name="_bookmark33" w:id="35"/>
      <w:bookmarkEnd w:id="35"/>
      <w:r>
        <w:rPr>
          <w:vertAlign w:val="baseline"/>
        </w:rPr>
        <w:t>negatived.</w:t>
      </w:r>
      <w:r>
        <w:rPr>
          <w:vertAlign w:val="baseline"/>
        </w:rPr>
        <w:t> </w:t>
      </w:r>
      <w:r>
        <w:rPr>
          <w:color w:val="005DA1"/>
          <w:u w:val="single" w:color="005DA1"/>
          <w:vertAlign w:val="superscript"/>
        </w:rPr>
        <w:t>22</w:t>
      </w:r>
      <w:r>
        <w:rPr>
          <w:color w:val="005DA1"/>
          <w:vertAlign w:val="baseline"/>
        </w:rPr>
        <w:t> </w:t>
      </w:r>
      <w:r>
        <w:rPr>
          <w:vertAlign w:val="baseline"/>
        </w:rPr>
        <w:t>This would also support the view that the proper law could be changed by the parties during the currency of the contract. </w:t>
      </w:r>
      <w:r>
        <w:rPr>
          <w:color w:val="005DA1"/>
          <w:u w:val="single" w:color="005DA1"/>
          <w:vertAlign w:val="superscript"/>
        </w:rPr>
        <w:t>23</w:t>
      </w:r>
    </w:p>
    <w:p>
      <w:pPr>
        <w:pStyle w:val="BodyText"/>
      </w:pPr>
    </w:p>
    <w:p>
      <w:pPr>
        <w:pStyle w:val="BodyText"/>
        <w:spacing w:before="32"/>
      </w:pPr>
    </w:p>
    <w:p>
      <w:pPr>
        <w:spacing w:before="0"/>
        <w:ind w:left="165" w:right="0" w:firstLine="0"/>
        <w:jc w:val="left"/>
        <w:rPr>
          <w:rFonts w:ascii="Arial"/>
          <w:b/>
          <w:sz w:val="18"/>
        </w:rPr>
      </w:pPr>
      <w:r>
        <w:rPr>
          <w:rFonts w:ascii="Arial"/>
          <w:b/>
          <w:sz w:val="18"/>
        </w:rPr>
        <w:t>Express choice of </w:t>
      </w:r>
      <w:r>
        <w:rPr>
          <w:rFonts w:ascii="Arial"/>
          <w:b/>
          <w:spacing w:val="-5"/>
          <w:sz w:val="18"/>
        </w:rPr>
        <w:t>law</w:t>
      </w:r>
    </w:p>
    <w:p>
      <w:pPr>
        <w:pStyle w:val="BodyText"/>
        <w:spacing w:before="41"/>
        <w:rPr>
          <w:rFonts w:ascii="Arial"/>
          <w:b/>
          <w:sz w:val="18"/>
        </w:rPr>
      </w:pPr>
    </w:p>
    <w:p>
      <w:pPr>
        <w:pStyle w:val="Heading2"/>
      </w:pPr>
      <w:r>
        <w:rPr/>
        <w:t>30-</w:t>
      </w:r>
      <w:r>
        <w:rPr>
          <w:spacing w:val="-5"/>
        </w:rPr>
        <w:t>006</w:t>
      </w:r>
    </w:p>
    <w:p>
      <w:pPr>
        <w:pStyle w:val="BodyText"/>
        <w:spacing w:line="235" w:lineRule="auto" w:before="203"/>
        <w:ind w:left="165" w:right="167"/>
        <w:jc w:val="both"/>
      </w:pPr>
      <w:bookmarkStart w:name="_bookmark34" w:id="36"/>
      <w:bookmarkEnd w:id="36"/>
      <w:r>
        <w:rPr/>
      </w:r>
      <w:r>
        <w:rPr/>
        <w:t>Determination of the proper law of the contract would not normally involve any difficulty if the parties had stipulated expressly which legal system was to apply to their agreement. </w:t>
      </w:r>
      <w:r>
        <w:rPr>
          <w:color w:val="005DA1"/>
          <w:u w:val="single" w:color="005DA1"/>
          <w:vertAlign w:val="superscript"/>
        </w:rPr>
        <w:t>24</w:t>
      </w:r>
      <w:r>
        <w:rPr>
          <w:color w:val="005DA1"/>
          <w:vertAlign w:val="baseline"/>
        </w:rPr>
        <w:t> </w:t>
      </w:r>
      <w:r>
        <w:rPr>
          <w:vertAlign w:val="baseline"/>
        </w:rPr>
        <w:t>Where it </w:t>
      </w:r>
      <w:r>
        <w:rPr>
          <w:vertAlign w:val="baseline"/>
        </w:rPr>
        <w:t>was concluded that the choice of law by the parties was meaningless, the express choice would be</w:t>
      </w:r>
      <w:r>
        <w:rPr>
          <w:spacing w:val="40"/>
          <w:vertAlign w:val="baseline"/>
        </w:rPr>
        <w:t> </w:t>
      </w:r>
      <w:bookmarkStart w:name="_bookmark35" w:id="37"/>
      <w:bookmarkEnd w:id="37"/>
      <w:r>
        <w:rPr>
          <w:vertAlign w:val="baseline"/>
        </w:rPr>
        <w:t>ignored</w:t>
      </w:r>
      <w:r>
        <w:rPr>
          <w:vertAlign w:val="baseline"/>
        </w:rPr>
        <w:t> and the proper law determined by reference to any implied choice or, failing that, the most closely connected system of law. </w:t>
      </w:r>
      <w:r>
        <w:rPr>
          <w:color w:val="005DA1"/>
          <w:u w:val="single" w:color="005DA1"/>
          <w:vertAlign w:val="superscript"/>
        </w:rPr>
        <w:t>25</w:t>
      </w:r>
      <w:r>
        <w:rPr>
          <w:color w:val="005DA1"/>
          <w:vertAlign w:val="baseline"/>
        </w:rPr>
        <w:t> </w:t>
      </w:r>
      <w:r>
        <w:rPr>
          <w:vertAlign w:val="baseline"/>
        </w:rPr>
        <w:t>An issue might arise as to the validity of the term which purported </w:t>
      </w:r>
      <w:bookmarkStart w:name="_bookmark36" w:id="38"/>
      <w:bookmarkEnd w:id="38"/>
      <w:r>
        <w:rPr>
          <w:vertAlign w:val="baseline"/>
        </w:rPr>
        <w:t>to</w:t>
      </w:r>
      <w:r>
        <w:rPr>
          <w:vertAlign w:val="baseline"/>
        </w:rPr>
        <w:t> choose the proper law. There was little direct authority on this issue. There was support of the </w:t>
      </w:r>
      <w:bookmarkStart w:name="_bookmark37" w:id="39"/>
      <w:bookmarkEnd w:id="39"/>
      <w:r>
        <w:rPr>
          <w:vertAlign w:val="baseline"/>
        </w:rPr>
        <w:t>application</w:t>
      </w:r>
      <w:r>
        <w:rPr>
          <w:vertAlign w:val="baseline"/>
        </w:rPr>
        <w:t> of English law as the law of the forum to the question, </w:t>
      </w:r>
      <w:r>
        <w:rPr>
          <w:color w:val="005DA1"/>
          <w:u w:val="single" w:color="005DA1"/>
          <w:vertAlign w:val="superscript"/>
        </w:rPr>
        <w:t>26</w:t>
      </w:r>
      <w:r>
        <w:rPr>
          <w:color w:val="005DA1"/>
          <w:vertAlign w:val="baseline"/>
        </w:rPr>
        <w:t> </w:t>
      </w:r>
      <w:r>
        <w:rPr>
          <w:vertAlign w:val="baseline"/>
        </w:rPr>
        <w:t>but the better view was to apply the law that would govern if the choice was valid. </w:t>
      </w:r>
      <w:r>
        <w:rPr>
          <w:color w:val="005DA1"/>
          <w:u w:val="single" w:color="005DA1"/>
          <w:vertAlign w:val="superscript"/>
        </w:rPr>
        <w:t>27</w:t>
      </w:r>
    </w:p>
    <w:p>
      <w:pPr>
        <w:pStyle w:val="BodyText"/>
      </w:pPr>
    </w:p>
    <w:p>
      <w:pPr>
        <w:pStyle w:val="BodyText"/>
        <w:spacing w:before="35"/>
      </w:pPr>
    </w:p>
    <w:p>
      <w:pPr>
        <w:spacing w:before="0"/>
        <w:ind w:left="165" w:right="0" w:firstLine="0"/>
        <w:jc w:val="left"/>
        <w:rPr>
          <w:rFonts w:ascii="Arial"/>
          <w:b/>
          <w:sz w:val="18"/>
        </w:rPr>
      </w:pPr>
      <w:r>
        <w:rPr>
          <w:rFonts w:ascii="Arial"/>
          <w:b/>
          <w:sz w:val="18"/>
        </w:rPr>
        <w:t>Limitations on power to choose: common </w:t>
      </w:r>
      <w:r>
        <w:rPr>
          <w:rFonts w:ascii="Arial"/>
          <w:b/>
          <w:spacing w:val="-5"/>
          <w:sz w:val="18"/>
        </w:rPr>
        <w:t>law</w:t>
      </w:r>
    </w:p>
    <w:p>
      <w:pPr>
        <w:pStyle w:val="BodyText"/>
        <w:spacing w:before="41"/>
        <w:rPr>
          <w:rFonts w:ascii="Arial"/>
          <w:b/>
          <w:sz w:val="18"/>
        </w:rPr>
      </w:pPr>
    </w:p>
    <w:p>
      <w:pPr>
        <w:pStyle w:val="Heading2"/>
        <w:spacing w:before="1"/>
      </w:pPr>
      <w:r>
        <w:rPr/>
        <w:t>30-</w:t>
      </w:r>
      <w:r>
        <w:rPr>
          <w:spacing w:val="-5"/>
        </w:rPr>
        <w:t>007</w:t>
      </w:r>
    </w:p>
    <w:p>
      <w:pPr>
        <w:pStyle w:val="BodyText"/>
        <w:spacing w:line="235" w:lineRule="auto" w:before="202"/>
        <w:ind w:left="165" w:right="167"/>
        <w:jc w:val="both"/>
      </w:pPr>
      <w:bookmarkStart w:name="_bookmark38" w:id="40"/>
      <w:bookmarkEnd w:id="40"/>
      <w:r>
        <w:rPr/>
      </w:r>
      <w:r>
        <w:rPr/>
        <w:t>The parties’ power to choose the proper law was limited, first, by virtue of an obscure judicial </w:t>
      </w:r>
      <w:r>
        <w:rPr/>
        <w:t>formula which</w:t>
      </w:r>
      <w:r>
        <w:rPr>
          <w:spacing w:val="23"/>
        </w:rPr>
        <w:t> </w:t>
      </w:r>
      <w:r>
        <w:rPr/>
        <w:t>required</w:t>
      </w:r>
      <w:r>
        <w:rPr>
          <w:spacing w:val="23"/>
        </w:rPr>
        <w:t> </w:t>
      </w:r>
      <w:r>
        <w:rPr/>
        <w:t>that</w:t>
      </w:r>
      <w:r>
        <w:rPr>
          <w:spacing w:val="23"/>
        </w:rPr>
        <w:t> </w:t>
      </w:r>
      <w:r>
        <w:rPr/>
        <w:t>the</w:t>
      </w:r>
      <w:r>
        <w:rPr>
          <w:spacing w:val="24"/>
        </w:rPr>
        <w:t> </w:t>
      </w:r>
      <w:r>
        <w:rPr/>
        <w:t>choice</w:t>
      </w:r>
      <w:r>
        <w:rPr>
          <w:spacing w:val="23"/>
        </w:rPr>
        <w:t> </w:t>
      </w:r>
      <w:r>
        <w:rPr/>
        <w:t>must</w:t>
      </w:r>
      <w:r>
        <w:rPr>
          <w:spacing w:val="23"/>
        </w:rPr>
        <w:t> </w:t>
      </w:r>
      <w:r>
        <w:rPr/>
        <w:t>be</w:t>
      </w:r>
      <w:r>
        <w:rPr>
          <w:spacing w:val="24"/>
        </w:rPr>
        <w:t> </w:t>
      </w:r>
      <w:r>
        <w:rPr/>
        <w:t>“bona</w:t>
      </w:r>
      <w:r>
        <w:rPr>
          <w:spacing w:val="23"/>
        </w:rPr>
        <w:t> </w:t>
      </w:r>
      <w:r>
        <w:rPr/>
        <w:t>fide</w:t>
      </w:r>
      <w:r>
        <w:rPr>
          <w:spacing w:val="23"/>
        </w:rPr>
        <w:t> </w:t>
      </w:r>
      <w:r>
        <w:rPr/>
        <w:t>and</w:t>
      </w:r>
      <w:r>
        <w:rPr>
          <w:spacing w:val="24"/>
        </w:rPr>
        <w:t> </w:t>
      </w:r>
      <w:r>
        <w:rPr/>
        <w:t>legal”.</w:t>
      </w:r>
      <w:r>
        <w:rPr>
          <w:spacing w:val="22"/>
        </w:rPr>
        <w:t> </w:t>
      </w:r>
      <w:r>
        <w:rPr>
          <w:color w:val="005DA1"/>
          <w:u w:val="single" w:color="005DA1"/>
          <w:vertAlign w:val="superscript"/>
        </w:rPr>
        <w:t>28</w:t>
      </w:r>
      <w:r>
        <w:rPr>
          <w:color w:val="005DA1"/>
          <w:spacing w:val="23"/>
          <w:vertAlign w:val="baseline"/>
        </w:rPr>
        <w:t> </w:t>
      </w:r>
      <w:r>
        <w:rPr>
          <w:vertAlign w:val="baseline"/>
        </w:rPr>
        <w:t>The</w:t>
      </w:r>
      <w:r>
        <w:rPr>
          <w:spacing w:val="24"/>
          <w:vertAlign w:val="baseline"/>
        </w:rPr>
        <w:t> </w:t>
      </w:r>
      <w:r>
        <w:rPr>
          <w:vertAlign w:val="baseline"/>
        </w:rPr>
        <w:t>possible</w:t>
      </w:r>
      <w:r>
        <w:rPr>
          <w:spacing w:val="23"/>
          <w:vertAlign w:val="baseline"/>
        </w:rPr>
        <w:t> </w:t>
      </w:r>
      <w:r>
        <w:rPr>
          <w:vertAlign w:val="baseline"/>
        </w:rPr>
        <w:t>effect</w:t>
      </w:r>
      <w:r>
        <w:rPr>
          <w:spacing w:val="23"/>
          <w:vertAlign w:val="baseline"/>
        </w:rPr>
        <w:t> </w:t>
      </w:r>
      <w:r>
        <w:rPr>
          <w:vertAlign w:val="baseline"/>
        </w:rPr>
        <w:t>of</w:t>
      </w:r>
      <w:r>
        <w:rPr>
          <w:spacing w:val="24"/>
          <w:vertAlign w:val="baseline"/>
        </w:rPr>
        <w:t> </w:t>
      </w:r>
      <w:r>
        <w:rPr>
          <w:vertAlign w:val="baseline"/>
        </w:rPr>
        <w:t>this</w:t>
      </w:r>
      <w:r>
        <w:rPr>
          <w:spacing w:val="23"/>
          <w:vertAlign w:val="baseline"/>
        </w:rPr>
        <w:t> </w:t>
      </w:r>
      <w:r>
        <w:rPr>
          <w:spacing w:val="-2"/>
          <w:vertAlign w:val="baseline"/>
        </w:rPr>
        <w:t>formula</w:t>
      </w:r>
    </w:p>
    <w:p>
      <w:pPr>
        <w:pStyle w:val="BodyText"/>
        <w:spacing w:after="0" w:line="235" w:lineRule="auto"/>
        <w:jc w:val="both"/>
        <w:sectPr>
          <w:headerReference w:type="default" r:id="rId7"/>
          <w:pgSz w:w="11900" w:h="16840"/>
          <w:pgMar w:header="971" w:footer="0" w:top="1300" w:bottom="280" w:left="1275" w:right="1275"/>
          <w:pgNumType w:start="1"/>
        </w:sectPr>
      </w:pPr>
    </w:p>
    <w:p>
      <w:pPr>
        <w:pStyle w:val="BodyText"/>
        <w:spacing w:before="106"/>
        <w:ind w:left="165"/>
        <w:jc w:val="both"/>
      </w:pPr>
      <w:r>
        <w:rPr/>
        <w:t>(which has never been applied in England to strike down a choice of law) </w:t>
      </w:r>
      <w:r>
        <w:rPr>
          <w:spacing w:val="-4"/>
        </w:rPr>
        <w:t>was:</w:t>
      </w:r>
    </w:p>
    <w:p>
      <w:pPr>
        <w:pStyle w:val="BodyText"/>
      </w:pPr>
    </w:p>
    <w:p>
      <w:pPr>
        <w:pStyle w:val="BodyText"/>
        <w:spacing w:before="126"/>
      </w:pPr>
    </w:p>
    <w:p>
      <w:pPr>
        <w:pStyle w:val="BodyText"/>
        <w:spacing w:line="235" w:lineRule="auto"/>
        <w:ind w:left="1245" w:right="167"/>
        <w:jc w:val="both"/>
      </w:pPr>
      <w:r>
        <w:rPr/>
        <w:t>“… that the parties cannot pretend to contract under one law in order to validate an agreement that clearly has its closest connection with another law. If, after </w:t>
      </w:r>
      <w:r>
        <w:rPr/>
        <w:t>having discovered</w:t>
      </w:r>
      <w:r>
        <w:rPr>
          <w:spacing w:val="-1"/>
        </w:rPr>
        <w:t> </w:t>
      </w:r>
      <w:r>
        <w:rPr/>
        <w:t>that</w:t>
      </w:r>
      <w:r>
        <w:rPr>
          <w:spacing w:val="-1"/>
        </w:rPr>
        <w:t> </w:t>
      </w:r>
      <w:r>
        <w:rPr/>
        <w:t>one</w:t>
      </w:r>
      <w:r>
        <w:rPr>
          <w:spacing w:val="-1"/>
        </w:rPr>
        <w:t> </w:t>
      </w:r>
      <w:r>
        <w:rPr/>
        <w:t>particular</w:t>
      </w:r>
      <w:r>
        <w:rPr>
          <w:spacing w:val="-1"/>
        </w:rPr>
        <w:t> </w:t>
      </w:r>
      <w:r>
        <w:rPr/>
        <w:t>provision</w:t>
      </w:r>
      <w:r>
        <w:rPr>
          <w:spacing w:val="-1"/>
        </w:rPr>
        <w:t> </w:t>
      </w:r>
      <w:r>
        <w:rPr/>
        <w:t>was</w:t>
      </w:r>
      <w:r>
        <w:rPr>
          <w:spacing w:val="-1"/>
        </w:rPr>
        <w:t> </w:t>
      </w:r>
      <w:r>
        <w:rPr/>
        <w:t>void</w:t>
      </w:r>
      <w:r>
        <w:rPr>
          <w:spacing w:val="-1"/>
        </w:rPr>
        <w:t> </w:t>
      </w:r>
      <w:r>
        <w:rPr/>
        <w:t>under</w:t>
      </w:r>
      <w:r>
        <w:rPr>
          <w:spacing w:val="-1"/>
        </w:rPr>
        <w:t> </w:t>
      </w:r>
      <w:r>
        <w:rPr/>
        <w:t>the</w:t>
      </w:r>
      <w:r>
        <w:rPr>
          <w:spacing w:val="-1"/>
        </w:rPr>
        <w:t> </w:t>
      </w:r>
      <w:r>
        <w:rPr/>
        <w:t>proper</w:t>
      </w:r>
      <w:r>
        <w:rPr>
          <w:spacing w:val="-1"/>
        </w:rPr>
        <w:t> </w:t>
      </w:r>
      <w:r>
        <w:rPr/>
        <w:t>law,</w:t>
      </w:r>
      <w:r>
        <w:rPr>
          <w:spacing w:val="-1"/>
        </w:rPr>
        <w:t> </w:t>
      </w:r>
      <w:r>
        <w:rPr/>
        <w:t>they</w:t>
      </w:r>
      <w:r>
        <w:rPr>
          <w:spacing w:val="-1"/>
        </w:rPr>
        <w:t> </w:t>
      </w:r>
      <w:r>
        <w:rPr/>
        <w:t>were</w:t>
      </w:r>
      <w:r>
        <w:rPr>
          <w:spacing w:val="-1"/>
        </w:rPr>
        <w:t> </w:t>
      </w:r>
      <w:r>
        <w:rPr/>
        <w:t>to</w:t>
      </w:r>
      <w:r>
        <w:rPr>
          <w:spacing w:val="-1"/>
        </w:rPr>
        <w:t> </w:t>
      </w:r>
      <w:r>
        <w:rPr/>
        <w:t>try</w:t>
      </w:r>
      <w:r>
        <w:rPr>
          <w:spacing w:val="-1"/>
        </w:rPr>
        <w:t> </w:t>
      </w:r>
      <w:r>
        <w:rPr/>
        <w:t>to evade its consequences by claiming that the provision was subject to another legal </w:t>
      </w:r>
      <w:bookmarkStart w:name="_bookmark39" w:id="41"/>
      <w:bookmarkEnd w:id="41"/>
      <w:r>
        <w:rPr/>
        <w:t>system,</w:t>
      </w:r>
      <w:r>
        <w:rPr/>
        <w:t> their claim should not be considered as a bona fide expression of their intentions.” </w:t>
      </w:r>
      <w:r>
        <w:rPr>
          <w:color w:val="005DA1"/>
          <w:u w:val="single" w:color="005DA1"/>
          <w:vertAlign w:val="superscript"/>
        </w:rPr>
        <w:t>29</w:t>
      </w:r>
    </w:p>
    <w:p>
      <w:pPr>
        <w:pStyle w:val="BodyText"/>
        <w:spacing w:before="114"/>
      </w:pPr>
    </w:p>
    <w:p>
      <w:pPr>
        <w:pStyle w:val="BodyText"/>
        <w:spacing w:line="235" w:lineRule="auto" w:before="1"/>
        <w:ind w:left="165" w:right="167"/>
        <w:jc w:val="both"/>
      </w:pPr>
      <w:bookmarkStart w:name="_bookmark40" w:id="42"/>
      <w:bookmarkEnd w:id="42"/>
      <w:r>
        <w:rPr/>
      </w:r>
      <w:r>
        <w:rPr/>
        <w:t>Secondly, it was said “that there must be no reason for avoiding [the choice] on the ground of public </w:t>
      </w:r>
      <w:bookmarkStart w:name="_bookmark41" w:id="43"/>
      <w:bookmarkEnd w:id="43"/>
      <w:r>
        <w:rPr/>
        <w:t>policy”,</w:t>
      </w:r>
      <w:r>
        <w:rPr/>
        <w:t> </w:t>
      </w:r>
      <w:r>
        <w:rPr>
          <w:color w:val="005DA1"/>
          <w:u w:val="single" w:color="005DA1"/>
          <w:vertAlign w:val="superscript"/>
        </w:rPr>
        <w:t>30</w:t>
      </w:r>
      <w:r>
        <w:rPr>
          <w:color w:val="005DA1"/>
          <w:vertAlign w:val="baseline"/>
        </w:rPr>
        <w:t> </w:t>
      </w:r>
      <w:r>
        <w:rPr>
          <w:vertAlign w:val="baseline"/>
        </w:rPr>
        <w:t>a limitation which was merely an example of the general principle that a foreign law </w:t>
      </w:r>
      <w:r>
        <w:rPr>
          <w:vertAlign w:val="baseline"/>
        </w:rPr>
        <w:t>would not be enforced if it offended English public policy. </w:t>
      </w:r>
      <w:r>
        <w:rPr>
          <w:color w:val="005DA1"/>
          <w:u w:val="single" w:color="005DA1"/>
          <w:vertAlign w:val="superscript"/>
        </w:rPr>
        <w:t>31</w:t>
      </w:r>
      <w:r>
        <w:rPr>
          <w:color w:val="005DA1"/>
          <w:vertAlign w:val="baseline"/>
        </w:rPr>
        <w:t> </w:t>
      </w:r>
      <w:r>
        <w:rPr>
          <w:vertAlign w:val="baseline"/>
        </w:rPr>
        <w:t>Thirdly, it sometimes was suggested that some </w:t>
      </w:r>
      <w:bookmarkStart w:name="_bookmark42" w:id="44"/>
      <w:bookmarkEnd w:id="44"/>
      <w:r>
        <w:rPr>
          <w:vertAlign w:val="baseline"/>
        </w:rPr>
        <w:t>sort</w:t>
      </w:r>
      <w:r>
        <w:rPr>
          <w:spacing w:val="-2"/>
          <w:vertAlign w:val="baseline"/>
        </w:rPr>
        <w:t> </w:t>
      </w:r>
      <w:r>
        <w:rPr>
          <w:vertAlign w:val="baseline"/>
        </w:rPr>
        <w:t>of</w:t>
      </w:r>
      <w:r>
        <w:rPr>
          <w:spacing w:val="-2"/>
          <w:vertAlign w:val="baseline"/>
        </w:rPr>
        <w:t> </w:t>
      </w:r>
      <w:r>
        <w:rPr>
          <w:vertAlign w:val="baseline"/>
        </w:rPr>
        <w:t>connection</w:t>
      </w:r>
      <w:r>
        <w:rPr>
          <w:spacing w:val="-2"/>
          <w:vertAlign w:val="baseline"/>
        </w:rPr>
        <w:t> </w:t>
      </w:r>
      <w:r>
        <w:rPr>
          <w:vertAlign w:val="baseline"/>
        </w:rPr>
        <w:t>might</w:t>
      </w:r>
      <w:r>
        <w:rPr>
          <w:spacing w:val="-2"/>
          <w:vertAlign w:val="baseline"/>
        </w:rPr>
        <w:t> </w:t>
      </w:r>
      <w:r>
        <w:rPr>
          <w:vertAlign w:val="baseline"/>
        </w:rPr>
        <w:t>possibly</w:t>
      </w:r>
      <w:r>
        <w:rPr>
          <w:spacing w:val="-2"/>
          <w:vertAlign w:val="baseline"/>
        </w:rPr>
        <w:t> </w:t>
      </w:r>
      <w:r>
        <w:rPr>
          <w:vertAlign w:val="baseline"/>
        </w:rPr>
        <w:t>have</w:t>
      </w:r>
      <w:r>
        <w:rPr>
          <w:spacing w:val="-2"/>
          <w:vertAlign w:val="baseline"/>
        </w:rPr>
        <w:t> </w:t>
      </w:r>
      <w:r>
        <w:rPr>
          <w:vertAlign w:val="baseline"/>
        </w:rPr>
        <w:t>to</w:t>
      </w:r>
      <w:r>
        <w:rPr>
          <w:spacing w:val="-2"/>
          <w:vertAlign w:val="baseline"/>
        </w:rPr>
        <w:t> </w:t>
      </w:r>
      <w:r>
        <w:rPr>
          <w:vertAlign w:val="baseline"/>
        </w:rPr>
        <w:t>exist</w:t>
      </w:r>
      <w:r>
        <w:rPr>
          <w:spacing w:val="-2"/>
          <w:vertAlign w:val="baseline"/>
        </w:rPr>
        <w:t> </w:t>
      </w:r>
      <w:r>
        <w:rPr>
          <w:vertAlign w:val="baseline"/>
        </w:rPr>
        <w:t>between</w:t>
      </w:r>
      <w:r>
        <w:rPr>
          <w:spacing w:val="-2"/>
          <w:vertAlign w:val="baseline"/>
        </w:rPr>
        <w:t> </w:t>
      </w:r>
      <w:r>
        <w:rPr>
          <w:vertAlign w:val="baseline"/>
        </w:rPr>
        <w:t>the</w:t>
      </w:r>
      <w:r>
        <w:rPr>
          <w:spacing w:val="-2"/>
          <w:vertAlign w:val="baseline"/>
        </w:rPr>
        <w:t> </w:t>
      </w:r>
      <w:r>
        <w:rPr>
          <w:vertAlign w:val="baseline"/>
        </w:rPr>
        <w:t>transaction</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chosen</w:t>
      </w:r>
      <w:r>
        <w:rPr>
          <w:spacing w:val="-2"/>
          <w:vertAlign w:val="baseline"/>
        </w:rPr>
        <w:t> </w:t>
      </w:r>
      <w:r>
        <w:rPr>
          <w:vertAlign w:val="baseline"/>
        </w:rPr>
        <w:t>system</w:t>
      </w:r>
      <w:r>
        <w:rPr>
          <w:spacing w:val="-2"/>
          <w:vertAlign w:val="baseline"/>
        </w:rPr>
        <w:t> </w:t>
      </w:r>
      <w:r>
        <w:rPr>
          <w:vertAlign w:val="baseline"/>
        </w:rPr>
        <w:t>of</w:t>
      </w:r>
      <w:r>
        <w:rPr>
          <w:spacing w:val="-2"/>
          <w:vertAlign w:val="baseline"/>
        </w:rPr>
        <w:t> </w:t>
      </w:r>
      <w:r>
        <w:rPr>
          <w:vertAlign w:val="baseline"/>
        </w:rPr>
        <w:t>law, other than the mere fact that that law was chosen. </w:t>
      </w:r>
      <w:r>
        <w:rPr>
          <w:color w:val="005DA1"/>
          <w:u w:val="single" w:color="005DA1"/>
          <w:vertAlign w:val="superscript"/>
        </w:rPr>
        <w:t>32</w:t>
      </w:r>
      <w:r>
        <w:rPr>
          <w:color w:val="005DA1"/>
          <w:vertAlign w:val="baseline"/>
        </w:rPr>
        <w:t> </w:t>
      </w:r>
      <w:r>
        <w:rPr>
          <w:vertAlign w:val="baseline"/>
        </w:rPr>
        <w:t>The better view appeared to be that no such </w:t>
      </w:r>
      <w:bookmarkStart w:name="_bookmark43" w:id="45"/>
      <w:bookmarkEnd w:id="45"/>
      <w:r>
        <w:rPr>
          <w:vertAlign w:val="baseline"/>
        </w:rPr>
        <w:t>connection</w:t>
      </w:r>
      <w:r>
        <w:rPr>
          <w:vertAlign w:val="baseline"/>
        </w:rPr>
        <w:t> need exist, though the absence of such a connection might be evidence that the choice of law was not “bona fide and legal” as described above. </w:t>
      </w:r>
      <w:r>
        <w:rPr>
          <w:color w:val="005DA1"/>
          <w:u w:val="single" w:color="005DA1"/>
          <w:vertAlign w:val="superscript"/>
        </w:rPr>
        <w:t>33</w:t>
      </w:r>
    </w:p>
    <w:p>
      <w:pPr>
        <w:pStyle w:val="BodyText"/>
      </w:pPr>
    </w:p>
    <w:p>
      <w:pPr>
        <w:pStyle w:val="BodyText"/>
        <w:spacing w:before="35"/>
      </w:pPr>
    </w:p>
    <w:p>
      <w:pPr>
        <w:spacing w:before="1"/>
        <w:ind w:left="165" w:right="0" w:firstLine="0"/>
        <w:jc w:val="both"/>
        <w:rPr>
          <w:rFonts w:ascii="Arial"/>
          <w:b/>
          <w:sz w:val="18"/>
        </w:rPr>
      </w:pPr>
      <w:r>
        <w:rPr>
          <w:rFonts w:ascii="Arial"/>
          <w:b/>
          <w:sz w:val="18"/>
        </w:rPr>
        <w:t>Statutory </w:t>
      </w:r>
      <w:r>
        <w:rPr>
          <w:rFonts w:ascii="Arial"/>
          <w:b/>
          <w:spacing w:val="-2"/>
          <w:sz w:val="18"/>
        </w:rPr>
        <w:t>limitations</w:t>
      </w:r>
    </w:p>
    <w:p>
      <w:pPr>
        <w:pStyle w:val="BodyText"/>
        <w:spacing w:before="41"/>
        <w:rPr>
          <w:rFonts w:ascii="Arial"/>
          <w:b/>
          <w:sz w:val="18"/>
        </w:rPr>
      </w:pPr>
    </w:p>
    <w:p>
      <w:pPr>
        <w:pStyle w:val="Heading2"/>
      </w:pPr>
      <w:r>
        <w:rPr/>
        <w:t>30-</w:t>
      </w:r>
      <w:r>
        <w:rPr>
          <w:spacing w:val="-5"/>
        </w:rPr>
        <w:t>008</w:t>
      </w:r>
    </w:p>
    <w:p>
      <w:pPr>
        <w:pStyle w:val="BodyText"/>
        <w:spacing w:line="235" w:lineRule="auto" w:before="202"/>
        <w:ind w:left="165" w:right="167"/>
        <w:jc w:val="both"/>
      </w:pPr>
      <w:r>
        <w:rPr/>
        <w:t>The power to choose a proper law could be restricted by statute. Thus, for example, the Unfair </w:t>
      </w:r>
      <w:bookmarkStart w:name="_bookmark44" w:id="46"/>
      <w:bookmarkEnd w:id="46"/>
      <w:r>
        <w:rPr/>
        <w:t>Contract</w:t>
      </w:r>
      <w:r>
        <w:rPr/>
        <w:t> Terms Act 1977 makes provision to prevent the use of choice of law clauses to evade </w:t>
      </w:r>
      <w:r>
        <w:rPr/>
        <w:t>the controls on exemption clauses imposed by the Act. </w:t>
      </w:r>
      <w:r>
        <w:rPr>
          <w:color w:val="005DA1"/>
          <w:u w:val="single" w:color="005DA1"/>
          <w:vertAlign w:val="superscript"/>
        </w:rPr>
        <w:t>34</w:t>
      </w:r>
      <w:r>
        <w:rPr>
          <w:color w:val="005DA1"/>
          <w:vertAlign w:val="baseline"/>
        </w:rPr>
        <w:t> </w:t>
      </w:r>
      <w:r>
        <w:rPr>
          <w:vertAlign w:val="baseline"/>
        </w:rPr>
        <w:t>The controls cannot be evaded by the choice of </w:t>
      </w:r>
      <w:bookmarkStart w:name="_bookmark45" w:id="47"/>
      <w:bookmarkEnd w:id="47"/>
      <w:r>
        <w:rPr>
          <w:vertAlign w:val="baseline"/>
        </w:rPr>
        <w:t>the</w:t>
      </w:r>
      <w:r>
        <w:rPr>
          <w:vertAlign w:val="baseline"/>
        </w:rPr>
        <w:t> law of a country outside the United Kingdom as the governing law, if the choice of law was imposed wholly or mainly to enable the party imposing it to evade the operation of the Act. </w:t>
      </w:r>
      <w:r>
        <w:rPr>
          <w:color w:val="005DA1"/>
          <w:u w:val="single" w:color="005DA1"/>
          <w:vertAlign w:val="superscript"/>
        </w:rPr>
        <w:t>35</w:t>
      </w:r>
      <w:r>
        <w:rPr>
          <w:color w:val="005DA1"/>
          <w:vertAlign w:val="baseline"/>
        </w:rPr>
        <w:t> </w:t>
      </w:r>
      <w:bookmarkStart w:name="_bookmark46" w:id="48"/>
      <w:bookmarkEnd w:id="48"/>
      <w:r>
        <w:rPr>
          <w:color w:val="005DA1"/>
          <w:w w:val="92"/>
          <w:vertAlign w:val="baseline"/>
        </w:rPr>
      </w:r>
      <w:r>
        <w:rPr>
          <w:vertAlign w:val="baseline"/>
        </w:rPr>
        <w:t>However, the controls in the 1977 Act do not apply where the law applicable to the contract is the law </w:t>
      </w:r>
      <w:bookmarkStart w:name="_bookmark47" w:id="49"/>
      <w:bookmarkEnd w:id="49"/>
      <w:r>
        <w:rPr>
          <w:vertAlign w:val="baseline"/>
        </w:rPr>
        <w:t>of</w:t>
      </w:r>
      <w:r>
        <w:rPr>
          <w:vertAlign w:val="baseline"/>
        </w:rPr>
        <w:t> a part of the United Kingdom only by reason of the choice of the parties, </w:t>
      </w:r>
      <w:r>
        <w:rPr>
          <w:color w:val="005DA1"/>
          <w:u w:val="single" w:color="005DA1"/>
          <w:vertAlign w:val="superscript"/>
        </w:rPr>
        <w:t>36</w:t>
      </w:r>
      <w:r>
        <w:rPr>
          <w:color w:val="005DA1"/>
          <w:vertAlign w:val="baseline"/>
        </w:rPr>
        <w:t> </w:t>
      </w:r>
      <w:r>
        <w:rPr>
          <w:vertAlign w:val="baseline"/>
        </w:rPr>
        <w:t>nor do they apply to “international supply contracts”. </w:t>
      </w:r>
      <w:r>
        <w:rPr>
          <w:color w:val="005DA1"/>
          <w:u w:val="single" w:color="005DA1"/>
          <w:vertAlign w:val="superscript"/>
        </w:rPr>
        <w:t>37</w:t>
      </w:r>
      <w:r>
        <w:rPr>
          <w:color w:val="005DA1"/>
          <w:vertAlign w:val="baseline"/>
        </w:rPr>
        <w:t> </w:t>
      </w:r>
      <w:r>
        <w:rPr>
          <w:vertAlign w:val="baseline"/>
        </w:rPr>
        <w:t>Not all English statutes which express stringent social policy</w:t>
      </w:r>
      <w:r>
        <w:rPr>
          <w:spacing w:val="40"/>
          <w:vertAlign w:val="baseline"/>
        </w:rPr>
        <w:t> </w:t>
      </w:r>
      <w:r>
        <w:rPr>
          <w:vertAlign w:val="baseline"/>
        </w:rPr>
        <w:t>contain (as does the Unfair Contract Terms Act) any indication as to whether their provisions override </w:t>
      </w:r>
      <w:bookmarkStart w:name="_bookmark48" w:id="50"/>
      <w:bookmarkEnd w:id="50"/>
      <w:r>
        <w:rPr>
          <w:vertAlign w:val="baseline"/>
        </w:rPr>
        <w:t>a</w:t>
      </w:r>
      <w:r>
        <w:rPr>
          <w:vertAlign w:val="baseline"/>
        </w:rPr>
        <w:t> choice of a foreign law. Whether any particular statute, or provision thereof, has such an effect ultimately depends on the construction of the statute. </w:t>
      </w:r>
      <w:r>
        <w:rPr>
          <w:color w:val="005DA1"/>
          <w:u w:val="single" w:color="005DA1"/>
          <w:vertAlign w:val="superscript"/>
        </w:rPr>
        <w:t>38</w:t>
      </w:r>
    </w:p>
    <w:p>
      <w:pPr>
        <w:pStyle w:val="BodyText"/>
      </w:pPr>
    </w:p>
    <w:p>
      <w:pPr>
        <w:pStyle w:val="BodyText"/>
        <w:spacing w:before="35"/>
      </w:pPr>
    </w:p>
    <w:p>
      <w:pPr>
        <w:spacing w:before="0"/>
        <w:ind w:left="165" w:right="0" w:firstLine="0"/>
        <w:jc w:val="left"/>
        <w:rPr>
          <w:rFonts w:ascii="Arial"/>
          <w:b/>
          <w:sz w:val="18"/>
        </w:rPr>
      </w:pPr>
      <w:bookmarkStart w:name="_bookmark49" w:id="51"/>
      <w:bookmarkEnd w:id="51"/>
      <w:r>
        <w:rPr/>
      </w:r>
      <w:r>
        <w:rPr>
          <w:rFonts w:ascii="Arial"/>
          <w:b/>
          <w:sz w:val="18"/>
        </w:rPr>
        <w:t>Incorporation by reference</w:t>
      </w:r>
      <w:r>
        <w:rPr>
          <w:rFonts w:ascii="Arial"/>
          <w:b/>
          <w:spacing w:val="-1"/>
          <w:sz w:val="18"/>
        </w:rPr>
        <w:t> </w:t>
      </w:r>
      <w:r>
        <w:rPr>
          <w:rFonts w:ascii="Arial"/>
          <w:b/>
          <w:color w:val="005DA1"/>
          <w:spacing w:val="-5"/>
          <w:sz w:val="18"/>
          <w:u w:val="single" w:color="005DA1"/>
          <w:vertAlign w:val="superscript"/>
        </w:rPr>
        <w:t>39</w:t>
      </w:r>
    </w:p>
    <w:p>
      <w:pPr>
        <w:pStyle w:val="BodyText"/>
        <w:spacing w:before="41"/>
        <w:rPr>
          <w:rFonts w:ascii="Arial"/>
          <w:b/>
          <w:sz w:val="18"/>
        </w:rPr>
      </w:pPr>
    </w:p>
    <w:p>
      <w:pPr>
        <w:pStyle w:val="Heading2"/>
      </w:pPr>
      <w:r>
        <w:rPr/>
        <w:t>30-</w:t>
      </w:r>
      <w:r>
        <w:rPr>
          <w:spacing w:val="-5"/>
        </w:rPr>
        <w:t>009</w:t>
      </w:r>
    </w:p>
    <w:p>
      <w:pPr>
        <w:pStyle w:val="BodyText"/>
        <w:spacing w:line="235" w:lineRule="auto" w:before="203"/>
        <w:ind w:left="164" w:right="167"/>
        <w:jc w:val="both"/>
      </w:pPr>
      <w:r>
        <w:rPr/>
        <w:t>There was a necessary distinction to be drawn between an express selection by the parties of the proper law to govern the whole contract and the incorporation into the contract of the provisions of some foreign legal system to govern some particular incident of the contract, such as the time </w:t>
      </w:r>
      <w:r>
        <w:rPr/>
        <w:t>at which property or risk should pass under a contract for the sale of goods. In these circumstances the provisions of the foreign law become terms of the contract and the reference to the foreign rules is a </w:t>
      </w:r>
      <w:bookmarkStart w:name="_bookmark50" w:id="52"/>
      <w:bookmarkEnd w:id="52"/>
      <w:r>
        <w:rPr/>
        <w:t>shorthand</w:t>
      </w:r>
      <w:r>
        <w:rPr/>
        <w:t> method of incorporating these rules into the contract rather than including a verbatim statement of the rules in the contract. </w:t>
      </w:r>
      <w:r>
        <w:rPr>
          <w:color w:val="005DA1"/>
          <w:u w:val="single" w:color="005DA1"/>
          <w:vertAlign w:val="superscript"/>
        </w:rPr>
        <w:t>40</w:t>
      </w:r>
      <w:r>
        <w:rPr>
          <w:color w:val="005DA1"/>
          <w:vertAlign w:val="baseline"/>
        </w:rPr>
        <w:t> </w:t>
      </w:r>
      <w:r>
        <w:rPr>
          <w:vertAlign w:val="baseline"/>
        </w:rPr>
        <w:t>Nevertheless, the question whether a rule of foreign law has been effectively incorporated is a matter for the proper law of the contract. The importance of the distinction</w:t>
      </w:r>
      <w:r>
        <w:rPr>
          <w:spacing w:val="-1"/>
          <w:vertAlign w:val="baseline"/>
        </w:rPr>
        <w:t> </w:t>
      </w:r>
      <w:r>
        <w:rPr>
          <w:vertAlign w:val="baseline"/>
        </w:rPr>
        <w:t>between</w:t>
      </w:r>
      <w:r>
        <w:rPr>
          <w:spacing w:val="-1"/>
          <w:vertAlign w:val="baseline"/>
        </w:rPr>
        <w:t> </w:t>
      </w:r>
      <w:r>
        <w:rPr>
          <w:vertAlign w:val="baseline"/>
        </w:rPr>
        <w:t>selection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proper</w:t>
      </w:r>
      <w:r>
        <w:rPr>
          <w:spacing w:val="-1"/>
          <w:vertAlign w:val="baseline"/>
        </w:rPr>
        <w:t> </w:t>
      </w:r>
      <w:r>
        <w:rPr>
          <w:vertAlign w:val="baseline"/>
        </w:rPr>
        <w:t>law</w:t>
      </w:r>
      <w:r>
        <w:rPr>
          <w:spacing w:val="-1"/>
          <w:vertAlign w:val="baseline"/>
        </w:rPr>
        <w:t> </w:t>
      </w:r>
      <w:r>
        <w:rPr>
          <w:vertAlign w:val="baseline"/>
        </w:rPr>
        <w:t>and</w:t>
      </w:r>
      <w:r>
        <w:rPr>
          <w:spacing w:val="-1"/>
          <w:vertAlign w:val="baseline"/>
        </w:rPr>
        <w:t> </w:t>
      </w:r>
      <w:r>
        <w:rPr>
          <w:vertAlign w:val="baseline"/>
        </w:rPr>
        <w:t>incorporation</w:t>
      </w:r>
      <w:r>
        <w:rPr>
          <w:spacing w:val="-1"/>
          <w:vertAlign w:val="baseline"/>
        </w:rPr>
        <w:t> </w:t>
      </w:r>
      <w:r>
        <w:rPr>
          <w:vertAlign w:val="baseline"/>
        </w:rPr>
        <w:t>of</w:t>
      </w:r>
      <w:r>
        <w:rPr>
          <w:spacing w:val="-1"/>
          <w:vertAlign w:val="baseline"/>
        </w:rPr>
        <w:t> </w:t>
      </w:r>
      <w:r>
        <w:rPr>
          <w:vertAlign w:val="baseline"/>
        </w:rPr>
        <w:t>provisions</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foreign</w:t>
      </w:r>
      <w:r>
        <w:rPr>
          <w:spacing w:val="-1"/>
          <w:vertAlign w:val="baseline"/>
        </w:rPr>
        <w:t> </w:t>
      </w:r>
      <w:r>
        <w:rPr>
          <w:vertAlign w:val="baseline"/>
        </w:rPr>
        <w:t>law</w:t>
      </w:r>
      <w:r>
        <w:rPr>
          <w:spacing w:val="-1"/>
          <w:vertAlign w:val="baseline"/>
        </w:rPr>
        <w:t> </w:t>
      </w:r>
      <w:r>
        <w:rPr>
          <w:vertAlign w:val="baseline"/>
        </w:rPr>
        <w:t>into</w:t>
      </w:r>
      <w:r>
        <w:rPr>
          <w:spacing w:val="-1"/>
          <w:vertAlign w:val="baseline"/>
        </w:rPr>
        <w:t> </w:t>
      </w:r>
      <w:r>
        <w:rPr>
          <w:vertAlign w:val="baseline"/>
        </w:rPr>
        <w:t>the contract by reference is seen most clearly where there is a change in the foreign law between the</w:t>
      </w:r>
      <w:r>
        <w:rPr>
          <w:spacing w:val="40"/>
          <w:vertAlign w:val="baseline"/>
        </w:rPr>
        <w:t> </w:t>
      </w:r>
      <w:bookmarkStart w:name="_bookmark51" w:id="53"/>
      <w:bookmarkEnd w:id="53"/>
      <w:r>
        <w:rPr>
          <w:vertAlign w:val="baseline"/>
        </w:rPr>
        <w:t>date</w:t>
      </w:r>
      <w:r>
        <w:rPr>
          <w:vertAlign w:val="baseline"/>
        </w:rPr>
        <w:t> of the contract and the time of the proceedings. The proper law selected is normally that of the country in question as existing from time to time with the changes that may befall it, </w:t>
      </w:r>
      <w:r>
        <w:rPr>
          <w:color w:val="005DA1"/>
          <w:u w:val="single" w:color="005DA1"/>
          <w:vertAlign w:val="superscript"/>
        </w:rPr>
        <w:t>41</w:t>
      </w:r>
      <w:r>
        <w:rPr>
          <w:color w:val="005DA1"/>
          <w:vertAlign w:val="baseline"/>
        </w:rPr>
        <w:t> </w:t>
      </w:r>
      <w:r>
        <w:rPr>
          <w:vertAlign w:val="baseline"/>
        </w:rPr>
        <w:t>whilst if the </w:t>
      </w:r>
      <w:bookmarkStart w:name="_bookmark52" w:id="54"/>
      <w:bookmarkEnd w:id="54"/>
      <w:r>
        <w:rPr>
          <w:vertAlign w:val="baseline"/>
        </w:rPr>
        <w:t>provisions</w:t>
      </w:r>
      <w:r>
        <w:rPr>
          <w:vertAlign w:val="baseline"/>
        </w:rPr>
        <w:t> of a foreign law are incorporated they become terms of the contract as at the date of incorporation even though such foreign provisions may later be repealed or amended. </w:t>
      </w:r>
      <w:r>
        <w:rPr>
          <w:color w:val="005DA1"/>
          <w:u w:val="single" w:color="005DA1"/>
          <w:vertAlign w:val="superscript"/>
        </w:rPr>
        <w:t>42</w:t>
      </w:r>
    </w:p>
    <w:p>
      <w:pPr>
        <w:pStyle w:val="BodyText"/>
      </w:pPr>
    </w:p>
    <w:p>
      <w:pPr>
        <w:pStyle w:val="BodyText"/>
        <w:spacing w:before="33"/>
      </w:pPr>
    </w:p>
    <w:p>
      <w:pPr>
        <w:spacing w:before="0"/>
        <w:ind w:left="165" w:right="0" w:firstLine="0"/>
        <w:jc w:val="left"/>
        <w:rPr>
          <w:rFonts w:ascii="Arial"/>
          <w:b/>
          <w:sz w:val="18"/>
        </w:rPr>
      </w:pPr>
      <w:r>
        <w:rPr>
          <w:rFonts w:ascii="Arial"/>
          <w:b/>
          <w:sz w:val="18"/>
        </w:rPr>
        <w:t>Implied choice of </w:t>
      </w:r>
      <w:r>
        <w:rPr>
          <w:rFonts w:ascii="Arial"/>
          <w:b/>
          <w:spacing w:val="-5"/>
          <w:sz w:val="18"/>
        </w:rPr>
        <w:t>law</w:t>
      </w:r>
    </w:p>
    <w:p>
      <w:pPr>
        <w:pStyle w:val="BodyText"/>
        <w:spacing w:before="41"/>
        <w:rPr>
          <w:rFonts w:ascii="Arial"/>
          <w:b/>
          <w:sz w:val="18"/>
        </w:rPr>
      </w:pPr>
    </w:p>
    <w:p>
      <w:pPr>
        <w:pStyle w:val="Heading2"/>
        <w:spacing w:before="1"/>
      </w:pPr>
      <w:r>
        <w:rPr/>
        <w:t>30-</w:t>
      </w:r>
      <w:r>
        <w:rPr>
          <w:spacing w:val="-5"/>
        </w:rPr>
        <w:t>010</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r>
        <w:rPr/>
        <w:t>Where there was no, or no valid, express choice of the proper law in the contract, the court </w:t>
      </w:r>
      <w:r>
        <w:rPr/>
        <w:t>might, </w:t>
      </w:r>
      <w:bookmarkStart w:name="_bookmark53" w:id="55"/>
      <w:bookmarkEnd w:id="55"/>
      <w:r>
        <w:rPr/>
        <w:t>nevertheless,</w:t>
      </w:r>
      <w:r>
        <w:rPr/>
        <w:t> be able to conclude that the parties had by implication (or by inference) come to an agreement </w:t>
      </w:r>
      <w:r>
        <w:rPr>
          <w:color w:val="005DA1"/>
          <w:u w:val="single" w:color="005DA1"/>
          <w:vertAlign w:val="superscript"/>
        </w:rPr>
        <w:t>43</w:t>
      </w:r>
      <w:r>
        <w:rPr>
          <w:color w:val="005DA1"/>
          <w:vertAlign w:val="baseline"/>
        </w:rPr>
        <w:t> </w:t>
      </w:r>
      <w:r>
        <w:rPr>
          <w:vertAlign w:val="baseline"/>
        </w:rPr>
        <w:t>as to what should be the proper law. </w:t>
      </w:r>
      <w:r>
        <w:rPr>
          <w:color w:val="005DA1"/>
          <w:u w:val="single" w:color="005DA1"/>
          <w:vertAlign w:val="superscript"/>
        </w:rPr>
        <w:t>44</w:t>
      </w:r>
      <w:r>
        <w:rPr>
          <w:color w:val="005DA1"/>
          <w:vertAlign w:val="baseline"/>
        </w:rPr>
        <w:t> </w:t>
      </w:r>
      <w:r>
        <w:rPr>
          <w:vertAlign w:val="baseline"/>
        </w:rPr>
        <w:t>Such an implication might be derived from a variety of factors surrounding the contract, the most usual being jurisdiction or arbitration clauses. If the parties agreed that the courts of a particular country should have jurisdiction over any claims</w:t>
      </w:r>
      <w:r>
        <w:rPr>
          <w:spacing w:val="40"/>
          <w:vertAlign w:val="baseline"/>
        </w:rPr>
        <w:t> </w:t>
      </w:r>
      <w:bookmarkStart w:name="_bookmark54" w:id="56"/>
      <w:bookmarkEnd w:id="56"/>
      <w:r>
        <w:rPr>
          <w:vertAlign w:val="baseline"/>
        </w:rPr>
        <w:t>made</w:t>
      </w:r>
      <w:r>
        <w:rPr>
          <w:vertAlign w:val="baseline"/>
        </w:rPr>
        <w:t> under the contract, that would give rise to a strong implication that the parties had chosen the law of that country as the proper law. </w:t>
      </w:r>
      <w:r>
        <w:rPr>
          <w:color w:val="005DA1"/>
          <w:u w:val="single" w:color="005DA1"/>
          <w:vertAlign w:val="superscript"/>
        </w:rPr>
        <w:t>45</w:t>
      </w:r>
      <w:r>
        <w:rPr>
          <w:color w:val="005DA1"/>
          <w:vertAlign w:val="baseline"/>
        </w:rPr>
        <w:t> </w:t>
      </w:r>
      <w:r>
        <w:rPr>
          <w:vertAlign w:val="baseline"/>
        </w:rPr>
        <w:t>Similarly, if the contract contained a clause whereby the </w:t>
      </w:r>
      <w:bookmarkStart w:name="_bookmark55" w:id="57"/>
      <w:bookmarkEnd w:id="57"/>
      <w:r>
        <w:rPr>
          <w:vertAlign w:val="baseline"/>
        </w:rPr>
        <w:t>parties</w:t>
      </w:r>
      <w:r>
        <w:rPr>
          <w:vertAlign w:val="baseline"/>
        </w:rPr>
        <w:t> agreed that any disputes shall be submitted to arbitration in a particular country, there was a powerful,</w:t>
      </w:r>
      <w:r>
        <w:rPr>
          <w:spacing w:val="-2"/>
          <w:vertAlign w:val="baseline"/>
        </w:rPr>
        <w:t> </w:t>
      </w:r>
      <w:r>
        <w:rPr>
          <w:color w:val="005DA1"/>
          <w:u w:val="single" w:color="005DA1"/>
          <w:vertAlign w:val="superscript"/>
        </w:rPr>
        <w:t>46</w:t>
      </w:r>
      <w:r>
        <w:rPr>
          <w:color w:val="005DA1"/>
          <w:spacing w:val="-2"/>
          <w:vertAlign w:val="baseline"/>
        </w:rPr>
        <w:t> </w:t>
      </w:r>
      <w:r>
        <w:rPr>
          <w:vertAlign w:val="baseline"/>
        </w:rPr>
        <w:t>though</w:t>
      </w:r>
      <w:r>
        <w:rPr>
          <w:spacing w:val="-2"/>
          <w:vertAlign w:val="baseline"/>
        </w:rPr>
        <w:t> </w:t>
      </w:r>
      <w:r>
        <w:rPr>
          <w:vertAlign w:val="baseline"/>
        </w:rPr>
        <w:t>not</w:t>
      </w:r>
      <w:r>
        <w:rPr>
          <w:spacing w:val="-2"/>
          <w:vertAlign w:val="baseline"/>
        </w:rPr>
        <w:t> </w:t>
      </w:r>
      <w:r>
        <w:rPr>
          <w:vertAlign w:val="baseline"/>
        </w:rPr>
        <w:t>conclusive,</w:t>
      </w:r>
      <w:r>
        <w:rPr>
          <w:spacing w:val="-2"/>
          <w:vertAlign w:val="baseline"/>
        </w:rPr>
        <w:t> </w:t>
      </w:r>
      <w:r>
        <w:rPr>
          <w:color w:val="005DA1"/>
          <w:u w:val="single" w:color="005DA1"/>
          <w:vertAlign w:val="superscript"/>
        </w:rPr>
        <w:t>47</w:t>
      </w:r>
      <w:r>
        <w:rPr>
          <w:color w:val="005DA1"/>
          <w:spacing w:val="-2"/>
          <w:vertAlign w:val="baseline"/>
        </w:rPr>
        <w:t> </w:t>
      </w:r>
      <w:r>
        <w:rPr>
          <w:vertAlign w:val="baseline"/>
        </w:rPr>
        <w:t>implication</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had</w:t>
      </w:r>
      <w:r>
        <w:rPr>
          <w:spacing w:val="-2"/>
          <w:vertAlign w:val="baseline"/>
        </w:rPr>
        <w:t> </w:t>
      </w:r>
      <w:r>
        <w:rPr>
          <w:vertAlign w:val="baseline"/>
        </w:rPr>
        <w:t>selected</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country</w:t>
      </w:r>
      <w:r>
        <w:rPr>
          <w:spacing w:val="-2"/>
          <w:vertAlign w:val="baseline"/>
        </w:rPr>
        <w:t> </w:t>
      </w:r>
      <w:r>
        <w:rPr>
          <w:vertAlign w:val="baseline"/>
        </w:rPr>
        <w:t>of arbitration</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proper</w:t>
      </w:r>
      <w:r>
        <w:rPr>
          <w:spacing w:val="-1"/>
          <w:vertAlign w:val="baseline"/>
        </w:rPr>
        <w:t> </w:t>
      </w:r>
      <w:r>
        <w:rPr>
          <w:vertAlign w:val="baseline"/>
        </w:rPr>
        <w:t>law.</w:t>
      </w:r>
      <w:r>
        <w:rPr>
          <w:spacing w:val="-1"/>
          <w:vertAlign w:val="baseline"/>
        </w:rPr>
        <w:t> </w:t>
      </w:r>
      <w:r>
        <w:rPr>
          <w:vertAlign w:val="baseline"/>
        </w:rPr>
        <w:t>A</w:t>
      </w:r>
      <w:r>
        <w:rPr>
          <w:spacing w:val="-1"/>
          <w:vertAlign w:val="baseline"/>
        </w:rPr>
        <w:t> </w:t>
      </w:r>
      <w:r>
        <w:rPr>
          <w:vertAlign w:val="baseline"/>
        </w:rPr>
        <w:t>variety</w:t>
      </w:r>
      <w:r>
        <w:rPr>
          <w:spacing w:val="-1"/>
          <w:vertAlign w:val="baseline"/>
        </w:rPr>
        <w:t> </w:t>
      </w:r>
      <w:r>
        <w:rPr>
          <w:vertAlign w:val="baseline"/>
        </w:rPr>
        <w:t>of</w:t>
      </w:r>
      <w:r>
        <w:rPr>
          <w:spacing w:val="-1"/>
          <w:vertAlign w:val="baseline"/>
        </w:rPr>
        <w:t> </w:t>
      </w:r>
      <w:r>
        <w:rPr>
          <w:vertAlign w:val="baseline"/>
        </w:rPr>
        <w:t>other</w:t>
      </w:r>
      <w:r>
        <w:rPr>
          <w:spacing w:val="-1"/>
          <w:vertAlign w:val="baseline"/>
        </w:rPr>
        <w:t> </w:t>
      </w:r>
      <w:r>
        <w:rPr>
          <w:vertAlign w:val="baseline"/>
        </w:rPr>
        <w:t>factors</w:t>
      </w:r>
      <w:r>
        <w:rPr>
          <w:spacing w:val="-1"/>
          <w:vertAlign w:val="baseline"/>
        </w:rPr>
        <w:t> </w:t>
      </w:r>
      <w:r>
        <w:rPr>
          <w:vertAlign w:val="baseline"/>
        </w:rPr>
        <w:t>could</w:t>
      </w:r>
      <w:r>
        <w:rPr>
          <w:spacing w:val="-1"/>
          <w:vertAlign w:val="baseline"/>
        </w:rPr>
        <w:t> </w:t>
      </w:r>
      <w:r>
        <w:rPr>
          <w:vertAlign w:val="baseline"/>
        </w:rPr>
        <w:t>also,</w:t>
      </w:r>
      <w:r>
        <w:rPr>
          <w:spacing w:val="-1"/>
          <w:vertAlign w:val="baseline"/>
        </w:rPr>
        <w:t> </w:t>
      </w:r>
      <w:r>
        <w:rPr>
          <w:vertAlign w:val="baseline"/>
        </w:rPr>
        <w:t>in</w:t>
      </w:r>
      <w:r>
        <w:rPr>
          <w:spacing w:val="-1"/>
          <w:vertAlign w:val="baseline"/>
        </w:rPr>
        <w:t> </w:t>
      </w:r>
      <w:r>
        <w:rPr>
          <w:vertAlign w:val="baseline"/>
        </w:rPr>
        <w:t>appropriate</w:t>
      </w:r>
      <w:r>
        <w:rPr>
          <w:spacing w:val="-1"/>
          <w:vertAlign w:val="baseline"/>
        </w:rPr>
        <w:t> </w:t>
      </w:r>
      <w:r>
        <w:rPr>
          <w:vertAlign w:val="baseline"/>
        </w:rPr>
        <w:t>cases,</w:t>
      </w:r>
      <w:r>
        <w:rPr>
          <w:spacing w:val="-1"/>
          <w:vertAlign w:val="baseline"/>
        </w:rPr>
        <w:t> </w:t>
      </w:r>
      <w:r>
        <w:rPr>
          <w:vertAlign w:val="baseline"/>
        </w:rPr>
        <w:t>give</w:t>
      </w:r>
      <w:r>
        <w:rPr>
          <w:spacing w:val="-1"/>
          <w:vertAlign w:val="baseline"/>
        </w:rPr>
        <w:t> </w:t>
      </w:r>
      <w:r>
        <w:rPr>
          <w:vertAlign w:val="baseline"/>
        </w:rPr>
        <w:t>rise</w:t>
      </w:r>
      <w:r>
        <w:rPr>
          <w:spacing w:val="-1"/>
          <w:vertAlign w:val="baseline"/>
        </w:rPr>
        <w:t> </w:t>
      </w:r>
      <w:r>
        <w:rPr>
          <w:vertAlign w:val="baseline"/>
        </w:rPr>
        <w:t>to</w:t>
      </w:r>
      <w:r>
        <w:rPr>
          <w:spacing w:val="-1"/>
          <w:vertAlign w:val="baseline"/>
        </w:rPr>
        <w:t> </w:t>
      </w:r>
      <w:r>
        <w:rPr>
          <w:vertAlign w:val="baseline"/>
        </w:rPr>
        <w:t>an implication that the parties had made a choice of the proper law.</w:t>
      </w:r>
    </w:p>
    <w:p>
      <w:pPr>
        <w:pStyle w:val="BodyText"/>
      </w:pPr>
    </w:p>
    <w:p>
      <w:pPr>
        <w:pStyle w:val="BodyText"/>
        <w:spacing w:before="35"/>
      </w:pPr>
    </w:p>
    <w:p>
      <w:pPr>
        <w:spacing w:before="0"/>
        <w:ind w:left="164" w:right="0" w:firstLine="0"/>
        <w:jc w:val="left"/>
        <w:rPr>
          <w:rFonts w:ascii="Arial"/>
          <w:b/>
          <w:sz w:val="18"/>
        </w:rPr>
      </w:pPr>
      <w:r>
        <w:rPr>
          <w:rFonts w:ascii="Arial"/>
          <w:b/>
          <w:sz w:val="18"/>
        </w:rPr>
        <w:t>Relevant </w:t>
      </w:r>
      <w:r>
        <w:rPr>
          <w:rFonts w:ascii="Arial"/>
          <w:b/>
          <w:spacing w:val="-2"/>
          <w:sz w:val="18"/>
        </w:rPr>
        <w:t>factors</w:t>
      </w:r>
    </w:p>
    <w:p>
      <w:pPr>
        <w:pStyle w:val="BodyText"/>
        <w:spacing w:before="41"/>
        <w:rPr>
          <w:rFonts w:ascii="Arial"/>
          <w:b/>
          <w:sz w:val="18"/>
        </w:rPr>
      </w:pPr>
    </w:p>
    <w:p>
      <w:pPr>
        <w:pStyle w:val="Heading2"/>
        <w:ind w:left="164"/>
      </w:pPr>
      <w:r>
        <w:rPr/>
        <w:t>30-</w:t>
      </w:r>
      <w:r>
        <w:rPr>
          <w:spacing w:val="-5"/>
        </w:rPr>
        <w:t>011</w:t>
      </w:r>
    </w:p>
    <w:p>
      <w:pPr>
        <w:pStyle w:val="BodyText"/>
        <w:spacing w:line="235" w:lineRule="auto" w:before="203"/>
        <w:ind w:left="165" w:right="167"/>
        <w:jc w:val="both"/>
      </w:pPr>
      <w:bookmarkStart w:name="_bookmark56" w:id="58"/>
      <w:bookmarkEnd w:id="58"/>
      <w:r>
        <w:rPr/>
      </w:r>
      <w:bookmarkStart w:name="_bookmark57" w:id="59"/>
      <w:bookmarkEnd w:id="59"/>
      <w:r>
        <w:rPr/>
      </w:r>
      <w:r>
        <w:rPr/>
        <w:t>Such factors included the nature of the particular transaction, </w:t>
      </w:r>
      <w:r>
        <w:rPr>
          <w:color w:val="005DA1"/>
          <w:u w:val="single" w:color="005DA1"/>
          <w:vertAlign w:val="superscript"/>
        </w:rPr>
        <w:t>48</w:t>
      </w:r>
      <w:r>
        <w:rPr>
          <w:color w:val="005DA1"/>
          <w:vertAlign w:val="baseline"/>
        </w:rPr>
        <w:t> </w:t>
      </w:r>
      <w:r>
        <w:rPr>
          <w:vertAlign w:val="baseline"/>
        </w:rPr>
        <w:t>the form of the documents made with </w:t>
      </w:r>
      <w:bookmarkStart w:name="_bookmark58" w:id="60"/>
      <w:bookmarkEnd w:id="60"/>
      <w:r>
        <w:rPr>
          <w:vertAlign w:val="baseline"/>
        </w:rPr>
        <w:t>respect</w:t>
      </w:r>
      <w:r>
        <w:rPr>
          <w:vertAlign w:val="baseline"/>
        </w:rPr>
        <w:t> to the transaction, </w:t>
      </w:r>
      <w:r>
        <w:rPr>
          <w:color w:val="005DA1"/>
          <w:u w:val="single" w:color="005DA1"/>
          <w:vertAlign w:val="superscript"/>
        </w:rPr>
        <w:t>49</w:t>
      </w:r>
      <w:r>
        <w:rPr>
          <w:color w:val="005DA1"/>
          <w:vertAlign w:val="baseline"/>
        </w:rPr>
        <w:t> </w:t>
      </w:r>
      <w:r>
        <w:rPr>
          <w:vertAlign w:val="baseline"/>
        </w:rPr>
        <w:t>the style and terminology in which the contract was drafted, </w:t>
      </w:r>
      <w:r>
        <w:rPr>
          <w:color w:val="005DA1"/>
          <w:u w:val="single" w:color="005DA1"/>
          <w:vertAlign w:val="superscript"/>
        </w:rPr>
        <w:t>50</w:t>
      </w:r>
      <w:r>
        <w:rPr>
          <w:color w:val="005DA1"/>
          <w:vertAlign w:val="baseline"/>
        </w:rPr>
        <w:t> </w:t>
      </w:r>
      <w:r>
        <w:rPr>
          <w:vertAlign w:val="baseline"/>
        </w:rPr>
        <w:t>the use of </w:t>
      </w:r>
      <w:bookmarkStart w:name="_bookmark59" w:id="61"/>
      <w:bookmarkEnd w:id="61"/>
      <w:r>
        <w:rPr>
          <w:vertAlign w:val="baseline"/>
        </w:rPr>
        <w:t>a</w:t>
      </w:r>
      <w:r>
        <w:rPr>
          <w:vertAlign w:val="baseline"/>
        </w:rPr>
        <w:t> particular language </w:t>
      </w:r>
      <w:r>
        <w:rPr>
          <w:color w:val="005DA1"/>
          <w:u w:val="single" w:color="005DA1"/>
          <w:vertAlign w:val="superscript"/>
        </w:rPr>
        <w:t>51</w:t>
      </w:r>
      <w:r>
        <w:rPr>
          <w:color w:val="005DA1"/>
          <w:vertAlign w:val="baseline"/>
        </w:rPr>
        <w:t> </w:t>
      </w:r>
      <w:r>
        <w:rPr>
          <w:vertAlign w:val="baseline"/>
        </w:rPr>
        <w:t>(though this became a factor of minor importance </w:t>
      </w:r>
      <w:r>
        <w:rPr>
          <w:color w:val="005DA1"/>
          <w:u w:val="single" w:color="005DA1"/>
          <w:vertAlign w:val="superscript"/>
        </w:rPr>
        <w:t>52</w:t>
      </w:r>
      <w:r>
        <w:rPr>
          <w:vertAlign w:val="baseline"/>
        </w:rPr>
        <w:t>), the currency in which </w:t>
      </w:r>
      <w:bookmarkStart w:name="_bookmark60" w:id="62"/>
      <w:bookmarkEnd w:id="62"/>
      <w:r>
        <w:rPr>
          <w:vertAlign w:val="baseline"/>
        </w:rPr>
        <w:t>payment</w:t>
      </w:r>
      <w:r>
        <w:rPr>
          <w:vertAlign w:val="baseline"/>
        </w:rPr>
        <w:t> was to be made, </w:t>
      </w:r>
      <w:r>
        <w:rPr>
          <w:color w:val="005DA1"/>
          <w:u w:val="single" w:color="005DA1"/>
          <w:vertAlign w:val="superscript"/>
        </w:rPr>
        <w:t>53</w:t>
      </w:r>
      <w:r>
        <w:rPr>
          <w:color w:val="005DA1"/>
          <w:vertAlign w:val="baseline"/>
        </w:rPr>
        <w:t> </w:t>
      </w:r>
      <w:r>
        <w:rPr>
          <w:vertAlign w:val="baseline"/>
        </w:rPr>
        <w:t>the use of a “follow London” clause, </w:t>
      </w:r>
      <w:r>
        <w:rPr>
          <w:color w:val="005DA1"/>
          <w:u w:val="single" w:color="005DA1"/>
          <w:vertAlign w:val="superscript"/>
        </w:rPr>
        <w:t>54</w:t>
      </w:r>
      <w:r>
        <w:rPr>
          <w:color w:val="005DA1"/>
          <w:vertAlign w:val="baseline"/>
        </w:rPr>
        <w:t> </w:t>
      </w:r>
      <w:r>
        <w:rPr>
          <w:vertAlign w:val="baseline"/>
        </w:rPr>
        <w:t>the nature and location of the </w:t>
      </w:r>
      <w:bookmarkStart w:name="_bookmark61" w:id="63"/>
      <w:bookmarkEnd w:id="63"/>
      <w:r>
        <w:rPr>
          <w:vertAlign w:val="baseline"/>
        </w:rPr>
        <w:t>subject</w:t>
      </w:r>
      <w:r>
        <w:rPr>
          <w:vertAlign w:val="baseline"/>
        </w:rPr>
        <w:t> matter of the contract, </w:t>
      </w:r>
      <w:r>
        <w:rPr>
          <w:color w:val="005DA1"/>
          <w:u w:val="single" w:color="005DA1"/>
          <w:vertAlign w:val="superscript"/>
        </w:rPr>
        <w:t>55</w:t>
      </w:r>
      <w:r>
        <w:rPr>
          <w:color w:val="005DA1"/>
          <w:vertAlign w:val="baseline"/>
        </w:rPr>
        <w:t> </w:t>
      </w:r>
      <w:r>
        <w:rPr>
          <w:vertAlign w:val="baseline"/>
        </w:rPr>
        <w:t>the residence </w:t>
      </w:r>
      <w:r>
        <w:rPr>
          <w:color w:val="005DA1"/>
          <w:u w:val="single" w:color="005DA1"/>
          <w:vertAlign w:val="superscript"/>
        </w:rPr>
        <w:t>56</w:t>
      </w:r>
      <w:r>
        <w:rPr>
          <w:color w:val="005DA1"/>
          <w:vertAlign w:val="baseline"/>
        </w:rPr>
        <w:t> </w:t>
      </w:r>
      <w:r>
        <w:rPr>
          <w:vertAlign w:val="baseline"/>
        </w:rPr>
        <w:t>and, occasionally, the nationality </w:t>
      </w:r>
      <w:r>
        <w:rPr>
          <w:color w:val="005DA1"/>
          <w:u w:val="single" w:color="005DA1"/>
          <w:vertAlign w:val="superscript"/>
        </w:rPr>
        <w:t>57</w:t>
      </w:r>
      <w:r>
        <w:rPr>
          <w:color w:val="005DA1"/>
          <w:vertAlign w:val="baseline"/>
        </w:rPr>
        <w:t> </w:t>
      </w:r>
      <w:r>
        <w:rPr>
          <w:vertAlign w:val="baseline"/>
        </w:rPr>
        <w:t>of the parties, </w:t>
      </w:r>
      <w:r>
        <w:rPr>
          <w:vertAlign w:val="baseline"/>
        </w:rPr>
        <w:t>a </w:t>
      </w:r>
      <w:bookmarkStart w:name="_bookmark62" w:id="64"/>
      <w:bookmarkEnd w:id="64"/>
      <w:r>
        <w:rPr>
          <w:vertAlign w:val="baseline"/>
        </w:rPr>
        <w:t>connection</w:t>
      </w:r>
      <w:r>
        <w:rPr>
          <w:vertAlign w:val="baseline"/>
        </w:rPr>
        <w:t> with a preceding transaction, </w:t>
      </w:r>
      <w:r>
        <w:rPr>
          <w:color w:val="005DA1"/>
          <w:u w:val="single" w:color="005DA1"/>
          <w:vertAlign w:val="superscript"/>
        </w:rPr>
        <w:t>58</w:t>
      </w:r>
      <w:r>
        <w:rPr>
          <w:color w:val="005DA1"/>
          <w:vertAlign w:val="baseline"/>
        </w:rPr>
        <w:t> </w:t>
      </w:r>
      <w:r>
        <w:rPr>
          <w:vertAlign w:val="baseline"/>
        </w:rPr>
        <w:t>or, possibly, the fact that one of the parties was a government. </w:t>
      </w:r>
      <w:r>
        <w:rPr>
          <w:color w:val="005DA1"/>
          <w:u w:val="single" w:color="005DA1"/>
          <w:vertAlign w:val="superscript"/>
        </w:rPr>
        <w:t>59</w:t>
      </w:r>
      <w:r>
        <w:rPr>
          <w:color w:val="005DA1"/>
          <w:vertAlign w:val="baseline"/>
        </w:rPr>
        <w:t> </w:t>
      </w:r>
      <w:r>
        <w:rPr>
          <w:vertAlign w:val="baseline"/>
        </w:rPr>
        <w:t>If one or more terms of the contract would be valid under one of two possible governing laws but invalid under the other, there was authority in favour of the view that the parties </w:t>
      </w:r>
      <w:bookmarkStart w:name="_bookmark63" w:id="65"/>
      <w:bookmarkEnd w:id="65"/>
      <w:r>
        <w:rPr>
          <w:vertAlign w:val="baseline"/>
        </w:rPr>
        <w:t>may</w:t>
      </w:r>
      <w:r>
        <w:rPr>
          <w:spacing w:val="-2"/>
          <w:vertAlign w:val="baseline"/>
        </w:rPr>
        <w:t> </w:t>
      </w:r>
      <w:r>
        <w:rPr>
          <w:vertAlign w:val="baseline"/>
        </w:rPr>
        <w:t>be</w:t>
      </w:r>
      <w:r>
        <w:rPr>
          <w:spacing w:val="-2"/>
          <w:vertAlign w:val="baseline"/>
        </w:rPr>
        <w:t> </w:t>
      </w:r>
      <w:r>
        <w:rPr>
          <w:vertAlign w:val="baseline"/>
        </w:rPr>
        <w:t>taken</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intended</w:t>
      </w:r>
      <w:r>
        <w:rPr>
          <w:spacing w:val="-2"/>
          <w:vertAlign w:val="baseline"/>
        </w:rPr>
        <w:t> </w:t>
      </w:r>
      <w:r>
        <w:rPr>
          <w:vertAlign w:val="baseline"/>
        </w:rPr>
        <w:t>that</w:t>
      </w:r>
      <w:r>
        <w:rPr>
          <w:spacing w:val="-2"/>
          <w:vertAlign w:val="baseline"/>
        </w:rPr>
        <w:t> </w:t>
      </w:r>
      <w:r>
        <w:rPr>
          <w:vertAlign w:val="baseline"/>
        </w:rPr>
        <w:t>their</w:t>
      </w:r>
      <w:r>
        <w:rPr>
          <w:spacing w:val="-2"/>
          <w:vertAlign w:val="baseline"/>
        </w:rPr>
        <w:t> </w:t>
      </w:r>
      <w:r>
        <w:rPr>
          <w:vertAlign w:val="baseline"/>
        </w:rPr>
        <w:t>contract</w:t>
      </w:r>
      <w:r>
        <w:rPr>
          <w:spacing w:val="-2"/>
          <w:vertAlign w:val="baseline"/>
        </w:rPr>
        <w:t> </w:t>
      </w:r>
      <w:r>
        <w:rPr>
          <w:vertAlign w:val="baseline"/>
        </w:rPr>
        <w:t>should</w:t>
      </w:r>
      <w:r>
        <w:rPr>
          <w:spacing w:val="-2"/>
          <w:vertAlign w:val="baseline"/>
        </w:rPr>
        <w:t> </w:t>
      </w:r>
      <w:r>
        <w:rPr>
          <w:vertAlign w:val="baseline"/>
        </w:rPr>
        <w:t>be</w:t>
      </w:r>
      <w:r>
        <w:rPr>
          <w:spacing w:val="-2"/>
          <w:vertAlign w:val="baseline"/>
        </w:rPr>
        <w:t> </w:t>
      </w:r>
      <w:r>
        <w:rPr>
          <w:vertAlign w:val="baseline"/>
        </w:rPr>
        <w:t>governed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system</w:t>
      </w:r>
      <w:r>
        <w:rPr>
          <w:spacing w:val="-2"/>
          <w:vertAlign w:val="baseline"/>
        </w:rPr>
        <w:t> </w:t>
      </w:r>
      <w:r>
        <w:rPr>
          <w:vertAlign w:val="baseline"/>
        </w:rPr>
        <w:t>of</w:t>
      </w:r>
      <w:r>
        <w:rPr>
          <w:spacing w:val="-2"/>
          <w:vertAlign w:val="baseline"/>
        </w:rPr>
        <w:t> </w:t>
      </w:r>
      <w:r>
        <w:rPr>
          <w:vertAlign w:val="baseline"/>
        </w:rPr>
        <w:t>law</w:t>
      </w:r>
      <w:r>
        <w:rPr>
          <w:spacing w:val="-2"/>
          <w:vertAlign w:val="baseline"/>
        </w:rPr>
        <w:t> </w:t>
      </w:r>
      <w:r>
        <w:rPr>
          <w:vertAlign w:val="baseline"/>
        </w:rPr>
        <w:t>by</w:t>
      </w:r>
      <w:r>
        <w:rPr>
          <w:spacing w:val="-2"/>
          <w:vertAlign w:val="baseline"/>
        </w:rPr>
        <w:t> </w:t>
      </w:r>
      <w:r>
        <w:rPr>
          <w:vertAlign w:val="baseline"/>
        </w:rPr>
        <w:t>which</w:t>
      </w:r>
      <w:r>
        <w:rPr>
          <w:spacing w:val="-2"/>
          <w:vertAlign w:val="baseline"/>
        </w:rPr>
        <w:t> </w:t>
      </w:r>
      <w:r>
        <w:rPr>
          <w:vertAlign w:val="baseline"/>
        </w:rPr>
        <w:t>it </w:t>
      </w:r>
      <w:bookmarkStart w:name="_bookmark64" w:id="66"/>
      <w:bookmarkEnd w:id="66"/>
      <w:r>
        <w:rPr>
          <w:vertAlign w:val="baseline"/>
        </w:rPr>
        <w:t>is</w:t>
      </w:r>
      <w:r>
        <w:rPr>
          <w:vertAlign w:val="baseline"/>
        </w:rPr>
        <w:t> valid. </w:t>
      </w:r>
      <w:r>
        <w:rPr>
          <w:color w:val="005DA1"/>
          <w:u w:val="single" w:color="005DA1"/>
          <w:vertAlign w:val="superscript"/>
        </w:rPr>
        <w:t>60</w:t>
      </w:r>
      <w:r>
        <w:rPr>
          <w:color w:val="005DA1"/>
          <w:vertAlign w:val="baseline"/>
        </w:rPr>
        <w:t> </w:t>
      </w:r>
      <w:r>
        <w:rPr>
          <w:vertAlign w:val="baseline"/>
        </w:rPr>
        <w:t>However, it would seem that the fact that the contract is valid under one system of law was only evidence and not conclusive evidence as to the intention of the parties. </w:t>
      </w:r>
      <w:r>
        <w:rPr>
          <w:color w:val="005DA1"/>
          <w:u w:val="single" w:color="005DA1"/>
          <w:vertAlign w:val="superscript"/>
        </w:rPr>
        <w:t>61</w:t>
      </w:r>
    </w:p>
    <w:p>
      <w:pPr>
        <w:pStyle w:val="BodyText"/>
      </w:pPr>
    </w:p>
    <w:p>
      <w:pPr>
        <w:pStyle w:val="BodyText"/>
        <w:spacing w:before="34"/>
      </w:pPr>
    </w:p>
    <w:p>
      <w:pPr>
        <w:spacing w:before="0"/>
        <w:ind w:left="165" w:right="0" w:firstLine="0"/>
        <w:jc w:val="left"/>
        <w:rPr>
          <w:rFonts w:ascii="Arial"/>
          <w:b/>
          <w:sz w:val="18"/>
        </w:rPr>
      </w:pPr>
      <w:r>
        <w:rPr>
          <w:rFonts w:ascii="Arial"/>
          <w:b/>
          <w:sz w:val="18"/>
        </w:rPr>
        <w:t>No choice of the proper </w:t>
      </w:r>
      <w:r>
        <w:rPr>
          <w:rFonts w:ascii="Arial"/>
          <w:b/>
          <w:spacing w:val="-5"/>
          <w:sz w:val="18"/>
        </w:rPr>
        <w:t>law</w:t>
      </w:r>
    </w:p>
    <w:p>
      <w:pPr>
        <w:pStyle w:val="BodyText"/>
        <w:spacing w:before="41"/>
        <w:rPr>
          <w:rFonts w:ascii="Arial"/>
          <w:b/>
          <w:sz w:val="18"/>
        </w:rPr>
      </w:pPr>
    </w:p>
    <w:p>
      <w:pPr>
        <w:pStyle w:val="Heading2"/>
      </w:pPr>
      <w:r>
        <w:rPr/>
        <w:t>30-</w:t>
      </w:r>
      <w:r>
        <w:rPr>
          <w:spacing w:val="-5"/>
        </w:rPr>
        <w:t>012</w:t>
      </w:r>
    </w:p>
    <w:p>
      <w:pPr>
        <w:pStyle w:val="BodyText"/>
        <w:spacing w:line="235" w:lineRule="auto" w:before="203"/>
        <w:ind w:left="165" w:right="167"/>
        <w:jc w:val="both"/>
      </w:pPr>
      <w:bookmarkStart w:name="_bookmark65" w:id="67"/>
      <w:bookmarkEnd w:id="67"/>
      <w:r>
        <w:rPr/>
      </w:r>
      <w:r>
        <w:rPr/>
        <w:t>In cases where it was not possible to conclude that the parties had made an express or </w:t>
      </w:r>
      <w:r>
        <w:rPr/>
        <w:t>implied</w:t>
      </w:r>
      <w:r>
        <w:rPr>
          <w:spacing w:val="40"/>
        </w:rPr>
        <w:t> </w:t>
      </w:r>
      <w:bookmarkStart w:name="_bookmark66" w:id="68"/>
      <w:bookmarkEnd w:id="68"/>
      <w:r>
        <w:rPr/>
        <w:t>choice</w:t>
      </w:r>
      <w:r>
        <w:rPr/>
        <w:t> of the proper law, then it was necessary to abandon any reference to what the parties </w:t>
      </w:r>
      <w:r>
        <w:rPr>
          <w:spacing w:val="-2"/>
        </w:rPr>
        <w:t>intended</w:t>
      </w:r>
    </w:p>
    <w:p>
      <w:pPr>
        <w:pStyle w:val="BodyText"/>
        <w:spacing w:line="235" w:lineRule="auto"/>
        <w:ind w:left="165" w:right="167"/>
        <w:jc w:val="both"/>
      </w:pPr>
      <w:r>
        <w:rPr>
          <w:color w:val="005DA1"/>
          <w:u w:val="single" w:color="005DA1"/>
          <w:vertAlign w:val="superscript"/>
        </w:rPr>
        <w:t>62</w:t>
      </w:r>
      <w:r>
        <w:rPr>
          <w:color w:val="005DA1"/>
          <w:vertAlign w:val="baseline"/>
        </w:rPr>
        <w:t> </w:t>
      </w:r>
      <w:bookmarkStart w:name="_bookmark67" w:id="69"/>
      <w:bookmarkEnd w:id="69"/>
      <w:r>
        <w:rPr>
          <w:color w:val="005DA1"/>
          <w:spacing w:val="22"/>
          <w:vertAlign w:val="baseline"/>
        </w:rPr>
      </w:r>
      <w:r>
        <w:rPr>
          <w:vertAlign w:val="baseline"/>
        </w:rPr>
        <w:t>and look for the law “with which the transaction has the closest and most real connection”, </w:t>
      </w:r>
      <w:r>
        <w:rPr>
          <w:color w:val="005DA1"/>
          <w:u w:val="single" w:color="005DA1"/>
          <w:vertAlign w:val="superscript"/>
        </w:rPr>
        <w:t>63</w:t>
      </w:r>
      <w:r>
        <w:rPr>
          <w:color w:val="005DA1"/>
          <w:vertAlign w:val="baseline"/>
        </w:rPr>
        <w:t> </w:t>
      </w:r>
      <w:r>
        <w:rPr>
          <w:vertAlign w:val="baseline"/>
        </w:rPr>
        <w:t>on </w:t>
      </w:r>
      <w:bookmarkStart w:name="_bookmark68" w:id="70"/>
      <w:bookmarkEnd w:id="70"/>
      <w:r>
        <w:rPr>
          <w:vertAlign w:val="baseline"/>
        </w:rPr>
        <w:t>objective</w:t>
      </w:r>
      <w:r>
        <w:rPr>
          <w:vertAlign w:val="baseline"/>
        </w:rPr>
        <w:t> grounds. </w:t>
      </w:r>
      <w:r>
        <w:rPr>
          <w:color w:val="005DA1"/>
          <w:u w:val="single" w:color="005DA1"/>
          <w:vertAlign w:val="superscript"/>
        </w:rPr>
        <w:t>64</w:t>
      </w:r>
      <w:r>
        <w:rPr>
          <w:color w:val="005DA1"/>
          <w:vertAlign w:val="baseline"/>
        </w:rPr>
        <w:t> </w:t>
      </w:r>
      <w:r>
        <w:rPr>
          <w:vertAlign w:val="baseline"/>
        </w:rPr>
        <w:t>In this regard, all the facts and circumstances of the contract should be examined. </w:t>
      </w:r>
      <w:r>
        <w:rPr>
          <w:color w:val="005DA1"/>
          <w:u w:val="single" w:color="005DA1"/>
          <w:vertAlign w:val="superscript"/>
        </w:rPr>
        <w:t>65</w:t>
      </w:r>
      <w:r>
        <w:rPr>
          <w:color w:val="005DA1"/>
          <w:vertAlign w:val="baseline"/>
        </w:rPr>
        <w:t> </w:t>
      </w:r>
      <w:r>
        <w:rPr>
          <w:vertAlign w:val="baseline"/>
        </w:rPr>
        <w:t>Although the weight to be attached to relevant facts and circumstances would vary </w:t>
      </w:r>
      <w:r>
        <w:rPr>
          <w:vertAlign w:val="baseline"/>
        </w:rPr>
        <w:t>from </w:t>
      </w:r>
      <w:bookmarkStart w:name="_bookmark69" w:id="71"/>
      <w:bookmarkEnd w:id="71"/>
      <w:r>
        <w:rPr>
          <w:vertAlign w:val="baseline"/>
        </w:rPr>
        <w:t>case</w:t>
      </w:r>
      <w:r>
        <w:rPr>
          <w:vertAlign w:val="baseline"/>
        </w:rPr>
        <w:t> to case, the following may be mentioned as representative. The place where the contract was </w:t>
      </w:r>
      <w:bookmarkStart w:name="_bookmark70" w:id="72"/>
      <w:bookmarkEnd w:id="72"/>
      <w:r>
        <w:rPr>
          <w:vertAlign w:val="baseline"/>
        </w:rPr>
        <w:t>made,</w:t>
      </w:r>
      <w:r>
        <w:rPr>
          <w:spacing w:val="-2"/>
          <w:vertAlign w:val="baseline"/>
        </w:rPr>
        <w:t> </w:t>
      </w:r>
      <w:r>
        <w:rPr>
          <w:color w:val="005DA1"/>
          <w:u w:val="single" w:color="005DA1"/>
          <w:vertAlign w:val="superscript"/>
        </w:rPr>
        <w:t>66</w:t>
      </w:r>
      <w:r>
        <w:rPr>
          <w:color w:val="005DA1"/>
          <w:spacing w:val="-2"/>
          <w:vertAlign w:val="baseline"/>
        </w:rPr>
        <w:t> </w:t>
      </w:r>
      <w:r>
        <w:rPr>
          <w:vertAlign w:val="baseline"/>
        </w:rPr>
        <w:t>the</w:t>
      </w:r>
      <w:r>
        <w:rPr>
          <w:spacing w:val="-2"/>
          <w:vertAlign w:val="baseline"/>
        </w:rPr>
        <w:t> </w:t>
      </w:r>
      <w:r>
        <w:rPr>
          <w:vertAlign w:val="baseline"/>
        </w:rPr>
        <w:t>place</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had</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performed,</w:t>
      </w:r>
      <w:r>
        <w:rPr>
          <w:spacing w:val="-2"/>
          <w:vertAlign w:val="baseline"/>
        </w:rPr>
        <w:t> </w:t>
      </w:r>
      <w:r>
        <w:rPr>
          <w:color w:val="005DA1"/>
          <w:u w:val="single" w:color="005DA1"/>
          <w:vertAlign w:val="superscript"/>
        </w:rPr>
        <w:t>67</w:t>
      </w:r>
      <w:r>
        <w:rPr>
          <w:color w:val="005DA1"/>
          <w:spacing w:val="-2"/>
          <w:vertAlign w:val="baseline"/>
        </w:rPr>
        <w:t> </w:t>
      </w:r>
      <w:r>
        <w:rPr>
          <w:vertAlign w:val="baseline"/>
        </w:rPr>
        <w:t>the</w:t>
      </w:r>
      <w:r>
        <w:rPr>
          <w:spacing w:val="-2"/>
          <w:vertAlign w:val="baseline"/>
        </w:rPr>
        <w:t> </w:t>
      </w:r>
      <w:r>
        <w:rPr>
          <w:vertAlign w:val="baseline"/>
        </w:rPr>
        <w:t>nature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legal</w:t>
      </w:r>
      <w:r>
        <w:rPr>
          <w:spacing w:val="-2"/>
          <w:vertAlign w:val="baseline"/>
        </w:rPr>
        <w:t> </w:t>
      </w:r>
      <w:r>
        <w:rPr>
          <w:vertAlign w:val="baseline"/>
        </w:rPr>
        <w:t>personality</w:t>
      </w:r>
      <w:r>
        <w:rPr>
          <w:spacing w:val="-2"/>
          <w:vertAlign w:val="baseline"/>
        </w:rPr>
        <w:t> </w:t>
      </w:r>
      <w:r>
        <w:rPr>
          <w:vertAlign w:val="baseline"/>
        </w:rPr>
        <w:t>of</w:t>
      </w:r>
      <w:r>
        <w:rPr>
          <w:spacing w:val="-2"/>
          <w:vertAlign w:val="baseline"/>
        </w:rPr>
        <w:t> </w:t>
      </w:r>
      <w:r>
        <w:rPr>
          <w:vertAlign w:val="baseline"/>
        </w:rPr>
        <w:t>the </w:t>
      </w:r>
      <w:bookmarkStart w:name="_bookmark71" w:id="73"/>
      <w:bookmarkEnd w:id="73"/>
      <w:r>
        <w:rPr>
          <w:vertAlign w:val="baseline"/>
        </w:rPr>
        <w:t>parties,</w:t>
      </w:r>
      <w:r>
        <w:rPr>
          <w:vertAlign w:val="baseline"/>
        </w:rPr>
        <w:t> </w:t>
      </w:r>
      <w:r>
        <w:rPr>
          <w:color w:val="005DA1"/>
          <w:u w:val="single" w:color="005DA1"/>
          <w:vertAlign w:val="superscript"/>
        </w:rPr>
        <w:t>68</w:t>
      </w:r>
      <w:r>
        <w:rPr>
          <w:color w:val="005DA1"/>
          <w:vertAlign w:val="baseline"/>
        </w:rPr>
        <w:t> </w:t>
      </w:r>
      <w:r>
        <w:rPr>
          <w:vertAlign w:val="baseline"/>
        </w:rPr>
        <w:t>the place of residence </w:t>
      </w:r>
      <w:r>
        <w:rPr>
          <w:color w:val="005DA1"/>
          <w:u w:val="single" w:color="005DA1"/>
          <w:vertAlign w:val="superscript"/>
        </w:rPr>
        <w:t>69</w:t>
      </w:r>
      <w:r>
        <w:rPr>
          <w:color w:val="005DA1"/>
          <w:vertAlign w:val="baseline"/>
        </w:rPr>
        <w:t> </w:t>
      </w:r>
      <w:r>
        <w:rPr>
          <w:vertAlign w:val="baseline"/>
        </w:rPr>
        <w:t>or business </w:t>
      </w:r>
      <w:r>
        <w:rPr>
          <w:color w:val="005DA1"/>
          <w:u w:val="single" w:color="005DA1"/>
          <w:vertAlign w:val="superscript"/>
        </w:rPr>
        <w:t>70</w:t>
      </w:r>
      <w:r>
        <w:rPr>
          <w:color w:val="005DA1"/>
          <w:vertAlign w:val="baseline"/>
        </w:rPr>
        <w:t> </w:t>
      </w:r>
      <w:r>
        <w:rPr>
          <w:vertAlign w:val="baseline"/>
        </w:rPr>
        <w:t>of the parties, the nature, subject-matter </w:t>
      </w:r>
      <w:r>
        <w:rPr>
          <w:color w:val="005DA1"/>
          <w:u w:val="single" w:color="005DA1"/>
          <w:vertAlign w:val="superscript"/>
        </w:rPr>
        <w:t>71</w:t>
      </w:r>
      <w:r>
        <w:rPr>
          <w:color w:val="005DA1"/>
          <w:vertAlign w:val="baseline"/>
        </w:rPr>
        <w:t> </w:t>
      </w:r>
      <w:r>
        <w:rPr>
          <w:vertAlign w:val="baseline"/>
        </w:rPr>
        <w:t>and </w:t>
      </w:r>
      <w:bookmarkStart w:name="_bookmark72" w:id="74"/>
      <w:bookmarkEnd w:id="74"/>
      <w:r>
        <w:rPr>
          <w:vertAlign w:val="baseline"/>
        </w:rPr>
        <w:t>standard</w:t>
      </w:r>
      <w:r>
        <w:rPr>
          <w:spacing w:val="-3"/>
          <w:vertAlign w:val="baseline"/>
        </w:rPr>
        <w:t> </w:t>
      </w:r>
      <w:r>
        <w:rPr>
          <w:vertAlign w:val="baseline"/>
        </w:rPr>
        <w:t>terms</w:t>
      </w:r>
      <w:r>
        <w:rPr>
          <w:spacing w:val="-3"/>
          <w:vertAlign w:val="baseline"/>
        </w:rPr>
        <w:t> </w:t>
      </w:r>
      <w:r>
        <w:rPr>
          <w:color w:val="005DA1"/>
          <w:u w:val="single" w:color="005DA1"/>
          <w:vertAlign w:val="superscript"/>
        </w:rPr>
        <w:t>72</w:t>
      </w:r>
      <w:r>
        <w:rPr>
          <w:color w:val="005DA1"/>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the</w:t>
      </w:r>
      <w:r>
        <w:rPr>
          <w:spacing w:val="-3"/>
          <w:vertAlign w:val="baseline"/>
        </w:rPr>
        <w:t> </w:t>
      </w:r>
      <w:r>
        <w:rPr>
          <w:vertAlign w:val="baseline"/>
        </w:rPr>
        <w:t>situation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funds</w:t>
      </w:r>
      <w:r>
        <w:rPr>
          <w:spacing w:val="-3"/>
          <w:vertAlign w:val="baseline"/>
        </w:rPr>
        <w:t> </w:t>
      </w:r>
      <w:r>
        <w:rPr>
          <w:vertAlign w:val="baseline"/>
        </w:rPr>
        <w:t>which</w:t>
      </w:r>
      <w:r>
        <w:rPr>
          <w:spacing w:val="-3"/>
          <w:vertAlign w:val="baseline"/>
        </w:rPr>
        <w:t> </w:t>
      </w:r>
      <w:r>
        <w:rPr>
          <w:vertAlign w:val="baseline"/>
        </w:rPr>
        <w:t>were</w:t>
      </w:r>
      <w:r>
        <w:rPr>
          <w:spacing w:val="-3"/>
          <w:vertAlign w:val="baseline"/>
        </w:rPr>
        <w:t> </w:t>
      </w:r>
      <w:r>
        <w:rPr>
          <w:vertAlign w:val="baseline"/>
        </w:rPr>
        <w:t>available</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discharge</w:t>
      </w:r>
      <w:r>
        <w:rPr>
          <w:spacing w:val="-4"/>
          <w:vertAlign w:val="baseline"/>
        </w:rPr>
        <w:t> </w:t>
      </w:r>
      <w:r>
        <w:rPr>
          <w:color w:val="005DA1"/>
          <w:u w:val="single" w:color="005DA1"/>
          <w:vertAlign w:val="superscript"/>
        </w:rPr>
        <w:t>73</w:t>
      </w:r>
      <w:r>
        <w:rPr>
          <w:color w:val="005DA1"/>
          <w:spacing w:val="-3"/>
          <w:vertAlign w:val="baseline"/>
        </w:rPr>
        <w:t> </w:t>
      </w:r>
      <w:r>
        <w:rPr>
          <w:vertAlign w:val="baseline"/>
        </w:rPr>
        <w:t>or </w:t>
      </w:r>
      <w:bookmarkStart w:name="_bookmark73" w:id="75"/>
      <w:bookmarkEnd w:id="75"/>
      <w:r>
        <w:rPr>
          <w:vertAlign w:val="baseline"/>
        </w:rPr>
        <w:t>security</w:t>
      </w:r>
      <w:r>
        <w:rPr>
          <w:vertAlign w:val="baseline"/>
        </w:rPr>
        <w:t> of the obligation, </w:t>
      </w:r>
      <w:r>
        <w:rPr>
          <w:color w:val="005DA1"/>
          <w:u w:val="single" w:color="005DA1"/>
          <w:vertAlign w:val="superscript"/>
        </w:rPr>
        <w:t>74</w:t>
      </w:r>
      <w:r>
        <w:rPr>
          <w:color w:val="005DA1"/>
          <w:vertAlign w:val="baseline"/>
        </w:rPr>
        <w:t> </w:t>
      </w:r>
      <w:r>
        <w:rPr>
          <w:vertAlign w:val="baseline"/>
        </w:rPr>
        <w:t>the place where a bank had to perform its obligation under a letter of </w:t>
      </w:r>
      <w:bookmarkStart w:name="_bookmark74" w:id="76"/>
      <w:bookmarkEnd w:id="76"/>
      <w:r>
        <w:rPr>
          <w:vertAlign w:val="baseline"/>
        </w:rPr>
        <w:t>credit,</w:t>
      </w:r>
      <w:r>
        <w:rPr>
          <w:vertAlign w:val="baseline"/>
        </w:rPr>
        <w:t> </w:t>
      </w:r>
      <w:r>
        <w:rPr>
          <w:color w:val="005DA1"/>
          <w:u w:val="single" w:color="005DA1"/>
          <w:vertAlign w:val="superscript"/>
        </w:rPr>
        <w:t>75</w:t>
      </w:r>
      <w:r>
        <w:rPr>
          <w:color w:val="005DA1"/>
          <w:vertAlign w:val="baseline"/>
        </w:rPr>
        <w:t> </w:t>
      </w:r>
      <w:r>
        <w:rPr>
          <w:vertAlign w:val="baseline"/>
        </w:rPr>
        <w:t>or whether the contract was closely linked with another contract containing a choice of law clause. </w:t>
      </w:r>
      <w:r>
        <w:rPr>
          <w:color w:val="005DA1"/>
          <w:u w:val="single" w:color="005DA1"/>
          <w:vertAlign w:val="superscript"/>
        </w:rPr>
        <w:t>76</w:t>
      </w:r>
    </w:p>
    <w:p>
      <w:pPr>
        <w:pStyle w:val="BodyText"/>
      </w:pPr>
    </w:p>
    <w:p>
      <w:pPr>
        <w:pStyle w:val="BodyText"/>
        <w:spacing w:before="34"/>
      </w:pPr>
    </w:p>
    <w:p>
      <w:pPr>
        <w:spacing w:before="0"/>
        <w:ind w:left="165" w:right="0" w:firstLine="0"/>
        <w:jc w:val="left"/>
        <w:rPr>
          <w:rFonts w:ascii="Arial"/>
          <w:b/>
          <w:sz w:val="18"/>
        </w:rPr>
      </w:pPr>
      <w:r>
        <w:rPr>
          <w:rFonts w:ascii="Arial"/>
          <w:b/>
          <w:sz w:val="18"/>
        </w:rPr>
        <w:t>Connection of the transaction with a system of </w:t>
      </w:r>
      <w:r>
        <w:rPr>
          <w:rFonts w:ascii="Arial"/>
          <w:b/>
          <w:spacing w:val="-5"/>
          <w:sz w:val="18"/>
        </w:rPr>
        <w:t>law</w:t>
      </w:r>
    </w:p>
    <w:p>
      <w:pPr>
        <w:pStyle w:val="BodyText"/>
        <w:spacing w:before="41"/>
        <w:rPr>
          <w:rFonts w:ascii="Arial"/>
          <w:b/>
          <w:sz w:val="18"/>
        </w:rPr>
      </w:pPr>
    </w:p>
    <w:p>
      <w:pPr>
        <w:pStyle w:val="Heading2"/>
      </w:pPr>
      <w:r>
        <w:rPr/>
        <w:t>30-</w:t>
      </w:r>
      <w:r>
        <w:rPr>
          <w:spacing w:val="-5"/>
        </w:rPr>
        <w:t>013</w:t>
      </w:r>
    </w:p>
    <w:p>
      <w:pPr>
        <w:pStyle w:val="BodyText"/>
        <w:spacing w:line="235" w:lineRule="auto" w:before="203"/>
        <w:ind w:left="165" w:right="167"/>
        <w:jc w:val="both"/>
      </w:pPr>
      <w:bookmarkStart w:name="_bookmark75" w:id="77"/>
      <w:bookmarkEnd w:id="77"/>
      <w:r>
        <w:rPr/>
      </w:r>
      <w:r>
        <w:rPr/>
        <w:t>The proper law was usually defined as “the system of law with which the transaction has the </w:t>
      </w:r>
      <w:r>
        <w:rPr/>
        <w:t>closest </w:t>
      </w:r>
      <w:bookmarkStart w:name="_bookmark76" w:id="78"/>
      <w:bookmarkEnd w:id="78"/>
      <w:r>
        <w:rPr/>
        <w:t>and</w:t>
      </w:r>
      <w:r>
        <w:rPr/>
        <w:t> most real connection”. </w:t>
      </w:r>
      <w:r>
        <w:rPr>
          <w:color w:val="005DA1"/>
          <w:u w:val="single" w:color="005DA1"/>
          <w:vertAlign w:val="superscript"/>
        </w:rPr>
        <w:t>77</w:t>
      </w:r>
      <w:r>
        <w:rPr>
          <w:color w:val="005DA1"/>
          <w:vertAlign w:val="baseline"/>
        </w:rPr>
        <w:t> </w:t>
      </w:r>
      <w:r>
        <w:rPr>
          <w:vertAlign w:val="baseline"/>
        </w:rPr>
        <w:t>However, it was not wholly clear whether the connection was to be with </w:t>
      </w:r>
      <w:bookmarkStart w:name="_bookmark77" w:id="79"/>
      <w:bookmarkEnd w:id="79"/>
      <w:r>
        <w:rPr>
          <w:vertAlign w:val="baseline"/>
        </w:rPr>
        <w:t>a</w:t>
      </w:r>
      <w:r>
        <w:rPr>
          <w:vertAlign w:val="baseline"/>
        </w:rPr>
        <w:t> “system of law” or with a “country”. A number of earlier cases preferred the latter criterion </w:t>
      </w:r>
      <w:r>
        <w:rPr>
          <w:color w:val="005DA1"/>
          <w:u w:val="single" w:color="005DA1"/>
          <w:vertAlign w:val="superscript"/>
        </w:rPr>
        <w:t>78</w:t>
      </w:r>
      <w:r>
        <w:rPr>
          <w:color w:val="005DA1"/>
          <w:vertAlign w:val="baseline"/>
        </w:rPr>
        <w:t> </w:t>
      </w:r>
      <w:r>
        <w:rPr>
          <w:vertAlign w:val="baseline"/>
        </w:rPr>
        <w:t>but the weight of authority supported a connection with a “system of law”. </w:t>
      </w:r>
      <w:r>
        <w:rPr>
          <w:color w:val="005DA1"/>
          <w:u w:val="single" w:color="005DA1"/>
          <w:vertAlign w:val="superscript"/>
        </w:rPr>
        <w:t>79</w:t>
      </w:r>
      <w:r>
        <w:rPr>
          <w:color w:val="005DA1"/>
          <w:vertAlign w:val="baseline"/>
        </w:rPr>
        <w:t> </w:t>
      </w:r>
      <w:r>
        <w:rPr>
          <w:vertAlign w:val="baseline"/>
        </w:rPr>
        <w:t>The difference might be</w:t>
      </w:r>
      <w:r>
        <w:rPr>
          <w:spacing w:val="40"/>
          <w:vertAlign w:val="baseline"/>
        </w:rPr>
        <w:t> </w:t>
      </w:r>
      <w:r>
        <w:rPr>
          <w:vertAlign w:val="baseline"/>
        </w:rPr>
        <w:t>important when the geographical factors of the contract point to one country, whilst the legal factors </w:t>
      </w:r>
      <w:bookmarkStart w:name="_bookmark78" w:id="80"/>
      <w:bookmarkEnd w:id="80"/>
      <w:r>
        <w:rPr>
          <w:vertAlign w:val="baseline"/>
        </w:rPr>
        <w:t>point</w:t>
      </w:r>
      <w:r>
        <w:rPr>
          <w:vertAlign w:val="baseline"/>
        </w:rPr>
        <w:t> towards the legal system of another country as in the case of a contract to do building work in </w:t>
      </w:r>
      <w:bookmarkStart w:name="_bookmark79" w:id="81"/>
      <w:bookmarkEnd w:id="81"/>
      <w:r>
        <w:rPr>
          <w:vertAlign w:val="baseline"/>
        </w:rPr>
        <w:t>Scotland,</w:t>
      </w:r>
      <w:r>
        <w:rPr>
          <w:spacing w:val="-1"/>
          <w:vertAlign w:val="baseline"/>
        </w:rPr>
        <w:t> </w:t>
      </w:r>
      <w:r>
        <w:rPr>
          <w:vertAlign w:val="baseline"/>
        </w:rPr>
        <w:t>the</w:t>
      </w:r>
      <w:r>
        <w:rPr>
          <w:spacing w:val="-1"/>
          <w:vertAlign w:val="baseline"/>
        </w:rPr>
        <w:t> </w:t>
      </w:r>
      <w:r>
        <w:rPr>
          <w:vertAlign w:val="baseline"/>
        </w:rPr>
        <w:t>contractual</w:t>
      </w:r>
      <w:r>
        <w:rPr>
          <w:spacing w:val="-1"/>
          <w:vertAlign w:val="baseline"/>
        </w:rPr>
        <w:t> </w:t>
      </w:r>
      <w:r>
        <w:rPr>
          <w:vertAlign w:val="baseline"/>
        </w:rPr>
        <w:t>documents</w:t>
      </w:r>
      <w:r>
        <w:rPr>
          <w:spacing w:val="-1"/>
          <w:vertAlign w:val="baseline"/>
        </w:rPr>
        <w:t> </w:t>
      </w:r>
      <w:r>
        <w:rPr>
          <w:vertAlign w:val="baseline"/>
        </w:rPr>
        <w:t>for</w:t>
      </w:r>
      <w:r>
        <w:rPr>
          <w:spacing w:val="-1"/>
          <w:vertAlign w:val="baseline"/>
        </w:rPr>
        <w:t> </w:t>
      </w:r>
      <w:r>
        <w:rPr>
          <w:vertAlign w:val="baseline"/>
        </w:rPr>
        <w:t>which</w:t>
      </w:r>
      <w:r>
        <w:rPr>
          <w:spacing w:val="-1"/>
          <w:vertAlign w:val="baseline"/>
        </w:rPr>
        <w:t> </w:t>
      </w:r>
      <w:r>
        <w:rPr>
          <w:vertAlign w:val="baseline"/>
        </w:rPr>
        <w:t>were</w:t>
      </w:r>
      <w:r>
        <w:rPr>
          <w:spacing w:val="-1"/>
          <w:vertAlign w:val="baseline"/>
        </w:rPr>
        <w:t> </w:t>
      </w:r>
      <w:r>
        <w:rPr>
          <w:vertAlign w:val="baseline"/>
        </w:rPr>
        <w:t>in</w:t>
      </w:r>
      <w:r>
        <w:rPr>
          <w:spacing w:val="-1"/>
          <w:vertAlign w:val="baseline"/>
        </w:rPr>
        <w:t> </w:t>
      </w:r>
      <w:r>
        <w:rPr>
          <w:vertAlign w:val="baseline"/>
        </w:rPr>
        <w:t>English</w:t>
      </w:r>
      <w:r>
        <w:rPr>
          <w:spacing w:val="-1"/>
          <w:vertAlign w:val="baseline"/>
        </w:rPr>
        <w:t> </w:t>
      </w:r>
      <w:r>
        <w:rPr>
          <w:vertAlign w:val="baseline"/>
        </w:rPr>
        <w:t>form.</w:t>
      </w:r>
      <w:r>
        <w:rPr>
          <w:spacing w:val="-2"/>
          <w:vertAlign w:val="baseline"/>
        </w:rPr>
        <w:t> </w:t>
      </w:r>
      <w:r>
        <w:rPr>
          <w:color w:val="005DA1"/>
          <w:u w:val="single" w:color="005DA1"/>
          <w:vertAlign w:val="superscript"/>
        </w:rPr>
        <w:t>80</w:t>
      </w:r>
      <w:r>
        <w:rPr>
          <w:color w:val="005DA1"/>
          <w:spacing w:val="-1"/>
          <w:vertAlign w:val="baseline"/>
        </w:rPr>
        <w:t> </w:t>
      </w:r>
      <w:r>
        <w:rPr>
          <w:vertAlign w:val="baseline"/>
        </w:rPr>
        <w:t>It</w:t>
      </w:r>
      <w:r>
        <w:rPr>
          <w:spacing w:val="-1"/>
          <w:vertAlign w:val="baseline"/>
        </w:rPr>
        <w:t> </w:t>
      </w:r>
      <w:r>
        <w:rPr>
          <w:vertAlign w:val="baseline"/>
        </w:rPr>
        <w:t>might</w:t>
      </w:r>
      <w:r>
        <w:rPr>
          <w:spacing w:val="-1"/>
          <w:vertAlign w:val="baseline"/>
        </w:rPr>
        <w:t> </w:t>
      </w:r>
      <w:r>
        <w:rPr>
          <w:vertAlign w:val="baseline"/>
        </w:rPr>
        <w:t>be</w:t>
      </w:r>
      <w:r>
        <w:rPr>
          <w:spacing w:val="-1"/>
          <w:vertAlign w:val="baseline"/>
        </w:rPr>
        <w:t> </w:t>
      </w:r>
      <w:r>
        <w:rPr>
          <w:vertAlign w:val="baseline"/>
        </w:rPr>
        <w:t>particularly</w:t>
      </w:r>
      <w:r>
        <w:rPr>
          <w:spacing w:val="-1"/>
          <w:vertAlign w:val="baseline"/>
        </w:rPr>
        <w:t> </w:t>
      </w:r>
      <w:r>
        <w:rPr>
          <w:vertAlign w:val="baseline"/>
        </w:rPr>
        <w:t>relevant that</w:t>
      </w:r>
      <w:r>
        <w:rPr>
          <w:spacing w:val="39"/>
          <w:vertAlign w:val="baseline"/>
        </w:rPr>
        <w:t> </w:t>
      </w:r>
      <w:r>
        <w:rPr>
          <w:vertAlign w:val="baseline"/>
        </w:rPr>
        <w:t>one</w:t>
      </w:r>
      <w:r>
        <w:rPr>
          <w:spacing w:val="39"/>
          <w:vertAlign w:val="baseline"/>
        </w:rPr>
        <w:t> </w:t>
      </w:r>
      <w:r>
        <w:rPr>
          <w:vertAlign w:val="baseline"/>
        </w:rPr>
        <w:t>system</w:t>
      </w:r>
      <w:r>
        <w:rPr>
          <w:spacing w:val="39"/>
          <w:vertAlign w:val="baseline"/>
        </w:rPr>
        <w:t> </w:t>
      </w:r>
      <w:r>
        <w:rPr>
          <w:vertAlign w:val="baseline"/>
        </w:rPr>
        <w:t>of</w:t>
      </w:r>
      <w:r>
        <w:rPr>
          <w:spacing w:val="39"/>
          <w:vertAlign w:val="baseline"/>
        </w:rPr>
        <w:t> </w:t>
      </w:r>
      <w:r>
        <w:rPr>
          <w:vertAlign w:val="baseline"/>
        </w:rPr>
        <w:t>law</w:t>
      </w:r>
      <w:r>
        <w:rPr>
          <w:spacing w:val="39"/>
          <w:vertAlign w:val="baseline"/>
        </w:rPr>
        <w:t> </w:t>
      </w:r>
      <w:r>
        <w:rPr>
          <w:vertAlign w:val="baseline"/>
        </w:rPr>
        <w:t>under</w:t>
      </w:r>
      <w:r>
        <w:rPr>
          <w:spacing w:val="39"/>
          <w:vertAlign w:val="baseline"/>
        </w:rPr>
        <w:t> </w:t>
      </w:r>
      <w:r>
        <w:rPr>
          <w:vertAlign w:val="baseline"/>
        </w:rPr>
        <w:t>consideration</w:t>
      </w:r>
      <w:r>
        <w:rPr>
          <w:spacing w:val="39"/>
          <w:vertAlign w:val="baseline"/>
        </w:rPr>
        <w:t> </w:t>
      </w:r>
      <w:r>
        <w:rPr>
          <w:vertAlign w:val="baseline"/>
        </w:rPr>
        <w:t>had</w:t>
      </w:r>
      <w:r>
        <w:rPr>
          <w:spacing w:val="39"/>
          <w:vertAlign w:val="baseline"/>
        </w:rPr>
        <w:t> </w:t>
      </w:r>
      <w:r>
        <w:rPr>
          <w:vertAlign w:val="baseline"/>
        </w:rPr>
        <w:t>no</w:t>
      </w:r>
      <w:r>
        <w:rPr>
          <w:spacing w:val="39"/>
          <w:vertAlign w:val="baseline"/>
        </w:rPr>
        <w:t> </w:t>
      </w:r>
      <w:r>
        <w:rPr>
          <w:vertAlign w:val="baseline"/>
        </w:rPr>
        <w:t>provision</w:t>
      </w:r>
      <w:r>
        <w:rPr>
          <w:spacing w:val="39"/>
          <w:vertAlign w:val="baseline"/>
        </w:rPr>
        <w:t> </w:t>
      </w:r>
      <w:r>
        <w:rPr>
          <w:vertAlign w:val="baseline"/>
        </w:rPr>
        <w:t>dealing</w:t>
      </w:r>
      <w:r>
        <w:rPr>
          <w:spacing w:val="39"/>
          <w:vertAlign w:val="baseline"/>
        </w:rPr>
        <w:t> </w:t>
      </w:r>
      <w:r>
        <w:rPr>
          <w:vertAlign w:val="baseline"/>
        </w:rPr>
        <w:t>with</w:t>
      </w:r>
      <w:r>
        <w:rPr>
          <w:spacing w:val="39"/>
          <w:vertAlign w:val="baseline"/>
        </w:rPr>
        <w:t> </w:t>
      </w:r>
      <w:r>
        <w:rPr>
          <w:vertAlign w:val="baseline"/>
        </w:rPr>
        <w:t>the</w:t>
      </w:r>
      <w:r>
        <w:rPr>
          <w:spacing w:val="39"/>
          <w:vertAlign w:val="baseline"/>
        </w:rPr>
        <w:t> </w:t>
      </w:r>
      <w:r>
        <w:rPr>
          <w:vertAlign w:val="baseline"/>
        </w:rPr>
        <w:t>matter</w:t>
      </w:r>
      <w:r>
        <w:rPr>
          <w:spacing w:val="39"/>
          <w:vertAlign w:val="baseline"/>
        </w:rPr>
        <w:t> </w:t>
      </w:r>
      <w:r>
        <w:rPr>
          <w:vertAlign w:val="baseline"/>
        </w:rPr>
        <w:t>in</w:t>
      </w:r>
      <w:r>
        <w:rPr>
          <w:spacing w:val="39"/>
          <w:vertAlign w:val="baseline"/>
        </w:rPr>
        <w:t> </w:t>
      </w:r>
      <w:r>
        <w:rPr>
          <w:vertAlign w:val="baseline"/>
        </w:rPr>
        <w:t>issue.</w:t>
      </w:r>
      <w:r>
        <w:rPr>
          <w:spacing w:val="38"/>
          <w:vertAlign w:val="baseline"/>
        </w:rPr>
        <w:t> </w:t>
      </w:r>
      <w:r>
        <w:rPr>
          <w:color w:val="005DA1"/>
          <w:spacing w:val="-5"/>
          <w:u w:val="single" w:color="005DA1"/>
          <w:vertAlign w:val="superscript"/>
        </w:rPr>
        <w:t>81</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8"/>
        <w:jc w:val="both"/>
      </w:pPr>
      <w:bookmarkStart w:name="_bookmark80" w:id="82"/>
      <w:bookmarkEnd w:id="82"/>
      <w:r>
        <w:rPr/>
      </w:r>
      <w:bookmarkStart w:name="_bookmark81" w:id="83"/>
      <w:bookmarkEnd w:id="83"/>
      <w:r>
        <w:rPr/>
      </w:r>
      <w:r>
        <w:rPr/>
        <w:t>Indeed,</w:t>
      </w:r>
      <w:r>
        <w:rPr>
          <w:spacing w:val="-1"/>
        </w:rPr>
        <w:t> </w:t>
      </w:r>
      <w:r>
        <w:rPr/>
        <w:t>one</w:t>
      </w:r>
      <w:r>
        <w:rPr>
          <w:spacing w:val="-1"/>
        </w:rPr>
        <w:t> </w:t>
      </w:r>
      <w:r>
        <w:rPr/>
        <w:t>suggestion</w:t>
      </w:r>
      <w:r>
        <w:rPr>
          <w:spacing w:val="-1"/>
        </w:rPr>
        <w:t> </w:t>
      </w:r>
      <w:r>
        <w:rPr/>
        <w:t>was</w:t>
      </w:r>
      <w:r>
        <w:rPr>
          <w:spacing w:val="-1"/>
        </w:rPr>
        <w:t> </w:t>
      </w:r>
      <w:r>
        <w:rPr/>
        <w:t>that</w:t>
      </w:r>
      <w:r>
        <w:rPr>
          <w:spacing w:val="-1"/>
        </w:rPr>
        <w:t> </w:t>
      </w:r>
      <w:r>
        <w:rPr/>
        <w:t>the</w:t>
      </w:r>
      <w:r>
        <w:rPr>
          <w:spacing w:val="-1"/>
        </w:rPr>
        <w:t> </w:t>
      </w:r>
      <w:r>
        <w:rPr/>
        <w:t>two</w:t>
      </w:r>
      <w:r>
        <w:rPr>
          <w:spacing w:val="-1"/>
        </w:rPr>
        <w:t> </w:t>
      </w:r>
      <w:r>
        <w:rPr/>
        <w:t>tests</w:t>
      </w:r>
      <w:r>
        <w:rPr>
          <w:spacing w:val="-1"/>
        </w:rPr>
        <w:t> </w:t>
      </w:r>
      <w:r>
        <w:rPr/>
        <w:t>should</w:t>
      </w:r>
      <w:r>
        <w:rPr>
          <w:spacing w:val="-1"/>
        </w:rPr>
        <w:t> </w:t>
      </w:r>
      <w:r>
        <w:rPr/>
        <w:t>be</w:t>
      </w:r>
      <w:r>
        <w:rPr>
          <w:spacing w:val="-1"/>
        </w:rPr>
        <w:t> </w:t>
      </w:r>
      <w:r>
        <w:rPr/>
        <w:t>combined,</w:t>
      </w:r>
      <w:r>
        <w:rPr>
          <w:spacing w:val="-2"/>
        </w:rPr>
        <w:t> </w:t>
      </w:r>
      <w:r>
        <w:rPr>
          <w:color w:val="005DA1"/>
          <w:u w:val="single" w:color="005DA1"/>
          <w:vertAlign w:val="superscript"/>
        </w:rPr>
        <w:t>82</w:t>
      </w:r>
      <w:r>
        <w:rPr>
          <w:color w:val="005DA1"/>
          <w:spacing w:val="-1"/>
          <w:vertAlign w:val="baseline"/>
        </w:rPr>
        <w:t> </w:t>
      </w:r>
      <w:r>
        <w:rPr>
          <w:vertAlign w:val="baseline"/>
        </w:rPr>
        <w:t>though</w:t>
      </w:r>
      <w:r>
        <w:rPr>
          <w:spacing w:val="-1"/>
          <w:vertAlign w:val="baseline"/>
        </w:rPr>
        <w:t> </w:t>
      </w:r>
      <w:r>
        <w:rPr>
          <w:vertAlign w:val="baseline"/>
        </w:rPr>
        <w:t>this</w:t>
      </w:r>
      <w:r>
        <w:rPr>
          <w:spacing w:val="-1"/>
          <w:vertAlign w:val="baseline"/>
        </w:rPr>
        <w:t> </w:t>
      </w:r>
      <w:r>
        <w:rPr>
          <w:vertAlign w:val="baseline"/>
        </w:rPr>
        <w:t>may</w:t>
      </w:r>
      <w:r>
        <w:rPr>
          <w:spacing w:val="-1"/>
          <w:vertAlign w:val="baseline"/>
        </w:rPr>
        <w:t> </w:t>
      </w:r>
      <w:r>
        <w:rPr>
          <w:vertAlign w:val="baseline"/>
        </w:rPr>
        <w:t>well</w:t>
      </w:r>
      <w:r>
        <w:rPr>
          <w:spacing w:val="-1"/>
          <w:vertAlign w:val="baseline"/>
        </w:rPr>
        <w:t> </w:t>
      </w:r>
      <w:r>
        <w:rPr>
          <w:vertAlign w:val="baseline"/>
        </w:rPr>
        <w:t>be</w:t>
      </w:r>
      <w:r>
        <w:rPr>
          <w:spacing w:val="-1"/>
          <w:vertAlign w:val="baseline"/>
        </w:rPr>
        <w:t> </w:t>
      </w:r>
      <w:r>
        <w:rPr>
          <w:vertAlign w:val="baseline"/>
        </w:rPr>
        <w:t>difficult when they point to different solutions. </w:t>
      </w:r>
      <w:r>
        <w:rPr>
          <w:color w:val="005DA1"/>
          <w:u w:val="single" w:color="005DA1"/>
          <w:vertAlign w:val="superscript"/>
        </w:rPr>
        <w:t>83</w:t>
      </w:r>
    </w:p>
    <w:p>
      <w:pPr>
        <w:pStyle w:val="BodyText"/>
      </w:pPr>
    </w:p>
    <w:p>
      <w:pPr>
        <w:pStyle w:val="BodyText"/>
        <w:spacing w:before="38"/>
      </w:pPr>
    </w:p>
    <w:p>
      <w:pPr>
        <w:spacing w:before="0"/>
        <w:ind w:left="165" w:right="0" w:firstLine="0"/>
        <w:jc w:val="left"/>
        <w:rPr>
          <w:rFonts w:ascii="Arial"/>
          <w:b/>
          <w:sz w:val="18"/>
        </w:rPr>
      </w:pPr>
      <w:r>
        <w:rPr>
          <w:rFonts w:ascii="Arial"/>
          <w:b/>
          <w:sz w:val="18"/>
        </w:rPr>
        <w:t>Transaction not </w:t>
      </w:r>
      <w:r>
        <w:rPr>
          <w:rFonts w:ascii="Arial"/>
          <w:b/>
          <w:spacing w:val="-2"/>
          <w:sz w:val="18"/>
        </w:rPr>
        <w:t>contract</w:t>
      </w:r>
    </w:p>
    <w:p>
      <w:pPr>
        <w:pStyle w:val="BodyText"/>
        <w:spacing w:before="41"/>
        <w:rPr>
          <w:rFonts w:ascii="Arial"/>
          <w:b/>
          <w:sz w:val="18"/>
        </w:rPr>
      </w:pPr>
    </w:p>
    <w:p>
      <w:pPr>
        <w:pStyle w:val="Heading2"/>
      </w:pPr>
      <w:r>
        <w:rPr/>
        <w:t>30-</w:t>
      </w:r>
      <w:r>
        <w:rPr>
          <w:spacing w:val="-5"/>
        </w:rPr>
        <w:t>014</w:t>
      </w:r>
    </w:p>
    <w:p>
      <w:pPr>
        <w:pStyle w:val="BodyText"/>
        <w:spacing w:line="235" w:lineRule="auto" w:before="203"/>
        <w:ind w:left="165" w:right="167"/>
        <w:jc w:val="both"/>
      </w:pPr>
      <w:r>
        <w:rPr/>
        <w:t>It was suggested that the connection with the system of law, or country, should be that of </w:t>
      </w:r>
      <w:r>
        <w:rPr/>
        <w:t>the </w:t>
      </w:r>
      <w:bookmarkStart w:name="_bookmark82" w:id="84"/>
      <w:bookmarkEnd w:id="84"/>
      <w:r>
        <w:rPr/>
        <w:t>“transaction”</w:t>
      </w:r>
      <w:r>
        <w:rPr/>
        <w:t> contemplated by the contract. This meant the connection should be with what was to be done under the contract rather than just with the technical forms of the contract. </w:t>
      </w:r>
      <w:r>
        <w:rPr>
          <w:color w:val="005DA1"/>
          <w:u w:val="single" w:color="005DA1"/>
          <w:vertAlign w:val="superscript"/>
        </w:rPr>
        <w:t>84</w:t>
      </w:r>
    </w:p>
    <w:p>
      <w:pPr>
        <w:pStyle w:val="BodyText"/>
      </w:pPr>
    </w:p>
    <w:p>
      <w:pPr>
        <w:pStyle w:val="BodyText"/>
        <w:spacing w:before="37"/>
      </w:pPr>
    </w:p>
    <w:p>
      <w:pPr>
        <w:spacing w:before="1"/>
        <w:ind w:left="165" w:right="0" w:firstLine="0"/>
        <w:jc w:val="left"/>
        <w:rPr>
          <w:rFonts w:ascii="Arial"/>
          <w:b/>
          <w:sz w:val="18"/>
        </w:rPr>
      </w:pPr>
      <w:bookmarkStart w:name="_bookmark83" w:id="85"/>
      <w:bookmarkEnd w:id="85"/>
      <w:r>
        <w:rPr/>
      </w:r>
      <w:r>
        <w:rPr>
          <w:rFonts w:ascii="Arial"/>
          <w:b/>
          <w:sz w:val="18"/>
        </w:rPr>
        <w:t>Splitting of the contract </w:t>
      </w:r>
      <w:r>
        <w:rPr>
          <w:rFonts w:ascii="Arial"/>
          <w:b/>
          <w:color w:val="005DA1"/>
          <w:spacing w:val="-5"/>
          <w:sz w:val="18"/>
          <w:u w:val="single" w:color="005DA1"/>
          <w:vertAlign w:val="superscript"/>
        </w:rPr>
        <w:t>85</w:t>
      </w:r>
    </w:p>
    <w:p>
      <w:pPr>
        <w:pStyle w:val="BodyText"/>
        <w:spacing w:before="41"/>
        <w:rPr>
          <w:rFonts w:ascii="Arial"/>
          <w:b/>
          <w:sz w:val="18"/>
        </w:rPr>
      </w:pPr>
    </w:p>
    <w:p>
      <w:pPr>
        <w:pStyle w:val="Heading2"/>
        <w:ind w:left="164"/>
      </w:pPr>
      <w:r>
        <w:rPr/>
        <w:t>30-</w:t>
      </w:r>
      <w:r>
        <w:rPr>
          <w:spacing w:val="-5"/>
        </w:rPr>
        <w:t>015</w:t>
      </w:r>
    </w:p>
    <w:p>
      <w:pPr>
        <w:pStyle w:val="BodyText"/>
        <w:spacing w:line="235" w:lineRule="auto" w:before="203"/>
        <w:ind w:left="165" w:right="167"/>
        <w:jc w:val="both"/>
      </w:pPr>
      <w:bookmarkStart w:name="_bookmark84" w:id="86"/>
      <w:bookmarkEnd w:id="86"/>
      <w:r>
        <w:rPr/>
      </w:r>
      <w:r>
        <w:rPr/>
        <w:t>Although almost all the incidents of a contract were governed by the proper law, </w:t>
      </w:r>
      <w:r>
        <w:rPr>
          <w:color w:val="005DA1"/>
          <w:u w:val="single" w:color="005DA1"/>
          <w:vertAlign w:val="superscript"/>
        </w:rPr>
        <w:t>86</w:t>
      </w:r>
      <w:r>
        <w:rPr>
          <w:color w:val="005DA1"/>
          <w:vertAlign w:val="baseline"/>
        </w:rPr>
        <w:t> </w:t>
      </w:r>
      <w:r>
        <w:rPr>
          <w:vertAlign w:val="baseline"/>
        </w:rPr>
        <w:t>it had to </w:t>
      </w:r>
      <w:r>
        <w:rPr>
          <w:vertAlign w:val="baseline"/>
        </w:rPr>
        <w:t>be considered whether that proper law was to be the same for each incident and whether the obligations of both parties to the contract were to be governed by the same proper law, for it was suggested that:</w:t>
      </w:r>
    </w:p>
    <w:p>
      <w:pPr>
        <w:pStyle w:val="BodyText"/>
      </w:pPr>
    </w:p>
    <w:p>
      <w:pPr>
        <w:pStyle w:val="BodyText"/>
        <w:spacing w:before="125"/>
      </w:pPr>
    </w:p>
    <w:p>
      <w:pPr>
        <w:pStyle w:val="BodyText"/>
        <w:spacing w:line="235" w:lineRule="auto"/>
        <w:ind w:left="1245" w:right="168"/>
      </w:pPr>
      <w:bookmarkStart w:name="_bookmark85" w:id="87"/>
      <w:bookmarkEnd w:id="87"/>
      <w:r>
        <w:rPr/>
      </w:r>
      <w:r>
        <w:rPr/>
        <w:t>“The fact that one aspect of a contract is to be governed by the law of one country does not necessarily mean that the law is to be the proper law of the contract as a whole.” </w:t>
      </w:r>
      <w:r>
        <w:rPr>
          <w:color w:val="005DA1"/>
          <w:u w:val="single" w:color="005DA1"/>
          <w:vertAlign w:val="superscript"/>
        </w:rPr>
        <w:t>87</w:t>
      </w:r>
    </w:p>
    <w:p>
      <w:pPr>
        <w:pStyle w:val="BodyText"/>
        <w:spacing w:before="116"/>
      </w:pPr>
    </w:p>
    <w:p>
      <w:pPr>
        <w:pStyle w:val="BodyText"/>
        <w:spacing w:line="235" w:lineRule="auto"/>
        <w:ind w:left="165" w:right="167"/>
        <w:jc w:val="both"/>
      </w:pPr>
      <w:bookmarkStart w:name="_bookmark86" w:id="88"/>
      <w:bookmarkEnd w:id="88"/>
      <w:r>
        <w:rPr/>
      </w:r>
      <w:r>
        <w:rPr/>
        <w:t>However the basic rule was that there will normally be no such “scission”, for as Lord MacDermott said </w:t>
      </w:r>
      <w:r>
        <w:rPr>
          <w:color w:val="005DA1"/>
          <w:u w:val="single" w:color="005DA1"/>
          <w:vertAlign w:val="superscript"/>
        </w:rPr>
        <w:t>88</w:t>
      </w:r>
      <w:r>
        <w:rPr>
          <w:vertAlign w:val="baseline"/>
        </w:rPr>
        <w:t>:</w:t>
      </w:r>
    </w:p>
    <w:p>
      <w:pPr>
        <w:pStyle w:val="BodyText"/>
      </w:pPr>
    </w:p>
    <w:p>
      <w:pPr>
        <w:pStyle w:val="BodyText"/>
        <w:spacing w:before="126"/>
      </w:pPr>
    </w:p>
    <w:p>
      <w:pPr>
        <w:pStyle w:val="BodyText"/>
        <w:spacing w:line="235" w:lineRule="auto"/>
        <w:ind w:left="1245"/>
      </w:pPr>
      <w:r>
        <w:rPr/>
        <w:t>“It is doubtless true to say that the courts of this country will not split the contract in </w:t>
      </w:r>
      <w:r>
        <w:rPr/>
        <w:t>this</w:t>
      </w:r>
      <w:r>
        <w:rPr>
          <w:spacing w:val="80"/>
        </w:rPr>
        <w:t> </w:t>
      </w:r>
      <w:r>
        <w:rPr/>
        <w:t>sense readily or without good reason.”</w:t>
      </w:r>
    </w:p>
    <w:p>
      <w:pPr>
        <w:pStyle w:val="BodyText"/>
        <w:spacing w:before="116"/>
      </w:pPr>
    </w:p>
    <w:p>
      <w:pPr>
        <w:pStyle w:val="BodyText"/>
        <w:spacing w:line="235" w:lineRule="auto"/>
        <w:ind w:left="164" w:right="167"/>
        <w:jc w:val="both"/>
      </w:pPr>
      <w:bookmarkStart w:name="_bookmark87" w:id="89"/>
      <w:bookmarkEnd w:id="89"/>
      <w:r>
        <w:rPr/>
      </w:r>
      <w:r>
        <w:rPr/>
        <w:t>Nevertheless, there was some authority in the case of banking accounts of different aspects </w:t>
      </w:r>
      <w:r>
        <w:rPr/>
        <w:t>being governed by different laws </w:t>
      </w:r>
      <w:r>
        <w:rPr>
          <w:color w:val="005DA1"/>
          <w:u w:val="single" w:color="005DA1"/>
          <w:vertAlign w:val="superscript"/>
        </w:rPr>
        <w:t>89</w:t>
      </w:r>
      <w:r>
        <w:rPr>
          <w:vertAlign w:val="baseline"/>
        </w:rPr>
        <w:t>; and where a contract of reinsurance (governed by English law) was deemed to be “back to back” with the insurance contract (governed by Norwegian law), a clause in</w:t>
      </w:r>
      <w:r>
        <w:rPr>
          <w:spacing w:val="40"/>
          <w:vertAlign w:val="baseline"/>
        </w:rPr>
        <w:t> </w:t>
      </w:r>
      <w:bookmarkStart w:name="_bookmark88" w:id="90"/>
      <w:bookmarkEnd w:id="90"/>
      <w:r>
        <w:rPr>
          <w:vertAlign w:val="baseline"/>
        </w:rPr>
        <w:t>the</w:t>
      </w:r>
      <w:r>
        <w:rPr>
          <w:vertAlign w:val="baseline"/>
        </w:rPr>
        <w:t> former was construed as being intended by the parties to have the same effect as under </w:t>
      </w:r>
      <w:bookmarkStart w:name="_bookmark89" w:id="91"/>
      <w:bookmarkEnd w:id="91"/>
      <w:r>
        <w:rPr>
          <w:vertAlign w:val="baseline"/>
        </w:rPr>
        <w:t>Norwegian</w:t>
      </w:r>
      <w:r>
        <w:rPr>
          <w:vertAlign w:val="baseline"/>
        </w:rPr>
        <w:t> law. </w:t>
      </w:r>
      <w:r>
        <w:rPr>
          <w:color w:val="005DA1"/>
          <w:u w:val="single" w:color="005DA1"/>
          <w:vertAlign w:val="superscript"/>
        </w:rPr>
        <w:t>90</w:t>
      </w:r>
      <w:r>
        <w:rPr>
          <w:color w:val="005DA1"/>
          <w:vertAlign w:val="baseline"/>
        </w:rPr>
        <w:t> </w:t>
      </w:r>
      <w:r>
        <w:rPr>
          <w:vertAlign w:val="baseline"/>
        </w:rPr>
        <w:t>The parties might, however, agree expressly that different contractual issues</w:t>
      </w:r>
      <w:r>
        <w:rPr>
          <w:spacing w:val="40"/>
          <w:vertAlign w:val="baseline"/>
        </w:rPr>
        <w:t> </w:t>
      </w:r>
      <w:bookmarkStart w:name="_bookmark90" w:id="92"/>
      <w:bookmarkEnd w:id="92"/>
      <w:r>
        <w:rPr>
          <w:vertAlign w:val="baseline"/>
        </w:rPr>
        <w:t>should</w:t>
      </w:r>
      <w:r>
        <w:rPr>
          <w:spacing w:val="-3"/>
          <w:vertAlign w:val="baseline"/>
        </w:rPr>
        <w:t> </w:t>
      </w:r>
      <w:r>
        <w:rPr>
          <w:vertAlign w:val="baseline"/>
        </w:rPr>
        <w:t>be</w:t>
      </w:r>
      <w:r>
        <w:rPr>
          <w:spacing w:val="-3"/>
          <w:vertAlign w:val="baseline"/>
        </w:rPr>
        <w:t> </w:t>
      </w:r>
      <w:r>
        <w:rPr>
          <w:vertAlign w:val="baseline"/>
        </w:rPr>
        <w:t>governed</w:t>
      </w:r>
      <w:r>
        <w:rPr>
          <w:spacing w:val="-3"/>
          <w:vertAlign w:val="baseline"/>
        </w:rPr>
        <w:t> </w:t>
      </w:r>
      <w:r>
        <w:rPr>
          <w:vertAlign w:val="baseline"/>
        </w:rPr>
        <w:t>by</w:t>
      </w:r>
      <w:r>
        <w:rPr>
          <w:spacing w:val="-3"/>
          <w:vertAlign w:val="baseline"/>
        </w:rPr>
        <w:t> </w:t>
      </w:r>
      <w:r>
        <w:rPr>
          <w:vertAlign w:val="baseline"/>
        </w:rPr>
        <w:t>different</w:t>
      </w:r>
      <w:r>
        <w:rPr>
          <w:spacing w:val="-3"/>
          <w:vertAlign w:val="baseline"/>
        </w:rPr>
        <w:t> </w:t>
      </w:r>
      <w:r>
        <w:rPr>
          <w:vertAlign w:val="baseline"/>
        </w:rPr>
        <w:t>laws.</w:t>
      </w:r>
      <w:r>
        <w:rPr>
          <w:spacing w:val="-3"/>
          <w:vertAlign w:val="baseline"/>
        </w:rPr>
        <w:t> </w:t>
      </w:r>
      <w:r>
        <w:rPr>
          <w:color w:val="005DA1"/>
          <w:u w:val="single" w:color="005DA1"/>
          <w:vertAlign w:val="superscript"/>
        </w:rPr>
        <w:t>91</w:t>
      </w:r>
      <w:r>
        <w:rPr>
          <w:color w:val="005DA1"/>
          <w:spacing w:val="-3"/>
          <w:vertAlign w:val="baseline"/>
        </w:rPr>
        <w:t> </w:t>
      </w:r>
      <w:r>
        <w:rPr>
          <w:vertAlign w:val="baseline"/>
        </w:rPr>
        <w:t>The</w:t>
      </w:r>
      <w:r>
        <w:rPr>
          <w:spacing w:val="-3"/>
          <w:vertAlign w:val="baseline"/>
        </w:rPr>
        <w:t> </w:t>
      </w:r>
      <w:r>
        <w:rPr>
          <w:vertAlign w:val="baseline"/>
        </w:rPr>
        <w:t>different</w:t>
      </w:r>
      <w:r>
        <w:rPr>
          <w:spacing w:val="-3"/>
          <w:vertAlign w:val="baseline"/>
        </w:rPr>
        <w:t> </w:t>
      </w:r>
      <w:r>
        <w:rPr>
          <w:vertAlign w:val="baseline"/>
        </w:rPr>
        <w:t>obligations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two</w:t>
      </w:r>
      <w:r>
        <w:rPr>
          <w:spacing w:val="-3"/>
          <w:vertAlign w:val="baseline"/>
        </w:rPr>
        <w:t> </w:t>
      </w:r>
      <w:r>
        <w:rPr>
          <w:vertAlign w:val="baseline"/>
        </w:rPr>
        <w:t>parties</w:t>
      </w:r>
      <w:r>
        <w:rPr>
          <w:spacing w:val="-3"/>
          <w:vertAlign w:val="baseline"/>
        </w:rPr>
        <w:t> </w:t>
      </w:r>
      <w:r>
        <w:rPr>
          <w:vertAlign w:val="baseline"/>
        </w:rPr>
        <w:t>to</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would </w:t>
      </w:r>
      <w:bookmarkStart w:name="_bookmark91" w:id="93"/>
      <w:bookmarkEnd w:id="93"/>
      <w:r>
        <w:rPr>
          <w:vertAlign w:val="baseline"/>
        </w:rPr>
        <w:t>be</w:t>
      </w:r>
      <w:r>
        <w:rPr>
          <w:vertAlign w:val="baseline"/>
        </w:rPr>
        <w:t> governed by the same proper law </w:t>
      </w:r>
      <w:r>
        <w:rPr>
          <w:color w:val="005DA1"/>
          <w:u w:val="single" w:color="005DA1"/>
          <w:vertAlign w:val="superscript"/>
        </w:rPr>
        <w:t>92</w:t>
      </w:r>
      <w:r>
        <w:rPr>
          <w:color w:val="005DA1"/>
          <w:vertAlign w:val="baseline"/>
        </w:rPr>
        <w:t> </w:t>
      </w:r>
      <w:r>
        <w:rPr>
          <w:vertAlign w:val="baseline"/>
        </w:rPr>
        <w:t>unless they had made an agreement, express or implied, to the contrary. </w:t>
      </w:r>
      <w:r>
        <w:rPr>
          <w:color w:val="005DA1"/>
          <w:u w:val="single" w:color="005DA1"/>
          <w:vertAlign w:val="superscript"/>
        </w:rPr>
        <w:t>93</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Renvoi</w:t>
      </w:r>
    </w:p>
    <w:p>
      <w:pPr>
        <w:pStyle w:val="BodyText"/>
        <w:spacing w:before="41"/>
        <w:rPr>
          <w:rFonts w:ascii="Arial"/>
          <w:b/>
          <w:sz w:val="18"/>
        </w:rPr>
      </w:pPr>
    </w:p>
    <w:p>
      <w:pPr>
        <w:pStyle w:val="Heading2"/>
      </w:pPr>
      <w:r>
        <w:rPr/>
        <w:t>30-</w:t>
      </w:r>
      <w:r>
        <w:rPr>
          <w:spacing w:val="-5"/>
        </w:rPr>
        <w:t>016</w:t>
      </w:r>
    </w:p>
    <w:p>
      <w:pPr>
        <w:pStyle w:val="BodyText"/>
        <w:spacing w:line="235" w:lineRule="auto" w:before="203"/>
        <w:ind w:left="165" w:right="168"/>
        <w:jc w:val="both"/>
      </w:pPr>
      <w:bookmarkStart w:name="_bookmark92" w:id="94"/>
      <w:bookmarkEnd w:id="94"/>
      <w:r>
        <w:rPr/>
      </w:r>
      <w:r>
        <w:rPr/>
        <w:t>The</w:t>
      </w:r>
      <w:r>
        <w:rPr>
          <w:spacing w:val="-1"/>
        </w:rPr>
        <w:t> </w:t>
      </w:r>
      <w:r>
        <w:rPr/>
        <w:t>doctrine</w:t>
      </w:r>
      <w:r>
        <w:rPr>
          <w:spacing w:val="-1"/>
        </w:rPr>
        <w:t> </w:t>
      </w:r>
      <w:r>
        <w:rPr/>
        <w:t>of</w:t>
      </w:r>
      <w:r>
        <w:rPr>
          <w:spacing w:val="-1"/>
        </w:rPr>
        <w:t> </w:t>
      </w:r>
      <w:r>
        <w:rPr/>
        <w:t>renvoi</w:t>
      </w:r>
      <w:r>
        <w:rPr>
          <w:spacing w:val="-1"/>
        </w:rPr>
        <w:t> </w:t>
      </w:r>
      <w:r>
        <w:rPr>
          <w:color w:val="005DA1"/>
          <w:u w:val="single" w:color="005DA1"/>
          <w:vertAlign w:val="superscript"/>
        </w:rPr>
        <w:t>94</w:t>
      </w:r>
      <w:r>
        <w:rPr>
          <w:color w:val="005DA1"/>
          <w:spacing w:val="-1"/>
          <w:vertAlign w:val="baseline"/>
        </w:rPr>
        <w:t> </w:t>
      </w:r>
      <w:r>
        <w:rPr>
          <w:vertAlign w:val="baseline"/>
        </w:rPr>
        <w:t>had</w:t>
      </w:r>
      <w:r>
        <w:rPr>
          <w:spacing w:val="-1"/>
          <w:vertAlign w:val="baseline"/>
        </w:rPr>
        <w:t> </w:t>
      </w:r>
      <w:r>
        <w:rPr>
          <w:vertAlign w:val="baseline"/>
        </w:rPr>
        <w:t>no</w:t>
      </w:r>
      <w:r>
        <w:rPr>
          <w:spacing w:val="-1"/>
          <w:vertAlign w:val="baseline"/>
        </w:rPr>
        <w:t> </w:t>
      </w:r>
      <w:r>
        <w:rPr>
          <w:vertAlign w:val="baseline"/>
        </w:rPr>
        <w:t>place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at</w:t>
      </w:r>
      <w:r>
        <w:rPr>
          <w:spacing w:val="-1"/>
          <w:vertAlign w:val="baseline"/>
        </w:rPr>
        <w:t> </w:t>
      </w:r>
      <w:r>
        <w:rPr>
          <w:vertAlign w:val="baseline"/>
        </w:rPr>
        <w:t>common</w:t>
      </w:r>
      <w:r>
        <w:rPr>
          <w:spacing w:val="-1"/>
          <w:vertAlign w:val="baseline"/>
        </w:rPr>
        <w:t> </w:t>
      </w:r>
      <w:r>
        <w:rPr>
          <w:vertAlign w:val="baseline"/>
        </w:rPr>
        <w:t>law.</w:t>
      </w:r>
      <w:r>
        <w:rPr>
          <w:spacing w:val="-1"/>
          <w:vertAlign w:val="baseline"/>
        </w:rPr>
        <w:t> </w:t>
      </w:r>
      <w:r>
        <w:rPr>
          <w:color w:val="005DA1"/>
          <w:u w:val="single" w:color="005DA1"/>
          <w:vertAlign w:val="superscript"/>
        </w:rPr>
        <w:t>95</w:t>
      </w:r>
      <w:r>
        <w:rPr>
          <w:color w:val="005DA1"/>
          <w:spacing w:val="-1"/>
          <w:vertAlign w:val="baseline"/>
        </w:rPr>
        <w:t> </w:t>
      </w:r>
      <w:r>
        <w:rPr>
          <w:vertAlign w:val="baseline"/>
        </w:rPr>
        <w:t>Thus</w:t>
      </w:r>
      <w:r>
        <w:rPr>
          <w:spacing w:val="-1"/>
          <w:vertAlign w:val="baseline"/>
        </w:rPr>
        <w:t> </w:t>
      </w:r>
      <w:r>
        <w:rPr>
          <w:vertAlign w:val="baseline"/>
        </w:rPr>
        <w:t>the</w:t>
      </w:r>
      <w:r>
        <w:rPr>
          <w:spacing w:val="-1"/>
          <w:vertAlign w:val="baseline"/>
        </w:rPr>
        <w:t> </w:t>
      </w:r>
      <w:r>
        <w:rPr>
          <w:vertAlign w:val="baseline"/>
        </w:rPr>
        <w:t>proper</w:t>
      </w:r>
      <w:r>
        <w:rPr>
          <w:spacing w:val="-1"/>
          <w:vertAlign w:val="baseline"/>
        </w:rPr>
        <w:t> </w:t>
      </w:r>
      <w:r>
        <w:rPr>
          <w:vertAlign w:val="baseline"/>
        </w:rPr>
        <w:t>law</w:t>
      </w:r>
      <w:r>
        <w:rPr>
          <w:spacing w:val="-1"/>
          <w:vertAlign w:val="baseline"/>
        </w:rPr>
        <w:t> </w:t>
      </w:r>
      <w:r>
        <w:rPr>
          <w:vertAlign w:val="baseline"/>
        </w:rPr>
        <w:t>of the contract meant the domestic rules of that law and not its rules of the conflict of laws.</w:t>
      </w:r>
    </w:p>
    <w:p>
      <w:pPr>
        <w:pStyle w:val="BodyText"/>
      </w:pPr>
    </w:p>
    <w:p>
      <w:pPr>
        <w:pStyle w:val="BodyText"/>
        <w:spacing w:before="39"/>
      </w:pPr>
      <w:r>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186183</wp:posOffset>
                </wp:positionV>
                <wp:extent cx="572452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0093pt;width:450.75pt;height:.1pt;mso-position-horizontal-relative:page;mso-position-vertical-relative:paragraph;z-index:-15717888;mso-wrap-distance-left:0;mso-wrap-distance-right:0" id="docshape6"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bookmarkStart w:name="_bookmark93" w:id="95"/>
      <w:bookmarkEnd w:id="95"/>
      <w:r>
        <w:rPr/>
      </w:r>
      <w:hyperlink w:history="true" w:anchor="_bookmark23">
        <w:r>
          <w:rPr>
            <w:color w:val="005DA1"/>
            <w:position w:val="5"/>
            <w:sz w:val="14"/>
            <w:u w:val="single" w:color="005DA1"/>
          </w:rPr>
          <w:t>13</w:t>
        </w:r>
      </w:hyperlink>
      <w:r>
        <w:rPr>
          <w:position w:val="5"/>
          <w:sz w:val="14"/>
        </w:rPr>
        <w:t>.</w:t>
      </w:r>
      <w:r>
        <w:rPr>
          <w:spacing w:val="80"/>
          <w:position w:val="5"/>
          <w:sz w:val="14"/>
        </w:rPr>
        <w:t>  </w:t>
      </w:r>
      <w:r>
        <w:rPr/>
        <w:t>For</w:t>
      </w:r>
      <w:r>
        <w:rPr>
          <w:spacing w:val="37"/>
        </w:rPr>
        <w:t> </w:t>
      </w:r>
      <w:r>
        <w:rPr/>
        <w:t>more</w:t>
      </w:r>
      <w:r>
        <w:rPr>
          <w:spacing w:val="37"/>
        </w:rPr>
        <w:t> </w:t>
      </w:r>
      <w:r>
        <w:rPr/>
        <w:t>detailed</w:t>
      </w:r>
      <w:r>
        <w:rPr>
          <w:spacing w:val="37"/>
        </w:rPr>
        <w:t> </w:t>
      </w:r>
      <w:r>
        <w:rPr/>
        <w:t>accounts</w:t>
      </w:r>
      <w:r>
        <w:rPr>
          <w:spacing w:val="37"/>
        </w:rPr>
        <w:t> </w:t>
      </w:r>
      <w:r>
        <w:rPr/>
        <w:t>of</w:t>
      </w:r>
      <w:r>
        <w:rPr>
          <w:spacing w:val="37"/>
        </w:rPr>
        <w:t> </w:t>
      </w:r>
      <w:r>
        <w:rPr/>
        <w:t>the</w:t>
      </w:r>
      <w:r>
        <w:rPr>
          <w:spacing w:val="37"/>
        </w:rPr>
        <w:t> </w:t>
      </w:r>
      <w:r>
        <w:rPr/>
        <w:t>common</w:t>
      </w:r>
      <w:r>
        <w:rPr>
          <w:spacing w:val="37"/>
        </w:rPr>
        <w:t> </w:t>
      </w:r>
      <w:r>
        <w:rPr/>
        <w:t>law</w:t>
      </w:r>
      <w:r>
        <w:rPr>
          <w:spacing w:val="37"/>
        </w:rPr>
        <w:t> </w:t>
      </w:r>
      <w:r>
        <w:rPr/>
        <w:t>position,</w:t>
      </w:r>
      <w:r>
        <w:rPr>
          <w:spacing w:val="37"/>
        </w:rPr>
        <w:t> </w:t>
      </w:r>
      <w:r>
        <w:rPr/>
        <w:t>see</w:t>
      </w:r>
      <w:r>
        <w:rPr>
          <w:spacing w:val="37"/>
        </w:rPr>
        <w:t> </w:t>
      </w:r>
      <w:r>
        <w:rPr/>
        <w:t>the</w:t>
      </w:r>
      <w:r>
        <w:rPr>
          <w:spacing w:val="37"/>
        </w:rPr>
        <w:t> </w:t>
      </w:r>
      <w:r>
        <w:rPr/>
        <w:t>26th</w:t>
      </w:r>
      <w:r>
        <w:rPr>
          <w:spacing w:val="37"/>
        </w:rPr>
        <w:t> </w:t>
      </w:r>
      <w:r>
        <w:rPr/>
        <w:t>edition</w:t>
      </w:r>
      <w:r>
        <w:rPr>
          <w:spacing w:val="37"/>
        </w:rPr>
        <w:t> </w:t>
      </w:r>
      <w:r>
        <w:rPr/>
        <w:t>of</w:t>
      </w:r>
      <w:r>
        <w:rPr>
          <w:spacing w:val="37"/>
        </w:rPr>
        <w:t> </w:t>
      </w:r>
      <w:r>
        <w:rPr/>
        <w:t>this</w:t>
      </w:r>
      <w:r>
        <w:rPr>
          <w:spacing w:val="37"/>
        </w:rPr>
        <w:t> </w:t>
      </w:r>
      <w:r>
        <w:rPr/>
        <w:t>work, Ch.30; Dicey &amp; Morris on the Conflict of Laws, 11th edn (1987), Chs 32 and 33; Cheshire and North, </w:t>
      </w:r>
      <w:r>
        <w:rPr>
          <w:rFonts w:ascii="Arial"/>
          <w:i/>
        </w:rPr>
        <w:t>Private International Law</w:t>
      </w:r>
      <w:r>
        <w:rPr/>
        <w:t>, 11th edn (1987), Ch.18.</w:t>
      </w:r>
    </w:p>
    <w:p>
      <w:pPr>
        <w:pStyle w:val="BodyText"/>
        <w:spacing w:before="9"/>
      </w:pPr>
    </w:p>
    <w:p>
      <w:pPr>
        <w:tabs>
          <w:tab w:pos="705" w:val="left" w:leader="none"/>
        </w:tabs>
        <w:spacing w:line="235" w:lineRule="auto" w:before="0"/>
        <w:ind w:left="705" w:right="167" w:hanging="541"/>
        <w:jc w:val="left"/>
        <w:rPr>
          <w:sz w:val="20"/>
        </w:rPr>
      </w:pPr>
      <w:bookmarkStart w:name="_bookmark94" w:id="96"/>
      <w:bookmarkEnd w:id="96"/>
      <w:r>
        <w:rPr/>
      </w:r>
      <w:hyperlink w:history="true" w:anchor="_bookmark24">
        <w:r>
          <w:rPr>
            <w:color w:val="005DA1"/>
            <w:spacing w:val="-4"/>
            <w:position w:val="5"/>
            <w:sz w:val="14"/>
            <w:u w:val="single" w:color="005DA1"/>
          </w:rPr>
          <w:t>14</w:t>
        </w:r>
      </w:hyperlink>
      <w:r>
        <w:rPr>
          <w:spacing w:val="-4"/>
          <w:position w:val="5"/>
          <w:sz w:val="14"/>
        </w:rPr>
        <w:t>.</w:t>
      </w:r>
      <w:r>
        <w:rPr>
          <w:position w:val="5"/>
          <w:sz w:val="14"/>
        </w:rPr>
        <w:tab/>
      </w:r>
      <w:r>
        <w:rPr>
          <w:rFonts w:ascii="Arial"/>
          <w:i/>
          <w:sz w:val="20"/>
        </w:rPr>
        <w:t>Amin Rasheed Shipping Corp v Kuwait Insurance Co [1984] A.C. 50, 51</w:t>
      </w:r>
      <w:r>
        <w:rPr>
          <w:sz w:val="20"/>
        </w:rPr>
        <w:t>. For a short historical account of the development leading to this view, see Dicey, Morris and Collins on the Conflict </w:t>
      </w:r>
      <w:r>
        <w:rPr>
          <w:spacing w:val="-5"/>
          <w:sz w:val="20"/>
        </w:rPr>
        <w:t>of</w:t>
      </w:r>
    </w:p>
    <w:p>
      <w:pPr>
        <w:spacing w:after="0" w:line="235" w:lineRule="auto"/>
        <w:jc w:val="left"/>
        <w:rPr>
          <w:sz w:val="20"/>
        </w:rPr>
        <w:sectPr>
          <w:pgSz w:w="11900" w:h="16840"/>
          <w:pgMar w:header="971" w:footer="0" w:top="1300" w:bottom="280" w:left="1275" w:right="1275"/>
        </w:sectPr>
      </w:pPr>
    </w:p>
    <w:p>
      <w:pPr>
        <w:spacing w:line="235" w:lineRule="auto" w:before="110"/>
        <w:ind w:left="705" w:right="167" w:firstLine="0"/>
        <w:jc w:val="both"/>
        <w:rPr>
          <w:rFonts w:ascii="Arial" w:hAnsi="Arial"/>
          <w:i/>
          <w:sz w:val="20"/>
        </w:rPr>
      </w:pPr>
      <w:r>
        <w:rPr>
          <w:sz w:val="20"/>
        </w:rPr>
        <w:t>Laws, 15th edn (2012), paras 32-003—32-008. The detail may be traced through </w:t>
      </w:r>
      <w:r>
        <w:rPr>
          <w:rFonts w:ascii="Arial" w:hAnsi="Arial"/>
          <w:i/>
          <w:sz w:val="20"/>
        </w:rPr>
        <w:t>Robinson v Bland (1760) 2 Burr. 1077</w:t>
      </w:r>
      <w:r>
        <w:rPr>
          <w:sz w:val="20"/>
        </w:rPr>
        <w:t>; </w:t>
      </w:r>
      <w:r>
        <w:rPr>
          <w:rFonts w:ascii="Arial" w:hAnsi="Arial"/>
          <w:i/>
          <w:sz w:val="20"/>
        </w:rPr>
        <w:t>Lloyd v Guibert (1865) L.R. 1 Q.B. 115</w:t>
      </w:r>
      <w:r>
        <w:rPr>
          <w:sz w:val="20"/>
        </w:rPr>
        <w:t>: </w:t>
      </w:r>
      <w:r>
        <w:rPr>
          <w:rFonts w:ascii="Arial" w:hAnsi="Arial"/>
          <w:i/>
          <w:sz w:val="20"/>
        </w:rPr>
        <w:t>P. &amp; O. S.S. Co v Shand (1865)</w:t>
      </w:r>
      <w:r>
        <w:rPr>
          <w:rFonts w:ascii="Arial" w:hAnsi="Arial"/>
          <w:i/>
          <w:spacing w:val="10"/>
          <w:sz w:val="20"/>
        </w:rPr>
        <w:t> </w:t>
      </w:r>
      <w:r>
        <w:rPr>
          <w:rFonts w:ascii="Arial" w:hAnsi="Arial"/>
          <w:i/>
          <w:sz w:val="20"/>
        </w:rPr>
        <w:t>3</w:t>
      </w:r>
      <w:r>
        <w:rPr>
          <w:rFonts w:ascii="Arial" w:hAnsi="Arial"/>
          <w:i/>
          <w:spacing w:val="11"/>
          <w:sz w:val="20"/>
        </w:rPr>
        <w:t> </w:t>
      </w:r>
      <w:r>
        <w:rPr>
          <w:rFonts w:ascii="Arial" w:hAnsi="Arial"/>
          <w:i/>
          <w:sz w:val="20"/>
        </w:rPr>
        <w:t>Moo.</w:t>
      </w:r>
      <w:r>
        <w:rPr>
          <w:rFonts w:ascii="Arial" w:hAnsi="Arial"/>
          <w:i/>
          <w:spacing w:val="11"/>
          <w:sz w:val="20"/>
        </w:rPr>
        <w:t> </w:t>
      </w:r>
      <w:r>
        <w:rPr>
          <w:rFonts w:ascii="Arial" w:hAnsi="Arial"/>
          <w:i/>
          <w:sz w:val="20"/>
        </w:rPr>
        <w:t>P.C.(N.S.)</w:t>
      </w:r>
      <w:r>
        <w:rPr>
          <w:rFonts w:ascii="Arial" w:hAnsi="Arial"/>
          <w:i/>
          <w:spacing w:val="11"/>
          <w:sz w:val="20"/>
        </w:rPr>
        <w:t> </w:t>
      </w:r>
      <w:r>
        <w:rPr>
          <w:rFonts w:ascii="Arial" w:hAnsi="Arial"/>
          <w:i/>
          <w:sz w:val="20"/>
        </w:rPr>
        <w:t>272</w:t>
      </w:r>
      <w:r>
        <w:rPr>
          <w:sz w:val="20"/>
        </w:rPr>
        <w:t>;</w:t>
      </w:r>
      <w:r>
        <w:rPr>
          <w:spacing w:val="11"/>
          <w:sz w:val="20"/>
        </w:rPr>
        <w:t> </w:t>
      </w:r>
      <w:r>
        <w:rPr>
          <w:rFonts w:ascii="Arial" w:hAnsi="Arial"/>
          <w:i/>
          <w:sz w:val="20"/>
        </w:rPr>
        <w:t>Chartered</w:t>
      </w:r>
      <w:r>
        <w:rPr>
          <w:rFonts w:ascii="Arial" w:hAnsi="Arial"/>
          <w:i/>
          <w:spacing w:val="11"/>
          <w:sz w:val="20"/>
        </w:rPr>
        <w:t> </w:t>
      </w:r>
      <w:r>
        <w:rPr>
          <w:rFonts w:ascii="Arial" w:hAnsi="Arial"/>
          <w:i/>
          <w:sz w:val="20"/>
        </w:rPr>
        <w:t>Mercantile</w:t>
      </w:r>
      <w:r>
        <w:rPr>
          <w:rFonts w:ascii="Arial" w:hAnsi="Arial"/>
          <w:i/>
          <w:spacing w:val="11"/>
          <w:sz w:val="20"/>
        </w:rPr>
        <w:t> </w:t>
      </w:r>
      <w:r>
        <w:rPr>
          <w:rFonts w:ascii="Arial" w:hAnsi="Arial"/>
          <w:i/>
          <w:sz w:val="20"/>
        </w:rPr>
        <w:t>Bank</w:t>
      </w:r>
      <w:r>
        <w:rPr>
          <w:rFonts w:ascii="Arial" w:hAnsi="Arial"/>
          <w:i/>
          <w:spacing w:val="11"/>
          <w:sz w:val="20"/>
        </w:rPr>
        <w:t> </w:t>
      </w:r>
      <w:r>
        <w:rPr>
          <w:rFonts w:ascii="Arial" w:hAnsi="Arial"/>
          <w:i/>
          <w:sz w:val="20"/>
        </w:rPr>
        <w:t>of</w:t>
      </w:r>
      <w:r>
        <w:rPr>
          <w:rFonts w:ascii="Arial" w:hAnsi="Arial"/>
          <w:i/>
          <w:spacing w:val="11"/>
          <w:sz w:val="20"/>
        </w:rPr>
        <w:t> </w:t>
      </w:r>
      <w:r>
        <w:rPr>
          <w:rFonts w:ascii="Arial" w:hAnsi="Arial"/>
          <w:i/>
          <w:sz w:val="20"/>
        </w:rPr>
        <w:t>India</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Netherlands</w:t>
      </w:r>
      <w:r>
        <w:rPr>
          <w:rFonts w:ascii="Arial" w:hAnsi="Arial"/>
          <w:i/>
          <w:spacing w:val="11"/>
          <w:sz w:val="20"/>
        </w:rPr>
        <w:t> </w:t>
      </w:r>
      <w:r>
        <w:rPr>
          <w:rFonts w:ascii="Arial" w:hAnsi="Arial"/>
          <w:i/>
          <w:sz w:val="20"/>
        </w:rPr>
        <w:t>Co</w:t>
      </w:r>
      <w:r>
        <w:rPr>
          <w:rFonts w:ascii="Arial" w:hAnsi="Arial"/>
          <w:i/>
          <w:spacing w:val="11"/>
          <w:sz w:val="20"/>
        </w:rPr>
        <w:t> </w:t>
      </w:r>
      <w:r>
        <w:rPr>
          <w:rFonts w:ascii="Arial" w:hAnsi="Arial"/>
          <w:i/>
          <w:sz w:val="20"/>
        </w:rPr>
        <w:t>(1883)</w:t>
      </w:r>
      <w:r>
        <w:rPr>
          <w:rFonts w:ascii="Arial" w:hAnsi="Arial"/>
          <w:i/>
          <w:spacing w:val="11"/>
          <w:sz w:val="20"/>
        </w:rPr>
        <w:t> </w:t>
      </w:r>
      <w:r>
        <w:rPr>
          <w:rFonts w:ascii="Arial" w:hAnsi="Arial"/>
          <w:i/>
          <w:spacing w:val="-5"/>
          <w:sz w:val="20"/>
        </w:rPr>
        <w:t>10</w:t>
      </w:r>
    </w:p>
    <w:p>
      <w:pPr>
        <w:spacing w:line="235" w:lineRule="auto" w:before="0"/>
        <w:ind w:left="705" w:right="167" w:firstLine="0"/>
        <w:jc w:val="both"/>
        <w:rPr>
          <w:rFonts w:ascii="Arial" w:hAnsi="Arial"/>
          <w:i/>
          <w:sz w:val="20"/>
        </w:rPr>
      </w:pPr>
      <w:r>
        <w:rPr>
          <w:rFonts w:ascii="Arial" w:hAnsi="Arial"/>
          <w:i/>
          <w:sz w:val="20"/>
        </w:rPr>
        <w:t>Q.B.D. 521</w:t>
      </w:r>
      <w:r>
        <w:rPr>
          <w:sz w:val="20"/>
        </w:rPr>
        <w:t>; </w:t>
      </w:r>
      <w:r>
        <w:rPr>
          <w:rFonts w:ascii="Arial" w:hAnsi="Arial"/>
          <w:i/>
          <w:sz w:val="20"/>
        </w:rPr>
        <w:t>Jacobs v Crédit Lyonnais (1884) 12 Q.B.D. 589</w:t>
      </w:r>
      <w:r>
        <w:rPr>
          <w:sz w:val="20"/>
        </w:rPr>
        <w:t>; </w:t>
      </w:r>
      <w:r>
        <w:rPr>
          <w:rFonts w:ascii="Arial" w:hAnsi="Arial"/>
          <w:i/>
          <w:sz w:val="20"/>
        </w:rPr>
        <w:t>Re Missouri Steamship Co </w:t>
      </w:r>
      <w:r>
        <w:rPr>
          <w:rFonts w:ascii="Arial" w:hAnsi="Arial"/>
          <w:i/>
          <w:sz w:val="20"/>
        </w:rPr>
        <w:t>(1889) 42 Ch. D. 321</w:t>
      </w:r>
      <w:r>
        <w:rPr>
          <w:sz w:val="20"/>
        </w:rPr>
        <w:t>; </w:t>
      </w:r>
      <w:r>
        <w:rPr>
          <w:rFonts w:ascii="Arial" w:hAnsi="Arial"/>
          <w:i/>
          <w:sz w:val="20"/>
        </w:rPr>
        <w:t>Hamlyn v Talisker Distillery [1894] A.C. 202</w:t>
      </w:r>
      <w:r>
        <w:rPr>
          <w:sz w:val="20"/>
        </w:rPr>
        <w:t>; </w:t>
      </w:r>
      <w:r>
        <w:rPr>
          <w:rFonts w:ascii="Arial" w:hAnsi="Arial"/>
          <w:i/>
          <w:sz w:val="20"/>
        </w:rPr>
        <w:t>Spurrier v La Cloche [1902] A.C. 446</w:t>
      </w:r>
      <w:r>
        <w:rPr>
          <w:sz w:val="20"/>
        </w:rPr>
        <w:t>; </w:t>
      </w:r>
      <w:r>
        <w:rPr>
          <w:rFonts w:ascii="Arial" w:hAnsi="Arial"/>
          <w:i/>
          <w:sz w:val="20"/>
        </w:rPr>
        <w:t>NV Kwik Hoo Tong Handel Maatschappij v James Finlay &amp; Co [1927] A.C. 604</w:t>
      </w:r>
      <w:r>
        <w:rPr>
          <w:sz w:val="20"/>
        </w:rPr>
        <w:t>; </w:t>
      </w:r>
      <w:r>
        <w:rPr>
          <w:rFonts w:ascii="Arial" w:hAnsi="Arial"/>
          <w:i/>
          <w:sz w:val="20"/>
        </w:rPr>
        <w:t>R. v International Trustee for the Protection of Bondholders AG [1937] A.C. 500</w:t>
      </w:r>
      <w:r>
        <w:rPr>
          <w:sz w:val="20"/>
        </w:rPr>
        <w:t>; </w:t>
      </w:r>
      <w:r>
        <w:rPr>
          <w:rFonts w:ascii="Arial" w:hAnsi="Arial"/>
          <w:i/>
          <w:sz w:val="20"/>
        </w:rPr>
        <w:t>Mount Albert BC v Australasian, etc, Assurance Building Society Ltd [1938] A.C. 224</w:t>
      </w:r>
      <w:r>
        <w:rPr>
          <w:sz w:val="20"/>
        </w:rPr>
        <w:t>; </w:t>
      </w:r>
      <w:r>
        <w:rPr>
          <w:rFonts w:ascii="Arial" w:hAnsi="Arial"/>
          <w:i/>
          <w:sz w:val="20"/>
        </w:rPr>
        <w:t>Vita Food Products Inc v Unus Shipping Co Ltd [1939] A.C. 277</w:t>
      </w:r>
      <w:r>
        <w:rPr>
          <w:sz w:val="20"/>
        </w:rPr>
        <w:t>; </w:t>
      </w:r>
      <w:r>
        <w:rPr>
          <w:rFonts w:ascii="Arial" w:hAnsi="Arial"/>
          <w:i/>
          <w:sz w:val="20"/>
        </w:rPr>
        <w:t>Kahler v Midland Bank Ltd [1950] A.C. 24</w:t>
      </w:r>
      <w:r>
        <w:rPr>
          <w:sz w:val="20"/>
        </w:rPr>
        <w:t>; </w:t>
      </w:r>
      <w:r>
        <w:rPr>
          <w:rFonts w:ascii="Arial" w:hAnsi="Arial"/>
          <w:i/>
          <w:sz w:val="20"/>
        </w:rPr>
        <w:t>Bonython v Commonwealth of Australia [1951] A.C. 201</w:t>
      </w:r>
      <w:r>
        <w:rPr>
          <w:sz w:val="20"/>
        </w:rPr>
        <w:t>; </w:t>
      </w:r>
      <w:r>
        <w:rPr>
          <w:rFonts w:ascii="Arial" w:hAnsi="Arial"/>
          <w:i/>
          <w:sz w:val="20"/>
        </w:rPr>
        <w:t>The Assunzione [1954] P. 150</w:t>
      </w:r>
      <w:r>
        <w:rPr>
          <w:sz w:val="20"/>
        </w:rPr>
        <w:t>; </w:t>
      </w:r>
      <w:r>
        <w:rPr>
          <w:rFonts w:ascii="Arial" w:hAnsi="Arial"/>
          <w:i/>
          <w:sz w:val="20"/>
        </w:rPr>
        <w:t>Re Helbert Wagg</w:t>
      </w:r>
      <w:r>
        <w:rPr>
          <w:rFonts w:ascii="Arial" w:hAnsi="Arial"/>
          <w:i/>
          <w:spacing w:val="40"/>
          <w:sz w:val="20"/>
        </w:rPr>
        <w:t> </w:t>
      </w:r>
      <w:r>
        <w:rPr>
          <w:rFonts w:ascii="Arial" w:hAnsi="Arial"/>
          <w:i/>
          <w:sz w:val="20"/>
        </w:rPr>
        <w:t>&amp; Co Ltd’s Claim [1956] Ch. 323</w:t>
      </w:r>
      <w:r>
        <w:rPr>
          <w:sz w:val="20"/>
        </w:rPr>
        <w:t>; </w:t>
      </w:r>
      <w:r>
        <w:rPr>
          <w:rFonts w:ascii="Arial" w:hAnsi="Arial"/>
          <w:i/>
          <w:sz w:val="20"/>
        </w:rPr>
        <w:t>Re United Railway of the Havana and Regla Warehouses </w:t>
      </w:r>
      <w:r>
        <w:rPr>
          <w:rFonts w:ascii="Arial" w:hAnsi="Arial"/>
          <w:i/>
          <w:sz w:val="20"/>
        </w:rPr>
        <w:t>Ltd [1960] Ch. 52 </w:t>
      </w:r>
      <w:r>
        <w:rPr>
          <w:sz w:val="20"/>
        </w:rPr>
        <w:t>(affirmed sub nom. </w:t>
      </w:r>
      <w:r>
        <w:rPr>
          <w:rFonts w:ascii="Arial" w:hAnsi="Arial"/>
          <w:i/>
          <w:sz w:val="20"/>
        </w:rPr>
        <w:t>Tomkinson v First Pennsylvania Banking and Trust Co </w:t>
      </w:r>
      <w:r>
        <w:rPr>
          <w:rFonts w:ascii="Arial" w:hAnsi="Arial"/>
          <w:i/>
          <w:sz w:val="20"/>
        </w:rPr>
        <w:t>[1961] A.C.</w:t>
      </w:r>
      <w:r>
        <w:rPr>
          <w:rFonts w:ascii="Arial" w:hAnsi="Arial"/>
          <w:i/>
          <w:spacing w:val="11"/>
          <w:sz w:val="20"/>
        </w:rPr>
        <w:t> </w:t>
      </w:r>
      <w:r>
        <w:rPr>
          <w:rFonts w:ascii="Arial" w:hAnsi="Arial"/>
          <w:i/>
          <w:sz w:val="20"/>
        </w:rPr>
        <w:t>1007</w:t>
      </w:r>
      <w:r>
        <w:rPr>
          <w:sz w:val="20"/>
        </w:rPr>
        <w:t>);</w:t>
      </w:r>
      <w:r>
        <w:rPr>
          <w:spacing w:val="12"/>
          <w:sz w:val="20"/>
        </w:rPr>
        <w:t> </w:t>
      </w:r>
      <w:r>
        <w:rPr>
          <w:rFonts w:ascii="Arial" w:hAnsi="Arial"/>
          <w:i/>
          <w:sz w:val="20"/>
        </w:rPr>
        <w:t>James</w:t>
      </w:r>
      <w:r>
        <w:rPr>
          <w:rFonts w:ascii="Arial" w:hAnsi="Arial"/>
          <w:i/>
          <w:spacing w:val="12"/>
          <w:sz w:val="20"/>
        </w:rPr>
        <w:t> </w:t>
      </w:r>
      <w:r>
        <w:rPr>
          <w:rFonts w:ascii="Arial" w:hAnsi="Arial"/>
          <w:i/>
          <w:sz w:val="20"/>
        </w:rPr>
        <w:t>Miller</w:t>
      </w:r>
      <w:r>
        <w:rPr>
          <w:rFonts w:ascii="Arial" w:hAnsi="Arial"/>
          <w:i/>
          <w:spacing w:val="12"/>
          <w:sz w:val="20"/>
        </w:rPr>
        <w:t> </w:t>
      </w:r>
      <w:r>
        <w:rPr>
          <w:rFonts w:ascii="Arial" w:hAnsi="Arial"/>
          <w:i/>
          <w:sz w:val="20"/>
        </w:rPr>
        <w:t>and</w:t>
      </w:r>
      <w:r>
        <w:rPr>
          <w:rFonts w:ascii="Arial" w:hAnsi="Arial"/>
          <w:i/>
          <w:spacing w:val="12"/>
          <w:sz w:val="20"/>
        </w:rPr>
        <w:t> </w:t>
      </w:r>
      <w:r>
        <w:rPr>
          <w:rFonts w:ascii="Arial" w:hAnsi="Arial"/>
          <w:i/>
          <w:sz w:val="20"/>
        </w:rPr>
        <w:t>Partners</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Whitworth</w:t>
      </w:r>
      <w:r>
        <w:rPr>
          <w:rFonts w:ascii="Arial" w:hAnsi="Arial"/>
          <w:i/>
          <w:spacing w:val="12"/>
          <w:sz w:val="20"/>
        </w:rPr>
        <w:t> </w:t>
      </w:r>
      <w:r>
        <w:rPr>
          <w:rFonts w:ascii="Arial" w:hAnsi="Arial"/>
          <w:i/>
          <w:sz w:val="20"/>
        </w:rPr>
        <w:t>Street</w:t>
      </w:r>
      <w:r>
        <w:rPr>
          <w:rFonts w:ascii="Arial" w:hAnsi="Arial"/>
          <w:i/>
          <w:spacing w:val="12"/>
          <w:sz w:val="20"/>
        </w:rPr>
        <w:t> </w:t>
      </w:r>
      <w:r>
        <w:rPr>
          <w:rFonts w:ascii="Arial" w:hAnsi="Arial"/>
          <w:i/>
          <w:sz w:val="20"/>
        </w:rPr>
        <w:t>Estates</w:t>
      </w:r>
      <w:r>
        <w:rPr>
          <w:rFonts w:ascii="Arial" w:hAnsi="Arial"/>
          <w:i/>
          <w:spacing w:val="12"/>
          <w:sz w:val="20"/>
        </w:rPr>
        <w:t> </w:t>
      </w:r>
      <w:r>
        <w:rPr>
          <w:rFonts w:ascii="Arial" w:hAnsi="Arial"/>
          <w:i/>
          <w:sz w:val="20"/>
        </w:rPr>
        <w:t>(Manchester)</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pacing w:val="-2"/>
          <w:sz w:val="20"/>
        </w:rPr>
        <w:t>[1970</w:t>
      </w:r>
      <w:r>
        <w:rPr>
          <w:rFonts w:ascii="Arial" w:hAnsi="Arial"/>
          <w:i/>
          <w:spacing w:val="-2"/>
          <w:sz w:val="20"/>
        </w:rPr>
        <w:t>]</w:t>
      </w:r>
    </w:p>
    <w:p>
      <w:pPr>
        <w:spacing w:line="235" w:lineRule="auto" w:before="0"/>
        <w:ind w:left="705" w:right="167" w:firstLine="0"/>
        <w:jc w:val="both"/>
        <w:rPr>
          <w:sz w:val="20"/>
        </w:rPr>
      </w:pPr>
      <w:r>
        <w:rPr>
          <w:rFonts w:ascii="Arial" w:hAnsi="Arial"/>
          <w:i/>
          <w:sz w:val="20"/>
        </w:rPr>
        <w:t>A.C. 583</w:t>
      </w:r>
      <w:r>
        <w:rPr>
          <w:sz w:val="20"/>
        </w:rPr>
        <w:t>; </w:t>
      </w:r>
      <w:r>
        <w:rPr>
          <w:rFonts w:ascii="Arial" w:hAnsi="Arial"/>
          <w:i/>
          <w:sz w:val="20"/>
        </w:rPr>
        <w:t>Compagnie Tunisienne de Navigation SA v Compagnie d’Armement Maritime </w:t>
      </w:r>
      <w:r>
        <w:rPr>
          <w:rFonts w:ascii="Arial" w:hAnsi="Arial"/>
          <w:i/>
          <w:sz w:val="20"/>
        </w:rPr>
        <w:t>SA [1971] A.C. 572</w:t>
      </w:r>
      <w:r>
        <w:rPr>
          <w:sz w:val="20"/>
        </w:rPr>
        <w:t>; </w:t>
      </w:r>
      <w:r>
        <w:rPr>
          <w:rFonts w:ascii="Arial" w:hAnsi="Arial"/>
          <w:i/>
          <w:sz w:val="20"/>
        </w:rPr>
        <w:t>Coast Lines Ltd v Hudig and Veder Chartering NV [1972] 2 Q.B. 34</w:t>
      </w:r>
      <w:r>
        <w:rPr>
          <w:sz w:val="20"/>
        </w:rPr>
        <w:t>; </w:t>
      </w:r>
      <w:r>
        <w:rPr>
          <w:rFonts w:ascii="Arial" w:hAnsi="Arial"/>
          <w:i/>
          <w:sz w:val="20"/>
        </w:rPr>
        <w:t>Amin Rasheed Shipping Corp v Kuwait Insurance Co</w:t>
      </w:r>
      <w:r>
        <w:rPr>
          <w:sz w:val="20"/>
        </w:rPr>
        <w:t>.</w:t>
      </w:r>
    </w:p>
    <w:p>
      <w:pPr>
        <w:pStyle w:val="BodyText"/>
      </w:pPr>
    </w:p>
    <w:p>
      <w:pPr>
        <w:pStyle w:val="BodyText"/>
        <w:tabs>
          <w:tab w:pos="705" w:val="left" w:leader="none"/>
        </w:tabs>
        <w:ind w:left="165"/>
      </w:pPr>
      <w:bookmarkStart w:name="_bookmark95" w:id="97"/>
      <w:bookmarkEnd w:id="97"/>
      <w:r>
        <w:rPr/>
      </w:r>
      <w:hyperlink w:history="true" w:anchor="_bookmark25">
        <w:r>
          <w:rPr>
            <w:color w:val="005DA1"/>
            <w:spacing w:val="-5"/>
            <w:position w:val="5"/>
            <w:sz w:val="14"/>
            <w:u w:val="single" w:color="005DA1"/>
          </w:rPr>
          <w:t>15</w:t>
        </w:r>
      </w:hyperlink>
      <w:r>
        <w:rPr>
          <w:spacing w:val="-5"/>
          <w:position w:val="5"/>
          <w:sz w:val="14"/>
        </w:rPr>
        <w:t>.</w:t>
      </w:r>
      <w:r>
        <w:rPr>
          <w:position w:val="5"/>
          <w:sz w:val="14"/>
        </w:rPr>
        <w:tab/>
      </w:r>
      <w:r>
        <w:rPr/>
        <w:t>Below, paras 30-007—0-</w:t>
      </w:r>
      <w:r>
        <w:rPr>
          <w:spacing w:val="-4"/>
        </w:rPr>
        <w:t>008.</w:t>
      </w:r>
    </w:p>
    <w:p>
      <w:pPr>
        <w:pStyle w:val="BodyText"/>
        <w:spacing w:before="5"/>
      </w:pPr>
    </w:p>
    <w:p>
      <w:pPr>
        <w:spacing w:line="227" w:lineRule="exact" w:before="0"/>
        <w:ind w:left="165" w:right="0" w:firstLine="0"/>
        <w:jc w:val="both"/>
        <w:rPr>
          <w:rFonts w:ascii="Arial"/>
          <w:i/>
          <w:sz w:val="20"/>
        </w:rPr>
      </w:pPr>
      <w:bookmarkStart w:name="_bookmark96" w:id="98"/>
      <w:bookmarkEnd w:id="98"/>
      <w:r>
        <w:rPr/>
      </w:r>
      <w:hyperlink w:history="true" w:anchor="_bookmark26">
        <w:r>
          <w:rPr>
            <w:color w:val="005DA1"/>
            <w:position w:val="5"/>
            <w:sz w:val="14"/>
            <w:u w:val="single" w:color="005DA1"/>
          </w:rPr>
          <w:t>16</w:t>
        </w:r>
      </w:hyperlink>
      <w:r>
        <w:rPr>
          <w:position w:val="5"/>
          <w:sz w:val="14"/>
        </w:rPr>
        <w:t>.</w:t>
      </w:r>
      <w:r>
        <w:rPr>
          <w:spacing w:val="76"/>
          <w:position w:val="5"/>
          <w:sz w:val="14"/>
        </w:rPr>
        <w:t>   </w:t>
      </w:r>
      <w:r>
        <w:rPr>
          <w:sz w:val="20"/>
        </w:rPr>
        <w:t>e.g.</w:t>
      </w:r>
      <w:r>
        <w:rPr>
          <w:spacing w:val="22"/>
          <w:sz w:val="20"/>
        </w:rPr>
        <w:t> </w:t>
      </w:r>
      <w:r>
        <w:rPr>
          <w:rFonts w:ascii="Arial"/>
          <w:i/>
          <w:sz w:val="20"/>
        </w:rPr>
        <w:t>Bonython</w:t>
      </w:r>
      <w:r>
        <w:rPr>
          <w:rFonts w:ascii="Arial"/>
          <w:i/>
          <w:spacing w:val="22"/>
          <w:sz w:val="20"/>
        </w:rPr>
        <w:t> </w:t>
      </w:r>
      <w:r>
        <w:rPr>
          <w:rFonts w:ascii="Arial"/>
          <w:i/>
          <w:sz w:val="20"/>
        </w:rPr>
        <w:t>v</w:t>
      </w:r>
      <w:r>
        <w:rPr>
          <w:rFonts w:ascii="Arial"/>
          <w:i/>
          <w:spacing w:val="22"/>
          <w:sz w:val="20"/>
        </w:rPr>
        <w:t> </w:t>
      </w:r>
      <w:r>
        <w:rPr>
          <w:rFonts w:ascii="Arial"/>
          <w:i/>
          <w:sz w:val="20"/>
        </w:rPr>
        <w:t>Commonwealth</w:t>
      </w:r>
      <w:r>
        <w:rPr>
          <w:rFonts w:ascii="Arial"/>
          <w:i/>
          <w:spacing w:val="22"/>
          <w:sz w:val="20"/>
        </w:rPr>
        <w:t> </w:t>
      </w:r>
      <w:r>
        <w:rPr>
          <w:rFonts w:ascii="Arial"/>
          <w:i/>
          <w:sz w:val="20"/>
        </w:rPr>
        <w:t>of</w:t>
      </w:r>
      <w:r>
        <w:rPr>
          <w:rFonts w:ascii="Arial"/>
          <w:i/>
          <w:spacing w:val="22"/>
          <w:sz w:val="20"/>
        </w:rPr>
        <w:t> </w:t>
      </w:r>
      <w:r>
        <w:rPr>
          <w:rFonts w:ascii="Arial"/>
          <w:i/>
          <w:sz w:val="20"/>
        </w:rPr>
        <w:t>Australia</w:t>
      </w:r>
      <w:r>
        <w:rPr>
          <w:rFonts w:ascii="Arial"/>
          <w:i/>
          <w:spacing w:val="22"/>
          <w:sz w:val="20"/>
        </w:rPr>
        <w:t> </w:t>
      </w:r>
      <w:r>
        <w:rPr>
          <w:rFonts w:ascii="Arial"/>
          <w:i/>
          <w:sz w:val="20"/>
        </w:rPr>
        <w:t>[1951]</w:t>
      </w:r>
      <w:r>
        <w:rPr>
          <w:rFonts w:ascii="Arial"/>
          <w:i/>
          <w:spacing w:val="21"/>
          <w:sz w:val="20"/>
        </w:rPr>
        <w:t> </w:t>
      </w:r>
      <w:r>
        <w:rPr>
          <w:rFonts w:ascii="Arial"/>
          <w:i/>
          <w:sz w:val="20"/>
        </w:rPr>
        <w:t>A.C.</w:t>
      </w:r>
      <w:r>
        <w:rPr>
          <w:rFonts w:ascii="Arial"/>
          <w:i/>
          <w:spacing w:val="22"/>
          <w:sz w:val="20"/>
        </w:rPr>
        <w:t> </w:t>
      </w:r>
      <w:r>
        <w:rPr>
          <w:rFonts w:ascii="Arial"/>
          <w:i/>
          <w:sz w:val="20"/>
        </w:rPr>
        <w:t>201,</w:t>
      </w:r>
      <w:r>
        <w:rPr>
          <w:rFonts w:ascii="Arial"/>
          <w:i/>
          <w:spacing w:val="22"/>
          <w:sz w:val="20"/>
        </w:rPr>
        <w:t> </w:t>
      </w:r>
      <w:r>
        <w:rPr>
          <w:rFonts w:ascii="Arial"/>
          <w:i/>
          <w:sz w:val="20"/>
        </w:rPr>
        <w:t>219</w:t>
      </w:r>
      <w:r>
        <w:rPr>
          <w:sz w:val="20"/>
        </w:rPr>
        <w:t>;</w:t>
      </w:r>
      <w:r>
        <w:rPr>
          <w:spacing w:val="22"/>
          <w:sz w:val="20"/>
        </w:rPr>
        <w:t> </w:t>
      </w:r>
      <w:r>
        <w:rPr>
          <w:rFonts w:ascii="Arial"/>
          <w:i/>
          <w:sz w:val="20"/>
        </w:rPr>
        <w:t>The</w:t>
      </w:r>
      <w:r>
        <w:rPr>
          <w:rFonts w:ascii="Arial"/>
          <w:i/>
          <w:spacing w:val="22"/>
          <w:sz w:val="20"/>
        </w:rPr>
        <w:t> </w:t>
      </w:r>
      <w:r>
        <w:rPr>
          <w:rFonts w:ascii="Arial"/>
          <w:i/>
          <w:sz w:val="20"/>
        </w:rPr>
        <w:t>Assunzione</w:t>
      </w:r>
      <w:r>
        <w:rPr>
          <w:rFonts w:ascii="Arial"/>
          <w:i/>
          <w:spacing w:val="22"/>
          <w:sz w:val="20"/>
        </w:rPr>
        <w:t> </w:t>
      </w:r>
      <w:r>
        <w:rPr>
          <w:rFonts w:ascii="Arial"/>
          <w:i/>
          <w:sz w:val="20"/>
        </w:rPr>
        <w:t>[1954]</w:t>
      </w:r>
      <w:r>
        <w:rPr>
          <w:rFonts w:ascii="Arial"/>
          <w:i/>
          <w:spacing w:val="22"/>
          <w:sz w:val="20"/>
        </w:rPr>
        <w:t> </w:t>
      </w:r>
      <w:r>
        <w:rPr>
          <w:rFonts w:ascii="Arial"/>
          <w:i/>
          <w:spacing w:val="-5"/>
          <w:sz w:val="20"/>
        </w:rPr>
        <w:t>P.</w:t>
      </w:r>
    </w:p>
    <w:p>
      <w:pPr>
        <w:spacing w:line="235" w:lineRule="auto" w:before="2"/>
        <w:ind w:left="705" w:right="167" w:firstLine="0"/>
        <w:jc w:val="both"/>
        <w:rPr>
          <w:sz w:val="20"/>
        </w:rPr>
      </w:pPr>
      <w:r>
        <w:rPr>
          <w:rFonts w:ascii="Arial" w:hAnsi="Arial"/>
          <w:i/>
          <w:sz w:val="20"/>
        </w:rPr>
        <w:t>150</w:t>
      </w:r>
      <w:r>
        <w:rPr>
          <w:sz w:val="20"/>
        </w:rPr>
        <w:t>; </w:t>
      </w:r>
      <w:r>
        <w:rPr>
          <w:rFonts w:ascii="Arial" w:hAnsi="Arial"/>
          <w:i/>
          <w:sz w:val="20"/>
        </w:rPr>
        <w:t>Re United Railways of the Havana and Regla Warehouses Ltd [1960] Ch. 52, 91-92, </w:t>
      </w:r>
      <w:r>
        <w:rPr>
          <w:rFonts w:ascii="Arial" w:hAnsi="Arial"/>
          <w:i/>
          <w:sz w:val="20"/>
        </w:rPr>
        <w:t>115 </w:t>
      </w:r>
      <w:r>
        <w:rPr>
          <w:sz w:val="20"/>
        </w:rPr>
        <w:t>(affirmed sub nom. </w:t>
      </w:r>
      <w:r>
        <w:rPr>
          <w:rFonts w:ascii="Arial" w:hAnsi="Arial"/>
          <w:i/>
          <w:sz w:val="20"/>
        </w:rPr>
        <w:t>Tomkinson v First Pennsylvania Banking and Trust Co [1961] A.C. 1007, 1068, 1081-1082)</w:t>
      </w:r>
      <w:r>
        <w:rPr>
          <w:sz w:val="20"/>
        </w:rPr>
        <w:t>; </w:t>
      </w:r>
      <w:r>
        <w:rPr>
          <w:rFonts w:ascii="Arial" w:hAnsi="Arial"/>
          <w:i/>
          <w:sz w:val="20"/>
        </w:rPr>
        <w:t>Philipson-Stow v Inland Revenue Commissioners [1961] A.C. 727, 760</w:t>
      </w:r>
      <w:r>
        <w:rPr>
          <w:sz w:val="20"/>
        </w:rPr>
        <w:t>; </w:t>
      </w:r>
      <w:r>
        <w:rPr>
          <w:rFonts w:ascii="Arial" w:hAnsi="Arial"/>
          <w:i/>
          <w:sz w:val="20"/>
        </w:rPr>
        <w:t>James Miller and Partners Ltd v Whitworth Street Estates (Manchester) Ltd [1970] A.C. 583</w:t>
      </w:r>
      <w:r>
        <w:rPr>
          <w:sz w:val="20"/>
        </w:rPr>
        <w:t>; </w:t>
      </w:r>
      <w:r>
        <w:rPr>
          <w:rFonts w:ascii="Arial" w:hAnsi="Arial"/>
          <w:i/>
          <w:sz w:val="20"/>
        </w:rPr>
        <w:t>Compagnie d’Armement Maritime SA v Compagnie Tunisienne de Navigation SA [1971] A.C. 572</w:t>
      </w:r>
      <w:r>
        <w:rPr>
          <w:sz w:val="20"/>
        </w:rPr>
        <w:t>; </w:t>
      </w:r>
      <w:r>
        <w:rPr>
          <w:rFonts w:ascii="Arial" w:hAnsi="Arial"/>
          <w:i/>
          <w:sz w:val="20"/>
        </w:rPr>
        <w:t>Coast Lines Ltd v Hudig and Veder Chartering NV [1972] 2 Q.B. 34</w:t>
      </w:r>
      <w:r>
        <w:rPr>
          <w:sz w:val="20"/>
        </w:rPr>
        <w:t>; </w:t>
      </w:r>
      <w:r>
        <w:rPr>
          <w:rFonts w:ascii="Arial" w:hAnsi="Arial"/>
          <w:i/>
          <w:sz w:val="20"/>
        </w:rPr>
        <w:t>Amin Rasheed Shipping Corp v Kuwait Insurance Co [1984] A.C. 50</w:t>
      </w:r>
      <w:r>
        <w:rPr>
          <w:sz w:val="20"/>
        </w:rPr>
        <w:t>. Early decisions tended to express this idea in the language of the presumed intention of the parties rather than as a purely objective test which applied because of an absence of intent as to the applicable law. See, e.g. </w:t>
      </w:r>
      <w:r>
        <w:rPr>
          <w:rFonts w:ascii="Arial" w:hAnsi="Arial"/>
          <w:i/>
          <w:sz w:val="20"/>
        </w:rPr>
        <w:t>Lloyd v Guibert (1865) L.R. 1 Q.B. 115</w:t>
      </w:r>
      <w:r>
        <w:rPr>
          <w:sz w:val="20"/>
        </w:rPr>
        <w:t>; </w:t>
      </w:r>
      <w:r>
        <w:rPr>
          <w:rFonts w:ascii="Arial" w:hAnsi="Arial"/>
          <w:i/>
          <w:sz w:val="20"/>
        </w:rPr>
        <w:t>Mount Albert BC v Australasian, etc, Assurance Building Society Ltd [1938] A.C. 224</w:t>
      </w:r>
      <w:r>
        <w:rPr>
          <w:sz w:val="20"/>
        </w:rPr>
        <w:t>; </w:t>
      </w:r>
      <w:r>
        <w:rPr>
          <w:rFonts w:ascii="Arial" w:hAnsi="Arial"/>
          <w:i/>
          <w:sz w:val="20"/>
        </w:rPr>
        <w:t>Kahler v Midland Bank Ltd [1950] A.C. 24</w:t>
      </w:r>
      <w:r>
        <w:rPr>
          <w:sz w:val="20"/>
        </w:rPr>
        <w:t>; </w:t>
      </w:r>
      <w:r>
        <w:rPr>
          <w:rFonts w:ascii="Arial" w:hAnsi="Arial"/>
          <w:i/>
          <w:sz w:val="20"/>
        </w:rPr>
        <w:t>The Assunzione</w:t>
      </w:r>
      <w:r>
        <w:rPr>
          <w:sz w:val="20"/>
        </w:rPr>
        <w:t>.</w:t>
      </w:r>
    </w:p>
    <w:p>
      <w:pPr>
        <w:pStyle w:val="BodyText"/>
        <w:spacing w:before="5"/>
      </w:pPr>
    </w:p>
    <w:p>
      <w:pPr>
        <w:spacing w:line="235" w:lineRule="auto" w:before="1"/>
        <w:ind w:left="705" w:right="168" w:hanging="541"/>
        <w:jc w:val="both"/>
        <w:rPr>
          <w:sz w:val="20"/>
        </w:rPr>
      </w:pPr>
      <w:bookmarkStart w:name="_bookmark97" w:id="99"/>
      <w:bookmarkEnd w:id="99"/>
      <w:r>
        <w:rPr/>
      </w:r>
      <w:hyperlink w:history="true" w:anchor="_bookmark27">
        <w:r>
          <w:rPr>
            <w:color w:val="005DA1"/>
            <w:position w:val="5"/>
            <w:sz w:val="14"/>
            <w:u w:val="single" w:color="005DA1"/>
          </w:rPr>
          <w:t>17</w:t>
        </w:r>
      </w:hyperlink>
      <w:r>
        <w:rPr>
          <w:position w:val="5"/>
          <w:sz w:val="14"/>
        </w:rPr>
        <w:t>.</w:t>
      </w:r>
      <w:r>
        <w:rPr>
          <w:spacing w:val="80"/>
          <w:position w:val="5"/>
          <w:sz w:val="14"/>
        </w:rPr>
        <w:t>  </w:t>
      </w:r>
      <w:r>
        <w:rPr>
          <w:sz w:val="20"/>
        </w:rPr>
        <w:t>See the views of Lord Diplock and Lord Wilberforce in </w:t>
      </w:r>
      <w:r>
        <w:rPr>
          <w:rFonts w:ascii="Arial"/>
          <w:i/>
          <w:sz w:val="20"/>
        </w:rPr>
        <w:t>Amin Rasheed Shipping Corp v </w:t>
      </w:r>
      <w:r>
        <w:rPr>
          <w:rFonts w:ascii="Arial"/>
          <w:i/>
          <w:sz w:val="20"/>
        </w:rPr>
        <w:t>Kuwait Insurance Co [1894] A.C. 50</w:t>
      </w:r>
      <w:r>
        <w:rPr>
          <w:sz w:val="20"/>
        </w:rPr>
        <w:t>. The former (speaking for the majority) treated the case as one of implied choice, the latter as one of no choice. See also </w:t>
      </w:r>
      <w:r>
        <w:rPr>
          <w:rFonts w:ascii="Arial"/>
          <w:i/>
          <w:sz w:val="20"/>
        </w:rPr>
        <w:t>Armadora Occidental SA v Horace</w:t>
      </w:r>
      <w:r>
        <w:rPr>
          <w:rFonts w:ascii="Arial"/>
          <w:i/>
          <w:spacing w:val="40"/>
          <w:sz w:val="20"/>
        </w:rPr>
        <w:t> </w:t>
      </w:r>
      <w:r>
        <w:rPr>
          <w:rFonts w:ascii="Arial"/>
          <w:i/>
          <w:sz w:val="20"/>
        </w:rPr>
        <w:t>Mann Insurance Co [1977] 1 W.L.R. 520 </w:t>
      </w:r>
      <w:r>
        <w:rPr>
          <w:sz w:val="20"/>
        </w:rPr>
        <w:t>(implied choice), (affirmed 1098 (no choice)).</w:t>
      </w:r>
    </w:p>
    <w:p>
      <w:pPr>
        <w:pStyle w:val="BodyText"/>
        <w:spacing w:before="8"/>
      </w:pPr>
    </w:p>
    <w:p>
      <w:pPr>
        <w:spacing w:line="235" w:lineRule="auto" w:before="0"/>
        <w:ind w:left="705" w:right="168" w:hanging="541"/>
        <w:jc w:val="both"/>
        <w:rPr>
          <w:sz w:val="20"/>
        </w:rPr>
      </w:pPr>
      <w:bookmarkStart w:name="_bookmark98" w:id="100"/>
      <w:bookmarkEnd w:id="100"/>
      <w:r>
        <w:rPr/>
      </w:r>
      <w:hyperlink w:history="true" w:anchor="_bookmark28">
        <w:r>
          <w:rPr>
            <w:color w:val="005DA1"/>
            <w:position w:val="5"/>
            <w:sz w:val="14"/>
            <w:u w:val="single" w:color="005DA1"/>
          </w:rPr>
          <w:t>18</w:t>
        </w:r>
      </w:hyperlink>
      <w:r>
        <w:rPr>
          <w:position w:val="5"/>
          <w:sz w:val="14"/>
        </w:rPr>
        <w:t>.</w:t>
      </w:r>
      <w:r>
        <w:rPr>
          <w:spacing w:val="40"/>
          <w:position w:val="5"/>
          <w:sz w:val="14"/>
        </w:rPr>
        <w:t>  </w:t>
      </w:r>
      <w:r>
        <w:rPr>
          <w:rFonts w:ascii="Arial" w:hAnsi="Arial"/>
          <w:i/>
          <w:sz w:val="20"/>
        </w:rPr>
        <w:t>Amin Rasheed Shipping Corp v Kuwait Insurance Co [1894] A.C. 50, 65</w:t>
      </w:r>
      <w:r>
        <w:rPr>
          <w:sz w:val="20"/>
        </w:rPr>
        <w:t>. The proper law, </w:t>
      </w:r>
      <w:r>
        <w:rPr>
          <w:sz w:val="20"/>
        </w:rPr>
        <w:t>at common law, must be the law of a country: </w:t>
      </w:r>
      <w:r>
        <w:rPr>
          <w:rFonts w:ascii="Arial" w:hAnsi="Arial"/>
          <w:i/>
          <w:sz w:val="20"/>
        </w:rPr>
        <w:t>Musawi v R E International (UK) Ltd [2007] EWHC 2981 (Ch), [2008] 1 Lloyd’s Rep. 382</w:t>
      </w:r>
      <w:r>
        <w:rPr>
          <w:sz w:val="20"/>
        </w:rPr>
        <w:t>.</w:t>
      </w:r>
    </w:p>
    <w:p>
      <w:pPr>
        <w:pStyle w:val="BodyText"/>
        <w:spacing w:before="9"/>
      </w:pPr>
    </w:p>
    <w:p>
      <w:pPr>
        <w:spacing w:line="235" w:lineRule="auto" w:before="0"/>
        <w:ind w:left="705" w:right="168" w:hanging="541"/>
        <w:jc w:val="both"/>
        <w:rPr>
          <w:rFonts w:ascii="Arial" w:hAnsi="Arial"/>
          <w:i/>
          <w:sz w:val="20"/>
        </w:rPr>
      </w:pPr>
      <w:bookmarkStart w:name="_bookmark99" w:id="101"/>
      <w:bookmarkEnd w:id="101"/>
      <w:r>
        <w:rPr/>
      </w:r>
      <w:hyperlink w:history="true" w:anchor="_bookmark29">
        <w:r>
          <w:rPr>
            <w:color w:val="005DA1"/>
            <w:position w:val="5"/>
            <w:sz w:val="14"/>
            <w:u w:val="single" w:color="005DA1"/>
          </w:rPr>
          <w:t>19</w:t>
        </w:r>
      </w:hyperlink>
      <w:r>
        <w:rPr>
          <w:position w:val="5"/>
          <w:sz w:val="14"/>
        </w:rPr>
        <w:t>.</w:t>
      </w:r>
      <w:r>
        <w:rPr>
          <w:spacing w:val="80"/>
          <w:w w:val="150"/>
          <w:position w:val="5"/>
          <w:sz w:val="14"/>
        </w:rPr>
        <w:t>  </w:t>
      </w:r>
      <w:r>
        <w:rPr>
          <w:rFonts w:ascii="Arial" w:hAnsi="Arial"/>
          <w:i/>
          <w:sz w:val="20"/>
        </w:rPr>
        <w:t>Armar Shipping Co Ltd v Caisse Algérienne [1981] 1 W.L.R. 207</w:t>
      </w:r>
      <w:r>
        <w:rPr>
          <w:sz w:val="20"/>
        </w:rPr>
        <w:t>; </w:t>
      </w:r>
      <w:r>
        <w:rPr>
          <w:rFonts w:ascii="Arial" w:hAnsi="Arial"/>
          <w:i/>
          <w:sz w:val="20"/>
        </w:rPr>
        <w:t>Black Clawson International Ltd v Papierwerke Waldhof-Aschaffenburg AG [1981] 2 Lloyd’s Rep. 446, 456</w:t>
      </w:r>
      <w:r>
        <w:rPr>
          <w:sz w:val="20"/>
        </w:rPr>
        <w:t>; </w:t>
      </w:r>
      <w:r>
        <w:rPr>
          <w:rFonts w:ascii="Arial" w:hAnsi="Arial"/>
          <w:i/>
          <w:sz w:val="20"/>
        </w:rPr>
        <w:t>The Blue Wave [1982]</w:t>
      </w:r>
      <w:r>
        <w:rPr>
          <w:rFonts w:ascii="Arial" w:hAnsi="Arial"/>
          <w:i/>
          <w:spacing w:val="2"/>
          <w:sz w:val="20"/>
        </w:rPr>
        <w:t> </w:t>
      </w:r>
      <w:r>
        <w:rPr>
          <w:rFonts w:ascii="Arial" w:hAnsi="Arial"/>
          <w:i/>
          <w:sz w:val="20"/>
        </w:rPr>
        <w:t>1</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380,</w:t>
      </w:r>
      <w:r>
        <w:rPr>
          <w:rFonts w:ascii="Arial" w:hAnsi="Arial"/>
          <w:i/>
          <w:spacing w:val="5"/>
          <w:sz w:val="20"/>
        </w:rPr>
        <w:t> </w:t>
      </w:r>
      <w:r>
        <w:rPr>
          <w:rFonts w:ascii="Arial" w:hAnsi="Arial"/>
          <w:i/>
          <w:sz w:val="20"/>
        </w:rPr>
        <w:t>385</w:t>
      </w:r>
      <w:r>
        <w:rPr>
          <w:sz w:val="20"/>
        </w:rPr>
        <w:t>;</w:t>
      </w:r>
      <w:r>
        <w:rPr>
          <w:spacing w:val="5"/>
          <w:sz w:val="20"/>
        </w:rPr>
        <w:t> </w:t>
      </w:r>
      <w:r>
        <w:rPr>
          <w:rFonts w:ascii="Arial" w:hAnsi="Arial"/>
          <w:i/>
          <w:sz w:val="20"/>
        </w:rPr>
        <w:t>Cantieri</w:t>
      </w:r>
      <w:r>
        <w:rPr>
          <w:rFonts w:ascii="Arial" w:hAnsi="Arial"/>
          <w:i/>
          <w:spacing w:val="5"/>
          <w:sz w:val="20"/>
        </w:rPr>
        <w:t> </w:t>
      </w:r>
      <w:r>
        <w:rPr>
          <w:rFonts w:ascii="Arial" w:hAnsi="Arial"/>
          <w:i/>
          <w:sz w:val="20"/>
        </w:rPr>
        <w:t>Navali</w:t>
      </w:r>
      <w:r>
        <w:rPr>
          <w:rFonts w:ascii="Arial" w:hAnsi="Arial"/>
          <w:i/>
          <w:spacing w:val="5"/>
          <w:sz w:val="20"/>
        </w:rPr>
        <w:t> </w:t>
      </w:r>
      <w:r>
        <w:rPr>
          <w:rFonts w:ascii="Arial" w:hAnsi="Arial"/>
          <w:i/>
          <w:sz w:val="20"/>
        </w:rPr>
        <w:t>Riuniti</w:t>
      </w:r>
      <w:r>
        <w:rPr>
          <w:rFonts w:ascii="Arial" w:hAnsi="Arial"/>
          <w:i/>
          <w:spacing w:val="5"/>
          <w:sz w:val="20"/>
        </w:rPr>
        <w:t> </w:t>
      </w:r>
      <w:r>
        <w:rPr>
          <w:rFonts w:ascii="Arial" w:hAnsi="Arial"/>
          <w:i/>
          <w:sz w:val="20"/>
        </w:rPr>
        <w:t>SpA</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NV</w:t>
      </w:r>
      <w:r>
        <w:rPr>
          <w:rFonts w:ascii="Arial" w:hAnsi="Arial"/>
          <w:i/>
          <w:spacing w:val="5"/>
          <w:sz w:val="20"/>
        </w:rPr>
        <w:t> </w:t>
      </w:r>
      <w:r>
        <w:rPr>
          <w:rFonts w:ascii="Arial" w:hAnsi="Arial"/>
          <w:i/>
          <w:sz w:val="20"/>
        </w:rPr>
        <w:t>Omne</w:t>
      </w:r>
      <w:r>
        <w:rPr>
          <w:rFonts w:ascii="Arial" w:hAnsi="Arial"/>
          <w:i/>
          <w:spacing w:val="5"/>
          <w:sz w:val="20"/>
        </w:rPr>
        <w:t> </w:t>
      </w:r>
      <w:r>
        <w:rPr>
          <w:rFonts w:ascii="Arial" w:hAnsi="Arial"/>
          <w:i/>
          <w:sz w:val="20"/>
        </w:rPr>
        <w:t>Justitia</w:t>
      </w:r>
      <w:r>
        <w:rPr>
          <w:rFonts w:ascii="Arial" w:hAnsi="Arial"/>
          <w:i/>
          <w:spacing w:val="5"/>
          <w:sz w:val="20"/>
        </w:rPr>
        <w:t> </w:t>
      </w:r>
      <w:r>
        <w:rPr>
          <w:rFonts w:ascii="Arial" w:hAnsi="Arial"/>
          <w:i/>
          <w:sz w:val="20"/>
        </w:rPr>
        <w:t>[1985]</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pacing w:val="-2"/>
          <w:sz w:val="20"/>
        </w:rPr>
        <w:t>Lloyd’s</w:t>
      </w:r>
    </w:p>
    <w:p>
      <w:pPr>
        <w:spacing w:line="235" w:lineRule="auto" w:before="0"/>
        <w:ind w:left="705" w:right="168" w:firstLine="0"/>
        <w:jc w:val="both"/>
        <w:rPr>
          <w:sz w:val="20"/>
        </w:rPr>
      </w:pPr>
      <w:r>
        <w:rPr>
          <w:rFonts w:ascii="Arial" w:hAnsi="Arial"/>
          <w:i/>
          <w:sz w:val="20"/>
        </w:rPr>
        <w:t>Rep. 428, 435</w:t>
      </w:r>
      <w:r>
        <w:rPr>
          <w:sz w:val="20"/>
        </w:rPr>
        <w:t>; </w:t>
      </w:r>
      <w:r>
        <w:rPr>
          <w:rFonts w:ascii="Arial" w:hAnsi="Arial"/>
          <w:i/>
          <w:sz w:val="20"/>
        </w:rPr>
        <w:t>The Frank Pais [1986] 1 Lloyd’s Rep. 428, 435</w:t>
      </w:r>
      <w:r>
        <w:rPr>
          <w:sz w:val="20"/>
        </w:rPr>
        <w:t>; </w:t>
      </w:r>
      <w:r>
        <w:rPr>
          <w:rFonts w:ascii="Arial" w:hAnsi="Arial"/>
          <w:i/>
          <w:sz w:val="20"/>
        </w:rPr>
        <w:t>Star Shipping A.S. v China National Foreign Trade Transportation Corp [1993] 2 Lloyd’s Rep. 445</w:t>
      </w:r>
      <w:r>
        <w:rPr>
          <w:sz w:val="20"/>
        </w:rPr>
        <w:t>. See also </w:t>
      </w:r>
      <w:r>
        <w:rPr>
          <w:rFonts w:ascii="Arial" w:hAnsi="Arial"/>
          <w:i/>
          <w:sz w:val="20"/>
        </w:rPr>
        <w:t>XL </w:t>
      </w:r>
      <w:r>
        <w:rPr>
          <w:rFonts w:ascii="Arial" w:hAnsi="Arial"/>
          <w:i/>
          <w:sz w:val="20"/>
        </w:rPr>
        <w:t>Insurance</w:t>
      </w:r>
      <w:r>
        <w:rPr>
          <w:rFonts w:ascii="Arial" w:hAnsi="Arial"/>
          <w:i/>
          <w:spacing w:val="40"/>
          <w:sz w:val="20"/>
        </w:rPr>
        <w:t> </w:t>
      </w:r>
      <w:r>
        <w:rPr>
          <w:rFonts w:ascii="Arial" w:hAnsi="Arial"/>
          <w:i/>
          <w:sz w:val="20"/>
        </w:rPr>
        <w:t>v Owens Corning [2000] 2 Lloyd’s Rep. 500</w:t>
      </w:r>
      <w:r>
        <w:rPr>
          <w:sz w:val="20"/>
        </w:rPr>
        <w:t>.</w:t>
      </w:r>
    </w:p>
    <w:p>
      <w:pPr>
        <w:pStyle w:val="BodyText"/>
        <w:spacing w:before="7"/>
      </w:pPr>
    </w:p>
    <w:p>
      <w:pPr>
        <w:spacing w:line="235" w:lineRule="auto" w:before="1"/>
        <w:ind w:left="705" w:right="168" w:hanging="541"/>
        <w:jc w:val="both"/>
        <w:rPr>
          <w:sz w:val="20"/>
        </w:rPr>
      </w:pPr>
      <w:bookmarkStart w:name="_bookmark100" w:id="102"/>
      <w:bookmarkEnd w:id="102"/>
      <w:r>
        <w:rPr/>
      </w:r>
      <w:hyperlink w:history="true" w:anchor="_bookmark30">
        <w:r>
          <w:rPr>
            <w:color w:val="005DA1"/>
            <w:position w:val="5"/>
            <w:sz w:val="14"/>
            <w:u w:val="single" w:color="005DA1"/>
          </w:rPr>
          <w:t>20</w:t>
        </w:r>
      </w:hyperlink>
      <w:r>
        <w:rPr>
          <w:position w:val="5"/>
          <w:sz w:val="14"/>
        </w:rPr>
        <w:t>.</w:t>
      </w:r>
      <w:r>
        <w:rPr>
          <w:spacing w:val="80"/>
          <w:w w:val="150"/>
          <w:position w:val="5"/>
          <w:sz w:val="14"/>
        </w:rPr>
        <w:t> </w:t>
      </w:r>
      <w:r>
        <w:rPr>
          <w:rFonts w:ascii="Arial" w:hAnsi="Arial"/>
          <w:i/>
          <w:sz w:val="20"/>
        </w:rPr>
        <w:t>Armar Shipping Co Ltd v Caisse Algérienne [1981] 1 W.L.R. 207, 215-216</w:t>
      </w:r>
      <w:r>
        <w:rPr>
          <w:sz w:val="20"/>
        </w:rPr>
        <w:t>; </w:t>
      </w:r>
      <w:r>
        <w:rPr>
          <w:rFonts w:ascii="Arial" w:hAnsi="Arial"/>
          <w:i/>
          <w:sz w:val="20"/>
        </w:rPr>
        <w:t>Astro Venturoso Compania Naviera v Hellenic Shipyards SA [1983] 1 Lloyd’s Rep. 12, 15</w:t>
      </w:r>
      <w:r>
        <w:rPr>
          <w:sz w:val="20"/>
        </w:rPr>
        <w:t>; </w:t>
      </w:r>
      <w:r>
        <w:rPr>
          <w:rFonts w:ascii="Arial" w:hAnsi="Arial"/>
          <w:i/>
          <w:sz w:val="20"/>
        </w:rPr>
        <w:t>E.I. du Pont de Nemours v Agnew [1987] 2 Lloyd’s Rep. 585, 592</w:t>
      </w:r>
      <w:r>
        <w:rPr>
          <w:sz w:val="20"/>
        </w:rPr>
        <w:t>; </w:t>
      </w:r>
      <w:r>
        <w:rPr>
          <w:rFonts w:ascii="Arial" w:hAnsi="Arial"/>
          <w:i/>
          <w:sz w:val="20"/>
        </w:rPr>
        <w:t>Star Shipping A.S. v China National Foreign Trade Transportation Corp [1993] 2 Lloyd’s Rep. 445 </w:t>
      </w:r>
      <w:r>
        <w:rPr>
          <w:sz w:val="20"/>
        </w:rPr>
        <w:t>(but there was no objection to </w:t>
      </w:r>
      <w:r>
        <w:rPr>
          <w:sz w:val="20"/>
        </w:rPr>
        <w:t>an arbitration subject to a “floating” curial law). In </w:t>
      </w:r>
      <w:r>
        <w:rPr>
          <w:rFonts w:ascii="Arial" w:hAnsi="Arial"/>
          <w:i/>
          <w:sz w:val="20"/>
        </w:rPr>
        <w:t>Mauritius Commercial Bank Ltd v Hestia</w:t>
      </w:r>
      <w:r>
        <w:rPr>
          <w:rFonts w:ascii="Arial" w:hAnsi="Arial"/>
          <w:i/>
          <w:spacing w:val="40"/>
          <w:sz w:val="20"/>
        </w:rPr>
        <w:t> </w:t>
      </w:r>
      <w:r>
        <w:rPr>
          <w:rFonts w:ascii="Arial" w:hAnsi="Arial"/>
          <w:i/>
          <w:sz w:val="20"/>
        </w:rPr>
        <w:t>Holdings Ltd [2013] EWHC 1328 (Comm), [2013] 2 Lloyd’s Rep. 121 </w:t>
      </w:r>
      <w:r>
        <w:rPr>
          <w:sz w:val="20"/>
        </w:rPr>
        <w:t>the objection was said to be limited to a floating non-law or absence of law.</w:t>
      </w:r>
    </w:p>
    <w:p>
      <w:pPr>
        <w:pStyle w:val="BodyText"/>
        <w:spacing w:before="7"/>
      </w:pPr>
    </w:p>
    <w:p>
      <w:pPr>
        <w:spacing w:line="235" w:lineRule="auto" w:before="0"/>
        <w:ind w:left="705" w:right="167" w:hanging="541"/>
        <w:jc w:val="both"/>
        <w:rPr>
          <w:rFonts w:ascii="Arial" w:hAnsi="Arial"/>
          <w:i/>
          <w:sz w:val="20"/>
        </w:rPr>
      </w:pPr>
      <w:bookmarkStart w:name="_bookmark101" w:id="103"/>
      <w:bookmarkEnd w:id="103"/>
      <w:r>
        <w:rPr/>
      </w:r>
      <w:hyperlink w:history="true" w:anchor="_bookmark31">
        <w:r>
          <w:rPr>
            <w:color w:val="005DA1"/>
            <w:position w:val="5"/>
            <w:sz w:val="14"/>
            <w:u w:val="single" w:color="005DA1"/>
          </w:rPr>
          <w:t>21</w:t>
        </w:r>
      </w:hyperlink>
      <w:r>
        <w:rPr>
          <w:position w:val="5"/>
          <w:sz w:val="14"/>
        </w:rPr>
        <w:t>.</w:t>
      </w:r>
      <w:r>
        <w:rPr>
          <w:spacing w:val="80"/>
          <w:position w:val="5"/>
          <w:sz w:val="14"/>
        </w:rPr>
        <w:t>  </w:t>
      </w:r>
      <w:r>
        <w:rPr>
          <w:rFonts w:ascii="Arial" w:hAnsi="Arial"/>
          <w:i/>
          <w:sz w:val="20"/>
        </w:rPr>
        <w:t>James Miller and Partners Ltd v Whitworth Street Estates (Manchester) Ltd [1970] A.C. 583,</w:t>
      </w:r>
      <w:r>
        <w:rPr>
          <w:rFonts w:ascii="Arial" w:hAnsi="Arial"/>
          <w:i/>
          <w:spacing w:val="80"/>
          <w:sz w:val="20"/>
        </w:rPr>
        <w:t> </w:t>
      </w:r>
      <w:r>
        <w:rPr>
          <w:rFonts w:ascii="Arial" w:hAnsi="Arial"/>
          <w:i/>
          <w:sz w:val="20"/>
        </w:rPr>
        <w:t>603, 611, 614-615</w:t>
      </w:r>
      <w:r>
        <w:rPr>
          <w:sz w:val="20"/>
        </w:rPr>
        <w:t>; </w:t>
      </w:r>
      <w:r>
        <w:rPr>
          <w:rFonts w:ascii="Arial" w:hAnsi="Arial"/>
          <w:i/>
          <w:sz w:val="20"/>
        </w:rPr>
        <w:t>Compagnie d’Armement Maritime SA v Compagnie Tunisienne </w:t>
      </w:r>
      <w:r>
        <w:rPr>
          <w:rFonts w:ascii="Arial" w:hAnsi="Arial"/>
          <w:i/>
          <w:sz w:val="20"/>
        </w:rPr>
        <w:t>de Navigation</w:t>
      </w:r>
      <w:r>
        <w:rPr>
          <w:rFonts w:ascii="Arial" w:hAnsi="Arial"/>
          <w:i/>
          <w:spacing w:val="1"/>
          <w:sz w:val="20"/>
        </w:rPr>
        <w:t> </w:t>
      </w:r>
      <w:r>
        <w:rPr>
          <w:rFonts w:ascii="Arial" w:hAnsi="Arial"/>
          <w:i/>
          <w:sz w:val="20"/>
        </w:rPr>
        <w:t>SA</w:t>
      </w:r>
      <w:r>
        <w:rPr>
          <w:rFonts w:ascii="Arial" w:hAnsi="Arial"/>
          <w:i/>
          <w:spacing w:val="4"/>
          <w:sz w:val="20"/>
        </w:rPr>
        <w:t> </w:t>
      </w:r>
      <w:r>
        <w:rPr>
          <w:rFonts w:ascii="Arial" w:hAnsi="Arial"/>
          <w:i/>
          <w:sz w:val="20"/>
        </w:rPr>
        <w:t>[1971]</w:t>
      </w:r>
      <w:r>
        <w:rPr>
          <w:rFonts w:ascii="Arial" w:hAnsi="Arial"/>
          <w:i/>
          <w:spacing w:val="4"/>
          <w:sz w:val="20"/>
        </w:rPr>
        <w:t> </w:t>
      </w:r>
      <w:r>
        <w:rPr>
          <w:rFonts w:ascii="Arial" w:hAnsi="Arial"/>
          <w:i/>
          <w:sz w:val="20"/>
        </w:rPr>
        <w:t>A.C.</w:t>
      </w:r>
      <w:r>
        <w:rPr>
          <w:rFonts w:ascii="Arial" w:hAnsi="Arial"/>
          <w:i/>
          <w:spacing w:val="4"/>
          <w:sz w:val="20"/>
        </w:rPr>
        <w:t> </w:t>
      </w:r>
      <w:r>
        <w:rPr>
          <w:rFonts w:ascii="Arial" w:hAnsi="Arial"/>
          <w:i/>
          <w:sz w:val="20"/>
        </w:rPr>
        <w:t>572,</w:t>
      </w:r>
      <w:r>
        <w:rPr>
          <w:rFonts w:ascii="Arial" w:hAnsi="Arial"/>
          <w:i/>
          <w:spacing w:val="4"/>
          <w:sz w:val="20"/>
        </w:rPr>
        <w:t> </w:t>
      </w:r>
      <w:r>
        <w:rPr>
          <w:rFonts w:ascii="Arial" w:hAnsi="Arial"/>
          <w:i/>
          <w:sz w:val="20"/>
        </w:rPr>
        <w:t>593,</w:t>
      </w:r>
      <w:r>
        <w:rPr>
          <w:rFonts w:ascii="Arial" w:hAnsi="Arial"/>
          <w:i/>
          <w:spacing w:val="4"/>
          <w:sz w:val="20"/>
        </w:rPr>
        <w:t> </w:t>
      </w:r>
      <w:r>
        <w:rPr>
          <w:rFonts w:ascii="Arial" w:hAnsi="Arial"/>
          <w:i/>
          <w:sz w:val="20"/>
        </w:rPr>
        <w:t>595-596,</w:t>
      </w:r>
      <w:r>
        <w:rPr>
          <w:rFonts w:ascii="Arial" w:hAnsi="Arial"/>
          <w:i/>
          <w:spacing w:val="4"/>
          <w:sz w:val="20"/>
        </w:rPr>
        <w:t> </w:t>
      </w:r>
      <w:r>
        <w:rPr>
          <w:rFonts w:ascii="Arial" w:hAnsi="Arial"/>
          <w:i/>
          <w:sz w:val="20"/>
        </w:rPr>
        <w:t>603</w:t>
      </w:r>
      <w:r>
        <w:rPr>
          <w:sz w:val="20"/>
        </w:rPr>
        <w:t>;</w:t>
      </w:r>
      <w:r>
        <w:rPr>
          <w:spacing w:val="4"/>
          <w:sz w:val="20"/>
        </w:rPr>
        <w:t> </w:t>
      </w:r>
      <w:r>
        <w:rPr>
          <w:rFonts w:ascii="Arial" w:hAnsi="Arial"/>
          <w:i/>
          <w:sz w:val="20"/>
        </w:rPr>
        <w:t>Armar</w:t>
      </w:r>
      <w:r>
        <w:rPr>
          <w:rFonts w:ascii="Arial" w:hAnsi="Arial"/>
          <w:i/>
          <w:spacing w:val="4"/>
          <w:sz w:val="20"/>
        </w:rPr>
        <w:t> </w:t>
      </w:r>
      <w:r>
        <w:rPr>
          <w:rFonts w:ascii="Arial" w:hAnsi="Arial"/>
          <w:i/>
          <w:sz w:val="20"/>
        </w:rPr>
        <w:t>Shipping</w:t>
      </w:r>
      <w:r>
        <w:rPr>
          <w:rFonts w:ascii="Arial" w:hAnsi="Arial"/>
          <w:i/>
          <w:spacing w:val="4"/>
          <w:sz w:val="20"/>
        </w:rPr>
        <w:t> </w:t>
      </w:r>
      <w:r>
        <w:rPr>
          <w:rFonts w:ascii="Arial" w:hAnsi="Arial"/>
          <w:i/>
          <w:sz w:val="20"/>
        </w:rPr>
        <w:t>Co</w:t>
      </w:r>
      <w:r>
        <w:rPr>
          <w:rFonts w:ascii="Arial" w:hAnsi="Arial"/>
          <w:i/>
          <w:spacing w:val="4"/>
          <w:sz w:val="20"/>
        </w:rPr>
        <w:t> </w:t>
      </w:r>
      <w:r>
        <w:rPr>
          <w:rFonts w:ascii="Arial" w:hAnsi="Arial"/>
          <w:i/>
          <w:sz w:val="20"/>
        </w:rPr>
        <w:t>Ltd</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Caisse</w:t>
      </w:r>
      <w:r>
        <w:rPr>
          <w:rFonts w:ascii="Arial" w:hAnsi="Arial"/>
          <w:i/>
          <w:spacing w:val="4"/>
          <w:sz w:val="20"/>
        </w:rPr>
        <w:t> </w:t>
      </w:r>
      <w:r>
        <w:rPr>
          <w:rFonts w:ascii="Arial" w:hAnsi="Arial"/>
          <w:i/>
          <w:spacing w:val="-2"/>
          <w:sz w:val="20"/>
        </w:rPr>
        <w:t>Algérienne</w:t>
      </w:r>
    </w:p>
    <w:p>
      <w:pPr>
        <w:spacing w:line="235" w:lineRule="auto" w:before="0"/>
        <w:ind w:left="705" w:right="162" w:firstLine="0"/>
        <w:jc w:val="left"/>
        <w:rPr>
          <w:sz w:val="20"/>
        </w:rPr>
      </w:pPr>
      <w:r>
        <w:rPr>
          <w:rFonts w:ascii="Arial"/>
          <w:i/>
          <w:sz w:val="20"/>
        </w:rPr>
        <w:t>[1981] 1 W.L.R. 207</w:t>
      </w:r>
      <w:r>
        <w:rPr>
          <w:sz w:val="20"/>
        </w:rPr>
        <w:t>; </w:t>
      </w:r>
      <w:r>
        <w:rPr>
          <w:rFonts w:ascii="Arial"/>
          <w:i/>
          <w:sz w:val="20"/>
        </w:rPr>
        <w:t>Amin Rasheed Shipping Corp v Kuwait Insurance Co [1984] A.C. 50, 69</w:t>
      </w:r>
      <w:r>
        <w:rPr>
          <w:sz w:val="20"/>
        </w:rPr>
        <w:t>. Such</w:t>
      </w:r>
      <w:r>
        <w:rPr>
          <w:spacing w:val="18"/>
          <w:sz w:val="20"/>
        </w:rPr>
        <w:t> </w:t>
      </w:r>
      <w:r>
        <w:rPr>
          <w:sz w:val="20"/>
        </w:rPr>
        <w:t>subsequent</w:t>
      </w:r>
      <w:r>
        <w:rPr>
          <w:spacing w:val="18"/>
          <w:sz w:val="20"/>
        </w:rPr>
        <w:t> </w:t>
      </w:r>
      <w:r>
        <w:rPr>
          <w:sz w:val="20"/>
        </w:rPr>
        <w:t>conduct</w:t>
      </w:r>
      <w:r>
        <w:rPr>
          <w:spacing w:val="18"/>
          <w:sz w:val="20"/>
        </w:rPr>
        <w:t> </w:t>
      </w:r>
      <w:r>
        <w:rPr>
          <w:sz w:val="20"/>
        </w:rPr>
        <w:t>may</w:t>
      </w:r>
      <w:r>
        <w:rPr>
          <w:spacing w:val="18"/>
          <w:sz w:val="20"/>
        </w:rPr>
        <w:t> </w:t>
      </w:r>
      <w:r>
        <w:rPr>
          <w:sz w:val="20"/>
        </w:rPr>
        <w:t>be</w:t>
      </w:r>
      <w:r>
        <w:rPr>
          <w:spacing w:val="18"/>
          <w:sz w:val="20"/>
        </w:rPr>
        <w:t> </w:t>
      </w:r>
      <w:r>
        <w:rPr>
          <w:sz w:val="20"/>
        </w:rPr>
        <w:t>relevant</w:t>
      </w:r>
      <w:r>
        <w:rPr>
          <w:spacing w:val="18"/>
          <w:sz w:val="20"/>
        </w:rPr>
        <w:t> </w:t>
      </w:r>
      <w:r>
        <w:rPr>
          <w:sz w:val="20"/>
        </w:rPr>
        <w:t>in</w:t>
      </w:r>
      <w:r>
        <w:rPr>
          <w:spacing w:val="18"/>
          <w:sz w:val="20"/>
        </w:rPr>
        <w:t> </w:t>
      </w:r>
      <w:r>
        <w:rPr>
          <w:sz w:val="20"/>
        </w:rPr>
        <w:t>determining</w:t>
      </w:r>
      <w:r>
        <w:rPr>
          <w:spacing w:val="18"/>
          <w:sz w:val="20"/>
        </w:rPr>
        <w:t> </w:t>
      </w:r>
      <w:r>
        <w:rPr>
          <w:sz w:val="20"/>
        </w:rPr>
        <w:t>whether</w:t>
      </w:r>
      <w:r>
        <w:rPr>
          <w:spacing w:val="18"/>
          <w:sz w:val="20"/>
        </w:rPr>
        <w:t> </w:t>
      </w:r>
      <w:r>
        <w:rPr>
          <w:sz w:val="20"/>
        </w:rPr>
        <w:t>the</w:t>
      </w:r>
      <w:r>
        <w:rPr>
          <w:spacing w:val="18"/>
          <w:sz w:val="20"/>
        </w:rPr>
        <w:t> </w:t>
      </w:r>
      <w:r>
        <w:rPr>
          <w:sz w:val="20"/>
        </w:rPr>
        <w:t>parties</w:t>
      </w:r>
      <w:r>
        <w:rPr>
          <w:spacing w:val="18"/>
          <w:sz w:val="20"/>
        </w:rPr>
        <w:t> </w:t>
      </w:r>
      <w:r>
        <w:rPr>
          <w:sz w:val="20"/>
        </w:rPr>
        <w:t>have</w:t>
      </w:r>
      <w:r>
        <w:rPr>
          <w:spacing w:val="18"/>
          <w:sz w:val="20"/>
        </w:rPr>
        <w:t> </w:t>
      </w:r>
      <w:r>
        <w:rPr>
          <w:sz w:val="20"/>
        </w:rPr>
        <w:t>entered</w:t>
      </w:r>
      <w:r>
        <w:rPr>
          <w:spacing w:val="18"/>
          <w:sz w:val="20"/>
        </w:rPr>
        <w:t> </w:t>
      </w:r>
      <w:r>
        <w:rPr>
          <w:spacing w:val="-10"/>
          <w:sz w:val="20"/>
        </w:rPr>
        <w:t>a</w:t>
      </w:r>
    </w:p>
    <w:p>
      <w:pPr>
        <w:spacing w:after="0" w:line="235" w:lineRule="auto"/>
        <w:jc w:val="left"/>
        <w:rPr>
          <w:sz w:val="20"/>
        </w:rPr>
        <w:sectPr>
          <w:pgSz w:w="11900" w:h="16840"/>
          <w:pgMar w:header="971" w:footer="0" w:top="1300" w:bottom="280" w:left="1275" w:right="1275"/>
        </w:sectPr>
      </w:pPr>
    </w:p>
    <w:p>
      <w:pPr>
        <w:spacing w:line="235" w:lineRule="auto" w:before="110"/>
        <w:ind w:left="705" w:right="167" w:firstLine="0"/>
        <w:jc w:val="both"/>
        <w:rPr>
          <w:sz w:val="20"/>
        </w:rPr>
      </w:pPr>
      <w:r>
        <w:rPr>
          <w:sz w:val="20"/>
        </w:rPr>
        <w:t>new collateral contract (</w:t>
      </w:r>
      <w:r>
        <w:rPr>
          <w:rFonts w:ascii="Arial" w:hAnsi="Arial"/>
          <w:i/>
          <w:sz w:val="20"/>
        </w:rPr>
        <w:t>James Miller and Partners Ltd v Whitworth Street Estates </w:t>
      </w:r>
      <w:r>
        <w:rPr>
          <w:rFonts w:ascii="Arial" w:hAnsi="Arial"/>
          <w:i/>
          <w:sz w:val="20"/>
        </w:rPr>
        <w:t>(Manchester) Ltd</w:t>
      </w:r>
      <w:r>
        <w:rPr>
          <w:rFonts w:ascii="Arial" w:hAnsi="Arial"/>
          <w:i/>
          <w:spacing w:val="-4"/>
          <w:sz w:val="20"/>
        </w:rPr>
        <w:t> </w:t>
      </w:r>
      <w:r>
        <w:rPr>
          <w:rFonts w:ascii="Arial" w:hAnsi="Arial"/>
          <w:i/>
          <w:sz w:val="20"/>
        </w:rPr>
        <w:t>603,</w:t>
      </w:r>
      <w:r>
        <w:rPr>
          <w:rFonts w:ascii="Arial" w:hAnsi="Arial"/>
          <w:i/>
          <w:spacing w:val="-4"/>
          <w:sz w:val="20"/>
        </w:rPr>
        <w:t> </w:t>
      </w:r>
      <w:r>
        <w:rPr>
          <w:rFonts w:ascii="Arial" w:hAnsi="Arial"/>
          <w:i/>
          <w:sz w:val="20"/>
        </w:rPr>
        <w:t>614-615</w:t>
      </w:r>
      <w:r>
        <w:rPr>
          <w:sz w:val="20"/>
        </w:rPr>
        <w:t>;</w:t>
      </w:r>
      <w:r>
        <w:rPr>
          <w:spacing w:val="-4"/>
          <w:sz w:val="20"/>
        </w:rPr>
        <w:t> </w:t>
      </w:r>
      <w:r>
        <w:rPr>
          <w:rFonts w:ascii="Arial" w:hAnsi="Arial"/>
          <w:i/>
          <w:sz w:val="20"/>
        </w:rPr>
        <w:t>Compagnie</w:t>
      </w:r>
      <w:r>
        <w:rPr>
          <w:rFonts w:ascii="Arial" w:hAnsi="Arial"/>
          <w:i/>
          <w:spacing w:val="-4"/>
          <w:sz w:val="20"/>
        </w:rPr>
        <w:t> </w:t>
      </w:r>
      <w:r>
        <w:rPr>
          <w:rFonts w:ascii="Arial" w:hAnsi="Arial"/>
          <w:i/>
          <w:sz w:val="20"/>
        </w:rPr>
        <w:t>d’Armement</w:t>
      </w:r>
      <w:r>
        <w:rPr>
          <w:rFonts w:ascii="Arial" w:hAnsi="Arial"/>
          <w:i/>
          <w:spacing w:val="-4"/>
          <w:sz w:val="20"/>
        </w:rPr>
        <w:t> </w:t>
      </w:r>
      <w:r>
        <w:rPr>
          <w:rFonts w:ascii="Arial" w:hAnsi="Arial"/>
          <w:i/>
          <w:sz w:val="20"/>
        </w:rPr>
        <w:t>Maritime</w:t>
      </w:r>
      <w:r>
        <w:rPr>
          <w:rFonts w:ascii="Arial" w:hAnsi="Arial"/>
          <w:i/>
          <w:spacing w:val="-4"/>
          <w:sz w:val="20"/>
        </w:rPr>
        <w:t> </w:t>
      </w:r>
      <w:r>
        <w:rPr>
          <w:rFonts w:ascii="Arial" w:hAnsi="Arial"/>
          <w:i/>
          <w:sz w:val="20"/>
        </w:rPr>
        <w:t>SA</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Compagnie</w:t>
      </w:r>
      <w:r>
        <w:rPr>
          <w:rFonts w:ascii="Arial" w:hAnsi="Arial"/>
          <w:i/>
          <w:spacing w:val="-4"/>
          <w:sz w:val="20"/>
        </w:rPr>
        <w:t> </w:t>
      </w:r>
      <w:r>
        <w:rPr>
          <w:rFonts w:ascii="Arial" w:hAnsi="Arial"/>
          <w:i/>
          <w:sz w:val="20"/>
        </w:rPr>
        <w:t>Tunisienne</w:t>
      </w:r>
      <w:r>
        <w:rPr>
          <w:rFonts w:ascii="Arial" w:hAnsi="Arial"/>
          <w:i/>
          <w:spacing w:val="-4"/>
          <w:sz w:val="20"/>
        </w:rPr>
        <w:t> </w:t>
      </w:r>
      <w:r>
        <w:rPr>
          <w:rFonts w:ascii="Arial" w:hAnsi="Arial"/>
          <w:i/>
          <w:sz w:val="20"/>
        </w:rPr>
        <w:t>de</w:t>
      </w:r>
      <w:r>
        <w:rPr>
          <w:rFonts w:ascii="Arial" w:hAnsi="Arial"/>
          <w:i/>
          <w:spacing w:val="-4"/>
          <w:sz w:val="20"/>
        </w:rPr>
        <w:t> </w:t>
      </w:r>
      <w:r>
        <w:rPr>
          <w:rFonts w:ascii="Arial" w:hAnsi="Arial"/>
          <w:i/>
          <w:sz w:val="20"/>
        </w:rPr>
        <w:t>Navigation SA 602-608</w:t>
      </w:r>
      <w:r>
        <w:rPr>
          <w:sz w:val="20"/>
        </w:rPr>
        <w:t>) or as evidence of estoppel (</w:t>
      </w:r>
      <w:r>
        <w:rPr>
          <w:rFonts w:ascii="Arial" w:hAnsi="Arial"/>
          <w:i/>
          <w:sz w:val="20"/>
        </w:rPr>
        <w:t>James Miller and Partners Ltd v Whitworth Street Estates</w:t>
      </w:r>
      <w:r>
        <w:rPr>
          <w:rFonts w:ascii="Arial" w:hAnsi="Arial"/>
          <w:i/>
          <w:spacing w:val="-2"/>
          <w:sz w:val="20"/>
        </w:rPr>
        <w:t> </w:t>
      </w:r>
      <w:r>
        <w:rPr>
          <w:rFonts w:ascii="Arial" w:hAnsi="Arial"/>
          <w:i/>
          <w:sz w:val="20"/>
        </w:rPr>
        <w:t>(Manchester)</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611,</w:t>
      </w:r>
      <w:r>
        <w:rPr>
          <w:rFonts w:ascii="Arial" w:hAnsi="Arial"/>
          <w:i/>
          <w:spacing w:val="-2"/>
          <w:sz w:val="20"/>
        </w:rPr>
        <w:t> </w:t>
      </w:r>
      <w:r>
        <w:rPr>
          <w:rFonts w:ascii="Arial" w:hAnsi="Arial"/>
          <w:i/>
          <w:sz w:val="20"/>
        </w:rPr>
        <w:t>614-615</w:t>
      </w:r>
      <w:r>
        <w:rPr>
          <w:sz w:val="20"/>
        </w:rPr>
        <w:t>).</w:t>
      </w:r>
      <w:r>
        <w:rPr>
          <w:spacing w:val="-2"/>
          <w:sz w:val="20"/>
        </w:rPr>
        <w:t> </w:t>
      </w:r>
      <w:r>
        <w:rPr>
          <w:sz w:val="20"/>
        </w:rPr>
        <w:t>As</w:t>
      </w:r>
      <w:r>
        <w:rPr>
          <w:spacing w:val="-2"/>
          <w:sz w:val="20"/>
        </w:rPr>
        <w:t> </w:t>
      </w:r>
      <w:r>
        <w:rPr>
          <w:sz w:val="20"/>
        </w:rPr>
        <w:t>to</w:t>
      </w:r>
      <w:r>
        <w:rPr>
          <w:spacing w:val="-2"/>
          <w:sz w:val="20"/>
        </w:rPr>
        <w:t> </w:t>
      </w:r>
      <w:r>
        <w:rPr>
          <w:sz w:val="20"/>
        </w:rPr>
        <w:t>the</w:t>
      </w:r>
      <w:r>
        <w:rPr>
          <w:spacing w:val="-2"/>
          <w:sz w:val="20"/>
        </w:rPr>
        <w:t> </w:t>
      </w:r>
      <w:r>
        <w:rPr>
          <w:sz w:val="20"/>
        </w:rPr>
        <w:t>position</w:t>
      </w:r>
      <w:r>
        <w:rPr>
          <w:spacing w:val="-2"/>
          <w:sz w:val="20"/>
        </w:rPr>
        <w:t> </w:t>
      </w:r>
      <w:r>
        <w:rPr>
          <w:sz w:val="20"/>
        </w:rPr>
        <w:t>under</w:t>
      </w:r>
      <w:r>
        <w:rPr>
          <w:spacing w:val="-2"/>
          <w:sz w:val="20"/>
        </w:rPr>
        <w:t> </w:t>
      </w:r>
      <w:r>
        <w:rPr>
          <w:sz w:val="20"/>
        </w:rPr>
        <w:t>the</w:t>
      </w:r>
      <w:r>
        <w:rPr>
          <w:spacing w:val="-2"/>
          <w:sz w:val="20"/>
        </w:rPr>
        <w:t> </w:t>
      </w:r>
      <w:r>
        <w:rPr>
          <w:sz w:val="20"/>
        </w:rPr>
        <w:t>Rome</w:t>
      </w:r>
      <w:r>
        <w:rPr>
          <w:spacing w:val="-2"/>
          <w:sz w:val="20"/>
        </w:rPr>
        <w:t> </w:t>
      </w:r>
      <w:r>
        <w:rPr>
          <w:sz w:val="20"/>
        </w:rPr>
        <w:t>Convention</w:t>
      </w:r>
      <w:r>
        <w:rPr>
          <w:spacing w:val="-2"/>
          <w:sz w:val="20"/>
        </w:rPr>
        <w:t> </w:t>
      </w:r>
      <w:r>
        <w:rPr>
          <w:sz w:val="20"/>
        </w:rPr>
        <w:t>and</w:t>
      </w:r>
      <w:r>
        <w:rPr>
          <w:spacing w:val="-2"/>
          <w:sz w:val="20"/>
        </w:rPr>
        <w:t> </w:t>
      </w:r>
      <w:r>
        <w:rPr>
          <w:sz w:val="20"/>
        </w:rPr>
        <w:t>the Rome I Regulation, see below, paras 30-053, 30-173. Effect would be given, however, to later changes in a foreign applicable law.</w:t>
      </w:r>
    </w:p>
    <w:p>
      <w:pPr>
        <w:pStyle w:val="BodyText"/>
        <w:spacing w:before="4"/>
      </w:pPr>
    </w:p>
    <w:p>
      <w:pPr>
        <w:tabs>
          <w:tab w:pos="705" w:val="left" w:leader="none"/>
        </w:tabs>
        <w:spacing w:before="0"/>
        <w:ind w:left="165" w:right="0" w:firstLine="0"/>
        <w:jc w:val="left"/>
        <w:rPr>
          <w:sz w:val="20"/>
        </w:rPr>
      </w:pPr>
      <w:bookmarkStart w:name="_bookmark102" w:id="104"/>
      <w:bookmarkEnd w:id="104"/>
      <w:r>
        <w:rPr/>
      </w:r>
      <w:hyperlink w:history="true" w:anchor="_bookmark32">
        <w:r>
          <w:rPr>
            <w:color w:val="005DA1"/>
            <w:spacing w:val="-5"/>
            <w:position w:val="5"/>
            <w:sz w:val="14"/>
            <w:u w:val="single" w:color="005DA1"/>
          </w:rPr>
          <w:t>22</w:t>
        </w:r>
      </w:hyperlink>
      <w:r>
        <w:rPr>
          <w:spacing w:val="-5"/>
          <w:position w:val="5"/>
          <w:sz w:val="14"/>
        </w:rPr>
        <w:t>.</w:t>
      </w:r>
      <w:r>
        <w:rPr>
          <w:position w:val="5"/>
          <w:sz w:val="14"/>
        </w:rPr>
        <w:tab/>
      </w:r>
      <w:r>
        <w:rPr>
          <w:rFonts w:ascii="Arial" w:hAnsi="Arial"/>
          <w:i/>
          <w:sz w:val="20"/>
        </w:rPr>
        <w:t>Astro Venturoso Compania Naviera v Hellenic Shipyards SA [1983] 2 Lloyd’s Rep. </w:t>
      </w:r>
      <w:r>
        <w:rPr>
          <w:rFonts w:ascii="Arial" w:hAnsi="Arial"/>
          <w:i/>
          <w:spacing w:val="-5"/>
          <w:sz w:val="20"/>
        </w:rPr>
        <w:t>12</w:t>
      </w:r>
      <w:r>
        <w:rPr>
          <w:spacing w:val="-5"/>
          <w:sz w:val="20"/>
        </w:rPr>
        <w:t>.</w:t>
      </w:r>
    </w:p>
    <w:p>
      <w:pPr>
        <w:pStyle w:val="BodyText"/>
        <w:spacing w:before="9"/>
      </w:pPr>
    </w:p>
    <w:p>
      <w:pPr>
        <w:spacing w:line="235" w:lineRule="auto" w:before="0"/>
        <w:ind w:left="705" w:right="167" w:hanging="541"/>
        <w:jc w:val="both"/>
        <w:rPr>
          <w:rFonts w:ascii="Arial"/>
          <w:i/>
          <w:sz w:val="20"/>
        </w:rPr>
      </w:pPr>
      <w:bookmarkStart w:name="_bookmark103" w:id="105"/>
      <w:bookmarkEnd w:id="105"/>
      <w:r>
        <w:rPr/>
      </w:r>
      <w:hyperlink w:history="true" w:anchor="_bookmark33">
        <w:r>
          <w:rPr>
            <w:color w:val="005DA1"/>
            <w:position w:val="5"/>
            <w:sz w:val="14"/>
            <w:u w:val="single" w:color="005DA1"/>
          </w:rPr>
          <w:t>23</w:t>
        </w:r>
      </w:hyperlink>
      <w:r>
        <w:rPr>
          <w:position w:val="5"/>
          <w:sz w:val="14"/>
        </w:rPr>
        <w:t>.</w:t>
      </w:r>
      <w:r>
        <w:rPr>
          <w:spacing w:val="80"/>
          <w:position w:val="5"/>
          <w:sz w:val="14"/>
        </w:rPr>
        <w:t>  </w:t>
      </w:r>
      <w:r>
        <w:rPr>
          <w:rFonts w:ascii="Arial"/>
          <w:i/>
          <w:sz w:val="20"/>
        </w:rPr>
        <w:t>James Miller and Partners Ltd v Whitworth Street Estates (Manchester) Ltd [1970] A.C. 583,</w:t>
      </w:r>
      <w:r>
        <w:rPr>
          <w:rFonts w:ascii="Arial"/>
          <w:i/>
          <w:spacing w:val="80"/>
          <w:sz w:val="20"/>
        </w:rPr>
        <w:t> </w:t>
      </w:r>
      <w:r>
        <w:rPr>
          <w:rFonts w:ascii="Arial"/>
          <w:i/>
          <w:sz w:val="20"/>
        </w:rPr>
        <w:t>603,</w:t>
      </w:r>
      <w:r>
        <w:rPr>
          <w:rFonts w:ascii="Arial"/>
          <w:i/>
          <w:spacing w:val="14"/>
          <w:sz w:val="20"/>
        </w:rPr>
        <w:t> </w:t>
      </w:r>
      <w:r>
        <w:rPr>
          <w:rFonts w:ascii="Arial"/>
          <w:i/>
          <w:sz w:val="20"/>
        </w:rPr>
        <w:t>614</w:t>
      </w:r>
      <w:r>
        <w:rPr>
          <w:sz w:val="20"/>
        </w:rPr>
        <w:t>;</w:t>
      </w:r>
      <w:r>
        <w:rPr>
          <w:spacing w:val="17"/>
          <w:sz w:val="20"/>
        </w:rPr>
        <w:t> </w:t>
      </w:r>
      <w:r>
        <w:rPr>
          <w:rFonts w:ascii="Arial"/>
          <w:i/>
          <w:sz w:val="20"/>
        </w:rPr>
        <w:t>Black</w:t>
      </w:r>
      <w:r>
        <w:rPr>
          <w:rFonts w:ascii="Arial"/>
          <w:i/>
          <w:spacing w:val="17"/>
          <w:sz w:val="20"/>
        </w:rPr>
        <w:t> </w:t>
      </w:r>
      <w:r>
        <w:rPr>
          <w:rFonts w:ascii="Arial"/>
          <w:i/>
          <w:sz w:val="20"/>
        </w:rPr>
        <w:t>Clawson</w:t>
      </w:r>
      <w:r>
        <w:rPr>
          <w:rFonts w:ascii="Arial"/>
          <w:i/>
          <w:spacing w:val="17"/>
          <w:sz w:val="20"/>
        </w:rPr>
        <w:t> </w:t>
      </w:r>
      <w:r>
        <w:rPr>
          <w:rFonts w:ascii="Arial"/>
          <w:i/>
          <w:sz w:val="20"/>
        </w:rPr>
        <w:t>International</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Papierwerke</w:t>
      </w:r>
      <w:r>
        <w:rPr>
          <w:rFonts w:ascii="Arial"/>
          <w:i/>
          <w:spacing w:val="17"/>
          <w:sz w:val="20"/>
        </w:rPr>
        <w:t> </w:t>
      </w:r>
      <w:r>
        <w:rPr>
          <w:rFonts w:ascii="Arial"/>
          <w:i/>
          <w:sz w:val="20"/>
        </w:rPr>
        <w:t>Waldhof-Aschaffenburg</w:t>
      </w:r>
      <w:r>
        <w:rPr>
          <w:rFonts w:ascii="Arial"/>
          <w:i/>
          <w:spacing w:val="17"/>
          <w:sz w:val="20"/>
        </w:rPr>
        <w:t> </w:t>
      </w:r>
      <w:r>
        <w:rPr>
          <w:rFonts w:ascii="Arial"/>
          <w:i/>
          <w:sz w:val="20"/>
        </w:rPr>
        <w:t>AG</w:t>
      </w:r>
      <w:r>
        <w:rPr>
          <w:rFonts w:ascii="Arial"/>
          <w:i/>
          <w:spacing w:val="17"/>
          <w:sz w:val="20"/>
        </w:rPr>
        <w:t> </w:t>
      </w:r>
      <w:r>
        <w:rPr>
          <w:rFonts w:ascii="Arial"/>
          <w:i/>
          <w:sz w:val="20"/>
        </w:rPr>
        <w:t>[1981]</w:t>
      </w:r>
      <w:r>
        <w:rPr>
          <w:rFonts w:ascii="Arial"/>
          <w:i/>
          <w:spacing w:val="17"/>
          <w:sz w:val="20"/>
        </w:rPr>
        <w:t> </w:t>
      </w:r>
      <w:r>
        <w:rPr>
          <w:rFonts w:ascii="Arial"/>
          <w:i/>
          <w:spacing w:val="-10"/>
          <w:sz w:val="20"/>
        </w:rPr>
        <w:t>2</w:t>
      </w:r>
    </w:p>
    <w:p>
      <w:pPr>
        <w:spacing w:line="235" w:lineRule="auto" w:before="0"/>
        <w:ind w:left="705" w:right="168" w:firstLine="0"/>
        <w:jc w:val="both"/>
        <w:rPr>
          <w:sz w:val="20"/>
        </w:rPr>
      </w:pPr>
      <w:r>
        <w:rPr>
          <w:rFonts w:ascii="Arial" w:hAnsi="Arial"/>
          <w:i/>
          <w:sz w:val="20"/>
        </w:rPr>
        <w:t>Lloyd’s Rep. 446, 453</w:t>
      </w:r>
      <w:r>
        <w:rPr>
          <w:sz w:val="20"/>
        </w:rPr>
        <w:t>; </w:t>
      </w:r>
      <w:r>
        <w:rPr>
          <w:rFonts w:ascii="Arial" w:hAnsi="Arial"/>
          <w:i/>
          <w:sz w:val="20"/>
        </w:rPr>
        <w:t>E.I. du Pont de Nemours v Agnew [1987] 2 Lloyd’s Rep. 585, 592</w:t>
      </w:r>
      <w:r>
        <w:rPr>
          <w:sz w:val="20"/>
        </w:rPr>
        <w:t>; </w:t>
      </w:r>
      <w:r>
        <w:rPr>
          <w:rFonts w:ascii="Arial" w:hAnsi="Arial"/>
          <w:i/>
          <w:sz w:val="20"/>
        </w:rPr>
        <w:t>Libyan Arab Foreign Bank v Bankers Trust Co [1989] Q.B. 728, 747</w:t>
      </w:r>
      <w:r>
        <w:rPr>
          <w:sz w:val="20"/>
        </w:rPr>
        <w:t>. cf. </w:t>
      </w:r>
      <w:r>
        <w:rPr>
          <w:rFonts w:ascii="Arial" w:hAnsi="Arial"/>
          <w:i/>
          <w:sz w:val="20"/>
        </w:rPr>
        <w:t>Armar Shipping Co Ltd v Caisse Algérienne [1981] 1 W.L.R. 207, 216</w:t>
      </w:r>
      <w:r>
        <w:rPr>
          <w:sz w:val="20"/>
        </w:rPr>
        <w:t>; </w:t>
      </w:r>
      <w:r>
        <w:rPr>
          <w:rFonts w:ascii="Arial" w:hAnsi="Arial"/>
          <w:i/>
          <w:sz w:val="20"/>
        </w:rPr>
        <w:t>Mauritius Commercial Bank Ltd v </w:t>
      </w:r>
      <w:r>
        <w:rPr>
          <w:rFonts w:ascii="Arial" w:hAnsi="Arial"/>
          <w:i/>
          <w:sz w:val="20"/>
        </w:rPr>
        <w:t>Hestia Holdings Ltd [2013] EWHC 1328 (Comm), [2013] 2 Lloyd’s Rep. 121</w:t>
      </w:r>
      <w:r>
        <w:rPr>
          <w:sz w:val="20"/>
        </w:rPr>
        <w:t>. As to the position under the Rome Convention and the Rome I Regulation, see below, paras 30-057, 30-175.</w:t>
      </w:r>
    </w:p>
    <w:p>
      <w:pPr>
        <w:pStyle w:val="BodyText"/>
        <w:spacing w:before="7"/>
      </w:pPr>
    </w:p>
    <w:p>
      <w:pPr>
        <w:tabs>
          <w:tab w:pos="705" w:val="left" w:leader="none"/>
        </w:tabs>
        <w:spacing w:line="235" w:lineRule="auto" w:before="0"/>
        <w:ind w:left="705" w:right="168" w:hanging="541"/>
        <w:jc w:val="left"/>
        <w:rPr>
          <w:sz w:val="20"/>
        </w:rPr>
      </w:pPr>
      <w:bookmarkStart w:name="_bookmark104" w:id="106"/>
      <w:bookmarkEnd w:id="106"/>
      <w:r>
        <w:rPr/>
      </w:r>
      <w:hyperlink w:history="true" w:anchor="_bookmark34">
        <w:r>
          <w:rPr>
            <w:color w:val="005DA1"/>
            <w:spacing w:val="-4"/>
            <w:position w:val="5"/>
            <w:sz w:val="14"/>
            <w:u w:val="single" w:color="005DA1"/>
          </w:rPr>
          <w:t>24</w:t>
        </w:r>
      </w:hyperlink>
      <w:r>
        <w:rPr>
          <w:spacing w:val="-4"/>
          <w:position w:val="5"/>
          <w:sz w:val="14"/>
        </w:rPr>
        <w:t>.</w:t>
      </w:r>
      <w:r>
        <w:rPr>
          <w:position w:val="5"/>
          <w:sz w:val="14"/>
        </w:rPr>
        <w:tab/>
      </w:r>
      <w:r>
        <w:rPr>
          <w:sz w:val="20"/>
        </w:rPr>
        <w:t>See,</w:t>
      </w:r>
      <w:r>
        <w:rPr>
          <w:spacing w:val="21"/>
          <w:sz w:val="20"/>
        </w:rPr>
        <w:t> </w:t>
      </w:r>
      <w:r>
        <w:rPr>
          <w:sz w:val="20"/>
        </w:rPr>
        <w:t>e.g.</w:t>
      </w:r>
      <w:r>
        <w:rPr>
          <w:spacing w:val="21"/>
          <w:sz w:val="20"/>
        </w:rPr>
        <w:t> </w:t>
      </w:r>
      <w:r>
        <w:rPr>
          <w:rFonts w:ascii="Arial" w:hAnsi="Arial"/>
          <w:i/>
          <w:sz w:val="20"/>
        </w:rPr>
        <w:t>Mackender</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Feldia</w:t>
      </w:r>
      <w:r>
        <w:rPr>
          <w:rFonts w:ascii="Arial" w:hAnsi="Arial"/>
          <w:i/>
          <w:spacing w:val="21"/>
          <w:sz w:val="20"/>
        </w:rPr>
        <w:t> </w:t>
      </w:r>
      <w:r>
        <w:rPr>
          <w:rFonts w:ascii="Arial" w:hAnsi="Arial"/>
          <w:i/>
          <w:sz w:val="20"/>
        </w:rPr>
        <w:t>AG</w:t>
      </w:r>
      <w:r>
        <w:rPr>
          <w:rFonts w:ascii="Arial" w:hAnsi="Arial"/>
          <w:i/>
          <w:spacing w:val="21"/>
          <w:sz w:val="20"/>
        </w:rPr>
        <w:t> </w:t>
      </w:r>
      <w:r>
        <w:rPr>
          <w:rFonts w:ascii="Arial" w:hAnsi="Arial"/>
          <w:i/>
          <w:sz w:val="20"/>
        </w:rPr>
        <w:t>[1967]</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z w:val="20"/>
        </w:rPr>
        <w:t>Q.B.</w:t>
      </w:r>
      <w:r>
        <w:rPr>
          <w:rFonts w:ascii="Arial" w:hAnsi="Arial"/>
          <w:i/>
          <w:spacing w:val="21"/>
          <w:sz w:val="20"/>
        </w:rPr>
        <w:t> </w:t>
      </w:r>
      <w:r>
        <w:rPr>
          <w:rFonts w:ascii="Arial" w:hAnsi="Arial"/>
          <w:i/>
          <w:sz w:val="20"/>
        </w:rPr>
        <w:t>590</w:t>
      </w:r>
      <w:r>
        <w:rPr>
          <w:sz w:val="20"/>
        </w:rPr>
        <w:t>;</w:t>
      </w:r>
      <w:r>
        <w:rPr>
          <w:spacing w:val="21"/>
          <w:sz w:val="20"/>
        </w:rPr>
        <w:t> </w:t>
      </w:r>
      <w:r>
        <w:rPr>
          <w:rFonts w:ascii="Arial" w:hAnsi="Arial"/>
          <w:i/>
          <w:sz w:val="20"/>
        </w:rPr>
        <w:t>Compagnie</w:t>
      </w:r>
      <w:r>
        <w:rPr>
          <w:rFonts w:ascii="Arial" w:hAnsi="Arial"/>
          <w:i/>
          <w:spacing w:val="21"/>
          <w:sz w:val="20"/>
        </w:rPr>
        <w:t> </w:t>
      </w:r>
      <w:r>
        <w:rPr>
          <w:rFonts w:ascii="Arial" w:hAnsi="Arial"/>
          <w:i/>
          <w:sz w:val="20"/>
        </w:rPr>
        <w:t>d’Armement</w:t>
      </w:r>
      <w:r>
        <w:rPr>
          <w:rFonts w:ascii="Arial" w:hAnsi="Arial"/>
          <w:i/>
          <w:spacing w:val="21"/>
          <w:sz w:val="20"/>
        </w:rPr>
        <w:t> </w:t>
      </w:r>
      <w:r>
        <w:rPr>
          <w:rFonts w:ascii="Arial" w:hAnsi="Arial"/>
          <w:i/>
          <w:sz w:val="20"/>
        </w:rPr>
        <w:t>Maritime</w:t>
      </w:r>
      <w:r>
        <w:rPr>
          <w:rFonts w:ascii="Arial" w:hAnsi="Arial"/>
          <w:i/>
          <w:spacing w:val="21"/>
          <w:sz w:val="20"/>
        </w:rPr>
        <w:t> </w:t>
      </w:r>
      <w:r>
        <w:rPr>
          <w:rFonts w:ascii="Arial" w:hAnsi="Arial"/>
          <w:i/>
          <w:sz w:val="20"/>
        </w:rPr>
        <w:t>SA</w:t>
      </w:r>
      <w:r>
        <w:rPr>
          <w:rFonts w:ascii="Arial" w:hAnsi="Arial"/>
          <w:i/>
          <w:spacing w:val="21"/>
          <w:sz w:val="20"/>
        </w:rPr>
        <w:t> </w:t>
      </w:r>
      <w:r>
        <w:rPr>
          <w:rFonts w:ascii="Arial" w:hAnsi="Arial"/>
          <w:i/>
          <w:sz w:val="20"/>
        </w:rPr>
        <w:t>v Compagnie Tunisienne de Navigation SA [1971] A.C. 572</w:t>
      </w:r>
      <w:r>
        <w:rPr>
          <w:sz w:val="20"/>
        </w:rPr>
        <w:t>.</w:t>
      </w:r>
    </w:p>
    <w:p>
      <w:pPr>
        <w:pStyle w:val="BodyText"/>
        <w:spacing w:before="6"/>
      </w:pPr>
    </w:p>
    <w:p>
      <w:pPr>
        <w:spacing w:line="227" w:lineRule="exact" w:before="0"/>
        <w:ind w:left="165" w:right="0" w:firstLine="0"/>
        <w:jc w:val="both"/>
        <w:rPr>
          <w:rFonts w:ascii="Arial" w:hAnsi="Arial"/>
          <w:i/>
          <w:sz w:val="20"/>
        </w:rPr>
      </w:pPr>
      <w:bookmarkStart w:name="_bookmark105" w:id="107"/>
      <w:bookmarkEnd w:id="107"/>
      <w:r>
        <w:rPr/>
      </w:r>
      <w:hyperlink w:history="true" w:anchor="_bookmark35">
        <w:r>
          <w:rPr>
            <w:color w:val="005DA1"/>
            <w:position w:val="5"/>
            <w:sz w:val="14"/>
            <w:u w:val="single" w:color="005DA1"/>
          </w:rPr>
          <w:t>25</w:t>
        </w:r>
      </w:hyperlink>
      <w:r>
        <w:rPr>
          <w:position w:val="5"/>
          <w:sz w:val="14"/>
        </w:rPr>
        <w:t>.</w:t>
      </w:r>
      <w:r>
        <w:rPr>
          <w:spacing w:val="76"/>
          <w:position w:val="5"/>
          <w:sz w:val="14"/>
        </w:rPr>
        <w:t>   </w:t>
      </w:r>
      <w:r>
        <w:rPr>
          <w:rFonts w:ascii="Arial" w:hAnsi="Arial"/>
          <w:i/>
          <w:sz w:val="20"/>
        </w:rPr>
        <w:t>Compagnie</w:t>
      </w:r>
      <w:r>
        <w:rPr>
          <w:rFonts w:ascii="Arial" w:hAnsi="Arial"/>
          <w:i/>
          <w:spacing w:val="47"/>
          <w:sz w:val="20"/>
        </w:rPr>
        <w:t> </w:t>
      </w:r>
      <w:r>
        <w:rPr>
          <w:rFonts w:ascii="Arial" w:hAnsi="Arial"/>
          <w:i/>
          <w:sz w:val="20"/>
        </w:rPr>
        <w:t>d’Armement</w:t>
      </w:r>
      <w:r>
        <w:rPr>
          <w:rFonts w:ascii="Arial" w:hAnsi="Arial"/>
          <w:i/>
          <w:spacing w:val="47"/>
          <w:sz w:val="20"/>
        </w:rPr>
        <w:t> </w:t>
      </w:r>
      <w:r>
        <w:rPr>
          <w:rFonts w:ascii="Arial" w:hAnsi="Arial"/>
          <w:i/>
          <w:sz w:val="20"/>
        </w:rPr>
        <w:t>Maritime</w:t>
      </w:r>
      <w:r>
        <w:rPr>
          <w:rFonts w:ascii="Arial" w:hAnsi="Arial"/>
          <w:i/>
          <w:spacing w:val="47"/>
          <w:sz w:val="20"/>
        </w:rPr>
        <w:t> </w:t>
      </w:r>
      <w:r>
        <w:rPr>
          <w:rFonts w:ascii="Arial" w:hAnsi="Arial"/>
          <w:i/>
          <w:sz w:val="20"/>
        </w:rPr>
        <w:t>SA</w:t>
      </w:r>
      <w:r>
        <w:rPr>
          <w:rFonts w:ascii="Arial" w:hAnsi="Arial"/>
          <w:i/>
          <w:spacing w:val="47"/>
          <w:sz w:val="20"/>
        </w:rPr>
        <w:t> </w:t>
      </w:r>
      <w:r>
        <w:rPr>
          <w:rFonts w:ascii="Arial" w:hAnsi="Arial"/>
          <w:i/>
          <w:sz w:val="20"/>
        </w:rPr>
        <w:t>v</w:t>
      </w:r>
      <w:r>
        <w:rPr>
          <w:rFonts w:ascii="Arial" w:hAnsi="Arial"/>
          <w:i/>
          <w:spacing w:val="47"/>
          <w:sz w:val="20"/>
        </w:rPr>
        <w:t> </w:t>
      </w:r>
      <w:r>
        <w:rPr>
          <w:rFonts w:ascii="Arial" w:hAnsi="Arial"/>
          <w:i/>
          <w:sz w:val="20"/>
        </w:rPr>
        <w:t>Compagnie</w:t>
      </w:r>
      <w:r>
        <w:rPr>
          <w:rFonts w:ascii="Arial" w:hAnsi="Arial"/>
          <w:i/>
          <w:spacing w:val="47"/>
          <w:sz w:val="20"/>
        </w:rPr>
        <w:t> </w:t>
      </w:r>
      <w:r>
        <w:rPr>
          <w:rFonts w:ascii="Arial" w:hAnsi="Arial"/>
          <w:i/>
          <w:sz w:val="20"/>
        </w:rPr>
        <w:t>Tunisienne</w:t>
      </w:r>
      <w:r>
        <w:rPr>
          <w:rFonts w:ascii="Arial" w:hAnsi="Arial"/>
          <w:i/>
          <w:spacing w:val="47"/>
          <w:sz w:val="20"/>
        </w:rPr>
        <w:t> </w:t>
      </w:r>
      <w:r>
        <w:rPr>
          <w:rFonts w:ascii="Arial" w:hAnsi="Arial"/>
          <w:i/>
          <w:sz w:val="20"/>
        </w:rPr>
        <w:t>de</w:t>
      </w:r>
      <w:r>
        <w:rPr>
          <w:rFonts w:ascii="Arial" w:hAnsi="Arial"/>
          <w:i/>
          <w:spacing w:val="47"/>
          <w:sz w:val="20"/>
        </w:rPr>
        <w:t> </w:t>
      </w:r>
      <w:r>
        <w:rPr>
          <w:rFonts w:ascii="Arial" w:hAnsi="Arial"/>
          <w:i/>
          <w:sz w:val="20"/>
        </w:rPr>
        <w:t>Navigation</w:t>
      </w:r>
      <w:r>
        <w:rPr>
          <w:rFonts w:ascii="Arial" w:hAnsi="Arial"/>
          <w:i/>
          <w:spacing w:val="47"/>
          <w:sz w:val="20"/>
        </w:rPr>
        <w:t> </w:t>
      </w:r>
      <w:r>
        <w:rPr>
          <w:rFonts w:ascii="Arial" w:hAnsi="Arial"/>
          <w:i/>
          <w:sz w:val="20"/>
        </w:rPr>
        <w:t>SA</w:t>
      </w:r>
      <w:r>
        <w:rPr>
          <w:rFonts w:ascii="Arial" w:hAnsi="Arial"/>
          <w:i/>
          <w:spacing w:val="47"/>
          <w:sz w:val="20"/>
        </w:rPr>
        <w:t> </w:t>
      </w:r>
      <w:r>
        <w:rPr>
          <w:rFonts w:ascii="Arial" w:hAnsi="Arial"/>
          <w:i/>
          <w:sz w:val="20"/>
        </w:rPr>
        <w:t>[1969]</w:t>
      </w:r>
      <w:r>
        <w:rPr>
          <w:rFonts w:ascii="Arial" w:hAnsi="Arial"/>
          <w:i/>
          <w:spacing w:val="47"/>
          <w:sz w:val="20"/>
        </w:rPr>
        <w:t> </w:t>
      </w:r>
      <w:r>
        <w:rPr>
          <w:rFonts w:ascii="Arial" w:hAnsi="Arial"/>
          <w:i/>
          <w:spacing w:val="-10"/>
          <w:sz w:val="20"/>
        </w:rPr>
        <w:t>1</w:t>
      </w:r>
    </w:p>
    <w:p>
      <w:pPr>
        <w:spacing w:line="235" w:lineRule="auto" w:before="1"/>
        <w:ind w:left="705" w:right="167" w:firstLine="0"/>
        <w:jc w:val="both"/>
        <w:rPr>
          <w:sz w:val="20"/>
        </w:rPr>
      </w:pPr>
      <w:r>
        <w:rPr>
          <w:rFonts w:ascii="Arial" w:hAnsi="Arial"/>
          <w:i/>
          <w:sz w:val="20"/>
        </w:rPr>
        <w:t>W.L.R. 1338 </w:t>
      </w:r>
      <w:r>
        <w:rPr>
          <w:sz w:val="20"/>
        </w:rPr>
        <w:t>(reversed on a different view of the facts </w:t>
      </w:r>
      <w:r>
        <w:rPr>
          <w:rFonts w:ascii="Arial" w:hAnsi="Arial"/>
          <w:i/>
          <w:sz w:val="20"/>
        </w:rPr>
        <w:t>[1971] A.C. 572</w:t>
      </w:r>
      <w:r>
        <w:rPr>
          <w:sz w:val="20"/>
        </w:rPr>
        <w:t>). Mere difficulty in ascertaining the chosen law would not render the choice ineffective: see, e.g. </w:t>
      </w:r>
      <w:r>
        <w:rPr>
          <w:rFonts w:ascii="Arial" w:hAnsi="Arial"/>
          <w:i/>
          <w:sz w:val="20"/>
        </w:rPr>
        <w:t>The Blue Wave [1982] 1 Lloyd’s Rep. 151</w:t>
      </w:r>
      <w:r>
        <w:rPr>
          <w:sz w:val="20"/>
        </w:rPr>
        <w:t>; </w:t>
      </w:r>
      <w:r>
        <w:rPr>
          <w:rFonts w:ascii="Arial" w:hAnsi="Arial"/>
          <w:i/>
          <w:sz w:val="20"/>
        </w:rPr>
        <w:t>Star Shipping SA v China National Foreign Trade Transportation Corp [1993] 2 Lloyd’s Rep. 445</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6" w:id="108"/>
      <w:bookmarkEnd w:id="108"/>
      <w:r>
        <w:rPr/>
      </w:r>
      <w:hyperlink w:history="true" w:anchor="_bookmark36">
        <w:r>
          <w:rPr>
            <w:color w:val="005DA1"/>
            <w:spacing w:val="-5"/>
            <w:position w:val="5"/>
            <w:sz w:val="14"/>
            <w:u w:val="single" w:color="005DA1"/>
          </w:rPr>
          <w:t>26</w:t>
        </w:r>
      </w:hyperlink>
      <w:r>
        <w:rPr>
          <w:spacing w:val="-5"/>
          <w:position w:val="5"/>
          <w:sz w:val="14"/>
        </w:rPr>
        <w:t>.</w:t>
      </w:r>
      <w:r>
        <w:rPr>
          <w:position w:val="5"/>
          <w:sz w:val="14"/>
        </w:rPr>
        <w:tab/>
      </w:r>
      <w:r>
        <w:rPr>
          <w:rFonts w:ascii="Arial"/>
          <w:i/>
          <w:sz w:val="20"/>
        </w:rPr>
        <w:t>Mackender</w:t>
      </w:r>
      <w:r>
        <w:rPr>
          <w:rFonts w:ascii="Arial"/>
          <w:i/>
          <w:spacing w:val="15"/>
          <w:sz w:val="20"/>
        </w:rPr>
        <w:t> </w:t>
      </w:r>
      <w:r>
        <w:rPr>
          <w:rFonts w:ascii="Arial"/>
          <w:i/>
          <w:sz w:val="20"/>
        </w:rPr>
        <w:t>v</w:t>
      </w:r>
      <w:r>
        <w:rPr>
          <w:rFonts w:ascii="Arial"/>
          <w:i/>
          <w:spacing w:val="18"/>
          <w:sz w:val="20"/>
        </w:rPr>
        <w:t> </w:t>
      </w:r>
      <w:r>
        <w:rPr>
          <w:rFonts w:ascii="Arial"/>
          <w:i/>
          <w:sz w:val="20"/>
        </w:rPr>
        <w:t>Feldia</w:t>
      </w:r>
      <w:r>
        <w:rPr>
          <w:rFonts w:ascii="Arial"/>
          <w:i/>
          <w:spacing w:val="18"/>
          <w:sz w:val="20"/>
        </w:rPr>
        <w:t> </w:t>
      </w:r>
      <w:r>
        <w:rPr>
          <w:rFonts w:ascii="Arial"/>
          <w:i/>
          <w:sz w:val="20"/>
        </w:rPr>
        <w:t>AG</w:t>
      </w:r>
      <w:r>
        <w:rPr>
          <w:rFonts w:ascii="Arial"/>
          <w:i/>
          <w:spacing w:val="18"/>
          <w:sz w:val="20"/>
        </w:rPr>
        <w:t> </w:t>
      </w:r>
      <w:r>
        <w:rPr>
          <w:rFonts w:ascii="Arial"/>
          <w:i/>
          <w:sz w:val="20"/>
        </w:rPr>
        <w:t>[1967]</w:t>
      </w:r>
      <w:r>
        <w:rPr>
          <w:rFonts w:ascii="Arial"/>
          <w:i/>
          <w:spacing w:val="18"/>
          <w:sz w:val="20"/>
        </w:rPr>
        <w:t> </w:t>
      </w:r>
      <w:r>
        <w:rPr>
          <w:rFonts w:ascii="Arial"/>
          <w:i/>
          <w:sz w:val="20"/>
        </w:rPr>
        <w:t>2</w:t>
      </w:r>
      <w:r>
        <w:rPr>
          <w:rFonts w:ascii="Arial"/>
          <w:i/>
          <w:spacing w:val="18"/>
          <w:sz w:val="20"/>
        </w:rPr>
        <w:t> </w:t>
      </w:r>
      <w:r>
        <w:rPr>
          <w:rFonts w:ascii="Arial"/>
          <w:i/>
          <w:sz w:val="20"/>
        </w:rPr>
        <w:t>Q.B.</w:t>
      </w:r>
      <w:r>
        <w:rPr>
          <w:rFonts w:ascii="Arial"/>
          <w:i/>
          <w:spacing w:val="18"/>
          <w:sz w:val="20"/>
        </w:rPr>
        <w:t> </w:t>
      </w:r>
      <w:r>
        <w:rPr>
          <w:rFonts w:ascii="Arial"/>
          <w:i/>
          <w:sz w:val="20"/>
        </w:rPr>
        <w:t>590,</w:t>
      </w:r>
      <w:r>
        <w:rPr>
          <w:rFonts w:ascii="Arial"/>
          <w:i/>
          <w:spacing w:val="18"/>
          <w:sz w:val="20"/>
        </w:rPr>
        <w:t> </w:t>
      </w:r>
      <w:r>
        <w:rPr>
          <w:rFonts w:ascii="Arial"/>
          <w:i/>
          <w:sz w:val="20"/>
        </w:rPr>
        <w:t>598,</w:t>
      </w:r>
      <w:r>
        <w:rPr>
          <w:rFonts w:ascii="Arial"/>
          <w:i/>
          <w:spacing w:val="18"/>
          <w:sz w:val="20"/>
        </w:rPr>
        <w:t> </w:t>
      </w:r>
      <w:r>
        <w:rPr>
          <w:rFonts w:ascii="Arial"/>
          <w:i/>
          <w:sz w:val="20"/>
        </w:rPr>
        <w:t>603,</w:t>
      </w:r>
      <w:r>
        <w:rPr>
          <w:rFonts w:ascii="Arial"/>
          <w:i/>
          <w:spacing w:val="18"/>
          <w:sz w:val="20"/>
        </w:rPr>
        <w:t> </w:t>
      </w:r>
      <w:r>
        <w:rPr>
          <w:rFonts w:ascii="Arial"/>
          <w:i/>
          <w:sz w:val="20"/>
        </w:rPr>
        <w:t>605</w:t>
      </w:r>
      <w:r>
        <w:rPr>
          <w:sz w:val="20"/>
        </w:rPr>
        <w:t>;</w:t>
      </w:r>
      <w:r>
        <w:rPr>
          <w:spacing w:val="18"/>
          <w:sz w:val="20"/>
        </w:rPr>
        <w:t> </w:t>
      </w:r>
      <w:r>
        <w:rPr>
          <w:rFonts w:ascii="Arial"/>
          <w:i/>
          <w:sz w:val="20"/>
        </w:rPr>
        <w:t>Chevron</w:t>
      </w:r>
      <w:r>
        <w:rPr>
          <w:rFonts w:ascii="Arial"/>
          <w:i/>
          <w:spacing w:val="18"/>
          <w:sz w:val="20"/>
        </w:rPr>
        <w:t> </w:t>
      </w:r>
      <w:r>
        <w:rPr>
          <w:rFonts w:ascii="Arial"/>
          <w:i/>
          <w:sz w:val="20"/>
        </w:rPr>
        <w:t>International</w:t>
      </w:r>
      <w:r>
        <w:rPr>
          <w:rFonts w:ascii="Arial"/>
          <w:i/>
          <w:spacing w:val="18"/>
          <w:sz w:val="20"/>
        </w:rPr>
        <w:t> </w:t>
      </w:r>
      <w:r>
        <w:rPr>
          <w:rFonts w:ascii="Arial"/>
          <w:i/>
          <w:sz w:val="20"/>
        </w:rPr>
        <w:t>Oil</w:t>
      </w:r>
      <w:r>
        <w:rPr>
          <w:rFonts w:ascii="Arial"/>
          <w:i/>
          <w:spacing w:val="18"/>
          <w:sz w:val="20"/>
        </w:rPr>
        <w:t> </w:t>
      </w:r>
      <w:r>
        <w:rPr>
          <w:rFonts w:ascii="Arial"/>
          <w:i/>
          <w:sz w:val="20"/>
        </w:rPr>
        <w:t>Co</w:t>
      </w:r>
      <w:r>
        <w:rPr>
          <w:rFonts w:ascii="Arial"/>
          <w:i/>
          <w:spacing w:val="18"/>
          <w:sz w:val="20"/>
        </w:rPr>
        <w:t> </w:t>
      </w:r>
      <w:r>
        <w:rPr>
          <w:rFonts w:ascii="Arial"/>
          <w:i/>
          <w:sz w:val="20"/>
        </w:rPr>
        <w:t>Ltd</w:t>
      </w:r>
      <w:r>
        <w:rPr>
          <w:rFonts w:ascii="Arial"/>
          <w:i/>
          <w:spacing w:val="18"/>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A/S Sea Team [1983] 2 Lloyd’s Rep. 356, 358-</w:t>
      </w:r>
      <w:r>
        <w:rPr>
          <w:rFonts w:ascii="Arial" w:hAnsi="Arial"/>
          <w:i/>
          <w:spacing w:val="-4"/>
          <w:sz w:val="20"/>
        </w:rPr>
        <w:t>458</w:t>
      </w:r>
      <w:r>
        <w:rPr>
          <w:spacing w:val="-4"/>
          <w:sz w:val="20"/>
        </w:rPr>
        <w:t>.</w:t>
      </w:r>
    </w:p>
    <w:p>
      <w:pPr>
        <w:pStyle w:val="BodyText"/>
        <w:spacing w:before="8"/>
      </w:pPr>
    </w:p>
    <w:p>
      <w:pPr>
        <w:spacing w:line="235" w:lineRule="auto" w:before="1"/>
        <w:ind w:left="705" w:right="167" w:hanging="541"/>
        <w:jc w:val="both"/>
        <w:rPr>
          <w:sz w:val="20"/>
        </w:rPr>
      </w:pPr>
      <w:bookmarkStart w:name="_bookmark107" w:id="109"/>
      <w:bookmarkEnd w:id="109"/>
      <w:r>
        <w:rPr/>
      </w:r>
      <w:hyperlink w:history="true" w:anchor="_bookmark37">
        <w:r>
          <w:rPr>
            <w:color w:val="005DA1"/>
            <w:position w:val="5"/>
            <w:sz w:val="14"/>
            <w:u w:val="single" w:color="005DA1"/>
          </w:rPr>
          <w:t>27</w:t>
        </w:r>
      </w:hyperlink>
      <w:r>
        <w:rPr>
          <w:position w:val="5"/>
          <w:sz w:val="14"/>
        </w:rPr>
        <w:t>.</w:t>
      </w:r>
      <w:r>
        <w:rPr>
          <w:spacing w:val="80"/>
          <w:w w:val="150"/>
          <w:position w:val="5"/>
          <w:sz w:val="14"/>
        </w:rPr>
        <w:t>  </w:t>
      </w:r>
      <w:r>
        <w:rPr>
          <w:sz w:val="20"/>
        </w:rPr>
        <w:t>See </w:t>
      </w:r>
      <w:r>
        <w:rPr>
          <w:rFonts w:ascii="Arial" w:hAnsi="Arial"/>
          <w:i/>
          <w:sz w:val="20"/>
        </w:rPr>
        <w:t>Compagnia Naviera Micro SA v Shipley International Inc [1982] 2 Lloyd’s Rep. 351</w:t>
      </w:r>
      <w:r>
        <w:rPr>
          <w:sz w:val="20"/>
        </w:rPr>
        <w:t>. This is the position under the Rome Convention arts 3(4) and 8 and the Rome I Regulation arts 3(5) and 10: see below, paras 30-058, 30-183.</w:t>
      </w:r>
    </w:p>
    <w:p>
      <w:pPr>
        <w:pStyle w:val="BodyText"/>
        <w:spacing w:before="5"/>
      </w:pPr>
    </w:p>
    <w:p>
      <w:pPr>
        <w:tabs>
          <w:tab w:pos="705" w:val="left" w:leader="none"/>
        </w:tabs>
        <w:spacing w:before="0"/>
        <w:ind w:left="165" w:right="0" w:firstLine="0"/>
        <w:jc w:val="left"/>
        <w:rPr>
          <w:sz w:val="20"/>
        </w:rPr>
      </w:pPr>
      <w:bookmarkStart w:name="_bookmark108" w:id="110"/>
      <w:bookmarkEnd w:id="110"/>
      <w:r>
        <w:rPr/>
      </w:r>
      <w:hyperlink w:history="true" w:anchor="_bookmark38">
        <w:r>
          <w:rPr>
            <w:color w:val="005DA1"/>
            <w:spacing w:val="-5"/>
            <w:position w:val="5"/>
            <w:sz w:val="14"/>
            <w:u w:val="single" w:color="005DA1"/>
          </w:rPr>
          <w:t>28</w:t>
        </w:r>
      </w:hyperlink>
      <w:r>
        <w:rPr>
          <w:spacing w:val="-5"/>
          <w:position w:val="5"/>
          <w:sz w:val="14"/>
        </w:rPr>
        <w:t>.</w:t>
      </w:r>
      <w:r>
        <w:rPr>
          <w:position w:val="5"/>
          <w:sz w:val="14"/>
        </w:rPr>
        <w:tab/>
      </w:r>
      <w:r>
        <w:rPr>
          <w:rFonts w:ascii="Arial"/>
          <w:i/>
          <w:sz w:val="20"/>
        </w:rPr>
        <w:t>Vita Food Products Inc v Unus Shipping Co Ltd [1939] A.C. 277, </w:t>
      </w:r>
      <w:r>
        <w:rPr>
          <w:rFonts w:ascii="Arial"/>
          <w:i/>
          <w:spacing w:val="-4"/>
          <w:sz w:val="20"/>
        </w:rPr>
        <w:t>290</w:t>
      </w:r>
      <w:r>
        <w:rPr>
          <w:spacing w:val="-4"/>
          <w:sz w:val="20"/>
        </w:rPr>
        <w:t>.</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109" w:id="111"/>
      <w:bookmarkEnd w:id="111"/>
      <w:r>
        <w:rPr/>
      </w:r>
      <w:hyperlink w:history="true" w:anchor="_bookmark39">
        <w:r>
          <w:rPr>
            <w:color w:val="005DA1"/>
            <w:spacing w:val="-4"/>
            <w:position w:val="5"/>
            <w:sz w:val="14"/>
            <w:u w:val="single" w:color="005DA1"/>
          </w:rPr>
          <w:t>29</w:t>
        </w:r>
      </w:hyperlink>
      <w:r>
        <w:rPr>
          <w:spacing w:val="-4"/>
          <w:position w:val="5"/>
          <w:sz w:val="14"/>
        </w:rPr>
        <w:t>.</w:t>
      </w:r>
      <w:r>
        <w:rPr>
          <w:position w:val="5"/>
          <w:sz w:val="14"/>
        </w:rPr>
        <w:tab/>
      </w:r>
      <w:r>
        <w:rPr>
          <w:sz w:val="20"/>
        </w:rPr>
        <w:t>Cheshire</w:t>
      </w:r>
      <w:r>
        <w:rPr>
          <w:spacing w:val="-1"/>
          <w:sz w:val="20"/>
        </w:rPr>
        <w:t> </w:t>
      </w:r>
      <w:r>
        <w:rPr>
          <w:sz w:val="20"/>
        </w:rPr>
        <w:t>and</w:t>
      </w:r>
      <w:r>
        <w:rPr>
          <w:spacing w:val="-1"/>
          <w:sz w:val="20"/>
        </w:rPr>
        <w:t> </w:t>
      </w:r>
      <w:r>
        <w:rPr>
          <w:sz w:val="20"/>
        </w:rPr>
        <w:t>North,</w:t>
      </w:r>
      <w:r>
        <w:rPr>
          <w:spacing w:val="-1"/>
          <w:sz w:val="20"/>
        </w:rPr>
        <w:t> </w:t>
      </w:r>
      <w:r>
        <w:rPr>
          <w:rFonts w:ascii="Arial"/>
          <w:i/>
          <w:sz w:val="20"/>
        </w:rPr>
        <w:t>Private</w:t>
      </w:r>
      <w:r>
        <w:rPr>
          <w:rFonts w:ascii="Arial"/>
          <w:i/>
          <w:spacing w:val="-1"/>
          <w:sz w:val="20"/>
        </w:rPr>
        <w:t> </w:t>
      </w:r>
      <w:r>
        <w:rPr>
          <w:rFonts w:ascii="Arial"/>
          <w:i/>
          <w:sz w:val="20"/>
        </w:rPr>
        <w:t>International</w:t>
      </w:r>
      <w:r>
        <w:rPr>
          <w:rFonts w:ascii="Arial"/>
          <w:i/>
          <w:spacing w:val="-1"/>
          <w:sz w:val="20"/>
        </w:rPr>
        <w:t> </w:t>
      </w:r>
      <w:r>
        <w:rPr>
          <w:rFonts w:ascii="Arial"/>
          <w:i/>
          <w:sz w:val="20"/>
        </w:rPr>
        <w:t>Law</w:t>
      </w:r>
      <w:r>
        <w:rPr>
          <w:sz w:val="20"/>
        </w:rPr>
        <w:t>,</w:t>
      </w:r>
      <w:r>
        <w:rPr>
          <w:spacing w:val="-1"/>
          <w:sz w:val="20"/>
        </w:rPr>
        <w:t> </w:t>
      </w:r>
      <w:r>
        <w:rPr>
          <w:sz w:val="20"/>
        </w:rPr>
        <w:t>11th</w:t>
      </w:r>
      <w:r>
        <w:rPr>
          <w:spacing w:val="-1"/>
          <w:sz w:val="20"/>
        </w:rPr>
        <w:t> </w:t>
      </w:r>
      <w:r>
        <w:rPr>
          <w:sz w:val="20"/>
        </w:rPr>
        <w:t>edn</w:t>
      </w:r>
      <w:r>
        <w:rPr>
          <w:spacing w:val="-1"/>
          <w:sz w:val="20"/>
        </w:rPr>
        <w:t> </w:t>
      </w:r>
      <w:r>
        <w:rPr>
          <w:sz w:val="20"/>
        </w:rPr>
        <w:t>(1987),</w:t>
      </w:r>
      <w:r>
        <w:rPr>
          <w:spacing w:val="-1"/>
          <w:sz w:val="20"/>
        </w:rPr>
        <w:t> </w:t>
      </w:r>
      <w:r>
        <w:rPr>
          <w:sz w:val="20"/>
        </w:rPr>
        <w:t>p.454;</w:t>
      </w:r>
      <w:r>
        <w:rPr>
          <w:spacing w:val="-1"/>
          <w:sz w:val="20"/>
        </w:rPr>
        <w:t> </w:t>
      </w:r>
      <w:r>
        <w:rPr>
          <w:sz w:val="20"/>
        </w:rPr>
        <w:t>see</w:t>
      </w:r>
      <w:r>
        <w:rPr>
          <w:spacing w:val="-1"/>
          <w:sz w:val="20"/>
        </w:rPr>
        <w:t> </w:t>
      </w:r>
      <w:r>
        <w:rPr>
          <w:sz w:val="20"/>
        </w:rPr>
        <w:t>also,</w:t>
      </w:r>
      <w:r>
        <w:rPr>
          <w:spacing w:val="-1"/>
          <w:sz w:val="20"/>
        </w:rPr>
        <w:t> </w:t>
      </w:r>
      <w:r>
        <w:rPr>
          <w:sz w:val="20"/>
        </w:rPr>
        <w:t>Dicey</w:t>
      </w:r>
      <w:r>
        <w:rPr>
          <w:spacing w:val="-1"/>
          <w:sz w:val="20"/>
        </w:rPr>
        <w:t> </w:t>
      </w:r>
      <w:r>
        <w:rPr>
          <w:sz w:val="20"/>
        </w:rPr>
        <w:t>&amp;</w:t>
      </w:r>
      <w:r>
        <w:rPr>
          <w:spacing w:val="-1"/>
          <w:sz w:val="20"/>
        </w:rPr>
        <w:t> </w:t>
      </w:r>
      <w:r>
        <w:rPr>
          <w:sz w:val="20"/>
        </w:rPr>
        <w:t>Morris on</w:t>
      </w:r>
      <w:r>
        <w:rPr>
          <w:spacing w:val="22"/>
          <w:sz w:val="20"/>
        </w:rPr>
        <w:t> </w:t>
      </w:r>
      <w:r>
        <w:rPr>
          <w:sz w:val="20"/>
        </w:rPr>
        <w:t>the</w:t>
      </w:r>
      <w:r>
        <w:rPr>
          <w:spacing w:val="22"/>
          <w:sz w:val="20"/>
        </w:rPr>
        <w:t> </w:t>
      </w:r>
      <w:r>
        <w:rPr>
          <w:sz w:val="20"/>
        </w:rPr>
        <w:t>Conflict</w:t>
      </w:r>
      <w:r>
        <w:rPr>
          <w:spacing w:val="22"/>
          <w:sz w:val="20"/>
        </w:rPr>
        <w:t> </w:t>
      </w:r>
      <w:r>
        <w:rPr>
          <w:sz w:val="20"/>
        </w:rPr>
        <w:t>of</w:t>
      </w:r>
      <w:r>
        <w:rPr>
          <w:spacing w:val="22"/>
          <w:sz w:val="20"/>
        </w:rPr>
        <w:t> </w:t>
      </w:r>
      <w:r>
        <w:rPr>
          <w:sz w:val="20"/>
        </w:rPr>
        <w:t>Laws,</w:t>
      </w:r>
      <w:r>
        <w:rPr>
          <w:spacing w:val="22"/>
          <w:sz w:val="20"/>
        </w:rPr>
        <w:t> </w:t>
      </w:r>
      <w:r>
        <w:rPr>
          <w:sz w:val="20"/>
        </w:rPr>
        <w:t>11th</w:t>
      </w:r>
      <w:r>
        <w:rPr>
          <w:spacing w:val="22"/>
          <w:sz w:val="20"/>
        </w:rPr>
        <w:t> </w:t>
      </w:r>
      <w:r>
        <w:rPr>
          <w:sz w:val="20"/>
        </w:rPr>
        <w:t>edn</w:t>
      </w:r>
      <w:r>
        <w:rPr>
          <w:spacing w:val="22"/>
          <w:sz w:val="20"/>
        </w:rPr>
        <w:t> </w:t>
      </w:r>
      <w:r>
        <w:rPr>
          <w:sz w:val="20"/>
        </w:rPr>
        <w:t>(1987),</w:t>
      </w:r>
      <w:r>
        <w:rPr>
          <w:spacing w:val="22"/>
          <w:sz w:val="20"/>
        </w:rPr>
        <w:t> </w:t>
      </w:r>
      <w:r>
        <w:rPr>
          <w:sz w:val="20"/>
        </w:rPr>
        <w:t>pp.1175-1176.</w:t>
      </w:r>
      <w:r>
        <w:rPr>
          <w:spacing w:val="22"/>
          <w:sz w:val="20"/>
        </w:rPr>
        <w:t> </w:t>
      </w:r>
      <w:r>
        <w:rPr>
          <w:sz w:val="20"/>
        </w:rPr>
        <w:t>And</w:t>
      </w:r>
      <w:r>
        <w:rPr>
          <w:spacing w:val="22"/>
          <w:sz w:val="20"/>
        </w:rPr>
        <w:t> </w:t>
      </w:r>
      <w:r>
        <w:rPr>
          <w:sz w:val="20"/>
        </w:rPr>
        <w:t>see</w:t>
      </w:r>
      <w:r>
        <w:rPr>
          <w:spacing w:val="21"/>
          <w:sz w:val="20"/>
        </w:rPr>
        <w:t> </w:t>
      </w:r>
      <w:r>
        <w:rPr>
          <w:rFonts w:ascii="Arial"/>
          <w:i/>
          <w:sz w:val="20"/>
        </w:rPr>
        <w:t>Boissevain</w:t>
      </w:r>
      <w:r>
        <w:rPr>
          <w:rFonts w:ascii="Arial"/>
          <w:i/>
          <w:spacing w:val="22"/>
          <w:sz w:val="20"/>
        </w:rPr>
        <w:t> </w:t>
      </w:r>
      <w:r>
        <w:rPr>
          <w:rFonts w:ascii="Arial"/>
          <w:i/>
          <w:sz w:val="20"/>
        </w:rPr>
        <w:t>v</w:t>
      </w:r>
      <w:r>
        <w:rPr>
          <w:rFonts w:ascii="Arial"/>
          <w:i/>
          <w:spacing w:val="22"/>
          <w:sz w:val="20"/>
        </w:rPr>
        <w:t> </w:t>
      </w:r>
      <w:r>
        <w:rPr>
          <w:rFonts w:ascii="Arial"/>
          <w:i/>
          <w:sz w:val="20"/>
        </w:rPr>
        <w:t>Weil</w:t>
      </w:r>
      <w:r>
        <w:rPr>
          <w:rFonts w:ascii="Arial"/>
          <w:i/>
          <w:spacing w:val="22"/>
          <w:sz w:val="20"/>
        </w:rPr>
        <w:t> </w:t>
      </w:r>
      <w:r>
        <w:rPr>
          <w:rFonts w:ascii="Arial"/>
          <w:i/>
          <w:sz w:val="20"/>
        </w:rPr>
        <w:t>[1949]</w:t>
      </w:r>
      <w:r>
        <w:rPr>
          <w:rFonts w:ascii="Arial"/>
          <w:i/>
          <w:spacing w:val="22"/>
          <w:sz w:val="20"/>
        </w:rPr>
        <w:t> </w:t>
      </w:r>
      <w:r>
        <w:rPr>
          <w:rFonts w:ascii="Arial"/>
          <w:i/>
          <w:spacing w:val="-10"/>
          <w:sz w:val="20"/>
        </w:rPr>
        <w:t>1</w:t>
      </w:r>
    </w:p>
    <w:p>
      <w:pPr>
        <w:spacing w:line="235" w:lineRule="auto" w:before="0"/>
        <w:ind w:left="705" w:right="168" w:firstLine="0"/>
        <w:jc w:val="both"/>
        <w:rPr>
          <w:rFonts w:ascii="Arial" w:hAnsi="Arial"/>
          <w:i/>
          <w:sz w:val="20"/>
        </w:rPr>
      </w:pPr>
      <w:r>
        <w:rPr>
          <w:rFonts w:ascii="Arial" w:hAnsi="Arial"/>
          <w:i/>
          <w:sz w:val="20"/>
        </w:rPr>
        <w:t>K.B. 482, 490 (affirmed on other grounds [1950] A.C. 327)</w:t>
      </w:r>
      <w:r>
        <w:rPr>
          <w:sz w:val="20"/>
        </w:rPr>
        <w:t>; </w:t>
      </w:r>
      <w:r>
        <w:rPr>
          <w:rFonts w:ascii="Arial" w:hAnsi="Arial"/>
          <w:i/>
          <w:sz w:val="20"/>
        </w:rPr>
        <w:t>English v Donnelly (1958) S.C. 494</w:t>
      </w:r>
      <w:r>
        <w:rPr>
          <w:sz w:val="20"/>
        </w:rPr>
        <w:t>; </w:t>
      </w:r>
      <w:r>
        <w:rPr>
          <w:rFonts w:ascii="Arial" w:hAnsi="Arial"/>
          <w:i/>
          <w:sz w:val="20"/>
        </w:rPr>
        <w:t>Kay’s Leasing Corp Pty Ltd v Fletcher (1964) 116 C.L.R. 124, 143-144</w:t>
      </w:r>
      <w:r>
        <w:rPr>
          <w:sz w:val="20"/>
        </w:rPr>
        <w:t>; </w:t>
      </w:r>
      <w:r>
        <w:rPr>
          <w:rFonts w:ascii="Arial" w:hAnsi="Arial"/>
          <w:i/>
          <w:sz w:val="20"/>
        </w:rPr>
        <w:t>Golden Acres Ltd v Queensland</w:t>
      </w:r>
      <w:r>
        <w:rPr>
          <w:rFonts w:ascii="Arial" w:hAnsi="Arial"/>
          <w:i/>
          <w:spacing w:val="-3"/>
          <w:sz w:val="20"/>
        </w:rPr>
        <w:t> </w:t>
      </w:r>
      <w:r>
        <w:rPr>
          <w:rFonts w:ascii="Arial" w:hAnsi="Arial"/>
          <w:i/>
          <w:sz w:val="20"/>
        </w:rPr>
        <w:t>Estates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[1969]</w:t>
      </w:r>
      <w:r>
        <w:rPr>
          <w:rFonts w:ascii="Arial" w:hAnsi="Arial"/>
          <w:i/>
          <w:spacing w:val="-3"/>
          <w:sz w:val="20"/>
        </w:rPr>
        <w:t> </w:t>
      </w:r>
      <w:r>
        <w:rPr>
          <w:rFonts w:ascii="Arial" w:hAnsi="Arial"/>
          <w:i/>
          <w:sz w:val="20"/>
        </w:rPr>
        <w:t>St.</w:t>
      </w:r>
      <w:r>
        <w:rPr>
          <w:rFonts w:ascii="Arial" w:hAnsi="Arial"/>
          <w:i/>
          <w:spacing w:val="-3"/>
          <w:sz w:val="20"/>
        </w:rPr>
        <w:t> </w:t>
      </w:r>
      <w:r>
        <w:rPr>
          <w:rFonts w:ascii="Arial" w:hAnsi="Arial"/>
          <w:i/>
          <w:sz w:val="20"/>
        </w:rPr>
        <w:t>R.</w:t>
      </w:r>
      <w:r>
        <w:rPr>
          <w:rFonts w:ascii="Arial" w:hAnsi="Arial"/>
          <w:i/>
          <w:spacing w:val="-3"/>
          <w:sz w:val="20"/>
        </w:rPr>
        <w:t> </w:t>
      </w:r>
      <w:r>
        <w:rPr>
          <w:rFonts w:ascii="Arial" w:hAnsi="Arial"/>
          <w:i/>
          <w:sz w:val="20"/>
        </w:rPr>
        <w:t>Qd.</w:t>
      </w:r>
      <w:r>
        <w:rPr>
          <w:rFonts w:ascii="Arial" w:hAnsi="Arial"/>
          <w:i/>
          <w:spacing w:val="-3"/>
          <w:sz w:val="20"/>
        </w:rPr>
        <w:t> </w:t>
      </w:r>
      <w:r>
        <w:rPr>
          <w:rFonts w:ascii="Arial" w:hAnsi="Arial"/>
          <w:i/>
          <w:sz w:val="20"/>
        </w:rPr>
        <w:t>378</w:t>
      </w:r>
      <w:r>
        <w:rPr>
          <w:rFonts w:ascii="Arial" w:hAnsi="Arial"/>
          <w:i/>
          <w:spacing w:val="-4"/>
          <w:sz w:val="20"/>
        </w:rPr>
        <w:t> </w:t>
      </w:r>
      <w:r>
        <w:rPr>
          <w:sz w:val="20"/>
        </w:rPr>
        <w:t>(affirmed</w:t>
      </w:r>
      <w:r>
        <w:rPr>
          <w:spacing w:val="-3"/>
          <w:sz w:val="20"/>
        </w:rPr>
        <w:t> </w:t>
      </w:r>
      <w:r>
        <w:rPr>
          <w:sz w:val="20"/>
        </w:rPr>
        <w:t>on</w:t>
      </w:r>
      <w:r>
        <w:rPr>
          <w:spacing w:val="-3"/>
          <w:sz w:val="20"/>
        </w:rPr>
        <w:t> </w:t>
      </w:r>
      <w:r>
        <w:rPr>
          <w:sz w:val="20"/>
        </w:rPr>
        <w:t>different</w:t>
      </w:r>
      <w:r>
        <w:rPr>
          <w:spacing w:val="-3"/>
          <w:sz w:val="20"/>
        </w:rPr>
        <w:t> </w:t>
      </w:r>
      <w:r>
        <w:rPr>
          <w:sz w:val="20"/>
        </w:rPr>
        <w:t>grounds</w:t>
      </w:r>
      <w:r>
        <w:rPr>
          <w:spacing w:val="-3"/>
          <w:sz w:val="20"/>
        </w:rPr>
        <w:t> </w:t>
      </w:r>
      <w:r>
        <w:rPr>
          <w:sz w:val="20"/>
        </w:rPr>
        <w:t>sub</w:t>
      </w:r>
      <w:r>
        <w:rPr>
          <w:spacing w:val="-3"/>
          <w:sz w:val="20"/>
        </w:rPr>
        <w:t> </w:t>
      </w:r>
      <w:r>
        <w:rPr>
          <w:sz w:val="20"/>
        </w:rPr>
        <w:t>nom.</w:t>
      </w:r>
      <w:r>
        <w:rPr>
          <w:spacing w:val="-4"/>
          <w:sz w:val="20"/>
        </w:rPr>
        <w:t> </w:t>
      </w:r>
      <w:r>
        <w:rPr>
          <w:rFonts w:ascii="Arial" w:hAnsi="Arial"/>
          <w:i/>
          <w:sz w:val="20"/>
        </w:rPr>
        <w:t>Freehold Land Investments Ltd v Queensland Estates Ltd (1970) 123 C.L.R. 418</w:t>
      </w:r>
      <w:r>
        <w:rPr>
          <w:sz w:val="20"/>
        </w:rPr>
        <w:t>); </w:t>
      </w:r>
      <w:r>
        <w:rPr>
          <w:rFonts w:ascii="Arial" w:hAnsi="Arial"/>
          <w:i/>
          <w:sz w:val="20"/>
        </w:rPr>
        <w:t>Nike </w:t>
      </w:r>
      <w:r>
        <w:rPr>
          <w:rFonts w:ascii="Arial" w:hAnsi="Arial"/>
          <w:i/>
          <w:sz w:val="20"/>
        </w:rPr>
        <w:t>Information Systems Ltd v Avac Systems Ltd (1979) 105 D.L.R. (3d) 455</w:t>
      </w:r>
      <w:r>
        <w:rPr>
          <w:sz w:val="20"/>
        </w:rPr>
        <w:t>; </w:t>
      </w:r>
      <w:r>
        <w:rPr>
          <w:rFonts w:ascii="Arial" w:hAnsi="Arial"/>
          <w:i/>
          <w:sz w:val="20"/>
        </w:rPr>
        <w:t>Greenshields Inc v Johnston (1981)</w:t>
      </w:r>
      <w:r>
        <w:rPr>
          <w:rFonts w:ascii="Arial" w:hAnsi="Arial"/>
          <w:i/>
          <w:spacing w:val="7"/>
          <w:sz w:val="20"/>
        </w:rPr>
        <w:t> </w:t>
      </w:r>
      <w:r>
        <w:rPr>
          <w:rFonts w:ascii="Arial" w:hAnsi="Arial"/>
          <w:i/>
          <w:sz w:val="20"/>
        </w:rPr>
        <w:t>119</w:t>
      </w:r>
      <w:r>
        <w:rPr>
          <w:rFonts w:ascii="Arial" w:hAnsi="Arial"/>
          <w:i/>
          <w:spacing w:val="8"/>
          <w:sz w:val="20"/>
        </w:rPr>
        <w:t> </w:t>
      </w:r>
      <w:r>
        <w:rPr>
          <w:rFonts w:ascii="Arial" w:hAnsi="Arial"/>
          <w:i/>
          <w:sz w:val="20"/>
        </w:rPr>
        <w:t>D.L.R.</w:t>
      </w:r>
      <w:r>
        <w:rPr>
          <w:rFonts w:ascii="Arial" w:hAnsi="Arial"/>
          <w:i/>
          <w:spacing w:val="8"/>
          <w:sz w:val="20"/>
        </w:rPr>
        <w:t> </w:t>
      </w:r>
      <w:r>
        <w:rPr>
          <w:rFonts w:ascii="Arial" w:hAnsi="Arial"/>
          <w:i/>
          <w:sz w:val="20"/>
        </w:rPr>
        <w:t>(3d)</w:t>
      </w:r>
      <w:r>
        <w:rPr>
          <w:rFonts w:ascii="Arial" w:hAnsi="Arial"/>
          <w:i/>
          <w:spacing w:val="8"/>
          <w:sz w:val="20"/>
        </w:rPr>
        <w:t> </w:t>
      </w:r>
      <w:r>
        <w:rPr>
          <w:rFonts w:ascii="Arial" w:hAnsi="Arial"/>
          <w:i/>
          <w:sz w:val="20"/>
        </w:rPr>
        <w:t>714</w:t>
      </w:r>
      <w:r>
        <w:rPr>
          <w:rFonts w:ascii="Arial" w:hAnsi="Arial"/>
          <w:i/>
          <w:spacing w:val="8"/>
          <w:sz w:val="20"/>
        </w:rPr>
        <w:t> </w:t>
      </w:r>
      <w:r>
        <w:rPr>
          <w:sz w:val="20"/>
        </w:rPr>
        <w:t>(appeal</w:t>
      </w:r>
      <w:r>
        <w:rPr>
          <w:spacing w:val="8"/>
          <w:sz w:val="20"/>
        </w:rPr>
        <w:t> </w:t>
      </w:r>
      <w:r>
        <w:rPr>
          <w:sz w:val="20"/>
        </w:rPr>
        <w:t>dismissed</w:t>
      </w:r>
      <w:r>
        <w:rPr>
          <w:spacing w:val="8"/>
          <w:sz w:val="20"/>
        </w:rPr>
        <w:t> </w:t>
      </w:r>
      <w:r>
        <w:rPr>
          <w:rFonts w:ascii="Arial" w:hAnsi="Arial"/>
          <w:i/>
          <w:sz w:val="20"/>
        </w:rPr>
        <w:t>(1981)</w:t>
      </w:r>
      <w:r>
        <w:rPr>
          <w:rFonts w:ascii="Arial" w:hAnsi="Arial"/>
          <w:i/>
          <w:spacing w:val="8"/>
          <w:sz w:val="20"/>
        </w:rPr>
        <w:t> </w:t>
      </w:r>
      <w:r>
        <w:rPr>
          <w:rFonts w:ascii="Arial" w:hAnsi="Arial"/>
          <w:i/>
          <w:sz w:val="20"/>
        </w:rPr>
        <w:t>131</w:t>
      </w:r>
      <w:r>
        <w:rPr>
          <w:rFonts w:ascii="Arial" w:hAnsi="Arial"/>
          <w:i/>
          <w:spacing w:val="8"/>
          <w:sz w:val="20"/>
        </w:rPr>
        <w:t> </w:t>
      </w:r>
      <w:r>
        <w:rPr>
          <w:rFonts w:ascii="Arial" w:hAnsi="Arial"/>
          <w:i/>
          <w:sz w:val="20"/>
        </w:rPr>
        <w:t>D.L.R.</w:t>
      </w:r>
      <w:r>
        <w:rPr>
          <w:rFonts w:ascii="Arial" w:hAnsi="Arial"/>
          <w:i/>
          <w:spacing w:val="8"/>
          <w:sz w:val="20"/>
        </w:rPr>
        <w:t> </w:t>
      </w:r>
      <w:r>
        <w:rPr>
          <w:rFonts w:ascii="Arial" w:hAnsi="Arial"/>
          <w:i/>
          <w:sz w:val="20"/>
        </w:rPr>
        <w:t>(3d)</w:t>
      </w:r>
      <w:r>
        <w:rPr>
          <w:rFonts w:ascii="Arial" w:hAnsi="Arial"/>
          <w:i/>
          <w:spacing w:val="8"/>
          <w:sz w:val="20"/>
        </w:rPr>
        <w:t> </w:t>
      </w:r>
      <w:r>
        <w:rPr>
          <w:rFonts w:ascii="Arial" w:hAnsi="Arial"/>
          <w:i/>
          <w:sz w:val="20"/>
        </w:rPr>
        <w:t>234</w:t>
      </w:r>
      <w:r>
        <w:rPr>
          <w:sz w:val="20"/>
        </w:rPr>
        <w:t>);</w:t>
      </w:r>
      <w:r>
        <w:rPr>
          <w:spacing w:val="8"/>
          <w:sz w:val="20"/>
        </w:rPr>
        <w:t> </w:t>
      </w:r>
      <w:r>
        <w:rPr>
          <w:rFonts w:ascii="Arial" w:hAnsi="Arial"/>
          <w:i/>
          <w:sz w:val="20"/>
        </w:rPr>
        <w:t>Bank</w:t>
      </w:r>
      <w:r>
        <w:rPr>
          <w:rFonts w:ascii="Arial" w:hAnsi="Arial"/>
          <w:i/>
          <w:spacing w:val="8"/>
          <w:sz w:val="20"/>
        </w:rPr>
        <w:t> </w:t>
      </w:r>
      <w:r>
        <w:rPr>
          <w:rFonts w:ascii="Arial" w:hAnsi="Arial"/>
          <w:i/>
          <w:sz w:val="20"/>
        </w:rPr>
        <w:t>of</w:t>
      </w:r>
      <w:r>
        <w:rPr>
          <w:rFonts w:ascii="Arial" w:hAnsi="Arial"/>
          <w:i/>
          <w:spacing w:val="8"/>
          <w:sz w:val="20"/>
        </w:rPr>
        <w:t> </w:t>
      </w:r>
      <w:r>
        <w:rPr>
          <w:rFonts w:ascii="Arial" w:hAnsi="Arial"/>
          <w:i/>
          <w:sz w:val="20"/>
        </w:rPr>
        <w:t>Montreal</w:t>
      </w:r>
      <w:r>
        <w:rPr>
          <w:rFonts w:ascii="Arial" w:hAnsi="Arial"/>
          <w:i/>
          <w:spacing w:val="8"/>
          <w:sz w:val="20"/>
        </w:rPr>
        <w:t> </w:t>
      </w:r>
      <w:r>
        <w:rPr>
          <w:rFonts w:ascii="Arial" w:hAnsi="Arial"/>
          <w:i/>
          <w:spacing w:val="-10"/>
          <w:sz w:val="20"/>
        </w:rPr>
        <w:t>v</w:t>
      </w:r>
    </w:p>
    <w:p>
      <w:pPr>
        <w:spacing w:line="224" w:lineRule="exact" w:before="0"/>
        <w:ind w:left="705" w:right="0" w:firstLine="0"/>
        <w:jc w:val="both"/>
        <w:rPr>
          <w:sz w:val="20"/>
        </w:rPr>
      </w:pPr>
      <w:r>
        <w:rPr>
          <w:rFonts w:ascii="Arial"/>
          <w:i/>
          <w:sz w:val="20"/>
        </w:rPr>
        <w:t>Snoxell (1982) 143 D.L.R. (3d) </w:t>
      </w:r>
      <w:r>
        <w:rPr>
          <w:rFonts w:ascii="Arial"/>
          <w:i/>
          <w:spacing w:val="-4"/>
          <w:sz w:val="20"/>
        </w:rPr>
        <w:t>349</w:t>
      </w:r>
      <w:r>
        <w:rPr>
          <w:spacing w:val="-4"/>
          <w:sz w:val="20"/>
        </w:rPr>
        <w:t>.</w:t>
      </w:r>
    </w:p>
    <w:p>
      <w:pPr>
        <w:pStyle w:val="BodyText"/>
        <w:spacing w:before="4"/>
      </w:pPr>
    </w:p>
    <w:p>
      <w:pPr>
        <w:tabs>
          <w:tab w:pos="705" w:val="left" w:leader="none"/>
        </w:tabs>
        <w:spacing w:before="0"/>
        <w:ind w:left="165" w:right="0" w:firstLine="0"/>
        <w:jc w:val="left"/>
        <w:rPr>
          <w:sz w:val="20"/>
        </w:rPr>
      </w:pPr>
      <w:bookmarkStart w:name="_bookmark110" w:id="112"/>
      <w:bookmarkEnd w:id="112"/>
      <w:r>
        <w:rPr/>
      </w:r>
      <w:hyperlink w:history="true" w:anchor="_bookmark40">
        <w:r>
          <w:rPr>
            <w:color w:val="005DA1"/>
            <w:spacing w:val="-5"/>
            <w:position w:val="5"/>
            <w:sz w:val="14"/>
            <w:u w:val="single" w:color="005DA1"/>
          </w:rPr>
          <w:t>30</w:t>
        </w:r>
      </w:hyperlink>
      <w:r>
        <w:rPr>
          <w:spacing w:val="-5"/>
          <w:position w:val="5"/>
          <w:sz w:val="14"/>
        </w:rPr>
        <w:t>.</w:t>
      </w:r>
      <w:r>
        <w:rPr>
          <w:position w:val="5"/>
          <w:sz w:val="14"/>
        </w:rPr>
        <w:tab/>
      </w:r>
      <w:r>
        <w:rPr>
          <w:rFonts w:ascii="Arial"/>
          <w:i/>
          <w:sz w:val="20"/>
        </w:rPr>
        <w:t>Vita Food Products Inc v Unus Shipping Co Ltd [1939] A.C. 277, </w:t>
      </w:r>
      <w:r>
        <w:rPr>
          <w:rFonts w:ascii="Arial"/>
          <w:i/>
          <w:spacing w:val="-4"/>
          <w:sz w:val="20"/>
        </w:rPr>
        <w:t>290</w:t>
      </w:r>
      <w:r>
        <w:rPr>
          <w:spacing w:val="-4"/>
          <w:sz w:val="20"/>
        </w:rPr>
        <w:t>.</w:t>
      </w:r>
    </w:p>
    <w:p>
      <w:pPr>
        <w:pStyle w:val="BodyText"/>
        <w:spacing w:before="8"/>
      </w:pPr>
    </w:p>
    <w:p>
      <w:pPr>
        <w:pStyle w:val="BodyText"/>
        <w:tabs>
          <w:tab w:pos="705" w:val="left" w:leader="none"/>
        </w:tabs>
        <w:spacing w:line="235" w:lineRule="auto" w:before="1"/>
        <w:ind w:left="705" w:right="168" w:hanging="541"/>
      </w:pPr>
      <w:bookmarkStart w:name="_bookmark111" w:id="113"/>
      <w:bookmarkEnd w:id="113"/>
      <w:r>
        <w:rPr/>
      </w:r>
      <w:hyperlink w:history="true" w:anchor="_bookmark41">
        <w:r>
          <w:rPr>
            <w:color w:val="005DA1"/>
            <w:spacing w:val="-4"/>
            <w:position w:val="5"/>
            <w:sz w:val="14"/>
            <w:u w:val="single" w:color="005DA1"/>
          </w:rPr>
          <w:t>31</w:t>
        </w:r>
      </w:hyperlink>
      <w:r>
        <w:rPr>
          <w:spacing w:val="-4"/>
          <w:position w:val="5"/>
          <w:sz w:val="14"/>
        </w:rPr>
        <w:t>.</w:t>
      </w:r>
      <w:r>
        <w:rPr>
          <w:position w:val="5"/>
          <w:sz w:val="14"/>
        </w:rPr>
        <w:tab/>
      </w:r>
      <w:r>
        <w:rPr/>
        <w:t>See generally Dicey, Morris and Collins, 15th edn (2012), paras 5-002—5-009, 32-181 et seq.; Cheshire, North and Fawcett, </w:t>
      </w:r>
      <w:r>
        <w:rPr>
          <w:rFonts w:ascii="Arial" w:hAnsi="Arial"/>
          <w:i/>
        </w:rPr>
        <w:t>Private International Law</w:t>
      </w:r>
      <w:r>
        <w:rPr/>
        <w:t>, 14th edn (2008), pp.139-150, 741-743.</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12" w:id="114"/>
      <w:bookmarkEnd w:id="114"/>
      <w:r>
        <w:rPr/>
      </w:r>
      <w:hyperlink w:history="true" w:anchor="_bookmark42">
        <w:r>
          <w:rPr>
            <w:color w:val="005DA1"/>
            <w:spacing w:val="-5"/>
            <w:position w:val="5"/>
            <w:sz w:val="14"/>
            <w:u w:val="single" w:color="005DA1"/>
          </w:rPr>
          <w:t>32</w:t>
        </w:r>
      </w:hyperlink>
      <w:r>
        <w:rPr>
          <w:spacing w:val="-5"/>
          <w:position w:val="5"/>
          <w:sz w:val="14"/>
        </w:rPr>
        <w:t>.</w:t>
      </w:r>
      <w:r>
        <w:rPr>
          <w:position w:val="5"/>
          <w:sz w:val="14"/>
        </w:rPr>
        <w:tab/>
      </w:r>
      <w:r>
        <w:rPr>
          <w:rFonts w:ascii="Arial"/>
          <w:i/>
          <w:sz w:val="20"/>
        </w:rPr>
        <w:t>Boissevain</w:t>
      </w:r>
      <w:r>
        <w:rPr>
          <w:rFonts w:ascii="Arial"/>
          <w:i/>
          <w:spacing w:val="36"/>
          <w:sz w:val="20"/>
        </w:rPr>
        <w:t> </w:t>
      </w:r>
      <w:r>
        <w:rPr>
          <w:rFonts w:ascii="Arial"/>
          <w:i/>
          <w:sz w:val="20"/>
        </w:rPr>
        <w:t>v</w:t>
      </w:r>
      <w:r>
        <w:rPr>
          <w:rFonts w:ascii="Arial"/>
          <w:i/>
          <w:spacing w:val="37"/>
          <w:sz w:val="20"/>
        </w:rPr>
        <w:t> </w:t>
      </w:r>
      <w:r>
        <w:rPr>
          <w:rFonts w:ascii="Arial"/>
          <w:i/>
          <w:sz w:val="20"/>
        </w:rPr>
        <w:t>Weil</w:t>
      </w:r>
      <w:r>
        <w:rPr>
          <w:rFonts w:ascii="Arial"/>
          <w:i/>
          <w:spacing w:val="37"/>
          <w:sz w:val="20"/>
        </w:rPr>
        <w:t> </w:t>
      </w:r>
      <w:r>
        <w:rPr>
          <w:rFonts w:ascii="Arial"/>
          <w:i/>
          <w:sz w:val="20"/>
        </w:rPr>
        <w:t>[1949]</w:t>
      </w:r>
      <w:r>
        <w:rPr>
          <w:rFonts w:ascii="Arial"/>
          <w:i/>
          <w:spacing w:val="37"/>
          <w:sz w:val="20"/>
        </w:rPr>
        <w:t> </w:t>
      </w:r>
      <w:r>
        <w:rPr>
          <w:rFonts w:ascii="Arial"/>
          <w:i/>
          <w:sz w:val="20"/>
        </w:rPr>
        <w:t>1</w:t>
      </w:r>
      <w:r>
        <w:rPr>
          <w:rFonts w:ascii="Arial"/>
          <w:i/>
          <w:spacing w:val="37"/>
          <w:sz w:val="20"/>
        </w:rPr>
        <w:t> </w:t>
      </w:r>
      <w:r>
        <w:rPr>
          <w:rFonts w:ascii="Arial"/>
          <w:i/>
          <w:sz w:val="20"/>
        </w:rPr>
        <w:t>K.B.</w:t>
      </w:r>
      <w:r>
        <w:rPr>
          <w:rFonts w:ascii="Arial"/>
          <w:i/>
          <w:spacing w:val="37"/>
          <w:sz w:val="20"/>
        </w:rPr>
        <w:t> </w:t>
      </w:r>
      <w:r>
        <w:rPr>
          <w:rFonts w:ascii="Arial"/>
          <w:i/>
          <w:sz w:val="20"/>
        </w:rPr>
        <w:t>482,</w:t>
      </w:r>
      <w:r>
        <w:rPr>
          <w:rFonts w:ascii="Arial"/>
          <w:i/>
          <w:spacing w:val="37"/>
          <w:sz w:val="20"/>
        </w:rPr>
        <w:t> </w:t>
      </w:r>
      <w:r>
        <w:rPr>
          <w:rFonts w:ascii="Arial"/>
          <w:i/>
          <w:sz w:val="20"/>
        </w:rPr>
        <w:t>490</w:t>
      </w:r>
      <w:r>
        <w:rPr>
          <w:rFonts w:ascii="Arial"/>
          <w:i/>
          <w:spacing w:val="37"/>
          <w:sz w:val="20"/>
        </w:rPr>
        <w:t> </w:t>
      </w:r>
      <w:r>
        <w:rPr>
          <w:rFonts w:ascii="Arial"/>
          <w:i/>
          <w:sz w:val="20"/>
        </w:rPr>
        <w:t>(affirmed</w:t>
      </w:r>
      <w:r>
        <w:rPr>
          <w:rFonts w:ascii="Arial"/>
          <w:i/>
          <w:spacing w:val="37"/>
          <w:sz w:val="20"/>
        </w:rPr>
        <w:t> </w:t>
      </w:r>
      <w:r>
        <w:rPr>
          <w:rFonts w:ascii="Arial"/>
          <w:i/>
          <w:sz w:val="20"/>
        </w:rPr>
        <w:t>on</w:t>
      </w:r>
      <w:r>
        <w:rPr>
          <w:rFonts w:ascii="Arial"/>
          <w:i/>
          <w:spacing w:val="37"/>
          <w:sz w:val="20"/>
        </w:rPr>
        <w:t> </w:t>
      </w:r>
      <w:r>
        <w:rPr>
          <w:rFonts w:ascii="Arial"/>
          <w:i/>
          <w:sz w:val="20"/>
        </w:rPr>
        <w:t>other</w:t>
      </w:r>
      <w:r>
        <w:rPr>
          <w:rFonts w:ascii="Arial"/>
          <w:i/>
          <w:spacing w:val="37"/>
          <w:sz w:val="20"/>
        </w:rPr>
        <w:t> </w:t>
      </w:r>
      <w:r>
        <w:rPr>
          <w:rFonts w:ascii="Arial"/>
          <w:i/>
          <w:sz w:val="20"/>
        </w:rPr>
        <w:t>grounds</w:t>
      </w:r>
      <w:r>
        <w:rPr>
          <w:rFonts w:ascii="Arial"/>
          <w:i/>
          <w:spacing w:val="37"/>
          <w:sz w:val="20"/>
        </w:rPr>
        <w:t> </w:t>
      </w:r>
      <w:r>
        <w:rPr>
          <w:rFonts w:ascii="Arial"/>
          <w:i/>
          <w:sz w:val="20"/>
        </w:rPr>
        <w:t>[1950]</w:t>
      </w:r>
      <w:r>
        <w:rPr>
          <w:rFonts w:ascii="Arial"/>
          <w:i/>
          <w:spacing w:val="37"/>
          <w:sz w:val="20"/>
        </w:rPr>
        <w:t> </w:t>
      </w:r>
      <w:r>
        <w:rPr>
          <w:rFonts w:ascii="Arial"/>
          <w:i/>
          <w:sz w:val="20"/>
        </w:rPr>
        <w:t>A.C.</w:t>
      </w:r>
      <w:r>
        <w:rPr>
          <w:rFonts w:ascii="Arial"/>
          <w:i/>
          <w:spacing w:val="37"/>
          <w:sz w:val="20"/>
        </w:rPr>
        <w:t> </w:t>
      </w:r>
      <w:r>
        <w:rPr>
          <w:rFonts w:ascii="Arial"/>
          <w:i/>
          <w:sz w:val="20"/>
        </w:rPr>
        <w:t>327)</w:t>
      </w:r>
      <w:r>
        <w:rPr>
          <w:sz w:val="20"/>
        </w:rPr>
        <w:t>;</w:t>
      </w:r>
      <w:r>
        <w:rPr>
          <w:spacing w:val="37"/>
          <w:sz w:val="20"/>
        </w:rPr>
        <w:t> </w:t>
      </w:r>
      <w:r>
        <w:rPr>
          <w:rFonts w:ascii="Arial"/>
          <w:i/>
          <w:spacing w:val="-5"/>
          <w:sz w:val="20"/>
        </w:rPr>
        <w:t>Re</w:t>
      </w:r>
    </w:p>
    <w:p>
      <w:pPr>
        <w:spacing w:line="225" w:lineRule="exact" w:before="0"/>
        <w:ind w:left="705" w:right="0" w:firstLine="0"/>
        <w:jc w:val="left"/>
        <w:rPr>
          <w:sz w:val="20"/>
        </w:rPr>
      </w:pPr>
      <w:r>
        <w:rPr>
          <w:rFonts w:ascii="Arial" w:hAnsi="Arial"/>
          <w:i/>
          <w:sz w:val="20"/>
        </w:rPr>
        <w:t>Helbert</w:t>
      </w:r>
      <w:r>
        <w:rPr>
          <w:rFonts w:ascii="Arial" w:hAnsi="Arial"/>
          <w:i/>
          <w:spacing w:val="14"/>
          <w:sz w:val="20"/>
        </w:rPr>
        <w:t> </w:t>
      </w:r>
      <w:r>
        <w:rPr>
          <w:rFonts w:ascii="Arial" w:hAnsi="Arial"/>
          <w:i/>
          <w:sz w:val="20"/>
        </w:rPr>
        <w:t>Wagg</w:t>
      </w:r>
      <w:r>
        <w:rPr>
          <w:rFonts w:ascii="Arial" w:hAnsi="Arial"/>
          <w:i/>
          <w:spacing w:val="17"/>
          <w:sz w:val="20"/>
        </w:rPr>
        <w:t> </w:t>
      </w:r>
      <w:r>
        <w:rPr>
          <w:rFonts w:ascii="Arial" w:hAnsi="Arial"/>
          <w:i/>
          <w:sz w:val="20"/>
        </w:rPr>
        <w:t>&amp;</w:t>
      </w:r>
      <w:r>
        <w:rPr>
          <w:rFonts w:ascii="Arial" w:hAnsi="Arial"/>
          <w:i/>
          <w:spacing w:val="17"/>
          <w:sz w:val="20"/>
        </w:rPr>
        <w:t> </w:t>
      </w:r>
      <w:r>
        <w:rPr>
          <w:rFonts w:ascii="Arial" w:hAnsi="Arial"/>
          <w:i/>
          <w:sz w:val="20"/>
        </w:rPr>
        <w:t>Co</w:t>
      </w:r>
      <w:r>
        <w:rPr>
          <w:rFonts w:ascii="Arial" w:hAnsi="Arial"/>
          <w:i/>
          <w:spacing w:val="17"/>
          <w:sz w:val="20"/>
        </w:rPr>
        <w:t> </w:t>
      </w:r>
      <w:r>
        <w:rPr>
          <w:rFonts w:ascii="Arial" w:hAnsi="Arial"/>
          <w:i/>
          <w:sz w:val="20"/>
        </w:rPr>
        <w:t>Ltd’s</w:t>
      </w:r>
      <w:r>
        <w:rPr>
          <w:rFonts w:ascii="Arial" w:hAnsi="Arial"/>
          <w:i/>
          <w:spacing w:val="17"/>
          <w:sz w:val="20"/>
        </w:rPr>
        <w:t> </w:t>
      </w:r>
      <w:r>
        <w:rPr>
          <w:rFonts w:ascii="Arial" w:hAnsi="Arial"/>
          <w:i/>
          <w:sz w:val="20"/>
        </w:rPr>
        <w:t>Claim</w:t>
      </w:r>
      <w:r>
        <w:rPr>
          <w:rFonts w:ascii="Arial" w:hAnsi="Arial"/>
          <w:i/>
          <w:spacing w:val="17"/>
          <w:sz w:val="20"/>
        </w:rPr>
        <w:t> </w:t>
      </w:r>
      <w:r>
        <w:rPr>
          <w:rFonts w:ascii="Arial" w:hAnsi="Arial"/>
          <w:i/>
          <w:sz w:val="20"/>
        </w:rPr>
        <w:t>[1956]</w:t>
      </w:r>
      <w:r>
        <w:rPr>
          <w:rFonts w:ascii="Arial" w:hAnsi="Arial"/>
          <w:i/>
          <w:spacing w:val="17"/>
          <w:sz w:val="20"/>
        </w:rPr>
        <w:t> </w:t>
      </w:r>
      <w:r>
        <w:rPr>
          <w:rFonts w:ascii="Arial" w:hAnsi="Arial"/>
          <w:i/>
          <w:sz w:val="20"/>
        </w:rPr>
        <w:t>Ch.</w:t>
      </w:r>
      <w:r>
        <w:rPr>
          <w:rFonts w:ascii="Arial" w:hAnsi="Arial"/>
          <w:i/>
          <w:spacing w:val="17"/>
          <w:sz w:val="20"/>
        </w:rPr>
        <w:t> </w:t>
      </w:r>
      <w:r>
        <w:rPr>
          <w:rFonts w:ascii="Arial" w:hAnsi="Arial"/>
          <w:i/>
          <w:sz w:val="20"/>
        </w:rPr>
        <w:t>323,</w:t>
      </w:r>
      <w:r>
        <w:rPr>
          <w:rFonts w:ascii="Arial" w:hAnsi="Arial"/>
          <w:i/>
          <w:spacing w:val="16"/>
          <w:sz w:val="20"/>
        </w:rPr>
        <w:t> </w:t>
      </w:r>
      <w:r>
        <w:rPr>
          <w:rFonts w:ascii="Arial" w:hAnsi="Arial"/>
          <w:i/>
          <w:sz w:val="20"/>
        </w:rPr>
        <w:t>341</w:t>
      </w:r>
      <w:r>
        <w:rPr>
          <w:sz w:val="20"/>
        </w:rPr>
        <w:t>;</w:t>
      </w:r>
      <w:r>
        <w:rPr>
          <w:spacing w:val="17"/>
          <w:sz w:val="20"/>
        </w:rPr>
        <w:t> </w:t>
      </w:r>
      <w:r>
        <w:rPr>
          <w:rFonts w:ascii="Arial" w:hAnsi="Arial"/>
          <w:i/>
          <w:sz w:val="20"/>
        </w:rPr>
        <w:t>The</w:t>
      </w:r>
      <w:r>
        <w:rPr>
          <w:rFonts w:ascii="Arial" w:hAnsi="Arial"/>
          <w:i/>
          <w:spacing w:val="17"/>
          <w:sz w:val="20"/>
        </w:rPr>
        <w:t> </w:t>
      </w:r>
      <w:r>
        <w:rPr>
          <w:rFonts w:ascii="Arial" w:hAnsi="Arial"/>
          <w:i/>
          <w:sz w:val="20"/>
        </w:rPr>
        <w:t>Fehmarn</w:t>
      </w:r>
      <w:r>
        <w:rPr>
          <w:rFonts w:ascii="Arial" w:hAnsi="Arial"/>
          <w:i/>
          <w:spacing w:val="17"/>
          <w:sz w:val="20"/>
        </w:rPr>
        <w:t> </w:t>
      </w:r>
      <w:r>
        <w:rPr>
          <w:rFonts w:ascii="Arial" w:hAnsi="Arial"/>
          <w:i/>
          <w:sz w:val="20"/>
        </w:rPr>
        <w:t>[1958]</w:t>
      </w:r>
      <w:r>
        <w:rPr>
          <w:rFonts w:ascii="Arial" w:hAnsi="Arial"/>
          <w:i/>
          <w:spacing w:val="17"/>
          <w:sz w:val="20"/>
        </w:rPr>
        <w:t> </w:t>
      </w:r>
      <w:r>
        <w:rPr>
          <w:rFonts w:ascii="Arial" w:hAnsi="Arial"/>
          <w:i/>
          <w:sz w:val="20"/>
        </w:rPr>
        <w:t>1</w:t>
      </w:r>
      <w:r>
        <w:rPr>
          <w:rFonts w:ascii="Arial" w:hAnsi="Arial"/>
          <w:i/>
          <w:spacing w:val="17"/>
          <w:sz w:val="20"/>
        </w:rPr>
        <w:t> </w:t>
      </w:r>
      <w:r>
        <w:rPr>
          <w:rFonts w:ascii="Arial" w:hAnsi="Arial"/>
          <w:i/>
          <w:sz w:val="20"/>
        </w:rPr>
        <w:t>W.L.R.</w:t>
      </w:r>
      <w:r>
        <w:rPr>
          <w:rFonts w:ascii="Arial" w:hAnsi="Arial"/>
          <w:i/>
          <w:spacing w:val="17"/>
          <w:sz w:val="20"/>
        </w:rPr>
        <w:t> </w:t>
      </w:r>
      <w:r>
        <w:rPr>
          <w:rFonts w:ascii="Arial" w:hAnsi="Arial"/>
          <w:i/>
          <w:sz w:val="20"/>
        </w:rPr>
        <w:t>159</w:t>
      </w:r>
      <w:r>
        <w:rPr>
          <w:sz w:val="20"/>
        </w:rPr>
        <w:t>.</w:t>
      </w:r>
      <w:r>
        <w:rPr>
          <w:spacing w:val="17"/>
          <w:sz w:val="20"/>
        </w:rPr>
        <w:t> </w:t>
      </w:r>
      <w:r>
        <w:rPr>
          <w:spacing w:val="-5"/>
          <w:sz w:val="20"/>
        </w:rPr>
        <w:t>See</w:t>
      </w:r>
    </w:p>
    <w:p>
      <w:pPr>
        <w:spacing w:line="227" w:lineRule="exact" w:before="0"/>
        <w:ind w:left="705" w:right="0" w:firstLine="0"/>
        <w:jc w:val="left"/>
        <w:rPr>
          <w:sz w:val="20"/>
        </w:rPr>
      </w:pPr>
      <w:r>
        <w:rPr>
          <w:sz w:val="20"/>
        </w:rPr>
        <w:t>also</w:t>
      </w:r>
      <w:r>
        <w:rPr>
          <w:spacing w:val="-1"/>
          <w:sz w:val="20"/>
        </w:rPr>
        <w:t> </w:t>
      </w:r>
      <w:r>
        <w:rPr>
          <w:rFonts w:ascii="Arial"/>
          <w:i/>
          <w:sz w:val="20"/>
        </w:rPr>
        <w:t>The Hollandia [1983] 1 A.C. 565, </w:t>
      </w:r>
      <w:r>
        <w:rPr>
          <w:rFonts w:ascii="Arial"/>
          <w:i/>
          <w:spacing w:val="-4"/>
          <w:sz w:val="20"/>
        </w:rPr>
        <w:t>576</w:t>
      </w:r>
      <w:r>
        <w:rPr>
          <w:spacing w:val="-4"/>
          <w:sz w:val="20"/>
        </w:rPr>
        <w:t>.</w:t>
      </w:r>
    </w:p>
    <w:p>
      <w:pPr>
        <w:pStyle w:val="BodyText"/>
        <w:spacing w:before="9"/>
      </w:pPr>
    </w:p>
    <w:p>
      <w:pPr>
        <w:spacing w:line="235" w:lineRule="auto" w:before="0"/>
        <w:ind w:left="705" w:right="167" w:hanging="541"/>
        <w:jc w:val="both"/>
        <w:rPr>
          <w:sz w:val="20"/>
        </w:rPr>
      </w:pPr>
      <w:bookmarkStart w:name="_bookmark113" w:id="115"/>
      <w:bookmarkEnd w:id="115"/>
      <w:r>
        <w:rPr/>
      </w:r>
      <w:hyperlink w:history="true" w:anchor="_bookmark43">
        <w:r>
          <w:rPr>
            <w:color w:val="005DA1"/>
            <w:position w:val="5"/>
            <w:sz w:val="14"/>
            <w:u w:val="single" w:color="005DA1"/>
          </w:rPr>
          <w:t>33</w:t>
        </w:r>
      </w:hyperlink>
      <w:r>
        <w:rPr>
          <w:position w:val="5"/>
          <w:sz w:val="14"/>
        </w:rPr>
        <w:t>.</w:t>
      </w:r>
      <w:r>
        <w:rPr>
          <w:spacing w:val="73"/>
          <w:position w:val="5"/>
          <w:sz w:val="14"/>
        </w:rPr>
        <w:t>   </w:t>
      </w:r>
      <w:r>
        <w:rPr>
          <w:rFonts w:ascii="Arial" w:hAnsi="Arial"/>
          <w:i/>
          <w:sz w:val="20"/>
        </w:rPr>
        <w:t>Vita</w:t>
      </w:r>
      <w:r>
        <w:rPr>
          <w:rFonts w:ascii="Arial" w:hAnsi="Arial"/>
          <w:i/>
          <w:spacing w:val="-2"/>
          <w:sz w:val="20"/>
        </w:rPr>
        <w:t> </w:t>
      </w:r>
      <w:r>
        <w:rPr>
          <w:rFonts w:ascii="Arial" w:hAnsi="Arial"/>
          <w:i/>
          <w:sz w:val="20"/>
        </w:rPr>
        <w:t>Food</w:t>
      </w:r>
      <w:r>
        <w:rPr>
          <w:rFonts w:ascii="Arial" w:hAnsi="Arial"/>
          <w:i/>
          <w:spacing w:val="-2"/>
          <w:sz w:val="20"/>
        </w:rPr>
        <w:t> </w:t>
      </w:r>
      <w:r>
        <w:rPr>
          <w:rFonts w:ascii="Arial" w:hAnsi="Arial"/>
          <w:i/>
          <w:sz w:val="20"/>
        </w:rPr>
        <w:t>Products</w:t>
      </w:r>
      <w:r>
        <w:rPr>
          <w:rFonts w:ascii="Arial" w:hAnsi="Arial"/>
          <w:i/>
          <w:spacing w:val="-2"/>
          <w:sz w:val="20"/>
        </w:rPr>
        <w:t> </w:t>
      </w:r>
      <w:r>
        <w:rPr>
          <w:rFonts w:ascii="Arial" w:hAnsi="Arial"/>
          <w:i/>
          <w:sz w:val="20"/>
        </w:rPr>
        <w:t>Inc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Unus</w:t>
      </w:r>
      <w:r>
        <w:rPr>
          <w:rFonts w:ascii="Arial" w:hAnsi="Arial"/>
          <w:i/>
          <w:spacing w:val="-2"/>
          <w:sz w:val="20"/>
        </w:rPr>
        <w:t> </w:t>
      </w:r>
      <w:r>
        <w:rPr>
          <w:rFonts w:ascii="Arial" w:hAnsi="Arial"/>
          <w:i/>
          <w:sz w:val="20"/>
        </w:rPr>
        <w:t>Shipping</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[1939]</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277,</w:t>
      </w:r>
      <w:r>
        <w:rPr>
          <w:rFonts w:ascii="Arial" w:hAnsi="Arial"/>
          <w:i/>
          <w:spacing w:val="-2"/>
          <w:sz w:val="20"/>
        </w:rPr>
        <w:t> </w:t>
      </w:r>
      <w:r>
        <w:rPr>
          <w:rFonts w:ascii="Arial" w:hAnsi="Arial"/>
          <w:i/>
          <w:sz w:val="20"/>
        </w:rPr>
        <w:t>290</w:t>
      </w:r>
      <w:r>
        <w:rPr>
          <w:sz w:val="20"/>
        </w:rPr>
        <w:t>;</w:t>
      </w:r>
      <w:r>
        <w:rPr>
          <w:spacing w:val="-2"/>
          <w:sz w:val="20"/>
        </w:rPr>
        <w:t> </w:t>
      </w:r>
      <w:r>
        <w:rPr>
          <w:rFonts w:ascii="Arial" w:hAnsi="Arial"/>
          <w:i/>
          <w:sz w:val="20"/>
        </w:rPr>
        <w:t>British</w:t>
      </w:r>
      <w:r>
        <w:rPr>
          <w:rFonts w:ascii="Arial" w:hAnsi="Arial"/>
          <w:i/>
          <w:spacing w:val="-2"/>
          <w:sz w:val="20"/>
        </w:rPr>
        <w:t> </w:t>
      </w:r>
      <w:r>
        <w:rPr>
          <w:rFonts w:ascii="Arial" w:hAnsi="Arial"/>
          <w:i/>
          <w:sz w:val="20"/>
        </w:rPr>
        <w:t>Controlled</w:t>
      </w:r>
      <w:r>
        <w:rPr>
          <w:rFonts w:ascii="Arial" w:hAnsi="Arial"/>
          <w:i/>
          <w:spacing w:val="-2"/>
          <w:sz w:val="20"/>
        </w:rPr>
        <w:t> </w:t>
      </w:r>
      <w:r>
        <w:rPr>
          <w:rFonts w:ascii="Arial" w:hAnsi="Arial"/>
          <w:i/>
          <w:sz w:val="20"/>
        </w:rPr>
        <w:t>Oilfields v Stagg [1921] W.N. 31</w:t>
      </w:r>
      <w:r>
        <w:rPr>
          <w:sz w:val="20"/>
        </w:rPr>
        <w:t>. There will often be good commercial grounds for choosing a geographically unconnected system, as, e.g. where the parties select a particular system of law because</w:t>
      </w:r>
      <w:r>
        <w:rPr>
          <w:spacing w:val="-2"/>
          <w:sz w:val="20"/>
        </w:rPr>
        <w:t> </w:t>
      </w:r>
      <w:r>
        <w:rPr>
          <w:sz w:val="20"/>
        </w:rPr>
        <w:t>it</w:t>
      </w:r>
      <w:r>
        <w:rPr>
          <w:spacing w:val="-2"/>
          <w:sz w:val="20"/>
        </w:rPr>
        <w:t> </w:t>
      </w:r>
      <w:r>
        <w:rPr>
          <w:sz w:val="20"/>
        </w:rPr>
        <w:t>is</w:t>
      </w:r>
      <w:r>
        <w:rPr>
          <w:spacing w:val="-2"/>
          <w:sz w:val="20"/>
        </w:rPr>
        <w:t> </w:t>
      </w:r>
      <w:r>
        <w:rPr>
          <w:sz w:val="20"/>
        </w:rPr>
        <w:t>neutral:</w:t>
      </w:r>
      <w:r>
        <w:rPr>
          <w:spacing w:val="-2"/>
          <w:sz w:val="20"/>
        </w:rPr>
        <w:t> </w:t>
      </w:r>
      <w:r>
        <w:rPr>
          <w:sz w:val="20"/>
        </w:rPr>
        <w:t>cf.</w:t>
      </w:r>
      <w:r>
        <w:rPr>
          <w:spacing w:val="-3"/>
          <w:sz w:val="20"/>
        </w:rPr>
        <w:t> </w:t>
      </w:r>
      <w:r>
        <w:rPr>
          <w:rFonts w:ascii="Arial" w:hAnsi="Arial"/>
          <w:i/>
          <w:sz w:val="20"/>
        </w:rPr>
        <w:t>Steel</w:t>
      </w:r>
      <w:r>
        <w:rPr>
          <w:rFonts w:ascii="Arial" w:hAnsi="Arial"/>
          <w:i/>
          <w:spacing w:val="-2"/>
          <w:sz w:val="20"/>
        </w:rPr>
        <w:t> </w:t>
      </w:r>
      <w:r>
        <w:rPr>
          <w:rFonts w:ascii="Arial" w:hAnsi="Arial"/>
          <w:i/>
          <w:sz w:val="20"/>
        </w:rPr>
        <w:t>Authority</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India</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Hind</w:t>
      </w:r>
      <w:r>
        <w:rPr>
          <w:rFonts w:ascii="Arial" w:hAnsi="Arial"/>
          <w:i/>
          <w:spacing w:val="-2"/>
          <w:sz w:val="20"/>
        </w:rPr>
        <w:t> </w:t>
      </w:r>
      <w:r>
        <w:rPr>
          <w:rFonts w:ascii="Arial" w:hAnsi="Arial"/>
          <w:i/>
          <w:sz w:val="20"/>
        </w:rPr>
        <w:t>Metals</w:t>
      </w:r>
      <w:r>
        <w:rPr>
          <w:rFonts w:ascii="Arial" w:hAnsi="Arial"/>
          <w:i/>
          <w:spacing w:val="-2"/>
          <w:sz w:val="20"/>
        </w:rPr>
        <w:t> </w:t>
      </w:r>
      <w:r>
        <w:rPr>
          <w:rFonts w:ascii="Arial" w:hAnsi="Arial"/>
          <w:i/>
          <w:sz w:val="20"/>
        </w:rPr>
        <w:t>Inc</w:t>
      </w:r>
      <w:r>
        <w:rPr>
          <w:rFonts w:ascii="Arial" w:hAnsi="Arial"/>
          <w:i/>
          <w:spacing w:val="-2"/>
          <w:sz w:val="20"/>
        </w:rPr>
        <w:t> </w:t>
      </w:r>
      <w:r>
        <w:rPr>
          <w:rFonts w:ascii="Arial" w:hAnsi="Arial"/>
          <w:i/>
          <w:sz w:val="20"/>
        </w:rPr>
        <w:t>[1984]</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405, 409</w:t>
      </w:r>
      <w:r>
        <w:rPr>
          <w:sz w:val="20"/>
        </w:rPr>
        <w:t>; </w:t>
      </w:r>
      <w:r>
        <w:rPr>
          <w:rFonts w:ascii="Arial" w:hAnsi="Arial"/>
          <w:i/>
          <w:sz w:val="20"/>
        </w:rPr>
        <w:t>Akai Pty Ltd v People’s Insurance Co Ltd [1998] 1 Lloyd’s Rep. 90</w:t>
      </w:r>
      <w:r>
        <w:rPr>
          <w:sz w:val="20"/>
        </w:rPr>
        <w:t>.</w:t>
      </w:r>
    </w:p>
    <w:p>
      <w:pPr>
        <w:pStyle w:val="BodyText"/>
        <w:spacing w:before="4"/>
      </w:pPr>
    </w:p>
    <w:p>
      <w:pPr>
        <w:tabs>
          <w:tab w:pos="705" w:val="left" w:leader="none"/>
        </w:tabs>
        <w:spacing w:before="0"/>
        <w:ind w:left="165" w:right="0" w:firstLine="0"/>
        <w:jc w:val="left"/>
        <w:rPr>
          <w:rFonts w:ascii="Arial" w:hAnsi="Arial"/>
          <w:i/>
          <w:sz w:val="20"/>
        </w:rPr>
      </w:pPr>
      <w:bookmarkStart w:name="_bookmark114" w:id="116"/>
      <w:bookmarkEnd w:id="116"/>
      <w:r>
        <w:rPr/>
      </w:r>
      <w:hyperlink w:history="true" w:anchor="_bookmark44">
        <w:r>
          <w:rPr>
            <w:color w:val="005DA1"/>
            <w:spacing w:val="-5"/>
            <w:position w:val="5"/>
            <w:sz w:val="14"/>
            <w:u w:val="single" w:color="005DA1"/>
          </w:rPr>
          <w:t>34</w:t>
        </w:r>
      </w:hyperlink>
      <w:r>
        <w:rPr>
          <w:spacing w:val="-5"/>
          <w:position w:val="5"/>
          <w:sz w:val="14"/>
        </w:rPr>
        <w:t>.</w:t>
      </w:r>
      <w:r>
        <w:rPr>
          <w:position w:val="5"/>
          <w:sz w:val="14"/>
        </w:rPr>
        <w:tab/>
      </w:r>
      <w:r>
        <w:rPr>
          <w:sz w:val="20"/>
        </w:rPr>
        <w:t>See</w:t>
      </w:r>
      <w:r>
        <w:rPr>
          <w:spacing w:val="3"/>
          <w:sz w:val="20"/>
        </w:rPr>
        <w:t> </w:t>
      </w:r>
      <w:r>
        <w:rPr>
          <w:rFonts w:ascii="Arial" w:hAnsi="Arial"/>
          <w:i/>
          <w:sz w:val="20"/>
        </w:rPr>
        <w:t>Balmoral</w:t>
      </w:r>
      <w:r>
        <w:rPr>
          <w:rFonts w:ascii="Arial" w:hAnsi="Arial"/>
          <w:i/>
          <w:spacing w:val="3"/>
          <w:sz w:val="20"/>
        </w:rPr>
        <w:t> </w:t>
      </w:r>
      <w:r>
        <w:rPr>
          <w:rFonts w:ascii="Arial" w:hAnsi="Arial"/>
          <w:i/>
          <w:sz w:val="20"/>
        </w:rPr>
        <w:t>Group</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Borealis</w:t>
      </w:r>
      <w:r>
        <w:rPr>
          <w:rFonts w:ascii="Arial" w:hAnsi="Arial"/>
          <w:i/>
          <w:spacing w:val="3"/>
          <w:sz w:val="20"/>
        </w:rPr>
        <w:t> </w:t>
      </w:r>
      <w:r>
        <w:rPr>
          <w:rFonts w:ascii="Arial" w:hAnsi="Arial"/>
          <w:i/>
          <w:sz w:val="20"/>
        </w:rPr>
        <w:t>(UK)</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[2006]</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1900</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[2006]</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pacing w:val="-4"/>
          <w:sz w:val="20"/>
        </w:rPr>
        <w:t>Rep.</w:t>
      </w:r>
    </w:p>
    <w:p>
      <w:pPr>
        <w:spacing w:after="0"/>
        <w:jc w:val="left"/>
        <w:rPr>
          <w:rFonts w:ascii="Arial" w:hAnsi="Arial"/>
          <w:i/>
          <w:sz w:val="20"/>
        </w:rPr>
        <w:sectPr>
          <w:pgSz w:w="11900" w:h="16840"/>
          <w:pgMar w:header="971" w:footer="0" w:top="1300" w:bottom="280" w:left="1275" w:right="1275"/>
        </w:sectPr>
      </w:pPr>
    </w:p>
    <w:p>
      <w:pPr>
        <w:pStyle w:val="BodyText"/>
        <w:spacing w:line="235" w:lineRule="auto" w:before="110"/>
        <w:ind w:left="705"/>
      </w:pPr>
      <w:r>
        <w:rPr>
          <w:rFonts w:ascii="Arial" w:hAnsi="Arial"/>
          <w:i/>
        </w:rPr>
        <w:t>629</w:t>
      </w:r>
      <w:r>
        <w:rPr>
          <w:rFonts w:ascii="Arial" w:hAnsi="Arial"/>
          <w:i/>
          <w:spacing w:val="29"/>
        </w:rPr>
        <w:t> </w:t>
      </w:r>
      <w:r>
        <w:rPr/>
        <w:t>at</w:t>
      </w:r>
      <w:r>
        <w:rPr>
          <w:spacing w:val="29"/>
        </w:rPr>
        <w:t> </w:t>
      </w:r>
      <w:r>
        <w:rPr/>
        <w:t>[436]-[448].</w:t>
      </w:r>
      <w:r>
        <w:rPr>
          <w:spacing w:val="29"/>
        </w:rPr>
        <w:t> </w:t>
      </w:r>
      <w:r>
        <w:rPr/>
        <w:t>For</w:t>
      </w:r>
      <w:r>
        <w:rPr>
          <w:spacing w:val="29"/>
        </w:rPr>
        <w:t> </w:t>
      </w:r>
      <w:r>
        <w:rPr/>
        <w:t>detailed</w:t>
      </w:r>
      <w:r>
        <w:rPr>
          <w:spacing w:val="29"/>
        </w:rPr>
        <w:t> </w:t>
      </w:r>
      <w:r>
        <w:rPr/>
        <w:t>discussion,</w:t>
      </w:r>
      <w:r>
        <w:rPr>
          <w:spacing w:val="29"/>
        </w:rPr>
        <w:t> </w:t>
      </w:r>
      <w:r>
        <w:rPr/>
        <w:t>see</w:t>
      </w:r>
      <w:r>
        <w:rPr>
          <w:spacing w:val="29"/>
        </w:rPr>
        <w:t> </w:t>
      </w:r>
      <w:r>
        <w:rPr/>
        <w:t>Dicey,</w:t>
      </w:r>
      <w:r>
        <w:rPr>
          <w:spacing w:val="29"/>
        </w:rPr>
        <w:t> </w:t>
      </w:r>
      <w:r>
        <w:rPr/>
        <w:t>Morris</w:t>
      </w:r>
      <w:r>
        <w:rPr>
          <w:spacing w:val="29"/>
        </w:rPr>
        <w:t> </w:t>
      </w:r>
      <w:r>
        <w:rPr/>
        <w:t>and</w:t>
      </w:r>
      <w:r>
        <w:rPr>
          <w:spacing w:val="29"/>
        </w:rPr>
        <w:t> </w:t>
      </w:r>
      <w:r>
        <w:rPr/>
        <w:t>Collins,</w:t>
      </w:r>
      <w:r>
        <w:rPr>
          <w:spacing w:val="29"/>
        </w:rPr>
        <w:t> </w:t>
      </w:r>
      <w:r>
        <w:rPr/>
        <w:t>14th</w:t>
      </w:r>
      <w:r>
        <w:rPr>
          <w:spacing w:val="29"/>
        </w:rPr>
        <w:t> </w:t>
      </w:r>
      <w:r>
        <w:rPr/>
        <w:t>edn,</w:t>
      </w:r>
      <w:r>
        <w:rPr>
          <w:spacing w:val="29"/>
        </w:rPr>
        <w:t> </w:t>
      </w:r>
      <w:r>
        <w:rPr/>
        <w:t>(2006), paras 33-033—33-035, 33-126—33-128.</w:t>
      </w:r>
    </w:p>
    <w:p>
      <w:pPr>
        <w:pStyle w:val="BodyText"/>
        <w:spacing w:before="6"/>
      </w:pPr>
    </w:p>
    <w:p>
      <w:pPr>
        <w:pStyle w:val="BodyText"/>
        <w:tabs>
          <w:tab w:pos="705" w:val="left" w:leader="none"/>
        </w:tabs>
        <w:ind w:left="165"/>
      </w:pPr>
      <w:bookmarkStart w:name="_bookmark115" w:id="117"/>
      <w:bookmarkEnd w:id="117"/>
      <w:r>
        <w:rPr/>
      </w:r>
      <w:hyperlink w:history="true" w:anchor="_bookmark45">
        <w:r>
          <w:rPr>
            <w:color w:val="005DA1"/>
            <w:spacing w:val="-5"/>
            <w:position w:val="5"/>
            <w:sz w:val="14"/>
            <w:u w:val="single" w:color="005DA1"/>
          </w:rPr>
          <w:t>35</w:t>
        </w:r>
      </w:hyperlink>
      <w:r>
        <w:rPr>
          <w:spacing w:val="-5"/>
          <w:position w:val="5"/>
          <w:sz w:val="14"/>
        </w:rPr>
        <w:t>.</w:t>
      </w:r>
      <w:r>
        <w:rPr>
          <w:position w:val="5"/>
          <w:sz w:val="14"/>
        </w:rPr>
        <w:tab/>
      </w:r>
      <w:r>
        <w:rPr/>
        <w:t>Unfair Contract Terms Act 1977 </w:t>
      </w:r>
      <w:r>
        <w:rPr>
          <w:spacing w:val="-2"/>
        </w:rPr>
        <w:t>s.27(2).</w:t>
      </w:r>
    </w:p>
    <w:p>
      <w:pPr>
        <w:pStyle w:val="BodyText"/>
        <w:spacing w:before="8"/>
      </w:pPr>
    </w:p>
    <w:p>
      <w:pPr>
        <w:spacing w:line="235" w:lineRule="auto" w:before="1"/>
        <w:ind w:left="705" w:right="167" w:hanging="541"/>
        <w:jc w:val="both"/>
        <w:rPr>
          <w:sz w:val="20"/>
        </w:rPr>
      </w:pPr>
      <w:bookmarkStart w:name="_bookmark116" w:id="118"/>
      <w:bookmarkEnd w:id="118"/>
      <w:r>
        <w:rPr/>
      </w:r>
      <w:hyperlink w:history="true" w:anchor="_bookmark46">
        <w:r>
          <w:rPr>
            <w:color w:val="005DA1"/>
            <w:position w:val="5"/>
            <w:sz w:val="14"/>
            <w:u w:val="single" w:color="005DA1"/>
          </w:rPr>
          <w:t>36</w:t>
        </w:r>
      </w:hyperlink>
      <w:r>
        <w:rPr>
          <w:position w:val="5"/>
          <w:sz w:val="14"/>
        </w:rPr>
        <w:t>.</w:t>
      </w:r>
      <w:r>
        <w:rPr>
          <w:spacing w:val="80"/>
          <w:position w:val="5"/>
          <w:sz w:val="14"/>
        </w:rPr>
        <w:t>  </w:t>
      </w:r>
      <w:r>
        <w:rPr>
          <w:sz w:val="20"/>
        </w:rPr>
        <w:t>s.27(1). See </w:t>
      </w:r>
      <w:r>
        <w:rPr>
          <w:rFonts w:ascii="Arial" w:hAnsi="Arial"/>
          <w:i/>
          <w:sz w:val="20"/>
        </w:rPr>
        <w:t>Surzur Overseas Ltd v Ocean Reliance Shipping Co Ltd [1997] C.L. 318</w:t>
      </w:r>
      <w:r>
        <w:rPr>
          <w:sz w:val="20"/>
        </w:rPr>
        <w:t>. And see below, para.30-067. Note a similar provision in the (Australian) Insurance Contracts Act 1984 s.8, as to which see </w:t>
      </w:r>
      <w:r>
        <w:rPr>
          <w:rFonts w:ascii="Arial" w:hAnsi="Arial"/>
          <w:i/>
          <w:sz w:val="20"/>
        </w:rPr>
        <w:t>Akai Pty Ltd v The People’s Insurance Co Ltd (1996) 188 C.L.R. 418 </w:t>
      </w:r>
      <w:r>
        <w:rPr>
          <w:sz w:val="20"/>
        </w:rPr>
        <w:t>cf. </w:t>
      </w:r>
      <w:r>
        <w:rPr>
          <w:rFonts w:ascii="Arial" w:hAnsi="Arial"/>
          <w:i/>
          <w:sz w:val="20"/>
        </w:rPr>
        <w:t>Akai Pty Ltd v People’s Insurance Co Ltd [1998] 1 Lloyd’s Rep. 90</w:t>
      </w:r>
      <w:r>
        <w:rPr>
          <w:sz w:val="20"/>
        </w:rPr>
        <w:t>. See also Late Payment of Commercial Debts (Interest) Act 1998 s.12, below, paras 30-342 et seq.</w:t>
      </w:r>
    </w:p>
    <w:p>
      <w:pPr>
        <w:pStyle w:val="BodyText"/>
        <w:spacing w:before="7"/>
      </w:pPr>
    </w:p>
    <w:p>
      <w:pPr>
        <w:spacing w:line="235" w:lineRule="auto" w:before="1"/>
        <w:ind w:left="705" w:right="167" w:hanging="541"/>
        <w:jc w:val="both"/>
        <w:rPr>
          <w:sz w:val="20"/>
        </w:rPr>
      </w:pPr>
      <w:bookmarkStart w:name="_bookmark117" w:id="119"/>
      <w:bookmarkEnd w:id="119"/>
      <w:r>
        <w:rPr/>
      </w:r>
      <w:hyperlink w:history="true" w:anchor="_bookmark47">
        <w:r>
          <w:rPr>
            <w:color w:val="005DA1"/>
            <w:position w:val="5"/>
            <w:sz w:val="14"/>
            <w:u w:val="single" w:color="005DA1"/>
          </w:rPr>
          <w:t>37</w:t>
        </w:r>
      </w:hyperlink>
      <w:r>
        <w:rPr>
          <w:position w:val="5"/>
          <w:sz w:val="14"/>
        </w:rPr>
        <w:t>.</w:t>
      </w:r>
      <w:r>
        <w:rPr>
          <w:spacing w:val="80"/>
          <w:position w:val="5"/>
          <w:sz w:val="14"/>
        </w:rPr>
        <w:t>  </w:t>
      </w:r>
      <w:r>
        <w:rPr>
          <w:sz w:val="20"/>
        </w:rPr>
        <w:t>Unfair Contract Terms Act 1977 s.26. On the meaning of “international supply contract”, see </w:t>
      </w:r>
      <w:r>
        <w:rPr>
          <w:rFonts w:ascii="Arial" w:hAnsi="Arial"/>
          <w:i/>
          <w:sz w:val="20"/>
        </w:rPr>
        <w:t>Ocean Chemical Transport Inc v Exnor Craggs Ltd [2000] 1 All E.R. (Comm) 519</w:t>
      </w:r>
      <w:r>
        <w:rPr>
          <w:sz w:val="20"/>
        </w:rPr>
        <w:t>; </w:t>
      </w:r>
      <w:r>
        <w:rPr>
          <w:rFonts w:ascii="Arial" w:hAnsi="Arial"/>
          <w:i/>
          <w:sz w:val="20"/>
        </w:rPr>
        <w:t>Amiri Flight Authority v BAE Systems Plc [2002] EWHC 2481 (Comm), [2003] 1 All E.R. (Comm) 1</w:t>
      </w:r>
      <w:r>
        <w:rPr>
          <w:sz w:val="20"/>
        </w:rPr>
        <w:t>; </w:t>
      </w:r>
      <w:r>
        <w:rPr>
          <w:rFonts w:ascii="Arial" w:hAnsi="Arial"/>
          <w:i/>
          <w:sz w:val="20"/>
        </w:rPr>
        <w:t>Air Transworld</w:t>
      </w:r>
      <w:r>
        <w:rPr>
          <w:rFonts w:ascii="Arial" w:hAnsi="Arial"/>
          <w:i/>
          <w:spacing w:val="-1"/>
          <w:sz w:val="20"/>
        </w:rPr>
        <w:t> </w:t>
      </w:r>
      <w:r>
        <w:rPr>
          <w:rFonts w:ascii="Arial" w:hAnsi="Arial"/>
          <w:i/>
          <w:sz w:val="20"/>
        </w:rPr>
        <w:t>Ltd v Bombardier Inc [2012] EWHC 243 (Comm)</w:t>
      </w:r>
      <w:r>
        <w:rPr>
          <w:sz w:val="20"/>
        </w:rPr>
        <w:t>. See below, paras 30-065, 30-</w:t>
      </w:r>
      <w:r>
        <w:rPr>
          <w:spacing w:val="-4"/>
          <w:sz w:val="20"/>
        </w:rPr>
        <w:t>067.</w:t>
      </w:r>
    </w:p>
    <w:p>
      <w:pPr>
        <w:pStyle w:val="BodyText"/>
        <w:spacing w:before="8"/>
      </w:pPr>
    </w:p>
    <w:p>
      <w:pPr>
        <w:spacing w:line="235" w:lineRule="auto" w:before="0"/>
        <w:ind w:left="705" w:right="167" w:hanging="541"/>
        <w:jc w:val="both"/>
        <w:rPr>
          <w:rFonts w:ascii="Arial"/>
          <w:i/>
          <w:sz w:val="20"/>
        </w:rPr>
      </w:pPr>
      <w:bookmarkStart w:name="_bookmark118" w:id="120"/>
      <w:bookmarkEnd w:id="120"/>
      <w:r>
        <w:rPr/>
      </w:r>
      <w:hyperlink w:history="true" w:anchor="_bookmark48">
        <w:r>
          <w:rPr>
            <w:color w:val="005DA1"/>
            <w:position w:val="5"/>
            <w:sz w:val="14"/>
            <w:u w:val="single" w:color="005DA1"/>
          </w:rPr>
          <w:t>38</w:t>
        </w:r>
      </w:hyperlink>
      <w:r>
        <w:rPr>
          <w:position w:val="5"/>
          <w:sz w:val="14"/>
        </w:rPr>
        <w:t>.</w:t>
      </w:r>
      <w:r>
        <w:rPr>
          <w:spacing w:val="80"/>
          <w:w w:val="150"/>
          <w:position w:val="5"/>
          <w:sz w:val="14"/>
        </w:rPr>
        <w:t>  </w:t>
      </w:r>
      <w:r>
        <w:rPr>
          <w:sz w:val="20"/>
        </w:rPr>
        <w:t>See,</w:t>
      </w:r>
      <w:r>
        <w:rPr>
          <w:spacing w:val="14"/>
          <w:sz w:val="20"/>
        </w:rPr>
        <w:t> </w:t>
      </w:r>
      <w:r>
        <w:rPr>
          <w:sz w:val="20"/>
        </w:rPr>
        <w:t>e.g.</w:t>
      </w:r>
      <w:r>
        <w:rPr>
          <w:spacing w:val="14"/>
          <w:sz w:val="20"/>
        </w:rPr>
        <w:t> </w:t>
      </w:r>
      <w:r>
        <w:rPr>
          <w:rFonts w:ascii="Arial"/>
          <w:i/>
          <w:sz w:val="20"/>
        </w:rPr>
        <w:t>The</w:t>
      </w:r>
      <w:r>
        <w:rPr>
          <w:rFonts w:ascii="Arial"/>
          <w:i/>
          <w:spacing w:val="14"/>
          <w:sz w:val="20"/>
        </w:rPr>
        <w:t> </w:t>
      </w:r>
      <w:r>
        <w:rPr>
          <w:rFonts w:ascii="Arial"/>
          <w:i/>
          <w:sz w:val="20"/>
        </w:rPr>
        <w:t>Hollandia</w:t>
      </w:r>
      <w:r>
        <w:rPr>
          <w:rFonts w:ascii="Arial"/>
          <w:i/>
          <w:spacing w:val="14"/>
          <w:sz w:val="20"/>
        </w:rPr>
        <w:t> </w:t>
      </w:r>
      <w:r>
        <w:rPr>
          <w:rFonts w:ascii="Arial"/>
          <w:i/>
          <w:sz w:val="20"/>
        </w:rPr>
        <w:t>[1983]</w:t>
      </w:r>
      <w:r>
        <w:rPr>
          <w:rFonts w:ascii="Arial"/>
          <w:i/>
          <w:spacing w:val="14"/>
          <w:sz w:val="20"/>
        </w:rPr>
        <w:t> </w:t>
      </w:r>
      <w:r>
        <w:rPr>
          <w:rFonts w:ascii="Arial"/>
          <w:i/>
          <w:sz w:val="20"/>
        </w:rPr>
        <w:t>A.C.</w:t>
      </w:r>
      <w:r>
        <w:rPr>
          <w:rFonts w:ascii="Arial"/>
          <w:i/>
          <w:spacing w:val="14"/>
          <w:sz w:val="20"/>
        </w:rPr>
        <w:t> </w:t>
      </w:r>
      <w:r>
        <w:rPr>
          <w:rFonts w:ascii="Arial"/>
          <w:i/>
          <w:sz w:val="20"/>
        </w:rPr>
        <w:t>565</w:t>
      </w:r>
      <w:r>
        <w:rPr>
          <w:rFonts w:ascii="Arial"/>
          <w:i/>
          <w:spacing w:val="14"/>
          <w:sz w:val="20"/>
        </w:rPr>
        <w:t> </w:t>
      </w:r>
      <w:r>
        <w:rPr>
          <w:sz w:val="20"/>
        </w:rPr>
        <w:t>(no</w:t>
      </w:r>
      <w:r>
        <w:rPr>
          <w:spacing w:val="14"/>
          <w:sz w:val="20"/>
        </w:rPr>
        <w:t> </w:t>
      </w:r>
      <w:r>
        <w:rPr>
          <w:sz w:val="20"/>
        </w:rPr>
        <w:t>freedom</w:t>
      </w:r>
      <w:r>
        <w:rPr>
          <w:spacing w:val="14"/>
          <w:sz w:val="20"/>
        </w:rPr>
        <w:t> </w:t>
      </w:r>
      <w:r>
        <w:rPr>
          <w:sz w:val="20"/>
        </w:rPr>
        <w:t>to</w:t>
      </w:r>
      <w:r>
        <w:rPr>
          <w:spacing w:val="14"/>
          <w:sz w:val="20"/>
        </w:rPr>
        <w:t> </w:t>
      </w:r>
      <w:r>
        <w:rPr>
          <w:sz w:val="20"/>
        </w:rPr>
        <w:t>avoid</w:t>
      </w:r>
      <w:r>
        <w:rPr>
          <w:spacing w:val="14"/>
          <w:sz w:val="20"/>
        </w:rPr>
        <w:t> </w:t>
      </w:r>
      <w:r>
        <w:rPr>
          <w:sz w:val="20"/>
        </w:rPr>
        <w:t>operation</w:t>
      </w:r>
      <w:r>
        <w:rPr>
          <w:spacing w:val="14"/>
          <w:sz w:val="20"/>
        </w:rPr>
        <w:t> </w:t>
      </w:r>
      <w:r>
        <w:rPr>
          <w:sz w:val="20"/>
        </w:rPr>
        <w:t>of</w:t>
      </w:r>
      <w:r>
        <w:rPr>
          <w:spacing w:val="14"/>
          <w:sz w:val="20"/>
        </w:rPr>
        <w:t> </w:t>
      </w:r>
      <w:r>
        <w:rPr>
          <w:sz w:val="20"/>
        </w:rPr>
        <w:t>Carriage</w:t>
      </w:r>
      <w:r>
        <w:rPr>
          <w:spacing w:val="14"/>
          <w:sz w:val="20"/>
        </w:rPr>
        <w:t> </w:t>
      </w:r>
      <w:r>
        <w:rPr>
          <w:sz w:val="20"/>
        </w:rPr>
        <w:t>of</w:t>
      </w:r>
      <w:r>
        <w:rPr>
          <w:spacing w:val="14"/>
          <w:sz w:val="20"/>
        </w:rPr>
        <w:t> </w:t>
      </w:r>
      <w:r>
        <w:rPr>
          <w:sz w:val="20"/>
        </w:rPr>
        <w:t>Goods by</w:t>
      </w:r>
      <w:r>
        <w:rPr>
          <w:spacing w:val="40"/>
          <w:sz w:val="20"/>
        </w:rPr>
        <w:t> </w:t>
      </w:r>
      <w:r>
        <w:rPr>
          <w:sz w:val="20"/>
        </w:rPr>
        <w:t>Sea</w:t>
      </w:r>
      <w:r>
        <w:rPr>
          <w:spacing w:val="40"/>
          <w:sz w:val="20"/>
        </w:rPr>
        <w:t> </w:t>
      </w:r>
      <w:r>
        <w:rPr>
          <w:sz w:val="20"/>
        </w:rPr>
        <w:t>Act</w:t>
      </w:r>
      <w:r>
        <w:rPr>
          <w:spacing w:val="40"/>
          <w:sz w:val="20"/>
        </w:rPr>
        <w:t> </w:t>
      </w:r>
      <w:r>
        <w:rPr>
          <w:sz w:val="20"/>
        </w:rPr>
        <w:t>1971</w:t>
      </w:r>
      <w:r>
        <w:rPr>
          <w:spacing w:val="40"/>
          <w:sz w:val="20"/>
        </w:rPr>
        <w:t> </w:t>
      </w:r>
      <w:r>
        <w:rPr>
          <w:sz w:val="20"/>
        </w:rPr>
        <w:t>by</w:t>
      </w:r>
      <w:r>
        <w:rPr>
          <w:spacing w:val="40"/>
          <w:sz w:val="20"/>
        </w:rPr>
        <w:t> </w:t>
      </w:r>
      <w:r>
        <w:rPr>
          <w:sz w:val="20"/>
        </w:rPr>
        <w:t>choice</w:t>
      </w:r>
      <w:r>
        <w:rPr>
          <w:spacing w:val="40"/>
          <w:sz w:val="20"/>
        </w:rPr>
        <w:t> </w:t>
      </w:r>
      <w:r>
        <w:rPr>
          <w:sz w:val="20"/>
        </w:rPr>
        <w:t>of</w:t>
      </w:r>
      <w:r>
        <w:rPr>
          <w:spacing w:val="40"/>
          <w:sz w:val="20"/>
        </w:rPr>
        <w:t> </w:t>
      </w:r>
      <w:r>
        <w:rPr>
          <w:sz w:val="20"/>
        </w:rPr>
        <w:t>law</w:t>
      </w:r>
      <w:r>
        <w:rPr>
          <w:spacing w:val="40"/>
          <w:sz w:val="20"/>
        </w:rPr>
        <w:t> </w:t>
      </w:r>
      <w:r>
        <w:rPr>
          <w:sz w:val="20"/>
        </w:rPr>
        <w:t>clause);</w:t>
      </w:r>
      <w:r>
        <w:rPr>
          <w:spacing w:val="40"/>
          <w:sz w:val="20"/>
        </w:rPr>
        <w:t> </w:t>
      </w:r>
      <w:r>
        <w:rPr>
          <w:rFonts w:ascii="Arial"/>
          <w:i/>
          <w:sz w:val="20"/>
        </w:rPr>
        <w:t>English</w:t>
      </w:r>
      <w:r>
        <w:rPr>
          <w:rFonts w:ascii="Arial"/>
          <w:i/>
          <w:spacing w:val="40"/>
          <w:sz w:val="20"/>
        </w:rPr>
        <w:t> </w:t>
      </w:r>
      <w:r>
        <w:rPr>
          <w:rFonts w:ascii="Arial"/>
          <w:i/>
          <w:sz w:val="20"/>
        </w:rPr>
        <w:t>v</w:t>
      </w:r>
      <w:r>
        <w:rPr>
          <w:rFonts w:ascii="Arial"/>
          <w:i/>
          <w:spacing w:val="40"/>
          <w:sz w:val="20"/>
        </w:rPr>
        <w:t> </w:t>
      </w:r>
      <w:r>
        <w:rPr>
          <w:rFonts w:ascii="Arial"/>
          <w:i/>
          <w:sz w:val="20"/>
        </w:rPr>
        <w:t>Donnelly</w:t>
      </w:r>
      <w:r>
        <w:rPr>
          <w:rFonts w:ascii="Arial"/>
          <w:i/>
          <w:spacing w:val="40"/>
          <w:sz w:val="20"/>
        </w:rPr>
        <w:t> </w:t>
      </w:r>
      <w:r>
        <w:rPr>
          <w:rFonts w:ascii="Arial"/>
          <w:i/>
          <w:sz w:val="20"/>
        </w:rPr>
        <w:t>(1958)</w:t>
      </w:r>
      <w:r>
        <w:rPr>
          <w:rFonts w:ascii="Arial"/>
          <w:i/>
          <w:spacing w:val="40"/>
          <w:sz w:val="20"/>
        </w:rPr>
        <w:t> </w:t>
      </w:r>
      <w:r>
        <w:rPr>
          <w:rFonts w:ascii="Arial"/>
          <w:i/>
          <w:sz w:val="20"/>
        </w:rPr>
        <w:t>S.C.</w:t>
      </w:r>
      <w:r>
        <w:rPr>
          <w:rFonts w:ascii="Arial"/>
          <w:i/>
          <w:spacing w:val="40"/>
          <w:sz w:val="20"/>
        </w:rPr>
        <w:t> </w:t>
      </w:r>
      <w:r>
        <w:rPr>
          <w:rFonts w:ascii="Arial"/>
          <w:i/>
          <w:sz w:val="20"/>
        </w:rPr>
        <w:t>494</w:t>
      </w:r>
      <w:r>
        <w:rPr>
          <w:rFonts w:ascii="Arial"/>
          <w:i/>
          <w:spacing w:val="40"/>
          <w:sz w:val="20"/>
        </w:rPr>
        <w:t> </w:t>
      </w:r>
      <w:r>
        <w:rPr>
          <w:sz w:val="20"/>
        </w:rPr>
        <w:t>(Scottish hire-purchase</w:t>
      </w:r>
      <w:r>
        <w:rPr>
          <w:spacing w:val="29"/>
          <w:sz w:val="20"/>
        </w:rPr>
        <w:t> </w:t>
      </w:r>
      <w:r>
        <w:rPr>
          <w:sz w:val="20"/>
        </w:rPr>
        <w:t>legislation</w:t>
      </w:r>
      <w:r>
        <w:rPr>
          <w:spacing w:val="29"/>
          <w:sz w:val="20"/>
        </w:rPr>
        <w:t> </w:t>
      </w:r>
      <w:r>
        <w:rPr>
          <w:sz w:val="20"/>
        </w:rPr>
        <w:t>mandatory</w:t>
      </w:r>
      <w:r>
        <w:rPr>
          <w:spacing w:val="29"/>
          <w:sz w:val="20"/>
        </w:rPr>
        <w:t> </w:t>
      </w:r>
      <w:r>
        <w:rPr>
          <w:sz w:val="20"/>
        </w:rPr>
        <w:t>in</w:t>
      </w:r>
      <w:r>
        <w:rPr>
          <w:spacing w:val="29"/>
          <w:sz w:val="20"/>
        </w:rPr>
        <w:t> </w:t>
      </w:r>
      <w:r>
        <w:rPr>
          <w:sz w:val="20"/>
        </w:rPr>
        <w:t>effect);</w:t>
      </w:r>
      <w:r>
        <w:rPr>
          <w:spacing w:val="28"/>
          <w:sz w:val="20"/>
        </w:rPr>
        <w:t> </w:t>
      </w:r>
      <w:r>
        <w:rPr>
          <w:rFonts w:ascii="Arial"/>
          <w:i/>
          <w:sz w:val="20"/>
        </w:rPr>
        <w:t>Chiron</w:t>
      </w:r>
      <w:r>
        <w:rPr>
          <w:rFonts w:ascii="Arial"/>
          <w:i/>
          <w:spacing w:val="29"/>
          <w:sz w:val="20"/>
        </w:rPr>
        <w:t> </w:t>
      </w:r>
      <w:r>
        <w:rPr>
          <w:rFonts w:ascii="Arial"/>
          <w:i/>
          <w:sz w:val="20"/>
        </w:rPr>
        <w:t>Corp</w:t>
      </w:r>
      <w:r>
        <w:rPr>
          <w:rFonts w:ascii="Arial"/>
          <w:i/>
          <w:spacing w:val="29"/>
          <w:sz w:val="20"/>
        </w:rPr>
        <w:t> </w:t>
      </w:r>
      <w:r>
        <w:rPr>
          <w:rFonts w:ascii="Arial"/>
          <w:i/>
          <w:sz w:val="20"/>
        </w:rPr>
        <w:t>v</w:t>
      </w:r>
      <w:r>
        <w:rPr>
          <w:rFonts w:ascii="Arial"/>
          <w:i/>
          <w:spacing w:val="29"/>
          <w:sz w:val="20"/>
        </w:rPr>
        <w:t> </w:t>
      </w:r>
      <w:r>
        <w:rPr>
          <w:rFonts w:ascii="Arial"/>
          <w:i/>
          <w:sz w:val="20"/>
        </w:rPr>
        <w:t>Organon</w:t>
      </w:r>
      <w:r>
        <w:rPr>
          <w:rFonts w:ascii="Arial"/>
          <w:i/>
          <w:spacing w:val="29"/>
          <w:sz w:val="20"/>
        </w:rPr>
        <w:t> </w:t>
      </w:r>
      <w:r>
        <w:rPr>
          <w:rFonts w:ascii="Arial"/>
          <w:i/>
          <w:sz w:val="20"/>
        </w:rPr>
        <w:t>Teknika</w:t>
      </w:r>
      <w:r>
        <w:rPr>
          <w:rFonts w:ascii="Arial"/>
          <w:i/>
          <w:spacing w:val="29"/>
          <w:sz w:val="20"/>
        </w:rPr>
        <w:t> </w:t>
      </w:r>
      <w:r>
        <w:rPr>
          <w:rFonts w:ascii="Arial"/>
          <w:i/>
          <w:sz w:val="20"/>
        </w:rPr>
        <w:t>(No.2)</w:t>
      </w:r>
      <w:r>
        <w:rPr>
          <w:rFonts w:ascii="Arial"/>
          <w:i/>
          <w:spacing w:val="29"/>
          <w:sz w:val="20"/>
        </w:rPr>
        <w:t> </w:t>
      </w:r>
      <w:r>
        <w:rPr>
          <w:rFonts w:ascii="Arial"/>
          <w:i/>
          <w:spacing w:val="-2"/>
          <w:sz w:val="20"/>
        </w:rPr>
        <w:t>[1993]</w:t>
      </w:r>
    </w:p>
    <w:p>
      <w:pPr>
        <w:spacing w:line="235" w:lineRule="auto" w:before="0"/>
        <w:ind w:left="705" w:right="167" w:firstLine="0"/>
        <w:jc w:val="both"/>
        <w:rPr>
          <w:sz w:val="20"/>
        </w:rPr>
      </w:pPr>
      <w:r>
        <w:rPr>
          <w:rFonts w:ascii="Arial" w:hAnsi="Arial"/>
          <w:i/>
          <w:sz w:val="20"/>
        </w:rPr>
        <w:t>F.S.R. 567 </w:t>
      </w:r>
      <w:r>
        <w:rPr>
          <w:sz w:val="20"/>
        </w:rPr>
        <w:t>(Patents Act 1977 s.44 applied to contract governed by foreign law); </w:t>
      </w:r>
      <w:r>
        <w:rPr>
          <w:rFonts w:ascii="Arial" w:hAnsi="Arial"/>
          <w:i/>
          <w:sz w:val="20"/>
        </w:rPr>
        <w:t>DR </w:t>
      </w:r>
      <w:r>
        <w:rPr>
          <w:rFonts w:ascii="Arial" w:hAnsi="Arial"/>
          <w:i/>
          <w:sz w:val="20"/>
        </w:rPr>
        <w:t>Insurance Co v Central National Insurance Co [1996] 1 Lloyd’s Rep. 74 </w:t>
      </w:r>
      <w:r>
        <w:rPr>
          <w:sz w:val="20"/>
        </w:rPr>
        <w:t>(Insurance Companies Act 1982 applied to reinsurance contracts whatever their proper law). See generally, Dicey, Morris and Collins, 14th edn, (2006), paras 32-132—32-137. As to the application of the Consumer </w:t>
      </w:r>
      <w:r>
        <w:rPr>
          <w:sz w:val="20"/>
        </w:rPr>
        <w:t>Credit Act 1974 and orders made thereunder, see</w:t>
      </w:r>
      <w:r>
        <w:rPr>
          <w:spacing w:val="-1"/>
          <w:sz w:val="20"/>
        </w:rPr>
        <w:t> </w:t>
      </w:r>
      <w:r>
        <w:rPr>
          <w:rFonts w:ascii="Arial" w:hAnsi="Arial"/>
          <w:i/>
          <w:sz w:val="20"/>
        </w:rPr>
        <w:t>Office of Fair Trading v Lloyds TSB Bank Plc </w:t>
      </w:r>
      <w:r>
        <w:rPr>
          <w:rFonts w:ascii="Arial" w:hAnsi="Arial"/>
          <w:i/>
          <w:sz w:val="20"/>
        </w:rPr>
        <w:t>[2007] UKHL</w:t>
      </w:r>
      <w:r>
        <w:rPr>
          <w:rFonts w:ascii="Arial" w:hAnsi="Arial"/>
          <w:i/>
          <w:spacing w:val="28"/>
          <w:sz w:val="20"/>
        </w:rPr>
        <w:t>  </w:t>
      </w:r>
      <w:r>
        <w:rPr>
          <w:rFonts w:ascii="Arial" w:hAnsi="Arial"/>
          <w:i/>
          <w:sz w:val="20"/>
        </w:rPr>
        <w:t>48,</w:t>
      </w:r>
      <w:r>
        <w:rPr>
          <w:rFonts w:ascii="Arial" w:hAnsi="Arial"/>
          <w:i/>
          <w:spacing w:val="29"/>
          <w:sz w:val="20"/>
        </w:rPr>
        <w:t>  </w:t>
      </w:r>
      <w:r>
        <w:rPr>
          <w:rFonts w:ascii="Arial" w:hAnsi="Arial"/>
          <w:i/>
          <w:sz w:val="20"/>
        </w:rPr>
        <w:t>[2008]</w:t>
      </w:r>
      <w:r>
        <w:rPr>
          <w:rFonts w:ascii="Arial" w:hAnsi="Arial"/>
          <w:i/>
          <w:spacing w:val="29"/>
          <w:sz w:val="20"/>
        </w:rPr>
        <w:t>  </w:t>
      </w:r>
      <w:r>
        <w:rPr>
          <w:rFonts w:ascii="Arial" w:hAnsi="Arial"/>
          <w:i/>
          <w:sz w:val="20"/>
        </w:rPr>
        <w:t>1</w:t>
      </w:r>
      <w:r>
        <w:rPr>
          <w:rFonts w:ascii="Arial" w:hAnsi="Arial"/>
          <w:i/>
          <w:spacing w:val="28"/>
          <w:sz w:val="20"/>
        </w:rPr>
        <w:t>  </w:t>
      </w:r>
      <w:r>
        <w:rPr>
          <w:rFonts w:ascii="Arial" w:hAnsi="Arial"/>
          <w:i/>
          <w:sz w:val="20"/>
        </w:rPr>
        <w:t>A.C.</w:t>
      </w:r>
      <w:r>
        <w:rPr>
          <w:rFonts w:ascii="Arial" w:hAnsi="Arial"/>
          <w:i/>
          <w:spacing w:val="29"/>
          <w:sz w:val="20"/>
        </w:rPr>
        <w:t>  </w:t>
      </w:r>
      <w:r>
        <w:rPr>
          <w:rFonts w:ascii="Arial" w:hAnsi="Arial"/>
          <w:i/>
          <w:sz w:val="20"/>
        </w:rPr>
        <w:t>316</w:t>
      </w:r>
      <w:r>
        <w:rPr>
          <w:sz w:val="20"/>
        </w:rPr>
        <w:t>;</w:t>
      </w:r>
      <w:r>
        <w:rPr>
          <w:spacing w:val="29"/>
          <w:sz w:val="20"/>
        </w:rPr>
        <w:t>  </w:t>
      </w:r>
      <w:r>
        <w:rPr>
          <w:sz w:val="20"/>
        </w:rPr>
        <w:t>Dicey,</w:t>
      </w:r>
      <w:r>
        <w:rPr>
          <w:spacing w:val="28"/>
          <w:sz w:val="20"/>
        </w:rPr>
        <w:t>  </w:t>
      </w:r>
      <w:r>
        <w:rPr>
          <w:sz w:val="20"/>
        </w:rPr>
        <w:t>Morris</w:t>
      </w:r>
      <w:r>
        <w:rPr>
          <w:spacing w:val="29"/>
          <w:sz w:val="20"/>
        </w:rPr>
        <w:t>  </w:t>
      </w:r>
      <w:r>
        <w:rPr>
          <w:sz w:val="20"/>
        </w:rPr>
        <w:t>and</w:t>
      </w:r>
      <w:r>
        <w:rPr>
          <w:spacing w:val="29"/>
          <w:sz w:val="20"/>
        </w:rPr>
        <w:t>  </w:t>
      </w:r>
      <w:r>
        <w:rPr>
          <w:sz w:val="20"/>
        </w:rPr>
        <w:t>Collins,</w:t>
      </w:r>
      <w:r>
        <w:rPr>
          <w:spacing w:val="28"/>
          <w:sz w:val="20"/>
        </w:rPr>
        <w:t>  </w:t>
      </w:r>
      <w:r>
        <w:rPr>
          <w:sz w:val="20"/>
        </w:rPr>
        <w:t>14th</w:t>
      </w:r>
      <w:r>
        <w:rPr>
          <w:spacing w:val="29"/>
          <w:sz w:val="20"/>
        </w:rPr>
        <w:t>  </w:t>
      </w:r>
      <w:r>
        <w:rPr>
          <w:sz w:val="20"/>
        </w:rPr>
        <w:t>edn,</w:t>
      </w:r>
      <w:r>
        <w:rPr>
          <w:spacing w:val="29"/>
          <w:sz w:val="20"/>
        </w:rPr>
        <w:t>  </w:t>
      </w:r>
      <w:r>
        <w:rPr>
          <w:sz w:val="20"/>
        </w:rPr>
        <w:t>(2006),</w:t>
      </w:r>
      <w:r>
        <w:rPr>
          <w:spacing w:val="28"/>
          <w:sz w:val="20"/>
        </w:rPr>
        <w:t>  </w:t>
      </w:r>
      <w:r>
        <w:rPr>
          <w:spacing w:val="-2"/>
          <w:sz w:val="20"/>
        </w:rPr>
        <w:t>paras</w:t>
      </w:r>
    </w:p>
    <w:p>
      <w:pPr>
        <w:pStyle w:val="BodyText"/>
        <w:spacing w:line="224" w:lineRule="exact"/>
        <w:ind w:left="705"/>
      </w:pPr>
      <w:r>
        <w:rPr/>
        <w:t>33-036—33-</w:t>
      </w:r>
      <w:r>
        <w:rPr>
          <w:spacing w:val="-4"/>
        </w:rPr>
        <w:t>041.</w:t>
      </w:r>
    </w:p>
    <w:p>
      <w:pPr>
        <w:pStyle w:val="BodyText"/>
        <w:spacing w:before="4"/>
      </w:pPr>
    </w:p>
    <w:p>
      <w:pPr>
        <w:pStyle w:val="BodyText"/>
        <w:tabs>
          <w:tab w:pos="705" w:val="left" w:leader="none"/>
        </w:tabs>
        <w:ind w:left="165"/>
      </w:pPr>
      <w:bookmarkStart w:name="_bookmark119" w:id="121"/>
      <w:bookmarkEnd w:id="121"/>
      <w:r>
        <w:rPr/>
      </w:r>
      <w:hyperlink w:history="true" w:anchor="_bookmark49">
        <w:r>
          <w:rPr>
            <w:color w:val="005DA1"/>
            <w:spacing w:val="-5"/>
            <w:position w:val="5"/>
            <w:sz w:val="14"/>
            <w:u w:val="single" w:color="005DA1"/>
          </w:rPr>
          <w:t>39</w:t>
        </w:r>
      </w:hyperlink>
      <w:r>
        <w:rPr>
          <w:spacing w:val="-5"/>
          <w:position w:val="5"/>
          <w:sz w:val="14"/>
        </w:rPr>
        <w:t>.</w:t>
      </w:r>
      <w:r>
        <w:rPr>
          <w:position w:val="5"/>
          <w:sz w:val="14"/>
        </w:rPr>
        <w:tab/>
      </w:r>
      <w:r>
        <w:rPr/>
        <w:t>Dicey, Morris and Collins, 15th edn (2012), paras 30-056—30-</w:t>
      </w:r>
      <w:r>
        <w:rPr>
          <w:spacing w:val="-4"/>
        </w:rPr>
        <w:t>058.</w:t>
      </w:r>
    </w:p>
    <w:p>
      <w:pPr>
        <w:pStyle w:val="BodyText"/>
        <w:spacing w:before="9"/>
      </w:pPr>
    </w:p>
    <w:p>
      <w:pPr>
        <w:spacing w:line="235" w:lineRule="auto" w:before="0"/>
        <w:ind w:left="705" w:right="167" w:hanging="541"/>
        <w:jc w:val="both"/>
        <w:rPr>
          <w:rFonts w:ascii="Arial" w:hAnsi="Arial"/>
          <w:i/>
          <w:sz w:val="20"/>
        </w:rPr>
      </w:pPr>
      <w:bookmarkStart w:name="_bookmark120" w:id="122"/>
      <w:bookmarkEnd w:id="122"/>
      <w:r>
        <w:rPr/>
      </w:r>
      <w:hyperlink w:history="true" w:anchor="_bookmark50">
        <w:r>
          <w:rPr>
            <w:color w:val="005DA1"/>
            <w:position w:val="5"/>
            <w:sz w:val="14"/>
            <w:u w:val="single" w:color="005DA1"/>
          </w:rPr>
          <w:t>40</w:t>
        </w:r>
      </w:hyperlink>
      <w:r>
        <w:rPr>
          <w:position w:val="5"/>
          <w:sz w:val="14"/>
        </w:rPr>
        <w:t>.</w:t>
      </w:r>
      <w:r>
        <w:rPr>
          <w:spacing w:val="80"/>
          <w:position w:val="5"/>
          <w:sz w:val="14"/>
        </w:rPr>
        <w:t>  </w:t>
      </w:r>
      <w:r>
        <w:rPr>
          <w:rFonts w:ascii="Arial" w:hAnsi="Arial"/>
          <w:i/>
          <w:sz w:val="20"/>
        </w:rPr>
        <w:t>Ex p. Dever re Suse and Sibeth (1887) 18 Q.B.D. 660</w:t>
      </w:r>
      <w:r>
        <w:rPr>
          <w:sz w:val="20"/>
        </w:rPr>
        <w:t>; </w:t>
      </w:r>
      <w:r>
        <w:rPr>
          <w:rFonts w:ascii="Arial" w:hAnsi="Arial"/>
          <w:i/>
          <w:sz w:val="20"/>
        </w:rPr>
        <w:t>Dobell &amp; Co v Steamship Rossmore </w:t>
      </w:r>
      <w:r>
        <w:rPr>
          <w:rFonts w:ascii="Arial" w:hAnsi="Arial"/>
          <w:i/>
          <w:sz w:val="20"/>
        </w:rPr>
        <w:t>Co [1895]</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408</w:t>
      </w:r>
      <w:r>
        <w:rPr>
          <w:sz w:val="20"/>
        </w:rPr>
        <w:t>;</w:t>
      </w:r>
      <w:r>
        <w:rPr>
          <w:spacing w:val="-1"/>
          <w:sz w:val="20"/>
        </w:rPr>
        <w:t> </w:t>
      </w:r>
      <w:r>
        <w:rPr>
          <w:rFonts w:ascii="Arial" w:hAnsi="Arial"/>
          <w:i/>
          <w:sz w:val="20"/>
        </w:rPr>
        <w:t>Vita</w:t>
      </w:r>
      <w:r>
        <w:rPr>
          <w:rFonts w:ascii="Arial" w:hAnsi="Arial"/>
          <w:i/>
          <w:spacing w:val="-1"/>
          <w:sz w:val="20"/>
        </w:rPr>
        <w:t> </w:t>
      </w:r>
      <w:r>
        <w:rPr>
          <w:rFonts w:ascii="Arial" w:hAnsi="Arial"/>
          <w:i/>
          <w:sz w:val="20"/>
        </w:rPr>
        <w:t>Food</w:t>
      </w:r>
      <w:r>
        <w:rPr>
          <w:rFonts w:ascii="Arial" w:hAnsi="Arial"/>
          <w:i/>
          <w:spacing w:val="-1"/>
          <w:sz w:val="20"/>
        </w:rPr>
        <w:t> </w:t>
      </w:r>
      <w:r>
        <w:rPr>
          <w:rFonts w:ascii="Arial" w:hAnsi="Arial"/>
          <w:i/>
          <w:sz w:val="20"/>
        </w:rPr>
        <w:t>Products</w:t>
      </w:r>
      <w:r>
        <w:rPr>
          <w:rFonts w:ascii="Arial" w:hAnsi="Arial"/>
          <w:i/>
          <w:spacing w:val="-1"/>
          <w:sz w:val="20"/>
        </w:rPr>
        <w:t> </w:t>
      </w:r>
      <w:r>
        <w:rPr>
          <w:rFonts w:ascii="Arial" w:hAnsi="Arial"/>
          <w:i/>
          <w:sz w:val="20"/>
        </w:rPr>
        <w:t>Inc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Unus</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[1939]</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277</w:t>
      </w:r>
      <w:r>
        <w:rPr>
          <w:sz w:val="20"/>
        </w:rPr>
        <w:t>;</w:t>
      </w:r>
      <w:r>
        <w:rPr>
          <w:spacing w:val="-1"/>
          <w:sz w:val="20"/>
        </w:rPr>
        <w:t> </w:t>
      </w:r>
      <w:r>
        <w:rPr>
          <w:rFonts w:ascii="Arial" w:hAnsi="Arial"/>
          <w:i/>
          <w:sz w:val="20"/>
        </w:rPr>
        <w:t>Ocean</w:t>
      </w:r>
      <w:r>
        <w:rPr>
          <w:rFonts w:ascii="Arial" w:hAnsi="Arial"/>
          <w:i/>
          <w:spacing w:val="-1"/>
          <w:sz w:val="20"/>
        </w:rPr>
        <w:t> </w:t>
      </w:r>
      <w:r>
        <w:rPr>
          <w:rFonts w:ascii="Arial" w:hAnsi="Arial"/>
          <w:i/>
          <w:sz w:val="20"/>
        </w:rPr>
        <w:t>S.S. Co Ltd v Queensland State Wheat Board [1941] 1 Q.B. 402</w:t>
      </w:r>
      <w:r>
        <w:rPr>
          <w:sz w:val="20"/>
        </w:rPr>
        <w:t>; </w:t>
      </w:r>
      <w:r>
        <w:rPr>
          <w:rFonts w:ascii="Arial" w:hAnsi="Arial"/>
          <w:i/>
          <w:sz w:val="20"/>
        </w:rPr>
        <w:t>Re Helbert Wagg &amp; Co Ltd’s Claim [1956] Ch. 323</w:t>
      </w:r>
      <w:r>
        <w:rPr>
          <w:sz w:val="20"/>
        </w:rPr>
        <w:t>; </w:t>
      </w:r>
      <w:r>
        <w:rPr>
          <w:rFonts w:ascii="Arial" w:hAnsi="Arial"/>
          <w:i/>
          <w:sz w:val="20"/>
        </w:rPr>
        <w:t>Amin Rasheed Shipping Corp v Kuwait Insurance Co [1984] A.C. 50, 69-70</w:t>
      </w:r>
      <w:r>
        <w:rPr>
          <w:sz w:val="20"/>
        </w:rPr>
        <w:t>; </w:t>
      </w:r>
      <w:r>
        <w:rPr>
          <w:rFonts w:ascii="Arial" w:hAnsi="Arial"/>
          <w:i/>
          <w:sz w:val="20"/>
        </w:rPr>
        <w:t>D R Insurance Co v Central Insurance Co [1996] 1 Lloyd’s Rep. 74, 81</w:t>
      </w:r>
      <w:r>
        <w:rPr>
          <w:sz w:val="20"/>
        </w:rPr>
        <w:t>; </w:t>
      </w:r>
      <w:r>
        <w:rPr>
          <w:rFonts w:ascii="Arial" w:hAnsi="Arial"/>
          <w:i/>
          <w:sz w:val="20"/>
        </w:rPr>
        <w:t>The Stolt Sydness [1996] 1 Lloyd’s Rep. 273</w:t>
      </w:r>
      <w:r>
        <w:rPr>
          <w:sz w:val="20"/>
        </w:rPr>
        <w:t>; </w:t>
      </w:r>
      <w:r>
        <w:rPr>
          <w:rFonts w:ascii="Arial" w:hAnsi="Arial"/>
          <w:i/>
          <w:sz w:val="20"/>
        </w:rPr>
        <w:t>Shamil Bank of Bahrain v Beximco Pharmaceuticals Ltd [2004] EWCA Civ 19,</w:t>
      </w:r>
      <w:r>
        <w:rPr>
          <w:rFonts w:ascii="Arial" w:hAnsi="Arial"/>
          <w:i/>
          <w:spacing w:val="5"/>
          <w:sz w:val="20"/>
        </w:rPr>
        <w:t> </w:t>
      </w:r>
      <w:r>
        <w:rPr>
          <w:rFonts w:ascii="Arial" w:hAnsi="Arial"/>
          <w:i/>
          <w:sz w:val="20"/>
        </w:rPr>
        <w:t>[2004]</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W.L.R.</w:t>
      </w:r>
      <w:r>
        <w:rPr>
          <w:rFonts w:ascii="Arial" w:hAnsi="Arial"/>
          <w:i/>
          <w:spacing w:val="8"/>
          <w:sz w:val="20"/>
        </w:rPr>
        <w:t> </w:t>
      </w:r>
      <w:r>
        <w:rPr>
          <w:rFonts w:ascii="Arial" w:hAnsi="Arial"/>
          <w:i/>
          <w:sz w:val="20"/>
        </w:rPr>
        <w:t>1784</w:t>
      </w:r>
      <w:r>
        <w:rPr>
          <w:sz w:val="20"/>
        </w:rPr>
        <w:t>;</w:t>
      </w:r>
      <w:r>
        <w:rPr>
          <w:spacing w:val="8"/>
          <w:sz w:val="20"/>
        </w:rPr>
        <w:t> </w:t>
      </w:r>
      <w:r>
        <w:rPr>
          <w:rFonts w:ascii="Arial" w:hAnsi="Arial"/>
          <w:i/>
          <w:sz w:val="20"/>
        </w:rPr>
        <w:t>Halpern</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Halpern</w:t>
      </w:r>
      <w:r>
        <w:rPr>
          <w:rFonts w:ascii="Arial" w:hAnsi="Arial"/>
          <w:i/>
          <w:spacing w:val="8"/>
          <w:sz w:val="20"/>
        </w:rPr>
        <w:t> </w:t>
      </w:r>
      <w:r>
        <w:rPr>
          <w:rFonts w:ascii="Arial" w:hAnsi="Arial"/>
          <w:i/>
          <w:sz w:val="20"/>
        </w:rPr>
        <w:t>(Nos</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and</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[2007]</w:t>
      </w:r>
      <w:r>
        <w:rPr>
          <w:rFonts w:ascii="Arial" w:hAnsi="Arial"/>
          <w:i/>
          <w:spacing w:val="8"/>
          <w:sz w:val="20"/>
        </w:rPr>
        <w:t> </w:t>
      </w:r>
      <w:r>
        <w:rPr>
          <w:rFonts w:ascii="Arial" w:hAnsi="Arial"/>
          <w:i/>
          <w:sz w:val="20"/>
        </w:rPr>
        <w:t>EWCA</w:t>
      </w:r>
      <w:r>
        <w:rPr>
          <w:rFonts w:ascii="Arial" w:hAnsi="Arial"/>
          <w:i/>
          <w:spacing w:val="8"/>
          <w:sz w:val="20"/>
        </w:rPr>
        <w:t> </w:t>
      </w:r>
      <w:r>
        <w:rPr>
          <w:rFonts w:ascii="Arial" w:hAnsi="Arial"/>
          <w:i/>
          <w:sz w:val="20"/>
        </w:rPr>
        <w:t>Civ</w:t>
      </w:r>
      <w:r>
        <w:rPr>
          <w:rFonts w:ascii="Arial" w:hAnsi="Arial"/>
          <w:i/>
          <w:spacing w:val="8"/>
          <w:sz w:val="20"/>
        </w:rPr>
        <w:t> </w:t>
      </w:r>
      <w:r>
        <w:rPr>
          <w:rFonts w:ascii="Arial" w:hAnsi="Arial"/>
          <w:i/>
          <w:sz w:val="20"/>
        </w:rPr>
        <w:t>291,</w:t>
      </w:r>
      <w:r>
        <w:rPr>
          <w:rFonts w:ascii="Arial" w:hAnsi="Arial"/>
          <w:i/>
          <w:spacing w:val="8"/>
          <w:sz w:val="20"/>
        </w:rPr>
        <w:t> </w:t>
      </w:r>
      <w:r>
        <w:rPr>
          <w:rFonts w:ascii="Arial" w:hAnsi="Arial"/>
          <w:i/>
          <w:sz w:val="20"/>
        </w:rPr>
        <w:t>[2008]</w:t>
      </w:r>
      <w:r>
        <w:rPr>
          <w:rFonts w:ascii="Arial" w:hAnsi="Arial"/>
          <w:i/>
          <w:spacing w:val="8"/>
          <w:sz w:val="20"/>
        </w:rPr>
        <w:t> </w:t>
      </w:r>
      <w:r>
        <w:rPr>
          <w:rFonts w:ascii="Arial" w:hAnsi="Arial"/>
          <w:i/>
          <w:spacing w:val="-4"/>
          <w:sz w:val="20"/>
        </w:rPr>
        <w:t>Q.B.</w:t>
      </w:r>
    </w:p>
    <w:p>
      <w:pPr>
        <w:pStyle w:val="BodyText"/>
        <w:spacing w:line="224" w:lineRule="exact"/>
        <w:ind w:left="705"/>
      </w:pPr>
      <w:r>
        <w:rPr>
          <w:rFonts w:ascii="Arial"/>
          <w:i/>
        </w:rPr>
        <w:t>195</w:t>
      </w:r>
      <w:r>
        <w:rPr>
          <w:rFonts w:ascii="Arial"/>
          <w:i/>
          <w:spacing w:val="-1"/>
        </w:rPr>
        <w:t> </w:t>
      </w:r>
      <w:r>
        <w:rPr/>
        <w:t>at [31]-[35] (both cases on the Rome </w:t>
      </w:r>
      <w:r>
        <w:rPr>
          <w:spacing w:val="-2"/>
        </w:rPr>
        <w:t>Convention).</w:t>
      </w:r>
    </w:p>
    <w:p>
      <w:pPr>
        <w:pStyle w:val="BodyText"/>
        <w:spacing w:before="8"/>
      </w:pPr>
    </w:p>
    <w:p>
      <w:pPr>
        <w:spacing w:line="235" w:lineRule="auto" w:before="1"/>
        <w:ind w:left="705" w:right="168" w:hanging="541"/>
        <w:jc w:val="both"/>
        <w:rPr>
          <w:rFonts w:ascii="Arial" w:hAnsi="Arial"/>
          <w:i/>
          <w:sz w:val="20"/>
        </w:rPr>
      </w:pPr>
      <w:bookmarkStart w:name="_bookmark121" w:id="123"/>
      <w:bookmarkEnd w:id="123"/>
      <w:r>
        <w:rPr/>
      </w:r>
      <w:hyperlink w:history="true" w:anchor="_bookmark51">
        <w:r>
          <w:rPr>
            <w:color w:val="005DA1"/>
            <w:position w:val="5"/>
            <w:sz w:val="14"/>
            <w:u w:val="single" w:color="005DA1"/>
          </w:rPr>
          <w:t>41</w:t>
        </w:r>
      </w:hyperlink>
      <w:r>
        <w:rPr>
          <w:position w:val="5"/>
          <w:sz w:val="14"/>
        </w:rPr>
        <w:t>.</w:t>
      </w:r>
      <w:r>
        <w:rPr>
          <w:spacing w:val="80"/>
          <w:w w:val="150"/>
          <w:position w:val="5"/>
          <w:sz w:val="14"/>
        </w:rPr>
        <w:t> </w:t>
      </w:r>
      <w:r>
        <w:rPr>
          <w:rFonts w:ascii="Arial" w:hAnsi="Arial"/>
          <w:i/>
          <w:sz w:val="20"/>
        </w:rPr>
        <w:t>Re Chesterman’s Trusts [1923] 2 Ch. 466</w:t>
      </w:r>
      <w:r>
        <w:rPr>
          <w:sz w:val="20"/>
        </w:rPr>
        <w:t>; </w:t>
      </w:r>
      <w:r>
        <w:rPr>
          <w:rFonts w:ascii="Arial" w:hAnsi="Arial"/>
          <w:i/>
          <w:sz w:val="20"/>
        </w:rPr>
        <w:t>R. v International Trustee for the Protection </w:t>
      </w:r>
      <w:r>
        <w:rPr>
          <w:rFonts w:ascii="Arial" w:hAnsi="Arial"/>
          <w:i/>
          <w:sz w:val="20"/>
        </w:rPr>
        <w:t>of Bondholders AG [1937] A.C. 500</w:t>
      </w:r>
      <w:r>
        <w:rPr>
          <w:sz w:val="20"/>
        </w:rPr>
        <w:t>; </w:t>
      </w:r>
      <w:r>
        <w:rPr>
          <w:rFonts w:ascii="Arial" w:hAnsi="Arial"/>
          <w:i/>
          <w:sz w:val="20"/>
        </w:rPr>
        <w:t>Kahler v Midland Bank Ltd [1950] A.C. 24</w:t>
      </w:r>
      <w:r>
        <w:rPr>
          <w:sz w:val="20"/>
        </w:rPr>
        <w:t>; </w:t>
      </w:r>
      <w:r>
        <w:rPr>
          <w:rFonts w:ascii="Arial" w:hAnsi="Arial"/>
          <w:i/>
          <w:sz w:val="20"/>
        </w:rPr>
        <w:t>Zivnostenska Banka</w:t>
      </w:r>
      <w:r>
        <w:rPr>
          <w:rFonts w:ascii="Arial" w:hAnsi="Arial"/>
          <w:i/>
          <w:spacing w:val="14"/>
          <w:sz w:val="20"/>
        </w:rPr>
        <w:t> </w:t>
      </w:r>
      <w:r>
        <w:rPr>
          <w:rFonts w:ascii="Arial" w:hAnsi="Arial"/>
          <w:i/>
          <w:sz w:val="20"/>
        </w:rPr>
        <w:t>v</w:t>
      </w:r>
      <w:r>
        <w:rPr>
          <w:rFonts w:ascii="Arial" w:hAnsi="Arial"/>
          <w:i/>
          <w:spacing w:val="15"/>
          <w:sz w:val="20"/>
        </w:rPr>
        <w:t> </w:t>
      </w:r>
      <w:r>
        <w:rPr>
          <w:rFonts w:ascii="Arial" w:hAnsi="Arial"/>
          <w:i/>
          <w:sz w:val="20"/>
        </w:rPr>
        <w:t>Frankman</w:t>
      </w:r>
      <w:r>
        <w:rPr>
          <w:rFonts w:ascii="Arial" w:hAnsi="Arial"/>
          <w:i/>
          <w:spacing w:val="15"/>
          <w:sz w:val="20"/>
        </w:rPr>
        <w:t> </w:t>
      </w:r>
      <w:r>
        <w:rPr>
          <w:rFonts w:ascii="Arial" w:hAnsi="Arial"/>
          <w:i/>
          <w:sz w:val="20"/>
        </w:rPr>
        <w:t>[1950]</w:t>
      </w:r>
      <w:r>
        <w:rPr>
          <w:rFonts w:ascii="Arial" w:hAnsi="Arial"/>
          <w:i/>
          <w:spacing w:val="15"/>
          <w:sz w:val="20"/>
        </w:rPr>
        <w:t> </w:t>
      </w:r>
      <w:r>
        <w:rPr>
          <w:rFonts w:ascii="Arial" w:hAnsi="Arial"/>
          <w:i/>
          <w:sz w:val="20"/>
        </w:rPr>
        <w:t>A.C.</w:t>
      </w:r>
      <w:r>
        <w:rPr>
          <w:rFonts w:ascii="Arial" w:hAnsi="Arial"/>
          <w:i/>
          <w:spacing w:val="15"/>
          <w:sz w:val="20"/>
        </w:rPr>
        <w:t> </w:t>
      </w:r>
      <w:r>
        <w:rPr>
          <w:rFonts w:ascii="Arial" w:hAnsi="Arial"/>
          <w:i/>
          <w:sz w:val="20"/>
        </w:rPr>
        <w:t>57</w:t>
      </w:r>
      <w:r>
        <w:rPr>
          <w:sz w:val="20"/>
        </w:rPr>
        <w:t>;</w:t>
      </w:r>
      <w:r>
        <w:rPr>
          <w:spacing w:val="15"/>
          <w:sz w:val="20"/>
        </w:rPr>
        <w:t> </w:t>
      </w:r>
      <w:r>
        <w:rPr>
          <w:rFonts w:ascii="Arial" w:hAnsi="Arial"/>
          <w:i/>
          <w:sz w:val="20"/>
        </w:rPr>
        <w:t>Jabbour</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Custodian</w:t>
      </w:r>
      <w:r>
        <w:rPr>
          <w:rFonts w:ascii="Arial" w:hAnsi="Arial"/>
          <w:i/>
          <w:spacing w:val="15"/>
          <w:sz w:val="20"/>
        </w:rPr>
        <w:t> </w:t>
      </w:r>
      <w:r>
        <w:rPr>
          <w:rFonts w:ascii="Arial" w:hAnsi="Arial"/>
          <w:i/>
          <w:sz w:val="20"/>
        </w:rPr>
        <w:t>of</w:t>
      </w:r>
      <w:r>
        <w:rPr>
          <w:rFonts w:ascii="Arial" w:hAnsi="Arial"/>
          <w:i/>
          <w:spacing w:val="15"/>
          <w:sz w:val="20"/>
        </w:rPr>
        <w:t> </w:t>
      </w:r>
      <w:r>
        <w:rPr>
          <w:rFonts w:ascii="Arial" w:hAnsi="Arial"/>
          <w:i/>
          <w:sz w:val="20"/>
        </w:rPr>
        <w:t>Israeli</w:t>
      </w:r>
      <w:r>
        <w:rPr>
          <w:rFonts w:ascii="Arial" w:hAnsi="Arial"/>
          <w:i/>
          <w:spacing w:val="15"/>
          <w:sz w:val="20"/>
        </w:rPr>
        <w:t> </w:t>
      </w:r>
      <w:r>
        <w:rPr>
          <w:rFonts w:ascii="Arial" w:hAnsi="Arial"/>
          <w:i/>
          <w:sz w:val="20"/>
        </w:rPr>
        <w:t>Absentee</w:t>
      </w:r>
      <w:r>
        <w:rPr>
          <w:rFonts w:ascii="Arial" w:hAnsi="Arial"/>
          <w:i/>
          <w:spacing w:val="15"/>
          <w:sz w:val="20"/>
        </w:rPr>
        <w:t> </w:t>
      </w:r>
      <w:r>
        <w:rPr>
          <w:rFonts w:ascii="Arial" w:hAnsi="Arial"/>
          <w:i/>
          <w:sz w:val="20"/>
        </w:rPr>
        <w:t>Property</w:t>
      </w:r>
      <w:r>
        <w:rPr>
          <w:rFonts w:ascii="Arial" w:hAnsi="Arial"/>
          <w:i/>
          <w:spacing w:val="15"/>
          <w:sz w:val="20"/>
        </w:rPr>
        <w:t> </w:t>
      </w:r>
      <w:r>
        <w:rPr>
          <w:rFonts w:ascii="Arial" w:hAnsi="Arial"/>
          <w:i/>
          <w:sz w:val="20"/>
        </w:rPr>
        <w:t>[1954]</w:t>
      </w:r>
      <w:r>
        <w:rPr>
          <w:rFonts w:ascii="Arial" w:hAnsi="Arial"/>
          <w:i/>
          <w:spacing w:val="15"/>
          <w:sz w:val="20"/>
        </w:rPr>
        <w:t> </w:t>
      </w:r>
      <w:r>
        <w:rPr>
          <w:rFonts w:ascii="Arial" w:hAnsi="Arial"/>
          <w:i/>
          <w:spacing w:val="-10"/>
          <w:sz w:val="20"/>
        </w:rPr>
        <w:t>1</w:t>
      </w:r>
    </w:p>
    <w:p>
      <w:pPr>
        <w:spacing w:line="235" w:lineRule="auto" w:before="0"/>
        <w:ind w:left="705" w:right="168" w:firstLine="0"/>
        <w:jc w:val="both"/>
        <w:rPr>
          <w:sz w:val="20"/>
        </w:rPr>
      </w:pPr>
      <w:r>
        <w:rPr>
          <w:rFonts w:ascii="Arial" w:hAnsi="Arial"/>
          <w:i/>
          <w:sz w:val="20"/>
        </w:rPr>
        <w:t>W.L.R. 139</w:t>
      </w:r>
      <w:r>
        <w:rPr>
          <w:sz w:val="20"/>
        </w:rPr>
        <w:t>; </w:t>
      </w:r>
      <w:r>
        <w:rPr>
          <w:rFonts w:ascii="Arial" w:hAnsi="Arial"/>
          <w:i/>
          <w:sz w:val="20"/>
        </w:rPr>
        <w:t>Re Helbert Wagg &amp; Co Ltd’s Claim [1956] Ch. 323</w:t>
      </w:r>
      <w:r>
        <w:rPr>
          <w:sz w:val="20"/>
        </w:rPr>
        <w:t>; </w:t>
      </w:r>
      <w:r>
        <w:rPr>
          <w:rFonts w:ascii="Arial" w:hAnsi="Arial"/>
          <w:i/>
          <w:sz w:val="20"/>
        </w:rPr>
        <w:t>Rossano v Manufacturers’ Life Insurance Co [1963] 2 Q.B. 352, 362</w:t>
      </w:r>
      <w:r>
        <w:rPr>
          <w:sz w:val="20"/>
        </w:rPr>
        <w:t>.</w:t>
      </w:r>
    </w:p>
    <w:p>
      <w:pPr>
        <w:pStyle w:val="BodyText"/>
        <w:spacing w:before="4"/>
      </w:pPr>
    </w:p>
    <w:p>
      <w:pPr>
        <w:tabs>
          <w:tab w:pos="705" w:val="left" w:leader="none"/>
        </w:tabs>
        <w:spacing w:before="0"/>
        <w:ind w:left="165" w:right="0" w:firstLine="0"/>
        <w:jc w:val="left"/>
        <w:rPr>
          <w:sz w:val="20"/>
        </w:rPr>
      </w:pPr>
      <w:bookmarkStart w:name="_bookmark122" w:id="124"/>
      <w:bookmarkEnd w:id="124"/>
      <w:r>
        <w:rPr/>
      </w:r>
      <w:hyperlink w:history="true" w:anchor="_bookmark52">
        <w:r>
          <w:rPr>
            <w:color w:val="005DA1"/>
            <w:spacing w:val="-5"/>
            <w:position w:val="5"/>
            <w:sz w:val="14"/>
            <w:u w:val="single" w:color="005DA1"/>
          </w:rPr>
          <w:t>42</w:t>
        </w:r>
      </w:hyperlink>
      <w:r>
        <w:rPr>
          <w:spacing w:val="-5"/>
          <w:position w:val="5"/>
          <w:sz w:val="14"/>
        </w:rPr>
        <w:t>.</w:t>
      </w:r>
      <w:r>
        <w:rPr>
          <w:position w:val="5"/>
          <w:sz w:val="14"/>
        </w:rPr>
        <w:tab/>
      </w:r>
      <w:r>
        <w:rPr>
          <w:rFonts w:ascii="Arial"/>
          <w:i/>
          <w:sz w:val="20"/>
        </w:rPr>
        <w:t>Vita Food Products Inc v Unus Shipping Co Ltd [1939] A.C. 277, </w:t>
      </w:r>
      <w:r>
        <w:rPr>
          <w:rFonts w:ascii="Arial"/>
          <w:i/>
          <w:spacing w:val="-4"/>
          <w:sz w:val="20"/>
        </w:rPr>
        <w:t>286</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23" w:id="125"/>
      <w:bookmarkEnd w:id="125"/>
      <w:r>
        <w:rPr/>
      </w:r>
      <w:hyperlink w:history="true" w:anchor="_bookmark53">
        <w:r>
          <w:rPr>
            <w:color w:val="005DA1"/>
            <w:spacing w:val="-4"/>
            <w:position w:val="5"/>
            <w:sz w:val="14"/>
            <w:u w:val="single" w:color="005DA1"/>
          </w:rPr>
          <w:t>43</w:t>
        </w:r>
      </w:hyperlink>
      <w:r>
        <w:rPr>
          <w:spacing w:val="-4"/>
          <w:position w:val="5"/>
          <w:sz w:val="14"/>
        </w:rPr>
        <w:t>.</w:t>
      </w:r>
      <w:r>
        <w:rPr>
          <w:position w:val="5"/>
          <w:sz w:val="14"/>
        </w:rPr>
        <w:tab/>
      </w:r>
      <w:r>
        <w:rPr>
          <w:sz w:val="20"/>
        </w:rPr>
        <w:t>There</w:t>
      </w:r>
      <w:r>
        <w:rPr>
          <w:spacing w:val="-1"/>
          <w:sz w:val="20"/>
        </w:rPr>
        <w:t> </w:t>
      </w:r>
      <w:r>
        <w:rPr>
          <w:sz w:val="20"/>
        </w:rPr>
        <w:t>must</w:t>
      </w:r>
      <w:r>
        <w:rPr>
          <w:spacing w:val="-1"/>
          <w:sz w:val="20"/>
        </w:rPr>
        <w:t> </w:t>
      </w:r>
      <w:r>
        <w:rPr>
          <w:sz w:val="20"/>
        </w:rPr>
        <w:t>be</w:t>
      </w:r>
      <w:r>
        <w:rPr>
          <w:spacing w:val="-1"/>
          <w:sz w:val="20"/>
        </w:rPr>
        <w:t> </w:t>
      </w:r>
      <w:r>
        <w:rPr>
          <w:sz w:val="20"/>
        </w:rPr>
        <w:t>actual</w:t>
      </w:r>
      <w:r>
        <w:rPr>
          <w:spacing w:val="-1"/>
          <w:sz w:val="20"/>
        </w:rPr>
        <w:t> </w:t>
      </w:r>
      <w:r>
        <w:rPr>
          <w:sz w:val="20"/>
        </w:rPr>
        <w:t>agreement</w:t>
      </w:r>
      <w:r>
        <w:rPr>
          <w:spacing w:val="-1"/>
          <w:sz w:val="20"/>
        </w:rPr>
        <w:t> </w:t>
      </w:r>
      <w:r>
        <w:rPr>
          <w:sz w:val="20"/>
        </w:rPr>
        <w:t>on</w:t>
      </w:r>
      <w:r>
        <w:rPr>
          <w:spacing w:val="-1"/>
          <w:sz w:val="20"/>
        </w:rPr>
        <w:t> </w:t>
      </w:r>
      <w:r>
        <w:rPr>
          <w:sz w:val="20"/>
        </w:rPr>
        <w:t>the</w:t>
      </w:r>
      <w:r>
        <w:rPr>
          <w:spacing w:val="-1"/>
          <w:sz w:val="20"/>
        </w:rPr>
        <w:t> </w:t>
      </w:r>
      <w:r>
        <w:rPr>
          <w:sz w:val="20"/>
        </w:rPr>
        <w:t>point:</w:t>
      </w:r>
      <w:r>
        <w:rPr>
          <w:spacing w:val="-1"/>
          <w:sz w:val="20"/>
        </w:rPr>
        <w:t> </w:t>
      </w:r>
      <w:r>
        <w:rPr>
          <w:rFonts w:ascii="Arial"/>
          <w:i/>
          <w:sz w:val="20"/>
        </w:rPr>
        <w:t>James</w:t>
      </w:r>
      <w:r>
        <w:rPr>
          <w:rFonts w:ascii="Arial"/>
          <w:i/>
          <w:spacing w:val="-1"/>
          <w:sz w:val="20"/>
        </w:rPr>
        <w:t> </w:t>
      </w:r>
      <w:r>
        <w:rPr>
          <w:rFonts w:ascii="Arial"/>
          <w:i/>
          <w:sz w:val="20"/>
        </w:rPr>
        <w:t>Miller</w:t>
      </w:r>
      <w:r>
        <w:rPr>
          <w:rFonts w:ascii="Arial"/>
          <w:i/>
          <w:spacing w:val="-1"/>
          <w:sz w:val="20"/>
        </w:rPr>
        <w:t> </w:t>
      </w:r>
      <w:r>
        <w:rPr>
          <w:rFonts w:ascii="Arial"/>
          <w:i/>
          <w:sz w:val="20"/>
        </w:rPr>
        <w:t>and</w:t>
      </w:r>
      <w:r>
        <w:rPr>
          <w:rFonts w:ascii="Arial"/>
          <w:i/>
          <w:spacing w:val="-1"/>
          <w:sz w:val="20"/>
        </w:rPr>
        <w:t> </w:t>
      </w:r>
      <w:r>
        <w:rPr>
          <w:rFonts w:ascii="Arial"/>
          <w:i/>
          <w:sz w:val="20"/>
        </w:rPr>
        <w:t>Partners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Whitworth</w:t>
      </w:r>
      <w:r>
        <w:rPr>
          <w:rFonts w:ascii="Arial"/>
          <w:i/>
          <w:spacing w:val="-1"/>
          <w:sz w:val="20"/>
        </w:rPr>
        <w:t> </w:t>
      </w:r>
      <w:r>
        <w:rPr>
          <w:rFonts w:ascii="Arial"/>
          <w:i/>
          <w:sz w:val="20"/>
        </w:rPr>
        <w:t>Street Estates (Manchester) Ltd [1970] A.C. 583, 603</w:t>
      </w:r>
      <w:r>
        <w:rPr>
          <w:sz w:val="20"/>
        </w:rPr>
        <w:t>.</w:t>
      </w:r>
    </w:p>
    <w:p>
      <w:pPr>
        <w:pStyle w:val="BodyText"/>
        <w:spacing w:before="9"/>
      </w:pPr>
    </w:p>
    <w:p>
      <w:pPr>
        <w:spacing w:line="235" w:lineRule="auto" w:before="0"/>
        <w:ind w:left="705" w:right="168" w:hanging="541"/>
        <w:jc w:val="both"/>
        <w:rPr>
          <w:sz w:val="20"/>
        </w:rPr>
      </w:pPr>
      <w:bookmarkStart w:name="_bookmark124" w:id="126"/>
      <w:bookmarkEnd w:id="126"/>
      <w:r>
        <w:rPr/>
      </w:r>
      <w:hyperlink w:history="true" w:anchor="_bookmark53">
        <w:r>
          <w:rPr>
            <w:color w:val="005DA1"/>
            <w:position w:val="5"/>
            <w:sz w:val="14"/>
            <w:u w:val="single" w:color="005DA1"/>
          </w:rPr>
          <w:t>44</w:t>
        </w:r>
      </w:hyperlink>
      <w:r>
        <w:rPr>
          <w:position w:val="5"/>
          <w:sz w:val="14"/>
        </w:rPr>
        <w:t>.</w:t>
      </w:r>
      <w:r>
        <w:rPr>
          <w:spacing w:val="80"/>
          <w:position w:val="5"/>
          <w:sz w:val="14"/>
        </w:rPr>
        <w:t>  </w:t>
      </w:r>
      <w:r>
        <w:rPr>
          <w:rFonts w:ascii="Arial"/>
          <w:i/>
          <w:sz w:val="20"/>
        </w:rPr>
        <w:t>R. v International Trustee for the Protection of Bondholders AG [1937] A.C. 500, 529-531</w:t>
      </w:r>
      <w:r>
        <w:rPr>
          <w:sz w:val="20"/>
        </w:rPr>
        <w:t>; </w:t>
      </w:r>
      <w:r>
        <w:rPr>
          <w:rFonts w:ascii="Arial"/>
          <w:i/>
          <w:sz w:val="20"/>
        </w:rPr>
        <w:t>Re United Railways of the Havana and Regla Warehouses [1960] Ch. 52 </w:t>
      </w:r>
      <w:r>
        <w:rPr>
          <w:sz w:val="20"/>
        </w:rPr>
        <w:t>(affirmed sub nom. </w:t>
      </w:r>
      <w:r>
        <w:rPr>
          <w:rFonts w:ascii="Arial"/>
          <w:i/>
          <w:sz w:val="20"/>
        </w:rPr>
        <w:t>Tomkinson v First Pennsylvania Banking and Trust Co [1961] A.C. 1007</w:t>
      </w:r>
      <w:r>
        <w:rPr>
          <w:sz w:val="20"/>
        </w:rPr>
        <w:t>); </w:t>
      </w:r>
      <w:r>
        <w:rPr>
          <w:rFonts w:ascii="Arial"/>
          <w:i/>
          <w:sz w:val="20"/>
        </w:rPr>
        <w:t>James Miller </w:t>
      </w:r>
      <w:r>
        <w:rPr>
          <w:rFonts w:ascii="Arial"/>
          <w:i/>
          <w:sz w:val="20"/>
        </w:rPr>
        <w:t>and Partners Ltd v Whitworth Street Estates (Manchester) Ltd [1970] A.C. 583, 603</w:t>
      </w:r>
      <w:r>
        <w:rPr>
          <w:sz w:val="20"/>
        </w:rPr>
        <w:t>; </w:t>
      </w:r>
      <w:r>
        <w:rPr>
          <w:rFonts w:ascii="Arial"/>
          <w:i/>
          <w:sz w:val="20"/>
        </w:rPr>
        <w:t>Amin Rasheed Shipping Corp v Kuwait Insurance Co [1984] A.C. 50</w:t>
      </w:r>
      <w:r>
        <w:rPr>
          <w:sz w:val="20"/>
        </w:rPr>
        <w:t>.</w:t>
      </w:r>
    </w:p>
    <w:p>
      <w:pPr>
        <w:pStyle w:val="BodyText"/>
        <w:spacing w:before="8"/>
      </w:pPr>
    </w:p>
    <w:p>
      <w:pPr>
        <w:tabs>
          <w:tab w:pos="705" w:val="left" w:leader="none"/>
        </w:tabs>
        <w:spacing w:line="235" w:lineRule="auto" w:before="0"/>
        <w:ind w:left="705" w:right="167" w:hanging="541"/>
        <w:jc w:val="left"/>
        <w:rPr>
          <w:rFonts w:ascii="Arial"/>
          <w:i/>
          <w:sz w:val="20"/>
        </w:rPr>
      </w:pPr>
      <w:bookmarkStart w:name="_bookmark125" w:id="127"/>
      <w:bookmarkEnd w:id="127"/>
      <w:r>
        <w:rPr/>
      </w:r>
      <w:hyperlink w:history="true" w:anchor="_bookmark54">
        <w:r>
          <w:rPr>
            <w:color w:val="005DA1"/>
            <w:spacing w:val="-4"/>
            <w:position w:val="5"/>
            <w:sz w:val="14"/>
            <w:u w:val="single" w:color="005DA1"/>
          </w:rPr>
          <w:t>45</w:t>
        </w:r>
      </w:hyperlink>
      <w:r>
        <w:rPr>
          <w:spacing w:val="-4"/>
          <w:position w:val="5"/>
          <w:sz w:val="14"/>
        </w:rPr>
        <w:t>.</w:t>
      </w:r>
      <w:r>
        <w:rPr>
          <w:position w:val="5"/>
          <w:sz w:val="14"/>
        </w:rPr>
        <w:tab/>
      </w:r>
      <w:r>
        <w:rPr>
          <w:rFonts w:ascii="Arial"/>
          <w:i/>
          <w:sz w:val="20"/>
        </w:rPr>
        <w:t>Hamlyn &amp; Co v Talisker Distillery [1894] A.C. 202</w:t>
      </w:r>
      <w:r>
        <w:rPr>
          <w:sz w:val="20"/>
        </w:rPr>
        <w:t>; </w:t>
      </w:r>
      <w:r>
        <w:rPr>
          <w:rFonts w:ascii="Arial"/>
          <w:i/>
          <w:sz w:val="20"/>
        </w:rPr>
        <w:t>NV Kwik Hoo Tong Handel Maatschappij v</w:t>
      </w:r>
      <w:r>
        <w:rPr>
          <w:rFonts w:ascii="Arial"/>
          <w:i/>
          <w:spacing w:val="40"/>
          <w:sz w:val="20"/>
        </w:rPr>
        <w:t> </w:t>
      </w:r>
      <w:r>
        <w:rPr>
          <w:rFonts w:ascii="Arial"/>
          <w:i/>
          <w:sz w:val="20"/>
        </w:rPr>
        <w:t>James</w:t>
      </w:r>
      <w:r>
        <w:rPr>
          <w:rFonts w:ascii="Arial"/>
          <w:i/>
          <w:spacing w:val="36"/>
          <w:sz w:val="20"/>
        </w:rPr>
        <w:t> </w:t>
      </w:r>
      <w:r>
        <w:rPr>
          <w:rFonts w:ascii="Arial"/>
          <w:i/>
          <w:sz w:val="20"/>
        </w:rPr>
        <w:t>Finlay</w:t>
      </w:r>
      <w:r>
        <w:rPr>
          <w:rFonts w:ascii="Arial"/>
          <w:i/>
          <w:spacing w:val="37"/>
          <w:sz w:val="20"/>
        </w:rPr>
        <w:t> </w:t>
      </w:r>
      <w:r>
        <w:rPr>
          <w:rFonts w:ascii="Arial"/>
          <w:i/>
          <w:sz w:val="20"/>
        </w:rPr>
        <w:t>&amp;</w:t>
      </w:r>
      <w:r>
        <w:rPr>
          <w:rFonts w:ascii="Arial"/>
          <w:i/>
          <w:spacing w:val="37"/>
          <w:sz w:val="20"/>
        </w:rPr>
        <w:t> </w:t>
      </w:r>
      <w:r>
        <w:rPr>
          <w:rFonts w:ascii="Arial"/>
          <w:i/>
          <w:sz w:val="20"/>
        </w:rPr>
        <w:t>Co</w:t>
      </w:r>
      <w:r>
        <w:rPr>
          <w:rFonts w:ascii="Arial"/>
          <w:i/>
          <w:spacing w:val="37"/>
          <w:sz w:val="20"/>
        </w:rPr>
        <w:t> </w:t>
      </w:r>
      <w:r>
        <w:rPr>
          <w:rFonts w:ascii="Arial"/>
          <w:i/>
          <w:sz w:val="20"/>
        </w:rPr>
        <w:t>[1927]</w:t>
      </w:r>
      <w:r>
        <w:rPr>
          <w:rFonts w:ascii="Arial"/>
          <w:i/>
          <w:spacing w:val="37"/>
          <w:sz w:val="20"/>
        </w:rPr>
        <w:t> </w:t>
      </w:r>
      <w:r>
        <w:rPr>
          <w:rFonts w:ascii="Arial"/>
          <w:i/>
          <w:sz w:val="20"/>
        </w:rPr>
        <w:t>A.C.</w:t>
      </w:r>
      <w:r>
        <w:rPr>
          <w:rFonts w:ascii="Arial"/>
          <w:i/>
          <w:spacing w:val="37"/>
          <w:sz w:val="20"/>
        </w:rPr>
        <w:t> </w:t>
      </w:r>
      <w:r>
        <w:rPr>
          <w:rFonts w:ascii="Arial"/>
          <w:i/>
          <w:sz w:val="20"/>
        </w:rPr>
        <w:t>604,</w:t>
      </w:r>
      <w:r>
        <w:rPr>
          <w:rFonts w:ascii="Arial"/>
          <w:i/>
          <w:spacing w:val="37"/>
          <w:sz w:val="20"/>
        </w:rPr>
        <w:t> </w:t>
      </w:r>
      <w:r>
        <w:rPr>
          <w:rFonts w:ascii="Arial"/>
          <w:i/>
          <w:sz w:val="20"/>
        </w:rPr>
        <w:t>608</w:t>
      </w:r>
      <w:r>
        <w:rPr>
          <w:sz w:val="20"/>
        </w:rPr>
        <w:t>;</w:t>
      </w:r>
      <w:r>
        <w:rPr>
          <w:spacing w:val="37"/>
          <w:sz w:val="20"/>
        </w:rPr>
        <w:t> </w:t>
      </w:r>
      <w:r>
        <w:rPr>
          <w:rFonts w:ascii="Arial"/>
          <w:i/>
          <w:sz w:val="20"/>
        </w:rPr>
        <w:t>Evans</w:t>
      </w:r>
      <w:r>
        <w:rPr>
          <w:rFonts w:ascii="Arial"/>
          <w:i/>
          <w:spacing w:val="37"/>
          <w:sz w:val="20"/>
        </w:rPr>
        <w:t> </w:t>
      </w:r>
      <w:r>
        <w:rPr>
          <w:rFonts w:ascii="Arial"/>
          <w:i/>
          <w:sz w:val="20"/>
        </w:rPr>
        <w:t>Marshall</w:t>
      </w:r>
      <w:r>
        <w:rPr>
          <w:rFonts w:ascii="Arial"/>
          <w:i/>
          <w:spacing w:val="37"/>
          <w:sz w:val="20"/>
        </w:rPr>
        <w:t> </w:t>
      </w:r>
      <w:r>
        <w:rPr>
          <w:rFonts w:ascii="Arial"/>
          <w:i/>
          <w:sz w:val="20"/>
        </w:rPr>
        <w:t>&amp;</w:t>
      </w:r>
      <w:r>
        <w:rPr>
          <w:rFonts w:ascii="Arial"/>
          <w:i/>
          <w:spacing w:val="37"/>
          <w:sz w:val="20"/>
        </w:rPr>
        <w:t> </w:t>
      </w:r>
      <w:r>
        <w:rPr>
          <w:rFonts w:ascii="Arial"/>
          <w:i/>
          <w:sz w:val="20"/>
        </w:rPr>
        <w:t>Co</w:t>
      </w:r>
      <w:r>
        <w:rPr>
          <w:rFonts w:ascii="Arial"/>
          <w:i/>
          <w:spacing w:val="37"/>
          <w:sz w:val="20"/>
        </w:rPr>
        <w:t> </w:t>
      </w:r>
      <w:r>
        <w:rPr>
          <w:rFonts w:ascii="Arial"/>
          <w:i/>
          <w:sz w:val="20"/>
        </w:rPr>
        <w:t>Ltd</w:t>
      </w:r>
      <w:r>
        <w:rPr>
          <w:rFonts w:ascii="Arial"/>
          <w:i/>
          <w:spacing w:val="37"/>
          <w:sz w:val="20"/>
        </w:rPr>
        <w:t> </w:t>
      </w:r>
      <w:r>
        <w:rPr>
          <w:rFonts w:ascii="Arial"/>
          <w:i/>
          <w:sz w:val="20"/>
        </w:rPr>
        <w:t>v</w:t>
      </w:r>
      <w:r>
        <w:rPr>
          <w:rFonts w:ascii="Arial"/>
          <w:i/>
          <w:spacing w:val="37"/>
          <w:sz w:val="20"/>
        </w:rPr>
        <w:t> </w:t>
      </w:r>
      <w:r>
        <w:rPr>
          <w:rFonts w:ascii="Arial"/>
          <w:i/>
          <w:sz w:val="20"/>
        </w:rPr>
        <w:t>Bertola</w:t>
      </w:r>
      <w:r>
        <w:rPr>
          <w:rFonts w:ascii="Arial"/>
          <w:i/>
          <w:spacing w:val="37"/>
          <w:sz w:val="20"/>
        </w:rPr>
        <w:t> </w:t>
      </w:r>
      <w:r>
        <w:rPr>
          <w:rFonts w:ascii="Arial"/>
          <w:i/>
          <w:sz w:val="20"/>
        </w:rPr>
        <w:t>SA</w:t>
      </w:r>
      <w:r>
        <w:rPr>
          <w:rFonts w:ascii="Arial"/>
          <w:i/>
          <w:spacing w:val="37"/>
          <w:sz w:val="20"/>
        </w:rPr>
        <w:t> </w:t>
      </w:r>
      <w:r>
        <w:rPr>
          <w:rFonts w:ascii="Arial"/>
          <w:i/>
          <w:sz w:val="20"/>
        </w:rPr>
        <w:t>[1973]</w:t>
      </w:r>
      <w:r>
        <w:rPr>
          <w:rFonts w:ascii="Arial"/>
          <w:i/>
          <w:spacing w:val="37"/>
          <w:sz w:val="20"/>
        </w:rPr>
        <w:t> </w:t>
      </w:r>
      <w:r>
        <w:rPr>
          <w:rFonts w:ascii="Arial"/>
          <w:i/>
          <w:spacing w:val="-10"/>
          <w:sz w:val="20"/>
        </w:rPr>
        <w:t>1</w:t>
      </w:r>
    </w:p>
    <w:p>
      <w:pPr>
        <w:spacing w:line="235" w:lineRule="auto" w:before="0"/>
        <w:ind w:left="705" w:right="168" w:firstLine="0"/>
        <w:jc w:val="both"/>
        <w:rPr>
          <w:sz w:val="20"/>
        </w:rPr>
      </w:pPr>
      <w:r>
        <w:rPr>
          <w:rFonts w:ascii="Arial" w:hAnsi="Arial"/>
          <w:i/>
          <w:sz w:val="20"/>
        </w:rPr>
        <w:t>W.L.R. 349, 364</w:t>
      </w:r>
      <w:r>
        <w:rPr>
          <w:sz w:val="20"/>
        </w:rPr>
        <w:t>; </w:t>
      </w:r>
      <w:r>
        <w:rPr>
          <w:rFonts w:ascii="Arial" w:hAnsi="Arial"/>
          <w:i/>
          <w:sz w:val="20"/>
        </w:rPr>
        <w:t>The Komninos S [1991] 1 Lloyd’s Rep. 370</w:t>
      </w:r>
      <w:r>
        <w:rPr>
          <w:sz w:val="20"/>
        </w:rPr>
        <w:t>. The effect of such a clause</w:t>
      </w:r>
      <w:r>
        <w:rPr>
          <w:spacing w:val="40"/>
          <w:sz w:val="20"/>
        </w:rPr>
        <w:t> </w:t>
      </w:r>
      <w:r>
        <w:rPr>
          <w:sz w:val="20"/>
        </w:rPr>
        <w:t>cannot be by-passed by attempting to formulate a claim in tort rather than in contract: </w:t>
      </w:r>
      <w:r>
        <w:rPr>
          <w:rFonts w:ascii="Arial" w:hAnsi="Arial"/>
          <w:i/>
          <w:sz w:val="20"/>
        </w:rPr>
        <w:t>The</w:t>
      </w:r>
      <w:r>
        <w:rPr>
          <w:rFonts w:ascii="Arial" w:hAnsi="Arial"/>
          <w:i/>
          <w:spacing w:val="40"/>
          <w:sz w:val="20"/>
        </w:rPr>
        <w:t> </w:t>
      </w:r>
      <w:r>
        <w:rPr>
          <w:rFonts w:ascii="Arial" w:hAnsi="Arial"/>
          <w:i/>
          <w:sz w:val="20"/>
        </w:rPr>
        <w:t>Sindh [1975] 1 Lloyd’s Rep. 372</w:t>
      </w:r>
      <w:r>
        <w:rPr>
          <w:sz w:val="20"/>
        </w:rPr>
        <w:t>.</w:t>
      </w:r>
    </w:p>
    <w:p>
      <w:pPr>
        <w:spacing w:after="0" w:line="235" w:lineRule="auto"/>
        <w:jc w:val="both"/>
        <w:rPr>
          <w:sz w:val="20"/>
        </w:rPr>
        <w:sectPr>
          <w:pgSz w:w="11900" w:h="16840"/>
          <w:pgMar w:header="971" w:footer="0" w:top="1300" w:bottom="280" w:left="1275" w:right="1275"/>
        </w:sectPr>
      </w:pPr>
    </w:p>
    <w:p>
      <w:pPr>
        <w:spacing w:line="235" w:lineRule="auto" w:before="170"/>
        <w:ind w:left="705" w:right="167" w:hanging="541"/>
        <w:jc w:val="both"/>
        <w:rPr>
          <w:rFonts w:ascii="Arial" w:hAnsi="Arial"/>
          <w:i/>
          <w:sz w:val="20"/>
        </w:rPr>
      </w:pPr>
      <w:hyperlink w:history="true" w:anchor="_bookmark55">
        <w:r>
          <w:rPr>
            <w:color w:val="005DA1"/>
            <w:position w:val="5"/>
            <w:sz w:val="14"/>
            <w:u w:val="single" w:color="005DA1"/>
          </w:rPr>
          <w:t>46</w:t>
        </w:r>
      </w:hyperlink>
      <w:r>
        <w:rPr>
          <w:position w:val="5"/>
          <w:sz w:val="14"/>
        </w:rPr>
        <w:t>.</w:t>
      </w:r>
      <w:r>
        <w:rPr>
          <w:spacing w:val="80"/>
          <w:position w:val="5"/>
          <w:sz w:val="14"/>
        </w:rPr>
        <w:t>  </w:t>
      </w:r>
      <w:r>
        <w:rPr>
          <w:rFonts w:ascii="Arial" w:hAnsi="Arial"/>
          <w:i/>
          <w:sz w:val="20"/>
        </w:rPr>
        <w:t>Hamlyn &amp; Co v Talisker Distillery [1894] A.C. 202</w:t>
      </w:r>
      <w:r>
        <w:rPr>
          <w:sz w:val="20"/>
        </w:rPr>
        <w:t>; </w:t>
      </w:r>
      <w:r>
        <w:rPr>
          <w:rFonts w:ascii="Arial" w:hAnsi="Arial"/>
          <w:i/>
          <w:sz w:val="20"/>
        </w:rPr>
        <w:t>Spurrier v La Cloche [1902] A.C. 446</w:t>
      </w:r>
      <w:r>
        <w:rPr>
          <w:sz w:val="20"/>
        </w:rPr>
        <w:t>; </w:t>
      </w:r>
      <w:r>
        <w:rPr>
          <w:rFonts w:ascii="Arial" w:hAnsi="Arial"/>
          <w:i/>
          <w:sz w:val="20"/>
        </w:rPr>
        <w:t>NV</w:t>
      </w:r>
      <w:r>
        <w:rPr>
          <w:rFonts w:ascii="Arial" w:hAnsi="Arial"/>
          <w:i/>
          <w:spacing w:val="40"/>
          <w:sz w:val="20"/>
        </w:rPr>
        <w:t> </w:t>
      </w:r>
      <w:r>
        <w:rPr>
          <w:rFonts w:ascii="Arial" w:hAnsi="Arial"/>
          <w:i/>
          <w:sz w:val="20"/>
        </w:rPr>
        <w:t>Kwik Hoo Tong Handel Maatschappij v James Finlay &amp; Co [1927] A.C. 604, 608</w:t>
      </w:r>
      <w:r>
        <w:rPr>
          <w:sz w:val="20"/>
        </w:rPr>
        <w:t>; </w:t>
      </w:r>
      <w:r>
        <w:rPr>
          <w:rFonts w:ascii="Arial" w:hAnsi="Arial"/>
          <w:i/>
          <w:sz w:val="20"/>
        </w:rPr>
        <w:t>Compagnie d’Armement Maritime SA v Compagnie Tunisienne de Navigation SA [1971] A.C. 572</w:t>
      </w:r>
      <w:r>
        <w:rPr>
          <w:sz w:val="20"/>
        </w:rPr>
        <w:t>; </w:t>
      </w:r>
      <w:r>
        <w:rPr>
          <w:rFonts w:ascii="Arial" w:hAnsi="Arial"/>
          <w:i/>
          <w:sz w:val="20"/>
        </w:rPr>
        <w:t>The SLS Everest [1981] 2 Lloyd’s Rep. 389</w:t>
      </w:r>
      <w:r>
        <w:rPr>
          <w:sz w:val="20"/>
        </w:rPr>
        <w:t>; </w:t>
      </w:r>
      <w:r>
        <w:rPr>
          <w:rFonts w:ascii="Arial" w:hAnsi="Arial"/>
          <w:i/>
          <w:sz w:val="20"/>
        </w:rPr>
        <w:t>Compania Naviera Micro SA v Shipley International Inc [1982] 2 Lloyd’s Rep. 351</w:t>
      </w:r>
      <w:r>
        <w:rPr>
          <w:sz w:val="20"/>
        </w:rPr>
        <w:t>; </w:t>
      </w:r>
      <w:r>
        <w:rPr>
          <w:rFonts w:ascii="Arial" w:hAnsi="Arial"/>
          <w:i/>
          <w:sz w:val="20"/>
        </w:rPr>
        <w:t>Astro Venturoso Compania Naviera v Hellenic Shipyards SA [1983]</w:t>
      </w:r>
      <w:r>
        <w:rPr>
          <w:rFonts w:ascii="Arial" w:hAnsi="Arial"/>
          <w:i/>
          <w:spacing w:val="40"/>
          <w:sz w:val="20"/>
        </w:rPr>
        <w:t> </w:t>
      </w:r>
      <w:r>
        <w:rPr>
          <w:rFonts w:ascii="Arial" w:hAnsi="Arial"/>
          <w:i/>
          <w:sz w:val="20"/>
        </w:rPr>
        <w:t>1 Lloyd’s Rep. 12</w:t>
      </w:r>
      <w:r>
        <w:rPr>
          <w:sz w:val="20"/>
        </w:rPr>
        <w:t>; </w:t>
      </w:r>
      <w:r>
        <w:rPr>
          <w:rFonts w:ascii="Arial" w:hAnsi="Arial"/>
          <w:i/>
          <w:sz w:val="20"/>
        </w:rPr>
        <w:t>Steel Authority of India Ltd v Hind Metals Inc [1984] 1 Lloyd’s Rep. 405</w:t>
      </w:r>
      <w:r>
        <w:rPr>
          <w:sz w:val="20"/>
        </w:rPr>
        <w:t>. cf. </w:t>
      </w:r>
      <w:r>
        <w:rPr>
          <w:rFonts w:ascii="Arial" w:hAnsi="Arial"/>
          <w:i/>
          <w:sz w:val="20"/>
        </w:rPr>
        <w:t>XL Insurance Ltd v Owens Corning [2000] 2 Lloyd’s Rep. 500 </w:t>
      </w:r>
      <w:r>
        <w:rPr>
          <w:sz w:val="20"/>
        </w:rPr>
        <w:t>(insurance policy governed by New York law as a result of express choice, arbitration clause governed by English law since the parties had stipulated for arbitration in London under the Arbitration Act 1996). However, it</w:t>
      </w:r>
      <w:r>
        <w:rPr>
          <w:spacing w:val="40"/>
          <w:sz w:val="20"/>
        </w:rPr>
        <w:t> </w:t>
      </w:r>
      <w:r>
        <w:rPr>
          <w:sz w:val="20"/>
        </w:rPr>
        <w:t>is possible for different laws to apply to the underlying contract and to the different aspects of the arbitration agreement: </w:t>
      </w:r>
      <w:r>
        <w:rPr>
          <w:rFonts w:ascii="Arial" w:hAnsi="Arial"/>
          <w:i/>
          <w:sz w:val="20"/>
        </w:rPr>
        <w:t>Sulamerica Cia Nacional de Seguros SA v Enesa Engenharia SA [2012]</w:t>
      </w:r>
      <w:r>
        <w:rPr>
          <w:rFonts w:ascii="Arial" w:hAnsi="Arial"/>
          <w:i/>
          <w:spacing w:val="4"/>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638,</w:t>
      </w:r>
      <w:r>
        <w:rPr>
          <w:rFonts w:ascii="Arial" w:hAnsi="Arial"/>
          <w:i/>
          <w:spacing w:val="5"/>
          <w:sz w:val="20"/>
        </w:rPr>
        <w:t> </w:t>
      </w:r>
      <w:r>
        <w:rPr>
          <w:rFonts w:ascii="Arial" w:hAnsi="Arial"/>
          <w:i/>
          <w:sz w:val="20"/>
        </w:rPr>
        <w:t>[2012]</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671</w:t>
      </w:r>
      <w:r>
        <w:rPr>
          <w:sz w:val="20"/>
        </w:rPr>
        <w:t>;</w:t>
      </w:r>
      <w:r>
        <w:rPr>
          <w:spacing w:val="5"/>
          <w:sz w:val="20"/>
        </w:rPr>
        <w:t> </w:t>
      </w:r>
      <w:r>
        <w:rPr>
          <w:rFonts w:ascii="Arial" w:hAnsi="Arial"/>
          <w:i/>
          <w:sz w:val="20"/>
        </w:rPr>
        <w:t>Arsanovia</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Cruz</w:t>
      </w:r>
      <w:r>
        <w:rPr>
          <w:rFonts w:ascii="Arial" w:hAnsi="Arial"/>
          <w:i/>
          <w:spacing w:val="5"/>
          <w:sz w:val="20"/>
        </w:rPr>
        <w:t> </w:t>
      </w:r>
      <w:r>
        <w:rPr>
          <w:rFonts w:ascii="Arial" w:hAnsi="Arial"/>
          <w:i/>
          <w:sz w:val="20"/>
        </w:rPr>
        <w:t>City</w:t>
      </w:r>
      <w:r>
        <w:rPr>
          <w:rFonts w:ascii="Arial" w:hAnsi="Arial"/>
          <w:i/>
          <w:spacing w:val="5"/>
          <w:sz w:val="20"/>
        </w:rPr>
        <w:t> </w:t>
      </w:r>
      <w:r>
        <w:rPr>
          <w:rFonts w:ascii="Arial" w:hAnsi="Arial"/>
          <w:i/>
          <w:sz w:val="20"/>
        </w:rPr>
        <w:t>Mauritius</w:t>
      </w:r>
      <w:r>
        <w:rPr>
          <w:rFonts w:ascii="Arial" w:hAnsi="Arial"/>
          <w:i/>
          <w:spacing w:val="5"/>
          <w:sz w:val="20"/>
        </w:rPr>
        <w:t> </w:t>
      </w:r>
      <w:r>
        <w:rPr>
          <w:rFonts w:ascii="Arial" w:hAnsi="Arial"/>
          <w:i/>
          <w:spacing w:val="-2"/>
          <w:sz w:val="20"/>
        </w:rPr>
        <w:t>Holdings</w:t>
      </w:r>
    </w:p>
    <w:p>
      <w:pPr>
        <w:spacing w:line="222" w:lineRule="exact" w:before="0"/>
        <w:ind w:left="705" w:right="0" w:firstLine="0"/>
        <w:jc w:val="both"/>
        <w:rPr>
          <w:sz w:val="20"/>
        </w:rPr>
      </w:pPr>
      <w:r>
        <w:rPr>
          <w:rFonts w:ascii="Arial"/>
          <w:i/>
          <w:sz w:val="20"/>
        </w:rPr>
        <w:t>[2012] EWHC 3702 (Comm), [2013] 2 All E.R. Comm </w:t>
      </w:r>
      <w:r>
        <w:rPr>
          <w:rFonts w:ascii="Arial"/>
          <w:i/>
          <w:spacing w:val="-5"/>
          <w:sz w:val="20"/>
        </w:rPr>
        <w:t>1</w:t>
      </w:r>
      <w:r>
        <w:rPr>
          <w:spacing w:val="-5"/>
          <w:sz w:val="20"/>
        </w:rPr>
        <w:t>.</w:t>
      </w:r>
    </w:p>
    <w:p>
      <w:pPr>
        <w:pStyle w:val="BodyText"/>
        <w:spacing w:before="9"/>
      </w:pPr>
    </w:p>
    <w:p>
      <w:pPr>
        <w:spacing w:line="235" w:lineRule="auto" w:before="0"/>
        <w:ind w:left="705" w:right="167" w:hanging="541"/>
        <w:jc w:val="both"/>
        <w:rPr>
          <w:sz w:val="20"/>
        </w:rPr>
      </w:pPr>
      <w:bookmarkStart w:name="_bookmark126" w:id="128"/>
      <w:bookmarkEnd w:id="128"/>
      <w:r>
        <w:rPr/>
      </w:r>
      <w:hyperlink w:history="true" w:anchor="_bookmark55">
        <w:r>
          <w:rPr>
            <w:color w:val="005DA1"/>
            <w:position w:val="5"/>
            <w:sz w:val="14"/>
            <w:u w:val="single" w:color="005DA1"/>
          </w:rPr>
          <w:t>47</w:t>
        </w:r>
      </w:hyperlink>
      <w:r>
        <w:rPr>
          <w:position w:val="5"/>
          <w:sz w:val="14"/>
        </w:rPr>
        <w:t>.</w:t>
      </w:r>
      <w:r>
        <w:rPr>
          <w:spacing w:val="80"/>
          <w:position w:val="5"/>
          <w:sz w:val="14"/>
        </w:rPr>
        <w:t>  </w:t>
      </w:r>
      <w:r>
        <w:rPr>
          <w:rFonts w:ascii="Arial" w:hAnsi="Arial"/>
          <w:i/>
          <w:sz w:val="20"/>
        </w:rPr>
        <w:t>Compagnie d’Armement Maritime SA v Compagnie Tunisienne de Navigation SA [1971] A.C.</w:t>
      </w:r>
      <w:r>
        <w:rPr>
          <w:rFonts w:ascii="Arial" w:hAnsi="Arial"/>
          <w:i/>
          <w:spacing w:val="40"/>
          <w:sz w:val="20"/>
        </w:rPr>
        <w:t> </w:t>
      </w:r>
      <w:r>
        <w:rPr>
          <w:rFonts w:ascii="Arial" w:hAnsi="Arial"/>
          <w:i/>
          <w:sz w:val="20"/>
        </w:rPr>
        <w:t>572 </w:t>
      </w:r>
      <w:r>
        <w:rPr>
          <w:sz w:val="20"/>
        </w:rPr>
        <w:t>(disapproving </w:t>
      </w:r>
      <w:r>
        <w:rPr>
          <w:rFonts w:ascii="Arial" w:hAnsi="Arial"/>
          <w:i/>
          <w:sz w:val="20"/>
        </w:rPr>
        <w:t>Tzortzis v Monark Link A/B [1968] 1 W.L.R. 406 </w:t>
      </w:r>
      <w:r>
        <w:rPr>
          <w:sz w:val="20"/>
        </w:rPr>
        <w:t>where the implication to </w:t>
      </w:r>
      <w:r>
        <w:rPr>
          <w:sz w:val="20"/>
        </w:rPr>
        <w:t>be derived from an arbitration clause was treated as virtually conclusive); </w:t>
      </w:r>
      <w:r>
        <w:rPr>
          <w:rFonts w:ascii="Arial" w:hAnsi="Arial"/>
          <w:i/>
          <w:sz w:val="20"/>
        </w:rPr>
        <w:t>The Elli 2 [1985] 2</w:t>
      </w:r>
      <w:r>
        <w:rPr>
          <w:rFonts w:ascii="Arial" w:hAnsi="Arial"/>
          <w:i/>
          <w:spacing w:val="40"/>
          <w:sz w:val="20"/>
        </w:rPr>
        <w:t> </w:t>
      </w:r>
      <w:r>
        <w:rPr>
          <w:rFonts w:ascii="Arial" w:hAnsi="Arial"/>
          <w:i/>
          <w:sz w:val="20"/>
        </w:rPr>
        <w:t>Lloyd’s Rep. 107, 117</w:t>
      </w:r>
      <w:r>
        <w:rPr>
          <w:sz w:val="20"/>
        </w:rPr>
        <w:t>; </w:t>
      </w:r>
      <w:r>
        <w:rPr>
          <w:rFonts w:ascii="Arial" w:hAnsi="Arial"/>
          <w:i/>
          <w:sz w:val="20"/>
        </w:rPr>
        <w:t>Star Shipping AS v China National Trade Transportation Corp [1993] 2 Lloyd’s Rep. 445</w:t>
      </w:r>
      <w:r>
        <w:rPr>
          <w:sz w:val="20"/>
        </w:rPr>
        <w:t>; </w:t>
      </w:r>
      <w:r>
        <w:rPr>
          <w:rFonts w:ascii="Arial" w:hAnsi="Arial"/>
          <w:i/>
          <w:sz w:val="20"/>
        </w:rPr>
        <w:t>C v D [2007] EWCA Civ 1282, [2008] 1 Lloyd’s Rep. 239</w:t>
      </w:r>
      <w:r>
        <w:rPr>
          <w:sz w:val="20"/>
        </w:rPr>
        <w:t>. Where a clause provided for arbitration in a country other than that which was held to be that of the proper law, the curial law of the arbitration proceedings is that of the arbitration forum: </w:t>
      </w:r>
      <w:r>
        <w:rPr>
          <w:rFonts w:ascii="Arial" w:hAnsi="Arial"/>
          <w:i/>
          <w:sz w:val="20"/>
        </w:rPr>
        <w:t>James Miller and Partners Ltd v Whitworth Street Estates (Manchester) Ltd [1970] A.C. 583</w:t>
      </w:r>
      <w:r>
        <w:rPr>
          <w:sz w:val="20"/>
        </w:rPr>
        <w:t>. See also </w:t>
      </w:r>
      <w:r>
        <w:rPr>
          <w:rFonts w:ascii="Arial" w:hAnsi="Arial"/>
          <w:i/>
          <w:sz w:val="20"/>
        </w:rPr>
        <w:t>XL Insurance Ltd v Owens Corning [2000] 2 Lloyd’s Rep. 500</w:t>
      </w:r>
      <w:r>
        <w:rPr>
          <w:sz w:val="20"/>
        </w:rPr>
        <w:t>. There was no reason why the curial law of an arbitration has to be fixed at the time of the arbitration agreement: </w:t>
      </w:r>
      <w:r>
        <w:rPr>
          <w:rFonts w:ascii="Arial" w:hAnsi="Arial"/>
          <w:i/>
          <w:sz w:val="20"/>
        </w:rPr>
        <w:t>Star Shipping AS v China National Foreign Trade Transportation Corp</w:t>
      </w:r>
      <w:r>
        <w:rPr>
          <w:sz w:val="20"/>
        </w:rPr>
        <w:t>. On conflict of laws’ aspects of arbitration see Dicey, Morris and Collins, 15th edn (2012), Ch.16.</w:t>
      </w:r>
    </w:p>
    <w:p>
      <w:pPr>
        <w:pStyle w:val="BodyText"/>
        <w:spacing w:before="5"/>
      </w:pPr>
    </w:p>
    <w:p>
      <w:pPr>
        <w:spacing w:line="235" w:lineRule="auto" w:before="0"/>
        <w:ind w:left="705" w:right="167" w:hanging="541"/>
        <w:jc w:val="both"/>
        <w:rPr>
          <w:sz w:val="20"/>
        </w:rPr>
      </w:pPr>
      <w:bookmarkStart w:name="_bookmark127" w:id="129"/>
      <w:bookmarkEnd w:id="129"/>
      <w:r>
        <w:rPr/>
      </w:r>
      <w:hyperlink w:history="true" w:anchor="_bookmark56">
        <w:r>
          <w:rPr>
            <w:color w:val="005DA1"/>
            <w:position w:val="5"/>
            <w:sz w:val="14"/>
            <w:u w:val="single" w:color="005DA1"/>
          </w:rPr>
          <w:t>48</w:t>
        </w:r>
      </w:hyperlink>
      <w:r>
        <w:rPr>
          <w:position w:val="5"/>
          <w:sz w:val="14"/>
        </w:rPr>
        <w:t>.</w:t>
      </w:r>
      <w:r>
        <w:rPr>
          <w:spacing w:val="80"/>
          <w:position w:val="5"/>
          <w:sz w:val="14"/>
        </w:rPr>
        <w:t>  </w:t>
      </w:r>
      <w:r>
        <w:rPr>
          <w:rFonts w:ascii="Arial" w:hAnsi="Arial"/>
          <w:i/>
          <w:sz w:val="20"/>
        </w:rPr>
        <w:t>Trade Indemnity Plc v Forsakringsaktiebolaget Njord [1995] 1 All E.R. 796 </w:t>
      </w:r>
      <w:r>
        <w:rPr>
          <w:sz w:val="20"/>
        </w:rPr>
        <w:t>(strong presumption that reinsurance contract written on London market is written on the basis of an implied or imputed</w:t>
      </w:r>
      <w:r>
        <w:rPr>
          <w:spacing w:val="-3"/>
          <w:sz w:val="20"/>
        </w:rPr>
        <w:t> </w:t>
      </w:r>
      <w:r>
        <w:rPr>
          <w:sz w:val="20"/>
        </w:rPr>
        <w:t>English</w:t>
      </w:r>
      <w:r>
        <w:rPr>
          <w:spacing w:val="-3"/>
          <w:sz w:val="20"/>
        </w:rPr>
        <w:t> </w:t>
      </w:r>
      <w:r>
        <w:rPr>
          <w:sz w:val="20"/>
        </w:rPr>
        <w:t>proper</w:t>
      </w:r>
      <w:r>
        <w:rPr>
          <w:spacing w:val="-3"/>
          <w:sz w:val="20"/>
        </w:rPr>
        <w:t> </w:t>
      </w:r>
      <w:r>
        <w:rPr>
          <w:sz w:val="20"/>
        </w:rPr>
        <w:t>law);</w:t>
      </w:r>
      <w:r>
        <w:rPr>
          <w:spacing w:val="-4"/>
          <w:sz w:val="20"/>
        </w:rPr>
        <w:t> </w:t>
      </w:r>
      <w:r>
        <w:rPr>
          <w:rFonts w:ascii="Arial" w:hAnsi="Arial"/>
          <w:i/>
          <w:sz w:val="20"/>
        </w:rPr>
        <w:t>DR</w:t>
      </w:r>
      <w:r>
        <w:rPr>
          <w:rFonts w:ascii="Arial" w:hAnsi="Arial"/>
          <w:i/>
          <w:spacing w:val="-3"/>
          <w:sz w:val="20"/>
        </w:rPr>
        <w:t> </w:t>
      </w:r>
      <w:r>
        <w:rPr>
          <w:rFonts w:ascii="Arial" w:hAnsi="Arial"/>
          <w:i/>
          <w:sz w:val="20"/>
        </w:rPr>
        <w:t>Insurance</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Central</w:t>
      </w:r>
      <w:r>
        <w:rPr>
          <w:rFonts w:ascii="Arial" w:hAnsi="Arial"/>
          <w:i/>
          <w:spacing w:val="-3"/>
          <w:sz w:val="20"/>
        </w:rPr>
        <w:t> </w:t>
      </w:r>
      <w:r>
        <w:rPr>
          <w:rFonts w:ascii="Arial" w:hAnsi="Arial"/>
          <w:i/>
          <w:sz w:val="20"/>
        </w:rPr>
        <w:t>National</w:t>
      </w:r>
      <w:r>
        <w:rPr>
          <w:rFonts w:ascii="Arial" w:hAnsi="Arial"/>
          <w:i/>
          <w:spacing w:val="-3"/>
          <w:sz w:val="20"/>
        </w:rPr>
        <w:t> </w:t>
      </w:r>
      <w:r>
        <w:rPr>
          <w:rFonts w:ascii="Arial" w:hAnsi="Arial"/>
          <w:i/>
          <w:sz w:val="20"/>
        </w:rPr>
        <w:t>Insurance</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[1996]</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 Rep. 74 </w:t>
      </w:r>
      <w:r>
        <w:rPr>
          <w:sz w:val="20"/>
        </w:rPr>
        <w:t>(when parties enter a particular market in order to transact business they can usually</w:t>
      </w:r>
      <w:r>
        <w:rPr>
          <w:spacing w:val="40"/>
          <w:sz w:val="20"/>
        </w:rPr>
        <w:t> </w:t>
      </w:r>
      <w:r>
        <w:rPr>
          <w:sz w:val="20"/>
        </w:rPr>
        <w:t>be taken to intend that their relationship will be governed by the system of law in force in that market unless they provide some clear indication to the contrary); </w:t>
      </w:r>
      <w:r>
        <w:rPr>
          <w:rFonts w:ascii="Arial" w:hAnsi="Arial"/>
          <w:i/>
          <w:sz w:val="20"/>
        </w:rPr>
        <w:t>Tiernan v Magen Insurance Co Ltd [2000] I.L.Pr. 517 </w:t>
      </w:r>
      <w:r>
        <w:rPr>
          <w:sz w:val="20"/>
        </w:rPr>
        <w:t>(a case on the Rome Convention); </w:t>
      </w:r>
      <w:r>
        <w:rPr>
          <w:rFonts w:ascii="Arial" w:hAnsi="Arial"/>
          <w:i/>
          <w:sz w:val="20"/>
        </w:rPr>
        <w:t>Ace Insurance SA-NV v Zurich Insurance Co of Europe [2000] 2 Lloyd’s Rep. 423, affirmed [2001] EWCA Civ 173, [2001] 1 Lloyd’s Rep. 618</w:t>
      </w:r>
      <w:r>
        <w:rPr>
          <w:sz w:val="20"/>
        </w:rPr>
        <w:t>; </w:t>
      </w:r>
      <w:r>
        <w:rPr>
          <w:rFonts w:ascii="Arial" w:hAnsi="Arial"/>
          <w:i/>
          <w:sz w:val="20"/>
        </w:rPr>
        <w:t>Chase v Ram Technical Services Ltd [2000] 2 Lloyd’s Rep. 418</w:t>
      </w:r>
      <w:r>
        <w:rPr>
          <w:sz w:val="20"/>
        </w:rPr>
        <w:t>. cf. </w:t>
      </w:r>
      <w:r>
        <w:rPr>
          <w:rFonts w:ascii="Arial" w:hAnsi="Arial"/>
          <w:i/>
          <w:sz w:val="20"/>
        </w:rPr>
        <w:t>Commercial Union Assurance Co Plc v N R G Victory Reinsurance Ltd [1998] 1 Lloyd’s Rep.</w:t>
      </w:r>
      <w:r>
        <w:rPr>
          <w:rFonts w:ascii="Arial" w:hAnsi="Arial"/>
          <w:i/>
          <w:spacing w:val="40"/>
          <w:sz w:val="20"/>
        </w:rPr>
        <w:t> </w:t>
      </w:r>
      <w:r>
        <w:rPr>
          <w:rFonts w:ascii="Arial" w:hAnsi="Arial"/>
          <w:i/>
          <w:sz w:val="20"/>
        </w:rPr>
        <w:t>80, 84-85 affirmed [1998] 2 All E.R. 434 </w:t>
      </w:r>
      <w:r>
        <w:rPr>
          <w:sz w:val="20"/>
        </w:rPr>
        <w:t>(New York arbitration clause and service of suit clause indicated contrary intention); </w:t>
      </w:r>
      <w:r>
        <w:rPr>
          <w:rFonts w:ascii="Arial" w:hAnsi="Arial"/>
          <w:i/>
          <w:sz w:val="20"/>
        </w:rPr>
        <w:t>King v Brandywine Reinsurance Co [2005] EWCA Civ 235, [2005] 1 Lloyd’s Rep. 655</w:t>
      </w:r>
      <w:r>
        <w:rPr>
          <w:sz w:val="20"/>
        </w:rPr>
        <w:t>.</w:t>
      </w:r>
    </w:p>
    <w:p>
      <w:pPr>
        <w:pStyle w:val="BodyText"/>
        <w:spacing w:before="5"/>
      </w:pPr>
    </w:p>
    <w:p>
      <w:pPr>
        <w:spacing w:line="235" w:lineRule="auto" w:before="1"/>
        <w:ind w:left="705" w:right="167" w:hanging="541"/>
        <w:jc w:val="both"/>
        <w:rPr>
          <w:sz w:val="20"/>
        </w:rPr>
      </w:pPr>
      <w:bookmarkStart w:name="_bookmark128" w:id="130"/>
      <w:bookmarkEnd w:id="130"/>
      <w:r>
        <w:rPr/>
      </w:r>
      <w:hyperlink w:history="true" w:anchor="_bookmark57">
        <w:r>
          <w:rPr>
            <w:color w:val="005DA1"/>
            <w:position w:val="5"/>
            <w:sz w:val="14"/>
            <w:u w:val="single" w:color="005DA1"/>
          </w:rPr>
          <w:t>49</w:t>
        </w:r>
      </w:hyperlink>
      <w:r>
        <w:rPr>
          <w:position w:val="5"/>
          <w:sz w:val="14"/>
        </w:rPr>
        <w:t>.</w:t>
      </w:r>
      <w:r>
        <w:rPr>
          <w:spacing w:val="80"/>
          <w:position w:val="5"/>
          <w:sz w:val="14"/>
        </w:rPr>
        <w:t>  </w:t>
      </w:r>
      <w:r>
        <w:rPr>
          <w:rFonts w:ascii="Arial" w:hAnsi="Arial"/>
          <w:i/>
          <w:sz w:val="20"/>
        </w:rPr>
        <w:t>Chamberlain v Napier (1880) 15 Ch. D. 614</w:t>
      </w:r>
      <w:r>
        <w:rPr>
          <w:sz w:val="20"/>
        </w:rPr>
        <w:t>; </w:t>
      </w:r>
      <w:r>
        <w:rPr>
          <w:rFonts w:ascii="Arial" w:hAnsi="Arial"/>
          <w:i/>
          <w:sz w:val="20"/>
        </w:rPr>
        <w:t>Re Missouri Steamship Co (1889) 42 Ch. D. 321</w:t>
      </w:r>
      <w:r>
        <w:rPr>
          <w:sz w:val="20"/>
        </w:rPr>
        <w:t>; </w:t>
      </w:r>
      <w:r>
        <w:rPr>
          <w:rFonts w:ascii="Arial" w:hAnsi="Arial"/>
          <w:i/>
          <w:sz w:val="20"/>
        </w:rPr>
        <w:t>Rossano v Manufacturers’ Life Insurance Co [1963] 2 Q.B. 352</w:t>
      </w:r>
      <w:r>
        <w:rPr>
          <w:sz w:val="20"/>
        </w:rPr>
        <w:t>; </w:t>
      </w:r>
      <w:r>
        <w:rPr>
          <w:rFonts w:ascii="Arial" w:hAnsi="Arial"/>
          <w:i/>
          <w:sz w:val="20"/>
        </w:rPr>
        <w:t>James Miller and Partners Ltd</w:t>
      </w:r>
      <w:r>
        <w:rPr>
          <w:rFonts w:ascii="Arial" w:hAnsi="Arial"/>
          <w:i/>
          <w:spacing w:val="40"/>
          <w:sz w:val="20"/>
        </w:rPr>
        <w:t> </w:t>
      </w:r>
      <w:r>
        <w:rPr>
          <w:rFonts w:ascii="Arial" w:hAnsi="Arial"/>
          <w:i/>
          <w:sz w:val="20"/>
        </w:rPr>
        <w:t>v Whitworth Street Estates (Manchester) Ltd [1970] A.C. 583</w:t>
      </w:r>
      <w:r>
        <w:rPr>
          <w:sz w:val="20"/>
        </w:rPr>
        <w:t>; cf. </w:t>
      </w:r>
      <w:r>
        <w:rPr>
          <w:rFonts w:ascii="Arial" w:hAnsi="Arial"/>
          <w:i/>
          <w:sz w:val="20"/>
        </w:rPr>
        <w:t>NV Handel My. J. Smits Import-Export v English Exporters (London) Ltd [1955] 2 Lloyd’s Rep. 69, 72 (affirmed [1955] 2 Lloyd’s Rep. 317)</w:t>
      </w:r>
      <w:r>
        <w:rPr>
          <w:sz w:val="20"/>
        </w:rPr>
        <w:t>; </w:t>
      </w:r>
      <w:r>
        <w:rPr>
          <w:rFonts w:ascii="Arial" w:hAnsi="Arial"/>
          <w:i/>
          <w:sz w:val="20"/>
        </w:rPr>
        <w:t>Compagnie d’Armement Maritime SA v Compagnie Tunisienne de</w:t>
      </w:r>
      <w:r>
        <w:rPr>
          <w:rFonts w:ascii="Arial" w:hAnsi="Arial"/>
          <w:i/>
          <w:spacing w:val="40"/>
          <w:sz w:val="20"/>
        </w:rPr>
        <w:t> </w:t>
      </w:r>
      <w:r>
        <w:rPr>
          <w:rFonts w:ascii="Arial" w:hAnsi="Arial"/>
          <w:i/>
          <w:sz w:val="20"/>
        </w:rPr>
        <w:t>Navigation SA [1971] A.C. 572, 583</w:t>
      </w:r>
      <w:r>
        <w:rPr>
          <w:sz w:val="20"/>
        </w:rPr>
        <w:t>.</w:t>
      </w:r>
    </w:p>
    <w:p>
      <w:pPr>
        <w:pStyle w:val="BodyText"/>
        <w:spacing w:before="7"/>
      </w:pPr>
    </w:p>
    <w:p>
      <w:pPr>
        <w:spacing w:line="235" w:lineRule="auto" w:before="0"/>
        <w:ind w:left="705" w:right="168" w:hanging="541"/>
        <w:jc w:val="both"/>
        <w:rPr>
          <w:sz w:val="20"/>
        </w:rPr>
      </w:pPr>
      <w:bookmarkStart w:name="_bookmark129" w:id="131"/>
      <w:bookmarkEnd w:id="131"/>
      <w:r>
        <w:rPr/>
      </w:r>
      <w:hyperlink w:history="true" w:anchor="_bookmark57">
        <w:r>
          <w:rPr>
            <w:color w:val="005DA1"/>
            <w:position w:val="5"/>
            <w:sz w:val="14"/>
            <w:u w:val="single" w:color="005DA1"/>
          </w:rPr>
          <w:t>50</w:t>
        </w:r>
      </w:hyperlink>
      <w:r>
        <w:rPr>
          <w:position w:val="5"/>
          <w:sz w:val="14"/>
        </w:rPr>
        <w:t>.</w:t>
      </w:r>
      <w:r>
        <w:rPr>
          <w:spacing w:val="80"/>
          <w:w w:val="150"/>
          <w:position w:val="5"/>
          <w:sz w:val="14"/>
        </w:rPr>
        <w:t> </w:t>
      </w:r>
      <w:r>
        <w:rPr>
          <w:rFonts w:ascii="Arial" w:hAnsi="Arial"/>
          <w:i/>
          <w:sz w:val="20"/>
        </w:rPr>
        <w:t>Chatenay v Brazilian Submarine Telegraph Co Ltd [1891] 1 Q.B. 79, 82</w:t>
      </w:r>
      <w:r>
        <w:rPr>
          <w:sz w:val="20"/>
        </w:rPr>
        <w:t>; </w:t>
      </w:r>
      <w:r>
        <w:rPr>
          <w:rFonts w:ascii="Arial" w:hAnsi="Arial"/>
          <w:i/>
          <w:sz w:val="20"/>
        </w:rPr>
        <w:t>Rossano v Manufacturers’</w:t>
      </w:r>
      <w:r>
        <w:rPr>
          <w:rFonts w:ascii="Arial" w:hAnsi="Arial"/>
          <w:i/>
          <w:spacing w:val="-1"/>
          <w:sz w:val="20"/>
        </w:rPr>
        <w:t> </w:t>
      </w:r>
      <w:r>
        <w:rPr>
          <w:rFonts w:ascii="Arial" w:hAnsi="Arial"/>
          <w:i/>
          <w:sz w:val="20"/>
        </w:rPr>
        <w:t>Life</w:t>
      </w:r>
      <w:r>
        <w:rPr>
          <w:rFonts w:ascii="Arial" w:hAnsi="Arial"/>
          <w:i/>
          <w:spacing w:val="-1"/>
          <w:sz w:val="20"/>
        </w:rPr>
        <w:t> </w:t>
      </w:r>
      <w:r>
        <w:rPr>
          <w:rFonts w:ascii="Arial" w:hAnsi="Arial"/>
          <w:i/>
          <w:sz w:val="20"/>
        </w:rPr>
        <w:t>Insurance</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[1963]</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352</w:t>
      </w:r>
      <w:r>
        <w:rPr>
          <w:sz w:val="20"/>
        </w:rPr>
        <w:t>;</w:t>
      </w:r>
      <w:r>
        <w:rPr>
          <w:spacing w:val="-1"/>
          <w:sz w:val="20"/>
        </w:rPr>
        <w:t> </w:t>
      </w:r>
      <w:r>
        <w:rPr>
          <w:rFonts w:ascii="Arial" w:hAnsi="Arial"/>
          <w:i/>
          <w:sz w:val="20"/>
        </w:rPr>
        <w:t>James</w:t>
      </w:r>
      <w:r>
        <w:rPr>
          <w:rFonts w:ascii="Arial" w:hAnsi="Arial"/>
          <w:i/>
          <w:spacing w:val="-1"/>
          <w:sz w:val="20"/>
        </w:rPr>
        <w:t> </w:t>
      </w:r>
      <w:r>
        <w:rPr>
          <w:rFonts w:ascii="Arial" w:hAnsi="Arial"/>
          <w:i/>
          <w:sz w:val="20"/>
        </w:rPr>
        <w:t>Miller</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Partners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Whitworth Street Estates (Manchester) Ltd [1970] A.C. 583, 603, 608, 611-612</w:t>
      </w:r>
      <w:r>
        <w:rPr>
          <w:sz w:val="20"/>
        </w:rPr>
        <w:t>; </w:t>
      </w:r>
      <w:r>
        <w:rPr>
          <w:rFonts w:ascii="Arial" w:hAnsi="Arial"/>
          <w:i/>
          <w:sz w:val="20"/>
        </w:rPr>
        <w:t>Amin Rasheed Shipping Corp v Kuwait Insurance Co [1984] A.C. 50</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30" w:id="132"/>
      <w:bookmarkEnd w:id="132"/>
      <w:r>
        <w:rPr/>
      </w:r>
      <w:hyperlink w:history="true" w:anchor="_bookmark58">
        <w:r>
          <w:rPr>
            <w:color w:val="005DA1"/>
            <w:spacing w:val="-4"/>
            <w:position w:val="5"/>
            <w:sz w:val="14"/>
            <w:u w:val="single" w:color="005DA1"/>
          </w:rPr>
          <w:t>51</w:t>
        </w:r>
      </w:hyperlink>
      <w:r>
        <w:rPr>
          <w:spacing w:val="-4"/>
          <w:position w:val="5"/>
          <w:sz w:val="14"/>
        </w:rPr>
        <w:t>.</w:t>
      </w:r>
      <w:r>
        <w:rPr>
          <w:position w:val="5"/>
          <w:sz w:val="14"/>
        </w:rPr>
        <w:tab/>
      </w:r>
      <w:r>
        <w:rPr>
          <w:rFonts w:ascii="Arial"/>
          <w:i/>
          <w:sz w:val="20"/>
        </w:rPr>
        <w:t>Chatenay</w:t>
      </w:r>
      <w:r>
        <w:rPr>
          <w:rFonts w:ascii="Arial"/>
          <w:i/>
          <w:spacing w:val="60"/>
          <w:sz w:val="20"/>
        </w:rPr>
        <w:t> </w:t>
      </w:r>
      <w:r>
        <w:rPr>
          <w:rFonts w:ascii="Arial"/>
          <w:i/>
          <w:sz w:val="20"/>
        </w:rPr>
        <w:t>v</w:t>
      </w:r>
      <w:r>
        <w:rPr>
          <w:rFonts w:ascii="Arial"/>
          <w:i/>
          <w:spacing w:val="60"/>
          <w:sz w:val="20"/>
        </w:rPr>
        <w:t> </w:t>
      </w:r>
      <w:r>
        <w:rPr>
          <w:rFonts w:ascii="Arial"/>
          <w:i/>
          <w:sz w:val="20"/>
        </w:rPr>
        <w:t>Brazilian</w:t>
      </w:r>
      <w:r>
        <w:rPr>
          <w:rFonts w:ascii="Arial"/>
          <w:i/>
          <w:spacing w:val="60"/>
          <w:sz w:val="20"/>
        </w:rPr>
        <w:t> </w:t>
      </w:r>
      <w:r>
        <w:rPr>
          <w:rFonts w:ascii="Arial"/>
          <w:i/>
          <w:sz w:val="20"/>
        </w:rPr>
        <w:t>Submarine</w:t>
      </w:r>
      <w:r>
        <w:rPr>
          <w:rFonts w:ascii="Arial"/>
          <w:i/>
          <w:spacing w:val="60"/>
          <w:sz w:val="20"/>
        </w:rPr>
        <w:t> </w:t>
      </w:r>
      <w:r>
        <w:rPr>
          <w:rFonts w:ascii="Arial"/>
          <w:i/>
          <w:sz w:val="20"/>
        </w:rPr>
        <w:t>Telegraph</w:t>
      </w:r>
      <w:r>
        <w:rPr>
          <w:rFonts w:ascii="Arial"/>
          <w:i/>
          <w:spacing w:val="60"/>
          <w:sz w:val="20"/>
        </w:rPr>
        <w:t> </w:t>
      </w:r>
      <w:r>
        <w:rPr>
          <w:rFonts w:ascii="Arial"/>
          <w:i/>
          <w:sz w:val="20"/>
        </w:rPr>
        <w:t>Co</w:t>
      </w:r>
      <w:r>
        <w:rPr>
          <w:rFonts w:ascii="Arial"/>
          <w:i/>
          <w:spacing w:val="60"/>
          <w:sz w:val="20"/>
        </w:rPr>
        <w:t> </w:t>
      </w:r>
      <w:r>
        <w:rPr>
          <w:rFonts w:ascii="Arial"/>
          <w:i/>
          <w:sz w:val="20"/>
        </w:rPr>
        <w:t>Ltd</w:t>
      </w:r>
      <w:r>
        <w:rPr>
          <w:rFonts w:ascii="Arial"/>
          <w:i/>
          <w:spacing w:val="60"/>
          <w:sz w:val="20"/>
        </w:rPr>
        <w:t> </w:t>
      </w:r>
      <w:r>
        <w:rPr>
          <w:rFonts w:ascii="Arial"/>
          <w:i/>
          <w:sz w:val="20"/>
        </w:rPr>
        <w:t>[1891]</w:t>
      </w:r>
      <w:r>
        <w:rPr>
          <w:rFonts w:ascii="Arial"/>
          <w:i/>
          <w:spacing w:val="60"/>
          <w:sz w:val="20"/>
        </w:rPr>
        <w:t> </w:t>
      </w:r>
      <w:r>
        <w:rPr>
          <w:rFonts w:ascii="Arial"/>
          <w:i/>
          <w:sz w:val="20"/>
        </w:rPr>
        <w:t>1</w:t>
      </w:r>
      <w:r>
        <w:rPr>
          <w:rFonts w:ascii="Arial"/>
          <w:i/>
          <w:spacing w:val="60"/>
          <w:sz w:val="20"/>
        </w:rPr>
        <w:t> </w:t>
      </w:r>
      <w:r>
        <w:rPr>
          <w:rFonts w:ascii="Arial"/>
          <w:i/>
          <w:sz w:val="20"/>
        </w:rPr>
        <w:t>Q.B.</w:t>
      </w:r>
      <w:r>
        <w:rPr>
          <w:rFonts w:ascii="Arial"/>
          <w:i/>
          <w:spacing w:val="60"/>
          <w:sz w:val="20"/>
        </w:rPr>
        <w:t> </w:t>
      </w:r>
      <w:r>
        <w:rPr>
          <w:rFonts w:ascii="Arial"/>
          <w:i/>
          <w:sz w:val="20"/>
        </w:rPr>
        <w:t>79</w:t>
      </w:r>
      <w:r>
        <w:rPr>
          <w:sz w:val="20"/>
        </w:rPr>
        <w:t>;</w:t>
      </w:r>
      <w:r>
        <w:rPr>
          <w:spacing w:val="60"/>
          <w:sz w:val="20"/>
        </w:rPr>
        <w:t> </w:t>
      </w:r>
      <w:r>
        <w:rPr>
          <w:rFonts w:ascii="Arial"/>
          <w:i/>
          <w:sz w:val="20"/>
        </w:rPr>
        <w:t>St</w:t>
      </w:r>
      <w:r>
        <w:rPr>
          <w:rFonts w:ascii="Arial"/>
          <w:i/>
          <w:spacing w:val="60"/>
          <w:sz w:val="20"/>
        </w:rPr>
        <w:t> </w:t>
      </w:r>
      <w:r>
        <w:rPr>
          <w:rFonts w:ascii="Arial"/>
          <w:i/>
          <w:sz w:val="20"/>
        </w:rPr>
        <w:t>Pierre</w:t>
      </w:r>
      <w:r>
        <w:rPr>
          <w:rFonts w:ascii="Arial"/>
          <w:i/>
          <w:spacing w:val="60"/>
          <w:sz w:val="20"/>
        </w:rPr>
        <w:t> </w:t>
      </w:r>
      <w:r>
        <w:rPr>
          <w:rFonts w:ascii="Arial"/>
          <w:i/>
          <w:sz w:val="20"/>
        </w:rPr>
        <w:t>v</w:t>
      </w:r>
      <w:r>
        <w:rPr>
          <w:rFonts w:ascii="Arial"/>
          <w:i/>
          <w:spacing w:val="60"/>
          <w:sz w:val="20"/>
        </w:rPr>
        <w:t> </w:t>
      </w:r>
      <w:r>
        <w:rPr>
          <w:rFonts w:ascii="Arial"/>
          <w:i/>
          <w:sz w:val="20"/>
        </w:rPr>
        <w:t>South American Stores (Gath and Chaves) Ltd [1937] 2 All E.R. 349</w:t>
      </w:r>
      <w:r>
        <w:rPr>
          <w:sz w:val="20"/>
        </w:rPr>
        <w:t>.</w:t>
      </w:r>
    </w:p>
    <w:p>
      <w:pPr>
        <w:pStyle w:val="BodyText"/>
        <w:spacing w:before="9"/>
      </w:pPr>
    </w:p>
    <w:p>
      <w:pPr>
        <w:tabs>
          <w:tab w:pos="705" w:val="left" w:leader="none"/>
        </w:tabs>
        <w:spacing w:line="235" w:lineRule="auto" w:before="0"/>
        <w:ind w:left="705" w:right="167" w:hanging="541"/>
        <w:jc w:val="left"/>
        <w:rPr>
          <w:sz w:val="20"/>
        </w:rPr>
      </w:pPr>
      <w:bookmarkStart w:name="_bookmark131" w:id="133"/>
      <w:bookmarkEnd w:id="133"/>
      <w:r>
        <w:rPr/>
      </w:r>
      <w:hyperlink w:history="true" w:anchor="_bookmark58">
        <w:r>
          <w:rPr>
            <w:color w:val="005DA1"/>
            <w:spacing w:val="-4"/>
            <w:position w:val="5"/>
            <w:sz w:val="14"/>
            <w:u w:val="single" w:color="005DA1"/>
          </w:rPr>
          <w:t>52</w:t>
        </w:r>
      </w:hyperlink>
      <w:r>
        <w:rPr>
          <w:spacing w:val="-4"/>
          <w:position w:val="5"/>
          <w:sz w:val="14"/>
        </w:rPr>
        <w:t>.</w:t>
      </w:r>
      <w:r>
        <w:rPr>
          <w:position w:val="5"/>
          <w:sz w:val="14"/>
        </w:rPr>
        <w:tab/>
      </w:r>
      <w:r>
        <w:rPr>
          <w:rFonts w:ascii="Arial" w:hAnsi="Arial"/>
          <w:i/>
          <w:sz w:val="20"/>
        </w:rPr>
        <w:t>Compagnie d’Armement Maritime SA v Compagnie Tunisienne de Navigation SA [1971] </w:t>
      </w:r>
      <w:r>
        <w:rPr>
          <w:rFonts w:ascii="Arial" w:hAnsi="Arial"/>
          <w:i/>
          <w:sz w:val="20"/>
        </w:rPr>
        <w:t>A.C.</w:t>
      </w:r>
      <w:r>
        <w:rPr>
          <w:rFonts w:ascii="Arial" w:hAnsi="Arial"/>
          <w:i/>
          <w:spacing w:val="40"/>
          <w:sz w:val="20"/>
        </w:rPr>
        <w:t> </w:t>
      </w:r>
      <w:r>
        <w:rPr>
          <w:rFonts w:ascii="Arial" w:hAnsi="Arial"/>
          <w:i/>
          <w:sz w:val="20"/>
        </w:rPr>
        <w:t>572,</w:t>
      </w:r>
      <w:r>
        <w:rPr>
          <w:rFonts w:ascii="Arial" w:hAnsi="Arial"/>
          <w:i/>
          <w:spacing w:val="16"/>
          <w:sz w:val="20"/>
        </w:rPr>
        <w:t> </w:t>
      </w:r>
      <w:r>
        <w:rPr>
          <w:rFonts w:ascii="Arial" w:hAnsi="Arial"/>
          <w:i/>
          <w:sz w:val="20"/>
        </w:rPr>
        <w:t>583,</w:t>
      </w:r>
      <w:r>
        <w:rPr>
          <w:rFonts w:ascii="Arial" w:hAnsi="Arial"/>
          <w:i/>
          <w:spacing w:val="19"/>
          <w:sz w:val="20"/>
        </w:rPr>
        <w:t> </w:t>
      </w:r>
      <w:r>
        <w:rPr>
          <w:rFonts w:ascii="Arial" w:hAnsi="Arial"/>
          <w:i/>
          <w:sz w:val="20"/>
        </w:rPr>
        <w:t>594</w:t>
      </w:r>
      <w:r>
        <w:rPr>
          <w:sz w:val="20"/>
        </w:rPr>
        <w:t>;</w:t>
      </w:r>
      <w:r>
        <w:rPr>
          <w:spacing w:val="19"/>
          <w:sz w:val="20"/>
        </w:rPr>
        <w:t> </w:t>
      </w:r>
      <w:r>
        <w:rPr>
          <w:rFonts w:ascii="Arial" w:hAnsi="Arial"/>
          <w:i/>
          <w:sz w:val="20"/>
        </w:rPr>
        <w:t>Sayers</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International</w:t>
      </w:r>
      <w:r>
        <w:rPr>
          <w:rFonts w:ascii="Arial" w:hAnsi="Arial"/>
          <w:i/>
          <w:spacing w:val="19"/>
          <w:sz w:val="20"/>
        </w:rPr>
        <w:t> </w:t>
      </w:r>
      <w:r>
        <w:rPr>
          <w:rFonts w:ascii="Arial" w:hAnsi="Arial"/>
          <w:i/>
          <w:sz w:val="20"/>
        </w:rPr>
        <w:t>Drilling</w:t>
      </w:r>
      <w:r>
        <w:rPr>
          <w:rFonts w:ascii="Arial" w:hAnsi="Arial"/>
          <w:i/>
          <w:spacing w:val="19"/>
          <w:sz w:val="20"/>
        </w:rPr>
        <w:t> </w:t>
      </w:r>
      <w:r>
        <w:rPr>
          <w:rFonts w:ascii="Arial" w:hAnsi="Arial"/>
          <w:i/>
          <w:sz w:val="20"/>
        </w:rPr>
        <w:t>Co</w:t>
      </w:r>
      <w:r>
        <w:rPr>
          <w:rFonts w:ascii="Arial" w:hAnsi="Arial"/>
          <w:i/>
          <w:spacing w:val="19"/>
          <w:sz w:val="20"/>
        </w:rPr>
        <w:t> </w:t>
      </w:r>
      <w:r>
        <w:rPr>
          <w:rFonts w:ascii="Arial" w:hAnsi="Arial"/>
          <w:i/>
          <w:sz w:val="20"/>
        </w:rPr>
        <w:t>NV</w:t>
      </w:r>
      <w:r>
        <w:rPr>
          <w:rFonts w:ascii="Arial" w:hAnsi="Arial"/>
          <w:i/>
          <w:spacing w:val="19"/>
          <w:sz w:val="20"/>
        </w:rPr>
        <w:t> </w:t>
      </w:r>
      <w:r>
        <w:rPr>
          <w:rFonts w:ascii="Arial" w:hAnsi="Arial"/>
          <w:i/>
          <w:sz w:val="20"/>
        </w:rPr>
        <w:t>[1971]</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W.L.R.</w:t>
      </w:r>
      <w:r>
        <w:rPr>
          <w:rFonts w:ascii="Arial" w:hAnsi="Arial"/>
          <w:i/>
          <w:spacing w:val="19"/>
          <w:sz w:val="20"/>
        </w:rPr>
        <w:t> </w:t>
      </w:r>
      <w:r>
        <w:rPr>
          <w:rFonts w:ascii="Arial" w:hAnsi="Arial"/>
          <w:i/>
          <w:sz w:val="20"/>
        </w:rPr>
        <w:t>1176,</w:t>
      </w:r>
      <w:r>
        <w:rPr>
          <w:rFonts w:ascii="Arial" w:hAnsi="Arial"/>
          <w:i/>
          <w:spacing w:val="19"/>
          <w:sz w:val="20"/>
        </w:rPr>
        <w:t> </w:t>
      </w:r>
      <w:r>
        <w:rPr>
          <w:rFonts w:ascii="Arial" w:hAnsi="Arial"/>
          <w:i/>
          <w:sz w:val="20"/>
        </w:rPr>
        <w:t>1183-1184,</w:t>
      </w:r>
      <w:r>
        <w:rPr>
          <w:rFonts w:ascii="Arial" w:hAnsi="Arial"/>
          <w:i/>
          <w:spacing w:val="19"/>
          <w:sz w:val="20"/>
        </w:rPr>
        <w:t> </w:t>
      </w:r>
      <w:r>
        <w:rPr>
          <w:rFonts w:ascii="Arial" w:hAnsi="Arial"/>
          <w:i/>
          <w:spacing w:val="-2"/>
          <w:sz w:val="20"/>
        </w:rPr>
        <w:t>1186</w:t>
      </w:r>
      <w:r>
        <w:rPr>
          <w:spacing w:val="-2"/>
          <w:sz w:val="20"/>
        </w:rPr>
        <w:t>;</w:t>
      </w:r>
    </w:p>
    <w:p>
      <w:pPr>
        <w:spacing w:line="225" w:lineRule="exact" w:before="0"/>
        <w:ind w:left="705" w:right="0" w:firstLine="0"/>
        <w:jc w:val="left"/>
        <w:rPr>
          <w:sz w:val="20"/>
        </w:rPr>
      </w:pPr>
      <w:r>
        <w:rPr>
          <w:rFonts w:ascii="Arial"/>
          <w:i/>
          <w:sz w:val="20"/>
        </w:rPr>
        <w:t>Coast Lines Ltd v Hudig and Veder Chartering NV [1972] 2 Q.B. 34, 47, </w:t>
      </w:r>
      <w:r>
        <w:rPr>
          <w:rFonts w:ascii="Arial"/>
          <w:i/>
          <w:spacing w:val="-5"/>
          <w:sz w:val="20"/>
        </w:rPr>
        <w:t>50</w:t>
      </w:r>
      <w:r>
        <w:rPr>
          <w:spacing w:val="-5"/>
          <w:sz w:val="20"/>
        </w:rPr>
        <w:t>.</w:t>
      </w:r>
    </w:p>
    <w:p>
      <w:pPr>
        <w:pStyle w:val="BodyText"/>
        <w:spacing w:before="5"/>
      </w:pPr>
    </w:p>
    <w:p>
      <w:pPr>
        <w:tabs>
          <w:tab w:pos="705" w:val="left" w:leader="none"/>
        </w:tabs>
        <w:spacing w:before="0"/>
        <w:ind w:left="165" w:right="0" w:firstLine="0"/>
        <w:jc w:val="left"/>
        <w:rPr>
          <w:rFonts w:ascii="Arial"/>
          <w:i/>
          <w:sz w:val="20"/>
        </w:rPr>
      </w:pPr>
      <w:bookmarkStart w:name="_bookmark132" w:id="134"/>
      <w:bookmarkEnd w:id="134"/>
      <w:r>
        <w:rPr/>
      </w:r>
      <w:hyperlink w:history="true" w:anchor="_bookmark59">
        <w:r>
          <w:rPr>
            <w:color w:val="005DA1"/>
            <w:spacing w:val="-5"/>
            <w:position w:val="5"/>
            <w:sz w:val="14"/>
            <w:u w:val="single" w:color="005DA1"/>
          </w:rPr>
          <w:t>53</w:t>
        </w:r>
      </w:hyperlink>
      <w:r>
        <w:rPr>
          <w:spacing w:val="-5"/>
          <w:position w:val="5"/>
          <w:sz w:val="14"/>
        </w:rPr>
        <w:t>.</w:t>
      </w:r>
      <w:r>
        <w:rPr>
          <w:position w:val="5"/>
          <w:sz w:val="14"/>
        </w:rPr>
        <w:tab/>
      </w:r>
      <w:r>
        <w:rPr>
          <w:rFonts w:ascii="Arial"/>
          <w:i/>
          <w:sz w:val="20"/>
        </w:rPr>
        <w:t>R.</w:t>
      </w:r>
      <w:r>
        <w:rPr>
          <w:rFonts w:ascii="Arial"/>
          <w:i/>
          <w:spacing w:val="38"/>
          <w:sz w:val="20"/>
        </w:rPr>
        <w:t> </w:t>
      </w:r>
      <w:r>
        <w:rPr>
          <w:rFonts w:ascii="Arial"/>
          <w:i/>
          <w:sz w:val="20"/>
        </w:rPr>
        <w:t>v</w:t>
      </w:r>
      <w:r>
        <w:rPr>
          <w:rFonts w:ascii="Arial"/>
          <w:i/>
          <w:spacing w:val="39"/>
          <w:sz w:val="20"/>
        </w:rPr>
        <w:t> </w:t>
      </w:r>
      <w:r>
        <w:rPr>
          <w:rFonts w:ascii="Arial"/>
          <w:i/>
          <w:sz w:val="20"/>
        </w:rPr>
        <w:t>International</w:t>
      </w:r>
      <w:r>
        <w:rPr>
          <w:rFonts w:ascii="Arial"/>
          <w:i/>
          <w:spacing w:val="39"/>
          <w:sz w:val="20"/>
        </w:rPr>
        <w:t> </w:t>
      </w:r>
      <w:r>
        <w:rPr>
          <w:rFonts w:ascii="Arial"/>
          <w:i/>
          <w:sz w:val="20"/>
        </w:rPr>
        <w:t>Trustee</w:t>
      </w:r>
      <w:r>
        <w:rPr>
          <w:rFonts w:ascii="Arial"/>
          <w:i/>
          <w:spacing w:val="39"/>
          <w:sz w:val="20"/>
        </w:rPr>
        <w:t> </w:t>
      </w:r>
      <w:r>
        <w:rPr>
          <w:rFonts w:ascii="Arial"/>
          <w:i/>
          <w:sz w:val="20"/>
        </w:rPr>
        <w:t>for</w:t>
      </w:r>
      <w:r>
        <w:rPr>
          <w:rFonts w:ascii="Arial"/>
          <w:i/>
          <w:spacing w:val="39"/>
          <w:sz w:val="20"/>
        </w:rPr>
        <w:t> </w:t>
      </w:r>
      <w:r>
        <w:rPr>
          <w:rFonts w:ascii="Arial"/>
          <w:i/>
          <w:sz w:val="20"/>
        </w:rPr>
        <w:t>the</w:t>
      </w:r>
      <w:r>
        <w:rPr>
          <w:rFonts w:ascii="Arial"/>
          <w:i/>
          <w:spacing w:val="39"/>
          <w:sz w:val="20"/>
        </w:rPr>
        <w:t> </w:t>
      </w:r>
      <w:r>
        <w:rPr>
          <w:rFonts w:ascii="Arial"/>
          <w:i/>
          <w:sz w:val="20"/>
        </w:rPr>
        <w:t>Protection</w:t>
      </w:r>
      <w:r>
        <w:rPr>
          <w:rFonts w:ascii="Arial"/>
          <w:i/>
          <w:spacing w:val="39"/>
          <w:sz w:val="20"/>
        </w:rPr>
        <w:t> </w:t>
      </w:r>
      <w:r>
        <w:rPr>
          <w:rFonts w:ascii="Arial"/>
          <w:i/>
          <w:sz w:val="20"/>
        </w:rPr>
        <w:t>of</w:t>
      </w:r>
      <w:r>
        <w:rPr>
          <w:rFonts w:ascii="Arial"/>
          <w:i/>
          <w:spacing w:val="39"/>
          <w:sz w:val="20"/>
        </w:rPr>
        <w:t> </w:t>
      </w:r>
      <w:r>
        <w:rPr>
          <w:rFonts w:ascii="Arial"/>
          <w:i/>
          <w:sz w:val="20"/>
        </w:rPr>
        <w:t>Bondholders</w:t>
      </w:r>
      <w:r>
        <w:rPr>
          <w:rFonts w:ascii="Arial"/>
          <w:i/>
          <w:spacing w:val="39"/>
          <w:sz w:val="20"/>
        </w:rPr>
        <w:t> </w:t>
      </w:r>
      <w:r>
        <w:rPr>
          <w:rFonts w:ascii="Arial"/>
          <w:i/>
          <w:sz w:val="20"/>
        </w:rPr>
        <w:t>AG</w:t>
      </w:r>
      <w:r>
        <w:rPr>
          <w:rFonts w:ascii="Arial"/>
          <w:i/>
          <w:spacing w:val="39"/>
          <w:sz w:val="20"/>
        </w:rPr>
        <w:t> </w:t>
      </w:r>
      <w:r>
        <w:rPr>
          <w:rFonts w:ascii="Arial"/>
          <w:i/>
          <w:sz w:val="20"/>
        </w:rPr>
        <w:t>[1937]</w:t>
      </w:r>
      <w:r>
        <w:rPr>
          <w:rFonts w:ascii="Arial"/>
          <w:i/>
          <w:spacing w:val="39"/>
          <w:sz w:val="20"/>
        </w:rPr>
        <w:t> </w:t>
      </w:r>
      <w:r>
        <w:rPr>
          <w:rFonts w:ascii="Arial"/>
          <w:i/>
          <w:sz w:val="20"/>
        </w:rPr>
        <w:t>A.C.</w:t>
      </w:r>
      <w:r>
        <w:rPr>
          <w:rFonts w:ascii="Arial"/>
          <w:i/>
          <w:spacing w:val="39"/>
          <w:sz w:val="20"/>
        </w:rPr>
        <w:t> </w:t>
      </w:r>
      <w:r>
        <w:rPr>
          <w:rFonts w:ascii="Arial"/>
          <w:i/>
          <w:sz w:val="20"/>
        </w:rPr>
        <w:t>500,</w:t>
      </w:r>
      <w:r>
        <w:rPr>
          <w:rFonts w:ascii="Arial"/>
          <w:i/>
          <w:spacing w:val="39"/>
          <w:sz w:val="20"/>
        </w:rPr>
        <w:t> </w:t>
      </w:r>
      <w:r>
        <w:rPr>
          <w:rFonts w:ascii="Arial"/>
          <w:i/>
          <w:sz w:val="20"/>
        </w:rPr>
        <w:t>553</w:t>
      </w:r>
      <w:r>
        <w:rPr>
          <w:sz w:val="20"/>
        </w:rPr>
        <w:t>;</w:t>
      </w:r>
      <w:r>
        <w:rPr>
          <w:spacing w:val="39"/>
          <w:sz w:val="20"/>
        </w:rPr>
        <w:t> </w:t>
      </w:r>
      <w:r>
        <w:rPr>
          <w:rFonts w:ascii="Arial"/>
          <w:i/>
          <w:spacing w:val="-5"/>
          <w:sz w:val="20"/>
        </w:rPr>
        <w:t>The</w:t>
      </w:r>
    </w:p>
    <w:p>
      <w:pPr>
        <w:spacing w:after="0"/>
        <w:jc w:val="left"/>
        <w:rPr>
          <w:rFonts w:ascii="Arial"/>
          <w:i/>
          <w:sz w:val="20"/>
        </w:rPr>
        <w:sectPr>
          <w:pgSz w:w="11900" w:h="16840"/>
          <w:pgMar w:header="971" w:footer="0" w:top="1300" w:bottom="280" w:left="1275" w:right="1275"/>
        </w:sectPr>
      </w:pPr>
    </w:p>
    <w:p>
      <w:pPr>
        <w:spacing w:line="235" w:lineRule="auto" w:before="110"/>
        <w:ind w:left="705" w:right="168" w:firstLine="0"/>
        <w:jc w:val="both"/>
        <w:rPr>
          <w:sz w:val="20"/>
        </w:rPr>
      </w:pPr>
      <w:r>
        <w:rPr>
          <w:rFonts w:ascii="Arial" w:hAnsi="Arial"/>
          <w:i/>
          <w:sz w:val="20"/>
        </w:rPr>
        <w:t>Assunzione [1954] P. 150</w:t>
      </w:r>
      <w:r>
        <w:rPr>
          <w:sz w:val="20"/>
        </w:rPr>
        <w:t>; </w:t>
      </w:r>
      <w:r>
        <w:rPr>
          <w:rFonts w:ascii="Arial" w:hAnsi="Arial"/>
          <w:i/>
          <w:sz w:val="20"/>
        </w:rPr>
        <w:t>Rossano v Manufacturers’ Life Insurance Co [1963] 2 Q.B. 352</w:t>
      </w:r>
      <w:r>
        <w:rPr>
          <w:sz w:val="20"/>
        </w:rPr>
        <w:t>; </w:t>
      </w:r>
      <w:r>
        <w:rPr>
          <w:rFonts w:ascii="Arial" w:hAnsi="Arial"/>
          <w:i/>
          <w:sz w:val="20"/>
        </w:rPr>
        <w:t>Coast Lines Ltd v Hudig and Veder Chartering NV [1972] 2 Q.B. 34, 47, 50</w:t>
      </w:r>
      <w:r>
        <w:rPr>
          <w:sz w:val="20"/>
        </w:rPr>
        <w:t>; cf. </w:t>
      </w:r>
      <w:r>
        <w:rPr>
          <w:rFonts w:ascii="Arial" w:hAnsi="Arial"/>
          <w:i/>
          <w:sz w:val="20"/>
        </w:rPr>
        <w:t>Re Helbert</w:t>
      </w:r>
      <w:r>
        <w:rPr>
          <w:rFonts w:ascii="Arial" w:hAnsi="Arial"/>
          <w:i/>
          <w:spacing w:val="40"/>
          <w:sz w:val="20"/>
        </w:rPr>
        <w:t> </w:t>
      </w:r>
      <w:r>
        <w:rPr>
          <w:rFonts w:ascii="Arial" w:hAnsi="Arial"/>
          <w:i/>
          <w:sz w:val="20"/>
        </w:rPr>
        <w:t>Wagg &amp; Co Ltd’s Claim [1956] Ch. 323</w:t>
      </w:r>
      <w:r>
        <w:rPr>
          <w:sz w:val="20"/>
        </w:rPr>
        <w:t>; </w:t>
      </w:r>
      <w:r>
        <w:rPr>
          <w:rFonts w:ascii="Arial" w:hAnsi="Arial"/>
          <w:i/>
          <w:sz w:val="20"/>
        </w:rPr>
        <w:t>Sayers v International Drilling Co NV [1971] 1 W.L.R. 1176, 1183, 1186</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33" w:id="135"/>
      <w:bookmarkEnd w:id="135"/>
      <w:r>
        <w:rPr/>
      </w:r>
      <w:hyperlink w:history="true" w:anchor="_bookmark59">
        <w:r>
          <w:rPr>
            <w:color w:val="005DA1"/>
            <w:spacing w:val="-4"/>
            <w:position w:val="5"/>
            <w:sz w:val="14"/>
            <w:u w:val="single" w:color="005DA1"/>
          </w:rPr>
          <w:t>54</w:t>
        </w:r>
      </w:hyperlink>
      <w:r>
        <w:rPr>
          <w:spacing w:val="-4"/>
          <w:position w:val="5"/>
          <w:sz w:val="14"/>
        </w:rPr>
        <w:t>.</w:t>
      </w:r>
      <w:r>
        <w:rPr>
          <w:position w:val="5"/>
          <w:sz w:val="14"/>
        </w:rPr>
        <w:tab/>
      </w:r>
      <w:r>
        <w:rPr>
          <w:rFonts w:ascii="Arial" w:hAnsi="Arial"/>
          <w:i/>
          <w:sz w:val="20"/>
        </w:rPr>
        <w:t>Armadora</w:t>
      </w:r>
      <w:r>
        <w:rPr>
          <w:rFonts w:ascii="Arial" w:hAnsi="Arial"/>
          <w:i/>
          <w:spacing w:val="40"/>
          <w:sz w:val="20"/>
        </w:rPr>
        <w:t> </w:t>
      </w:r>
      <w:r>
        <w:rPr>
          <w:rFonts w:ascii="Arial" w:hAnsi="Arial"/>
          <w:i/>
          <w:sz w:val="20"/>
        </w:rPr>
        <w:t>Occidental</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Horace</w:t>
      </w:r>
      <w:r>
        <w:rPr>
          <w:rFonts w:ascii="Arial" w:hAnsi="Arial"/>
          <w:i/>
          <w:spacing w:val="40"/>
          <w:sz w:val="20"/>
        </w:rPr>
        <w:t> </w:t>
      </w:r>
      <w:r>
        <w:rPr>
          <w:rFonts w:ascii="Arial" w:hAnsi="Arial"/>
          <w:i/>
          <w:sz w:val="20"/>
        </w:rPr>
        <w:t>Mann</w:t>
      </w:r>
      <w:r>
        <w:rPr>
          <w:rFonts w:ascii="Arial" w:hAnsi="Arial"/>
          <w:i/>
          <w:spacing w:val="40"/>
          <w:sz w:val="20"/>
        </w:rPr>
        <w:t> </w:t>
      </w:r>
      <w:r>
        <w:rPr>
          <w:rFonts w:ascii="Arial" w:hAnsi="Arial"/>
          <w:i/>
          <w:sz w:val="20"/>
        </w:rPr>
        <w:t>Insurance</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[1977]</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1098</w:t>
      </w:r>
      <w:r>
        <w:rPr>
          <w:sz w:val="20"/>
        </w:rPr>
        <w:t>.</w:t>
      </w:r>
      <w:r>
        <w:rPr>
          <w:spacing w:val="40"/>
          <w:sz w:val="20"/>
        </w:rPr>
        <w:t> </w:t>
      </w:r>
      <w:r>
        <w:rPr>
          <w:sz w:val="20"/>
        </w:rPr>
        <w:t>cf.</w:t>
      </w:r>
      <w:r>
        <w:rPr>
          <w:spacing w:val="40"/>
          <w:sz w:val="20"/>
        </w:rPr>
        <w:t> </w:t>
      </w:r>
      <w:r>
        <w:rPr>
          <w:rFonts w:ascii="Arial" w:hAnsi="Arial"/>
          <w:i/>
          <w:sz w:val="20"/>
        </w:rPr>
        <w:t>King</w:t>
      </w:r>
      <w:r>
        <w:rPr>
          <w:rFonts w:ascii="Arial" w:hAnsi="Arial"/>
          <w:i/>
          <w:spacing w:val="40"/>
          <w:sz w:val="20"/>
        </w:rPr>
        <w:t> </w:t>
      </w:r>
      <w:r>
        <w:rPr>
          <w:rFonts w:ascii="Arial" w:hAnsi="Arial"/>
          <w:i/>
          <w:sz w:val="20"/>
        </w:rPr>
        <w:t>v Brandywine Reinsurance Co [2005] EWCA Civ 235, [2005] 1 Lloyd’s Rep. 655</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34" w:id="136"/>
      <w:bookmarkEnd w:id="136"/>
      <w:r>
        <w:rPr/>
      </w:r>
      <w:hyperlink w:history="true" w:anchor="_bookmark60">
        <w:r>
          <w:rPr>
            <w:color w:val="005DA1"/>
            <w:spacing w:val="-4"/>
            <w:position w:val="5"/>
            <w:sz w:val="14"/>
            <w:u w:val="single" w:color="005DA1"/>
          </w:rPr>
          <w:t>55</w:t>
        </w:r>
      </w:hyperlink>
      <w:r>
        <w:rPr>
          <w:spacing w:val="-4"/>
          <w:position w:val="5"/>
          <w:sz w:val="14"/>
        </w:rPr>
        <w:t>.</w:t>
      </w:r>
      <w:r>
        <w:rPr>
          <w:position w:val="5"/>
          <w:sz w:val="14"/>
        </w:rPr>
        <w:tab/>
      </w:r>
      <w:r>
        <w:rPr>
          <w:rFonts w:ascii="Arial"/>
          <w:i/>
          <w:sz w:val="20"/>
        </w:rPr>
        <w:t>Lloyd</w:t>
      </w:r>
      <w:r>
        <w:rPr>
          <w:rFonts w:ascii="Arial"/>
          <w:i/>
          <w:spacing w:val="67"/>
          <w:sz w:val="20"/>
        </w:rPr>
        <w:t> </w:t>
      </w:r>
      <w:r>
        <w:rPr>
          <w:rFonts w:ascii="Arial"/>
          <w:i/>
          <w:sz w:val="20"/>
        </w:rPr>
        <w:t>v</w:t>
      </w:r>
      <w:r>
        <w:rPr>
          <w:rFonts w:ascii="Arial"/>
          <w:i/>
          <w:spacing w:val="67"/>
          <w:sz w:val="20"/>
        </w:rPr>
        <w:t> </w:t>
      </w:r>
      <w:r>
        <w:rPr>
          <w:rFonts w:ascii="Arial"/>
          <w:i/>
          <w:sz w:val="20"/>
        </w:rPr>
        <w:t>Guibert</w:t>
      </w:r>
      <w:r>
        <w:rPr>
          <w:rFonts w:ascii="Arial"/>
          <w:i/>
          <w:spacing w:val="67"/>
          <w:sz w:val="20"/>
        </w:rPr>
        <w:t> </w:t>
      </w:r>
      <w:r>
        <w:rPr>
          <w:rFonts w:ascii="Arial"/>
          <w:i/>
          <w:sz w:val="20"/>
        </w:rPr>
        <w:t>(1865)</w:t>
      </w:r>
      <w:r>
        <w:rPr>
          <w:rFonts w:ascii="Arial"/>
          <w:i/>
          <w:spacing w:val="67"/>
          <w:sz w:val="20"/>
        </w:rPr>
        <w:t> </w:t>
      </w:r>
      <w:r>
        <w:rPr>
          <w:rFonts w:ascii="Arial"/>
          <w:i/>
          <w:sz w:val="20"/>
        </w:rPr>
        <w:t>L.R.</w:t>
      </w:r>
      <w:r>
        <w:rPr>
          <w:rFonts w:ascii="Arial"/>
          <w:i/>
          <w:spacing w:val="67"/>
          <w:sz w:val="20"/>
        </w:rPr>
        <w:t> </w:t>
      </w:r>
      <w:r>
        <w:rPr>
          <w:rFonts w:ascii="Arial"/>
          <w:i/>
          <w:sz w:val="20"/>
        </w:rPr>
        <w:t>1</w:t>
      </w:r>
      <w:r>
        <w:rPr>
          <w:rFonts w:ascii="Arial"/>
          <w:i/>
          <w:spacing w:val="67"/>
          <w:sz w:val="20"/>
        </w:rPr>
        <w:t> </w:t>
      </w:r>
      <w:r>
        <w:rPr>
          <w:rFonts w:ascii="Arial"/>
          <w:i/>
          <w:sz w:val="20"/>
        </w:rPr>
        <w:t>Q.B.</w:t>
      </w:r>
      <w:r>
        <w:rPr>
          <w:rFonts w:ascii="Arial"/>
          <w:i/>
          <w:spacing w:val="67"/>
          <w:sz w:val="20"/>
        </w:rPr>
        <w:t> </w:t>
      </w:r>
      <w:r>
        <w:rPr>
          <w:rFonts w:ascii="Arial"/>
          <w:i/>
          <w:sz w:val="20"/>
        </w:rPr>
        <w:t>115,</w:t>
      </w:r>
      <w:r>
        <w:rPr>
          <w:rFonts w:ascii="Arial"/>
          <w:i/>
          <w:spacing w:val="67"/>
          <w:sz w:val="20"/>
        </w:rPr>
        <w:t> </w:t>
      </w:r>
      <w:r>
        <w:rPr>
          <w:rFonts w:ascii="Arial"/>
          <w:i/>
          <w:sz w:val="20"/>
        </w:rPr>
        <w:t>122-123</w:t>
      </w:r>
      <w:r>
        <w:rPr>
          <w:sz w:val="20"/>
        </w:rPr>
        <w:t>;</w:t>
      </w:r>
      <w:r>
        <w:rPr>
          <w:spacing w:val="67"/>
          <w:sz w:val="20"/>
        </w:rPr>
        <w:t> </w:t>
      </w:r>
      <w:r>
        <w:rPr>
          <w:rFonts w:ascii="Arial"/>
          <w:i/>
          <w:sz w:val="20"/>
        </w:rPr>
        <w:t>British</w:t>
      </w:r>
      <w:r>
        <w:rPr>
          <w:rFonts w:ascii="Arial"/>
          <w:i/>
          <w:spacing w:val="67"/>
          <w:sz w:val="20"/>
        </w:rPr>
        <w:t> </w:t>
      </w:r>
      <w:r>
        <w:rPr>
          <w:rFonts w:ascii="Arial"/>
          <w:i/>
          <w:sz w:val="20"/>
        </w:rPr>
        <w:t>South</w:t>
      </w:r>
      <w:r>
        <w:rPr>
          <w:rFonts w:ascii="Arial"/>
          <w:i/>
          <w:spacing w:val="67"/>
          <w:sz w:val="20"/>
        </w:rPr>
        <w:t> </w:t>
      </w:r>
      <w:r>
        <w:rPr>
          <w:rFonts w:ascii="Arial"/>
          <w:i/>
          <w:sz w:val="20"/>
        </w:rPr>
        <w:t>Africa</w:t>
      </w:r>
      <w:r>
        <w:rPr>
          <w:rFonts w:ascii="Arial"/>
          <w:i/>
          <w:spacing w:val="67"/>
          <w:sz w:val="20"/>
        </w:rPr>
        <w:t> </w:t>
      </w:r>
      <w:r>
        <w:rPr>
          <w:rFonts w:ascii="Arial"/>
          <w:i/>
          <w:sz w:val="20"/>
        </w:rPr>
        <w:t>Co</w:t>
      </w:r>
      <w:r>
        <w:rPr>
          <w:rFonts w:ascii="Arial"/>
          <w:i/>
          <w:spacing w:val="67"/>
          <w:sz w:val="20"/>
        </w:rPr>
        <w:t> </w:t>
      </w:r>
      <w:r>
        <w:rPr>
          <w:rFonts w:ascii="Arial"/>
          <w:i/>
          <w:sz w:val="20"/>
        </w:rPr>
        <w:t>v</w:t>
      </w:r>
      <w:r>
        <w:rPr>
          <w:rFonts w:ascii="Arial"/>
          <w:i/>
          <w:spacing w:val="67"/>
          <w:sz w:val="20"/>
        </w:rPr>
        <w:t> </w:t>
      </w:r>
      <w:r>
        <w:rPr>
          <w:rFonts w:ascii="Arial"/>
          <w:i/>
          <w:sz w:val="20"/>
        </w:rPr>
        <w:t>De</w:t>
      </w:r>
      <w:r>
        <w:rPr>
          <w:rFonts w:ascii="Arial"/>
          <w:i/>
          <w:spacing w:val="67"/>
          <w:sz w:val="20"/>
        </w:rPr>
        <w:t> </w:t>
      </w:r>
      <w:r>
        <w:rPr>
          <w:rFonts w:ascii="Arial"/>
          <w:i/>
          <w:sz w:val="20"/>
        </w:rPr>
        <w:t>Beers Consolidated Mines Ltd [1910] 1 Ch. 354, 383</w:t>
      </w:r>
      <w:r>
        <w:rPr>
          <w:sz w:val="20"/>
        </w:rPr>
        <w:t>.</w:t>
      </w:r>
    </w:p>
    <w:p>
      <w:pPr>
        <w:pStyle w:val="BodyText"/>
        <w:spacing w:before="5"/>
      </w:pPr>
    </w:p>
    <w:p>
      <w:pPr>
        <w:tabs>
          <w:tab w:pos="705" w:val="left" w:leader="none"/>
        </w:tabs>
        <w:spacing w:before="0"/>
        <w:ind w:left="165" w:right="0" w:firstLine="0"/>
        <w:jc w:val="left"/>
        <w:rPr>
          <w:sz w:val="20"/>
        </w:rPr>
      </w:pPr>
      <w:bookmarkStart w:name="_bookmark135" w:id="137"/>
      <w:bookmarkEnd w:id="137"/>
      <w:r>
        <w:rPr/>
      </w:r>
      <w:hyperlink w:history="true" w:anchor="_bookmark60">
        <w:r>
          <w:rPr>
            <w:color w:val="005DA1"/>
            <w:spacing w:val="-5"/>
            <w:position w:val="5"/>
            <w:sz w:val="14"/>
            <w:u w:val="single" w:color="005DA1"/>
          </w:rPr>
          <w:t>56</w:t>
        </w:r>
      </w:hyperlink>
      <w:r>
        <w:rPr>
          <w:spacing w:val="-5"/>
          <w:position w:val="5"/>
          <w:sz w:val="14"/>
        </w:rPr>
        <w:t>.</w:t>
      </w:r>
      <w:r>
        <w:rPr>
          <w:position w:val="5"/>
          <w:sz w:val="14"/>
        </w:rPr>
        <w:tab/>
      </w:r>
      <w:r>
        <w:rPr>
          <w:rFonts w:ascii="Arial" w:hAnsi="Arial"/>
          <w:i/>
          <w:sz w:val="20"/>
        </w:rPr>
        <w:t>Jacobs</w:t>
      </w:r>
      <w:r>
        <w:rPr>
          <w:rFonts w:ascii="Arial" w:hAnsi="Arial"/>
          <w:i/>
          <w:spacing w:val="-1"/>
          <w:sz w:val="20"/>
        </w:rPr>
        <w:t> </w:t>
      </w:r>
      <w:r>
        <w:rPr>
          <w:rFonts w:ascii="Arial" w:hAnsi="Arial"/>
          <w:i/>
          <w:sz w:val="20"/>
        </w:rPr>
        <w:t>v Crédit Lyonnais (1884) 12 Q.B.D. 589</w:t>
      </w:r>
      <w:r>
        <w:rPr>
          <w:sz w:val="20"/>
        </w:rPr>
        <w:t>; </w:t>
      </w:r>
      <w:r>
        <w:rPr>
          <w:rFonts w:ascii="Arial" w:hAnsi="Arial"/>
          <w:i/>
          <w:sz w:val="20"/>
        </w:rPr>
        <w:t>Keiner v Keiner [1952] 1 All E.R. </w:t>
      </w:r>
      <w:r>
        <w:rPr>
          <w:rFonts w:ascii="Arial" w:hAnsi="Arial"/>
          <w:i/>
          <w:spacing w:val="-4"/>
          <w:sz w:val="20"/>
        </w:rPr>
        <w:t>643</w:t>
      </w:r>
      <w:r>
        <w:rPr>
          <w:spacing w:val="-4"/>
          <w:sz w:val="20"/>
        </w:rPr>
        <w:t>.</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136" w:id="138"/>
      <w:bookmarkEnd w:id="138"/>
      <w:r>
        <w:rPr/>
      </w:r>
      <w:hyperlink w:history="true" w:anchor="_bookmark60">
        <w:r>
          <w:rPr>
            <w:color w:val="005DA1"/>
            <w:spacing w:val="-5"/>
            <w:position w:val="5"/>
            <w:sz w:val="14"/>
            <w:u w:val="single" w:color="005DA1"/>
          </w:rPr>
          <w:t>57</w:t>
        </w:r>
      </w:hyperlink>
      <w:r>
        <w:rPr>
          <w:spacing w:val="-5"/>
          <w:position w:val="5"/>
          <w:sz w:val="14"/>
        </w:rPr>
        <w:t>.</w:t>
      </w:r>
      <w:r>
        <w:rPr>
          <w:position w:val="5"/>
          <w:sz w:val="14"/>
        </w:rPr>
        <w:tab/>
      </w:r>
      <w:r>
        <w:rPr>
          <w:rFonts w:ascii="Arial"/>
          <w:i/>
          <w:sz w:val="20"/>
        </w:rPr>
        <w:t>Re</w:t>
      </w:r>
      <w:r>
        <w:rPr>
          <w:rFonts w:ascii="Arial"/>
          <w:i/>
          <w:spacing w:val="21"/>
          <w:sz w:val="20"/>
        </w:rPr>
        <w:t> </w:t>
      </w:r>
      <w:r>
        <w:rPr>
          <w:rFonts w:ascii="Arial"/>
          <w:i/>
          <w:sz w:val="20"/>
        </w:rPr>
        <w:t>Missouri</w:t>
      </w:r>
      <w:r>
        <w:rPr>
          <w:rFonts w:ascii="Arial"/>
          <w:i/>
          <w:spacing w:val="22"/>
          <w:sz w:val="20"/>
        </w:rPr>
        <w:t> </w:t>
      </w:r>
      <w:r>
        <w:rPr>
          <w:rFonts w:ascii="Arial"/>
          <w:i/>
          <w:sz w:val="20"/>
        </w:rPr>
        <w:t>Steamship</w:t>
      </w:r>
      <w:r>
        <w:rPr>
          <w:rFonts w:ascii="Arial"/>
          <w:i/>
          <w:spacing w:val="22"/>
          <w:sz w:val="20"/>
        </w:rPr>
        <w:t> </w:t>
      </w:r>
      <w:r>
        <w:rPr>
          <w:rFonts w:ascii="Arial"/>
          <w:i/>
          <w:sz w:val="20"/>
        </w:rPr>
        <w:t>Co</w:t>
      </w:r>
      <w:r>
        <w:rPr>
          <w:rFonts w:ascii="Arial"/>
          <w:i/>
          <w:spacing w:val="22"/>
          <w:sz w:val="20"/>
        </w:rPr>
        <w:t> </w:t>
      </w:r>
      <w:r>
        <w:rPr>
          <w:rFonts w:ascii="Arial"/>
          <w:i/>
          <w:sz w:val="20"/>
        </w:rPr>
        <w:t>(1889)</w:t>
      </w:r>
      <w:r>
        <w:rPr>
          <w:rFonts w:ascii="Arial"/>
          <w:i/>
          <w:spacing w:val="22"/>
          <w:sz w:val="20"/>
        </w:rPr>
        <w:t> </w:t>
      </w:r>
      <w:r>
        <w:rPr>
          <w:rFonts w:ascii="Arial"/>
          <w:i/>
          <w:sz w:val="20"/>
        </w:rPr>
        <w:t>42</w:t>
      </w:r>
      <w:r>
        <w:rPr>
          <w:rFonts w:ascii="Arial"/>
          <w:i/>
          <w:spacing w:val="22"/>
          <w:sz w:val="20"/>
        </w:rPr>
        <w:t> </w:t>
      </w:r>
      <w:r>
        <w:rPr>
          <w:rFonts w:ascii="Arial"/>
          <w:i/>
          <w:sz w:val="20"/>
        </w:rPr>
        <w:t>Ch.</w:t>
      </w:r>
      <w:r>
        <w:rPr>
          <w:rFonts w:ascii="Arial"/>
          <w:i/>
          <w:spacing w:val="22"/>
          <w:sz w:val="20"/>
        </w:rPr>
        <w:t> </w:t>
      </w:r>
      <w:r>
        <w:rPr>
          <w:rFonts w:ascii="Arial"/>
          <w:i/>
          <w:sz w:val="20"/>
        </w:rPr>
        <w:t>D.</w:t>
      </w:r>
      <w:r>
        <w:rPr>
          <w:rFonts w:ascii="Arial"/>
          <w:i/>
          <w:spacing w:val="22"/>
          <w:sz w:val="20"/>
        </w:rPr>
        <w:t> </w:t>
      </w:r>
      <w:r>
        <w:rPr>
          <w:rFonts w:ascii="Arial"/>
          <w:i/>
          <w:sz w:val="20"/>
        </w:rPr>
        <w:t>321,</w:t>
      </w:r>
      <w:r>
        <w:rPr>
          <w:rFonts w:ascii="Arial"/>
          <w:i/>
          <w:spacing w:val="22"/>
          <w:sz w:val="20"/>
        </w:rPr>
        <w:t> </w:t>
      </w:r>
      <w:r>
        <w:rPr>
          <w:rFonts w:ascii="Arial"/>
          <w:i/>
          <w:sz w:val="20"/>
        </w:rPr>
        <w:t>328-329</w:t>
      </w:r>
      <w:r>
        <w:rPr>
          <w:sz w:val="20"/>
        </w:rPr>
        <w:t>;</w:t>
      </w:r>
      <w:r>
        <w:rPr>
          <w:spacing w:val="22"/>
          <w:sz w:val="20"/>
        </w:rPr>
        <w:t> </w:t>
      </w:r>
      <w:r>
        <w:rPr>
          <w:rFonts w:ascii="Arial"/>
          <w:i/>
          <w:sz w:val="20"/>
        </w:rPr>
        <w:t>Sayers</w:t>
      </w:r>
      <w:r>
        <w:rPr>
          <w:rFonts w:ascii="Arial"/>
          <w:i/>
          <w:spacing w:val="22"/>
          <w:sz w:val="20"/>
        </w:rPr>
        <w:t> </w:t>
      </w:r>
      <w:r>
        <w:rPr>
          <w:rFonts w:ascii="Arial"/>
          <w:i/>
          <w:sz w:val="20"/>
        </w:rPr>
        <w:t>v</w:t>
      </w:r>
      <w:r>
        <w:rPr>
          <w:rFonts w:ascii="Arial"/>
          <w:i/>
          <w:spacing w:val="22"/>
          <w:sz w:val="20"/>
        </w:rPr>
        <w:t> </w:t>
      </w:r>
      <w:r>
        <w:rPr>
          <w:rFonts w:ascii="Arial"/>
          <w:i/>
          <w:sz w:val="20"/>
        </w:rPr>
        <w:t>International</w:t>
      </w:r>
      <w:r>
        <w:rPr>
          <w:rFonts w:ascii="Arial"/>
          <w:i/>
          <w:spacing w:val="22"/>
          <w:sz w:val="20"/>
        </w:rPr>
        <w:t> </w:t>
      </w:r>
      <w:r>
        <w:rPr>
          <w:rFonts w:ascii="Arial"/>
          <w:i/>
          <w:sz w:val="20"/>
        </w:rPr>
        <w:t>Drilling</w:t>
      </w:r>
      <w:r>
        <w:rPr>
          <w:rFonts w:ascii="Arial"/>
          <w:i/>
          <w:spacing w:val="22"/>
          <w:sz w:val="20"/>
        </w:rPr>
        <w:t> </w:t>
      </w:r>
      <w:r>
        <w:rPr>
          <w:rFonts w:ascii="Arial"/>
          <w:i/>
          <w:spacing w:val="-5"/>
          <w:sz w:val="20"/>
        </w:rPr>
        <w:t>Co</w:t>
      </w:r>
    </w:p>
    <w:p>
      <w:pPr>
        <w:spacing w:line="227" w:lineRule="exact" w:before="0"/>
        <w:ind w:left="705" w:right="0" w:firstLine="0"/>
        <w:jc w:val="left"/>
        <w:rPr>
          <w:sz w:val="20"/>
        </w:rPr>
      </w:pPr>
      <w:r>
        <w:rPr>
          <w:rFonts w:ascii="Arial"/>
          <w:i/>
          <w:sz w:val="20"/>
        </w:rPr>
        <w:t>NV [1971] 1 W.L.R. 1176, </w:t>
      </w:r>
      <w:r>
        <w:rPr>
          <w:rFonts w:ascii="Arial"/>
          <w:i/>
          <w:spacing w:val="-2"/>
          <w:sz w:val="20"/>
        </w:rPr>
        <w:t>1183</w:t>
      </w:r>
      <w:r>
        <w:rPr>
          <w:spacing w:val="-2"/>
          <w:sz w:val="20"/>
        </w:rPr>
        <w:t>.</w:t>
      </w:r>
    </w:p>
    <w:p>
      <w:pPr>
        <w:pStyle w:val="BodyText"/>
        <w:spacing w:before="8"/>
      </w:pPr>
    </w:p>
    <w:p>
      <w:pPr>
        <w:spacing w:line="235" w:lineRule="auto" w:before="0"/>
        <w:ind w:left="705" w:right="168" w:hanging="541"/>
        <w:jc w:val="both"/>
        <w:rPr>
          <w:rFonts w:ascii="Arial" w:hAnsi="Arial"/>
          <w:i/>
          <w:sz w:val="20"/>
        </w:rPr>
      </w:pPr>
      <w:bookmarkStart w:name="_bookmark137" w:id="139"/>
      <w:bookmarkEnd w:id="139"/>
      <w:r>
        <w:rPr/>
      </w:r>
      <w:hyperlink w:history="true" w:anchor="_bookmark61">
        <w:r>
          <w:rPr>
            <w:color w:val="005DA1"/>
            <w:position w:val="5"/>
            <w:sz w:val="14"/>
            <w:u w:val="single" w:color="005DA1"/>
          </w:rPr>
          <w:t>58</w:t>
        </w:r>
      </w:hyperlink>
      <w:r>
        <w:rPr>
          <w:position w:val="5"/>
          <w:sz w:val="14"/>
        </w:rPr>
        <w:t>.</w:t>
      </w:r>
      <w:r>
        <w:rPr>
          <w:spacing w:val="80"/>
          <w:position w:val="5"/>
          <w:sz w:val="14"/>
        </w:rPr>
        <w:t>  </w:t>
      </w:r>
      <w:r>
        <w:rPr>
          <w:sz w:val="20"/>
        </w:rPr>
        <w:t>e.g.</w:t>
      </w:r>
      <w:r>
        <w:rPr>
          <w:spacing w:val="40"/>
          <w:sz w:val="20"/>
        </w:rPr>
        <w:t> </w:t>
      </w:r>
      <w:r>
        <w:rPr>
          <w:rFonts w:ascii="Arial" w:hAnsi="Arial"/>
          <w:i/>
          <w:sz w:val="20"/>
        </w:rPr>
        <w:t>The</w:t>
      </w:r>
      <w:r>
        <w:rPr>
          <w:rFonts w:ascii="Arial" w:hAnsi="Arial"/>
          <w:i/>
          <w:spacing w:val="40"/>
          <w:sz w:val="20"/>
        </w:rPr>
        <w:t> </w:t>
      </w:r>
      <w:r>
        <w:rPr>
          <w:rFonts w:ascii="Arial" w:hAnsi="Arial"/>
          <w:i/>
          <w:sz w:val="20"/>
        </w:rPr>
        <w:t>Adriatic</w:t>
      </w:r>
      <w:r>
        <w:rPr>
          <w:rFonts w:ascii="Arial" w:hAnsi="Arial"/>
          <w:i/>
          <w:spacing w:val="40"/>
          <w:sz w:val="20"/>
        </w:rPr>
        <w:t> </w:t>
      </w:r>
      <w:r>
        <w:rPr>
          <w:rFonts w:ascii="Arial" w:hAnsi="Arial"/>
          <w:i/>
          <w:sz w:val="20"/>
        </w:rPr>
        <w:t>[1931]</w:t>
      </w:r>
      <w:r>
        <w:rPr>
          <w:rFonts w:ascii="Arial" w:hAnsi="Arial"/>
          <w:i/>
          <w:spacing w:val="40"/>
          <w:sz w:val="20"/>
        </w:rPr>
        <w:t> </w:t>
      </w:r>
      <w:r>
        <w:rPr>
          <w:rFonts w:ascii="Arial" w:hAnsi="Arial"/>
          <w:i/>
          <w:sz w:val="20"/>
        </w:rPr>
        <w:t>P.</w:t>
      </w:r>
      <w:r>
        <w:rPr>
          <w:rFonts w:ascii="Arial" w:hAnsi="Arial"/>
          <w:i/>
          <w:spacing w:val="40"/>
          <w:sz w:val="20"/>
        </w:rPr>
        <w:t> </w:t>
      </w:r>
      <w:r>
        <w:rPr>
          <w:rFonts w:ascii="Arial" w:hAnsi="Arial"/>
          <w:i/>
          <w:sz w:val="20"/>
        </w:rPr>
        <w:t>241,</w:t>
      </w:r>
      <w:r>
        <w:rPr>
          <w:rFonts w:ascii="Arial" w:hAnsi="Arial"/>
          <w:i/>
          <w:spacing w:val="40"/>
          <w:sz w:val="20"/>
        </w:rPr>
        <w:t> </w:t>
      </w:r>
      <w:r>
        <w:rPr>
          <w:rFonts w:ascii="Arial" w:hAnsi="Arial"/>
          <w:i/>
          <w:sz w:val="20"/>
        </w:rPr>
        <w:t>247</w:t>
      </w:r>
      <w:r>
        <w:rPr>
          <w:sz w:val="20"/>
        </w:rPr>
        <w:t>;</w:t>
      </w:r>
      <w:r>
        <w:rPr>
          <w:spacing w:val="40"/>
          <w:sz w:val="20"/>
        </w:rPr>
        <w:t> </w:t>
      </w:r>
      <w:r>
        <w:rPr>
          <w:rFonts w:ascii="Arial" w:hAnsi="Arial"/>
          <w:i/>
          <w:sz w:val="20"/>
        </w:rPr>
        <w:t>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International</w:t>
      </w:r>
      <w:r>
        <w:rPr>
          <w:rFonts w:ascii="Arial" w:hAnsi="Arial"/>
          <w:i/>
          <w:spacing w:val="40"/>
          <w:sz w:val="20"/>
        </w:rPr>
        <w:t> </w:t>
      </w:r>
      <w:r>
        <w:rPr>
          <w:rFonts w:ascii="Arial" w:hAnsi="Arial"/>
          <w:i/>
          <w:sz w:val="20"/>
        </w:rPr>
        <w:t>Trustee</w:t>
      </w:r>
      <w:r>
        <w:rPr>
          <w:rFonts w:ascii="Arial" w:hAnsi="Arial"/>
          <w:i/>
          <w:spacing w:val="40"/>
          <w:sz w:val="20"/>
        </w:rPr>
        <w:t> </w:t>
      </w:r>
      <w:r>
        <w:rPr>
          <w:rFonts w:ascii="Arial" w:hAnsi="Arial"/>
          <w:i/>
          <w:sz w:val="20"/>
        </w:rPr>
        <w:t>for</w:t>
      </w:r>
      <w:r>
        <w:rPr>
          <w:rFonts w:ascii="Arial" w:hAnsi="Arial"/>
          <w:i/>
          <w:spacing w:val="40"/>
          <w:sz w:val="20"/>
        </w:rPr>
        <w:t> </w:t>
      </w:r>
      <w:r>
        <w:rPr>
          <w:rFonts w:ascii="Arial" w:hAnsi="Arial"/>
          <w:i/>
          <w:sz w:val="20"/>
        </w:rPr>
        <w:t>the</w:t>
      </w:r>
      <w:r>
        <w:rPr>
          <w:rFonts w:ascii="Arial" w:hAnsi="Arial"/>
          <w:i/>
          <w:spacing w:val="40"/>
          <w:sz w:val="20"/>
        </w:rPr>
        <w:t> </w:t>
      </w:r>
      <w:r>
        <w:rPr>
          <w:rFonts w:ascii="Arial" w:hAnsi="Arial"/>
          <w:i/>
          <w:sz w:val="20"/>
        </w:rPr>
        <w:t>Protection</w:t>
      </w:r>
      <w:r>
        <w:rPr>
          <w:rFonts w:ascii="Arial" w:hAnsi="Arial"/>
          <w:i/>
          <w:spacing w:val="40"/>
          <w:sz w:val="20"/>
        </w:rPr>
        <w:t> </w:t>
      </w:r>
      <w:r>
        <w:rPr>
          <w:rFonts w:ascii="Arial" w:hAnsi="Arial"/>
          <w:i/>
          <w:sz w:val="20"/>
        </w:rPr>
        <w:t>of Bondholders</w:t>
      </w:r>
      <w:r>
        <w:rPr>
          <w:rFonts w:ascii="Arial" w:hAnsi="Arial"/>
          <w:i/>
          <w:spacing w:val="-1"/>
          <w:sz w:val="20"/>
        </w:rPr>
        <w:t> </w:t>
      </w:r>
      <w:r>
        <w:rPr>
          <w:rFonts w:ascii="Arial" w:hAnsi="Arial"/>
          <w:i/>
          <w:sz w:val="20"/>
        </w:rPr>
        <w:t>AG [1937] A.C. 500, 554, 558</w:t>
      </w:r>
      <w:r>
        <w:rPr>
          <w:sz w:val="20"/>
        </w:rPr>
        <w:t>; </w:t>
      </w:r>
      <w:r>
        <w:rPr>
          <w:rFonts w:ascii="Arial" w:hAnsi="Arial"/>
          <w:i/>
          <w:sz w:val="20"/>
        </w:rPr>
        <w:t>The</w:t>
      </w:r>
      <w:r>
        <w:rPr>
          <w:rFonts w:ascii="Arial" w:hAnsi="Arial"/>
          <w:i/>
          <w:spacing w:val="-1"/>
          <w:sz w:val="20"/>
        </w:rPr>
        <w:t> </w:t>
      </w:r>
      <w:r>
        <w:rPr>
          <w:rFonts w:ascii="Arial" w:hAnsi="Arial"/>
          <w:i/>
          <w:sz w:val="20"/>
        </w:rPr>
        <w:t>Freights Queen [1977] 1 Lloyd’s Rep. 140</w:t>
      </w:r>
      <w:r>
        <w:rPr>
          <w:sz w:val="20"/>
        </w:rPr>
        <w:t>; </w:t>
      </w:r>
      <w:r>
        <w:rPr>
          <w:rFonts w:ascii="Arial" w:hAnsi="Arial"/>
          <w:i/>
          <w:spacing w:val="-5"/>
          <w:sz w:val="20"/>
        </w:rPr>
        <w:t>The</w:t>
      </w:r>
    </w:p>
    <w:p>
      <w:pPr>
        <w:spacing w:line="235" w:lineRule="auto" w:before="0"/>
        <w:ind w:left="705" w:right="168" w:firstLine="0"/>
        <w:jc w:val="both"/>
        <w:rPr>
          <w:sz w:val="20"/>
        </w:rPr>
      </w:pPr>
      <w:r>
        <w:rPr>
          <w:rFonts w:ascii="Arial" w:hAnsi="Arial"/>
          <w:i/>
          <w:sz w:val="20"/>
        </w:rPr>
        <w:t>Broken Hill Pty Co Ltd v Theodore Xenakis [1982] 2 Lloyd’s Rep. 304</w:t>
      </w:r>
      <w:r>
        <w:rPr>
          <w:sz w:val="20"/>
        </w:rPr>
        <w:t>; </w:t>
      </w:r>
      <w:r>
        <w:rPr>
          <w:rFonts w:ascii="Arial" w:hAnsi="Arial"/>
          <w:i/>
          <w:sz w:val="20"/>
        </w:rPr>
        <w:t>The Elli 2 [1985] 1</w:t>
      </w:r>
      <w:r>
        <w:rPr>
          <w:rFonts w:ascii="Arial" w:hAnsi="Arial"/>
          <w:i/>
          <w:spacing w:val="40"/>
          <w:sz w:val="20"/>
        </w:rPr>
        <w:t> </w:t>
      </w:r>
      <w:r>
        <w:rPr>
          <w:rFonts w:ascii="Arial" w:hAnsi="Arial"/>
          <w:i/>
          <w:sz w:val="20"/>
        </w:rPr>
        <w:t>Lloyd’s Rep. 107</w:t>
      </w:r>
      <w:r>
        <w:rPr>
          <w:sz w:val="20"/>
        </w:rPr>
        <w:t>; </w:t>
      </w:r>
      <w:r>
        <w:rPr>
          <w:rFonts w:ascii="Arial" w:hAnsi="Arial"/>
          <w:i/>
          <w:sz w:val="20"/>
        </w:rPr>
        <w:t>Turkiye Is Bankasi A.S. v Bank of China [1993] 1 Lloyd’s Rep. 132</w:t>
      </w:r>
      <w:r>
        <w:rPr>
          <w:sz w:val="20"/>
        </w:rPr>
        <w:t>; </w:t>
      </w:r>
      <w:r>
        <w:rPr>
          <w:rFonts w:ascii="Arial" w:hAnsi="Arial"/>
          <w:i/>
          <w:sz w:val="20"/>
        </w:rPr>
        <w:t>Wahda Bank v Arab Bank Plc [1996] 1 Lloyd’s Rep. 470</w:t>
      </w:r>
      <w:r>
        <w:rPr>
          <w:sz w:val="20"/>
        </w:rPr>
        <w:t>; cf. </w:t>
      </w:r>
      <w:r>
        <w:rPr>
          <w:rFonts w:ascii="Arial" w:hAnsi="Arial"/>
          <w:i/>
          <w:sz w:val="20"/>
        </w:rPr>
        <w:t>The Metamorphosis [1953] 1 W.L.R. </w:t>
      </w:r>
      <w:r>
        <w:rPr>
          <w:rFonts w:ascii="Arial" w:hAnsi="Arial"/>
          <w:i/>
          <w:sz w:val="20"/>
        </w:rPr>
        <w:t>543</w:t>
      </w:r>
      <w:r>
        <w:rPr>
          <w:sz w:val="20"/>
        </w:rPr>
        <w:t>; </w:t>
      </w:r>
      <w:r>
        <w:rPr>
          <w:rFonts w:ascii="Arial" w:hAnsi="Arial"/>
          <w:i/>
          <w:sz w:val="20"/>
        </w:rPr>
        <w:t>Forsikringsaktieselskapet Vesta v Butcher [1989] A.C. 852</w:t>
      </w:r>
      <w:r>
        <w:rPr>
          <w:sz w:val="20"/>
        </w:rPr>
        <w:t>; </w:t>
      </w:r>
      <w:r>
        <w:rPr>
          <w:rFonts w:ascii="Arial" w:hAnsi="Arial"/>
          <w:i/>
          <w:sz w:val="20"/>
        </w:rPr>
        <w:t>Attock Cement Co Ltd v Romanian Bank for Foreign Trade [1989] 1 W.L.R. 1147</w:t>
      </w:r>
      <w:r>
        <w:rPr>
          <w:sz w:val="20"/>
        </w:rPr>
        <w:t>; </w:t>
      </w:r>
      <w:r>
        <w:rPr>
          <w:rFonts w:ascii="Arial" w:hAnsi="Arial"/>
          <w:i/>
          <w:sz w:val="20"/>
        </w:rPr>
        <w:t>Gan Insurance Co Ltd v Tai Ping Insurance Co Ltd [1999] 2 All E.R. (Comm) 54 </w:t>
      </w:r>
      <w:r>
        <w:rPr>
          <w:sz w:val="20"/>
        </w:rPr>
        <w:t>(a case on the Rome Convention). See also </w:t>
      </w:r>
      <w:r>
        <w:rPr>
          <w:rFonts w:ascii="Arial" w:hAnsi="Arial"/>
          <w:i/>
          <w:sz w:val="20"/>
        </w:rPr>
        <w:t>Groupama Navigation et Transports v Catatumbo C.A. Seguros [2000] 2 All E.R. (Comm) 193</w:t>
      </w:r>
      <w:r>
        <w:rPr>
          <w:sz w:val="20"/>
        </w:rPr>
        <w:t>; </w:t>
      </w:r>
      <w:r>
        <w:rPr>
          <w:rFonts w:ascii="Arial" w:hAnsi="Arial"/>
          <w:i/>
          <w:sz w:val="20"/>
        </w:rPr>
        <w:t>Lexington Insurance Co v AGF Insurance Ltd [2009] UKHL 40, [2010] 1 A.C. 180</w:t>
      </w:r>
      <w:r>
        <w:rPr>
          <w:sz w:val="20"/>
        </w:rPr>
        <w:t>.</w:t>
      </w:r>
    </w:p>
    <w:p>
      <w:pPr>
        <w:pStyle w:val="BodyText"/>
        <w:spacing w:before="3"/>
      </w:pPr>
    </w:p>
    <w:p>
      <w:pPr>
        <w:tabs>
          <w:tab w:pos="705" w:val="left" w:leader="none"/>
        </w:tabs>
        <w:spacing w:before="0"/>
        <w:ind w:left="165" w:right="0" w:firstLine="0"/>
        <w:jc w:val="left"/>
        <w:rPr>
          <w:sz w:val="20"/>
        </w:rPr>
      </w:pPr>
      <w:bookmarkStart w:name="_bookmark138" w:id="140"/>
      <w:bookmarkEnd w:id="140"/>
      <w:r>
        <w:rPr/>
      </w:r>
      <w:hyperlink w:history="true" w:anchor="_bookmark62">
        <w:r>
          <w:rPr>
            <w:color w:val="005DA1"/>
            <w:spacing w:val="-5"/>
            <w:position w:val="5"/>
            <w:sz w:val="14"/>
            <w:u w:val="single" w:color="005DA1"/>
          </w:rPr>
          <w:t>59</w:t>
        </w:r>
      </w:hyperlink>
      <w:r>
        <w:rPr>
          <w:spacing w:val="-5"/>
          <w:position w:val="5"/>
          <w:sz w:val="14"/>
        </w:rPr>
        <w:t>.</w:t>
      </w:r>
      <w:r>
        <w:rPr>
          <w:position w:val="5"/>
          <w:sz w:val="14"/>
        </w:rPr>
        <w:tab/>
      </w:r>
      <w:r>
        <w:rPr>
          <w:rFonts w:ascii="Arial"/>
          <w:i/>
          <w:sz w:val="20"/>
        </w:rPr>
        <w:t>R. v International Trustee for the Protection of Bondholders AG [1937] A.C. 500, 554, </w:t>
      </w:r>
      <w:r>
        <w:rPr>
          <w:rFonts w:ascii="Arial"/>
          <w:i/>
          <w:spacing w:val="-4"/>
          <w:sz w:val="20"/>
        </w:rPr>
        <w:t>557</w:t>
      </w:r>
      <w:r>
        <w:rPr>
          <w:spacing w:val="-4"/>
          <w:sz w:val="20"/>
        </w:rPr>
        <w:t>.</w:t>
      </w:r>
    </w:p>
    <w:p>
      <w:pPr>
        <w:pStyle w:val="BodyText"/>
        <w:spacing w:before="8"/>
      </w:pPr>
    </w:p>
    <w:p>
      <w:pPr>
        <w:spacing w:line="235" w:lineRule="auto" w:before="1"/>
        <w:ind w:left="705" w:right="168" w:hanging="541"/>
        <w:jc w:val="both"/>
        <w:rPr>
          <w:sz w:val="20"/>
        </w:rPr>
      </w:pPr>
      <w:bookmarkStart w:name="_bookmark139" w:id="141"/>
      <w:bookmarkEnd w:id="141"/>
      <w:r>
        <w:rPr/>
      </w:r>
      <w:hyperlink w:history="true" w:anchor="_bookmark63">
        <w:r>
          <w:rPr>
            <w:color w:val="005DA1"/>
            <w:position w:val="5"/>
            <w:sz w:val="14"/>
            <w:u w:val="single" w:color="005DA1"/>
          </w:rPr>
          <w:t>60</w:t>
        </w:r>
      </w:hyperlink>
      <w:r>
        <w:rPr>
          <w:position w:val="5"/>
          <w:sz w:val="14"/>
        </w:rPr>
        <w:t>.</w:t>
      </w:r>
      <w:r>
        <w:rPr>
          <w:spacing w:val="80"/>
          <w:position w:val="5"/>
          <w:sz w:val="14"/>
        </w:rPr>
        <w:t>  </w:t>
      </w:r>
      <w:r>
        <w:rPr>
          <w:rFonts w:ascii="Arial" w:hAnsi="Arial"/>
          <w:i/>
          <w:sz w:val="20"/>
        </w:rPr>
        <w:t>P. &amp; O. Steam Navigation Co v Shand (1865) 3 Moo. P.C.(N.S.) 272</w:t>
      </w:r>
      <w:r>
        <w:rPr>
          <w:sz w:val="20"/>
        </w:rPr>
        <w:t>; </w:t>
      </w:r>
      <w:r>
        <w:rPr>
          <w:rFonts w:ascii="Arial" w:hAnsi="Arial"/>
          <w:i/>
          <w:sz w:val="20"/>
        </w:rPr>
        <w:t>Re Missouri S.S. Co</w:t>
      </w:r>
      <w:r>
        <w:rPr>
          <w:rFonts w:ascii="Arial" w:hAnsi="Arial"/>
          <w:i/>
          <w:spacing w:val="80"/>
          <w:sz w:val="20"/>
        </w:rPr>
        <w:t> </w:t>
      </w:r>
      <w:r>
        <w:rPr>
          <w:rFonts w:ascii="Arial" w:hAnsi="Arial"/>
          <w:i/>
          <w:sz w:val="20"/>
        </w:rPr>
        <w:t>(1889) 42 Ch. D. 321, 341</w:t>
      </w:r>
      <w:r>
        <w:rPr>
          <w:sz w:val="20"/>
        </w:rPr>
        <w:t>; </w:t>
      </w:r>
      <w:r>
        <w:rPr>
          <w:rFonts w:ascii="Arial" w:hAnsi="Arial"/>
          <w:i/>
          <w:sz w:val="20"/>
        </w:rPr>
        <w:t>South African Breweries Ltd v King [1899] 2 Ch. 173, 180-</w:t>
      </w:r>
      <w:r>
        <w:rPr>
          <w:rFonts w:ascii="Arial" w:hAnsi="Arial"/>
          <w:i/>
          <w:sz w:val="20"/>
        </w:rPr>
        <w:t>181</w:t>
      </w:r>
      <w:r>
        <w:rPr>
          <w:sz w:val="20"/>
        </w:rPr>
        <w:t>; </w:t>
      </w:r>
      <w:r>
        <w:rPr>
          <w:rFonts w:ascii="Arial" w:hAnsi="Arial"/>
          <w:i/>
          <w:sz w:val="20"/>
        </w:rPr>
        <w:t>Coast Lines Ltd v Hudig and Veder Chartering NV [1972] 2 Q.B. 34, 44, 48</w:t>
      </w:r>
      <w:r>
        <w:rPr>
          <w:sz w:val="20"/>
        </w:rPr>
        <w:t>; </w:t>
      </w:r>
      <w:r>
        <w:rPr>
          <w:rFonts w:ascii="Arial" w:hAnsi="Arial"/>
          <w:i/>
          <w:sz w:val="20"/>
        </w:rPr>
        <w:t>S.C.F. Finance Co Ltd v Masri [1986] 1 Lloyd’s Rep. 293, 304</w:t>
      </w:r>
      <w:r>
        <w:rPr>
          <w:sz w:val="20"/>
        </w:rPr>
        <w:t>.</w:t>
      </w:r>
    </w:p>
    <w:p>
      <w:pPr>
        <w:pStyle w:val="BodyText"/>
        <w:spacing w:before="8"/>
      </w:pPr>
    </w:p>
    <w:p>
      <w:pPr>
        <w:spacing w:line="235" w:lineRule="auto" w:before="0"/>
        <w:ind w:left="705" w:right="169" w:hanging="541"/>
        <w:jc w:val="both"/>
        <w:rPr>
          <w:sz w:val="20"/>
        </w:rPr>
      </w:pPr>
      <w:bookmarkStart w:name="_bookmark140" w:id="142"/>
      <w:bookmarkEnd w:id="142"/>
      <w:r>
        <w:rPr/>
      </w:r>
      <w:hyperlink w:history="true" w:anchor="_bookmark64">
        <w:r>
          <w:rPr>
            <w:color w:val="005DA1"/>
            <w:position w:val="5"/>
            <w:sz w:val="14"/>
            <w:u w:val="single" w:color="005DA1"/>
          </w:rPr>
          <w:t>61</w:t>
        </w:r>
      </w:hyperlink>
      <w:r>
        <w:rPr>
          <w:position w:val="5"/>
          <w:sz w:val="14"/>
        </w:rPr>
        <w:t>.</w:t>
      </w:r>
      <w:r>
        <w:rPr>
          <w:spacing w:val="80"/>
          <w:position w:val="5"/>
          <w:sz w:val="14"/>
        </w:rPr>
        <w:t>  </w:t>
      </w:r>
      <w:r>
        <w:rPr>
          <w:rFonts w:ascii="Arial" w:hAnsi="Arial"/>
          <w:i/>
          <w:sz w:val="20"/>
        </w:rPr>
        <w:t>British South Africa Co v De Beers Consolidated Mines Ltd [1910] 2 Ch. 502, 513 </w:t>
      </w:r>
      <w:r>
        <w:rPr>
          <w:sz w:val="20"/>
        </w:rPr>
        <w:t>(not of “much weight”); </w:t>
      </w:r>
      <w:r>
        <w:rPr>
          <w:rFonts w:ascii="Arial" w:hAnsi="Arial"/>
          <w:i/>
          <w:sz w:val="20"/>
        </w:rPr>
        <w:t>Sayers v International Drilling Co NV [1971] 1 W.L.R. 1176, 1184 </w:t>
      </w:r>
      <w:r>
        <w:rPr>
          <w:sz w:val="20"/>
        </w:rPr>
        <w:t>(a “pointer”, the importance</w:t>
      </w:r>
      <w:r>
        <w:rPr>
          <w:spacing w:val="-1"/>
          <w:sz w:val="20"/>
        </w:rPr>
        <w:t> </w:t>
      </w:r>
      <w:r>
        <w:rPr>
          <w:sz w:val="20"/>
        </w:rPr>
        <w:t>of</w:t>
      </w:r>
      <w:r>
        <w:rPr>
          <w:spacing w:val="-1"/>
          <w:sz w:val="20"/>
        </w:rPr>
        <w:t> </w:t>
      </w:r>
      <w:r>
        <w:rPr>
          <w:sz w:val="20"/>
        </w:rPr>
        <w:t>which</w:t>
      </w:r>
      <w:r>
        <w:rPr>
          <w:spacing w:val="-1"/>
          <w:sz w:val="20"/>
        </w:rPr>
        <w:t> </w:t>
      </w:r>
      <w:r>
        <w:rPr>
          <w:sz w:val="20"/>
        </w:rPr>
        <w:t>“must</w:t>
      </w:r>
      <w:r>
        <w:rPr>
          <w:spacing w:val="-1"/>
          <w:sz w:val="20"/>
        </w:rPr>
        <w:t> </w:t>
      </w:r>
      <w:r>
        <w:rPr>
          <w:sz w:val="20"/>
        </w:rPr>
        <w:t>not</w:t>
      </w:r>
      <w:r>
        <w:rPr>
          <w:spacing w:val="-1"/>
          <w:sz w:val="20"/>
        </w:rPr>
        <w:t> </w:t>
      </w:r>
      <w:r>
        <w:rPr>
          <w:sz w:val="20"/>
        </w:rPr>
        <w:t>be</w:t>
      </w:r>
      <w:r>
        <w:rPr>
          <w:spacing w:val="-1"/>
          <w:sz w:val="20"/>
        </w:rPr>
        <w:t> </w:t>
      </w:r>
      <w:r>
        <w:rPr>
          <w:sz w:val="20"/>
        </w:rPr>
        <w:t>exaggerated”);</w:t>
      </w:r>
      <w:r>
        <w:rPr>
          <w:spacing w:val="-1"/>
          <w:sz w:val="20"/>
        </w:rPr>
        <w:t> </w:t>
      </w:r>
      <w:r>
        <w:rPr>
          <w:rFonts w:ascii="Arial" w:hAnsi="Arial"/>
          <w:i/>
          <w:sz w:val="20"/>
        </w:rPr>
        <w:t>Coast</w:t>
      </w:r>
      <w:r>
        <w:rPr>
          <w:rFonts w:ascii="Arial" w:hAnsi="Arial"/>
          <w:i/>
          <w:spacing w:val="-1"/>
          <w:sz w:val="20"/>
        </w:rPr>
        <w:t> </w:t>
      </w:r>
      <w:r>
        <w:rPr>
          <w:rFonts w:ascii="Arial" w:hAnsi="Arial"/>
          <w:i/>
          <w:sz w:val="20"/>
        </w:rPr>
        <w:t>Lines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Hudig</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Veder</w:t>
      </w:r>
      <w:r>
        <w:rPr>
          <w:rFonts w:ascii="Arial" w:hAnsi="Arial"/>
          <w:i/>
          <w:spacing w:val="-1"/>
          <w:sz w:val="20"/>
        </w:rPr>
        <w:t> </w:t>
      </w:r>
      <w:r>
        <w:rPr>
          <w:rFonts w:ascii="Arial" w:hAnsi="Arial"/>
          <w:i/>
          <w:sz w:val="20"/>
        </w:rPr>
        <w:t>Chartering NV [1972] 2 Q.B. 34, 50–51</w:t>
      </w:r>
      <w:r>
        <w:rPr>
          <w:sz w:val="20"/>
        </w:rPr>
        <w:t>; contrast </w:t>
      </w:r>
      <w:r>
        <w:rPr>
          <w:rFonts w:ascii="Arial" w:hAnsi="Arial"/>
          <w:i/>
          <w:sz w:val="20"/>
        </w:rPr>
        <w:t>Monterosso Shipping Co Ltd v International Transport Workers Federation [1982] I.C.R. 675, 683–685 </w:t>
      </w:r>
      <w:r>
        <w:rPr>
          <w:sz w:val="20"/>
        </w:rPr>
        <w:t>(“irrelevant”).</w:t>
      </w:r>
    </w:p>
    <w:p>
      <w:pPr>
        <w:pStyle w:val="BodyText"/>
        <w:spacing w:before="8"/>
      </w:pPr>
    </w:p>
    <w:p>
      <w:pPr>
        <w:spacing w:line="235" w:lineRule="auto" w:before="0"/>
        <w:ind w:left="705" w:right="167" w:hanging="541"/>
        <w:jc w:val="both"/>
        <w:rPr>
          <w:rFonts w:ascii="Arial" w:hAnsi="Arial"/>
          <w:i/>
          <w:sz w:val="20"/>
        </w:rPr>
      </w:pPr>
      <w:bookmarkStart w:name="_bookmark141" w:id="143"/>
      <w:bookmarkEnd w:id="143"/>
      <w:r>
        <w:rPr/>
      </w:r>
      <w:hyperlink w:history="true" w:anchor="_bookmark65">
        <w:r>
          <w:rPr>
            <w:color w:val="005DA1"/>
            <w:position w:val="5"/>
            <w:sz w:val="14"/>
            <w:u w:val="single" w:color="005DA1"/>
          </w:rPr>
          <w:t>62</w:t>
        </w:r>
      </w:hyperlink>
      <w:r>
        <w:rPr>
          <w:position w:val="5"/>
          <w:sz w:val="14"/>
        </w:rPr>
        <w:t>.</w:t>
      </w:r>
      <w:r>
        <w:rPr>
          <w:spacing w:val="80"/>
          <w:w w:val="150"/>
          <w:position w:val="5"/>
          <w:sz w:val="14"/>
        </w:rPr>
        <w:t>  </w:t>
      </w:r>
      <w:r>
        <w:rPr>
          <w:rFonts w:ascii="Arial" w:hAnsi="Arial"/>
          <w:i/>
          <w:sz w:val="20"/>
        </w:rPr>
        <w:t>Amin</w:t>
      </w:r>
      <w:r>
        <w:rPr>
          <w:rFonts w:ascii="Arial" w:hAnsi="Arial"/>
          <w:i/>
          <w:spacing w:val="-2"/>
          <w:sz w:val="20"/>
        </w:rPr>
        <w:t> </w:t>
      </w:r>
      <w:r>
        <w:rPr>
          <w:rFonts w:ascii="Arial" w:hAnsi="Arial"/>
          <w:i/>
          <w:sz w:val="20"/>
        </w:rPr>
        <w:t>Rasheed</w:t>
      </w:r>
      <w:r>
        <w:rPr>
          <w:rFonts w:ascii="Arial" w:hAnsi="Arial"/>
          <w:i/>
          <w:spacing w:val="-2"/>
          <w:sz w:val="20"/>
        </w:rPr>
        <w:t> </w:t>
      </w:r>
      <w:r>
        <w:rPr>
          <w:rFonts w:ascii="Arial" w:hAnsi="Arial"/>
          <w:i/>
          <w:sz w:val="20"/>
        </w:rPr>
        <w:t>Shipping</w:t>
      </w:r>
      <w:r>
        <w:rPr>
          <w:rFonts w:ascii="Arial" w:hAnsi="Arial"/>
          <w:i/>
          <w:spacing w:val="-2"/>
          <w:sz w:val="20"/>
        </w:rPr>
        <w:t> </w:t>
      </w:r>
      <w:r>
        <w:rPr>
          <w:rFonts w:ascii="Arial" w:hAnsi="Arial"/>
          <w:i/>
          <w:sz w:val="20"/>
        </w:rPr>
        <w:t>Corp</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Kuwait</w:t>
      </w:r>
      <w:r>
        <w:rPr>
          <w:rFonts w:ascii="Arial" w:hAnsi="Arial"/>
          <w:i/>
          <w:spacing w:val="-2"/>
          <w:sz w:val="20"/>
        </w:rPr>
        <w:t> </w:t>
      </w:r>
      <w:r>
        <w:rPr>
          <w:rFonts w:ascii="Arial" w:hAnsi="Arial"/>
          <w:i/>
          <w:sz w:val="20"/>
        </w:rPr>
        <w:t>Insurance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[1984]</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50</w:t>
      </w:r>
      <w:r>
        <w:rPr>
          <w:sz w:val="20"/>
        </w:rPr>
        <w:t>.</w:t>
      </w:r>
      <w:r>
        <w:rPr>
          <w:spacing w:val="-2"/>
          <w:sz w:val="20"/>
        </w:rPr>
        <w:t> </w:t>
      </w:r>
      <w:r>
        <w:rPr>
          <w:sz w:val="20"/>
        </w:rPr>
        <w:t>Rejection</w:t>
      </w:r>
      <w:r>
        <w:rPr>
          <w:spacing w:val="-2"/>
          <w:sz w:val="20"/>
        </w:rPr>
        <w:t> </w:t>
      </w:r>
      <w:r>
        <w:rPr>
          <w:sz w:val="20"/>
        </w:rPr>
        <w:t>of</w:t>
      </w:r>
      <w:r>
        <w:rPr>
          <w:spacing w:val="-2"/>
          <w:sz w:val="20"/>
        </w:rPr>
        <w:t> </w:t>
      </w:r>
      <w:r>
        <w:rPr>
          <w:sz w:val="20"/>
        </w:rPr>
        <w:t>any</w:t>
      </w:r>
      <w:r>
        <w:rPr>
          <w:spacing w:val="-2"/>
          <w:sz w:val="20"/>
        </w:rPr>
        <w:t> </w:t>
      </w:r>
      <w:r>
        <w:rPr>
          <w:sz w:val="20"/>
        </w:rPr>
        <w:t>reference to the parties’ intentions meant that the fact that the contract would be valid under one system</w:t>
      </w:r>
      <w:r>
        <w:rPr>
          <w:spacing w:val="40"/>
          <w:sz w:val="20"/>
        </w:rPr>
        <w:t> </w:t>
      </w:r>
      <w:r>
        <w:rPr>
          <w:sz w:val="20"/>
        </w:rPr>
        <w:t>of law but not another was definitely irrelevant: </w:t>
      </w:r>
      <w:r>
        <w:rPr>
          <w:rFonts w:ascii="Arial" w:hAnsi="Arial"/>
          <w:i/>
          <w:sz w:val="20"/>
        </w:rPr>
        <w:t>Monterosso Shipping Co Ltd v International Transport Workers Federation [1982] I.C.R. 675, 683-685</w:t>
      </w:r>
      <w:r>
        <w:rPr>
          <w:sz w:val="20"/>
        </w:rPr>
        <w:t>. Opinions may differ as to whether a case</w:t>
      </w:r>
      <w:r>
        <w:rPr>
          <w:spacing w:val="-1"/>
          <w:sz w:val="20"/>
        </w:rPr>
        <w:t> </w:t>
      </w:r>
      <w:r>
        <w:rPr>
          <w:sz w:val="20"/>
        </w:rPr>
        <w:t>presented</w:t>
      </w:r>
      <w:r>
        <w:rPr>
          <w:spacing w:val="-1"/>
          <w:sz w:val="20"/>
        </w:rPr>
        <w:t> </w:t>
      </w:r>
      <w:r>
        <w:rPr>
          <w:sz w:val="20"/>
        </w:rPr>
        <w:t>an</w:t>
      </w:r>
      <w:r>
        <w:rPr>
          <w:spacing w:val="-1"/>
          <w:sz w:val="20"/>
        </w:rPr>
        <w:t> </w:t>
      </w:r>
      <w:r>
        <w:rPr>
          <w:sz w:val="20"/>
        </w:rPr>
        <w:t>example</w:t>
      </w:r>
      <w:r>
        <w:rPr>
          <w:spacing w:val="-1"/>
          <w:sz w:val="20"/>
        </w:rPr>
        <w:t> </w:t>
      </w:r>
      <w:r>
        <w:rPr>
          <w:sz w:val="20"/>
        </w:rPr>
        <w:t>of</w:t>
      </w:r>
      <w:r>
        <w:rPr>
          <w:spacing w:val="-1"/>
          <w:sz w:val="20"/>
        </w:rPr>
        <w:t> </w:t>
      </w:r>
      <w:r>
        <w:rPr>
          <w:sz w:val="20"/>
        </w:rPr>
        <w:t>“implied”</w:t>
      </w:r>
      <w:r>
        <w:rPr>
          <w:spacing w:val="-1"/>
          <w:sz w:val="20"/>
        </w:rPr>
        <w:t> </w:t>
      </w:r>
      <w:r>
        <w:rPr>
          <w:sz w:val="20"/>
        </w:rPr>
        <w:t>choice</w:t>
      </w:r>
      <w:r>
        <w:rPr>
          <w:spacing w:val="-1"/>
          <w:sz w:val="20"/>
        </w:rPr>
        <w:t> </w:t>
      </w:r>
      <w:r>
        <w:rPr>
          <w:sz w:val="20"/>
        </w:rPr>
        <w:t>or</w:t>
      </w:r>
      <w:r>
        <w:rPr>
          <w:spacing w:val="-1"/>
          <w:sz w:val="20"/>
        </w:rPr>
        <w:t> </w:t>
      </w:r>
      <w:r>
        <w:rPr>
          <w:sz w:val="20"/>
        </w:rPr>
        <w:t>“no”</w:t>
      </w:r>
      <w:r>
        <w:rPr>
          <w:spacing w:val="-1"/>
          <w:sz w:val="20"/>
        </w:rPr>
        <w:t> </w:t>
      </w:r>
      <w:r>
        <w:rPr>
          <w:sz w:val="20"/>
        </w:rPr>
        <w:t>choice:</w:t>
      </w:r>
      <w:r>
        <w:rPr>
          <w:spacing w:val="-1"/>
          <w:sz w:val="20"/>
        </w:rPr>
        <w:t> </w:t>
      </w:r>
      <w:r>
        <w:rPr>
          <w:sz w:val="20"/>
        </w:rPr>
        <w:t>compare</w:t>
      </w:r>
      <w:r>
        <w:rPr>
          <w:spacing w:val="-1"/>
          <w:sz w:val="20"/>
        </w:rPr>
        <w:t> </w:t>
      </w:r>
      <w:r>
        <w:rPr>
          <w:sz w:val="20"/>
        </w:rPr>
        <w:t>the</w:t>
      </w:r>
      <w:r>
        <w:rPr>
          <w:spacing w:val="-1"/>
          <w:sz w:val="20"/>
        </w:rPr>
        <w:t> </w:t>
      </w:r>
      <w:r>
        <w:rPr>
          <w:sz w:val="20"/>
        </w:rPr>
        <w:t>contrasting</w:t>
      </w:r>
      <w:r>
        <w:rPr>
          <w:spacing w:val="-1"/>
          <w:sz w:val="20"/>
        </w:rPr>
        <w:t> </w:t>
      </w:r>
      <w:r>
        <w:rPr>
          <w:sz w:val="20"/>
        </w:rPr>
        <w:t>views</w:t>
      </w:r>
      <w:r>
        <w:rPr>
          <w:spacing w:val="-1"/>
          <w:sz w:val="20"/>
        </w:rPr>
        <w:t> </w:t>
      </w:r>
      <w:r>
        <w:rPr>
          <w:sz w:val="20"/>
        </w:rPr>
        <w:t>of Lord Diplock, speaking for the majority in </w:t>
      </w:r>
      <w:r>
        <w:rPr>
          <w:rFonts w:ascii="Arial" w:hAnsi="Arial"/>
          <w:i/>
          <w:sz w:val="20"/>
        </w:rPr>
        <w:t>Amin Rasheed Shipping Corp v Kuwait Insurance Co [1984] A.C. 50, 62-65</w:t>
      </w:r>
      <w:r>
        <w:rPr>
          <w:sz w:val="20"/>
        </w:rPr>
        <w:t>, and Lord Wilberforce, 69; see also </w:t>
      </w:r>
      <w:r>
        <w:rPr>
          <w:rFonts w:ascii="Arial" w:hAnsi="Arial"/>
          <w:i/>
          <w:sz w:val="20"/>
        </w:rPr>
        <w:t>DR Insurance Co v Central National Insurance</w:t>
      </w:r>
      <w:r>
        <w:rPr>
          <w:rFonts w:ascii="Arial" w:hAnsi="Arial"/>
          <w:i/>
          <w:spacing w:val="5"/>
          <w:sz w:val="20"/>
        </w:rPr>
        <w:t> </w:t>
      </w:r>
      <w:r>
        <w:rPr>
          <w:rFonts w:ascii="Arial" w:hAnsi="Arial"/>
          <w:i/>
          <w:sz w:val="20"/>
        </w:rPr>
        <w:t>Co</w:t>
      </w:r>
      <w:r>
        <w:rPr>
          <w:rFonts w:ascii="Arial" w:hAnsi="Arial"/>
          <w:i/>
          <w:spacing w:val="8"/>
          <w:sz w:val="20"/>
        </w:rPr>
        <w:t> </w:t>
      </w:r>
      <w:r>
        <w:rPr>
          <w:rFonts w:ascii="Arial" w:hAnsi="Arial"/>
          <w:i/>
          <w:sz w:val="20"/>
        </w:rPr>
        <w:t>[1996]</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z w:val="20"/>
        </w:rPr>
        <w:t>Rep.</w:t>
      </w:r>
      <w:r>
        <w:rPr>
          <w:rFonts w:ascii="Arial" w:hAnsi="Arial"/>
          <w:i/>
          <w:spacing w:val="8"/>
          <w:sz w:val="20"/>
        </w:rPr>
        <w:t> </w:t>
      </w:r>
      <w:r>
        <w:rPr>
          <w:rFonts w:ascii="Arial" w:hAnsi="Arial"/>
          <w:i/>
          <w:sz w:val="20"/>
        </w:rPr>
        <w:t>74</w:t>
      </w:r>
      <w:r>
        <w:rPr>
          <w:sz w:val="20"/>
        </w:rPr>
        <w:t>;</w:t>
      </w:r>
      <w:r>
        <w:rPr>
          <w:spacing w:val="8"/>
          <w:sz w:val="20"/>
        </w:rPr>
        <w:t> </w:t>
      </w:r>
      <w:r>
        <w:rPr>
          <w:rFonts w:ascii="Arial" w:hAnsi="Arial"/>
          <w:i/>
          <w:sz w:val="20"/>
        </w:rPr>
        <w:t>Zebrarise</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De</w:t>
      </w:r>
      <w:r>
        <w:rPr>
          <w:rFonts w:ascii="Arial" w:hAnsi="Arial"/>
          <w:i/>
          <w:spacing w:val="8"/>
          <w:sz w:val="20"/>
        </w:rPr>
        <w:t> </w:t>
      </w:r>
      <w:r>
        <w:rPr>
          <w:rFonts w:ascii="Arial" w:hAnsi="Arial"/>
          <w:i/>
          <w:sz w:val="20"/>
        </w:rPr>
        <w:t>Nieffe</w:t>
      </w:r>
      <w:r>
        <w:rPr>
          <w:rFonts w:ascii="Arial" w:hAnsi="Arial"/>
          <w:i/>
          <w:spacing w:val="8"/>
          <w:sz w:val="20"/>
        </w:rPr>
        <w:t> </w:t>
      </w:r>
      <w:r>
        <w:rPr>
          <w:rFonts w:ascii="Arial" w:hAnsi="Arial"/>
          <w:i/>
          <w:sz w:val="20"/>
        </w:rPr>
        <w:t>[2004]</w:t>
      </w:r>
      <w:r>
        <w:rPr>
          <w:rFonts w:ascii="Arial" w:hAnsi="Arial"/>
          <w:i/>
          <w:spacing w:val="8"/>
          <w:sz w:val="20"/>
        </w:rPr>
        <w:t> </w:t>
      </w:r>
      <w:r>
        <w:rPr>
          <w:rFonts w:ascii="Arial" w:hAnsi="Arial"/>
          <w:i/>
          <w:sz w:val="20"/>
        </w:rPr>
        <w:t>EWHC</w:t>
      </w:r>
      <w:r>
        <w:rPr>
          <w:rFonts w:ascii="Arial" w:hAnsi="Arial"/>
          <w:i/>
          <w:spacing w:val="8"/>
          <w:sz w:val="20"/>
        </w:rPr>
        <w:t> </w:t>
      </w:r>
      <w:r>
        <w:rPr>
          <w:rFonts w:ascii="Arial" w:hAnsi="Arial"/>
          <w:i/>
          <w:sz w:val="20"/>
        </w:rPr>
        <w:t>1842</w:t>
      </w:r>
      <w:r>
        <w:rPr>
          <w:rFonts w:ascii="Arial" w:hAnsi="Arial"/>
          <w:i/>
          <w:spacing w:val="8"/>
          <w:sz w:val="20"/>
        </w:rPr>
        <w:t> </w:t>
      </w:r>
      <w:r>
        <w:rPr>
          <w:rFonts w:ascii="Arial" w:hAnsi="Arial"/>
          <w:i/>
          <w:spacing w:val="-2"/>
          <w:sz w:val="20"/>
        </w:rPr>
        <w:t>(Comm),</w:t>
      </w:r>
    </w:p>
    <w:p>
      <w:pPr>
        <w:spacing w:line="223" w:lineRule="exact" w:before="0"/>
        <w:ind w:left="705" w:right="0" w:firstLine="0"/>
        <w:jc w:val="left"/>
        <w:rPr>
          <w:sz w:val="20"/>
        </w:rPr>
      </w:pPr>
      <w:r>
        <w:rPr>
          <w:rFonts w:ascii="Arial" w:hAnsi="Arial"/>
          <w:i/>
          <w:sz w:val="20"/>
        </w:rPr>
        <w:t>[2005]</w:t>
      </w:r>
      <w:r>
        <w:rPr>
          <w:rFonts w:ascii="Arial" w:hAnsi="Arial"/>
          <w:i/>
          <w:spacing w:val="-2"/>
          <w:sz w:val="20"/>
        </w:rPr>
        <w:t> </w:t>
      </w:r>
      <w:r>
        <w:rPr>
          <w:rFonts w:ascii="Arial" w:hAnsi="Arial"/>
          <w:i/>
          <w:sz w:val="20"/>
        </w:rPr>
        <w:t>1 Lloyd’s Rep. </w:t>
      </w:r>
      <w:r>
        <w:rPr>
          <w:rFonts w:ascii="Arial" w:hAnsi="Arial"/>
          <w:i/>
          <w:spacing w:val="-4"/>
          <w:sz w:val="20"/>
        </w:rPr>
        <w:t>154</w:t>
      </w:r>
      <w:r>
        <w:rPr>
          <w:spacing w:val="-4"/>
          <w:sz w:val="20"/>
        </w:rPr>
        <w:t>.</w:t>
      </w:r>
    </w:p>
    <w:p>
      <w:pPr>
        <w:pStyle w:val="BodyText"/>
        <w:spacing w:before="9"/>
      </w:pPr>
    </w:p>
    <w:p>
      <w:pPr>
        <w:spacing w:line="235" w:lineRule="auto" w:before="0"/>
        <w:ind w:left="705" w:right="168" w:hanging="541"/>
        <w:jc w:val="both"/>
        <w:rPr>
          <w:rFonts w:ascii="Arial" w:hAnsi="Arial"/>
          <w:i/>
          <w:sz w:val="20"/>
        </w:rPr>
      </w:pPr>
      <w:bookmarkStart w:name="_bookmark142" w:id="144"/>
      <w:bookmarkEnd w:id="144"/>
      <w:r>
        <w:rPr/>
      </w:r>
      <w:hyperlink w:history="true" w:anchor="_bookmark66">
        <w:r>
          <w:rPr>
            <w:color w:val="005DA1"/>
            <w:position w:val="5"/>
            <w:sz w:val="14"/>
            <w:u w:val="single" w:color="005DA1"/>
          </w:rPr>
          <w:t>63</w:t>
        </w:r>
      </w:hyperlink>
      <w:r>
        <w:rPr>
          <w:position w:val="5"/>
          <w:sz w:val="14"/>
        </w:rPr>
        <w:t>.</w:t>
      </w:r>
      <w:r>
        <w:rPr>
          <w:spacing w:val="80"/>
          <w:position w:val="5"/>
          <w:sz w:val="14"/>
        </w:rPr>
        <w:t>  </w:t>
      </w:r>
      <w:r>
        <w:rPr>
          <w:rFonts w:ascii="Arial" w:hAnsi="Arial"/>
          <w:i/>
          <w:sz w:val="20"/>
        </w:rPr>
        <w:t>Bonython v Commonwealth of Australia [1951] A.C. 201, 219</w:t>
      </w:r>
      <w:r>
        <w:rPr>
          <w:sz w:val="20"/>
        </w:rPr>
        <w:t>; </w:t>
      </w:r>
      <w:r>
        <w:rPr>
          <w:rFonts w:ascii="Arial" w:hAnsi="Arial"/>
          <w:i/>
          <w:sz w:val="20"/>
        </w:rPr>
        <w:t>Tomkinson v First </w:t>
      </w:r>
      <w:r>
        <w:rPr>
          <w:rFonts w:ascii="Arial" w:hAnsi="Arial"/>
          <w:i/>
          <w:sz w:val="20"/>
        </w:rPr>
        <w:t>Pennsylvania Banking and Trust Co [1961] A.C. 1007, 1068, 1081-1082</w:t>
      </w:r>
      <w:r>
        <w:rPr>
          <w:sz w:val="20"/>
        </w:rPr>
        <w:t>; </w:t>
      </w:r>
      <w:r>
        <w:rPr>
          <w:rFonts w:ascii="Arial" w:hAnsi="Arial"/>
          <w:i/>
          <w:sz w:val="20"/>
        </w:rPr>
        <w:t>James Miller and Partners Ltd v Whitworth Street Estates (Manchester) Ltd [1970] A.C. 583</w:t>
      </w:r>
      <w:r>
        <w:rPr>
          <w:sz w:val="20"/>
        </w:rPr>
        <w:t>; </w:t>
      </w:r>
      <w:r>
        <w:rPr>
          <w:rFonts w:ascii="Arial" w:hAnsi="Arial"/>
          <w:i/>
          <w:sz w:val="20"/>
        </w:rPr>
        <w:t>Compagnie d’Armement Maritime SA v Compagnie Tunisienne de Navigation SA [1971] A.C. 572</w:t>
      </w:r>
      <w:r>
        <w:rPr>
          <w:sz w:val="20"/>
        </w:rPr>
        <w:t>; </w:t>
      </w:r>
      <w:r>
        <w:rPr>
          <w:rFonts w:ascii="Arial" w:hAnsi="Arial"/>
          <w:i/>
          <w:sz w:val="20"/>
        </w:rPr>
        <w:t>Coast Lines Ltd v Hudig and Veder</w:t>
      </w:r>
      <w:r>
        <w:rPr>
          <w:rFonts w:ascii="Arial" w:hAnsi="Arial"/>
          <w:i/>
          <w:spacing w:val="10"/>
          <w:sz w:val="20"/>
        </w:rPr>
        <w:t> </w:t>
      </w:r>
      <w:r>
        <w:rPr>
          <w:rFonts w:ascii="Arial" w:hAnsi="Arial"/>
          <w:i/>
          <w:sz w:val="20"/>
        </w:rPr>
        <w:t>Chartering</w:t>
      </w:r>
      <w:r>
        <w:rPr>
          <w:rFonts w:ascii="Arial" w:hAnsi="Arial"/>
          <w:i/>
          <w:spacing w:val="11"/>
          <w:sz w:val="20"/>
        </w:rPr>
        <w:t> </w:t>
      </w:r>
      <w:r>
        <w:rPr>
          <w:rFonts w:ascii="Arial" w:hAnsi="Arial"/>
          <w:i/>
          <w:sz w:val="20"/>
        </w:rPr>
        <w:t>NV</w:t>
      </w:r>
      <w:r>
        <w:rPr>
          <w:rFonts w:ascii="Arial" w:hAnsi="Arial"/>
          <w:i/>
          <w:spacing w:val="11"/>
          <w:sz w:val="20"/>
        </w:rPr>
        <w:t> </w:t>
      </w:r>
      <w:r>
        <w:rPr>
          <w:rFonts w:ascii="Arial" w:hAnsi="Arial"/>
          <w:i/>
          <w:sz w:val="20"/>
        </w:rPr>
        <w:t>[1972]</w:t>
      </w:r>
      <w:r>
        <w:rPr>
          <w:rFonts w:ascii="Arial" w:hAnsi="Arial"/>
          <w:i/>
          <w:spacing w:val="11"/>
          <w:sz w:val="20"/>
        </w:rPr>
        <w:t> </w:t>
      </w:r>
      <w:r>
        <w:rPr>
          <w:rFonts w:ascii="Arial" w:hAnsi="Arial"/>
          <w:i/>
          <w:sz w:val="20"/>
        </w:rPr>
        <w:t>2</w:t>
      </w:r>
      <w:r>
        <w:rPr>
          <w:rFonts w:ascii="Arial" w:hAnsi="Arial"/>
          <w:i/>
          <w:spacing w:val="11"/>
          <w:sz w:val="20"/>
        </w:rPr>
        <w:t> </w:t>
      </w:r>
      <w:r>
        <w:rPr>
          <w:rFonts w:ascii="Arial" w:hAnsi="Arial"/>
          <w:i/>
          <w:sz w:val="20"/>
        </w:rPr>
        <w:t>Q.B.</w:t>
      </w:r>
      <w:r>
        <w:rPr>
          <w:rFonts w:ascii="Arial" w:hAnsi="Arial"/>
          <w:i/>
          <w:spacing w:val="11"/>
          <w:sz w:val="20"/>
        </w:rPr>
        <w:t> </w:t>
      </w:r>
      <w:r>
        <w:rPr>
          <w:rFonts w:ascii="Arial" w:hAnsi="Arial"/>
          <w:i/>
          <w:sz w:val="20"/>
        </w:rPr>
        <w:t>34</w:t>
      </w:r>
      <w:r>
        <w:rPr>
          <w:sz w:val="20"/>
        </w:rPr>
        <w:t>;</w:t>
      </w:r>
      <w:r>
        <w:rPr>
          <w:spacing w:val="11"/>
          <w:sz w:val="20"/>
        </w:rPr>
        <w:t> </w:t>
      </w:r>
      <w:r>
        <w:rPr>
          <w:rFonts w:ascii="Arial" w:hAnsi="Arial"/>
          <w:i/>
          <w:sz w:val="20"/>
        </w:rPr>
        <w:t>Offshore</w:t>
      </w:r>
      <w:r>
        <w:rPr>
          <w:rFonts w:ascii="Arial" w:hAnsi="Arial"/>
          <w:i/>
          <w:spacing w:val="11"/>
          <w:sz w:val="20"/>
        </w:rPr>
        <w:t> </w:t>
      </w:r>
      <w:r>
        <w:rPr>
          <w:rFonts w:ascii="Arial" w:hAnsi="Arial"/>
          <w:i/>
          <w:sz w:val="20"/>
        </w:rPr>
        <w:t>International</w:t>
      </w:r>
      <w:r>
        <w:rPr>
          <w:rFonts w:ascii="Arial" w:hAnsi="Arial"/>
          <w:i/>
          <w:spacing w:val="11"/>
          <w:sz w:val="20"/>
        </w:rPr>
        <w:t> </w:t>
      </w:r>
      <w:r>
        <w:rPr>
          <w:rFonts w:ascii="Arial" w:hAnsi="Arial"/>
          <w:i/>
          <w:sz w:val="20"/>
        </w:rPr>
        <w:t>SA</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Banco</w:t>
      </w:r>
      <w:r>
        <w:rPr>
          <w:rFonts w:ascii="Arial" w:hAnsi="Arial"/>
          <w:i/>
          <w:spacing w:val="11"/>
          <w:sz w:val="20"/>
        </w:rPr>
        <w:t> </w:t>
      </w:r>
      <w:r>
        <w:rPr>
          <w:rFonts w:ascii="Arial" w:hAnsi="Arial"/>
          <w:i/>
          <w:sz w:val="20"/>
        </w:rPr>
        <w:t>Central</w:t>
      </w:r>
      <w:r>
        <w:rPr>
          <w:rFonts w:ascii="Arial" w:hAnsi="Arial"/>
          <w:i/>
          <w:spacing w:val="11"/>
          <w:sz w:val="20"/>
        </w:rPr>
        <w:t> </w:t>
      </w:r>
      <w:r>
        <w:rPr>
          <w:rFonts w:ascii="Arial" w:hAnsi="Arial"/>
          <w:i/>
          <w:sz w:val="20"/>
        </w:rPr>
        <w:t>SA</w:t>
      </w:r>
      <w:r>
        <w:rPr>
          <w:rFonts w:ascii="Arial" w:hAnsi="Arial"/>
          <w:i/>
          <w:spacing w:val="11"/>
          <w:sz w:val="20"/>
        </w:rPr>
        <w:t> </w:t>
      </w:r>
      <w:r>
        <w:rPr>
          <w:rFonts w:ascii="Arial" w:hAnsi="Arial"/>
          <w:i/>
          <w:sz w:val="20"/>
        </w:rPr>
        <w:t>[1977]</w:t>
      </w:r>
      <w:r>
        <w:rPr>
          <w:rFonts w:ascii="Arial" w:hAnsi="Arial"/>
          <w:i/>
          <w:spacing w:val="11"/>
          <w:sz w:val="20"/>
        </w:rPr>
        <w:t> </w:t>
      </w:r>
      <w:r>
        <w:rPr>
          <w:rFonts w:ascii="Arial" w:hAnsi="Arial"/>
          <w:i/>
          <w:spacing w:val="-10"/>
          <w:sz w:val="20"/>
        </w:rPr>
        <w:t>1</w:t>
      </w:r>
    </w:p>
    <w:p>
      <w:pPr>
        <w:spacing w:line="235" w:lineRule="auto" w:before="0"/>
        <w:ind w:left="705" w:right="168" w:firstLine="0"/>
        <w:jc w:val="both"/>
        <w:rPr>
          <w:sz w:val="20"/>
        </w:rPr>
      </w:pPr>
      <w:r>
        <w:rPr>
          <w:rFonts w:ascii="Arial"/>
          <w:i/>
          <w:sz w:val="20"/>
        </w:rPr>
        <w:t>W.L.R. 399</w:t>
      </w:r>
      <w:r>
        <w:rPr>
          <w:sz w:val="20"/>
        </w:rPr>
        <w:t>; </w:t>
      </w:r>
      <w:r>
        <w:rPr>
          <w:rFonts w:ascii="Arial"/>
          <w:i/>
          <w:sz w:val="20"/>
        </w:rPr>
        <w:t>Power Curber International Ltd v National Bank of Kuwait [1981] 1 W.L.R. 1233</w:t>
      </w:r>
      <w:r>
        <w:rPr>
          <w:sz w:val="20"/>
        </w:rPr>
        <w:t>; </w:t>
      </w:r>
      <w:r>
        <w:rPr>
          <w:rFonts w:ascii="Arial"/>
          <w:i/>
          <w:sz w:val="20"/>
        </w:rPr>
        <w:t>Amin Rasheed Shipping Corp v Kuwait Insurance Co [1984] A.C. 50, 61</w:t>
      </w:r>
      <w:r>
        <w:rPr>
          <w:sz w:val="20"/>
        </w:rPr>
        <w:t>; </w:t>
      </w:r>
      <w:r>
        <w:rPr>
          <w:rFonts w:ascii="Arial"/>
          <w:i/>
          <w:sz w:val="20"/>
        </w:rPr>
        <w:t>Habib Bank Ltd v Central Bank of Sudan [2006] EWHC 1767 (Comm), [2007] 1 W.L.R. 470</w:t>
      </w:r>
      <w:r>
        <w:rPr>
          <w:sz w:val="20"/>
        </w:rPr>
        <w:t>.</w:t>
      </w:r>
    </w:p>
    <w:p>
      <w:pPr>
        <w:pStyle w:val="BodyText"/>
        <w:spacing w:before="7"/>
      </w:pPr>
    </w:p>
    <w:p>
      <w:pPr>
        <w:tabs>
          <w:tab w:pos="705" w:val="left" w:leader="none"/>
        </w:tabs>
        <w:spacing w:line="235" w:lineRule="auto" w:before="0"/>
        <w:ind w:left="705" w:right="167" w:hanging="541"/>
        <w:jc w:val="left"/>
        <w:rPr>
          <w:rFonts w:ascii="Arial" w:hAnsi="Arial"/>
          <w:i/>
          <w:sz w:val="20"/>
        </w:rPr>
      </w:pPr>
      <w:bookmarkStart w:name="_bookmark143" w:id="145"/>
      <w:bookmarkEnd w:id="145"/>
      <w:r>
        <w:rPr/>
      </w:r>
      <w:hyperlink w:history="true" w:anchor="_bookmark67">
        <w:r>
          <w:rPr>
            <w:color w:val="005DA1"/>
            <w:spacing w:val="-4"/>
            <w:position w:val="5"/>
            <w:sz w:val="14"/>
            <w:u w:val="single" w:color="005DA1"/>
          </w:rPr>
          <w:t>64</w:t>
        </w:r>
      </w:hyperlink>
      <w:r>
        <w:rPr>
          <w:spacing w:val="-4"/>
          <w:position w:val="5"/>
          <w:sz w:val="14"/>
        </w:rPr>
        <w:t>.</w:t>
      </w:r>
      <w:r>
        <w:rPr>
          <w:position w:val="5"/>
          <w:sz w:val="14"/>
        </w:rPr>
        <w:tab/>
      </w:r>
      <w:r>
        <w:rPr>
          <w:sz w:val="20"/>
        </w:rPr>
        <w:t>Where there was no choice of law by the parties, some older authorities purported to search for the</w:t>
      </w:r>
      <w:r>
        <w:rPr>
          <w:spacing w:val="45"/>
          <w:sz w:val="20"/>
        </w:rPr>
        <w:t> </w:t>
      </w:r>
      <w:r>
        <w:rPr>
          <w:sz w:val="20"/>
        </w:rPr>
        <w:t>“presumed</w:t>
      </w:r>
      <w:r>
        <w:rPr>
          <w:spacing w:val="45"/>
          <w:sz w:val="20"/>
        </w:rPr>
        <w:t> </w:t>
      </w:r>
      <w:r>
        <w:rPr>
          <w:sz w:val="20"/>
        </w:rPr>
        <w:t>intention”</w:t>
      </w:r>
      <w:r>
        <w:rPr>
          <w:spacing w:val="45"/>
          <w:sz w:val="20"/>
        </w:rPr>
        <w:t> </w:t>
      </w:r>
      <w:r>
        <w:rPr>
          <w:sz w:val="20"/>
        </w:rPr>
        <w:t>of</w:t>
      </w:r>
      <w:r>
        <w:rPr>
          <w:spacing w:val="45"/>
          <w:sz w:val="20"/>
        </w:rPr>
        <w:t> </w:t>
      </w:r>
      <w:r>
        <w:rPr>
          <w:sz w:val="20"/>
        </w:rPr>
        <w:t>the</w:t>
      </w:r>
      <w:r>
        <w:rPr>
          <w:spacing w:val="45"/>
          <w:sz w:val="20"/>
        </w:rPr>
        <w:t> </w:t>
      </w:r>
      <w:r>
        <w:rPr>
          <w:sz w:val="20"/>
        </w:rPr>
        <w:t>parties:</w:t>
      </w:r>
      <w:r>
        <w:rPr>
          <w:spacing w:val="45"/>
          <w:sz w:val="20"/>
        </w:rPr>
        <w:t> </w:t>
      </w:r>
      <w:r>
        <w:rPr>
          <w:sz w:val="20"/>
        </w:rPr>
        <w:t>see,</w:t>
      </w:r>
      <w:r>
        <w:rPr>
          <w:spacing w:val="45"/>
          <w:sz w:val="20"/>
        </w:rPr>
        <w:t> </w:t>
      </w:r>
      <w:r>
        <w:rPr>
          <w:sz w:val="20"/>
        </w:rPr>
        <w:t>e.g.</w:t>
      </w:r>
      <w:r>
        <w:rPr>
          <w:spacing w:val="45"/>
          <w:sz w:val="20"/>
        </w:rPr>
        <w:t> </w:t>
      </w:r>
      <w:r>
        <w:rPr>
          <w:rFonts w:ascii="Arial" w:hAnsi="Arial"/>
          <w:i/>
          <w:sz w:val="20"/>
        </w:rPr>
        <w:t>Lloyd</w:t>
      </w:r>
      <w:r>
        <w:rPr>
          <w:rFonts w:ascii="Arial" w:hAnsi="Arial"/>
          <w:i/>
          <w:spacing w:val="45"/>
          <w:sz w:val="20"/>
        </w:rPr>
        <w:t> </w:t>
      </w:r>
      <w:r>
        <w:rPr>
          <w:rFonts w:ascii="Arial" w:hAnsi="Arial"/>
          <w:i/>
          <w:sz w:val="20"/>
        </w:rPr>
        <w:t>v</w:t>
      </w:r>
      <w:r>
        <w:rPr>
          <w:rFonts w:ascii="Arial" w:hAnsi="Arial"/>
          <w:i/>
          <w:spacing w:val="45"/>
          <w:sz w:val="20"/>
        </w:rPr>
        <w:t> </w:t>
      </w:r>
      <w:r>
        <w:rPr>
          <w:rFonts w:ascii="Arial" w:hAnsi="Arial"/>
          <w:i/>
          <w:sz w:val="20"/>
        </w:rPr>
        <w:t>Guibert</w:t>
      </w:r>
      <w:r>
        <w:rPr>
          <w:rFonts w:ascii="Arial" w:hAnsi="Arial"/>
          <w:i/>
          <w:spacing w:val="45"/>
          <w:sz w:val="20"/>
        </w:rPr>
        <w:t> </w:t>
      </w:r>
      <w:r>
        <w:rPr>
          <w:rFonts w:ascii="Arial" w:hAnsi="Arial"/>
          <w:i/>
          <w:sz w:val="20"/>
        </w:rPr>
        <w:t>(1865)</w:t>
      </w:r>
      <w:r>
        <w:rPr>
          <w:rFonts w:ascii="Arial" w:hAnsi="Arial"/>
          <w:i/>
          <w:spacing w:val="45"/>
          <w:sz w:val="20"/>
        </w:rPr>
        <w:t> </w:t>
      </w:r>
      <w:r>
        <w:rPr>
          <w:rFonts w:ascii="Arial" w:hAnsi="Arial"/>
          <w:i/>
          <w:sz w:val="20"/>
        </w:rPr>
        <w:t>L.R.</w:t>
      </w:r>
      <w:r>
        <w:rPr>
          <w:rFonts w:ascii="Arial" w:hAnsi="Arial"/>
          <w:i/>
          <w:spacing w:val="45"/>
          <w:sz w:val="20"/>
        </w:rPr>
        <w:t> </w:t>
      </w:r>
      <w:r>
        <w:rPr>
          <w:rFonts w:ascii="Arial" w:hAnsi="Arial"/>
          <w:i/>
          <w:sz w:val="20"/>
        </w:rPr>
        <w:t>1</w:t>
      </w:r>
      <w:r>
        <w:rPr>
          <w:rFonts w:ascii="Arial" w:hAnsi="Arial"/>
          <w:i/>
          <w:spacing w:val="45"/>
          <w:sz w:val="20"/>
        </w:rPr>
        <w:t> </w:t>
      </w:r>
      <w:r>
        <w:rPr>
          <w:rFonts w:ascii="Arial" w:hAnsi="Arial"/>
          <w:i/>
          <w:sz w:val="20"/>
        </w:rPr>
        <w:t>Q.B.</w:t>
      </w:r>
      <w:r>
        <w:rPr>
          <w:rFonts w:ascii="Arial" w:hAnsi="Arial"/>
          <w:i/>
          <w:spacing w:val="45"/>
          <w:sz w:val="20"/>
        </w:rPr>
        <w:t> </w:t>
      </w:r>
      <w:r>
        <w:rPr>
          <w:rFonts w:ascii="Arial" w:hAnsi="Arial"/>
          <w:i/>
          <w:spacing w:val="-4"/>
          <w:sz w:val="20"/>
        </w:rPr>
        <w:t>115,</w:t>
      </w:r>
    </w:p>
    <w:p>
      <w:pPr>
        <w:spacing w:after="0" w:line="235" w:lineRule="auto"/>
        <w:jc w:val="left"/>
        <w:rPr>
          <w:rFonts w:ascii="Arial" w:hAnsi="Arial"/>
          <w:i/>
          <w:sz w:val="20"/>
        </w:rPr>
        <w:sectPr>
          <w:pgSz w:w="11900" w:h="16840"/>
          <w:pgMar w:header="971" w:footer="0" w:top="1300" w:bottom="280" w:left="1275" w:right="1275"/>
        </w:sectPr>
      </w:pPr>
    </w:p>
    <w:p>
      <w:pPr>
        <w:spacing w:line="235" w:lineRule="auto" w:before="110"/>
        <w:ind w:left="705" w:right="165" w:firstLine="0"/>
        <w:jc w:val="left"/>
        <w:rPr>
          <w:rFonts w:ascii="Arial"/>
          <w:i/>
          <w:sz w:val="20"/>
        </w:rPr>
      </w:pPr>
      <w:r>
        <w:rPr>
          <w:rFonts w:ascii="Arial"/>
          <w:i/>
          <w:sz w:val="20"/>
        </w:rPr>
        <w:t>120-123</w:t>
      </w:r>
      <w:r>
        <w:rPr>
          <w:sz w:val="20"/>
        </w:rPr>
        <w:t>;</w:t>
      </w:r>
      <w:r>
        <w:rPr>
          <w:spacing w:val="40"/>
          <w:sz w:val="20"/>
        </w:rPr>
        <w:t> </w:t>
      </w:r>
      <w:r>
        <w:rPr>
          <w:rFonts w:ascii="Arial"/>
          <w:i/>
          <w:sz w:val="20"/>
        </w:rPr>
        <w:t>R.</w:t>
      </w:r>
      <w:r>
        <w:rPr>
          <w:rFonts w:ascii="Arial"/>
          <w:i/>
          <w:spacing w:val="40"/>
          <w:sz w:val="20"/>
        </w:rPr>
        <w:t> </w:t>
      </w:r>
      <w:r>
        <w:rPr>
          <w:rFonts w:ascii="Arial"/>
          <w:i/>
          <w:sz w:val="20"/>
        </w:rPr>
        <w:t>v</w:t>
      </w:r>
      <w:r>
        <w:rPr>
          <w:rFonts w:ascii="Arial"/>
          <w:i/>
          <w:spacing w:val="40"/>
          <w:sz w:val="20"/>
        </w:rPr>
        <w:t> </w:t>
      </w:r>
      <w:r>
        <w:rPr>
          <w:rFonts w:ascii="Arial"/>
          <w:i/>
          <w:sz w:val="20"/>
        </w:rPr>
        <w:t>International</w:t>
      </w:r>
      <w:r>
        <w:rPr>
          <w:rFonts w:ascii="Arial"/>
          <w:i/>
          <w:spacing w:val="40"/>
          <w:sz w:val="20"/>
        </w:rPr>
        <w:t> </w:t>
      </w:r>
      <w:r>
        <w:rPr>
          <w:rFonts w:ascii="Arial"/>
          <w:i/>
          <w:sz w:val="20"/>
        </w:rPr>
        <w:t>Trustee</w:t>
      </w:r>
      <w:r>
        <w:rPr>
          <w:rFonts w:ascii="Arial"/>
          <w:i/>
          <w:spacing w:val="40"/>
          <w:sz w:val="20"/>
        </w:rPr>
        <w:t> </w:t>
      </w:r>
      <w:r>
        <w:rPr>
          <w:rFonts w:ascii="Arial"/>
          <w:i/>
          <w:sz w:val="20"/>
        </w:rPr>
        <w:t>for</w:t>
      </w:r>
      <w:r>
        <w:rPr>
          <w:rFonts w:ascii="Arial"/>
          <w:i/>
          <w:spacing w:val="40"/>
          <w:sz w:val="20"/>
        </w:rPr>
        <w:t> </w:t>
      </w:r>
      <w:r>
        <w:rPr>
          <w:rFonts w:ascii="Arial"/>
          <w:i/>
          <w:sz w:val="20"/>
        </w:rPr>
        <w:t>the</w:t>
      </w:r>
      <w:r>
        <w:rPr>
          <w:rFonts w:ascii="Arial"/>
          <w:i/>
          <w:spacing w:val="40"/>
          <w:sz w:val="20"/>
        </w:rPr>
        <w:t> </w:t>
      </w:r>
      <w:r>
        <w:rPr>
          <w:rFonts w:ascii="Arial"/>
          <w:i/>
          <w:sz w:val="20"/>
        </w:rPr>
        <w:t>Protection</w:t>
      </w:r>
      <w:r>
        <w:rPr>
          <w:rFonts w:ascii="Arial"/>
          <w:i/>
          <w:spacing w:val="40"/>
          <w:sz w:val="20"/>
        </w:rPr>
        <w:t> </w:t>
      </w:r>
      <w:r>
        <w:rPr>
          <w:rFonts w:ascii="Arial"/>
          <w:i/>
          <w:sz w:val="20"/>
        </w:rPr>
        <w:t>of</w:t>
      </w:r>
      <w:r>
        <w:rPr>
          <w:rFonts w:ascii="Arial"/>
          <w:i/>
          <w:spacing w:val="40"/>
          <w:sz w:val="20"/>
        </w:rPr>
        <w:t> </w:t>
      </w:r>
      <w:r>
        <w:rPr>
          <w:rFonts w:ascii="Arial"/>
          <w:i/>
          <w:sz w:val="20"/>
        </w:rPr>
        <w:t>Bondholders</w:t>
      </w:r>
      <w:r>
        <w:rPr>
          <w:rFonts w:ascii="Arial"/>
          <w:i/>
          <w:spacing w:val="40"/>
          <w:sz w:val="20"/>
        </w:rPr>
        <w:t> </w:t>
      </w:r>
      <w:r>
        <w:rPr>
          <w:rFonts w:ascii="Arial"/>
          <w:i/>
          <w:sz w:val="20"/>
        </w:rPr>
        <w:t>AG</w:t>
      </w:r>
      <w:r>
        <w:rPr>
          <w:rFonts w:ascii="Arial"/>
          <w:i/>
          <w:spacing w:val="40"/>
          <w:sz w:val="20"/>
        </w:rPr>
        <w:t> </w:t>
      </w:r>
      <w:r>
        <w:rPr>
          <w:rFonts w:ascii="Arial"/>
          <w:i/>
          <w:sz w:val="20"/>
        </w:rPr>
        <w:t>[1937]</w:t>
      </w:r>
      <w:r>
        <w:rPr>
          <w:rFonts w:ascii="Arial"/>
          <w:i/>
          <w:spacing w:val="40"/>
          <w:sz w:val="20"/>
        </w:rPr>
        <w:t> </w:t>
      </w:r>
      <w:r>
        <w:rPr>
          <w:rFonts w:ascii="Arial"/>
          <w:i/>
          <w:sz w:val="20"/>
        </w:rPr>
        <w:t>A.C.</w:t>
      </w:r>
      <w:r>
        <w:rPr>
          <w:rFonts w:ascii="Arial"/>
          <w:i/>
          <w:spacing w:val="40"/>
          <w:sz w:val="20"/>
        </w:rPr>
        <w:t> </w:t>
      </w:r>
      <w:r>
        <w:rPr>
          <w:rFonts w:ascii="Arial"/>
          <w:i/>
          <w:sz w:val="20"/>
        </w:rPr>
        <w:t>500</w:t>
      </w:r>
      <w:r>
        <w:rPr>
          <w:sz w:val="20"/>
        </w:rPr>
        <w:t>; </w:t>
      </w:r>
      <w:r>
        <w:rPr>
          <w:rFonts w:ascii="Arial"/>
          <w:i/>
          <w:sz w:val="20"/>
        </w:rPr>
        <w:t>Mount Albert BC v Australasian Temperance and General Mutual Life Assurance Society </w:t>
      </w:r>
      <w:r>
        <w:rPr>
          <w:rFonts w:ascii="Arial"/>
          <w:i/>
          <w:spacing w:val="-2"/>
          <w:sz w:val="20"/>
        </w:rPr>
        <w:t>[1938</w:t>
      </w:r>
      <w:r>
        <w:rPr>
          <w:rFonts w:ascii="Arial"/>
          <w:i/>
          <w:spacing w:val="-2"/>
          <w:sz w:val="20"/>
        </w:rPr>
        <w:t>]</w:t>
      </w:r>
    </w:p>
    <w:p>
      <w:pPr>
        <w:spacing w:line="235" w:lineRule="auto" w:before="0"/>
        <w:ind w:left="705" w:right="167" w:firstLine="0"/>
        <w:jc w:val="both"/>
        <w:rPr>
          <w:sz w:val="20"/>
        </w:rPr>
      </w:pPr>
      <w:r>
        <w:rPr>
          <w:rFonts w:ascii="Arial" w:hAnsi="Arial"/>
          <w:i/>
          <w:sz w:val="20"/>
        </w:rPr>
        <w:t>A.C. 224</w:t>
      </w:r>
      <w:r>
        <w:rPr>
          <w:sz w:val="20"/>
        </w:rPr>
        <w:t>. In carrying out this exercise there was a tendency to resort to </w:t>
      </w:r>
      <w:r>
        <w:rPr>
          <w:sz w:val="20"/>
        </w:rPr>
        <w:t>rebuttable presumptions, in favour, depending on the circumstances of the case, of, e.g. the law of the place of contracting (</w:t>
      </w:r>
      <w:r>
        <w:rPr>
          <w:rFonts w:ascii="Arial" w:hAnsi="Arial"/>
          <w:i/>
          <w:sz w:val="20"/>
        </w:rPr>
        <w:t>Jacobs v Crédit Lyonnais (1884) 12 Q.B.D. 589</w:t>
      </w:r>
      <w:r>
        <w:rPr>
          <w:sz w:val="20"/>
        </w:rPr>
        <w:t>), the law of the place of performance (</w:t>
      </w:r>
      <w:r>
        <w:rPr>
          <w:rFonts w:ascii="Arial" w:hAnsi="Arial"/>
          <w:i/>
          <w:sz w:val="20"/>
        </w:rPr>
        <w:t>Re Missouri S.S. Co (1889) 42 Ch. D. 321</w:t>
      </w:r>
      <w:r>
        <w:rPr>
          <w:sz w:val="20"/>
        </w:rPr>
        <w:t>; </w:t>
      </w:r>
      <w:r>
        <w:rPr>
          <w:rFonts w:ascii="Arial" w:hAnsi="Arial"/>
          <w:i/>
          <w:sz w:val="20"/>
        </w:rPr>
        <w:t>Benaim &amp; Co v Debono [1924] A.C. 514</w:t>
      </w:r>
      <w:r>
        <w:rPr>
          <w:sz w:val="20"/>
        </w:rPr>
        <w:t>), the law of the flag (</w:t>
      </w:r>
      <w:r>
        <w:rPr>
          <w:rFonts w:ascii="Arial" w:hAnsi="Arial"/>
          <w:i/>
          <w:sz w:val="20"/>
        </w:rPr>
        <w:t>Lloyd v Guibert</w:t>
      </w:r>
      <w:r>
        <w:rPr>
          <w:sz w:val="20"/>
        </w:rPr>
        <w:t>; </w:t>
      </w:r>
      <w:r>
        <w:rPr>
          <w:rFonts w:ascii="Arial" w:hAnsi="Arial"/>
          <w:i/>
          <w:sz w:val="20"/>
        </w:rPr>
        <w:t>The Assunzione [1954] P. 150</w:t>
      </w:r>
      <w:r>
        <w:rPr>
          <w:sz w:val="20"/>
        </w:rPr>
        <w:t>) or the lex situs of an immovable</w:t>
      </w:r>
      <w:r>
        <w:rPr>
          <w:spacing w:val="-1"/>
          <w:sz w:val="20"/>
        </w:rPr>
        <w:t> </w:t>
      </w:r>
      <w:r>
        <w:rPr>
          <w:sz w:val="20"/>
        </w:rPr>
        <w:t>(</w:t>
      </w:r>
      <w:r>
        <w:rPr>
          <w:rFonts w:ascii="Arial" w:hAnsi="Arial"/>
          <w:i/>
          <w:sz w:val="20"/>
        </w:rPr>
        <w:t>British</w:t>
      </w:r>
      <w:r>
        <w:rPr>
          <w:rFonts w:ascii="Arial" w:hAnsi="Arial"/>
          <w:i/>
          <w:spacing w:val="-1"/>
          <w:sz w:val="20"/>
        </w:rPr>
        <w:t> </w:t>
      </w:r>
      <w:r>
        <w:rPr>
          <w:rFonts w:ascii="Arial" w:hAnsi="Arial"/>
          <w:i/>
          <w:sz w:val="20"/>
        </w:rPr>
        <w:t>South</w:t>
      </w:r>
      <w:r>
        <w:rPr>
          <w:rFonts w:ascii="Arial" w:hAnsi="Arial"/>
          <w:i/>
          <w:spacing w:val="-1"/>
          <w:sz w:val="20"/>
        </w:rPr>
        <w:t> </w:t>
      </w:r>
      <w:r>
        <w:rPr>
          <w:rFonts w:ascii="Arial" w:hAnsi="Arial"/>
          <w:i/>
          <w:sz w:val="20"/>
        </w:rPr>
        <w:t>Africa</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De</w:t>
      </w:r>
      <w:r>
        <w:rPr>
          <w:rFonts w:ascii="Arial" w:hAnsi="Arial"/>
          <w:i/>
          <w:spacing w:val="-1"/>
          <w:sz w:val="20"/>
        </w:rPr>
        <w:t> </w:t>
      </w:r>
      <w:r>
        <w:rPr>
          <w:rFonts w:ascii="Arial" w:hAnsi="Arial"/>
          <w:i/>
          <w:sz w:val="20"/>
        </w:rPr>
        <w:t>Beers</w:t>
      </w:r>
      <w:r>
        <w:rPr>
          <w:rFonts w:ascii="Arial" w:hAnsi="Arial"/>
          <w:i/>
          <w:spacing w:val="-1"/>
          <w:sz w:val="20"/>
        </w:rPr>
        <w:t> </w:t>
      </w:r>
      <w:r>
        <w:rPr>
          <w:rFonts w:ascii="Arial" w:hAnsi="Arial"/>
          <w:i/>
          <w:sz w:val="20"/>
        </w:rPr>
        <w:t>Consolidated</w:t>
      </w:r>
      <w:r>
        <w:rPr>
          <w:rFonts w:ascii="Arial" w:hAnsi="Arial"/>
          <w:i/>
          <w:spacing w:val="-1"/>
          <w:sz w:val="20"/>
        </w:rPr>
        <w:t> </w:t>
      </w:r>
      <w:r>
        <w:rPr>
          <w:rFonts w:ascii="Arial" w:hAnsi="Arial"/>
          <w:i/>
          <w:sz w:val="20"/>
        </w:rPr>
        <w:t>Mines</w:t>
      </w:r>
      <w:r>
        <w:rPr>
          <w:rFonts w:ascii="Arial" w:hAnsi="Arial"/>
          <w:i/>
          <w:spacing w:val="-1"/>
          <w:sz w:val="20"/>
        </w:rPr>
        <w:t> </w:t>
      </w:r>
      <w:r>
        <w:rPr>
          <w:rFonts w:ascii="Arial" w:hAnsi="Arial"/>
          <w:i/>
          <w:sz w:val="20"/>
        </w:rPr>
        <w:t>[1910]</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502</w:t>
      </w:r>
      <w:r>
        <w:rPr>
          <w:sz w:val="20"/>
        </w:rPr>
        <w:t>).</w:t>
      </w:r>
      <w:r>
        <w:rPr>
          <w:spacing w:val="-1"/>
          <w:sz w:val="20"/>
        </w:rPr>
        <w:t> </w:t>
      </w:r>
      <w:r>
        <w:rPr>
          <w:sz w:val="20"/>
        </w:rPr>
        <w:t>See</w:t>
      </w:r>
      <w:r>
        <w:rPr>
          <w:spacing w:val="-1"/>
          <w:sz w:val="20"/>
        </w:rPr>
        <w:t> </w:t>
      </w:r>
      <w:r>
        <w:rPr>
          <w:sz w:val="20"/>
        </w:rPr>
        <w:t>also </w:t>
      </w:r>
      <w:r>
        <w:rPr>
          <w:rFonts w:ascii="Arial" w:hAnsi="Arial"/>
          <w:i/>
          <w:sz w:val="20"/>
        </w:rPr>
        <w:t>Merck KGaA v Merck Sharp &amp; Dohne Corp [2014] EWHC 3867 (Ch)</w:t>
      </w:r>
      <w:r>
        <w:rPr>
          <w:sz w:val="20"/>
        </w:rPr>
        <w:t>.The use of presumptions was rejected in </w:t>
      </w:r>
      <w:r>
        <w:rPr>
          <w:rFonts w:ascii="Arial" w:hAnsi="Arial"/>
          <w:i/>
          <w:sz w:val="20"/>
        </w:rPr>
        <w:t>Coast Lines Ltd v Hudig and Veder Chartering NV [1972] 2 Q.B. 34, 44, 47, </w:t>
      </w:r>
      <w:r>
        <w:rPr>
          <w:rFonts w:ascii="Arial" w:hAnsi="Arial"/>
          <w:i/>
          <w:sz w:val="20"/>
        </w:rPr>
        <w:t>50</w:t>
      </w:r>
      <w:r>
        <w:rPr>
          <w:sz w:val="20"/>
        </w:rPr>
        <w:t>. cf. the position under the Rome Convention and the Rome I Regulation, below, paras 30-071 </w:t>
      </w:r>
      <w:r>
        <w:rPr>
          <w:sz w:val="20"/>
        </w:rPr>
        <w:t>et seq., 30-185 et seq.</w:t>
      </w:r>
    </w:p>
    <w:p>
      <w:pPr>
        <w:pStyle w:val="BodyText"/>
        <w:spacing w:before="2"/>
      </w:pPr>
    </w:p>
    <w:p>
      <w:pPr>
        <w:tabs>
          <w:tab w:pos="705" w:val="left" w:leader="none"/>
        </w:tabs>
        <w:spacing w:line="227" w:lineRule="exact" w:before="0"/>
        <w:ind w:left="165" w:right="0" w:firstLine="0"/>
        <w:jc w:val="left"/>
        <w:rPr>
          <w:rFonts w:ascii="Arial"/>
          <w:i/>
          <w:sz w:val="20"/>
        </w:rPr>
      </w:pPr>
      <w:bookmarkStart w:name="_bookmark144" w:id="146"/>
      <w:bookmarkEnd w:id="146"/>
      <w:r>
        <w:rPr/>
      </w:r>
      <w:hyperlink w:history="true" w:anchor="_bookmark68">
        <w:r>
          <w:rPr>
            <w:color w:val="005DA1"/>
            <w:spacing w:val="-5"/>
            <w:position w:val="5"/>
            <w:sz w:val="14"/>
            <w:u w:val="single" w:color="005DA1"/>
          </w:rPr>
          <w:t>65</w:t>
        </w:r>
      </w:hyperlink>
      <w:r>
        <w:rPr>
          <w:spacing w:val="-5"/>
          <w:position w:val="5"/>
          <w:sz w:val="14"/>
        </w:rPr>
        <w:t>.</w:t>
      </w:r>
      <w:r>
        <w:rPr>
          <w:position w:val="5"/>
          <w:sz w:val="14"/>
        </w:rPr>
        <w:tab/>
      </w:r>
      <w:r>
        <w:rPr>
          <w:sz w:val="20"/>
        </w:rPr>
        <w:t>e.g.</w:t>
      </w:r>
      <w:r>
        <w:rPr>
          <w:spacing w:val="4"/>
          <w:sz w:val="20"/>
        </w:rPr>
        <w:t> </w:t>
      </w:r>
      <w:r>
        <w:rPr>
          <w:rFonts w:ascii="Arial"/>
          <w:i/>
          <w:sz w:val="20"/>
        </w:rPr>
        <w:t>The</w:t>
      </w:r>
      <w:r>
        <w:rPr>
          <w:rFonts w:ascii="Arial"/>
          <w:i/>
          <w:spacing w:val="5"/>
          <w:sz w:val="20"/>
        </w:rPr>
        <w:t> </w:t>
      </w:r>
      <w:r>
        <w:rPr>
          <w:rFonts w:ascii="Arial"/>
          <w:i/>
          <w:sz w:val="20"/>
        </w:rPr>
        <w:t>Assunzione</w:t>
      </w:r>
      <w:r>
        <w:rPr>
          <w:rFonts w:ascii="Arial"/>
          <w:i/>
          <w:spacing w:val="5"/>
          <w:sz w:val="20"/>
        </w:rPr>
        <w:t> </w:t>
      </w:r>
      <w:r>
        <w:rPr>
          <w:rFonts w:ascii="Arial"/>
          <w:i/>
          <w:sz w:val="20"/>
        </w:rPr>
        <w:t>[1954]</w:t>
      </w:r>
      <w:r>
        <w:rPr>
          <w:rFonts w:ascii="Arial"/>
          <w:i/>
          <w:spacing w:val="5"/>
          <w:sz w:val="20"/>
        </w:rPr>
        <w:t> </w:t>
      </w:r>
      <w:r>
        <w:rPr>
          <w:rFonts w:ascii="Arial"/>
          <w:i/>
          <w:sz w:val="20"/>
        </w:rPr>
        <w:t>P.</w:t>
      </w:r>
      <w:r>
        <w:rPr>
          <w:rFonts w:ascii="Arial"/>
          <w:i/>
          <w:spacing w:val="5"/>
          <w:sz w:val="20"/>
        </w:rPr>
        <w:t> </w:t>
      </w:r>
      <w:r>
        <w:rPr>
          <w:rFonts w:ascii="Arial"/>
          <w:i/>
          <w:sz w:val="20"/>
        </w:rPr>
        <w:t>150</w:t>
      </w:r>
      <w:r>
        <w:rPr>
          <w:sz w:val="20"/>
        </w:rPr>
        <w:t>;</w:t>
      </w:r>
      <w:r>
        <w:rPr>
          <w:spacing w:val="5"/>
          <w:sz w:val="20"/>
        </w:rPr>
        <w:t> </w:t>
      </w:r>
      <w:r>
        <w:rPr>
          <w:rFonts w:ascii="Arial"/>
          <w:i/>
          <w:sz w:val="20"/>
        </w:rPr>
        <w:t>Coast</w:t>
      </w:r>
      <w:r>
        <w:rPr>
          <w:rFonts w:ascii="Arial"/>
          <w:i/>
          <w:spacing w:val="5"/>
          <w:sz w:val="20"/>
        </w:rPr>
        <w:t> </w:t>
      </w:r>
      <w:r>
        <w:rPr>
          <w:rFonts w:ascii="Arial"/>
          <w:i/>
          <w:sz w:val="20"/>
        </w:rPr>
        <w:t>Lines</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Hudig</w:t>
      </w:r>
      <w:r>
        <w:rPr>
          <w:rFonts w:ascii="Arial"/>
          <w:i/>
          <w:spacing w:val="5"/>
          <w:sz w:val="20"/>
        </w:rPr>
        <w:t> </w:t>
      </w:r>
      <w:r>
        <w:rPr>
          <w:rFonts w:ascii="Arial"/>
          <w:i/>
          <w:sz w:val="20"/>
        </w:rPr>
        <w:t>and</w:t>
      </w:r>
      <w:r>
        <w:rPr>
          <w:rFonts w:ascii="Arial"/>
          <w:i/>
          <w:spacing w:val="5"/>
          <w:sz w:val="20"/>
        </w:rPr>
        <w:t> </w:t>
      </w:r>
      <w:r>
        <w:rPr>
          <w:rFonts w:ascii="Arial"/>
          <w:i/>
          <w:sz w:val="20"/>
        </w:rPr>
        <w:t>Veder</w:t>
      </w:r>
      <w:r>
        <w:rPr>
          <w:rFonts w:ascii="Arial"/>
          <w:i/>
          <w:spacing w:val="5"/>
          <w:sz w:val="20"/>
        </w:rPr>
        <w:t> </w:t>
      </w:r>
      <w:r>
        <w:rPr>
          <w:rFonts w:ascii="Arial"/>
          <w:i/>
          <w:sz w:val="20"/>
        </w:rPr>
        <w:t>Chartering</w:t>
      </w:r>
      <w:r>
        <w:rPr>
          <w:rFonts w:ascii="Arial"/>
          <w:i/>
          <w:spacing w:val="5"/>
          <w:sz w:val="20"/>
        </w:rPr>
        <w:t> </w:t>
      </w:r>
      <w:r>
        <w:rPr>
          <w:rFonts w:ascii="Arial"/>
          <w:i/>
          <w:sz w:val="20"/>
        </w:rPr>
        <w:t>NV</w:t>
      </w:r>
      <w:r>
        <w:rPr>
          <w:rFonts w:ascii="Arial"/>
          <w:i/>
          <w:spacing w:val="5"/>
          <w:sz w:val="20"/>
        </w:rPr>
        <w:t> </w:t>
      </w:r>
      <w:r>
        <w:rPr>
          <w:rFonts w:ascii="Arial"/>
          <w:i/>
          <w:sz w:val="20"/>
        </w:rPr>
        <w:t>[1972]</w:t>
      </w:r>
      <w:r>
        <w:rPr>
          <w:rFonts w:ascii="Arial"/>
          <w:i/>
          <w:spacing w:val="5"/>
          <w:sz w:val="20"/>
        </w:rPr>
        <w:t> </w:t>
      </w:r>
      <w:r>
        <w:rPr>
          <w:rFonts w:ascii="Arial"/>
          <w:i/>
          <w:spacing w:val="-10"/>
          <w:sz w:val="20"/>
        </w:rPr>
        <w:t>2</w:t>
      </w:r>
    </w:p>
    <w:p>
      <w:pPr>
        <w:spacing w:line="227" w:lineRule="exact" w:before="0"/>
        <w:ind w:left="705" w:right="0" w:firstLine="0"/>
        <w:jc w:val="left"/>
        <w:rPr>
          <w:sz w:val="20"/>
        </w:rPr>
      </w:pPr>
      <w:r>
        <w:rPr>
          <w:rFonts w:ascii="Arial"/>
          <w:i/>
          <w:sz w:val="20"/>
        </w:rPr>
        <w:t>Q.B. </w:t>
      </w:r>
      <w:r>
        <w:rPr>
          <w:rFonts w:ascii="Arial"/>
          <w:i/>
          <w:spacing w:val="-5"/>
          <w:sz w:val="20"/>
        </w:rPr>
        <w:t>34</w:t>
      </w:r>
      <w:r>
        <w:rPr>
          <w:spacing w:val="-5"/>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45" w:id="147"/>
      <w:bookmarkEnd w:id="147"/>
      <w:r>
        <w:rPr/>
      </w:r>
      <w:hyperlink w:history="true" w:anchor="_bookmark69">
        <w:r>
          <w:rPr>
            <w:color w:val="005DA1"/>
            <w:spacing w:val="-5"/>
            <w:position w:val="5"/>
            <w:sz w:val="14"/>
            <w:u w:val="single" w:color="005DA1"/>
          </w:rPr>
          <w:t>66</w:t>
        </w:r>
      </w:hyperlink>
      <w:r>
        <w:rPr>
          <w:spacing w:val="-5"/>
          <w:position w:val="5"/>
          <w:sz w:val="14"/>
        </w:rPr>
        <w:t>.</w:t>
      </w:r>
      <w:r>
        <w:rPr>
          <w:position w:val="5"/>
          <w:sz w:val="14"/>
        </w:rPr>
        <w:tab/>
      </w:r>
      <w:r>
        <w:rPr>
          <w:rFonts w:ascii="Arial"/>
          <w:i/>
          <w:sz w:val="20"/>
        </w:rPr>
        <w:t>P.</w:t>
      </w:r>
      <w:r>
        <w:rPr>
          <w:rFonts w:ascii="Arial"/>
          <w:i/>
          <w:spacing w:val="20"/>
          <w:sz w:val="20"/>
        </w:rPr>
        <w:t> </w:t>
      </w:r>
      <w:r>
        <w:rPr>
          <w:rFonts w:ascii="Arial"/>
          <w:i/>
          <w:sz w:val="20"/>
        </w:rPr>
        <w:t>&amp;</w:t>
      </w:r>
      <w:r>
        <w:rPr>
          <w:rFonts w:ascii="Arial"/>
          <w:i/>
          <w:spacing w:val="21"/>
          <w:sz w:val="20"/>
        </w:rPr>
        <w:t> </w:t>
      </w:r>
      <w:r>
        <w:rPr>
          <w:rFonts w:ascii="Arial"/>
          <w:i/>
          <w:sz w:val="20"/>
        </w:rPr>
        <w:t>O.</w:t>
      </w:r>
      <w:r>
        <w:rPr>
          <w:rFonts w:ascii="Arial"/>
          <w:i/>
          <w:spacing w:val="21"/>
          <w:sz w:val="20"/>
        </w:rPr>
        <w:t> </w:t>
      </w:r>
      <w:r>
        <w:rPr>
          <w:rFonts w:ascii="Arial"/>
          <w:i/>
          <w:sz w:val="20"/>
        </w:rPr>
        <w:t>Steam</w:t>
      </w:r>
      <w:r>
        <w:rPr>
          <w:rFonts w:ascii="Arial"/>
          <w:i/>
          <w:spacing w:val="21"/>
          <w:sz w:val="20"/>
        </w:rPr>
        <w:t> </w:t>
      </w:r>
      <w:r>
        <w:rPr>
          <w:rFonts w:ascii="Arial"/>
          <w:i/>
          <w:sz w:val="20"/>
        </w:rPr>
        <w:t>Navigation</w:t>
      </w:r>
      <w:r>
        <w:rPr>
          <w:rFonts w:ascii="Arial"/>
          <w:i/>
          <w:spacing w:val="21"/>
          <w:sz w:val="20"/>
        </w:rPr>
        <w:t> </w:t>
      </w:r>
      <w:r>
        <w:rPr>
          <w:rFonts w:ascii="Arial"/>
          <w:i/>
          <w:sz w:val="20"/>
        </w:rPr>
        <w:t>Co</w:t>
      </w:r>
      <w:r>
        <w:rPr>
          <w:rFonts w:ascii="Arial"/>
          <w:i/>
          <w:spacing w:val="21"/>
          <w:sz w:val="20"/>
        </w:rPr>
        <w:t> </w:t>
      </w:r>
      <w:r>
        <w:rPr>
          <w:rFonts w:ascii="Arial"/>
          <w:i/>
          <w:sz w:val="20"/>
        </w:rPr>
        <w:t>v</w:t>
      </w:r>
      <w:r>
        <w:rPr>
          <w:rFonts w:ascii="Arial"/>
          <w:i/>
          <w:spacing w:val="21"/>
          <w:sz w:val="20"/>
        </w:rPr>
        <w:t> </w:t>
      </w:r>
      <w:r>
        <w:rPr>
          <w:rFonts w:ascii="Arial"/>
          <w:i/>
          <w:sz w:val="20"/>
        </w:rPr>
        <w:t>Shand</w:t>
      </w:r>
      <w:r>
        <w:rPr>
          <w:rFonts w:ascii="Arial"/>
          <w:i/>
          <w:spacing w:val="21"/>
          <w:sz w:val="20"/>
        </w:rPr>
        <w:t> </w:t>
      </w:r>
      <w:r>
        <w:rPr>
          <w:rFonts w:ascii="Arial"/>
          <w:i/>
          <w:sz w:val="20"/>
        </w:rPr>
        <w:t>(1865)</w:t>
      </w:r>
      <w:r>
        <w:rPr>
          <w:rFonts w:ascii="Arial"/>
          <w:i/>
          <w:spacing w:val="21"/>
          <w:sz w:val="20"/>
        </w:rPr>
        <w:t> </w:t>
      </w:r>
      <w:r>
        <w:rPr>
          <w:rFonts w:ascii="Arial"/>
          <w:i/>
          <w:sz w:val="20"/>
        </w:rPr>
        <w:t>3</w:t>
      </w:r>
      <w:r>
        <w:rPr>
          <w:rFonts w:ascii="Arial"/>
          <w:i/>
          <w:spacing w:val="21"/>
          <w:sz w:val="20"/>
        </w:rPr>
        <w:t> </w:t>
      </w:r>
      <w:r>
        <w:rPr>
          <w:rFonts w:ascii="Arial"/>
          <w:i/>
          <w:sz w:val="20"/>
        </w:rPr>
        <w:t>Moo.</w:t>
      </w:r>
      <w:r>
        <w:rPr>
          <w:rFonts w:ascii="Arial"/>
          <w:i/>
          <w:spacing w:val="21"/>
          <w:sz w:val="20"/>
        </w:rPr>
        <w:t> </w:t>
      </w:r>
      <w:r>
        <w:rPr>
          <w:rFonts w:ascii="Arial"/>
          <w:i/>
          <w:sz w:val="20"/>
        </w:rPr>
        <w:t>P.C.(N.S.)</w:t>
      </w:r>
      <w:r>
        <w:rPr>
          <w:rFonts w:ascii="Arial"/>
          <w:i/>
          <w:spacing w:val="21"/>
          <w:sz w:val="20"/>
        </w:rPr>
        <w:t> </w:t>
      </w:r>
      <w:r>
        <w:rPr>
          <w:rFonts w:ascii="Arial"/>
          <w:i/>
          <w:sz w:val="20"/>
        </w:rPr>
        <w:t>272</w:t>
      </w:r>
      <w:r>
        <w:rPr>
          <w:sz w:val="20"/>
        </w:rPr>
        <w:t>;</w:t>
      </w:r>
      <w:r>
        <w:rPr>
          <w:spacing w:val="21"/>
          <w:sz w:val="20"/>
        </w:rPr>
        <w:t> </w:t>
      </w:r>
      <w:r>
        <w:rPr>
          <w:rFonts w:ascii="Arial"/>
          <w:i/>
          <w:sz w:val="20"/>
        </w:rPr>
        <w:t>Lloyd</w:t>
      </w:r>
      <w:r>
        <w:rPr>
          <w:rFonts w:ascii="Arial"/>
          <w:i/>
          <w:spacing w:val="21"/>
          <w:sz w:val="20"/>
        </w:rPr>
        <w:t> </w:t>
      </w:r>
      <w:r>
        <w:rPr>
          <w:rFonts w:ascii="Arial"/>
          <w:i/>
          <w:sz w:val="20"/>
        </w:rPr>
        <w:t>v</w:t>
      </w:r>
      <w:r>
        <w:rPr>
          <w:rFonts w:ascii="Arial"/>
          <w:i/>
          <w:spacing w:val="21"/>
          <w:sz w:val="20"/>
        </w:rPr>
        <w:t> </w:t>
      </w:r>
      <w:r>
        <w:rPr>
          <w:rFonts w:ascii="Arial"/>
          <w:i/>
          <w:sz w:val="20"/>
        </w:rPr>
        <w:t>Guibert</w:t>
      </w:r>
      <w:r>
        <w:rPr>
          <w:rFonts w:ascii="Arial"/>
          <w:i/>
          <w:spacing w:val="21"/>
          <w:sz w:val="20"/>
        </w:rPr>
        <w:t> </w:t>
      </w:r>
      <w:r>
        <w:rPr>
          <w:rFonts w:ascii="Arial"/>
          <w:i/>
          <w:spacing w:val="-2"/>
          <w:sz w:val="20"/>
        </w:rPr>
        <w:t>(1865)</w:t>
      </w:r>
    </w:p>
    <w:p>
      <w:pPr>
        <w:spacing w:line="225" w:lineRule="exact" w:before="0"/>
        <w:ind w:left="0" w:right="168" w:firstLine="0"/>
        <w:jc w:val="right"/>
        <w:rPr>
          <w:rFonts w:ascii="Arial" w:hAnsi="Arial"/>
          <w:i/>
          <w:sz w:val="20"/>
        </w:rPr>
      </w:pPr>
      <w:r>
        <w:rPr>
          <w:rFonts w:ascii="Arial" w:hAnsi="Arial"/>
          <w:i/>
          <w:sz w:val="20"/>
        </w:rPr>
        <w:t>L.R.</w:t>
      </w:r>
      <w:r>
        <w:rPr>
          <w:rFonts w:ascii="Arial" w:hAnsi="Arial"/>
          <w:i/>
          <w:spacing w:val="44"/>
          <w:sz w:val="20"/>
        </w:rPr>
        <w:t> </w:t>
      </w:r>
      <w:r>
        <w:rPr>
          <w:rFonts w:ascii="Arial" w:hAnsi="Arial"/>
          <w:i/>
          <w:sz w:val="20"/>
        </w:rPr>
        <w:t>1</w:t>
      </w:r>
      <w:r>
        <w:rPr>
          <w:rFonts w:ascii="Arial" w:hAnsi="Arial"/>
          <w:i/>
          <w:spacing w:val="45"/>
          <w:sz w:val="20"/>
        </w:rPr>
        <w:t> </w:t>
      </w:r>
      <w:r>
        <w:rPr>
          <w:rFonts w:ascii="Arial" w:hAnsi="Arial"/>
          <w:i/>
          <w:sz w:val="20"/>
        </w:rPr>
        <w:t>Q.B.</w:t>
      </w:r>
      <w:r>
        <w:rPr>
          <w:rFonts w:ascii="Arial" w:hAnsi="Arial"/>
          <w:i/>
          <w:spacing w:val="45"/>
          <w:sz w:val="20"/>
        </w:rPr>
        <w:t> </w:t>
      </w:r>
      <w:r>
        <w:rPr>
          <w:rFonts w:ascii="Arial" w:hAnsi="Arial"/>
          <w:i/>
          <w:sz w:val="20"/>
        </w:rPr>
        <w:t>115,</w:t>
      </w:r>
      <w:r>
        <w:rPr>
          <w:rFonts w:ascii="Arial" w:hAnsi="Arial"/>
          <w:i/>
          <w:spacing w:val="45"/>
          <w:sz w:val="20"/>
        </w:rPr>
        <w:t> </w:t>
      </w:r>
      <w:r>
        <w:rPr>
          <w:rFonts w:ascii="Arial" w:hAnsi="Arial"/>
          <w:i/>
          <w:sz w:val="20"/>
        </w:rPr>
        <w:t>122</w:t>
      </w:r>
      <w:r>
        <w:rPr>
          <w:sz w:val="20"/>
        </w:rPr>
        <w:t>;</w:t>
      </w:r>
      <w:r>
        <w:rPr>
          <w:spacing w:val="45"/>
          <w:sz w:val="20"/>
        </w:rPr>
        <w:t> </w:t>
      </w:r>
      <w:r>
        <w:rPr>
          <w:rFonts w:ascii="Arial" w:hAnsi="Arial"/>
          <w:i/>
          <w:sz w:val="20"/>
        </w:rPr>
        <w:t>Jacobs</w:t>
      </w:r>
      <w:r>
        <w:rPr>
          <w:rFonts w:ascii="Arial" w:hAnsi="Arial"/>
          <w:i/>
          <w:spacing w:val="45"/>
          <w:sz w:val="20"/>
        </w:rPr>
        <w:t> </w:t>
      </w:r>
      <w:r>
        <w:rPr>
          <w:rFonts w:ascii="Arial" w:hAnsi="Arial"/>
          <w:i/>
          <w:sz w:val="20"/>
        </w:rPr>
        <w:t>v</w:t>
      </w:r>
      <w:r>
        <w:rPr>
          <w:rFonts w:ascii="Arial" w:hAnsi="Arial"/>
          <w:i/>
          <w:spacing w:val="45"/>
          <w:sz w:val="20"/>
        </w:rPr>
        <w:t> </w:t>
      </w:r>
      <w:r>
        <w:rPr>
          <w:rFonts w:ascii="Arial" w:hAnsi="Arial"/>
          <w:i/>
          <w:sz w:val="20"/>
        </w:rPr>
        <w:t>Crédit</w:t>
      </w:r>
      <w:r>
        <w:rPr>
          <w:rFonts w:ascii="Arial" w:hAnsi="Arial"/>
          <w:i/>
          <w:spacing w:val="44"/>
          <w:sz w:val="20"/>
        </w:rPr>
        <w:t> </w:t>
      </w:r>
      <w:r>
        <w:rPr>
          <w:rFonts w:ascii="Arial" w:hAnsi="Arial"/>
          <w:i/>
          <w:sz w:val="20"/>
        </w:rPr>
        <w:t>Lyonnais</w:t>
      </w:r>
      <w:r>
        <w:rPr>
          <w:rFonts w:ascii="Arial" w:hAnsi="Arial"/>
          <w:i/>
          <w:spacing w:val="45"/>
          <w:sz w:val="20"/>
        </w:rPr>
        <w:t> </w:t>
      </w:r>
      <w:r>
        <w:rPr>
          <w:rFonts w:ascii="Arial" w:hAnsi="Arial"/>
          <w:i/>
          <w:sz w:val="20"/>
        </w:rPr>
        <w:t>(1884)</w:t>
      </w:r>
      <w:r>
        <w:rPr>
          <w:rFonts w:ascii="Arial" w:hAnsi="Arial"/>
          <w:i/>
          <w:spacing w:val="45"/>
          <w:sz w:val="20"/>
        </w:rPr>
        <w:t> </w:t>
      </w:r>
      <w:r>
        <w:rPr>
          <w:rFonts w:ascii="Arial" w:hAnsi="Arial"/>
          <w:i/>
          <w:sz w:val="20"/>
        </w:rPr>
        <w:t>12</w:t>
      </w:r>
      <w:r>
        <w:rPr>
          <w:rFonts w:ascii="Arial" w:hAnsi="Arial"/>
          <w:i/>
          <w:spacing w:val="45"/>
          <w:sz w:val="20"/>
        </w:rPr>
        <w:t> </w:t>
      </w:r>
      <w:r>
        <w:rPr>
          <w:rFonts w:ascii="Arial" w:hAnsi="Arial"/>
          <w:i/>
          <w:sz w:val="20"/>
        </w:rPr>
        <w:t>Q.B.D.</w:t>
      </w:r>
      <w:r>
        <w:rPr>
          <w:rFonts w:ascii="Arial" w:hAnsi="Arial"/>
          <w:i/>
          <w:spacing w:val="45"/>
          <w:sz w:val="20"/>
        </w:rPr>
        <w:t> </w:t>
      </w:r>
      <w:r>
        <w:rPr>
          <w:rFonts w:ascii="Arial" w:hAnsi="Arial"/>
          <w:i/>
          <w:sz w:val="20"/>
        </w:rPr>
        <w:t>589,</w:t>
      </w:r>
      <w:r>
        <w:rPr>
          <w:rFonts w:ascii="Arial" w:hAnsi="Arial"/>
          <w:i/>
          <w:spacing w:val="45"/>
          <w:sz w:val="20"/>
        </w:rPr>
        <w:t> </w:t>
      </w:r>
      <w:r>
        <w:rPr>
          <w:rFonts w:ascii="Arial" w:hAnsi="Arial"/>
          <w:i/>
          <w:sz w:val="20"/>
        </w:rPr>
        <w:t>596-597,</w:t>
      </w:r>
      <w:r>
        <w:rPr>
          <w:rFonts w:ascii="Arial" w:hAnsi="Arial"/>
          <w:i/>
          <w:spacing w:val="45"/>
          <w:sz w:val="20"/>
        </w:rPr>
        <w:t> </w:t>
      </w:r>
      <w:r>
        <w:rPr>
          <w:rFonts w:ascii="Arial" w:hAnsi="Arial"/>
          <w:i/>
          <w:sz w:val="20"/>
        </w:rPr>
        <w:t>600</w:t>
      </w:r>
      <w:r>
        <w:rPr>
          <w:sz w:val="20"/>
        </w:rPr>
        <w:t>;</w:t>
      </w:r>
      <w:r>
        <w:rPr>
          <w:spacing w:val="45"/>
          <w:sz w:val="20"/>
        </w:rPr>
        <w:t> </w:t>
      </w:r>
      <w:r>
        <w:rPr>
          <w:rFonts w:ascii="Arial" w:hAnsi="Arial"/>
          <w:i/>
          <w:spacing w:val="-5"/>
          <w:sz w:val="20"/>
        </w:rPr>
        <w:t>Re</w:t>
      </w:r>
    </w:p>
    <w:p>
      <w:pPr>
        <w:spacing w:line="235" w:lineRule="auto" w:before="1"/>
        <w:ind w:left="705" w:right="168" w:firstLine="0"/>
        <w:jc w:val="both"/>
        <w:rPr>
          <w:sz w:val="20"/>
        </w:rPr>
      </w:pPr>
      <w:r>
        <w:rPr>
          <w:rFonts w:ascii="Arial" w:hAnsi="Arial"/>
          <w:i/>
          <w:sz w:val="20"/>
        </w:rPr>
        <w:t>Missouri S.S. Co (1889) 42 Ch. D. 321, 326, 338</w:t>
      </w:r>
      <w:r>
        <w:rPr>
          <w:sz w:val="20"/>
        </w:rPr>
        <w:t>; </w:t>
      </w:r>
      <w:r>
        <w:rPr>
          <w:rFonts w:ascii="Arial" w:hAnsi="Arial"/>
          <w:i/>
          <w:sz w:val="20"/>
        </w:rPr>
        <w:t>British South Africa Co v De </w:t>
      </w:r>
      <w:r>
        <w:rPr>
          <w:rFonts w:ascii="Arial" w:hAnsi="Arial"/>
          <w:i/>
          <w:sz w:val="20"/>
        </w:rPr>
        <w:t>Beers Consolidated Mines Ltd [1910] 1 Ch. 354, 381</w:t>
      </w:r>
      <w:r>
        <w:rPr>
          <w:sz w:val="20"/>
        </w:rPr>
        <w:t>; </w:t>
      </w:r>
      <w:r>
        <w:rPr>
          <w:rFonts w:ascii="Arial" w:hAnsi="Arial"/>
          <w:i/>
          <w:sz w:val="20"/>
        </w:rPr>
        <w:t>Kahler v Midland Bank Ltd [1950] A.C. 24</w:t>
      </w:r>
      <w:r>
        <w:rPr>
          <w:sz w:val="20"/>
        </w:rPr>
        <w:t>; </w:t>
      </w:r>
      <w:r>
        <w:rPr>
          <w:rFonts w:ascii="Arial" w:hAnsi="Arial"/>
          <w:i/>
          <w:sz w:val="20"/>
        </w:rPr>
        <w:t>Zivnostenska</w:t>
      </w:r>
      <w:r>
        <w:rPr>
          <w:rFonts w:ascii="Arial" w:hAnsi="Arial"/>
          <w:i/>
          <w:spacing w:val="-3"/>
          <w:sz w:val="20"/>
        </w:rPr>
        <w:t> </w:t>
      </w:r>
      <w:r>
        <w:rPr>
          <w:rFonts w:ascii="Arial" w:hAnsi="Arial"/>
          <w:i/>
          <w:sz w:val="20"/>
        </w:rPr>
        <w:t>Banka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Frankman</w:t>
      </w:r>
      <w:r>
        <w:rPr>
          <w:rFonts w:ascii="Arial" w:hAnsi="Arial"/>
          <w:i/>
          <w:spacing w:val="-3"/>
          <w:sz w:val="20"/>
        </w:rPr>
        <w:t> </w:t>
      </w:r>
      <w:r>
        <w:rPr>
          <w:rFonts w:ascii="Arial" w:hAnsi="Arial"/>
          <w:i/>
          <w:sz w:val="20"/>
        </w:rPr>
        <w:t>[1950]</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57</w:t>
      </w:r>
      <w:r>
        <w:rPr>
          <w:sz w:val="20"/>
        </w:rPr>
        <w:t>;</w:t>
      </w:r>
      <w:r>
        <w:rPr>
          <w:spacing w:val="-3"/>
          <w:sz w:val="20"/>
        </w:rPr>
        <w:t> </w:t>
      </w:r>
      <w:r>
        <w:rPr>
          <w:rFonts w:ascii="Arial" w:hAnsi="Arial"/>
          <w:i/>
          <w:sz w:val="20"/>
        </w:rPr>
        <w:t>Cantieri</w:t>
      </w:r>
      <w:r>
        <w:rPr>
          <w:rFonts w:ascii="Arial" w:hAnsi="Arial"/>
          <w:i/>
          <w:spacing w:val="-3"/>
          <w:sz w:val="20"/>
        </w:rPr>
        <w:t> </w:t>
      </w:r>
      <w:r>
        <w:rPr>
          <w:rFonts w:ascii="Arial" w:hAnsi="Arial"/>
          <w:i/>
          <w:sz w:val="20"/>
        </w:rPr>
        <w:t>Navali</w:t>
      </w:r>
      <w:r>
        <w:rPr>
          <w:rFonts w:ascii="Arial" w:hAnsi="Arial"/>
          <w:i/>
          <w:spacing w:val="-3"/>
          <w:sz w:val="20"/>
        </w:rPr>
        <w:t> </w:t>
      </w:r>
      <w:r>
        <w:rPr>
          <w:rFonts w:ascii="Arial" w:hAnsi="Arial"/>
          <w:i/>
          <w:sz w:val="20"/>
        </w:rPr>
        <w:t>Riuniti</w:t>
      </w:r>
      <w:r>
        <w:rPr>
          <w:rFonts w:ascii="Arial" w:hAnsi="Arial"/>
          <w:i/>
          <w:spacing w:val="-3"/>
          <w:sz w:val="20"/>
        </w:rPr>
        <w:t> </w:t>
      </w:r>
      <w:r>
        <w:rPr>
          <w:rFonts w:ascii="Arial" w:hAnsi="Arial"/>
          <w:i/>
          <w:sz w:val="20"/>
        </w:rPr>
        <w:t>SpA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NV</w:t>
      </w:r>
      <w:r>
        <w:rPr>
          <w:rFonts w:ascii="Arial" w:hAnsi="Arial"/>
          <w:i/>
          <w:spacing w:val="-3"/>
          <w:sz w:val="20"/>
        </w:rPr>
        <w:t> </w:t>
      </w:r>
      <w:r>
        <w:rPr>
          <w:rFonts w:ascii="Arial" w:hAnsi="Arial"/>
          <w:i/>
          <w:sz w:val="20"/>
        </w:rPr>
        <w:t>Omne</w:t>
      </w:r>
      <w:r>
        <w:rPr>
          <w:rFonts w:ascii="Arial" w:hAnsi="Arial"/>
          <w:i/>
          <w:spacing w:val="-3"/>
          <w:sz w:val="20"/>
        </w:rPr>
        <w:t> </w:t>
      </w:r>
      <w:r>
        <w:rPr>
          <w:rFonts w:ascii="Arial" w:hAnsi="Arial"/>
          <w:i/>
          <w:sz w:val="20"/>
        </w:rPr>
        <w:t>Justitia [1985] 2 Lloyd’s Rep. 428, 433-435</w:t>
      </w:r>
      <w:r>
        <w:rPr>
          <w:sz w:val="20"/>
        </w:rPr>
        <w:t>; cf. </w:t>
      </w:r>
      <w:r>
        <w:rPr>
          <w:rFonts w:ascii="Arial" w:hAnsi="Arial"/>
          <w:i/>
          <w:sz w:val="20"/>
        </w:rPr>
        <w:t>Amin Rasheed Shipping Corp v Kuwait Insurance Co [1984] A.C. 50, 62</w:t>
      </w:r>
      <w:r>
        <w:rPr>
          <w:sz w:val="20"/>
        </w:rPr>
        <w:t>.</w:t>
      </w:r>
    </w:p>
    <w:p>
      <w:pPr>
        <w:pStyle w:val="BodyText"/>
        <w:spacing w:before="4"/>
      </w:pPr>
    </w:p>
    <w:p>
      <w:pPr>
        <w:spacing w:line="227" w:lineRule="exact" w:before="1"/>
        <w:ind w:left="165" w:right="0" w:firstLine="0"/>
        <w:jc w:val="both"/>
        <w:rPr>
          <w:sz w:val="20"/>
        </w:rPr>
      </w:pPr>
      <w:bookmarkStart w:name="_bookmark146" w:id="148"/>
      <w:bookmarkEnd w:id="148"/>
      <w:r>
        <w:rPr/>
      </w:r>
      <w:hyperlink w:history="true" w:anchor="_bookmark69">
        <w:r>
          <w:rPr>
            <w:color w:val="005DA1"/>
            <w:position w:val="5"/>
            <w:sz w:val="14"/>
            <w:u w:val="single" w:color="005DA1"/>
          </w:rPr>
          <w:t>67</w:t>
        </w:r>
      </w:hyperlink>
      <w:r>
        <w:rPr>
          <w:position w:val="5"/>
          <w:sz w:val="14"/>
        </w:rPr>
        <w:t>.</w:t>
      </w:r>
      <w:r>
        <w:rPr>
          <w:spacing w:val="76"/>
          <w:position w:val="5"/>
          <w:sz w:val="14"/>
        </w:rPr>
        <w:t>   </w:t>
      </w:r>
      <w:r>
        <w:rPr>
          <w:sz w:val="20"/>
        </w:rPr>
        <w:t>e.g.</w:t>
      </w:r>
      <w:r>
        <w:rPr>
          <w:spacing w:val="8"/>
          <w:sz w:val="20"/>
        </w:rPr>
        <w:t> </w:t>
      </w:r>
      <w:r>
        <w:rPr>
          <w:rFonts w:ascii="Arial"/>
          <w:i/>
          <w:sz w:val="20"/>
        </w:rPr>
        <w:t>Lloyd</w:t>
      </w:r>
      <w:r>
        <w:rPr>
          <w:rFonts w:ascii="Arial"/>
          <w:i/>
          <w:spacing w:val="8"/>
          <w:sz w:val="20"/>
        </w:rPr>
        <w:t> </w:t>
      </w:r>
      <w:r>
        <w:rPr>
          <w:rFonts w:ascii="Arial"/>
          <w:i/>
          <w:sz w:val="20"/>
        </w:rPr>
        <w:t>v</w:t>
      </w:r>
      <w:r>
        <w:rPr>
          <w:rFonts w:ascii="Arial"/>
          <w:i/>
          <w:spacing w:val="8"/>
          <w:sz w:val="20"/>
        </w:rPr>
        <w:t> </w:t>
      </w:r>
      <w:r>
        <w:rPr>
          <w:rFonts w:ascii="Arial"/>
          <w:i/>
          <w:sz w:val="20"/>
        </w:rPr>
        <w:t>Guibert</w:t>
      </w:r>
      <w:r>
        <w:rPr>
          <w:rFonts w:ascii="Arial"/>
          <w:i/>
          <w:spacing w:val="8"/>
          <w:sz w:val="20"/>
        </w:rPr>
        <w:t> </w:t>
      </w:r>
      <w:r>
        <w:rPr>
          <w:rFonts w:ascii="Arial"/>
          <w:i/>
          <w:sz w:val="20"/>
        </w:rPr>
        <w:t>(1865)</w:t>
      </w:r>
      <w:r>
        <w:rPr>
          <w:rFonts w:ascii="Arial"/>
          <w:i/>
          <w:spacing w:val="8"/>
          <w:sz w:val="20"/>
        </w:rPr>
        <w:t> </w:t>
      </w:r>
      <w:r>
        <w:rPr>
          <w:rFonts w:ascii="Arial"/>
          <w:i/>
          <w:sz w:val="20"/>
        </w:rPr>
        <w:t>L.R.</w:t>
      </w:r>
      <w:r>
        <w:rPr>
          <w:rFonts w:ascii="Arial"/>
          <w:i/>
          <w:spacing w:val="8"/>
          <w:sz w:val="20"/>
        </w:rPr>
        <w:t> </w:t>
      </w:r>
      <w:r>
        <w:rPr>
          <w:rFonts w:ascii="Arial"/>
          <w:i/>
          <w:sz w:val="20"/>
        </w:rPr>
        <w:t>1</w:t>
      </w:r>
      <w:r>
        <w:rPr>
          <w:rFonts w:ascii="Arial"/>
          <w:i/>
          <w:spacing w:val="8"/>
          <w:sz w:val="20"/>
        </w:rPr>
        <w:t> </w:t>
      </w:r>
      <w:r>
        <w:rPr>
          <w:rFonts w:ascii="Arial"/>
          <w:i/>
          <w:sz w:val="20"/>
        </w:rPr>
        <w:t>Q.B.</w:t>
      </w:r>
      <w:r>
        <w:rPr>
          <w:rFonts w:ascii="Arial"/>
          <w:i/>
          <w:spacing w:val="8"/>
          <w:sz w:val="20"/>
        </w:rPr>
        <w:t> </w:t>
      </w:r>
      <w:r>
        <w:rPr>
          <w:rFonts w:ascii="Arial"/>
          <w:i/>
          <w:sz w:val="20"/>
        </w:rPr>
        <w:t>115,</w:t>
      </w:r>
      <w:r>
        <w:rPr>
          <w:rFonts w:ascii="Arial"/>
          <w:i/>
          <w:spacing w:val="8"/>
          <w:sz w:val="20"/>
        </w:rPr>
        <w:t> </w:t>
      </w:r>
      <w:r>
        <w:rPr>
          <w:rFonts w:ascii="Arial"/>
          <w:i/>
          <w:sz w:val="20"/>
        </w:rPr>
        <w:t>122</w:t>
      </w:r>
      <w:r>
        <w:rPr>
          <w:sz w:val="20"/>
        </w:rPr>
        <w:t>:</w:t>
      </w:r>
      <w:r>
        <w:rPr>
          <w:spacing w:val="7"/>
          <w:sz w:val="20"/>
        </w:rPr>
        <w:t> </w:t>
      </w:r>
      <w:r>
        <w:rPr>
          <w:rFonts w:ascii="Arial"/>
          <w:i/>
          <w:sz w:val="20"/>
        </w:rPr>
        <w:t>Re</w:t>
      </w:r>
      <w:r>
        <w:rPr>
          <w:rFonts w:ascii="Arial"/>
          <w:i/>
          <w:spacing w:val="8"/>
          <w:sz w:val="20"/>
        </w:rPr>
        <w:t> </w:t>
      </w:r>
      <w:r>
        <w:rPr>
          <w:rFonts w:ascii="Arial"/>
          <w:i/>
          <w:sz w:val="20"/>
        </w:rPr>
        <w:t>Missouri</w:t>
      </w:r>
      <w:r>
        <w:rPr>
          <w:rFonts w:ascii="Arial"/>
          <w:i/>
          <w:spacing w:val="8"/>
          <w:sz w:val="20"/>
        </w:rPr>
        <w:t> </w:t>
      </w:r>
      <w:r>
        <w:rPr>
          <w:rFonts w:ascii="Arial"/>
          <w:i/>
          <w:sz w:val="20"/>
        </w:rPr>
        <w:t>S.S.</w:t>
      </w:r>
      <w:r>
        <w:rPr>
          <w:rFonts w:ascii="Arial"/>
          <w:i/>
          <w:spacing w:val="8"/>
          <w:sz w:val="20"/>
        </w:rPr>
        <w:t> </w:t>
      </w:r>
      <w:r>
        <w:rPr>
          <w:rFonts w:ascii="Arial"/>
          <w:i/>
          <w:sz w:val="20"/>
        </w:rPr>
        <w:t>Co</w:t>
      </w:r>
      <w:r>
        <w:rPr>
          <w:rFonts w:ascii="Arial"/>
          <w:i/>
          <w:spacing w:val="8"/>
          <w:sz w:val="20"/>
        </w:rPr>
        <w:t> </w:t>
      </w:r>
      <w:r>
        <w:rPr>
          <w:rFonts w:ascii="Arial"/>
          <w:i/>
          <w:sz w:val="20"/>
        </w:rPr>
        <w:t>(1889)</w:t>
      </w:r>
      <w:r>
        <w:rPr>
          <w:rFonts w:ascii="Arial"/>
          <w:i/>
          <w:spacing w:val="8"/>
          <w:sz w:val="20"/>
        </w:rPr>
        <w:t> </w:t>
      </w:r>
      <w:r>
        <w:rPr>
          <w:rFonts w:ascii="Arial"/>
          <w:i/>
          <w:sz w:val="20"/>
        </w:rPr>
        <w:t>42</w:t>
      </w:r>
      <w:r>
        <w:rPr>
          <w:rFonts w:ascii="Arial"/>
          <w:i/>
          <w:spacing w:val="8"/>
          <w:sz w:val="20"/>
        </w:rPr>
        <w:t> </w:t>
      </w:r>
      <w:r>
        <w:rPr>
          <w:rFonts w:ascii="Arial"/>
          <w:i/>
          <w:sz w:val="20"/>
        </w:rPr>
        <w:t>Ch.</w:t>
      </w:r>
      <w:r>
        <w:rPr>
          <w:rFonts w:ascii="Arial"/>
          <w:i/>
          <w:spacing w:val="8"/>
          <w:sz w:val="20"/>
        </w:rPr>
        <w:t> </w:t>
      </w:r>
      <w:r>
        <w:rPr>
          <w:rFonts w:ascii="Arial"/>
          <w:i/>
          <w:sz w:val="20"/>
        </w:rPr>
        <w:t>D.</w:t>
      </w:r>
      <w:r>
        <w:rPr>
          <w:rFonts w:ascii="Arial"/>
          <w:i/>
          <w:spacing w:val="8"/>
          <w:sz w:val="20"/>
        </w:rPr>
        <w:t> </w:t>
      </w:r>
      <w:r>
        <w:rPr>
          <w:rFonts w:ascii="Arial"/>
          <w:i/>
          <w:sz w:val="20"/>
        </w:rPr>
        <w:t>321</w:t>
      </w:r>
      <w:r>
        <w:rPr>
          <w:rFonts w:ascii="Arial"/>
          <w:i/>
          <w:spacing w:val="8"/>
          <w:sz w:val="20"/>
        </w:rPr>
        <w:t> </w:t>
      </w:r>
      <w:r>
        <w:rPr>
          <w:spacing w:val="-5"/>
          <w:sz w:val="20"/>
        </w:rPr>
        <w:t>at</w:t>
      </w:r>
    </w:p>
    <w:p>
      <w:pPr>
        <w:spacing w:line="235" w:lineRule="auto" w:before="1"/>
        <w:ind w:left="705" w:right="168" w:firstLine="0"/>
        <w:jc w:val="both"/>
        <w:rPr>
          <w:sz w:val="20"/>
        </w:rPr>
      </w:pPr>
      <w:r>
        <w:rPr>
          <w:sz w:val="20"/>
        </w:rPr>
        <w:t>341; </w:t>
      </w:r>
      <w:r>
        <w:rPr>
          <w:rFonts w:ascii="Arial"/>
          <w:i/>
          <w:sz w:val="20"/>
        </w:rPr>
        <w:t>Chatenay v Brazilian Submarine Telegraph Co [1891] 1 Q.B. 79, 83</w:t>
      </w:r>
      <w:r>
        <w:rPr>
          <w:sz w:val="20"/>
        </w:rPr>
        <w:t>; </w:t>
      </w:r>
      <w:r>
        <w:rPr>
          <w:rFonts w:ascii="Arial"/>
          <w:i/>
          <w:sz w:val="20"/>
        </w:rPr>
        <w:t>Hamlyn &amp; Co </w:t>
      </w:r>
      <w:r>
        <w:rPr>
          <w:rFonts w:ascii="Arial"/>
          <w:i/>
          <w:sz w:val="20"/>
        </w:rPr>
        <w:t>v Talisker Distillery [1894] A.C. 202</w:t>
      </w:r>
      <w:r>
        <w:rPr>
          <w:sz w:val="20"/>
        </w:rPr>
        <w:t>; </w:t>
      </w:r>
      <w:r>
        <w:rPr>
          <w:rFonts w:ascii="Arial"/>
          <w:i/>
          <w:sz w:val="20"/>
        </w:rPr>
        <w:t>Ralli Bros v Compania Naviera Sota y Aznar [1920] 1 K.B. 614, 630, 631 (affirmed [1920] 2 K.B. 287)</w:t>
      </w:r>
      <w:r>
        <w:rPr>
          <w:sz w:val="20"/>
        </w:rPr>
        <w:t>; </w:t>
      </w:r>
      <w:r>
        <w:rPr>
          <w:rFonts w:ascii="Arial"/>
          <w:i/>
          <w:sz w:val="20"/>
        </w:rPr>
        <w:t>Benaim &amp; Co v Debono [1924] A.C. 514, 520</w:t>
      </w:r>
      <w:r>
        <w:rPr>
          <w:sz w:val="20"/>
        </w:rPr>
        <w:t>; </w:t>
      </w:r>
      <w:r>
        <w:rPr>
          <w:rFonts w:ascii="Arial"/>
          <w:i/>
          <w:sz w:val="20"/>
        </w:rPr>
        <w:t>Adelaide Electric Supply Co Ltd v Prudential Assurance Co Ltd [1934] A.C. 122, 145, 151</w:t>
      </w:r>
      <w:r>
        <w:rPr>
          <w:sz w:val="20"/>
        </w:rPr>
        <w:t>; </w:t>
      </w:r>
      <w:r>
        <w:rPr>
          <w:rFonts w:ascii="Arial"/>
          <w:i/>
          <w:sz w:val="20"/>
        </w:rPr>
        <w:t>James Miller and Partners Ltd v Whitworth Street Estates (Manchester) Ltd [1970] A.C. 583</w:t>
      </w:r>
      <w:r>
        <w:rPr>
          <w:sz w:val="20"/>
        </w:rPr>
        <w:t>; cf. </w:t>
      </w:r>
      <w:r>
        <w:rPr>
          <w:rFonts w:ascii="Arial"/>
          <w:i/>
          <w:sz w:val="20"/>
        </w:rPr>
        <w:t>Amin Rasheed Shipping Corp v Kuwait Insurance Co [1984] A.C. 50, 62-63</w:t>
      </w:r>
      <w:r>
        <w:rPr>
          <w:sz w:val="20"/>
        </w:rPr>
        <w:t>.</w:t>
      </w:r>
    </w:p>
    <w:p>
      <w:pPr>
        <w:pStyle w:val="BodyText"/>
        <w:spacing w:before="7"/>
      </w:pPr>
    </w:p>
    <w:p>
      <w:pPr>
        <w:spacing w:line="235" w:lineRule="auto" w:before="1"/>
        <w:ind w:left="705" w:right="168" w:hanging="541"/>
        <w:jc w:val="both"/>
        <w:rPr>
          <w:sz w:val="20"/>
        </w:rPr>
      </w:pPr>
      <w:bookmarkStart w:name="_bookmark147" w:id="149"/>
      <w:bookmarkEnd w:id="149"/>
      <w:r>
        <w:rPr/>
      </w:r>
      <w:hyperlink w:history="true" w:anchor="_bookmark70">
        <w:r>
          <w:rPr>
            <w:color w:val="005DA1"/>
            <w:position w:val="5"/>
            <w:sz w:val="14"/>
            <w:u w:val="single" w:color="005DA1"/>
          </w:rPr>
          <w:t>68</w:t>
        </w:r>
      </w:hyperlink>
      <w:r>
        <w:rPr>
          <w:position w:val="5"/>
          <w:sz w:val="14"/>
        </w:rPr>
        <w:t>.</w:t>
      </w:r>
      <w:r>
        <w:rPr>
          <w:spacing w:val="80"/>
          <w:position w:val="5"/>
          <w:sz w:val="14"/>
        </w:rPr>
        <w:t>  </w:t>
      </w:r>
      <w:r>
        <w:rPr>
          <w:rFonts w:ascii="Arial"/>
          <w:i/>
          <w:sz w:val="20"/>
        </w:rPr>
        <w:t>R. v International Trustee for the Protection of Bondholders AG [1937] A.C. 500, 531, 557, 574</w:t>
      </w:r>
      <w:r>
        <w:rPr>
          <w:sz w:val="20"/>
        </w:rPr>
        <w:t>; </w:t>
      </w:r>
      <w:r>
        <w:rPr>
          <w:rFonts w:ascii="Arial"/>
          <w:i/>
          <w:sz w:val="20"/>
        </w:rPr>
        <w:t>National</w:t>
      </w:r>
      <w:r>
        <w:rPr>
          <w:rFonts w:ascii="Arial"/>
          <w:i/>
          <w:spacing w:val="-2"/>
          <w:sz w:val="20"/>
        </w:rPr>
        <w:t> </w:t>
      </w:r>
      <w:r>
        <w:rPr>
          <w:rFonts w:ascii="Arial"/>
          <w:i/>
          <w:sz w:val="20"/>
        </w:rPr>
        <w:t>Bank</w:t>
      </w:r>
      <w:r>
        <w:rPr>
          <w:rFonts w:ascii="Arial"/>
          <w:i/>
          <w:spacing w:val="-2"/>
          <w:sz w:val="20"/>
        </w:rPr>
        <w:t> </w:t>
      </w:r>
      <w:r>
        <w:rPr>
          <w:rFonts w:ascii="Arial"/>
          <w:i/>
          <w:sz w:val="20"/>
        </w:rPr>
        <w:t>of</w:t>
      </w:r>
      <w:r>
        <w:rPr>
          <w:rFonts w:ascii="Arial"/>
          <w:i/>
          <w:spacing w:val="-2"/>
          <w:sz w:val="20"/>
        </w:rPr>
        <w:t> </w:t>
      </w:r>
      <w:r>
        <w:rPr>
          <w:rFonts w:ascii="Arial"/>
          <w:i/>
          <w:sz w:val="20"/>
        </w:rPr>
        <w:t>Australia</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Scottish</w:t>
      </w:r>
      <w:r>
        <w:rPr>
          <w:rFonts w:ascii="Arial"/>
          <w:i/>
          <w:spacing w:val="-2"/>
          <w:sz w:val="20"/>
        </w:rPr>
        <w:t> </w:t>
      </w:r>
      <w:r>
        <w:rPr>
          <w:rFonts w:ascii="Arial"/>
          <w:i/>
          <w:sz w:val="20"/>
        </w:rPr>
        <w:t>Union</w:t>
      </w:r>
      <w:r>
        <w:rPr>
          <w:rFonts w:ascii="Arial"/>
          <w:i/>
          <w:spacing w:val="-2"/>
          <w:sz w:val="20"/>
        </w:rPr>
        <w:t> </w:t>
      </w:r>
      <w:r>
        <w:rPr>
          <w:rFonts w:ascii="Arial"/>
          <w:i/>
          <w:sz w:val="20"/>
        </w:rPr>
        <w:t>and</w:t>
      </w:r>
      <w:r>
        <w:rPr>
          <w:rFonts w:ascii="Arial"/>
          <w:i/>
          <w:spacing w:val="-2"/>
          <w:sz w:val="20"/>
        </w:rPr>
        <w:t> </w:t>
      </w:r>
      <w:r>
        <w:rPr>
          <w:rFonts w:ascii="Arial"/>
          <w:i/>
          <w:sz w:val="20"/>
        </w:rPr>
        <w:t>National</w:t>
      </w:r>
      <w:r>
        <w:rPr>
          <w:rFonts w:ascii="Arial"/>
          <w:i/>
          <w:spacing w:val="-2"/>
          <w:sz w:val="20"/>
        </w:rPr>
        <w:t> </w:t>
      </w:r>
      <w:r>
        <w:rPr>
          <w:rFonts w:ascii="Arial"/>
          <w:i/>
          <w:sz w:val="20"/>
        </w:rPr>
        <w:t>Insurance</w:t>
      </w:r>
      <w:r>
        <w:rPr>
          <w:rFonts w:ascii="Arial"/>
          <w:i/>
          <w:spacing w:val="-2"/>
          <w:sz w:val="20"/>
        </w:rPr>
        <w:t> </w:t>
      </w:r>
      <w:r>
        <w:rPr>
          <w:rFonts w:ascii="Arial"/>
          <w:i/>
          <w:sz w:val="20"/>
        </w:rPr>
        <w:t>Co</w:t>
      </w:r>
      <w:r>
        <w:rPr>
          <w:rFonts w:ascii="Arial"/>
          <w:i/>
          <w:spacing w:val="-2"/>
          <w:sz w:val="20"/>
        </w:rPr>
        <w:t> </w:t>
      </w:r>
      <w:r>
        <w:rPr>
          <w:rFonts w:ascii="Arial"/>
          <w:i/>
          <w:sz w:val="20"/>
        </w:rPr>
        <w:t>[1952]</w:t>
      </w:r>
      <w:r>
        <w:rPr>
          <w:rFonts w:ascii="Arial"/>
          <w:i/>
          <w:spacing w:val="-2"/>
          <w:sz w:val="20"/>
        </w:rPr>
        <w:t> </w:t>
      </w:r>
      <w:r>
        <w:rPr>
          <w:rFonts w:ascii="Arial"/>
          <w:i/>
          <w:sz w:val="20"/>
        </w:rPr>
        <w:t>A.C.</w:t>
      </w:r>
      <w:r>
        <w:rPr>
          <w:rFonts w:ascii="Arial"/>
          <w:i/>
          <w:spacing w:val="-2"/>
          <w:sz w:val="20"/>
        </w:rPr>
        <w:t> </w:t>
      </w:r>
      <w:r>
        <w:rPr>
          <w:rFonts w:ascii="Arial"/>
          <w:i/>
          <w:sz w:val="20"/>
        </w:rPr>
        <w:t>493</w:t>
      </w:r>
      <w:r>
        <w:rPr>
          <w:sz w:val="20"/>
        </w:rPr>
        <w:t>;</w:t>
      </w:r>
      <w:r>
        <w:rPr>
          <w:spacing w:val="-2"/>
          <w:sz w:val="20"/>
        </w:rPr>
        <w:t> </w:t>
      </w:r>
      <w:r>
        <w:rPr>
          <w:rFonts w:ascii="Arial"/>
          <w:i/>
          <w:sz w:val="20"/>
        </w:rPr>
        <w:t>The Assunzione [1954] P. 150</w:t>
      </w:r>
      <w:r>
        <w:rPr>
          <w:sz w:val="20"/>
        </w:rPr>
        <w:t>.</w:t>
      </w:r>
    </w:p>
    <w:p>
      <w:pPr>
        <w:pStyle w:val="BodyText"/>
        <w:spacing w:before="5"/>
      </w:pPr>
    </w:p>
    <w:p>
      <w:pPr>
        <w:tabs>
          <w:tab w:pos="705" w:val="left" w:leader="none"/>
        </w:tabs>
        <w:spacing w:before="0"/>
        <w:ind w:left="165" w:right="0" w:firstLine="0"/>
        <w:jc w:val="left"/>
        <w:rPr>
          <w:sz w:val="20"/>
        </w:rPr>
      </w:pPr>
      <w:bookmarkStart w:name="_bookmark148" w:id="150"/>
      <w:bookmarkEnd w:id="150"/>
      <w:r>
        <w:rPr/>
      </w:r>
      <w:hyperlink w:history="true" w:anchor="_bookmark70">
        <w:r>
          <w:rPr>
            <w:color w:val="005DA1"/>
            <w:spacing w:val="-5"/>
            <w:position w:val="5"/>
            <w:sz w:val="14"/>
            <w:u w:val="single" w:color="005DA1"/>
          </w:rPr>
          <w:t>69</w:t>
        </w:r>
      </w:hyperlink>
      <w:r>
        <w:rPr>
          <w:spacing w:val="-5"/>
          <w:position w:val="5"/>
          <w:sz w:val="14"/>
        </w:rPr>
        <w:t>.</w:t>
      </w:r>
      <w:r>
        <w:rPr>
          <w:position w:val="5"/>
          <w:sz w:val="14"/>
        </w:rPr>
        <w:tab/>
      </w:r>
      <w:r>
        <w:rPr>
          <w:rFonts w:ascii="Arial" w:hAnsi="Arial"/>
          <w:i/>
          <w:sz w:val="20"/>
        </w:rPr>
        <w:t>Jacobs v Crédit Lyonnais (1884) 12 Q.B.D. 589, 600, </w:t>
      </w:r>
      <w:r>
        <w:rPr>
          <w:rFonts w:ascii="Arial" w:hAnsi="Arial"/>
          <w:i/>
          <w:spacing w:val="-4"/>
          <w:sz w:val="20"/>
        </w:rPr>
        <w:t>602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9" w:id="151"/>
      <w:bookmarkEnd w:id="151"/>
      <w:r>
        <w:rPr/>
      </w:r>
      <w:hyperlink w:history="true" w:anchor="_bookmark70">
        <w:r>
          <w:rPr>
            <w:color w:val="005DA1"/>
            <w:spacing w:val="-5"/>
            <w:position w:val="5"/>
            <w:sz w:val="14"/>
            <w:u w:val="single" w:color="005DA1"/>
          </w:rPr>
          <w:t>70</w:t>
        </w:r>
      </w:hyperlink>
      <w:r>
        <w:rPr>
          <w:spacing w:val="-5"/>
          <w:position w:val="5"/>
          <w:sz w:val="14"/>
        </w:rPr>
        <w:t>.</w:t>
      </w:r>
      <w:r>
        <w:rPr>
          <w:position w:val="5"/>
          <w:sz w:val="14"/>
        </w:rPr>
        <w:tab/>
      </w:r>
      <w:r>
        <w:rPr>
          <w:rFonts w:ascii="Arial"/>
          <w:i/>
          <w:sz w:val="20"/>
        </w:rPr>
        <w:t>Re Anglo-Austrian Bank [1920] 1 Ch. </w:t>
      </w:r>
      <w:r>
        <w:rPr>
          <w:rFonts w:ascii="Arial"/>
          <w:i/>
          <w:spacing w:val="-5"/>
          <w:sz w:val="20"/>
        </w:rPr>
        <w:t>69</w:t>
      </w:r>
      <w:r>
        <w:rPr>
          <w:spacing w:val="-5"/>
          <w:sz w:val="20"/>
        </w:rPr>
        <w:t>.</w:t>
      </w:r>
    </w:p>
    <w:p>
      <w:pPr>
        <w:pStyle w:val="BodyText"/>
        <w:spacing w:before="8"/>
      </w:pPr>
    </w:p>
    <w:p>
      <w:pPr>
        <w:spacing w:line="235" w:lineRule="auto" w:before="1"/>
        <w:ind w:left="705" w:right="167" w:hanging="541"/>
        <w:jc w:val="both"/>
        <w:rPr>
          <w:sz w:val="20"/>
        </w:rPr>
      </w:pPr>
      <w:bookmarkStart w:name="_bookmark150" w:id="152"/>
      <w:bookmarkEnd w:id="152"/>
      <w:r>
        <w:rPr/>
      </w:r>
      <w:hyperlink w:history="true" w:anchor="_bookmark70">
        <w:r>
          <w:rPr>
            <w:color w:val="005DA1"/>
            <w:position w:val="5"/>
            <w:sz w:val="14"/>
            <w:u w:val="single" w:color="005DA1"/>
          </w:rPr>
          <w:t>71</w:t>
        </w:r>
      </w:hyperlink>
      <w:r>
        <w:rPr>
          <w:position w:val="5"/>
          <w:sz w:val="14"/>
        </w:rPr>
        <w:t>.</w:t>
      </w:r>
      <w:r>
        <w:rPr>
          <w:spacing w:val="80"/>
          <w:position w:val="5"/>
          <w:sz w:val="14"/>
        </w:rPr>
        <w:t>  </w:t>
      </w:r>
      <w:r>
        <w:rPr>
          <w:sz w:val="20"/>
        </w:rPr>
        <w:t>e.g. whether it was a contract relating to land (</w:t>
      </w:r>
      <w:r>
        <w:rPr>
          <w:rFonts w:ascii="Arial"/>
          <w:i/>
          <w:sz w:val="20"/>
        </w:rPr>
        <w:t>British South Africa Co v De Beers Consolidated Mines Ltd [1910] 1 Ch. 354, 383</w:t>
      </w:r>
      <w:r>
        <w:rPr>
          <w:sz w:val="20"/>
        </w:rPr>
        <w:t>) or a contract relating to a marriage settlement (</w:t>
      </w:r>
      <w:r>
        <w:rPr>
          <w:rFonts w:ascii="Arial"/>
          <w:i/>
          <w:sz w:val="20"/>
        </w:rPr>
        <w:t>Re Fitzgerald [1904] 1 Ch. 573, 587</w:t>
      </w:r>
      <w:r>
        <w:rPr>
          <w:sz w:val="20"/>
        </w:rPr>
        <w:t>) or a contract of affreightment (</w:t>
      </w:r>
      <w:r>
        <w:rPr>
          <w:rFonts w:ascii="Arial"/>
          <w:i/>
          <w:sz w:val="20"/>
        </w:rPr>
        <w:t>Re Missouri S.S. Co (1889) 42 Ch. D.</w:t>
      </w:r>
      <w:r>
        <w:rPr>
          <w:rFonts w:ascii="Arial"/>
          <w:i/>
          <w:spacing w:val="40"/>
          <w:sz w:val="20"/>
        </w:rPr>
        <w:t> </w:t>
      </w:r>
      <w:r>
        <w:rPr>
          <w:rFonts w:ascii="Arial"/>
          <w:i/>
          <w:sz w:val="20"/>
        </w:rPr>
        <w:t>321, 327</w:t>
      </w:r>
      <w:r>
        <w:rPr>
          <w:sz w:val="20"/>
        </w:rPr>
        <w:t>); and see </w:t>
      </w:r>
      <w:r>
        <w:rPr>
          <w:rFonts w:ascii="Arial"/>
          <w:i/>
          <w:sz w:val="20"/>
        </w:rPr>
        <w:t>Re United Railways of the Havana and Regla Warehouses Ltd [1960] Ch. 52, 91</w:t>
      </w:r>
      <w:r>
        <w:rPr>
          <w:sz w:val="20"/>
        </w:rPr>
        <w:t>.</w:t>
      </w:r>
    </w:p>
    <w:p>
      <w:pPr>
        <w:pStyle w:val="BodyText"/>
        <w:spacing w:before="4"/>
      </w:pPr>
    </w:p>
    <w:p>
      <w:pPr>
        <w:tabs>
          <w:tab w:pos="705" w:val="left" w:leader="none"/>
        </w:tabs>
        <w:spacing w:before="0"/>
        <w:ind w:left="165" w:right="0" w:firstLine="0"/>
        <w:jc w:val="left"/>
        <w:rPr>
          <w:sz w:val="20"/>
        </w:rPr>
      </w:pPr>
      <w:bookmarkStart w:name="_bookmark151" w:id="153"/>
      <w:bookmarkEnd w:id="153"/>
      <w:r>
        <w:rPr/>
      </w:r>
      <w:hyperlink w:history="true" w:anchor="_bookmark71">
        <w:r>
          <w:rPr>
            <w:color w:val="005DA1"/>
            <w:spacing w:val="-5"/>
            <w:position w:val="5"/>
            <w:sz w:val="14"/>
            <w:u w:val="single" w:color="005DA1"/>
          </w:rPr>
          <w:t>72</w:t>
        </w:r>
      </w:hyperlink>
      <w:r>
        <w:rPr>
          <w:spacing w:val="-5"/>
          <w:position w:val="5"/>
          <w:sz w:val="14"/>
        </w:rPr>
        <w:t>.</w:t>
      </w:r>
      <w:r>
        <w:rPr>
          <w:position w:val="5"/>
          <w:sz w:val="14"/>
        </w:rPr>
        <w:tab/>
      </w:r>
      <w:r>
        <w:rPr>
          <w:rFonts w:ascii="Arial" w:hAnsi="Arial"/>
          <w:i/>
          <w:sz w:val="20"/>
        </w:rPr>
        <w:t>Gill and Duffus Landauer Ltd v London Export Corp [1982] 2 Lloyd’s Rep. 627, </w:t>
      </w:r>
      <w:r>
        <w:rPr>
          <w:rFonts w:ascii="Arial" w:hAnsi="Arial"/>
          <w:i/>
          <w:spacing w:val="-4"/>
          <w:sz w:val="20"/>
        </w:rPr>
        <w:t>629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2" w:id="154"/>
      <w:bookmarkEnd w:id="154"/>
      <w:r>
        <w:rPr/>
      </w:r>
      <w:hyperlink w:history="true" w:anchor="_bookmark71">
        <w:r>
          <w:rPr>
            <w:color w:val="005DA1"/>
            <w:spacing w:val="-5"/>
            <w:position w:val="5"/>
            <w:sz w:val="14"/>
            <w:u w:val="single" w:color="005DA1"/>
          </w:rPr>
          <w:t>73</w:t>
        </w:r>
      </w:hyperlink>
      <w:r>
        <w:rPr>
          <w:spacing w:val="-5"/>
          <w:position w:val="5"/>
          <w:sz w:val="14"/>
        </w:rPr>
        <w:t>.</w:t>
      </w:r>
      <w:r>
        <w:rPr>
          <w:position w:val="5"/>
          <w:sz w:val="14"/>
        </w:rPr>
        <w:tab/>
      </w:r>
      <w:r>
        <w:rPr>
          <w:rFonts w:ascii="Arial"/>
          <w:i/>
          <w:sz w:val="20"/>
        </w:rPr>
        <w:t>Spurrier v La Cloche [1902] A.C. 446, </w:t>
      </w:r>
      <w:r>
        <w:rPr>
          <w:rFonts w:ascii="Arial"/>
          <w:i/>
          <w:spacing w:val="-4"/>
          <w:sz w:val="20"/>
        </w:rPr>
        <w:t>450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3" w:id="155"/>
      <w:bookmarkEnd w:id="155"/>
      <w:r>
        <w:rPr/>
      </w:r>
      <w:hyperlink w:history="true" w:anchor="_bookmark72">
        <w:r>
          <w:rPr>
            <w:color w:val="005DA1"/>
            <w:spacing w:val="-4"/>
            <w:position w:val="5"/>
            <w:sz w:val="14"/>
            <w:u w:val="single" w:color="005DA1"/>
          </w:rPr>
          <w:t>74</w:t>
        </w:r>
      </w:hyperlink>
      <w:r>
        <w:rPr>
          <w:spacing w:val="-4"/>
          <w:position w:val="5"/>
          <w:sz w:val="14"/>
        </w:rPr>
        <w:t>.</w:t>
      </w:r>
      <w:r>
        <w:rPr>
          <w:position w:val="5"/>
          <w:sz w:val="14"/>
        </w:rPr>
        <w:tab/>
      </w:r>
      <w:r>
        <w:rPr>
          <w:rFonts w:ascii="Arial"/>
          <w:i/>
          <w:sz w:val="20"/>
        </w:rPr>
        <w:t>Bonython v Commonwealth of Australia [1951] A.C. 201, 221 </w:t>
      </w:r>
      <w:r>
        <w:rPr>
          <w:sz w:val="20"/>
        </w:rPr>
        <w:t>(loan secured on public revenue</w:t>
      </w:r>
      <w:r>
        <w:rPr>
          <w:spacing w:val="40"/>
          <w:sz w:val="20"/>
        </w:rPr>
        <w:t> </w:t>
      </w:r>
      <w:r>
        <w:rPr>
          <w:sz w:val="20"/>
        </w:rPr>
        <w:t>of self-governing colony).</w:t>
      </w:r>
    </w:p>
    <w:p>
      <w:pPr>
        <w:pStyle w:val="BodyText"/>
        <w:spacing w:before="9"/>
      </w:pPr>
    </w:p>
    <w:p>
      <w:pPr>
        <w:spacing w:line="235" w:lineRule="auto" w:before="0"/>
        <w:ind w:left="705" w:right="167" w:hanging="541"/>
        <w:jc w:val="both"/>
        <w:rPr>
          <w:rFonts w:ascii="Arial" w:hAnsi="Arial"/>
          <w:i/>
          <w:sz w:val="20"/>
        </w:rPr>
      </w:pPr>
      <w:bookmarkStart w:name="_bookmark154" w:id="156"/>
      <w:bookmarkEnd w:id="156"/>
      <w:r>
        <w:rPr/>
      </w:r>
      <w:hyperlink w:history="true" w:anchor="_bookmark73">
        <w:r>
          <w:rPr>
            <w:color w:val="005DA1"/>
            <w:position w:val="5"/>
            <w:sz w:val="14"/>
            <w:u w:val="single" w:color="005DA1"/>
          </w:rPr>
          <w:t>75</w:t>
        </w:r>
      </w:hyperlink>
      <w:r>
        <w:rPr>
          <w:position w:val="5"/>
          <w:sz w:val="14"/>
        </w:rPr>
        <w:t>.</w:t>
      </w:r>
      <w:r>
        <w:rPr>
          <w:spacing w:val="80"/>
          <w:position w:val="5"/>
          <w:sz w:val="14"/>
        </w:rPr>
        <w:t>  </w:t>
      </w:r>
      <w:r>
        <w:rPr>
          <w:rFonts w:ascii="Arial" w:hAnsi="Arial"/>
          <w:i/>
          <w:sz w:val="20"/>
        </w:rPr>
        <w:t>Offshore International SA v Banco Central SA [1977] 1 W.L.R. 399</w:t>
      </w:r>
      <w:r>
        <w:rPr>
          <w:sz w:val="20"/>
        </w:rPr>
        <w:t>; </w:t>
      </w:r>
      <w:r>
        <w:rPr>
          <w:rFonts w:ascii="Arial" w:hAnsi="Arial"/>
          <w:i/>
          <w:sz w:val="20"/>
        </w:rPr>
        <w:t>Power Curber </w:t>
      </w:r>
      <w:r>
        <w:rPr>
          <w:rFonts w:ascii="Arial" w:hAnsi="Arial"/>
          <w:i/>
          <w:sz w:val="20"/>
        </w:rPr>
        <w:t>International Ltd v National Bank of Kuwait [1981] 1 W.L.R. 1233</w:t>
      </w:r>
      <w:r>
        <w:rPr>
          <w:sz w:val="20"/>
        </w:rPr>
        <w:t>; </w:t>
      </w:r>
      <w:r>
        <w:rPr>
          <w:rFonts w:ascii="Arial" w:hAnsi="Arial"/>
          <w:i/>
          <w:sz w:val="20"/>
        </w:rPr>
        <w:t>Turkiye Is Bankasi AS v Bank of China [1993] 1 Lloyd’s Rep. 132</w:t>
      </w:r>
      <w:r>
        <w:rPr>
          <w:sz w:val="20"/>
        </w:rPr>
        <w:t>; </w:t>
      </w:r>
      <w:r>
        <w:rPr>
          <w:rFonts w:ascii="Arial" w:hAnsi="Arial"/>
          <w:i/>
          <w:sz w:val="20"/>
        </w:rPr>
        <w:t>Minories Finance Ltd v Afribank Nigeria Ltd [1995] 1 Lloyd’s Rep. 134</w:t>
      </w:r>
      <w:r>
        <w:rPr>
          <w:sz w:val="20"/>
        </w:rPr>
        <w:t>; </w:t>
      </w:r>
      <w:r>
        <w:rPr>
          <w:rFonts w:ascii="Arial" w:hAnsi="Arial"/>
          <w:i/>
          <w:sz w:val="20"/>
        </w:rPr>
        <w:t>Bank of Credit and Commerce Hong Kong Ltd v Sonali Bank [1995] 1 Lloyd’s Rep. 227</w:t>
      </w:r>
      <w:r>
        <w:rPr>
          <w:sz w:val="20"/>
        </w:rPr>
        <w:t>; </w:t>
      </w:r>
      <w:r>
        <w:rPr>
          <w:rFonts w:ascii="Arial" w:hAnsi="Arial"/>
          <w:i/>
          <w:sz w:val="20"/>
        </w:rPr>
        <w:t>Bastone &amp; Firminger Ltd v Nasima Enterprises (Nigeria) Ltd [1996] C.L.C. 1902, 1910</w:t>
      </w:r>
      <w:r>
        <w:rPr>
          <w:sz w:val="20"/>
        </w:rPr>
        <w:t>; </w:t>
      </w:r>
      <w:r>
        <w:rPr>
          <w:rFonts w:ascii="Arial" w:hAnsi="Arial"/>
          <w:i/>
          <w:sz w:val="20"/>
        </w:rPr>
        <w:t>Habib Bank Ltd v Central Bank of Sudan [2006] EWHC 1767 (Comm), [2007] 1 W.L.R. 470</w:t>
      </w:r>
      <w:r>
        <w:rPr>
          <w:sz w:val="20"/>
        </w:rPr>
        <w:t>. See also </w:t>
      </w:r>
      <w:r>
        <w:rPr>
          <w:rFonts w:ascii="Arial" w:hAnsi="Arial"/>
          <w:i/>
          <w:sz w:val="20"/>
        </w:rPr>
        <w:t>Bank of Baroda v Vysya Bank Ltd [1994] 2 Lloyd’s Rep. 87 </w:t>
      </w:r>
      <w:r>
        <w:rPr>
          <w:sz w:val="20"/>
        </w:rPr>
        <w:t>(a case on the Rome Convention). cf.</w:t>
      </w:r>
      <w:r>
        <w:rPr>
          <w:spacing w:val="20"/>
          <w:sz w:val="20"/>
        </w:rPr>
        <w:t> </w:t>
      </w:r>
      <w:r>
        <w:rPr>
          <w:rFonts w:ascii="Arial" w:hAnsi="Arial"/>
          <w:i/>
          <w:sz w:val="20"/>
        </w:rPr>
        <w:t>Attock</w:t>
      </w:r>
      <w:r>
        <w:rPr>
          <w:rFonts w:ascii="Arial" w:hAnsi="Arial"/>
          <w:i/>
          <w:spacing w:val="21"/>
          <w:sz w:val="20"/>
        </w:rPr>
        <w:t> </w:t>
      </w:r>
      <w:r>
        <w:rPr>
          <w:rFonts w:ascii="Arial" w:hAnsi="Arial"/>
          <w:i/>
          <w:sz w:val="20"/>
        </w:rPr>
        <w:t>Cement</w:t>
      </w:r>
      <w:r>
        <w:rPr>
          <w:rFonts w:ascii="Arial" w:hAnsi="Arial"/>
          <w:i/>
          <w:spacing w:val="21"/>
          <w:sz w:val="20"/>
        </w:rPr>
        <w:t> </w:t>
      </w:r>
      <w:r>
        <w:rPr>
          <w:rFonts w:ascii="Arial" w:hAnsi="Arial"/>
          <w:i/>
          <w:sz w:val="20"/>
        </w:rPr>
        <w:t>Co</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Romanian</w:t>
      </w:r>
      <w:r>
        <w:rPr>
          <w:rFonts w:ascii="Arial" w:hAnsi="Arial"/>
          <w:i/>
          <w:spacing w:val="21"/>
          <w:sz w:val="20"/>
        </w:rPr>
        <w:t> </w:t>
      </w:r>
      <w:r>
        <w:rPr>
          <w:rFonts w:ascii="Arial" w:hAnsi="Arial"/>
          <w:i/>
          <w:sz w:val="20"/>
        </w:rPr>
        <w:t>Bank</w:t>
      </w:r>
      <w:r>
        <w:rPr>
          <w:rFonts w:ascii="Arial" w:hAnsi="Arial"/>
          <w:i/>
          <w:spacing w:val="21"/>
          <w:sz w:val="20"/>
        </w:rPr>
        <w:t> </w:t>
      </w:r>
      <w:r>
        <w:rPr>
          <w:rFonts w:ascii="Arial" w:hAnsi="Arial"/>
          <w:i/>
          <w:sz w:val="20"/>
        </w:rPr>
        <w:t>for</w:t>
      </w:r>
      <w:r>
        <w:rPr>
          <w:rFonts w:ascii="Arial" w:hAnsi="Arial"/>
          <w:i/>
          <w:spacing w:val="21"/>
          <w:sz w:val="20"/>
        </w:rPr>
        <w:t> </w:t>
      </w:r>
      <w:r>
        <w:rPr>
          <w:rFonts w:ascii="Arial" w:hAnsi="Arial"/>
          <w:i/>
          <w:sz w:val="20"/>
        </w:rPr>
        <w:t>Foreign</w:t>
      </w:r>
      <w:r>
        <w:rPr>
          <w:rFonts w:ascii="Arial" w:hAnsi="Arial"/>
          <w:i/>
          <w:spacing w:val="21"/>
          <w:sz w:val="20"/>
        </w:rPr>
        <w:t> </w:t>
      </w:r>
      <w:r>
        <w:rPr>
          <w:rFonts w:ascii="Arial" w:hAnsi="Arial"/>
          <w:i/>
          <w:sz w:val="20"/>
        </w:rPr>
        <w:t>Trade</w:t>
      </w:r>
      <w:r>
        <w:rPr>
          <w:rFonts w:ascii="Arial" w:hAnsi="Arial"/>
          <w:i/>
          <w:spacing w:val="21"/>
          <w:sz w:val="20"/>
        </w:rPr>
        <w:t> </w:t>
      </w:r>
      <w:r>
        <w:rPr>
          <w:rFonts w:ascii="Arial" w:hAnsi="Arial"/>
          <w:i/>
          <w:sz w:val="20"/>
        </w:rPr>
        <w:t>[1989]</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W.L.R.</w:t>
      </w:r>
      <w:r>
        <w:rPr>
          <w:rFonts w:ascii="Arial" w:hAnsi="Arial"/>
          <w:i/>
          <w:spacing w:val="21"/>
          <w:sz w:val="20"/>
        </w:rPr>
        <w:t> </w:t>
      </w:r>
      <w:r>
        <w:rPr>
          <w:rFonts w:ascii="Arial" w:hAnsi="Arial"/>
          <w:i/>
          <w:sz w:val="20"/>
        </w:rPr>
        <w:t>1147</w:t>
      </w:r>
      <w:r>
        <w:rPr>
          <w:sz w:val="20"/>
        </w:rPr>
        <w:t>;</w:t>
      </w:r>
      <w:r>
        <w:rPr>
          <w:spacing w:val="21"/>
          <w:sz w:val="20"/>
        </w:rPr>
        <w:t> </w:t>
      </w:r>
      <w:r>
        <w:rPr>
          <w:rFonts w:ascii="Arial" w:hAnsi="Arial"/>
          <w:i/>
          <w:spacing w:val="-2"/>
          <w:sz w:val="20"/>
        </w:rPr>
        <w:t>Wahda</w:t>
      </w:r>
    </w:p>
    <w:p>
      <w:pPr>
        <w:spacing w:after="0" w:line="235" w:lineRule="auto"/>
        <w:jc w:val="both"/>
        <w:rPr>
          <w:rFonts w:ascii="Arial" w:hAnsi="Arial"/>
          <w:i/>
          <w:sz w:val="20"/>
        </w:rPr>
        <w:sectPr>
          <w:pgSz w:w="11900" w:h="16840"/>
          <w:pgMar w:header="971" w:footer="0" w:top="1300" w:bottom="280" w:left="1275" w:right="1275"/>
        </w:sectPr>
      </w:pPr>
    </w:p>
    <w:p>
      <w:pPr>
        <w:spacing w:before="106"/>
        <w:ind w:left="705" w:right="0" w:firstLine="0"/>
        <w:jc w:val="left"/>
        <w:rPr>
          <w:sz w:val="20"/>
        </w:rPr>
      </w:pPr>
      <w:r>
        <w:rPr>
          <w:rFonts w:ascii="Arial" w:hAnsi="Arial"/>
          <w:i/>
          <w:sz w:val="20"/>
        </w:rPr>
        <w:t>Bank v Arab Bank Plc [1996] 1 Lloyd’s Rep. </w:t>
      </w:r>
      <w:r>
        <w:rPr>
          <w:rFonts w:ascii="Arial" w:hAnsi="Arial"/>
          <w:i/>
          <w:spacing w:val="-4"/>
          <w:sz w:val="20"/>
        </w:rPr>
        <w:t>470</w:t>
      </w:r>
      <w:r>
        <w:rPr>
          <w:spacing w:val="-4"/>
          <w:sz w:val="20"/>
        </w:rPr>
        <w:t>.</w:t>
      </w:r>
    </w:p>
    <w:p>
      <w:pPr>
        <w:pStyle w:val="BodyText"/>
        <w:spacing w:before="9"/>
      </w:pPr>
    </w:p>
    <w:p>
      <w:pPr>
        <w:spacing w:line="235" w:lineRule="auto" w:before="0"/>
        <w:ind w:left="705" w:right="167" w:hanging="541"/>
        <w:jc w:val="both"/>
        <w:rPr>
          <w:sz w:val="20"/>
        </w:rPr>
      </w:pPr>
      <w:bookmarkStart w:name="_bookmark155" w:id="157"/>
      <w:bookmarkEnd w:id="157"/>
      <w:r>
        <w:rPr/>
      </w:r>
      <w:hyperlink w:history="true" w:anchor="_bookmark74">
        <w:r>
          <w:rPr>
            <w:color w:val="005DA1"/>
            <w:position w:val="5"/>
            <w:sz w:val="14"/>
            <w:u w:val="single" w:color="005DA1"/>
          </w:rPr>
          <w:t>76</w:t>
        </w:r>
      </w:hyperlink>
      <w:r>
        <w:rPr>
          <w:position w:val="5"/>
          <w:sz w:val="14"/>
        </w:rPr>
        <w:t>.</w:t>
      </w:r>
      <w:r>
        <w:rPr>
          <w:spacing w:val="80"/>
          <w:position w:val="5"/>
          <w:sz w:val="14"/>
        </w:rPr>
        <w:t>  </w:t>
      </w:r>
      <w:r>
        <w:rPr>
          <w:rFonts w:ascii="Arial" w:hAnsi="Arial"/>
          <w:i/>
          <w:sz w:val="20"/>
        </w:rPr>
        <w:t>The Njegos [1936] P. 90</w:t>
      </w:r>
      <w:r>
        <w:rPr>
          <w:sz w:val="20"/>
        </w:rPr>
        <w:t>; </w:t>
      </w:r>
      <w:r>
        <w:rPr>
          <w:rFonts w:ascii="Arial" w:hAnsi="Arial"/>
          <w:i/>
          <w:sz w:val="20"/>
        </w:rPr>
        <w:t>The Broken Hill Proprietary Co v Xenakis [1982] 2 Lloyd’s Rep. </w:t>
      </w:r>
      <w:r>
        <w:rPr>
          <w:rFonts w:ascii="Arial" w:hAnsi="Arial"/>
          <w:i/>
          <w:sz w:val="20"/>
        </w:rPr>
        <w:t>304</w:t>
      </w:r>
      <w:r>
        <w:rPr>
          <w:sz w:val="20"/>
        </w:rPr>
        <w:t>; </w:t>
      </w:r>
      <w:r>
        <w:rPr>
          <w:rFonts w:ascii="Arial" w:hAnsi="Arial"/>
          <w:i/>
          <w:sz w:val="20"/>
        </w:rPr>
        <w:t>Forsikringsaktieselskapet Vesta v Butcher [1988] 3 W.L.R. 565 (affirmed on different grounds [1989] A.C. 852)</w:t>
      </w:r>
      <w:r>
        <w:rPr>
          <w:sz w:val="20"/>
        </w:rPr>
        <w:t>; </w:t>
      </w:r>
      <w:r>
        <w:rPr>
          <w:rFonts w:ascii="Arial" w:hAnsi="Arial"/>
          <w:i/>
          <w:sz w:val="20"/>
        </w:rPr>
        <w:t>Mitsubishi Corp v Alafouzos [1988] 1 Lloyd’s Rep. 191</w:t>
      </w:r>
      <w:r>
        <w:rPr>
          <w:sz w:val="20"/>
        </w:rPr>
        <w:t>. cf. </w:t>
      </w:r>
      <w:r>
        <w:rPr>
          <w:rFonts w:ascii="Arial" w:hAnsi="Arial"/>
          <w:i/>
          <w:sz w:val="20"/>
        </w:rPr>
        <w:t>Gan Insurance Co Ltd v Tai Ping Insurance Co Ltd [1999] 2 All E.R. (Comm) 54</w:t>
      </w:r>
      <w:r>
        <w:rPr>
          <w:rFonts w:ascii="Arial" w:hAnsi="Arial"/>
          <w:i/>
          <w:spacing w:val="-1"/>
          <w:sz w:val="20"/>
        </w:rPr>
        <w:t> </w:t>
      </w:r>
      <w:r>
        <w:rPr>
          <w:sz w:val="20"/>
        </w:rPr>
        <w:t>(a case on the Rome </w:t>
      </w:r>
      <w:r>
        <w:rPr>
          <w:spacing w:val="-2"/>
          <w:sz w:val="20"/>
        </w:rPr>
        <w:t>Convention).</w:t>
      </w:r>
    </w:p>
    <w:p>
      <w:pPr>
        <w:pStyle w:val="BodyText"/>
        <w:spacing w:before="5"/>
      </w:pPr>
    </w:p>
    <w:p>
      <w:pPr>
        <w:tabs>
          <w:tab w:pos="705" w:val="left" w:leader="none"/>
        </w:tabs>
        <w:spacing w:before="0"/>
        <w:ind w:left="165" w:right="0" w:firstLine="0"/>
        <w:jc w:val="left"/>
        <w:rPr>
          <w:sz w:val="20"/>
        </w:rPr>
      </w:pPr>
      <w:bookmarkStart w:name="_bookmark156" w:id="158"/>
      <w:bookmarkEnd w:id="158"/>
      <w:r>
        <w:rPr/>
      </w:r>
      <w:hyperlink w:history="true" w:anchor="_bookmark75">
        <w:r>
          <w:rPr>
            <w:color w:val="005DA1"/>
            <w:spacing w:val="-5"/>
            <w:position w:val="5"/>
            <w:sz w:val="14"/>
            <w:u w:val="single" w:color="005DA1"/>
          </w:rPr>
          <w:t>77</w:t>
        </w:r>
      </w:hyperlink>
      <w:r>
        <w:rPr>
          <w:spacing w:val="-5"/>
          <w:position w:val="5"/>
          <w:sz w:val="14"/>
        </w:rPr>
        <w:t>.</w:t>
      </w:r>
      <w:r>
        <w:rPr>
          <w:position w:val="5"/>
          <w:sz w:val="14"/>
        </w:rPr>
        <w:tab/>
      </w:r>
      <w:r>
        <w:rPr>
          <w:rFonts w:ascii="Arial"/>
          <w:i/>
          <w:sz w:val="20"/>
        </w:rPr>
        <w:t>Bonython</w:t>
      </w:r>
      <w:r>
        <w:rPr>
          <w:rFonts w:ascii="Arial"/>
          <w:i/>
          <w:spacing w:val="-1"/>
          <w:sz w:val="20"/>
        </w:rPr>
        <w:t> </w:t>
      </w:r>
      <w:r>
        <w:rPr>
          <w:rFonts w:ascii="Arial"/>
          <w:i/>
          <w:sz w:val="20"/>
        </w:rPr>
        <w:t>v Commonwealth of Australia [1951] A.C. 201</w:t>
      </w:r>
      <w:r>
        <w:rPr>
          <w:sz w:val="20"/>
        </w:rPr>
        <w:t>, at </w:t>
      </w:r>
      <w:r>
        <w:rPr>
          <w:spacing w:val="-4"/>
          <w:sz w:val="20"/>
        </w:rPr>
        <w:t>219.</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7" w:id="159"/>
      <w:bookmarkEnd w:id="159"/>
      <w:r>
        <w:rPr/>
      </w:r>
      <w:hyperlink w:history="true" w:anchor="_bookmark76">
        <w:r>
          <w:rPr>
            <w:color w:val="005DA1"/>
            <w:spacing w:val="-5"/>
            <w:position w:val="5"/>
            <w:sz w:val="14"/>
            <w:u w:val="single" w:color="005DA1"/>
          </w:rPr>
          <w:t>78</w:t>
        </w:r>
      </w:hyperlink>
      <w:r>
        <w:rPr>
          <w:spacing w:val="-5"/>
          <w:position w:val="5"/>
          <w:sz w:val="14"/>
        </w:rPr>
        <w:t>.</w:t>
      </w:r>
      <w:r>
        <w:rPr>
          <w:position w:val="5"/>
          <w:sz w:val="14"/>
        </w:rPr>
        <w:tab/>
      </w:r>
      <w:r>
        <w:rPr>
          <w:rFonts w:ascii="Arial"/>
          <w:i/>
          <w:sz w:val="20"/>
        </w:rPr>
        <w:t>Boissevain</w:t>
      </w:r>
      <w:r>
        <w:rPr>
          <w:rFonts w:ascii="Arial"/>
          <w:i/>
          <w:spacing w:val="16"/>
          <w:sz w:val="20"/>
        </w:rPr>
        <w:t> </w:t>
      </w:r>
      <w:r>
        <w:rPr>
          <w:rFonts w:ascii="Arial"/>
          <w:i/>
          <w:sz w:val="20"/>
        </w:rPr>
        <w:t>v</w:t>
      </w:r>
      <w:r>
        <w:rPr>
          <w:rFonts w:ascii="Arial"/>
          <w:i/>
          <w:spacing w:val="17"/>
          <w:sz w:val="20"/>
        </w:rPr>
        <w:t> </w:t>
      </w:r>
      <w:r>
        <w:rPr>
          <w:rFonts w:ascii="Arial"/>
          <w:i/>
          <w:sz w:val="20"/>
        </w:rPr>
        <w:t>Weil</w:t>
      </w:r>
      <w:r>
        <w:rPr>
          <w:rFonts w:ascii="Arial"/>
          <w:i/>
          <w:spacing w:val="17"/>
          <w:sz w:val="20"/>
        </w:rPr>
        <w:t> </w:t>
      </w:r>
      <w:r>
        <w:rPr>
          <w:rFonts w:ascii="Arial"/>
          <w:i/>
          <w:sz w:val="20"/>
        </w:rPr>
        <w:t>[1949]</w:t>
      </w:r>
      <w:r>
        <w:rPr>
          <w:rFonts w:ascii="Arial"/>
          <w:i/>
          <w:spacing w:val="17"/>
          <w:sz w:val="20"/>
        </w:rPr>
        <w:t> </w:t>
      </w:r>
      <w:r>
        <w:rPr>
          <w:rFonts w:ascii="Arial"/>
          <w:i/>
          <w:sz w:val="20"/>
        </w:rPr>
        <w:t>1</w:t>
      </w:r>
      <w:r>
        <w:rPr>
          <w:rFonts w:ascii="Arial"/>
          <w:i/>
          <w:spacing w:val="17"/>
          <w:sz w:val="20"/>
        </w:rPr>
        <w:t> </w:t>
      </w:r>
      <w:r>
        <w:rPr>
          <w:rFonts w:ascii="Arial"/>
          <w:i/>
          <w:sz w:val="20"/>
        </w:rPr>
        <w:t>K.B.</w:t>
      </w:r>
      <w:r>
        <w:rPr>
          <w:rFonts w:ascii="Arial"/>
          <w:i/>
          <w:spacing w:val="17"/>
          <w:sz w:val="20"/>
        </w:rPr>
        <w:t> </w:t>
      </w:r>
      <w:r>
        <w:rPr>
          <w:rFonts w:ascii="Arial"/>
          <w:i/>
          <w:sz w:val="20"/>
        </w:rPr>
        <w:t>482,</w:t>
      </w:r>
      <w:r>
        <w:rPr>
          <w:rFonts w:ascii="Arial"/>
          <w:i/>
          <w:spacing w:val="17"/>
          <w:sz w:val="20"/>
        </w:rPr>
        <w:t> </w:t>
      </w:r>
      <w:r>
        <w:rPr>
          <w:rFonts w:ascii="Arial"/>
          <w:i/>
          <w:sz w:val="20"/>
        </w:rPr>
        <w:t>490</w:t>
      </w:r>
      <w:r>
        <w:rPr>
          <w:sz w:val="20"/>
        </w:rPr>
        <w:t>;</w:t>
      </w:r>
      <w:r>
        <w:rPr>
          <w:spacing w:val="17"/>
          <w:sz w:val="20"/>
        </w:rPr>
        <w:t> </w:t>
      </w:r>
      <w:r>
        <w:rPr>
          <w:rFonts w:ascii="Arial"/>
          <w:i/>
          <w:sz w:val="20"/>
        </w:rPr>
        <w:t>Tomkinson</w:t>
      </w:r>
      <w:r>
        <w:rPr>
          <w:rFonts w:ascii="Arial"/>
          <w:i/>
          <w:spacing w:val="17"/>
          <w:sz w:val="20"/>
        </w:rPr>
        <w:t> </w:t>
      </w:r>
      <w:r>
        <w:rPr>
          <w:rFonts w:ascii="Arial"/>
          <w:i/>
          <w:sz w:val="20"/>
        </w:rPr>
        <w:t>v</w:t>
      </w:r>
      <w:r>
        <w:rPr>
          <w:rFonts w:ascii="Arial"/>
          <w:i/>
          <w:spacing w:val="17"/>
          <w:sz w:val="20"/>
        </w:rPr>
        <w:t> </w:t>
      </w:r>
      <w:r>
        <w:rPr>
          <w:rFonts w:ascii="Arial"/>
          <w:i/>
          <w:sz w:val="20"/>
        </w:rPr>
        <w:t>First</w:t>
      </w:r>
      <w:r>
        <w:rPr>
          <w:rFonts w:ascii="Arial"/>
          <w:i/>
          <w:spacing w:val="17"/>
          <w:sz w:val="20"/>
        </w:rPr>
        <w:t> </w:t>
      </w:r>
      <w:r>
        <w:rPr>
          <w:rFonts w:ascii="Arial"/>
          <w:i/>
          <w:sz w:val="20"/>
        </w:rPr>
        <w:t>Pennsylvania</w:t>
      </w:r>
      <w:r>
        <w:rPr>
          <w:rFonts w:ascii="Arial"/>
          <w:i/>
          <w:spacing w:val="17"/>
          <w:sz w:val="20"/>
        </w:rPr>
        <w:t> </w:t>
      </w:r>
      <w:r>
        <w:rPr>
          <w:rFonts w:ascii="Arial"/>
          <w:i/>
          <w:sz w:val="20"/>
        </w:rPr>
        <w:t>Banking</w:t>
      </w:r>
      <w:r>
        <w:rPr>
          <w:rFonts w:ascii="Arial"/>
          <w:i/>
          <w:spacing w:val="17"/>
          <w:sz w:val="20"/>
        </w:rPr>
        <w:t> </w:t>
      </w:r>
      <w:r>
        <w:rPr>
          <w:rFonts w:ascii="Arial"/>
          <w:i/>
          <w:sz w:val="20"/>
        </w:rPr>
        <w:t>and</w:t>
      </w:r>
      <w:r>
        <w:rPr>
          <w:rFonts w:ascii="Arial"/>
          <w:i/>
          <w:spacing w:val="17"/>
          <w:sz w:val="20"/>
        </w:rPr>
        <w:t> </w:t>
      </w:r>
      <w:r>
        <w:rPr>
          <w:rFonts w:ascii="Arial"/>
          <w:i/>
          <w:spacing w:val="-2"/>
          <w:sz w:val="20"/>
        </w:rPr>
        <w:t>Trust</w:t>
      </w:r>
    </w:p>
    <w:p>
      <w:pPr>
        <w:spacing w:line="227" w:lineRule="exact" w:before="0"/>
        <w:ind w:left="705" w:right="0" w:firstLine="0"/>
        <w:jc w:val="left"/>
        <w:rPr>
          <w:sz w:val="20"/>
        </w:rPr>
      </w:pPr>
      <w:r>
        <w:rPr>
          <w:rFonts w:ascii="Arial"/>
          <w:i/>
          <w:sz w:val="20"/>
        </w:rPr>
        <w:t>Co</w:t>
      </w:r>
      <w:r>
        <w:rPr>
          <w:rFonts w:ascii="Arial"/>
          <w:i/>
          <w:spacing w:val="-1"/>
          <w:sz w:val="20"/>
        </w:rPr>
        <w:t> </w:t>
      </w:r>
      <w:r>
        <w:rPr>
          <w:rFonts w:ascii="Arial"/>
          <w:i/>
          <w:sz w:val="20"/>
        </w:rPr>
        <w:t>[1961] A.C. 1007, 1068</w:t>
      </w:r>
      <w:r>
        <w:rPr>
          <w:sz w:val="20"/>
        </w:rPr>
        <w:t>; </w:t>
      </w:r>
      <w:r>
        <w:rPr>
          <w:rFonts w:ascii="Arial"/>
          <w:i/>
          <w:sz w:val="20"/>
        </w:rPr>
        <w:t>Philipson-Stow v IRC [1961] A.C. 727, </w:t>
      </w:r>
      <w:r>
        <w:rPr>
          <w:rFonts w:ascii="Arial"/>
          <w:i/>
          <w:spacing w:val="-4"/>
          <w:sz w:val="20"/>
        </w:rPr>
        <w:t>760</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158" w:id="160"/>
      <w:bookmarkEnd w:id="160"/>
      <w:r>
        <w:rPr/>
      </w:r>
      <w:hyperlink w:history="true" w:anchor="_bookmark77">
        <w:r>
          <w:rPr>
            <w:color w:val="005DA1"/>
            <w:position w:val="5"/>
            <w:sz w:val="14"/>
            <w:u w:val="single" w:color="005DA1"/>
          </w:rPr>
          <w:t>79</w:t>
        </w:r>
      </w:hyperlink>
      <w:r>
        <w:rPr>
          <w:position w:val="5"/>
          <w:sz w:val="14"/>
        </w:rPr>
        <w:t>.</w:t>
      </w:r>
      <w:r>
        <w:rPr>
          <w:spacing w:val="40"/>
          <w:position w:val="5"/>
          <w:sz w:val="14"/>
        </w:rPr>
        <w:t>  </w:t>
      </w:r>
      <w:r>
        <w:rPr>
          <w:rFonts w:ascii="Arial" w:hAnsi="Arial"/>
          <w:i/>
          <w:sz w:val="20"/>
        </w:rPr>
        <w:t>Bonython v Commonwealth of Australia [1951] A.C. 201, 219</w:t>
      </w:r>
      <w:r>
        <w:rPr>
          <w:sz w:val="20"/>
        </w:rPr>
        <w:t>; </w:t>
      </w:r>
      <w:r>
        <w:rPr>
          <w:rFonts w:ascii="Arial" w:hAnsi="Arial"/>
          <w:i/>
          <w:sz w:val="20"/>
        </w:rPr>
        <w:t>Rossano v Manufacturers’ Life Insurance Co [1963] 2 Q.B. 352, 361, 368-369</w:t>
      </w:r>
      <w:r>
        <w:rPr>
          <w:sz w:val="20"/>
        </w:rPr>
        <w:t>; </w:t>
      </w:r>
      <w:r>
        <w:rPr>
          <w:rFonts w:ascii="Arial" w:hAnsi="Arial"/>
          <w:i/>
          <w:sz w:val="20"/>
        </w:rPr>
        <w:t>James Miller and Partners Ltd v Whitworth Street</w:t>
      </w:r>
      <w:r>
        <w:rPr>
          <w:rFonts w:ascii="Arial" w:hAnsi="Arial"/>
          <w:i/>
          <w:spacing w:val="-3"/>
          <w:sz w:val="20"/>
        </w:rPr>
        <w:t> </w:t>
      </w:r>
      <w:r>
        <w:rPr>
          <w:rFonts w:ascii="Arial" w:hAnsi="Arial"/>
          <w:i/>
          <w:sz w:val="20"/>
        </w:rPr>
        <w:t>Estates</w:t>
      </w:r>
      <w:r>
        <w:rPr>
          <w:rFonts w:ascii="Arial" w:hAnsi="Arial"/>
          <w:i/>
          <w:spacing w:val="-3"/>
          <w:sz w:val="20"/>
        </w:rPr>
        <w:t> </w:t>
      </w:r>
      <w:r>
        <w:rPr>
          <w:rFonts w:ascii="Arial" w:hAnsi="Arial"/>
          <w:i/>
          <w:sz w:val="20"/>
        </w:rPr>
        <w:t>(Manchester)</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[1970]</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583</w:t>
      </w:r>
      <w:r>
        <w:rPr>
          <w:sz w:val="20"/>
        </w:rPr>
        <w:t>;</w:t>
      </w:r>
      <w:r>
        <w:rPr>
          <w:spacing w:val="-3"/>
          <w:sz w:val="20"/>
        </w:rPr>
        <w:t> </w:t>
      </w:r>
      <w:r>
        <w:rPr>
          <w:rFonts w:ascii="Arial" w:hAnsi="Arial"/>
          <w:i/>
          <w:sz w:val="20"/>
        </w:rPr>
        <w:t>Coast</w:t>
      </w:r>
      <w:r>
        <w:rPr>
          <w:rFonts w:ascii="Arial" w:hAnsi="Arial"/>
          <w:i/>
          <w:spacing w:val="-3"/>
          <w:sz w:val="20"/>
        </w:rPr>
        <w:t> </w:t>
      </w:r>
      <w:r>
        <w:rPr>
          <w:rFonts w:ascii="Arial" w:hAnsi="Arial"/>
          <w:i/>
          <w:sz w:val="20"/>
        </w:rPr>
        <w:t>Lines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Hudig</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z w:val="20"/>
        </w:rPr>
        <w:t>Veder</w:t>
      </w:r>
      <w:r>
        <w:rPr>
          <w:rFonts w:ascii="Arial" w:hAnsi="Arial"/>
          <w:i/>
          <w:spacing w:val="-3"/>
          <w:sz w:val="20"/>
        </w:rPr>
        <w:t> </w:t>
      </w:r>
      <w:r>
        <w:rPr>
          <w:rFonts w:ascii="Arial" w:hAnsi="Arial"/>
          <w:i/>
          <w:sz w:val="20"/>
        </w:rPr>
        <w:t>Chartering NV</w:t>
      </w:r>
      <w:r>
        <w:rPr>
          <w:rFonts w:ascii="Arial" w:hAnsi="Arial"/>
          <w:i/>
          <w:spacing w:val="6"/>
          <w:sz w:val="20"/>
        </w:rPr>
        <w:t> </w:t>
      </w:r>
      <w:r>
        <w:rPr>
          <w:rFonts w:ascii="Arial" w:hAnsi="Arial"/>
          <w:i/>
          <w:sz w:val="20"/>
        </w:rPr>
        <w:t>[1972]</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z w:val="20"/>
        </w:rPr>
        <w:t>Q.B.</w:t>
      </w:r>
      <w:r>
        <w:rPr>
          <w:rFonts w:ascii="Arial" w:hAnsi="Arial"/>
          <w:i/>
          <w:spacing w:val="9"/>
          <w:sz w:val="20"/>
        </w:rPr>
        <w:t> </w:t>
      </w:r>
      <w:r>
        <w:rPr>
          <w:rFonts w:ascii="Arial" w:hAnsi="Arial"/>
          <w:i/>
          <w:sz w:val="20"/>
        </w:rPr>
        <w:t>34,</w:t>
      </w:r>
      <w:r>
        <w:rPr>
          <w:rFonts w:ascii="Arial" w:hAnsi="Arial"/>
          <w:i/>
          <w:spacing w:val="9"/>
          <w:sz w:val="20"/>
        </w:rPr>
        <w:t> </w:t>
      </w:r>
      <w:r>
        <w:rPr>
          <w:rFonts w:ascii="Arial" w:hAnsi="Arial"/>
          <w:i/>
          <w:sz w:val="20"/>
        </w:rPr>
        <w:t>44,</w:t>
      </w:r>
      <w:r>
        <w:rPr>
          <w:rFonts w:ascii="Arial" w:hAnsi="Arial"/>
          <w:i/>
          <w:spacing w:val="9"/>
          <w:sz w:val="20"/>
        </w:rPr>
        <w:t> </w:t>
      </w:r>
      <w:r>
        <w:rPr>
          <w:rFonts w:ascii="Arial" w:hAnsi="Arial"/>
          <w:i/>
          <w:sz w:val="20"/>
        </w:rPr>
        <w:t>46</w:t>
      </w:r>
      <w:r>
        <w:rPr>
          <w:sz w:val="20"/>
        </w:rPr>
        <w:t>;</w:t>
      </w:r>
      <w:r>
        <w:rPr>
          <w:spacing w:val="9"/>
          <w:sz w:val="20"/>
        </w:rPr>
        <w:t> </w:t>
      </w:r>
      <w:r>
        <w:rPr>
          <w:rFonts w:ascii="Arial" w:hAnsi="Arial"/>
          <w:i/>
          <w:sz w:val="20"/>
        </w:rPr>
        <w:t>Amin</w:t>
      </w:r>
      <w:r>
        <w:rPr>
          <w:rFonts w:ascii="Arial" w:hAnsi="Arial"/>
          <w:i/>
          <w:spacing w:val="9"/>
          <w:sz w:val="20"/>
        </w:rPr>
        <w:t> </w:t>
      </w:r>
      <w:r>
        <w:rPr>
          <w:rFonts w:ascii="Arial" w:hAnsi="Arial"/>
          <w:i/>
          <w:sz w:val="20"/>
        </w:rPr>
        <w:t>Rasheed</w:t>
      </w:r>
      <w:r>
        <w:rPr>
          <w:rFonts w:ascii="Arial" w:hAnsi="Arial"/>
          <w:i/>
          <w:spacing w:val="9"/>
          <w:sz w:val="20"/>
        </w:rPr>
        <w:t> </w:t>
      </w:r>
      <w:r>
        <w:rPr>
          <w:rFonts w:ascii="Arial" w:hAnsi="Arial"/>
          <w:i/>
          <w:sz w:val="20"/>
        </w:rPr>
        <w:t>Shipping</w:t>
      </w:r>
      <w:r>
        <w:rPr>
          <w:rFonts w:ascii="Arial" w:hAnsi="Arial"/>
          <w:i/>
          <w:spacing w:val="9"/>
          <w:sz w:val="20"/>
        </w:rPr>
        <w:t> </w:t>
      </w:r>
      <w:r>
        <w:rPr>
          <w:rFonts w:ascii="Arial" w:hAnsi="Arial"/>
          <w:i/>
          <w:sz w:val="20"/>
        </w:rPr>
        <w:t>Corp</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Kuwait</w:t>
      </w:r>
      <w:r>
        <w:rPr>
          <w:rFonts w:ascii="Arial" w:hAnsi="Arial"/>
          <w:i/>
          <w:spacing w:val="9"/>
          <w:sz w:val="20"/>
        </w:rPr>
        <w:t> </w:t>
      </w:r>
      <w:r>
        <w:rPr>
          <w:rFonts w:ascii="Arial" w:hAnsi="Arial"/>
          <w:i/>
          <w:sz w:val="20"/>
        </w:rPr>
        <w:t>Insurance</w:t>
      </w:r>
      <w:r>
        <w:rPr>
          <w:rFonts w:ascii="Arial" w:hAnsi="Arial"/>
          <w:i/>
          <w:spacing w:val="9"/>
          <w:sz w:val="20"/>
        </w:rPr>
        <w:t> </w:t>
      </w:r>
      <w:r>
        <w:rPr>
          <w:rFonts w:ascii="Arial" w:hAnsi="Arial"/>
          <w:i/>
          <w:sz w:val="20"/>
        </w:rPr>
        <w:t>Co</w:t>
      </w:r>
      <w:r>
        <w:rPr>
          <w:rFonts w:ascii="Arial" w:hAnsi="Arial"/>
          <w:i/>
          <w:spacing w:val="9"/>
          <w:sz w:val="20"/>
        </w:rPr>
        <w:t> </w:t>
      </w:r>
      <w:r>
        <w:rPr>
          <w:rFonts w:ascii="Arial" w:hAnsi="Arial"/>
          <w:i/>
          <w:sz w:val="20"/>
        </w:rPr>
        <w:t>[1984]</w:t>
      </w:r>
      <w:r>
        <w:rPr>
          <w:rFonts w:ascii="Arial" w:hAnsi="Arial"/>
          <w:i/>
          <w:spacing w:val="9"/>
          <w:sz w:val="20"/>
        </w:rPr>
        <w:t> </w:t>
      </w:r>
      <w:r>
        <w:rPr>
          <w:rFonts w:ascii="Arial" w:hAnsi="Arial"/>
          <w:i/>
          <w:spacing w:val="-4"/>
          <w:sz w:val="20"/>
        </w:rPr>
        <w:t>A.C.</w:t>
      </w:r>
    </w:p>
    <w:p>
      <w:pPr>
        <w:spacing w:line="225" w:lineRule="exact" w:before="0"/>
        <w:ind w:left="705" w:right="0" w:firstLine="0"/>
        <w:jc w:val="both"/>
        <w:rPr>
          <w:sz w:val="20"/>
        </w:rPr>
      </w:pPr>
      <w:r>
        <w:rPr>
          <w:rFonts w:ascii="Arial"/>
          <w:i/>
          <w:sz w:val="20"/>
        </w:rPr>
        <w:t>50, 60, </w:t>
      </w:r>
      <w:r>
        <w:rPr>
          <w:rFonts w:ascii="Arial"/>
          <w:i/>
          <w:spacing w:val="-5"/>
          <w:sz w:val="20"/>
        </w:rPr>
        <w:t>71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59" w:id="161"/>
      <w:bookmarkEnd w:id="161"/>
      <w:r>
        <w:rPr/>
      </w:r>
      <w:hyperlink w:history="true" w:anchor="_bookmark78">
        <w:r>
          <w:rPr>
            <w:color w:val="005DA1"/>
            <w:spacing w:val="-5"/>
            <w:position w:val="5"/>
            <w:sz w:val="14"/>
            <w:u w:val="single" w:color="005DA1"/>
          </w:rPr>
          <w:t>80</w:t>
        </w:r>
      </w:hyperlink>
      <w:r>
        <w:rPr>
          <w:spacing w:val="-5"/>
          <w:position w:val="5"/>
          <w:sz w:val="14"/>
        </w:rPr>
        <w:t>.</w:t>
      </w:r>
      <w:r>
        <w:rPr>
          <w:position w:val="5"/>
          <w:sz w:val="14"/>
        </w:rPr>
        <w:tab/>
      </w:r>
      <w:r>
        <w:rPr>
          <w:rFonts w:ascii="Arial"/>
          <w:i/>
          <w:sz w:val="20"/>
        </w:rPr>
        <w:t>James Miller and Partners Ltd v Whitworth Street Estates (Manchester) Ltd [1970] A.C. </w:t>
      </w:r>
      <w:r>
        <w:rPr>
          <w:rFonts w:ascii="Arial"/>
          <w:i/>
          <w:spacing w:val="-4"/>
          <w:sz w:val="20"/>
        </w:rPr>
        <w:t>583</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60" w:id="162"/>
      <w:bookmarkEnd w:id="162"/>
      <w:r>
        <w:rPr/>
      </w:r>
      <w:hyperlink w:history="true" w:anchor="_bookmark79">
        <w:r>
          <w:rPr>
            <w:color w:val="005DA1"/>
            <w:spacing w:val="-4"/>
            <w:position w:val="5"/>
            <w:sz w:val="14"/>
            <w:u w:val="single" w:color="005DA1"/>
          </w:rPr>
          <w:t>81</w:t>
        </w:r>
      </w:hyperlink>
      <w:r>
        <w:rPr>
          <w:spacing w:val="-4"/>
          <w:position w:val="5"/>
          <w:sz w:val="14"/>
        </w:rPr>
        <w:t>.</w:t>
      </w:r>
      <w:r>
        <w:rPr>
          <w:position w:val="5"/>
          <w:sz w:val="14"/>
        </w:rPr>
        <w:tab/>
      </w:r>
      <w:r>
        <w:rPr>
          <w:rFonts w:ascii="Arial" w:hAnsi="Arial"/>
          <w:i/>
          <w:sz w:val="20"/>
        </w:rPr>
        <w:t>Islamic Arab Insurance Co v Saudi Egyptian American Reinsurance Co [1987] 1 Lloyd’s </w:t>
      </w:r>
      <w:r>
        <w:rPr>
          <w:rFonts w:ascii="Arial" w:hAnsi="Arial"/>
          <w:i/>
          <w:sz w:val="20"/>
        </w:rPr>
        <w:t>Rep.</w:t>
      </w:r>
      <w:r>
        <w:rPr>
          <w:rFonts w:ascii="Arial" w:hAnsi="Arial"/>
          <w:i/>
          <w:spacing w:val="40"/>
          <w:sz w:val="20"/>
        </w:rPr>
        <w:t> </w:t>
      </w:r>
      <w:r>
        <w:rPr>
          <w:rFonts w:ascii="Arial" w:hAnsi="Arial"/>
          <w:i/>
          <w:sz w:val="20"/>
        </w:rPr>
        <w:t>315, 320</w:t>
      </w:r>
      <w:r>
        <w:rPr>
          <w:sz w:val="20"/>
        </w:rPr>
        <w:t>.</w:t>
      </w:r>
    </w:p>
    <w:p>
      <w:pPr>
        <w:pStyle w:val="BodyText"/>
        <w:spacing w:before="9"/>
      </w:pPr>
    </w:p>
    <w:p>
      <w:pPr>
        <w:spacing w:line="235" w:lineRule="auto" w:before="0"/>
        <w:ind w:left="705" w:right="167" w:hanging="541"/>
        <w:jc w:val="both"/>
        <w:rPr>
          <w:rFonts w:ascii="Arial" w:hAnsi="Arial"/>
          <w:i/>
          <w:sz w:val="20"/>
        </w:rPr>
      </w:pPr>
      <w:bookmarkStart w:name="_bookmark161" w:id="163"/>
      <w:bookmarkEnd w:id="163"/>
      <w:r>
        <w:rPr/>
      </w:r>
      <w:hyperlink w:history="true" w:anchor="_bookmark80">
        <w:r>
          <w:rPr>
            <w:color w:val="005DA1"/>
            <w:position w:val="5"/>
            <w:sz w:val="14"/>
            <w:u w:val="single" w:color="005DA1"/>
          </w:rPr>
          <w:t>82</w:t>
        </w:r>
      </w:hyperlink>
      <w:r>
        <w:rPr>
          <w:position w:val="5"/>
          <w:sz w:val="14"/>
        </w:rPr>
        <w:t>.</w:t>
      </w:r>
      <w:r>
        <w:rPr>
          <w:spacing w:val="80"/>
          <w:position w:val="5"/>
          <w:sz w:val="14"/>
        </w:rPr>
        <w:t>  </w:t>
      </w:r>
      <w:r>
        <w:rPr>
          <w:rFonts w:ascii="Arial" w:hAnsi="Arial"/>
          <w:i/>
          <w:sz w:val="20"/>
        </w:rPr>
        <w:t>James Miller and Partners Ltd v Whitworth Street Estates (Manchester) Ltd [1970] A.C. 583,</w:t>
      </w:r>
      <w:r>
        <w:rPr>
          <w:rFonts w:ascii="Arial" w:hAnsi="Arial"/>
          <w:i/>
          <w:spacing w:val="40"/>
          <w:sz w:val="20"/>
        </w:rPr>
        <w:t> </w:t>
      </w:r>
      <w:r>
        <w:rPr>
          <w:rFonts w:ascii="Arial" w:hAnsi="Arial"/>
          <w:i/>
          <w:sz w:val="20"/>
        </w:rPr>
        <w:t>603-604, 605-606, 614-616</w:t>
      </w:r>
      <w:r>
        <w:rPr>
          <w:sz w:val="20"/>
        </w:rPr>
        <w:t>; </w:t>
      </w:r>
      <w:r>
        <w:rPr>
          <w:rFonts w:ascii="Arial" w:hAnsi="Arial"/>
          <w:i/>
          <w:sz w:val="20"/>
        </w:rPr>
        <w:t>Compagnie d’Armement Maritime SA v Compagnie Tunisienne </w:t>
      </w:r>
      <w:r>
        <w:rPr>
          <w:rFonts w:ascii="Arial" w:hAnsi="Arial"/>
          <w:i/>
          <w:sz w:val="20"/>
        </w:rPr>
        <w:t>de Navigation</w:t>
      </w:r>
      <w:r>
        <w:rPr>
          <w:rFonts w:ascii="Arial" w:hAnsi="Arial"/>
          <w:i/>
          <w:spacing w:val="-1"/>
          <w:sz w:val="20"/>
        </w:rPr>
        <w:t> </w:t>
      </w:r>
      <w:r>
        <w:rPr>
          <w:rFonts w:ascii="Arial" w:hAnsi="Arial"/>
          <w:i/>
          <w:sz w:val="20"/>
        </w:rPr>
        <w:t>SA [1971] A.C. 572, 583</w:t>
      </w:r>
      <w:r>
        <w:rPr>
          <w:sz w:val="20"/>
        </w:rPr>
        <w:t>; </w:t>
      </w:r>
      <w:r>
        <w:rPr>
          <w:rFonts w:ascii="Arial" w:hAnsi="Arial"/>
          <w:i/>
          <w:sz w:val="20"/>
        </w:rPr>
        <w:t>Coast Lines Ltd v Hudig and Veder Chartering NV [1972] </w:t>
      </w:r>
      <w:r>
        <w:rPr>
          <w:rFonts w:ascii="Arial" w:hAnsi="Arial"/>
          <w:i/>
          <w:spacing w:val="-10"/>
          <w:sz w:val="20"/>
        </w:rPr>
        <w:t>2</w:t>
      </w:r>
    </w:p>
    <w:p>
      <w:pPr>
        <w:spacing w:line="223" w:lineRule="exact" w:before="0"/>
        <w:ind w:left="705" w:right="0" w:firstLine="0"/>
        <w:jc w:val="both"/>
        <w:rPr>
          <w:rFonts w:ascii="Arial"/>
          <w:i/>
          <w:sz w:val="20"/>
        </w:rPr>
      </w:pPr>
      <w:r>
        <w:rPr>
          <w:rFonts w:ascii="Arial"/>
          <w:i/>
          <w:sz w:val="20"/>
        </w:rPr>
        <w:t>Q.B.</w:t>
      </w:r>
      <w:r>
        <w:rPr>
          <w:rFonts w:ascii="Arial"/>
          <w:i/>
          <w:spacing w:val="15"/>
          <w:sz w:val="20"/>
        </w:rPr>
        <w:t> </w:t>
      </w:r>
      <w:r>
        <w:rPr>
          <w:rFonts w:ascii="Arial"/>
          <w:i/>
          <w:sz w:val="20"/>
        </w:rPr>
        <w:t>34,</w:t>
      </w:r>
      <w:r>
        <w:rPr>
          <w:rFonts w:ascii="Arial"/>
          <w:i/>
          <w:spacing w:val="15"/>
          <w:sz w:val="20"/>
        </w:rPr>
        <w:t> </w:t>
      </w:r>
      <w:r>
        <w:rPr>
          <w:rFonts w:ascii="Arial"/>
          <w:i/>
          <w:sz w:val="20"/>
        </w:rPr>
        <w:t>50</w:t>
      </w:r>
      <w:r>
        <w:rPr>
          <w:sz w:val="20"/>
        </w:rPr>
        <w:t>;</w:t>
      </w:r>
      <w:r>
        <w:rPr>
          <w:spacing w:val="15"/>
          <w:sz w:val="20"/>
        </w:rPr>
        <w:t> </w:t>
      </w:r>
      <w:r>
        <w:rPr>
          <w:rFonts w:ascii="Arial"/>
          <w:i/>
          <w:sz w:val="20"/>
        </w:rPr>
        <w:t>Monterosso</w:t>
      </w:r>
      <w:r>
        <w:rPr>
          <w:rFonts w:ascii="Arial"/>
          <w:i/>
          <w:spacing w:val="15"/>
          <w:sz w:val="20"/>
        </w:rPr>
        <w:t> </w:t>
      </w:r>
      <w:r>
        <w:rPr>
          <w:rFonts w:ascii="Arial"/>
          <w:i/>
          <w:sz w:val="20"/>
        </w:rPr>
        <w:t>Shipping</w:t>
      </w:r>
      <w:r>
        <w:rPr>
          <w:rFonts w:ascii="Arial"/>
          <w:i/>
          <w:spacing w:val="15"/>
          <w:sz w:val="20"/>
        </w:rPr>
        <w:t> </w:t>
      </w:r>
      <w:r>
        <w:rPr>
          <w:rFonts w:ascii="Arial"/>
          <w:i/>
          <w:sz w:val="20"/>
        </w:rPr>
        <w:t>Co</w:t>
      </w:r>
      <w:r>
        <w:rPr>
          <w:rFonts w:ascii="Arial"/>
          <w:i/>
          <w:spacing w:val="15"/>
          <w:sz w:val="20"/>
        </w:rPr>
        <w:t> </w:t>
      </w:r>
      <w:r>
        <w:rPr>
          <w:rFonts w:ascii="Arial"/>
          <w:i/>
          <w:sz w:val="20"/>
        </w:rPr>
        <w:t>Ltd</w:t>
      </w:r>
      <w:r>
        <w:rPr>
          <w:rFonts w:ascii="Arial"/>
          <w:i/>
          <w:spacing w:val="15"/>
          <w:sz w:val="20"/>
        </w:rPr>
        <w:t> </w:t>
      </w:r>
      <w:r>
        <w:rPr>
          <w:rFonts w:ascii="Arial"/>
          <w:i/>
          <w:sz w:val="20"/>
        </w:rPr>
        <w:t>v</w:t>
      </w:r>
      <w:r>
        <w:rPr>
          <w:rFonts w:ascii="Arial"/>
          <w:i/>
          <w:spacing w:val="15"/>
          <w:sz w:val="20"/>
        </w:rPr>
        <w:t> </w:t>
      </w:r>
      <w:r>
        <w:rPr>
          <w:rFonts w:ascii="Arial"/>
          <w:i/>
          <w:sz w:val="20"/>
        </w:rPr>
        <w:t>International</w:t>
      </w:r>
      <w:r>
        <w:rPr>
          <w:rFonts w:ascii="Arial"/>
          <w:i/>
          <w:spacing w:val="15"/>
          <w:sz w:val="20"/>
        </w:rPr>
        <w:t> </w:t>
      </w:r>
      <w:r>
        <w:rPr>
          <w:rFonts w:ascii="Arial"/>
          <w:i/>
          <w:sz w:val="20"/>
        </w:rPr>
        <w:t>Transport</w:t>
      </w:r>
      <w:r>
        <w:rPr>
          <w:rFonts w:ascii="Arial"/>
          <w:i/>
          <w:spacing w:val="15"/>
          <w:sz w:val="20"/>
        </w:rPr>
        <w:t> </w:t>
      </w:r>
      <w:r>
        <w:rPr>
          <w:rFonts w:ascii="Arial"/>
          <w:i/>
          <w:sz w:val="20"/>
        </w:rPr>
        <w:t>Workers</w:t>
      </w:r>
      <w:r>
        <w:rPr>
          <w:rFonts w:ascii="Arial"/>
          <w:i/>
          <w:spacing w:val="15"/>
          <w:sz w:val="20"/>
        </w:rPr>
        <w:t> </w:t>
      </w:r>
      <w:r>
        <w:rPr>
          <w:rFonts w:ascii="Arial"/>
          <w:i/>
          <w:sz w:val="20"/>
        </w:rPr>
        <w:t>Federation</w:t>
      </w:r>
      <w:r>
        <w:rPr>
          <w:rFonts w:ascii="Arial"/>
          <w:i/>
          <w:spacing w:val="15"/>
          <w:sz w:val="20"/>
        </w:rPr>
        <w:t> </w:t>
      </w:r>
      <w:r>
        <w:rPr>
          <w:rFonts w:ascii="Arial"/>
          <w:i/>
          <w:spacing w:val="-2"/>
          <w:sz w:val="20"/>
        </w:rPr>
        <w:t>[1982]</w:t>
      </w:r>
    </w:p>
    <w:p>
      <w:pPr>
        <w:spacing w:line="227" w:lineRule="exact" w:before="0"/>
        <w:ind w:left="705" w:right="0" w:firstLine="0"/>
        <w:jc w:val="both"/>
        <w:rPr>
          <w:sz w:val="20"/>
        </w:rPr>
      </w:pPr>
      <w:r>
        <w:rPr>
          <w:rFonts w:ascii="Arial"/>
          <w:i/>
          <w:sz w:val="20"/>
        </w:rPr>
        <w:t>I.C.R.</w:t>
      </w:r>
      <w:r>
        <w:rPr>
          <w:rFonts w:ascii="Arial"/>
          <w:i/>
          <w:spacing w:val="-2"/>
          <w:sz w:val="20"/>
        </w:rPr>
        <w:t> </w:t>
      </w:r>
      <w:r>
        <w:rPr>
          <w:rFonts w:ascii="Arial"/>
          <w:i/>
          <w:spacing w:val="-4"/>
          <w:sz w:val="20"/>
        </w:rPr>
        <w:t>675</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2" w:id="164"/>
      <w:bookmarkEnd w:id="164"/>
      <w:r>
        <w:rPr/>
      </w:r>
      <w:hyperlink w:history="true" w:anchor="_bookmark81">
        <w:r>
          <w:rPr>
            <w:color w:val="005DA1"/>
            <w:spacing w:val="-5"/>
            <w:position w:val="5"/>
            <w:sz w:val="14"/>
            <w:u w:val="single" w:color="005DA1"/>
          </w:rPr>
          <w:t>83</w:t>
        </w:r>
      </w:hyperlink>
      <w:r>
        <w:rPr>
          <w:spacing w:val="-5"/>
          <w:position w:val="5"/>
          <w:sz w:val="14"/>
        </w:rPr>
        <w:t>.</w:t>
      </w:r>
      <w:r>
        <w:rPr>
          <w:position w:val="5"/>
          <w:sz w:val="14"/>
        </w:rPr>
        <w:tab/>
      </w:r>
      <w:r>
        <w:rPr>
          <w:sz w:val="20"/>
        </w:rPr>
        <w:t>e.g. </w:t>
      </w:r>
      <w:r>
        <w:rPr>
          <w:rFonts w:ascii="Arial"/>
          <w:i/>
          <w:sz w:val="20"/>
        </w:rPr>
        <w:t>James Miller and Partners Ltd v Whitworth Street Estates (Manchester) Ltd [1970] A.C. </w:t>
      </w:r>
      <w:r>
        <w:rPr>
          <w:rFonts w:ascii="Arial"/>
          <w:i/>
          <w:spacing w:val="-5"/>
          <w:sz w:val="20"/>
        </w:rPr>
        <w:t>583</w:t>
      </w:r>
    </w:p>
    <w:p>
      <w:pPr>
        <w:spacing w:line="227" w:lineRule="exact" w:before="0"/>
        <w:ind w:left="705" w:right="0" w:firstLine="0"/>
        <w:jc w:val="left"/>
        <w:rPr>
          <w:sz w:val="20"/>
        </w:rPr>
      </w:pPr>
      <w:r>
        <w:rPr>
          <w:spacing w:val="-10"/>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63" w:id="165"/>
      <w:bookmarkEnd w:id="165"/>
      <w:r>
        <w:rPr/>
      </w:r>
      <w:hyperlink w:history="true" w:anchor="_bookmark82">
        <w:r>
          <w:rPr>
            <w:color w:val="005DA1"/>
            <w:spacing w:val="-4"/>
            <w:position w:val="5"/>
            <w:sz w:val="14"/>
            <w:u w:val="single" w:color="005DA1"/>
          </w:rPr>
          <w:t>84</w:t>
        </w:r>
      </w:hyperlink>
      <w:r>
        <w:rPr>
          <w:spacing w:val="-4"/>
          <w:position w:val="5"/>
          <w:sz w:val="14"/>
        </w:rPr>
        <w:t>.</w:t>
      </w:r>
      <w:r>
        <w:rPr>
          <w:position w:val="5"/>
          <w:sz w:val="14"/>
        </w:rPr>
        <w:tab/>
      </w:r>
      <w:r>
        <w:rPr>
          <w:rFonts w:ascii="Arial"/>
          <w:i/>
          <w:sz w:val="20"/>
        </w:rPr>
        <w:t>Coast Lines Ltd v Hudig and Veder Chartering NV [1972] 2 Q.B. 34, 46</w:t>
      </w:r>
      <w:r>
        <w:rPr>
          <w:sz w:val="20"/>
        </w:rPr>
        <w:t>; </w:t>
      </w:r>
      <w:r>
        <w:rPr>
          <w:rFonts w:ascii="Arial"/>
          <w:i/>
          <w:sz w:val="20"/>
        </w:rPr>
        <w:t>Merck KGaA v Merck Sharp &amp; Dohne Corp [2014] EWHC 3867 (Ch) [74]</w:t>
      </w:r>
      <w:r>
        <w:rPr>
          <w:sz w:val="20"/>
        </w:rPr>
        <w:t>.</w:t>
      </w:r>
    </w:p>
    <w:p>
      <w:pPr>
        <w:pStyle w:val="BodyText"/>
        <w:spacing w:before="5"/>
      </w:pPr>
    </w:p>
    <w:p>
      <w:pPr>
        <w:pStyle w:val="BodyText"/>
        <w:tabs>
          <w:tab w:pos="705" w:val="left" w:leader="none"/>
        </w:tabs>
        <w:ind w:left="165"/>
      </w:pPr>
      <w:bookmarkStart w:name="_bookmark164" w:id="166"/>
      <w:bookmarkEnd w:id="166"/>
      <w:r>
        <w:rPr/>
      </w:r>
      <w:hyperlink w:history="true" w:anchor="_bookmark83">
        <w:r>
          <w:rPr>
            <w:color w:val="005DA1"/>
            <w:spacing w:val="-5"/>
            <w:position w:val="5"/>
            <w:sz w:val="14"/>
            <w:u w:val="single" w:color="005DA1"/>
          </w:rPr>
          <w:t>85</w:t>
        </w:r>
      </w:hyperlink>
      <w:r>
        <w:rPr>
          <w:spacing w:val="-5"/>
          <w:position w:val="5"/>
          <w:sz w:val="14"/>
        </w:rPr>
        <w:t>.</w:t>
      </w:r>
      <w:r>
        <w:rPr>
          <w:position w:val="5"/>
          <w:sz w:val="14"/>
        </w:rPr>
        <w:tab/>
      </w:r>
      <w:r>
        <w:rPr/>
        <w:t>See McLachlan (1990) 61 B.Y.I.L. </w:t>
      </w:r>
      <w:r>
        <w:rPr>
          <w:spacing w:val="-4"/>
        </w:rPr>
        <w:t>311.</w:t>
      </w:r>
    </w:p>
    <w:p>
      <w:pPr>
        <w:pStyle w:val="BodyText"/>
        <w:spacing w:before="5"/>
      </w:pPr>
    </w:p>
    <w:p>
      <w:pPr>
        <w:pStyle w:val="BodyText"/>
        <w:tabs>
          <w:tab w:pos="705" w:val="left" w:leader="none"/>
        </w:tabs>
        <w:ind w:left="165"/>
      </w:pPr>
      <w:bookmarkStart w:name="_bookmark165" w:id="167"/>
      <w:bookmarkEnd w:id="167"/>
      <w:r>
        <w:rPr/>
      </w:r>
      <w:hyperlink w:history="true" w:anchor="_bookmark84">
        <w:r>
          <w:rPr>
            <w:color w:val="005DA1"/>
            <w:spacing w:val="-5"/>
            <w:position w:val="5"/>
            <w:sz w:val="14"/>
            <w:u w:val="single" w:color="005DA1"/>
          </w:rPr>
          <w:t>86</w:t>
        </w:r>
      </w:hyperlink>
      <w:r>
        <w:rPr>
          <w:spacing w:val="-5"/>
          <w:position w:val="5"/>
          <w:sz w:val="14"/>
        </w:rPr>
        <w:t>.</w:t>
      </w:r>
      <w:r>
        <w:rPr>
          <w:position w:val="5"/>
          <w:sz w:val="14"/>
        </w:rPr>
        <w:tab/>
      </w:r>
      <w:r>
        <w:rPr/>
        <w:t>See below, paras 30-305 et </w:t>
      </w:r>
      <w:r>
        <w:rPr>
          <w:spacing w:val="-4"/>
        </w:rPr>
        <w:t>seq.</w:t>
      </w:r>
    </w:p>
    <w:p>
      <w:pPr>
        <w:pStyle w:val="BodyText"/>
        <w:spacing w:before="9"/>
      </w:pPr>
    </w:p>
    <w:p>
      <w:pPr>
        <w:tabs>
          <w:tab w:pos="705" w:val="left" w:leader="none"/>
        </w:tabs>
        <w:spacing w:line="235" w:lineRule="auto" w:before="0"/>
        <w:ind w:left="705" w:right="168" w:hanging="541"/>
        <w:jc w:val="left"/>
        <w:rPr>
          <w:sz w:val="20"/>
        </w:rPr>
      </w:pPr>
      <w:bookmarkStart w:name="_bookmark166" w:id="168"/>
      <w:bookmarkEnd w:id="168"/>
      <w:r>
        <w:rPr/>
      </w:r>
      <w:hyperlink w:history="true" w:anchor="_bookmark85">
        <w:r>
          <w:rPr>
            <w:color w:val="005DA1"/>
            <w:spacing w:val="-4"/>
            <w:position w:val="5"/>
            <w:sz w:val="14"/>
            <w:u w:val="single" w:color="005DA1"/>
          </w:rPr>
          <w:t>87</w:t>
        </w:r>
      </w:hyperlink>
      <w:r>
        <w:rPr>
          <w:spacing w:val="-4"/>
          <w:position w:val="5"/>
          <w:sz w:val="14"/>
        </w:rPr>
        <w:t>.</w:t>
      </w:r>
      <w:r>
        <w:rPr>
          <w:position w:val="5"/>
          <w:sz w:val="14"/>
        </w:rPr>
        <w:tab/>
      </w:r>
      <w:r>
        <w:rPr>
          <w:rFonts w:ascii="Arial" w:hAnsi="Arial"/>
          <w:i/>
          <w:sz w:val="20"/>
        </w:rPr>
        <w:t>Re</w:t>
      </w:r>
      <w:r>
        <w:rPr>
          <w:rFonts w:ascii="Arial" w:hAnsi="Arial"/>
          <w:i/>
          <w:spacing w:val="34"/>
          <w:sz w:val="20"/>
        </w:rPr>
        <w:t> </w:t>
      </w:r>
      <w:r>
        <w:rPr>
          <w:rFonts w:ascii="Arial" w:hAnsi="Arial"/>
          <w:i/>
          <w:sz w:val="20"/>
        </w:rPr>
        <w:t>United</w:t>
      </w:r>
      <w:r>
        <w:rPr>
          <w:rFonts w:ascii="Arial" w:hAnsi="Arial"/>
          <w:i/>
          <w:spacing w:val="34"/>
          <w:sz w:val="20"/>
        </w:rPr>
        <w:t> </w:t>
      </w:r>
      <w:r>
        <w:rPr>
          <w:rFonts w:ascii="Arial" w:hAnsi="Arial"/>
          <w:i/>
          <w:sz w:val="20"/>
        </w:rPr>
        <w:t>Railways</w:t>
      </w:r>
      <w:r>
        <w:rPr>
          <w:rFonts w:ascii="Arial" w:hAnsi="Arial"/>
          <w:i/>
          <w:spacing w:val="34"/>
          <w:sz w:val="20"/>
        </w:rPr>
        <w:t> </w:t>
      </w:r>
      <w:r>
        <w:rPr>
          <w:rFonts w:ascii="Arial" w:hAnsi="Arial"/>
          <w:i/>
          <w:sz w:val="20"/>
        </w:rPr>
        <w:t>of</w:t>
      </w:r>
      <w:r>
        <w:rPr>
          <w:rFonts w:ascii="Arial" w:hAnsi="Arial"/>
          <w:i/>
          <w:spacing w:val="34"/>
          <w:sz w:val="20"/>
        </w:rPr>
        <w:t> </w:t>
      </w:r>
      <w:r>
        <w:rPr>
          <w:rFonts w:ascii="Arial" w:hAnsi="Arial"/>
          <w:i/>
          <w:sz w:val="20"/>
        </w:rPr>
        <w:t>the</w:t>
      </w:r>
      <w:r>
        <w:rPr>
          <w:rFonts w:ascii="Arial" w:hAnsi="Arial"/>
          <w:i/>
          <w:spacing w:val="34"/>
          <w:sz w:val="20"/>
        </w:rPr>
        <w:t> </w:t>
      </w:r>
      <w:r>
        <w:rPr>
          <w:rFonts w:ascii="Arial" w:hAnsi="Arial"/>
          <w:i/>
          <w:sz w:val="20"/>
        </w:rPr>
        <w:t>Havana</w:t>
      </w:r>
      <w:r>
        <w:rPr>
          <w:rFonts w:ascii="Arial" w:hAnsi="Arial"/>
          <w:i/>
          <w:spacing w:val="34"/>
          <w:sz w:val="20"/>
        </w:rPr>
        <w:t> </w:t>
      </w:r>
      <w:r>
        <w:rPr>
          <w:rFonts w:ascii="Arial" w:hAnsi="Arial"/>
          <w:i/>
          <w:sz w:val="20"/>
        </w:rPr>
        <w:t>and</w:t>
      </w:r>
      <w:r>
        <w:rPr>
          <w:rFonts w:ascii="Arial" w:hAnsi="Arial"/>
          <w:i/>
          <w:spacing w:val="34"/>
          <w:sz w:val="20"/>
        </w:rPr>
        <w:t> </w:t>
      </w:r>
      <w:r>
        <w:rPr>
          <w:rFonts w:ascii="Arial" w:hAnsi="Arial"/>
          <w:i/>
          <w:sz w:val="20"/>
        </w:rPr>
        <w:t>Regla</w:t>
      </w:r>
      <w:r>
        <w:rPr>
          <w:rFonts w:ascii="Arial" w:hAnsi="Arial"/>
          <w:i/>
          <w:spacing w:val="34"/>
          <w:sz w:val="20"/>
        </w:rPr>
        <w:t> </w:t>
      </w:r>
      <w:r>
        <w:rPr>
          <w:rFonts w:ascii="Arial" w:hAnsi="Arial"/>
          <w:i/>
          <w:sz w:val="20"/>
        </w:rPr>
        <w:t>Warehouses</w:t>
      </w:r>
      <w:r>
        <w:rPr>
          <w:rFonts w:ascii="Arial" w:hAnsi="Arial"/>
          <w:i/>
          <w:spacing w:val="34"/>
          <w:sz w:val="20"/>
        </w:rPr>
        <w:t> </w:t>
      </w:r>
      <w:r>
        <w:rPr>
          <w:rFonts w:ascii="Arial" w:hAnsi="Arial"/>
          <w:i/>
          <w:sz w:val="20"/>
        </w:rPr>
        <w:t>[1960]</w:t>
      </w:r>
      <w:r>
        <w:rPr>
          <w:rFonts w:ascii="Arial" w:hAnsi="Arial"/>
          <w:i/>
          <w:spacing w:val="34"/>
          <w:sz w:val="20"/>
        </w:rPr>
        <w:t> </w:t>
      </w:r>
      <w:r>
        <w:rPr>
          <w:rFonts w:ascii="Arial" w:hAnsi="Arial"/>
          <w:i/>
          <w:sz w:val="20"/>
        </w:rPr>
        <w:t>Ch.</w:t>
      </w:r>
      <w:r>
        <w:rPr>
          <w:rFonts w:ascii="Arial" w:hAnsi="Arial"/>
          <w:i/>
          <w:spacing w:val="34"/>
          <w:sz w:val="20"/>
        </w:rPr>
        <w:t> </w:t>
      </w:r>
      <w:r>
        <w:rPr>
          <w:rFonts w:ascii="Arial" w:hAnsi="Arial"/>
          <w:i/>
          <w:sz w:val="20"/>
        </w:rPr>
        <w:t>52,</w:t>
      </w:r>
      <w:r>
        <w:rPr>
          <w:rFonts w:ascii="Arial" w:hAnsi="Arial"/>
          <w:i/>
          <w:spacing w:val="34"/>
          <w:sz w:val="20"/>
        </w:rPr>
        <w:t> </w:t>
      </w:r>
      <w:r>
        <w:rPr>
          <w:rFonts w:ascii="Arial" w:hAnsi="Arial"/>
          <w:i/>
          <w:sz w:val="20"/>
        </w:rPr>
        <w:t>92</w:t>
      </w:r>
      <w:r>
        <w:rPr>
          <w:sz w:val="20"/>
        </w:rPr>
        <w:t>;</w:t>
      </w:r>
      <w:r>
        <w:rPr>
          <w:spacing w:val="34"/>
          <w:sz w:val="20"/>
        </w:rPr>
        <w:t> </w:t>
      </w:r>
      <w:r>
        <w:rPr>
          <w:sz w:val="20"/>
        </w:rPr>
        <w:t>and</w:t>
      </w:r>
      <w:r>
        <w:rPr>
          <w:spacing w:val="34"/>
          <w:sz w:val="20"/>
        </w:rPr>
        <w:t> </w:t>
      </w:r>
      <w:r>
        <w:rPr>
          <w:sz w:val="20"/>
        </w:rPr>
        <w:t>see</w:t>
      </w:r>
      <w:r>
        <w:rPr>
          <w:spacing w:val="34"/>
          <w:sz w:val="20"/>
        </w:rPr>
        <w:t> </w:t>
      </w:r>
      <w:r>
        <w:rPr>
          <w:rFonts w:ascii="Arial" w:hAnsi="Arial"/>
          <w:i/>
          <w:sz w:val="20"/>
        </w:rPr>
        <w:t>Re Helbert Wagg &amp; Co Ltd’s Claim [1956] Ch. 323, 340</w:t>
      </w:r>
      <w:r>
        <w:rPr>
          <w:sz w:val="20"/>
        </w:rPr>
        <w:t>.</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167" w:id="169"/>
      <w:bookmarkEnd w:id="169"/>
      <w:r>
        <w:rPr/>
      </w:r>
      <w:hyperlink w:history="true" w:anchor="_bookmark86">
        <w:r>
          <w:rPr>
            <w:color w:val="005DA1"/>
            <w:spacing w:val="-5"/>
            <w:position w:val="5"/>
            <w:sz w:val="14"/>
            <w:u w:val="single" w:color="005DA1"/>
          </w:rPr>
          <w:t>88</w:t>
        </w:r>
      </w:hyperlink>
      <w:r>
        <w:rPr>
          <w:spacing w:val="-5"/>
          <w:position w:val="5"/>
          <w:sz w:val="14"/>
        </w:rPr>
        <w:t>.</w:t>
      </w:r>
      <w:r>
        <w:rPr>
          <w:position w:val="5"/>
          <w:sz w:val="14"/>
        </w:rPr>
        <w:tab/>
      </w:r>
      <w:r>
        <w:rPr>
          <w:rFonts w:ascii="Arial"/>
          <w:i/>
          <w:sz w:val="20"/>
        </w:rPr>
        <w:t>Kahler</w:t>
      </w:r>
      <w:r>
        <w:rPr>
          <w:rFonts w:ascii="Arial"/>
          <w:i/>
          <w:spacing w:val="8"/>
          <w:sz w:val="20"/>
        </w:rPr>
        <w:t> </w:t>
      </w:r>
      <w:r>
        <w:rPr>
          <w:rFonts w:ascii="Arial"/>
          <w:i/>
          <w:sz w:val="20"/>
        </w:rPr>
        <w:t>v</w:t>
      </w:r>
      <w:r>
        <w:rPr>
          <w:rFonts w:ascii="Arial"/>
          <w:i/>
          <w:spacing w:val="9"/>
          <w:sz w:val="20"/>
        </w:rPr>
        <w:t> </w:t>
      </w:r>
      <w:r>
        <w:rPr>
          <w:rFonts w:ascii="Arial"/>
          <w:i/>
          <w:sz w:val="20"/>
        </w:rPr>
        <w:t>Midland</w:t>
      </w:r>
      <w:r>
        <w:rPr>
          <w:rFonts w:ascii="Arial"/>
          <w:i/>
          <w:spacing w:val="9"/>
          <w:sz w:val="20"/>
        </w:rPr>
        <w:t> </w:t>
      </w:r>
      <w:r>
        <w:rPr>
          <w:rFonts w:ascii="Arial"/>
          <w:i/>
          <w:sz w:val="20"/>
        </w:rPr>
        <w:t>Bank</w:t>
      </w:r>
      <w:r>
        <w:rPr>
          <w:rFonts w:ascii="Arial"/>
          <w:i/>
          <w:spacing w:val="9"/>
          <w:sz w:val="20"/>
        </w:rPr>
        <w:t> </w:t>
      </w:r>
      <w:r>
        <w:rPr>
          <w:rFonts w:ascii="Arial"/>
          <w:i/>
          <w:sz w:val="20"/>
        </w:rPr>
        <w:t>Ltd</w:t>
      </w:r>
      <w:r>
        <w:rPr>
          <w:rFonts w:ascii="Arial"/>
          <w:i/>
          <w:spacing w:val="9"/>
          <w:sz w:val="20"/>
        </w:rPr>
        <w:t> </w:t>
      </w:r>
      <w:r>
        <w:rPr>
          <w:rFonts w:ascii="Arial"/>
          <w:i/>
          <w:sz w:val="20"/>
        </w:rPr>
        <w:t>[1950]</w:t>
      </w:r>
      <w:r>
        <w:rPr>
          <w:rFonts w:ascii="Arial"/>
          <w:i/>
          <w:spacing w:val="9"/>
          <w:sz w:val="20"/>
        </w:rPr>
        <w:t> </w:t>
      </w:r>
      <w:r>
        <w:rPr>
          <w:rFonts w:ascii="Arial"/>
          <w:i/>
          <w:sz w:val="20"/>
        </w:rPr>
        <w:t>A.C.</w:t>
      </w:r>
      <w:r>
        <w:rPr>
          <w:rFonts w:ascii="Arial"/>
          <w:i/>
          <w:spacing w:val="9"/>
          <w:sz w:val="20"/>
        </w:rPr>
        <w:t> </w:t>
      </w:r>
      <w:r>
        <w:rPr>
          <w:rFonts w:ascii="Arial"/>
          <w:i/>
          <w:sz w:val="20"/>
        </w:rPr>
        <w:t>24,</w:t>
      </w:r>
      <w:r>
        <w:rPr>
          <w:rFonts w:ascii="Arial"/>
          <w:i/>
          <w:spacing w:val="9"/>
          <w:sz w:val="20"/>
        </w:rPr>
        <w:t> </w:t>
      </w:r>
      <w:r>
        <w:rPr>
          <w:rFonts w:ascii="Arial"/>
          <w:i/>
          <w:sz w:val="20"/>
        </w:rPr>
        <w:t>42</w:t>
      </w:r>
      <w:r>
        <w:rPr>
          <w:sz w:val="20"/>
        </w:rPr>
        <w:t>.</w:t>
      </w:r>
      <w:r>
        <w:rPr>
          <w:spacing w:val="9"/>
          <w:sz w:val="20"/>
        </w:rPr>
        <w:t> </w:t>
      </w:r>
      <w:r>
        <w:rPr>
          <w:sz w:val="20"/>
        </w:rPr>
        <w:t>See</w:t>
      </w:r>
      <w:r>
        <w:rPr>
          <w:spacing w:val="9"/>
          <w:sz w:val="20"/>
        </w:rPr>
        <w:t> </w:t>
      </w:r>
      <w:r>
        <w:rPr>
          <w:sz w:val="20"/>
        </w:rPr>
        <w:t>also</w:t>
      </w:r>
      <w:r>
        <w:rPr>
          <w:spacing w:val="9"/>
          <w:sz w:val="20"/>
        </w:rPr>
        <w:t> </w:t>
      </w:r>
      <w:r>
        <w:rPr>
          <w:rFonts w:ascii="Arial"/>
          <w:i/>
          <w:sz w:val="20"/>
        </w:rPr>
        <w:t>Centrax</w:t>
      </w:r>
      <w:r>
        <w:rPr>
          <w:rFonts w:ascii="Arial"/>
          <w:i/>
          <w:spacing w:val="9"/>
          <w:sz w:val="20"/>
        </w:rPr>
        <w:t> </w:t>
      </w:r>
      <w:r>
        <w:rPr>
          <w:rFonts w:ascii="Arial"/>
          <w:i/>
          <w:sz w:val="20"/>
        </w:rPr>
        <w:t>Ltd</w:t>
      </w:r>
      <w:r>
        <w:rPr>
          <w:rFonts w:ascii="Arial"/>
          <w:i/>
          <w:spacing w:val="9"/>
          <w:sz w:val="20"/>
        </w:rPr>
        <w:t> </w:t>
      </w:r>
      <w:r>
        <w:rPr>
          <w:rFonts w:ascii="Arial"/>
          <w:i/>
          <w:sz w:val="20"/>
        </w:rPr>
        <w:t>v</w:t>
      </w:r>
      <w:r>
        <w:rPr>
          <w:rFonts w:ascii="Arial"/>
          <w:i/>
          <w:spacing w:val="9"/>
          <w:sz w:val="20"/>
        </w:rPr>
        <w:t> </w:t>
      </w:r>
      <w:r>
        <w:rPr>
          <w:rFonts w:ascii="Arial"/>
          <w:i/>
          <w:sz w:val="20"/>
        </w:rPr>
        <w:t>Citibank</w:t>
      </w:r>
      <w:r>
        <w:rPr>
          <w:rFonts w:ascii="Arial"/>
          <w:i/>
          <w:spacing w:val="9"/>
          <w:sz w:val="20"/>
        </w:rPr>
        <w:t> </w:t>
      </w:r>
      <w:r>
        <w:rPr>
          <w:rFonts w:ascii="Arial"/>
          <w:i/>
          <w:sz w:val="20"/>
        </w:rPr>
        <w:t>NA</w:t>
      </w:r>
      <w:r>
        <w:rPr>
          <w:rFonts w:ascii="Arial"/>
          <w:i/>
          <w:spacing w:val="9"/>
          <w:sz w:val="20"/>
        </w:rPr>
        <w:t> </w:t>
      </w:r>
      <w:r>
        <w:rPr>
          <w:rFonts w:ascii="Arial"/>
          <w:i/>
          <w:sz w:val="20"/>
        </w:rPr>
        <w:t>[1999]</w:t>
      </w:r>
      <w:r>
        <w:rPr>
          <w:rFonts w:ascii="Arial"/>
          <w:i/>
          <w:spacing w:val="9"/>
          <w:sz w:val="20"/>
        </w:rPr>
        <w:t> </w:t>
      </w:r>
      <w:r>
        <w:rPr>
          <w:rFonts w:ascii="Arial"/>
          <w:i/>
          <w:sz w:val="20"/>
        </w:rPr>
        <w:t>1</w:t>
      </w:r>
      <w:r>
        <w:rPr>
          <w:rFonts w:ascii="Arial"/>
          <w:i/>
          <w:spacing w:val="9"/>
          <w:sz w:val="20"/>
        </w:rPr>
        <w:t> </w:t>
      </w:r>
      <w:r>
        <w:rPr>
          <w:rFonts w:ascii="Arial"/>
          <w:i/>
          <w:spacing w:val="-5"/>
          <w:sz w:val="20"/>
        </w:rPr>
        <w:t>All</w:t>
      </w:r>
    </w:p>
    <w:p>
      <w:pPr>
        <w:spacing w:line="227" w:lineRule="exact" w:before="0"/>
        <w:ind w:left="705" w:right="0" w:firstLine="0"/>
        <w:jc w:val="left"/>
        <w:rPr>
          <w:sz w:val="20"/>
        </w:rPr>
      </w:pPr>
      <w:r>
        <w:rPr>
          <w:rFonts w:ascii="Arial"/>
          <w:i/>
          <w:sz w:val="20"/>
        </w:rPr>
        <w:t>E.R.</w:t>
      </w:r>
      <w:r>
        <w:rPr>
          <w:rFonts w:ascii="Arial"/>
          <w:i/>
          <w:spacing w:val="-2"/>
          <w:sz w:val="20"/>
        </w:rPr>
        <w:t> </w:t>
      </w:r>
      <w:r>
        <w:rPr>
          <w:rFonts w:ascii="Arial"/>
          <w:i/>
          <w:sz w:val="20"/>
        </w:rPr>
        <w:t>(Comm) </w:t>
      </w:r>
      <w:r>
        <w:rPr>
          <w:rFonts w:ascii="Arial"/>
          <w:i/>
          <w:spacing w:val="-4"/>
          <w:sz w:val="20"/>
        </w:rPr>
        <w:t>557</w:t>
      </w:r>
      <w:r>
        <w:rPr>
          <w:spacing w:val="-4"/>
          <w:sz w:val="20"/>
        </w:rPr>
        <w:t>.</w:t>
      </w:r>
    </w:p>
    <w:p>
      <w:pPr>
        <w:pStyle w:val="BodyText"/>
        <w:spacing w:before="8"/>
      </w:pPr>
    </w:p>
    <w:p>
      <w:pPr>
        <w:spacing w:line="235" w:lineRule="auto" w:before="0"/>
        <w:ind w:left="705" w:right="168" w:hanging="541"/>
        <w:jc w:val="both"/>
        <w:rPr>
          <w:sz w:val="20"/>
        </w:rPr>
      </w:pPr>
      <w:bookmarkStart w:name="_bookmark168" w:id="170"/>
      <w:bookmarkEnd w:id="170"/>
      <w:r>
        <w:rPr/>
      </w:r>
      <w:hyperlink w:history="true" w:anchor="_bookmark87">
        <w:r>
          <w:rPr>
            <w:color w:val="005DA1"/>
            <w:position w:val="5"/>
            <w:sz w:val="14"/>
            <w:u w:val="single" w:color="005DA1"/>
          </w:rPr>
          <w:t>89</w:t>
        </w:r>
      </w:hyperlink>
      <w:r>
        <w:rPr>
          <w:position w:val="5"/>
          <w:sz w:val="14"/>
        </w:rPr>
        <w:t>.</w:t>
      </w:r>
      <w:r>
        <w:rPr>
          <w:spacing w:val="40"/>
          <w:position w:val="5"/>
          <w:sz w:val="14"/>
        </w:rPr>
        <w:t>  </w:t>
      </w:r>
      <w:r>
        <w:rPr>
          <w:rFonts w:ascii="Arial" w:hAnsi="Arial"/>
          <w:i/>
          <w:sz w:val="20"/>
        </w:rPr>
        <w:t>Libyan Arab Foreign Bank v Bankers Trust Co [1989] Q.B. 728</w:t>
      </w:r>
      <w:r>
        <w:rPr>
          <w:sz w:val="20"/>
        </w:rPr>
        <w:t>; </w:t>
      </w:r>
      <w:r>
        <w:rPr>
          <w:rFonts w:ascii="Arial" w:hAnsi="Arial"/>
          <w:i/>
          <w:sz w:val="20"/>
        </w:rPr>
        <w:t>Libyan Arab Foreign Bank v Manufacturers Hanover Trust Co [1988] 2 Lloyd’s Rep. 494</w:t>
      </w:r>
      <w:r>
        <w:rPr>
          <w:sz w:val="20"/>
        </w:rPr>
        <w:t>; and see </w:t>
      </w:r>
      <w:r>
        <w:rPr>
          <w:rFonts w:ascii="Arial" w:hAnsi="Arial"/>
          <w:i/>
          <w:sz w:val="20"/>
        </w:rPr>
        <w:t>Chamberlain v </w:t>
      </w:r>
      <w:r>
        <w:rPr>
          <w:rFonts w:ascii="Arial" w:hAnsi="Arial"/>
          <w:i/>
          <w:sz w:val="20"/>
        </w:rPr>
        <w:t>Napier (1880) 15 Ch. D. 614</w:t>
      </w:r>
      <w:r>
        <w:rPr>
          <w:sz w:val="20"/>
        </w:rPr>
        <w:t>; </w:t>
      </w:r>
      <w:r>
        <w:rPr>
          <w:rFonts w:ascii="Arial" w:hAnsi="Arial"/>
          <w:i/>
          <w:sz w:val="20"/>
        </w:rPr>
        <w:t>British South Africa Co v De Beers Consolidated Mines Ltd [1910] 1 Ch. 354, 383</w:t>
      </w:r>
      <w:r>
        <w:rPr>
          <w:sz w:val="20"/>
        </w:rPr>
        <w:t>; Lord MacDermott, dissenting, in </w:t>
      </w:r>
      <w:r>
        <w:rPr>
          <w:rFonts w:ascii="Arial" w:hAnsi="Arial"/>
          <w:i/>
          <w:sz w:val="20"/>
        </w:rPr>
        <w:t>Kahler v Midland Bank Ltd [1950] A.C. 24, 42</w:t>
      </w:r>
      <w:r>
        <w:rPr>
          <w:sz w:val="20"/>
        </w:rPr>
        <w:t>; </w:t>
      </w:r>
      <w:r>
        <w:rPr>
          <w:rFonts w:ascii="Arial" w:hAnsi="Arial"/>
          <w:i/>
          <w:sz w:val="20"/>
        </w:rPr>
        <w:t>Re Helbert Wagg &amp; Co Ltd’s Claim [1956] Ch. 323, 340</w:t>
      </w:r>
      <w:r>
        <w:rPr>
          <w:sz w:val="20"/>
        </w:rPr>
        <w:t>; </w:t>
      </w:r>
      <w:r>
        <w:rPr>
          <w:rFonts w:ascii="Arial" w:hAnsi="Arial"/>
          <w:i/>
          <w:sz w:val="20"/>
        </w:rPr>
        <w:t>Sayers v International Drilling Co NV [1971] 1 W.L.R. 1176, 1180-1181</w:t>
      </w:r>
      <w:r>
        <w:rPr>
          <w:sz w:val="20"/>
        </w:rPr>
        <w:t>; </w:t>
      </w:r>
      <w:r>
        <w:rPr>
          <w:rFonts w:ascii="Arial" w:hAnsi="Arial"/>
          <w:i/>
          <w:sz w:val="20"/>
        </w:rPr>
        <w:t>Centrax Ltd v Citibank NA [1999] 1 All E.R. (Comm) 557</w:t>
      </w:r>
      <w:r>
        <w:rPr>
          <w:sz w:val="20"/>
        </w:rPr>
        <w:t>.</w:t>
      </w:r>
    </w:p>
    <w:p>
      <w:pPr>
        <w:pStyle w:val="BodyText"/>
        <w:spacing w:before="8"/>
      </w:pPr>
    </w:p>
    <w:p>
      <w:pPr>
        <w:spacing w:line="235" w:lineRule="auto" w:before="0"/>
        <w:ind w:left="705" w:right="167" w:hanging="541"/>
        <w:jc w:val="both"/>
        <w:rPr>
          <w:sz w:val="20"/>
        </w:rPr>
      </w:pPr>
      <w:bookmarkStart w:name="_bookmark169" w:id="171"/>
      <w:bookmarkEnd w:id="171"/>
      <w:r>
        <w:rPr/>
      </w:r>
      <w:hyperlink w:history="true" w:anchor="_bookmark88">
        <w:r>
          <w:rPr>
            <w:color w:val="005DA1"/>
            <w:position w:val="5"/>
            <w:sz w:val="14"/>
            <w:u w:val="single" w:color="005DA1"/>
          </w:rPr>
          <w:t>90</w:t>
        </w:r>
      </w:hyperlink>
      <w:r>
        <w:rPr>
          <w:position w:val="5"/>
          <w:sz w:val="14"/>
        </w:rPr>
        <w:t>.</w:t>
      </w:r>
      <w:r>
        <w:rPr>
          <w:spacing w:val="80"/>
          <w:position w:val="5"/>
          <w:sz w:val="14"/>
        </w:rPr>
        <w:t>  </w:t>
      </w:r>
      <w:r>
        <w:rPr>
          <w:rFonts w:ascii="Arial"/>
          <w:i/>
          <w:sz w:val="20"/>
        </w:rPr>
        <w:t>Forsikringsaktieselskapet Vesta v Butcher [1988] 3 W.L.R. 565 (affirmed on different grounds [1989] A.C. 852)</w:t>
      </w:r>
      <w:r>
        <w:rPr>
          <w:sz w:val="20"/>
        </w:rPr>
        <w:t>. cf. </w:t>
      </w:r>
      <w:r>
        <w:rPr>
          <w:rFonts w:ascii="Arial"/>
          <w:i/>
          <w:sz w:val="20"/>
        </w:rPr>
        <w:t>Gan Insurance Co Ltd v Tai Ping Insurance Co Ltd [1999] 2 All </w:t>
      </w:r>
      <w:r>
        <w:rPr>
          <w:rFonts w:ascii="Arial"/>
          <w:i/>
          <w:sz w:val="20"/>
        </w:rPr>
        <w:t>E.R. (Comm) 54</w:t>
      </w:r>
      <w:r>
        <w:rPr>
          <w:sz w:val="20"/>
        </w:rPr>
        <w:t>; </w:t>
      </w:r>
      <w:r>
        <w:rPr>
          <w:rFonts w:ascii="Arial"/>
          <w:i/>
          <w:sz w:val="20"/>
        </w:rPr>
        <w:t>Lexington Insurance Co v AGF Insurance Ltd [2009] UKHL 40, [2010] 1 A.C. 180</w:t>
      </w:r>
      <w:r>
        <w:rPr>
          <w:sz w:val="20"/>
        </w:rPr>
        <w:t>.</w:t>
      </w:r>
    </w:p>
    <w:p>
      <w:pPr>
        <w:pStyle w:val="BodyText"/>
        <w:spacing w:before="9"/>
      </w:pPr>
    </w:p>
    <w:p>
      <w:pPr>
        <w:spacing w:line="235" w:lineRule="auto" w:before="0"/>
        <w:ind w:left="705" w:right="167" w:hanging="541"/>
        <w:jc w:val="both"/>
        <w:rPr>
          <w:sz w:val="20"/>
        </w:rPr>
      </w:pPr>
      <w:bookmarkStart w:name="_bookmark170" w:id="172"/>
      <w:bookmarkEnd w:id="172"/>
      <w:r>
        <w:rPr/>
      </w:r>
      <w:hyperlink w:history="true" w:anchor="_bookmark89">
        <w:r>
          <w:rPr>
            <w:color w:val="005DA1"/>
            <w:position w:val="5"/>
            <w:sz w:val="14"/>
            <w:u w:val="single" w:color="005DA1"/>
          </w:rPr>
          <w:t>91</w:t>
        </w:r>
      </w:hyperlink>
      <w:r>
        <w:rPr>
          <w:position w:val="5"/>
          <w:sz w:val="14"/>
        </w:rPr>
        <w:t>.</w:t>
      </w:r>
      <w:r>
        <w:rPr>
          <w:spacing w:val="80"/>
          <w:position w:val="5"/>
          <w:sz w:val="14"/>
        </w:rPr>
        <w:t>  </w:t>
      </w:r>
      <w:r>
        <w:rPr>
          <w:rFonts w:ascii="Arial" w:hAnsi="Arial"/>
          <w:i/>
          <w:sz w:val="20"/>
        </w:rPr>
        <w:t>Hamlyn &amp; Co v Talisker Distillery [1894] A.C. 202</w:t>
      </w:r>
      <w:r>
        <w:rPr>
          <w:sz w:val="20"/>
        </w:rPr>
        <w:t>; though see </w:t>
      </w:r>
      <w:r>
        <w:rPr>
          <w:rFonts w:ascii="Arial" w:hAnsi="Arial"/>
          <w:i/>
          <w:sz w:val="20"/>
        </w:rPr>
        <w:t>Armar Shipping Co Ltd v Caisse Algérienne d’Assurance [1981] 1 W.L.R. 207, 216</w:t>
      </w:r>
      <w:r>
        <w:rPr>
          <w:sz w:val="20"/>
        </w:rPr>
        <w:t>; </w:t>
      </w:r>
      <w:r>
        <w:rPr>
          <w:rFonts w:ascii="Arial" w:hAnsi="Arial"/>
          <w:i/>
          <w:sz w:val="20"/>
        </w:rPr>
        <w:t>XL Insurance Ltd v Owens Corning [2000] 2 Lloyd’s Rep. 500</w:t>
      </w:r>
      <w:r>
        <w:rPr>
          <w:sz w:val="20"/>
        </w:rPr>
        <w:t>. Under the Uniform Laws on International Sales Act 1967, the parties are permitted</w:t>
      </w:r>
      <w:r>
        <w:rPr>
          <w:spacing w:val="16"/>
          <w:sz w:val="20"/>
        </w:rPr>
        <w:t> </w:t>
      </w:r>
      <w:r>
        <w:rPr>
          <w:sz w:val="20"/>
        </w:rPr>
        <w:t>to</w:t>
      </w:r>
      <w:r>
        <w:rPr>
          <w:spacing w:val="18"/>
          <w:sz w:val="20"/>
        </w:rPr>
        <w:t> </w:t>
      </w:r>
      <w:r>
        <w:rPr>
          <w:sz w:val="20"/>
        </w:rPr>
        <w:t>choose</w:t>
      </w:r>
      <w:r>
        <w:rPr>
          <w:spacing w:val="18"/>
          <w:sz w:val="20"/>
        </w:rPr>
        <w:t> </w:t>
      </w:r>
      <w:r>
        <w:rPr>
          <w:sz w:val="20"/>
        </w:rPr>
        <w:t>the</w:t>
      </w:r>
      <w:r>
        <w:rPr>
          <w:spacing w:val="18"/>
          <w:sz w:val="20"/>
        </w:rPr>
        <w:t> </w:t>
      </w:r>
      <w:r>
        <w:rPr>
          <w:sz w:val="20"/>
        </w:rPr>
        <w:t>uniform</w:t>
      </w:r>
      <w:r>
        <w:rPr>
          <w:spacing w:val="18"/>
          <w:sz w:val="20"/>
        </w:rPr>
        <w:t> </w:t>
      </w:r>
      <w:r>
        <w:rPr>
          <w:sz w:val="20"/>
        </w:rPr>
        <w:t>law</w:t>
      </w:r>
      <w:r>
        <w:rPr>
          <w:spacing w:val="18"/>
          <w:sz w:val="20"/>
        </w:rPr>
        <w:t> </w:t>
      </w:r>
      <w:r>
        <w:rPr>
          <w:sz w:val="20"/>
        </w:rPr>
        <w:t>to</w:t>
      </w:r>
      <w:r>
        <w:rPr>
          <w:spacing w:val="18"/>
          <w:sz w:val="20"/>
        </w:rPr>
        <w:t> </w:t>
      </w:r>
      <w:r>
        <w:rPr>
          <w:sz w:val="20"/>
        </w:rPr>
        <w:t>govern</w:t>
      </w:r>
      <w:r>
        <w:rPr>
          <w:spacing w:val="18"/>
          <w:sz w:val="20"/>
        </w:rPr>
        <w:t> </w:t>
      </w:r>
      <w:r>
        <w:rPr>
          <w:sz w:val="20"/>
        </w:rPr>
        <w:t>those</w:t>
      </w:r>
      <w:r>
        <w:rPr>
          <w:spacing w:val="18"/>
          <w:sz w:val="20"/>
        </w:rPr>
        <w:t> </w:t>
      </w:r>
      <w:r>
        <w:rPr>
          <w:sz w:val="20"/>
        </w:rPr>
        <w:t>aspects</w:t>
      </w:r>
      <w:r>
        <w:rPr>
          <w:spacing w:val="18"/>
          <w:sz w:val="20"/>
        </w:rPr>
        <w:t> </w:t>
      </w:r>
      <w:r>
        <w:rPr>
          <w:sz w:val="20"/>
        </w:rPr>
        <w:t>of</w:t>
      </w:r>
      <w:r>
        <w:rPr>
          <w:spacing w:val="18"/>
          <w:sz w:val="20"/>
        </w:rPr>
        <w:t> </w:t>
      </w:r>
      <w:r>
        <w:rPr>
          <w:sz w:val="20"/>
        </w:rPr>
        <w:t>their</w:t>
      </w:r>
      <w:r>
        <w:rPr>
          <w:spacing w:val="18"/>
          <w:sz w:val="20"/>
        </w:rPr>
        <w:t> </w:t>
      </w:r>
      <w:r>
        <w:rPr>
          <w:sz w:val="20"/>
        </w:rPr>
        <w:t>contract</w:t>
      </w:r>
      <w:r>
        <w:rPr>
          <w:spacing w:val="18"/>
          <w:sz w:val="20"/>
        </w:rPr>
        <w:t> </w:t>
      </w:r>
      <w:r>
        <w:rPr>
          <w:sz w:val="20"/>
        </w:rPr>
        <w:t>covered</w:t>
      </w:r>
      <w:r>
        <w:rPr>
          <w:spacing w:val="18"/>
          <w:sz w:val="20"/>
        </w:rPr>
        <w:t> </w:t>
      </w:r>
      <w:r>
        <w:rPr>
          <w:sz w:val="20"/>
        </w:rPr>
        <w:t>by</w:t>
      </w:r>
      <w:r>
        <w:rPr>
          <w:spacing w:val="18"/>
          <w:sz w:val="20"/>
        </w:rPr>
        <w:t> </w:t>
      </w:r>
      <w:r>
        <w:rPr>
          <w:spacing w:val="-4"/>
          <w:sz w:val="20"/>
        </w:rPr>
        <w:t>that</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pPr>
      <w:r>
        <w:rPr/>
        <w:t>Act:</w:t>
      </w:r>
      <w:r>
        <w:rPr>
          <w:spacing w:val="40"/>
        </w:rPr>
        <w:t> </w:t>
      </w:r>
      <w:r>
        <w:rPr/>
        <w:t>Sch.1</w:t>
      </w:r>
      <w:r>
        <w:rPr>
          <w:spacing w:val="40"/>
        </w:rPr>
        <w:t> </w:t>
      </w:r>
      <w:r>
        <w:rPr/>
        <w:t>arts</w:t>
      </w:r>
      <w:r>
        <w:rPr>
          <w:spacing w:val="40"/>
        </w:rPr>
        <w:t> </w:t>
      </w:r>
      <w:r>
        <w:rPr/>
        <w:t>2</w:t>
      </w:r>
      <w:r>
        <w:rPr>
          <w:spacing w:val="40"/>
        </w:rPr>
        <w:t> </w:t>
      </w:r>
      <w:r>
        <w:rPr/>
        <w:t>and</w:t>
      </w:r>
      <w:r>
        <w:rPr>
          <w:spacing w:val="40"/>
        </w:rPr>
        <w:t> </w:t>
      </w:r>
      <w:r>
        <w:rPr/>
        <w:t>4.</w:t>
      </w:r>
      <w:r>
        <w:rPr>
          <w:spacing w:val="40"/>
        </w:rPr>
        <w:t> </w:t>
      </w:r>
      <w:r>
        <w:rPr/>
        <w:t>However,</w:t>
      </w:r>
      <w:r>
        <w:rPr>
          <w:spacing w:val="40"/>
        </w:rPr>
        <w:t> </w:t>
      </w:r>
      <w:r>
        <w:rPr/>
        <w:t>other</w:t>
      </w:r>
      <w:r>
        <w:rPr>
          <w:spacing w:val="40"/>
        </w:rPr>
        <w:t> </w:t>
      </w:r>
      <w:r>
        <w:rPr/>
        <w:t>aspects</w:t>
      </w:r>
      <w:r>
        <w:rPr>
          <w:spacing w:val="40"/>
        </w:rPr>
        <w:t> </w:t>
      </w:r>
      <w:r>
        <w:rPr/>
        <w:t>of</w:t>
      </w:r>
      <w:r>
        <w:rPr>
          <w:spacing w:val="40"/>
        </w:rPr>
        <w:t> </w:t>
      </w:r>
      <w:r>
        <w:rPr/>
        <w:t>their</w:t>
      </w:r>
      <w:r>
        <w:rPr>
          <w:spacing w:val="40"/>
        </w:rPr>
        <w:t> </w:t>
      </w:r>
      <w:r>
        <w:rPr/>
        <w:t>contract</w:t>
      </w:r>
      <w:r>
        <w:rPr>
          <w:spacing w:val="40"/>
        </w:rPr>
        <w:t> </w:t>
      </w:r>
      <w:r>
        <w:rPr/>
        <w:t>of</w:t>
      </w:r>
      <w:r>
        <w:rPr>
          <w:spacing w:val="40"/>
        </w:rPr>
        <w:t> </w:t>
      </w:r>
      <w:r>
        <w:rPr/>
        <w:t>sale</w:t>
      </w:r>
      <w:r>
        <w:rPr>
          <w:spacing w:val="40"/>
        </w:rPr>
        <w:t> </w:t>
      </w:r>
      <w:r>
        <w:rPr/>
        <w:t>of</w:t>
      </w:r>
      <w:r>
        <w:rPr>
          <w:spacing w:val="40"/>
        </w:rPr>
        <w:t> </w:t>
      </w:r>
      <w:r>
        <w:rPr/>
        <w:t>goods</w:t>
      </w:r>
      <w:r>
        <w:rPr>
          <w:spacing w:val="40"/>
        </w:rPr>
        <w:t> </w:t>
      </w:r>
      <w:r>
        <w:rPr/>
        <w:t>will</w:t>
      </w:r>
      <w:r>
        <w:rPr>
          <w:spacing w:val="40"/>
        </w:rPr>
        <w:t> </w:t>
      </w:r>
      <w:r>
        <w:rPr/>
        <w:t>be governed by the normal choice of law rules of the conflict of laws.</w:t>
      </w:r>
    </w:p>
    <w:p>
      <w:pPr>
        <w:pStyle w:val="BodyText"/>
        <w:spacing w:before="6"/>
      </w:pPr>
    </w:p>
    <w:p>
      <w:pPr>
        <w:tabs>
          <w:tab w:pos="705" w:val="left" w:leader="none"/>
        </w:tabs>
        <w:spacing w:before="0"/>
        <w:ind w:left="165" w:right="0" w:firstLine="0"/>
        <w:jc w:val="left"/>
        <w:rPr>
          <w:sz w:val="20"/>
        </w:rPr>
      </w:pPr>
      <w:bookmarkStart w:name="_bookmark171" w:id="173"/>
      <w:bookmarkEnd w:id="173"/>
      <w:r>
        <w:rPr/>
      </w:r>
      <w:hyperlink w:history="true" w:anchor="_bookmark90">
        <w:r>
          <w:rPr>
            <w:color w:val="005DA1"/>
            <w:spacing w:val="-5"/>
            <w:position w:val="5"/>
            <w:sz w:val="14"/>
            <w:u w:val="single" w:color="005DA1"/>
          </w:rPr>
          <w:t>92</w:t>
        </w:r>
      </w:hyperlink>
      <w:r>
        <w:rPr>
          <w:spacing w:val="-5"/>
          <w:position w:val="5"/>
          <w:sz w:val="14"/>
        </w:rPr>
        <w:t>.</w:t>
      </w:r>
      <w:r>
        <w:rPr>
          <w:position w:val="5"/>
          <w:sz w:val="14"/>
        </w:rPr>
        <w:tab/>
      </w:r>
      <w:r>
        <w:rPr>
          <w:rFonts w:ascii="Arial"/>
          <w:i/>
          <w:sz w:val="20"/>
        </w:rPr>
        <w:t>Zivnostenska Banka v Frankman [1950] A.C. 57, </w:t>
      </w:r>
      <w:r>
        <w:rPr>
          <w:rFonts w:ascii="Arial"/>
          <w:i/>
          <w:spacing w:val="-5"/>
          <w:sz w:val="20"/>
        </w:rPr>
        <w:t>83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72" w:id="174"/>
      <w:bookmarkEnd w:id="174"/>
      <w:r>
        <w:rPr/>
      </w:r>
      <w:hyperlink w:history="true" w:anchor="_bookmark91">
        <w:r>
          <w:rPr>
            <w:color w:val="005DA1"/>
            <w:spacing w:val="-5"/>
            <w:position w:val="5"/>
            <w:sz w:val="14"/>
            <w:u w:val="single" w:color="005DA1"/>
          </w:rPr>
          <w:t>93</w:t>
        </w:r>
      </w:hyperlink>
      <w:r>
        <w:rPr>
          <w:spacing w:val="-5"/>
          <w:position w:val="5"/>
          <w:sz w:val="14"/>
        </w:rPr>
        <w:t>.</w:t>
      </w:r>
      <w:r>
        <w:rPr>
          <w:position w:val="5"/>
          <w:sz w:val="14"/>
        </w:rPr>
        <w:tab/>
      </w:r>
      <w:r>
        <w:rPr>
          <w:rFonts w:ascii="Arial" w:hAnsi="Arial"/>
          <w:i/>
          <w:sz w:val="20"/>
        </w:rPr>
        <w:t>Re Helbert Wagg &amp; Co Ltd’s Claim [1956] Ch. 323, </w:t>
      </w:r>
      <w:r>
        <w:rPr>
          <w:rFonts w:ascii="Arial" w:hAnsi="Arial"/>
          <w:i/>
          <w:spacing w:val="-4"/>
          <w:sz w:val="20"/>
        </w:rPr>
        <w:t>340</w:t>
      </w:r>
      <w:r>
        <w:rPr>
          <w:spacing w:val="-4"/>
          <w:sz w:val="20"/>
        </w:rPr>
        <w:t>.</w:t>
      </w:r>
    </w:p>
    <w:p>
      <w:pPr>
        <w:pStyle w:val="BodyText"/>
        <w:spacing w:before="5"/>
      </w:pPr>
    </w:p>
    <w:p>
      <w:pPr>
        <w:pStyle w:val="BodyText"/>
        <w:tabs>
          <w:tab w:pos="705" w:val="left" w:leader="none"/>
        </w:tabs>
        <w:ind w:left="165"/>
      </w:pPr>
      <w:bookmarkStart w:name="_bookmark173" w:id="175"/>
      <w:bookmarkEnd w:id="175"/>
      <w:r>
        <w:rPr/>
      </w:r>
      <w:hyperlink w:history="true" w:anchor="_bookmark92">
        <w:r>
          <w:rPr>
            <w:color w:val="005DA1"/>
            <w:spacing w:val="-5"/>
            <w:position w:val="5"/>
            <w:sz w:val="14"/>
            <w:u w:val="single" w:color="005DA1"/>
          </w:rPr>
          <w:t>94</w:t>
        </w:r>
      </w:hyperlink>
      <w:r>
        <w:rPr>
          <w:spacing w:val="-5"/>
          <w:position w:val="5"/>
          <w:sz w:val="14"/>
        </w:rPr>
        <w:t>.</w:t>
      </w:r>
      <w:r>
        <w:rPr>
          <w:position w:val="5"/>
          <w:sz w:val="14"/>
        </w:rPr>
        <w:tab/>
      </w:r>
      <w:r>
        <w:rPr/>
        <w:t>Dicey, Morris and Collins, 15th edn (2012), Ch.4; Cheshire, North and Fawcett, </w:t>
      </w:r>
      <w:r>
        <w:rPr>
          <w:spacing w:val="-2"/>
        </w:rPr>
        <w:t>Ch.5.</w:t>
      </w:r>
    </w:p>
    <w:p>
      <w:pPr>
        <w:pStyle w:val="BodyText"/>
        <w:spacing w:before="8"/>
      </w:pPr>
    </w:p>
    <w:p>
      <w:pPr>
        <w:spacing w:line="235" w:lineRule="auto" w:before="1"/>
        <w:ind w:left="705" w:right="168" w:hanging="541"/>
        <w:jc w:val="both"/>
        <w:rPr>
          <w:rFonts w:ascii="Arial" w:hAnsi="Arial"/>
          <w:i/>
          <w:sz w:val="20"/>
        </w:rPr>
      </w:pPr>
      <w:bookmarkStart w:name="_bookmark174" w:id="176"/>
      <w:bookmarkEnd w:id="176"/>
      <w:r>
        <w:rPr/>
      </w:r>
      <w:hyperlink w:history="true" w:anchor="_bookmark92">
        <w:r>
          <w:rPr>
            <w:color w:val="005DA1"/>
            <w:position w:val="5"/>
            <w:sz w:val="14"/>
            <w:u w:val="single" w:color="005DA1"/>
          </w:rPr>
          <w:t>95</w:t>
        </w:r>
      </w:hyperlink>
      <w:r>
        <w:rPr>
          <w:position w:val="5"/>
          <w:sz w:val="14"/>
        </w:rPr>
        <w:t>.</w:t>
      </w:r>
      <w:r>
        <w:rPr>
          <w:spacing w:val="40"/>
          <w:position w:val="5"/>
          <w:sz w:val="14"/>
        </w:rPr>
        <w:t>  </w:t>
      </w:r>
      <w:r>
        <w:rPr>
          <w:rFonts w:ascii="Arial" w:hAnsi="Arial"/>
          <w:i/>
          <w:sz w:val="20"/>
        </w:rPr>
        <w:t>Amin Rasheed Shipping Corp v Kuwait Insurance Co [1984] A.C. 50, 61-62</w:t>
      </w:r>
      <w:r>
        <w:rPr>
          <w:sz w:val="20"/>
        </w:rPr>
        <w:t>; </w:t>
      </w:r>
      <w:r>
        <w:rPr>
          <w:rFonts w:ascii="Arial" w:hAnsi="Arial"/>
          <w:i/>
          <w:sz w:val="20"/>
        </w:rPr>
        <w:t>E.I. du Pont </w:t>
      </w:r>
      <w:r>
        <w:rPr>
          <w:rFonts w:ascii="Arial" w:hAnsi="Arial"/>
          <w:i/>
          <w:sz w:val="20"/>
        </w:rPr>
        <w:t>de Nemours v Agnew [1987] 2 Lloyd’s Rep. 582, 592</w:t>
      </w:r>
      <w:r>
        <w:rPr>
          <w:sz w:val="20"/>
        </w:rPr>
        <w:t>. See also </w:t>
      </w:r>
      <w:r>
        <w:rPr>
          <w:rFonts w:ascii="Arial" w:hAnsi="Arial"/>
          <w:i/>
          <w:sz w:val="20"/>
        </w:rPr>
        <w:t>Macmillan Inc v Bishopsgate Investment Trust Plc (No.3) [1995] 1 W.L.R. 987, 1008 </w:t>
      </w:r>
      <w:r>
        <w:rPr>
          <w:sz w:val="20"/>
        </w:rPr>
        <w:t>(Millett J.) affirmed on other grounds, </w:t>
      </w:r>
      <w:r>
        <w:rPr>
          <w:rFonts w:ascii="Arial" w:hAnsi="Arial"/>
          <w:i/>
          <w:sz w:val="20"/>
        </w:rPr>
        <w:t>[1996] 1 W.L.R. 387</w:t>
      </w:r>
      <w:r>
        <w:rPr>
          <w:sz w:val="20"/>
        </w:rPr>
        <w:t>, see especially Staughton L.J., at 405; </w:t>
      </w:r>
      <w:r>
        <w:rPr>
          <w:rFonts w:ascii="Arial" w:hAnsi="Arial"/>
          <w:i/>
          <w:sz w:val="20"/>
        </w:rPr>
        <w:t>Musawi v RE International (UK) Ltd [2007]</w:t>
      </w:r>
      <w:r>
        <w:rPr>
          <w:rFonts w:ascii="Arial" w:hAnsi="Arial"/>
          <w:i/>
          <w:spacing w:val="18"/>
          <w:sz w:val="20"/>
        </w:rPr>
        <w:t> </w:t>
      </w:r>
      <w:r>
        <w:rPr>
          <w:rFonts w:ascii="Arial" w:hAnsi="Arial"/>
          <w:i/>
          <w:sz w:val="20"/>
        </w:rPr>
        <w:t>EWHC</w:t>
      </w:r>
      <w:r>
        <w:rPr>
          <w:rFonts w:ascii="Arial" w:hAnsi="Arial"/>
          <w:i/>
          <w:spacing w:val="19"/>
          <w:sz w:val="20"/>
        </w:rPr>
        <w:t> </w:t>
      </w:r>
      <w:r>
        <w:rPr>
          <w:rFonts w:ascii="Arial" w:hAnsi="Arial"/>
          <w:i/>
          <w:sz w:val="20"/>
        </w:rPr>
        <w:t>2981</w:t>
      </w:r>
      <w:r>
        <w:rPr>
          <w:rFonts w:ascii="Arial" w:hAnsi="Arial"/>
          <w:i/>
          <w:spacing w:val="19"/>
          <w:sz w:val="20"/>
        </w:rPr>
        <w:t> </w:t>
      </w:r>
      <w:r>
        <w:rPr>
          <w:rFonts w:ascii="Arial" w:hAnsi="Arial"/>
          <w:i/>
          <w:sz w:val="20"/>
        </w:rPr>
        <w:t>(Ch),</w:t>
      </w:r>
      <w:r>
        <w:rPr>
          <w:rFonts w:ascii="Arial" w:hAnsi="Arial"/>
          <w:i/>
          <w:spacing w:val="19"/>
          <w:sz w:val="20"/>
        </w:rPr>
        <w:t> </w:t>
      </w:r>
      <w:r>
        <w:rPr>
          <w:rFonts w:ascii="Arial" w:hAnsi="Arial"/>
          <w:i/>
          <w:sz w:val="20"/>
        </w:rPr>
        <w:t>[2008]</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Lloyd’s</w:t>
      </w:r>
      <w:r>
        <w:rPr>
          <w:rFonts w:ascii="Arial" w:hAnsi="Arial"/>
          <w:i/>
          <w:spacing w:val="19"/>
          <w:sz w:val="20"/>
        </w:rPr>
        <w:t> </w:t>
      </w:r>
      <w:r>
        <w:rPr>
          <w:rFonts w:ascii="Arial" w:hAnsi="Arial"/>
          <w:i/>
          <w:sz w:val="20"/>
        </w:rPr>
        <w:t>Rep.</w:t>
      </w:r>
      <w:r>
        <w:rPr>
          <w:rFonts w:ascii="Arial" w:hAnsi="Arial"/>
          <w:i/>
          <w:spacing w:val="19"/>
          <w:sz w:val="20"/>
        </w:rPr>
        <w:t> </w:t>
      </w:r>
      <w:r>
        <w:rPr>
          <w:rFonts w:ascii="Arial" w:hAnsi="Arial"/>
          <w:i/>
          <w:sz w:val="20"/>
        </w:rPr>
        <w:t>326</w:t>
      </w:r>
      <w:r>
        <w:rPr>
          <w:sz w:val="20"/>
        </w:rPr>
        <w:t>;</w:t>
      </w:r>
      <w:r>
        <w:rPr>
          <w:spacing w:val="19"/>
          <w:sz w:val="20"/>
        </w:rPr>
        <w:t> </w:t>
      </w:r>
      <w:r>
        <w:rPr>
          <w:rFonts w:ascii="Arial" w:hAnsi="Arial"/>
          <w:i/>
          <w:sz w:val="20"/>
        </w:rPr>
        <w:t>Dornoch</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Westminster</w:t>
      </w:r>
      <w:r>
        <w:rPr>
          <w:rFonts w:ascii="Arial" w:hAnsi="Arial"/>
          <w:i/>
          <w:spacing w:val="19"/>
          <w:sz w:val="20"/>
        </w:rPr>
        <w:t> </w:t>
      </w:r>
      <w:r>
        <w:rPr>
          <w:rFonts w:ascii="Arial" w:hAnsi="Arial"/>
          <w:i/>
          <w:spacing w:val="-2"/>
          <w:sz w:val="20"/>
        </w:rPr>
        <w:t>International</w:t>
      </w:r>
    </w:p>
    <w:p>
      <w:pPr>
        <w:spacing w:line="235" w:lineRule="auto" w:before="0"/>
        <w:ind w:left="705" w:right="168" w:firstLine="0"/>
        <w:jc w:val="both"/>
        <w:rPr>
          <w:sz w:val="20"/>
        </w:rPr>
      </w:pPr>
      <w:r>
        <w:rPr>
          <w:rFonts w:ascii="Arial" w:hAnsi="Arial"/>
          <w:i/>
          <w:sz w:val="20"/>
        </w:rPr>
        <w:t>BV [2009] EWHC 889 (Admlty), [2009] 2 Lloyd’s Rep. 191</w:t>
      </w:r>
      <w:r>
        <w:rPr>
          <w:sz w:val="20"/>
        </w:rPr>
        <w:t>; cf. </w:t>
      </w:r>
      <w:r>
        <w:rPr>
          <w:rFonts w:ascii="Arial" w:hAnsi="Arial"/>
          <w:i/>
          <w:sz w:val="20"/>
        </w:rPr>
        <w:t>Glencore International AG </w:t>
      </w:r>
      <w:r>
        <w:rPr>
          <w:rFonts w:ascii="Arial" w:hAnsi="Arial"/>
          <w:i/>
          <w:sz w:val="20"/>
        </w:rPr>
        <w:t>v Metro</w:t>
      </w:r>
      <w:r>
        <w:rPr>
          <w:rFonts w:ascii="Arial" w:hAnsi="Arial"/>
          <w:i/>
          <w:spacing w:val="39"/>
          <w:sz w:val="20"/>
        </w:rPr>
        <w:t> </w:t>
      </w:r>
      <w:r>
        <w:rPr>
          <w:rFonts w:ascii="Arial" w:hAnsi="Arial"/>
          <w:i/>
          <w:sz w:val="20"/>
        </w:rPr>
        <w:t>Trading</w:t>
      </w:r>
      <w:r>
        <w:rPr>
          <w:rFonts w:ascii="Arial" w:hAnsi="Arial"/>
          <w:i/>
          <w:spacing w:val="39"/>
          <w:sz w:val="20"/>
        </w:rPr>
        <w:t> </w:t>
      </w:r>
      <w:r>
        <w:rPr>
          <w:rFonts w:ascii="Arial" w:hAnsi="Arial"/>
          <w:i/>
          <w:sz w:val="20"/>
        </w:rPr>
        <w:t>International</w:t>
      </w:r>
      <w:r>
        <w:rPr>
          <w:rFonts w:ascii="Arial" w:hAnsi="Arial"/>
          <w:i/>
          <w:spacing w:val="39"/>
          <w:sz w:val="20"/>
        </w:rPr>
        <w:t> </w:t>
      </w:r>
      <w:r>
        <w:rPr>
          <w:rFonts w:ascii="Arial" w:hAnsi="Arial"/>
          <w:i/>
          <w:sz w:val="20"/>
        </w:rPr>
        <w:t>Inc</w:t>
      </w:r>
      <w:r>
        <w:rPr>
          <w:rFonts w:ascii="Arial" w:hAnsi="Arial"/>
          <w:i/>
          <w:spacing w:val="39"/>
          <w:sz w:val="20"/>
        </w:rPr>
        <w:t> </w:t>
      </w:r>
      <w:r>
        <w:rPr>
          <w:rFonts w:ascii="Arial" w:hAnsi="Arial"/>
          <w:i/>
          <w:sz w:val="20"/>
        </w:rPr>
        <w:t>[2001]</w:t>
      </w:r>
      <w:r>
        <w:rPr>
          <w:rFonts w:ascii="Arial" w:hAnsi="Arial"/>
          <w:i/>
          <w:spacing w:val="39"/>
          <w:sz w:val="20"/>
        </w:rPr>
        <w:t> </w:t>
      </w:r>
      <w:r>
        <w:rPr>
          <w:rFonts w:ascii="Arial" w:hAnsi="Arial"/>
          <w:i/>
          <w:sz w:val="20"/>
        </w:rPr>
        <w:t>1</w:t>
      </w:r>
      <w:r>
        <w:rPr>
          <w:rFonts w:ascii="Arial" w:hAnsi="Arial"/>
          <w:i/>
          <w:spacing w:val="39"/>
          <w:sz w:val="20"/>
        </w:rPr>
        <w:t> </w:t>
      </w:r>
      <w:r>
        <w:rPr>
          <w:rFonts w:ascii="Arial" w:hAnsi="Arial"/>
          <w:i/>
          <w:sz w:val="20"/>
        </w:rPr>
        <w:t>Lloyd’s</w:t>
      </w:r>
      <w:r>
        <w:rPr>
          <w:rFonts w:ascii="Arial" w:hAnsi="Arial"/>
          <w:i/>
          <w:spacing w:val="39"/>
          <w:sz w:val="20"/>
        </w:rPr>
        <w:t> </w:t>
      </w:r>
      <w:r>
        <w:rPr>
          <w:rFonts w:ascii="Arial" w:hAnsi="Arial"/>
          <w:i/>
          <w:sz w:val="20"/>
        </w:rPr>
        <w:t>Rep.</w:t>
      </w:r>
      <w:r>
        <w:rPr>
          <w:rFonts w:ascii="Arial" w:hAnsi="Arial"/>
          <w:i/>
          <w:spacing w:val="39"/>
          <w:sz w:val="20"/>
        </w:rPr>
        <w:t> </w:t>
      </w:r>
      <w:r>
        <w:rPr>
          <w:rFonts w:ascii="Arial" w:hAnsi="Arial"/>
          <w:i/>
          <w:sz w:val="20"/>
        </w:rPr>
        <w:t>284,</w:t>
      </w:r>
      <w:r>
        <w:rPr>
          <w:rFonts w:ascii="Arial" w:hAnsi="Arial"/>
          <w:i/>
          <w:spacing w:val="39"/>
          <w:sz w:val="20"/>
        </w:rPr>
        <w:t> </w:t>
      </w:r>
      <w:r>
        <w:rPr>
          <w:rFonts w:ascii="Arial" w:hAnsi="Arial"/>
          <w:i/>
          <w:sz w:val="20"/>
        </w:rPr>
        <w:t>296-297</w:t>
      </w:r>
      <w:r>
        <w:rPr>
          <w:sz w:val="20"/>
        </w:rPr>
        <w:t>.</w:t>
      </w:r>
      <w:r>
        <w:rPr>
          <w:spacing w:val="39"/>
          <w:sz w:val="20"/>
        </w:rPr>
        <w:t> </w:t>
      </w:r>
      <w:r>
        <w:rPr>
          <w:sz w:val="20"/>
        </w:rPr>
        <w:t>And</w:t>
      </w:r>
      <w:r>
        <w:rPr>
          <w:spacing w:val="39"/>
          <w:sz w:val="20"/>
        </w:rPr>
        <w:t> </w:t>
      </w:r>
      <w:r>
        <w:rPr>
          <w:sz w:val="20"/>
        </w:rPr>
        <w:t>see</w:t>
      </w:r>
      <w:r>
        <w:rPr>
          <w:spacing w:val="39"/>
          <w:sz w:val="20"/>
        </w:rPr>
        <w:t> </w:t>
      </w:r>
      <w:r>
        <w:rPr>
          <w:sz w:val="20"/>
        </w:rPr>
        <w:t>below,</w:t>
      </w:r>
      <w:r>
        <w:rPr>
          <w:spacing w:val="39"/>
          <w:sz w:val="20"/>
        </w:rPr>
        <w:t> </w:t>
      </w:r>
      <w:r>
        <w:rPr>
          <w:sz w:val="20"/>
        </w:rPr>
        <w:t>paras 30-027, 30-145.</w:t>
      </w:r>
    </w:p>
    <w:p>
      <w:pPr>
        <w:pStyle w:val="BodyText"/>
        <w:spacing w:before="190"/>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position w:val="11"/>
          <w:sz w:val="12"/>
        </w:rPr>
      </w:pPr>
      <w:r>
        <w:rPr>
          <w:rFonts w:ascii="Arial"/>
          <w:b/>
          <w:sz w:val="24"/>
        </w:rPr>
        <w:t>Section 3. - The Rome Convention </w:t>
      </w:r>
      <w:r>
        <w:rPr>
          <w:rFonts w:ascii="Arial"/>
          <w:b/>
          <w:color w:val="005DA1"/>
          <w:spacing w:val="-5"/>
          <w:position w:val="11"/>
          <w:sz w:val="12"/>
          <w:u w:val="single" w:color="005DA1"/>
        </w:rPr>
        <w:t>96</w:t>
      </w:r>
    </w:p>
    <w:p>
      <w:pPr>
        <w:spacing w:before="194"/>
        <w:ind w:left="3831" w:right="0" w:firstLine="0"/>
        <w:jc w:val="left"/>
        <w:rPr>
          <w:rFonts w:ascii="Arial"/>
          <w:b/>
          <w:sz w:val="24"/>
        </w:rPr>
      </w:pPr>
      <w:r>
        <w:rPr>
          <w:rFonts w:ascii="Arial"/>
          <w:b/>
          <w:sz w:val="24"/>
        </w:rPr>
        <w:t>(a) - In </w:t>
      </w:r>
      <w:r>
        <w:rPr>
          <w:rFonts w:ascii="Arial"/>
          <w:b/>
          <w:spacing w:val="-2"/>
          <w:sz w:val="24"/>
        </w:rPr>
        <w:t>General</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bookmarkStart w:name="_bookmark175" w:id="177"/>
      <w:bookmarkEnd w:id="177"/>
      <w:r>
        <w:rPr/>
      </w:r>
      <w:r>
        <w:rPr>
          <w:rFonts w:ascii="Arial"/>
          <w:b/>
          <w:sz w:val="18"/>
        </w:rPr>
        <w:t>History and purpose </w:t>
      </w:r>
      <w:r>
        <w:rPr>
          <w:rFonts w:ascii="Arial"/>
          <w:b/>
          <w:color w:val="005DA1"/>
          <w:spacing w:val="-5"/>
          <w:sz w:val="18"/>
          <w:u w:val="single" w:color="005DA1"/>
          <w:vertAlign w:val="superscript"/>
        </w:rPr>
        <w:t>97</w:t>
      </w:r>
    </w:p>
    <w:p>
      <w:pPr>
        <w:pStyle w:val="BodyText"/>
        <w:spacing w:before="42"/>
        <w:rPr>
          <w:rFonts w:ascii="Arial"/>
          <w:b/>
          <w:sz w:val="18"/>
        </w:rPr>
      </w:pPr>
    </w:p>
    <w:p>
      <w:pPr>
        <w:pStyle w:val="Heading2"/>
      </w:pPr>
      <w:r>
        <w:rPr/>
        <w:t>30-</w:t>
      </w:r>
      <w:r>
        <w:rPr>
          <w:spacing w:val="-5"/>
        </w:rPr>
        <w:t>017</w:t>
      </w:r>
    </w:p>
    <w:p>
      <w:pPr>
        <w:pStyle w:val="BodyText"/>
        <w:spacing w:line="235" w:lineRule="auto" w:before="202"/>
        <w:ind w:left="165" w:right="167"/>
        <w:jc w:val="both"/>
      </w:pPr>
      <w:r>
        <w:rPr/>
        <w:t>In 1980 the then Member States of the European Community concluded a Convention on the </w:t>
      </w:r>
      <w:r>
        <w:rPr/>
        <w:t>Law Applicable to Contractual Obligations. This Convention (which is known as the Rome Convention)</w:t>
      </w:r>
      <w:r>
        <w:rPr>
          <w:spacing w:val="40"/>
        </w:rPr>
        <w:t> </w:t>
      </w:r>
      <w:bookmarkStart w:name="_bookmark176" w:id="178"/>
      <w:bookmarkEnd w:id="178"/>
      <w:r>
        <w:rPr/>
        <w:t>was</w:t>
      </w:r>
      <w:r>
        <w:rPr/>
        <w:t> ratified by the United Kingdom in 1991 and was implemented in United Kingdom law in the </w:t>
      </w:r>
      <w:bookmarkStart w:name="_bookmark177" w:id="179"/>
      <w:bookmarkEnd w:id="179"/>
      <w:r>
        <w:rPr/>
        <w:t>Contracts</w:t>
      </w:r>
      <w:r>
        <w:rPr/>
        <w:t> (Applicable Law) Act 1990. </w:t>
      </w:r>
      <w:r>
        <w:rPr>
          <w:color w:val="005DA1"/>
          <w:u w:val="single" w:color="005DA1"/>
          <w:vertAlign w:val="superscript"/>
        </w:rPr>
        <w:t>98</w:t>
      </w:r>
      <w:r>
        <w:rPr>
          <w:color w:val="005DA1"/>
          <w:vertAlign w:val="baseline"/>
        </w:rPr>
        <w:t> </w:t>
      </w:r>
      <w:r>
        <w:rPr>
          <w:vertAlign w:val="baseline"/>
        </w:rPr>
        <w:t>The provisions of the 1990 Act which give the force of law in the United Kingdom to the Rome Convention, </w:t>
      </w:r>
      <w:r>
        <w:rPr>
          <w:color w:val="005DA1"/>
          <w:u w:val="single" w:color="005DA1"/>
          <w:vertAlign w:val="superscript"/>
        </w:rPr>
        <w:t>99</w:t>
      </w:r>
      <w:r>
        <w:rPr>
          <w:color w:val="005DA1"/>
          <w:vertAlign w:val="baseline"/>
        </w:rPr>
        <w:t> </w:t>
      </w:r>
      <w:r>
        <w:rPr>
          <w:vertAlign w:val="baseline"/>
        </w:rPr>
        <w:t>entered into force on April 1, 1991. </w:t>
      </w:r>
      <w:r>
        <w:rPr>
          <w:color w:val="005DA1"/>
          <w:u w:val="single" w:color="005DA1"/>
          <w:vertAlign w:val="superscript"/>
        </w:rPr>
        <w:t>100</w:t>
      </w:r>
      <w:r>
        <w:rPr>
          <w:color w:val="005DA1"/>
          <w:vertAlign w:val="baseline"/>
        </w:rPr>
        <w:t> </w:t>
      </w:r>
      <w:r>
        <w:rPr>
          <w:vertAlign w:val="baseline"/>
        </w:rPr>
        <w:t>Consequently </w:t>
      </w:r>
      <w:bookmarkStart w:name="_bookmark178" w:id="180"/>
      <w:bookmarkEnd w:id="180"/>
      <w:r>
        <w:rPr>
          <w:vertAlign w:val="baseline"/>
        </w:rPr>
        <w:t>the</w:t>
      </w:r>
      <w:r>
        <w:rPr>
          <w:vertAlign w:val="baseline"/>
        </w:rPr>
        <w:t> rules of the Convention will apply to contracts falling within its scope which are entered into after </w:t>
      </w:r>
      <w:bookmarkStart w:name="_bookmark179" w:id="181"/>
      <w:bookmarkEnd w:id="181"/>
      <w:r>
        <w:rPr>
          <w:vertAlign w:val="baseline"/>
        </w:rPr>
        <w:t>that</w:t>
      </w:r>
      <w:r>
        <w:rPr>
          <w:vertAlign w:val="baseline"/>
        </w:rPr>
        <w:t> date </w:t>
      </w:r>
      <w:r>
        <w:rPr>
          <w:color w:val="005DA1"/>
          <w:u w:val="single" w:color="005DA1"/>
          <w:vertAlign w:val="superscript"/>
        </w:rPr>
        <w:t>101</w:t>
      </w:r>
      <w:r>
        <w:rPr>
          <w:color w:val="005DA1"/>
          <w:vertAlign w:val="baseline"/>
        </w:rPr>
        <w:t> </w:t>
      </w:r>
      <w:r>
        <w:rPr>
          <w:vertAlign w:val="baseline"/>
        </w:rPr>
        <w:t>but before December 17, 2009, the date on which the Rome I Regulation entered into force. </w:t>
      </w:r>
      <w:r>
        <w:rPr>
          <w:color w:val="005DA1"/>
          <w:u w:val="single" w:color="005DA1"/>
          <w:vertAlign w:val="superscript"/>
        </w:rPr>
        <w:t>102</w:t>
      </w:r>
      <w:r>
        <w:rPr>
          <w:color w:val="005DA1"/>
          <w:vertAlign w:val="baseline"/>
        </w:rPr>
        <w:t> </w:t>
      </w:r>
      <w:r>
        <w:rPr>
          <w:vertAlign w:val="baseline"/>
        </w:rPr>
        <w:t>Schedule 3 to the Act sets out the text of the Brussels Protocol which enables questions </w:t>
      </w:r>
      <w:bookmarkStart w:name="_bookmark180" w:id="182"/>
      <w:bookmarkEnd w:id="182"/>
      <w:r>
        <w:rPr>
          <w:vertAlign w:val="baseline"/>
        </w:rPr>
        <w:t>concerning</w:t>
      </w:r>
      <w:r>
        <w:rPr>
          <w:vertAlign w:val="baseline"/>
        </w:rPr>
        <w:t> the interpretation of the Rome Convention to be referred to the Court of Justice of the </w:t>
      </w:r>
      <w:bookmarkStart w:name="_bookmark181" w:id="183"/>
      <w:bookmarkEnd w:id="183"/>
      <w:r>
        <w:rPr>
          <w:vertAlign w:val="baseline"/>
        </w:rPr>
        <w:t>European</w:t>
      </w:r>
      <w:r>
        <w:rPr>
          <w:vertAlign w:val="baseline"/>
        </w:rPr>
        <w:t> Union (hereafter the “European Court”). </w:t>
      </w:r>
      <w:r>
        <w:rPr>
          <w:color w:val="005DA1"/>
          <w:u w:val="single" w:color="005DA1"/>
          <w:vertAlign w:val="superscript"/>
        </w:rPr>
        <w:t>103</w:t>
      </w:r>
      <w:r>
        <w:rPr>
          <w:color w:val="005DA1"/>
          <w:vertAlign w:val="baseline"/>
        </w:rPr>
        <w:t> </w:t>
      </w:r>
      <w:r>
        <w:rPr>
          <w:vertAlign w:val="baseline"/>
        </w:rPr>
        <w:t>Although the United Kingdom ratified the Brussels</w:t>
      </w:r>
      <w:r>
        <w:rPr>
          <w:spacing w:val="-1"/>
          <w:vertAlign w:val="baseline"/>
        </w:rPr>
        <w:t> </w:t>
      </w:r>
      <w:r>
        <w:rPr>
          <w:vertAlign w:val="baseline"/>
        </w:rPr>
        <w:t>Protocol</w:t>
      </w:r>
      <w:r>
        <w:rPr>
          <w:spacing w:val="-1"/>
          <w:vertAlign w:val="baseline"/>
        </w:rPr>
        <w:t> </w:t>
      </w:r>
      <w:r>
        <w:rPr>
          <w:vertAlign w:val="baseline"/>
        </w:rPr>
        <w:t>on</w:t>
      </w:r>
      <w:r>
        <w:rPr>
          <w:spacing w:val="-1"/>
          <w:vertAlign w:val="baseline"/>
        </w:rPr>
        <w:t> </w:t>
      </w:r>
      <w:r>
        <w:rPr>
          <w:vertAlign w:val="baseline"/>
        </w:rPr>
        <w:t>implementing</w:t>
      </w:r>
      <w:r>
        <w:rPr>
          <w:spacing w:val="-1"/>
          <w:vertAlign w:val="baseline"/>
        </w:rPr>
        <w:t> </w:t>
      </w:r>
      <w:r>
        <w:rPr>
          <w:vertAlign w:val="baseline"/>
        </w:rPr>
        <w:t>the</w:t>
      </w:r>
      <w:r>
        <w:rPr>
          <w:spacing w:val="-1"/>
          <w:vertAlign w:val="baseline"/>
        </w:rPr>
        <w:t> </w:t>
      </w:r>
      <w:r>
        <w:rPr>
          <w:vertAlign w:val="baseline"/>
        </w:rPr>
        <w:t>Convention,</w:t>
      </w:r>
      <w:r>
        <w:rPr>
          <w:spacing w:val="-2"/>
          <w:vertAlign w:val="baseline"/>
        </w:rPr>
        <w:t> </w:t>
      </w:r>
      <w:r>
        <w:rPr>
          <w:color w:val="005DA1"/>
          <w:u w:val="single" w:color="005DA1"/>
          <w:vertAlign w:val="superscript"/>
        </w:rPr>
        <w:t>104</w:t>
      </w:r>
      <w:r>
        <w:rPr>
          <w:color w:val="005DA1"/>
          <w:spacing w:val="-1"/>
          <w:vertAlign w:val="baseline"/>
        </w:rPr>
        <w:t> </w:t>
      </w:r>
      <w:r>
        <w:rPr>
          <w:vertAlign w:val="baseline"/>
        </w:rPr>
        <w:t>delay</w:t>
      </w:r>
      <w:r>
        <w:rPr>
          <w:spacing w:val="-1"/>
          <w:vertAlign w:val="baseline"/>
        </w:rPr>
        <w:t> </w:t>
      </w:r>
      <w:r>
        <w:rPr>
          <w:vertAlign w:val="baseline"/>
        </w:rPr>
        <w:t>in</w:t>
      </w:r>
      <w:r>
        <w:rPr>
          <w:spacing w:val="-1"/>
          <w:vertAlign w:val="baseline"/>
        </w:rPr>
        <w:t> </w:t>
      </w:r>
      <w:r>
        <w:rPr>
          <w:vertAlign w:val="baseline"/>
        </w:rPr>
        <w:t>ratification</w:t>
      </w:r>
      <w:r>
        <w:rPr>
          <w:spacing w:val="-1"/>
          <w:vertAlign w:val="baseline"/>
        </w:rPr>
        <w:t> </w:t>
      </w:r>
      <w:r>
        <w:rPr>
          <w:vertAlign w:val="baseline"/>
        </w:rPr>
        <w:t>by</w:t>
      </w:r>
      <w:r>
        <w:rPr>
          <w:spacing w:val="-1"/>
          <w:vertAlign w:val="baseline"/>
        </w:rPr>
        <w:t> </w:t>
      </w:r>
      <w:r>
        <w:rPr>
          <w:vertAlign w:val="baseline"/>
        </w:rPr>
        <w:t>Belgium</w:t>
      </w:r>
      <w:r>
        <w:rPr>
          <w:spacing w:val="-2"/>
          <w:vertAlign w:val="baseline"/>
        </w:rPr>
        <w:t> </w:t>
      </w:r>
      <w:r>
        <w:rPr>
          <w:color w:val="005DA1"/>
          <w:u w:val="single" w:color="005DA1"/>
          <w:vertAlign w:val="superscript"/>
        </w:rPr>
        <w:t>105</w:t>
      </w:r>
      <w:r>
        <w:rPr>
          <w:color w:val="005DA1"/>
          <w:spacing w:val="-1"/>
          <w:vertAlign w:val="baseline"/>
        </w:rPr>
        <w:t> </w:t>
      </w:r>
      <w:r>
        <w:rPr>
          <w:vertAlign w:val="baseline"/>
        </w:rPr>
        <w:t>meant</w:t>
      </w:r>
      <w:r>
        <w:rPr>
          <w:spacing w:val="-1"/>
          <w:vertAlign w:val="baseline"/>
        </w:rPr>
        <w:t> </w:t>
      </w:r>
      <w:r>
        <w:rPr>
          <w:vertAlign w:val="baseline"/>
        </w:rPr>
        <w:t>that</w:t>
      </w:r>
      <w:r>
        <w:rPr>
          <w:spacing w:val="-1"/>
          <w:vertAlign w:val="baseline"/>
        </w:rPr>
        <w:t> </w:t>
      </w:r>
      <w:r>
        <w:rPr>
          <w:vertAlign w:val="baseline"/>
        </w:rPr>
        <w:t>it </w:t>
      </w:r>
      <w:bookmarkStart w:name="_bookmark182" w:id="184"/>
      <w:bookmarkEnd w:id="184"/>
      <w:r>
        <w:rPr>
          <w:vertAlign w:val="baseline"/>
        </w:rPr>
        <w:t>did</w:t>
      </w:r>
      <w:r>
        <w:rPr>
          <w:vertAlign w:val="baseline"/>
        </w:rPr>
        <w:t> not enter into force internationally until August 1, 2004 and was eventually implemented in United Kingdom law on March 1, 2005. </w:t>
      </w:r>
      <w:r>
        <w:rPr>
          <w:color w:val="005DA1"/>
          <w:u w:val="single" w:color="005DA1"/>
          <w:vertAlign w:val="superscript"/>
        </w:rPr>
        <w:t>106</w:t>
      </w:r>
    </w:p>
    <w:p>
      <w:pPr>
        <w:pStyle w:val="BodyText"/>
      </w:pPr>
    </w:p>
    <w:p>
      <w:pPr>
        <w:pStyle w:val="BodyText"/>
        <w:spacing w:before="34"/>
      </w:pPr>
    </w:p>
    <w:p>
      <w:pPr>
        <w:spacing w:before="0"/>
        <w:ind w:left="165" w:right="0" w:firstLine="0"/>
        <w:jc w:val="both"/>
        <w:rPr>
          <w:rFonts w:ascii="Arial"/>
          <w:b/>
          <w:sz w:val="18"/>
        </w:rPr>
      </w:pPr>
      <w:r>
        <w:rPr>
          <w:rFonts w:ascii="Arial"/>
          <w:b/>
          <w:sz w:val="18"/>
        </w:rPr>
        <w:t>Interpretation: the European </w:t>
      </w:r>
      <w:r>
        <w:rPr>
          <w:rFonts w:ascii="Arial"/>
          <w:b/>
          <w:spacing w:val="-2"/>
          <w:sz w:val="18"/>
        </w:rPr>
        <w:t>Court</w:t>
      </w:r>
    </w:p>
    <w:p>
      <w:pPr>
        <w:pStyle w:val="BodyText"/>
        <w:spacing w:before="41"/>
        <w:rPr>
          <w:rFonts w:ascii="Arial"/>
          <w:b/>
          <w:sz w:val="18"/>
        </w:rPr>
      </w:pPr>
    </w:p>
    <w:p>
      <w:pPr>
        <w:pStyle w:val="Heading2"/>
      </w:pPr>
      <w:r>
        <w:rPr/>
        <w:t>30-</w:t>
      </w:r>
      <w:r>
        <w:rPr>
          <w:spacing w:val="-5"/>
        </w:rPr>
        <w:t>018</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83" w:id="185"/>
      <w:bookmarkEnd w:id="185"/>
      <w:r>
        <w:rPr>
          <w:rFonts w:ascii="Times New Roman"/>
          <w:spacing w:val="3"/>
        </w:rPr>
      </w:r>
      <w:r>
        <w:rPr/>
        <w:t>As a consequence of the Treaty of Lisbon, any national court may make a reference to the </w:t>
      </w:r>
      <w:bookmarkStart w:name="_bookmark184" w:id="186"/>
      <w:bookmarkEnd w:id="186"/>
      <w:r>
        <w:rPr/>
        <w:t>European</w:t>
      </w:r>
      <w:r>
        <w:rPr/>
        <w:t> Court. </w:t>
      </w:r>
      <w:r>
        <w:rPr>
          <w:color w:val="005DA1"/>
          <w:u w:val="single" w:color="005DA1"/>
          <w:vertAlign w:val="superscript"/>
        </w:rPr>
        <w:t>107</w:t>
      </w:r>
      <w:r>
        <w:rPr>
          <w:color w:val="005DA1"/>
          <w:vertAlign w:val="baseline"/>
        </w:rPr>
        <w:t> </w:t>
      </w:r>
      <w:r>
        <w:rPr>
          <w:vertAlign w:val="baseline"/>
        </w:rPr>
        <w:t>Because of the delay in the ratification of the Rome Convention, referred </w:t>
      </w:r>
      <w:r>
        <w:rPr>
          <w:vertAlign w:val="baseline"/>
        </w:rPr>
        <w:t>to above,</w:t>
      </w:r>
      <w:r>
        <w:rPr>
          <w:spacing w:val="5"/>
          <w:vertAlign w:val="baseline"/>
        </w:rPr>
        <w:t> </w:t>
      </w:r>
      <w:r>
        <w:rPr>
          <w:vertAlign w:val="baseline"/>
        </w:rPr>
        <w:t>there</w:t>
      </w:r>
      <w:r>
        <w:rPr>
          <w:spacing w:val="5"/>
          <w:vertAlign w:val="baseline"/>
        </w:rPr>
        <w:t> </w:t>
      </w:r>
      <w:r>
        <w:rPr>
          <w:vertAlign w:val="baseline"/>
        </w:rPr>
        <w:t>have</w:t>
      </w:r>
      <w:r>
        <w:rPr>
          <w:spacing w:val="5"/>
          <w:vertAlign w:val="baseline"/>
        </w:rPr>
        <w:t> </w:t>
      </w:r>
      <w:r>
        <w:rPr>
          <w:vertAlign w:val="baseline"/>
        </w:rPr>
        <w:t>been</w:t>
      </w:r>
      <w:r>
        <w:rPr>
          <w:spacing w:val="5"/>
          <w:vertAlign w:val="baseline"/>
        </w:rPr>
        <w:t> </w:t>
      </w:r>
      <w:r>
        <w:rPr>
          <w:vertAlign w:val="baseline"/>
        </w:rPr>
        <w:t>few</w:t>
      </w:r>
      <w:r>
        <w:rPr>
          <w:spacing w:val="5"/>
          <w:vertAlign w:val="baseline"/>
        </w:rPr>
        <w:t> </w:t>
      </w:r>
      <w:r>
        <w:rPr>
          <w:vertAlign w:val="baseline"/>
        </w:rPr>
        <w:t>decisions</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European</w:t>
      </w:r>
      <w:r>
        <w:rPr>
          <w:spacing w:val="5"/>
          <w:vertAlign w:val="baseline"/>
        </w:rPr>
        <w:t> </w:t>
      </w:r>
      <w:r>
        <w:rPr>
          <w:vertAlign w:val="baseline"/>
        </w:rPr>
        <w:t>Court</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interpretation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spacing w:val="-2"/>
          <w:vertAlign w:val="baseline"/>
        </w:rPr>
        <w:t>Convention.</w:t>
      </w:r>
    </w:p>
    <w:p>
      <w:pPr>
        <w:spacing w:before="94"/>
        <w:ind w:left="165" w:right="0" w:firstLine="0"/>
        <w:jc w:val="left"/>
        <w:rPr>
          <w:sz w:val="12"/>
        </w:rPr>
      </w:pPr>
      <w:r>
        <w:rPr>
          <w:sz w:val="12"/>
        </w:rPr>
        <w:drawing>
          <wp:anchor distT="0" distB="0" distL="0" distR="0" allowOverlap="1" layoutInCell="1" locked="0" behindDoc="0" simplePos="0" relativeHeight="15739904">
            <wp:simplePos x="0" y="0"/>
            <wp:positionH relativeFrom="page">
              <wp:posOffset>1147419</wp:posOffset>
            </wp:positionH>
            <wp:positionV relativeFrom="paragraph">
              <wp:posOffset>101177</wp:posOffset>
            </wp:positionV>
            <wp:extent cx="107988" cy="107988"/>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222">
        <w:r>
          <w:rPr>
            <w:color w:val="005DA1"/>
            <w:spacing w:val="-5"/>
            <w:sz w:val="12"/>
            <w:u w:val="single" w:color="005DA1"/>
          </w:rPr>
          <w:t>108</w:t>
        </w:r>
      </w:hyperlink>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Interpretation: </w:t>
      </w:r>
      <w:r>
        <w:rPr>
          <w:rFonts w:ascii="Arial"/>
          <w:b/>
          <w:spacing w:val="-2"/>
          <w:sz w:val="18"/>
        </w:rPr>
        <w:t>methodology</w:t>
      </w:r>
    </w:p>
    <w:p>
      <w:pPr>
        <w:pStyle w:val="BodyText"/>
        <w:spacing w:before="42"/>
        <w:rPr>
          <w:rFonts w:ascii="Arial"/>
          <w:b/>
          <w:sz w:val="18"/>
        </w:rPr>
      </w:pPr>
    </w:p>
    <w:p>
      <w:pPr>
        <w:pStyle w:val="Heading2"/>
      </w:pPr>
      <w:r>
        <w:rPr/>
        <w:t>30-</w:t>
      </w:r>
      <w:r>
        <w:rPr>
          <w:spacing w:val="-5"/>
        </w:rPr>
        <w:t>019</w:t>
      </w:r>
    </w:p>
    <w:p>
      <w:pPr>
        <w:pStyle w:val="BodyText"/>
        <w:spacing w:line="235" w:lineRule="auto" w:before="202"/>
        <w:ind w:left="165" w:right="167"/>
        <w:jc w:val="both"/>
      </w:pPr>
      <w:bookmarkStart w:name="_bookmark185" w:id="187"/>
      <w:bookmarkEnd w:id="187"/>
      <w:r>
        <w:rPr/>
      </w:r>
      <w:r>
        <w:rPr/>
        <w:t>It is now standard practice in the European Court </w:t>
      </w:r>
      <w:r>
        <w:rPr>
          <w:color w:val="005DA1"/>
          <w:u w:val="single" w:color="005DA1"/>
          <w:vertAlign w:val="superscript"/>
        </w:rPr>
        <w:t>109</w:t>
      </w:r>
      <w:r>
        <w:rPr>
          <w:color w:val="005DA1"/>
          <w:vertAlign w:val="baseline"/>
        </w:rPr>
        <w:t> </w:t>
      </w:r>
      <w:r>
        <w:rPr>
          <w:vertAlign w:val="baseline"/>
        </w:rPr>
        <w:t>and the English courts </w:t>
      </w:r>
      <w:r>
        <w:rPr>
          <w:color w:val="005DA1"/>
          <w:u w:val="single" w:color="005DA1"/>
          <w:vertAlign w:val="superscript"/>
        </w:rPr>
        <w:t>110</w:t>
      </w:r>
      <w:r>
        <w:rPr>
          <w:color w:val="005DA1"/>
          <w:vertAlign w:val="baseline"/>
        </w:rPr>
        <w:t> </w:t>
      </w:r>
      <w:r>
        <w:rPr>
          <w:vertAlign w:val="baseline"/>
        </w:rPr>
        <w:t>to give autonomous or uniform interpretations to legal concepts referred to in the Convention. Courts may also have </w:t>
      </w:r>
      <w:r>
        <w:rPr>
          <w:vertAlign w:val="baseline"/>
        </w:rPr>
        <w:t>regard, </w:t>
      </w:r>
      <w:bookmarkStart w:name="_bookmark186" w:id="188"/>
      <w:bookmarkEnd w:id="188"/>
      <w:r>
        <w:rPr>
          <w:vertAlign w:val="baseline"/>
        </w:rPr>
        <w:t>in</w:t>
      </w:r>
      <w:r>
        <w:rPr>
          <w:vertAlign w:val="baseline"/>
        </w:rPr>
        <w:t> ascertaining the meaning or effect of any provision of the Convention, to the Report on the Convention by Professors Giuliano and Lagarde (“Giuliano-Lagarde Report”). </w:t>
      </w:r>
      <w:r>
        <w:rPr>
          <w:color w:val="005DA1"/>
          <w:u w:val="single" w:color="005DA1"/>
          <w:vertAlign w:val="superscript"/>
        </w:rPr>
        <w:t>111</w:t>
      </w:r>
      <w:r>
        <w:rPr>
          <w:color w:val="005DA1"/>
          <w:vertAlign w:val="baseline"/>
        </w:rPr>
        <w:t> </w:t>
      </w:r>
      <w:r>
        <w:rPr>
          <w:vertAlign w:val="baseline"/>
        </w:rPr>
        <w:t>And art.18 of the Convention itself provides that in the interpretation and application of the uniform rules of the </w:t>
      </w:r>
      <w:bookmarkStart w:name="_bookmark187" w:id="189"/>
      <w:bookmarkEnd w:id="189"/>
      <w:r>
        <w:rPr>
          <w:vertAlign w:val="baseline"/>
        </w:rPr>
        <w:t>Convention,</w:t>
      </w:r>
      <w:r>
        <w:rPr>
          <w:vertAlign w:val="baseline"/>
        </w:rPr>
        <w:t> regard shall be had to their international character and to the desirability of achieving uniformity in their interpretation and application. </w:t>
      </w:r>
      <w:r>
        <w:rPr>
          <w:color w:val="005DA1"/>
          <w:u w:val="single" w:color="005DA1"/>
          <w:vertAlign w:val="superscript"/>
        </w:rPr>
        <w:t>112</w:t>
      </w:r>
    </w:p>
    <w:p>
      <w:pPr>
        <w:pStyle w:val="BodyText"/>
        <w:spacing w:after="0" w:line="235" w:lineRule="auto"/>
        <w:jc w:val="both"/>
        <w:sectPr>
          <w:headerReference w:type="default" r:id="rId8"/>
          <w:pgSz w:w="11900" w:h="16840"/>
          <w:pgMar w:header="971" w:footer="0" w:top="1300" w:bottom="280" w:left="1275" w:right="1275"/>
          <w:pgNumType w:start="1"/>
        </w:sectPr>
      </w:pPr>
    </w:p>
    <w:p>
      <w:pPr>
        <w:pStyle w:val="BodyText"/>
        <w:spacing w:before="2"/>
        <w:rPr>
          <w:sz w:val="18"/>
        </w:rPr>
      </w:pPr>
    </w:p>
    <w:p>
      <w:pPr>
        <w:spacing w:before="0"/>
        <w:ind w:left="165" w:right="0" w:firstLine="0"/>
        <w:jc w:val="left"/>
        <w:rPr>
          <w:rFonts w:ascii="Arial"/>
          <w:b/>
          <w:sz w:val="18"/>
        </w:rPr>
      </w:pPr>
      <w:r>
        <w:rPr>
          <w:rFonts w:ascii="Arial"/>
          <w:b/>
          <w:sz w:val="18"/>
        </w:rPr>
        <w:t>General scope of the </w:t>
      </w:r>
      <w:r>
        <w:rPr>
          <w:rFonts w:ascii="Arial"/>
          <w:b/>
          <w:spacing w:val="-2"/>
          <w:sz w:val="18"/>
        </w:rPr>
        <w:t>Convention</w:t>
      </w:r>
    </w:p>
    <w:p>
      <w:pPr>
        <w:pStyle w:val="BodyText"/>
        <w:spacing w:before="41"/>
        <w:rPr>
          <w:rFonts w:ascii="Arial"/>
          <w:b/>
          <w:sz w:val="18"/>
        </w:rPr>
      </w:pPr>
    </w:p>
    <w:p>
      <w:pPr>
        <w:pStyle w:val="Heading2"/>
      </w:pPr>
      <w:r>
        <w:rPr/>
        <w:t>30-</w:t>
      </w:r>
      <w:r>
        <w:rPr>
          <w:spacing w:val="-5"/>
        </w:rPr>
        <w:t>020</w:t>
      </w:r>
    </w:p>
    <w:p>
      <w:pPr>
        <w:pStyle w:val="BodyText"/>
        <w:spacing w:line="235" w:lineRule="auto" w:before="203"/>
        <w:ind w:left="165" w:right="161"/>
      </w:pPr>
      <w:bookmarkStart w:name="_bookmark188" w:id="190"/>
      <w:bookmarkEnd w:id="190"/>
      <w:r>
        <w:rPr/>
      </w:r>
      <w:r>
        <w:rPr/>
        <w:t>A</w:t>
      </w:r>
      <w:r>
        <w:rPr>
          <w:spacing w:val="17"/>
        </w:rPr>
        <w:t> </w:t>
      </w:r>
      <w:r>
        <w:rPr/>
        <w:t>number</w:t>
      </w:r>
      <w:r>
        <w:rPr>
          <w:spacing w:val="17"/>
        </w:rPr>
        <w:t> </w:t>
      </w:r>
      <w:r>
        <w:rPr/>
        <w:t>of</w:t>
      </w:r>
      <w:r>
        <w:rPr>
          <w:spacing w:val="17"/>
        </w:rPr>
        <w:t> </w:t>
      </w:r>
      <w:r>
        <w:rPr/>
        <w:t>general</w:t>
      </w:r>
      <w:r>
        <w:rPr>
          <w:spacing w:val="17"/>
        </w:rPr>
        <w:t> </w:t>
      </w:r>
      <w:r>
        <w:rPr/>
        <w:t>questions</w:t>
      </w:r>
      <w:r>
        <w:rPr>
          <w:spacing w:val="17"/>
        </w:rPr>
        <w:t> </w:t>
      </w:r>
      <w:r>
        <w:rPr/>
        <w:t>arise</w:t>
      </w:r>
      <w:r>
        <w:rPr>
          <w:spacing w:val="17"/>
        </w:rPr>
        <w:t> </w:t>
      </w:r>
      <w:r>
        <w:rPr/>
        <w:t>as</w:t>
      </w:r>
      <w:r>
        <w:rPr>
          <w:spacing w:val="17"/>
        </w:rPr>
        <w:t> </w:t>
      </w:r>
      <w:r>
        <w:rPr/>
        <w:t>to</w:t>
      </w:r>
      <w:r>
        <w:rPr>
          <w:spacing w:val="17"/>
        </w:rPr>
        <w:t> </w:t>
      </w:r>
      <w:r>
        <w:rPr/>
        <w:t>the</w:t>
      </w:r>
      <w:r>
        <w:rPr>
          <w:spacing w:val="17"/>
        </w:rPr>
        <w:t> </w:t>
      </w:r>
      <w:r>
        <w:rPr/>
        <w:t>scope</w:t>
      </w:r>
      <w:r>
        <w:rPr>
          <w:spacing w:val="17"/>
        </w:rPr>
        <w:t> </w:t>
      </w:r>
      <w:r>
        <w:rPr/>
        <w:t>of</w:t>
      </w:r>
      <w:r>
        <w:rPr>
          <w:spacing w:val="17"/>
        </w:rPr>
        <w:t> </w:t>
      </w:r>
      <w:r>
        <w:rPr/>
        <w:t>the</w:t>
      </w:r>
      <w:r>
        <w:rPr>
          <w:spacing w:val="17"/>
        </w:rPr>
        <w:t> </w:t>
      </w:r>
      <w:r>
        <w:rPr/>
        <w:t>Convention</w:t>
      </w:r>
      <w:r>
        <w:rPr>
          <w:spacing w:val="17"/>
        </w:rPr>
        <w:t> </w:t>
      </w:r>
      <w:r>
        <w:rPr/>
        <w:t>(as</w:t>
      </w:r>
      <w:r>
        <w:rPr>
          <w:spacing w:val="17"/>
        </w:rPr>
        <w:t> </w:t>
      </w:r>
      <w:r>
        <w:rPr/>
        <w:t>opposed</w:t>
      </w:r>
      <w:r>
        <w:rPr>
          <w:spacing w:val="17"/>
        </w:rPr>
        <w:t> </w:t>
      </w:r>
      <w:r>
        <w:rPr/>
        <w:t>to</w:t>
      </w:r>
      <w:r>
        <w:rPr>
          <w:spacing w:val="17"/>
        </w:rPr>
        <w:t> </w:t>
      </w:r>
      <w:r>
        <w:rPr/>
        <w:t>the</w:t>
      </w:r>
      <w:r>
        <w:rPr>
          <w:spacing w:val="17"/>
        </w:rPr>
        <w:t> </w:t>
      </w:r>
      <w:r>
        <w:rPr/>
        <w:t>specific questions</w:t>
      </w:r>
      <w:r>
        <w:rPr>
          <w:spacing w:val="2"/>
        </w:rPr>
        <w:t> </w:t>
      </w:r>
      <w:r>
        <w:rPr/>
        <w:t>which</w:t>
      </w:r>
      <w:r>
        <w:rPr>
          <w:spacing w:val="2"/>
        </w:rPr>
        <w:t> </w:t>
      </w:r>
      <w:r>
        <w:rPr/>
        <w:t>are</w:t>
      </w:r>
      <w:r>
        <w:rPr>
          <w:spacing w:val="2"/>
        </w:rPr>
        <w:t> </w:t>
      </w:r>
      <w:r>
        <w:rPr/>
        <w:t>included</w:t>
      </w:r>
      <w:r>
        <w:rPr>
          <w:spacing w:val="2"/>
        </w:rPr>
        <w:t> </w:t>
      </w:r>
      <w:r>
        <w:rPr/>
        <w:t>in</w:t>
      </w:r>
      <w:r>
        <w:rPr>
          <w:spacing w:val="2"/>
        </w:rPr>
        <w:t> </w:t>
      </w:r>
      <w:r>
        <w:rPr/>
        <w:t>or</w:t>
      </w:r>
      <w:r>
        <w:rPr>
          <w:spacing w:val="2"/>
        </w:rPr>
        <w:t> </w:t>
      </w:r>
      <w:r>
        <w:rPr/>
        <w:t>excluded</w:t>
      </w:r>
      <w:r>
        <w:rPr>
          <w:spacing w:val="2"/>
        </w:rPr>
        <w:t> </w:t>
      </w:r>
      <w:r>
        <w:rPr/>
        <w:t>from</w:t>
      </w:r>
      <w:r>
        <w:rPr>
          <w:spacing w:val="2"/>
        </w:rPr>
        <w:t> </w:t>
      </w:r>
      <w:r>
        <w:rPr/>
        <w:t>the</w:t>
      </w:r>
      <w:r>
        <w:rPr>
          <w:spacing w:val="2"/>
        </w:rPr>
        <w:t> </w:t>
      </w:r>
      <w:r>
        <w:rPr/>
        <w:t>Convention</w:t>
      </w:r>
      <w:r>
        <w:rPr>
          <w:spacing w:val="2"/>
        </w:rPr>
        <w:t> </w:t>
      </w:r>
      <w:r>
        <w:rPr/>
        <w:t>by</w:t>
      </w:r>
      <w:r>
        <w:rPr>
          <w:spacing w:val="2"/>
        </w:rPr>
        <w:t> </w:t>
      </w:r>
      <w:r>
        <w:rPr/>
        <w:t>the</w:t>
      </w:r>
      <w:r>
        <w:rPr>
          <w:spacing w:val="2"/>
        </w:rPr>
        <w:t> </w:t>
      </w:r>
      <w:r>
        <w:rPr/>
        <w:t>text</w:t>
      </w:r>
      <w:r>
        <w:rPr>
          <w:spacing w:val="2"/>
        </w:rPr>
        <w:t> </w:t>
      </w:r>
      <w:r>
        <w:rPr/>
        <w:t>of</w:t>
      </w:r>
      <w:r>
        <w:rPr>
          <w:spacing w:val="2"/>
        </w:rPr>
        <w:t> </w:t>
      </w:r>
      <w:r>
        <w:rPr/>
        <w:t>the</w:t>
      </w:r>
      <w:r>
        <w:rPr>
          <w:spacing w:val="2"/>
        </w:rPr>
        <w:t> </w:t>
      </w:r>
      <w:r>
        <w:rPr/>
        <w:t>instrument</w:t>
      </w:r>
      <w:r>
        <w:rPr>
          <w:spacing w:val="2"/>
        </w:rPr>
        <w:t> </w:t>
      </w:r>
      <w:r>
        <w:rPr/>
        <w:t>itself</w:t>
      </w:r>
      <w:r>
        <w:rPr>
          <w:spacing w:val="1"/>
        </w:rPr>
        <w:t> </w:t>
      </w:r>
      <w:r>
        <w:rPr>
          <w:color w:val="005DA1"/>
          <w:spacing w:val="-6"/>
          <w:u w:val="single" w:color="005DA1"/>
          <w:vertAlign w:val="superscript"/>
        </w:rPr>
        <w:t>113</w:t>
      </w:r>
    </w:p>
    <w:p>
      <w:pPr>
        <w:spacing w:line="225" w:lineRule="exact" w:before="0"/>
        <w:ind w:left="164" w:right="0" w:firstLine="0"/>
        <w:jc w:val="left"/>
        <w:rPr>
          <w:sz w:val="20"/>
        </w:rPr>
      </w:pPr>
      <w:r>
        <w:rPr>
          <w:spacing w:val="-5"/>
          <w:sz w:val="20"/>
        </w:rPr>
        <w:t>).</w:t>
      </w:r>
    </w:p>
    <w:p>
      <w:pPr>
        <w:pStyle w:val="BodyText"/>
      </w:pPr>
    </w:p>
    <w:p>
      <w:pPr>
        <w:pStyle w:val="BodyText"/>
        <w:spacing w:before="37"/>
      </w:pPr>
    </w:p>
    <w:p>
      <w:pPr>
        <w:spacing w:before="0"/>
        <w:ind w:left="164" w:right="0" w:firstLine="0"/>
        <w:jc w:val="left"/>
        <w:rPr>
          <w:rFonts w:ascii="Arial" w:hAnsi="Arial"/>
          <w:b/>
          <w:sz w:val="18"/>
        </w:rPr>
      </w:pPr>
      <w:r>
        <w:rPr>
          <w:rFonts w:ascii="Arial" w:hAnsi="Arial"/>
          <w:b/>
          <w:sz w:val="18"/>
        </w:rPr>
        <w:t>“Laws of different </w:t>
      </w:r>
      <w:r>
        <w:rPr>
          <w:rFonts w:ascii="Arial" w:hAnsi="Arial"/>
          <w:b/>
          <w:spacing w:val="-2"/>
          <w:sz w:val="18"/>
        </w:rPr>
        <w:t>countries”</w:t>
      </w:r>
    </w:p>
    <w:p>
      <w:pPr>
        <w:pStyle w:val="BodyText"/>
        <w:spacing w:before="41"/>
        <w:rPr>
          <w:rFonts w:ascii="Arial"/>
          <w:b/>
          <w:sz w:val="18"/>
        </w:rPr>
      </w:pPr>
    </w:p>
    <w:p>
      <w:pPr>
        <w:pStyle w:val="Heading2"/>
        <w:spacing w:before="1"/>
        <w:ind w:left="164"/>
      </w:pPr>
      <w:r>
        <w:rPr/>
        <w:t>30-</w:t>
      </w:r>
      <w:r>
        <w:rPr>
          <w:spacing w:val="-5"/>
        </w:rPr>
        <w:t>021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First, art.1(1) provides that the rules contained in the Rome Convention “shall apply to contractual obligations in any situation involving a choice between the laws of different countries”. According to the Giuliano-Lagarde Report, such situations are those:</w:t>
      </w:r>
    </w:p>
    <w:p>
      <w:pPr>
        <w:pStyle w:val="BodyText"/>
      </w:pPr>
    </w:p>
    <w:p>
      <w:pPr>
        <w:pStyle w:val="BodyText"/>
        <w:spacing w:before="126"/>
      </w:pPr>
    </w:p>
    <w:p>
      <w:pPr>
        <w:pStyle w:val="BodyText"/>
        <w:spacing w:line="235" w:lineRule="auto"/>
        <w:ind w:left="1245" w:right="167"/>
        <w:jc w:val="both"/>
      </w:pPr>
      <w:r>
        <w:rPr/>
        <w:t>“… which involve one or more elements foreign to the internal social system of a country (for example, the fact that one or all of the parties to the contract are foreign nationals </w:t>
      </w:r>
      <w:r>
        <w:rPr/>
        <w:t>or persons habitually resident abroad, the fact that the contract was made abroad, the fact </w:t>
      </w:r>
      <w:bookmarkStart w:name="_bookmark189" w:id="191"/>
      <w:bookmarkEnd w:id="191"/>
      <w:r>
        <w:rPr/>
        <w:t>that</w:t>
      </w:r>
      <w:r>
        <w:rPr/>
        <w:t> one or more of the obligations of the parties are to be performed in a foreign country, etc.), thereby giving the legal systems of several countries claims to apply.” </w:t>
      </w:r>
      <w:r>
        <w:rPr>
          <w:color w:val="005DA1"/>
          <w:u w:val="single" w:color="005DA1"/>
          <w:vertAlign w:val="superscript"/>
        </w:rPr>
        <w:t>114</w:t>
      </w:r>
    </w:p>
    <w:p>
      <w:pPr>
        <w:pStyle w:val="BodyText"/>
        <w:spacing w:before="115"/>
      </w:pPr>
    </w:p>
    <w:p>
      <w:pPr>
        <w:pStyle w:val="BodyText"/>
        <w:spacing w:line="235" w:lineRule="auto"/>
        <w:ind w:left="165" w:right="167"/>
        <w:jc w:val="both"/>
      </w:pPr>
      <w:r>
        <w:rPr/>
        <w:t>The situation contemplated thus seems to be the presence in a transaction of a foreign element of legal relevance according to customary notions of private international law. Such a relevant </w:t>
      </w:r>
      <w:r>
        <w:rPr/>
        <w:t>foreign </w:t>
      </w:r>
      <w:bookmarkStart w:name="_bookmark190" w:id="192"/>
      <w:bookmarkEnd w:id="192"/>
      <w:r>
        <w:rPr/>
        <w:t>element</w:t>
      </w:r>
      <w:r>
        <w:rPr>
          <w:spacing w:val="1"/>
        </w:rPr>
        <w:t> </w:t>
      </w:r>
      <w:r>
        <w:rPr/>
        <w:t>would</w:t>
      </w:r>
      <w:r>
        <w:rPr>
          <w:spacing w:val="1"/>
        </w:rPr>
        <w:t> </w:t>
      </w:r>
      <w:r>
        <w:rPr/>
        <w:t>appear</w:t>
      </w:r>
      <w:r>
        <w:rPr>
          <w:spacing w:val="1"/>
        </w:rPr>
        <w:t> </w:t>
      </w:r>
      <w:r>
        <w:rPr/>
        <w:t>to</w:t>
      </w:r>
      <w:r>
        <w:rPr>
          <w:spacing w:val="1"/>
        </w:rPr>
        <w:t> </w:t>
      </w:r>
      <w:r>
        <w:rPr/>
        <w:t>be</w:t>
      </w:r>
      <w:r>
        <w:rPr>
          <w:spacing w:val="1"/>
        </w:rPr>
        <w:t> </w:t>
      </w:r>
      <w:r>
        <w:rPr/>
        <w:t>present</w:t>
      </w:r>
      <w:r>
        <w:rPr>
          <w:spacing w:val="1"/>
        </w:rPr>
        <w:t> </w:t>
      </w:r>
      <w:r>
        <w:rPr/>
        <w:t>even</w:t>
      </w:r>
      <w:r>
        <w:rPr>
          <w:spacing w:val="1"/>
        </w:rPr>
        <w:t> </w:t>
      </w:r>
      <w:r>
        <w:rPr/>
        <w:t>if</w:t>
      </w:r>
      <w:r>
        <w:rPr>
          <w:spacing w:val="1"/>
        </w:rPr>
        <w:t> </w:t>
      </w:r>
      <w:r>
        <w:rPr/>
        <w:t>the</w:t>
      </w:r>
      <w:r>
        <w:rPr>
          <w:spacing w:val="1"/>
        </w:rPr>
        <w:t> </w:t>
      </w:r>
      <w:r>
        <w:rPr/>
        <w:t>only</w:t>
      </w:r>
      <w:r>
        <w:rPr>
          <w:spacing w:val="1"/>
        </w:rPr>
        <w:t> </w:t>
      </w:r>
      <w:r>
        <w:rPr/>
        <w:t>such</w:t>
      </w:r>
      <w:r>
        <w:rPr>
          <w:spacing w:val="1"/>
        </w:rPr>
        <w:t> </w:t>
      </w:r>
      <w:r>
        <w:rPr/>
        <w:t>element</w:t>
      </w:r>
      <w:r>
        <w:rPr>
          <w:spacing w:val="1"/>
        </w:rPr>
        <w:t> </w:t>
      </w:r>
      <w:r>
        <w:rPr/>
        <w:t>is</w:t>
      </w:r>
      <w:r>
        <w:rPr>
          <w:spacing w:val="1"/>
        </w:rPr>
        <w:t> </w:t>
      </w:r>
      <w:r>
        <w:rPr/>
        <w:t>the</w:t>
      </w:r>
      <w:r>
        <w:rPr>
          <w:spacing w:val="1"/>
        </w:rPr>
        <w:t> </w:t>
      </w:r>
      <w:r>
        <w:rPr/>
        <w:t>fact</w:t>
      </w:r>
      <w:r>
        <w:rPr>
          <w:spacing w:val="1"/>
        </w:rPr>
        <w:t> </w:t>
      </w:r>
      <w:r>
        <w:rPr/>
        <w:t>that</w:t>
      </w:r>
      <w:r>
        <w:rPr>
          <w:spacing w:val="1"/>
        </w:rPr>
        <w:t> </w:t>
      </w:r>
      <w:r>
        <w:rPr/>
        <w:t>a</w:t>
      </w:r>
      <w:r>
        <w:rPr>
          <w:spacing w:val="1"/>
        </w:rPr>
        <w:t> </w:t>
      </w:r>
      <w:r>
        <w:rPr/>
        <w:t>contract</w:t>
      </w:r>
      <w:r>
        <w:rPr>
          <w:spacing w:val="1"/>
        </w:rPr>
        <w:t> </w:t>
      </w:r>
      <w:r>
        <w:rPr>
          <w:spacing w:val="-2"/>
        </w:rPr>
        <w:t>otherwise</w:t>
      </w:r>
    </w:p>
    <w:p>
      <w:pPr>
        <w:pStyle w:val="BodyText"/>
        <w:spacing w:before="115"/>
        <w:ind w:left="165"/>
        <w:jc w:val="both"/>
        <w:rPr>
          <w:position w:val="-2"/>
        </w:rPr>
      </w:pPr>
      <w:r>
        <w:rPr/>
        <w:t>domestic in nature contains a choice of a foreign governing law. </w:t>
      </w:r>
      <w:r>
        <w:rPr>
          <w:color w:val="005DA1"/>
          <w:u w:val="single" w:color="005DA1"/>
          <w:vertAlign w:val="superscript"/>
        </w:rPr>
        <w:t>115</w:t>
      </w:r>
      <w:r>
        <w:rPr>
          <w:color w:val="005DA1"/>
          <w:spacing w:val="80"/>
          <w:w w:val="150"/>
          <w:vertAlign w:val="baseline"/>
        </w:rPr>
        <w:t> </w:t>
      </w:r>
      <w:r>
        <w:rPr>
          <w:color w:val="005DA1"/>
          <w:position w:val="-2"/>
          <w:vertAlign w:val="baseline"/>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Law specified need not be of a contracting </w:t>
      </w:r>
      <w:r>
        <w:rPr>
          <w:rFonts w:ascii="Arial"/>
          <w:b/>
          <w:spacing w:val="-2"/>
          <w:sz w:val="18"/>
        </w:rPr>
        <w:t>state</w:t>
      </w:r>
    </w:p>
    <w:p>
      <w:pPr>
        <w:pStyle w:val="BodyText"/>
        <w:spacing w:before="41"/>
        <w:rPr>
          <w:rFonts w:ascii="Arial"/>
          <w:b/>
          <w:sz w:val="18"/>
        </w:rPr>
      </w:pPr>
    </w:p>
    <w:p>
      <w:pPr>
        <w:pStyle w:val="Heading2"/>
        <w:spacing w:before="1"/>
      </w:pPr>
      <w:r>
        <w:rPr/>
        <w:t>30-</w:t>
      </w:r>
      <w:r>
        <w:rPr>
          <w:spacing w:val="-5"/>
        </w:rPr>
        <w:t>022</w:t>
      </w:r>
    </w:p>
    <w:p>
      <w:pPr>
        <w:pStyle w:val="BodyText"/>
        <w:spacing w:line="235" w:lineRule="auto" w:before="202"/>
        <w:ind w:left="164" w:right="167"/>
        <w:jc w:val="both"/>
      </w:pPr>
      <w:r>
        <w:rPr/>
        <w:t>Secondly, art.2 of the Convention provides that any law specified by the Convention shall be </w:t>
      </w:r>
      <w:r>
        <w:rPr/>
        <w:t>applied whether or not it is the law of a contracting state. Taken with art.1(1), the effect of this is that it is not necessary that the countries whose laws are implicated in the problem be states which are parties to the Convention or Member States of the EU and that the rules of the Convention must be applied even if they point to a governing law which is neither the law of a contracting state nor the law of a </w:t>
      </w:r>
      <w:bookmarkStart w:name="_bookmark191" w:id="193"/>
      <w:bookmarkEnd w:id="193"/>
      <w:r>
        <w:rPr/>
        <w:t>Member</w:t>
      </w:r>
      <w:r>
        <w:rPr/>
        <w:t> State of the EU. The Convention will thus apply if the choice is between the law of England and the law of Brazil, or between the law of Brazil and the law of India, </w:t>
      </w:r>
      <w:r>
        <w:rPr>
          <w:color w:val="005DA1"/>
          <w:u w:val="single" w:color="005DA1"/>
          <w:vertAlign w:val="superscript"/>
        </w:rPr>
        <w:t>116</w:t>
      </w:r>
      <w:r>
        <w:rPr>
          <w:color w:val="005DA1"/>
          <w:vertAlign w:val="baseline"/>
        </w:rPr>
        <w:t> </w:t>
      </w:r>
      <w:r>
        <w:rPr>
          <w:vertAlign w:val="baseline"/>
        </w:rPr>
        <w:t>as it will if the choice is between the law of the Netherlands and the law of Italy. Further, the application of the Convention, in a case where the forum is in the United Kingdom, does not depend on the situation having a factual </w:t>
      </w:r>
      <w:bookmarkStart w:name="_bookmark192" w:id="194"/>
      <w:bookmarkEnd w:id="194"/>
      <w:r>
        <w:rPr>
          <w:vertAlign w:val="baseline"/>
        </w:rPr>
        <w:t>link</w:t>
      </w:r>
      <w:r>
        <w:rPr>
          <w:vertAlign w:val="baseline"/>
        </w:rPr>
        <w:t> with another contracting state or with another Member State of the EU. The rules of the </w:t>
      </w:r>
      <w:bookmarkStart w:name="_bookmark193" w:id="195"/>
      <w:bookmarkEnd w:id="195"/>
      <w:r>
        <w:rPr>
          <w:vertAlign w:val="baseline"/>
        </w:rPr>
        <w:t>Convention</w:t>
      </w:r>
      <w:r>
        <w:rPr>
          <w:vertAlign w:val="baseline"/>
        </w:rPr>
        <w:t> will thus apply to all cases </w:t>
      </w:r>
      <w:r>
        <w:rPr>
          <w:color w:val="005DA1"/>
          <w:u w:val="single" w:color="005DA1"/>
          <w:vertAlign w:val="superscript"/>
        </w:rPr>
        <w:t>117</w:t>
      </w:r>
      <w:r>
        <w:rPr>
          <w:color w:val="005DA1"/>
          <w:vertAlign w:val="baseline"/>
        </w:rPr>
        <w:t> </w:t>
      </w:r>
      <w:r>
        <w:rPr>
          <w:vertAlign w:val="baseline"/>
        </w:rPr>
        <w:t>brought in United Kingdom courts to which those rules, according to their terms, apply. </w:t>
      </w:r>
      <w:r>
        <w:rPr>
          <w:color w:val="005DA1"/>
          <w:u w:val="single" w:color="005DA1"/>
          <w:vertAlign w:val="superscript"/>
        </w:rPr>
        <w:t>118</w:t>
      </w:r>
    </w:p>
    <w:p>
      <w:pPr>
        <w:pStyle w:val="BodyText"/>
      </w:pPr>
    </w:p>
    <w:p>
      <w:pPr>
        <w:pStyle w:val="BodyText"/>
        <w:spacing w:before="34"/>
      </w:pPr>
    </w:p>
    <w:p>
      <w:pPr>
        <w:spacing w:before="0"/>
        <w:ind w:left="165" w:right="0" w:firstLine="0"/>
        <w:jc w:val="both"/>
        <w:rPr>
          <w:rFonts w:ascii="Arial"/>
          <w:b/>
          <w:sz w:val="18"/>
        </w:rPr>
      </w:pPr>
      <w:r>
        <w:rPr>
          <w:rFonts w:ascii="Arial"/>
          <w:b/>
          <w:sz w:val="18"/>
        </w:rPr>
        <w:t>Countries with more than one legal </w:t>
      </w:r>
      <w:r>
        <w:rPr>
          <w:rFonts w:ascii="Arial"/>
          <w:b/>
          <w:spacing w:val="-2"/>
          <w:sz w:val="18"/>
        </w:rPr>
        <w:t>system</w:t>
      </w:r>
    </w:p>
    <w:p>
      <w:pPr>
        <w:pStyle w:val="BodyText"/>
        <w:spacing w:before="41"/>
        <w:rPr>
          <w:rFonts w:ascii="Arial"/>
          <w:b/>
          <w:sz w:val="18"/>
        </w:rPr>
      </w:pPr>
    </w:p>
    <w:p>
      <w:pPr>
        <w:pStyle w:val="Heading2"/>
        <w:spacing w:before="1"/>
      </w:pPr>
      <w:r>
        <w:rPr/>
        <w:t>30-</w:t>
      </w:r>
      <w:r>
        <w:rPr>
          <w:spacing w:val="-5"/>
        </w:rPr>
        <w:t>023</w:t>
      </w:r>
    </w:p>
    <w:p>
      <w:pPr>
        <w:pStyle w:val="BodyText"/>
        <w:spacing w:line="235" w:lineRule="auto" w:before="202"/>
        <w:ind w:left="165" w:right="167"/>
        <w:jc w:val="both"/>
      </w:pPr>
      <w:r>
        <w:rPr/>
        <w:t>Thirdly, although art.1(1) refers to situations involving a choice between the law of different </w:t>
      </w:r>
      <w:r>
        <w:rPr>
          <w:rFonts w:ascii="Arial"/>
          <w:i/>
        </w:rPr>
        <w:t>countries</w:t>
      </w:r>
      <w:r>
        <w:rPr/>
        <w:t>, </w:t>
      </w:r>
      <w:bookmarkStart w:name="_bookmark194" w:id="196"/>
      <w:bookmarkEnd w:id="196"/>
      <w:r>
        <w:rPr/>
        <w:t>the</w:t>
      </w:r>
      <w:r>
        <w:rPr/>
        <w:t> rules of the Convention are intended, also, to apply to situations involving a choice between two</w:t>
      </w:r>
      <w:r>
        <w:rPr>
          <w:spacing w:val="80"/>
        </w:rPr>
        <w:t> </w:t>
      </w:r>
      <w:r>
        <w:rPr/>
        <w:t>or more </w:t>
      </w:r>
      <w:r>
        <w:rPr>
          <w:rFonts w:ascii="Arial"/>
          <w:i/>
        </w:rPr>
        <w:t>legal systems </w:t>
      </w:r>
      <w:r>
        <w:rPr/>
        <w:t>which may not necessarily be the same thing. </w:t>
      </w:r>
      <w:r>
        <w:rPr>
          <w:color w:val="005DA1"/>
          <w:u w:val="single" w:color="005DA1"/>
          <w:vertAlign w:val="superscript"/>
        </w:rPr>
        <w:t>119</w:t>
      </w:r>
      <w:r>
        <w:rPr>
          <w:color w:val="005DA1"/>
          <w:vertAlign w:val="baseline"/>
        </w:rPr>
        <w:t> </w:t>
      </w:r>
      <w:r>
        <w:rPr>
          <w:vertAlign w:val="baseline"/>
        </w:rPr>
        <w:t>Article 19(1) of the Convention provides that where a state comprises territorial units, each of which has its own rules of </w:t>
      </w:r>
      <w:bookmarkStart w:name="_bookmark195" w:id="197"/>
      <w:bookmarkEnd w:id="197"/>
      <w:r>
        <w:rPr>
          <w:vertAlign w:val="baseline"/>
        </w:rPr>
        <w:t>law</w:t>
      </w:r>
      <w:r>
        <w:rPr>
          <w:vertAlign w:val="baseline"/>
        </w:rPr>
        <w:t> in respect of contractual obligations, each territorial unit shall be treated as a country for the purposes</w:t>
      </w:r>
      <w:r>
        <w:rPr>
          <w:spacing w:val="56"/>
          <w:vertAlign w:val="baseline"/>
        </w:rPr>
        <w:t> </w:t>
      </w:r>
      <w:r>
        <w:rPr>
          <w:vertAlign w:val="baseline"/>
        </w:rPr>
        <w:t>of</w:t>
      </w:r>
      <w:r>
        <w:rPr>
          <w:spacing w:val="57"/>
          <w:vertAlign w:val="baseline"/>
        </w:rPr>
        <w:t> </w:t>
      </w:r>
      <w:r>
        <w:rPr>
          <w:vertAlign w:val="baseline"/>
        </w:rPr>
        <w:t>identifying</w:t>
      </w:r>
      <w:r>
        <w:rPr>
          <w:spacing w:val="57"/>
          <w:vertAlign w:val="baseline"/>
        </w:rPr>
        <w:t> </w:t>
      </w:r>
      <w:r>
        <w:rPr>
          <w:vertAlign w:val="baseline"/>
        </w:rPr>
        <w:t>the</w:t>
      </w:r>
      <w:r>
        <w:rPr>
          <w:spacing w:val="57"/>
          <w:vertAlign w:val="baseline"/>
        </w:rPr>
        <w:t> </w:t>
      </w:r>
      <w:r>
        <w:rPr>
          <w:vertAlign w:val="baseline"/>
        </w:rPr>
        <w:t>applicable</w:t>
      </w:r>
      <w:r>
        <w:rPr>
          <w:spacing w:val="57"/>
          <w:vertAlign w:val="baseline"/>
        </w:rPr>
        <w:t> </w:t>
      </w:r>
      <w:r>
        <w:rPr>
          <w:vertAlign w:val="baseline"/>
        </w:rPr>
        <w:t>law.</w:t>
      </w:r>
      <w:r>
        <w:rPr>
          <w:spacing w:val="56"/>
          <w:vertAlign w:val="baseline"/>
        </w:rPr>
        <w:t> </w:t>
      </w:r>
      <w:r>
        <w:rPr>
          <w:color w:val="005DA1"/>
          <w:u w:val="single" w:color="005DA1"/>
          <w:vertAlign w:val="superscript"/>
        </w:rPr>
        <w:t>120</w:t>
      </w:r>
      <w:r>
        <w:rPr>
          <w:color w:val="005DA1"/>
          <w:spacing w:val="56"/>
          <w:vertAlign w:val="baseline"/>
        </w:rPr>
        <w:t> </w:t>
      </w:r>
      <w:r>
        <w:rPr>
          <w:vertAlign w:val="baseline"/>
        </w:rPr>
        <w:t>Hence</w:t>
      </w:r>
      <w:r>
        <w:rPr>
          <w:spacing w:val="57"/>
          <w:vertAlign w:val="baseline"/>
        </w:rPr>
        <w:t> </w:t>
      </w:r>
      <w:r>
        <w:rPr>
          <w:vertAlign w:val="baseline"/>
        </w:rPr>
        <w:t>the</w:t>
      </w:r>
      <w:r>
        <w:rPr>
          <w:spacing w:val="57"/>
          <w:vertAlign w:val="baseline"/>
        </w:rPr>
        <w:t> </w:t>
      </w:r>
      <w:r>
        <w:rPr>
          <w:vertAlign w:val="baseline"/>
        </w:rPr>
        <w:t>rules</w:t>
      </w:r>
      <w:r>
        <w:rPr>
          <w:spacing w:val="57"/>
          <w:vertAlign w:val="baseline"/>
        </w:rPr>
        <w:t> </w:t>
      </w:r>
      <w:r>
        <w:rPr>
          <w:vertAlign w:val="baseline"/>
        </w:rPr>
        <w:t>of</w:t>
      </w:r>
      <w:r>
        <w:rPr>
          <w:spacing w:val="57"/>
          <w:vertAlign w:val="baseline"/>
        </w:rPr>
        <w:t> </w:t>
      </w:r>
      <w:r>
        <w:rPr>
          <w:vertAlign w:val="baseline"/>
        </w:rPr>
        <w:t>the</w:t>
      </w:r>
      <w:r>
        <w:rPr>
          <w:spacing w:val="57"/>
          <w:vertAlign w:val="baseline"/>
        </w:rPr>
        <w:t> </w:t>
      </w:r>
      <w:r>
        <w:rPr>
          <w:vertAlign w:val="baseline"/>
        </w:rPr>
        <w:t>Convention</w:t>
      </w:r>
      <w:r>
        <w:rPr>
          <w:spacing w:val="56"/>
          <w:vertAlign w:val="baseline"/>
        </w:rPr>
        <w:t> </w:t>
      </w:r>
      <w:r>
        <w:rPr>
          <w:vertAlign w:val="baseline"/>
        </w:rPr>
        <w:t>will</w:t>
      </w:r>
      <w:r>
        <w:rPr>
          <w:spacing w:val="57"/>
          <w:vertAlign w:val="baseline"/>
        </w:rPr>
        <w:t> </w:t>
      </w:r>
      <w:r>
        <w:rPr>
          <w:vertAlign w:val="baseline"/>
        </w:rPr>
        <w:t>apply</w:t>
      </w:r>
      <w:r>
        <w:rPr>
          <w:spacing w:val="57"/>
          <w:vertAlign w:val="baseline"/>
        </w:rPr>
        <w:t> </w:t>
      </w:r>
      <w:r>
        <w:rPr>
          <w:spacing w:val="-5"/>
          <w:vertAlign w:val="baseline"/>
        </w:rPr>
        <w:t>to</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96" w:id="198"/>
      <w:bookmarkEnd w:id="198"/>
      <w:r>
        <w:rPr/>
      </w:r>
      <w:r>
        <w:rPr/>
        <w:t>determine, for example, whether a contract is governed by the law of New York </w:t>
      </w:r>
      <w:r>
        <w:rPr>
          <w:color w:val="005DA1"/>
          <w:u w:val="single" w:color="005DA1"/>
          <w:vertAlign w:val="superscript"/>
        </w:rPr>
        <w:t>121</w:t>
      </w:r>
      <w:r>
        <w:rPr>
          <w:color w:val="005DA1"/>
          <w:vertAlign w:val="baseline"/>
        </w:rPr>
        <w:t> </w:t>
      </w:r>
      <w:r>
        <w:rPr>
          <w:vertAlign w:val="baseline"/>
        </w:rPr>
        <w:t>or the law </w:t>
      </w:r>
      <w:r>
        <w:rPr>
          <w:vertAlign w:val="baseline"/>
        </w:rPr>
        <w:t>of California, whether a contract is governed by the law of California or the law of British Columbia, whether</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is</w:t>
      </w:r>
      <w:r>
        <w:rPr>
          <w:spacing w:val="-2"/>
          <w:vertAlign w:val="baseline"/>
        </w:rPr>
        <w:t> </w:t>
      </w:r>
      <w:r>
        <w:rPr>
          <w:vertAlign w:val="baseline"/>
        </w:rPr>
        <w:t>governed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of</w:t>
      </w:r>
      <w:r>
        <w:rPr>
          <w:spacing w:val="-2"/>
          <w:vertAlign w:val="baseline"/>
        </w:rPr>
        <w:t> </w:t>
      </w:r>
      <w:r>
        <w:rPr>
          <w:vertAlign w:val="baseline"/>
        </w:rPr>
        <w:t>England</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of</w:t>
      </w:r>
      <w:r>
        <w:rPr>
          <w:spacing w:val="-2"/>
          <w:vertAlign w:val="baseline"/>
        </w:rPr>
        <w:t> </w:t>
      </w:r>
      <w:r>
        <w:rPr>
          <w:vertAlign w:val="baseline"/>
        </w:rPr>
        <w:t>Luxembourg,</w:t>
      </w:r>
      <w:r>
        <w:rPr>
          <w:spacing w:val="-2"/>
          <w:vertAlign w:val="baseline"/>
        </w:rPr>
        <w:t> </w:t>
      </w:r>
      <w:r>
        <w:rPr>
          <w:vertAlign w:val="baseline"/>
        </w:rPr>
        <w:t>or</w:t>
      </w:r>
      <w:r>
        <w:rPr>
          <w:spacing w:val="-2"/>
          <w:vertAlign w:val="baseline"/>
        </w:rPr>
        <w:t> </w:t>
      </w:r>
      <w:r>
        <w:rPr>
          <w:vertAlign w:val="baseline"/>
        </w:rPr>
        <w:t>whether</w:t>
      </w:r>
      <w:r>
        <w:rPr>
          <w:spacing w:val="-2"/>
          <w:vertAlign w:val="baseline"/>
        </w:rPr>
        <w:t> </w:t>
      </w:r>
      <w:r>
        <w:rPr>
          <w:vertAlign w:val="baseline"/>
        </w:rPr>
        <w:t>a</w:t>
      </w:r>
      <w:r>
        <w:rPr>
          <w:spacing w:val="-2"/>
          <w:vertAlign w:val="baseline"/>
        </w:rPr>
        <w:t> </w:t>
      </w:r>
      <w:r>
        <w:rPr>
          <w:vertAlign w:val="baseline"/>
        </w:rPr>
        <w:t>contract is governed by the law of Germany or the law of France.</w:t>
      </w:r>
    </w:p>
    <w:p>
      <w:pPr>
        <w:pStyle w:val="BodyText"/>
      </w:pPr>
    </w:p>
    <w:p>
      <w:pPr>
        <w:pStyle w:val="BodyText"/>
        <w:spacing w:before="37"/>
      </w:pPr>
    </w:p>
    <w:p>
      <w:pPr>
        <w:spacing w:before="0"/>
        <w:ind w:left="165" w:right="0" w:firstLine="0"/>
        <w:jc w:val="left"/>
        <w:rPr>
          <w:rFonts w:ascii="Arial"/>
          <w:b/>
          <w:sz w:val="18"/>
        </w:rPr>
      </w:pPr>
      <w:r>
        <w:rPr>
          <w:rFonts w:ascii="Arial"/>
          <w:b/>
          <w:sz w:val="18"/>
        </w:rPr>
        <w:t>Different parts of the United </w:t>
      </w:r>
      <w:r>
        <w:rPr>
          <w:rFonts w:ascii="Arial"/>
          <w:b/>
          <w:spacing w:val="-2"/>
          <w:sz w:val="18"/>
        </w:rPr>
        <w:t>Kingdom</w:t>
      </w:r>
    </w:p>
    <w:p>
      <w:pPr>
        <w:pStyle w:val="BodyText"/>
        <w:spacing w:before="42"/>
        <w:rPr>
          <w:rFonts w:ascii="Arial"/>
          <w:b/>
          <w:sz w:val="18"/>
        </w:rPr>
      </w:pPr>
    </w:p>
    <w:p>
      <w:pPr>
        <w:pStyle w:val="Heading2"/>
      </w:pPr>
      <w:r>
        <w:rPr/>
        <w:t>30-</w:t>
      </w:r>
      <w:r>
        <w:rPr>
          <w:spacing w:val="-5"/>
        </w:rPr>
        <w:t>024</w:t>
      </w:r>
    </w:p>
    <w:p>
      <w:pPr>
        <w:pStyle w:val="BodyText"/>
        <w:spacing w:line="235" w:lineRule="auto" w:before="202"/>
        <w:ind w:left="165" w:right="167"/>
        <w:jc w:val="both"/>
      </w:pPr>
      <w:r>
        <w:rPr/>
        <w:t>Fourthly,</w:t>
      </w:r>
      <w:r>
        <w:rPr>
          <w:spacing w:val="-1"/>
        </w:rPr>
        <w:t> </w:t>
      </w:r>
      <w:r>
        <w:rPr/>
        <w:t>the</w:t>
      </w:r>
      <w:r>
        <w:rPr>
          <w:spacing w:val="-1"/>
        </w:rPr>
        <w:t> </w:t>
      </w:r>
      <w:r>
        <w:rPr/>
        <w:t>Convention</w:t>
      </w:r>
      <w:r>
        <w:rPr>
          <w:spacing w:val="-1"/>
        </w:rPr>
        <w:t> </w:t>
      </w:r>
      <w:r>
        <w:rPr/>
        <w:t>rules</w:t>
      </w:r>
      <w:r>
        <w:rPr>
          <w:spacing w:val="-1"/>
        </w:rPr>
        <w:t> </w:t>
      </w:r>
      <w:r>
        <w:rPr/>
        <w:t>will</w:t>
      </w:r>
      <w:r>
        <w:rPr>
          <w:spacing w:val="-1"/>
        </w:rPr>
        <w:t> </w:t>
      </w:r>
      <w:r>
        <w:rPr/>
        <w:t>apply</w:t>
      </w:r>
      <w:r>
        <w:rPr>
          <w:spacing w:val="-1"/>
        </w:rPr>
        <w:t> </w:t>
      </w:r>
      <w:r>
        <w:rPr/>
        <w:t>in</w:t>
      </w:r>
      <w:r>
        <w:rPr>
          <w:spacing w:val="-1"/>
        </w:rPr>
        <w:t> </w:t>
      </w:r>
      <w:r>
        <w:rPr/>
        <w:t>the</w:t>
      </w:r>
      <w:r>
        <w:rPr>
          <w:spacing w:val="-1"/>
        </w:rPr>
        <w:t> </w:t>
      </w:r>
      <w:r>
        <w:rPr/>
        <w:t>case</w:t>
      </w:r>
      <w:r>
        <w:rPr>
          <w:spacing w:val="-1"/>
        </w:rPr>
        <w:t> </w:t>
      </w:r>
      <w:r>
        <w:rPr/>
        <w:t>of</w:t>
      </w:r>
      <w:r>
        <w:rPr>
          <w:spacing w:val="-1"/>
        </w:rPr>
        <w:t> </w:t>
      </w:r>
      <w:r>
        <w:rPr/>
        <w:t>conflicts</w:t>
      </w:r>
      <w:r>
        <w:rPr>
          <w:spacing w:val="-1"/>
        </w:rPr>
        <w:t> </w:t>
      </w:r>
      <w:r>
        <w:rPr/>
        <w:t>between</w:t>
      </w:r>
      <w:r>
        <w:rPr>
          <w:spacing w:val="-1"/>
        </w:rPr>
        <w:t> </w:t>
      </w:r>
      <w:r>
        <w:rPr/>
        <w:t>the</w:t>
      </w:r>
      <w:r>
        <w:rPr>
          <w:spacing w:val="-1"/>
        </w:rPr>
        <w:t> </w:t>
      </w:r>
      <w:r>
        <w:rPr/>
        <w:t>laws</w:t>
      </w:r>
      <w:r>
        <w:rPr>
          <w:spacing w:val="-1"/>
        </w:rPr>
        <w:t> </w:t>
      </w:r>
      <w:r>
        <w:rPr/>
        <w:t>of</w:t>
      </w:r>
      <w:r>
        <w:rPr>
          <w:spacing w:val="-1"/>
        </w:rPr>
        <w:t> </w:t>
      </w:r>
      <w:r>
        <w:rPr/>
        <w:t>the</w:t>
      </w:r>
      <w:r>
        <w:rPr>
          <w:spacing w:val="-1"/>
        </w:rPr>
        <w:t> </w:t>
      </w:r>
      <w:r>
        <w:rPr/>
        <w:t>different</w:t>
      </w:r>
      <w:r>
        <w:rPr>
          <w:spacing w:val="-1"/>
        </w:rPr>
        <w:t> </w:t>
      </w:r>
      <w:r>
        <w:rPr/>
        <w:t>parts of the United Kingdom. For although art.19(2) does not require states within which different territorial units have their own rules of law in respect of contractual obligations to apply the Convention to </w:t>
      </w:r>
      <w:bookmarkStart w:name="_bookmark197" w:id="199"/>
      <w:bookmarkEnd w:id="199"/>
      <w:r>
        <w:rPr/>
        <w:t>conflicts</w:t>
      </w:r>
      <w:r>
        <w:rPr>
          <w:spacing w:val="40"/>
        </w:rPr>
        <w:t> </w:t>
      </w:r>
      <w:r>
        <w:rPr/>
        <w:t>between</w:t>
      </w:r>
      <w:r>
        <w:rPr>
          <w:spacing w:val="40"/>
        </w:rPr>
        <w:t> </w:t>
      </w:r>
      <w:r>
        <w:rPr/>
        <w:t>the</w:t>
      </w:r>
      <w:r>
        <w:rPr>
          <w:spacing w:val="40"/>
        </w:rPr>
        <w:t> </w:t>
      </w:r>
      <w:r>
        <w:rPr/>
        <w:t>laws</w:t>
      </w:r>
      <w:r>
        <w:rPr>
          <w:spacing w:val="40"/>
        </w:rPr>
        <w:t> </w:t>
      </w:r>
      <w:r>
        <w:rPr/>
        <w:t>of</w:t>
      </w:r>
      <w:r>
        <w:rPr>
          <w:spacing w:val="40"/>
        </w:rPr>
        <w:t> </w:t>
      </w:r>
      <w:r>
        <w:rPr/>
        <w:t>such</w:t>
      </w:r>
      <w:r>
        <w:rPr>
          <w:spacing w:val="40"/>
        </w:rPr>
        <w:t> </w:t>
      </w:r>
      <w:r>
        <w:rPr/>
        <w:t>units,</w:t>
      </w:r>
      <w:r>
        <w:rPr>
          <w:spacing w:val="40"/>
        </w:rPr>
        <w:t> </w:t>
      </w:r>
      <w:r>
        <w:rPr/>
        <w:t>the</w:t>
      </w:r>
      <w:r>
        <w:rPr>
          <w:spacing w:val="40"/>
        </w:rPr>
        <w:t> </w:t>
      </w:r>
      <w:r>
        <w:rPr/>
        <w:t>United</w:t>
      </w:r>
      <w:r>
        <w:rPr>
          <w:spacing w:val="40"/>
        </w:rPr>
        <w:t> </w:t>
      </w:r>
      <w:r>
        <w:rPr/>
        <w:t>Kingdom</w:t>
      </w:r>
      <w:r>
        <w:rPr>
          <w:spacing w:val="40"/>
        </w:rPr>
        <w:t> </w:t>
      </w:r>
      <w:r>
        <w:rPr/>
        <w:t>decided</w:t>
      </w:r>
      <w:r>
        <w:rPr>
          <w:spacing w:val="40"/>
        </w:rPr>
        <w:t> </w:t>
      </w:r>
      <w:r>
        <w:rPr/>
        <w:t>to</w:t>
      </w:r>
      <w:r>
        <w:rPr>
          <w:spacing w:val="40"/>
        </w:rPr>
        <w:t> </w:t>
      </w:r>
      <w:r>
        <w:rPr/>
        <w:t>apply</w:t>
      </w:r>
      <w:r>
        <w:rPr>
          <w:spacing w:val="40"/>
        </w:rPr>
        <w:t> </w:t>
      </w:r>
      <w:r>
        <w:rPr/>
        <w:t>those</w:t>
      </w:r>
      <w:r>
        <w:rPr>
          <w:spacing w:val="40"/>
        </w:rPr>
        <w:t> </w:t>
      </w:r>
      <w:r>
        <w:rPr/>
        <w:t>rules</w:t>
      </w:r>
      <w:r>
        <w:rPr>
          <w:spacing w:val="40"/>
        </w:rPr>
        <w:t> </w:t>
      </w:r>
      <w:r>
        <w:rPr/>
        <w:t>to </w:t>
      </w:r>
      <w:bookmarkStart w:name="_bookmark198" w:id="200"/>
      <w:bookmarkEnd w:id="200"/>
      <w:r>
        <w:rPr/>
        <w:t>intra</w:t>
      </w:r>
      <w:r>
        <w:rPr/>
        <w:t>-United Kingdom conflicts. </w:t>
      </w:r>
      <w:r>
        <w:rPr>
          <w:color w:val="005DA1"/>
          <w:u w:val="single" w:color="005DA1"/>
          <w:vertAlign w:val="superscript"/>
        </w:rPr>
        <w:t>122</w:t>
      </w:r>
      <w:r>
        <w:rPr>
          <w:color w:val="005DA1"/>
          <w:vertAlign w:val="baseline"/>
        </w:rPr>
        <w:t> </w:t>
      </w:r>
      <w:r>
        <w:rPr>
          <w:vertAlign w:val="baseline"/>
        </w:rPr>
        <w:t>Accordingly, the rules of the Convention will apply to situations </w:t>
      </w:r>
      <w:bookmarkStart w:name="_bookmark199" w:id="201"/>
      <w:bookmarkEnd w:id="201"/>
      <w:r>
        <w:rPr>
          <w:vertAlign w:val="baseline"/>
        </w:rPr>
        <w:t>involving</w:t>
      </w:r>
      <w:r>
        <w:rPr>
          <w:vertAlign w:val="baseline"/>
        </w:rPr>
        <w:t> a choice between the laws of England and Wales, Scotland and Northern Ireland, </w:t>
      </w:r>
      <w:r>
        <w:rPr>
          <w:color w:val="005DA1"/>
          <w:u w:val="single" w:color="005DA1"/>
          <w:vertAlign w:val="superscript"/>
        </w:rPr>
        <w:t>123</w:t>
      </w:r>
      <w:r>
        <w:rPr>
          <w:color w:val="005DA1"/>
          <w:vertAlign w:val="baseline"/>
        </w:rPr>
        <w:t> </w:t>
      </w:r>
      <w:r>
        <w:rPr>
          <w:vertAlign w:val="baseline"/>
        </w:rPr>
        <w:t>as the case</w:t>
      </w:r>
      <w:r>
        <w:rPr>
          <w:spacing w:val="11"/>
          <w:vertAlign w:val="baseline"/>
        </w:rPr>
        <w:t> </w:t>
      </w:r>
      <w:r>
        <w:rPr>
          <w:vertAlign w:val="baseline"/>
        </w:rPr>
        <w:t>may</w:t>
      </w:r>
      <w:r>
        <w:rPr>
          <w:spacing w:val="11"/>
          <w:vertAlign w:val="baseline"/>
        </w:rPr>
        <w:t> </w:t>
      </w:r>
      <w:r>
        <w:rPr>
          <w:vertAlign w:val="baseline"/>
        </w:rPr>
        <w:t>be,</w:t>
      </w:r>
      <w:r>
        <w:rPr>
          <w:spacing w:val="11"/>
          <w:vertAlign w:val="baseline"/>
        </w:rPr>
        <w:t> </w:t>
      </w:r>
      <w:r>
        <w:rPr>
          <w:vertAlign w:val="baseline"/>
        </w:rPr>
        <w:t>as</w:t>
      </w:r>
      <w:r>
        <w:rPr>
          <w:spacing w:val="11"/>
          <w:vertAlign w:val="baseline"/>
        </w:rPr>
        <w:t> </w:t>
      </w:r>
      <w:r>
        <w:rPr>
          <w:vertAlign w:val="baseline"/>
        </w:rPr>
        <w:t>well</w:t>
      </w:r>
      <w:r>
        <w:rPr>
          <w:spacing w:val="11"/>
          <w:vertAlign w:val="baseline"/>
        </w:rPr>
        <w:t> </w:t>
      </w:r>
      <w:r>
        <w:rPr>
          <w:vertAlign w:val="baseline"/>
        </w:rPr>
        <w:t>as</w:t>
      </w:r>
      <w:r>
        <w:rPr>
          <w:spacing w:val="11"/>
          <w:vertAlign w:val="baseline"/>
        </w:rPr>
        <w:t> </w:t>
      </w:r>
      <w:r>
        <w:rPr>
          <w:vertAlign w:val="baseline"/>
        </w:rPr>
        <w:t>to</w:t>
      </w:r>
      <w:r>
        <w:rPr>
          <w:spacing w:val="11"/>
          <w:vertAlign w:val="baseline"/>
        </w:rPr>
        <w:t> </w:t>
      </w:r>
      <w:r>
        <w:rPr>
          <w:vertAlign w:val="baseline"/>
        </w:rPr>
        <w:t>situations</w:t>
      </w:r>
      <w:r>
        <w:rPr>
          <w:spacing w:val="11"/>
          <w:vertAlign w:val="baseline"/>
        </w:rPr>
        <w:t> </w:t>
      </w:r>
      <w:r>
        <w:rPr>
          <w:vertAlign w:val="baseline"/>
        </w:rPr>
        <w:t>involving</w:t>
      </w:r>
      <w:r>
        <w:rPr>
          <w:spacing w:val="11"/>
          <w:vertAlign w:val="baseline"/>
        </w:rPr>
        <w:t> </w:t>
      </w:r>
      <w:r>
        <w:rPr>
          <w:vertAlign w:val="baseline"/>
        </w:rPr>
        <w:t>a</w:t>
      </w:r>
      <w:r>
        <w:rPr>
          <w:spacing w:val="11"/>
          <w:vertAlign w:val="baseline"/>
        </w:rPr>
        <w:t> </w:t>
      </w:r>
      <w:r>
        <w:rPr>
          <w:vertAlign w:val="baseline"/>
        </w:rPr>
        <w:t>choice</w:t>
      </w:r>
      <w:r>
        <w:rPr>
          <w:spacing w:val="11"/>
          <w:vertAlign w:val="baseline"/>
        </w:rPr>
        <w:t> </w:t>
      </w:r>
      <w:r>
        <w:rPr>
          <w:vertAlign w:val="baseline"/>
        </w:rPr>
        <w:t>between</w:t>
      </w:r>
      <w:r>
        <w:rPr>
          <w:spacing w:val="11"/>
          <w:vertAlign w:val="baseline"/>
        </w:rPr>
        <w:t> </w:t>
      </w:r>
      <w:r>
        <w:rPr>
          <w:vertAlign w:val="baseline"/>
        </w:rPr>
        <w:t>the</w:t>
      </w:r>
      <w:r>
        <w:rPr>
          <w:spacing w:val="11"/>
          <w:vertAlign w:val="baseline"/>
        </w:rPr>
        <w:t> </w:t>
      </w:r>
      <w:r>
        <w:rPr>
          <w:vertAlign w:val="baseline"/>
        </w:rPr>
        <w:t>laws</w:t>
      </w:r>
      <w:r>
        <w:rPr>
          <w:spacing w:val="11"/>
          <w:vertAlign w:val="baseline"/>
        </w:rPr>
        <w:t> </w:t>
      </w:r>
      <w:r>
        <w:rPr>
          <w:vertAlign w:val="baseline"/>
        </w:rPr>
        <w:t>of</w:t>
      </w:r>
      <w:r>
        <w:rPr>
          <w:spacing w:val="11"/>
          <w:vertAlign w:val="baseline"/>
        </w:rPr>
        <w:t> </w:t>
      </w:r>
      <w:r>
        <w:rPr>
          <w:vertAlign w:val="baseline"/>
        </w:rPr>
        <w:t>England</w:t>
      </w:r>
      <w:r>
        <w:rPr>
          <w:spacing w:val="11"/>
          <w:vertAlign w:val="baseline"/>
        </w:rPr>
        <w:t> </w:t>
      </w:r>
      <w:r>
        <w:rPr>
          <w:vertAlign w:val="baseline"/>
        </w:rPr>
        <w:t>and</w:t>
      </w:r>
      <w:r>
        <w:rPr>
          <w:spacing w:val="11"/>
          <w:vertAlign w:val="baseline"/>
        </w:rPr>
        <w:t> </w:t>
      </w:r>
      <w:r>
        <w:rPr>
          <w:spacing w:val="-2"/>
          <w:vertAlign w:val="baseline"/>
        </w:rPr>
        <w:t>Germany.</w:t>
      </w:r>
    </w:p>
    <w:p>
      <w:pPr>
        <w:spacing w:line="111" w:lineRule="exact" w:before="0"/>
        <w:ind w:left="165" w:right="0" w:firstLine="0"/>
        <w:jc w:val="left"/>
        <w:rPr>
          <w:sz w:val="12"/>
        </w:rPr>
      </w:pPr>
      <w:r>
        <w:rPr>
          <w:color w:val="005DA1"/>
          <w:spacing w:val="-5"/>
          <w:sz w:val="12"/>
          <w:u w:val="single" w:color="005DA1"/>
        </w:rPr>
        <w:t>124</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pacing w:val="-2"/>
          <w:sz w:val="18"/>
        </w:rPr>
        <w:t>Mandatory</w:t>
      </w:r>
    </w:p>
    <w:p>
      <w:pPr>
        <w:pStyle w:val="BodyText"/>
        <w:spacing w:before="42"/>
        <w:rPr>
          <w:rFonts w:ascii="Arial"/>
          <w:b/>
          <w:sz w:val="18"/>
        </w:rPr>
      </w:pPr>
    </w:p>
    <w:p>
      <w:pPr>
        <w:pStyle w:val="Heading2"/>
      </w:pPr>
      <w:r>
        <w:rPr/>
        <w:t>30-</w:t>
      </w:r>
      <w:r>
        <w:rPr>
          <w:spacing w:val="-5"/>
        </w:rPr>
        <w:t>025</w:t>
      </w:r>
    </w:p>
    <w:p>
      <w:pPr>
        <w:pStyle w:val="BodyText"/>
        <w:spacing w:line="235" w:lineRule="auto" w:before="202"/>
        <w:ind w:left="164" w:right="167"/>
        <w:jc w:val="both"/>
      </w:pPr>
      <w:r>
        <w:rPr/>
        <w:t>Lastly, it has been suggested that the parties to a contract may be able to exclude the application of the</w:t>
      </w:r>
      <w:r>
        <w:rPr>
          <w:spacing w:val="-2"/>
        </w:rPr>
        <w:t> </w:t>
      </w:r>
      <w:r>
        <w:rPr/>
        <w:t>uniform</w:t>
      </w:r>
      <w:r>
        <w:rPr>
          <w:spacing w:val="-2"/>
        </w:rPr>
        <w:t> </w:t>
      </w:r>
      <w:r>
        <w:rPr/>
        <w:t>rules</w:t>
      </w:r>
      <w:r>
        <w:rPr>
          <w:spacing w:val="-2"/>
        </w:rPr>
        <w:t> </w:t>
      </w:r>
      <w:r>
        <w:rPr/>
        <w:t>contained</w:t>
      </w:r>
      <w:r>
        <w:rPr>
          <w:spacing w:val="-2"/>
        </w:rPr>
        <w:t> </w:t>
      </w:r>
      <w:r>
        <w:rPr/>
        <w:t>in</w:t>
      </w:r>
      <w:r>
        <w:rPr>
          <w:spacing w:val="-2"/>
        </w:rPr>
        <w:t> </w:t>
      </w:r>
      <w:r>
        <w:rPr/>
        <w:t>the</w:t>
      </w:r>
      <w:r>
        <w:rPr>
          <w:spacing w:val="-2"/>
        </w:rPr>
        <w:t> </w:t>
      </w:r>
      <w:r>
        <w:rPr/>
        <w:t>Rome</w:t>
      </w:r>
      <w:r>
        <w:rPr>
          <w:spacing w:val="-2"/>
        </w:rPr>
        <w:t> </w:t>
      </w:r>
      <w:r>
        <w:rPr/>
        <w:t>Convention</w:t>
      </w:r>
      <w:r>
        <w:rPr>
          <w:spacing w:val="-2"/>
        </w:rPr>
        <w:t> </w:t>
      </w:r>
      <w:r>
        <w:rPr/>
        <w:t>by</w:t>
      </w:r>
      <w:r>
        <w:rPr>
          <w:spacing w:val="-2"/>
        </w:rPr>
        <w:t> </w:t>
      </w:r>
      <w:r>
        <w:rPr/>
        <w:t>indicating</w:t>
      </w:r>
      <w:r>
        <w:rPr>
          <w:spacing w:val="-2"/>
        </w:rPr>
        <w:t> </w:t>
      </w:r>
      <w:r>
        <w:rPr/>
        <w:t>a</w:t>
      </w:r>
      <w:r>
        <w:rPr>
          <w:spacing w:val="-2"/>
        </w:rPr>
        <w:t> </w:t>
      </w:r>
      <w:r>
        <w:rPr/>
        <w:t>choice,</w:t>
      </w:r>
      <w:r>
        <w:rPr>
          <w:spacing w:val="-2"/>
        </w:rPr>
        <w:t> </w:t>
      </w:r>
      <w:r>
        <w:rPr/>
        <w:t>in</w:t>
      </w:r>
      <w:r>
        <w:rPr>
          <w:spacing w:val="-2"/>
        </w:rPr>
        <w:t> </w:t>
      </w:r>
      <w:r>
        <w:rPr/>
        <w:t>the</w:t>
      </w:r>
      <w:r>
        <w:rPr>
          <w:spacing w:val="-2"/>
        </w:rPr>
        <w:t> </w:t>
      </w:r>
      <w:r>
        <w:rPr/>
        <w:t>contract,</w:t>
      </w:r>
      <w:r>
        <w:rPr>
          <w:spacing w:val="-2"/>
        </w:rPr>
        <w:t> </w:t>
      </w:r>
      <w:r>
        <w:rPr/>
        <w:t>of</w:t>
      </w:r>
      <w:r>
        <w:rPr>
          <w:spacing w:val="-2"/>
        </w:rPr>
        <w:t> </w:t>
      </w:r>
      <w:r>
        <w:rPr/>
        <w:t>“English </w:t>
      </w:r>
      <w:bookmarkStart w:name="_bookmark200" w:id="202"/>
      <w:bookmarkEnd w:id="202"/>
      <w:r>
        <w:rPr/>
        <w:t>law</w:t>
      </w:r>
      <w:r>
        <w:rPr/>
        <w:t> excluding the Act of 1990” (i.e. the Contracts (Applicable Law) Act 1990) or of English law as it was on the day before the 1990 Act entered into force. </w:t>
      </w:r>
      <w:r>
        <w:rPr>
          <w:color w:val="005DA1"/>
          <w:u w:val="single" w:color="005DA1"/>
          <w:vertAlign w:val="superscript"/>
        </w:rPr>
        <w:t>125</w:t>
      </w:r>
      <w:r>
        <w:rPr>
          <w:color w:val="005DA1"/>
          <w:vertAlign w:val="baseline"/>
        </w:rPr>
        <w:t> </w:t>
      </w:r>
      <w:r>
        <w:rPr>
          <w:vertAlign w:val="baseline"/>
        </w:rPr>
        <w:t>This view cannot be accepted, </w:t>
      </w:r>
      <w:r>
        <w:rPr>
          <w:color w:val="005DA1"/>
          <w:u w:val="single" w:color="005DA1"/>
          <w:vertAlign w:val="superscript"/>
        </w:rPr>
        <w:t>126</w:t>
      </w:r>
      <w:r>
        <w:rPr>
          <w:color w:val="005DA1"/>
          <w:spacing w:val="40"/>
          <w:vertAlign w:val="baseline"/>
        </w:rPr>
        <w:t> </w:t>
      </w:r>
      <w:bookmarkStart w:name="_bookmark201" w:id="203"/>
      <w:bookmarkEnd w:id="203"/>
      <w:r>
        <w:rPr>
          <w:color w:val="005DA1"/>
          <w:w w:val="92"/>
          <w:vertAlign w:val="baseline"/>
        </w:rPr>
      </w:r>
      <w:r>
        <w:rPr>
          <w:vertAlign w:val="baseline"/>
        </w:rPr>
        <w:t>principally because the 1990 Act provides, in unambiguous terms, that the Convention shall have </w:t>
      </w:r>
      <w:r>
        <w:rPr>
          <w:vertAlign w:val="baseline"/>
        </w:rPr>
        <w:t>“the force of law” in the United Kingdom </w:t>
      </w:r>
      <w:r>
        <w:rPr>
          <w:color w:val="005DA1"/>
          <w:u w:val="single" w:color="005DA1"/>
          <w:vertAlign w:val="superscript"/>
        </w:rPr>
        <w:t>127</w:t>
      </w:r>
      <w:r>
        <w:rPr>
          <w:color w:val="005DA1"/>
          <w:vertAlign w:val="baseline"/>
        </w:rPr>
        <w:t> </w:t>
      </w:r>
      <w:r>
        <w:rPr>
          <w:vertAlign w:val="baseline"/>
        </w:rPr>
        <w:t>and because it is stated in the Convention itself that the </w:t>
      </w:r>
      <w:r>
        <w:rPr>
          <w:spacing w:val="-2"/>
          <w:vertAlign w:val="baseline"/>
        </w:rPr>
        <w:t>Convention:</w:t>
      </w:r>
    </w:p>
    <w:p>
      <w:pPr>
        <w:pStyle w:val="BodyText"/>
      </w:pPr>
    </w:p>
    <w:p>
      <w:pPr>
        <w:pStyle w:val="BodyText"/>
        <w:spacing w:before="124"/>
      </w:pPr>
    </w:p>
    <w:p>
      <w:pPr>
        <w:pStyle w:val="BodyText"/>
        <w:spacing w:line="235" w:lineRule="auto" w:before="1"/>
        <w:ind w:left="1245"/>
      </w:pPr>
      <w:bookmarkStart w:name="_bookmark202" w:id="204"/>
      <w:bookmarkEnd w:id="204"/>
      <w:r>
        <w:rPr/>
      </w:r>
      <w:r>
        <w:rPr/>
        <w:t>“…</w:t>
      </w:r>
      <w:r>
        <w:rPr>
          <w:spacing w:val="37"/>
        </w:rPr>
        <w:t> </w:t>
      </w:r>
      <w:r>
        <w:rPr>
          <w:rFonts w:ascii="Arial" w:hAnsi="Arial"/>
          <w:i/>
        </w:rPr>
        <w:t>shall</w:t>
      </w:r>
      <w:r>
        <w:rPr>
          <w:rFonts w:ascii="Arial" w:hAnsi="Arial"/>
          <w:i/>
          <w:spacing w:val="37"/>
        </w:rPr>
        <w:t> </w:t>
      </w:r>
      <w:r>
        <w:rPr/>
        <w:t>apply</w:t>
      </w:r>
      <w:r>
        <w:rPr>
          <w:spacing w:val="37"/>
        </w:rPr>
        <w:t> </w:t>
      </w:r>
      <w:r>
        <w:rPr/>
        <w:t>in</w:t>
      </w:r>
      <w:r>
        <w:rPr>
          <w:spacing w:val="37"/>
        </w:rPr>
        <w:t> </w:t>
      </w:r>
      <w:r>
        <w:rPr/>
        <w:t>a</w:t>
      </w:r>
      <w:r>
        <w:rPr>
          <w:spacing w:val="37"/>
        </w:rPr>
        <w:t> </w:t>
      </w:r>
      <w:r>
        <w:rPr/>
        <w:t>Contracting</w:t>
      </w:r>
      <w:r>
        <w:rPr>
          <w:spacing w:val="37"/>
        </w:rPr>
        <w:t> </w:t>
      </w:r>
      <w:r>
        <w:rPr/>
        <w:t>State</w:t>
      </w:r>
      <w:r>
        <w:rPr>
          <w:spacing w:val="37"/>
        </w:rPr>
        <w:t> </w:t>
      </w:r>
      <w:r>
        <w:rPr/>
        <w:t>to</w:t>
      </w:r>
      <w:r>
        <w:rPr>
          <w:spacing w:val="37"/>
        </w:rPr>
        <w:t> </w:t>
      </w:r>
      <w:r>
        <w:rPr/>
        <w:t>contracts</w:t>
      </w:r>
      <w:r>
        <w:rPr>
          <w:spacing w:val="37"/>
        </w:rPr>
        <w:t> </w:t>
      </w:r>
      <w:r>
        <w:rPr/>
        <w:t>made</w:t>
      </w:r>
      <w:r>
        <w:rPr>
          <w:spacing w:val="37"/>
        </w:rPr>
        <w:t> </w:t>
      </w:r>
      <w:r>
        <w:rPr/>
        <w:t>after</w:t>
      </w:r>
      <w:r>
        <w:rPr>
          <w:spacing w:val="37"/>
        </w:rPr>
        <w:t> </w:t>
      </w:r>
      <w:r>
        <w:rPr/>
        <w:t>the</w:t>
      </w:r>
      <w:r>
        <w:rPr>
          <w:spacing w:val="37"/>
        </w:rPr>
        <w:t> </w:t>
      </w:r>
      <w:r>
        <w:rPr/>
        <w:t>date</w:t>
      </w:r>
      <w:r>
        <w:rPr>
          <w:spacing w:val="37"/>
        </w:rPr>
        <w:t> </w:t>
      </w:r>
      <w:r>
        <w:rPr/>
        <w:t>on</w:t>
      </w:r>
      <w:r>
        <w:rPr>
          <w:spacing w:val="37"/>
        </w:rPr>
        <w:t> </w:t>
      </w:r>
      <w:r>
        <w:rPr/>
        <w:t>which</w:t>
      </w:r>
      <w:r>
        <w:rPr>
          <w:spacing w:val="37"/>
        </w:rPr>
        <w:t> </w:t>
      </w:r>
      <w:r>
        <w:rPr/>
        <w:t>this Convention has entered into force with respect to that State.” </w:t>
      </w:r>
      <w:r>
        <w:rPr>
          <w:color w:val="005DA1"/>
          <w:u w:val="single" w:color="005DA1"/>
          <w:vertAlign w:val="superscript"/>
        </w:rPr>
        <w:t>128</w:t>
      </w:r>
    </w:p>
    <w:p>
      <w:pPr>
        <w:pStyle w:val="BodyText"/>
        <w:spacing w:before="115"/>
      </w:pPr>
    </w:p>
    <w:p>
      <w:pPr>
        <w:pStyle w:val="BodyText"/>
        <w:spacing w:line="235" w:lineRule="auto" w:before="1"/>
        <w:ind w:left="165" w:right="167"/>
        <w:jc w:val="both"/>
      </w:pPr>
      <w:bookmarkStart w:name="_bookmark203" w:id="205"/>
      <w:bookmarkEnd w:id="205"/>
      <w:r>
        <w:rPr/>
      </w:r>
      <w:r>
        <w:rPr/>
        <w:t>The</w:t>
      </w:r>
      <w:r>
        <w:rPr>
          <w:spacing w:val="-2"/>
        </w:rPr>
        <w:t> </w:t>
      </w:r>
      <w:r>
        <w:rPr/>
        <w:t>words</w:t>
      </w:r>
      <w:r>
        <w:rPr>
          <w:spacing w:val="-2"/>
        </w:rPr>
        <w:t> </w:t>
      </w:r>
      <w:r>
        <w:rPr/>
        <w:t>of</w:t>
      </w:r>
      <w:r>
        <w:rPr>
          <w:spacing w:val="-2"/>
        </w:rPr>
        <w:t> </w:t>
      </w:r>
      <w:r>
        <w:rPr/>
        <w:t>the</w:t>
      </w:r>
      <w:r>
        <w:rPr>
          <w:spacing w:val="-2"/>
        </w:rPr>
        <w:t> </w:t>
      </w:r>
      <w:r>
        <w:rPr/>
        <w:t>Act</w:t>
      </w:r>
      <w:r>
        <w:rPr>
          <w:spacing w:val="-2"/>
        </w:rPr>
        <w:t> </w:t>
      </w:r>
      <w:r>
        <w:rPr/>
        <w:t>denote</w:t>
      </w:r>
      <w:r>
        <w:rPr>
          <w:spacing w:val="-2"/>
        </w:rPr>
        <w:t> </w:t>
      </w:r>
      <w:r>
        <w:rPr/>
        <w:t>the</w:t>
      </w:r>
      <w:r>
        <w:rPr>
          <w:spacing w:val="-2"/>
        </w:rPr>
        <w:t> </w:t>
      </w:r>
      <w:r>
        <w:rPr/>
        <w:t>mandatory</w:t>
      </w:r>
      <w:r>
        <w:rPr>
          <w:spacing w:val="-2"/>
        </w:rPr>
        <w:t> </w:t>
      </w:r>
      <w:r>
        <w:rPr/>
        <w:t>character</w:t>
      </w:r>
      <w:r>
        <w:rPr>
          <w:spacing w:val="-2"/>
        </w:rPr>
        <w:t> </w:t>
      </w:r>
      <w:r>
        <w:rPr/>
        <w:t>of</w:t>
      </w:r>
      <w:r>
        <w:rPr>
          <w:spacing w:val="-2"/>
        </w:rPr>
        <w:t> </w:t>
      </w:r>
      <w:r>
        <w:rPr/>
        <w:t>the</w:t>
      </w:r>
      <w:r>
        <w:rPr>
          <w:spacing w:val="-2"/>
        </w:rPr>
        <w:t> </w:t>
      </w:r>
      <w:r>
        <w:rPr/>
        <w:t>rules,</w:t>
      </w:r>
      <w:r>
        <w:rPr>
          <w:spacing w:val="-2"/>
        </w:rPr>
        <w:t> </w:t>
      </w:r>
      <w:r>
        <w:rPr/>
        <w:t>as</w:t>
      </w:r>
      <w:r>
        <w:rPr>
          <w:spacing w:val="-2"/>
        </w:rPr>
        <w:t> </w:t>
      </w:r>
      <w:r>
        <w:rPr/>
        <w:t>a</w:t>
      </w:r>
      <w:r>
        <w:rPr>
          <w:spacing w:val="-2"/>
        </w:rPr>
        <w:t> </w:t>
      </w:r>
      <w:r>
        <w:rPr/>
        <w:t>matter</w:t>
      </w:r>
      <w:r>
        <w:rPr>
          <w:spacing w:val="-2"/>
        </w:rPr>
        <w:t> </w:t>
      </w:r>
      <w:r>
        <w:rPr/>
        <w:t>of</w:t>
      </w:r>
      <w:r>
        <w:rPr>
          <w:spacing w:val="-2"/>
        </w:rPr>
        <w:t> </w:t>
      </w:r>
      <w:r>
        <w:rPr/>
        <w:t>English</w:t>
      </w:r>
      <w:r>
        <w:rPr>
          <w:spacing w:val="-2"/>
        </w:rPr>
        <w:t> </w:t>
      </w:r>
      <w:r>
        <w:rPr/>
        <w:t>law,</w:t>
      </w:r>
      <w:r>
        <w:rPr>
          <w:spacing w:val="-3"/>
        </w:rPr>
        <w:t> </w:t>
      </w:r>
      <w:r>
        <w:rPr>
          <w:color w:val="005DA1"/>
          <w:u w:val="single" w:color="005DA1"/>
          <w:vertAlign w:val="superscript"/>
        </w:rPr>
        <w:t>129</w:t>
      </w:r>
      <w:r>
        <w:rPr>
          <w:color w:val="005DA1"/>
          <w:spacing w:val="-2"/>
          <w:vertAlign w:val="baseline"/>
        </w:rPr>
        <w:t> </w:t>
      </w:r>
      <w:r>
        <w:rPr>
          <w:vertAlign w:val="baseline"/>
        </w:rPr>
        <w:t>while the words of the Convention clearly indicate a treaty obligation on the United Kingdom to implement the provisions of the Convention, which obligation has, of course, been discharged in the 1990 Act.</w:t>
      </w:r>
    </w:p>
    <w:p>
      <w:pPr>
        <w:pStyle w:val="BodyText"/>
      </w:pPr>
    </w:p>
    <w:p>
      <w:pPr>
        <w:pStyle w:val="BodyText"/>
        <w:spacing w:before="37"/>
      </w:pPr>
    </w:p>
    <w:p>
      <w:pPr>
        <w:spacing w:before="0"/>
        <w:ind w:left="165" w:right="0" w:firstLine="0"/>
        <w:jc w:val="left"/>
        <w:rPr>
          <w:rFonts w:ascii="Arial"/>
          <w:b/>
          <w:sz w:val="18"/>
        </w:rPr>
      </w:pPr>
      <w:r>
        <w:rPr>
          <w:rFonts w:ascii="Arial"/>
          <w:b/>
          <w:sz w:val="18"/>
        </w:rPr>
        <w:t>Relationship with other Conventions and EU </w:t>
      </w:r>
      <w:r>
        <w:rPr>
          <w:rFonts w:ascii="Arial"/>
          <w:b/>
          <w:spacing w:val="-5"/>
          <w:sz w:val="18"/>
        </w:rPr>
        <w:t>law</w:t>
      </w:r>
    </w:p>
    <w:p>
      <w:pPr>
        <w:pStyle w:val="BodyText"/>
        <w:spacing w:before="41"/>
        <w:rPr>
          <w:rFonts w:ascii="Arial"/>
          <w:b/>
          <w:sz w:val="18"/>
        </w:rPr>
      </w:pPr>
    </w:p>
    <w:p>
      <w:pPr>
        <w:pStyle w:val="Heading2"/>
      </w:pPr>
      <w:r>
        <w:rPr/>
        <w:t>30-</w:t>
      </w:r>
      <w:r>
        <w:rPr>
          <w:spacing w:val="-5"/>
        </w:rPr>
        <w:t>026</w:t>
      </w:r>
    </w:p>
    <w:p>
      <w:pPr>
        <w:pStyle w:val="BodyText"/>
        <w:spacing w:line="235" w:lineRule="auto" w:before="203"/>
        <w:ind w:left="165" w:right="167"/>
        <w:jc w:val="both"/>
      </w:pPr>
      <w:bookmarkStart w:name="_bookmark204" w:id="206"/>
      <w:bookmarkEnd w:id="206"/>
      <w:r>
        <w:rPr/>
      </w:r>
      <w:r>
        <w:rPr/>
        <w:t>Article</w:t>
      </w:r>
      <w:r>
        <w:rPr>
          <w:spacing w:val="-2"/>
        </w:rPr>
        <w:t> </w:t>
      </w:r>
      <w:r>
        <w:rPr/>
        <w:t>21</w:t>
      </w:r>
      <w:r>
        <w:rPr>
          <w:spacing w:val="-2"/>
        </w:rPr>
        <w:t> </w:t>
      </w:r>
      <w:r>
        <w:rPr/>
        <w:t>of</w:t>
      </w:r>
      <w:r>
        <w:rPr>
          <w:spacing w:val="-2"/>
        </w:rPr>
        <w:t> </w:t>
      </w:r>
      <w:r>
        <w:rPr/>
        <w:t>the</w:t>
      </w:r>
      <w:r>
        <w:rPr>
          <w:spacing w:val="-2"/>
        </w:rPr>
        <w:t> </w:t>
      </w:r>
      <w:r>
        <w:rPr/>
        <w:t>Rome</w:t>
      </w:r>
      <w:r>
        <w:rPr>
          <w:spacing w:val="-2"/>
        </w:rPr>
        <w:t> </w:t>
      </w:r>
      <w:r>
        <w:rPr/>
        <w:t>Convention</w:t>
      </w:r>
      <w:r>
        <w:rPr>
          <w:spacing w:val="-2"/>
        </w:rPr>
        <w:t> </w:t>
      </w:r>
      <w:r>
        <w:rPr/>
        <w:t>stipulates</w:t>
      </w:r>
      <w:r>
        <w:rPr>
          <w:spacing w:val="-2"/>
        </w:rPr>
        <w:t> </w:t>
      </w:r>
      <w:r>
        <w:rPr/>
        <w:t>that</w:t>
      </w:r>
      <w:r>
        <w:rPr>
          <w:spacing w:val="-2"/>
        </w:rPr>
        <w:t> </w:t>
      </w:r>
      <w:r>
        <w:rPr/>
        <w:t>the</w:t>
      </w:r>
      <w:r>
        <w:rPr>
          <w:spacing w:val="-2"/>
        </w:rPr>
        <w:t> </w:t>
      </w:r>
      <w:r>
        <w:rPr/>
        <w:t>Convention</w:t>
      </w:r>
      <w:r>
        <w:rPr>
          <w:spacing w:val="-2"/>
        </w:rPr>
        <w:t> </w:t>
      </w:r>
      <w:r>
        <w:rPr/>
        <w:t>is</w:t>
      </w:r>
      <w:r>
        <w:rPr>
          <w:spacing w:val="-2"/>
        </w:rPr>
        <w:t> </w:t>
      </w:r>
      <w:r>
        <w:rPr/>
        <w:t>not</w:t>
      </w:r>
      <w:r>
        <w:rPr>
          <w:spacing w:val="-2"/>
        </w:rPr>
        <w:t> </w:t>
      </w:r>
      <w:r>
        <w:rPr/>
        <w:t>“to</w:t>
      </w:r>
      <w:r>
        <w:rPr>
          <w:spacing w:val="-2"/>
        </w:rPr>
        <w:t> </w:t>
      </w:r>
      <w:r>
        <w:rPr/>
        <w:t>prejudice</w:t>
      </w:r>
      <w:r>
        <w:rPr>
          <w:spacing w:val="-2"/>
        </w:rPr>
        <w:t> </w:t>
      </w:r>
      <w:r>
        <w:rPr/>
        <w:t>the</w:t>
      </w:r>
      <w:r>
        <w:rPr>
          <w:spacing w:val="-2"/>
        </w:rPr>
        <w:t> </w:t>
      </w:r>
      <w:r>
        <w:rPr/>
        <w:t>application</w:t>
      </w:r>
      <w:r>
        <w:rPr>
          <w:spacing w:val="-2"/>
        </w:rPr>
        <w:t> </w:t>
      </w:r>
      <w:r>
        <w:rPr/>
        <w:t>of international conventions to which a contracting state is, or becomes, a party”. </w:t>
      </w:r>
      <w:r>
        <w:rPr>
          <w:color w:val="005DA1"/>
          <w:u w:val="single" w:color="005DA1"/>
          <w:vertAlign w:val="superscript"/>
        </w:rPr>
        <w:t>130</w:t>
      </w:r>
      <w:r>
        <w:rPr>
          <w:color w:val="005DA1"/>
          <w:vertAlign w:val="baseline"/>
        </w:rPr>
        <w:t> </w:t>
      </w:r>
      <w:r>
        <w:rPr>
          <w:vertAlign w:val="baseline"/>
        </w:rPr>
        <w:t>Accordingly,</w:t>
      </w:r>
      <w:r>
        <w:rPr>
          <w:spacing w:val="40"/>
          <w:vertAlign w:val="baseline"/>
        </w:rPr>
        <w:t> </w:t>
      </w:r>
      <w:bookmarkStart w:name="_bookmark205" w:id="207"/>
      <w:bookmarkEnd w:id="207"/>
      <w:r>
        <w:rPr>
          <w:vertAlign w:val="baseline"/>
        </w:rPr>
        <w:t>existing</w:t>
      </w:r>
      <w:r>
        <w:rPr>
          <w:spacing w:val="-2"/>
          <w:vertAlign w:val="baseline"/>
        </w:rPr>
        <w:t> </w:t>
      </w:r>
      <w:r>
        <w:rPr>
          <w:vertAlign w:val="baseline"/>
        </w:rPr>
        <w:t>and</w:t>
      </w:r>
      <w:r>
        <w:rPr>
          <w:spacing w:val="-2"/>
          <w:vertAlign w:val="baseline"/>
        </w:rPr>
        <w:t> </w:t>
      </w:r>
      <w:r>
        <w:rPr>
          <w:vertAlign w:val="baseline"/>
        </w:rPr>
        <w:t>future</w:t>
      </w:r>
      <w:r>
        <w:rPr>
          <w:spacing w:val="-2"/>
          <w:vertAlign w:val="baseline"/>
        </w:rPr>
        <w:t> </w:t>
      </w:r>
      <w:r>
        <w:rPr>
          <w:vertAlign w:val="baseline"/>
        </w:rPr>
        <w:t>conventions</w:t>
      </w:r>
      <w:r>
        <w:rPr>
          <w:spacing w:val="-2"/>
          <w:vertAlign w:val="baseline"/>
        </w:rPr>
        <w:t> </w:t>
      </w:r>
      <w:r>
        <w:rPr>
          <w:vertAlign w:val="baseline"/>
        </w:rPr>
        <w:t>entered</w:t>
      </w:r>
      <w:r>
        <w:rPr>
          <w:spacing w:val="-2"/>
          <w:vertAlign w:val="baseline"/>
        </w:rPr>
        <w:t> </w:t>
      </w:r>
      <w:r>
        <w:rPr>
          <w:vertAlign w:val="baseline"/>
        </w:rPr>
        <w:t>into</w:t>
      </w:r>
      <w:r>
        <w:rPr>
          <w:spacing w:val="-2"/>
          <w:vertAlign w:val="baseline"/>
        </w:rPr>
        <w:t> </w:t>
      </w:r>
      <w:r>
        <w:rPr>
          <w:vertAlign w:val="baseline"/>
        </w:rPr>
        <w:t>by</w:t>
      </w:r>
      <w:r>
        <w:rPr>
          <w:spacing w:val="-2"/>
          <w:vertAlign w:val="baseline"/>
        </w:rPr>
        <w:t> </w:t>
      </w:r>
      <w:r>
        <w:rPr>
          <w:vertAlign w:val="baseline"/>
        </w:rPr>
        <w:t>contracting</w:t>
      </w:r>
      <w:r>
        <w:rPr>
          <w:spacing w:val="-2"/>
          <w:vertAlign w:val="baseline"/>
        </w:rPr>
        <w:t> </w:t>
      </w:r>
      <w:r>
        <w:rPr>
          <w:vertAlign w:val="baseline"/>
        </w:rPr>
        <w:t>states</w:t>
      </w:r>
      <w:r>
        <w:rPr>
          <w:spacing w:val="-2"/>
          <w:vertAlign w:val="baseline"/>
        </w:rPr>
        <w:t> </w:t>
      </w:r>
      <w:r>
        <w:rPr>
          <w:vertAlign w:val="baseline"/>
        </w:rPr>
        <w:t>will</w:t>
      </w:r>
      <w:r>
        <w:rPr>
          <w:spacing w:val="-2"/>
          <w:vertAlign w:val="baseline"/>
        </w:rPr>
        <w:t> </w:t>
      </w:r>
      <w:r>
        <w:rPr>
          <w:vertAlign w:val="baseline"/>
        </w:rPr>
        <w:t>apply</w:t>
      </w:r>
      <w:r>
        <w:rPr>
          <w:spacing w:val="-2"/>
          <w:vertAlign w:val="baseline"/>
        </w:rPr>
        <w:t> </w:t>
      </w:r>
      <w:r>
        <w:rPr>
          <w:vertAlign w:val="baseline"/>
        </w:rPr>
        <w:t>in</w:t>
      </w:r>
      <w:r>
        <w:rPr>
          <w:spacing w:val="-2"/>
          <w:vertAlign w:val="baseline"/>
        </w:rPr>
        <w:t> </w:t>
      </w:r>
      <w:r>
        <w:rPr>
          <w:vertAlign w:val="baseline"/>
        </w:rPr>
        <w:t>those</w:t>
      </w:r>
      <w:r>
        <w:rPr>
          <w:spacing w:val="-2"/>
          <w:vertAlign w:val="baseline"/>
        </w:rPr>
        <w:t> </w:t>
      </w:r>
      <w:r>
        <w:rPr>
          <w:vertAlign w:val="baseline"/>
        </w:rPr>
        <w:t>states</w:t>
      </w:r>
      <w:r>
        <w:rPr>
          <w:spacing w:val="-2"/>
          <w:vertAlign w:val="baseline"/>
        </w:rPr>
        <w:t> </w:t>
      </w:r>
      <w:r>
        <w:rPr>
          <w:vertAlign w:val="baseline"/>
        </w:rPr>
        <w:t>despite</w:t>
      </w:r>
      <w:r>
        <w:rPr>
          <w:spacing w:val="-2"/>
          <w:vertAlign w:val="baseline"/>
        </w:rPr>
        <w:t> </w:t>
      </w:r>
      <w:r>
        <w:rPr>
          <w:vertAlign w:val="baseline"/>
        </w:rPr>
        <w:t>the existence of the Rome Convention. </w:t>
      </w:r>
      <w:r>
        <w:rPr>
          <w:color w:val="005DA1"/>
          <w:u w:val="single" w:color="005DA1"/>
          <w:vertAlign w:val="superscript"/>
        </w:rPr>
        <w:t>131</w:t>
      </w:r>
      <w:r>
        <w:rPr>
          <w:color w:val="005DA1"/>
          <w:vertAlign w:val="baseline"/>
        </w:rPr>
        <w:t> </w:t>
      </w:r>
      <w:r>
        <w:rPr>
          <w:vertAlign w:val="baseline"/>
        </w:rPr>
        <w:t>Further, art.20 seeks to avoid conflicts between the Rome Convention regime and choice of law provisions contained in acts of the institutions of the European </w:t>
      </w:r>
      <w:bookmarkStart w:name="_bookmark206" w:id="208"/>
      <w:bookmarkEnd w:id="208"/>
      <w:r>
        <w:rPr>
          <w:vertAlign w:val="baseline"/>
        </w:rPr>
        <w:t>Communities</w:t>
      </w:r>
      <w:r>
        <w:rPr>
          <w:vertAlign w:val="baseline"/>
        </w:rPr>
        <w:t> or in national law harmonised in accordance with such acts by providing that the latter provisions shall take precedence over the rules contained in the Convention. </w:t>
      </w:r>
      <w:r>
        <w:rPr>
          <w:color w:val="005DA1"/>
          <w:u w:val="single" w:color="005DA1"/>
          <w:vertAlign w:val="superscript"/>
        </w:rPr>
        <w:t>132</w:t>
      </w:r>
    </w:p>
    <w:p>
      <w:pPr>
        <w:pStyle w:val="BodyText"/>
      </w:pPr>
    </w:p>
    <w:p>
      <w:pPr>
        <w:pStyle w:val="BodyText"/>
        <w:spacing w:before="36"/>
      </w:pPr>
    </w:p>
    <w:p>
      <w:pPr>
        <w:spacing w:before="0"/>
        <w:ind w:left="165" w:right="0" w:firstLine="0"/>
        <w:jc w:val="left"/>
        <w:rPr>
          <w:rFonts w:ascii="Arial"/>
          <w:b/>
          <w:sz w:val="18"/>
        </w:rPr>
      </w:pPr>
      <w:r>
        <w:rPr>
          <w:rFonts w:ascii="Arial"/>
          <w:b/>
          <w:sz w:val="18"/>
        </w:rPr>
        <w:t>No </w:t>
      </w:r>
      <w:r>
        <w:rPr>
          <w:rFonts w:ascii="Arial"/>
          <w:b/>
          <w:spacing w:val="-2"/>
          <w:sz w:val="18"/>
        </w:rPr>
        <w:t>renvoi</w:t>
      </w:r>
    </w:p>
    <w:p>
      <w:pPr>
        <w:pStyle w:val="BodyText"/>
        <w:spacing w:before="41"/>
        <w:rPr>
          <w:rFonts w:ascii="Arial"/>
          <w:b/>
          <w:sz w:val="18"/>
        </w:rPr>
      </w:pPr>
    </w:p>
    <w:p>
      <w:pPr>
        <w:pStyle w:val="Heading2"/>
      </w:pPr>
      <w:r>
        <w:rPr/>
        <w:t>30-</w:t>
      </w:r>
      <w:r>
        <w:rPr>
          <w:spacing w:val="-5"/>
        </w:rPr>
        <w:t>027</w:t>
      </w:r>
    </w:p>
    <w:p>
      <w:pPr>
        <w:pStyle w:val="BodyText"/>
        <w:spacing w:before="199"/>
        <w:ind w:left="165"/>
        <w:jc w:val="both"/>
      </w:pPr>
      <w:bookmarkStart w:name="_bookmark207" w:id="209"/>
      <w:bookmarkEnd w:id="209"/>
      <w:r>
        <w:rPr/>
      </w:r>
      <w:r>
        <w:rPr/>
        <w:t>Reflecting</w:t>
      </w:r>
      <w:r>
        <w:rPr>
          <w:spacing w:val="33"/>
        </w:rPr>
        <w:t> </w:t>
      </w:r>
      <w:r>
        <w:rPr/>
        <w:t>the</w:t>
      </w:r>
      <w:r>
        <w:rPr>
          <w:spacing w:val="34"/>
        </w:rPr>
        <w:t> </w:t>
      </w:r>
      <w:r>
        <w:rPr/>
        <w:t>common</w:t>
      </w:r>
      <w:r>
        <w:rPr>
          <w:spacing w:val="34"/>
        </w:rPr>
        <w:t> </w:t>
      </w:r>
      <w:r>
        <w:rPr/>
        <w:t>law,</w:t>
      </w:r>
      <w:r>
        <w:rPr>
          <w:spacing w:val="34"/>
        </w:rPr>
        <w:t> </w:t>
      </w:r>
      <w:r>
        <w:rPr>
          <w:color w:val="005DA1"/>
          <w:u w:val="single" w:color="005DA1"/>
          <w:vertAlign w:val="superscript"/>
        </w:rPr>
        <w:t>133</w:t>
      </w:r>
      <w:r>
        <w:rPr>
          <w:color w:val="005DA1"/>
          <w:spacing w:val="34"/>
          <w:vertAlign w:val="baseline"/>
        </w:rPr>
        <w:t> </w:t>
      </w:r>
      <w:r>
        <w:rPr>
          <w:vertAlign w:val="baseline"/>
        </w:rPr>
        <w:t>art.15</w:t>
      </w:r>
      <w:r>
        <w:rPr>
          <w:spacing w:val="34"/>
          <w:vertAlign w:val="baseline"/>
        </w:rPr>
        <w:t> </w:t>
      </w:r>
      <w:r>
        <w:rPr>
          <w:vertAlign w:val="baseline"/>
        </w:rPr>
        <w:t>of</w:t>
      </w:r>
      <w:r>
        <w:rPr>
          <w:spacing w:val="33"/>
          <w:vertAlign w:val="baseline"/>
        </w:rPr>
        <w:t> </w:t>
      </w:r>
      <w:r>
        <w:rPr>
          <w:vertAlign w:val="baseline"/>
        </w:rPr>
        <w:t>the</w:t>
      </w:r>
      <w:r>
        <w:rPr>
          <w:spacing w:val="34"/>
          <w:vertAlign w:val="baseline"/>
        </w:rPr>
        <w:t> </w:t>
      </w:r>
      <w:r>
        <w:rPr>
          <w:vertAlign w:val="baseline"/>
        </w:rPr>
        <w:t>Rome</w:t>
      </w:r>
      <w:r>
        <w:rPr>
          <w:spacing w:val="34"/>
          <w:vertAlign w:val="baseline"/>
        </w:rPr>
        <w:t> </w:t>
      </w:r>
      <w:r>
        <w:rPr>
          <w:vertAlign w:val="baseline"/>
        </w:rPr>
        <w:t>Convention</w:t>
      </w:r>
      <w:r>
        <w:rPr>
          <w:spacing w:val="34"/>
          <w:vertAlign w:val="baseline"/>
        </w:rPr>
        <w:t> </w:t>
      </w:r>
      <w:r>
        <w:rPr>
          <w:vertAlign w:val="baseline"/>
        </w:rPr>
        <w:t>excludes</w:t>
      </w:r>
      <w:r>
        <w:rPr>
          <w:spacing w:val="34"/>
          <w:vertAlign w:val="baseline"/>
        </w:rPr>
        <w:t> </w:t>
      </w:r>
      <w:r>
        <w:rPr>
          <w:vertAlign w:val="baseline"/>
        </w:rPr>
        <w:t>the</w:t>
      </w:r>
      <w:r>
        <w:rPr>
          <w:spacing w:val="34"/>
          <w:vertAlign w:val="baseline"/>
        </w:rPr>
        <w:t> </w:t>
      </w:r>
      <w:r>
        <w:rPr>
          <w:vertAlign w:val="baseline"/>
        </w:rPr>
        <w:t>doctrine</w:t>
      </w:r>
      <w:r>
        <w:rPr>
          <w:spacing w:val="33"/>
          <w:vertAlign w:val="baseline"/>
        </w:rPr>
        <w:t> </w:t>
      </w:r>
      <w:r>
        <w:rPr>
          <w:vertAlign w:val="baseline"/>
        </w:rPr>
        <w:t>of</w:t>
      </w:r>
      <w:r>
        <w:rPr>
          <w:spacing w:val="34"/>
          <w:vertAlign w:val="baseline"/>
        </w:rPr>
        <w:t> </w:t>
      </w:r>
      <w:r>
        <w:rPr>
          <w:vertAlign w:val="baseline"/>
        </w:rPr>
        <w:t>renvoi</w:t>
      </w:r>
      <w:r>
        <w:rPr>
          <w:spacing w:val="34"/>
          <w:vertAlign w:val="baseline"/>
        </w:rPr>
        <w:t> </w:t>
      </w:r>
      <w:r>
        <w:rPr>
          <w:spacing w:val="-5"/>
          <w:vertAlign w:val="baseline"/>
        </w:rPr>
        <w:t>in</w:t>
      </w:r>
    </w:p>
    <w:p>
      <w:pPr>
        <w:pStyle w:val="BodyText"/>
        <w:spacing w:after="0"/>
        <w:jc w:val="both"/>
        <w:sectPr>
          <w:pgSz w:w="11900" w:h="16840"/>
          <w:pgMar w:header="971" w:footer="0" w:top="1300" w:bottom="280" w:left="1275" w:right="1275"/>
        </w:sectPr>
      </w:pPr>
    </w:p>
    <w:p>
      <w:pPr>
        <w:pStyle w:val="BodyText"/>
        <w:spacing w:line="235" w:lineRule="auto" w:before="110"/>
        <w:ind w:left="165" w:right="167"/>
        <w:jc w:val="both"/>
      </w:pPr>
      <w:bookmarkStart w:name="_bookmark208" w:id="210"/>
      <w:bookmarkEnd w:id="210"/>
      <w:r>
        <w:rPr/>
      </w:r>
      <w:r>
        <w:rPr/>
        <w:t>providing that application of the law of any country specified by the Convention means “the</w:t>
      </w:r>
      <w:r>
        <w:rPr>
          <w:spacing w:val="80"/>
        </w:rPr>
        <w:t> </w:t>
      </w:r>
      <w:r>
        <w:rPr/>
        <w:t>application</w:t>
      </w:r>
      <w:r>
        <w:rPr>
          <w:spacing w:val="11"/>
        </w:rPr>
        <w:t> </w:t>
      </w:r>
      <w:r>
        <w:rPr/>
        <w:t>of</w:t>
      </w:r>
      <w:r>
        <w:rPr>
          <w:spacing w:val="11"/>
        </w:rPr>
        <w:t> </w:t>
      </w:r>
      <w:r>
        <w:rPr/>
        <w:t>the</w:t>
      </w:r>
      <w:r>
        <w:rPr>
          <w:spacing w:val="11"/>
        </w:rPr>
        <w:t> </w:t>
      </w:r>
      <w:r>
        <w:rPr/>
        <w:t>rules</w:t>
      </w:r>
      <w:r>
        <w:rPr>
          <w:spacing w:val="11"/>
        </w:rPr>
        <w:t> </w:t>
      </w:r>
      <w:r>
        <w:rPr/>
        <w:t>of</w:t>
      </w:r>
      <w:r>
        <w:rPr>
          <w:spacing w:val="11"/>
        </w:rPr>
        <w:t> </w:t>
      </w:r>
      <w:r>
        <w:rPr/>
        <w:t>law</w:t>
      </w:r>
      <w:r>
        <w:rPr>
          <w:spacing w:val="11"/>
        </w:rPr>
        <w:t> </w:t>
      </w:r>
      <w:r>
        <w:rPr/>
        <w:t>in</w:t>
      </w:r>
      <w:r>
        <w:rPr>
          <w:spacing w:val="11"/>
        </w:rPr>
        <w:t> </w:t>
      </w:r>
      <w:r>
        <w:rPr/>
        <w:t>force</w:t>
      </w:r>
      <w:r>
        <w:rPr>
          <w:spacing w:val="11"/>
        </w:rPr>
        <w:t> </w:t>
      </w:r>
      <w:r>
        <w:rPr/>
        <w:t>in</w:t>
      </w:r>
      <w:r>
        <w:rPr>
          <w:spacing w:val="11"/>
        </w:rPr>
        <w:t> </w:t>
      </w:r>
      <w:r>
        <w:rPr/>
        <w:t>that</w:t>
      </w:r>
      <w:r>
        <w:rPr>
          <w:spacing w:val="11"/>
        </w:rPr>
        <w:t> </w:t>
      </w:r>
      <w:r>
        <w:rPr/>
        <w:t>country</w:t>
      </w:r>
      <w:r>
        <w:rPr>
          <w:spacing w:val="11"/>
        </w:rPr>
        <w:t> </w:t>
      </w:r>
      <w:r>
        <w:rPr/>
        <w:t>other</w:t>
      </w:r>
      <w:r>
        <w:rPr>
          <w:spacing w:val="11"/>
        </w:rPr>
        <w:t> </w:t>
      </w:r>
      <w:r>
        <w:rPr/>
        <w:t>than</w:t>
      </w:r>
      <w:r>
        <w:rPr>
          <w:spacing w:val="11"/>
        </w:rPr>
        <w:t> </w:t>
      </w:r>
      <w:r>
        <w:rPr/>
        <w:t>its</w:t>
      </w:r>
      <w:r>
        <w:rPr>
          <w:spacing w:val="11"/>
        </w:rPr>
        <w:t> </w:t>
      </w:r>
      <w:r>
        <w:rPr/>
        <w:t>rules</w:t>
      </w:r>
      <w:r>
        <w:rPr>
          <w:spacing w:val="11"/>
        </w:rPr>
        <w:t> </w:t>
      </w:r>
      <w:r>
        <w:rPr/>
        <w:t>of</w:t>
      </w:r>
      <w:r>
        <w:rPr>
          <w:spacing w:val="11"/>
        </w:rPr>
        <w:t> </w:t>
      </w:r>
      <w:r>
        <w:rPr/>
        <w:t>private</w:t>
      </w:r>
      <w:r>
        <w:rPr>
          <w:spacing w:val="11"/>
        </w:rPr>
        <w:t> </w:t>
      </w:r>
      <w:r>
        <w:rPr/>
        <w:t>international</w:t>
      </w:r>
      <w:r>
        <w:rPr>
          <w:spacing w:val="11"/>
        </w:rPr>
        <w:t> </w:t>
      </w:r>
      <w:r>
        <w:rPr>
          <w:spacing w:val="-2"/>
        </w:rPr>
        <w:t>law”.</w:t>
      </w:r>
    </w:p>
    <w:p>
      <w:pPr>
        <w:spacing w:line="113" w:lineRule="exact" w:before="0"/>
        <w:ind w:left="165" w:right="0" w:firstLine="0"/>
        <w:jc w:val="left"/>
        <w:rPr>
          <w:sz w:val="12"/>
        </w:rPr>
      </w:pPr>
      <w:r>
        <w:rPr>
          <w:color w:val="005DA1"/>
          <w:spacing w:val="-5"/>
          <w:sz w:val="12"/>
          <w:u w:val="single" w:color="005DA1"/>
        </w:rPr>
        <w:t>134</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Incorporation by </w:t>
      </w:r>
      <w:r>
        <w:rPr>
          <w:rFonts w:ascii="Arial"/>
          <w:b/>
          <w:spacing w:val="-2"/>
          <w:sz w:val="18"/>
        </w:rPr>
        <w:t>reference</w:t>
      </w:r>
    </w:p>
    <w:p>
      <w:pPr>
        <w:pStyle w:val="BodyText"/>
        <w:spacing w:before="42"/>
        <w:rPr>
          <w:rFonts w:ascii="Arial"/>
          <w:b/>
          <w:sz w:val="18"/>
        </w:rPr>
      </w:pPr>
    </w:p>
    <w:p>
      <w:pPr>
        <w:pStyle w:val="Heading2"/>
      </w:pPr>
      <w:r>
        <w:rPr/>
        <w:t>30-</w:t>
      </w:r>
      <w:r>
        <w:rPr>
          <w:spacing w:val="-5"/>
        </w:rPr>
        <w:t>028</w:t>
      </w:r>
    </w:p>
    <w:p>
      <w:pPr>
        <w:pStyle w:val="BodyText"/>
        <w:spacing w:line="235" w:lineRule="auto" w:before="202"/>
        <w:ind w:left="164" w:right="167"/>
        <w:jc w:val="both"/>
      </w:pPr>
      <w:bookmarkStart w:name="_bookmark209" w:id="211"/>
      <w:bookmarkEnd w:id="211"/>
      <w:r>
        <w:rPr/>
      </w:r>
      <w:r>
        <w:rPr/>
        <w:t>At common law, the parties were free to incorporate into the contract provisions of foreign law as </w:t>
      </w:r>
      <w:r>
        <w:rPr/>
        <w:t>part </w:t>
      </w:r>
      <w:bookmarkStart w:name="_bookmark210" w:id="212"/>
      <w:bookmarkEnd w:id="212"/>
      <w:r>
        <w:rPr/>
        <w:t>of</w:t>
      </w:r>
      <w:r>
        <w:rPr/>
        <w:t> the terms and conditions of the contract. </w:t>
      </w:r>
      <w:r>
        <w:rPr>
          <w:color w:val="005DA1"/>
          <w:u w:val="single" w:color="005DA1"/>
          <w:vertAlign w:val="superscript"/>
        </w:rPr>
        <w:t>135</w:t>
      </w:r>
      <w:r>
        <w:rPr>
          <w:color w:val="005DA1"/>
          <w:vertAlign w:val="baseline"/>
        </w:rPr>
        <w:t> </w:t>
      </w:r>
      <w:r>
        <w:rPr>
          <w:vertAlign w:val="baseline"/>
        </w:rPr>
        <w:t>The Rome Convention does not appear to restrict their power to continue with such a device. </w:t>
      </w:r>
      <w:r>
        <w:rPr>
          <w:color w:val="005DA1"/>
          <w:u w:val="single" w:color="005DA1"/>
          <w:vertAlign w:val="superscript"/>
        </w:rPr>
        <w:t>136</w:t>
      </w:r>
      <w:r>
        <w:rPr>
          <w:color w:val="005DA1"/>
          <w:vertAlign w:val="baseline"/>
        </w:rPr>
        <w:t> </w:t>
      </w:r>
      <w:r>
        <w:rPr>
          <w:vertAlign w:val="baseline"/>
        </w:rPr>
        <w:t>The principle of incorporation by reference only applies, however where the parties have sufficiently indicated the provisions of foreign law or international </w:t>
      </w:r>
      <w:bookmarkStart w:name="_bookmark211" w:id="213"/>
      <w:bookmarkEnd w:id="213"/>
      <w:r>
        <w:rPr>
          <w:vertAlign w:val="baseline"/>
        </w:rPr>
        <w:t>convention</w:t>
      </w:r>
      <w:r>
        <w:rPr>
          <w:vertAlign w:val="baseline"/>
        </w:rPr>
        <w:t> which are apt to be incorporated as terms of the contract. A broad reference to principles of Sharia law is insufficient to incorporate such principles. </w:t>
      </w:r>
      <w:r>
        <w:rPr>
          <w:color w:val="005DA1"/>
          <w:u w:val="single" w:color="005DA1"/>
          <w:vertAlign w:val="superscript"/>
        </w:rPr>
        <w:t>137</w:t>
      </w:r>
    </w:p>
    <w:p>
      <w:pPr>
        <w:pStyle w:val="BodyText"/>
      </w:pPr>
    </w:p>
    <w:p>
      <w:pPr>
        <w:pStyle w:val="BodyText"/>
        <w:spacing w:before="38"/>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185532</wp:posOffset>
                </wp:positionV>
                <wp:extent cx="572452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885pt;width:450.75pt;height:.1pt;mso-position-horizontal-relative:page;mso-position-vertical-relative:paragraph;z-index:-15716864;mso-wrap-distance-left:0;mso-wrap-distance-right:0" id="docshape8"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hyperlink w:history="true" w:anchor="_bookmark1132">
        <w:r>
          <w:rPr>
            <w:color w:val="005DA1"/>
            <w:position w:val="5"/>
            <w:sz w:val="14"/>
            <w:u w:val="single" w:color="005DA1"/>
          </w:rPr>
          <w:t>96</w:t>
        </w:r>
      </w:hyperlink>
      <w:r>
        <w:rPr>
          <w:position w:val="5"/>
          <w:sz w:val="14"/>
        </w:rPr>
        <w:t>.</w:t>
      </w:r>
      <w:r>
        <w:rPr>
          <w:spacing w:val="80"/>
          <w:position w:val="5"/>
          <w:sz w:val="14"/>
        </w:rPr>
        <w:t>  </w:t>
      </w:r>
      <w:r>
        <w:rPr>
          <w:sz w:val="20"/>
        </w:rPr>
        <w:t>Dicey, Morris and Collins on the Conflict of Laws, 14th edn (2006), Chs 32 and 33; Cheshire, North and Fawcett, </w:t>
      </w:r>
      <w:r>
        <w:rPr>
          <w:rFonts w:ascii="Arial"/>
          <w:i/>
          <w:sz w:val="20"/>
        </w:rPr>
        <w:t>Private International Law</w:t>
      </w:r>
      <w:r>
        <w:rPr>
          <w:sz w:val="20"/>
        </w:rPr>
        <w:t>, 14th edn (2008), Ch.18; Fawcett, Harris </w:t>
      </w:r>
      <w:r>
        <w:rPr>
          <w:sz w:val="20"/>
        </w:rPr>
        <w:t>and Bridge, </w:t>
      </w:r>
      <w:r>
        <w:rPr>
          <w:rFonts w:ascii="Arial"/>
          <w:i/>
          <w:sz w:val="20"/>
        </w:rPr>
        <w:t>International Sale of Goods in the Conflict of Laws </w:t>
      </w:r>
      <w:r>
        <w:rPr>
          <w:sz w:val="20"/>
        </w:rPr>
        <w:t>(2005), Ch.13; Meeusen, Pertegas and Straetmans, </w:t>
      </w:r>
      <w:r>
        <w:rPr>
          <w:rFonts w:ascii="Arial"/>
          <w:i/>
          <w:sz w:val="20"/>
        </w:rPr>
        <w:t>The Enforcement of International Contracts in the European Union </w:t>
      </w:r>
      <w:r>
        <w:rPr>
          <w:sz w:val="20"/>
        </w:rPr>
        <w:t>(2004); Plender and Wilderspin, </w:t>
      </w:r>
      <w:r>
        <w:rPr>
          <w:rFonts w:ascii="Arial"/>
          <w:i/>
          <w:sz w:val="20"/>
        </w:rPr>
        <w:t>The European Private International Law of Obligations </w:t>
      </w:r>
      <w:r>
        <w:rPr>
          <w:sz w:val="20"/>
        </w:rPr>
        <w:t>4th edn (2014), Chs 4-15; Fentiman, </w:t>
      </w:r>
      <w:r>
        <w:rPr>
          <w:rFonts w:ascii="Arial"/>
          <w:i/>
          <w:sz w:val="20"/>
        </w:rPr>
        <w:t>International Commercial Litigation </w:t>
      </w:r>
      <w:r>
        <w:rPr>
          <w:sz w:val="20"/>
        </w:rPr>
        <w:t>2nd edn (2015), Chs 3-6; Nygh, </w:t>
      </w:r>
      <w:r>
        <w:rPr>
          <w:rFonts w:ascii="Arial"/>
          <w:i/>
          <w:sz w:val="20"/>
        </w:rPr>
        <w:t>Autonomy in International Contracts </w:t>
      </w:r>
      <w:r>
        <w:rPr>
          <w:sz w:val="20"/>
        </w:rPr>
        <w:t>(1999); Kaye, </w:t>
      </w:r>
      <w:r>
        <w:rPr>
          <w:rFonts w:ascii="Arial"/>
          <w:i/>
          <w:sz w:val="20"/>
        </w:rPr>
        <w:t>The New Private International Law of Contract of the European Community </w:t>
      </w:r>
      <w:r>
        <w:rPr>
          <w:sz w:val="20"/>
        </w:rPr>
        <w:t>(1993); Lasok and Stone, </w:t>
      </w:r>
      <w:r>
        <w:rPr>
          <w:rFonts w:ascii="Arial"/>
          <w:i/>
          <w:sz w:val="20"/>
        </w:rPr>
        <w:t>Conflict of Laws in the European Community </w:t>
      </w:r>
      <w:r>
        <w:rPr>
          <w:sz w:val="20"/>
        </w:rPr>
        <w:t>(1987), Ch.9; North, </w:t>
      </w:r>
      <w:r>
        <w:rPr>
          <w:rFonts w:ascii="Arial"/>
          <w:i/>
          <w:sz w:val="20"/>
        </w:rPr>
        <w:t>Contract Conflicts </w:t>
      </w:r>
      <w:r>
        <w:rPr>
          <w:sz w:val="20"/>
        </w:rPr>
        <w:t>(1982); Fletcher, </w:t>
      </w:r>
      <w:r>
        <w:rPr>
          <w:rFonts w:ascii="Arial"/>
          <w:i/>
          <w:sz w:val="20"/>
        </w:rPr>
        <w:t>Conflict of Laws and European Community Law </w:t>
      </w:r>
      <w:r>
        <w:rPr>
          <w:sz w:val="20"/>
        </w:rPr>
        <w:t>(1982), Ch.5; Anton, </w:t>
      </w:r>
      <w:r>
        <w:rPr>
          <w:rFonts w:ascii="Arial"/>
          <w:i/>
          <w:sz w:val="20"/>
        </w:rPr>
        <w:t>Private International Law</w:t>
      </w:r>
      <w:r>
        <w:rPr>
          <w:sz w:val="20"/>
        </w:rPr>
        <w:t>, 2nd edn (1990), Ch.11;</w:t>
      </w:r>
      <w:r>
        <w:rPr>
          <w:spacing w:val="7"/>
          <w:sz w:val="20"/>
        </w:rPr>
        <w:t> </w:t>
      </w:r>
      <w:r>
        <w:rPr>
          <w:sz w:val="20"/>
        </w:rPr>
        <w:t>Diamond</w:t>
      </w:r>
      <w:r>
        <w:rPr>
          <w:spacing w:val="9"/>
          <w:sz w:val="20"/>
        </w:rPr>
        <w:t> </w:t>
      </w:r>
      <w:r>
        <w:rPr>
          <w:sz w:val="20"/>
        </w:rPr>
        <w:t>(1986)</w:t>
      </w:r>
      <w:r>
        <w:rPr>
          <w:spacing w:val="9"/>
          <w:sz w:val="20"/>
        </w:rPr>
        <w:t> </w:t>
      </w:r>
      <w:r>
        <w:rPr>
          <w:sz w:val="20"/>
        </w:rPr>
        <w:t>216</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z w:val="20"/>
        </w:rPr>
        <w:t>IV,</w:t>
      </w:r>
      <w:r>
        <w:rPr>
          <w:spacing w:val="9"/>
          <w:sz w:val="20"/>
        </w:rPr>
        <w:t> </w:t>
      </w:r>
      <w:r>
        <w:rPr>
          <w:sz w:val="20"/>
        </w:rPr>
        <w:t>233;</w:t>
      </w:r>
      <w:r>
        <w:rPr>
          <w:spacing w:val="9"/>
          <w:sz w:val="20"/>
        </w:rPr>
        <w:t> </w:t>
      </w:r>
      <w:r>
        <w:rPr>
          <w:sz w:val="20"/>
        </w:rPr>
        <w:t>North</w:t>
      </w:r>
      <w:r>
        <w:rPr>
          <w:spacing w:val="9"/>
          <w:sz w:val="20"/>
        </w:rPr>
        <w:t> </w:t>
      </w:r>
      <w:r>
        <w:rPr>
          <w:sz w:val="20"/>
        </w:rPr>
        <w:t>(1990)</w:t>
      </w:r>
      <w:r>
        <w:rPr>
          <w:spacing w:val="9"/>
          <w:sz w:val="20"/>
        </w:rPr>
        <w:t> </w:t>
      </w:r>
      <w:r>
        <w:rPr>
          <w:sz w:val="20"/>
        </w:rPr>
        <w:t>220</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pacing w:val="-5"/>
          <w:sz w:val="20"/>
        </w:rPr>
        <w:t>I,</w:t>
      </w:r>
    </w:p>
    <w:p>
      <w:pPr>
        <w:pStyle w:val="BodyText"/>
        <w:spacing w:line="220" w:lineRule="exact"/>
        <w:ind w:left="705"/>
        <w:jc w:val="both"/>
      </w:pPr>
      <w:r>
        <w:rPr/>
        <w:t>3,</w:t>
      </w:r>
      <w:r>
        <w:rPr>
          <w:spacing w:val="11"/>
        </w:rPr>
        <w:t> </w:t>
      </w:r>
      <w:r>
        <w:rPr/>
        <w:t>176-205;</w:t>
      </w:r>
      <w:r>
        <w:rPr>
          <w:spacing w:val="11"/>
        </w:rPr>
        <w:t> </w:t>
      </w:r>
      <w:r>
        <w:rPr/>
        <w:t>North</w:t>
      </w:r>
      <w:r>
        <w:rPr>
          <w:spacing w:val="11"/>
        </w:rPr>
        <w:t> </w:t>
      </w:r>
      <w:r>
        <w:rPr/>
        <w:t>[1980]</w:t>
      </w:r>
      <w:r>
        <w:rPr>
          <w:spacing w:val="11"/>
        </w:rPr>
        <w:t> </w:t>
      </w:r>
      <w:r>
        <w:rPr/>
        <w:t>J.B.L.</w:t>
      </w:r>
      <w:r>
        <w:rPr>
          <w:spacing w:val="11"/>
        </w:rPr>
        <w:t> </w:t>
      </w:r>
      <w:r>
        <w:rPr/>
        <w:t>392;</w:t>
      </w:r>
      <w:r>
        <w:rPr>
          <w:spacing w:val="11"/>
        </w:rPr>
        <w:t> </w:t>
      </w:r>
      <w:r>
        <w:rPr/>
        <w:t>Morse</w:t>
      </w:r>
      <w:r>
        <w:rPr>
          <w:spacing w:val="11"/>
        </w:rPr>
        <w:t> </w:t>
      </w:r>
      <w:r>
        <w:rPr/>
        <w:t>(1982)</w:t>
      </w:r>
      <w:r>
        <w:rPr>
          <w:spacing w:val="11"/>
        </w:rPr>
        <w:t> </w:t>
      </w:r>
      <w:r>
        <w:rPr/>
        <w:t>2</w:t>
      </w:r>
      <w:r>
        <w:rPr>
          <w:spacing w:val="11"/>
        </w:rPr>
        <w:t> </w:t>
      </w:r>
      <w:r>
        <w:rPr/>
        <w:t>Yb.</w:t>
      </w:r>
      <w:r>
        <w:rPr>
          <w:spacing w:val="11"/>
        </w:rPr>
        <w:t> </w:t>
      </w:r>
      <w:r>
        <w:rPr/>
        <w:t>Eur.</w:t>
      </w:r>
      <w:r>
        <w:rPr>
          <w:spacing w:val="11"/>
        </w:rPr>
        <w:t> </w:t>
      </w:r>
      <w:r>
        <w:rPr/>
        <w:t>L.</w:t>
      </w:r>
      <w:r>
        <w:rPr>
          <w:spacing w:val="11"/>
        </w:rPr>
        <w:t> </w:t>
      </w:r>
      <w:r>
        <w:rPr/>
        <w:t>107;</w:t>
      </w:r>
      <w:r>
        <w:rPr>
          <w:spacing w:val="11"/>
        </w:rPr>
        <w:t> </w:t>
      </w:r>
      <w:r>
        <w:rPr/>
        <w:t>Jaffey</w:t>
      </w:r>
      <w:r>
        <w:rPr>
          <w:spacing w:val="11"/>
        </w:rPr>
        <w:t> </w:t>
      </w:r>
      <w:r>
        <w:rPr/>
        <w:t>(1984)</w:t>
      </w:r>
      <w:r>
        <w:rPr>
          <w:spacing w:val="11"/>
        </w:rPr>
        <w:t> </w:t>
      </w:r>
      <w:r>
        <w:rPr/>
        <w:t>33</w:t>
      </w:r>
      <w:r>
        <w:rPr>
          <w:spacing w:val="11"/>
        </w:rPr>
        <w:t> </w:t>
      </w:r>
      <w:r>
        <w:rPr>
          <w:spacing w:val="-2"/>
        </w:rPr>
        <w:t>I.C.L.Q.</w:t>
      </w:r>
    </w:p>
    <w:p>
      <w:pPr>
        <w:pStyle w:val="BodyText"/>
        <w:spacing w:line="227" w:lineRule="exact"/>
        <w:ind w:left="705"/>
        <w:jc w:val="both"/>
      </w:pPr>
      <w:r>
        <w:rPr/>
        <w:t>531; Williams (1986) 35 I.C.L.Q. </w:t>
      </w:r>
      <w:r>
        <w:rPr>
          <w:spacing w:val="-5"/>
        </w:rPr>
        <w:t>1.</w:t>
      </w:r>
    </w:p>
    <w:p>
      <w:pPr>
        <w:pStyle w:val="BodyText"/>
        <w:spacing w:before="8"/>
      </w:pPr>
    </w:p>
    <w:p>
      <w:pPr>
        <w:pStyle w:val="BodyText"/>
        <w:spacing w:line="235" w:lineRule="auto" w:before="1"/>
        <w:ind w:left="705" w:right="167" w:hanging="541"/>
        <w:jc w:val="both"/>
      </w:pPr>
      <w:bookmarkStart w:name="_bookmark212" w:id="214"/>
      <w:bookmarkEnd w:id="214"/>
      <w:r>
        <w:rPr/>
      </w:r>
      <w:hyperlink w:history="true" w:anchor="_bookmark175">
        <w:r>
          <w:rPr>
            <w:color w:val="005DA1"/>
            <w:position w:val="5"/>
            <w:sz w:val="14"/>
            <w:u w:val="single" w:color="005DA1"/>
          </w:rPr>
          <w:t>97</w:t>
        </w:r>
      </w:hyperlink>
      <w:r>
        <w:rPr>
          <w:position w:val="5"/>
          <w:sz w:val="14"/>
        </w:rPr>
        <w:t>.</w:t>
      </w:r>
      <w:r>
        <w:rPr>
          <w:spacing w:val="80"/>
          <w:position w:val="5"/>
          <w:sz w:val="14"/>
        </w:rPr>
        <w:t>  </w:t>
      </w:r>
      <w:r>
        <w:rPr/>
        <w:t>Dicey, Morris and Collins, paras 32-009 et seq.; North, </w:t>
      </w:r>
      <w:r>
        <w:rPr>
          <w:rFonts w:ascii="Arial"/>
          <w:i/>
        </w:rPr>
        <w:t>Contract Conflicts</w:t>
      </w:r>
      <w:r>
        <w:rPr/>
        <w:t>, pp.4-9 reprinted in Essays in Private International Law (1993), p.23; Report on the Convention by </w:t>
      </w:r>
      <w:r>
        <w:rPr/>
        <w:t>Professors Giuliano and Lagarde [1980] O.J. C282/1, 4-8 (hereafter Giuliano-Lagarde Report), as to which see below, para.30-019.</w:t>
      </w:r>
    </w:p>
    <w:p>
      <w:pPr>
        <w:pStyle w:val="BodyText"/>
        <w:spacing w:before="8"/>
      </w:pPr>
    </w:p>
    <w:p>
      <w:pPr>
        <w:pStyle w:val="BodyText"/>
        <w:spacing w:line="235" w:lineRule="auto"/>
        <w:ind w:left="705" w:right="167" w:hanging="541"/>
        <w:jc w:val="both"/>
      </w:pPr>
      <w:bookmarkStart w:name="_bookmark213" w:id="215"/>
      <w:bookmarkEnd w:id="215"/>
      <w:r>
        <w:rPr/>
      </w:r>
      <w:hyperlink w:history="true" w:anchor="_bookmark176">
        <w:r>
          <w:rPr>
            <w:color w:val="005DA1"/>
            <w:position w:val="5"/>
            <w:sz w:val="14"/>
            <w:u w:val="single" w:color="005DA1"/>
          </w:rPr>
          <w:t>98</w:t>
        </w:r>
      </w:hyperlink>
      <w:r>
        <w:rPr>
          <w:position w:val="5"/>
          <w:sz w:val="14"/>
        </w:rPr>
        <w:t>.</w:t>
      </w:r>
      <w:r>
        <w:rPr>
          <w:spacing w:val="80"/>
          <w:position w:val="5"/>
          <w:sz w:val="14"/>
        </w:rPr>
        <w:t>  </w:t>
      </w:r>
      <w:r>
        <w:rPr/>
        <w:t>Contracts (Applicable Law) Act 1990 s.2(1). The English text of the Convention is set out in</w:t>
      </w:r>
      <w:r>
        <w:rPr>
          <w:spacing w:val="40"/>
        </w:rPr>
        <w:t> </w:t>
      </w:r>
      <w:r>
        <w:rPr/>
        <w:t>Sch.1 to the Act “for ease of reference”: s.2(4). Each language text is, however, </w:t>
      </w:r>
      <w:r>
        <w:rPr/>
        <w:t>equally authentic: Rome Convention art.33. For the French, German, Italian and Dutch texts, see Kaye at pp.478-505. The Rome Convention was seen as a way of buttressing the work done, originally, in the Brussels Convention on jurisdiction and the enforcement of judgments in civil and commercial matters 1968, designed to establish uniform rules for the international jurisdiction of courts amongst the Member States: [1978] O.J. L304/77, replaced as from March 1, 2002 for all Member States except Denmark, by Regulation 44/2001 on jurisdiction and the recognition and enforcement of judgments in civil and commercial matters [2001] O.J. L12/1</w:t>
      </w:r>
      <w:r>
        <w:rPr>
          <w:spacing w:val="40"/>
        </w:rPr>
        <w:t> </w:t>
      </w:r>
      <w:r>
        <w:rPr/>
        <w:t>(the Brussels I Regulation) and see SI 2001/3929. The latter Regulation applies to Denmark by virtue of a parallel agreement, [2006] O.J. L120/22, with effect from July 1, 2007: SI 2007/1655. Regulation 44/2001 is amended by Commission Regulation (EC) 280/2009 of April 6, 2009, amending Annexes I, II, III and IV: [2009] O.J. L93/13. Regulation 44/2001 has itself been replaced by Regulation 1215/2012 on jurisdiction and the recognition and enforcement of judgments in civil and commercial matters (recast) [2012] O.J. L351/1 (the Brussels I</w:t>
      </w:r>
      <w:r>
        <w:rPr>
          <w:spacing w:val="40"/>
        </w:rPr>
        <w:t> </w:t>
      </w:r>
      <w:r>
        <w:rPr/>
        <w:t>Regulation recast) which applies from January 10, 2015. On links between the Brussels I,</w:t>
      </w:r>
      <w:r>
        <w:rPr>
          <w:spacing w:val="40"/>
        </w:rPr>
        <w:t> </w:t>
      </w:r>
      <w:r>
        <w:rPr/>
        <w:t>Rome I and Rome II Regulations, see Crawford and Carruthers (2014) 63 I.C.L.Q. 1.</w:t>
      </w:r>
    </w:p>
    <w:p>
      <w:pPr>
        <w:pStyle w:val="BodyText"/>
        <w:spacing w:before="4"/>
      </w:pPr>
    </w:p>
    <w:p>
      <w:pPr>
        <w:pStyle w:val="BodyText"/>
        <w:spacing w:line="235" w:lineRule="auto"/>
        <w:ind w:left="705" w:right="167" w:hanging="541"/>
        <w:jc w:val="both"/>
      </w:pPr>
      <w:bookmarkStart w:name="_bookmark214" w:id="216"/>
      <w:bookmarkEnd w:id="216"/>
      <w:r>
        <w:rPr/>
      </w:r>
      <w:hyperlink w:history="true" w:anchor="_bookmark177">
        <w:r>
          <w:rPr>
            <w:color w:val="005DA1"/>
            <w:position w:val="5"/>
            <w:sz w:val="14"/>
            <w:u w:val="single" w:color="005DA1"/>
          </w:rPr>
          <w:t>99</w:t>
        </w:r>
      </w:hyperlink>
      <w:r>
        <w:rPr>
          <w:position w:val="5"/>
          <w:sz w:val="14"/>
        </w:rPr>
        <w:t>.</w:t>
      </w:r>
      <w:r>
        <w:rPr>
          <w:spacing w:val="80"/>
          <w:w w:val="150"/>
          <w:position w:val="5"/>
          <w:sz w:val="14"/>
        </w:rPr>
        <w:t>  </w:t>
      </w:r>
      <w:r>
        <w:rPr/>
        <w:t>Note the power to make reservations to arts 7(1) and 10(1)(e) in art.22 of the Convention. The UK has exercised this power so that arts 7(1) and 10(1)(e) do not have the force of law in </w:t>
      </w:r>
      <w:r>
        <w:rPr/>
        <w:t>the United Kingdom: Contracts (Applicable Law) Act 1990 s.2(2). See below, paras 30-032, 30-</w:t>
      </w:r>
      <w:r>
        <w:rPr>
          <w:spacing w:val="-4"/>
        </w:rPr>
        <w:t>062.</w:t>
      </w:r>
    </w:p>
    <w:p>
      <w:pPr>
        <w:pStyle w:val="BodyText"/>
        <w:spacing w:before="5"/>
      </w:pPr>
    </w:p>
    <w:p>
      <w:pPr>
        <w:tabs>
          <w:tab w:pos="705" w:val="left" w:leader="none"/>
        </w:tabs>
        <w:spacing w:before="0"/>
        <w:ind w:left="165" w:right="0" w:firstLine="0"/>
        <w:jc w:val="left"/>
        <w:rPr>
          <w:sz w:val="20"/>
        </w:rPr>
      </w:pPr>
      <w:bookmarkStart w:name="_bookmark215" w:id="217"/>
      <w:bookmarkEnd w:id="217"/>
      <w:r>
        <w:rPr/>
      </w:r>
      <w:hyperlink w:history="true" w:anchor="_bookmark177">
        <w:r>
          <w:rPr>
            <w:color w:val="005DA1"/>
            <w:spacing w:val="-4"/>
            <w:position w:val="5"/>
            <w:sz w:val="14"/>
            <w:u w:val="single" w:color="005DA1"/>
          </w:rPr>
          <w:t>100</w:t>
        </w:r>
      </w:hyperlink>
      <w:r>
        <w:rPr>
          <w:spacing w:val="-4"/>
          <w:position w:val="5"/>
          <w:sz w:val="14"/>
        </w:rPr>
        <w:t>.</w:t>
      </w:r>
      <w:r>
        <w:rPr>
          <w:position w:val="5"/>
          <w:sz w:val="14"/>
        </w:rPr>
        <w:tab/>
      </w:r>
      <w:r>
        <w:rPr>
          <w:sz w:val="20"/>
        </w:rPr>
        <w:t>SI </w:t>
      </w:r>
      <w:r>
        <w:rPr>
          <w:spacing w:val="-2"/>
          <w:sz w:val="20"/>
        </w:rPr>
        <w:t>1991/707.</w:t>
      </w:r>
    </w:p>
    <w:p>
      <w:pPr>
        <w:spacing w:after="0"/>
        <w:jc w:val="left"/>
        <w:rPr>
          <w:sz w:val="20"/>
        </w:rPr>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178">
        <w:r>
          <w:rPr>
            <w:color w:val="005DA1"/>
            <w:position w:val="5"/>
            <w:sz w:val="14"/>
            <w:u w:val="single" w:color="005DA1"/>
          </w:rPr>
          <w:t>101</w:t>
        </w:r>
      </w:hyperlink>
      <w:r>
        <w:rPr>
          <w:position w:val="5"/>
          <w:sz w:val="14"/>
        </w:rPr>
        <w:t>.</w:t>
      </w:r>
      <w:r>
        <w:rPr>
          <w:spacing w:val="80"/>
          <w:position w:val="5"/>
          <w:sz w:val="14"/>
        </w:rPr>
        <w:t>  </w:t>
      </w:r>
      <w:r>
        <w:rPr/>
        <w:t>Rome Convention art.17, which provides that the Convention shall apply in a contracting state</w:t>
      </w:r>
      <w:r>
        <w:rPr>
          <w:spacing w:val="40"/>
        </w:rPr>
        <w:t> </w:t>
      </w:r>
      <w:r>
        <w:rPr/>
        <w:t>to contracts made after the date on which it has entered into force with respect to that State. Accordingly, contracts entered into </w:t>
      </w:r>
      <w:r>
        <w:rPr>
          <w:rFonts w:ascii="Arial"/>
          <w:i/>
        </w:rPr>
        <w:t>on or before </w:t>
      </w:r>
      <w:r>
        <w:rPr/>
        <w:t>April 1, 1991, which will be rare, given the passage of time, will be governed by common law choice of law rules (as to which see </w:t>
      </w:r>
      <w:r>
        <w:rPr/>
        <w:t>above, paras 30-005 et seq.).</w:t>
      </w:r>
    </w:p>
    <w:p>
      <w:pPr>
        <w:pStyle w:val="BodyText"/>
        <w:spacing w:before="4"/>
      </w:pPr>
    </w:p>
    <w:p>
      <w:pPr>
        <w:pStyle w:val="BodyText"/>
        <w:tabs>
          <w:tab w:pos="705" w:val="left" w:leader="none"/>
        </w:tabs>
        <w:spacing w:before="1"/>
        <w:ind w:left="165"/>
      </w:pPr>
      <w:bookmarkStart w:name="_bookmark216" w:id="218"/>
      <w:bookmarkEnd w:id="218"/>
      <w:r>
        <w:rPr/>
      </w:r>
      <w:hyperlink w:history="true" w:anchor="_bookmark179">
        <w:r>
          <w:rPr>
            <w:color w:val="005DA1"/>
            <w:spacing w:val="-4"/>
            <w:position w:val="5"/>
            <w:sz w:val="14"/>
            <w:u w:val="single" w:color="005DA1"/>
          </w:rPr>
          <w:t>102</w:t>
        </w:r>
      </w:hyperlink>
      <w:r>
        <w:rPr>
          <w:spacing w:val="-4"/>
          <w:position w:val="5"/>
          <w:sz w:val="14"/>
        </w:rPr>
        <w:t>.</w:t>
      </w:r>
      <w:r>
        <w:rPr>
          <w:position w:val="5"/>
          <w:sz w:val="14"/>
        </w:rPr>
        <w:tab/>
      </w:r>
      <w:r>
        <w:rPr/>
        <w:t>Rome I Regulation arts 28, </w:t>
      </w:r>
      <w:r>
        <w:rPr>
          <w:spacing w:val="-5"/>
        </w:rPr>
        <w:t>29.</w:t>
      </w:r>
    </w:p>
    <w:p>
      <w:pPr>
        <w:pStyle w:val="BodyText"/>
        <w:spacing w:before="8"/>
      </w:pPr>
    </w:p>
    <w:p>
      <w:pPr>
        <w:pStyle w:val="BodyText"/>
        <w:spacing w:line="235" w:lineRule="auto"/>
        <w:ind w:left="705" w:right="167" w:hanging="541"/>
        <w:jc w:val="both"/>
      </w:pPr>
      <w:bookmarkStart w:name="_bookmark217" w:id="219"/>
      <w:bookmarkEnd w:id="219"/>
      <w:r>
        <w:rPr/>
      </w:r>
      <w:hyperlink w:history="true" w:anchor="_bookmark180">
        <w:r>
          <w:rPr>
            <w:color w:val="005DA1"/>
            <w:position w:val="5"/>
            <w:sz w:val="14"/>
            <w:u w:val="single" w:color="005DA1"/>
          </w:rPr>
          <w:t>103</w:t>
        </w:r>
      </w:hyperlink>
      <w:r>
        <w:rPr>
          <w:position w:val="5"/>
          <w:sz w:val="14"/>
        </w:rPr>
        <w:t>.</w:t>
      </w:r>
      <w:r>
        <w:rPr>
          <w:spacing w:val="80"/>
          <w:position w:val="5"/>
          <w:sz w:val="14"/>
        </w:rPr>
        <w:t> </w:t>
      </w:r>
      <w:r>
        <w:rPr/>
        <w:t>See below, para.30-018. Sch.2 to the Act contains the text of the Luxembourg Convention providing for accession to the Rome Convention by Greece. Sch.3A to the Act contains the text of the Funchal Convention providing for the accession to the Rome Convention by Spain </w:t>
      </w:r>
      <w:r>
        <w:rPr/>
        <w:t>and Portugal (see SI 1994/1900) which entered into force for the United Kingdom on December 1, 1997. Sch.3B to the Act contains the text of the 1996 Convention providing for the accession to the Rome Convention of Austria, Finland and Sweden (see SI 2000/1825), which came into force on January 1, 2001. A consolidated version of the text of the Rome Convention can be found in [1998] O.J. C27/34.</w:t>
      </w:r>
    </w:p>
    <w:p>
      <w:pPr>
        <w:pStyle w:val="BodyText"/>
        <w:spacing w:before="3"/>
      </w:pPr>
    </w:p>
    <w:p>
      <w:pPr>
        <w:pStyle w:val="BodyText"/>
        <w:tabs>
          <w:tab w:pos="705" w:val="left" w:leader="none"/>
        </w:tabs>
        <w:spacing w:before="1"/>
        <w:ind w:left="165"/>
      </w:pPr>
      <w:bookmarkStart w:name="_bookmark218" w:id="220"/>
      <w:bookmarkEnd w:id="220"/>
      <w:r>
        <w:rPr/>
      </w:r>
      <w:hyperlink w:history="true" w:anchor="_bookmark181">
        <w:r>
          <w:rPr>
            <w:color w:val="005DA1"/>
            <w:spacing w:val="-4"/>
            <w:position w:val="5"/>
            <w:sz w:val="14"/>
            <w:u w:val="single" w:color="005DA1"/>
          </w:rPr>
          <w:t>104</w:t>
        </w:r>
      </w:hyperlink>
      <w:r>
        <w:rPr>
          <w:spacing w:val="-4"/>
          <w:position w:val="5"/>
          <w:sz w:val="14"/>
        </w:rPr>
        <w:t>.</w:t>
      </w:r>
      <w:r>
        <w:rPr>
          <w:position w:val="5"/>
          <w:sz w:val="14"/>
        </w:rPr>
        <w:tab/>
      </w:r>
      <w:r>
        <w:rPr/>
        <w:t>See</w:t>
      </w:r>
      <w:r>
        <w:rPr>
          <w:spacing w:val="-2"/>
        </w:rPr>
        <w:t> </w:t>
      </w:r>
      <w:r>
        <w:rPr/>
        <w:t>above, para.30-</w:t>
      </w:r>
      <w:r>
        <w:rPr>
          <w:spacing w:val="-4"/>
        </w:rPr>
        <w:t>017.</w:t>
      </w:r>
    </w:p>
    <w:p>
      <w:pPr>
        <w:pStyle w:val="BodyText"/>
        <w:spacing w:before="4"/>
      </w:pPr>
    </w:p>
    <w:p>
      <w:pPr>
        <w:pStyle w:val="BodyText"/>
        <w:tabs>
          <w:tab w:pos="705" w:val="left" w:leader="none"/>
        </w:tabs>
        <w:spacing w:before="1"/>
        <w:ind w:left="165"/>
      </w:pPr>
      <w:bookmarkStart w:name="_bookmark219" w:id="221"/>
      <w:bookmarkEnd w:id="221"/>
      <w:r>
        <w:rPr/>
      </w:r>
      <w:hyperlink w:history="true" w:anchor="_bookmark181">
        <w:r>
          <w:rPr>
            <w:color w:val="005DA1"/>
            <w:spacing w:val="-4"/>
            <w:position w:val="5"/>
            <w:sz w:val="14"/>
            <w:u w:val="single" w:color="005DA1"/>
          </w:rPr>
          <w:t>105</w:t>
        </w:r>
      </w:hyperlink>
      <w:r>
        <w:rPr>
          <w:spacing w:val="-4"/>
          <w:position w:val="5"/>
          <w:sz w:val="14"/>
        </w:rPr>
        <w:t>.</w:t>
      </w:r>
      <w:r>
        <w:rPr>
          <w:position w:val="5"/>
          <w:sz w:val="14"/>
        </w:rPr>
        <w:tab/>
      </w:r>
      <w:r>
        <w:rPr/>
        <w:t>Belgium finally ratified the Protocol on May 5, </w:t>
      </w:r>
      <w:r>
        <w:rPr>
          <w:spacing w:val="-2"/>
        </w:rPr>
        <w:t>2004.</w:t>
      </w:r>
    </w:p>
    <w:p>
      <w:pPr>
        <w:pStyle w:val="BodyText"/>
        <w:spacing w:before="8"/>
      </w:pPr>
    </w:p>
    <w:p>
      <w:pPr>
        <w:pStyle w:val="BodyText"/>
        <w:spacing w:line="235" w:lineRule="auto"/>
        <w:ind w:left="705" w:right="167" w:hanging="541"/>
        <w:jc w:val="both"/>
      </w:pPr>
      <w:bookmarkStart w:name="_bookmark220" w:id="222"/>
      <w:bookmarkEnd w:id="222"/>
      <w:r>
        <w:rPr/>
      </w:r>
      <w:hyperlink w:history="true" w:anchor="_bookmark182">
        <w:r>
          <w:rPr>
            <w:color w:val="005DA1"/>
            <w:position w:val="5"/>
            <w:sz w:val="14"/>
            <w:u w:val="single" w:color="005DA1"/>
          </w:rPr>
          <w:t>106</w:t>
        </w:r>
      </w:hyperlink>
      <w:r>
        <w:rPr>
          <w:position w:val="5"/>
          <w:sz w:val="14"/>
        </w:rPr>
        <w:t>.</w:t>
      </w:r>
      <w:r>
        <w:rPr>
          <w:spacing w:val="40"/>
          <w:position w:val="5"/>
          <w:sz w:val="14"/>
        </w:rPr>
        <w:t>  </w:t>
      </w:r>
      <w:r>
        <w:rPr/>
        <w:t>SI 2004/3488. A Convention was signed on April 14, 2005 providing for the accession of the Czech Republic, Estonia, Cyprus, Latvia, Lithuania, Hungary, Malta, Poland, Slovenia and </w:t>
      </w:r>
      <w:r>
        <w:rPr/>
        <w:t>the Slovak Republic to the Rome Convention and the Brussels Protocol, but this is not yet in force. For the Recommendation for a Council Decision concerning the accession of Bulgaria and Romania, see COM(2007) 217 final. A consolidated version of the Convention and the Protocol is printed in [2005] O.J. C334/11.</w:t>
      </w:r>
    </w:p>
    <w:p>
      <w:pPr>
        <w:pStyle w:val="BodyText"/>
        <w:spacing w:before="8"/>
      </w:pPr>
    </w:p>
    <w:p>
      <w:pPr>
        <w:pStyle w:val="BodyText"/>
        <w:spacing w:line="235" w:lineRule="auto"/>
        <w:ind w:left="705" w:right="167" w:hanging="541"/>
        <w:jc w:val="both"/>
      </w:pPr>
      <w:bookmarkStart w:name="_bookmark221" w:id="223"/>
      <w:bookmarkEnd w:id="223"/>
      <w:r>
        <w:rPr/>
      </w:r>
      <w:hyperlink w:history="true" w:anchor="_bookmark183">
        <w:r>
          <w:rPr>
            <w:color w:val="005DA1"/>
            <w:position w:val="5"/>
            <w:sz w:val="14"/>
            <w:u w:val="single" w:color="005DA1"/>
          </w:rPr>
          <w:t>107</w:t>
        </w:r>
      </w:hyperlink>
      <w:r>
        <w:rPr>
          <w:position w:val="5"/>
          <w:sz w:val="14"/>
        </w:rPr>
        <w:t>.</w:t>
      </w:r>
      <w:r>
        <w:rPr>
          <w:spacing w:val="40"/>
          <w:position w:val="5"/>
          <w:sz w:val="14"/>
        </w:rPr>
        <w:t>  </w:t>
      </w:r>
      <w:r>
        <w:rPr/>
        <w:t>See art.267 TFEU. Under art.68 of the EC Treaty which has lapsed, a reference could only </w:t>
      </w:r>
      <w:r>
        <w:rPr/>
        <w:t>be made to the European Court by a national court against whose decisions no judicial remedy</w:t>
      </w:r>
      <w:r>
        <w:rPr>
          <w:spacing w:val="40"/>
        </w:rPr>
        <w:t> </w:t>
      </w:r>
      <w:r>
        <w:rPr/>
        <w:t>was available.</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222" w:id="224"/>
      <w:bookmarkEnd w:id="224"/>
      <w:r>
        <w:rPr/>
      </w:r>
      <w:hyperlink w:history="true" w:anchor="_bookmark184">
        <w:r>
          <w:rPr>
            <w:color w:val="005DA1"/>
            <w:spacing w:val="-4"/>
            <w:sz w:val="14"/>
            <w:u w:val="single" w:color="005DA1"/>
          </w:rPr>
          <w:t>108</w:t>
        </w:r>
      </w:hyperlink>
      <w:r>
        <w:rPr>
          <w:spacing w:val="-4"/>
          <w:sz w:val="14"/>
        </w:rPr>
        <w:t>.</w:t>
      </w:r>
    </w:p>
    <w:p>
      <w:pPr>
        <w:spacing w:line="235" w:lineRule="auto" w:before="212"/>
        <w:ind w:left="165" w:right="169" w:firstLine="170"/>
        <w:jc w:val="both"/>
        <w:rPr>
          <w:rFonts w:ascii="Arial" w:hAnsi="Arial"/>
          <w:i/>
          <w:sz w:val="20"/>
        </w:rPr>
      </w:pPr>
      <w:r>
        <w:rPr/>
        <w:br w:type="column"/>
      </w:r>
      <w:r>
        <w:rPr>
          <w:sz w:val="20"/>
        </w:rPr>
        <w:t>See </w:t>
      </w:r>
      <w:r>
        <w:rPr>
          <w:rFonts w:ascii="Arial" w:hAnsi="Arial"/>
          <w:i/>
          <w:sz w:val="20"/>
        </w:rPr>
        <w:t>Intercontainer Interfrigo SC (ICF) v Balkenende Oosthuizen BV (C-133/08) [2010] </w:t>
      </w:r>
      <w:r>
        <w:rPr>
          <w:rFonts w:ascii="Arial" w:hAnsi="Arial"/>
          <w:i/>
          <w:sz w:val="20"/>
        </w:rPr>
        <w:t>Q.B. 411</w:t>
      </w:r>
      <w:r>
        <w:rPr>
          <w:sz w:val="20"/>
        </w:rPr>
        <w:t>; </w:t>
      </w:r>
      <w:r>
        <w:rPr>
          <w:rFonts w:ascii="Arial" w:hAnsi="Arial"/>
          <w:i/>
          <w:sz w:val="20"/>
        </w:rPr>
        <w:t>Koelzsch v État du Grand-Duché du Luxembourg (C-29/10) [2012] Q.B. 210</w:t>
      </w:r>
      <w:r>
        <w:rPr>
          <w:sz w:val="20"/>
        </w:rPr>
        <w:t>; </w:t>
      </w:r>
      <w:r>
        <w:rPr>
          <w:rFonts w:ascii="Arial" w:hAnsi="Arial"/>
          <w:i/>
          <w:sz w:val="20"/>
        </w:rPr>
        <w:t>Voogsgeerd</w:t>
      </w:r>
      <w:r>
        <w:rPr>
          <w:rFonts w:ascii="Arial" w:hAnsi="Arial"/>
          <w:i/>
          <w:spacing w:val="40"/>
          <w:sz w:val="20"/>
        </w:rPr>
        <w:t> </w:t>
      </w:r>
      <w:r>
        <w:rPr>
          <w:rFonts w:ascii="Arial" w:hAnsi="Arial"/>
          <w:i/>
          <w:sz w:val="20"/>
        </w:rPr>
        <w:t>v</w:t>
      </w:r>
      <w:r>
        <w:rPr>
          <w:rFonts w:ascii="Arial" w:hAnsi="Arial"/>
          <w:i/>
          <w:spacing w:val="-1"/>
          <w:sz w:val="20"/>
        </w:rPr>
        <w:t> </w:t>
      </w:r>
      <w:r>
        <w:rPr>
          <w:rFonts w:ascii="Arial" w:hAnsi="Arial"/>
          <w:i/>
          <w:sz w:val="20"/>
        </w:rPr>
        <w:t>Navimer</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(C-384/10)</w:t>
      </w:r>
      <w:r>
        <w:rPr>
          <w:rFonts w:ascii="Arial" w:hAnsi="Arial"/>
          <w:i/>
          <w:spacing w:val="2"/>
          <w:sz w:val="20"/>
        </w:rPr>
        <w:t> </w:t>
      </w:r>
      <w:r>
        <w:rPr>
          <w:rFonts w:ascii="Arial" w:hAnsi="Arial"/>
          <w:i/>
          <w:sz w:val="20"/>
        </w:rPr>
        <w:t>[2012]</w:t>
      </w:r>
      <w:r>
        <w:rPr>
          <w:rFonts w:ascii="Arial" w:hAnsi="Arial"/>
          <w:i/>
          <w:spacing w:val="2"/>
          <w:sz w:val="20"/>
        </w:rPr>
        <w:t> </w:t>
      </w:r>
      <w:r>
        <w:rPr>
          <w:rFonts w:ascii="Arial" w:hAnsi="Arial"/>
          <w:i/>
          <w:sz w:val="20"/>
        </w:rPr>
        <w:t>I.L.Pr.</w:t>
      </w:r>
      <w:r>
        <w:rPr>
          <w:rFonts w:ascii="Arial" w:hAnsi="Arial"/>
          <w:i/>
          <w:spacing w:val="2"/>
          <w:sz w:val="20"/>
        </w:rPr>
        <w:t> </w:t>
      </w:r>
      <w:r>
        <w:rPr>
          <w:rFonts w:ascii="Arial" w:hAnsi="Arial"/>
          <w:i/>
          <w:sz w:val="20"/>
        </w:rPr>
        <w:t>16</w:t>
      </w:r>
      <w:r>
        <w:rPr>
          <w:sz w:val="20"/>
        </w:rPr>
        <w:t>;</w:t>
      </w:r>
      <w:r>
        <w:rPr>
          <w:spacing w:val="2"/>
          <w:sz w:val="20"/>
        </w:rPr>
        <w:t> </w:t>
      </w:r>
      <w:r>
        <w:rPr>
          <w:rFonts w:ascii="Arial" w:hAnsi="Arial"/>
          <w:i/>
          <w:sz w:val="20"/>
        </w:rPr>
        <w:t>Schlecker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Meilitta</w:t>
      </w:r>
      <w:r>
        <w:rPr>
          <w:rFonts w:ascii="Arial" w:hAnsi="Arial"/>
          <w:i/>
          <w:spacing w:val="2"/>
          <w:sz w:val="20"/>
        </w:rPr>
        <w:t> </w:t>
      </w:r>
      <w:r>
        <w:rPr>
          <w:rFonts w:ascii="Arial" w:hAnsi="Arial"/>
          <w:i/>
          <w:sz w:val="20"/>
        </w:rPr>
        <w:t>(C-64/12)</w:t>
      </w:r>
      <w:r>
        <w:rPr>
          <w:rFonts w:ascii="Arial" w:hAnsi="Arial"/>
          <w:i/>
          <w:spacing w:val="2"/>
          <w:sz w:val="20"/>
        </w:rPr>
        <w:t> </w:t>
      </w:r>
      <w:r>
        <w:rPr>
          <w:rFonts w:ascii="Arial" w:hAnsi="Arial"/>
          <w:i/>
          <w:sz w:val="20"/>
        </w:rPr>
        <w:t>(September</w:t>
      </w:r>
      <w:r>
        <w:rPr>
          <w:rFonts w:ascii="Arial" w:hAnsi="Arial"/>
          <w:i/>
          <w:spacing w:val="2"/>
          <w:sz w:val="20"/>
        </w:rPr>
        <w:t> </w:t>
      </w:r>
      <w:r>
        <w:rPr>
          <w:rFonts w:ascii="Arial" w:hAnsi="Arial"/>
          <w:i/>
          <w:sz w:val="20"/>
        </w:rPr>
        <w:t>12,</w:t>
      </w:r>
      <w:r>
        <w:rPr>
          <w:rFonts w:ascii="Arial" w:hAnsi="Arial"/>
          <w:i/>
          <w:spacing w:val="2"/>
          <w:sz w:val="20"/>
        </w:rPr>
        <w:t> </w:t>
      </w:r>
      <w:r>
        <w:rPr>
          <w:rFonts w:ascii="Arial" w:hAnsi="Arial"/>
          <w:i/>
          <w:spacing w:val="-2"/>
          <w:sz w:val="20"/>
        </w:rPr>
        <w:t>2013)</w:t>
      </w:r>
    </w:p>
    <w:p>
      <w:pPr>
        <w:spacing w:line="225" w:lineRule="exact" w:before="0"/>
        <w:ind w:left="165" w:right="0" w:firstLine="0"/>
        <w:jc w:val="both"/>
        <w:rPr>
          <w:sz w:val="20"/>
        </w:rPr>
      </w:pPr>
      <w:r>
        <w:rPr>
          <w:sz w:val="20"/>
        </w:rPr>
        <w:drawing>
          <wp:anchor distT="0" distB="0" distL="0" distR="0" allowOverlap="1" layoutInCell="1" locked="0" behindDoc="0" simplePos="0" relativeHeight="15740928">
            <wp:simplePos x="0" y="0"/>
            <wp:positionH relativeFrom="page">
              <wp:posOffset>1257846</wp:posOffset>
            </wp:positionH>
            <wp:positionV relativeFrom="paragraph">
              <wp:posOffset>-403581</wp:posOffset>
            </wp:positionV>
            <wp:extent cx="107988" cy="107988"/>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107988" cy="107988"/>
                    </a:xfrm>
                    <a:prstGeom prst="rect">
                      <a:avLst/>
                    </a:prstGeom>
                  </pic:spPr>
                </pic:pic>
              </a:graphicData>
            </a:graphic>
          </wp:anchor>
        </w:drawing>
      </w:r>
      <w:r>
        <w:rPr>
          <w:sz w:val="20"/>
        </w:rPr>
        <w:t>;</w:t>
      </w:r>
      <w:r>
        <w:rPr>
          <w:spacing w:val="-2"/>
          <w:sz w:val="20"/>
        </w:rPr>
        <w:t> </w:t>
      </w:r>
      <w:r>
        <w:rPr>
          <w:rFonts w:ascii="Arial"/>
          <w:i/>
          <w:sz w:val="20"/>
        </w:rPr>
        <w:t>ERGO Insurance SE v If P&amp;C Insurance AS (Joined cases C-359/14 and C-</w:t>
      </w:r>
      <w:r>
        <w:rPr>
          <w:rFonts w:ascii="Arial"/>
          <w:i/>
          <w:spacing w:val="-2"/>
          <w:sz w:val="20"/>
        </w:rPr>
        <w:t>475/14)</w:t>
      </w:r>
      <w:r>
        <w:rPr>
          <w:spacing w:val="-2"/>
          <w:sz w:val="20"/>
        </w:rPr>
        <w:t>.</w:t>
      </w:r>
    </w:p>
    <w:p>
      <w:pPr>
        <w:spacing w:after="0" w:line="225" w:lineRule="exact"/>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223" w:id="225"/>
      <w:bookmarkEnd w:id="225"/>
      <w:r>
        <w:rPr/>
      </w:r>
      <w:hyperlink w:history="true" w:anchor="_bookmark185">
        <w:r>
          <w:rPr>
            <w:color w:val="005DA1"/>
            <w:spacing w:val="-4"/>
            <w:position w:val="5"/>
            <w:sz w:val="14"/>
            <w:u w:val="single" w:color="005DA1"/>
          </w:rPr>
          <w:t>109</w:t>
        </w:r>
      </w:hyperlink>
      <w:r>
        <w:rPr>
          <w:spacing w:val="-4"/>
          <w:position w:val="5"/>
          <w:sz w:val="14"/>
        </w:rPr>
        <w:t>.</w:t>
      </w:r>
      <w:r>
        <w:rPr>
          <w:position w:val="5"/>
          <w:sz w:val="14"/>
        </w:rPr>
        <w:tab/>
      </w:r>
      <w:r>
        <w:rPr>
          <w:sz w:val="20"/>
        </w:rPr>
        <w:t>See preceding </w:t>
      </w:r>
      <w:r>
        <w:rPr>
          <w:spacing w:val="-2"/>
          <w:sz w:val="20"/>
        </w:rPr>
        <w:t>note.</w:t>
      </w:r>
    </w:p>
    <w:p>
      <w:pPr>
        <w:pStyle w:val="BodyText"/>
        <w:spacing w:before="9"/>
      </w:pPr>
    </w:p>
    <w:p>
      <w:pPr>
        <w:spacing w:line="235" w:lineRule="auto" w:before="0"/>
        <w:ind w:left="705" w:right="168" w:hanging="541"/>
        <w:jc w:val="both"/>
        <w:rPr>
          <w:sz w:val="20"/>
        </w:rPr>
      </w:pPr>
      <w:bookmarkStart w:name="_bookmark224" w:id="226"/>
      <w:bookmarkEnd w:id="226"/>
      <w:r>
        <w:rPr/>
      </w:r>
      <w:hyperlink w:history="true" w:anchor="_bookmark185">
        <w:r>
          <w:rPr>
            <w:color w:val="005DA1"/>
            <w:position w:val="5"/>
            <w:sz w:val="14"/>
            <w:u w:val="single" w:color="005DA1"/>
          </w:rPr>
          <w:t>110</w:t>
        </w:r>
      </w:hyperlink>
      <w:r>
        <w:rPr>
          <w:position w:val="5"/>
          <w:sz w:val="14"/>
        </w:rPr>
        <w:t>.</w:t>
      </w:r>
      <w:r>
        <w:rPr>
          <w:spacing w:val="40"/>
          <w:position w:val="5"/>
          <w:sz w:val="14"/>
        </w:rPr>
        <w:t>  </w:t>
      </w:r>
      <w:r>
        <w:rPr>
          <w:sz w:val="20"/>
        </w:rPr>
        <w:t>See for e.g. </w:t>
      </w:r>
      <w:r>
        <w:rPr>
          <w:rFonts w:ascii="Arial" w:hAnsi="Arial"/>
          <w:i/>
          <w:sz w:val="20"/>
        </w:rPr>
        <w:t>Oldendorff v Libera Corp (No.2) [1996] 1 Lloyd’s Rep. 380</w:t>
      </w:r>
      <w:r>
        <w:rPr>
          <w:sz w:val="20"/>
        </w:rPr>
        <w:t>; </w:t>
      </w:r>
      <w:r>
        <w:rPr>
          <w:rFonts w:ascii="Arial" w:hAnsi="Arial"/>
          <w:i/>
          <w:sz w:val="20"/>
        </w:rPr>
        <w:t>Credit Lyonnais v </w:t>
      </w:r>
      <w:r>
        <w:rPr>
          <w:rFonts w:ascii="Arial" w:hAnsi="Arial"/>
          <w:i/>
          <w:sz w:val="20"/>
        </w:rPr>
        <w:t>New Hampshire Insurance Co Ltd [1997] 2 Lloyd’s Rep. 1</w:t>
      </w:r>
      <w:r>
        <w:rPr>
          <w:sz w:val="20"/>
        </w:rPr>
        <w:t>; </w:t>
      </w:r>
      <w:r>
        <w:rPr>
          <w:rFonts w:ascii="Arial" w:hAnsi="Arial"/>
          <w:i/>
          <w:sz w:val="20"/>
        </w:rPr>
        <w:t>Raiffeisen Zentralbank Osterreich AG v Five Star General Trading LLC [2001] EWCA Civ 68, [2001] Q.B. 825</w:t>
      </w:r>
      <w:r>
        <w:rPr>
          <w:sz w:val="20"/>
        </w:rPr>
        <w:t>; </w:t>
      </w:r>
      <w:r>
        <w:rPr>
          <w:rFonts w:ascii="Arial" w:hAnsi="Arial"/>
          <w:i/>
          <w:sz w:val="20"/>
        </w:rPr>
        <w:t>Bergmann v Kenburn Waste Management Ltd [2002] EWCA Civ 98, [2002] 2 F.S.R. 45</w:t>
      </w:r>
      <w:r>
        <w:rPr>
          <w:sz w:val="20"/>
        </w:rPr>
        <w:t>; </w:t>
      </w:r>
      <w:r>
        <w:rPr>
          <w:rFonts w:ascii="Arial" w:hAnsi="Arial"/>
          <w:i/>
          <w:sz w:val="20"/>
        </w:rPr>
        <w:t>Ennstone Building Products Ltd v Stanger Ltd [2002] EWCA Civ 916, [2002] 1 W.L.R. 359</w:t>
      </w:r>
      <w:r>
        <w:rPr>
          <w:sz w:val="20"/>
        </w:rPr>
        <w:t>. See also the 30th edition of this work, para.30-020.</w:t>
      </w:r>
    </w:p>
    <w:p>
      <w:pPr>
        <w:pStyle w:val="BodyText"/>
        <w:spacing w:before="7"/>
      </w:pPr>
    </w:p>
    <w:p>
      <w:pPr>
        <w:pStyle w:val="BodyText"/>
        <w:spacing w:line="235" w:lineRule="auto" w:before="1"/>
        <w:ind w:left="705" w:right="167" w:hanging="541"/>
        <w:jc w:val="both"/>
      </w:pPr>
      <w:bookmarkStart w:name="_bookmark225" w:id="227"/>
      <w:bookmarkEnd w:id="227"/>
      <w:r>
        <w:rPr/>
      </w:r>
      <w:hyperlink w:history="true" w:anchor="_bookmark186">
        <w:r>
          <w:rPr>
            <w:color w:val="005DA1"/>
            <w:position w:val="5"/>
            <w:sz w:val="14"/>
            <w:u w:val="single" w:color="005DA1"/>
          </w:rPr>
          <w:t>111</w:t>
        </w:r>
      </w:hyperlink>
      <w:r>
        <w:rPr>
          <w:position w:val="5"/>
          <w:sz w:val="14"/>
        </w:rPr>
        <w:t>.</w:t>
      </w:r>
      <w:r>
        <w:rPr>
          <w:spacing w:val="80"/>
          <w:position w:val="5"/>
          <w:sz w:val="14"/>
        </w:rPr>
        <w:t> </w:t>
      </w:r>
      <w:r>
        <w:rPr/>
        <w:t>[1980] O.J. C282/1: Contracts (Applicable Law) Act 1990 s.3(3)(a). The European Court has referred to the Report: see cases in n.111, above. the Report is without prejudice to any </w:t>
      </w:r>
      <w:r>
        <w:rPr/>
        <w:t>other material the court is permitted to look at.</w:t>
      </w:r>
    </w:p>
    <w:p>
      <w:pPr>
        <w:pStyle w:val="BodyText"/>
        <w:spacing w:before="8"/>
      </w:pPr>
    </w:p>
    <w:p>
      <w:pPr>
        <w:pStyle w:val="BodyText"/>
        <w:spacing w:line="235" w:lineRule="auto"/>
        <w:ind w:left="705" w:right="167" w:hanging="541"/>
        <w:jc w:val="both"/>
      </w:pPr>
      <w:bookmarkStart w:name="_bookmark226" w:id="228"/>
      <w:bookmarkEnd w:id="228"/>
      <w:r>
        <w:rPr/>
      </w:r>
      <w:hyperlink w:history="true" w:anchor="_bookmark187">
        <w:r>
          <w:rPr>
            <w:color w:val="005DA1"/>
            <w:position w:val="5"/>
            <w:sz w:val="14"/>
            <w:u w:val="single" w:color="005DA1"/>
          </w:rPr>
          <w:t>112</w:t>
        </w:r>
      </w:hyperlink>
      <w:r>
        <w:rPr>
          <w:position w:val="5"/>
          <w:sz w:val="14"/>
        </w:rPr>
        <w:t>.</w:t>
      </w:r>
      <w:r>
        <w:rPr>
          <w:spacing w:val="40"/>
          <w:position w:val="5"/>
          <w:sz w:val="14"/>
        </w:rPr>
        <w:t>  </w:t>
      </w:r>
      <w:r>
        <w:rPr/>
        <w:t>Relevant decisions of the European Court are binding on United Kingdom courts and </w:t>
      </w:r>
      <w:r>
        <w:rPr/>
        <w:t>judicial notice must be taken of any decision of, or expression of opinion by the European Court as to the meaning or effect of the Rome Convention in relation to any question that is referred to it: Contracts (Applicable Law) Act 1990 s.3(2).</w:t>
      </w:r>
    </w:p>
    <w:p>
      <w:pPr>
        <w:pStyle w:val="BodyText"/>
        <w:spacing w:before="5"/>
      </w:pPr>
    </w:p>
    <w:p>
      <w:pPr>
        <w:pStyle w:val="BodyText"/>
        <w:tabs>
          <w:tab w:pos="705" w:val="left" w:leader="none"/>
        </w:tabs>
        <w:ind w:left="165"/>
      </w:pPr>
      <w:bookmarkStart w:name="_bookmark227" w:id="229"/>
      <w:bookmarkEnd w:id="229"/>
      <w:r>
        <w:rPr/>
      </w:r>
      <w:hyperlink w:history="true" w:anchor="_bookmark188">
        <w:r>
          <w:rPr>
            <w:color w:val="005DA1"/>
            <w:spacing w:val="-4"/>
            <w:position w:val="5"/>
            <w:sz w:val="14"/>
            <w:u w:val="single" w:color="005DA1"/>
          </w:rPr>
          <w:t>113</w:t>
        </w:r>
      </w:hyperlink>
      <w:r>
        <w:rPr>
          <w:spacing w:val="-4"/>
          <w:position w:val="5"/>
          <w:sz w:val="14"/>
        </w:rPr>
        <w:t>.</w:t>
      </w:r>
      <w:r>
        <w:rPr>
          <w:position w:val="5"/>
          <w:sz w:val="14"/>
        </w:rPr>
        <w:tab/>
      </w:r>
      <w:r>
        <w:rPr/>
        <w:t>See below, paras 30-029 et </w:t>
      </w:r>
      <w:r>
        <w:rPr>
          <w:spacing w:val="-4"/>
        </w:rPr>
        <w:t>seq.</w:t>
      </w:r>
    </w:p>
    <w:p>
      <w:pPr>
        <w:pStyle w:val="BodyText"/>
        <w:spacing w:before="9"/>
      </w:pPr>
    </w:p>
    <w:p>
      <w:pPr>
        <w:spacing w:line="235" w:lineRule="auto" w:before="0"/>
        <w:ind w:left="705" w:right="167" w:hanging="541"/>
        <w:jc w:val="both"/>
        <w:rPr>
          <w:rFonts w:ascii="Arial"/>
          <w:i/>
          <w:sz w:val="20"/>
        </w:rPr>
      </w:pPr>
      <w:bookmarkStart w:name="_bookmark228" w:id="230"/>
      <w:bookmarkEnd w:id="230"/>
      <w:r>
        <w:rPr/>
      </w:r>
      <w:hyperlink w:history="true" w:anchor="_bookmark189">
        <w:r>
          <w:rPr>
            <w:color w:val="005DA1"/>
            <w:position w:val="5"/>
            <w:sz w:val="14"/>
            <w:u w:val="single" w:color="005DA1"/>
          </w:rPr>
          <w:t>114</w:t>
        </w:r>
      </w:hyperlink>
      <w:r>
        <w:rPr>
          <w:position w:val="5"/>
          <w:sz w:val="14"/>
        </w:rPr>
        <w:t>.</w:t>
      </w:r>
      <w:r>
        <w:rPr>
          <w:spacing w:val="80"/>
          <w:position w:val="5"/>
          <w:sz w:val="14"/>
        </w:rPr>
        <w:t> </w:t>
      </w:r>
      <w:r>
        <w:rPr>
          <w:sz w:val="20"/>
        </w:rPr>
        <w:t>Giuliano-Lagarde</w:t>
      </w:r>
      <w:r>
        <w:rPr>
          <w:spacing w:val="40"/>
          <w:sz w:val="20"/>
        </w:rPr>
        <w:t> </w:t>
      </w:r>
      <w:r>
        <w:rPr>
          <w:sz w:val="20"/>
        </w:rPr>
        <w:t>Report,</w:t>
      </w:r>
      <w:r>
        <w:rPr>
          <w:spacing w:val="40"/>
          <w:sz w:val="20"/>
        </w:rPr>
        <w:t> </w:t>
      </w:r>
      <w:r>
        <w:rPr>
          <w:sz w:val="20"/>
        </w:rPr>
        <w:t>p.10.</w:t>
      </w:r>
      <w:r>
        <w:rPr>
          <w:spacing w:val="40"/>
          <w:sz w:val="20"/>
        </w:rPr>
        <w:t> </w:t>
      </w:r>
      <w:r>
        <w:rPr>
          <w:sz w:val="20"/>
        </w:rPr>
        <w:t>The</w:t>
      </w:r>
      <w:r>
        <w:rPr>
          <w:spacing w:val="40"/>
          <w:sz w:val="20"/>
        </w:rPr>
        <w:t> </w:t>
      </w:r>
      <w:r>
        <w:rPr>
          <w:sz w:val="20"/>
        </w:rPr>
        <w:t>applicable</w:t>
      </w:r>
      <w:r>
        <w:rPr>
          <w:spacing w:val="40"/>
          <w:sz w:val="20"/>
        </w:rPr>
        <w:t> </w:t>
      </w:r>
      <w:r>
        <w:rPr>
          <w:sz w:val="20"/>
        </w:rPr>
        <w:t>law,</w:t>
      </w:r>
      <w:r>
        <w:rPr>
          <w:spacing w:val="40"/>
          <w:sz w:val="20"/>
        </w:rPr>
        <w:t> </w:t>
      </w:r>
      <w:r>
        <w:rPr>
          <w:sz w:val="20"/>
        </w:rPr>
        <w:t>as</w:t>
      </w:r>
      <w:r>
        <w:rPr>
          <w:spacing w:val="40"/>
          <w:sz w:val="20"/>
        </w:rPr>
        <w:t> </w:t>
      </w:r>
      <w:r>
        <w:rPr>
          <w:sz w:val="20"/>
        </w:rPr>
        <w:t>determined</w:t>
      </w:r>
      <w:r>
        <w:rPr>
          <w:spacing w:val="40"/>
          <w:sz w:val="20"/>
        </w:rPr>
        <w:t> </w:t>
      </w:r>
      <w:r>
        <w:rPr>
          <w:sz w:val="20"/>
        </w:rPr>
        <w:t>by</w:t>
      </w:r>
      <w:r>
        <w:rPr>
          <w:spacing w:val="40"/>
          <w:sz w:val="20"/>
        </w:rPr>
        <w:t> </w:t>
      </w:r>
      <w:r>
        <w:rPr>
          <w:sz w:val="20"/>
        </w:rPr>
        <w:t>the</w:t>
      </w:r>
      <w:r>
        <w:rPr>
          <w:spacing w:val="40"/>
          <w:sz w:val="20"/>
        </w:rPr>
        <w:t> </w:t>
      </w:r>
      <w:r>
        <w:rPr>
          <w:sz w:val="20"/>
        </w:rPr>
        <w:t>rules</w:t>
      </w:r>
      <w:r>
        <w:rPr>
          <w:spacing w:val="40"/>
          <w:sz w:val="20"/>
        </w:rPr>
        <w:t> </w:t>
      </w:r>
      <w:r>
        <w:rPr>
          <w:sz w:val="20"/>
        </w:rPr>
        <w:t>in</w:t>
      </w:r>
      <w:r>
        <w:rPr>
          <w:spacing w:val="40"/>
          <w:sz w:val="20"/>
        </w:rPr>
        <w:t> </w:t>
      </w:r>
      <w:r>
        <w:rPr>
          <w:sz w:val="20"/>
        </w:rPr>
        <w:t>the Convention, must be the law of a country: see </w:t>
      </w:r>
      <w:r>
        <w:rPr>
          <w:rFonts w:ascii="Arial"/>
          <w:i/>
          <w:sz w:val="20"/>
        </w:rPr>
        <w:t>Shamil Bank of Bahrain v </w:t>
      </w:r>
      <w:r>
        <w:rPr>
          <w:rFonts w:ascii="Arial"/>
          <w:i/>
          <w:sz w:val="20"/>
        </w:rPr>
        <w:t>Beximco Pharmaceuticals</w:t>
      </w:r>
      <w:r>
        <w:rPr>
          <w:rFonts w:ascii="Arial"/>
          <w:i/>
          <w:spacing w:val="-1"/>
          <w:sz w:val="20"/>
        </w:rPr>
        <w:t> </w:t>
      </w:r>
      <w:r>
        <w:rPr>
          <w:rFonts w:ascii="Arial"/>
          <w:i/>
          <w:sz w:val="20"/>
        </w:rPr>
        <w:t>Ltd [2004] EWCA Civ 19, [2004] 1 W.L.R. 1784</w:t>
      </w:r>
      <w:r>
        <w:rPr>
          <w:sz w:val="20"/>
        </w:rPr>
        <w:t>;</w:t>
      </w:r>
      <w:r>
        <w:rPr>
          <w:spacing w:val="1"/>
          <w:sz w:val="20"/>
        </w:rPr>
        <w:t> </w:t>
      </w:r>
      <w:r>
        <w:rPr>
          <w:rFonts w:ascii="Arial"/>
          <w:i/>
          <w:sz w:val="20"/>
        </w:rPr>
        <w:t>Halpern v Halpern (Nos 1 </w:t>
      </w:r>
      <w:r>
        <w:rPr>
          <w:rFonts w:ascii="Arial"/>
          <w:i/>
          <w:spacing w:val="-5"/>
          <w:sz w:val="20"/>
        </w:rPr>
        <w:t>and</w:t>
      </w:r>
    </w:p>
    <w:p>
      <w:pPr>
        <w:spacing w:after="0" w:line="235" w:lineRule="auto"/>
        <w:jc w:val="both"/>
        <w:rPr>
          <w:rFonts w:ascii="Arial"/>
          <w:i/>
          <w:sz w:val="20"/>
        </w:rPr>
        <w:sectPr>
          <w:type w:val="continuous"/>
          <w:pgSz w:w="11900" w:h="16840"/>
          <w:pgMar w:header="971" w:footer="0" w:top="1300" w:bottom="280" w:left="1275" w:right="1275"/>
        </w:sectPr>
      </w:pPr>
    </w:p>
    <w:p>
      <w:pPr>
        <w:spacing w:line="227" w:lineRule="exact" w:before="106"/>
        <w:ind w:left="705" w:right="0" w:firstLine="0"/>
        <w:jc w:val="left"/>
        <w:rPr>
          <w:rFonts w:ascii="Arial"/>
          <w:i/>
          <w:sz w:val="20"/>
        </w:rPr>
      </w:pPr>
      <w:r>
        <w:rPr>
          <w:rFonts w:ascii="Arial"/>
          <w:i/>
          <w:sz w:val="20"/>
        </w:rPr>
        <w:t>2)</w:t>
      </w:r>
      <w:r>
        <w:rPr>
          <w:rFonts w:ascii="Arial"/>
          <w:i/>
          <w:spacing w:val="17"/>
          <w:sz w:val="20"/>
        </w:rPr>
        <w:t> </w:t>
      </w:r>
      <w:r>
        <w:rPr>
          <w:rFonts w:ascii="Arial"/>
          <w:i/>
          <w:sz w:val="20"/>
        </w:rPr>
        <w:t>[2007]</w:t>
      </w:r>
      <w:r>
        <w:rPr>
          <w:rFonts w:ascii="Arial"/>
          <w:i/>
          <w:spacing w:val="18"/>
          <w:sz w:val="20"/>
        </w:rPr>
        <w:t> </w:t>
      </w:r>
      <w:r>
        <w:rPr>
          <w:rFonts w:ascii="Arial"/>
          <w:i/>
          <w:sz w:val="20"/>
        </w:rPr>
        <w:t>EWCA</w:t>
      </w:r>
      <w:r>
        <w:rPr>
          <w:rFonts w:ascii="Arial"/>
          <w:i/>
          <w:spacing w:val="18"/>
          <w:sz w:val="20"/>
        </w:rPr>
        <w:t> </w:t>
      </w:r>
      <w:r>
        <w:rPr>
          <w:rFonts w:ascii="Arial"/>
          <w:i/>
          <w:sz w:val="20"/>
        </w:rPr>
        <w:t>Civ</w:t>
      </w:r>
      <w:r>
        <w:rPr>
          <w:rFonts w:ascii="Arial"/>
          <w:i/>
          <w:spacing w:val="18"/>
          <w:sz w:val="20"/>
        </w:rPr>
        <w:t> </w:t>
      </w:r>
      <w:r>
        <w:rPr>
          <w:rFonts w:ascii="Arial"/>
          <w:i/>
          <w:sz w:val="20"/>
        </w:rPr>
        <w:t>291,</w:t>
      </w:r>
      <w:r>
        <w:rPr>
          <w:rFonts w:ascii="Arial"/>
          <w:i/>
          <w:spacing w:val="18"/>
          <w:sz w:val="20"/>
        </w:rPr>
        <w:t> </w:t>
      </w:r>
      <w:r>
        <w:rPr>
          <w:rFonts w:ascii="Arial"/>
          <w:i/>
          <w:sz w:val="20"/>
        </w:rPr>
        <w:t>[2008]</w:t>
      </w:r>
      <w:r>
        <w:rPr>
          <w:rFonts w:ascii="Arial"/>
          <w:i/>
          <w:spacing w:val="18"/>
          <w:sz w:val="20"/>
        </w:rPr>
        <w:t> </w:t>
      </w:r>
      <w:r>
        <w:rPr>
          <w:rFonts w:ascii="Arial"/>
          <w:i/>
          <w:sz w:val="20"/>
        </w:rPr>
        <w:t>Q.B.</w:t>
      </w:r>
      <w:r>
        <w:rPr>
          <w:rFonts w:ascii="Arial"/>
          <w:i/>
          <w:spacing w:val="18"/>
          <w:sz w:val="20"/>
        </w:rPr>
        <w:t> </w:t>
      </w:r>
      <w:r>
        <w:rPr>
          <w:rFonts w:ascii="Arial"/>
          <w:i/>
          <w:sz w:val="20"/>
        </w:rPr>
        <w:t>195</w:t>
      </w:r>
      <w:r>
        <w:rPr>
          <w:sz w:val="20"/>
        </w:rPr>
        <w:t>;</w:t>
      </w:r>
      <w:r>
        <w:rPr>
          <w:spacing w:val="18"/>
          <w:sz w:val="20"/>
        </w:rPr>
        <w:t> </w:t>
      </w:r>
      <w:r>
        <w:rPr>
          <w:rFonts w:ascii="Arial"/>
          <w:i/>
          <w:sz w:val="20"/>
        </w:rPr>
        <w:t>Musawi</w:t>
      </w:r>
      <w:r>
        <w:rPr>
          <w:rFonts w:ascii="Arial"/>
          <w:i/>
          <w:spacing w:val="18"/>
          <w:sz w:val="20"/>
        </w:rPr>
        <w:t> </w:t>
      </w:r>
      <w:r>
        <w:rPr>
          <w:rFonts w:ascii="Arial"/>
          <w:i/>
          <w:sz w:val="20"/>
        </w:rPr>
        <w:t>v</w:t>
      </w:r>
      <w:r>
        <w:rPr>
          <w:rFonts w:ascii="Arial"/>
          <w:i/>
          <w:spacing w:val="18"/>
          <w:sz w:val="20"/>
        </w:rPr>
        <w:t> </w:t>
      </w:r>
      <w:r>
        <w:rPr>
          <w:rFonts w:ascii="Arial"/>
          <w:i/>
          <w:sz w:val="20"/>
        </w:rPr>
        <w:t>RE</w:t>
      </w:r>
      <w:r>
        <w:rPr>
          <w:rFonts w:ascii="Arial"/>
          <w:i/>
          <w:spacing w:val="18"/>
          <w:sz w:val="20"/>
        </w:rPr>
        <w:t> </w:t>
      </w:r>
      <w:r>
        <w:rPr>
          <w:rFonts w:ascii="Arial"/>
          <w:i/>
          <w:sz w:val="20"/>
        </w:rPr>
        <w:t>International</w:t>
      </w:r>
      <w:r>
        <w:rPr>
          <w:rFonts w:ascii="Arial"/>
          <w:i/>
          <w:spacing w:val="18"/>
          <w:sz w:val="20"/>
        </w:rPr>
        <w:t> </w:t>
      </w:r>
      <w:r>
        <w:rPr>
          <w:rFonts w:ascii="Arial"/>
          <w:i/>
          <w:sz w:val="20"/>
        </w:rPr>
        <w:t>(UK)</w:t>
      </w:r>
      <w:r>
        <w:rPr>
          <w:rFonts w:ascii="Arial"/>
          <w:i/>
          <w:spacing w:val="18"/>
          <w:sz w:val="20"/>
        </w:rPr>
        <w:t> </w:t>
      </w:r>
      <w:r>
        <w:rPr>
          <w:rFonts w:ascii="Arial"/>
          <w:i/>
          <w:sz w:val="20"/>
        </w:rPr>
        <w:t>Ltd</w:t>
      </w:r>
      <w:r>
        <w:rPr>
          <w:rFonts w:ascii="Arial"/>
          <w:i/>
          <w:spacing w:val="18"/>
          <w:sz w:val="20"/>
        </w:rPr>
        <w:t> </w:t>
      </w:r>
      <w:r>
        <w:rPr>
          <w:rFonts w:ascii="Arial"/>
          <w:i/>
          <w:sz w:val="20"/>
        </w:rPr>
        <w:t>[2007]</w:t>
      </w:r>
      <w:r>
        <w:rPr>
          <w:rFonts w:ascii="Arial"/>
          <w:i/>
          <w:spacing w:val="18"/>
          <w:sz w:val="20"/>
        </w:rPr>
        <w:t> </w:t>
      </w:r>
      <w:r>
        <w:rPr>
          <w:rFonts w:ascii="Arial"/>
          <w:i/>
          <w:spacing w:val="-4"/>
          <w:sz w:val="20"/>
        </w:rPr>
        <w:t>EWHC</w:t>
      </w:r>
    </w:p>
    <w:p>
      <w:pPr>
        <w:spacing w:line="225" w:lineRule="exact" w:before="0"/>
        <w:ind w:left="705" w:right="0" w:firstLine="0"/>
        <w:jc w:val="left"/>
        <w:rPr>
          <w:rFonts w:ascii="Arial" w:hAnsi="Arial"/>
          <w:i/>
          <w:sz w:val="20"/>
        </w:rPr>
      </w:pPr>
      <w:r>
        <w:rPr>
          <w:rFonts w:ascii="Arial" w:hAnsi="Arial"/>
          <w:i/>
          <w:sz w:val="20"/>
        </w:rPr>
        <w:t>2981 (Ch),</w:t>
      </w:r>
      <w:r>
        <w:rPr>
          <w:rFonts w:ascii="Arial" w:hAnsi="Arial"/>
          <w:i/>
          <w:spacing w:val="3"/>
          <w:sz w:val="20"/>
        </w:rPr>
        <w:t> </w:t>
      </w:r>
      <w:r>
        <w:rPr>
          <w:rFonts w:ascii="Arial" w:hAnsi="Arial"/>
          <w:i/>
          <w:sz w:val="20"/>
        </w:rPr>
        <w:t>[2008]</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326</w:t>
      </w:r>
      <w:r>
        <w:rPr>
          <w:sz w:val="20"/>
        </w:rPr>
        <w:t>;</w:t>
      </w:r>
      <w:r>
        <w:rPr>
          <w:spacing w:val="3"/>
          <w:sz w:val="20"/>
        </w:rPr>
        <w:t> </w:t>
      </w:r>
      <w:r>
        <w:rPr>
          <w:rFonts w:ascii="Arial" w:hAnsi="Arial"/>
          <w:i/>
          <w:sz w:val="20"/>
        </w:rPr>
        <w:t>Dubai</w:t>
      </w:r>
      <w:r>
        <w:rPr>
          <w:rFonts w:ascii="Arial" w:hAnsi="Arial"/>
          <w:i/>
          <w:spacing w:val="3"/>
          <w:sz w:val="20"/>
        </w:rPr>
        <w:t> </w:t>
      </w:r>
      <w:r>
        <w:rPr>
          <w:rFonts w:ascii="Arial" w:hAnsi="Arial"/>
          <w:i/>
          <w:sz w:val="20"/>
        </w:rPr>
        <w:t>Islamic</w:t>
      </w:r>
      <w:r>
        <w:rPr>
          <w:rFonts w:ascii="Arial" w:hAnsi="Arial"/>
          <w:i/>
          <w:spacing w:val="3"/>
          <w:sz w:val="20"/>
        </w:rPr>
        <w:t> </w:t>
      </w:r>
      <w:r>
        <w:rPr>
          <w:rFonts w:ascii="Arial" w:hAnsi="Arial"/>
          <w:i/>
          <w:sz w:val="20"/>
        </w:rPr>
        <w:t>Bank</w:t>
      </w:r>
      <w:r>
        <w:rPr>
          <w:rFonts w:ascii="Arial" w:hAnsi="Arial"/>
          <w:i/>
          <w:spacing w:val="3"/>
          <w:sz w:val="20"/>
        </w:rPr>
        <w:t> </w:t>
      </w:r>
      <w:r>
        <w:rPr>
          <w:rFonts w:ascii="Arial" w:hAnsi="Arial"/>
          <w:i/>
          <w:sz w:val="20"/>
        </w:rPr>
        <w:t>PJSC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Energy</w:t>
      </w:r>
      <w:r>
        <w:rPr>
          <w:rFonts w:ascii="Arial" w:hAnsi="Arial"/>
          <w:i/>
          <w:spacing w:val="3"/>
          <w:sz w:val="20"/>
        </w:rPr>
        <w:t> </w:t>
      </w:r>
      <w:r>
        <w:rPr>
          <w:rFonts w:ascii="Arial" w:hAnsi="Arial"/>
          <w:i/>
          <w:sz w:val="20"/>
        </w:rPr>
        <w:t>Holdings</w:t>
      </w:r>
      <w:r>
        <w:rPr>
          <w:rFonts w:ascii="Arial" w:hAnsi="Arial"/>
          <w:i/>
          <w:spacing w:val="3"/>
          <w:sz w:val="20"/>
        </w:rPr>
        <w:t> </w:t>
      </w:r>
      <w:r>
        <w:rPr>
          <w:rFonts w:ascii="Arial" w:hAnsi="Arial"/>
          <w:i/>
          <w:sz w:val="20"/>
        </w:rPr>
        <w:t>BSC</w:t>
      </w:r>
      <w:r>
        <w:rPr>
          <w:rFonts w:ascii="Arial" w:hAnsi="Arial"/>
          <w:i/>
          <w:spacing w:val="3"/>
          <w:sz w:val="20"/>
        </w:rPr>
        <w:t> </w:t>
      </w:r>
      <w:r>
        <w:rPr>
          <w:rFonts w:ascii="Arial" w:hAnsi="Arial"/>
          <w:i/>
          <w:spacing w:val="-2"/>
          <w:sz w:val="20"/>
        </w:rPr>
        <w:t>[2013]</w:t>
      </w:r>
    </w:p>
    <w:p>
      <w:pPr>
        <w:spacing w:line="227" w:lineRule="exact" w:before="0"/>
        <w:ind w:left="705" w:right="0" w:firstLine="0"/>
        <w:jc w:val="left"/>
        <w:rPr>
          <w:sz w:val="20"/>
        </w:rPr>
      </w:pPr>
      <w:r>
        <w:rPr>
          <w:rFonts w:ascii="Arial"/>
          <w:i/>
          <w:sz w:val="20"/>
        </w:rPr>
        <w:t>EWHC 3186 (Comm)</w:t>
      </w:r>
      <w:r>
        <w:rPr>
          <w:rFonts w:ascii="Arial"/>
          <w:i/>
          <w:spacing w:val="-1"/>
          <w:sz w:val="20"/>
        </w:rPr>
        <w:t> </w:t>
      </w:r>
      <w:r>
        <w:rPr>
          <w:sz w:val="20"/>
        </w:rPr>
        <w:t>at [11]. See below paras 30-047, 30-</w:t>
      </w:r>
      <w:r>
        <w:rPr>
          <w:spacing w:val="-4"/>
          <w:sz w:val="20"/>
        </w:rPr>
        <w:t>070.</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229" w:id="231"/>
      <w:bookmarkEnd w:id="231"/>
      <w:r>
        <w:rPr/>
      </w:r>
      <w:hyperlink w:history="true" w:anchor="_bookmark190">
        <w:r>
          <w:rPr>
            <w:color w:val="005DA1"/>
            <w:spacing w:val="-4"/>
            <w:sz w:val="14"/>
            <w:u w:val="single" w:color="005DA1"/>
          </w:rPr>
          <w:t>115</w:t>
        </w:r>
      </w:hyperlink>
      <w:r>
        <w:rPr>
          <w:spacing w:val="-4"/>
          <w:sz w:val="14"/>
        </w:rPr>
        <w:t>.</w:t>
      </w:r>
    </w:p>
    <w:p>
      <w:pPr>
        <w:pStyle w:val="BodyText"/>
        <w:spacing w:line="227" w:lineRule="exact" w:before="209"/>
        <w:ind w:left="335"/>
      </w:pPr>
      <w:r>
        <w:rPr/>
        <w:br w:type="column"/>
      </w:r>
      <w:r>
        <w:rPr/>
        <w:t>The</w:t>
      </w:r>
      <w:r>
        <w:rPr>
          <w:spacing w:val="6"/>
        </w:rPr>
        <w:t> </w:t>
      </w:r>
      <w:r>
        <w:rPr/>
        <w:t>relationship</w:t>
      </w:r>
      <w:r>
        <w:rPr>
          <w:spacing w:val="6"/>
        </w:rPr>
        <w:t> </w:t>
      </w:r>
      <w:r>
        <w:rPr/>
        <w:t>between</w:t>
      </w:r>
      <w:r>
        <w:rPr>
          <w:spacing w:val="6"/>
        </w:rPr>
        <w:t> </w:t>
      </w:r>
      <w:r>
        <w:rPr/>
        <w:t>this</w:t>
      </w:r>
      <w:r>
        <w:rPr>
          <w:spacing w:val="6"/>
        </w:rPr>
        <w:t> </w:t>
      </w:r>
      <w:r>
        <w:rPr/>
        <w:t>requirement</w:t>
      </w:r>
      <w:r>
        <w:rPr>
          <w:spacing w:val="6"/>
        </w:rPr>
        <w:t> </w:t>
      </w:r>
      <w:r>
        <w:rPr/>
        <w:t>and</w:t>
      </w:r>
      <w:r>
        <w:rPr>
          <w:spacing w:val="6"/>
        </w:rPr>
        <w:t> </w:t>
      </w:r>
      <w:r>
        <w:rPr/>
        <w:t>art.3(3)</w:t>
      </w:r>
      <w:r>
        <w:rPr>
          <w:spacing w:val="6"/>
        </w:rPr>
        <w:t> </w:t>
      </w:r>
      <w:r>
        <w:rPr/>
        <w:t>is</w:t>
      </w:r>
      <w:r>
        <w:rPr>
          <w:spacing w:val="6"/>
        </w:rPr>
        <w:t> </w:t>
      </w:r>
      <w:r>
        <w:rPr/>
        <w:t>discussed</w:t>
      </w:r>
      <w:r>
        <w:rPr>
          <w:spacing w:val="6"/>
        </w:rPr>
        <w:t> </w:t>
      </w:r>
      <w:r>
        <w:rPr/>
        <w:t>by</w:t>
      </w:r>
      <w:r>
        <w:rPr>
          <w:spacing w:val="6"/>
        </w:rPr>
        <w:t> </w:t>
      </w:r>
      <w:r>
        <w:rPr/>
        <w:t>the</w:t>
      </w:r>
      <w:r>
        <w:rPr>
          <w:spacing w:val="6"/>
        </w:rPr>
        <w:t> </w:t>
      </w:r>
      <w:r>
        <w:rPr/>
        <w:t>Court</w:t>
      </w:r>
      <w:r>
        <w:rPr>
          <w:spacing w:val="6"/>
        </w:rPr>
        <w:t> </w:t>
      </w:r>
      <w:r>
        <w:rPr/>
        <w:t>of</w:t>
      </w:r>
      <w:r>
        <w:rPr>
          <w:spacing w:val="6"/>
        </w:rPr>
        <w:t> </w:t>
      </w:r>
      <w:r>
        <w:rPr/>
        <w:t>Appeal</w:t>
      </w:r>
      <w:r>
        <w:rPr>
          <w:spacing w:val="6"/>
        </w:rPr>
        <w:t> </w:t>
      </w:r>
      <w:r>
        <w:rPr>
          <w:spacing w:val="-5"/>
        </w:rPr>
        <w:t>in</w:t>
      </w:r>
    </w:p>
    <w:p>
      <w:pPr>
        <w:spacing w:line="227" w:lineRule="exact" w:before="0"/>
        <w:ind w:left="165" w:right="0" w:firstLine="0"/>
        <w:jc w:val="left"/>
        <w:rPr>
          <w:sz w:val="20"/>
        </w:rPr>
      </w:pPr>
      <w:r>
        <w:rPr>
          <w:sz w:val="20"/>
        </w:rPr>
        <w:drawing>
          <wp:anchor distT="0" distB="0" distL="0" distR="0" allowOverlap="1" layoutInCell="1" locked="0" behindDoc="0" simplePos="0" relativeHeight="15741440">
            <wp:simplePos x="0" y="0"/>
            <wp:positionH relativeFrom="page">
              <wp:posOffset>1257846</wp:posOffset>
            </wp:positionH>
            <wp:positionV relativeFrom="paragraph">
              <wp:posOffset>-116640</wp:posOffset>
            </wp:positionV>
            <wp:extent cx="107988" cy="107988"/>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Banco</w:t>
      </w:r>
      <w:r>
        <w:rPr>
          <w:rFonts w:ascii="Arial"/>
          <w:i/>
          <w:spacing w:val="-2"/>
          <w:sz w:val="20"/>
        </w:rPr>
        <w:t> </w:t>
      </w:r>
      <w:r>
        <w:rPr>
          <w:rFonts w:ascii="Arial"/>
          <w:i/>
          <w:sz w:val="20"/>
        </w:rPr>
        <w:t>Santander Totta SA v Cia de Carris de Ferro de Lisboa SA [2016] EWCA Civ </w:t>
      </w:r>
      <w:r>
        <w:rPr>
          <w:rFonts w:ascii="Arial"/>
          <w:i/>
          <w:spacing w:val="-2"/>
          <w:sz w:val="20"/>
        </w:rPr>
        <w:t>1267</w:t>
      </w:r>
      <w:r>
        <w:rPr>
          <w:spacing w:val="-2"/>
          <w:sz w:val="20"/>
        </w:rPr>
        <w:t>.</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spacing w:line="235" w:lineRule="auto" w:before="0"/>
        <w:ind w:left="705" w:right="167" w:hanging="541"/>
        <w:jc w:val="both"/>
        <w:rPr>
          <w:sz w:val="20"/>
        </w:rPr>
      </w:pPr>
      <w:bookmarkStart w:name="_bookmark230" w:id="232"/>
      <w:bookmarkEnd w:id="232"/>
      <w:r>
        <w:rPr/>
      </w:r>
      <w:hyperlink w:history="true" w:anchor="_bookmark191">
        <w:r>
          <w:rPr>
            <w:color w:val="005DA1"/>
            <w:position w:val="5"/>
            <w:sz w:val="14"/>
            <w:u w:val="single" w:color="005DA1"/>
          </w:rPr>
          <w:t>116</w:t>
        </w:r>
      </w:hyperlink>
      <w:r>
        <w:rPr>
          <w:position w:val="5"/>
          <w:sz w:val="14"/>
        </w:rPr>
        <w:t>.</w:t>
      </w:r>
      <w:r>
        <w:rPr>
          <w:spacing w:val="80"/>
          <w:position w:val="5"/>
          <w:sz w:val="14"/>
        </w:rPr>
        <w:t>  </w:t>
      </w:r>
      <w:r>
        <w:rPr>
          <w:sz w:val="20"/>
        </w:rPr>
        <w:t>e.g.</w:t>
      </w:r>
      <w:r>
        <w:rPr>
          <w:spacing w:val="25"/>
          <w:sz w:val="20"/>
        </w:rPr>
        <w:t> </w:t>
      </w:r>
      <w:r>
        <w:rPr>
          <w:rFonts w:ascii="Arial" w:hAnsi="Arial"/>
          <w:i/>
          <w:sz w:val="20"/>
        </w:rPr>
        <w:t>Bank</w:t>
      </w:r>
      <w:r>
        <w:rPr>
          <w:rFonts w:ascii="Arial" w:hAnsi="Arial"/>
          <w:i/>
          <w:spacing w:val="25"/>
          <w:sz w:val="20"/>
        </w:rPr>
        <w:t> </w:t>
      </w:r>
      <w:r>
        <w:rPr>
          <w:rFonts w:ascii="Arial" w:hAnsi="Arial"/>
          <w:i/>
          <w:sz w:val="20"/>
        </w:rPr>
        <w:t>of</w:t>
      </w:r>
      <w:r>
        <w:rPr>
          <w:rFonts w:ascii="Arial" w:hAnsi="Arial"/>
          <w:i/>
          <w:spacing w:val="25"/>
          <w:sz w:val="20"/>
        </w:rPr>
        <w:t> </w:t>
      </w:r>
      <w:r>
        <w:rPr>
          <w:rFonts w:ascii="Arial" w:hAnsi="Arial"/>
          <w:i/>
          <w:sz w:val="20"/>
        </w:rPr>
        <w:t>Baroda</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Vysya</w:t>
      </w:r>
      <w:r>
        <w:rPr>
          <w:rFonts w:ascii="Arial" w:hAnsi="Arial"/>
          <w:i/>
          <w:spacing w:val="25"/>
          <w:sz w:val="20"/>
        </w:rPr>
        <w:t> </w:t>
      </w:r>
      <w:r>
        <w:rPr>
          <w:rFonts w:ascii="Arial" w:hAnsi="Arial"/>
          <w:i/>
          <w:sz w:val="20"/>
        </w:rPr>
        <w:t>Bank</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[1994]</w:t>
      </w:r>
      <w:r>
        <w:rPr>
          <w:rFonts w:ascii="Arial" w:hAnsi="Arial"/>
          <w:i/>
          <w:spacing w:val="25"/>
          <w:sz w:val="20"/>
        </w:rPr>
        <w:t> </w:t>
      </w:r>
      <w:r>
        <w:rPr>
          <w:rFonts w:ascii="Arial" w:hAnsi="Arial"/>
          <w:i/>
          <w:sz w:val="20"/>
        </w:rPr>
        <w:t>2</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412</w:t>
      </w:r>
      <w:r>
        <w:rPr>
          <w:sz w:val="20"/>
        </w:rPr>
        <w:t>;</w:t>
      </w:r>
      <w:r>
        <w:rPr>
          <w:spacing w:val="25"/>
          <w:sz w:val="20"/>
        </w:rPr>
        <w:t> </w:t>
      </w:r>
      <w:r>
        <w:rPr>
          <w:rFonts w:ascii="Arial" w:hAnsi="Arial"/>
          <w:i/>
          <w:sz w:val="20"/>
        </w:rPr>
        <w:t>Egon</w:t>
      </w:r>
      <w:r>
        <w:rPr>
          <w:rFonts w:ascii="Arial" w:hAnsi="Arial"/>
          <w:i/>
          <w:spacing w:val="25"/>
          <w:sz w:val="20"/>
        </w:rPr>
        <w:t> </w:t>
      </w:r>
      <w:r>
        <w:rPr>
          <w:rFonts w:ascii="Arial" w:hAnsi="Arial"/>
          <w:i/>
          <w:sz w:val="20"/>
        </w:rPr>
        <w:t>Oldendorff</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Libera Corp (No.2) [1996] 1 Lloyd’s Rep. 380 </w:t>
      </w:r>
      <w:r>
        <w:rPr>
          <w:sz w:val="20"/>
        </w:rPr>
        <w:t>(law of England and law of Japan); </w:t>
      </w:r>
      <w:r>
        <w:rPr>
          <w:rFonts w:ascii="Arial" w:hAnsi="Arial"/>
          <w:i/>
          <w:sz w:val="20"/>
        </w:rPr>
        <w:t>Gan Insurance Co</w:t>
      </w:r>
      <w:r>
        <w:rPr>
          <w:rFonts w:ascii="Arial" w:hAnsi="Arial"/>
          <w:i/>
          <w:spacing w:val="40"/>
          <w:sz w:val="20"/>
        </w:rPr>
        <w:t> </w:t>
      </w:r>
      <w:r>
        <w:rPr>
          <w:rFonts w:ascii="Arial" w:hAnsi="Arial"/>
          <w:i/>
          <w:sz w:val="20"/>
        </w:rPr>
        <w:t>Ltd v Tai Ping Insurance Co Ltd [1999] 2 All E.R. (Comm) 54 </w:t>
      </w:r>
      <w:r>
        <w:rPr>
          <w:sz w:val="20"/>
        </w:rPr>
        <w:t>(law of England and law </w:t>
      </w:r>
      <w:r>
        <w:rPr>
          <w:sz w:val="20"/>
        </w:rPr>
        <w:t>of Taiwan); </w:t>
      </w:r>
      <w:r>
        <w:rPr>
          <w:rFonts w:ascii="Arial" w:hAnsi="Arial"/>
          <w:i/>
          <w:sz w:val="20"/>
        </w:rPr>
        <w:t>Tiernan v Magen Insurance Co Ltd [2000] I.L.Pr. 517 </w:t>
      </w:r>
      <w:r>
        <w:rPr>
          <w:sz w:val="20"/>
        </w:rPr>
        <w:t>(law of England and law of Israel); </w:t>
      </w:r>
      <w:r>
        <w:rPr>
          <w:rFonts w:ascii="Arial" w:hAnsi="Arial"/>
          <w:i/>
          <w:sz w:val="20"/>
        </w:rPr>
        <w:t>Aeolian Shipping SA v ISS Machinery Services Ltd [2001] EWCA Civ 1162, [2001] 2 Lloyd’s Rep. 641 </w:t>
      </w:r>
      <w:r>
        <w:rPr>
          <w:sz w:val="20"/>
        </w:rPr>
        <w:t>(law of England and law of Japan); </w:t>
      </w:r>
      <w:r>
        <w:rPr>
          <w:rFonts w:ascii="Arial" w:hAnsi="Arial"/>
          <w:i/>
          <w:sz w:val="20"/>
        </w:rPr>
        <w:t>Samcrete Egypt Engineers and Contractors SAE v Land Rover Exports Ltd [2001] EWCA Civ 2019, [2002] C.L.C. 533 </w:t>
      </w:r>
      <w:r>
        <w:rPr>
          <w:sz w:val="20"/>
        </w:rPr>
        <w:t>(law of England and law of Egypt).</w:t>
      </w:r>
    </w:p>
    <w:p>
      <w:pPr>
        <w:pStyle w:val="BodyText"/>
        <w:spacing w:before="7"/>
      </w:pPr>
    </w:p>
    <w:p>
      <w:pPr>
        <w:spacing w:line="235" w:lineRule="auto" w:before="0"/>
        <w:ind w:left="705" w:right="167" w:hanging="541"/>
        <w:jc w:val="both"/>
        <w:rPr>
          <w:sz w:val="20"/>
        </w:rPr>
      </w:pPr>
      <w:bookmarkStart w:name="_bookmark231" w:id="233"/>
      <w:bookmarkEnd w:id="233"/>
      <w:r>
        <w:rPr/>
      </w:r>
      <w:hyperlink w:history="true" w:anchor="_bookmark192">
        <w:r>
          <w:rPr>
            <w:color w:val="005DA1"/>
            <w:position w:val="5"/>
            <w:sz w:val="14"/>
            <w:u w:val="single" w:color="005DA1"/>
          </w:rPr>
          <w:t>117</w:t>
        </w:r>
      </w:hyperlink>
      <w:r>
        <w:rPr>
          <w:position w:val="5"/>
          <w:sz w:val="14"/>
        </w:rPr>
        <w:t>.</w:t>
      </w:r>
      <w:r>
        <w:rPr>
          <w:spacing w:val="80"/>
          <w:position w:val="5"/>
          <w:sz w:val="14"/>
        </w:rPr>
        <w:t>  </w:t>
      </w:r>
      <w:r>
        <w:rPr>
          <w:sz w:val="20"/>
        </w:rPr>
        <w:t>Including cases where it is necessary to determine whether a contract is “governed by </w:t>
      </w:r>
      <w:r>
        <w:rPr>
          <w:sz w:val="20"/>
        </w:rPr>
        <w:t>English law” for the purposes of CPR PD 6B, para.3.1(6) which enables permission to be given for service of a claim form out of the jurisdiction: see </w:t>
      </w:r>
      <w:r>
        <w:rPr>
          <w:rFonts w:ascii="Arial" w:hAnsi="Arial"/>
          <w:i/>
          <w:sz w:val="20"/>
        </w:rPr>
        <w:t>Bank of Baroda v Vysya Bank Ltd [1994] 2 Lloyd’s Rep. 87</w:t>
      </w:r>
      <w:r>
        <w:rPr>
          <w:sz w:val="20"/>
        </w:rPr>
        <w:t>; </w:t>
      </w:r>
      <w:r>
        <w:rPr>
          <w:rFonts w:ascii="Arial" w:hAnsi="Arial"/>
          <w:i/>
          <w:sz w:val="20"/>
        </w:rPr>
        <w:t>Egon Oldendorff v Libera Corp [1995] 2 Lloyd’s Rep. 64</w:t>
      </w:r>
      <w:r>
        <w:rPr>
          <w:sz w:val="20"/>
        </w:rPr>
        <w:t>; </w:t>
      </w:r>
      <w:r>
        <w:rPr>
          <w:rFonts w:ascii="Arial" w:hAnsi="Arial"/>
          <w:i/>
          <w:sz w:val="20"/>
        </w:rPr>
        <w:t>Burrows v Jamaica Private Power Co Ltd [2002] 2 All E.R. (Comm) 374</w:t>
      </w:r>
      <w:r>
        <w:rPr>
          <w:sz w:val="20"/>
        </w:rPr>
        <w:t>; Dicey, Morris and Collins para.30-027. According to CPR r.6.37(3), the court will not give permission for such service “unless satisfied that England and Wales is the proper place in which to bring the claim”.</w:t>
      </w:r>
    </w:p>
    <w:p>
      <w:pPr>
        <w:pStyle w:val="BodyText"/>
        <w:spacing w:before="7"/>
      </w:pPr>
    </w:p>
    <w:p>
      <w:pPr>
        <w:pStyle w:val="BodyText"/>
        <w:tabs>
          <w:tab w:pos="705" w:val="left" w:leader="none"/>
        </w:tabs>
        <w:spacing w:line="235" w:lineRule="auto" w:before="1"/>
        <w:ind w:left="705" w:right="168" w:hanging="541"/>
      </w:pPr>
      <w:bookmarkStart w:name="_bookmark232" w:id="234"/>
      <w:bookmarkEnd w:id="234"/>
      <w:r>
        <w:rPr/>
      </w:r>
      <w:hyperlink w:history="true" w:anchor="_bookmark193">
        <w:r>
          <w:rPr>
            <w:color w:val="005DA1"/>
            <w:spacing w:val="-4"/>
            <w:position w:val="5"/>
            <w:sz w:val="14"/>
            <w:u w:val="single" w:color="005DA1"/>
          </w:rPr>
          <w:t>118</w:t>
        </w:r>
      </w:hyperlink>
      <w:r>
        <w:rPr>
          <w:spacing w:val="-4"/>
          <w:position w:val="5"/>
          <w:sz w:val="14"/>
        </w:rPr>
        <w:t>.</w:t>
      </w:r>
      <w:r>
        <w:rPr>
          <w:position w:val="5"/>
          <w:sz w:val="14"/>
        </w:rPr>
        <w:tab/>
      </w:r>
      <w:r>
        <w:rPr/>
        <w:t>Giuliano-Lagarde Report, p.13. For criticism of this result by Lords Wilberforce and Goff, </w:t>
      </w:r>
      <w:r>
        <w:rPr/>
        <w:t>see</w:t>
      </w:r>
      <w:r>
        <w:rPr>
          <w:spacing w:val="80"/>
          <w:w w:val="150"/>
        </w:rPr>
        <w:t> </w:t>
      </w:r>
      <w:r>
        <w:rPr/>
        <w:t>Hansard, HL Vol.515, cols 1476-1482, Vol.517, cols 1537-1541.</w:t>
      </w:r>
    </w:p>
    <w:p>
      <w:pPr>
        <w:pStyle w:val="BodyText"/>
        <w:spacing w:before="5"/>
      </w:pPr>
    </w:p>
    <w:p>
      <w:pPr>
        <w:tabs>
          <w:tab w:pos="705" w:val="left" w:leader="none"/>
        </w:tabs>
        <w:spacing w:before="0"/>
        <w:ind w:left="165" w:right="0" w:firstLine="0"/>
        <w:jc w:val="left"/>
        <w:rPr>
          <w:sz w:val="20"/>
        </w:rPr>
      </w:pPr>
      <w:bookmarkStart w:name="_bookmark233" w:id="235"/>
      <w:bookmarkEnd w:id="235"/>
      <w:r>
        <w:rPr/>
      </w:r>
      <w:hyperlink w:history="true" w:anchor="_bookmark194">
        <w:r>
          <w:rPr>
            <w:color w:val="005DA1"/>
            <w:spacing w:val="-4"/>
            <w:position w:val="5"/>
            <w:sz w:val="14"/>
            <w:u w:val="single" w:color="005DA1"/>
          </w:rPr>
          <w:t>119</w:t>
        </w:r>
      </w:hyperlink>
      <w:r>
        <w:rPr>
          <w:spacing w:val="-4"/>
          <w:position w:val="5"/>
          <w:sz w:val="14"/>
        </w:rPr>
        <w:t>.</w:t>
      </w:r>
      <w:r>
        <w:rPr>
          <w:position w:val="5"/>
          <w:sz w:val="14"/>
        </w:rPr>
        <w:tab/>
      </w:r>
      <w:r>
        <w:rPr>
          <w:sz w:val="20"/>
        </w:rPr>
        <w:t>cf. </w:t>
      </w:r>
      <w:r>
        <w:rPr>
          <w:rFonts w:ascii="Arial"/>
          <w:i/>
          <w:sz w:val="20"/>
        </w:rPr>
        <w:t>James Miller and Partners Ltd v Whitworth Street Estates (Manchester) Ltd [1970] A.C. </w:t>
      </w:r>
      <w:r>
        <w:rPr>
          <w:rFonts w:ascii="Arial"/>
          <w:i/>
          <w:spacing w:val="-4"/>
          <w:sz w:val="20"/>
        </w:rPr>
        <w:t>583</w:t>
      </w:r>
      <w:r>
        <w:rPr>
          <w:spacing w:val="-4"/>
          <w:sz w:val="20"/>
        </w:rPr>
        <w:t>.</w:t>
      </w:r>
    </w:p>
    <w:p>
      <w:pPr>
        <w:pStyle w:val="BodyText"/>
        <w:spacing w:before="5"/>
      </w:pPr>
    </w:p>
    <w:p>
      <w:pPr>
        <w:pStyle w:val="BodyText"/>
        <w:tabs>
          <w:tab w:pos="705" w:val="left" w:leader="none"/>
        </w:tabs>
        <w:ind w:left="165"/>
      </w:pPr>
      <w:bookmarkStart w:name="_bookmark234" w:id="236"/>
      <w:bookmarkEnd w:id="236"/>
      <w:r>
        <w:rPr/>
      </w:r>
      <w:hyperlink w:history="true" w:anchor="_bookmark195">
        <w:r>
          <w:rPr>
            <w:color w:val="005DA1"/>
            <w:spacing w:val="-4"/>
            <w:position w:val="5"/>
            <w:sz w:val="14"/>
            <w:u w:val="single" w:color="005DA1"/>
          </w:rPr>
          <w:t>120</w:t>
        </w:r>
      </w:hyperlink>
      <w:r>
        <w:rPr>
          <w:spacing w:val="-4"/>
          <w:position w:val="5"/>
          <w:sz w:val="14"/>
        </w:rPr>
        <w:t>.</w:t>
      </w:r>
      <w:r>
        <w:rPr>
          <w:position w:val="5"/>
          <w:sz w:val="14"/>
        </w:rPr>
        <w:tab/>
      </w:r>
      <w:r>
        <w:rPr/>
        <w:t>See also Giuliano-Lagarde Report, </w:t>
      </w:r>
      <w:r>
        <w:rPr>
          <w:spacing w:val="-2"/>
        </w:rPr>
        <w:t>p.10.</w:t>
      </w:r>
    </w:p>
    <w:p>
      <w:pPr>
        <w:pStyle w:val="BodyText"/>
        <w:spacing w:before="9"/>
      </w:pPr>
    </w:p>
    <w:p>
      <w:pPr>
        <w:spacing w:line="235" w:lineRule="auto" w:before="0"/>
        <w:ind w:left="705" w:right="168" w:hanging="541"/>
        <w:jc w:val="both"/>
        <w:rPr>
          <w:sz w:val="20"/>
        </w:rPr>
      </w:pPr>
      <w:bookmarkStart w:name="_bookmark235" w:id="237"/>
      <w:bookmarkEnd w:id="237"/>
      <w:r>
        <w:rPr/>
      </w:r>
      <w:hyperlink w:history="true" w:anchor="_bookmark196">
        <w:r>
          <w:rPr>
            <w:color w:val="005DA1"/>
            <w:position w:val="5"/>
            <w:sz w:val="14"/>
            <w:u w:val="single" w:color="005DA1"/>
          </w:rPr>
          <w:t>121</w:t>
        </w:r>
      </w:hyperlink>
      <w:r>
        <w:rPr>
          <w:position w:val="5"/>
          <w:sz w:val="14"/>
        </w:rPr>
        <w:t>.</w:t>
      </w:r>
      <w:r>
        <w:rPr>
          <w:spacing w:val="80"/>
          <w:position w:val="5"/>
          <w:sz w:val="14"/>
        </w:rPr>
        <w:t>  </w:t>
      </w:r>
      <w:r>
        <w:rPr>
          <w:sz w:val="20"/>
        </w:rPr>
        <w:t>See </w:t>
      </w:r>
      <w:r>
        <w:rPr>
          <w:rFonts w:ascii="Arial"/>
          <w:i/>
          <w:sz w:val="20"/>
        </w:rPr>
        <w:t>Centrax Ltd v Citibank NA [1999] 1 All E.R. (Comm) 557 </w:t>
      </w:r>
      <w:r>
        <w:rPr>
          <w:sz w:val="20"/>
        </w:rPr>
        <w:t>(law of England or law of New York); </w:t>
      </w:r>
      <w:r>
        <w:rPr>
          <w:rFonts w:ascii="Arial"/>
          <w:i/>
          <w:sz w:val="20"/>
        </w:rPr>
        <w:t>Iran Continental Shelf Oil Co v IRI International Corp [2002] EWCA Civ 1024 </w:t>
      </w:r>
      <w:r>
        <w:rPr>
          <w:sz w:val="20"/>
        </w:rPr>
        <w:t>(law of England or law of Texas).</w:t>
      </w:r>
    </w:p>
    <w:p>
      <w:pPr>
        <w:pStyle w:val="BodyText"/>
        <w:spacing w:before="5"/>
      </w:pPr>
    </w:p>
    <w:p>
      <w:pPr>
        <w:pStyle w:val="BodyText"/>
        <w:tabs>
          <w:tab w:pos="705" w:val="left" w:leader="none"/>
        </w:tabs>
        <w:ind w:left="165"/>
      </w:pPr>
      <w:bookmarkStart w:name="_bookmark236" w:id="238"/>
      <w:bookmarkEnd w:id="238"/>
      <w:r>
        <w:rPr/>
      </w:r>
      <w:hyperlink w:history="true" w:anchor="_bookmark197">
        <w:r>
          <w:rPr>
            <w:color w:val="005DA1"/>
            <w:spacing w:val="-4"/>
            <w:position w:val="5"/>
            <w:sz w:val="14"/>
            <w:u w:val="single" w:color="005DA1"/>
          </w:rPr>
          <w:t>122</w:t>
        </w:r>
      </w:hyperlink>
      <w:r>
        <w:rPr>
          <w:spacing w:val="-4"/>
          <w:position w:val="5"/>
          <w:sz w:val="14"/>
        </w:rPr>
        <w:t>.</w:t>
      </w:r>
      <w:r>
        <w:rPr>
          <w:position w:val="5"/>
          <w:sz w:val="14"/>
        </w:rPr>
        <w:tab/>
      </w:r>
      <w:r>
        <w:rPr/>
        <w:t>Contracts (Applicable Law) Act 1990 </w:t>
      </w:r>
      <w:r>
        <w:rPr>
          <w:spacing w:val="-2"/>
        </w:rPr>
        <w:t>s.2(3).</w:t>
      </w:r>
    </w:p>
    <w:p>
      <w:pPr>
        <w:pStyle w:val="BodyText"/>
        <w:spacing w:before="9"/>
      </w:pPr>
    </w:p>
    <w:p>
      <w:pPr>
        <w:spacing w:line="235" w:lineRule="auto" w:before="0"/>
        <w:ind w:left="705" w:right="167" w:hanging="541"/>
        <w:jc w:val="both"/>
        <w:rPr>
          <w:sz w:val="20"/>
        </w:rPr>
      </w:pPr>
      <w:bookmarkStart w:name="_bookmark237" w:id="239"/>
      <w:bookmarkEnd w:id="239"/>
      <w:r>
        <w:rPr/>
      </w:r>
      <w:hyperlink w:history="true" w:anchor="_bookmark198">
        <w:r>
          <w:rPr>
            <w:color w:val="005DA1"/>
            <w:position w:val="5"/>
            <w:sz w:val="14"/>
            <w:u w:val="single" w:color="005DA1"/>
          </w:rPr>
          <w:t>123</w:t>
        </w:r>
      </w:hyperlink>
      <w:r>
        <w:rPr>
          <w:position w:val="5"/>
          <w:sz w:val="14"/>
        </w:rPr>
        <w:t>.</w:t>
      </w:r>
      <w:r>
        <w:rPr>
          <w:spacing w:val="40"/>
          <w:position w:val="5"/>
          <w:sz w:val="14"/>
        </w:rPr>
        <w:t>  </w:t>
      </w:r>
      <w:r>
        <w:rPr>
          <w:sz w:val="20"/>
        </w:rPr>
        <w:t>For an example, see </w:t>
      </w:r>
      <w:r>
        <w:rPr>
          <w:rFonts w:ascii="Arial" w:hAnsi="Arial"/>
          <w:i/>
          <w:sz w:val="20"/>
        </w:rPr>
        <w:t>Ennstone Building Products Ltd v Stanger Ltd [2002] EWCA Civ 916,</w:t>
      </w:r>
      <w:r>
        <w:rPr>
          <w:rFonts w:ascii="Arial" w:hAnsi="Arial"/>
          <w:i/>
          <w:spacing w:val="80"/>
          <w:sz w:val="20"/>
        </w:rPr>
        <w:t> </w:t>
      </w:r>
      <w:r>
        <w:rPr>
          <w:rFonts w:ascii="Arial" w:hAnsi="Arial"/>
          <w:i/>
          <w:sz w:val="20"/>
        </w:rPr>
        <w:t>[2002]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3059</w:t>
      </w:r>
      <w:r>
        <w:rPr>
          <w:rFonts w:ascii="Arial" w:hAnsi="Arial"/>
          <w:i/>
          <w:spacing w:val="-1"/>
          <w:sz w:val="20"/>
        </w:rPr>
        <w:t> </w:t>
      </w:r>
      <w:r>
        <w:rPr>
          <w:sz w:val="20"/>
        </w:rPr>
        <w:t>(law</w:t>
      </w:r>
      <w:r>
        <w:rPr>
          <w:spacing w:val="-1"/>
          <w:sz w:val="20"/>
        </w:rPr>
        <w:t> </w:t>
      </w:r>
      <w:r>
        <w:rPr>
          <w:sz w:val="20"/>
        </w:rPr>
        <w:t>of</w:t>
      </w:r>
      <w:r>
        <w:rPr>
          <w:spacing w:val="-1"/>
          <w:sz w:val="20"/>
        </w:rPr>
        <w:t> </w:t>
      </w:r>
      <w:r>
        <w:rPr>
          <w:sz w:val="20"/>
        </w:rPr>
        <w:t>England</w:t>
      </w:r>
      <w:r>
        <w:rPr>
          <w:spacing w:val="-1"/>
          <w:sz w:val="20"/>
        </w:rPr>
        <w:t> </w:t>
      </w:r>
      <w:r>
        <w:rPr>
          <w:sz w:val="20"/>
        </w:rPr>
        <w:t>or</w:t>
      </w:r>
      <w:r>
        <w:rPr>
          <w:spacing w:val="-1"/>
          <w:sz w:val="20"/>
        </w:rPr>
        <w:t> </w:t>
      </w:r>
      <w:r>
        <w:rPr>
          <w:sz w:val="20"/>
        </w:rPr>
        <w:t>law</w:t>
      </w:r>
      <w:r>
        <w:rPr>
          <w:spacing w:val="-1"/>
          <w:sz w:val="20"/>
        </w:rPr>
        <w:t> </w:t>
      </w:r>
      <w:r>
        <w:rPr>
          <w:sz w:val="20"/>
        </w:rPr>
        <w:t>of</w:t>
      </w:r>
      <w:r>
        <w:rPr>
          <w:spacing w:val="-1"/>
          <w:sz w:val="20"/>
        </w:rPr>
        <w:t> </w:t>
      </w:r>
      <w:r>
        <w:rPr>
          <w:sz w:val="20"/>
        </w:rPr>
        <w:t>Scotland).</w:t>
      </w:r>
      <w:r>
        <w:rPr>
          <w:spacing w:val="-1"/>
          <w:sz w:val="20"/>
        </w:rPr>
        <w:t> </w:t>
      </w:r>
      <w:r>
        <w:rPr>
          <w:sz w:val="20"/>
        </w:rPr>
        <w:t>In</w:t>
      </w:r>
      <w:r>
        <w:rPr>
          <w:spacing w:val="-1"/>
          <w:sz w:val="20"/>
        </w:rPr>
        <w:t> </w:t>
      </w:r>
      <w:r>
        <w:rPr>
          <w:sz w:val="20"/>
        </w:rPr>
        <w:t>such</w:t>
      </w:r>
      <w:r>
        <w:rPr>
          <w:spacing w:val="-1"/>
          <w:sz w:val="20"/>
        </w:rPr>
        <w:t> </w:t>
      </w:r>
      <w:r>
        <w:rPr>
          <w:sz w:val="20"/>
        </w:rPr>
        <w:t>cases</w:t>
      </w:r>
      <w:r>
        <w:rPr>
          <w:spacing w:val="-1"/>
          <w:sz w:val="20"/>
        </w:rPr>
        <w:t> </w:t>
      </w:r>
      <w:r>
        <w:rPr>
          <w:sz w:val="20"/>
        </w:rPr>
        <w:t>it</w:t>
      </w:r>
      <w:r>
        <w:rPr>
          <w:spacing w:val="-1"/>
          <w:sz w:val="20"/>
        </w:rPr>
        <w:t> </w:t>
      </w:r>
      <w:r>
        <w:rPr>
          <w:sz w:val="20"/>
        </w:rPr>
        <w:t>is</w:t>
      </w:r>
      <w:r>
        <w:rPr>
          <w:spacing w:val="-1"/>
          <w:sz w:val="20"/>
        </w:rPr>
        <w:t> </w:t>
      </w:r>
      <w:r>
        <w:rPr>
          <w:sz w:val="20"/>
        </w:rPr>
        <w:t>probable</w:t>
      </w:r>
      <w:r>
        <w:rPr>
          <w:spacing w:val="-1"/>
          <w:sz w:val="20"/>
        </w:rPr>
        <w:t> </w:t>
      </w:r>
      <w:r>
        <w:rPr>
          <w:sz w:val="20"/>
        </w:rPr>
        <w:t>that</w:t>
      </w:r>
      <w:r>
        <w:rPr>
          <w:spacing w:val="-1"/>
          <w:sz w:val="20"/>
        </w:rPr>
        <w:t> </w:t>
      </w:r>
      <w:r>
        <w:rPr>
          <w:sz w:val="20"/>
        </w:rPr>
        <w:t>a</w:t>
      </w:r>
      <w:r>
        <w:rPr>
          <w:spacing w:val="-1"/>
          <w:sz w:val="20"/>
        </w:rPr>
        <w:t> </w:t>
      </w:r>
      <w:r>
        <w:rPr>
          <w:sz w:val="20"/>
        </w:rPr>
        <w:t>UK appellate court could make a reference to the European Court under the Brussels Protocol: see Dicey, Morris and Collins, paras 32-029—32-030. cf. </w:t>
      </w:r>
      <w:r>
        <w:rPr>
          <w:rFonts w:ascii="Arial" w:hAnsi="Arial"/>
          <w:i/>
          <w:sz w:val="20"/>
        </w:rPr>
        <w:t>Kleinwort Benson Ltd v City of Glasgow District Council (C-346/93) [1995] E.C.R. I-615 [1996] Q.B. 57</w:t>
      </w:r>
      <w:r>
        <w:rPr>
          <w:sz w:val="20"/>
        </w:rPr>
        <w:t>.</w:t>
      </w:r>
    </w:p>
    <w:p>
      <w:pPr>
        <w:pStyle w:val="BodyText"/>
        <w:spacing w:before="8"/>
      </w:pPr>
    </w:p>
    <w:p>
      <w:pPr>
        <w:pStyle w:val="BodyText"/>
        <w:tabs>
          <w:tab w:pos="705" w:val="left" w:leader="none"/>
        </w:tabs>
        <w:spacing w:line="235" w:lineRule="auto"/>
        <w:ind w:left="705" w:right="168" w:hanging="541"/>
      </w:pPr>
      <w:bookmarkStart w:name="_bookmark238" w:id="240"/>
      <w:bookmarkEnd w:id="240"/>
      <w:r>
        <w:rPr/>
      </w:r>
      <w:hyperlink w:history="true" w:anchor="_bookmark199">
        <w:r>
          <w:rPr>
            <w:color w:val="005DA1"/>
            <w:spacing w:val="-4"/>
            <w:position w:val="5"/>
            <w:sz w:val="14"/>
            <w:u w:val="single" w:color="005DA1"/>
          </w:rPr>
          <w:t>124</w:t>
        </w:r>
      </w:hyperlink>
      <w:r>
        <w:rPr>
          <w:spacing w:val="-4"/>
          <w:position w:val="5"/>
          <w:sz w:val="14"/>
        </w:rPr>
        <w:t>.</w:t>
      </w:r>
      <w:r>
        <w:rPr>
          <w:position w:val="5"/>
          <w:sz w:val="14"/>
        </w:rPr>
        <w:tab/>
      </w:r>
      <w:r>
        <w:rPr/>
        <w:t>The</w:t>
      </w:r>
      <w:r>
        <w:rPr>
          <w:spacing w:val="22"/>
        </w:rPr>
        <w:t> </w:t>
      </w:r>
      <w:r>
        <w:rPr/>
        <w:t>German</w:t>
      </w:r>
      <w:r>
        <w:rPr>
          <w:spacing w:val="22"/>
        </w:rPr>
        <w:t> </w:t>
      </w:r>
      <w:r>
        <w:rPr/>
        <w:t>Länder</w:t>
      </w:r>
      <w:r>
        <w:rPr>
          <w:spacing w:val="22"/>
        </w:rPr>
        <w:t> </w:t>
      </w:r>
      <w:r>
        <w:rPr/>
        <w:t>would</w:t>
      </w:r>
      <w:r>
        <w:rPr>
          <w:spacing w:val="22"/>
        </w:rPr>
        <w:t> </w:t>
      </w:r>
      <w:r>
        <w:rPr/>
        <w:t>not</w:t>
      </w:r>
      <w:r>
        <w:rPr>
          <w:spacing w:val="22"/>
        </w:rPr>
        <w:t> </w:t>
      </w:r>
      <w:r>
        <w:rPr/>
        <w:t>have</w:t>
      </w:r>
      <w:r>
        <w:rPr>
          <w:spacing w:val="22"/>
        </w:rPr>
        <w:t> </w:t>
      </w:r>
      <w:r>
        <w:rPr/>
        <w:t>to</w:t>
      </w:r>
      <w:r>
        <w:rPr>
          <w:spacing w:val="22"/>
        </w:rPr>
        <w:t> </w:t>
      </w:r>
      <w:r>
        <w:rPr/>
        <w:t>be</w:t>
      </w:r>
      <w:r>
        <w:rPr>
          <w:spacing w:val="22"/>
        </w:rPr>
        <w:t> </w:t>
      </w:r>
      <w:r>
        <w:rPr/>
        <w:t>treated</w:t>
      </w:r>
      <w:r>
        <w:rPr>
          <w:spacing w:val="22"/>
        </w:rPr>
        <w:t> </w:t>
      </w:r>
      <w:r>
        <w:rPr/>
        <w:t>as</w:t>
      </w:r>
      <w:r>
        <w:rPr>
          <w:spacing w:val="22"/>
        </w:rPr>
        <w:t> </w:t>
      </w:r>
      <w:r>
        <w:rPr/>
        <w:t>separate</w:t>
      </w:r>
      <w:r>
        <w:rPr>
          <w:spacing w:val="22"/>
        </w:rPr>
        <w:t> </w:t>
      </w:r>
      <w:r>
        <w:rPr/>
        <w:t>legal</w:t>
      </w:r>
      <w:r>
        <w:rPr>
          <w:spacing w:val="22"/>
        </w:rPr>
        <w:t> </w:t>
      </w:r>
      <w:r>
        <w:rPr/>
        <w:t>systems</w:t>
      </w:r>
      <w:r>
        <w:rPr>
          <w:spacing w:val="22"/>
        </w:rPr>
        <w:t> </w:t>
      </w:r>
      <w:r>
        <w:rPr/>
        <w:t>under</w:t>
      </w:r>
      <w:r>
        <w:rPr>
          <w:spacing w:val="22"/>
        </w:rPr>
        <w:t> </w:t>
      </w:r>
      <w:r>
        <w:rPr/>
        <w:t>art.19(1) because German contract law is federal in nature: see Dicey, Morris and Collins para.32-029.</w:t>
      </w:r>
    </w:p>
    <w:p>
      <w:pPr>
        <w:pStyle w:val="BodyText"/>
        <w:spacing w:before="9"/>
      </w:pPr>
    </w:p>
    <w:p>
      <w:pPr>
        <w:pStyle w:val="BodyText"/>
        <w:tabs>
          <w:tab w:pos="705" w:val="left" w:leader="none"/>
        </w:tabs>
        <w:spacing w:line="235" w:lineRule="auto"/>
        <w:ind w:left="705" w:right="168" w:hanging="541"/>
      </w:pPr>
      <w:bookmarkStart w:name="_bookmark239" w:id="241"/>
      <w:bookmarkEnd w:id="241"/>
      <w:r>
        <w:rPr/>
      </w:r>
      <w:hyperlink w:history="true" w:anchor="_bookmark200">
        <w:r>
          <w:rPr>
            <w:color w:val="005DA1"/>
            <w:spacing w:val="-4"/>
            <w:position w:val="5"/>
            <w:sz w:val="14"/>
            <w:u w:val="single" w:color="005DA1"/>
          </w:rPr>
          <w:t>125</w:t>
        </w:r>
      </w:hyperlink>
      <w:r>
        <w:rPr>
          <w:spacing w:val="-4"/>
          <w:position w:val="5"/>
          <w:sz w:val="14"/>
        </w:rPr>
        <w:t>.</w:t>
      </w:r>
      <w:r>
        <w:rPr>
          <w:position w:val="5"/>
          <w:sz w:val="14"/>
        </w:rPr>
        <w:tab/>
      </w:r>
      <w:r>
        <w:rPr/>
        <w:t>F.A. Mann (1991) 107 L.Q.R. 353, a view perhaps not unconnected with the learned </w:t>
      </w:r>
      <w:r>
        <w:rPr/>
        <w:t>author’s</w:t>
      </w:r>
      <w:r>
        <w:rPr>
          <w:spacing w:val="80"/>
        </w:rPr>
        <w:t> </w:t>
      </w:r>
      <w:r>
        <w:rPr/>
        <w:t>general hostility to the Convention.</w:t>
      </w:r>
    </w:p>
    <w:p>
      <w:pPr>
        <w:pStyle w:val="BodyText"/>
        <w:spacing w:before="6"/>
      </w:pPr>
    </w:p>
    <w:p>
      <w:pPr>
        <w:tabs>
          <w:tab w:pos="705" w:val="left" w:leader="none"/>
        </w:tabs>
        <w:spacing w:line="227" w:lineRule="exact" w:before="0"/>
        <w:ind w:left="165" w:right="0" w:firstLine="0"/>
        <w:jc w:val="left"/>
        <w:rPr>
          <w:sz w:val="20"/>
        </w:rPr>
      </w:pPr>
      <w:bookmarkStart w:name="_bookmark240" w:id="242"/>
      <w:bookmarkEnd w:id="242"/>
      <w:r>
        <w:rPr/>
      </w:r>
      <w:hyperlink w:history="true" w:anchor="_bookmark200">
        <w:r>
          <w:rPr>
            <w:color w:val="005DA1"/>
            <w:spacing w:val="-4"/>
            <w:position w:val="5"/>
            <w:sz w:val="14"/>
            <w:u w:val="single" w:color="005DA1"/>
          </w:rPr>
          <w:t>126</w:t>
        </w:r>
      </w:hyperlink>
      <w:r>
        <w:rPr>
          <w:spacing w:val="-4"/>
          <w:position w:val="5"/>
          <w:sz w:val="14"/>
        </w:rPr>
        <w:t>.</w:t>
      </w:r>
      <w:r>
        <w:rPr>
          <w:position w:val="5"/>
          <w:sz w:val="14"/>
        </w:rPr>
        <w:tab/>
      </w:r>
      <w:r>
        <w:rPr>
          <w:sz w:val="20"/>
        </w:rPr>
        <w:t>See</w:t>
      </w:r>
      <w:r>
        <w:rPr>
          <w:spacing w:val="37"/>
          <w:sz w:val="20"/>
        </w:rPr>
        <w:t> </w:t>
      </w:r>
      <w:r>
        <w:rPr>
          <w:rFonts w:ascii="Arial"/>
          <w:i/>
          <w:sz w:val="20"/>
        </w:rPr>
        <w:t>Halpern</w:t>
      </w:r>
      <w:r>
        <w:rPr>
          <w:rFonts w:ascii="Arial"/>
          <w:i/>
          <w:spacing w:val="37"/>
          <w:sz w:val="20"/>
        </w:rPr>
        <w:t> </w:t>
      </w:r>
      <w:r>
        <w:rPr>
          <w:rFonts w:ascii="Arial"/>
          <w:i/>
          <w:sz w:val="20"/>
        </w:rPr>
        <w:t>v</w:t>
      </w:r>
      <w:r>
        <w:rPr>
          <w:rFonts w:ascii="Arial"/>
          <w:i/>
          <w:spacing w:val="37"/>
          <w:sz w:val="20"/>
        </w:rPr>
        <w:t> </w:t>
      </w:r>
      <w:r>
        <w:rPr>
          <w:rFonts w:ascii="Arial"/>
          <w:i/>
          <w:sz w:val="20"/>
        </w:rPr>
        <w:t>Halpern</w:t>
      </w:r>
      <w:r>
        <w:rPr>
          <w:rFonts w:ascii="Arial"/>
          <w:i/>
          <w:spacing w:val="37"/>
          <w:sz w:val="20"/>
        </w:rPr>
        <w:t> </w:t>
      </w:r>
      <w:r>
        <w:rPr>
          <w:rFonts w:ascii="Arial"/>
          <w:i/>
          <w:sz w:val="20"/>
        </w:rPr>
        <w:t>(Nos</w:t>
      </w:r>
      <w:r>
        <w:rPr>
          <w:rFonts w:ascii="Arial"/>
          <w:i/>
          <w:spacing w:val="37"/>
          <w:sz w:val="20"/>
        </w:rPr>
        <w:t> </w:t>
      </w:r>
      <w:r>
        <w:rPr>
          <w:rFonts w:ascii="Arial"/>
          <w:i/>
          <w:sz w:val="20"/>
        </w:rPr>
        <w:t>1</w:t>
      </w:r>
      <w:r>
        <w:rPr>
          <w:rFonts w:ascii="Arial"/>
          <w:i/>
          <w:spacing w:val="37"/>
          <w:sz w:val="20"/>
        </w:rPr>
        <w:t> </w:t>
      </w:r>
      <w:r>
        <w:rPr>
          <w:rFonts w:ascii="Arial"/>
          <w:i/>
          <w:sz w:val="20"/>
        </w:rPr>
        <w:t>and</w:t>
      </w:r>
      <w:r>
        <w:rPr>
          <w:rFonts w:ascii="Arial"/>
          <w:i/>
          <w:spacing w:val="37"/>
          <w:sz w:val="20"/>
        </w:rPr>
        <w:t> </w:t>
      </w:r>
      <w:r>
        <w:rPr>
          <w:rFonts w:ascii="Arial"/>
          <w:i/>
          <w:sz w:val="20"/>
        </w:rPr>
        <w:t>2)</w:t>
      </w:r>
      <w:r>
        <w:rPr>
          <w:rFonts w:ascii="Arial"/>
          <w:i/>
          <w:spacing w:val="37"/>
          <w:sz w:val="20"/>
        </w:rPr>
        <w:t> </w:t>
      </w:r>
      <w:r>
        <w:rPr>
          <w:rFonts w:ascii="Arial"/>
          <w:i/>
          <w:sz w:val="20"/>
        </w:rPr>
        <w:t>[2007]</w:t>
      </w:r>
      <w:r>
        <w:rPr>
          <w:rFonts w:ascii="Arial"/>
          <w:i/>
          <w:spacing w:val="37"/>
          <w:sz w:val="20"/>
        </w:rPr>
        <w:t> </w:t>
      </w:r>
      <w:r>
        <w:rPr>
          <w:rFonts w:ascii="Arial"/>
          <w:i/>
          <w:sz w:val="20"/>
        </w:rPr>
        <w:t>EWCA</w:t>
      </w:r>
      <w:r>
        <w:rPr>
          <w:rFonts w:ascii="Arial"/>
          <w:i/>
          <w:spacing w:val="37"/>
          <w:sz w:val="20"/>
        </w:rPr>
        <w:t> </w:t>
      </w:r>
      <w:r>
        <w:rPr>
          <w:rFonts w:ascii="Arial"/>
          <w:i/>
          <w:sz w:val="20"/>
        </w:rPr>
        <w:t>Civ</w:t>
      </w:r>
      <w:r>
        <w:rPr>
          <w:rFonts w:ascii="Arial"/>
          <w:i/>
          <w:spacing w:val="37"/>
          <w:sz w:val="20"/>
        </w:rPr>
        <w:t> </w:t>
      </w:r>
      <w:r>
        <w:rPr>
          <w:rFonts w:ascii="Arial"/>
          <w:i/>
          <w:sz w:val="20"/>
        </w:rPr>
        <w:t>291,</w:t>
      </w:r>
      <w:r>
        <w:rPr>
          <w:rFonts w:ascii="Arial"/>
          <w:i/>
          <w:spacing w:val="37"/>
          <w:sz w:val="20"/>
        </w:rPr>
        <w:t> </w:t>
      </w:r>
      <w:r>
        <w:rPr>
          <w:rFonts w:ascii="Arial"/>
          <w:i/>
          <w:sz w:val="20"/>
        </w:rPr>
        <w:t>[2008]</w:t>
      </w:r>
      <w:r>
        <w:rPr>
          <w:rFonts w:ascii="Arial"/>
          <w:i/>
          <w:spacing w:val="37"/>
          <w:sz w:val="20"/>
        </w:rPr>
        <w:t> </w:t>
      </w:r>
      <w:r>
        <w:rPr>
          <w:rFonts w:ascii="Arial"/>
          <w:i/>
          <w:sz w:val="20"/>
        </w:rPr>
        <w:t>Q.B.</w:t>
      </w:r>
      <w:r>
        <w:rPr>
          <w:rFonts w:ascii="Arial"/>
          <w:i/>
          <w:spacing w:val="37"/>
          <w:sz w:val="20"/>
        </w:rPr>
        <w:t> </w:t>
      </w:r>
      <w:r>
        <w:rPr>
          <w:rFonts w:ascii="Arial"/>
          <w:i/>
          <w:sz w:val="20"/>
        </w:rPr>
        <w:t>195</w:t>
      </w:r>
      <w:r>
        <w:rPr>
          <w:rFonts w:ascii="Arial"/>
          <w:i/>
          <w:spacing w:val="36"/>
          <w:sz w:val="20"/>
        </w:rPr>
        <w:t> </w:t>
      </w:r>
      <w:r>
        <w:rPr>
          <w:sz w:val="20"/>
        </w:rPr>
        <w:t>at</w:t>
      </w:r>
      <w:r>
        <w:rPr>
          <w:spacing w:val="37"/>
          <w:sz w:val="20"/>
        </w:rPr>
        <w:t> </w:t>
      </w:r>
      <w:r>
        <w:rPr>
          <w:sz w:val="20"/>
        </w:rPr>
        <w:t>[21]-</w:t>
      </w:r>
      <w:r>
        <w:rPr>
          <w:spacing w:val="-2"/>
          <w:sz w:val="20"/>
        </w:rPr>
        <w:t>[24];</w:t>
      </w:r>
    </w:p>
    <w:p>
      <w:pPr>
        <w:pStyle w:val="BodyText"/>
        <w:spacing w:line="235" w:lineRule="auto" w:before="1"/>
        <w:ind w:left="705"/>
      </w:pPr>
      <w:r>
        <w:rPr/>
        <w:t>Dicey,</w:t>
      </w:r>
      <w:r>
        <w:rPr>
          <w:spacing w:val="30"/>
        </w:rPr>
        <w:t> </w:t>
      </w:r>
      <w:r>
        <w:rPr/>
        <w:t>Morris</w:t>
      </w:r>
      <w:r>
        <w:rPr>
          <w:spacing w:val="30"/>
        </w:rPr>
        <w:t> </w:t>
      </w:r>
      <w:r>
        <w:rPr/>
        <w:t>and</w:t>
      </w:r>
      <w:r>
        <w:rPr>
          <w:spacing w:val="30"/>
        </w:rPr>
        <w:t> </w:t>
      </w:r>
      <w:r>
        <w:rPr/>
        <w:t>Collins,</w:t>
      </w:r>
      <w:r>
        <w:rPr>
          <w:spacing w:val="30"/>
        </w:rPr>
        <w:t> </w:t>
      </w:r>
      <w:r>
        <w:rPr/>
        <w:t>para.32-044;</w:t>
      </w:r>
      <w:r>
        <w:rPr>
          <w:spacing w:val="30"/>
        </w:rPr>
        <w:t> </w:t>
      </w:r>
      <w:r>
        <w:rPr/>
        <w:t>Hogan</w:t>
      </w:r>
      <w:r>
        <w:rPr>
          <w:spacing w:val="30"/>
        </w:rPr>
        <w:t> </w:t>
      </w:r>
      <w:r>
        <w:rPr/>
        <w:t>(1992)</w:t>
      </w:r>
      <w:r>
        <w:rPr>
          <w:spacing w:val="30"/>
        </w:rPr>
        <w:t> </w:t>
      </w:r>
      <w:r>
        <w:rPr/>
        <w:t>108</w:t>
      </w:r>
      <w:r>
        <w:rPr>
          <w:spacing w:val="30"/>
        </w:rPr>
        <w:t> </w:t>
      </w:r>
      <w:r>
        <w:rPr/>
        <w:t>L.Q.R.</w:t>
      </w:r>
      <w:r>
        <w:rPr>
          <w:spacing w:val="30"/>
        </w:rPr>
        <w:t> </w:t>
      </w:r>
      <w:r>
        <w:rPr/>
        <w:t>12;</w:t>
      </w:r>
      <w:r>
        <w:rPr>
          <w:spacing w:val="30"/>
        </w:rPr>
        <w:t> </w:t>
      </w:r>
      <w:r>
        <w:rPr/>
        <w:t>North</w:t>
      </w:r>
      <w:r>
        <w:rPr>
          <w:spacing w:val="30"/>
        </w:rPr>
        <w:t> </w:t>
      </w:r>
      <w:r>
        <w:rPr/>
        <w:t>(1992)</w:t>
      </w:r>
      <w:r>
        <w:rPr>
          <w:spacing w:val="30"/>
        </w:rPr>
        <w:t> </w:t>
      </w:r>
      <w:r>
        <w:rPr/>
        <w:t>3</w:t>
      </w:r>
      <w:r>
        <w:rPr>
          <w:spacing w:val="30"/>
        </w:rPr>
        <w:t> </w:t>
      </w:r>
      <w:r>
        <w:rPr/>
        <w:t>King’s Coll. L.J. 29, 38-40, reprinted in Essays in Private International Law (1993), pp.171, 85-187.</w:t>
      </w:r>
    </w:p>
    <w:p>
      <w:pPr>
        <w:pStyle w:val="BodyText"/>
        <w:spacing w:before="5"/>
      </w:pPr>
    </w:p>
    <w:p>
      <w:pPr>
        <w:pStyle w:val="BodyText"/>
        <w:tabs>
          <w:tab w:pos="705" w:val="left" w:leader="none"/>
        </w:tabs>
        <w:spacing w:before="1"/>
        <w:ind w:left="165"/>
      </w:pPr>
      <w:bookmarkStart w:name="_bookmark241" w:id="243"/>
      <w:bookmarkEnd w:id="243"/>
      <w:r>
        <w:rPr/>
      </w:r>
      <w:hyperlink w:history="true" w:anchor="_bookmark201">
        <w:r>
          <w:rPr>
            <w:color w:val="005DA1"/>
            <w:spacing w:val="-4"/>
            <w:position w:val="5"/>
            <w:sz w:val="14"/>
            <w:u w:val="single" w:color="005DA1"/>
          </w:rPr>
          <w:t>127</w:t>
        </w:r>
      </w:hyperlink>
      <w:r>
        <w:rPr>
          <w:spacing w:val="-4"/>
          <w:position w:val="5"/>
          <w:sz w:val="14"/>
        </w:rPr>
        <w:t>.</w:t>
      </w:r>
      <w:r>
        <w:rPr>
          <w:position w:val="5"/>
          <w:sz w:val="14"/>
        </w:rPr>
        <w:tab/>
      </w:r>
      <w:r>
        <w:rPr/>
        <w:t>Contracts (Applicable Law) Act 1990 s.2(1) (subject only to s.2(2) and </w:t>
      </w:r>
      <w:r>
        <w:rPr>
          <w:spacing w:val="-2"/>
        </w:rPr>
        <w:t>(3)).</w:t>
      </w:r>
    </w:p>
    <w:p>
      <w:pPr>
        <w:pStyle w:val="BodyText"/>
        <w:spacing w:before="4"/>
      </w:pPr>
    </w:p>
    <w:p>
      <w:pPr>
        <w:pStyle w:val="BodyText"/>
        <w:tabs>
          <w:tab w:pos="705" w:val="left" w:leader="none"/>
        </w:tabs>
        <w:spacing w:before="1"/>
        <w:ind w:left="165"/>
      </w:pPr>
      <w:bookmarkStart w:name="_bookmark242" w:id="244"/>
      <w:bookmarkEnd w:id="244"/>
      <w:r>
        <w:rPr/>
      </w:r>
      <w:hyperlink w:history="true" w:anchor="_bookmark202">
        <w:r>
          <w:rPr>
            <w:color w:val="005DA1"/>
            <w:spacing w:val="-4"/>
            <w:position w:val="5"/>
            <w:sz w:val="14"/>
            <w:u w:val="single" w:color="005DA1"/>
          </w:rPr>
          <w:t>128</w:t>
        </w:r>
      </w:hyperlink>
      <w:r>
        <w:rPr>
          <w:spacing w:val="-4"/>
          <w:position w:val="5"/>
          <w:sz w:val="14"/>
        </w:rPr>
        <w:t>.</w:t>
      </w:r>
      <w:r>
        <w:rPr>
          <w:position w:val="5"/>
          <w:sz w:val="14"/>
        </w:rPr>
        <w:tab/>
      </w:r>
      <w:r>
        <w:rPr/>
        <w:t>Rome Convention art.17 (emphasis </w:t>
      </w:r>
      <w:r>
        <w:rPr>
          <w:spacing w:val="-2"/>
        </w:rPr>
        <w:t>supplied).</w:t>
      </w:r>
    </w:p>
    <w:p>
      <w:pPr>
        <w:pStyle w:val="BodyText"/>
        <w:spacing w:before="8"/>
      </w:pPr>
    </w:p>
    <w:p>
      <w:pPr>
        <w:spacing w:line="235" w:lineRule="auto" w:before="0"/>
        <w:ind w:left="705" w:right="167" w:hanging="541"/>
        <w:jc w:val="both"/>
        <w:rPr>
          <w:sz w:val="20"/>
        </w:rPr>
      </w:pPr>
      <w:bookmarkStart w:name="_bookmark243" w:id="245"/>
      <w:bookmarkEnd w:id="245"/>
      <w:r>
        <w:rPr/>
      </w:r>
      <w:hyperlink w:history="true" w:anchor="_bookmark203">
        <w:r>
          <w:rPr>
            <w:color w:val="005DA1"/>
            <w:position w:val="5"/>
            <w:sz w:val="14"/>
            <w:u w:val="single" w:color="005DA1"/>
          </w:rPr>
          <w:t>129</w:t>
        </w:r>
      </w:hyperlink>
      <w:r>
        <w:rPr>
          <w:position w:val="5"/>
          <w:sz w:val="14"/>
        </w:rPr>
        <w:t>.</w:t>
      </w:r>
      <w:r>
        <w:rPr>
          <w:spacing w:val="80"/>
          <w:w w:val="150"/>
          <w:position w:val="5"/>
          <w:sz w:val="14"/>
        </w:rPr>
        <w:t> </w:t>
      </w:r>
      <w:r>
        <w:rPr>
          <w:sz w:val="20"/>
        </w:rPr>
        <w:t>Compare the same treatment of identical wording in the Carriage of Goods by Sea Act 1971, implementing the Hague-Visby Rules, in </w:t>
      </w:r>
      <w:r>
        <w:rPr>
          <w:rFonts w:ascii="Arial"/>
          <w:i/>
          <w:sz w:val="20"/>
        </w:rPr>
        <w:t>The Hollandia [1982] Q.B. 872 CA (affirmed </w:t>
      </w:r>
      <w:r>
        <w:rPr>
          <w:rFonts w:ascii="Arial"/>
          <w:i/>
          <w:sz w:val="20"/>
        </w:rPr>
        <w:t>[1983] A.C.</w:t>
      </w:r>
      <w:r>
        <w:rPr>
          <w:rFonts w:ascii="Arial"/>
          <w:i/>
          <w:spacing w:val="14"/>
          <w:sz w:val="20"/>
        </w:rPr>
        <w:t> </w:t>
      </w:r>
      <w:r>
        <w:rPr>
          <w:rFonts w:ascii="Arial"/>
          <w:i/>
          <w:sz w:val="20"/>
        </w:rPr>
        <w:t>565)</w:t>
      </w:r>
      <w:r>
        <w:rPr>
          <w:sz w:val="20"/>
        </w:rPr>
        <w:t>.</w:t>
      </w:r>
      <w:r>
        <w:rPr>
          <w:spacing w:val="17"/>
          <w:sz w:val="20"/>
        </w:rPr>
        <w:t> </w:t>
      </w:r>
      <w:r>
        <w:rPr>
          <w:sz w:val="20"/>
        </w:rPr>
        <w:t>See</w:t>
      </w:r>
      <w:r>
        <w:rPr>
          <w:spacing w:val="17"/>
          <w:sz w:val="20"/>
        </w:rPr>
        <w:t> </w:t>
      </w:r>
      <w:r>
        <w:rPr>
          <w:sz w:val="20"/>
        </w:rPr>
        <w:t>also</w:t>
      </w:r>
      <w:r>
        <w:rPr>
          <w:spacing w:val="17"/>
          <w:sz w:val="20"/>
        </w:rPr>
        <w:t> </w:t>
      </w:r>
      <w:r>
        <w:rPr>
          <w:sz w:val="20"/>
        </w:rPr>
        <w:t>s.5</w:t>
      </w:r>
      <w:r>
        <w:rPr>
          <w:spacing w:val="17"/>
          <w:sz w:val="20"/>
        </w:rPr>
        <w:t> </w:t>
      </w:r>
      <w:r>
        <w:rPr>
          <w:sz w:val="20"/>
        </w:rPr>
        <w:t>of</w:t>
      </w:r>
      <w:r>
        <w:rPr>
          <w:spacing w:val="17"/>
          <w:sz w:val="20"/>
        </w:rPr>
        <w:t> </w:t>
      </w:r>
      <w:r>
        <w:rPr>
          <w:sz w:val="20"/>
        </w:rPr>
        <w:t>and</w:t>
      </w:r>
      <w:r>
        <w:rPr>
          <w:spacing w:val="17"/>
          <w:sz w:val="20"/>
        </w:rPr>
        <w:t> </w:t>
      </w:r>
      <w:r>
        <w:rPr>
          <w:sz w:val="20"/>
        </w:rPr>
        <w:t>Sch.4</w:t>
      </w:r>
      <w:r>
        <w:rPr>
          <w:spacing w:val="17"/>
          <w:sz w:val="20"/>
        </w:rPr>
        <w:t> </w:t>
      </w:r>
      <w:r>
        <w:rPr>
          <w:sz w:val="20"/>
        </w:rPr>
        <w:t>to</w:t>
      </w:r>
      <w:r>
        <w:rPr>
          <w:spacing w:val="17"/>
          <w:sz w:val="20"/>
        </w:rPr>
        <w:t> </w:t>
      </w:r>
      <w:r>
        <w:rPr>
          <w:sz w:val="20"/>
        </w:rPr>
        <w:t>the</w:t>
      </w:r>
      <w:r>
        <w:rPr>
          <w:spacing w:val="17"/>
          <w:sz w:val="20"/>
        </w:rPr>
        <w:t> </w:t>
      </w:r>
      <w:r>
        <w:rPr>
          <w:sz w:val="20"/>
        </w:rPr>
        <w:t>1990</w:t>
      </w:r>
      <w:r>
        <w:rPr>
          <w:spacing w:val="17"/>
          <w:sz w:val="20"/>
        </w:rPr>
        <w:t> </w:t>
      </w:r>
      <w:r>
        <w:rPr>
          <w:sz w:val="20"/>
        </w:rPr>
        <w:t>Act</w:t>
      </w:r>
      <w:r>
        <w:rPr>
          <w:spacing w:val="17"/>
          <w:sz w:val="20"/>
        </w:rPr>
        <w:t> </w:t>
      </w:r>
      <w:r>
        <w:rPr>
          <w:sz w:val="20"/>
        </w:rPr>
        <w:t>which</w:t>
      </w:r>
      <w:r>
        <w:rPr>
          <w:spacing w:val="17"/>
          <w:sz w:val="20"/>
        </w:rPr>
        <w:t> </w:t>
      </w:r>
      <w:r>
        <w:rPr>
          <w:sz w:val="20"/>
        </w:rPr>
        <w:t>amend</w:t>
      </w:r>
      <w:r>
        <w:rPr>
          <w:spacing w:val="17"/>
          <w:sz w:val="20"/>
        </w:rPr>
        <w:t> </w:t>
      </w:r>
      <w:r>
        <w:rPr>
          <w:sz w:val="20"/>
        </w:rPr>
        <w:t>legislation</w:t>
      </w:r>
      <w:r>
        <w:rPr>
          <w:spacing w:val="17"/>
          <w:sz w:val="20"/>
        </w:rPr>
        <w:t> </w:t>
      </w:r>
      <w:r>
        <w:rPr>
          <w:sz w:val="20"/>
        </w:rPr>
        <w:t>referring</w:t>
      </w:r>
      <w:r>
        <w:rPr>
          <w:spacing w:val="17"/>
          <w:sz w:val="20"/>
        </w:rPr>
        <w:t> </w:t>
      </w:r>
      <w:r>
        <w:rPr>
          <w:sz w:val="20"/>
        </w:rPr>
        <w:t>to</w:t>
      </w:r>
      <w:r>
        <w:rPr>
          <w:spacing w:val="17"/>
          <w:sz w:val="20"/>
        </w:rPr>
        <w:t> </w:t>
      </w:r>
      <w:r>
        <w:rPr>
          <w:spacing w:val="-5"/>
          <w:sz w:val="20"/>
        </w:rPr>
        <w:t>the</w:t>
      </w:r>
    </w:p>
    <w:p>
      <w:pPr>
        <w:spacing w:after="0" w:line="235" w:lineRule="auto"/>
        <w:jc w:val="both"/>
        <w:rPr>
          <w:sz w:val="20"/>
        </w:rPr>
        <w:sectPr>
          <w:type w:val="continuous"/>
          <w:pgSz w:w="11900" w:h="16840"/>
          <w:pgMar w:header="971" w:footer="0" w:top="1300" w:bottom="280" w:left="1275" w:right="1275"/>
        </w:sectPr>
      </w:pPr>
    </w:p>
    <w:p>
      <w:pPr>
        <w:pStyle w:val="BodyText"/>
        <w:spacing w:line="235" w:lineRule="auto" w:before="110"/>
        <w:ind w:left="705"/>
      </w:pPr>
      <w:r>
        <w:rPr/>
        <w:t>“proper</w:t>
      </w:r>
      <w:r>
        <w:rPr>
          <w:spacing w:val="40"/>
        </w:rPr>
        <w:t> </w:t>
      </w:r>
      <w:r>
        <w:rPr/>
        <w:t>law</w:t>
      </w:r>
      <w:r>
        <w:rPr>
          <w:spacing w:val="40"/>
        </w:rPr>
        <w:t> </w:t>
      </w:r>
      <w:r>
        <w:rPr/>
        <w:t>of</w:t>
      </w:r>
      <w:r>
        <w:rPr>
          <w:spacing w:val="40"/>
        </w:rPr>
        <w:t> </w:t>
      </w:r>
      <w:r>
        <w:rPr/>
        <w:t>a</w:t>
      </w:r>
      <w:r>
        <w:rPr>
          <w:spacing w:val="40"/>
        </w:rPr>
        <w:t> </w:t>
      </w:r>
      <w:r>
        <w:rPr/>
        <w:t>contract”</w:t>
      </w:r>
      <w:r>
        <w:rPr>
          <w:spacing w:val="40"/>
        </w:rPr>
        <w:t> </w:t>
      </w:r>
      <w:r>
        <w:rPr/>
        <w:t>so</w:t>
      </w:r>
      <w:r>
        <w:rPr>
          <w:spacing w:val="40"/>
        </w:rPr>
        <w:t> </w:t>
      </w:r>
      <w:r>
        <w:rPr/>
        <w:t>as</w:t>
      </w:r>
      <w:r>
        <w:rPr>
          <w:spacing w:val="40"/>
        </w:rPr>
        <w:t> </w:t>
      </w:r>
      <w:r>
        <w:rPr/>
        <w:t>to</w:t>
      </w:r>
      <w:r>
        <w:rPr>
          <w:spacing w:val="40"/>
        </w:rPr>
        <w:t> </w:t>
      </w:r>
      <w:r>
        <w:rPr/>
        <w:t>replace</w:t>
      </w:r>
      <w:r>
        <w:rPr>
          <w:spacing w:val="40"/>
        </w:rPr>
        <w:t> </w:t>
      </w:r>
      <w:r>
        <w:rPr/>
        <w:t>that</w:t>
      </w:r>
      <w:r>
        <w:rPr>
          <w:spacing w:val="40"/>
        </w:rPr>
        <w:t> </w:t>
      </w:r>
      <w:r>
        <w:rPr/>
        <w:t>terminology</w:t>
      </w:r>
      <w:r>
        <w:rPr>
          <w:spacing w:val="40"/>
        </w:rPr>
        <w:t> </w:t>
      </w:r>
      <w:r>
        <w:rPr/>
        <w:t>with</w:t>
      </w:r>
      <w:r>
        <w:rPr>
          <w:spacing w:val="40"/>
        </w:rPr>
        <w:t> </w:t>
      </w:r>
      <w:r>
        <w:rPr/>
        <w:t>words</w:t>
      </w:r>
      <w:r>
        <w:rPr>
          <w:spacing w:val="40"/>
        </w:rPr>
        <w:t> </w:t>
      </w:r>
      <w:r>
        <w:rPr/>
        <w:t>which</w:t>
      </w:r>
      <w:r>
        <w:rPr>
          <w:spacing w:val="40"/>
        </w:rPr>
        <w:t> </w:t>
      </w:r>
      <w:r>
        <w:rPr/>
        <w:t>reflect</w:t>
      </w:r>
      <w:r>
        <w:rPr>
          <w:spacing w:val="40"/>
        </w:rPr>
        <w:t> </w:t>
      </w:r>
      <w:r>
        <w:rPr/>
        <w:t>the Convention usage.</w:t>
      </w:r>
    </w:p>
    <w:p>
      <w:pPr>
        <w:pStyle w:val="BodyText"/>
        <w:spacing w:before="6"/>
      </w:pPr>
    </w:p>
    <w:p>
      <w:pPr>
        <w:pStyle w:val="BodyText"/>
        <w:tabs>
          <w:tab w:pos="705" w:val="left" w:leader="none"/>
        </w:tabs>
        <w:ind w:left="165"/>
      </w:pPr>
      <w:bookmarkStart w:name="_bookmark244" w:id="246"/>
      <w:bookmarkEnd w:id="246"/>
      <w:r>
        <w:rPr/>
      </w:r>
      <w:hyperlink w:history="true" w:anchor="_bookmark204">
        <w:r>
          <w:rPr>
            <w:color w:val="005DA1"/>
            <w:spacing w:val="-4"/>
            <w:position w:val="5"/>
            <w:sz w:val="14"/>
            <w:u w:val="single" w:color="005DA1"/>
          </w:rPr>
          <w:t>130</w:t>
        </w:r>
      </w:hyperlink>
      <w:r>
        <w:rPr>
          <w:spacing w:val="-4"/>
          <w:position w:val="5"/>
          <w:sz w:val="14"/>
        </w:rPr>
        <w:t>.</w:t>
      </w:r>
      <w:r>
        <w:rPr>
          <w:position w:val="5"/>
          <w:sz w:val="14"/>
        </w:rPr>
        <w:tab/>
      </w:r>
      <w:r>
        <w:rPr/>
        <w:t>See Kaye, pp.367-370. See also arts 23, 24 and 25 of the Rome </w:t>
      </w:r>
      <w:r>
        <w:rPr>
          <w:spacing w:val="-2"/>
        </w:rPr>
        <w:t>Convention.</w:t>
      </w:r>
    </w:p>
    <w:p>
      <w:pPr>
        <w:pStyle w:val="BodyText"/>
        <w:spacing w:before="8"/>
      </w:pPr>
    </w:p>
    <w:p>
      <w:pPr>
        <w:pStyle w:val="BodyText"/>
        <w:spacing w:line="235" w:lineRule="auto" w:before="1"/>
        <w:ind w:left="705" w:right="167" w:hanging="541"/>
        <w:jc w:val="both"/>
      </w:pPr>
      <w:bookmarkStart w:name="_bookmark245" w:id="247"/>
      <w:bookmarkEnd w:id="247"/>
      <w:r>
        <w:rPr/>
      </w:r>
      <w:hyperlink w:history="true" w:anchor="_bookmark205">
        <w:r>
          <w:rPr>
            <w:color w:val="005DA1"/>
            <w:position w:val="5"/>
            <w:sz w:val="14"/>
            <w:u w:val="single" w:color="005DA1"/>
          </w:rPr>
          <w:t>131</w:t>
        </w:r>
      </w:hyperlink>
      <w:r>
        <w:rPr>
          <w:position w:val="5"/>
          <w:sz w:val="14"/>
        </w:rPr>
        <w:t>.</w:t>
      </w:r>
      <w:r>
        <w:rPr>
          <w:spacing w:val="80"/>
          <w:w w:val="150"/>
          <w:position w:val="5"/>
          <w:sz w:val="14"/>
        </w:rPr>
        <w:t> </w:t>
      </w:r>
      <w:r>
        <w:rPr/>
        <w:t>The principal conventions envisaged in this provision would seem to be those concerning</w:t>
      </w:r>
      <w:r>
        <w:rPr>
          <w:spacing w:val="80"/>
        </w:rPr>
        <w:t> </w:t>
      </w:r>
      <w:r>
        <w:rPr/>
        <w:t>matters of private international law: see art.24 of the Rome Convention. See, e.g. the </w:t>
      </w:r>
      <w:r>
        <w:rPr/>
        <w:t>Hague Convention on the Law Applicable to International Sale of Goods of June 15, 1955 to which Denmark, France, Italy and Sweden but not the UK, are parties. Belgium has denounced this Convention. Article 21 is, however, broad enough to enable a State party to the Vienna Convention on the International Sale of Goods 1980 to continue to apply that Convention. A UK court </w:t>
      </w:r>
      <w:r>
        <w:rPr>
          <w:rFonts w:ascii="Arial" w:hAnsi="Arial"/>
          <w:i/>
        </w:rPr>
        <w:t>may </w:t>
      </w:r>
      <w:r>
        <w:rPr/>
        <w:t>be required to apply the Vienna Convention if the law applicable to the contract pursuant to the Rome Convention is that of a country which is a party to the Vienna Convention and which would regard the latter Convention as applicable, but such a conclusion is controversial. It may equally be the case that, because of art.21, international conventions are only properly applicable as between contracting states which are parties thereto, with the consequence that since the UK is not a party to the Vienna Convention, it will be the contract law of the country (excluding the Vienna Convention) which will be applicable: this problem is distinct from that of renvoi, as to which, see above, para.30-016 and below, para.30-028. The power of the parties to a contract of sale to choose the Uniform Law on International Sales to govern the contract would not seem to be prejudiced by the Rome Convention since that power is</w:t>
      </w:r>
      <w:r>
        <w:rPr>
          <w:spacing w:val="-1"/>
        </w:rPr>
        <w:t> </w:t>
      </w:r>
      <w:r>
        <w:rPr/>
        <w:t>conferred</w:t>
      </w:r>
      <w:r>
        <w:rPr>
          <w:spacing w:val="-1"/>
        </w:rPr>
        <w:t> </w:t>
      </w:r>
      <w:r>
        <w:rPr/>
        <w:t>by</w:t>
      </w:r>
      <w:r>
        <w:rPr>
          <w:spacing w:val="-1"/>
        </w:rPr>
        <w:t> </w:t>
      </w:r>
      <w:r>
        <w:rPr/>
        <w:t>statute</w:t>
      </w:r>
      <w:r>
        <w:rPr>
          <w:spacing w:val="-1"/>
        </w:rPr>
        <w:t> </w:t>
      </w:r>
      <w:r>
        <w:rPr/>
        <w:t>(Uniform</w:t>
      </w:r>
      <w:r>
        <w:rPr>
          <w:spacing w:val="-1"/>
        </w:rPr>
        <w:t> </w:t>
      </w:r>
      <w:r>
        <w:rPr/>
        <w:t>Law</w:t>
      </w:r>
      <w:r>
        <w:rPr>
          <w:spacing w:val="-1"/>
        </w:rPr>
        <w:t> </w:t>
      </w:r>
      <w:r>
        <w:rPr/>
        <w:t>on</w:t>
      </w:r>
      <w:r>
        <w:rPr>
          <w:spacing w:val="-1"/>
        </w:rPr>
        <w:t> </w:t>
      </w:r>
      <w:r>
        <w:rPr/>
        <w:t>International</w:t>
      </w:r>
      <w:r>
        <w:rPr>
          <w:spacing w:val="-1"/>
        </w:rPr>
        <w:t> </w:t>
      </w:r>
      <w:r>
        <w:rPr/>
        <w:t>Sales</w:t>
      </w:r>
      <w:r>
        <w:rPr>
          <w:spacing w:val="-1"/>
        </w:rPr>
        <w:t> </w:t>
      </w:r>
      <w:r>
        <w:rPr/>
        <w:t>Act</w:t>
      </w:r>
      <w:r>
        <w:rPr>
          <w:spacing w:val="-1"/>
        </w:rPr>
        <w:t> </w:t>
      </w:r>
      <w:r>
        <w:rPr/>
        <w:t>1967)</w:t>
      </w:r>
      <w:r>
        <w:rPr>
          <w:spacing w:val="-1"/>
        </w:rPr>
        <w:t> </w:t>
      </w:r>
      <w:r>
        <w:rPr/>
        <w:t>and</w:t>
      </w:r>
      <w:r>
        <w:rPr>
          <w:spacing w:val="-1"/>
        </w:rPr>
        <w:t> </w:t>
      </w:r>
      <w:r>
        <w:rPr/>
        <w:t>ULIS</w:t>
      </w:r>
      <w:r>
        <w:rPr>
          <w:spacing w:val="-1"/>
        </w:rPr>
        <w:t> </w:t>
      </w:r>
      <w:r>
        <w:rPr/>
        <w:t>is</w:t>
      </w:r>
      <w:r>
        <w:rPr>
          <w:spacing w:val="-1"/>
        </w:rPr>
        <w:t> </w:t>
      </w:r>
      <w:r>
        <w:rPr/>
        <w:t>not</w:t>
      </w:r>
      <w:r>
        <w:rPr>
          <w:spacing w:val="-1"/>
        </w:rPr>
        <w:t> </w:t>
      </w:r>
      <w:r>
        <w:rPr/>
        <w:t>the</w:t>
      </w:r>
      <w:r>
        <w:rPr>
          <w:spacing w:val="-1"/>
        </w:rPr>
        <w:t> </w:t>
      </w:r>
      <w:r>
        <w:rPr/>
        <w:t>law</w:t>
      </w:r>
      <w:r>
        <w:rPr>
          <w:spacing w:val="-1"/>
        </w:rPr>
        <w:t> </w:t>
      </w:r>
      <w:r>
        <w:rPr/>
        <w:t>of a “country” for the purposes of the Rome Convention.</w:t>
      </w:r>
    </w:p>
    <w:p>
      <w:pPr>
        <w:pStyle w:val="BodyText"/>
        <w:spacing w:before="2"/>
      </w:pPr>
    </w:p>
    <w:p>
      <w:pPr>
        <w:pStyle w:val="BodyText"/>
        <w:spacing w:line="235" w:lineRule="auto" w:before="1"/>
        <w:ind w:left="705" w:right="167" w:hanging="541"/>
        <w:jc w:val="both"/>
      </w:pPr>
      <w:bookmarkStart w:name="_bookmark246" w:id="248"/>
      <w:bookmarkEnd w:id="248"/>
      <w:r>
        <w:rPr/>
      </w:r>
      <w:hyperlink w:history="true" w:anchor="_bookmark206">
        <w:r>
          <w:rPr>
            <w:color w:val="005DA1"/>
            <w:position w:val="5"/>
            <w:sz w:val="14"/>
            <w:u w:val="single" w:color="005DA1"/>
          </w:rPr>
          <w:t>132</w:t>
        </w:r>
      </w:hyperlink>
      <w:r>
        <w:rPr>
          <w:position w:val="5"/>
          <w:sz w:val="14"/>
        </w:rPr>
        <w:t>.</w:t>
      </w:r>
      <w:r>
        <w:rPr>
          <w:spacing w:val="80"/>
          <w:position w:val="5"/>
          <w:sz w:val="14"/>
        </w:rPr>
        <w:t> </w:t>
      </w:r>
      <w:r>
        <w:rPr/>
        <w:t>cf. Proposal for a Regulation of the European Parliament and of the Council on a Common European Sales Law, COM(2011) 635 final. This proposal was withdrawn on December </w:t>
      </w:r>
      <w:r>
        <w:rPr/>
        <w:t>16, 2014: COM (2014) 910 final.</w:t>
      </w:r>
    </w:p>
    <w:p>
      <w:pPr>
        <w:pStyle w:val="BodyText"/>
        <w:spacing w:before="5"/>
      </w:pPr>
    </w:p>
    <w:p>
      <w:pPr>
        <w:tabs>
          <w:tab w:pos="705" w:val="left" w:leader="none"/>
        </w:tabs>
        <w:spacing w:before="0"/>
        <w:ind w:left="165" w:right="0" w:firstLine="0"/>
        <w:jc w:val="left"/>
        <w:rPr>
          <w:sz w:val="20"/>
        </w:rPr>
      </w:pPr>
      <w:bookmarkStart w:name="_bookmark247" w:id="249"/>
      <w:bookmarkEnd w:id="249"/>
      <w:r>
        <w:rPr/>
      </w:r>
      <w:hyperlink w:history="true" w:anchor="_bookmark207">
        <w:r>
          <w:rPr>
            <w:color w:val="005DA1"/>
            <w:spacing w:val="-4"/>
            <w:position w:val="5"/>
            <w:sz w:val="14"/>
            <w:u w:val="single" w:color="005DA1"/>
          </w:rPr>
          <w:t>133</w:t>
        </w:r>
      </w:hyperlink>
      <w:r>
        <w:rPr>
          <w:spacing w:val="-4"/>
          <w:position w:val="5"/>
          <w:sz w:val="14"/>
        </w:rPr>
        <w:t>.</w:t>
      </w:r>
      <w:r>
        <w:rPr>
          <w:position w:val="5"/>
          <w:sz w:val="14"/>
        </w:rPr>
        <w:tab/>
      </w:r>
      <w:r>
        <w:rPr>
          <w:sz w:val="20"/>
        </w:rPr>
        <w:t>Above, para.30-</w:t>
      </w:r>
      <w:r>
        <w:rPr>
          <w:spacing w:val="-4"/>
          <w:sz w:val="20"/>
        </w:rPr>
        <w:t>016.</w:t>
      </w:r>
    </w:p>
    <w:p>
      <w:pPr>
        <w:pStyle w:val="BodyText"/>
        <w:spacing w:before="8"/>
      </w:pPr>
    </w:p>
    <w:p>
      <w:pPr>
        <w:pStyle w:val="BodyText"/>
        <w:spacing w:line="235" w:lineRule="auto" w:before="1"/>
        <w:ind w:left="705" w:right="167" w:hanging="541"/>
        <w:jc w:val="both"/>
      </w:pPr>
      <w:bookmarkStart w:name="_bookmark248" w:id="250"/>
      <w:bookmarkEnd w:id="250"/>
      <w:r>
        <w:rPr/>
      </w:r>
      <w:hyperlink w:history="true" w:anchor="_bookmark208">
        <w:r>
          <w:rPr>
            <w:color w:val="005DA1"/>
            <w:position w:val="5"/>
            <w:sz w:val="14"/>
            <w:u w:val="single" w:color="005DA1"/>
          </w:rPr>
          <w:t>134</w:t>
        </w:r>
      </w:hyperlink>
      <w:r>
        <w:rPr>
          <w:position w:val="5"/>
          <w:sz w:val="14"/>
        </w:rPr>
        <w:t>.</w:t>
      </w:r>
      <w:r>
        <w:rPr>
          <w:spacing w:val="40"/>
          <w:position w:val="5"/>
          <w:sz w:val="14"/>
        </w:rPr>
        <w:t>  </w:t>
      </w:r>
      <w:r>
        <w:rPr/>
        <w:t>Since the exclusion of renvoi prevents application of rules of private international law, it has </w:t>
      </w:r>
      <w:r>
        <w:rPr/>
        <w:t>no bearing on the issue concerning the application of the Vienna Convention discussed in n.132, above, since that Convention establishes rules of substantive law rather than rules of private international law.</w:t>
      </w:r>
    </w:p>
    <w:p>
      <w:pPr>
        <w:pStyle w:val="BodyText"/>
        <w:spacing w:before="4"/>
      </w:pPr>
    </w:p>
    <w:p>
      <w:pPr>
        <w:tabs>
          <w:tab w:pos="705" w:val="left" w:leader="none"/>
        </w:tabs>
        <w:spacing w:before="0"/>
        <w:ind w:left="165" w:right="0" w:firstLine="0"/>
        <w:jc w:val="left"/>
        <w:rPr>
          <w:sz w:val="20"/>
        </w:rPr>
      </w:pPr>
      <w:bookmarkStart w:name="_bookmark249" w:id="251"/>
      <w:bookmarkEnd w:id="251"/>
      <w:r>
        <w:rPr/>
      </w:r>
      <w:hyperlink w:history="true" w:anchor="_bookmark209">
        <w:r>
          <w:rPr>
            <w:color w:val="005DA1"/>
            <w:spacing w:val="-4"/>
            <w:position w:val="5"/>
            <w:sz w:val="14"/>
            <w:u w:val="single" w:color="005DA1"/>
          </w:rPr>
          <w:t>135</w:t>
        </w:r>
      </w:hyperlink>
      <w:r>
        <w:rPr>
          <w:spacing w:val="-4"/>
          <w:position w:val="5"/>
          <w:sz w:val="14"/>
        </w:rPr>
        <w:t>.</w:t>
      </w:r>
      <w:r>
        <w:rPr>
          <w:position w:val="5"/>
          <w:sz w:val="14"/>
        </w:rPr>
        <w:tab/>
      </w:r>
      <w:r>
        <w:rPr>
          <w:sz w:val="20"/>
        </w:rPr>
        <w:t>Above, para.30-</w:t>
      </w:r>
      <w:r>
        <w:rPr>
          <w:spacing w:val="-4"/>
          <w:sz w:val="20"/>
        </w:rPr>
        <w:t>009.</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50" w:id="252"/>
      <w:bookmarkEnd w:id="252"/>
      <w:r>
        <w:rPr/>
      </w:r>
      <w:hyperlink w:history="true" w:anchor="_bookmark210">
        <w:r>
          <w:rPr>
            <w:color w:val="005DA1"/>
            <w:spacing w:val="-4"/>
            <w:position w:val="5"/>
            <w:sz w:val="14"/>
            <w:u w:val="single" w:color="005DA1"/>
          </w:rPr>
          <w:t>136</w:t>
        </w:r>
      </w:hyperlink>
      <w:r>
        <w:rPr>
          <w:spacing w:val="-4"/>
          <w:position w:val="5"/>
          <w:sz w:val="14"/>
        </w:rPr>
        <w:t>.</w:t>
      </w:r>
      <w:r>
        <w:rPr>
          <w:position w:val="5"/>
          <w:sz w:val="14"/>
        </w:rPr>
        <w:tab/>
      </w:r>
      <w:r>
        <w:rPr>
          <w:rFonts w:ascii="Arial"/>
          <w:i/>
          <w:sz w:val="20"/>
        </w:rPr>
        <w:t>Shamil</w:t>
      </w:r>
      <w:r>
        <w:rPr>
          <w:rFonts w:ascii="Arial"/>
          <w:i/>
          <w:spacing w:val="10"/>
          <w:sz w:val="20"/>
        </w:rPr>
        <w:t> </w:t>
      </w:r>
      <w:r>
        <w:rPr>
          <w:rFonts w:ascii="Arial"/>
          <w:i/>
          <w:sz w:val="20"/>
        </w:rPr>
        <w:t>Bank</w:t>
      </w:r>
      <w:r>
        <w:rPr>
          <w:rFonts w:ascii="Arial"/>
          <w:i/>
          <w:spacing w:val="10"/>
          <w:sz w:val="20"/>
        </w:rPr>
        <w:t> </w:t>
      </w:r>
      <w:r>
        <w:rPr>
          <w:rFonts w:ascii="Arial"/>
          <w:i/>
          <w:sz w:val="20"/>
        </w:rPr>
        <w:t>of</w:t>
      </w:r>
      <w:r>
        <w:rPr>
          <w:rFonts w:ascii="Arial"/>
          <w:i/>
          <w:spacing w:val="10"/>
          <w:sz w:val="20"/>
        </w:rPr>
        <w:t> </w:t>
      </w:r>
      <w:r>
        <w:rPr>
          <w:rFonts w:ascii="Arial"/>
          <w:i/>
          <w:sz w:val="20"/>
        </w:rPr>
        <w:t>Bahrain</w:t>
      </w:r>
      <w:r>
        <w:rPr>
          <w:rFonts w:ascii="Arial"/>
          <w:i/>
          <w:spacing w:val="10"/>
          <w:sz w:val="20"/>
        </w:rPr>
        <w:t> </w:t>
      </w:r>
      <w:r>
        <w:rPr>
          <w:rFonts w:ascii="Arial"/>
          <w:i/>
          <w:sz w:val="20"/>
        </w:rPr>
        <w:t>v</w:t>
      </w:r>
      <w:r>
        <w:rPr>
          <w:rFonts w:ascii="Arial"/>
          <w:i/>
          <w:spacing w:val="10"/>
          <w:sz w:val="20"/>
        </w:rPr>
        <w:t> </w:t>
      </w:r>
      <w:r>
        <w:rPr>
          <w:rFonts w:ascii="Arial"/>
          <w:i/>
          <w:sz w:val="20"/>
        </w:rPr>
        <w:t>Beximco</w:t>
      </w:r>
      <w:r>
        <w:rPr>
          <w:rFonts w:ascii="Arial"/>
          <w:i/>
          <w:spacing w:val="10"/>
          <w:sz w:val="20"/>
        </w:rPr>
        <w:t> </w:t>
      </w:r>
      <w:r>
        <w:rPr>
          <w:rFonts w:ascii="Arial"/>
          <w:i/>
          <w:sz w:val="20"/>
        </w:rPr>
        <w:t>Pharmaceuticals</w:t>
      </w:r>
      <w:r>
        <w:rPr>
          <w:rFonts w:ascii="Arial"/>
          <w:i/>
          <w:spacing w:val="10"/>
          <w:sz w:val="20"/>
        </w:rPr>
        <w:t> </w:t>
      </w:r>
      <w:r>
        <w:rPr>
          <w:rFonts w:ascii="Arial"/>
          <w:i/>
          <w:sz w:val="20"/>
        </w:rPr>
        <w:t>Ltd</w:t>
      </w:r>
      <w:r>
        <w:rPr>
          <w:rFonts w:ascii="Arial"/>
          <w:i/>
          <w:spacing w:val="10"/>
          <w:sz w:val="20"/>
        </w:rPr>
        <w:t> </w:t>
      </w:r>
      <w:r>
        <w:rPr>
          <w:rFonts w:ascii="Arial"/>
          <w:i/>
          <w:sz w:val="20"/>
        </w:rPr>
        <w:t>[2004]</w:t>
      </w:r>
      <w:r>
        <w:rPr>
          <w:rFonts w:ascii="Arial"/>
          <w:i/>
          <w:spacing w:val="10"/>
          <w:sz w:val="20"/>
        </w:rPr>
        <w:t> </w:t>
      </w:r>
      <w:r>
        <w:rPr>
          <w:rFonts w:ascii="Arial"/>
          <w:i/>
          <w:sz w:val="20"/>
        </w:rPr>
        <w:t>EWCA</w:t>
      </w:r>
      <w:r>
        <w:rPr>
          <w:rFonts w:ascii="Arial"/>
          <w:i/>
          <w:spacing w:val="10"/>
          <w:sz w:val="20"/>
        </w:rPr>
        <w:t> </w:t>
      </w:r>
      <w:r>
        <w:rPr>
          <w:rFonts w:ascii="Arial"/>
          <w:i/>
          <w:sz w:val="20"/>
        </w:rPr>
        <w:t>Civ</w:t>
      </w:r>
      <w:r>
        <w:rPr>
          <w:rFonts w:ascii="Arial"/>
          <w:i/>
          <w:spacing w:val="10"/>
          <w:sz w:val="20"/>
        </w:rPr>
        <w:t> </w:t>
      </w:r>
      <w:r>
        <w:rPr>
          <w:rFonts w:ascii="Arial"/>
          <w:i/>
          <w:sz w:val="20"/>
        </w:rPr>
        <w:t>19,</w:t>
      </w:r>
      <w:r>
        <w:rPr>
          <w:rFonts w:ascii="Arial"/>
          <w:i/>
          <w:spacing w:val="10"/>
          <w:sz w:val="20"/>
        </w:rPr>
        <w:t> </w:t>
      </w:r>
      <w:r>
        <w:rPr>
          <w:rFonts w:ascii="Arial"/>
          <w:i/>
          <w:sz w:val="20"/>
        </w:rPr>
        <w:t>[2004]</w:t>
      </w:r>
      <w:r>
        <w:rPr>
          <w:rFonts w:ascii="Arial"/>
          <w:i/>
          <w:spacing w:val="10"/>
          <w:sz w:val="20"/>
        </w:rPr>
        <w:t> </w:t>
      </w:r>
      <w:r>
        <w:rPr>
          <w:rFonts w:ascii="Arial"/>
          <w:i/>
          <w:sz w:val="20"/>
        </w:rPr>
        <w:t>1</w:t>
      </w:r>
      <w:r>
        <w:rPr>
          <w:rFonts w:ascii="Arial"/>
          <w:i/>
          <w:spacing w:val="10"/>
          <w:sz w:val="20"/>
        </w:rPr>
        <w:t> </w:t>
      </w:r>
      <w:r>
        <w:rPr>
          <w:rFonts w:ascii="Arial"/>
          <w:i/>
          <w:spacing w:val="-2"/>
          <w:sz w:val="20"/>
        </w:rPr>
        <w:t>W.L.R.</w:t>
      </w:r>
    </w:p>
    <w:p>
      <w:pPr>
        <w:spacing w:line="235" w:lineRule="auto" w:before="2"/>
        <w:ind w:left="705" w:right="0" w:firstLine="0"/>
        <w:jc w:val="left"/>
        <w:rPr>
          <w:sz w:val="20"/>
        </w:rPr>
      </w:pPr>
      <w:r>
        <w:rPr>
          <w:rFonts w:ascii="Arial"/>
          <w:i/>
          <w:sz w:val="20"/>
        </w:rPr>
        <w:t>1784</w:t>
      </w:r>
      <w:r>
        <w:rPr>
          <w:sz w:val="20"/>
        </w:rPr>
        <w:t>;</w:t>
      </w:r>
      <w:r>
        <w:rPr>
          <w:spacing w:val="26"/>
          <w:sz w:val="20"/>
        </w:rPr>
        <w:t> </w:t>
      </w:r>
      <w:r>
        <w:rPr>
          <w:rFonts w:ascii="Arial"/>
          <w:i/>
          <w:sz w:val="20"/>
        </w:rPr>
        <w:t>Halpern</w:t>
      </w:r>
      <w:r>
        <w:rPr>
          <w:rFonts w:ascii="Arial"/>
          <w:i/>
          <w:spacing w:val="26"/>
          <w:sz w:val="20"/>
        </w:rPr>
        <w:t> </w:t>
      </w:r>
      <w:r>
        <w:rPr>
          <w:rFonts w:ascii="Arial"/>
          <w:i/>
          <w:sz w:val="20"/>
        </w:rPr>
        <w:t>v</w:t>
      </w:r>
      <w:r>
        <w:rPr>
          <w:rFonts w:ascii="Arial"/>
          <w:i/>
          <w:spacing w:val="26"/>
          <w:sz w:val="20"/>
        </w:rPr>
        <w:t> </w:t>
      </w:r>
      <w:r>
        <w:rPr>
          <w:rFonts w:ascii="Arial"/>
          <w:i/>
          <w:sz w:val="20"/>
        </w:rPr>
        <w:t>Halpern</w:t>
      </w:r>
      <w:r>
        <w:rPr>
          <w:rFonts w:ascii="Arial"/>
          <w:i/>
          <w:spacing w:val="26"/>
          <w:sz w:val="20"/>
        </w:rPr>
        <w:t> </w:t>
      </w:r>
      <w:r>
        <w:rPr>
          <w:rFonts w:ascii="Arial"/>
          <w:i/>
          <w:sz w:val="20"/>
        </w:rPr>
        <w:t>(Nos</w:t>
      </w:r>
      <w:r>
        <w:rPr>
          <w:rFonts w:ascii="Arial"/>
          <w:i/>
          <w:spacing w:val="26"/>
          <w:sz w:val="20"/>
        </w:rPr>
        <w:t> </w:t>
      </w:r>
      <w:r>
        <w:rPr>
          <w:rFonts w:ascii="Arial"/>
          <w:i/>
          <w:sz w:val="20"/>
        </w:rPr>
        <w:t>1</w:t>
      </w:r>
      <w:r>
        <w:rPr>
          <w:rFonts w:ascii="Arial"/>
          <w:i/>
          <w:spacing w:val="26"/>
          <w:sz w:val="20"/>
        </w:rPr>
        <w:t> </w:t>
      </w:r>
      <w:r>
        <w:rPr>
          <w:rFonts w:ascii="Arial"/>
          <w:i/>
          <w:sz w:val="20"/>
        </w:rPr>
        <w:t>and</w:t>
      </w:r>
      <w:r>
        <w:rPr>
          <w:rFonts w:ascii="Arial"/>
          <w:i/>
          <w:spacing w:val="26"/>
          <w:sz w:val="20"/>
        </w:rPr>
        <w:t> </w:t>
      </w:r>
      <w:r>
        <w:rPr>
          <w:rFonts w:ascii="Arial"/>
          <w:i/>
          <w:sz w:val="20"/>
        </w:rPr>
        <w:t>2)</w:t>
      </w:r>
      <w:r>
        <w:rPr>
          <w:rFonts w:ascii="Arial"/>
          <w:i/>
          <w:spacing w:val="26"/>
          <w:sz w:val="20"/>
        </w:rPr>
        <w:t> </w:t>
      </w:r>
      <w:r>
        <w:rPr>
          <w:rFonts w:ascii="Arial"/>
          <w:i/>
          <w:sz w:val="20"/>
        </w:rPr>
        <w:t>[2007]</w:t>
      </w:r>
      <w:r>
        <w:rPr>
          <w:rFonts w:ascii="Arial"/>
          <w:i/>
          <w:spacing w:val="26"/>
          <w:sz w:val="20"/>
        </w:rPr>
        <w:t> </w:t>
      </w:r>
      <w:r>
        <w:rPr>
          <w:rFonts w:ascii="Arial"/>
          <w:i/>
          <w:sz w:val="20"/>
        </w:rPr>
        <w:t>EWCA</w:t>
      </w:r>
      <w:r>
        <w:rPr>
          <w:rFonts w:ascii="Arial"/>
          <w:i/>
          <w:spacing w:val="26"/>
          <w:sz w:val="20"/>
        </w:rPr>
        <w:t> </w:t>
      </w:r>
      <w:r>
        <w:rPr>
          <w:rFonts w:ascii="Arial"/>
          <w:i/>
          <w:sz w:val="20"/>
        </w:rPr>
        <w:t>Civ</w:t>
      </w:r>
      <w:r>
        <w:rPr>
          <w:rFonts w:ascii="Arial"/>
          <w:i/>
          <w:spacing w:val="26"/>
          <w:sz w:val="20"/>
        </w:rPr>
        <w:t> </w:t>
      </w:r>
      <w:r>
        <w:rPr>
          <w:rFonts w:ascii="Arial"/>
          <w:i/>
          <w:sz w:val="20"/>
        </w:rPr>
        <w:t>291,</w:t>
      </w:r>
      <w:r>
        <w:rPr>
          <w:rFonts w:ascii="Arial"/>
          <w:i/>
          <w:spacing w:val="26"/>
          <w:sz w:val="20"/>
        </w:rPr>
        <w:t> </w:t>
      </w:r>
      <w:r>
        <w:rPr>
          <w:rFonts w:ascii="Arial"/>
          <w:i/>
          <w:sz w:val="20"/>
        </w:rPr>
        <w:t>[2008]</w:t>
      </w:r>
      <w:r>
        <w:rPr>
          <w:rFonts w:ascii="Arial"/>
          <w:i/>
          <w:spacing w:val="26"/>
          <w:sz w:val="20"/>
        </w:rPr>
        <w:t> </w:t>
      </w:r>
      <w:r>
        <w:rPr>
          <w:rFonts w:ascii="Arial"/>
          <w:i/>
          <w:sz w:val="20"/>
        </w:rPr>
        <w:t>Q.B.</w:t>
      </w:r>
      <w:r>
        <w:rPr>
          <w:rFonts w:ascii="Arial"/>
          <w:i/>
          <w:spacing w:val="26"/>
          <w:sz w:val="20"/>
        </w:rPr>
        <w:t> </w:t>
      </w:r>
      <w:r>
        <w:rPr>
          <w:rFonts w:ascii="Arial"/>
          <w:i/>
          <w:sz w:val="20"/>
        </w:rPr>
        <w:t>195</w:t>
      </w:r>
      <w:r>
        <w:rPr>
          <w:rFonts w:ascii="Arial"/>
          <w:i/>
          <w:spacing w:val="25"/>
          <w:sz w:val="20"/>
        </w:rPr>
        <w:t> </w:t>
      </w:r>
      <w:r>
        <w:rPr>
          <w:sz w:val="20"/>
        </w:rPr>
        <w:t>at</w:t>
      </w:r>
      <w:r>
        <w:rPr>
          <w:spacing w:val="26"/>
          <w:sz w:val="20"/>
        </w:rPr>
        <w:t> </w:t>
      </w:r>
      <w:r>
        <w:rPr>
          <w:sz w:val="20"/>
        </w:rPr>
        <w:t>[31]-</w:t>
      </w:r>
      <w:r>
        <w:rPr>
          <w:sz w:val="20"/>
        </w:rPr>
        <w:t>[38]; Dicey, Morris and Collins, para.32-088.</w:t>
      </w:r>
    </w:p>
    <w:p>
      <w:pPr>
        <w:pStyle w:val="BodyText"/>
        <w:spacing w:before="9"/>
      </w:pPr>
    </w:p>
    <w:p>
      <w:pPr>
        <w:spacing w:line="235" w:lineRule="auto" w:before="0"/>
        <w:ind w:left="705" w:right="168" w:hanging="541"/>
        <w:jc w:val="both"/>
        <w:rPr>
          <w:sz w:val="20"/>
        </w:rPr>
      </w:pPr>
      <w:bookmarkStart w:name="_bookmark251" w:id="253"/>
      <w:bookmarkEnd w:id="253"/>
      <w:r>
        <w:rPr/>
      </w:r>
      <w:hyperlink w:history="true" w:anchor="_bookmark211">
        <w:r>
          <w:rPr>
            <w:color w:val="005DA1"/>
            <w:position w:val="5"/>
            <w:sz w:val="14"/>
            <w:u w:val="single" w:color="005DA1"/>
          </w:rPr>
          <w:t>137</w:t>
        </w:r>
      </w:hyperlink>
      <w:r>
        <w:rPr>
          <w:position w:val="5"/>
          <w:sz w:val="14"/>
        </w:rPr>
        <w:t>.</w:t>
      </w:r>
      <w:r>
        <w:rPr>
          <w:spacing w:val="80"/>
          <w:position w:val="5"/>
          <w:sz w:val="14"/>
        </w:rPr>
        <w:t>  </w:t>
      </w:r>
      <w:r>
        <w:rPr>
          <w:rFonts w:ascii="Arial"/>
          <w:i/>
          <w:sz w:val="20"/>
        </w:rPr>
        <w:t>Shamil Bank of Bahrain v Beximco Pharmaceuticals Ltd [2004] EWCA Civ 19</w:t>
      </w:r>
      <w:r>
        <w:rPr>
          <w:sz w:val="20"/>
        </w:rPr>
        <w:t>; see also </w:t>
      </w:r>
      <w:r>
        <w:rPr>
          <w:rFonts w:ascii="Arial"/>
          <w:i/>
          <w:sz w:val="20"/>
        </w:rPr>
        <w:t>Halpern v Halpern [2007] EWCA Civ 291 </w:t>
      </w:r>
      <w:r>
        <w:rPr>
          <w:sz w:val="20"/>
        </w:rPr>
        <w:t>at [31]-[38]. See also </w:t>
      </w:r>
      <w:r>
        <w:rPr>
          <w:rFonts w:ascii="Arial"/>
          <w:i/>
          <w:sz w:val="20"/>
        </w:rPr>
        <w:t>Investment Dar Co KSCC v </w:t>
      </w:r>
      <w:r>
        <w:rPr>
          <w:rFonts w:ascii="Arial"/>
          <w:i/>
          <w:sz w:val="20"/>
        </w:rPr>
        <w:t>Blom Development Bank Sal [2009] EWHC 3545 (Ch)</w:t>
      </w:r>
      <w:r>
        <w:rPr>
          <w:sz w:val="20"/>
        </w:rPr>
        <w:t>. See </w:t>
      </w:r>
      <w:r>
        <w:rPr>
          <w:rFonts w:ascii="Arial"/>
          <w:i/>
          <w:sz w:val="20"/>
        </w:rPr>
        <w:t>Dubai Islamic Bank PJSC v Energy Holdings BSC [2013] EWHC 3186 (Comm)</w:t>
      </w:r>
      <w:r>
        <w:rPr>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position w:val="11"/>
          <w:sz w:val="12"/>
        </w:rPr>
      </w:pPr>
      <w:r>
        <w:rPr>
          <w:rFonts w:ascii="Arial"/>
          <w:b/>
          <w:sz w:val="24"/>
        </w:rPr>
        <w:t>Section 3. - The Rome Convention </w:t>
      </w:r>
      <w:r>
        <w:rPr>
          <w:rFonts w:ascii="Arial"/>
          <w:b/>
          <w:color w:val="005DA1"/>
          <w:spacing w:val="-5"/>
          <w:position w:val="11"/>
          <w:sz w:val="12"/>
          <w:u w:val="single" w:color="005DA1"/>
        </w:rPr>
        <w:t>96</w:t>
      </w:r>
    </w:p>
    <w:p>
      <w:pPr>
        <w:spacing w:before="194"/>
        <w:ind w:left="3645" w:right="0" w:firstLine="0"/>
        <w:jc w:val="left"/>
        <w:rPr>
          <w:rFonts w:ascii="Arial"/>
          <w:b/>
          <w:position w:val="11"/>
          <w:sz w:val="12"/>
        </w:rPr>
      </w:pPr>
      <w:bookmarkStart w:name="_bookmark252" w:id="254"/>
      <w:bookmarkEnd w:id="254"/>
      <w:r>
        <w:rPr/>
      </w:r>
      <w:r>
        <w:rPr>
          <w:rFonts w:ascii="Arial"/>
          <w:b/>
          <w:sz w:val="24"/>
        </w:rPr>
        <w:t>(b) - Exclusions </w:t>
      </w:r>
      <w:r>
        <w:rPr>
          <w:rFonts w:ascii="Arial"/>
          <w:b/>
          <w:color w:val="005DA1"/>
          <w:spacing w:val="-5"/>
          <w:position w:val="11"/>
          <w:sz w:val="12"/>
          <w:u w:val="single" w:color="005DA1"/>
        </w:rPr>
        <w:t>138</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2"/>
        <w:rPr>
          <w:rFonts w:ascii="Arial"/>
          <w:b/>
          <w:sz w:val="18"/>
        </w:rPr>
      </w:pPr>
    </w:p>
    <w:p>
      <w:pPr>
        <w:pStyle w:val="Heading2"/>
      </w:pPr>
      <w:r>
        <w:rPr/>
        <w:t>30-</w:t>
      </w:r>
      <w:r>
        <w:rPr>
          <w:spacing w:val="-5"/>
        </w:rPr>
        <w:t>029</w:t>
      </w:r>
    </w:p>
    <w:p>
      <w:pPr>
        <w:pStyle w:val="BodyText"/>
        <w:spacing w:line="235" w:lineRule="auto" w:before="202"/>
        <w:ind w:left="165" w:right="167"/>
        <w:jc w:val="both"/>
      </w:pPr>
      <w:r>
        <w:rPr/>
        <w:t>The</w:t>
      </w:r>
      <w:r>
        <w:rPr>
          <w:spacing w:val="-1"/>
        </w:rPr>
        <w:t> </w:t>
      </w:r>
      <w:r>
        <w:rPr/>
        <w:t>specific</w:t>
      </w:r>
      <w:r>
        <w:rPr>
          <w:spacing w:val="-1"/>
        </w:rPr>
        <w:t> </w:t>
      </w:r>
      <w:r>
        <w:rPr/>
        <w:t>scope</w:t>
      </w:r>
      <w:r>
        <w:rPr>
          <w:spacing w:val="-1"/>
        </w:rPr>
        <w:t> </w:t>
      </w:r>
      <w:r>
        <w:rPr/>
        <w:t>of</w:t>
      </w:r>
      <w:r>
        <w:rPr>
          <w:spacing w:val="-1"/>
        </w:rPr>
        <w:t> </w:t>
      </w:r>
      <w:r>
        <w:rPr/>
        <w:t>the</w:t>
      </w:r>
      <w:r>
        <w:rPr>
          <w:spacing w:val="-1"/>
        </w:rPr>
        <w:t> </w:t>
      </w:r>
      <w:r>
        <w:rPr/>
        <w:t>provisions</w:t>
      </w:r>
      <w:r>
        <w:rPr>
          <w:spacing w:val="-1"/>
        </w:rPr>
        <w:t> </w:t>
      </w:r>
      <w:r>
        <w:rPr/>
        <w:t>of</w:t>
      </w:r>
      <w:r>
        <w:rPr>
          <w:spacing w:val="-1"/>
        </w:rPr>
        <w:t> </w:t>
      </w:r>
      <w:r>
        <w:rPr/>
        <w:t>the</w:t>
      </w:r>
      <w:r>
        <w:rPr>
          <w:spacing w:val="-1"/>
        </w:rPr>
        <w:t> </w:t>
      </w:r>
      <w:r>
        <w:rPr/>
        <w:t>Rome</w:t>
      </w:r>
      <w:r>
        <w:rPr>
          <w:spacing w:val="-1"/>
        </w:rPr>
        <w:t> </w:t>
      </w:r>
      <w:r>
        <w:rPr/>
        <w:t>Convention</w:t>
      </w:r>
      <w:r>
        <w:rPr>
          <w:spacing w:val="-1"/>
        </w:rPr>
        <w:t> </w:t>
      </w:r>
      <w:r>
        <w:rPr/>
        <w:t>is</w:t>
      </w:r>
      <w:r>
        <w:rPr>
          <w:spacing w:val="-1"/>
        </w:rPr>
        <w:t> </w:t>
      </w:r>
      <w:r>
        <w:rPr/>
        <w:t>set</w:t>
      </w:r>
      <w:r>
        <w:rPr>
          <w:spacing w:val="-1"/>
        </w:rPr>
        <w:t> </w:t>
      </w:r>
      <w:r>
        <w:rPr/>
        <w:t>out</w:t>
      </w:r>
      <w:r>
        <w:rPr>
          <w:spacing w:val="-1"/>
        </w:rPr>
        <w:t> </w:t>
      </w:r>
      <w:r>
        <w:rPr/>
        <w:t>in</w:t>
      </w:r>
      <w:r>
        <w:rPr>
          <w:spacing w:val="-1"/>
        </w:rPr>
        <w:t> </w:t>
      </w:r>
      <w:r>
        <w:rPr/>
        <w:t>art.1.</w:t>
      </w:r>
      <w:r>
        <w:rPr>
          <w:spacing w:val="-1"/>
        </w:rPr>
        <w:t> </w:t>
      </w:r>
      <w:r>
        <w:rPr/>
        <w:t>The</w:t>
      </w:r>
      <w:r>
        <w:rPr>
          <w:spacing w:val="-1"/>
        </w:rPr>
        <w:t> </w:t>
      </w:r>
      <w:r>
        <w:rPr/>
        <w:t>general</w:t>
      </w:r>
      <w:r>
        <w:rPr>
          <w:spacing w:val="-1"/>
        </w:rPr>
        <w:t> </w:t>
      </w:r>
      <w:r>
        <w:rPr/>
        <w:t>purport</w:t>
      </w:r>
      <w:r>
        <w:rPr>
          <w:spacing w:val="-1"/>
        </w:rPr>
        <w:t> </w:t>
      </w:r>
      <w:r>
        <w:rPr/>
        <w:t>of art.1(1) has already been referred to but it is necessary to examine one additional question in relation to that provision, namely the meaning of “contractual obligations”. For if an obligation is not a “contractual obligation” for the purposes of that provision, then the Convention does not apply even if the situation involves “a choice between the laws of different countries”. Secondly, art.1(2) excludes certain types of contract and certain issues which are capable of arising in a contractual context from the scope of the Convention. The following paragraphs deal with these two questions.</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Meaning of “contractual </w:t>
      </w:r>
      <w:r>
        <w:rPr>
          <w:rFonts w:ascii="Arial" w:hAnsi="Arial"/>
          <w:b/>
          <w:spacing w:val="-2"/>
          <w:sz w:val="18"/>
        </w:rPr>
        <w:t>obligations”</w:t>
      </w:r>
    </w:p>
    <w:p>
      <w:pPr>
        <w:pStyle w:val="BodyText"/>
        <w:spacing w:before="41"/>
        <w:rPr>
          <w:rFonts w:ascii="Arial"/>
          <w:b/>
          <w:sz w:val="18"/>
        </w:rPr>
      </w:pPr>
    </w:p>
    <w:p>
      <w:pPr>
        <w:pStyle w:val="Heading2"/>
        <w:spacing w:before="1"/>
      </w:pPr>
      <w:r>
        <w:rPr/>
        <w:t>30-</w:t>
      </w:r>
      <w:r>
        <w:rPr>
          <w:spacing w:val="-5"/>
        </w:rPr>
        <w:t>030</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53" w:id="255"/>
      <w:bookmarkEnd w:id="255"/>
      <w:r>
        <w:rPr>
          <w:rFonts w:ascii="Times New Roman" w:hAnsi="Times New Roman"/>
          <w:spacing w:val="-12"/>
        </w:rPr>
      </w:r>
      <w:r>
        <w:rPr/>
        <w:t>At a very general level, it can be said that since the Rome Convention is only concerned with contractual obligations: property rights and intellectual property are not covered by its provisions. </w:t>
      </w:r>
      <w:r>
        <w:rPr>
          <w:color w:val="005DA1"/>
          <w:u w:val="single" w:color="005DA1"/>
          <w:vertAlign w:val="superscript"/>
        </w:rPr>
        <w:t>139</w:t>
      </w:r>
      <w:r>
        <w:rPr>
          <w:color w:val="005DA1"/>
          <w:vertAlign w:val="baseline"/>
        </w:rPr>
        <w:t> </w:t>
      </w:r>
      <w:r>
        <w:rPr>
          <w:vertAlign w:val="baseline"/>
        </w:rPr>
        <w:t>This observation, however, does not carry the matter much further and the Giuliano-Lagarde Report </w:t>
      </w:r>
      <w:bookmarkStart w:name="_bookmark254" w:id="256"/>
      <w:bookmarkEnd w:id="256"/>
      <w:r>
        <w:rPr>
          <w:vertAlign w:val="baseline"/>
        </w:rPr>
        <w:t>provides</w:t>
      </w:r>
      <w:r>
        <w:rPr>
          <w:vertAlign w:val="baseline"/>
        </w:rPr>
        <w:t> no additional guidance. Initially, however, it would seem to be generally accepted that an autonomous</w:t>
      </w:r>
      <w:r>
        <w:rPr>
          <w:spacing w:val="14"/>
          <w:vertAlign w:val="baseline"/>
        </w:rPr>
        <w:t> </w:t>
      </w:r>
      <w:r>
        <w:rPr>
          <w:vertAlign w:val="baseline"/>
        </w:rPr>
        <w:t>or</w:t>
      </w:r>
      <w:r>
        <w:rPr>
          <w:spacing w:val="16"/>
          <w:vertAlign w:val="baseline"/>
        </w:rPr>
        <w:t> </w:t>
      </w:r>
      <w:r>
        <w:rPr>
          <w:vertAlign w:val="baseline"/>
        </w:rPr>
        <w:t>Convention</w:t>
      </w:r>
      <w:r>
        <w:rPr>
          <w:spacing w:val="16"/>
          <w:vertAlign w:val="baseline"/>
        </w:rPr>
        <w:t> </w:t>
      </w:r>
      <w:r>
        <w:rPr>
          <w:vertAlign w:val="baseline"/>
        </w:rPr>
        <w:t>interpretation</w:t>
      </w:r>
      <w:r>
        <w:rPr>
          <w:spacing w:val="16"/>
          <w:vertAlign w:val="baseline"/>
        </w:rPr>
        <w:t> </w:t>
      </w:r>
      <w:r>
        <w:rPr>
          <w:vertAlign w:val="baseline"/>
        </w:rPr>
        <w:t>should</w:t>
      </w:r>
      <w:r>
        <w:rPr>
          <w:spacing w:val="16"/>
          <w:vertAlign w:val="baseline"/>
        </w:rPr>
        <w:t> </w:t>
      </w:r>
      <w:r>
        <w:rPr>
          <w:vertAlign w:val="baseline"/>
        </w:rPr>
        <w:t>be</w:t>
      </w:r>
      <w:r>
        <w:rPr>
          <w:spacing w:val="16"/>
          <w:vertAlign w:val="baseline"/>
        </w:rPr>
        <w:t> </w:t>
      </w:r>
      <w:r>
        <w:rPr>
          <w:vertAlign w:val="baseline"/>
        </w:rPr>
        <w:t>given</w:t>
      </w:r>
      <w:r>
        <w:rPr>
          <w:spacing w:val="16"/>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expression</w:t>
      </w:r>
      <w:r>
        <w:rPr>
          <w:spacing w:val="16"/>
          <w:vertAlign w:val="baseline"/>
        </w:rPr>
        <w:t> </w:t>
      </w:r>
      <w:r>
        <w:rPr>
          <w:vertAlign w:val="baseline"/>
        </w:rPr>
        <w:t>“contractual</w:t>
      </w:r>
      <w:r>
        <w:rPr>
          <w:spacing w:val="16"/>
          <w:vertAlign w:val="baseline"/>
        </w:rPr>
        <w:t> </w:t>
      </w:r>
      <w:r>
        <w:rPr>
          <w:spacing w:val="-2"/>
          <w:vertAlign w:val="baseline"/>
        </w:rPr>
        <w:t>obligations”</w:t>
      </w:r>
    </w:p>
    <w:p>
      <w:pPr>
        <w:pStyle w:val="BodyText"/>
        <w:spacing w:line="235" w:lineRule="auto"/>
        <w:ind w:left="164" w:right="167"/>
        <w:jc w:val="both"/>
      </w:pPr>
      <w:r>
        <w:rPr>
          <w:color w:val="005DA1"/>
          <w:u w:val="single" w:color="005DA1"/>
          <w:vertAlign w:val="superscript"/>
        </w:rPr>
        <w:t>140</w:t>
      </w:r>
      <w:r>
        <w:rPr>
          <w:color w:val="005DA1"/>
          <w:vertAlign w:val="baseline"/>
        </w:rPr>
        <w:t> </w:t>
      </w:r>
      <w:bookmarkStart w:name="_bookmark255" w:id="257"/>
      <w:bookmarkEnd w:id="257"/>
      <w:r>
        <w:rPr>
          <w:color w:val="005DA1"/>
          <w:spacing w:val="8"/>
          <w:vertAlign w:val="baseline"/>
        </w:rPr>
      </w:r>
      <w:r>
        <w:rPr>
          <w:vertAlign w:val="baseline"/>
        </w:rPr>
        <w:t>and that, thus, the expression should not necessarily be limited to obligations which the law of the English forum would regard as contractual. </w:t>
      </w:r>
      <w:r>
        <w:rPr>
          <w:color w:val="005DA1"/>
          <w:u w:val="single" w:color="005DA1"/>
          <w:vertAlign w:val="superscript"/>
        </w:rPr>
        <w:t>141</w:t>
      </w:r>
      <w:r>
        <w:rPr>
          <w:color w:val="005DA1"/>
          <w:vertAlign w:val="baseline"/>
        </w:rPr>
        <w:t> </w:t>
      </w:r>
      <w:r>
        <w:rPr>
          <w:vertAlign w:val="baseline"/>
        </w:rPr>
        <w:t>Additionally, it may be said that the Rome </w:t>
      </w:r>
      <w:r>
        <w:rPr>
          <w:vertAlign w:val="baseline"/>
        </w:rPr>
        <w:t>Convention </w:t>
      </w:r>
      <w:bookmarkStart w:name="_bookmark256" w:id="258"/>
      <w:bookmarkEnd w:id="258"/>
      <w:r>
        <w:rPr>
          <w:vertAlign w:val="baseline"/>
        </w:rPr>
        <w:t>does</w:t>
      </w:r>
      <w:r>
        <w:rPr>
          <w:vertAlign w:val="baseline"/>
        </w:rPr>
        <w:t> not apply to tortious obligations. This outcome is inevitable under the Rome II Regulation on the law applicable to non-contractual obligations </w:t>
      </w:r>
      <w:r>
        <w:rPr>
          <w:color w:val="005DA1"/>
          <w:u w:val="single" w:color="005DA1"/>
          <w:vertAlign w:val="superscript"/>
        </w:rPr>
        <w:t>142</w:t>
      </w:r>
      <w:r>
        <w:rPr>
          <w:color w:val="005DA1"/>
          <w:vertAlign w:val="baseline"/>
        </w:rPr>
        <w:t> </w:t>
      </w:r>
      <w:r>
        <w:rPr>
          <w:vertAlign w:val="baseline"/>
        </w:rPr>
        <w:t>since the term “non-contractual obligation” for the </w:t>
      </w:r>
      <w:bookmarkStart w:name="_bookmark257" w:id="259"/>
      <w:bookmarkEnd w:id="259"/>
      <w:r>
        <w:rPr>
          <w:vertAlign w:val="baseline"/>
        </w:rPr>
        <w:t>purpose</w:t>
      </w:r>
      <w:r>
        <w:rPr>
          <w:spacing w:val="2"/>
          <w:vertAlign w:val="baseline"/>
        </w:rPr>
        <w:t> </w:t>
      </w:r>
      <w:r>
        <w:rPr>
          <w:vertAlign w:val="baseline"/>
        </w:rPr>
        <w:t>of</w:t>
      </w:r>
      <w:r>
        <w:rPr>
          <w:spacing w:val="2"/>
          <w:vertAlign w:val="baseline"/>
        </w:rPr>
        <w:t> </w:t>
      </w:r>
      <w:r>
        <w:rPr>
          <w:vertAlign w:val="baseline"/>
        </w:rPr>
        <w:t>that</w:t>
      </w:r>
      <w:r>
        <w:rPr>
          <w:spacing w:val="2"/>
          <w:vertAlign w:val="baseline"/>
        </w:rPr>
        <w:t> </w:t>
      </w:r>
      <w:r>
        <w:rPr>
          <w:vertAlign w:val="baseline"/>
        </w:rPr>
        <w:t>Regulation</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understood</w:t>
      </w:r>
      <w:r>
        <w:rPr>
          <w:spacing w:val="2"/>
          <w:vertAlign w:val="baseline"/>
        </w:rPr>
        <w:t> </w:t>
      </w:r>
      <w:r>
        <w:rPr>
          <w:vertAlign w:val="baseline"/>
        </w:rPr>
        <w:t>as</w:t>
      </w:r>
      <w:r>
        <w:rPr>
          <w:spacing w:val="2"/>
          <w:vertAlign w:val="baseline"/>
        </w:rPr>
        <w:t> </w:t>
      </w:r>
      <w:r>
        <w:rPr>
          <w:vertAlign w:val="baseline"/>
        </w:rPr>
        <w:t>an</w:t>
      </w:r>
      <w:r>
        <w:rPr>
          <w:spacing w:val="2"/>
          <w:vertAlign w:val="baseline"/>
        </w:rPr>
        <w:t> </w:t>
      </w:r>
      <w:r>
        <w:rPr>
          <w:vertAlign w:val="baseline"/>
        </w:rPr>
        <w:t>autonomous</w:t>
      </w:r>
      <w:r>
        <w:rPr>
          <w:spacing w:val="2"/>
          <w:vertAlign w:val="baseline"/>
        </w:rPr>
        <w:t> </w:t>
      </w:r>
      <w:r>
        <w:rPr>
          <w:vertAlign w:val="baseline"/>
        </w:rPr>
        <w:t>concept,</w:t>
      </w:r>
      <w:r>
        <w:rPr>
          <w:spacing w:val="2"/>
          <w:vertAlign w:val="baseline"/>
        </w:rPr>
        <w:t> </w:t>
      </w:r>
      <w:r>
        <w:rPr>
          <w:vertAlign w:val="baseline"/>
        </w:rPr>
        <w:t>independent</w:t>
      </w:r>
      <w:r>
        <w:rPr>
          <w:spacing w:val="2"/>
          <w:vertAlign w:val="baseline"/>
        </w:rPr>
        <w:t> </w:t>
      </w:r>
      <w:r>
        <w:rPr>
          <w:vertAlign w:val="baseline"/>
        </w:rPr>
        <w:t>of</w:t>
      </w:r>
      <w:r>
        <w:rPr>
          <w:spacing w:val="2"/>
          <w:vertAlign w:val="baseline"/>
        </w:rPr>
        <w:t> </w:t>
      </w:r>
      <w:r>
        <w:rPr>
          <w:spacing w:val="-2"/>
          <w:vertAlign w:val="baseline"/>
        </w:rPr>
        <w:t>meanings</w:t>
      </w:r>
    </w:p>
    <w:p>
      <w:pPr>
        <w:pStyle w:val="BodyText"/>
        <w:spacing w:line="235" w:lineRule="auto" w:before="116"/>
        <w:ind w:left="165" w:right="167"/>
        <w:jc w:val="both"/>
      </w:pPr>
      <w:r>
        <w:rPr/>
        <w:t>it may have in national law </w:t>
      </w:r>
      <w:r>
        <w:rPr>
          <w:color w:val="005DA1"/>
          <w:u w:val="single" w:color="005DA1"/>
          <w:vertAlign w:val="superscript"/>
        </w:rPr>
        <w:t>143</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34"/>
          <w:vertAlign w:val="baseline"/>
        </w:rPr>
        <w:t> </w:t>
      </w:r>
      <w:r>
        <w:rPr>
          <w:vertAlign w:val="baseline"/>
        </w:rPr>
        <w:t>and because it is necessary to demarcate the respective scope </w:t>
      </w:r>
      <w:r>
        <w:rPr>
          <w:vertAlign w:val="baseline"/>
        </w:rPr>
        <w:t>of the</w:t>
      </w:r>
      <w:r>
        <w:rPr>
          <w:spacing w:val="-1"/>
          <w:vertAlign w:val="baseline"/>
        </w:rPr>
        <w:t> </w:t>
      </w:r>
      <w:r>
        <w:rPr>
          <w:vertAlign w:val="baseline"/>
        </w:rPr>
        <w:t>Rome</w:t>
      </w:r>
      <w:r>
        <w:rPr>
          <w:spacing w:val="-1"/>
          <w:vertAlign w:val="baseline"/>
        </w:rPr>
        <w:t> </w:t>
      </w:r>
      <w:r>
        <w:rPr>
          <w:vertAlign w:val="baseline"/>
        </w:rPr>
        <w:t>II</w:t>
      </w:r>
      <w:r>
        <w:rPr>
          <w:spacing w:val="-1"/>
          <w:vertAlign w:val="baseline"/>
        </w:rPr>
        <w:t> </w:t>
      </w:r>
      <w:r>
        <w:rPr>
          <w:vertAlign w:val="baseline"/>
        </w:rPr>
        <w:t>Regulation</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Rome</w:t>
      </w:r>
      <w:r>
        <w:rPr>
          <w:spacing w:val="-1"/>
          <w:vertAlign w:val="baseline"/>
        </w:rPr>
        <w:t> </w:t>
      </w:r>
      <w:r>
        <w:rPr>
          <w:vertAlign w:val="baseline"/>
        </w:rPr>
        <w:t>Convention,</w:t>
      </w:r>
      <w:r>
        <w:rPr>
          <w:spacing w:val="-1"/>
          <w:vertAlign w:val="baseline"/>
        </w:rPr>
        <w:t> </w:t>
      </w:r>
      <w:r>
        <w:rPr>
          <w:vertAlign w:val="baseline"/>
        </w:rPr>
        <w:t>the</w:t>
      </w:r>
      <w:r>
        <w:rPr>
          <w:spacing w:val="-1"/>
          <w:vertAlign w:val="baseline"/>
        </w:rPr>
        <w:t> </w:t>
      </w:r>
      <w:r>
        <w:rPr>
          <w:vertAlign w:val="baseline"/>
        </w:rPr>
        <w:t>meaning</w:t>
      </w:r>
      <w:r>
        <w:rPr>
          <w:spacing w:val="-1"/>
          <w:vertAlign w:val="baseline"/>
        </w:rPr>
        <w:t> </w:t>
      </w:r>
      <w:r>
        <w:rPr>
          <w:vertAlign w:val="baseline"/>
        </w:rPr>
        <w:t>of</w:t>
      </w:r>
      <w:r>
        <w:rPr>
          <w:spacing w:val="-1"/>
          <w:vertAlign w:val="baseline"/>
        </w:rPr>
        <w:t> </w:t>
      </w:r>
      <w:r>
        <w:rPr>
          <w:vertAlign w:val="baseline"/>
        </w:rPr>
        <w:t>“contractual</w:t>
      </w:r>
      <w:r>
        <w:rPr>
          <w:spacing w:val="-1"/>
          <w:vertAlign w:val="baseline"/>
        </w:rPr>
        <w:t> </w:t>
      </w:r>
      <w:r>
        <w:rPr>
          <w:vertAlign w:val="baseline"/>
        </w:rPr>
        <w:t>obligation”</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latter instrument will similarly be interpreted in an autonomous fashion.</w:t>
      </w:r>
    </w:p>
    <w:p>
      <w:pPr>
        <w:pStyle w:val="BodyText"/>
      </w:pPr>
    </w:p>
    <w:p>
      <w:pPr>
        <w:pStyle w:val="BodyText"/>
        <w:spacing w:before="38"/>
      </w:pPr>
    </w:p>
    <w:p>
      <w:pPr>
        <w:spacing w:before="0"/>
        <w:ind w:left="165" w:right="0" w:firstLine="0"/>
        <w:jc w:val="both"/>
        <w:rPr>
          <w:rFonts w:ascii="Arial"/>
          <w:b/>
          <w:sz w:val="18"/>
        </w:rPr>
      </w:pPr>
      <w:r>
        <w:rPr>
          <w:rFonts w:ascii="Arial"/>
          <w:b/>
          <w:sz w:val="18"/>
        </w:rPr>
        <w:t>Concurrent </w:t>
      </w:r>
      <w:r>
        <w:rPr>
          <w:rFonts w:ascii="Arial"/>
          <w:b/>
          <w:spacing w:val="-2"/>
          <w:sz w:val="18"/>
        </w:rPr>
        <w:t>liability</w:t>
      </w:r>
    </w:p>
    <w:p>
      <w:pPr>
        <w:pStyle w:val="BodyText"/>
        <w:spacing w:before="41"/>
        <w:rPr>
          <w:rFonts w:ascii="Arial"/>
          <w:b/>
          <w:sz w:val="18"/>
        </w:rPr>
      </w:pPr>
    </w:p>
    <w:p>
      <w:pPr>
        <w:pStyle w:val="Heading2"/>
      </w:pPr>
      <w:r>
        <w:rPr/>
        <w:t>30-</w:t>
      </w:r>
      <w:r>
        <w:rPr>
          <w:spacing w:val="-5"/>
        </w:rPr>
        <w:t>031</w:t>
      </w:r>
    </w:p>
    <w:p>
      <w:pPr>
        <w:pStyle w:val="BodyText"/>
        <w:spacing w:line="235" w:lineRule="auto" w:before="203"/>
        <w:ind w:left="164" w:right="167"/>
        <w:jc w:val="both"/>
      </w:pPr>
      <w:bookmarkStart w:name="_bookmark258" w:id="260"/>
      <w:bookmarkEnd w:id="260"/>
      <w:r>
        <w:rPr/>
      </w:r>
      <w:r>
        <w:rPr/>
        <w:t>A rather different problem is presented when the forum (as is sometimes the case in English law, </w:t>
      </w:r>
      <w:r>
        <w:rPr/>
        <w:t>with </w:t>
      </w:r>
      <w:bookmarkStart w:name="_bookmark259" w:id="261"/>
      <w:bookmarkEnd w:id="261"/>
      <w:r>
        <w:rPr/>
        <w:t>employment</w:t>
      </w:r>
      <w:r>
        <w:rPr/>
        <w:t> contracts </w:t>
      </w:r>
      <w:r>
        <w:rPr>
          <w:color w:val="005DA1"/>
          <w:u w:val="single" w:color="005DA1"/>
          <w:vertAlign w:val="superscript"/>
        </w:rPr>
        <w:t>144</w:t>
      </w:r>
      <w:r>
        <w:rPr>
          <w:vertAlign w:val="baseline"/>
        </w:rPr>
        <w:t>) allows alternative claims in contract and tort. In such a case an English court has held </w:t>
      </w:r>
      <w:r>
        <w:rPr>
          <w:color w:val="005DA1"/>
          <w:u w:val="single" w:color="005DA1"/>
          <w:vertAlign w:val="superscript"/>
        </w:rPr>
        <w:t>145</w:t>
      </w:r>
      <w:r>
        <w:rPr>
          <w:color w:val="005DA1"/>
          <w:vertAlign w:val="baseline"/>
        </w:rPr>
        <w:t> </w:t>
      </w:r>
      <w:r>
        <w:rPr>
          <w:vertAlign w:val="baseline"/>
        </w:rPr>
        <w:t>that there is nothing in the Rome Convention which precludes, say, an employee </w:t>
      </w:r>
      <w:bookmarkStart w:name="_bookmark260" w:id="262"/>
      <w:bookmarkEnd w:id="262"/>
      <w:r>
        <w:rPr>
          <w:vertAlign w:val="baseline"/>
        </w:rPr>
        <w:t>from</w:t>
      </w:r>
      <w:r>
        <w:rPr>
          <w:vertAlign w:val="baseline"/>
        </w:rPr>
        <w:t> framing his claim in tort if the tort choice of law rule is more advantageous to him than the rules </w:t>
      </w:r>
      <w:bookmarkStart w:name="_bookmark261" w:id="263"/>
      <w:bookmarkEnd w:id="263"/>
      <w:r>
        <w:rPr>
          <w:vertAlign w:val="baseline"/>
        </w:rPr>
        <w:t>of</w:t>
      </w:r>
      <w:r>
        <w:rPr>
          <w:vertAlign w:val="baseline"/>
        </w:rPr>
        <w:t> the Rome Convention. </w:t>
      </w:r>
      <w:r>
        <w:rPr>
          <w:color w:val="005DA1"/>
          <w:u w:val="single" w:color="005DA1"/>
          <w:vertAlign w:val="superscript"/>
        </w:rPr>
        <w:t>146</w:t>
      </w:r>
      <w:r>
        <w:rPr>
          <w:color w:val="005DA1"/>
          <w:vertAlign w:val="baseline"/>
        </w:rPr>
        <w:t> </w:t>
      </w:r>
      <w:r>
        <w:rPr>
          <w:vertAlign w:val="baseline"/>
        </w:rPr>
        <w:t>In relation to the Rome II Regulation, which applies only to events giving rise</w:t>
      </w:r>
      <w:r>
        <w:rPr>
          <w:spacing w:val="5"/>
          <w:vertAlign w:val="baseline"/>
        </w:rPr>
        <w:t> </w:t>
      </w:r>
      <w:r>
        <w:rPr>
          <w:vertAlign w:val="baseline"/>
        </w:rPr>
        <w:t>to</w:t>
      </w:r>
      <w:r>
        <w:rPr>
          <w:spacing w:val="5"/>
          <w:vertAlign w:val="baseline"/>
        </w:rPr>
        <w:t> </w:t>
      </w:r>
      <w:r>
        <w:rPr>
          <w:vertAlign w:val="baseline"/>
        </w:rPr>
        <w:t>damage</w:t>
      </w:r>
      <w:r>
        <w:rPr>
          <w:spacing w:val="5"/>
          <w:vertAlign w:val="baseline"/>
        </w:rPr>
        <w:t> </w:t>
      </w:r>
      <w:r>
        <w:rPr>
          <w:vertAlign w:val="baseline"/>
        </w:rPr>
        <w:t>occurring</w:t>
      </w:r>
      <w:r>
        <w:rPr>
          <w:spacing w:val="5"/>
          <w:vertAlign w:val="baseline"/>
        </w:rPr>
        <w:t> </w:t>
      </w:r>
      <w:r>
        <w:rPr>
          <w:vertAlign w:val="baseline"/>
        </w:rPr>
        <w:t>after</w:t>
      </w:r>
      <w:r>
        <w:rPr>
          <w:spacing w:val="5"/>
          <w:vertAlign w:val="baseline"/>
        </w:rPr>
        <w:t> </w:t>
      </w:r>
      <w:r>
        <w:rPr>
          <w:vertAlign w:val="baseline"/>
        </w:rPr>
        <w:t>January</w:t>
      </w:r>
      <w:r>
        <w:rPr>
          <w:spacing w:val="5"/>
          <w:vertAlign w:val="baseline"/>
        </w:rPr>
        <w:t> </w:t>
      </w:r>
      <w:r>
        <w:rPr>
          <w:vertAlign w:val="baseline"/>
        </w:rPr>
        <w:t>11,</w:t>
      </w:r>
      <w:r>
        <w:rPr>
          <w:spacing w:val="5"/>
          <w:vertAlign w:val="baseline"/>
        </w:rPr>
        <w:t> </w:t>
      </w:r>
      <w:r>
        <w:rPr>
          <w:vertAlign w:val="baseline"/>
        </w:rPr>
        <w:t>2009,</w:t>
      </w:r>
      <w:r>
        <w:rPr>
          <w:spacing w:val="4"/>
          <w:vertAlign w:val="baseline"/>
        </w:rPr>
        <w:t> </w:t>
      </w:r>
      <w:r>
        <w:rPr>
          <w:color w:val="005DA1"/>
          <w:u w:val="single" w:color="005DA1"/>
          <w:vertAlign w:val="superscript"/>
        </w:rPr>
        <w:t>147</w:t>
      </w:r>
      <w:r>
        <w:rPr>
          <w:color w:val="005DA1"/>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highly</w:t>
      </w:r>
      <w:r>
        <w:rPr>
          <w:spacing w:val="5"/>
          <w:vertAlign w:val="baseline"/>
        </w:rPr>
        <w:t> </w:t>
      </w:r>
      <w:r>
        <w:rPr>
          <w:vertAlign w:val="baseline"/>
        </w:rPr>
        <w:t>unlikely</w:t>
      </w:r>
      <w:r>
        <w:rPr>
          <w:spacing w:val="5"/>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claimant</w:t>
      </w:r>
      <w:r>
        <w:rPr>
          <w:spacing w:val="5"/>
          <w:vertAlign w:val="baseline"/>
        </w:rPr>
        <w:t> </w:t>
      </w:r>
      <w:r>
        <w:rPr>
          <w:vertAlign w:val="baseline"/>
        </w:rPr>
        <w:t>will</w:t>
      </w:r>
      <w:r>
        <w:rPr>
          <w:spacing w:val="5"/>
          <w:vertAlign w:val="baseline"/>
        </w:rPr>
        <w:t> </w:t>
      </w:r>
      <w:r>
        <w:rPr>
          <w:vertAlign w:val="baseline"/>
        </w:rPr>
        <w:t>have</w:t>
      </w:r>
      <w:r>
        <w:rPr>
          <w:spacing w:val="5"/>
          <w:vertAlign w:val="baseline"/>
        </w:rPr>
        <w:t> </w:t>
      </w:r>
      <w:r>
        <w:rPr>
          <w:spacing w:val="-5"/>
          <w:vertAlign w:val="baseline"/>
        </w:rPr>
        <w:t>the</w:t>
      </w:r>
    </w:p>
    <w:p>
      <w:pPr>
        <w:pStyle w:val="BodyText"/>
        <w:spacing w:after="0" w:line="235" w:lineRule="auto"/>
        <w:jc w:val="both"/>
        <w:sectPr>
          <w:headerReference w:type="default" r:id="rId9"/>
          <w:pgSz w:w="11900" w:h="16840"/>
          <w:pgMar w:header="971" w:footer="0" w:top="1300" w:bottom="280" w:left="1275" w:right="1275"/>
          <w:pgNumType w:start="1"/>
        </w:sectPr>
      </w:pPr>
    </w:p>
    <w:p>
      <w:pPr>
        <w:pStyle w:val="BodyText"/>
        <w:spacing w:line="235" w:lineRule="auto" w:before="110"/>
        <w:ind w:left="165" w:right="167"/>
        <w:jc w:val="both"/>
      </w:pPr>
      <w:r>
        <w:rPr/>
        <w:t>option of framing a claim which is contractual as a claim in tort since the term </w:t>
      </w:r>
      <w:r>
        <w:rPr/>
        <w:t>“noncontractual obligation” in that Regulation must be understood as an autonomous concept independent of </w:t>
      </w:r>
      <w:bookmarkStart w:name="_bookmark262" w:id="264"/>
      <w:bookmarkEnd w:id="264"/>
      <w:r>
        <w:rPr/>
        <w:t>meanings</w:t>
      </w:r>
      <w:r>
        <w:rPr>
          <w:spacing w:val="79"/>
        </w:rPr>
        <w:t> </w:t>
      </w:r>
      <w:r>
        <w:rPr/>
        <w:t>it</w:t>
      </w:r>
      <w:r>
        <w:rPr>
          <w:spacing w:val="79"/>
        </w:rPr>
        <w:t> </w:t>
      </w:r>
      <w:r>
        <w:rPr/>
        <w:t>may</w:t>
      </w:r>
      <w:r>
        <w:rPr>
          <w:spacing w:val="79"/>
        </w:rPr>
        <w:t> </w:t>
      </w:r>
      <w:r>
        <w:rPr/>
        <w:t>have</w:t>
      </w:r>
      <w:r>
        <w:rPr>
          <w:spacing w:val="79"/>
        </w:rPr>
        <w:t> </w:t>
      </w:r>
      <w:r>
        <w:rPr/>
        <w:t>in</w:t>
      </w:r>
      <w:r>
        <w:rPr>
          <w:spacing w:val="79"/>
        </w:rPr>
        <w:t> </w:t>
      </w:r>
      <w:r>
        <w:rPr/>
        <w:t>national</w:t>
      </w:r>
      <w:r>
        <w:rPr>
          <w:spacing w:val="79"/>
        </w:rPr>
        <w:t> </w:t>
      </w:r>
      <w:r>
        <w:rPr/>
        <w:t>law</w:t>
      </w:r>
      <w:r>
        <w:rPr>
          <w:spacing w:val="79"/>
        </w:rPr>
        <w:t> </w:t>
      </w:r>
      <w:r>
        <w:rPr/>
        <w:t>so</w:t>
      </w:r>
      <w:r>
        <w:rPr>
          <w:spacing w:val="79"/>
        </w:rPr>
        <w:t> </w:t>
      </w:r>
      <w:r>
        <w:rPr/>
        <w:t>that</w:t>
      </w:r>
      <w:r>
        <w:rPr>
          <w:spacing w:val="79"/>
        </w:rPr>
        <w:t> </w:t>
      </w:r>
      <w:r>
        <w:rPr/>
        <w:t>the</w:t>
      </w:r>
      <w:r>
        <w:rPr>
          <w:spacing w:val="79"/>
        </w:rPr>
        <w:t> </w:t>
      </w:r>
      <w:r>
        <w:rPr/>
        <w:t>meanings</w:t>
      </w:r>
      <w:r>
        <w:rPr>
          <w:spacing w:val="79"/>
        </w:rPr>
        <w:t> </w:t>
      </w:r>
      <w:r>
        <w:rPr/>
        <w:t>of</w:t>
      </w:r>
      <w:r>
        <w:rPr>
          <w:spacing w:val="79"/>
        </w:rPr>
        <w:t> </w:t>
      </w:r>
      <w:r>
        <w:rPr/>
        <w:t>“contractual</w:t>
      </w:r>
      <w:r>
        <w:rPr>
          <w:spacing w:val="79"/>
        </w:rPr>
        <w:t> </w:t>
      </w:r>
      <w:r>
        <w:rPr/>
        <w:t>obligation”</w:t>
      </w:r>
      <w:r>
        <w:rPr>
          <w:spacing w:val="79"/>
        </w:rPr>
        <w:t> </w:t>
      </w:r>
      <w:r>
        <w:rPr/>
        <w:t>and “non-contractual obligation” are likely to be held to be mutually exclusive. </w:t>
      </w:r>
      <w:r>
        <w:rPr>
          <w:color w:val="005DA1"/>
          <w:u w:val="single" w:color="005DA1"/>
          <w:vertAlign w:val="superscript"/>
        </w:rPr>
        <w:t>148</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Restitution</w:t>
      </w:r>
    </w:p>
    <w:p>
      <w:pPr>
        <w:pStyle w:val="BodyText"/>
        <w:spacing w:before="42"/>
        <w:rPr>
          <w:rFonts w:ascii="Arial"/>
          <w:b/>
          <w:sz w:val="18"/>
        </w:rPr>
      </w:pPr>
    </w:p>
    <w:p>
      <w:pPr>
        <w:pStyle w:val="Heading2"/>
      </w:pPr>
      <w:r>
        <w:rPr/>
        <w:t>30-</w:t>
      </w:r>
      <w:r>
        <w:rPr>
          <w:spacing w:val="-5"/>
        </w:rPr>
        <w:t>032</w:t>
      </w:r>
    </w:p>
    <w:p>
      <w:pPr>
        <w:pStyle w:val="BodyText"/>
        <w:spacing w:line="235" w:lineRule="auto" w:before="202"/>
        <w:ind w:left="165" w:right="167"/>
        <w:jc w:val="both"/>
      </w:pPr>
      <w:r>
        <w:rPr/>
        <w:t>Finally, it would seem to be the case, in the United Kingdom at any rate, that the Rome </w:t>
      </w:r>
      <w:r>
        <w:rPr/>
        <w:t>Convention </w:t>
      </w:r>
      <w:bookmarkStart w:name="_bookmark263" w:id="265"/>
      <w:bookmarkEnd w:id="265"/>
      <w:r>
        <w:rPr/>
        <w:t>will</w:t>
      </w:r>
      <w:r>
        <w:rPr/>
        <w:t> not be applied to claims which are classified, according to English notions, as sounding in restitution (or quasi-contract </w:t>
      </w:r>
      <w:r>
        <w:rPr>
          <w:color w:val="005DA1"/>
          <w:u w:val="single" w:color="005DA1"/>
          <w:vertAlign w:val="superscript"/>
        </w:rPr>
        <w:t>149</w:t>
      </w:r>
      <w:r>
        <w:rPr>
          <w:vertAlign w:val="baseline"/>
        </w:rPr>
        <w:t>). This much is suggested by the power to make a reservation to </w:t>
      </w:r>
      <w:bookmarkStart w:name="_bookmark264" w:id="266"/>
      <w:bookmarkEnd w:id="266"/>
      <w:r>
        <w:rPr>
          <w:vertAlign w:val="baseline"/>
        </w:rPr>
        <w:t>art.10(1)(e)</w:t>
      </w:r>
      <w:r>
        <w:rPr>
          <w:vertAlign w:val="baseline"/>
        </w:rPr>
        <w:t> of the Convention, which refers the “consequences of nullity” of the contract to the law </w:t>
      </w:r>
      <w:bookmarkStart w:name="_bookmark265" w:id="267"/>
      <w:bookmarkEnd w:id="267"/>
      <w:r>
        <w:rPr>
          <w:vertAlign w:val="baseline"/>
        </w:rPr>
        <w:t>applicable</w:t>
      </w:r>
      <w:r>
        <w:rPr>
          <w:vertAlign w:val="baseline"/>
        </w:rPr>
        <w:t> to the contract, </w:t>
      </w:r>
      <w:r>
        <w:rPr>
          <w:color w:val="005DA1"/>
          <w:u w:val="single" w:color="005DA1"/>
          <w:vertAlign w:val="superscript"/>
        </w:rPr>
        <w:t>150</w:t>
      </w:r>
      <w:r>
        <w:rPr>
          <w:color w:val="005DA1"/>
          <w:vertAlign w:val="baseline"/>
        </w:rPr>
        <w:t> </w:t>
      </w:r>
      <w:r>
        <w:rPr>
          <w:vertAlign w:val="baseline"/>
        </w:rPr>
        <w:t>which power was exercised by the United Kingdom </w:t>
      </w:r>
      <w:r>
        <w:rPr>
          <w:color w:val="005DA1"/>
          <w:u w:val="single" w:color="005DA1"/>
          <w:vertAlign w:val="superscript"/>
        </w:rPr>
        <w:t>151</w:t>
      </w:r>
      <w:r>
        <w:rPr>
          <w:color w:val="005DA1"/>
          <w:vertAlign w:val="baseline"/>
        </w:rPr>
        <w:t> </w:t>
      </w:r>
      <w:r>
        <w:rPr>
          <w:vertAlign w:val="baseline"/>
        </w:rPr>
        <w:t>because such a question is not a matter of contract but one of restitution in United Kingdom legal systems. </w:t>
      </w:r>
      <w:r>
        <w:rPr>
          <w:color w:val="005DA1"/>
          <w:u w:val="single" w:color="005DA1"/>
          <w:vertAlign w:val="superscript"/>
        </w:rPr>
        <w:t>152</w:t>
      </w:r>
      <w:r>
        <w:rPr>
          <w:color w:val="005DA1"/>
          <w:vertAlign w:val="baseline"/>
        </w:rPr>
        <w:t> </w:t>
      </w:r>
      <w:r>
        <w:rPr>
          <w:vertAlign w:val="baseline"/>
        </w:rPr>
        <w:t>Consistently with this, a majority of the House of Lords has held that a claim for money paid under a void contract was not a matter “relating to a contract” for the purposes of art.5(1) of the modified </w:t>
      </w:r>
      <w:bookmarkStart w:name="_bookmark266" w:id="268"/>
      <w:bookmarkEnd w:id="268"/>
      <w:r>
        <w:rPr>
          <w:vertAlign w:val="baseline"/>
        </w:rPr>
        <w:t>version</w:t>
      </w:r>
      <w:r>
        <w:rPr>
          <w:vertAlign w:val="baseline"/>
        </w:rPr>
        <w:t> of the Brussels Convention on Jurisdiction and the Enforcement of Judgments in Civil and </w:t>
      </w:r>
      <w:bookmarkStart w:name="_bookmark267" w:id="269"/>
      <w:bookmarkEnd w:id="269"/>
      <w:r>
        <w:rPr>
          <w:vertAlign w:val="baseline"/>
        </w:rPr>
        <w:t>Commercial</w:t>
      </w:r>
      <w:r>
        <w:rPr>
          <w:vertAlign w:val="baseline"/>
        </w:rPr>
        <w:t> Matters 1968 </w:t>
      </w:r>
      <w:r>
        <w:rPr>
          <w:color w:val="005DA1"/>
          <w:u w:val="single" w:color="005DA1"/>
          <w:vertAlign w:val="superscript"/>
        </w:rPr>
        <w:t>153</w:t>
      </w:r>
      <w:r>
        <w:rPr>
          <w:color w:val="005DA1"/>
          <w:vertAlign w:val="baseline"/>
        </w:rPr>
        <w:t> </w:t>
      </w:r>
      <w:r>
        <w:rPr>
          <w:vertAlign w:val="baseline"/>
        </w:rPr>
        <w:t>which is applicable as between the component parts of the United Kingdom. </w:t>
      </w:r>
      <w:r>
        <w:rPr>
          <w:color w:val="005DA1"/>
          <w:u w:val="single" w:color="005DA1"/>
          <w:vertAlign w:val="superscript"/>
        </w:rPr>
        <w:t>154</w:t>
      </w:r>
    </w:p>
    <w:p>
      <w:pPr>
        <w:pStyle w:val="BodyText"/>
      </w:pPr>
    </w:p>
    <w:p>
      <w:pPr>
        <w:pStyle w:val="BodyText"/>
        <w:spacing w:before="35"/>
      </w:pPr>
    </w:p>
    <w:p>
      <w:pPr>
        <w:spacing w:before="0"/>
        <w:ind w:left="165" w:right="0" w:firstLine="0"/>
        <w:jc w:val="left"/>
        <w:rPr>
          <w:rFonts w:ascii="Arial"/>
          <w:b/>
          <w:sz w:val="18"/>
        </w:rPr>
      </w:pPr>
      <w:r>
        <w:rPr>
          <w:rFonts w:ascii="Arial"/>
          <w:b/>
          <w:sz w:val="18"/>
        </w:rPr>
        <w:t>Effect of Rome II </w:t>
      </w:r>
      <w:r>
        <w:rPr>
          <w:rFonts w:ascii="Arial"/>
          <w:b/>
          <w:spacing w:val="-2"/>
          <w:sz w:val="18"/>
        </w:rPr>
        <w:t>Regulation</w:t>
      </w:r>
    </w:p>
    <w:p>
      <w:pPr>
        <w:pStyle w:val="BodyText"/>
        <w:spacing w:before="41"/>
        <w:rPr>
          <w:rFonts w:ascii="Arial"/>
          <w:b/>
          <w:sz w:val="18"/>
        </w:rPr>
      </w:pPr>
    </w:p>
    <w:p>
      <w:pPr>
        <w:pStyle w:val="Heading2"/>
      </w:pPr>
      <w:r>
        <w:rPr/>
        <w:t>30-</w:t>
      </w:r>
      <w:r>
        <w:rPr>
          <w:spacing w:val="-5"/>
        </w:rPr>
        <w:t>033</w:t>
      </w:r>
    </w:p>
    <w:p>
      <w:pPr>
        <w:pStyle w:val="BodyText"/>
        <w:spacing w:line="235" w:lineRule="auto" w:before="203"/>
        <w:ind w:left="165" w:right="167"/>
        <w:jc w:val="both"/>
      </w:pPr>
      <w:r>
        <w:rPr/>
        <w:t>Under the Rome II Regulation it would seem that the consequences of nullity of a contract may be regarded as falling within art.10 of that Regulation which provides choice of law rules for determining the law applicable to non-contractual obligations arising out of unjust enrichment. The principal rule </w:t>
      </w:r>
      <w:r>
        <w:rPr/>
        <w:t>is that where such an obligation concerns a relationship between the parties, such as one arising out of </w:t>
      </w:r>
      <w:bookmarkStart w:name="_bookmark268" w:id="270"/>
      <w:bookmarkEnd w:id="270"/>
      <w:r>
        <w:rPr/>
        <w:t>a</w:t>
      </w:r>
      <w:r>
        <w:rPr/>
        <w:t> contract or a tort that is closely connected with the unjust enrichment, then the obligation shall be governed by the law that governs that relationship. </w:t>
      </w:r>
      <w:r>
        <w:rPr>
          <w:color w:val="005DA1"/>
          <w:u w:val="single" w:color="005DA1"/>
          <w:vertAlign w:val="superscript"/>
        </w:rPr>
        <w:t>155</w:t>
      </w:r>
      <w:r>
        <w:rPr>
          <w:color w:val="005DA1"/>
          <w:vertAlign w:val="baseline"/>
        </w:rPr>
        <w:t> </w:t>
      </w:r>
      <w:r>
        <w:rPr>
          <w:vertAlign w:val="baseline"/>
        </w:rPr>
        <w:t>This will normally mean that the law applicable to the contract will be the applicable law in cases where the relationship between the parties arises</w:t>
      </w:r>
      <w:r>
        <w:rPr>
          <w:spacing w:val="40"/>
          <w:vertAlign w:val="baseline"/>
        </w:rPr>
        <w:t> </w:t>
      </w:r>
      <w:r>
        <w:rPr>
          <w:vertAlign w:val="baseline"/>
        </w:rPr>
        <w:t>out of a contract. It would also seem, however, that when the Rome I Regulation takes effect the</w:t>
      </w:r>
      <w:r>
        <w:rPr>
          <w:spacing w:val="40"/>
          <w:vertAlign w:val="baseline"/>
        </w:rPr>
        <w:t> </w:t>
      </w:r>
      <w:r>
        <w:rPr>
          <w:vertAlign w:val="baseline"/>
        </w:rPr>
        <w:t>issue will be submitted to the law applicable to the contract since art.12(1)(e) of the latter Regulation </w:t>
      </w:r>
      <w:bookmarkStart w:name="_bookmark269" w:id="271"/>
      <w:bookmarkEnd w:id="271"/>
      <w:r>
        <w:rPr>
          <w:vertAlign w:val="baseline"/>
        </w:rPr>
        <w:t>reproduces</w:t>
      </w:r>
      <w:r>
        <w:rPr>
          <w:vertAlign w:val="baseline"/>
        </w:rPr>
        <w:t> art.10(1)(e) of the Rome Convention and there is no power to make a reservation to any provision of a Regulation. </w:t>
      </w:r>
      <w:r>
        <w:rPr>
          <w:color w:val="005DA1"/>
          <w:u w:val="single" w:color="005DA1"/>
          <w:vertAlign w:val="superscript"/>
        </w:rPr>
        <w:t>156</w:t>
      </w:r>
    </w:p>
    <w:p>
      <w:pPr>
        <w:pStyle w:val="BodyText"/>
      </w:pPr>
    </w:p>
    <w:p>
      <w:pPr>
        <w:pStyle w:val="BodyText"/>
        <w:spacing w:before="34"/>
      </w:pPr>
    </w:p>
    <w:p>
      <w:pPr>
        <w:spacing w:before="0"/>
        <w:ind w:left="165" w:right="0" w:firstLine="0"/>
        <w:jc w:val="left"/>
        <w:rPr>
          <w:rFonts w:ascii="Arial"/>
          <w:b/>
          <w:sz w:val="18"/>
        </w:rPr>
      </w:pPr>
      <w:r>
        <w:rPr>
          <w:rFonts w:ascii="Arial"/>
          <w:b/>
          <w:sz w:val="18"/>
        </w:rPr>
        <w:t>Specifically excluded </w:t>
      </w:r>
      <w:r>
        <w:rPr>
          <w:rFonts w:ascii="Arial"/>
          <w:b/>
          <w:spacing w:val="-2"/>
          <w:sz w:val="18"/>
        </w:rPr>
        <w:t>matters</w:t>
      </w:r>
    </w:p>
    <w:p>
      <w:pPr>
        <w:pStyle w:val="BodyText"/>
        <w:spacing w:before="41"/>
        <w:rPr>
          <w:rFonts w:ascii="Arial"/>
          <w:b/>
          <w:sz w:val="18"/>
        </w:rPr>
      </w:pPr>
    </w:p>
    <w:p>
      <w:pPr>
        <w:pStyle w:val="Heading2"/>
        <w:spacing w:before="1"/>
      </w:pPr>
      <w:r>
        <w:rPr/>
        <w:t>30-</w:t>
      </w:r>
      <w:r>
        <w:rPr>
          <w:spacing w:val="-5"/>
        </w:rPr>
        <w:t>034</w:t>
      </w:r>
    </w:p>
    <w:p>
      <w:pPr>
        <w:pStyle w:val="BodyText"/>
        <w:spacing w:line="235" w:lineRule="auto" w:before="202"/>
        <w:ind w:left="165" w:right="167"/>
        <w:jc w:val="both"/>
      </w:pPr>
      <w:r>
        <w:rPr/>
        <w:t>Article 1(2) provides that the rules of the Rome Convention shall not apply to certain specified</w:t>
      </w:r>
      <w:r>
        <w:rPr>
          <w:spacing w:val="40"/>
        </w:rPr>
        <w:t> </w:t>
      </w:r>
      <w:r>
        <w:rPr/>
        <w:t>matters. These are discussed in the following paragraphs.</w:t>
      </w:r>
    </w:p>
    <w:p>
      <w:pPr>
        <w:pStyle w:val="BodyText"/>
      </w:pPr>
    </w:p>
    <w:p>
      <w:pPr>
        <w:pStyle w:val="BodyText"/>
        <w:spacing w:before="38"/>
      </w:pPr>
    </w:p>
    <w:p>
      <w:pPr>
        <w:spacing w:before="0"/>
        <w:ind w:left="165" w:right="0" w:firstLine="0"/>
        <w:jc w:val="left"/>
        <w:rPr>
          <w:rFonts w:ascii="Arial"/>
          <w:b/>
          <w:sz w:val="18"/>
        </w:rPr>
      </w:pPr>
      <w:r>
        <w:rPr>
          <w:rFonts w:ascii="Arial"/>
          <w:b/>
          <w:sz w:val="18"/>
        </w:rPr>
        <w:t>Capacity of natural </w:t>
      </w:r>
      <w:r>
        <w:rPr>
          <w:rFonts w:ascii="Arial"/>
          <w:b/>
          <w:spacing w:val="-2"/>
          <w:sz w:val="18"/>
        </w:rPr>
        <w:t>persons</w:t>
      </w:r>
    </w:p>
    <w:p>
      <w:pPr>
        <w:pStyle w:val="BodyText"/>
        <w:spacing w:before="41"/>
        <w:rPr>
          <w:rFonts w:ascii="Arial"/>
          <w:b/>
          <w:sz w:val="18"/>
        </w:rPr>
      </w:pPr>
    </w:p>
    <w:p>
      <w:pPr>
        <w:pStyle w:val="Heading2"/>
      </w:pPr>
      <w:r>
        <w:rPr/>
        <w:t>30-</w:t>
      </w:r>
      <w:r>
        <w:rPr>
          <w:spacing w:val="-5"/>
        </w:rPr>
        <w:t>035</w:t>
      </w:r>
    </w:p>
    <w:p>
      <w:pPr>
        <w:pStyle w:val="BodyText"/>
        <w:spacing w:line="235" w:lineRule="auto" w:before="203"/>
        <w:ind w:left="165" w:right="167"/>
        <w:jc w:val="both"/>
      </w:pPr>
      <w:bookmarkStart w:name="_bookmark270" w:id="272"/>
      <w:bookmarkEnd w:id="272"/>
      <w:r>
        <w:rPr/>
      </w:r>
      <w:r>
        <w:rPr/>
        <w:t>The Convention is not to apply to “questions involving the status or legal capacity of natural </w:t>
      </w:r>
      <w:r>
        <w:rPr/>
        <w:t>persons” </w:t>
      </w:r>
      <w:bookmarkStart w:name="_bookmark271" w:id="273"/>
      <w:bookmarkEnd w:id="273"/>
      <w:r>
        <w:rPr/>
        <w:t>subject</w:t>
      </w:r>
      <w:r>
        <w:rPr/>
        <w:t> to the operation of a special rule relating to the contractual capacity of such persons. </w:t>
      </w:r>
      <w:r>
        <w:rPr>
          <w:color w:val="005DA1"/>
          <w:u w:val="single" w:color="005DA1"/>
          <w:vertAlign w:val="superscript"/>
        </w:rPr>
        <w:t>157</w:t>
      </w:r>
      <w:r>
        <w:rPr>
          <w:color w:val="005DA1"/>
          <w:vertAlign w:val="baseline"/>
        </w:rPr>
        <w:t> </w:t>
      </w:r>
      <w:r>
        <w:rPr>
          <w:vertAlign w:val="baseline"/>
        </w:rPr>
        <w:t>This special rule, contained in art.11, is discussed later in this chapter. </w:t>
      </w:r>
      <w:r>
        <w:rPr>
          <w:color w:val="005DA1"/>
          <w:u w:val="single" w:color="005DA1"/>
          <w:vertAlign w:val="superscript"/>
        </w:rPr>
        <w:t>158</w:t>
      </w:r>
      <w:r>
        <w:rPr>
          <w:color w:val="005DA1"/>
          <w:vertAlign w:val="baseline"/>
        </w:rPr>
        <w:t> </w:t>
      </w:r>
      <w:r>
        <w:rPr>
          <w:vertAlign w:val="baseline"/>
        </w:rPr>
        <w:t>The question of the law which </w:t>
      </w:r>
      <w:bookmarkStart w:name="_bookmark272" w:id="274"/>
      <w:bookmarkEnd w:id="274"/>
      <w:r>
        <w:rPr>
          <w:vertAlign w:val="baseline"/>
        </w:rPr>
        <w:t>determines</w:t>
      </w:r>
      <w:r>
        <w:rPr>
          <w:vertAlign w:val="baseline"/>
        </w:rPr>
        <w:t> the capacity of a natural person to enter into a contract will thus, in general, be governed by common law rules. </w:t>
      </w:r>
      <w:r>
        <w:rPr>
          <w:color w:val="005DA1"/>
          <w:u w:val="single" w:color="005DA1"/>
          <w:vertAlign w:val="superscript"/>
        </w:rPr>
        <w:t>159</w:t>
      </w:r>
      <w:r>
        <w:rPr>
          <w:color w:val="005DA1"/>
          <w:vertAlign w:val="baseline"/>
        </w:rPr>
        <w:t> </w:t>
      </w:r>
      <w:r>
        <w:rPr>
          <w:vertAlign w:val="baseline"/>
        </w:rPr>
        <w:t>Essentially, this question was excluded because of disagreement between </w:t>
      </w:r>
      <w:bookmarkStart w:name="_bookmark273" w:id="275"/>
      <w:bookmarkEnd w:id="275"/>
      <w:r>
        <w:rPr>
          <w:vertAlign w:val="baseline"/>
        </w:rPr>
        <w:t>common</w:t>
      </w:r>
      <w:r>
        <w:rPr>
          <w:vertAlign w:val="baseline"/>
        </w:rPr>
        <w:t> law and civil law negotiators as to the proper classification of it. A common lawyer usually regards the matter as a contractual issue, whereas the civil lawyer regards it as an issue of status.</w:t>
      </w:r>
      <w:r>
        <w:rPr>
          <w:spacing w:val="-1"/>
          <w:vertAlign w:val="baseline"/>
        </w:rPr>
        <w:t> </w:t>
      </w:r>
      <w:r>
        <w:rPr>
          <w:color w:val="005DA1"/>
          <w:u w:val="single" w:color="005DA1"/>
          <w:vertAlign w:val="superscript"/>
        </w:rPr>
        <w:t>160</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Wills, succession, </w:t>
      </w:r>
      <w:r>
        <w:rPr>
          <w:rFonts w:ascii="Arial"/>
          <w:b/>
          <w:spacing w:val="-5"/>
          <w:sz w:val="18"/>
        </w:rPr>
        <w:t>etc</w:t>
      </w:r>
    </w:p>
    <w:p>
      <w:pPr>
        <w:pStyle w:val="BodyText"/>
        <w:spacing w:before="41"/>
        <w:rPr>
          <w:rFonts w:ascii="Arial"/>
          <w:b/>
          <w:sz w:val="18"/>
        </w:rPr>
      </w:pPr>
    </w:p>
    <w:p>
      <w:pPr>
        <w:pStyle w:val="Heading2"/>
      </w:pPr>
      <w:r>
        <w:rPr/>
        <w:t>30-</w:t>
      </w:r>
      <w:r>
        <w:rPr>
          <w:spacing w:val="-5"/>
        </w:rPr>
        <w:t>036</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9"/>
        </w:rPr>
        <w:t> </w:t>
      </w:r>
      <w:r>
        <w:rPr/>
        <w:t>Article 1(2)(b) excludes from the ambit of the Convention contractual obligations relating to wills and succession; rights in property arising out of a matrimonial relationship; rights and duties arising </w:t>
      </w:r>
      <w:bookmarkStart w:name="_bookmark274" w:id="276"/>
      <w:bookmarkEnd w:id="276"/>
      <w:r>
        <w:rPr/>
        <w:t>out</w:t>
      </w:r>
      <w:r>
        <w:rPr/>
        <w:t> of a family relationship, parentage, marriage or affinity, including maintenance obligations </w:t>
      </w:r>
      <w:r>
        <w:rPr/>
        <w:t>in respect</w:t>
      </w:r>
      <w:r>
        <w:rPr>
          <w:spacing w:val="10"/>
        </w:rPr>
        <w:t> </w:t>
      </w:r>
      <w:r>
        <w:rPr/>
        <w:t>of</w:t>
      </w:r>
      <w:r>
        <w:rPr>
          <w:spacing w:val="10"/>
        </w:rPr>
        <w:t> </w:t>
      </w:r>
      <w:r>
        <w:rPr/>
        <w:t>children</w:t>
      </w:r>
      <w:r>
        <w:rPr>
          <w:spacing w:val="10"/>
        </w:rPr>
        <w:t> </w:t>
      </w:r>
      <w:r>
        <w:rPr/>
        <w:t>who</w:t>
      </w:r>
      <w:r>
        <w:rPr>
          <w:spacing w:val="10"/>
        </w:rPr>
        <w:t> </w:t>
      </w:r>
      <w:r>
        <w:rPr/>
        <w:t>are</w:t>
      </w:r>
      <w:r>
        <w:rPr>
          <w:spacing w:val="10"/>
        </w:rPr>
        <w:t> </w:t>
      </w:r>
      <w:r>
        <w:rPr/>
        <w:t>not</w:t>
      </w:r>
      <w:r>
        <w:rPr>
          <w:spacing w:val="10"/>
        </w:rPr>
        <w:t> </w:t>
      </w:r>
      <w:r>
        <w:rPr/>
        <w:t>legitimate.</w:t>
      </w:r>
      <w:r>
        <w:rPr>
          <w:spacing w:val="10"/>
        </w:rPr>
        <w:t> </w:t>
      </w:r>
      <w:r>
        <w:rPr/>
        <w:t>The</w:t>
      </w:r>
      <w:r>
        <w:rPr>
          <w:spacing w:val="10"/>
        </w:rPr>
        <w:t> </w:t>
      </w:r>
      <w:r>
        <w:rPr/>
        <w:t>purpose</w:t>
      </w:r>
      <w:r>
        <w:rPr>
          <w:spacing w:val="10"/>
        </w:rPr>
        <w:t> </w:t>
      </w:r>
      <w:r>
        <w:rPr/>
        <w:t>of</w:t>
      </w:r>
      <w:r>
        <w:rPr>
          <w:spacing w:val="10"/>
        </w:rPr>
        <w:t> </w:t>
      </w:r>
      <w:r>
        <w:rPr/>
        <w:t>this</w:t>
      </w:r>
      <w:r>
        <w:rPr>
          <w:spacing w:val="10"/>
        </w:rPr>
        <w:t> </w:t>
      </w:r>
      <w:r>
        <w:rPr/>
        <w:t>is</w:t>
      </w:r>
      <w:r>
        <w:rPr>
          <w:spacing w:val="10"/>
        </w:rPr>
        <w:t> </w:t>
      </w:r>
      <w:r>
        <w:rPr/>
        <w:t>to</w:t>
      </w:r>
      <w:r>
        <w:rPr>
          <w:spacing w:val="10"/>
        </w:rPr>
        <w:t> </w:t>
      </w:r>
      <w:r>
        <w:rPr/>
        <w:t>exclude</w:t>
      </w:r>
      <w:r>
        <w:rPr>
          <w:spacing w:val="10"/>
        </w:rPr>
        <w:t> </w:t>
      </w:r>
      <w:r>
        <w:rPr/>
        <w:t>all</w:t>
      </w:r>
      <w:r>
        <w:rPr>
          <w:spacing w:val="10"/>
        </w:rPr>
        <w:t> </w:t>
      </w:r>
      <w:r>
        <w:rPr/>
        <w:t>matters</w:t>
      </w:r>
      <w:r>
        <w:rPr>
          <w:spacing w:val="10"/>
        </w:rPr>
        <w:t> </w:t>
      </w:r>
      <w:r>
        <w:rPr/>
        <w:t>of</w:t>
      </w:r>
      <w:r>
        <w:rPr>
          <w:spacing w:val="10"/>
        </w:rPr>
        <w:t> </w:t>
      </w:r>
      <w:r>
        <w:rPr/>
        <w:t>family</w:t>
      </w:r>
      <w:r>
        <w:rPr>
          <w:spacing w:val="10"/>
        </w:rPr>
        <w:t> </w:t>
      </w:r>
      <w:r>
        <w:rPr>
          <w:spacing w:val="-4"/>
        </w:rPr>
        <w:t>law.</w:t>
      </w:r>
    </w:p>
    <w:p>
      <w:pPr>
        <w:pStyle w:val="BodyText"/>
        <w:spacing w:line="235" w:lineRule="auto"/>
        <w:ind w:left="164" w:right="167"/>
        <w:jc w:val="both"/>
      </w:pPr>
      <w:r>
        <w:rPr>
          <w:color w:val="005DA1"/>
          <w:u w:val="single" w:color="005DA1"/>
          <w:vertAlign w:val="superscript"/>
        </w:rPr>
        <w:t>161</w:t>
      </w:r>
      <w:r>
        <w:rPr>
          <w:color w:val="005DA1"/>
          <w:vertAlign w:val="baseline"/>
        </w:rPr>
        <w:t> </w:t>
      </w:r>
      <w:bookmarkStart w:name="_bookmark275" w:id="277"/>
      <w:bookmarkEnd w:id="277"/>
      <w:r>
        <w:rPr>
          <w:color w:val="005DA1"/>
          <w:spacing w:val="11"/>
          <w:vertAlign w:val="baseline"/>
        </w:rPr>
      </w:r>
      <w:r>
        <w:rPr>
          <w:vertAlign w:val="baseline"/>
        </w:rPr>
        <w:t>In relation to maintenance obligations, the exclusion extends only to contracts which are made </w:t>
      </w:r>
      <w:r>
        <w:rPr>
          <w:vertAlign w:val="baseline"/>
        </w:rPr>
        <w:t>by parties under a legal maintenance obligation, in performance of that obligation. </w:t>
      </w:r>
      <w:r>
        <w:rPr>
          <w:color w:val="005DA1"/>
          <w:u w:val="single" w:color="005DA1"/>
          <w:vertAlign w:val="superscript"/>
        </w:rPr>
        <w:t>162</w:t>
      </w:r>
      <w:r>
        <w:rPr>
          <w:color w:val="005DA1"/>
          <w:vertAlign w:val="baseline"/>
        </w:rPr>
        <w:t> </w:t>
      </w:r>
      <w:r>
        <w:rPr>
          <w:vertAlign w:val="baseline"/>
        </w:rPr>
        <w:t>All other</w:t>
      </w:r>
      <w:r>
        <w:rPr>
          <w:spacing w:val="40"/>
          <w:vertAlign w:val="baseline"/>
        </w:rPr>
        <w:t> </w:t>
      </w:r>
      <w:bookmarkStart w:name="_bookmark276" w:id="278"/>
      <w:bookmarkEnd w:id="278"/>
      <w:r>
        <w:rPr>
          <w:vertAlign w:val="baseline"/>
        </w:rPr>
        <w:t>contractual</w:t>
      </w:r>
      <w:r>
        <w:rPr>
          <w:vertAlign w:val="baseline"/>
        </w:rPr>
        <w:t> obligations, even if they provide for maintenance of a member of the family to whom there are no legal maintenance obligations, would fall within the scope of the Convention. </w:t>
      </w:r>
      <w:r>
        <w:rPr>
          <w:color w:val="005DA1"/>
          <w:u w:val="single" w:color="005DA1"/>
          <w:vertAlign w:val="superscript"/>
        </w:rPr>
        <w:t>163</w:t>
      </w:r>
      <w:r>
        <w:rPr>
          <w:color w:val="005DA1"/>
          <w:vertAlign w:val="baseline"/>
        </w:rPr>
        <w:t> </w:t>
      </w:r>
      <w:r>
        <w:rPr>
          <w:vertAlign w:val="baseline"/>
        </w:rPr>
        <w:t>The </w:t>
      </w:r>
      <w:bookmarkStart w:name="_bookmark277" w:id="279"/>
      <w:bookmarkEnd w:id="279"/>
      <w:r>
        <w:rPr>
          <w:vertAlign w:val="baseline"/>
        </w:rPr>
        <w:t>contractual</w:t>
      </w:r>
      <w:r>
        <w:rPr>
          <w:spacing w:val="20"/>
          <w:vertAlign w:val="baseline"/>
        </w:rPr>
        <w:t> </w:t>
      </w:r>
      <w:r>
        <w:rPr>
          <w:vertAlign w:val="baseline"/>
        </w:rPr>
        <w:t>effects</w:t>
      </w:r>
      <w:r>
        <w:rPr>
          <w:spacing w:val="22"/>
          <w:vertAlign w:val="baseline"/>
        </w:rPr>
        <w:t> </w:t>
      </w:r>
      <w:r>
        <w:rPr>
          <w:vertAlign w:val="baseline"/>
        </w:rPr>
        <w:t>of</w:t>
      </w:r>
      <w:r>
        <w:rPr>
          <w:spacing w:val="22"/>
          <w:vertAlign w:val="baseline"/>
        </w:rPr>
        <w:t> </w:t>
      </w:r>
      <w:r>
        <w:rPr>
          <w:vertAlign w:val="baseline"/>
        </w:rPr>
        <w:t>gifts</w:t>
      </w:r>
      <w:r>
        <w:rPr>
          <w:spacing w:val="22"/>
          <w:vertAlign w:val="baseline"/>
        </w:rPr>
        <w:t> </w:t>
      </w:r>
      <w:r>
        <w:rPr>
          <w:vertAlign w:val="baseline"/>
        </w:rPr>
        <w:t>apparently</w:t>
      </w:r>
      <w:r>
        <w:rPr>
          <w:spacing w:val="22"/>
          <w:vertAlign w:val="baseline"/>
        </w:rPr>
        <w:t> </w:t>
      </w:r>
      <w:r>
        <w:rPr>
          <w:vertAlign w:val="baseline"/>
        </w:rPr>
        <w:t>fall</w:t>
      </w:r>
      <w:r>
        <w:rPr>
          <w:spacing w:val="22"/>
          <w:vertAlign w:val="baseline"/>
        </w:rPr>
        <w:t> </w:t>
      </w:r>
      <w:r>
        <w:rPr>
          <w:vertAlign w:val="baseline"/>
        </w:rPr>
        <w:t>within</w:t>
      </w:r>
      <w:r>
        <w:rPr>
          <w:spacing w:val="22"/>
          <w:vertAlign w:val="baseline"/>
        </w:rPr>
        <w:t> </w:t>
      </w:r>
      <w:r>
        <w:rPr>
          <w:vertAlign w:val="baseline"/>
        </w:rPr>
        <w:t>the</w:t>
      </w:r>
      <w:r>
        <w:rPr>
          <w:spacing w:val="22"/>
          <w:vertAlign w:val="baseline"/>
        </w:rPr>
        <w:t> </w:t>
      </w:r>
      <w:r>
        <w:rPr>
          <w:vertAlign w:val="baseline"/>
        </w:rPr>
        <w:t>Convention,</w:t>
      </w:r>
      <w:r>
        <w:rPr>
          <w:spacing w:val="22"/>
          <w:vertAlign w:val="baseline"/>
        </w:rPr>
        <w:t> </w:t>
      </w:r>
      <w:r>
        <w:rPr>
          <w:vertAlign w:val="baseline"/>
        </w:rPr>
        <w:t>even</w:t>
      </w:r>
      <w:r>
        <w:rPr>
          <w:spacing w:val="22"/>
          <w:vertAlign w:val="baseline"/>
        </w:rPr>
        <w:t> </w:t>
      </w:r>
      <w:r>
        <w:rPr>
          <w:vertAlign w:val="baseline"/>
        </w:rPr>
        <w:t>when</w:t>
      </w:r>
      <w:r>
        <w:rPr>
          <w:spacing w:val="22"/>
          <w:vertAlign w:val="baseline"/>
        </w:rPr>
        <w:t> </w:t>
      </w:r>
      <w:r>
        <w:rPr>
          <w:vertAlign w:val="baseline"/>
        </w:rPr>
        <w:t>made</w:t>
      </w:r>
      <w:r>
        <w:rPr>
          <w:spacing w:val="22"/>
          <w:vertAlign w:val="baseline"/>
        </w:rPr>
        <w:t> </w:t>
      </w:r>
      <w:r>
        <w:rPr>
          <w:vertAlign w:val="baseline"/>
        </w:rPr>
        <w:t>within</w:t>
      </w:r>
      <w:r>
        <w:rPr>
          <w:spacing w:val="22"/>
          <w:vertAlign w:val="baseline"/>
        </w:rPr>
        <w:t> </w:t>
      </w:r>
      <w:r>
        <w:rPr>
          <w:vertAlign w:val="baseline"/>
        </w:rPr>
        <w:t>the</w:t>
      </w:r>
      <w:r>
        <w:rPr>
          <w:spacing w:val="22"/>
          <w:vertAlign w:val="baseline"/>
        </w:rPr>
        <w:t> </w:t>
      </w:r>
      <w:r>
        <w:rPr>
          <w:spacing w:val="-2"/>
          <w:vertAlign w:val="baseline"/>
        </w:rPr>
        <w:t>family,</w:t>
      </w:r>
    </w:p>
    <w:p>
      <w:pPr>
        <w:pStyle w:val="BodyText"/>
        <w:spacing w:line="235" w:lineRule="auto" w:before="116"/>
        <w:ind w:left="164" w:right="167"/>
        <w:jc w:val="both"/>
      </w:pPr>
      <w:bookmarkStart w:name="_bookmark278" w:id="280"/>
      <w:bookmarkEnd w:id="280"/>
      <w:r>
        <w:rPr/>
      </w:r>
      <w:r>
        <w:rPr/>
        <w:t>unless they are covered by family law. </w:t>
      </w:r>
      <w:r>
        <w:rPr>
          <w:color w:val="005DA1"/>
          <w:u w:val="single" w:color="005DA1"/>
          <w:vertAlign w:val="superscript"/>
        </w:rPr>
        <w:t>164</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5"/>
          <w:vertAlign w:val="baseline"/>
        </w:rPr>
        <w:t> </w:t>
      </w:r>
      <w:r>
        <w:rPr>
          <w:vertAlign w:val="baseline"/>
        </w:rPr>
        <w:t>Contractual effects of gifts would also be excluded if they arise out of the law relating to succession or that relating to matrimonial property rights. </w:t>
      </w:r>
      <w:r>
        <w:rPr>
          <w:color w:val="005DA1"/>
          <w:u w:val="single" w:color="005DA1"/>
          <w:vertAlign w:val="superscript"/>
        </w:rPr>
        <w:t>165</w:t>
      </w:r>
      <w:r>
        <w:rPr>
          <w:color w:val="005DA1"/>
          <w:vertAlign w:val="baseline"/>
        </w:rPr>
        <w:t> </w:t>
      </w:r>
      <w:bookmarkStart w:name="_bookmark279" w:id="281"/>
      <w:bookmarkEnd w:id="281"/>
      <w:r>
        <w:rPr>
          <w:color w:val="005DA1"/>
          <w:w w:val="92"/>
          <w:vertAlign w:val="baseline"/>
        </w:rPr>
      </w:r>
      <w:r>
        <w:rPr>
          <w:vertAlign w:val="baseline"/>
        </w:rPr>
        <w:t>Although not specifically mentioned, matters relating to the custody of children are excluded since they fall within the realm of personal status and capacity. </w:t>
      </w:r>
      <w:r>
        <w:rPr>
          <w:color w:val="005DA1"/>
          <w:u w:val="single" w:color="005DA1"/>
          <w:vertAlign w:val="superscript"/>
        </w:rPr>
        <w:t>166</w:t>
      </w:r>
    </w:p>
    <w:p>
      <w:pPr>
        <w:pStyle w:val="BodyText"/>
      </w:pPr>
    </w:p>
    <w:p>
      <w:pPr>
        <w:pStyle w:val="BodyText"/>
        <w:spacing w:before="37"/>
      </w:pPr>
    </w:p>
    <w:p>
      <w:pPr>
        <w:spacing w:before="1"/>
        <w:ind w:left="165" w:right="0" w:firstLine="0"/>
        <w:jc w:val="left"/>
        <w:rPr>
          <w:rFonts w:ascii="Arial"/>
          <w:b/>
          <w:sz w:val="18"/>
        </w:rPr>
      </w:pPr>
      <w:r>
        <w:rPr>
          <w:rFonts w:ascii="Arial"/>
          <w:b/>
          <w:sz w:val="18"/>
        </w:rPr>
        <w:t>Bills of exchange, cheques and promissory </w:t>
      </w:r>
      <w:r>
        <w:rPr>
          <w:rFonts w:ascii="Arial"/>
          <w:b/>
          <w:spacing w:val="-2"/>
          <w:sz w:val="18"/>
        </w:rPr>
        <w:t>notes</w:t>
      </w:r>
    </w:p>
    <w:p>
      <w:pPr>
        <w:pStyle w:val="BodyText"/>
        <w:spacing w:before="41"/>
        <w:rPr>
          <w:rFonts w:ascii="Arial"/>
          <w:b/>
          <w:sz w:val="18"/>
        </w:rPr>
      </w:pPr>
    </w:p>
    <w:p>
      <w:pPr>
        <w:pStyle w:val="Heading2"/>
      </w:pPr>
      <w:r>
        <w:rPr/>
        <w:t>30-</w:t>
      </w:r>
      <w:r>
        <w:rPr>
          <w:spacing w:val="-5"/>
        </w:rPr>
        <w:t>037</w:t>
      </w:r>
    </w:p>
    <w:p>
      <w:pPr>
        <w:pStyle w:val="BodyText"/>
        <w:spacing w:line="235" w:lineRule="auto" w:before="202"/>
        <w:ind w:left="164" w:right="166"/>
        <w:jc w:val="both"/>
      </w:pPr>
      <w:bookmarkStart w:name="_bookmark280" w:id="282"/>
      <w:bookmarkEnd w:id="282"/>
      <w:r>
        <w:rPr/>
      </w:r>
      <w:bookmarkStart w:name="_bookmark281" w:id="283"/>
      <w:bookmarkEnd w:id="283"/>
      <w:r>
        <w:rPr/>
      </w:r>
      <w:r>
        <w:rPr/>
        <w:t>The rules of the Convention do not apply to bills of exchange, cheques and promissory notes. </w:t>
      </w:r>
      <w:r>
        <w:rPr>
          <w:color w:val="005DA1"/>
          <w:u w:val="single" w:color="005DA1"/>
          <w:vertAlign w:val="superscript"/>
        </w:rPr>
        <w:t>167</w:t>
      </w:r>
      <w:r>
        <w:rPr>
          <w:color w:val="005DA1"/>
          <w:vertAlign w:val="baseline"/>
        </w:rPr>
        <w:t> </w:t>
      </w:r>
      <w:r>
        <w:rPr>
          <w:vertAlign w:val="baseline"/>
        </w:rPr>
        <w:t>To have</w:t>
      </w:r>
      <w:r>
        <w:rPr>
          <w:spacing w:val="-2"/>
          <w:vertAlign w:val="baseline"/>
        </w:rPr>
        <w:t> </w:t>
      </w:r>
      <w:r>
        <w:rPr>
          <w:vertAlign w:val="baseline"/>
        </w:rPr>
        <w:t>included</w:t>
      </w:r>
      <w:r>
        <w:rPr>
          <w:spacing w:val="-2"/>
          <w:vertAlign w:val="baseline"/>
        </w:rPr>
        <w:t> </w:t>
      </w:r>
      <w:r>
        <w:rPr>
          <w:vertAlign w:val="baseline"/>
        </w:rPr>
        <w:t>such</w:t>
      </w:r>
      <w:r>
        <w:rPr>
          <w:spacing w:val="-2"/>
          <w:vertAlign w:val="baseline"/>
        </w:rPr>
        <w:t> </w:t>
      </w:r>
      <w:r>
        <w:rPr>
          <w:vertAlign w:val="baseline"/>
        </w:rPr>
        <w:t>obligations</w:t>
      </w:r>
      <w:r>
        <w:rPr>
          <w:spacing w:val="-2"/>
          <w:vertAlign w:val="baseline"/>
        </w:rPr>
        <w:t> </w:t>
      </w:r>
      <w:r>
        <w:rPr>
          <w:vertAlign w:val="baseline"/>
        </w:rPr>
        <w:t>would</w:t>
      </w:r>
      <w:r>
        <w:rPr>
          <w:spacing w:val="-2"/>
          <w:vertAlign w:val="baseline"/>
        </w:rPr>
        <w:t> </w:t>
      </w:r>
      <w:r>
        <w:rPr>
          <w:vertAlign w:val="baseline"/>
        </w:rPr>
        <w:t>have</w:t>
      </w:r>
      <w:r>
        <w:rPr>
          <w:spacing w:val="-2"/>
          <w:vertAlign w:val="baseline"/>
        </w:rPr>
        <w:t> </w:t>
      </w:r>
      <w:r>
        <w:rPr>
          <w:vertAlign w:val="baseline"/>
        </w:rPr>
        <w:t>required</w:t>
      </w:r>
      <w:r>
        <w:rPr>
          <w:spacing w:val="-2"/>
          <w:vertAlign w:val="baseline"/>
        </w:rPr>
        <w:t> </w:t>
      </w:r>
      <w:r>
        <w:rPr>
          <w:vertAlign w:val="baseline"/>
        </w:rPr>
        <w:t>“rather</w:t>
      </w:r>
      <w:r>
        <w:rPr>
          <w:spacing w:val="-2"/>
          <w:vertAlign w:val="baseline"/>
        </w:rPr>
        <w:t> </w:t>
      </w:r>
      <w:r>
        <w:rPr>
          <w:vertAlign w:val="baseline"/>
        </w:rPr>
        <w:t>complicated</w:t>
      </w:r>
      <w:r>
        <w:rPr>
          <w:spacing w:val="-2"/>
          <w:vertAlign w:val="baseline"/>
        </w:rPr>
        <w:t> </w:t>
      </w:r>
      <w:r>
        <w:rPr>
          <w:vertAlign w:val="baseline"/>
        </w:rPr>
        <w:t>special</w:t>
      </w:r>
      <w:r>
        <w:rPr>
          <w:spacing w:val="-2"/>
          <w:vertAlign w:val="baseline"/>
        </w:rPr>
        <w:t> </w:t>
      </w:r>
      <w:r>
        <w:rPr>
          <w:vertAlign w:val="baseline"/>
        </w:rPr>
        <w:t>rules”</w:t>
      </w:r>
      <w:r>
        <w:rPr>
          <w:spacing w:val="-3"/>
          <w:vertAlign w:val="baseline"/>
        </w:rPr>
        <w:t> </w:t>
      </w:r>
      <w:r>
        <w:rPr>
          <w:color w:val="005DA1"/>
          <w:u w:val="single" w:color="005DA1"/>
          <w:vertAlign w:val="superscript"/>
        </w:rPr>
        <w:t>168</w:t>
      </w:r>
      <w:r>
        <w:rPr>
          <w:color w:val="005DA1"/>
          <w:spacing w:val="-2"/>
          <w:vertAlign w:val="baseline"/>
        </w:rPr>
        <w:t> </w:t>
      </w:r>
      <w:r>
        <w:rPr>
          <w:vertAlign w:val="baseline"/>
        </w:rPr>
        <w:t>which</w:t>
      </w:r>
      <w:r>
        <w:rPr>
          <w:spacing w:val="-2"/>
          <w:vertAlign w:val="baseline"/>
        </w:rPr>
        <w:t> </w:t>
      </w:r>
      <w:r>
        <w:rPr>
          <w:vertAlign w:val="baseline"/>
        </w:rPr>
        <w:t>would have been inappropriate in a Convention purporting to deal with contractual obligations in </w:t>
      </w:r>
      <w:r>
        <w:rPr>
          <w:vertAlign w:val="baseline"/>
        </w:rPr>
        <w:t>general. </w:t>
      </w:r>
      <w:bookmarkStart w:name="_bookmark282" w:id="284"/>
      <w:bookmarkEnd w:id="284"/>
      <w:r>
        <w:rPr>
          <w:vertAlign w:val="baseline"/>
        </w:rPr>
        <w:t>Further,</w:t>
      </w:r>
      <w:r>
        <w:rPr>
          <w:vertAlign w:val="baseline"/>
        </w:rPr>
        <w:t> many Member States (but not the United Kingdom) are parties to the Geneva Conventions </w:t>
      </w:r>
      <w:bookmarkStart w:name="_bookmark283" w:id="285"/>
      <w:bookmarkEnd w:id="285"/>
      <w:r>
        <w:rPr>
          <w:vertAlign w:val="baseline"/>
        </w:rPr>
        <w:t>which</w:t>
      </w:r>
      <w:r>
        <w:rPr>
          <w:vertAlign w:val="baseline"/>
        </w:rPr>
        <w:t> govern most of these areas. </w:t>
      </w:r>
      <w:r>
        <w:rPr>
          <w:color w:val="005DA1"/>
          <w:u w:val="single" w:color="005DA1"/>
          <w:vertAlign w:val="superscript"/>
        </w:rPr>
        <w:t>169</w:t>
      </w:r>
      <w:r>
        <w:rPr>
          <w:color w:val="005DA1"/>
          <w:vertAlign w:val="baseline"/>
        </w:rPr>
        <w:t> </w:t>
      </w:r>
      <w:r>
        <w:rPr>
          <w:vertAlign w:val="baseline"/>
        </w:rPr>
        <w:t>And, in any event, such obligations are regarded as </w:t>
      </w:r>
      <w:bookmarkStart w:name="_bookmark284" w:id="286"/>
      <w:bookmarkEnd w:id="286"/>
      <w:r>
        <w:rPr>
          <w:vertAlign w:val="baseline"/>
        </w:rPr>
        <w:t>noncontractual</w:t>
      </w:r>
      <w:r>
        <w:rPr>
          <w:vertAlign w:val="baseline"/>
        </w:rPr>
        <w:t> in some Member States. </w:t>
      </w:r>
      <w:r>
        <w:rPr>
          <w:color w:val="005DA1"/>
          <w:u w:val="single" w:color="005DA1"/>
          <w:vertAlign w:val="superscript"/>
        </w:rPr>
        <w:t>170</w:t>
      </w:r>
      <w:r>
        <w:rPr>
          <w:color w:val="005DA1"/>
          <w:vertAlign w:val="baseline"/>
        </w:rPr>
        <w:t> </w:t>
      </w:r>
      <w:r>
        <w:rPr>
          <w:vertAlign w:val="baseline"/>
        </w:rPr>
        <w:t>Bills, cheques and promissory notes will thus, in England, be dealt with under the relevant statutory and common law rules. </w:t>
      </w:r>
      <w:r>
        <w:rPr>
          <w:color w:val="005DA1"/>
          <w:u w:val="single" w:color="005DA1"/>
          <w:vertAlign w:val="superscript"/>
        </w:rPr>
        <w:t>171</w:t>
      </w:r>
    </w:p>
    <w:p>
      <w:pPr>
        <w:pStyle w:val="BodyText"/>
      </w:pPr>
    </w:p>
    <w:p>
      <w:pPr>
        <w:pStyle w:val="BodyText"/>
        <w:spacing w:before="36"/>
      </w:pPr>
    </w:p>
    <w:p>
      <w:pPr>
        <w:spacing w:before="1"/>
        <w:ind w:left="165" w:right="0" w:firstLine="0"/>
        <w:jc w:val="left"/>
        <w:rPr>
          <w:rFonts w:ascii="Arial"/>
          <w:b/>
          <w:sz w:val="18"/>
        </w:rPr>
      </w:pPr>
      <w:r>
        <w:rPr>
          <w:rFonts w:ascii="Arial"/>
          <w:b/>
          <w:sz w:val="18"/>
        </w:rPr>
        <w:t>Other negotiable </w:t>
      </w:r>
      <w:r>
        <w:rPr>
          <w:rFonts w:ascii="Arial"/>
          <w:b/>
          <w:spacing w:val="-2"/>
          <w:sz w:val="18"/>
        </w:rPr>
        <w:t>instruments</w:t>
      </w:r>
    </w:p>
    <w:p>
      <w:pPr>
        <w:pStyle w:val="BodyText"/>
        <w:spacing w:before="41"/>
        <w:rPr>
          <w:rFonts w:ascii="Arial"/>
          <w:b/>
          <w:sz w:val="18"/>
        </w:rPr>
      </w:pPr>
    </w:p>
    <w:p>
      <w:pPr>
        <w:pStyle w:val="Heading2"/>
      </w:pPr>
      <w:r>
        <w:rPr/>
        <w:t>30-</w:t>
      </w:r>
      <w:r>
        <w:rPr>
          <w:spacing w:val="-5"/>
        </w:rPr>
        <w:t>038</w:t>
      </w:r>
    </w:p>
    <w:p>
      <w:pPr>
        <w:pStyle w:val="BodyText"/>
        <w:spacing w:line="235" w:lineRule="auto" w:before="202"/>
        <w:ind w:left="165" w:right="167"/>
        <w:jc w:val="both"/>
      </w:pPr>
      <w:r>
        <w:rPr/>
        <w:t>The exclusion goes further than the obligations just mentioned for, in addition, “other negotiable </w:t>
      </w:r>
      <w:bookmarkStart w:name="_bookmark285" w:id="287"/>
      <w:bookmarkEnd w:id="287"/>
      <w:r>
        <w:rPr/>
        <w:t>instruments</w:t>
      </w:r>
      <w:r>
        <w:rPr/>
        <w:t> to the extent that the obligations under such other negotiable instruments arise out of</w:t>
      </w:r>
      <w:r>
        <w:rPr>
          <w:spacing w:val="40"/>
        </w:rPr>
        <w:t> </w:t>
      </w:r>
      <w:r>
        <w:rPr/>
        <w:t>their negotiable character” </w:t>
      </w:r>
      <w:r>
        <w:rPr>
          <w:color w:val="005DA1"/>
          <w:u w:val="single" w:color="005DA1"/>
          <w:vertAlign w:val="superscript"/>
        </w:rPr>
        <w:t>172</w:t>
      </w:r>
      <w:r>
        <w:rPr>
          <w:color w:val="005DA1"/>
          <w:vertAlign w:val="baseline"/>
        </w:rPr>
        <w:t> </w:t>
      </w:r>
      <w:r>
        <w:rPr>
          <w:vertAlign w:val="baseline"/>
        </w:rPr>
        <w:t>are also excised from the ambit of the uniform rules. </w:t>
      </w:r>
      <w:r>
        <w:rPr>
          <w:color w:val="005DA1"/>
          <w:u w:val="single" w:color="005DA1"/>
          <w:vertAlign w:val="superscript"/>
        </w:rPr>
        <w:t>173</w:t>
      </w:r>
      <w:r>
        <w:rPr>
          <w:color w:val="005DA1"/>
          <w:vertAlign w:val="baseline"/>
        </w:rPr>
        <w:t> </w:t>
      </w:r>
      <w:r>
        <w:rPr>
          <w:vertAlign w:val="baseline"/>
        </w:rPr>
        <w:t>Whether a </w:t>
      </w:r>
      <w:bookmarkStart w:name="_bookmark286" w:id="288"/>
      <w:bookmarkEnd w:id="288"/>
      <w:r>
        <w:rPr>
          <w:vertAlign w:val="baseline"/>
        </w:rPr>
        <w:t>document</w:t>
      </w:r>
      <w:r>
        <w:rPr>
          <w:vertAlign w:val="baseline"/>
        </w:rPr>
        <w:t> is to be classified as a negotiable instrument is not, however, a matter for the Convention but one for the law of the forum, including its rules of private international law. </w:t>
      </w:r>
      <w:r>
        <w:rPr>
          <w:color w:val="005DA1"/>
          <w:u w:val="single" w:color="005DA1"/>
          <w:vertAlign w:val="superscript"/>
        </w:rPr>
        <w:t>174</w:t>
      </w:r>
      <w:r>
        <w:rPr>
          <w:color w:val="005DA1"/>
          <w:vertAlign w:val="baseline"/>
        </w:rPr>
        <w:t> </w:t>
      </w:r>
      <w:r>
        <w:rPr>
          <w:vertAlign w:val="baseline"/>
        </w:rPr>
        <w:t>But the exclusion only extends to those obligations which arise out of the negotiable character of documents so </w:t>
      </w:r>
      <w:bookmarkStart w:name="_bookmark287" w:id="289"/>
      <w:bookmarkEnd w:id="289"/>
      <w:r>
        <w:rPr>
          <w:vertAlign w:val="baseline"/>
        </w:rPr>
        <w:t>characterised:</w:t>
      </w:r>
      <w:r>
        <w:rPr>
          <w:vertAlign w:val="baseline"/>
        </w:rPr>
        <w:t> it would not, apparently, extend, e.g. to contracts pursuant to which such </w:t>
      </w:r>
      <w:r>
        <w:rPr>
          <w:vertAlign w:val="baseline"/>
        </w:rPr>
        <w:t>instruments are issued, or contracts for the purchase and sale of such instruments. </w:t>
      </w:r>
      <w:r>
        <w:rPr>
          <w:color w:val="005DA1"/>
          <w:u w:val="single" w:color="005DA1"/>
          <w:vertAlign w:val="superscript"/>
        </w:rPr>
        <w:t>175</w:t>
      </w:r>
    </w:p>
    <w:p>
      <w:pPr>
        <w:pStyle w:val="BodyText"/>
      </w:pPr>
    </w:p>
    <w:p>
      <w:pPr>
        <w:pStyle w:val="BodyText"/>
        <w:spacing w:before="36"/>
      </w:pPr>
    </w:p>
    <w:p>
      <w:pPr>
        <w:spacing w:before="0"/>
        <w:ind w:left="165" w:right="0" w:firstLine="0"/>
        <w:jc w:val="left"/>
        <w:rPr>
          <w:rFonts w:ascii="Arial"/>
          <w:b/>
          <w:sz w:val="18"/>
        </w:rPr>
      </w:pPr>
      <w:r>
        <w:rPr>
          <w:rFonts w:ascii="Arial"/>
          <w:b/>
          <w:sz w:val="18"/>
        </w:rPr>
        <w:t>Arbitration agreements and agreements on the choice of </w:t>
      </w:r>
      <w:r>
        <w:rPr>
          <w:rFonts w:ascii="Arial"/>
          <w:b/>
          <w:spacing w:val="-2"/>
          <w:sz w:val="18"/>
        </w:rPr>
        <w:t>court</w:t>
      </w:r>
    </w:p>
    <w:p>
      <w:pPr>
        <w:pStyle w:val="BodyText"/>
        <w:spacing w:before="41"/>
        <w:rPr>
          <w:rFonts w:ascii="Arial"/>
          <w:b/>
          <w:sz w:val="18"/>
        </w:rPr>
      </w:pPr>
    </w:p>
    <w:p>
      <w:pPr>
        <w:pStyle w:val="Heading2"/>
      </w:pPr>
      <w:r>
        <w:rPr/>
        <w:t>30-</w:t>
      </w:r>
      <w:r>
        <w:rPr>
          <w:spacing w:val="-5"/>
        </w:rPr>
        <w:t>039</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88" w:id="290"/>
      <w:bookmarkEnd w:id="290"/>
      <w:r>
        <w:rPr>
          <w:rFonts w:ascii="Times New Roman" w:hAnsi="Times New Roman"/>
          <w:spacing w:val="15"/>
        </w:rPr>
      </w:r>
      <w:r>
        <w:rPr/>
        <w:t>Of considerable practical significance is the exclusion from the scope of the Convention of </w:t>
      </w:r>
      <w:bookmarkStart w:name="_bookmark289" w:id="291"/>
      <w:bookmarkEnd w:id="291"/>
      <w:r>
        <w:rPr/>
        <w:t>arbitration</w:t>
      </w:r>
      <w:r>
        <w:rPr/>
        <w:t> agreements and agreements on the choice of court. </w:t>
      </w:r>
      <w:r>
        <w:rPr>
          <w:color w:val="005DA1"/>
          <w:u w:val="single" w:color="005DA1"/>
          <w:vertAlign w:val="superscript"/>
        </w:rPr>
        <w:t>176</w:t>
      </w:r>
      <w:r>
        <w:rPr>
          <w:color w:val="005DA1"/>
          <w:vertAlign w:val="baseline"/>
        </w:rPr>
        <w:t> </w:t>
      </w:r>
      <w:r>
        <w:rPr>
          <w:vertAlign w:val="baseline"/>
        </w:rPr>
        <w:t>The exclusion was also a matter </w:t>
      </w:r>
      <w:r>
        <w:rPr>
          <w:vertAlign w:val="baseline"/>
        </w:rPr>
        <w:t>of some controversy within the group which negotiated the Convention. </w:t>
      </w:r>
      <w:r>
        <w:rPr>
          <w:color w:val="005DA1"/>
          <w:u w:val="single" w:color="005DA1"/>
          <w:vertAlign w:val="superscript"/>
        </w:rPr>
        <w:t>177</w:t>
      </w:r>
      <w:r>
        <w:rPr>
          <w:color w:val="005DA1"/>
          <w:vertAlign w:val="baseline"/>
        </w:rPr>
        <w:t> </w:t>
      </w:r>
      <w:r>
        <w:rPr>
          <w:vertAlign w:val="baseline"/>
        </w:rPr>
        <w:t>As far as arbitration </w:t>
      </w:r>
      <w:bookmarkStart w:name="_bookmark290" w:id="292"/>
      <w:bookmarkEnd w:id="292"/>
      <w:r>
        <w:rPr>
          <w:vertAlign w:val="baseline"/>
        </w:rPr>
        <w:t>agreements</w:t>
      </w:r>
      <w:r>
        <w:rPr>
          <w:vertAlign w:val="baseline"/>
        </w:rPr>
        <w:t> are concerned, the arguments for exclusion were the need to avoid an increase in the number of international conventions in this area, </w:t>
      </w:r>
      <w:r>
        <w:rPr>
          <w:color w:val="005DA1"/>
          <w:u w:val="single" w:color="005DA1"/>
          <w:vertAlign w:val="superscript"/>
        </w:rPr>
        <w:t>178</w:t>
      </w:r>
      <w:r>
        <w:rPr>
          <w:color w:val="005DA1"/>
          <w:vertAlign w:val="baseline"/>
        </w:rPr>
        <w:t> </w:t>
      </w:r>
      <w:r>
        <w:rPr>
          <w:vertAlign w:val="baseline"/>
        </w:rPr>
        <w:t>that the concept of closest connection </w:t>
      </w:r>
      <w:r>
        <w:rPr>
          <w:color w:val="005DA1"/>
          <w:u w:val="single" w:color="005DA1"/>
          <w:vertAlign w:val="superscript"/>
        </w:rPr>
        <w:t>179</w:t>
      </w:r>
      <w:r>
        <w:rPr>
          <w:color w:val="005DA1"/>
          <w:vertAlign w:val="baseline"/>
        </w:rPr>
        <w:t> </w:t>
      </w:r>
      <w:r>
        <w:rPr>
          <w:vertAlign w:val="baseline"/>
        </w:rPr>
        <w:t>was </w:t>
      </w:r>
      <w:bookmarkStart w:name="_bookmark291" w:id="293"/>
      <w:bookmarkEnd w:id="293"/>
      <w:r>
        <w:rPr>
          <w:vertAlign w:val="baseline"/>
        </w:rPr>
        <w:t>difficult</w:t>
      </w:r>
      <w:r>
        <w:rPr>
          <w:vertAlign w:val="baseline"/>
        </w:rPr>
        <w:t> to apply to arbitration agreements, that the procedural and contractual aspects of such agreements</w:t>
      </w:r>
      <w:r>
        <w:rPr>
          <w:spacing w:val="21"/>
          <w:vertAlign w:val="baseline"/>
        </w:rPr>
        <w:t> </w:t>
      </w:r>
      <w:r>
        <w:rPr>
          <w:vertAlign w:val="baseline"/>
        </w:rPr>
        <w:t>were</w:t>
      </w:r>
      <w:r>
        <w:rPr>
          <w:spacing w:val="22"/>
          <w:vertAlign w:val="baseline"/>
        </w:rPr>
        <w:t> </w:t>
      </w:r>
      <w:r>
        <w:rPr>
          <w:vertAlign w:val="baseline"/>
        </w:rPr>
        <w:t>difficult</w:t>
      </w:r>
      <w:r>
        <w:rPr>
          <w:spacing w:val="22"/>
          <w:vertAlign w:val="baseline"/>
        </w:rPr>
        <w:t> </w:t>
      </w:r>
      <w:r>
        <w:rPr>
          <w:vertAlign w:val="baseline"/>
        </w:rPr>
        <w:t>to</w:t>
      </w:r>
      <w:r>
        <w:rPr>
          <w:spacing w:val="21"/>
          <w:vertAlign w:val="baseline"/>
        </w:rPr>
        <w:t> </w:t>
      </w:r>
      <w:r>
        <w:rPr>
          <w:vertAlign w:val="baseline"/>
        </w:rPr>
        <w:t>separate</w:t>
      </w:r>
      <w:r>
        <w:rPr>
          <w:spacing w:val="22"/>
          <w:vertAlign w:val="baseline"/>
        </w:rPr>
        <w:t> </w:t>
      </w:r>
      <w:r>
        <w:rPr>
          <w:vertAlign w:val="baseline"/>
        </w:rPr>
        <w:t>and</w:t>
      </w:r>
      <w:r>
        <w:rPr>
          <w:spacing w:val="21"/>
          <w:vertAlign w:val="baseline"/>
        </w:rPr>
        <w:t> </w:t>
      </w:r>
      <w:r>
        <w:rPr>
          <w:vertAlign w:val="baseline"/>
        </w:rPr>
        <w:t>that</w:t>
      </w:r>
      <w:r>
        <w:rPr>
          <w:spacing w:val="22"/>
          <w:vertAlign w:val="baseline"/>
        </w:rPr>
        <w:t> </w:t>
      </w:r>
      <w:r>
        <w:rPr>
          <w:vertAlign w:val="baseline"/>
        </w:rPr>
        <w:t>since</w:t>
      </w:r>
      <w:r>
        <w:rPr>
          <w:spacing w:val="22"/>
          <w:vertAlign w:val="baseline"/>
        </w:rPr>
        <w:t> </w:t>
      </w:r>
      <w:r>
        <w:rPr>
          <w:vertAlign w:val="baseline"/>
        </w:rPr>
        <w:t>the</w:t>
      </w:r>
      <w:r>
        <w:rPr>
          <w:spacing w:val="21"/>
          <w:vertAlign w:val="baseline"/>
        </w:rPr>
        <w:t> </w:t>
      </w:r>
      <w:r>
        <w:rPr>
          <w:vertAlign w:val="baseline"/>
        </w:rPr>
        <w:t>Convention</w:t>
      </w:r>
      <w:r>
        <w:rPr>
          <w:spacing w:val="22"/>
          <w:vertAlign w:val="baseline"/>
        </w:rPr>
        <w:t> </w:t>
      </w:r>
      <w:r>
        <w:rPr>
          <w:vertAlign w:val="baseline"/>
        </w:rPr>
        <w:t>permitted</w:t>
      </w:r>
      <w:r>
        <w:rPr>
          <w:spacing w:val="22"/>
          <w:vertAlign w:val="baseline"/>
        </w:rPr>
        <w:t> </w:t>
      </w:r>
      <w:r>
        <w:rPr>
          <w:vertAlign w:val="baseline"/>
        </w:rPr>
        <w:t>“severability”,</w:t>
      </w:r>
      <w:r>
        <w:rPr>
          <w:spacing w:val="20"/>
          <w:vertAlign w:val="baseline"/>
        </w:rPr>
        <w:t> </w:t>
      </w:r>
      <w:r>
        <w:rPr>
          <w:color w:val="005DA1"/>
          <w:u w:val="single" w:color="005DA1"/>
          <w:vertAlign w:val="superscript"/>
        </w:rPr>
        <w:t>180</w:t>
      </w:r>
      <w:r>
        <w:rPr>
          <w:color w:val="005DA1"/>
          <w:spacing w:val="22"/>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292" w:id="294"/>
      <w:bookmarkEnd w:id="294"/>
      <w:r>
        <w:rPr/>
      </w:r>
      <w:r>
        <w:rPr/>
        <w:t>arbitration</w:t>
      </w:r>
      <w:r>
        <w:rPr>
          <w:spacing w:val="-2"/>
        </w:rPr>
        <w:t> </w:t>
      </w:r>
      <w:r>
        <w:rPr/>
        <w:t>clause</w:t>
      </w:r>
      <w:r>
        <w:rPr>
          <w:spacing w:val="-2"/>
        </w:rPr>
        <w:t> </w:t>
      </w:r>
      <w:r>
        <w:rPr/>
        <w:t>could</w:t>
      </w:r>
      <w:r>
        <w:rPr>
          <w:spacing w:val="-2"/>
        </w:rPr>
        <w:t> </w:t>
      </w:r>
      <w:r>
        <w:rPr/>
        <w:t>be</w:t>
      </w:r>
      <w:r>
        <w:rPr>
          <w:spacing w:val="-2"/>
        </w:rPr>
        <w:t> </w:t>
      </w:r>
      <w:r>
        <w:rPr/>
        <w:t>treated</w:t>
      </w:r>
      <w:r>
        <w:rPr>
          <w:spacing w:val="-2"/>
        </w:rPr>
        <w:t> </w:t>
      </w:r>
      <w:r>
        <w:rPr/>
        <w:t>as</w:t>
      </w:r>
      <w:r>
        <w:rPr>
          <w:spacing w:val="-2"/>
        </w:rPr>
        <w:t> </w:t>
      </w:r>
      <w:r>
        <w:rPr/>
        <w:t>a</w:t>
      </w:r>
      <w:r>
        <w:rPr>
          <w:spacing w:val="-2"/>
        </w:rPr>
        <w:t> </w:t>
      </w:r>
      <w:r>
        <w:rPr/>
        <w:t>distinct</w:t>
      </w:r>
      <w:r>
        <w:rPr>
          <w:spacing w:val="-2"/>
        </w:rPr>
        <w:t> </w:t>
      </w:r>
      <w:r>
        <w:rPr/>
        <w:t>entity,</w:t>
      </w:r>
      <w:r>
        <w:rPr>
          <w:spacing w:val="-2"/>
        </w:rPr>
        <w:t> </w:t>
      </w:r>
      <w:r>
        <w:rPr/>
        <w:t>apart</w:t>
      </w:r>
      <w:r>
        <w:rPr>
          <w:spacing w:val="-2"/>
        </w:rPr>
        <w:t> </w:t>
      </w:r>
      <w:r>
        <w:rPr/>
        <w:t>from</w:t>
      </w:r>
      <w:r>
        <w:rPr>
          <w:spacing w:val="-2"/>
        </w:rPr>
        <w:t> </w:t>
      </w:r>
      <w:r>
        <w:rPr/>
        <w:t>the</w:t>
      </w:r>
      <w:r>
        <w:rPr>
          <w:spacing w:val="-2"/>
        </w:rPr>
        <w:t> </w:t>
      </w:r>
      <w:r>
        <w:rPr/>
        <w:t>contract,</w:t>
      </w:r>
      <w:r>
        <w:rPr>
          <w:spacing w:val="-2"/>
        </w:rPr>
        <w:t> </w:t>
      </w:r>
      <w:r>
        <w:rPr/>
        <w:t>without</w:t>
      </w:r>
      <w:r>
        <w:rPr>
          <w:spacing w:val="-2"/>
        </w:rPr>
        <w:t> </w:t>
      </w:r>
      <w:r>
        <w:rPr/>
        <w:t>any</w:t>
      </w:r>
      <w:r>
        <w:rPr>
          <w:spacing w:val="-2"/>
        </w:rPr>
        <w:t> </w:t>
      </w:r>
      <w:r>
        <w:rPr/>
        <w:t>difficulty.</w:t>
      </w:r>
      <w:r>
        <w:rPr>
          <w:spacing w:val="-3"/>
        </w:rPr>
        <w:t> </w:t>
      </w:r>
      <w:r>
        <w:rPr>
          <w:color w:val="005DA1"/>
          <w:u w:val="single" w:color="005DA1"/>
          <w:vertAlign w:val="superscript"/>
        </w:rPr>
        <w:t>181</w:t>
      </w:r>
      <w:r>
        <w:rPr>
          <w:color w:val="005DA1"/>
          <w:vertAlign w:val="baseline"/>
        </w:rPr>
        <w:t> </w:t>
      </w:r>
      <w:bookmarkStart w:name="_bookmark293" w:id="295"/>
      <w:bookmarkEnd w:id="295"/>
      <w:r>
        <w:rPr>
          <w:color w:val="005DA1"/>
          <w:w w:val="92"/>
          <w:vertAlign w:val="baseline"/>
        </w:rPr>
      </w:r>
      <w:r>
        <w:rPr>
          <w:vertAlign w:val="baseline"/>
        </w:rPr>
        <w:t>The result of the exclusion is that not only the procedural aspects but also the formation, validity and effect </w:t>
      </w:r>
      <w:r>
        <w:rPr>
          <w:color w:val="005DA1"/>
          <w:u w:val="single" w:color="005DA1"/>
          <w:vertAlign w:val="superscript"/>
        </w:rPr>
        <w:t>182</w:t>
      </w:r>
      <w:r>
        <w:rPr>
          <w:color w:val="005DA1"/>
          <w:vertAlign w:val="baseline"/>
        </w:rPr>
        <w:t> </w:t>
      </w:r>
      <w:r>
        <w:rPr>
          <w:vertAlign w:val="baseline"/>
        </w:rPr>
        <w:t>of an arbitration agreement will have, seemingly, to be determined by common law rules, </w:t>
      </w:r>
      <w:bookmarkStart w:name="_bookmark294" w:id="296"/>
      <w:bookmarkEnd w:id="296"/>
      <w:r>
        <w:rPr>
          <w:vertAlign w:val="baseline"/>
        </w:rPr>
        <w:t>which</w:t>
      </w:r>
      <w:r>
        <w:rPr>
          <w:spacing w:val="7"/>
          <w:vertAlign w:val="baseline"/>
        </w:rPr>
        <w:t> </w:t>
      </w:r>
      <w:r>
        <w:rPr>
          <w:vertAlign w:val="baseline"/>
        </w:rPr>
        <w:t>is</w:t>
      </w:r>
      <w:r>
        <w:rPr>
          <w:spacing w:val="7"/>
          <w:vertAlign w:val="baseline"/>
        </w:rPr>
        <w:t> </w:t>
      </w:r>
      <w:r>
        <w:rPr>
          <w:vertAlign w:val="baseline"/>
        </w:rPr>
        <w:t>at</w:t>
      </w:r>
      <w:r>
        <w:rPr>
          <w:spacing w:val="7"/>
          <w:vertAlign w:val="baseline"/>
        </w:rPr>
        <w:t> </w:t>
      </w:r>
      <w:r>
        <w:rPr>
          <w:vertAlign w:val="baseline"/>
        </w:rPr>
        <w:t>best</w:t>
      </w:r>
      <w:r>
        <w:rPr>
          <w:spacing w:val="7"/>
          <w:vertAlign w:val="baseline"/>
        </w:rPr>
        <w:t> </w:t>
      </w:r>
      <w:r>
        <w:rPr>
          <w:vertAlign w:val="baseline"/>
        </w:rPr>
        <w:t>inconvenient,</w:t>
      </w:r>
      <w:r>
        <w:rPr>
          <w:spacing w:val="7"/>
          <w:vertAlign w:val="baseline"/>
        </w:rPr>
        <w:t> </w:t>
      </w:r>
      <w:r>
        <w:rPr>
          <w:vertAlign w:val="baseline"/>
        </w:rPr>
        <w:t>whereas</w:t>
      </w:r>
      <w:r>
        <w:rPr>
          <w:spacing w:val="7"/>
          <w:vertAlign w:val="baseline"/>
        </w:rPr>
        <w:t> </w:t>
      </w:r>
      <w:r>
        <w:rPr>
          <w:vertAlign w:val="baseline"/>
        </w:rPr>
        <w:t>the</w:t>
      </w:r>
      <w:r>
        <w:rPr>
          <w:spacing w:val="7"/>
          <w:vertAlign w:val="baseline"/>
        </w:rPr>
        <w:t> </w:t>
      </w:r>
      <w:r>
        <w:rPr>
          <w:vertAlign w:val="baseline"/>
        </w:rPr>
        <w:t>law</w:t>
      </w:r>
      <w:r>
        <w:rPr>
          <w:spacing w:val="7"/>
          <w:vertAlign w:val="baseline"/>
        </w:rPr>
        <w:t> </w:t>
      </w:r>
      <w:r>
        <w:rPr>
          <w:vertAlign w:val="baseline"/>
        </w:rPr>
        <w:t>applicable</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remaining</w:t>
      </w:r>
      <w:r>
        <w:rPr>
          <w:spacing w:val="7"/>
          <w:vertAlign w:val="baseline"/>
        </w:rPr>
        <w:t> </w:t>
      </w:r>
      <w:r>
        <w:rPr>
          <w:vertAlign w:val="baseline"/>
        </w:rPr>
        <w:t>part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contract</w:t>
      </w:r>
      <w:r>
        <w:rPr>
          <w:spacing w:val="7"/>
          <w:vertAlign w:val="baseline"/>
        </w:rPr>
        <w:t> </w:t>
      </w:r>
      <w:r>
        <w:rPr>
          <w:vertAlign w:val="baseline"/>
        </w:rPr>
        <w:t>will</w:t>
      </w:r>
      <w:r>
        <w:rPr>
          <w:spacing w:val="7"/>
          <w:vertAlign w:val="baseline"/>
        </w:rPr>
        <w:t> </w:t>
      </w:r>
      <w:r>
        <w:rPr>
          <w:spacing w:val="-5"/>
          <w:vertAlign w:val="baseline"/>
        </w:rPr>
        <w:t>be</w:t>
      </w:r>
    </w:p>
    <w:p>
      <w:pPr>
        <w:pStyle w:val="BodyText"/>
        <w:spacing w:before="115"/>
        <w:ind w:left="165"/>
        <w:jc w:val="both"/>
        <w:rPr>
          <w:position w:val="-2"/>
        </w:rPr>
      </w:pPr>
      <w:r>
        <w:rPr/>
        <w:t>determined by the rules of the Convention. </w:t>
      </w:r>
      <w:r>
        <w:rPr>
          <w:color w:val="005DA1"/>
          <w:u w:val="single" w:color="005DA1"/>
          <w:vertAlign w:val="superscript"/>
        </w:rPr>
        <w:t>183</w:t>
      </w:r>
      <w:r>
        <w:rPr>
          <w:color w:val="005DA1"/>
          <w:spacing w:val="80"/>
          <w:w w:val="150"/>
          <w:vertAlign w:val="baseline"/>
        </w:rPr>
        <w:t> </w:t>
      </w:r>
      <w:r>
        <w:rPr>
          <w:color w:val="005DA1"/>
          <w:position w:val="-2"/>
          <w:vertAlign w:val="baseline"/>
        </w:rPr>
        <w:drawing>
          <wp:inline distT="0" distB="0" distL="0" distR="0">
            <wp:extent cx="107988" cy="107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89"/>
      </w:pPr>
    </w:p>
    <w:p>
      <w:pPr>
        <w:pStyle w:val="BodyText"/>
        <w:spacing w:line="235" w:lineRule="auto"/>
        <w:ind w:left="165" w:right="167"/>
        <w:jc w:val="both"/>
      </w:pPr>
      <w:r>
        <w:rPr/>
        <w:t>Choice of court agreements were excluded because the prevailing view in the negotiating group </w:t>
      </w:r>
      <w:r>
        <w:rPr/>
        <w:t>was that the matter lay within the realm of procedure, that rules of jurisdiction were a matter of public </w:t>
      </w:r>
      <w:bookmarkStart w:name="_bookmark295" w:id="297"/>
      <w:bookmarkEnd w:id="297"/>
      <w:r>
        <w:rPr/>
        <w:t>policy,</w:t>
      </w:r>
      <w:r>
        <w:rPr/>
        <w:t> that a court must determine the validity of such an agreement according to its own law rather </w:t>
      </w:r>
      <w:bookmarkStart w:name="_bookmark296" w:id="298"/>
      <w:bookmarkEnd w:id="298"/>
      <w:r>
        <w:rPr/>
        <w:t>than</w:t>
      </w:r>
      <w:r>
        <w:rPr/>
        <w:t> the law chosen, </w:t>
      </w:r>
      <w:r>
        <w:rPr>
          <w:color w:val="005DA1"/>
          <w:u w:val="single" w:color="005DA1"/>
          <w:vertAlign w:val="superscript"/>
        </w:rPr>
        <w:t>184</w:t>
      </w:r>
      <w:r>
        <w:rPr>
          <w:color w:val="005DA1"/>
          <w:vertAlign w:val="baseline"/>
        </w:rPr>
        <w:t> </w:t>
      </w:r>
      <w:r>
        <w:rPr>
          <w:vertAlign w:val="baseline"/>
        </w:rPr>
        <w:t>that Convention rules would be frustrated if disputes were brought before courts of non-contracting states, </w:t>
      </w:r>
      <w:r>
        <w:rPr>
          <w:color w:val="005DA1"/>
          <w:u w:val="single" w:color="005DA1"/>
          <w:vertAlign w:val="superscript"/>
        </w:rPr>
        <w:t>185</w:t>
      </w:r>
      <w:r>
        <w:rPr>
          <w:color w:val="005DA1"/>
          <w:vertAlign w:val="baseline"/>
        </w:rPr>
        <w:t> </w:t>
      </w:r>
      <w:r>
        <w:rPr>
          <w:vertAlign w:val="baseline"/>
        </w:rPr>
        <w:t>and, finally, that in relation to cases within the Community, most </w:t>
      </w:r>
      <w:bookmarkStart w:name="_bookmark297" w:id="299"/>
      <w:bookmarkEnd w:id="299"/>
      <w:r>
        <w:rPr>
          <w:vertAlign w:val="baseline"/>
        </w:rPr>
        <w:t>important</w:t>
      </w:r>
      <w:r>
        <w:rPr>
          <w:vertAlign w:val="baseline"/>
        </w:rPr>
        <w:t> matters (validity of the clause and form) are governed by art.17 of the Brussels Convention </w:t>
      </w:r>
      <w:bookmarkStart w:name="_bookmark298" w:id="300"/>
      <w:bookmarkEnd w:id="300"/>
      <w:r>
        <w:rPr>
          <w:vertAlign w:val="baseline"/>
        </w:rPr>
        <w:t>on</w:t>
      </w:r>
      <w:r>
        <w:rPr>
          <w:vertAlign w:val="baseline"/>
        </w:rPr>
        <w:t> Jurisdiction and the Enforcement of Judgments in Civil and Commercial Matters 1968. </w:t>
      </w:r>
      <w:r>
        <w:rPr>
          <w:color w:val="005DA1"/>
          <w:u w:val="single" w:color="005DA1"/>
          <w:vertAlign w:val="superscript"/>
        </w:rPr>
        <w:t>186</w:t>
      </w:r>
      <w:r>
        <w:rPr>
          <w:color w:val="005DA1"/>
          <w:vertAlign w:val="baseline"/>
        </w:rPr>
        <w:t> </w:t>
      </w:r>
      <w:r>
        <w:rPr>
          <w:vertAlign w:val="baseline"/>
        </w:rPr>
        <w:t>The result is that this question will again be governed by common law rules. </w:t>
      </w:r>
      <w:r>
        <w:rPr>
          <w:color w:val="005DA1"/>
          <w:u w:val="single" w:color="005DA1"/>
          <w:vertAlign w:val="superscript"/>
        </w:rPr>
        <w:t>187</w:t>
      </w:r>
    </w:p>
    <w:p>
      <w:pPr>
        <w:pStyle w:val="BodyText"/>
      </w:pPr>
    </w:p>
    <w:p>
      <w:pPr>
        <w:pStyle w:val="BodyText"/>
        <w:spacing w:before="35"/>
      </w:pPr>
    </w:p>
    <w:p>
      <w:pPr>
        <w:spacing w:before="0"/>
        <w:ind w:left="165" w:right="0" w:firstLine="0"/>
        <w:jc w:val="left"/>
        <w:rPr>
          <w:rFonts w:ascii="Arial"/>
          <w:b/>
          <w:sz w:val="18"/>
        </w:rPr>
      </w:pPr>
      <w:r>
        <w:rPr>
          <w:rFonts w:ascii="Arial"/>
          <w:b/>
          <w:sz w:val="18"/>
        </w:rPr>
        <w:t>Questions governed by the law of companies, </w:t>
      </w:r>
      <w:r>
        <w:rPr>
          <w:rFonts w:ascii="Arial"/>
          <w:b/>
          <w:spacing w:val="-5"/>
          <w:sz w:val="18"/>
        </w:rPr>
        <w:t>etc</w:t>
      </w:r>
    </w:p>
    <w:p>
      <w:pPr>
        <w:pStyle w:val="BodyText"/>
        <w:spacing w:before="42"/>
        <w:rPr>
          <w:rFonts w:ascii="Arial"/>
          <w:b/>
          <w:sz w:val="18"/>
        </w:rPr>
      </w:pPr>
    </w:p>
    <w:p>
      <w:pPr>
        <w:pStyle w:val="Heading2"/>
      </w:pPr>
      <w:r>
        <w:rPr/>
        <w:t>30-</w:t>
      </w:r>
      <w:r>
        <w:rPr>
          <w:spacing w:val="-5"/>
        </w:rPr>
        <w:t>040</w:t>
      </w:r>
    </w:p>
    <w:p>
      <w:pPr>
        <w:pStyle w:val="BodyText"/>
        <w:spacing w:line="235" w:lineRule="auto" w:before="202"/>
        <w:ind w:left="164" w:right="167"/>
        <w:jc w:val="both"/>
      </w:pPr>
      <w:r>
        <w:rPr/>
        <w:t>Questions governed by the law of companies and other bodies corporate or unincorporate such as</w:t>
      </w:r>
      <w:r>
        <w:rPr>
          <w:spacing w:val="40"/>
        </w:rPr>
        <w:t> </w:t>
      </w:r>
      <w:r>
        <w:rPr/>
        <w:t>the creation, by registration or otherwise, legal capacity, internal organisation or winding up of companies and other bodies corporate or unincorporate and the personal liability of officers and </w:t>
      </w:r>
      <w:bookmarkStart w:name="_bookmark299" w:id="301"/>
      <w:bookmarkEnd w:id="301"/>
      <w:r>
        <w:rPr/>
        <w:t>members</w:t>
      </w:r>
      <w:r>
        <w:rPr/>
        <w:t> as such for the obligations of the company or body will not fall within the ambit of the Rome </w:t>
      </w:r>
      <w:bookmarkStart w:name="_bookmark300" w:id="302"/>
      <w:bookmarkEnd w:id="302"/>
      <w:r>
        <w:rPr/>
        <w:t>Convention.</w:t>
      </w:r>
      <w:r>
        <w:rPr>
          <w:spacing w:val="-3"/>
        </w:rPr>
        <w:t> </w:t>
      </w:r>
      <w:r>
        <w:rPr>
          <w:color w:val="005DA1"/>
          <w:u w:val="single" w:color="005DA1"/>
          <w:vertAlign w:val="superscript"/>
        </w:rPr>
        <w:t>188</w:t>
      </w:r>
      <w:r>
        <w:rPr>
          <w:color w:val="005DA1"/>
          <w:spacing w:val="-3"/>
          <w:vertAlign w:val="baseline"/>
        </w:rPr>
        <w:t> </w:t>
      </w:r>
      <w:r>
        <w:rPr>
          <w:vertAlign w:val="baseline"/>
        </w:rPr>
        <w:t>The</w:t>
      </w:r>
      <w:r>
        <w:rPr>
          <w:spacing w:val="-3"/>
          <w:vertAlign w:val="baseline"/>
        </w:rPr>
        <w:t> </w:t>
      </w:r>
      <w:r>
        <w:rPr>
          <w:vertAlign w:val="baseline"/>
        </w:rPr>
        <w:t>intention</w:t>
      </w:r>
      <w:r>
        <w:rPr>
          <w:spacing w:val="-3"/>
          <w:vertAlign w:val="baseline"/>
        </w:rPr>
        <w:t> </w:t>
      </w:r>
      <w:r>
        <w:rPr>
          <w:vertAlign w:val="baseline"/>
        </w:rPr>
        <w:t>behind</w:t>
      </w:r>
      <w:r>
        <w:rPr>
          <w:spacing w:val="-3"/>
          <w:vertAlign w:val="baseline"/>
        </w:rPr>
        <w:t> </w:t>
      </w:r>
      <w:r>
        <w:rPr>
          <w:vertAlign w:val="baseline"/>
        </w:rPr>
        <w:t>the</w:t>
      </w:r>
      <w:r>
        <w:rPr>
          <w:spacing w:val="-3"/>
          <w:vertAlign w:val="baseline"/>
        </w:rPr>
        <w:t> </w:t>
      </w:r>
      <w:r>
        <w:rPr>
          <w:vertAlign w:val="baseline"/>
        </w:rPr>
        <w:t>provision</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exclusion</w:t>
      </w:r>
      <w:r>
        <w:rPr>
          <w:spacing w:val="-3"/>
          <w:vertAlign w:val="baseline"/>
        </w:rPr>
        <w:t> </w:t>
      </w:r>
      <w:r>
        <w:rPr>
          <w:vertAlign w:val="baseline"/>
        </w:rPr>
        <w:t>of</w:t>
      </w:r>
      <w:r>
        <w:rPr>
          <w:spacing w:val="-3"/>
          <w:vertAlign w:val="baseline"/>
        </w:rPr>
        <w:t> </w:t>
      </w:r>
      <w:r>
        <w:rPr>
          <w:vertAlign w:val="baseline"/>
        </w:rPr>
        <w:t>matters</w:t>
      </w:r>
      <w:r>
        <w:rPr>
          <w:spacing w:val="-3"/>
          <w:vertAlign w:val="baseline"/>
        </w:rPr>
        <w:t> </w:t>
      </w:r>
      <w:r>
        <w:rPr>
          <w:vertAlign w:val="baseline"/>
        </w:rPr>
        <w:t>of</w:t>
      </w:r>
      <w:r>
        <w:rPr>
          <w:spacing w:val="-3"/>
          <w:vertAlign w:val="baseline"/>
        </w:rPr>
        <w:t> </w:t>
      </w:r>
      <w:r>
        <w:rPr>
          <w:vertAlign w:val="baseline"/>
        </w:rPr>
        <w:t>contract</w:t>
      </w:r>
      <w:r>
        <w:rPr>
          <w:spacing w:val="-3"/>
          <w:vertAlign w:val="baseline"/>
        </w:rPr>
        <w:t> </w:t>
      </w:r>
      <w:r>
        <w:rPr>
          <w:vertAlign w:val="baseline"/>
        </w:rPr>
        <w:t>which</w:t>
      </w:r>
      <w:r>
        <w:rPr>
          <w:spacing w:val="-3"/>
          <w:vertAlign w:val="baseline"/>
        </w:rPr>
        <w:t> </w:t>
      </w:r>
      <w:r>
        <w:rPr>
          <w:vertAlign w:val="baseline"/>
        </w:rPr>
        <w:t>arise</w:t>
      </w:r>
      <w:r>
        <w:rPr>
          <w:spacing w:val="-3"/>
          <w:vertAlign w:val="baseline"/>
        </w:rPr>
        <w:t> </w:t>
      </w:r>
      <w:r>
        <w:rPr>
          <w:vertAlign w:val="baseline"/>
        </w:rPr>
        <w:t>in </w:t>
      </w:r>
      <w:bookmarkStart w:name="_bookmark301" w:id="303"/>
      <w:bookmarkEnd w:id="303"/>
      <w:r>
        <w:rPr>
          <w:vertAlign w:val="baseline"/>
        </w:rPr>
        <w:t>the</w:t>
      </w:r>
      <w:r>
        <w:rPr>
          <w:vertAlign w:val="baseline"/>
        </w:rPr>
        <w:t> context of company law, </w:t>
      </w:r>
      <w:r>
        <w:rPr>
          <w:color w:val="005DA1"/>
          <w:u w:val="single" w:color="005DA1"/>
          <w:vertAlign w:val="superscript"/>
        </w:rPr>
        <w:t>189</w:t>
      </w:r>
      <w:r>
        <w:rPr>
          <w:color w:val="005DA1"/>
          <w:vertAlign w:val="baseline"/>
        </w:rPr>
        <w:t> </w:t>
      </w:r>
      <w:r>
        <w:rPr>
          <w:vertAlign w:val="baseline"/>
        </w:rPr>
        <w:t>particularly in view of the work being done in the European</w:t>
      </w:r>
      <w:r>
        <w:rPr>
          <w:spacing w:val="40"/>
          <w:vertAlign w:val="baseline"/>
        </w:rPr>
        <w:t> </w:t>
      </w:r>
      <w:bookmarkStart w:name="_bookmark302" w:id="304"/>
      <w:bookmarkEnd w:id="304"/>
      <w:r>
        <w:rPr>
          <w:vertAlign w:val="baseline"/>
        </w:rPr>
        <w:t>Community</w:t>
      </w:r>
      <w:r>
        <w:rPr>
          <w:vertAlign w:val="baseline"/>
        </w:rPr>
        <w:t> on the harmonisation of company law. </w:t>
      </w:r>
      <w:r>
        <w:rPr>
          <w:color w:val="005DA1"/>
          <w:u w:val="single" w:color="005DA1"/>
          <w:vertAlign w:val="superscript"/>
        </w:rPr>
        <w:t>190</w:t>
      </w:r>
      <w:r>
        <w:rPr>
          <w:color w:val="005DA1"/>
          <w:vertAlign w:val="baseline"/>
        </w:rPr>
        <w:t> </w:t>
      </w:r>
      <w:r>
        <w:rPr>
          <w:vertAlign w:val="baseline"/>
        </w:rPr>
        <w:t>Thus, for example, the question of the law applicable to the contractual capacity of a company will be governed by common law rules</w:t>
      </w:r>
      <w:r>
        <w:rPr>
          <w:spacing w:val="-1"/>
          <w:vertAlign w:val="baseline"/>
        </w:rPr>
        <w:t> </w:t>
      </w:r>
      <w:r>
        <w:rPr>
          <w:color w:val="005DA1"/>
          <w:u w:val="single" w:color="005DA1"/>
          <w:vertAlign w:val="superscript"/>
        </w:rPr>
        <w:t>191</w:t>
      </w:r>
      <w:r>
        <w:rPr>
          <w:color w:val="005DA1"/>
          <w:vertAlign w:val="baseline"/>
        </w:rPr>
        <w:t> </w:t>
      </w:r>
      <w:r>
        <w:rPr>
          <w:vertAlign w:val="baseline"/>
        </w:rPr>
        <w:t>and not </w:t>
      </w:r>
      <w:bookmarkStart w:name="_bookmark303" w:id="305"/>
      <w:bookmarkEnd w:id="305"/>
      <w:r>
        <w:rPr>
          <w:vertAlign w:val="baseline"/>
        </w:rPr>
        <w:t>by</w:t>
      </w:r>
      <w:r>
        <w:rPr>
          <w:vertAlign w:val="baseline"/>
        </w:rPr>
        <w:t> the Convention. On the other hand, an agreement by promoters to create a company is thought to fall within the scope of the Convention. </w:t>
      </w:r>
      <w:r>
        <w:rPr>
          <w:color w:val="005DA1"/>
          <w:u w:val="single" w:color="005DA1"/>
          <w:vertAlign w:val="superscript"/>
        </w:rPr>
        <w:t>192</w:t>
      </w:r>
    </w:p>
    <w:p>
      <w:pPr>
        <w:pStyle w:val="BodyText"/>
      </w:pPr>
    </w:p>
    <w:p>
      <w:pPr>
        <w:pStyle w:val="BodyText"/>
        <w:spacing w:before="35"/>
      </w:pPr>
    </w:p>
    <w:p>
      <w:pPr>
        <w:spacing w:before="0"/>
        <w:ind w:left="165" w:right="0" w:firstLine="0"/>
        <w:jc w:val="left"/>
        <w:rPr>
          <w:rFonts w:ascii="Arial"/>
          <w:b/>
          <w:sz w:val="18"/>
        </w:rPr>
      </w:pPr>
      <w:r>
        <w:rPr>
          <w:rFonts w:ascii="Arial"/>
          <w:b/>
          <w:sz w:val="18"/>
        </w:rPr>
        <w:t>Power of agent to bind principal, </w:t>
      </w:r>
      <w:r>
        <w:rPr>
          <w:rFonts w:ascii="Arial"/>
          <w:b/>
          <w:spacing w:val="-5"/>
          <w:sz w:val="18"/>
        </w:rPr>
        <w:t>etc</w:t>
      </w:r>
    </w:p>
    <w:p>
      <w:pPr>
        <w:pStyle w:val="BodyText"/>
        <w:spacing w:before="41"/>
        <w:rPr>
          <w:rFonts w:ascii="Arial"/>
          <w:b/>
          <w:sz w:val="18"/>
        </w:rPr>
      </w:pPr>
    </w:p>
    <w:p>
      <w:pPr>
        <w:pStyle w:val="Heading2"/>
        <w:spacing w:before="1"/>
      </w:pPr>
      <w:r>
        <w:rPr/>
        <w:t>30-</w:t>
      </w:r>
      <w:r>
        <w:rPr>
          <w:spacing w:val="-5"/>
        </w:rPr>
        <w:t>041</w:t>
      </w:r>
    </w:p>
    <w:p>
      <w:pPr>
        <w:pStyle w:val="BodyText"/>
        <w:spacing w:line="235" w:lineRule="auto" w:before="202"/>
        <w:ind w:left="164" w:right="167"/>
        <w:jc w:val="both"/>
      </w:pPr>
      <w:bookmarkStart w:name="_bookmark304" w:id="306"/>
      <w:bookmarkEnd w:id="306"/>
      <w:r>
        <w:rPr/>
      </w:r>
      <w:r>
        <w:rPr/>
        <w:t>Further excluded is the question of whether an agent is able to bind a principal, or an organ to bind a company or body corporate or unincorporate, to a third party. </w:t>
      </w:r>
      <w:r>
        <w:rPr>
          <w:color w:val="005DA1"/>
          <w:u w:val="single" w:color="005DA1"/>
          <w:vertAlign w:val="superscript"/>
        </w:rPr>
        <w:t>193</w:t>
      </w:r>
      <w:r>
        <w:rPr>
          <w:color w:val="005DA1"/>
          <w:vertAlign w:val="baseline"/>
        </w:rPr>
        <w:t> </w:t>
      </w:r>
      <w:r>
        <w:rPr>
          <w:vertAlign w:val="baseline"/>
        </w:rPr>
        <w:t>The exclusion only affects the </w:t>
      </w:r>
      <w:bookmarkStart w:name="_bookmark305" w:id="307"/>
      <w:bookmarkEnd w:id="307"/>
      <w:r>
        <w:rPr>
          <w:vertAlign w:val="baseline"/>
        </w:rPr>
        <w:t>question</w:t>
      </w:r>
      <w:r>
        <w:rPr>
          <w:vertAlign w:val="baseline"/>
        </w:rPr>
        <w:t> of whether the principal is bound with regard to third parties by the acts of the agent (or </w:t>
      </w:r>
      <w:bookmarkStart w:name="_bookmark306" w:id="308"/>
      <w:bookmarkEnd w:id="308"/>
      <w:r>
        <w:rPr>
          <w:vertAlign w:val="baseline"/>
        </w:rPr>
        <w:t>organ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company</w:t>
      </w:r>
      <w:r>
        <w:rPr>
          <w:spacing w:val="-2"/>
          <w:vertAlign w:val="baseline"/>
        </w:rPr>
        <w:t> </w:t>
      </w:r>
      <w:r>
        <w:rPr>
          <w:vertAlign w:val="baseline"/>
        </w:rPr>
        <w:t>etc,</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may</w:t>
      </w:r>
      <w:r>
        <w:rPr>
          <w:spacing w:val="-2"/>
          <w:vertAlign w:val="baseline"/>
        </w:rPr>
        <w:t> </w:t>
      </w:r>
      <w:r>
        <w:rPr>
          <w:vertAlign w:val="baseline"/>
        </w:rPr>
        <w:t>be).</w:t>
      </w:r>
      <w:r>
        <w:rPr>
          <w:spacing w:val="-3"/>
          <w:vertAlign w:val="baseline"/>
        </w:rPr>
        <w:t> </w:t>
      </w:r>
      <w:r>
        <w:rPr>
          <w:color w:val="005DA1"/>
          <w:u w:val="single" w:color="005DA1"/>
          <w:vertAlign w:val="superscript"/>
        </w:rPr>
        <w:t>194</w:t>
      </w:r>
      <w:r>
        <w:rPr>
          <w:color w:val="005DA1"/>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justified</w:t>
      </w:r>
      <w:r>
        <w:rPr>
          <w:spacing w:val="-2"/>
          <w:vertAlign w:val="baseline"/>
        </w:rPr>
        <w:t> </w:t>
      </w:r>
      <w:r>
        <w:rPr>
          <w:vertAlign w:val="baseline"/>
        </w:rPr>
        <w:t>because</w:t>
      </w:r>
      <w:r>
        <w:rPr>
          <w:spacing w:val="-2"/>
          <w:vertAlign w:val="baseline"/>
        </w:rPr>
        <w:t> </w:t>
      </w:r>
      <w:r>
        <w:rPr>
          <w:vertAlign w:val="baseline"/>
        </w:rPr>
        <w:t>the</w:t>
      </w:r>
      <w:r>
        <w:rPr>
          <w:spacing w:val="-2"/>
          <w:vertAlign w:val="baseline"/>
        </w:rPr>
        <w:t> </w:t>
      </w:r>
      <w:r>
        <w:rPr>
          <w:vertAlign w:val="baseline"/>
        </w:rPr>
        <w:t>Convention</w:t>
      </w:r>
      <w:r>
        <w:rPr>
          <w:spacing w:val="-2"/>
          <w:vertAlign w:val="baseline"/>
        </w:rPr>
        <w:t> </w:t>
      </w:r>
      <w:r>
        <w:rPr>
          <w:vertAlign w:val="baseline"/>
        </w:rPr>
        <w:t>permits</w:t>
      </w:r>
      <w:r>
        <w:rPr>
          <w:spacing w:val="-2"/>
          <w:vertAlign w:val="baseline"/>
        </w:rPr>
        <w:t> </w:t>
      </w:r>
      <w:r>
        <w:rPr>
          <w:vertAlign w:val="baseline"/>
        </w:rPr>
        <w:t>parties </w:t>
      </w:r>
      <w:bookmarkStart w:name="_bookmark307" w:id="309"/>
      <w:bookmarkEnd w:id="309"/>
      <w:r>
        <w:rPr>
          <w:vertAlign w:val="baseline"/>
        </w:rPr>
        <w:t>a</w:t>
      </w:r>
      <w:r>
        <w:rPr>
          <w:vertAlign w:val="baseline"/>
        </w:rPr>
        <w:t> wide freedom to choose the applicable law of a contract, </w:t>
      </w:r>
      <w:r>
        <w:rPr>
          <w:color w:val="005DA1"/>
          <w:u w:val="single" w:color="005DA1"/>
          <w:vertAlign w:val="superscript"/>
        </w:rPr>
        <w:t>195</w:t>
      </w:r>
      <w:r>
        <w:rPr>
          <w:color w:val="005DA1"/>
          <w:vertAlign w:val="baseline"/>
        </w:rPr>
        <w:t> </w:t>
      </w:r>
      <w:r>
        <w:rPr>
          <w:vertAlign w:val="baseline"/>
        </w:rPr>
        <w:t>a freedom which it was not thought </w:t>
      </w:r>
      <w:bookmarkStart w:name="_bookmark308" w:id="310"/>
      <w:bookmarkEnd w:id="310"/>
      <w:r>
        <w:rPr>
          <w:vertAlign w:val="baseline"/>
        </w:rPr>
        <w:t>appropriate</w:t>
      </w:r>
      <w:r>
        <w:rPr>
          <w:vertAlign w:val="baseline"/>
        </w:rPr>
        <w:t> to recognise in this context. </w:t>
      </w:r>
      <w:r>
        <w:rPr>
          <w:color w:val="005DA1"/>
          <w:u w:val="single" w:color="005DA1"/>
          <w:vertAlign w:val="superscript"/>
        </w:rPr>
        <w:t>196</w:t>
      </w:r>
      <w:r>
        <w:rPr>
          <w:color w:val="005DA1"/>
          <w:vertAlign w:val="baseline"/>
        </w:rPr>
        <w:t> </w:t>
      </w:r>
      <w:r>
        <w:rPr>
          <w:vertAlign w:val="baseline"/>
        </w:rPr>
        <w:t>This matter will, therefore, continue to be governed by </w:t>
      </w:r>
      <w:bookmarkStart w:name="_bookmark309" w:id="311"/>
      <w:bookmarkEnd w:id="311"/>
      <w:r>
        <w:rPr>
          <w:vertAlign w:val="baseline"/>
        </w:rPr>
        <w:t>common</w:t>
      </w:r>
      <w:r>
        <w:rPr>
          <w:vertAlign w:val="baseline"/>
        </w:rPr>
        <w:t> law rules. </w:t>
      </w:r>
      <w:r>
        <w:rPr>
          <w:color w:val="005DA1"/>
          <w:u w:val="single" w:color="005DA1"/>
          <w:vertAlign w:val="superscript"/>
        </w:rPr>
        <w:t>197</w:t>
      </w:r>
      <w:r>
        <w:rPr>
          <w:color w:val="005DA1"/>
          <w:vertAlign w:val="baseline"/>
        </w:rPr>
        <w:t> </w:t>
      </w:r>
      <w:r>
        <w:rPr>
          <w:vertAlign w:val="baseline"/>
        </w:rPr>
        <w:t>But the rules of the Convention will apply to determine the law which governs </w:t>
      </w:r>
      <w:bookmarkStart w:name="_bookmark310" w:id="312"/>
      <w:bookmarkEnd w:id="312"/>
      <w:r>
        <w:rPr>
          <w:vertAlign w:val="baseline"/>
        </w:rPr>
        <w:t>the</w:t>
      </w:r>
      <w:r>
        <w:rPr>
          <w:vertAlign w:val="baseline"/>
        </w:rPr>
        <w:t> contract (if any) between principal and agent, </w:t>
      </w:r>
      <w:r>
        <w:rPr>
          <w:color w:val="005DA1"/>
          <w:u w:val="single" w:color="005DA1"/>
          <w:vertAlign w:val="superscript"/>
        </w:rPr>
        <w:t>198</w:t>
      </w:r>
      <w:r>
        <w:rPr>
          <w:color w:val="005DA1"/>
          <w:vertAlign w:val="baseline"/>
        </w:rPr>
        <w:t> </w:t>
      </w:r>
      <w:r>
        <w:rPr>
          <w:vertAlign w:val="baseline"/>
        </w:rPr>
        <w:t>and also, it would seem, the law which governs </w:t>
      </w:r>
      <w:bookmarkStart w:name="_bookmark311" w:id="313"/>
      <w:bookmarkEnd w:id="313"/>
      <w:r>
        <w:rPr>
          <w:vertAlign w:val="baseline"/>
        </w:rPr>
        <w:t>the</w:t>
      </w:r>
      <w:r>
        <w:rPr>
          <w:vertAlign w:val="baseline"/>
        </w:rPr>
        <w:t> contract (if any) which the agent concludes with a third party. </w:t>
      </w:r>
      <w:r>
        <w:rPr>
          <w:color w:val="005DA1"/>
          <w:u w:val="single" w:color="005DA1"/>
          <w:vertAlign w:val="superscript"/>
        </w:rPr>
        <w:t>199</w:t>
      </w:r>
      <w:r>
        <w:rPr>
          <w:color w:val="005DA1"/>
          <w:vertAlign w:val="baseline"/>
        </w:rPr>
        <w:t> </w:t>
      </w:r>
      <w:r>
        <w:rPr>
          <w:vertAlign w:val="baseline"/>
        </w:rPr>
        <w:t>Further excluded by art.1(2)(f) is </w:t>
      </w:r>
      <w:bookmarkStart w:name="_bookmark312" w:id="314"/>
      <w:bookmarkEnd w:id="314"/>
      <w:r>
        <w:rPr>
          <w:vertAlign w:val="baseline"/>
        </w:rPr>
        <w:t>the</w:t>
      </w:r>
      <w:r>
        <w:rPr>
          <w:vertAlign w:val="baseline"/>
        </w:rPr>
        <w:t> effect of ultra vires acts by an organ of a company or firm, </w:t>
      </w:r>
      <w:r>
        <w:rPr>
          <w:color w:val="005DA1"/>
          <w:u w:val="single" w:color="005DA1"/>
          <w:vertAlign w:val="superscript"/>
        </w:rPr>
        <w:t>200</w:t>
      </w:r>
      <w:r>
        <w:rPr>
          <w:color w:val="005DA1"/>
          <w:vertAlign w:val="baseline"/>
        </w:rPr>
        <w:t> </w:t>
      </w:r>
      <w:r>
        <w:rPr>
          <w:vertAlign w:val="baseline"/>
        </w:rPr>
        <w:t>but the fact that this is said to be </w:t>
      </w:r>
      <w:bookmarkStart w:name="_bookmark313" w:id="315"/>
      <w:bookmarkEnd w:id="315"/>
      <w:r>
        <w:rPr>
          <w:vertAlign w:val="baseline"/>
        </w:rPr>
        <w:t>excluded</w:t>
      </w:r>
      <w:r>
        <w:rPr>
          <w:vertAlign w:val="baseline"/>
        </w:rPr>
        <w:t> under this provision rather than that dealing with company law (art.1(2)(e)) </w:t>
      </w:r>
      <w:r>
        <w:rPr>
          <w:color w:val="005DA1"/>
          <w:u w:val="single" w:color="005DA1"/>
          <w:vertAlign w:val="superscript"/>
        </w:rPr>
        <w:t>201</w:t>
      </w:r>
      <w:r>
        <w:rPr>
          <w:color w:val="005DA1"/>
          <w:vertAlign w:val="baseline"/>
        </w:rPr>
        <w:t> </w:t>
      </w:r>
      <w:r>
        <w:rPr>
          <w:vertAlign w:val="baseline"/>
        </w:rPr>
        <w:t>would appear to be of no practical significance. </w:t>
      </w:r>
      <w:r>
        <w:rPr>
          <w:color w:val="005DA1"/>
          <w:u w:val="single" w:color="005DA1"/>
          <w:vertAlign w:val="superscript"/>
        </w:rPr>
        <w:t>202</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Trusts</w:t>
      </w:r>
    </w:p>
    <w:p>
      <w:pPr>
        <w:pStyle w:val="BodyText"/>
        <w:spacing w:before="41"/>
        <w:rPr>
          <w:rFonts w:ascii="Arial"/>
          <w:b/>
          <w:sz w:val="18"/>
        </w:rPr>
      </w:pPr>
    </w:p>
    <w:p>
      <w:pPr>
        <w:pStyle w:val="Heading2"/>
        <w:spacing w:before="1"/>
      </w:pPr>
      <w:r>
        <w:rPr/>
        <w:t>30-</w:t>
      </w:r>
      <w:r>
        <w:rPr>
          <w:spacing w:val="-5"/>
        </w:rPr>
        <w:t>042</w:t>
      </w:r>
    </w:p>
    <w:p>
      <w:pPr>
        <w:pStyle w:val="BodyText"/>
        <w:spacing w:line="235" w:lineRule="auto" w:before="202"/>
        <w:ind w:left="164" w:right="167"/>
        <w:jc w:val="both"/>
      </w:pPr>
      <w:r>
        <w:rPr/>
        <w:t>Article 1(2)(g) excludes the constitution of trusts and the relationship between settlors, trustees </w:t>
      </w:r>
      <w:r>
        <w:rPr/>
        <w:t>and </w:t>
      </w:r>
      <w:bookmarkStart w:name="_bookmark314" w:id="316"/>
      <w:bookmarkEnd w:id="316"/>
      <w:r>
        <w:rPr/>
        <w:t>beneficiaries.</w:t>
      </w:r>
      <w:r>
        <w:rPr/>
        <w:t> Trusts in this context, are to be understood in the meaning which they bear in common </w:t>
      </w:r>
      <w:bookmarkStart w:name="_bookmark315" w:id="317"/>
      <w:bookmarkEnd w:id="317"/>
      <w:r>
        <w:rPr/>
        <w:t>law</w:t>
      </w:r>
      <w:r>
        <w:rPr/>
        <w:t> countries. </w:t>
      </w:r>
      <w:r>
        <w:rPr>
          <w:color w:val="005DA1"/>
          <w:u w:val="single" w:color="005DA1"/>
          <w:vertAlign w:val="superscript"/>
        </w:rPr>
        <w:t>203</w:t>
      </w:r>
      <w:r>
        <w:rPr>
          <w:color w:val="005DA1"/>
          <w:vertAlign w:val="baseline"/>
        </w:rPr>
        <w:t> </w:t>
      </w:r>
      <w:r>
        <w:rPr>
          <w:vertAlign w:val="baseline"/>
        </w:rPr>
        <w:t>This readily explains their exclusion since, in the common law sense, a trust is not a </w:t>
      </w:r>
      <w:bookmarkStart w:name="_bookmark316" w:id="318"/>
      <w:bookmarkEnd w:id="318"/>
      <w:r>
        <w:rPr>
          <w:vertAlign w:val="baseline"/>
        </w:rPr>
        <w:t>contract.</w:t>
      </w:r>
      <w:r>
        <w:rPr>
          <w:vertAlign w:val="baseline"/>
        </w:rPr>
        <w:t> </w:t>
      </w:r>
      <w:r>
        <w:rPr>
          <w:color w:val="005DA1"/>
          <w:u w:val="single" w:color="005DA1"/>
          <w:vertAlign w:val="superscript"/>
        </w:rPr>
        <w:t>204</w:t>
      </w:r>
      <w:r>
        <w:rPr>
          <w:color w:val="005DA1"/>
          <w:vertAlign w:val="baseline"/>
        </w:rPr>
        <w:t> </w:t>
      </w:r>
      <w:r>
        <w:rPr>
          <w:vertAlign w:val="baseline"/>
        </w:rPr>
        <w:t>In the civil law systems, however, institutions similar to the trust may fall within the Convention</w:t>
      </w:r>
      <w:r>
        <w:rPr>
          <w:spacing w:val="31"/>
          <w:vertAlign w:val="baseline"/>
        </w:rPr>
        <w:t> </w:t>
      </w:r>
      <w:r>
        <w:rPr>
          <w:vertAlign w:val="baseline"/>
        </w:rPr>
        <w:t>because</w:t>
      </w:r>
      <w:r>
        <w:rPr>
          <w:spacing w:val="32"/>
          <w:vertAlign w:val="baseline"/>
        </w:rPr>
        <w:t> </w:t>
      </w:r>
      <w:r>
        <w:rPr>
          <w:vertAlign w:val="baseline"/>
        </w:rPr>
        <w:t>they</w:t>
      </w:r>
      <w:r>
        <w:rPr>
          <w:spacing w:val="31"/>
          <w:vertAlign w:val="baseline"/>
        </w:rPr>
        <w:t> </w:t>
      </w:r>
      <w:r>
        <w:rPr>
          <w:vertAlign w:val="baseline"/>
        </w:rPr>
        <w:t>are</w:t>
      </w:r>
      <w:r>
        <w:rPr>
          <w:spacing w:val="32"/>
          <w:vertAlign w:val="baseline"/>
        </w:rPr>
        <w:t> </w:t>
      </w:r>
      <w:r>
        <w:rPr>
          <w:vertAlign w:val="baseline"/>
        </w:rPr>
        <w:t>normally</w:t>
      </w:r>
      <w:r>
        <w:rPr>
          <w:spacing w:val="31"/>
          <w:vertAlign w:val="baseline"/>
        </w:rPr>
        <w:t> </w:t>
      </w:r>
      <w:r>
        <w:rPr>
          <w:vertAlign w:val="baseline"/>
        </w:rPr>
        <w:t>contractual</w:t>
      </w:r>
      <w:r>
        <w:rPr>
          <w:spacing w:val="32"/>
          <w:vertAlign w:val="baseline"/>
        </w:rPr>
        <w:t> </w:t>
      </w:r>
      <w:r>
        <w:rPr>
          <w:vertAlign w:val="baseline"/>
        </w:rPr>
        <w:t>in</w:t>
      </w:r>
      <w:r>
        <w:rPr>
          <w:spacing w:val="31"/>
          <w:vertAlign w:val="baseline"/>
        </w:rPr>
        <w:t> </w:t>
      </w:r>
      <w:r>
        <w:rPr>
          <w:vertAlign w:val="baseline"/>
        </w:rPr>
        <w:t>origin.</w:t>
      </w:r>
      <w:r>
        <w:rPr>
          <w:spacing w:val="31"/>
          <w:vertAlign w:val="baseline"/>
        </w:rPr>
        <w:t> </w:t>
      </w:r>
      <w:r>
        <w:rPr>
          <w:color w:val="005DA1"/>
          <w:u w:val="single" w:color="005DA1"/>
          <w:vertAlign w:val="superscript"/>
        </w:rPr>
        <w:t>205</w:t>
      </w:r>
      <w:r>
        <w:rPr>
          <w:color w:val="005DA1"/>
          <w:spacing w:val="32"/>
          <w:vertAlign w:val="baseline"/>
        </w:rPr>
        <w:t> </w:t>
      </w:r>
      <w:r>
        <w:rPr>
          <w:vertAlign w:val="baseline"/>
        </w:rPr>
        <w:t>According</w:t>
      </w:r>
      <w:r>
        <w:rPr>
          <w:spacing w:val="31"/>
          <w:vertAlign w:val="baseline"/>
        </w:rPr>
        <w:t> </w:t>
      </w:r>
      <w:r>
        <w:rPr>
          <w:vertAlign w:val="baseline"/>
        </w:rPr>
        <w:t>to</w:t>
      </w:r>
      <w:r>
        <w:rPr>
          <w:spacing w:val="32"/>
          <w:vertAlign w:val="baseline"/>
        </w:rPr>
        <w:t> </w:t>
      </w:r>
      <w:r>
        <w:rPr>
          <w:vertAlign w:val="baseline"/>
        </w:rPr>
        <w:t>the</w:t>
      </w:r>
      <w:r>
        <w:rPr>
          <w:spacing w:val="31"/>
          <w:vertAlign w:val="baseline"/>
        </w:rPr>
        <w:t> </w:t>
      </w:r>
      <w:r>
        <w:rPr>
          <w:vertAlign w:val="baseline"/>
        </w:rPr>
        <w:t>Giuliano-</w:t>
      </w:r>
      <w:r>
        <w:rPr>
          <w:spacing w:val="-2"/>
          <w:vertAlign w:val="baseline"/>
        </w:rPr>
        <w:t>Lagarde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Report, it will, nevertheless, be open to the judge to treat these civil law institutions in the same </w:t>
      </w:r>
      <w:r>
        <w:rPr/>
        <w:t>way </w:t>
      </w:r>
      <w:bookmarkStart w:name="_bookmark317" w:id="319"/>
      <w:bookmarkEnd w:id="319"/>
      <w:r>
        <w:rPr/>
        <w:t>as</w:t>
      </w:r>
      <w:r>
        <w:rPr/>
        <w:t> the institutions of the common law countries when the former exhibit the same characteristics as the latter. </w:t>
      </w:r>
      <w:r>
        <w:rPr>
          <w:color w:val="005DA1"/>
          <w:u w:val="single" w:color="005DA1"/>
          <w:vertAlign w:val="superscript"/>
        </w:rPr>
        <w:t>206</w:t>
      </w:r>
    </w:p>
    <w:p>
      <w:pPr>
        <w:pStyle w:val="BodyText"/>
      </w:pPr>
    </w:p>
    <w:p>
      <w:pPr>
        <w:pStyle w:val="BodyText"/>
        <w:spacing w:before="38"/>
      </w:pPr>
    </w:p>
    <w:p>
      <w:pPr>
        <w:spacing w:before="0"/>
        <w:ind w:left="165" w:right="0" w:firstLine="0"/>
        <w:jc w:val="left"/>
        <w:rPr>
          <w:rFonts w:ascii="Arial"/>
          <w:b/>
          <w:sz w:val="18"/>
        </w:rPr>
      </w:pPr>
      <w:r>
        <w:rPr>
          <w:rFonts w:ascii="Arial"/>
          <w:b/>
          <w:sz w:val="18"/>
        </w:rPr>
        <w:t>Evidence and </w:t>
      </w:r>
      <w:r>
        <w:rPr>
          <w:rFonts w:ascii="Arial"/>
          <w:b/>
          <w:spacing w:val="-2"/>
          <w:sz w:val="18"/>
        </w:rPr>
        <w:t>procedure</w:t>
      </w:r>
    </w:p>
    <w:p>
      <w:pPr>
        <w:pStyle w:val="BodyText"/>
        <w:spacing w:before="41"/>
        <w:rPr>
          <w:rFonts w:ascii="Arial"/>
          <w:b/>
          <w:sz w:val="18"/>
        </w:rPr>
      </w:pPr>
    </w:p>
    <w:p>
      <w:pPr>
        <w:pStyle w:val="Heading2"/>
      </w:pPr>
      <w:r>
        <w:rPr/>
        <w:t>30-</w:t>
      </w:r>
      <w:r>
        <w:rPr>
          <w:spacing w:val="-5"/>
        </w:rPr>
        <w:t>043</w:t>
      </w:r>
    </w:p>
    <w:p>
      <w:pPr>
        <w:pStyle w:val="BodyText"/>
        <w:spacing w:line="235" w:lineRule="auto" w:before="203"/>
        <w:ind w:left="165" w:right="167"/>
        <w:jc w:val="both"/>
      </w:pPr>
      <w:r>
        <w:rPr/>
        <w:t>Article 1(2)(h) of the Convention excludes “evidence and procedure, without prejudice to Article </w:t>
      </w:r>
      <w:r>
        <w:rPr/>
        <w:t>14”, from the scope of the Convention. Article 14 (concerned with the law applicable to presumptions, burden</w:t>
      </w:r>
      <w:r>
        <w:rPr>
          <w:spacing w:val="-1"/>
        </w:rPr>
        <w:t> </w:t>
      </w:r>
      <w:r>
        <w:rPr/>
        <w:t>of</w:t>
      </w:r>
      <w:r>
        <w:rPr>
          <w:spacing w:val="-1"/>
        </w:rPr>
        <w:t> </w:t>
      </w:r>
      <w:r>
        <w:rPr/>
        <w:t>proof</w:t>
      </w:r>
      <w:r>
        <w:rPr>
          <w:spacing w:val="-1"/>
        </w:rPr>
        <w:t> </w:t>
      </w:r>
      <w:r>
        <w:rPr/>
        <w:t>and</w:t>
      </w:r>
      <w:r>
        <w:rPr>
          <w:spacing w:val="-1"/>
        </w:rPr>
        <w:t> </w:t>
      </w:r>
      <w:r>
        <w:rPr/>
        <w:t>mode</w:t>
      </w:r>
      <w:r>
        <w:rPr>
          <w:spacing w:val="-1"/>
        </w:rPr>
        <w:t> </w:t>
      </w:r>
      <w:r>
        <w:rPr/>
        <w:t>of</w:t>
      </w:r>
      <w:r>
        <w:rPr>
          <w:spacing w:val="-1"/>
        </w:rPr>
        <w:t> </w:t>
      </w:r>
      <w:r>
        <w:rPr/>
        <w:t>proof)</w:t>
      </w:r>
      <w:r>
        <w:rPr>
          <w:spacing w:val="-1"/>
        </w:rPr>
        <w:t> </w:t>
      </w:r>
      <w:r>
        <w:rPr/>
        <w:t>is</w:t>
      </w:r>
      <w:r>
        <w:rPr>
          <w:spacing w:val="-1"/>
        </w:rPr>
        <w:t> </w:t>
      </w:r>
      <w:r>
        <w:rPr/>
        <w:t>discussed</w:t>
      </w:r>
      <w:r>
        <w:rPr>
          <w:spacing w:val="-1"/>
        </w:rPr>
        <w:t> </w:t>
      </w:r>
      <w:r>
        <w:rPr/>
        <w:t>below,</w:t>
      </w:r>
      <w:r>
        <w:rPr>
          <w:spacing w:val="-1"/>
        </w:rPr>
        <w:t> </w:t>
      </w:r>
      <w:r>
        <w:rPr/>
        <w:t>paras</w:t>
      </w:r>
      <w:r>
        <w:rPr>
          <w:spacing w:val="-1"/>
        </w:rPr>
        <w:t> </w:t>
      </w:r>
      <w:r>
        <w:rPr/>
        <w:t>30-353—30-355.</w:t>
      </w:r>
      <w:r>
        <w:rPr>
          <w:spacing w:val="-1"/>
        </w:rPr>
        <w:t> </w:t>
      </w:r>
      <w:r>
        <w:rPr/>
        <w:t>The</w:t>
      </w:r>
      <w:r>
        <w:rPr>
          <w:spacing w:val="-1"/>
        </w:rPr>
        <w:t> </w:t>
      </w:r>
      <w:r>
        <w:rPr/>
        <w:t>Giuliano-Lagarde </w:t>
      </w:r>
      <w:bookmarkStart w:name="_bookmark318" w:id="320"/>
      <w:bookmarkEnd w:id="320"/>
      <w:r>
        <w:rPr/>
        <w:t>Report</w:t>
      </w:r>
      <w:r>
        <w:rPr/>
        <w:t> expresses the view that the exclusion of evidence and procedure “seems to require no </w:t>
      </w:r>
      <w:bookmarkStart w:name="_bookmark319" w:id="321"/>
      <w:bookmarkEnd w:id="321"/>
      <w:r>
        <w:rPr/>
        <w:t>comment”.</w:t>
      </w:r>
      <w:r>
        <w:rPr>
          <w:spacing w:val="-2"/>
        </w:rPr>
        <w:t> </w:t>
      </w:r>
      <w:r>
        <w:rPr>
          <w:color w:val="005DA1"/>
          <w:u w:val="single" w:color="005DA1"/>
          <w:vertAlign w:val="superscript"/>
        </w:rPr>
        <w:t>207</w:t>
      </w:r>
      <w:r>
        <w:rPr>
          <w:color w:val="005DA1"/>
          <w:spacing w:val="-2"/>
          <w:vertAlign w:val="baseline"/>
        </w:rPr>
        <w:t> </w:t>
      </w:r>
      <w:r>
        <w:rPr>
          <w:vertAlign w:val="baseline"/>
        </w:rPr>
        <w:t>Presumably</w:t>
      </w:r>
      <w:r>
        <w:rPr>
          <w:spacing w:val="-2"/>
          <w:vertAlign w:val="baseline"/>
        </w:rPr>
        <w:t> </w:t>
      </w:r>
      <w:r>
        <w:rPr>
          <w:vertAlign w:val="baseline"/>
        </w:rPr>
        <w:t>it</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for</w:t>
      </w:r>
      <w:r>
        <w:rPr>
          <w:spacing w:val="-2"/>
          <w:vertAlign w:val="baseline"/>
        </w:rPr>
        <w:t> </w:t>
      </w:r>
      <w:r>
        <w:rPr>
          <w:vertAlign w:val="baseline"/>
        </w:rPr>
        <w:t>national</w:t>
      </w:r>
      <w:r>
        <w:rPr>
          <w:spacing w:val="-2"/>
          <w:vertAlign w:val="baseline"/>
        </w:rPr>
        <w:t> </w:t>
      </w:r>
      <w:r>
        <w:rPr>
          <w:vertAlign w:val="baseline"/>
        </w:rPr>
        <w:t>law</w:t>
      </w:r>
      <w:r>
        <w:rPr>
          <w:spacing w:val="-2"/>
          <w:vertAlign w:val="baseline"/>
        </w:rPr>
        <w:t> </w:t>
      </w:r>
      <w:r>
        <w:rPr>
          <w:vertAlign w:val="baseline"/>
        </w:rPr>
        <w:t>to</w:t>
      </w:r>
      <w:r>
        <w:rPr>
          <w:spacing w:val="-2"/>
          <w:vertAlign w:val="baseline"/>
        </w:rPr>
        <w:t> </w:t>
      </w:r>
      <w:r>
        <w:rPr>
          <w:vertAlign w:val="baseline"/>
        </w:rPr>
        <w:t>classify</w:t>
      </w:r>
      <w:r>
        <w:rPr>
          <w:spacing w:val="-2"/>
          <w:vertAlign w:val="baseline"/>
        </w:rPr>
        <w:t> </w:t>
      </w:r>
      <w:r>
        <w:rPr>
          <w:vertAlign w:val="baseline"/>
        </w:rPr>
        <w:t>an</w:t>
      </w:r>
      <w:r>
        <w:rPr>
          <w:spacing w:val="-2"/>
          <w:vertAlign w:val="baseline"/>
        </w:rPr>
        <w:t> </w:t>
      </w:r>
      <w:r>
        <w:rPr>
          <w:vertAlign w:val="baseline"/>
        </w:rPr>
        <w:t>issue</w:t>
      </w:r>
      <w:r>
        <w:rPr>
          <w:spacing w:val="-2"/>
          <w:vertAlign w:val="baseline"/>
        </w:rPr>
        <w:t> </w:t>
      </w:r>
      <w:r>
        <w:rPr>
          <w:vertAlign w:val="baseline"/>
        </w:rPr>
        <w:t>as</w:t>
      </w:r>
      <w:r>
        <w:rPr>
          <w:spacing w:val="-2"/>
          <w:vertAlign w:val="baseline"/>
        </w:rPr>
        <w:t> </w:t>
      </w:r>
      <w:r>
        <w:rPr>
          <w:vertAlign w:val="baseline"/>
        </w:rPr>
        <w:t>belonging</w:t>
      </w:r>
      <w:r>
        <w:rPr>
          <w:spacing w:val="-2"/>
          <w:vertAlign w:val="baseline"/>
        </w:rPr>
        <w:t> </w:t>
      </w:r>
      <w:r>
        <w:rPr>
          <w:vertAlign w:val="baseline"/>
        </w:rPr>
        <w:t>to</w:t>
      </w:r>
      <w:r>
        <w:rPr>
          <w:spacing w:val="-2"/>
          <w:vertAlign w:val="baseline"/>
        </w:rPr>
        <w:t> </w:t>
      </w:r>
      <w:r>
        <w:rPr>
          <w:vertAlign w:val="baseline"/>
        </w:rPr>
        <w:t>one</w:t>
      </w:r>
      <w:r>
        <w:rPr>
          <w:spacing w:val="-2"/>
          <w:vertAlign w:val="baseline"/>
        </w:rPr>
        <w:t> </w:t>
      </w:r>
      <w:r>
        <w:rPr>
          <w:vertAlign w:val="baseline"/>
        </w:rPr>
        <w:t>or</w:t>
      </w:r>
      <w:r>
        <w:rPr>
          <w:spacing w:val="-2"/>
          <w:vertAlign w:val="baseline"/>
        </w:rPr>
        <w:t> </w:t>
      </w:r>
      <w:r>
        <w:rPr>
          <w:vertAlign w:val="baseline"/>
        </w:rPr>
        <w:t>other</w:t>
      </w:r>
      <w:r>
        <w:rPr>
          <w:spacing w:val="-2"/>
          <w:vertAlign w:val="baseline"/>
        </w:rPr>
        <w:t> </w:t>
      </w:r>
      <w:r>
        <w:rPr>
          <w:vertAlign w:val="baseline"/>
        </w:rPr>
        <w:t>of these categories. </w:t>
      </w:r>
      <w:r>
        <w:rPr>
          <w:color w:val="005DA1"/>
          <w:u w:val="single" w:color="005DA1"/>
          <w:vertAlign w:val="superscript"/>
        </w:rPr>
        <w:t>208</w:t>
      </w:r>
      <w:r>
        <w:rPr>
          <w:color w:val="005DA1"/>
          <w:vertAlign w:val="baseline"/>
        </w:rPr>
        <w:t> </w:t>
      </w:r>
      <w:r>
        <w:rPr>
          <w:vertAlign w:val="baseline"/>
        </w:rPr>
        <w:t>But it must be borne in mind that a matter classified as evidential or procedural will be governed by the law of the forum. The possibility of disparate approaches to classification </w:t>
      </w:r>
      <w:bookmarkStart w:name="_bookmark320" w:id="322"/>
      <w:bookmarkEnd w:id="322"/>
      <w:r>
        <w:rPr>
          <w:vertAlign w:val="baseline"/>
        </w:rPr>
        <w:t>amongst</w:t>
      </w:r>
      <w:r>
        <w:rPr>
          <w:spacing w:val="-1"/>
          <w:vertAlign w:val="baseline"/>
        </w:rPr>
        <w:t> </w:t>
      </w:r>
      <w:r>
        <w:rPr>
          <w:vertAlign w:val="baseline"/>
        </w:rPr>
        <w:t>the</w:t>
      </w:r>
      <w:r>
        <w:rPr>
          <w:spacing w:val="-1"/>
          <w:vertAlign w:val="baseline"/>
        </w:rPr>
        <w:t> </w:t>
      </w:r>
      <w:r>
        <w:rPr>
          <w:vertAlign w:val="baseline"/>
        </w:rPr>
        <w:t>contracting</w:t>
      </w:r>
      <w:r>
        <w:rPr>
          <w:spacing w:val="-1"/>
          <w:vertAlign w:val="baseline"/>
        </w:rPr>
        <w:t> </w:t>
      </w:r>
      <w:r>
        <w:rPr>
          <w:vertAlign w:val="baseline"/>
        </w:rPr>
        <w:t>states</w:t>
      </w:r>
      <w:r>
        <w:rPr>
          <w:spacing w:val="-1"/>
          <w:vertAlign w:val="baseline"/>
        </w:rPr>
        <w:t> </w:t>
      </w:r>
      <w:r>
        <w:rPr>
          <w:vertAlign w:val="baseline"/>
        </w:rPr>
        <w:t>may</w:t>
      </w:r>
      <w:r>
        <w:rPr>
          <w:spacing w:val="-1"/>
          <w:vertAlign w:val="baseline"/>
        </w:rPr>
        <w:t> </w:t>
      </w:r>
      <w:r>
        <w:rPr>
          <w:vertAlign w:val="baseline"/>
        </w:rPr>
        <w:t>thus</w:t>
      </w:r>
      <w:r>
        <w:rPr>
          <w:spacing w:val="-1"/>
          <w:vertAlign w:val="baseline"/>
        </w:rPr>
        <w:t> </w:t>
      </w:r>
      <w:r>
        <w:rPr>
          <w:vertAlign w:val="baseline"/>
        </w:rPr>
        <w:t>constitute</w:t>
      </w:r>
      <w:r>
        <w:rPr>
          <w:spacing w:val="-1"/>
          <w:vertAlign w:val="baseline"/>
        </w:rPr>
        <w:t> </w:t>
      </w:r>
      <w:r>
        <w:rPr>
          <w:vertAlign w:val="baseline"/>
        </w:rPr>
        <w:t>an</w:t>
      </w:r>
      <w:r>
        <w:rPr>
          <w:spacing w:val="-1"/>
          <w:vertAlign w:val="baseline"/>
        </w:rPr>
        <w:t> </w:t>
      </w:r>
      <w:r>
        <w:rPr>
          <w:vertAlign w:val="baseline"/>
        </w:rPr>
        <w:t>obstacle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uniformity</w:t>
      </w:r>
      <w:r>
        <w:rPr>
          <w:spacing w:val="-1"/>
          <w:vertAlign w:val="baseline"/>
        </w:rPr>
        <w:t> </w:t>
      </w:r>
      <w:r>
        <w:rPr>
          <w:vertAlign w:val="baseline"/>
        </w:rPr>
        <w:t>of</w:t>
      </w:r>
      <w:r>
        <w:rPr>
          <w:spacing w:val="-1"/>
          <w:vertAlign w:val="baseline"/>
        </w:rPr>
        <w:t> </w:t>
      </w:r>
      <w:r>
        <w:rPr>
          <w:vertAlign w:val="baseline"/>
        </w:rPr>
        <w:t>choice</w:t>
      </w:r>
      <w:r>
        <w:rPr>
          <w:spacing w:val="-1"/>
          <w:vertAlign w:val="baseline"/>
        </w:rPr>
        <w:t> </w:t>
      </w:r>
      <w:r>
        <w:rPr>
          <w:vertAlign w:val="baseline"/>
        </w:rPr>
        <w:t>of</w:t>
      </w:r>
      <w:r>
        <w:rPr>
          <w:spacing w:val="-1"/>
          <w:vertAlign w:val="baseline"/>
        </w:rPr>
        <w:t> </w:t>
      </w:r>
      <w:r>
        <w:rPr>
          <w:vertAlign w:val="baseline"/>
        </w:rPr>
        <w:t>law</w:t>
      </w:r>
      <w:r>
        <w:rPr>
          <w:spacing w:val="-1"/>
          <w:vertAlign w:val="baseline"/>
        </w:rPr>
        <w:t> </w:t>
      </w:r>
      <w:r>
        <w:rPr>
          <w:vertAlign w:val="baseline"/>
        </w:rPr>
        <w:t>rules which the Convention seeks to achieve. </w:t>
      </w:r>
      <w:r>
        <w:rPr>
          <w:color w:val="005DA1"/>
          <w:u w:val="single" w:color="005DA1"/>
          <w:vertAlign w:val="superscript"/>
        </w:rPr>
        <w:t>209</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Insurance</w:t>
      </w:r>
    </w:p>
    <w:p>
      <w:pPr>
        <w:pStyle w:val="BodyText"/>
        <w:spacing w:before="41"/>
        <w:rPr>
          <w:rFonts w:ascii="Arial"/>
          <w:b/>
          <w:sz w:val="18"/>
        </w:rPr>
      </w:pPr>
    </w:p>
    <w:p>
      <w:pPr>
        <w:pStyle w:val="Heading2"/>
      </w:pPr>
      <w:r>
        <w:rPr/>
        <w:t>30-</w:t>
      </w:r>
      <w:r>
        <w:rPr>
          <w:spacing w:val="-5"/>
        </w:rPr>
        <w:t>044</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r>
        <w:rPr/>
        <w:t>Article 1(3) of the Rome Convention provides that its rules:</w:t>
      </w:r>
    </w:p>
    <w:p>
      <w:pPr>
        <w:pStyle w:val="BodyText"/>
      </w:pPr>
    </w:p>
    <w:p>
      <w:pPr>
        <w:pStyle w:val="BodyText"/>
        <w:spacing w:before="126"/>
      </w:pPr>
    </w:p>
    <w:p>
      <w:pPr>
        <w:pStyle w:val="BodyText"/>
        <w:spacing w:line="235" w:lineRule="auto"/>
        <w:ind w:left="1245" w:right="167"/>
        <w:jc w:val="both"/>
      </w:pPr>
      <w:r>
        <w:rPr/>
        <w:t>“… do not apply to contracts of insurance which cover risks situated in the territories of</w:t>
      </w:r>
      <w:r>
        <w:rPr>
          <w:spacing w:val="40"/>
        </w:rPr>
        <w:t> </w:t>
      </w:r>
      <w:bookmarkStart w:name="_bookmark321" w:id="323"/>
      <w:bookmarkEnd w:id="323"/>
      <w:r>
        <w:rPr/>
        <w:t>the</w:t>
      </w:r>
      <w:r>
        <w:rPr>
          <w:spacing w:val="-1"/>
        </w:rPr>
        <w:t> </w:t>
      </w:r>
      <w:r>
        <w:rPr/>
        <w:t>Member</w:t>
      </w:r>
      <w:r>
        <w:rPr>
          <w:spacing w:val="-1"/>
        </w:rPr>
        <w:t> </w:t>
      </w:r>
      <w:r>
        <w:rPr/>
        <w:t>States</w:t>
      </w:r>
      <w:r>
        <w:rPr>
          <w:spacing w:val="-1"/>
        </w:rPr>
        <w:t> </w:t>
      </w:r>
      <w:r>
        <w:rPr/>
        <w:t>of</w:t>
      </w:r>
      <w:r>
        <w:rPr>
          <w:spacing w:val="-1"/>
        </w:rPr>
        <w:t> </w:t>
      </w:r>
      <w:r>
        <w:rPr/>
        <w:t>the</w:t>
      </w:r>
      <w:r>
        <w:rPr>
          <w:spacing w:val="-1"/>
        </w:rPr>
        <w:t> </w:t>
      </w:r>
      <w:r>
        <w:rPr/>
        <w:t>European</w:t>
      </w:r>
      <w:r>
        <w:rPr>
          <w:spacing w:val="-1"/>
        </w:rPr>
        <w:t> </w:t>
      </w:r>
      <w:r>
        <w:rPr/>
        <w:t>Economic</w:t>
      </w:r>
      <w:r>
        <w:rPr>
          <w:spacing w:val="-1"/>
        </w:rPr>
        <w:t> </w:t>
      </w:r>
      <w:r>
        <w:rPr/>
        <w:t>Community.</w:t>
      </w:r>
      <w:r>
        <w:rPr>
          <w:spacing w:val="-1"/>
        </w:rPr>
        <w:t> </w:t>
      </w:r>
      <w:r>
        <w:rPr/>
        <w:t>In</w:t>
      </w:r>
      <w:r>
        <w:rPr>
          <w:spacing w:val="-1"/>
        </w:rPr>
        <w:t> </w:t>
      </w:r>
      <w:r>
        <w:rPr/>
        <w:t>order</w:t>
      </w:r>
      <w:r>
        <w:rPr>
          <w:spacing w:val="-1"/>
        </w:rPr>
        <w:t> </w:t>
      </w:r>
      <w:r>
        <w:rPr/>
        <w:t>to</w:t>
      </w:r>
      <w:r>
        <w:rPr>
          <w:spacing w:val="-1"/>
        </w:rPr>
        <w:t> </w:t>
      </w:r>
      <w:r>
        <w:rPr/>
        <w:t>determine</w:t>
      </w:r>
      <w:r>
        <w:rPr>
          <w:spacing w:val="-1"/>
        </w:rPr>
        <w:t> </w:t>
      </w:r>
      <w:r>
        <w:rPr/>
        <w:t>whether a risk is situated in these territories the court shall apply its internal law.” </w:t>
      </w:r>
      <w:r>
        <w:rPr>
          <w:color w:val="005DA1"/>
          <w:u w:val="single" w:color="005DA1"/>
          <w:vertAlign w:val="superscript"/>
        </w:rPr>
        <w:t>210</w:t>
      </w:r>
    </w:p>
    <w:p>
      <w:pPr>
        <w:pStyle w:val="BodyText"/>
        <w:spacing w:before="115"/>
      </w:pPr>
    </w:p>
    <w:p>
      <w:pPr>
        <w:pStyle w:val="BodyText"/>
        <w:spacing w:line="235" w:lineRule="auto"/>
        <w:ind w:left="165" w:right="167"/>
        <w:jc w:val="both"/>
      </w:pPr>
      <w:r>
        <w:rPr/>
        <w:t>The effect of this provision is as follows. Where the risk covered by the insurance contract is situated </w:t>
      </w:r>
      <w:bookmarkStart w:name="_bookmark322" w:id="324"/>
      <w:bookmarkEnd w:id="324"/>
      <w:r>
        <w:rPr/>
        <w:t>outside</w:t>
      </w:r>
      <w:r>
        <w:rPr/>
        <w:t> the territories of the Member States of the European Communities, the rules of the Rome Convention will apply. </w:t>
      </w:r>
      <w:r>
        <w:rPr>
          <w:color w:val="005DA1"/>
          <w:u w:val="single" w:color="005DA1"/>
          <w:vertAlign w:val="superscript"/>
        </w:rPr>
        <w:t>211</w:t>
      </w:r>
      <w:r>
        <w:rPr>
          <w:color w:val="005DA1"/>
          <w:vertAlign w:val="baseline"/>
        </w:rPr>
        <w:t> </w:t>
      </w:r>
      <w:r>
        <w:rPr>
          <w:vertAlign w:val="baseline"/>
        </w:rPr>
        <w:t>Additionally, those rules will also apply to determine the law applicable to </w:t>
      </w:r>
      <w:r>
        <w:rPr>
          <w:vertAlign w:val="baseline"/>
        </w:rPr>
        <w:t>a </w:t>
      </w:r>
      <w:bookmarkStart w:name="_bookmark323" w:id="325"/>
      <w:bookmarkEnd w:id="325"/>
      <w:r>
        <w:rPr>
          <w:vertAlign w:val="baseline"/>
        </w:rPr>
        <w:t>contract</w:t>
      </w:r>
      <w:r>
        <w:rPr>
          <w:vertAlign w:val="baseline"/>
        </w:rPr>
        <w:t> of reinsurance since such contracts are specifically exempted from the exclusionary rule of art.1(3), even if the contract of reinsurance covers a risk which is situated in a Member State. </w:t>
      </w:r>
      <w:r>
        <w:rPr>
          <w:color w:val="005DA1"/>
          <w:u w:val="single" w:color="005DA1"/>
          <w:vertAlign w:val="superscript"/>
        </w:rPr>
        <w:t>212</w:t>
      </w:r>
      <w:r>
        <w:rPr>
          <w:color w:val="005DA1"/>
          <w:vertAlign w:val="baseline"/>
        </w:rPr>
        <w:t> </w:t>
      </w:r>
      <w:r>
        <w:rPr>
          <w:vertAlign w:val="baseline"/>
        </w:rPr>
        <w:t>Where, however, the risk covered by a contract of insurance is situated in the territories of the Member States of the EU or, as from December 1, 2001, in an EEA Member State, the choice of law </w:t>
      </w:r>
      <w:bookmarkStart w:name="_bookmark324" w:id="326"/>
      <w:bookmarkEnd w:id="326"/>
      <w:r>
        <w:rPr>
          <w:vertAlign w:val="baseline"/>
        </w:rPr>
        <w:t>rules</w:t>
      </w:r>
      <w:r>
        <w:rPr>
          <w:spacing w:val="4"/>
          <w:vertAlign w:val="baseline"/>
        </w:rPr>
        <w:t> </w:t>
      </w:r>
      <w:r>
        <w:rPr>
          <w:vertAlign w:val="baseline"/>
        </w:rPr>
        <w:t>to</w:t>
      </w:r>
      <w:r>
        <w:rPr>
          <w:spacing w:val="4"/>
          <w:vertAlign w:val="baseline"/>
        </w:rPr>
        <w:t> </w:t>
      </w:r>
      <w:r>
        <w:rPr>
          <w:vertAlign w:val="baseline"/>
        </w:rPr>
        <w:t>determine</w:t>
      </w:r>
      <w:r>
        <w:rPr>
          <w:spacing w:val="4"/>
          <w:vertAlign w:val="baseline"/>
        </w:rPr>
        <w:t> </w:t>
      </w:r>
      <w:r>
        <w:rPr>
          <w:vertAlign w:val="baseline"/>
        </w:rPr>
        <w:t>the</w:t>
      </w:r>
      <w:r>
        <w:rPr>
          <w:spacing w:val="4"/>
          <w:vertAlign w:val="baseline"/>
        </w:rPr>
        <w:t> </w:t>
      </w:r>
      <w:r>
        <w:rPr>
          <w:vertAlign w:val="baseline"/>
        </w:rPr>
        <w:t>applicable</w:t>
      </w:r>
      <w:r>
        <w:rPr>
          <w:spacing w:val="4"/>
          <w:vertAlign w:val="baseline"/>
        </w:rPr>
        <w:t> </w:t>
      </w:r>
      <w:r>
        <w:rPr>
          <w:vertAlign w:val="baseline"/>
        </w:rPr>
        <w:t>law</w:t>
      </w:r>
      <w:r>
        <w:rPr>
          <w:spacing w:val="4"/>
          <w:vertAlign w:val="baseline"/>
        </w:rPr>
        <w:t> </w:t>
      </w:r>
      <w:r>
        <w:rPr>
          <w:vertAlign w:val="baseline"/>
        </w:rPr>
        <w:t>are</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found</w:t>
      </w:r>
      <w:r>
        <w:rPr>
          <w:spacing w:val="4"/>
          <w:vertAlign w:val="baseline"/>
        </w:rPr>
        <w:t> </w:t>
      </w:r>
      <w:r>
        <w:rPr>
          <w:vertAlign w:val="baseline"/>
        </w:rPr>
        <w:t>in</w:t>
      </w:r>
      <w:r>
        <w:rPr>
          <w:spacing w:val="4"/>
          <w:vertAlign w:val="baseline"/>
        </w:rPr>
        <w:t> </w:t>
      </w:r>
      <w:r>
        <w:rPr>
          <w:vertAlign w:val="baseline"/>
        </w:rPr>
        <w:t>special</w:t>
      </w:r>
      <w:r>
        <w:rPr>
          <w:spacing w:val="4"/>
          <w:vertAlign w:val="baseline"/>
        </w:rPr>
        <w:t> </w:t>
      </w:r>
      <w:r>
        <w:rPr>
          <w:vertAlign w:val="baseline"/>
        </w:rPr>
        <w:t>legal</w:t>
      </w:r>
      <w:r>
        <w:rPr>
          <w:spacing w:val="4"/>
          <w:vertAlign w:val="baseline"/>
        </w:rPr>
        <w:t> </w:t>
      </w:r>
      <w:r>
        <w:rPr>
          <w:vertAlign w:val="baseline"/>
        </w:rPr>
        <w:t>regimes</w:t>
      </w:r>
      <w:r>
        <w:rPr>
          <w:spacing w:val="4"/>
          <w:vertAlign w:val="baseline"/>
        </w:rPr>
        <w:t> </w:t>
      </w:r>
      <w:r>
        <w:rPr>
          <w:vertAlign w:val="baseline"/>
        </w:rPr>
        <w:t>for,</w:t>
      </w:r>
      <w:r>
        <w:rPr>
          <w:spacing w:val="4"/>
          <w:vertAlign w:val="baseline"/>
        </w:rPr>
        <w:t> </w:t>
      </w:r>
      <w:r>
        <w:rPr>
          <w:vertAlign w:val="baseline"/>
        </w:rPr>
        <w:t>respectively,</w:t>
      </w:r>
      <w:r>
        <w:rPr>
          <w:spacing w:val="4"/>
          <w:vertAlign w:val="baseline"/>
        </w:rPr>
        <w:t> </w:t>
      </w:r>
      <w:r>
        <w:rPr>
          <w:spacing w:val="-2"/>
          <w:vertAlign w:val="baseline"/>
        </w:rPr>
        <w:t>nonlife</w:t>
      </w:r>
    </w:p>
    <w:p>
      <w:pPr>
        <w:pStyle w:val="BodyText"/>
        <w:spacing w:line="235" w:lineRule="auto" w:before="117"/>
        <w:ind w:left="165" w:right="167"/>
        <w:jc w:val="both"/>
      </w:pPr>
      <w:bookmarkStart w:name="_bookmark325" w:id="327"/>
      <w:bookmarkEnd w:id="327"/>
      <w:r>
        <w:rPr/>
      </w:r>
      <w:r>
        <w:rPr/>
        <w:t>and life insurance, which regimes are based on Community Directives </w:t>
      </w:r>
      <w:r>
        <w:rPr>
          <w:color w:val="005DA1"/>
          <w:u w:val="single" w:color="005DA1"/>
          <w:vertAlign w:val="superscript"/>
        </w:rPr>
        <w:t>213</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17"/>
          <w:vertAlign w:val="baseline"/>
        </w:rPr>
        <w:t> </w:t>
      </w:r>
      <w:r>
        <w:rPr>
          <w:vertAlign w:val="baseline"/>
        </w:rPr>
        <w:t>which have been </w:t>
      </w:r>
      <w:bookmarkStart w:name="_bookmark326" w:id="328"/>
      <w:bookmarkEnd w:id="328"/>
      <w:r>
        <w:rPr>
          <w:vertAlign w:val="baseline"/>
        </w:rPr>
        <w:t>implemented</w:t>
      </w:r>
      <w:r>
        <w:rPr>
          <w:vertAlign w:val="baseline"/>
        </w:rPr>
        <w:t> in United Kingdom law. </w:t>
      </w:r>
      <w:r>
        <w:rPr>
          <w:color w:val="005DA1"/>
          <w:u w:val="single" w:color="005DA1"/>
          <w:vertAlign w:val="superscript"/>
        </w:rPr>
        <w:t>214</w:t>
      </w:r>
      <w:r>
        <w:rPr>
          <w:color w:val="005DA1"/>
          <w:vertAlign w:val="baseline"/>
        </w:rPr>
        <w:t> </w:t>
      </w:r>
      <w:r>
        <w:rPr>
          <w:vertAlign w:val="baseline"/>
        </w:rPr>
        <w:t>The detail and complexity of these legal regimes </w:t>
      </w:r>
      <w:r>
        <w:rPr>
          <w:vertAlign w:val="baseline"/>
        </w:rPr>
        <w:t>precludes discussion here and the reader is referred to the appropriate source. </w:t>
      </w:r>
      <w:r>
        <w:rPr>
          <w:color w:val="005DA1"/>
          <w:u w:val="single" w:color="005DA1"/>
          <w:vertAlign w:val="superscript"/>
        </w:rPr>
        <w:t>215</w:t>
      </w:r>
    </w:p>
    <w:p>
      <w:pPr>
        <w:pStyle w:val="BodyText"/>
      </w:pPr>
    </w:p>
    <w:p>
      <w:pPr>
        <w:pStyle w:val="BodyText"/>
        <w:spacing w:before="38"/>
      </w:pPr>
    </w:p>
    <w:p>
      <w:pPr>
        <w:spacing w:before="0"/>
        <w:ind w:left="165" w:right="0" w:firstLine="0"/>
        <w:jc w:val="both"/>
        <w:rPr>
          <w:rFonts w:ascii="Arial"/>
          <w:b/>
          <w:sz w:val="18"/>
        </w:rPr>
      </w:pPr>
      <w:r>
        <w:rPr>
          <w:rFonts w:ascii="Arial"/>
          <w:b/>
          <w:sz w:val="18"/>
        </w:rPr>
        <w:t>Identification of </w:t>
      </w:r>
      <w:r>
        <w:rPr>
          <w:rFonts w:ascii="Arial"/>
          <w:b/>
          <w:spacing w:val="-2"/>
          <w:sz w:val="18"/>
        </w:rPr>
        <w:t>situs</w:t>
      </w:r>
    </w:p>
    <w:p>
      <w:pPr>
        <w:pStyle w:val="BodyText"/>
        <w:spacing w:before="41"/>
        <w:rPr>
          <w:rFonts w:ascii="Arial"/>
          <w:b/>
          <w:sz w:val="18"/>
        </w:rPr>
      </w:pPr>
    </w:p>
    <w:p>
      <w:pPr>
        <w:pStyle w:val="Heading2"/>
      </w:pPr>
      <w:r>
        <w:rPr/>
        <w:t>30-</w:t>
      </w:r>
      <w:r>
        <w:rPr>
          <w:spacing w:val="-5"/>
        </w:rPr>
        <w:t>045</w:t>
      </w:r>
    </w:p>
    <w:p>
      <w:pPr>
        <w:pStyle w:val="BodyText"/>
        <w:spacing w:line="235" w:lineRule="auto" w:before="203"/>
        <w:ind w:left="165" w:right="167"/>
        <w:jc w:val="both"/>
      </w:pPr>
      <w:r>
        <w:rPr/>
        <w:t>One issue which may, however, be appropriately dealt with here is as to the rules which are to be </w:t>
      </w:r>
      <w:bookmarkStart w:name="_bookmark327" w:id="329"/>
      <w:bookmarkEnd w:id="329"/>
      <w:r>
        <w:rPr/>
        <w:t>used</w:t>
      </w:r>
      <w:r>
        <w:rPr/>
        <w:t> for identifying the situs of a risk. The second sentence of art.1(3) requires the court to apply its “internal law” </w:t>
      </w:r>
      <w:r>
        <w:rPr>
          <w:color w:val="005DA1"/>
          <w:u w:val="single" w:color="005DA1"/>
          <w:vertAlign w:val="superscript"/>
        </w:rPr>
        <w:t>216</w:t>
      </w:r>
      <w:r>
        <w:rPr>
          <w:color w:val="005DA1"/>
          <w:vertAlign w:val="baseline"/>
        </w:rPr>
        <w:t> </w:t>
      </w:r>
      <w:r>
        <w:rPr>
          <w:vertAlign w:val="baseline"/>
        </w:rPr>
        <w:t>to determine whether a risk is situated in the territories of Member States of the EU, </w:t>
      </w:r>
      <w:bookmarkStart w:name="_bookmark328" w:id="330"/>
      <w:bookmarkEnd w:id="330"/>
      <w:r>
        <w:rPr>
          <w:vertAlign w:val="baseline"/>
        </w:rPr>
        <w:t>which</w:t>
      </w:r>
      <w:r>
        <w:rPr>
          <w:vertAlign w:val="baseline"/>
        </w:rPr>
        <w:t> territories must now be taken to refer to the territories of the Member States of the European Economic Area. </w:t>
      </w:r>
      <w:r>
        <w:rPr>
          <w:color w:val="005DA1"/>
          <w:u w:val="single" w:color="005DA1"/>
          <w:vertAlign w:val="superscript"/>
        </w:rPr>
        <w:t>217</w:t>
      </w:r>
      <w:r>
        <w:rPr>
          <w:color w:val="005DA1"/>
          <w:vertAlign w:val="baseline"/>
        </w:rPr>
        <w:t> </w:t>
      </w:r>
      <w:r>
        <w:rPr>
          <w:vertAlign w:val="baseline"/>
        </w:rPr>
        <w:t>Since, traditionally, the situs of a risk had played no role in United </w:t>
      </w:r>
      <w:r>
        <w:rPr>
          <w:vertAlign w:val="baseline"/>
        </w:rPr>
        <w:t>Kingdom insurance law, difficulties could have arisen in its identification. These difficulties are resolved by the existence of rules for this purpose in the Directives which are incorporated into United Kingdom law</w:t>
      </w:r>
      <w:r>
        <w:rPr>
          <w:spacing w:val="40"/>
          <w:vertAlign w:val="baseline"/>
        </w:rPr>
        <w:t> </w:t>
      </w:r>
      <w:bookmarkStart w:name="_bookmark329" w:id="331"/>
      <w:bookmarkEnd w:id="331"/>
      <w:r>
        <w:rPr>
          <w:vertAlign w:val="baseline"/>
        </w:rPr>
        <w:t>by</w:t>
      </w:r>
      <w:r>
        <w:rPr>
          <w:vertAlign w:val="baseline"/>
        </w:rPr>
        <w:t> the Financial Services and Markets Act 2000 (Law Applicable to Contracts of Insurance) </w:t>
      </w:r>
      <w:bookmarkStart w:name="_bookmark330" w:id="332"/>
      <w:bookmarkEnd w:id="332"/>
      <w:r>
        <w:rPr>
          <w:vertAlign w:val="baseline"/>
        </w:rPr>
        <w:t>Regulations</w:t>
      </w:r>
      <w:r>
        <w:rPr>
          <w:vertAlign w:val="baseline"/>
        </w:rPr>
        <w:t> 2001, </w:t>
      </w:r>
      <w:r>
        <w:rPr>
          <w:color w:val="005DA1"/>
          <w:u w:val="single" w:color="005DA1"/>
          <w:vertAlign w:val="superscript"/>
        </w:rPr>
        <w:t>218</w:t>
      </w:r>
      <w:r>
        <w:rPr>
          <w:color w:val="005DA1"/>
          <w:vertAlign w:val="baseline"/>
        </w:rPr>
        <w:t> </w:t>
      </w:r>
      <w:r>
        <w:rPr>
          <w:vertAlign w:val="baseline"/>
        </w:rPr>
        <w:t>and by an amendment to the Contracts (Applicable Law) Act 1990 which provides that these rules constitute the relevant internal law in art.1(3) of the Rome Convention. </w:t>
      </w:r>
      <w:r>
        <w:rPr>
          <w:color w:val="005DA1"/>
          <w:u w:val="single" w:color="005DA1"/>
          <w:vertAlign w:val="superscript"/>
        </w:rPr>
        <w:t>219</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before="14"/>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45" name="Group 45"/>
                <wp:cNvGraphicFramePr>
                  <a:graphicFrameLocks/>
                </wp:cNvGraphicFramePr>
                <a:graphic>
                  <a:graphicData uri="http://schemas.microsoft.com/office/word/2010/wordprocessingGroup">
                    <wpg:wgp>
                      <wpg:cNvPr id="45" name="Group 45"/>
                      <wpg:cNvGrpSpPr/>
                      <wpg:grpSpPr>
                        <a:xfrm>
                          <a:off x="0" y="0"/>
                          <a:ext cx="5724525" cy="12700"/>
                          <a:chExt cx="5724525" cy="12700"/>
                        </a:xfrm>
                      </wpg:grpSpPr>
                      <wps:wsp>
                        <wps:cNvPr id="46" name="Graphic 46"/>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10" coordorigin="0,0" coordsize="9015,20">
                <v:line style="position:absolute" from="0,10" to="9014,10" stroked="true" strokeweight="1pt" strokecolor="#000000">
                  <v:stroke dashstyle="solid"/>
                </v:line>
              </v:group>
            </w:pict>
          </mc:Fallback>
        </mc:AlternateContent>
      </w:r>
      <w:r>
        <w:rPr>
          <w:sz w:val="2"/>
        </w:rPr>
      </w:r>
    </w:p>
    <w:p>
      <w:pPr>
        <w:pStyle w:val="BodyText"/>
        <w:spacing w:before="91"/>
      </w:pPr>
    </w:p>
    <w:p>
      <w:pPr>
        <w:spacing w:line="235" w:lineRule="auto" w:before="0"/>
        <w:ind w:left="705" w:right="167" w:hanging="541"/>
        <w:jc w:val="both"/>
        <w:rPr>
          <w:sz w:val="20"/>
        </w:rPr>
      </w:pPr>
      <w:hyperlink w:history="true" w:anchor="_bookmark1132">
        <w:r>
          <w:rPr>
            <w:color w:val="005DA1"/>
            <w:position w:val="5"/>
            <w:sz w:val="14"/>
            <w:u w:val="single" w:color="005DA1"/>
          </w:rPr>
          <w:t>96</w:t>
        </w:r>
      </w:hyperlink>
      <w:r>
        <w:rPr>
          <w:position w:val="5"/>
          <w:sz w:val="14"/>
        </w:rPr>
        <w:t>.</w:t>
      </w:r>
      <w:r>
        <w:rPr>
          <w:spacing w:val="80"/>
          <w:position w:val="5"/>
          <w:sz w:val="14"/>
        </w:rPr>
        <w:t>  </w:t>
      </w:r>
      <w:r>
        <w:rPr>
          <w:sz w:val="20"/>
        </w:rPr>
        <w:t>Dicey, Morris and Collins on the Conflict of Laws, 14th edn (2006), Chs 32 and 33; Cheshire, North and Fawcett, </w:t>
      </w:r>
      <w:r>
        <w:rPr>
          <w:rFonts w:ascii="Arial"/>
          <w:i/>
          <w:sz w:val="20"/>
        </w:rPr>
        <w:t>Private International Law</w:t>
      </w:r>
      <w:r>
        <w:rPr>
          <w:sz w:val="20"/>
        </w:rPr>
        <w:t>, 14th edn (2008), Ch.18; Fawcett, Harris </w:t>
      </w:r>
      <w:r>
        <w:rPr>
          <w:sz w:val="20"/>
        </w:rPr>
        <w:t>and Bridge, </w:t>
      </w:r>
      <w:r>
        <w:rPr>
          <w:rFonts w:ascii="Arial"/>
          <w:i/>
          <w:sz w:val="20"/>
        </w:rPr>
        <w:t>International Sale of Goods in the Conflict of Laws </w:t>
      </w:r>
      <w:r>
        <w:rPr>
          <w:sz w:val="20"/>
        </w:rPr>
        <w:t>(2005), Ch.13; Meeusen, Pertegas and Straetmans, </w:t>
      </w:r>
      <w:r>
        <w:rPr>
          <w:rFonts w:ascii="Arial"/>
          <w:i/>
          <w:sz w:val="20"/>
        </w:rPr>
        <w:t>The Enforcement of International Contracts in the European Union </w:t>
      </w:r>
      <w:r>
        <w:rPr>
          <w:sz w:val="20"/>
        </w:rPr>
        <w:t>(2004); Plender and Wilderspin, </w:t>
      </w:r>
      <w:r>
        <w:rPr>
          <w:rFonts w:ascii="Arial"/>
          <w:i/>
          <w:sz w:val="20"/>
        </w:rPr>
        <w:t>The European Private International Law of Obligations </w:t>
      </w:r>
      <w:r>
        <w:rPr>
          <w:sz w:val="20"/>
        </w:rPr>
        <w:t>4th edn (2014), Chs 4-15; Fentiman, </w:t>
      </w:r>
      <w:r>
        <w:rPr>
          <w:rFonts w:ascii="Arial"/>
          <w:i/>
          <w:sz w:val="20"/>
        </w:rPr>
        <w:t>International Commercial Litigation </w:t>
      </w:r>
      <w:r>
        <w:rPr>
          <w:sz w:val="20"/>
        </w:rPr>
        <w:t>2nd edn (2015), Chs 3-6; Nygh, </w:t>
      </w:r>
      <w:r>
        <w:rPr>
          <w:rFonts w:ascii="Arial"/>
          <w:i/>
          <w:sz w:val="20"/>
        </w:rPr>
        <w:t>Autonomy in International Contracts </w:t>
      </w:r>
      <w:r>
        <w:rPr>
          <w:sz w:val="20"/>
        </w:rPr>
        <w:t>(1999); Kaye, </w:t>
      </w:r>
      <w:r>
        <w:rPr>
          <w:rFonts w:ascii="Arial"/>
          <w:i/>
          <w:sz w:val="20"/>
        </w:rPr>
        <w:t>The New Private International Law of Contract of the European Community </w:t>
      </w:r>
      <w:r>
        <w:rPr>
          <w:sz w:val="20"/>
        </w:rPr>
        <w:t>(1993); Lasok and Stone, </w:t>
      </w:r>
      <w:r>
        <w:rPr>
          <w:rFonts w:ascii="Arial"/>
          <w:i/>
          <w:sz w:val="20"/>
        </w:rPr>
        <w:t>Conflict of Laws in the European Community </w:t>
      </w:r>
      <w:r>
        <w:rPr>
          <w:sz w:val="20"/>
        </w:rPr>
        <w:t>(1987), Ch.9; North, </w:t>
      </w:r>
      <w:r>
        <w:rPr>
          <w:rFonts w:ascii="Arial"/>
          <w:i/>
          <w:sz w:val="20"/>
        </w:rPr>
        <w:t>Contract Conflicts </w:t>
      </w:r>
      <w:r>
        <w:rPr>
          <w:sz w:val="20"/>
        </w:rPr>
        <w:t>(1982); Fletcher, </w:t>
      </w:r>
      <w:r>
        <w:rPr>
          <w:rFonts w:ascii="Arial"/>
          <w:i/>
          <w:sz w:val="20"/>
        </w:rPr>
        <w:t>Conflict of Laws and European Community Law </w:t>
      </w:r>
      <w:r>
        <w:rPr>
          <w:sz w:val="20"/>
        </w:rPr>
        <w:t>(1982), Ch.5; Anton, </w:t>
      </w:r>
      <w:r>
        <w:rPr>
          <w:rFonts w:ascii="Arial"/>
          <w:i/>
          <w:sz w:val="20"/>
        </w:rPr>
        <w:t>Private International Law</w:t>
      </w:r>
      <w:r>
        <w:rPr>
          <w:sz w:val="20"/>
        </w:rPr>
        <w:t>, 2nd edn (1990), Ch.11;</w:t>
      </w:r>
      <w:r>
        <w:rPr>
          <w:spacing w:val="7"/>
          <w:sz w:val="20"/>
        </w:rPr>
        <w:t> </w:t>
      </w:r>
      <w:r>
        <w:rPr>
          <w:sz w:val="20"/>
        </w:rPr>
        <w:t>Diamond</w:t>
      </w:r>
      <w:r>
        <w:rPr>
          <w:spacing w:val="9"/>
          <w:sz w:val="20"/>
        </w:rPr>
        <w:t> </w:t>
      </w:r>
      <w:r>
        <w:rPr>
          <w:sz w:val="20"/>
        </w:rPr>
        <w:t>(1986)</w:t>
      </w:r>
      <w:r>
        <w:rPr>
          <w:spacing w:val="9"/>
          <w:sz w:val="20"/>
        </w:rPr>
        <w:t> </w:t>
      </w:r>
      <w:r>
        <w:rPr>
          <w:sz w:val="20"/>
        </w:rPr>
        <w:t>216</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z w:val="20"/>
        </w:rPr>
        <w:t>IV,</w:t>
      </w:r>
      <w:r>
        <w:rPr>
          <w:spacing w:val="9"/>
          <w:sz w:val="20"/>
        </w:rPr>
        <w:t> </w:t>
      </w:r>
      <w:r>
        <w:rPr>
          <w:sz w:val="20"/>
        </w:rPr>
        <w:t>233;</w:t>
      </w:r>
      <w:r>
        <w:rPr>
          <w:spacing w:val="9"/>
          <w:sz w:val="20"/>
        </w:rPr>
        <w:t> </w:t>
      </w:r>
      <w:r>
        <w:rPr>
          <w:sz w:val="20"/>
        </w:rPr>
        <w:t>North</w:t>
      </w:r>
      <w:r>
        <w:rPr>
          <w:spacing w:val="9"/>
          <w:sz w:val="20"/>
        </w:rPr>
        <w:t> </w:t>
      </w:r>
      <w:r>
        <w:rPr>
          <w:sz w:val="20"/>
        </w:rPr>
        <w:t>(1990)</w:t>
      </w:r>
      <w:r>
        <w:rPr>
          <w:spacing w:val="9"/>
          <w:sz w:val="20"/>
        </w:rPr>
        <w:t> </w:t>
      </w:r>
      <w:r>
        <w:rPr>
          <w:sz w:val="20"/>
        </w:rPr>
        <w:t>220</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pacing w:val="-5"/>
          <w:sz w:val="20"/>
        </w:rPr>
        <w:t>I,</w:t>
      </w:r>
    </w:p>
    <w:p>
      <w:pPr>
        <w:pStyle w:val="BodyText"/>
        <w:spacing w:line="220" w:lineRule="exact"/>
        <w:ind w:left="705"/>
        <w:jc w:val="both"/>
      </w:pPr>
      <w:r>
        <w:rPr/>
        <w:t>3,</w:t>
      </w:r>
      <w:r>
        <w:rPr>
          <w:spacing w:val="11"/>
        </w:rPr>
        <w:t> </w:t>
      </w:r>
      <w:r>
        <w:rPr/>
        <w:t>176-205;</w:t>
      </w:r>
      <w:r>
        <w:rPr>
          <w:spacing w:val="11"/>
        </w:rPr>
        <w:t> </w:t>
      </w:r>
      <w:r>
        <w:rPr/>
        <w:t>North</w:t>
      </w:r>
      <w:r>
        <w:rPr>
          <w:spacing w:val="11"/>
        </w:rPr>
        <w:t> </w:t>
      </w:r>
      <w:r>
        <w:rPr/>
        <w:t>[1980]</w:t>
      </w:r>
      <w:r>
        <w:rPr>
          <w:spacing w:val="11"/>
        </w:rPr>
        <w:t> </w:t>
      </w:r>
      <w:r>
        <w:rPr/>
        <w:t>J.B.L.</w:t>
      </w:r>
      <w:r>
        <w:rPr>
          <w:spacing w:val="11"/>
        </w:rPr>
        <w:t> </w:t>
      </w:r>
      <w:r>
        <w:rPr/>
        <w:t>392;</w:t>
      </w:r>
      <w:r>
        <w:rPr>
          <w:spacing w:val="11"/>
        </w:rPr>
        <w:t> </w:t>
      </w:r>
      <w:r>
        <w:rPr/>
        <w:t>Morse</w:t>
      </w:r>
      <w:r>
        <w:rPr>
          <w:spacing w:val="11"/>
        </w:rPr>
        <w:t> </w:t>
      </w:r>
      <w:r>
        <w:rPr/>
        <w:t>(1982)</w:t>
      </w:r>
      <w:r>
        <w:rPr>
          <w:spacing w:val="11"/>
        </w:rPr>
        <w:t> </w:t>
      </w:r>
      <w:r>
        <w:rPr/>
        <w:t>2</w:t>
      </w:r>
      <w:r>
        <w:rPr>
          <w:spacing w:val="11"/>
        </w:rPr>
        <w:t> </w:t>
      </w:r>
      <w:r>
        <w:rPr/>
        <w:t>Yb.</w:t>
      </w:r>
      <w:r>
        <w:rPr>
          <w:spacing w:val="11"/>
        </w:rPr>
        <w:t> </w:t>
      </w:r>
      <w:r>
        <w:rPr/>
        <w:t>Eur.</w:t>
      </w:r>
      <w:r>
        <w:rPr>
          <w:spacing w:val="11"/>
        </w:rPr>
        <w:t> </w:t>
      </w:r>
      <w:r>
        <w:rPr/>
        <w:t>L.</w:t>
      </w:r>
      <w:r>
        <w:rPr>
          <w:spacing w:val="11"/>
        </w:rPr>
        <w:t> </w:t>
      </w:r>
      <w:r>
        <w:rPr/>
        <w:t>107;</w:t>
      </w:r>
      <w:r>
        <w:rPr>
          <w:spacing w:val="11"/>
        </w:rPr>
        <w:t> </w:t>
      </w:r>
      <w:r>
        <w:rPr/>
        <w:t>Jaffey</w:t>
      </w:r>
      <w:r>
        <w:rPr>
          <w:spacing w:val="11"/>
        </w:rPr>
        <w:t> </w:t>
      </w:r>
      <w:r>
        <w:rPr/>
        <w:t>(1984)</w:t>
      </w:r>
      <w:r>
        <w:rPr>
          <w:spacing w:val="11"/>
        </w:rPr>
        <w:t> </w:t>
      </w:r>
      <w:r>
        <w:rPr/>
        <w:t>33</w:t>
      </w:r>
      <w:r>
        <w:rPr>
          <w:spacing w:val="11"/>
        </w:rPr>
        <w:t> </w:t>
      </w:r>
      <w:r>
        <w:rPr>
          <w:spacing w:val="-2"/>
        </w:rPr>
        <w:t>I.C.L.Q.</w:t>
      </w:r>
    </w:p>
    <w:p>
      <w:pPr>
        <w:pStyle w:val="BodyText"/>
        <w:spacing w:line="227" w:lineRule="exact"/>
        <w:ind w:left="705"/>
        <w:jc w:val="both"/>
      </w:pPr>
      <w:r>
        <w:rPr/>
        <w:t>531; Williams (1986) 35 I.C.L.Q. </w:t>
      </w:r>
      <w:r>
        <w:rPr>
          <w:spacing w:val="-5"/>
        </w:rPr>
        <w:t>1.</w:t>
      </w:r>
    </w:p>
    <w:p>
      <w:pPr>
        <w:pStyle w:val="BodyText"/>
        <w:spacing w:before="8"/>
      </w:pPr>
    </w:p>
    <w:p>
      <w:pPr>
        <w:spacing w:line="235" w:lineRule="auto" w:before="1"/>
        <w:ind w:left="705" w:right="167" w:hanging="541"/>
        <w:jc w:val="both"/>
        <w:rPr>
          <w:sz w:val="20"/>
        </w:rPr>
      </w:pPr>
      <w:bookmarkStart w:name="_bookmark331" w:id="333"/>
      <w:bookmarkEnd w:id="333"/>
      <w:r>
        <w:rPr/>
      </w:r>
      <w:hyperlink w:history="true" w:anchor="_bookmark252">
        <w:r>
          <w:rPr>
            <w:color w:val="005DA1"/>
            <w:position w:val="5"/>
            <w:sz w:val="14"/>
            <w:u w:val="single" w:color="005DA1"/>
          </w:rPr>
          <w:t>138</w:t>
        </w:r>
      </w:hyperlink>
      <w:r>
        <w:rPr>
          <w:position w:val="5"/>
          <w:sz w:val="14"/>
        </w:rPr>
        <w:t>.</w:t>
      </w:r>
      <w:r>
        <w:rPr>
          <w:spacing w:val="80"/>
          <w:position w:val="5"/>
          <w:sz w:val="14"/>
        </w:rPr>
        <w:t> </w:t>
      </w:r>
      <w:r>
        <w:rPr>
          <w:sz w:val="20"/>
        </w:rPr>
        <w:t>Dicey, Morris and Collins on the Conflict of Laws, 14th edn (2006), paras 32-031—32-</w:t>
      </w:r>
      <w:r>
        <w:rPr>
          <w:sz w:val="20"/>
        </w:rPr>
        <w:t>042; Fawcett, Harris and Bridge, </w:t>
      </w:r>
      <w:r>
        <w:rPr>
          <w:rFonts w:ascii="Arial" w:hAnsi="Arial"/>
          <w:i/>
          <w:sz w:val="20"/>
        </w:rPr>
        <w:t>International Sale of Goods in the Conflict of Laws </w:t>
      </w:r>
      <w:r>
        <w:rPr>
          <w:sz w:val="20"/>
        </w:rPr>
        <w:t>(2005), Ch.18; Kaye, </w:t>
      </w:r>
      <w:r>
        <w:rPr>
          <w:rFonts w:ascii="Arial" w:hAnsi="Arial"/>
          <w:i/>
          <w:sz w:val="20"/>
        </w:rPr>
        <w:t>The New Private International Law of Contract of the European Community </w:t>
      </w:r>
      <w:r>
        <w:rPr>
          <w:sz w:val="20"/>
        </w:rPr>
        <w:t>(1993),</w:t>
      </w:r>
      <w:r>
        <w:rPr>
          <w:spacing w:val="40"/>
          <w:sz w:val="20"/>
        </w:rPr>
        <w:t> </w:t>
      </w:r>
      <w:r>
        <w:rPr>
          <w:sz w:val="20"/>
        </w:rPr>
        <w:t>pp.98-106, 111-142.</w:t>
      </w:r>
    </w:p>
    <w:p>
      <w:pPr>
        <w:pStyle w:val="BodyText"/>
        <w:spacing w:before="8"/>
      </w:pPr>
    </w:p>
    <w:p>
      <w:pPr>
        <w:spacing w:line="235" w:lineRule="auto" w:before="0"/>
        <w:ind w:left="705" w:right="167" w:hanging="541"/>
        <w:jc w:val="both"/>
        <w:rPr>
          <w:sz w:val="20"/>
        </w:rPr>
      </w:pPr>
      <w:bookmarkStart w:name="_bookmark332" w:id="334"/>
      <w:bookmarkEnd w:id="334"/>
      <w:r>
        <w:rPr/>
      </w:r>
      <w:hyperlink w:history="true" w:anchor="_bookmark253">
        <w:r>
          <w:rPr>
            <w:color w:val="005DA1"/>
            <w:position w:val="5"/>
            <w:sz w:val="14"/>
            <w:u w:val="single" w:color="005DA1"/>
          </w:rPr>
          <w:t>139</w:t>
        </w:r>
      </w:hyperlink>
      <w:r>
        <w:rPr>
          <w:position w:val="5"/>
          <w:sz w:val="14"/>
        </w:rPr>
        <w:t>.</w:t>
      </w:r>
      <w:r>
        <w:rPr>
          <w:spacing w:val="80"/>
          <w:position w:val="5"/>
          <w:sz w:val="14"/>
        </w:rPr>
        <w:t>  </w:t>
      </w:r>
      <w:r>
        <w:rPr>
          <w:sz w:val="20"/>
        </w:rPr>
        <w:t>Giuliano-Lagarde Report, p.10. Thus, e.g. although the contractual aspects of a sale of goods will be governed by the Rome Convention, the proprietary aspects will not, and thus will be governed by the rules as to proprietary rights developed in the common law. See also</w:t>
      </w:r>
      <w:r>
        <w:rPr>
          <w:spacing w:val="-2"/>
          <w:sz w:val="20"/>
        </w:rPr>
        <w:t> </w:t>
      </w:r>
      <w:r>
        <w:rPr>
          <w:rFonts w:ascii="Arial" w:hAnsi="Arial"/>
          <w:i/>
          <w:sz w:val="20"/>
        </w:rPr>
        <w:t>Glencore International AG v Metro Trading International Inc [2001] 1 Lloyd’s Rep. 284</w:t>
      </w:r>
      <w:r>
        <w:rPr>
          <w:sz w:val="20"/>
        </w:rPr>
        <w:t>; </w:t>
      </w:r>
      <w:r>
        <w:rPr>
          <w:rFonts w:ascii="Arial" w:hAnsi="Arial"/>
          <w:i/>
          <w:sz w:val="20"/>
        </w:rPr>
        <w:t>Raiffeisen Zentralbank Osterreich AG v Five Star General Trading LLC [2001] EWCA Civ 68, [2001] Q.B. </w:t>
      </w:r>
      <w:r>
        <w:rPr>
          <w:rFonts w:ascii="Arial" w:hAnsi="Arial"/>
          <w:i/>
          <w:spacing w:val="-4"/>
          <w:sz w:val="20"/>
        </w:rPr>
        <w:t>825</w:t>
      </w:r>
      <w:r>
        <w:rPr>
          <w:spacing w:val="-4"/>
          <w:sz w:val="20"/>
        </w:rPr>
        <w:t>.</w:t>
      </w:r>
    </w:p>
    <w:p>
      <w:pPr>
        <w:pStyle w:val="BodyText"/>
        <w:spacing w:before="8"/>
      </w:pPr>
    </w:p>
    <w:p>
      <w:pPr>
        <w:spacing w:line="235" w:lineRule="auto" w:before="0"/>
        <w:ind w:left="705" w:right="168" w:hanging="541"/>
        <w:jc w:val="both"/>
        <w:rPr>
          <w:sz w:val="20"/>
        </w:rPr>
      </w:pPr>
      <w:bookmarkStart w:name="_bookmark333" w:id="335"/>
      <w:bookmarkEnd w:id="335"/>
      <w:r>
        <w:rPr/>
      </w:r>
      <w:hyperlink w:history="true" w:anchor="_bookmark254">
        <w:r>
          <w:rPr>
            <w:color w:val="005DA1"/>
            <w:position w:val="5"/>
            <w:sz w:val="14"/>
            <w:u w:val="single" w:color="005DA1"/>
          </w:rPr>
          <w:t>140</w:t>
        </w:r>
      </w:hyperlink>
      <w:r>
        <w:rPr>
          <w:position w:val="5"/>
          <w:sz w:val="14"/>
        </w:rPr>
        <w:t>.</w:t>
      </w:r>
      <w:r>
        <w:rPr>
          <w:spacing w:val="40"/>
          <w:position w:val="5"/>
          <w:sz w:val="14"/>
        </w:rPr>
        <w:t>  </w:t>
      </w:r>
      <w:r>
        <w:rPr>
          <w:rFonts w:ascii="Arial"/>
          <w:i/>
          <w:sz w:val="20"/>
        </w:rPr>
        <w:t>Raiffeisen Zentralbank Osterreich AG v Five Star General Trading LLC [2001] EWCA Civ 68</w:t>
      </w:r>
      <w:r>
        <w:rPr>
          <w:sz w:val="20"/>
        </w:rPr>
        <w:t>; </w:t>
      </w:r>
      <w:r>
        <w:rPr>
          <w:rFonts w:ascii="Arial"/>
          <w:i/>
          <w:sz w:val="20"/>
        </w:rPr>
        <w:t>Base Metal Trading Ltd v Shamurin [2004] EWCA Civ 1316, [2005] 1 W.L.R. 1157</w:t>
      </w:r>
      <w:r>
        <w:rPr>
          <w:sz w:val="20"/>
        </w:rPr>
        <w:t>; see also </w:t>
      </w:r>
      <w:r>
        <w:rPr>
          <w:rFonts w:ascii="Arial"/>
          <w:i/>
          <w:sz w:val="20"/>
        </w:rPr>
        <w:t>Atlantic Telecom GmbH, Noter (2004) S.L.T. 1031</w:t>
      </w:r>
      <w:r>
        <w:rPr>
          <w:sz w:val="20"/>
        </w:rPr>
        <w:t>. See Dicey, Morris and Collins para.32-023; Kaye pp.97-98.</w:t>
      </w:r>
    </w:p>
    <w:p>
      <w:pPr>
        <w:pStyle w:val="BodyText"/>
        <w:spacing w:before="4"/>
      </w:pPr>
    </w:p>
    <w:p>
      <w:pPr>
        <w:tabs>
          <w:tab w:pos="705" w:val="left" w:leader="none"/>
        </w:tabs>
        <w:spacing w:line="227" w:lineRule="exact" w:before="1"/>
        <w:ind w:left="165" w:right="0" w:firstLine="0"/>
        <w:jc w:val="left"/>
        <w:rPr>
          <w:sz w:val="20"/>
        </w:rPr>
      </w:pPr>
      <w:bookmarkStart w:name="_bookmark334" w:id="336"/>
      <w:bookmarkEnd w:id="336"/>
      <w:r>
        <w:rPr/>
      </w:r>
      <w:hyperlink w:history="true" w:anchor="_bookmark255">
        <w:r>
          <w:rPr>
            <w:color w:val="005DA1"/>
            <w:spacing w:val="-4"/>
            <w:position w:val="5"/>
            <w:sz w:val="14"/>
            <w:u w:val="single" w:color="005DA1"/>
          </w:rPr>
          <w:t>141</w:t>
        </w:r>
      </w:hyperlink>
      <w:r>
        <w:rPr>
          <w:spacing w:val="-4"/>
          <w:position w:val="5"/>
          <w:sz w:val="14"/>
        </w:rPr>
        <w:t>.</w:t>
      </w:r>
      <w:r>
        <w:rPr>
          <w:position w:val="5"/>
          <w:sz w:val="14"/>
        </w:rPr>
        <w:tab/>
      </w:r>
      <w:r>
        <w:rPr>
          <w:rFonts w:ascii="Arial"/>
          <w:i/>
          <w:sz w:val="20"/>
        </w:rPr>
        <w:t>Raiffeisen</w:t>
      </w:r>
      <w:r>
        <w:rPr>
          <w:rFonts w:ascii="Arial"/>
          <w:i/>
          <w:spacing w:val="-1"/>
          <w:sz w:val="20"/>
        </w:rPr>
        <w:t> </w:t>
      </w:r>
      <w:r>
        <w:rPr>
          <w:rFonts w:ascii="Arial"/>
          <w:i/>
          <w:sz w:val="20"/>
        </w:rPr>
        <w:t>Zentralbank Osterreich AG v Five Star General Trading LLC [2001] EWCA Civ 68</w:t>
      </w:r>
      <w:r>
        <w:rPr>
          <w:sz w:val="20"/>
        </w:rPr>
        <w:t>. </w:t>
      </w:r>
      <w:r>
        <w:rPr>
          <w:spacing w:val="-5"/>
          <w:sz w:val="20"/>
        </w:rPr>
        <w:t>cf.</w:t>
      </w:r>
    </w:p>
    <w:p>
      <w:pPr>
        <w:spacing w:line="227" w:lineRule="exact" w:before="0"/>
        <w:ind w:left="705" w:right="0" w:firstLine="0"/>
        <w:jc w:val="left"/>
        <w:rPr>
          <w:sz w:val="20"/>
        </w:rPr>
      </w:pPr>
      <w:r>
        <w:rPr>
          <w:rFonts w:ascii="Arial"/>
          <w:i/>
          <w:sz w:val="20"/>
        </w:rPr>
        <w:t>Re Bonacina [1912] 2 Ch. </w:t>
      </w:r>
      <w:r>
        <w:rPr>
          <w:rFonts w:ascii="Arial"/>
          <w:i/>
          <w:spacing w:val="-4"/>
          <w:sz w:val="20"/>
        </w:rPr>
        <w:t>394</w:t>
      </w:r>
      <w:r>
        <w:rPr>
          <w:spacing w:val="-4"/>
          <w:sz w:val="20"/>
        </w:rPr>
        <w:t>.</w:t>
      </w:r>
    </w:p>
    <w:p>
      <w:pPr>
        <w:pStyle w:val="BodyText"/>
        <w:spacing w:before="4"/>
      </w:pPr>
    </w:p>
    <w:p>
      <w:pPr>
        <w:pStyle w:val="BodyText"/>
        <w:tabs>
          <w:tab w:pos="705" w:val="left" w:leader="none"/>
        </w:tabs>
        <w:spacing w:before="1"/>
        <w:ind w:left="165"/>
      </w:pPr>
      <w:bookmarkStart w:name="_bookmark335" w:id="337"/>
      <w:bookmarkEnd w:id="337"/>
      <w:r>
        <w:rPr/>
      </w:r>
      <w:hyperlink w:history="true" w:anchor="_bookmark256">
        <w:r>
          <w:rPr>
            <w:color w:val="005DA1"/>
            <w:spacing w:val="-4"/>
            <w:position w:val="5"/>
            <w:sz w:val="14"/>
            <w:u w:val="single" w:color="005DA1"/>
          </w:rPr>
          <w:t>142</w:t>
        </w:r>
      </w:hyperlink>
      <w:r>
        <w:rPr>
          <w:spacing w:val="-4"/>
          <w:position w:val="5"/>
          <w:sz w:val="14"/>
        </w:rPr>
        <w:t>.</w:t>
      </w:r>
      <w:r>
        <w:rPr>
          <w:position w:val="5"/>
          <w:sz w:val="14"/>
        </w:rPr>
        <w:tab/>
      </w:r>
      <w:r>
        <w:rPr/>
        <w:t>Regulation </w:t>
      </w:r>
      <w:r>
        <w:rPr>
          <w:spacing w:val="-2"/>
        </w:rPr>
        <w:t>864/2007.</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160659</wp:posOffset>
            </wp:positionV>
            <wp:extent cx="107988" cy="107988"/>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36" w:id="338"/>
      <w:bookmarkEnd w:id="338"/>
      <w:r>
        <w:rPr/>
      </w:r>
      <w:hyperlink w:history="true" w:anchor="_bookmark257">
        <w:r>
          <w:rPr>
            <w:color w:val="005DA1"/>
            <w:spacing w:val="-4"/>
            <w:sz w:val="14"/>
            <w:u w:val="single" w:color="005DA1"/>
          </w:rPr>
          <w:t>143</w:t>
        </w:r>
      </w:hyperlink>
      <w:r>
        <w:rPr>
          <w:spacing w:val="-4"/>
          <w:sz w:val="14"/>
        </w:rPr>
        <w:t>.</w:t>
      </w:r>
    </w:p>
    <w:p>
      <w:pPr>
        <w:pStyle w:val="BodyText"/>
        <w:spacing w:line="235" w:lineRule="auto" w:before="212"/>
        <w:ind w:left="165" w:right="167" w:firstLine="170"/>
        <w:jc w:val="both"/>
      </w:pPr>
      <w:r>
        <w:rPr/>
        <w:br w:type="column"/>
      </w:r>
      <w:r>
        <w:rPr/>
        <w:t>Recital 11 to the Rome II Regulation. See Rome I art.1(2)(f) (Rome I does not apply to obligations arising prior to the conclusion of a contract). And see Rome II art.12 (culpa </w:t>
      </w:r>
      <w:r>
        <w:rPr/>
        <w:t>in contrahendo), below, para.30-148. On Rome II, see Dickinson, The Rome II Regulation (2008); and for clarification of the Rome II Regulation and its relationship with earlier English choice of law rules, see SI 2008/2986; for Scotland, see SSI 2008/404. In </w:t>
      </w:r>
      <w:r>
        <w:rPr>
          <w:rFonts w:ascii="Arial" w:hAnsi="Arial"/>
          <w:i/>
        </w:rPr>
        <w:t>Verein für Konsumenteninformation v Amazon EU Sarl (C-191/15) </w:t>
      </w:r>
      <w:r>
        <w:rPr/>
        <w:t>the CJEU held that a claim for an injunction against the use of unfair means in consumer cases came within the Rome II Regulation whereas the assessment of a particular term of a contract came under the Rome I </w:t>
      </w:r>
      <w:r>
        <w:rPr>
          <w:spacing w:val="-2"/>
        </w:rPr>
        <w:t>Regulation.</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3"/>
      </w:pPr>
    </w:p>
    <w:p>
      <w:pPr>
        <w:pStyle w:val="BodyText"/>
        <w:tabs>
          <w:tab w:pos="705" w:val="left" w:leader="none"/>
        </w:tabs>
        <w:ind w:left="165"/>
      </w:pPr>
      <w:bookmarkStart w:name="_bookmark337" w:id="339"/>
      <w:bookmarkEnd w:id="339"/>
      <w:r>
        <w:rPr/>
      </w:r>
      <w:hyperlink w:history="true" w:anchor="_bookmark258">
        <w:r>
          <w:rPr>
            <w:color w:val="005DA1"/>
            <w:spacing w:val="-4"/>
            <w:position w:val="5"/>
            <w:sz w:val="14"/>
            <w:u w:val="single" w:color="005DA1"/>
          </w:rPr>
          <w:t>144</w:t>
        </w:r>
      </w:hyperlink>
      <w:r>
        <w:rPr>
          <w:spacing w:val="-4"/>
          <w:position w:val="5"/>
          <w:sz w:val="14"/>
        </w:rPr>
        <w:t>.</w:t>
      </w:r>
      <w:r>
        <w:rPr>
          <w:position w:val="5"/>
          <w:sz w:val="14"/>
        </w:rPr>
        <w:tab/>
      </w:r>
      <w:r>
        <w:rPr/>
        <w:t>As to which see below, paras 30-107 et </w:t>
      </w:r>
      <w:r>
        <w:rPr>
          <w:spacing w:val="-4"/>
        </w:rPr>
        <w:t>seq.</w:t>
      </w:r>
    </w:p>
    <w:p>
      <w:pPr>
        <w:pStyle w:val="BodyText"/>
        <w:spacing w:before="5"/>
      </w:pPr>
    </w:p>
    <w:p>
      <w:pPr>
        <w:spacing w:line="227" w:lineRule="exact" w:before="0"/>
        <w:ind w:left="165" w:right="0" w:firstLine="0"/>
        <w:jc w:val="both"/>
        <w:rPr>
          <w:rFonts w:ascii="Arial"/>
          <w:i/>
          <w:sz w:val="20"/>
        </w:rPr>
      </w:pPr>
      <w:bookmarkStart w:name="_bookmark338" w:id="340"/>
      <w:bookmarkEnd w:id="340"/>
      <w:r>
        <w:rPr/>
      </w:r>
      <w:hyperlink w:history="true" w:anchor="_bookmark259">
        <w:r>
          <w:rPr>
            <w:color w:val="005DA1"/>
            <w:position w:val="5"/>
            <w:sz w:val="14"/>
            <w:u w:val="single" w:color="005DA1"/>
          </w:rPr>
          <w:t>145</w:t>
        </w:r>
      </w:hyperlink>
      <w:r>
        <w:rPr>
          <w:position w:val="5"/>
          <w:sz w:val="14"/>
        </w:rPr>
        <w:t>.</w:t>
      </w:r>
      <w:r>
        <w:rPr>
          <w:spacing w:val="75"/>
          <w:w w:val="150"/>
          <w:position w:val="5"/>
          <w:sz w:val="14"/>
        </w:rPr>
        <w:t>  </w:t>
      </w:r>
      <w:r>
        <w:rPr>
          <w:rFonts w:ascii="Arial"/>
          <w:i/>
          <w:sz w:val="20"/>
        </w:rPr>
        <w:t>Base</w:t>
      </w:r>
      <w:r>
        <w:rPr>
          <w:rFonts w:ascii="Arial"/>
          <w:i/>
          <w:spacing w:val="28"/>
          <w:sz w:val="20"/>
        </w:rPr>
        <w:t> </w:t>
      </w:r>
      <w:r>
        <w:rPr>
          <w:rFonts w:ascii="Arial"/>
          <w:i/>
          <w:sz w:val="20"/>
        </w:rPr>
        <w:t>Metal</w:t>
      </w:r>
      <w:r>
        <w:rPr>
          <w:rFonts w:ascii="Arial"/>
          <w:i/>
          <w:spacing w:val="28"/>
          <w:sz w:val="20"/>
        </w:rPr>
        <w:t> </w:t>
      </w:r>
      <w:r>
        <w:rPr>
          <w:rFonts w:ascii="Arial"/>
          <w:i/>
          <w:sz w:val="20"/>
        </w:rPr>
        <w:t>Trading</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Shamurin</w:t>
      </w:r>
      <w:r>
        <w:rPr>
          <w:rFonts w:ascii="Arial"/>
          <w:i/>
          <w:spacing w:val="28"/>
          <w:sz w:val="20"/>
        </w:rPr>
        <w:t> </w:t>
      </w:r>
      <w:r>
        <w:rPr>
          <w:rFonts w:ascii="Arial"/>
          <w:i/>
          <w:sz w:val="20"/>
        </w:rPr>
        <w:t>[2004]</w:t>
      </w:r>
      <w:r>
        <w:rPr>
          <w:rFonts w:ascii="Arial"/>
          <w:i/>
          <w:spacing w:val="28"/>
          <w:sz w:val="20"/>
        </w:rPr>
        <w:t> </w:t>
      </w:r>
      <w:r>
        <w:rPr>
          <w:rFonts w:ascii="Arial"/>
          <w:i/>
          <w:sz w:val="20"/>
        </w:rPr>
        <w:t>EWCA</w:t>
      </w:r>
      <w:r>
        <w:rPr>
          <w:rFonts w:ascii="Arial"/>
          <w:i/>
          <w:spacing w:val="27"/>
          <w:sz w:val="20"/>
        </w:rPr>
        <w:t> </w:t>
      </w:r>
      <w:r>
        <w:rPr>
          <w:rFonts w:ascii="Arial"/>
          <w:i/>
          <w:sz w:val="20"/>
        </w:rPr>
        <w:t>Civ</w:t>
      </w:r>
      <w:r>
        <w:rPr>
          <w:rFonts w:ascii="Arial"/>
          <w:i/>
          <w:spacing w:val="28"/>
          <w:sz w:val="20"/>
        </w:rPr>
        <w:t> </w:t>
      </w:r>
      <w:r>
        <w:rPr>
          <w:rFonts w:ascii="Arial"/>
          <w:i/>
          <w:sz w:val="20"/>
        </w:rPr>
        <w:t>1316,</w:t>
      </w:r>
      <w:r>
        <w:rPr>
          <w:rFonts w:ascii="Arial"/>
          <w:i/>
          <w:spacing w:val="28"/>
          <w:sz w:val="20"/>
        </w:rPr>
        <w:t> </w:t>
      </w:r>
      <w:r>
        <w:rPr>
          <w:rFonts w:ascii="Arial"/>
          <w:i/>
          <w:sz w:val="20"/>
        </w:rPr>
        <w:t>[2005]</w:t>
      </w:r>
      <w:r>
        <w:rPr>
          <w:rFonts w:ascii="Arial"/>
          <w:i/>
          <w:spacing w:val="28"/>
          <w:sz w:val="20"/>
        </w:rPr>
        <w:t> </w:t>
      </w:r>
      <w:r>
        <w:rPr>
          <w:rFonts w:ascii="Arial"/>
          <w:i/>
          <w:sz w:val="20"/>
        </w:rPr>
        <w:t>1</w:t>
      </w:r>
      <w:r>
        <w:rPr>
          <w:rFonts w:ascii="Arial"/>
          <w:i/>
          <w:spacing w:val="28"/>
          <w:sz w:val="20"/>
        </w:rPr>
        <w:t> </w:t>
      </w:r>
      <w:r>
        <w:rPr>
          <w:rFonts w:ascii="Arial"/>
          <w:i/>
          <w:sz w:val="20"/>
        </w:rPr>
        <w:t>W.L.R.</w:t>
      </w:r>
      <w:r>
        <w:rPr>
          <w:rFonts w:ascii="Arial"/>
          <w:i/>
          <w:spacing w:val="28"/>
          <w:sz w:val="20"/>
        </w:rPr>
        <w:t> </w:t>
      </w:r>
      <w:r>
        <w:rPr>
          <w:rFonts w:ascii="Arial"/>
          <w:i/>
          <w:sz w:val="20"/>
        </w:rPr>
        <w:t>1157</w:t>
      </w:r>
      <w:r>
        <w:rPr>
          <w:sz w:val="20"/>
        </w:rPr>
        <w:t>;</w:t>
      </w:r>
      <w:r>
        <w:rPr>
          <w:spacing w:val="28"/>
          <w:sz w:val="20"/>
        </w:rPr>
        <w:t> </w:t>
      </w:r>
      <w:r>
        <w:rPr>
          <w:rFonts w:ascii="Arial"/>
          <w:i/>
          <w:sz w:val="20"/>
        </w:rPr>
        <w:t>Booth</w:t>
      </w:r>
      <w:r>
        <w:rPr>
          <w:rFonts w:ascii="Arial"/>
          <w:i/>
          <w:spacing w:val="28"/>
          <w:sz w:val="20"/>
        </w:rPr>
        <w:t> </w:t>
      </w:r>
      <w:r>
        <w:rPr>
          <w:rFonts w:ascii="Arial"/>
          <w:i/>
          <w:spacing w:val="-10"/>
          <w:sz w:val="20"/>
        </w:rPr>
        <w:t>v</w:t>
      </w:r>
    </w:p>
    <w:p>
      <w:pPr>
        <w:spacing w:line="235" w:lineRule="auto" w:before="2"/>
        <w:ind w:left="705" w:right="168" w:firstLine="0"/>
        <w:jc w:val="both"/>
        <w:rPr>
          <w:rFonts w:ascii="Arial" w:hAnsi="Arial"/>
          <w:i/>
          <w:sz w:val="20"/>
        </w:rPr>
      </w:pPr>
      <w:r>
        <w:rPr>
          <w:rFonts w:ascii="Arial" w:hAnsi="Arial"/>
          <w:i/>
          <w:sz w:val="20"/>
        </w:rPr>
        <w:t>Phillips [2004] EWHC 1437 (Comm), [2004] 1 W.L.R. 3292</w:t>
      </w:r>
      <w:r>
        <w:rPr>
          <w:sz w:val="20"/>
        </w:rPr>
        <w:t>. See Dicey, Morris and </w:t>
      </w:r>
      <w:r>
        <w:rPr>
          <w:sz w:val="20"/>
        </w:rPr>
        <w:t>Collins, paras 33-084—33-085, 35-066; Fawcett, Harris and Bridge, </w:t>
      </w:r>
      <w:r>
        <w:rPr>
          <w:rFonts w:ascii="Arial" w:hAnsi="Arial"/>
          <w:i/>
          <w:sz w:val="20"/>
        </w:rPr>
        <w:t>International Sale of Goods in the Conflict of Laws </w:t>
      </w:r>
      <w:r>
        <w:rPr>
          <w:sz w:val="20"/>
        </w:rPr>
        <w:t>(2005), Ch.20. See also </w:t>
      </w:r>
      <w:r>
        <w:rPr>
          <w:rFonts w:ascii="Arial" w:hAnsi="Arial"/>
          <w:i/>
          <w:sz w:val="20"/>
        </w:rPr>
        <w:t>Ennstone Building Products Ltd v Stanger Ltd [2002] EWCA</w:t>
      </w:r>
      <w:r>
        <w:rPr>
          <w:rFonts w:ascii="Arial" w:hAnsi="Arial"/>
          <w:i/>
          <w:spacing w:val="36"/>
          <w:sz w:val="20"/>
        </w:rPr>
        <w:t> </w:t>
      </w:r>
      <w:r>
        <w:rPr>
          <w:rFonts w:ascii="Arial" w:hAnsi="Arial"/>
          <w:i/>
          <w:sz w:val="20"/>
        </w:rPr>
        <w:t>Civ</w:t>
      </w:r>
      <w:r>
        <w:rPr>
          <w:rFonts w:ascii="Arial" w:hAnsi="Arial"/>
          <w:i/>
          <w:spacing w:val="37"/>
          <w:sz w:val="20"/>
        </w:rPr>
        <w:t> </w:t>
      </w:r>
      <w:r>
        <w:rPr>
          <w:rFonts w:ascii="Arial" w:hAnsi="Arial"/>
          <w:i/>
          <w:sz w:val="20"/>
        </w:rPr>
        <w:t>916,</w:t>
      </w:r>
      <w:r>
        <w:rPr>
          <w:rFonts w:ascii="Arial" w:hAnsi="Arial"/>
          <w:i/>
          <w:spacing w:val="37"/>
          <w:sz w:val="20"/>
        </w:rPr>
        <w:t> </w:t>
      </w:r>
      <w:r>
        <w:rPr>
          <w:rFonts w:ascii="Arial" w:hAnsi="Arial"/>
          <w:i/>
          <w:sz w:val="20"/>
        </w:rPr>
        <w:t>[2002]</w:t>
      </w:r>
      <w:r>
        <w:rPr>
          <w:rFonts w:ascii="Arial" w:hAnsi="Arial"/>
          <w:i/>
          <w:spacing w:val="37"/>
          <w:sz w:val="20"/>
        </w:rPr>
        <w:t> </w:t>
      </w:r>
      <w:r>
        <w:rPr>
          <w:rFonts w:ascii="Arial" w:hAnsi="Arial"/>
          <w:i/>
          <w:sz w:val="20"/>
        </w:rPr>
        <w:t>1</w:t>
      </w:r>
      <w:r>
        <w:rPr>
          <w:rFonts w:ascii="Arial" w:hAnsi="Arial"/>
          <w:i/>
          <w:spacing w:val="37"/>
          <w:sz w:val="20"/>
        </w:rPr>
        <w:t> </w:t>
      </w:r>
      <w:r>
        <w:rPr>
          <w:rFonts w:ascii="Arial" w:hAnsi="Arial"/>
          <w:i/>
          <w:sz w:val="20"/>
        </w:rPr>
        <w:t>W.L.R.</w:t>
      </w:r>
      <w:r>
        <w:rPr>
          <w:rFonts w:ascii="Arial" w:hAnsi="Arial"/>
          <w:i/>
          <w:spacing w:val="37"/>
          <w:sz w:val="20"/>
        </w:rPr>
        <w:t> </w:t>
      </w:r>
      <w:r>
        <w:rPr>
          <w:rFonts w:ascii="Arial" w:hAnsi="Arial"/>
          <w:i/>
          <w:sz w:val="20"/>
        </w:rPr>
        <w:t>3059</w:t>
      </w:r>
      <w:r>
        <w:rPr>
          <w:sz w:val="20"/>
        </w:rPr>
        <w:t>.</w:t>
      </w:r>
      <w:r>
        <w:rPr>
          <w:spacing w:val="37"/>
          <w:sz w:val="20"/>
        </w:rPr>
        <w:t> </w:t>
      </w:r>
      <w:r>
        <w:rPr>
          <w:sz w:val="20"/>
        </w:rPr>
        <w:t>cf.</w:t>
      </w:r>
      <w:r>
        <w:rPr>
          <w:spacing w:val="37"/>
          <w:sz w:val="20"/>
        </w:rPr>
        <w:t> </w:t>
      </w:r>
      <w:r>
        <w:rPr>
          <w:rFonts w:ascii="Arial" w:hAnsi="Arial"/>
          <w:i/>
          <w:sz w:val="20"/>
        </w:rPr>
        <w:t>Kalfelis</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Schroder</w:t>
      </w:r>
      <w:r>
        <w:rPr>
          <w:rFonts w:ascii="Arial" w:hAnsi="Arial"/>
          <w:i/>
          <w:spacing w:val="37"/>
          <w:sz w:val="20"/>
        </w:rPr>
        <w:t> </w:t>
      </w:r>
      <w:r>
        <w:rPr>
          <w:rFonts w:ascii="Arial" w:hAnsi="Arial"/>
          <w:i/>
          <w:sz w:val="20"/>
        </w:rPr>
        <w:t>(189/87)</w:t>
      </w:r>
      <w:r>
        <w:rPr>
          <w:rFonts w:ascii="Arial" w:hAnsi="Arial"/>
          <w:i/>
          <w:spacing w:val="37"/>
          <w:sz w:val="20"/>
        </w:rPr>
        <w:t> </w:t>
      </w:r>
      <w:r>
        <w:rPr>
          <w:rFonts w:ascii="Arial" w:hAnsi="Arial"/>
          <w:i/>
          <w:sz w:val="20"/>
        </w:rPr>
        <w:t>[1988]</w:t>
      </w:r>
      <w:r>
        <w:rPr>
          <w:rFonts w:ascii="Arial" w:hAnsi="Arial"/>
          <w:i/>
          <w:spacing w:val="37"/>
          <w:sz w:val="20"/>
        </w:rPr>
        <w:t> </w:t>
      </w:r>
      <w:r>
        <w:rPr>
          <w:rFonts w:ascii="Arial" w:hAnsi="Arial"/>
          <w:i/>
          <w:sz w:val="20"/>
        </w:rPr>
        <w:t>E.C.R.</w:t>
      </w:r>
      <w:r>
        <w:rPr>
          <w:rFonts w:ascii="Arial" w:hAnsi="Arial"/>
          <w:i/>
          <w:spacing w:val="37"/>
          <w:sz w:val="20"/>
        </w:rPr>
        <w:t> </w:t>
      </w:r>
      <w:r>
        <w:rPr>
          <w:rFonts w:ascii="Arial" w:hAnsi="Arial"/>
          <w:i/>
          <w:spacing w:val="-4"/>
          <w:sz w:val="20"/>
        </w:rPr>
        <w:t>5565</w:t>
      </w:r>
    </w:p>
    <w:p>
      <w:pPr>
        <w:pStyle w:val="BodyText"/>
        <w:spacing w:line="225" w:lineRule="exact"/>
        <w:ind w:left="705"/>
        <w:jc w:val="both"/>
      </w:pPr>
      <w:r>
        <w:rPr/>
        <w:t>holding such a claim to be contractual for the purposes of art.5(1) of the Brussels </w:t>
      </w:r>
      <w:r>
        <w:rPr>
          <w:spacing w:val="-2"/>
        </w:rPr>
        <w:t>Convention.</w:t>
      </w:r>
    </w:p>
    <w:p>
      <w:pPr>
        <w:pStyle w:val="BodyText"/>
        <w:spacing w:before="4"/>
      </w:pPr>
    </w:p>
    <w:p>
      <w:pPr>
        <w:tabs>
          <w:tab w:pos="540" w:val="left" w:leader="none"/>
        </w:tabs>
        <w:spacing w:line="227" w:lineRule="exact" w:before="1"/>
        <w:ind w:left="0" w:right="168" w:firstLine="0"/>
        <w:jc w:val="right"/>
        <w:rPr>
          <w:rFonts w:ascii="Arial"/>
          <w:i/>
          <w:sz w:val="20"/>
        </w:rPr>
      </w:pPr>
      <w:bookmarkStart w:name="_bookmark339" w:id="341"/>
      <w:bookmarkEnd w:id="341"/>
      <w:r>
        <w:rPr/>
      </w:r>
      <w:hyperlink w:history="true" w:anchor="_bookmark260">
        <w:r>
          <w:rPr>
            <w:color w:val="005DA1"/>
            <w:spacing w:val="-4"/>
            <w:position w:val="5"/>
            <w:sz w:val="14"/>
            <w:u w:val="single" w:color="005DA1"/>
          </w:rPr>
          <w:t>146</w:t>
        </w:r>
      </w:hyperlink>
      <w:r>
        <w:rPr>
          <w:spacing w:val="-4"/>
          <w:position w:val="5"/>
          <w:sz w:val="14"/>
        </w:rPr>
        <w:t>.</w:t>
      </w:r>
      <w:r>
        <w:rPr>
          <w:position w:val="5"/>
          <w:sz w:val="14"/>
        </w:rPr>
        <w:tab/>
      </w:r>
      <w:r>
        <w:rPr>
          <w:sz w:val="20"/>
        </w:rPr>
        <w:t>cf.</w:t>
      </w:r>
      <w:r>
        <w:rPr>
          <w:spacing w:val="5"/>
          <w:sz w:val="20"/>
        </w:rPr>
        <w:t> </w:t>
      </w:r>
      <w:r>
        <w:rPr>
          <w:rFonts w:ascii="Arial"/>
          <w:i/>
          <w:sz w:val="20"/>
        </w:rPr>
        <w:t>Matthews</w:t>
      </w:r>
      <w:r>
        <w:rPr>
          <w:rFonts w:ascii="Arial"/>
          <w:i/>
          <w:spacing w:val="8"/>
          <w:sz w:val="20"/>
        </w:rPr>
        <w:t> </w:t>
      </w:r>
      <w:r>
        <w:rPr>
          <w:rFonts w:ascii="Arial"/>
          <w:i/>
          <w:sz w:val="20"/>
        </w:rPr>
        <w:t>v</w:t>
      </w:r>
      <w:r>
        <w:rPr>
          <w:rFonts w:ascii="Arial"/>
          <w:i/>
          <w:spacing w:val="8"/>
          <w:sz w:val="20"/>
        </w:rPr>
        <w:t> </w:t>
      </w:r>
      <w:r>
        <w:rPr>
          <w:rFonts w:ascii="Arial"/>
          <w:i/>
          <w:sz w:val="20"/>
        </w:rPr>
        <w:t>Kuwait</w:t>
      </w:r>
      <w:r>
        <w:rPr>
          <w:rFonts w:ascii="Arial"/>
          <w:i/>
          <w:spacing w:val="8"/>
          <w:sz w:val="20"/>
        </w:rPr>
        <w:t> </w:t>
      </w:r>
      <w:r>
        <w:rPr>
          <w:rFonts w:ascii="Arial"/>
          <w:i/>
          <w:sz w:val="20"/>
        </w:rPr>
        <w:t>Bechtel</w:t>
      </w:r>
      <w:r>
        <w:rPr>
          <w:rFonts w:ascii="Arial"/>
          <w:i/>
          <w:spacing w:val="8"/>
          <w:sz w:val="20"/>
        </w:rPr>
        <w:t> </w:t>
      </w:r>
      <w:r>
        <w:rPr>
          <w:rFonts w:ascii="Arial"/>
          <w:i/>
          <w:sz w:val="20"/>
        </w:rPr>
        <w:t>Corp</w:t>
      </w:r>
      <w:r>
        <w:rPr>
          <w:rFonts w:ascii="Arial"/>
          <w:i/>
          <w:spacing w:val="8"/>
          <w:sz w:val="20"/>
        </w:rPr>
        <w:t> </w:t>
      </w:r>
      <w:r>
        <w:rPr>
          <w:rFonts w:ascii="Arial"/>
          <w:i/>
          <w:sz w:val="20"/>
        </w:rPr>
        <w:t>[1959]</w:t>
      </w:r>
      <w:r>
        <w:rPr>
          <w:rFonts w:ascii="Arial"/>
          <w:i/>
          <w:spacing w:val="8"/>
          <w:sz w:val="20"/>
        </w:rPr>
        <w:t> </w:t>
      </w:r>
      <w:r>
        <w:rPr>
          <w:rFonts w:ascii="Arial"/>
          <w:i/>
          <w:sz w:val="20"/>
        </w:rPr>
        <w:t>2</w:t>
      </w:r>
      <w:r>
        <w:rPr>
          <w:rFonts w:ascii="Arial"/>
          <w:i/>
          <w:spacing w:val="8"/>
          <w:sz w:val="20"/>
        </w:rPr>
        <w:t> </w:t>
      </w:r>
      <w:r>
        <w:rPr>
          <w:rFonts w:ascii="Arial"/>
          <w:i/>
          <w:sz w:val="20"/>
        </w:rPr>
        <w:t>Q.B.</w:t>
      </w:r>
      <w:r>
        <w:rPr>
          <w:rFonts w:ascii="Arial"/>
          <w:i/>
          <w:spacing w:val="8"/>
          <w:sz w:val="20"/>
        </w:rPr>
        <w:t> </w:t>
      </w:r>
      <w:r>
        <w:rPr>
          <w:rFonts w:ascii="Arial"/>
          <w:i/>
          <w:sz w:val="20"/>
        </w:rPr>
        <w:t>57</w:t>
      </w:r>
      <w:r>
        <w:rPr>
          <w:sz w:val="20"/>
        </w:rPr>
        <w:t>;</w:t>
      </w:r>
      <w:r>
        <w:rPr>
          <w:spacing w:val="8"/>
          <w:sz w:val="20"/>
        </w:rPr>
        <w:t> </w:t>
      </w:r>
      <w:r>
        <w:rPr>
          <w:rFonts w:ascii="Arial"/>
          <w:i/>
          <w:sz w:val="20"/>
        </w:rPr>
        <w:t>Coupland</w:t>
      </w:r>
      <w:r>
        <w:rPr>
          <w:rFonts w:ascii="Arial"/>
          <w:i/>
          <w:spacing w:val="8"/>
          <w:sz w:val="20"/>
        </w:rPr>
        <w:t> </w:t>
      </w:r>
      <w:r>
        <w:rPr>
          <w:rFonts w:ascii="Arial"/>
          <w:i/>
          <w:sz w:val="20"/>
        </w:rPr>
        <w:t>v</w:t>
      </w:r>
      <w:r>
        <w:rPr>
          <w:rFonts w:ascii="Arial"/>
          <w:i/>
          <w:spacing w:val="8"/>
          <w:sz w:val="20"/>
        </w:rPr>
        <w:t> </w:t>
      </w:r>
      <w:r>
        <w:rPr>
          <w:rFonts w:ascii="Arial"/>
          <w:i/>
          <w:sz w:val="20"/>
        </w:rPr>
        <w:t>Arabian</w:t>
      </w:r>
      <w:r>
        <w:rPr>
          <w:rFonts w:ascii="Arial"/>
          <w:i/>
          <w:spacing w:val="8"/>
          <w:sz w:val="20"/>
        </w:rPr>
        <w:t> </w:t>
      </w:r>
      <w:r>
        <w:rPr>
          <w:rFonts w:ascii="Arial"/>
          <w:i/>
          <w:sz w:val="20"/>
        </w:rPr>
        <w:t>Gulf</w:t>
      </w:r>
      <w:r>
        <w:rPr>
          <w:rFonts w:ascii="Arial"/>
          <w:i/>
          <w:spacing w:val="8"/>
          <w:sz w:val="20"/>
        </w:rPr>
        <w:t> </w:t>
      </w:r>
      <w:r>
        <w:rPr>
          <w:rFonts w:ascii="Arial"/>
          <w:i/>
          <w:sz w:val="20"/>
        </w:rPr>
        <w:t>Oil</w:t>
      </w:r>
      <w:r>
        <w:rPr>
          <w:rFonts w:ascii="Arial"/>
          <w:i/>
          <w:spacing w:val="8"/>
          <w:sz w:val="20"/>
        </w:rPr>
        <w:t> </w:t>
      </w:r>
      <w:r>
        <w:rPr>
          <w:rFonts w:ascii="Arial"/>
          <w:i/>
          <w:sz w:val="20"/>
        </w:rPr>
        <w:t>Co</w:t>
      </w:r>
      <w:r>
        <w:rPr>
          <w:rFonts w:ascii="Arial"/>
          <w:i/>
          <w:spacing w:val="8"/>
          <w:sz w:val="20"/>
        </w:rPr>
        <w:t> </w:t>
      </w:r>
      <w:r>
        <w:rPr>
          <w:rFonts w:ascii="Arial"/>
          <w:i/>
          <w:sz w:val="20"/>
        </w:rPr>
        <w:t>[1983]</w:t>
      </w:r>
      <w:r>
        <w:rPr>
          <w:rFonts w:ascii="Arial"/>
          <w:i/>
          <w:spacing w:val="8"/>
          <w:sz w:val="20"/>
        </w:rPr>
        <w:t> </w:t>
      </w:r>
      <w:r>
        <w:rPr>
          <w:rFonts w:ascii="Arial"/>
          <w:i/>
          <w:spacing w:val="-10"/>
          <w:sz w:val="20"/>
        </w:rPr>
        <w:t>1</w:t>
      </w:r>
    </w:p>
    <w:p>
      <w:pPr>
        <w:spacing w:line="227" w:lineRule="exact" w:before="0"/>
        <w:ind w:left="0" w:right="168" w:firstLine="0"/>
        <w:jc w:val="right"/>
        <w:rPr>
          <w:rFonts w:ascii="Arial"/>
          <w:i/>
          <w:sz w:val="20"/>
        </w:rPr>
      </w:pPr>
      <w:r>
        <w:rPr>
          <w:rFonts w:ascii="Arial"/>
          <w:i/>
          <w:sz w:val="20"/>
        </w:rPr>
        <w:t>W.L.R.</w:t>
      </w:r>
      <w:r>
        <w:rPr>
          <w:rFonts w:ascii="Arial"/>
          <w:i/>
          <w:spacing w:val="18"/>
          <w:sz w:val="20"/>
        </w:rPr>
        <w:t> </w:t>
      </w:r>
      <w:r>
        <w:rPr>
          <w:rFonts w:ascii="Arial"/>
          <w:i/>
          <w:sz w:val="20"/>
        </w:rPr>
        <w:t>1136</w:t>
      </w:r>
      <w:r>
        <w:rPr>
          <w:rFonts w:ascii="Arial"/>
          <w:i/>
          <w:spacing w:val="19"/>
          <w:sz w:val="20"/>
        </w:rPr>
        <w:t> </w:t>
      </w:r>
      <w:r>
        <w:rPr>
          <w:rFonts w:ascii="Arial"/>
          <w:i/>
          <w:sz w:val="20"/>
        </w:rPr>
        <w:t>(affirmed</w:t>
      </w:r>
      <w:r>
        <w:rPr>
          <w:rFonts w:ascii="Arial"/>
          <w:i/>
          <w:spacing w:val="19"/>
          <w:sz w:val="20"/>
        </w:rPr>
        <w:t> </w:t>
      </w:r>
      <w:r>
        <w:rPr>
          <w:rFonts w:ascii="Arial"/>
          <w:i/>
          <w:sz w:val="20"/>
        </w:rPr>
        <w:t>1151)</w:t>
      </w:r>
      <w:r>
        <w:rPr>
          <w:sz w:val="20"/>
        </w:rPr>
        <w:t>;</w:t>
      </w:r>
      <w:r>
        <w:rPr>
          <w:spacing w:val="19"/>
          <w:sz w:val="20"/>
        </w:rPr>
        <w:t> </w:t>
      </w:r>
      <w:r>
        <w:rPr>
          <w:rFonts w:ascii="Arial"/>
          <w:i/>
          <w:sz w:val="20"/>
        </w:rPr>
        <w:t>Johnson</w:t>
      </w:r>
      <w:r>
        <w:rPr>
          <w:rFonts w:ascii="Arial"/>
          <w:i/>
          <w:spacing w:val="19"/>
          <w:sz w:val="20"/>
        </w:rPr>
        <w:t> </w:t>
      </w:r>
      <w:r>
        <w:rPr>
          <w:rFonts w:ascii="Arial"/>
          <w:i/>
          <w:sz w:val="20"/>
        </w:rPr>
        <w:t>v</w:t>
      </w:r>
      <w:r>
        <w:rPr>
          <w:rFonts w:ascii="Arial"/>
          <w:i/>
          <w:spacing w:val="19"/>
          <w:sz w:val="20"/>
        </w:rPr>
        <w:t> </w:t>
      </w:r>
      <w:r>
        <w:rPr>
          <w:rFonts w:ascii="Arial"/>
          <w:i/>
          <w:sz w:val="20"/>
        </w:rPr>
        <w:t>Coventry</w:t>
      </w:r>
      <w:r>
        <w:rPr>
          <w:rFonts w:ascii="Arial"/>
          <w:i/>
          <w:spacing w:val="19"/>
          <w:sz w:val="20"/>
        </w:rPr>
        <w:t> </w:t>
      </w:r>
      <w:r>
        <w:rPr>
          <w:rFonts w:ascii="Arial"/>
          <w:i/>
          <w:sz w:val="20"/>
        </w:rPr>
        <w:t>Churchill</w:t>
      </w:r>
      <w:r>
        <w:rPr>
          <w:rFonts w:ascii="Arial"/>
          <w:i/>
          <w:spacing w:val="19"/>
          <w:sz w:val="20"/>
        </w:rPr>
        <w:t> </w:t>
      </w:r>
      <w:r>
        <w:rPr>
          <w:rFonts w:ascii="Arial"/>
          <w:i/>
          <w:sz w:val="20"/>
        </w:rPr>
        <w:t>International</w:t>
      </w:r>
      <w:r>
        <w:rPr>
          <w:rFonts w:ascii="Arial"/>
          <w:i/>
          <w:spacing w:val="19"/>
          <w:sz w:val="20"/>
        </w:rPr>
        <w:t> </w:t>
      </w:r>
      <w:r>
        <w:rPr>
          <w:rFonts w:ascii="Arial"/>
          <w:i/>
          <w:sz w:val="20"/>
        </w:rPr>
        <w:t>Ltd</w:t>
      </w:r>
      <w:r>
        <w:rPr>
          <w:rFonts w:ascii="Arial"/>
          <w:i/>
          <w:spacing w:val="19"/>
          <w:sz w:val="20"/>
        </w:rPr>
        <w:t> </w:t>
      </w:r>
      <w:r>
        <w:rPr>
          <w:rFonts w:ascii="Arial"/>
          <w:i/>
          <w:sz w:val="20"/>
        </w:rPr>
        <w:t>[1992]</w:t>
      </w:r>
      <w:r>
        <w:rPr>
          <w:rFonts w:ascii="Arial"/>
          <w:i/>
          <w:spacing w:val="19"/>
          <w:sz w:val="20"/>
        </w:rPr>
        <w:t> </w:t>
      </w:r>
      <w:r>
        <w:rPr>
          <w:rFonts w:ascii="Arial"/>
          <w:i/>
          <w:sz w:val="20"/>
        </w:rPr>
        <w:t>3</w:t>
      </w:r>
      <w:r>
        <w:rPr>
          <w:rFonts w:ascii="Arial"/>
          <w:i/>
          <w:spacing w:val="19"/>
          <w:sz w:val="20"/>
        </w:rPr>
        <w:t> </w:t>
      </w:r>
      <w:r>
        <w:rPr>
          <w:rFonts w:ascii="Arial"/>
          <w:i/>
          <w:sz w:val="20"/>
        </w:rPr>
        <w:t>All</w:t>
      </w:r>
      <w:r>
        <w:rPr>
          <w:rFonts w:ascii="Arial"/>
          <w:i/>
          <w:spacing w:val="19"/>
          <w:sz w:val="20"/>
        </w:rPr>
        <w:t> </w:t>
      </w:r>
      <w:r>
        <w:rPr>
          <w:rFonts w:ascii="Arial"/>
          <w:i/>
          <w:spacing w:val="-4"/>
          <w:sz w:val="20"/>
        </w:rPr>
        <w:t>E.R.</w:t>
      </w:r>
    </w:p>
    <w:p>
      <w:pPr>
        <w:spacing w:after="0" w:line="227" w:lineRule="exact"/>
        <w:jc w:val="right"/>
        <w:rPr>
          <w:rFonts w:ascii="Arial"/>
          <w:i/>
          <w:sz w:val="20"/>
        </w:rPr>
        <w:sectPr>
          <w:type w:val="continuous"/>
          <w:pgSz w:w="11900" w:h="16840"/>
          <w:pgMar w:header="971" w:footer="0" w:top="1300" w:bottom="280" w:left="1275" w:right="1275"/>
        </w:sectPr>
      </w:pPr>
    </w:p>
    <w:p>
      <w:pPr>
        <w:spacing w:line="235" w:lineRule="auto" w:before="110"/>
        <w:ind w:left="705" w:right="167" w:firstLine="0"/>
        <w:jc w:val="both"/>
        <w:rPr>
          <w:sz w:val="20"/>
        </w:rPr>
      </w:pPr>
      <w:r>
        <w:rPr>
          <w:rFonts w:ascii="Arial"/>
          <w:i/>
          <w:sz w:val="20"/>
        </w:rPr>
        <w:t>14 </w:t>
      </w:r>
      <w:r>
        <w:rPr>
          <w:sz w:val="20"/>
        </w:rPr>
        <w:t>(where the claim was made in tort only, the contract not being pleaded); </w:t>
      </w:r>
      <w:r>
        <w:rPr>
          <w:rFonts w:ascii="Arial"/>
          <w:i/>
          <w:sz w:val="20"/>
        </w:rPr>
        <w:t>Base Metal Trading Ltd</w:t>
      </w:r>
      <w:r>
        <w:rPr>
          <w:rFonts w:ascii="Arial"/>
          <w:i/>
          <w:spacing w:val="-1"/>
          <w:sz w:val="20"/>
        </w:rPr>
        <w:t> </w:t>
      </w:r>
      <w:r>
        <w:rPr>
          <w:rFonts w:ascii="Arial"/>
          <w:i/>
          <w:sz w:val="20"/>
        </w:rPr>
        <w:t>v</w:t>
      </w:r>
      <w:r>
        <w:rPr>
          <w:rFonts w:ascii="Arial"/>
          <w:i/>
          <w:spacing w:val="-1"/>
          <w:sz w:val="20"/>
        </w:rPr>
        <w:t> </w:t>
      </w:r>
      <w:r>
        <w:rPr>
          <w:rFonts w:ascii="Arial"/>
          <w:i/>
          <w:sz w:val="20"/>
        </w:rPr>
        <w:t>Shamurin</w:t>
      </w:r>
      <w:r>
        <w:rPr>
          <w:rFonts w:ascii="Arial"/>
          <w:i/>
          <w:spacing w:val="-1"/>
          <w:sz w:val="20"/>
        </w:rPr>
        <w:t> </w:t>
      </w:r>
      <w:r>
        <w:rPr>
          <w:rFonts w:ascii="Arial"/>
          <w:i/>
          <w:sz w:val="20"/>
        </w:rPr>
        <w:t>[2004]</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1316</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i/>
          <w:sz w:val="20"/>
        </w:rPr>
        <w:t>Ennstone</w:t>
      </w:r>
      <w:r>
        <w:rPr>
          <w:rFonts w:ascii="Arial"/>
          <w:i/>
          <w:spacing w:val="-1"/>
          <w:sz w:val="20"/>
        </w:rPr>
        <w:t> </w:t>
      </w:r>
      <w:r>
        <w:rPr>
          <w:rFonts w:ascii="Arial"/>
          <w:i/>
          <w:sz w:val="20"/>
        </w:rPr>
        <w:t>Building</w:t>
      </w:r>
      <w:r>
        <w:rPr>
          <w:rFonts w:ascii="Arial"/>
          <w:i/>
          <w:spacing w:val="-1"/>
          <w:sz w:val="20"/>
        </w:rPr>
        <w:t> </w:t>
      </w:r>
      <w:r>
        <w:rPr>
          <w:rFonts w:ascii="Arial"/>
          <w:i/>
          <w:sz w:val="20"/>
        </w:rPr>
        <w:t>Products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Stanger</w:t>
      </w:r>
      <w:r>
        <w:rPr>
          <w:rFonts w:ascii="Arial"/>
          <w:i/>
          <w:spacing w:val="-1"/>
          <w:sz w:val="20"/>
        </w:rPr>
        <w:t> </w:t>
      </w:r>
      <w:r>
        <w:rPr>
          <w:rFonts w:ascii="Arial"/>
          <w:i/>
          <w:sz w:val="20"/>
        </w:rPr>
        <w:t>Ltd [2002] EWCA Civ 916</w:t>
      </w:r>
      <w:r>
        <w:rPr>
          <w:sz w:val="20"/>
        </w:rPr>
        <w:t>. There is nothing in Pt III of the Private International Law (Miscellaneous Provisions) Act 1995, in the rare occasions where it will apply, which contains choice of law rules in tort in English law, which precludes an employee from relying on an alternative claim in contract if it is more advantageous to do so: see Dicey, Morris and Collins para.32-024.</w:t>
      </w:r>
    </w:p>
    <w:p>
      <w:pPr>
        <w:pStyle w:val="BodyText"/>
        <w:spacing w:before="4"/>
      </w:pPr>
    </w:p>
    <w:p>
      <w:pPr>
        <w:tabs>
          <w:tab w:pos="705" w:val="left" w:leader="none"/>
        </w:tabs>
        <w:spacing w:before="0"/>
        <w:ind w:left="165" w:right="0" w:firstLine="0"/>
        <w:jc w:val="left"/>
        <w:rPr>
          <w:sz w:val="20"/>
        </w:rPr>
      </w:pPr>
      <w:bookmarkStart w:name="_bookmark340" w:id="342"/>
      <w:bookmarkEnd w:id="342"/>
      <w:r>
        <w:rPr/>
      </w:r>
      <w:hyperlink w:history="true" w:anchor="_bookmark261">
        <w:r>
          <w:rPr>
            <w:color w:val="005DA1"/>
            <w:spacing w:val="-4"/>
            <w:position w:val="5"/>
            <w:sz w:val="14"/>
            <w:u w:val="single" w:color="005DA1"/>
          </w:rPr>
          <w:t>147</w:t>
        </w:r>
      </w:hyperlink>
      <w:r>
        <w:rPr>
          <w:spacing w:val="-4"/>
          <w:position w:val="5"/>
          <w:sz w:val="14"/>
        </w:rPr>
        <w:t>.</w:t>
      </w:r>
      <w:r>
        <w:rPr>
          <w:position w:val="5"/>
          <w:sz w:val="14"/>
        </w:rPr>
        <w:tab/>
      </w:r>
      <w:r>
        <w:rPr>
          <w:rFonts w:ascii="Arial"/>
          <w:i/>
          <w:sz w:val="20"/>
        </w:rPr>
        <w:t>Homawoo v GMF Assurances SA (C-412/10) [2012] I.L.Pr. </w:t>
      </w:r>
      <w:r>
        <w:rPr>
          <w:rFonts w:ascii="Arial"/>
          <w:i/>
          <w:spacing w:val="-5"/>
          <w:sz w:val="20"/>
        </w:rPr>
        <w:t>2</w:t>
      </w:r>
      <w:r>
        <w:rPr>
          <w:spacing w:val="-5"/>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341" w:id="343"/>
      <w:bookmarkEnd w:id="343"/>
      <w:r>
        <w:rPr/>
      </w:r>
      <w:hyperlink w:history="true" w:anchor="_bookmark262">
        <w:r>
          <w:rPr>
            <w:color w:val="005DA1"/>
            <w:spacing w:val="-4"/>
            <w:position w:val="5"/>
            <w:sz w:val="14"/>
            <w:u w:val="single" w:color="005DA1"/>
          </w:rPr>
          <w:t>148</w:t>
        </w:r>
      </w:hyperlink>
      <w:r>
        <w:rPr>
          <w:spacing w:val="-4"/>
          <w:position w:val="5"/>
          <w:sz w:val="14"/>
        </w:rPr>
        <w:t>.</w:t>
      </w:r>
      <w:r>
        <w:rPr>
          <w:position w:val="5"/>
          <w:sz w:val="14"/>
        </w:rPr>
        <w:tab/>
      </w:r>
      <w:r>
        <w:rPr>
          <w:sz w:val="20"/>
        </w:rPr>
        <w:t>See Recital 11 and previous paragraph. And see </w:t>
      </w:r>
      <w:r>
        <w:rPr>
          <w:rFonts w:ascii="Arial"/>
          <w:i/>
          <w:sz w:val="20"/>
        </w:rPr>
        <w:t>Kalfelis v Schroeder (C-187/87) [1988] E.C.R. 5565</w:t>
      </w:r>
      <w:r>
        <w:rPr>
          <w:sz w:val="20"/>
        </w:rPr>
        <w:t>.</w:t>
      </w:r>
      <w:r>
        <w:rPr>
          <w:spacing w:val="43"/>
          <w:sz w:val="20"/>
        </w:rPr>
        <w:t> </w:t>
      </w:r>
      <w:r>
        <w:rPr>
          <w:sz w:val="20"/>
        </w:rPr>
        <w:t>cf.</w:t>
      </w:r>
      <w:r>
        <w:rPr>
          <w:spacing w:val="44"/>
          <w:sz w:val="20"/>
        </w:rPr>
        <w:t> </w:t>
      </w:r>
      <w:r>
        <w:rPr>
          <w:rFonts w:ascii="Arial"/>
          <w:i/>
          <w:sz w:val="20"/>
        </w:rPr>
        <w:t>Trafigura</w:t>
      </w:r>
      <w:r>
        <w:rPr>
          <w:rFonts w:ascii="Arial"/>
          <w:i/>
          <w:spacing w:val="44"/>
          <w:sz w:val="20"/>
        </w:rPr>
        <w:t> </w:t>
      </w:r>
      <w:r>
        <w:rPr>
          <w:rFonts w:ascii="Arial"/>
          <w:i/>
          <w:sz w:val="20"/>
        </w:rPr>
        <w:t>Beheer</w:t>
      </w:r>
      <w:r>
        <w:rPr>
          <w:rFonts w:ascii="Arial"/>
          <w:i/>
          <w:spacing w:val="44"/>
          <w:sz w:val="20"/>
        </w:rPr>
        <w:t> </w:t>
      </w:r>
      <w:r>
        <w:rPr>
          <w:rFonts w:ascii="Arial"/>
          <w:i/>
          <w:sz w:val="20"/>
        </w:rPr>
        <w:t>BV</w:t>
      </w:r>
      <w:r>
        <w:rPr>
          <w:rFonts w:ascii="Arial"/>
          <w:i/>
          <w:spacing w:val="44"/>
          <w:sz w:val="20"/>
        </w:rPr>
        <w:t> </w:t>
      </w:r>
      <w:r>
        <w:rPr>
          <w:rFonts w:ascii="Arial"/>
          <w:i/>
          <w:sz w:val="20"/>
        </w:rPr>
        <w:t>v</w:t>
      </w:r>
      <w:r>
        <w:rPr>
          <w:rFonts w:ascii="Arial"/>
          <w:i/>
          <w:spacing w:val="44"/>
          <w:sz w:val="20"/>
        </w:rPr>
        <w:t> </w:t>
      </w:r>
      <w:r>
        <w:rPr>
          <w:rFonts w:ascii="Arial"/>
          <w:i/>
          <w:sz w:val="20"/>
        </w:rPr>
        <w:t>Kookmin</w:t>
      </w:r>
      <w:r>
        <w:rPr>
          <w:rFonts w:ascii="Arial"/>
          <w:i/>
          <w:spacing w:val="44"/>
          <w:sz w:val="20"/>
        </w:rPr>
        <w:t> </w:t>
      </w:r>
      <w:r>
        <w:rPr>
          <w:rFonts w:ascii="Arial"/>
          <w:i/>
          <w:sz w:val="20"/>
        </w:rPr>
        <w:t>Bank</w:t>
      </w:r>
      <w:r>
        <w:rPr>
          <w:rFonts w:ascii="Arial"/>
          <w:i/>
          <w:spacing w:val="44"/>
          <w:sz w:val="20"/>
        </w:rPr>
        <w:t> </w:t>
      </w:r>
      <w:r>
        <w:rPr>
          <w:rFonts w:ascii="Arial"/>
          <w:i/>
          <w:sz w:val="20"/>
        </w:rPr>
        <w:t>Co</w:t>
      </w:r>
      <w:r>
        <w:rPr>
          <w:rFonts w:ascii="Arial"/>
          <w:i/>
          <w:spacing w:val="44"/>
          <w:sz w:val="20"/>
        </w:rPr>
        <w:t> </w:t>
      </w:r>
      <w:r>
        <w:rPr>
          <w:rFonts w:ascii="Arial"/>
          <w:i/>
          <w:sz w:val="20"/>
        </w:rPr>
        <w:t>[2006]</w:t>
      </w:r>
      <w:r>
        <w:rPr>
          <w:rFonts w:ascii="Arial"/>
          <w:i/>
          <w:spacing w:val="44"/>
          <w:sz w:val="20"/>
        </w:rPr>
        <w:t> </w:t>
      </w:r>
      <w:r>
        <w:rPr>
          <w:rFonts w:ascii="Arial"/>
          <w:i/>
          <w:sz w:val="20"/>
        </w:rPr>
        <w:t>EWHC</w:t>
      </w:r>
      <w:r>
        <w:rPr>
          <w:rFonts w:ascii="Arial"/>
          <w:i/>
          <w:spacing w:val="44"/>
          <w:sz w:val="20"/>
        </w:rPr>
        <w:t> </w:t>
      </w:r>
      <w:r>
        <w:rPr>
          <w:rFonts w:ascii="Arial"/>
          <w:i/>
          <w:sz w:val="20"/>
        </w:rPr>
        <w:t>1450</w:t>
      </w:r>
      <w:r>
        <w:rPr>
          <w:rFonts w:ascii="Arial"/>
          <w:i/>
          <w:spacing w:val="44"/>
          <w:sz w:val="20"/>
        </w:rPr>
        <w:t> </w:t>
      </w:r>
      <w:r>
        <w:rPr>
          <w:rFonts w:ascii="Arial"/>
          <w:i/>
          <w:sz w:val="20"/>
        </w:rPr>
        <w:t>(Comm),</w:t>
      </w:r>
      <w:r>
        <w:rPr>
          <w:rFonts w:ascii="Arial"/>
          <w:i/>
          <w:spacing w:val="44"/>
          <w:sz w:val="20"/>
        </w:rPr>
        <w:t> </w:t>
      </w:r>
      <w:r>
        <w:rPr>
          <w:rFonts w:ascii="Arial"/>
          <w:i/>
          <w:sz w:val="20"/>
        </w:rPr>
        <w:t>[2006]</w:t>
      </w:r>
      <w:r>
        <w:rPr>
          <w:rFonts w:ascii="Arial"/>
          <w:i/>
          <w:spacing w:val="44"/>
          <w:sz w:val="20"/>
        </w:rPr>
        <w:t> </w:t>
      </w:r>
      <w:r>
        <w:rPr>
          <w:rFonts w:ascii="Arial"/>
          <w:i/>
          <w:spacing w:val="-10"/>
          <w:sz w:val="20"/>
        </w:rPr>
        <w:t>2</w:t>
      </w:r>
    </w:p>
    <w:p>
      <w:pPr>
        <w:spacing w:line="225" w:lineRule="exact" w:before="0"/>
        <w:ind w:left="705"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455</w:t>
      </w:r>
      <w:r>
        <w:rPr>
          <w:spacing w:val="-4"/>
          <w:sz w:val="20"/>
        </w:rPr>
        <w:t>.</w:t>
      </w:r>
    </w:p>
    <w:p>
      <w:pPr>
        <w:pStyle w:val="BodyText"/>
        <w:spacing w:before="5"/>
      </w:pPr>
    </w:p>
    <w:p>
      <w:pPr>
        <w:pStyle w:val="BodyText"/>
        <w:tabs>
          <w:tab w:pos="705" w:val="left" w:leader="none"/>
        </w:tabs>
        <w:spacing w:line="227" w:lineRule="exact"/>
        <w:ind w:left="165"/>
      </w:pPr>
      <w:bookmarkStart w:name="_bookmark342" w:id="344"/>
      <w:bookmarkEnd w:id="344"/>
      <w:r>
        <w:rPr/>
      </w:r>
      <w:hyperlink w:history="true" w:anchor="_bookmark263">
        <w:r>
          <w:rPr>
            <w:color w:val="005DA1"/>
            <w:spacing w:val="-4"/>
            <w:position w:val="5"/>
            <w:sz w:val="14"/>
            <w:u w:val="single" w:color="005DA1"/>
          </w:rPr>
          <w:t>149</w:t>
        </w:r>
      </w:hyperlink>
      <w:r>
        <w:rPr>
          <w:spacing w:val="-4"/>
          <w:position w:val="5"/>
          <w:sz w:val="14"/>
        </w:rPr>
        <w:t>.</w:t>
      </w:r>
      <w:r>
        <w:rPr>
          <w:position w:val="5"/>
          <w:sz w:val="14"/>
        </w:rPr>
        <w:tab/>
      </w:r>
      <w:r>
        <w:rPr/>
        <w:t>See</w:t>
      </w:r>
      <w:r>
        <w:rPr>
          <w:spacing w:val="72"/>
          <w:w w:val="150"/>
        </w:rPr>
        <w:t> </w:t>
      </w:r>
      <w:r>
        <w:rPr/>
        <w:t>Cheshire,</w:t>
      </w:r>
      <w:r>
        <w:rPr>
          <w:spacing w:val="72"/>
          <w:w w:val="150"/>
        </w:rPr>
        <w:t> </w:t>
      </w:r>
      <w:r>
        <w:rPr/>
        <w:t>North</w:t>
      </w:r>
      <w:r>
        <w:rPr>
          <w:spacing w:val="72"/>
          <w:w w:val="150"/>
        </w:rPr>
        <w:t> </w:t>
      </w:r>
      <w:r>
        <w:rPr/>
        <w:t>and</w:t>
      </w:r>
      <w:r>
        <w:rPr>
          <w:spacing w:val="72"/>
          <w:w w:val="150"/>
        </w:rPr>
        <w:t> </w:t>
      </w:r>
      <w:r>
        <w:rPr/>
        <w:t>Fawcett,</w:t>
      </w:r>
      <w:r>
        <w:rPr>
          <w:spacing w:val="73"/>
          <w:w w:val="150"/>
        </w:rPr>
        <w:t> </w:t>
      </w:r>
      <w:r>
        <w:rPr/>
        <w:t>pp.678,</w:t>
      </w:r>
      <w:r>
        <w:rPr>
          <w:spacing w:val="72"/>
          <w:w w:val="150"/>
        </w:rPr>
        <w:t> </w:t>
      </w:r>
      <w:r>
        <w:rPr/>
        <w:t>818–226.</w:t>
      </w:r>
      <w:r>
        <w:rPr>
          <w:spacing w:val="72"/>
          <w:w w:val="150"/>
        </w:rPr>
        <w:t> </w:t>
      </w:r>
      <w:r>
        <w:rPr/>
        <w:t>cf.</w:t>
      </w:r>
      <w:r>
        <w:rPr>
          <w:spacing w:val="72"/>
          <w:w w:val="150"/>
        </w:rPr>
        <w:t> </w:t>
      </w:r>
      <w:r>
        <w:rPr/>
        <w:t>Fawcett,</w:t>
      </w:r>
      <w:r>
        <w:rPr>
          <w:spacing w:val="72"/>
          <w:w w:val="150"/>
        </w:rPr>
        <w:t> </w:t>
      </w:r>
      <w:r>
        <w:rPr/>
        <w:t>Harris</w:t>
      </w:r>
      <w:r>
        <w:rPr>
          <w:spacing w:val="73"/>
          <w:w w:val="150"/>
        </w:rPr>
        <w:t> </w:t>
      </w:r>
      <w:r>
        <w:rPr/>
        <w:t>and</w:t>
      </w:r>
      <w:r>
        <w:rPr>
          <w:spacing w:val="72"/>
          <w:w w:val="150"/>
        </w:rPr>
        <w:t> </w:t>
      </w:r>
      <w:r>
        <w:rPr>
          <w:spacing w:val="-2"/>
        </w:rPr>
        <w:t>Bridge,</w:t>
      </w:r>
    </w:p>
    <w:p>
      <w:pPr>
        <w:spacing w:line="227" w:lineRule="exact" w:before="0"/>
        <w:ind w:left="705" w:right="0" w:firstLine="0"/>
        <w:jc w:val="left"/>
        <w:rPr>
          <w:sz w:val="20"/>
        </w:rPr>
      </w:pPr>
      <w:r>
        <w:rPr>
          <w:rFonts w:ascii="Arial"/>
          <w:i/>
          <w:sz w:val="20"/>
        </w:rPr>
        <w:t>International Sale of Goods in the Conflict of Laws</w:t>
      </w:r>
      <w:r>
        <w:rPr>
          <w:rFonts w:ascii="Arial"/>
          <w:i/>
          <w:spacing w:val="-1"/>
          <w:sz w:val="20"/>
        </w:rPr>
        <w:t> </w:t>
      </w:r>
      <w:r>
        <w:rPr>
          <w:sz w:val="20"/>
        </w:rPr>
        <w:t>(2005), </w:t>
      </w:r>
      <w:r>
        <w:rPr>
          <w:spacing w:val="-2"/>
          <w:sz w:val="20"/>
        </w:rPr>
        <w:t>Ch.19.</w:t>
      </w:r>
    </w:p>
    <w:p>
      <w:pPr>
        <w:pStyle w:val="BodyText"/>
        <w:spacing w:before="9"/>
      </w:pPr>
    </w:p>
    <w:p>
      <w:pPr>
        <w:pStyle w:val="BodyText"/>
        <w:spacing w:line="235" w:lineRule="auto"/>
        <w:ind w:left="705" w:right="167" w:hanging="541"/>
        <w:jc w:val="both"/>
      </w:pPr>
      <w:bookmarkStart w:name="_bookmark343" w:id="345"/>
      <w:bookmarkEnd w:id="345"/>
      <w:r>
        <w:rPr/>
      </w:r>
      <w:hyperlink w:history="true" w:anchor="_bookmark264">
        <w:r>
          <w:rPr>
            <w:color w:val="005DA1"/>
            <w:position w:val="5"/>
            <w:sz w:val="14"/>
            <w:u w:val="single" w:color="005DA1"/>
          </w:rPr>
          <w:t>150</w:t>
        </w:r>
      </w:hyperlink>
      <w:r>
        <w:rPr>
          <w:position w:val="5"/>
          <w:sz w:val="14"/>
        </w:rPr>
        <w:t>.</w:t>
      </w:r>
      <w:r>
        <w:rPr>
          <w:spacing w:val="80"/>
          <w:position w:val="5"/>
          <w:sz w:val="14"/>
        </w:rPr>
        <w:t> </w:t>
      </w:r>
      <w:r>
        <w:rPr/>
        <w:t>Rome Convention art.22(1). Even Member States who do not make a reservation will, presumably, not apply the Convention to all aspects of restitution or quasi-contract but only </w:t>
      </w:r>
      <w:r>
        <w:rPr/>
        <w:t>to this aspect since they regard it as contractual.</w:t>
      </w:r>
    </w:p>
    <w:p>
      <w:pPr>
        <w:pStyle w:val="BodyText"/>
        <w:spacing w:before="5"/>
      </w:pPr>
    </w:p>
    <w:p>
      <w:pPr>
        <w:pStyle w:val="BodyText"/>
        <w:tabs>
          <w:tab w:pos="705" w:val="left" w:leader="none"/>
        </w:tabs>
        <w:ind w:left="165"/>
      </w:pPr>
      <w:bookmarkStart w:name="_bookmark344" w:id="346"/>
      <w:bookmarkEnd w:id="346"/>
      <w:r>
        <w:rPr/>
      </w:r>
      <w:hyperlink w:history="true" w:anchor="_bookmark264">
        <w:r>
          <w:rPr>
            <w:color w:val="005DA1"/>
            <w:spacing w:val="-4"/>
            <w:position w:val="5"/>
            <w:sz w:val="14"/>
            <w:u w:val="single" w:color="005DA1"/>
          </w:rPr>
          <w:t>151</w:t>
        </w:r>
      </w:hyperlink>
      <w:r>
        <w:rPr>
          <w:spacing w:val="-4"/>
          <w:position w:val="5"/>
          <w:sz w:val="14"/>
        </w:rPr>
        <w:t>.</w:t>
      </w:r>
      <w:r>
        <w:rPr>
          <w:position w:val="5"/>
          <w:sz w:val="14"/>
        </w:rPr>
        <w:tab/>
      </w:r>
      <w:r>
        <w:rPr/>
        <w:t>Contracts (Applicable Law) Act 1990 </w:t>
      </w:r>
      <w:r>
        <w:rPr>
          <w:spacing w:val="-2"/>
        </w:rPr>
        <w:t>s.2(2).</w:t>
      </w:r>
    </w:p>
    <w:p>
      <w:pPr>
        <w:pStyle w:val="BodyText"/>
        <w:spacing w:before="5"/>
      </w:pPr>
    </w:p>
    <w:p>
      <w:pPr>
        <w:pStyle w:val="BodyText"/>
        <w:tabs>
          <w:tab w:pos="705" w:val="left" w:leader="none"/>
        </w:tabs>
        <w:ind w:left="165"/>
      </w:pPr>
      <w:bookmarkStart w:name="_bookmark345" w:id="347"/>
      <w:bookmarkEnd w:id="347"/>
      <w:r>
        <w:rPr/>
      </w:r>
      <w:hyperlink w:history="true" w:anchor="_bookmark265">
        <w:r>
          <w:rPr>
            <w:color w:val="005DA1"/>
            <w:spacing w:val="-4"/>
            <w:position w:val="5"/>
            <w:sz w:val="14"/>
            <w:u w:val="single" w:color="005DA1"/>
          </w:rPr>
          <w:t>152</w:t>
        </w:r>
      </w:hyperlink>
      <w:r>
        <w:rPr>
          <w:spacing w:val="-4"/>
          <w:position w:val="5"/>
          <w:sz w:val="14"/>
        </w:rPr>
        <w:t>.</w:t>
      </w:r>
      <w:r>
        <w:rPr>
          <w:position w:val="5"/>
          <w:sz w:val="14"/>
        </w:rPr>
        <w:tab/>
      </w:r>
      <w:r>
        <w:rPr/>
        <w:t>Hansard, HL Vol.513, cols 1258–1259. And see below, para.30-</w:t>
      </w:r>
      <w:r>
        <w:rPr>
          <w:spacing w:val="-4"/>
        </w:rPr>
        <w:t>327.</w:t>
      </w:r>
    </w:p>
    <w:p>
      <w:pPr>
        <w:pStyle w:val="BodyText"/>
        <w:spacing w:before="5"/>
      </w:pPr>
    </w:p>
    <w:p>
      <w:pPr>
        <w:pStyle w:val="BodyText"/>
        <w:tabs>
          <w:tab w:pos="705" w:val="left" w:leader="none"/>
        </w:tabs>
        <w:ind w:left="165"/>
      </w:pPr>
      <w:bookmarkStart w:name="_bookmark346" w:id="348"/>
      <w:bookmarkEnd w:id="348"/>
      <w:r>
        <w:rPr/>
      </w:r>
      <w:hyperlink w:history="true" w:anchor="_bookmark266">
        <w:r>
          <w:rPr>
            <w:color w:val="005DA1"/>
            <w:spacing w:val="-4"/>
            <w:position w:val="5"/>
            <w:sz w:val="14"/>
            <w:u w:val="single" w:color="005DA1"/>
          </w:rPr>
          <w:t>153</w:t>
        </w:r>
      </w:hyperlink>
      <w:r>
        <w:rPr>
          <w:spacing w:val="-4"/>
          <w:position w:val="5"/>
          <w:sz w:val="14"/>
        </w:rPr>
        <w:t>.</w:t>
      </w:r>
      <w:r>
        <w:rPr>
          <w:position w:val="5"/>
          <w:sz w:val="14"/>
        </w:rPr>
        <w:tab/>
      </w:r>
      <w:r>
        <w:rPr/>
        <w:t>Civil Jurisdiction and Judgments Act 1982 </w:t>
      </w:r>
      <w:r>
        <w:rPr>
          <w:spacing w:val="-2"/>
        </w:rPr>
        <w:t>Sch.4.</w:t>
      </w:r>
    </w:p>
    <w:p>
      <w:pPr>
        <w:pStyle w:val="BodyText"/>
        <w:spacing w:before="9"/>
      </w:pPr>
    </w:p>
    <w:p>
      <w:pPr>
        <w:spacing w:line="235" w:lineRule="auto" w:before="0"/>
        <w:ind w:left="705" w:right="167" w:hanging="541"/>
        <w:jc w:val="both"/>
        <w:rPr>
          <w:rFonts w:ascii="Arial" w:hAnsi="Arial"/>
          <w:i/>
          <w:sz w:val="20"/>
        </w:rPr>
      </w:pPr>
      <w:bookmarkStart w:name="_bookmark347" w:id="349"/>
      <w:bookmarkEnd w:id="349"/>
      <w:r>
        <w:rPr/>
      </w:r>
      <w:hyperlink w:history="true" w:anchor="_bookmark267">
        <w:r>
          <w:rPr>
            <w:color w:val="005DA1"/>
            <w:position w:val="5"/>
            <w:sz w:val="14"/>
            <w:u w:val="single" w:color="005DA1"/>
          </w:rPr>
          <w:t>154</w:t>
        </w:r>
      </w:hyperlink>
      <w:r>
        <w:rPr>
          <w:position w:val="5"/>
          <w:sz w:val="14"/>
        </w:rPr>
        <w:t>.</w:t>
      </w:r>
      <w:r>
        <w:rPr>
          <w:spacing w:val="40"/>
          <w:position w:val="5"/>
          <w:sz w:val="14"/>
        </w:rPr>
        <w:t>  </w:t>
      </w:r>
      <w:r>
        <w:rPr>
          <w:sz w:val="20"/>
        </w:rPr>
        <w:t>cf.</w:t>
      </w:r>
      <w:r>
        <w:rPr>
          <w:spacing w:val="40"/>
          <w:sz w:val="20"/>
        </w:rPr>
        <w:t> </w:t>
      </w:r>
      <w:r>
        <w:rPr>
          <w:rFonts w:ascii="Arial" w:hAnsi="Arial"/>
          <w:i/>
          <w:sz w:val="20"/>
        </w:rPr>
        <w:t>Kleinwort</w:t>
      </w:r>
      <w:r>
        <w:rPr>
          <w:rFonts w:ascii="Arial" w:hAnsi="Arial"/>
          <w:i/>
          <w:spacing w:val="40"/>
          <w:sz w:val="20"/>
        </w:rPr>
        <w:t> </w:t>
      </w:r>
      <w:r>
        <w:rPr>
          <w:rFonts w:ascii="Arial" w:hAnsi="Arial"/>
          <w:i/>
          <w:sz w:val="20"/>
        </w:rPr>
        <w:t>Benson</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Glasgow</w:t>
      </w:r>
      <w:r>
        <w:rPr>
          <w:rFonts w:ascii="Arial" w:hAnsi="Arial"/>
          <w:i/>
          <w:spacing w:val="40"/>
          <w:sz w:val="20"/>
        </w:rPr>
        <w:t> </w:t>
      </w:r>
      <w:r>
        <w:rPr>
          <w:rFonts w:ascii="Arial" w:hAnsi="Arial"/>
          <w:i/>
          <w:sz w:val="20"/>
        </w:rPr>
        <w:t>City</w:t>
      </w:r>
      <w:r>
        <w:rPr>
          <w:rFonts w:ascii="Arial" w:hAnsi="Arial"/>
          <w:i/>
          <w:spacing w:val="40"/>
          <w:sz w:val="20"/>
        </w:rPr>
        <w:t> </w:t>
      </w:r>
      <w:r>
        <w:rPr>
          <w:rFonts w:ascii="Arial" w:hAnsi="Arial"/>
          <w:i/>
          <w:sz w:val="20"/>
        </w:rPr>
        <w:t>Council</w:t>
      </w:r>
      <w:r>
        <w:rPr>
          <w:rFonts w:ascii="Arial" w:hAnsi="Arial"/>
          <w:i/>
          <w:spacing w:val="40"/>
          <w:sz w:val="20"/>
        </w:rPr>
        <w:t> </w:t>
      </w:r>
      <w:r>
        <w:rPr>
          <w:rFonts w:ascii="Arial" w:hAnsi="Arial"/>
          <w:i/>
          <w:sz w:val="20"/>
        </w:rPr>
        <w:t>[1999]</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153</w:t>
      </w:r>
      <w:r>
        <w:rPr>
          <w:sz w:val="20"/>
        </w:rPr>
        <w:t>,</w:t>
      </w:r>
      <w:r>
        <w:rPr>
          <w:spacing w:val="40"/>
          <w:sz w:val="20"/>
        </w:rPr>
        <w:t> </w:t>
      </w:r>
      <w:r>
        <w:rPr>
          <w:sz w:val="20"/>
        </w:rPr>
        <w:t>reversing</w:t>
      </w:r>
      <w:r>
        <w:rPr>
          <w:spacing w:val="40"/>
          <w:sz w:val="20"/>
        </w:rPr>
        <w:t> </w:t>
      </w:r>
      <w:r>
        <w:rPr>
          <w:sz w:val="20"/>
        </w:rPr>
        <w:t>a</w:t>
      </w:r>
      <w:r>
        <w:rPr>
          <w:spacing w:val="40"/>
          <w:sz w:val="20"/>
        </w:rPr>
        <w:t> </w:t>
      </w:r>
      <w:r>
        <w:rPr>
          <w:sz w:val="20"/>
        </w:rPr>
        <w:t>majority decision of the Court of Appeal to the opposite effect: </w:t>
      </w:r>
      <w:r>
        <w:rPr>
          <w:rFonts w:ascii="Arial" w:hAnsi="Arial"/>
          <w:i/>
          <w:sz w:val="20"/>
        </w:rPr>
        <w:t>[1996] Q.B. 678</w:t>
      </w:r>
      <w:r>
        <w:rPr>
          <w:sz w:val="20"/>
        </w:rPr>
        <w:t>. The European Court of Justice had earlier declined jurisdiction to interpret this version of the Brussels Convention: see </w:t>
      </w:r>
      <w:r>
        <w:rPr>
          <w:rFonts w:ascii="Arial" w:hAnsi="Arial"/>
          <w:i/>
          <w:sz w:val="20"/>
        </w:rPr>
        <w:t>Kleinwort</w:t>
      </w:r>
      <w:r>
        <w:rPr>
          <w:rFonts w:ascii="Arial" w:hAnsi="Arial"/>
          <w:i/>
          <w:spacing w:val="1"/>
          <w:sz w:val="20"/>
        </w:rPr>
        <w:t> </w:t>
      </w:r>
      <w:r>
        <w:rPr>
          <w:rFonts w:ascii="Arial" w:hAnsi="Arial"/>
          <w:i/>
          <w:sz w:val="20"/>
        </w:rPr>
        <w:t>Benson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Glasgow</w:t>
      </w:r>
      <w:r>
        <w:rPr>
          <w:rFonts w:ascii="Arial" w:hAnsi="Arial"/>
          <w:i/>
          <w:spacing w:val="1"/>
          <w:sz w:val="20"/>
        </w:rPr>
        <w:t> </w:t>
      </w:r>
      <w:r>
        <w:rPr>
          <w:rFonts w:ascii="Arial" w:hAnsi="Arial"/>
          <w:i/>
          <w:sz w:val="20"/>
        </w:rPr>
        <w:t>City</w:t>
      </w:r>
      <w:r>
        <w:rPr>
          <w:rFonts w:ascii="Arial" w:hAnsi="Arial"/>
          <w:i/>
          <w:spacing w:val="1"/>
          <w:sz w:val="20"/>
        </w:rPr>
        <w:t> </w:t>
      </w:r>
      <w:r>
        <w:rPr>
          <w:rFonts w:ascii="Arial" w:hAnsi="Arial"/>
          <w:i/>
          <w:sz w:val="20"/>
        </w:rPr>
        <w:t>Council</w:t>
      </w:r>
      <w:r>
        <w:rPr>
          <w:rFonts w:ascii="Arial" w:hAnsi="Arial"/>
          <w:i/>
          <w:spacing w:val="1"/>
          <w:sz w:val="20"/>
        </w:rPr>
        <w:t> </w:t>
      </w:r>
      <w:r>
        <w:rPr>
          <w:rFonts w:ascii="Arial" w:hAnsi="Arial"/>
          <w:i/>
          <w:sz w:val="20"/>
        </w:rPr>
        <w:t>(C-346/93)</w:t>
      </w:r>
      <w:r>
        <w:rPr>
          <w:rFonts w:ascii="Arial" w:hAnsi="Arial"/>
          <w:i/>
          <w:spacing w:val="1"/>
          <w:sz w:val="20"/>
        </w:rPr>
        <w:t> </w:t>
      </w:r>
      <w:r>
        <w:rPr>
          <w:rFonts w:ascii="Arial" w:hAnsi="Arial"/>
          <w:i/>
          <w:sz w:val="20"/>
        </w:rPr>
        <w:t>[1995]</w:t>
      </w:r>
      <w:r>
        <w:rPr>
          <w:rFonts w:ascii="Arial" w:hAnsi="Arial"/>
          <w:i/>
          <w:spacing w:val="1"/>
          <w:sz w:val="20"/>
        </w:rPr>
        <w:t> </w:t>
      </w:r>
      <w:r>
        <w:rPr>
          <w:rFonts w:ascii="Arial" w:hAnsi="Arial"/>
          <w:i/>
          <w:sz w:val="20"/>
        </w:rPr>
        <w:t>E.C.R.</w:t>
      </w:r>
      <w:r>
        <w:rPr>
          <w:rFonts w:ascii="Arial" w:hAnsi="Arial"/>
          <w:i/>
          <w:spacing w:val="1"/>
          <w:sz w:val="20"/>
        </w:rPr>
        <w:t> </w:t>
      </w:r>
      <w:r>
        <w:rPr>
          <w:rFonts w:ascii="Arial" w:hAnsi="Arial"/>
          <w:i/>
          <w:sz w:val="20"/>
        </w:rPr>
        <w:t>I–5615,</w:t>
      </w:r>
      <w:r>
        <w:rPr>
          <w:rFonts w:ascii="Arial" w:hAnsi="Arial"/>
          <w:i/>
          <w:spacing w:val="1"/>
          <w:sz w:val="20"/>
        </w:rPr>
        <w:t> </w:t>
      </w:r>
      <w:r>
        <w:rPr>
          <w:rFonts w:ascii="Arial" w:hAnsi="Arial"/>
          <w:i/>
          <w:sz w:val="20"/>
        </w:rPr>
        <w:t>[1996]</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pacing w:val="-5"/>
          <w:sz w:val="20"/>
        </w:rPr>
        <w:t>547</w:t>
      </w:r>
    </w:p>
    <w:p>
      <w:pPr>
        <w:spacing w:line="235" w:lineRule="auto" w:before="0"/>
        <w:ind w:left="705" w:right="167" w:firstLine="0"/>
        <w:jc w:val="both"/>
        <w:rPr>
          <w:sz w:val="20"/>
        </w:rPr>
      </w:pPr>
      <w:r>
        <w:rPr>
          <w:sz w:val="20"/>
        </w:rPr>
        <w:t>. See also </w:t>
      </w:r>
      <w:r>
        <w:rPr>
          <w:rFonts w:ascii="Arial" w:hAnsi="Arial"/>
          <w:i/>
          <w:sz w:val="20"/>
        </w:rPr>
        <w:t>Raiffeisen Zentralbank Osterreich AG v National Bank of Greece SA [1999] 1 Lloyd’s Rep. 408</w:t>
      </w:r>
      <w:r>
        <w:rPr>
          <w:sz w:val="20"/>
        </w:rPr>
        <w:t>. cf. </w:t>
      </w:r>
      <w:r>
        <w:rPr>
          <w:rFonts w:ascii="Arial" w:hAnsi="Arial"/>
          <w:i/>
          <w:sz w:val="20"/>
        </w:rPr>
        <w:t>Caterpillar Financial Services Corp v SNC Passion [2004] EWHC 569 (Comm), [2004] 2 Lloyd’s Rep. 99 </w:t>
      </w:r>
      <w:r>
        <w:rPr>
          <w:sz w:val="20"/>
        </w:rPr>
        <w:t>at [16].</w:t>
      </w:r>
    </w:p>
    <w:p>
      <w:pPr>
        <w:pStyle w:val="BodyText"/>
        <w:spacing w:before="7"/>
      </w:pPr>
    </w:p>
    <w:p>
      <w:pPr>
        <w:pStyle w:val="BodyText"/>
        <w:spacing w:line="235" w:lineRule="auto"/>
        <w:ind w:left="705" w:right="167" w:hanging="541"/>
        <w:jc w:val="both"/>
      </w:pPr>
      <w:bookmarkStart w:name="_bookmark348" w:id="350"/>
      <w:bookmarkEnd w:id="350"/>
      <w:r>
        <w:rPr/>
      </w:r>
      <w:hyperlink w:history="true" w:anchor="_bookmark268">
        <w:r>
          <w:rPr>
            <w:color w:val="005DA1"/>
            <w:position w:val="5"/>
            <w:sz w:val="14"/>
            <w:u w:val="single" w:color="005DA1"/>
          </w:rPr>
          <w:t>155</w:t>
        </w:r>
      </w:hyperlink>
      <w:r>
        <w:rPr>
          <w:position w:val="5"/>
          <w:sz w:val="14"/>
        </w:rPr>
        <w:t>.</w:t>
      </w:r>
      <w:r>
        <w:rPr>
          <w:spacing w:val="80"/>
          <w:position w:val="5"/>
          <w:sz w:val="14"/>
        </w:rPr>
        <w:t> </w:t>
      </w:r>
      <w:r>
        <w:rPr/>
        <w:t>Rome II Regulation art.10(1). Article 10(2) and (3) provide default rules for cases where </w:t>
      </w:r>
      <w:r>
        <w:rPr/>
        <w:t>the applicable law cannot be determined on the basis of art.10(1) and 10(4) provides that where it</w:t>
      </w:r>
      <w:r>
        <w:rPr>
          <w:spacing w:val="40"/>
        </w:rPr>
        <w:t> </w:t>
      </w:r>
      <w:r>
        <w:rPr/>
        <w:t>is clear from all the circumstances of the case that the non-contractual obligation arising out of unjust enrichment is manifestly more closely connected with a country other than that indicated in art.10(1), (2), or (3), the law of that other country shall apply. See Dicey, Morris and Collins</w:t>
      </w:r>
      <w:r>
        <w:rPr>
          <w:spacing w:val="40"/>
        </w:rPr>
        <w:t> </w:t>
      </w:r>
      <w:r>
        <w:rPr/>
        <w:t>on the Conflict of Laws, Fourth Supplement to the Fourteenth Edition, paras 34–014, 34–044.</w:t>
      </w:r>
    </w:p>
    <w:p>
      <w:pPr>
        <w:pStyle w:val="BodyText"/>
        <w:spacing w:before="4"/>
      </w:pPr>
    </w:p>
    <w:p>
      <w:pPr>
        <w:pStyle w:val="BodyText"/>
        <w:tabs>
          <w:tab w:pos="705" w:val="left" w:leader="none"/>
        </w:tabs>
        <w:ind w:left="165"/>
      </w:pPr>
      <w:bookmarkStart w:name="_bookmark349" w:id="351"/>
      <w:bookmarkEnd w:id="351"/>
      <w:r>
        <w:rPr/>
      </w:r>
      <w:hyperlink w:history="true" w:anchor="_bookmark269">
        <w:r>
          <w:rPr>
            <w:color w:val="005DA1"/>
            <w:spacing w:val="-4"/>
            <w:position w:val="5"/>
            <w:sz w:val="14"/>
            <w:u w:val="single" w:color="005DA1"/>
          </w:rPr>
          <w:t>156</w:t>
        </w:r>
      </w:hyperlink>
      <w:r>
        <w:rPr>
          <w:spacing w:val="-4"/>
          <w:position w:val="5"/>
          <w:sz w:val="14"/>
        </w:rPr>
        <w:t>.</w:t>
      </w:r>
      <w:r>
        <w:rPr>
          <w:position w:val="5"/>
          <w:sz w:val="14"/>
        </w:rPr>
        <w:tab/>
      </w:r>
      <w:r>
        <w:rPr/>
        <w:t>See</w:t>
      </w:r>
      <w:r>
        <w:rPr>
          <w:spacing w:val="-2"/>
        </w:rPr>
        <w:t> </w:t>
      </w:r>
      <w:r>
        <w:rPr/>
        <w:t>below, para.30-</w:t>
      </w:r>
      <w:r>
        <w:rPr>
          <w:spacing w:val="-4"/>
        </w:rPr>
        <w:t>062.</w:t>
      </w:r>
    </w:p>
    <w:p>
      <w:pPr>
        <w:pStyle w:val="BodyText"/>
        <w:spacing w:before="5"/>
      </w:pPr>
    </w:p>
    <w:p>
      <w:pPr>
        <w:tabs>
          <w:tab w:pos="705" w:val="left" w:leader="none"/>
        </w:tabs>
        <w:spacing w:before="0"/>
        <w:ind w:left="165" w:right="0" w:firstLine="0"/>
        <w:jc w:val="left"/>
        <w:rPr>
          <w:sz w:val="20"/>
        </w:rPr>
      </w:pPr>
      <w:bookmarkStart w:name="_bookmark350" w:id="352"/>
      <w:bookmarkEnd w:id="352"/>
      <w:r>
        <w:rPr/>
      </w:r>
      <w:hyperlink w:history="true" w:anchor="_bookmark270">
        <w:r>
          <w:rPr>
            <w:color w:val="005DA1"/>
            <w:spacing w:val="-4"/>
            <w:position w:val="5"/>
            <w:sz w:val="14"/>
            <w:u w:val="single" w:color="005DA1"/>
          </w:rPr>
          <w:t>157</w:t>
        </w:r>
      </w:hyperlink>
      <w:r>
        <w:rPr>
          <w:spacing w:val="-4"/>
          <w:position w:val="5"/>
          <w:sz w:val="14"/>
        </w:rPr>
        <w:t>.</w:t>
      </w:r>
      <w:r>
        <w:rPr>
          <w:position w:val="5"/>
          <w:sz w:val="14"/>
        </w:rPr>
        <w:tab/>
      </w:r>
      <w:r>
        <w:rPr>
          <w:sz w:val="20"/>
        </w:rPr>
        <w:t>Rome</w:t>
      </w:r>
      <w:r>
        <w:rPr>
          <w:spacing w:val="-2"/>
          <w:sz w:val="20"/>
        </w:rPr>
        <w:t> </w:t>
      </w:r>
      <w:r>
        <w:rPr>
          <w:sz w:val="20"/>
        </w:rPr>
        <w:t>Convention art.1(2)(a). See</w:t>
      </w:r>
      <w:r>
        <w:rPr>
          <w:spacing w:val="-1"/>
          <w:sz w:val="20"/>
        </w:rPr>
        <w:t> </w:t>
      </w:r>
      <w:r>
        <w:rPr>
          <w:rFonts w:ascii="Arial"/>
          <w:i/>
          <w:sz w:val="20"/>
        </w:rPr>
        <w:t>Gorjat v Gorjat [2010] EWHC 1537 </w:t>
      </w:r>
      <w:r>
        <w:rPr>
          <w:rFonts w:ascii="Arial"/>
          <w:i/>
          <w:spacing w:val="-2"/>
          <w:sz w:val="20"/>
        </w:rPr>
        <w:t>(Ch)</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351" w:id="353"/>
      <w:bookmarkEnd w:id="353"/>
      <w:r>
        <w:rPr/>
      </w:r>
      <w:hyperlink w:history="true" w:anchor="_bookmark271">
        <w:r>
          <w:rPr>
            <w:color w:val="005DA1"/>
            <w:spacing w:val="-4"/>
            <w:position w:val="5"/>
            <w:sz w:val="14"/>
            <w:u w:val="single" w:color="005DA1"/>
          </w:rPr>
          <w:t>158</w:t>
        </w:r>
      </w:hyperlink>
      <w:r>
        <w:rPr>
          <w:spacing w:val="-4"/>
          <w:position w:val="5"/>
          <w:sz w:val="14"/>
        </w:rPr>
        <w:t>.</w:t>
      </w:r>
      <w:r>
        <w:rPr>
          <w:position w:val="5"/>
          <w:sz w:val="14"/>
        </w:rPr>
        <w:tab/>
      </w:r>
      <w:r>
        <w:rPr>
          <w:sz w:val="20"/>
        </w:rPr>
        <w:t>Below, para.30-</w:t>
      </w:r>
      <w:r>
        <w:rPr>
          <w:spacing w:val="-4"/>
          <w:sz w:val="20"/>
        </w:rPr>
        <w:t>325.</w:t>
      </w:r>
    </w:p>
    <w:p>
      <w:pPr>
        <w:pStyle w:val="BodyText"/>
        <w:spacing w:before="5"/>
      </w:pPr>
    </w:p>
    <w:p>
      <w:pPr>
        <w:tabs>
          <w:tab w:pos="705" w:val="left" w:leader="none"/>
        </w:tabs>
        <w:spacing w:before="0"/>
        <w:ind w:left="165" w:right="0" w:firstLine="0"/>
        <w:jc w:val="left"/>
        <w:rPr>
          <w:sz w:val="20"/>
        </w:rPr>
      </w:pPr>
      <w:bookmarkStart w:name="_bookmark352" w:id="354"/>
      <w:bookmarkEnd w:id="354"/>
      <w:r>
        <w:rPr/>
      </w:r>
      <w:hyperlink w:history="true" w:anchor="_bookmark272">
        <w:r>
          <w:rPr>
            <w:color w:val="005DA1"/>
            <w:spacing w:val="-4"/>
            <w:position w:val="5"/>
            <w:sz w:val="14"/>
            <w:u w:val="single" w:color="005DA1"/>
          </w:rPr>
          <w:t>159</w:t>
        </w:r>
      </w:hyperlink>
      <w:r>
        <w:rPr>
          <w:spacing w:val="-4"/>
          <w:position w:val="5"/>
          <w:sz w:val="14"/>
        </w:rPr>
        <w:t>.</w:t>
      </w:r>
      <w:r>
        <w:rPr>
          <w:position w:val="5"/>
          <w:sz w:val="14"/>
        </w:rPr>
        <w:tab/>
      </w:r>
      <w:r>
        <w:rPr>
          <w:sz w:val="20"/>
        </w:rPr>
        <w:t>Below, para.30-</w:t>
      </w:r>
      <w:r>
        <w:rPr>
          <w:spacing w:val="-4"/>
          <w:sz w:val="20"/>
        </w:rPr>
        <w:t>324.</w:t>
      </w:r>
    </w:p>
    <w:p>
      <w:pPr>
        <w:pStyle w:val="BodyText"/>
        <w:spacing w:before="9"/>
      </w:pPr>
    </w:p>
    <w:p>
      <w:pPr>
        <w:spacing w:line="235" w:lineRule="auto" w:before="0"/>
        <w:ind w:left="705" w:right="167" w:hanging="541"/>
        <w:jc w:val="both"/>
        <w:rPr>
          <w:sz w:val="20"/>
        </w:rPr>
      </w:pPr>
      <w:bookmarkStart w:name="_bookmark353" w:id="355"/>
      <w:bookmarkEnd w:id="355"/>
      <w:r>
        <w:rPr/>
      </w:r>
      <w:hyperlink w:history="true" w:anchor="_bookmark273">
        <w:r>
          <w:rPr>
            <w:color w:val="005DA1"/>
            <w:position w:val="5"/>
            <w:sz w:val="14"/>
            <w:u w:val="single" w:color="005DA1"/>
          </w:rPr>
          <w:t>160</w:t>
        </w:r>
      </w:hyperlink>
      <w:r>
        <w:rPr>
          <w:position w:val="5"/>
          <w:sz w:val="14"/>
        </w:rPr>
        <w:t>.</w:t>
      </w:r>
      <w:r>
        <w:rPr>
          <w:spacing w:val="40"/>
          <w:position w:val="5"/>
          <w:sz w:val="14"/>
        </w:rPr>
        <w:t>  </w:t>
      </w:r>
      <w:r>
        <w:rPr>
          <w:sz w:val="20"/>
        </w:rPr>
        <w:t>North, </w:t>
      </w:r>
      <w:r>
        <w:rPr>
          <w:rFonts w:ascii="Arial" w:hAnsi="Arial"/>
          <w:i/>
          <w:sz w:val="20"/>
        </w:rPr>
        <w:t>Contract Conflicts </w:t>
      </w:r>
      <w:r>
        <w:rPr>
          <w:sz w:val="20"/>
        </w:rPr>
        <w:t>(1982), p.10, reprinted in Essays in Private International Law </w:t>
      </w:r>
      <w:r>
        <w:rPr>
          <w:sz w:val="20"/>
        </w:rPr>
        <w:t>(1993), p.23; Bogdan, </w:t>
      </w:r>
      <w:r>
        <w:rPr>
          <w:rFonts w:ascii="Arial" w:hAnsi="Arial"/>
          <w:i/>
          <w:sz w:val="20"/>
        </w:rPr>
        <w:t>The Enforcement of International Contracts in the European Union </w:t>
      </w:r>
      <w:r>
        <w:rPr>
          <w:sz w:val="20"/>
        </w:rPr>
        <w:t>(2004), </w:t>
      </w:r>
      <w:r>
        <w:rPr>
          <w:spacing w:val="-2"/>
          <w:sz w:val="20"/>
        </w:rPr>
        <w:t>pp.211–223.</w:t>
      </w:r>
    </w:p>
    <w:p>
      <w:pPr>
        <w:pStyle w:val="BodyText"/>
        <w:spacing w:before="5"/>
      </w:pPr>
    </w:p>
    <w:p>
      <w:pPr>
        <w:pStyle w:val="BodyText"/>
        <w:tabs>
          <w:tab w:pos="705" w:val="left" w:leader="none"/>
        </w:tabs>
        <w:ind w:left="165"/>
      </w:pPr>
      <w:bookmarkStart w:name="_bookmark354" w:id="356"/>
      <w:bookmarkEnd w:id="356"/>
      <w:r>
        <w:rPr/>
      </w:r>
      <w:hyperlink w:history="true" w:anchor="_bookmark274">
        <w:r>
          <w:rPr>
            <w:color w:val="005DA1"/>
            <w:spacing w:val="-4"/>
            <w:position w:val="5"/>
            <w:sz w:val="14"/>
            <w:u w:val="single" w:color="005DA1"/>
          </w:rPr>
          <w:t>161</w:t>
        </w:r>
      </w:hyperlink>
      <w:r>
        <w:rPr>
          <w:spacing w:val="-4"/>
          <w:position w:val="5"/>
          <w:sz w:val="14"/>
        </w:rPr>
        <w:t>.</w:t>
      </w:r>
      <w:r>
        <w:rPr>
          <w:position w:val="5"/>
          <w:sz w:val="14"/>
        </w:rPr>
        <w:tab/>
      </w:r>
      <w:r>
        <w:rPr/>
        <w:t>Giuliano-Lagarde Report, </w:t>
      </w:r>
      <w:r>
        <w:rPr>
          <w:spacing w:val="-2"/>
        </w:rPr>
        <w:t>p.10.</w:t>
      </w:r>
    </w:p>
    <w:p>
      <w:pPr>
        <w:pStyle w:val="BodyText"/>
        <w:spacing w:before="5"/>
      </w:pPr>
    </w:p>
    <w:p>
      <w:pPr>
        <w:pStyle w:val="BodyText"/>
        <w:tabs>
          <w:tab w:pos="705" w:val="left" w:leader="none"/>
        </w:tabs>
        <w:ind w:left="165"/>
      </w:pPr>
      <w:bookmarkStart w:name="_bookmark355" w:id="357"/>
      <w:bookmarkEnd w:id="357"/>
      <w:r>
        <w:rPr/>
      </w:r>
      <w:hyperlink w:history="true" w:anchor="_bookmark275">
        <w:r>
          <w:rPr>
            <w:color w:val="005DA1"/>
            <w:spacing w:val="-4"/>
            <w:position w:val="5"/>
            <w:sz w:val="14"/>
            <w:u w:val="single" w:color="005DA1"/>
          </w:rPr>
          <w:t>162</w:t>
        </w:r>
      </w:hyperlink>
      <w:r>
        <w:rPr>
          <w:spacing w:val="-4"/>
          <w:position w:val="5"/>
          <w:sz w:val="14"/>
        </w:rPr>
        <w:t>.</w:t>
      </w:r>
      <w:r>
        <w:rPr>
          <w:position w:val="5"/>
          <w:sz w:val="14"/>
        </w:rPr>
        <w:tab/>
      </w:r>
      <w:r>
        <w:rPr/>
        <w:t>Giuliano-Lagarde Report, </w:t>
      </w:r>
      <w:r>
        <w:rPr>
          <w:spacing w:val="-2"/>
        </w:rPr>
        <w:t>p.10.</w:t>
      </w:r>
    </w:p>
    <w:p>
      <w:pPr>
        <w:pStyle w:val="BodyText"/>
        <w:spacing w:before="5"/>
      </w:pPr>
    </w:p>
    <w:p>
      <w:pPr>
        <w:tabs>
          <w:tab w:pos="705" w:val="left" w:leader="none"/>
        </w:tabs>
        <w:spacing w:before="0"/>
        <w:ind w:left="165" w:right="0" w:firstLine="0"/>
        <w:jc w:val="left"/>
        <w:rPr>
          <w:sz w:val="20"/>
        </w:rPr>
      </w:pPr>
      <w:bookmarkStart w:name="_bookmark356" w:id="358"/>
      <w:bookmarkEnd w:id="358"/>
      <w:r>
        <w:rPr/>
      </w:r>
      <w:hyperlink w:history="true" w:anchor="_bookmark276">
        <w:r>
          <w:rPr>
            <w:color w:val="005DA1"/>
            <w:spacing w:val="-4"/>
            <w:position w:val="5"/>
            <w:sz w:val="14"/>
            <w:u w:val="single" w:color="005DA1"/>
          </w:rPr>
          <w:t>163</w:t>
        </w:r>
      </w:hyperlink>
      <w:r>
        <w:rPr>
          <w:spacing w:val="-4"/>
          <w:position w:val="5"/>
          <w:sz w:val="14"/>
        </w:rPr>
        <w:t>.</w:t>
      </w:r>
      <w:r>
        <w:rPr>
          <w:position w:val="5"/>
          <w:sz w:val="14"/>
        </w:rPr>
        <w:tab/>
      </w:r>
      <w:r>
        <w:rPr>
          <w:sz w:val="20"/>
        </w:rPr>
        <w:t>Giuliano-Lagarde</w:t>
      </w:r>
      <w:r>
        <w:rPr>
          <w:spacing w:val="-2"/>
          <w:sz w:val="20"/>
        </w:rPr>
        <w:t> </w:t>
      </w:r>
      <w:r>
        <w:rPr>
          <w:sz w:val="20"/>
        </w:rPr>
        <w:t>Report, p.10. See</w:t>
      </w:r>
      <w:r>
        <w:rPr>
          <w:spacing w:val="-1"/>
          <w:sz w:val="20"/>
        </w:rPr>
        <w:t> </w:t>
      </w:r>
      <w:r>
        <w:rPr>
          <w:rFonts w:ascii="Arial"/>
          <w:i/>
          <w:sz w:val="20"/>
        </w:rPr>
        <w:t>Waldwiese Stiftung v Lewis [2004] EWHC 2589 </w:t>
      </w:r>
      <w:r>
        <w:rPr>
          <w:rFonts w:ascii="Arial"/>
          <w:i/>
          <w:spacing w:val="-2"/>
          <w:sz w:val="20"/>
        </w:rPr>
        <w:t>(Ch)</w:t>
      </w:r>
      <w:r>
        <w:rPr>
          <w:spacing w:val="-2"/>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2976">
            <wp:simplePos x="0" y="0"/>
            <wp:positionH relativeFrom="page">
              <wp:posOffset>1257846</wp:posOffset>
            </wp:positionH>
            <wp:positionV relativeFrom="paragraph">
              <wp:posOffset>160401</wp:posOffset>
            </wp:positionV>
            <wp:extent cx="107988" cy="107988"/>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57" w:id="359"/>
      <w:bookmarkEnd w:id="359"/>
      <w:r>
        <w:rPr/>
      </w:r>
      <w:hyperlink w:history="true" w:anchor="_bookmark277">
        <w:r>
          <w:rPr>
            <w:color w:val="005DA1"/>
            <w:spacing w:val="-4"/>
            <w:sz w:val="14"/>
            <w:u w:val="single" w:color="005DA1"/>
          </w:rPr>
          <w:t>164</w:t>
        </w:r>
      </w:hyperlink>
      <w:r>
        <w:rPr>
          <w:spacing w:val="-4"/>
          <w:sz w:val="14"/>
        </w:rPr>
        <w:t>.</w:t>
      </w:r>
    </w:p>
    <w:p>
      <w:pPr>
        <w:spacing w:before="208"/>
        <w:ind w:left="335" w:right="0" w:firstLine="0"/>
        <w:jc w:val="left"/>
        <w:rPr>
          <w:sz w:val="20"/>
        </w:rPr>
      </w:pPr>
      <w:r>
        <w:rPr/>
        <w:br w:type="column"/>
      </w:r>
      <w:r>
        <w:rPr>
          <w:sz w:val="20"/>
        </w:rPr>
        <w:t>Giuliano-Lagarde</w:t>
      </w:r>
      <w:r>
        <w:rPr>
          <w:spacing w:val="5"/>
          <w:sz w:val="20"/>
        </w:rPr>
        <w:t> </w:t>
      </w:r>
      <w:r>
        <w:rPr>
          <w:sz w:val="20"/>
        </w:rPr>
        <w:t>Report,</w:t>
      </w:r>
      <w:r>
        <w:rPr>
          <w:spacing w:val="5"/>
          <w:sz w:val="20"/>
        </w:rPr>
        <w:t> </w:t>
      </w:r>
      <w:r>
        <w:rPr>
          <w:sz w:val="20"/>
        </w:rPr>
        <w:t>p.10.</w:t>
      </w:r>
      <w:r>
        <w:rPr>
          <w:spacing w:val="5"/>
          <w:sz w:val="20"/>
        </w:rPr>
        <w:t> </w:t>
      </w:r>
      <w:r>
        <w:rPr>
          <w:sz w:val="20"/>
        </w:rPr>
        <w:t>See</w:t>
      </w:r>
      <w:r>
        <w:rPr>
          <w:spacing w:val="4"/>
          <w:sz w:val="20"/>
        </w:rPr>
        <w:t> </w:t>
      </w:r>
      <w:r>
        <w:rPr>
          <w:rFonts w:ascii="Arial" w:hAnsi="Arial"/>
          <w:i/>
          <w:sz w:val="20"/>
        </w:rPr>
        <w:t>Gorjat</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Gorjat</w:t>
      </w:r>
      <w:r>
        <w:rPr>
          <w:rFonts w:ascii="Arial" w:hAnsi="Arial"/>
          <w:i/>
          <w:spacing w:val="5"/>
          <w:sz w:val="20"/>
        </w:rPr>
        <w:t> </w:t>
      </w:r>
      <w:r>
        <w:rPr>
          <w:rFonts w:ascii="Arial" w:hAnsi="Arial"/>
          <w:i/>
          <w:sz w:val="20"/>
        </w:rPr>
        <w:t>[2010]</w:t>
      </w:r>
      <w:r>
        <w:rPr>
          <w:rFonts w:ascii="Arial" w:hAnsi="Arial"/>
          <w:i/>
          <w:spacing w:val="5"/>
          <w:sz w:val="20"/>
        </w:rPr>
        <w:t> </w:t>
      </w:r>
      <w:r>
        <w:rPr>
          <w:rFonts w:ascii="Arial" w:hAnsi="Arial"/>
          <w:i/>
          <w:sz w:val="20"/>
        </w:rPr>
        <w:t>EWHC</w:t>
      </w:r>
      <w:r>
        <w:rPr>
          <w:rFonts w:ascii="Arial" w:hAnsi="Arial"/>
          <w:i/>
          <w:spacing w:val="5"/>
          <w:sz w:val="20"/>
        </w:rPr>
        <w:t> </w:t>
      </w:r>
      <w:r>
        <w:rPr>
          <w:rFonts w:ascii="Arial" w:hAnsi="Arial"/>
          <w:i/>
          <w:sz w:val="20"/>
        </w:rPr>
        <w:t>1537</w:t>
      </w:r>
      <w:r>
        <w:rPr>
          <w:rFonts w:ascii="Arial" w:hAnsi="Arial"/>
          <w:i/>
          <w:spacing w:val="5"/>
          <w:sz w:val="20"/>
        </w:rPr>
        <w:t> </w:t>
      </w:r>
      <w:r>
        <w:rPr>
          <w:rFonts w:ascii="Arial" w:hAnsi="Arial"/>
          <w:i/>
          <w:sz w:val="20"/>
        </w:rPr>
        <w:t>(Ch)</w:t>
      </w:r>
      <w:r>
        <w:rPr>
          <w:rFonts w:ascii="Arial" w:hAnsi="Arial"/>
          <w:i/>
          <w:spacing w:val="4"/>
          <w:sz w:val="20"/>
        </w:rPr>
        <w:t> </w:t>
      </w:r>
      <w:r>
        <w:rPr>
          <w:sz w:val="20"/>
        </w:rPr>
        <w:t>at</w:t>
      </w:r>
      <w:r>
        <w:rPr>
          <w:spacing w:val="5"/>
          <w:sz w:val="20"/>
        </w:rPr>
        <w:t> </w:t>
      </w:r>
      <w:r>
        <w:rPr>
          <w:sz w:val="20"/>
        </w:rPr>
        <w:t>[10]–[11];</w:t>
      </w:r>
      <w:r>
        <w:rPr>
          <w:spacing w:val="5"/>
          <w:sz w:val="20"/>
        </w:rPr>
        <w:t> </w:t>
      </w:r>
      <w:r>
        <w:rPr>
          <w:spacing w:val="-5"/>
          <w:sz w:val="20"/>
        </w:rPr>
        <w:t>and</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line="235" w:lineRule="auto" w:before="110"/>
        <w:ind w:left="705" w:right="167"/>
        <w:jc w:val="both"/>
      </w:pPr>
      <w:r>
        <w:rPr/>
        <w:t>see Regulation 650/2012 on jurisdiction, applicable law, recognition and enforcement </w:t>
      </w:r>
      <w:r>
        <w:rPr/>
        <w:t>of decisions and acceptance and enforcement of authentic instruments in matters of succession and the creation of a European Certificate of Succession; Proposal for Council Regulations on matrimonial property regimes and registered partnerships: COM(2011) 126 final; COM(2011) 127 final. See Dicey, Morris and Collins, para.32–033. Following the failure to reach a political agreement on these proposals, on March 2, 2016, the European Commission adopted a proposal for a Council decision authorising enhanced cooperation in the area of jurisdiction, applicable law and the recognition and enforcement of decisions on the property regimes of international couples, covering both matters of matrimonial property regimes and the property consequences of registered partnerships (COM(2016) 108 final). The Commission also published proposals for two new Regulations, a Council Regulation on jurisdiction, applicable law and the recognition and enforcement of decisions in matters of matrimonial property regimes (COM(2016) 106 final) and a proposal for a Council Regulation on jurisdiction, applicable law and the recognition and enforcement of decisions in matters of the property consequences</w:t>
      </w:r>
      <w:r>
        <w:rPr>
          <w:spacing w:val="-2"/>
        </w:rPr>
        <w:t> </w:t>
      </w:r>
      <w:r>
        <w:rPr/>
        <w:t>of</w:t>
      </w:r>
      <w:r>
        <w:rPr>
          <w:spacing w:val="-2"/>
        </w:rPr>
        <w:t> </w:t>
      </w:r>
      <w:r>
        <w:rPr/>
        <w:t>registered</w:t>
      </w:r>
      <w:r>
        <w:rPr>
          <w:spacing w:val="-2"/>
        </w:rPr>
        <w:t> </w:t>
      </w:r>
      <w:r>
        <w:rPr/>
        <w:t>partnerships</w:t>
      </w:r>
      <w:r>
        <w:rPr>
          <w:spacing w:val="-2"/>
        </w:rPr>
        <w:t> </w:t>
      </w:r>
      <w:r>
        <w:rPr/>
        <w:t>(COM(2016)</w:t>
      </w:r>
      <w:r>
        <w:rPr>
          <w:spacing w:val="-2"/>
        </w:rPr>
        <w:t> </w:t>
      </w:r>
      <w:r>
        <w:rPr/>
        <w:t>107</w:t>
      </w:r>
      <w:r>
        <w:rPr>
          <w:spacing w:val="-2"/>
        </w:rPr>
        <w:t> </w:t>
      </w:r>
      <w:r>
        <w:rPr/>
        <w:t>final).</w:t>
      </w:r>
      <w:r>
        <w:rPr>
          <w:spacing w:val="-2"/>
        </w:rPr>
        <w:t> </w:t>
      </w:r>
      <w:r>
        <w:rPr/>
        <w:t>Council</w:t>
      </w:r>
      <w:r>
        <w:rPr>
          <w:spacing w:val="-2"/>
        </w:rPr>
        <w:t> </w:t>
      </w:r>
      <w:r>
        <w:rPr/>
        <w:t>Regulation</w:t>
      </w:r>
      <w:r>
        <w:rPr>
          <w:spacing w:val="-2"/>
        </w:rPr>
        <w:t> </w:t>
      </w:r>
      <w:r>
        <w:rPr/>
        <w:t>2016/1103 of</w:t>
      </w:r>
      <w:r>
        <w:rPr>
          <w:spacing w:val="-1"/>
        </w:rPr>
        <w:t> </w:t>
      </w:r>
      <w:r>
        <w:rPr/>
        <w:t>24</w:t>
      </w:r>
      <w:r>
        <w:rPr>
          <w:spacing w:val="-1"/>
        </w:rPr>
        <w:t> </w:t>
      </w:r>
      <w:r>
        <w:rPr/>
        <w:t>June</w:t>
      </w:r>
      <w:r>
        <w:rPr>
          <w:spacing w:val="-1"/>
        </w:rPr>
        <w:t> </w:t>
      </w:r>
      <w:r>
        <w:rPr/>
        <w:t>2016</w:t>
      </w:r>
      <w:r>
        <w:rPr>
          <w:spacing w:val="-1"/>
        </w:rPr>
        <w:t> </w:t>
      </w:r>
      <w:r>
        <w:rPr/>
        <w:t>([2016]</w:t>
      </w:r>
      <w:r>
        <w:rPr>
          <w:spacing w:val="-1"/>
        </w:rPr>
        <w:t> </w:t>
      </w:r>
      <w:r>
        <w:rPr/>
        <w:t>O.J.</w:t>
      </w:r>
      <w:r>
        <w:rPr>
          <w:spacing w:val="-1"/>
        </w:rPr>
        <w:t> </w:t>
      </w:r>
      <w:r>
        <w:rPr/>
        <w:t>L183/1)</w:t>
      </w:r>
      <w:r>
        <w:rPr>
          <w:spacing w:val="-1"/>
        </w:rPr>
        <w:t> </w:t>
      </w:r>
      <w:r>
        <w:rPr/>
        <w:t>will</w:t>
      </w:r>
      <w:r>
        <w:rPr>
          <w:spacing w:val="-1"/>
        </w:rPr>
        <w:t> </w:t>
      </w:r>
      <w:r>
        <w:rPr/>
        <w:t>apply</w:t>
      </w:r>
      <w:r>
        <w:rPr>
          <w:spacing w:val="-1"/>
        </w:rPr>
        <w:t> </w:t>
      </w:r>
      <w:r>
        <w:rPr/>
        <w:t>in</w:t>
      </w:r>
      <w:r>
        <w:rPr>
          <w:spacing w:val="-1"/>
        </w:rPr>
        <w:t> </w:t>
      </w:r>
      <w:r>
        <w:rPr/>
        <w:t>Member</w:t>
      </w:r>
      <w:r>
        <w:rPr>
          <w:spacing w:val="-1"/>
        </w:rPr>
        <w:t> </w:t>
      </w:r>
      <w:r>
        <w:rPr/>
        <w:t>States</w:t>
      </w:r>
      <w:r>
        <w:rPr>
          <w:spacing w:val="-1"/>
        </w:rPr>
        <w:t> </w:t>
      </w:r>
      <w:r>
        <w:rPr/>
        <w:t>which</w:t>
      </w:r>
      <w:r>
        <w:rPr>
          <w:spacing w:val="-1"/>
        </w:rPr>
        <w:t> </w:t>
      </w:r>
      <w:r>
        <w:rPr/>
        <w:t>participate</w:t>
      </w:r>
      <w:r>
        <w:rPr>
          <w:spacing w:val="-1"/>
        </w:rPr>
        <w:t> </w:t>
      </w:r>
      <w:r>
        <w:rPr/>
        <w:t>in</w:t>
      </w:r>
      <w:r>
        <w:rPr>
          <w:spacing w:val="-1"/>
        </w:rPr>
        <w:t> </w:t>
      </w:r>
      <w:r>
        <w:rPr/>
        <w:t>advanced cooperation from January 29, 2019 in the context of matrimonial property and the property consequences of registered partnerships.</w:t>
      </w:r>
    </w:p>
    <w:p>
      <w:pPr>
        <w:pStyle w:val="BodyText"/>
        <w:spacing w:before="3"/>
      </w:pPr>
    </w:p>
    <w:p>
      <w:pPr>
        <w:spacing w:line="235" w:lineRule="auto" w:before="0"/>
        <w:ind w:left="705" w:right="167" w:hanging="541"/>
        <w:jc w:val="both"/>
        <w:rPr>
          <w:sz w:val="20"/>
        </w:rPr>
      </w:pPr>
      <w:bookmarkStart w:name="_bookmark358" w:id="360"/>
      <w:bookmarkEnd w:id="360"/>
      <w:r>
        <w:rPr/>
      </w:r>
      <w:hyperlink w:history="true" w:anchor="_bookmark278">
        <w:r>
          <w:rPr>
            <w:color w:val="005DA1"/>
            <w:position w:val="5"/>
            <w:sz w:val="14"/>
            <w:u w:val="single" w:color="005DA1"/>
          </w:rPr>
          <w:t>165</w:t>
        </w:r>
      </w:hyperlink>
      <w:r>
        <w:rPr>
          <w:position w:val="5"/>
          <w:sz w:val="14"/>
        </w:rPr>
        <w:t>.</w:t>
      </w:r>
      <w:r>
        <w:rPr>
          <w:spacing w:val="40"/>
          <w:position w:val="5"/>
          <w:sz w:val="14"/>
        </w:rPr>
        <w:t>  </w:t>
      </w:r>
      <w:r>
        <w:rPr>
          <w:sz w:val="20"/>
        </w:rPr>
        <w:t>Giuliano-Lagarde Report, pp.10–11. See </w:t>
      </w:r>
      <w:r>
        <w:rPr>
          <w:rFonts w:ascii="Arial" w:hAnsi="Arial"/>
          <w:i/>
          <w:sz w:val="20"/>
        </w:rPr>
        <w:t>Tod v Barton [2002] EWHC 264 (Ch), [2002] W.T.L.R. 469</w:t>
      </w:r>
      <w:r>
        <w:rPr>
          <w:sz w:val="20"/>
        </w:rPr>
        <w:t>; </w:t>
      </w:r>
      <w:r>
        <w:rPr>
          <w:rFonts w:ascii="Arial" w:hAnsi="Arial"/>
          <w:i/>
          <w:sz w:val="20"/>
        </w:rPr>
        <w:t>Halpern v Halpern [2007] EWCA Civ 291, [2008] Q.B. 195 </w:t>
      </w:r>
      <w:r>
        <w:rPr>
          <w:sz w:val="20"/>
        </w:rPr>
        <w:t>at [23] (compromise of arbitration dealing with a dispute as to whether assets outside an estate should be brought into account in order that one party should gain a fair share could not be termed a contract </w:t>
      </w:r>
      <w:r>
        <w:rPr>
          <w:sz w:val="20"/>
        </w:rPr>
        <w:t>relating to wills and succession).</w:t>
      </w:r>
    </w:p>
    <w:p>
      <w:pPr>
        <w:pStyle w:val="BodyText"/>
        <w:spacing w:before="8"/>
      </w:pPr>
    </w:p>
    <w:p>
      <w:pPr>
        <w:tabs>
          <w:tab w:pos="705" w:val="left" w:leader="none"/>
        </w:tabs>
        <w:spacing w:line="235" w:lineRule="auto" w:before="1"/>
        <w:ind w:left="705" w:right="168" w:hanging="541"/>
        <w:jc w:val="left"/>
        <w:rPr>
          <w:sz w:val="20"/>
        </w:rPr>
      </w:pPr>
      <w:bookmarkStart w:name="_bookmark359" w:id="361"/>
      <w:bookmarkEnd w:id="361"/>
      <w:r>
        <w:rPr/>
      </w:r>
      <w:hyperlink w:history="true" w:anchor="_bookmark279">
        <w:r>
          <w:rPr>
            <w:color w:val="005DA1"/>
            <w:spacing w:val="-4"/>
            <w:position w:val="5"/>
            <w:sz w:val="14"/>
            <w:u w:val="single" w:color="005DA1"/>
          </w:rPr>
          <w:t>166</w:t>
        </w:r>
      </w:hyperlink>
      <w:r>
        <w:rPr>
          <w:spacing w:val="-4"/>
          <w:position w:val="5"/>
          <w:sz w:val="14"/>
        </w:rPr>
        <w:t>.</w:t>
      </w:r>
      <w:r>
        <w:rPr>
          <w:position w:val="5"/>
          <w:sz w:val="14"/>
        </w:rPr>
        <w:tab/>
      </w:r>
      <w:r>
        <w:rPr>
          <w:sz w:val="20"/>
        </w:rPr>
        <w:t>Giuliano-Lagarde</w:t>
      </w:r>
      <w:r>
        <w:rPr>
          <w:spacing w:val="40"/>
          <w:sz w:val="20"/>
        </w:rPr>
        <w:t> </w:t>
      </w:r>
      <w:r>
        <w:rPr>
          <w:sz w:val="20"/>
        </w:rPr>
        <w:t>Report,</w:t>
      </w:r>
      <w:r>
        <w:rPr>
          <w:spacing w:val="40"/>
          <w:sz w:val="20"/>
        </w:rPr>
        <w:t> </w:t>
      </w:r>
      <w:r>
        <w:rPr>
          <w:sz w:val="20"/>
        </w:rPr>
        <w:t>p.11.</w:t>
      </w:r>
      <w:r>
        <w:rPr>
          <w:spacing w:val="40"/>
          <w:sz w:val="20"/>
        </w:rPr>
        <w:t> </w:t>
      </w:r>
      <w:r>
        <w:rPr>
          <w:sz w:val="20"/>
        </w:rPr>
        <w:t>See</w:t>
      </w:r>
      <w:r>
        <w:rPr>
          <w:spacing w:val="40"/>
          <w:sz w:val="20"/>
        </w:rPr>
        <w:t> </w:t>
      </w:r>
      <w:r>
        <w:rPr>
          <w:rFonts w:ascii="Arial" w:hAnsi="Arial"/>
          <w:i/>
          <w:sz w:val="20"/>
        </w:rPr>
        <w:t>Karafarin</w:t>
      </w:r>
      <w:r>
        <w:rPr>
          <w:rFonts w:ascii="Arial" w:hAnsi="Arial"/>
          <w:i/>
          <w:spacing w:val="40"/>
          <w:sz w:val="20"/>
        </w:rPr>
        <w:t> </w:t>
      </w:r>
      <w:r>
        <w:rPr>
          <w:rFonts w:ascii="Arial" w:hAnsi="Arial"/>
          <w:i/>
          <w:sz w:val="20"/>
        </w:rPr>
        <w:t>Bank</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Mansoury-Dara</w:t>
      </w:r>
      <w:r>
        <w:rPr>
          <w:rFonts w:ascii="Arial" w:hAnsi="Arial"/>
          <w:i/>
          <w:spacing w:val="40"/>
          <w:sz w:val="20"/>
        </w:rPr>
        <w:t> </w:t>
      </w:r>
      <w:r>
        <w:rPr>
          <w:rFonts w:ascii="Arial" w:hAnsi="Arial"/>
          <w:i/>
          <w:sz w:val="20"/>
        </w:rPr>
        <w:t>[2009]</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3265 (Comm), [2010] 1 Lloyd’s Rep. 236</w:t>
      </w:r>
      <w:r>
        <w:rPr>
          <w:sz w:val="20"/>
        </w:rPr>
        <w:t>; Boonk [2011] L.M.C.L.Q. 227.</w:t>
      </w:r>
    </w:p>
    <w:p>
      <w:pPr>
        <w:pStyle w:val="BodyText"/>
        <w:spacing w:before="5"/>
      </w:pPr>
    </w:p>
    <w:p>
      <w:pPr>
        <w:pStyle w:val="BodyText"/>
        <w:tabs>
          <w:tab w:pos="705" w:val="left" w:leader="none"/>
        </w:tabs>
        <w:ind w:left="165"/>
      </w:pPr>
      <w:bookmarkStart w:name="_bookmark360" w:id="362"/>
      <w:bookmarkEnd w:id="362"/>
      <w:r>
        <w:rPr/>
      </w:r>
      <w:hyperlink w:history="true" w:anchor="_bookmark280">
        <w:r>
          <w:rPr>
            <w:color w:val="005DA1"/>
            <w:spacing w:val="-4"/>
            <w:position w:val="5"/>
            <w:sz w:val="14"/>
            <w:u w:val="single" w:color="005DA1"/>
          </w:rPr>
          <w:t>167</w:t>
        </w:r>
      </w:hyperlink>
      <w:r>
        <w:rPr>
          <w:spacing w:val="-4"/>
          <w:position w:val="5"/>
          <w:sz w:val="14"/>
        </w:rPr>
        <w:t>.</w:t>
      </w:r>
      <w:r>
        <w:rPr>
          <w:position w:val="5"/>
          <w:sz w:val="14"/>
        </w:rPr>
        <w:tab/>
      </w:r>
      <w:r>
        <w:rPr/>
        <w:t>Rome Convention </w:t>
      </w:r>
      <w:r>
        <w:rPr>
          <w:spacing w:val="-2"/>
        </w:rPr>
        <w:t>art.1(2)(c).</w:t>
      </w:r>
    </w:p>
    <w:p>
      <w:pPr>
        <w:pStyle w:val="BodyText"/>
        <w:spacing w:before="5"/>
      </w:pPr>
    </w:p>
    <w:p>
      <w:pPr>
        <w:pStyle w:val="BodyText"/>
        <w:tabs>
          <w:tab w:pos="705" w:val="left" w:leader="none"/>
        </w:tabs>
        <w:ind w:left="165"/>
      </w:pPr>
      <w:bookmarkStart w:name="_bookmark361" w:id="363"/>
      <w:bookmarkEnd w:id="363"/>
      <w:r>
        <w:rPr/>
      </w:r>
      <w:hyperlink w:history="true" w:anchor="_bookmark281">
        <w:r>
          <w:rPr>
            <w:color w:val="005DA1"/>
            <w:spacing w:val="-4"/>
            <w:position w:val="5"/>
            <w:sz w:val="14"/>
            <w:u w:val="single" w:color="005DA1"/>
          </w:rPr>
          <w:t>168</w:t>
        </w:r>
      </w:hyperlink>
      <w:r>
        <w:rPr>
          <w:spacing w:val="-4"/>
          <w:position w:val="5"/>
          <w:sz w:val="14"/>
        </w:rPr>
        <w:t>.</w:t>
      </w:r>
      <w:r>
        <w:rPr>
          <w:position w:val="5"/>
          <w:sz w:val="14"/>
        </w:rPr>
        <w:tab/>
      </w:r>
      <w:r>
        <w:rPr/>
        <w:t>Giuliano-Lagarde Report, </w:t>
      </w:r>
      <w:r>
        <w:rPr>
          <w:spacing w:val="-2"/>
        </w:rPr>
        <w:t>p.11.</w:t>
      </w:r>
    </w:p>
    <w:p>
      <w:pPr>
        <w:pStyle w:val="BodyText"/>
        <w:spacing w:before="5"/>
      </w:pPr>
    </w:p>
    <w:p>
      <w:pPr>
        <w:pStyle w:val="BodyText"/>
        <w:tabs>
          <w:tab w:pos="705" w:val="left" w:leader="none"/>
        </w:tabs>
        <w:ind w:left="165"/>
      </w:pPr>
      <w:bookmarkStart w:name="_bookmark362" w:id="364"/>
      <w:bookmarkEnd w:id="364"/>
      <w:r>
        <w:rPr/>
      </w:r>
      <w:hyperlink w:history="true" w:anchor="_bookmark282">
        <w:r>
          <w:rPr>
            <w:color w:val="005DA1"/>
            <w:spacing w:val="-4"/>
            <w:position w:val="5"/>
            <w:sz w:val="14"/>
            <w:u w:val="single" w:color="005DA1"/>
          </w:rPr>
          <w:t>169</w:t>
        </w:r>
      </w:hyperlink>
      <w:r>
        <w:rPr>
          <w:spacing w:val="-4"/>
          <w:position w:val="5"/>
          <w:sz w:val="14"/>
        </w:rPr>
        <w:t>.</w:t>
      </w:r>
      <w:r>
        <w:rPr>
          <w:position w:val="5"/>
          <w:sz w:val="14"/>
        </w:rPr>
        <w:tab/>
      </w:r>
      <w:r>
        <w:rPr/>
        <w:t>Giuliano-Lagarde Report, </w:t>
      </w:r>
      <w:r>
        <w:rPr>
          <w:spacing w:val="-2"/>
        </w:rPr>
        <w:t>p.11.</w:t>
      </w:r>
    </w:p>
    <w:p>
      <w:pPr>
        <w:pStyle w:val="BodyText"/>
        <w:spacing w:before="5"/>
      </w:pPr>
    </w:p>
    <w:p>
      <w:pPr>
        <w:pStyle w:val="BodyText"/>
        <w:tabs>
          <w:tab w:pos="705" w:val="left" w:leader="none"/>
        </w:tabs>
        <w:ind w:left="165"/>
      </w:pPr>
      <w:bookmarkStart w:name="_bookmark363" w:id="365"/>
      <w:bookmarkEnd w:id="365"/>
      <w:r>
        <w:rPr/>
      </w:r>
      <w:hyperlink w:history="true" w:anchor="_bookmark283">
        <w:r>
          <w:rPr>
            <w:color w:val="005DA1"/>
            <w:spacing w:val="-4"/>
            <w:position w:val="5"/>
            <w:sz w:val="14"/>
            <w:u w:val="single" w:color="005DA1"/>
          </w:rPr>
          <w:t>170</w:t>
        </w:r>
      </w:hyperlink>
      <w:r>
        <w:rPr>
          <w:spacing w:val="-4"/>
          <w:position w:val="5"/>
          <w:sz w:val="14"/>
        </w:rPr>
        <w:t>.</w:t>
      </w:r>
      <w:r>
        <w:rPr>
          <w:position w:val="5"/>
          <w:sz w:val="14"/>
        </w:rPr>
        <w:tab/>
      </w:r>
      <w:r>
        <w:rPr/>
        <w:t>Giuliano-Lagarde Report, </w:t>
      </w:r>
      <w:r>
        <w:rPr>
          <w:spacing w:val="-2"/>
        </w:rPr>
        <w:t>p.11.</w:t>
      </w:r>
    </w:p>
    <w:p>
      <w:pPr>
        <w:pStyle w:val="BodyText"/>
        <w:spacing w:before="9"/>
      </w:pPr>
    </w:p>
    <w:p>
      <w:pPr>
        <w:tabs>
          <w:tab w:pos="705" w:val="left" w:leader="none"/>
        </w:tabs>
        <w:spacing w:line="235" w:lineRule="auto" w:before="0"/>
        <w:ind w:left="705" w:right="168" w:hanging="541"/>
        <w:jc w:val="left"/>
        <w:rPr>
          <w:sz w:val="20"/>
        </w:rPr>
      </w:pPr>
      <w:bookmarkStart w:name="_bookmark364" w:id="366"/>
      <w:bookmarkEnd w:id="366"/>
      <w:r>
        <w:rPr/>
      </w:r>
      <w:hyperlink w:history="true" w:anchor="_bookmark284">
        <w:r>
          <w:rPr>
            <w:color w:val="005DA1"/>
            <w:spacing w:val="-4"/>
            <w:position w:val="5"/>
            <w:sz w:val="14"/>
            <w:u w:val="single" w:color="005DA1"/>
          </w:rPr>
          <w:t>171</w:t>
        </w:r>
      </w:hyperlink>
      <w:r>
        <w:rPr>
          <w:spacing w:val="-4"/>
          <w:position w:val="5"/>
          <w:sz w:val="14"/>
        </w:rPr>
        <w:t>.</w:t>
      </w:r>
      <w:r>
        <w:rPr>
          <w:position w:val="5"/>
          <w:sz w:val="14"/>
        </w:rPr>
        <w:tab/>
      </w:r>
      <w:r>
        <w:rPr>
          <w:sz w:val="20"/>
        </w:rPr>
        <w:t>See</w:t>
      </w:r>
      <w:r>
        <w:rPr>
          <w:spacing w:val="40"/>
          <w:sz w:val="20"/>
        </w:rPr>
        <w:t> </w:t>
      </w:r>
      <w:r>
        <w:rPr>
          <w:rFonts w:ascii="Arial" w:hAnsi="Arial"/>
          <w:i/>
          <w:sz w:val="20"/>
        </w:rPr>
        <w:t>Zebrarise</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De</w:t>
      </w:r>
      <w:r>
        <w:rPr>
          <w:rFonts w:ascii="Arial" w:hAnsi="Arial"/>
          <w:i/>
          <w:spacing w:val="40"/>
          <w:sz w:val="20"/>
        </w:rPr>
        <w:t> </w:t>
      </w:r>
      <w:r>
        <w:rPr>
          <w:rFonts w:ascii="Arial" w:hAnsi="Arial"/>
          <w:i/>
          <w:sz w:val="20"/>
        </w:rPr>
        <w:t>Nieffe</w:t>
      </w:r>
      <w:r>
        <w:rPr>
          <w:rFonts w:ascii="Arial" w:hAnsi="Arial"/>
          <w:i/>
          <w:spacing w:val="40"/>
          <w:sz w:val="20"/>
        </w:rPr>
        <w:t> </w:t>
      </w:r>
      <w:r>
        <w:rPr>
          <w:rFonts w:ascii="Arial" w:hAnsi="Arial"/>
          <w:i/>
          <w:sz w:val="20"/>
        </w:rPr>
        <w:t>[2004]</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1842</w:t>
      </w:r>
      <w:r>
        <w:rPr>
          <w:rFonts w:ascii="Arial" w:hAnsi="Arial"/>
          <w:i/>
          <w:spacing w:val="40"/>
          <w:sz w:val="20"/>
        </w:rPr>
        <w:t> </w:t>
      </w:r>
      <w:r>
        <w:rPr>
          <w:rFonts w:ascii="Arial" w:hAnsi="Arial"/>
          <w:i/>
          <w:sz w:val="20"/>
        </w:rPr>
        <w:t>(Comm),</w:t>
      </w:r>
      <w:r>
        <w:rPr>
          <w:rFonts w:ascii="Arial" w:hAnsi="Arial"/>
          <w:i/>
          <w:spacing w:val="40"/>
          <w:sz w:val="20"/>
        </w:rPr>
        <w:t> </w:t>
      </w:r>
      <w:r>
        <w:rPr>
          <w:rFonts w:ascii="Arial" w:hAnsi="Arial"/>
          <w:i/>
          <w:sz w:val="20"/>
        </w:rPr>
        <w:t>[2005]</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154</w:t>
      </w:r>
      <w:r>
        <w:rPr>
          <w:sz w:val="20"/>
        </w:rPr>
        <w:t>;</w:t>
      </w:r>
      <w:r>
        <w:rPr>
          <w:spacing w:val="80"/>
          <w:sz w:val="20"/>
        </w:rPr>
        <w:t> </w:t>
      </w:r>
      <w:r>
        <w:rPr>
          <w:rFonts w:ascii="Arial" w:hAnsi="Arial"/>
          <w:i/>
          <w:sz w:val="20"/>
        </w:rPr>
        <w:t>Karafarin Bank v Mansoury-Dara</w:t>
      </w:r>
      <w:r>
        <w:rPr>
          <w:sz w:val="20"/>
        </w:rPr>
        <w:t>, above; Vol.II, paras 34-192 et seq.</w:t>
      </w:r>
    </w:p>
    <w:p>
      <w:pPr>
        <w:pStyle w:val="BodyText"/>
        <w:spacing w:before="5"/>
      </w:pPr>
    </w:p>
    <w:p>
      <w:pPr>
        <w:tabs>
          <w:tab w:pos="705" w:val="left" w:leader="none"/>
        </w:tabs>
        <w:spacing w:before="0"/>
        <w:ind w:left="165" w:right="0" w:firstLine="0"/>
        <w:jc w:val="left"/>
        <w:rPr>
          <w:sz w:val="20"/>
        </w:rPr>
      </w:pPr>
      <w:bookmarkStart w:name="_bookmark365" w:id="367"/>
      <w:bookmarkEnd w:id="367"/>
      <w:r>
        <w:rPr/>
      </w:r>
      <w:hyperlink w:history="true" w:anchor="_bookmark285">
        <w:r>
          <w:rPr>
            <w:color w:val="005DA1"/>
            <w:spacing w:val="-4"/>
            <w:position w:val="5"/>
            <w:sz w:val="14"/>
            <w:u w:val="single" w:color="005DA1"/>
          </w:rPr>
          <w:t>172</w:t>
        </w:r>
      </w:hyperlink>
      <w:r>
        <w:rPr>
          <w:spacing w:val="-4"/>
          <w:position w:val="5"/>
          <w:sz w:val="14"/>
        </w:rPr>
        <w:t>.</w:t>
      </w:r>
      <w:r>
        <w:rPr>
          <w:position w:val="5"/>
          <w:sz w:val="14"/>
        </w:rPr>
        <w:tab/>
      </w:r>
      <w:r>
        <w:rPr>
          <w:spacing w:val="-2"/>
          <w:sz w:val="20"/>
        </w:rPr>
        <w:t>art.1(2)(c).</w:t>
      </w:r>
    </w:p>
    <w:p>
      <w:pPr>
        <w:pStyle w:val="BodyText"/>
        <w:spacing w:before="9"/>
      </w:pPr>
    </w:p>
    <w:p>
      <w:pPr>
        <w:pStyle w:val="BodyText"/>
        <w:tabs>
          <w:tab w:pos="705" w:val="left" w:leader="none"/>
        </w:tabs>
        <w:spacing w:line="235" w:lineRule="auto"/>
        <w:ind w:left="705" w:right="168" w:hanging="541"/>
      </w:pPr>
      <w:bookmarkStart w:name="_bookmark366" w:id="368"/>
      <w:bookmarkEnd w:id="368"/>
      <w:r>
        <w:rPr/>
      </w:r>
      <w:hyperlink w:history="true" w:anchor="_bookmark285">
        <w:r>
          <w:rPr>
            <w:color w:val="005DA1"/>
            <w:spacing w:val="-4"/>
            <w:position w:val="5"/>
            <w:sz w:val="14"/>
            <w:u w:val="single" w:color="005DA1"/>
          </w:rPr>
          <w:t>173</w:t>
        </w:r>
      </w:hyperlink>
      <w:r>
        <w:rPr>
          <w:spacing w:val="-4"/>
          <w:position w:val="5"/>
          <w:sz w:val="14"/>
        </w:rPr>
        <w:t>.</w:t>
      </w:r>
      <w:r>
        <w:rPr>
          <w:position w:val="5"/>
          <w:sz w:val="14"/>
        </w:rPr>
        <w:tab/>
      </w:r>
      <w:r>
        <w:rPr/>
        <w:t>For</w:t>
      </w:r>
      <w:r>
        <w:rPr>
          <w:spacing w:val="40"/>
        </w:rPr>
        <w:t> </w:t>
      </w:r>
      <w:r>
        <w:rPr/>
        <w:t>discussion,</w:t>
      </w:r>
      <w:r>
        <w:rPr>
          <w:spacing w:val="40"/>
        </w:rPr>
        <w:t> </w:t>
      </w:r>
      <w:r>
        <w:rPr/>
        <w:t>see</w:t>
      </w:r>
      <w:r>
        <w:rPr>
          <w:spacing w:val="40"/>
        </w:rPr>
        <w:t> </w:t>
      </w:r>
      <w:r>
        <w:rPr/>
        <w:t>Dicey,</w:t>
      </w:r>
      <w:r>
        <w:rPr>
          <w:spacing w:val="40"/>
        </w:rPr>
        <w:t> </w:t>
      </w:r>
      <w:r>
        <w:rPr/>
        <w:t>Morris</w:t>
      </w:r>
      <w:r>
        <w:rPr>
          <w:spacing w:val="40"/>
        </w:rPr>
        <w:t> </w:t>
      </w:r>
      <w:r>
        <w:rPr/>
        <w:t>and</w:t>
      </w:r>
      <w:r>
        <w:rPr>
          <w:spacing w:val="40"/>
        </w:rPr>
        <w:t> </w:t>
      </w:r>
      <w:r>
        <w:rPr/>
        <w:t>Collins,</w:t>
      </w:r>
      <w:r>
        <w:rPr>
          <w:spacing w:val="40"/>
        </w:rPr>
        <w:t> </w:t>
      </w:r>
      <w:r>
        <w:rPr/>
        <w:t>paras</w:t>
      </w:r>
      <w:r>
        <w:rPr>
          <w:spacing w:val="40"/>
        </w:rPr>
        <w:t> </w:t>
      </w:r>
      <w:r>
        <w:rPr/>
        <w:t>33–323—33–332;</w:t>
      </w:r>
      <w:r>
        <w:rPr>
          <w:spacing w:val="40"/>
        </w:rPr>
        <w:t> </w:t>
      </w:r>
      <w:r>
        <w:rPr/>
        <w:t>Schultsz,</w:t>
      </w:r>
      <w:r>
        <w:rPr>
          <w:spacing w:val="40"/>
        </w:rPr>
        <w:t> </w:t>
      </w:r>
      <w:r>
        <w:rPr>
          <w:rFonts w:ascii="Arial" w:hAnsi="Arial"/>
          <w:i/>
        </w:rPr>
        <w:t>Contract Conflicts </w:t>
      </w:r>
      <w:r>
        <w:rPr/>
        <w:t>(1982), pp.188–191; Kaye, pp.117–118.</w:t>
      </w:r>
    </w:p>
    <w:p>
      <w:pPr>
        <w:pStyle w:val="BodyText"/>
        <w:spacing w:before="6"/>
      </w:pPr>
    </w:p>
    <w:p>
      <w:pPr>
        <w:tabs>
          <w:tab w:pos="705" w:val="left" w:leader="none"/>
        </w:tabs>
        <w:spacing w:before="0"/>
        <w:ind w:left="165" w:right="0" w:firstLine="0"/>
        <w:jc w:val="left"/>
        <w:rPr>
          <w:sz w:val="20"/>
        </w:rPr>
      </w:pPr>
      <w:bookmarkStart w:name="_bookmark367" w:id="369"/>
      <w:bookmarkEnd w:id="369"/>
      <w:r>
        <w:rPr/>
      </w:r>
      <w:hyperlink w:history="true" w:anchor="_bookmark286">
        <w:r>
          <w:rPr>
            <w:color w:val="005DA1"/>
            <w:spacing w:val="-4"/>
            <w:position w:val="5"/>
            <w:sz w:val="14"/>
            <w:u w:val="single" w:color="005DA1"/>
          </w:rPr>
          <w:t>174</w:t>
        </w:r>
      </w:hyperlink>
      <w:r>
        <w:rPr>
          <w:spacing w:val="-4"/>
          <w:position w:val="5"/>
          <w:sz w:val="14"/>
        </w:rPr>
        <w:t>.</w:t>
      </w:r>
      <w:r>
        <w:rPr>
          <w:position w:val="5"/>
          <w:sz w:val="14"/>
        </w:rPr>
        <w:tab/>
      </w:r>
      <w:r>
        <w:rPr>
          <w:sz w:val="20"/>
        </w:rPr>
        <w:t>Giuliano-Lagarde</w:t>
      </w:r>
      <w:r>
        <w:rPr>
          <w:spacing w:val="-2"/>
          <w:sz w:val="20"/>
        </w:rPr>
        <w:t> </w:t>
      </w:r>
      <w:r>
        <w:rPr>
          <w:sz w:val="20"/>
        </w:rPr>
        <w:t>Report, p.11. cf. Schultsz,</w:t>
      </w:r>
      <w:r>
        <w:rPr>
          <w:spacing w:val="-1"/>
          <w:sz w:val="20"/>
        </w:rPr>
        <w:t> </w:t>
      </w:r>
      <w:r>
        <w:rPr>
          <w:rFonts w:ascii="Arial"/>
          <w:i/>
          <w:sz w:val="20"/>
        </w:rPr>
        <w:t>Contract </w:t>
      </w:r>
      <w:r>
        <w:rPr>
          <w:rFonts w:ascii="Arial"/>
          <w:i/>
          <w:spacing w:val="-2"/>
          <w:sz w:val="20"/>
        </w:rPr>
        <w:t>Conflicts</w:t>
      </w:r>
      <w:r>
        <w:rPr>
          <w:spacing w:val="-2"/>
          <w:sz w:val="20"/>
        </w:rPr>
        <w:t>.</w:t>
      </w:r>
    </w:p>
    <w:p>
      <w:pPr>
        <w:pStyle w:val="BodyText"/>
        <w:spacing w:before="5"/>
      </w:pPr>
    </w:p>
    <w:p>
      <w:pPr>
        <w:pStyle w:val="BodyText"/>
        <w:tabs>
          <w:tab w:pos="705" w:val="left" w:leader="none"/>
        </w:tabs>
        <w:ind w:left="165"/>
      </w:pPr>
      <w:bookmarkStart w:name="_bookmark368" w:id="370"/>
      <w:bookmarkEnd w:id="370"/>
      <w:r>
        <w:rPr/>
      </w:r>
      <w:hyperlink w:history="true" w:anchor="_bookmark287">
        <w:r>
          <w:rPr>
            <w:color w:val="005DA1"/>
            <w:spacing w:val="-4"/>
            <w:position w:val="5"/>
            <w:sz w:val="14"/>
            <w:u w:val="single" w:color="005DA1"/>
          </w:rPr>
          <w:t>175</w:t>
        </w:r>
      </w:hyperlink>
      <w:r>
        <w:rPr>
          <w:spacing w:val="-4"/>
          <w:position w:val="5"/>
          <w:sz w:val="14"/>
        </w:rPr>
        <w:t>.</w:t>
      </w:r>
      <w:r>
        <w:rPr>
          <w:position w:val="5"/>
          <w:sz w:val="14"/>
        </w:rPr>
        <w:tab/>
      </w:r>
      <w:r>
        <w:rPr/>
        <w:t>Giuliano-Lagarde Report, </w:t>
      </w:r>
      <w:r>
        <w:rPr>
          <w:spacing w:val="-2"/>
        </w:rPr>
        <w:t>p.11.</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369" w:id="371"/>
      <w:bookmarkEnd w:id="371"/>
      <w:r>
        <w:rPr/>
      </w:r>
      <w:hyperlink w:history="true" w:anchor="_bookmark288">
        <w:r>
          <w:rPr>
            <w:color w:val="005DA1"/>
            <w:spacing w:val="-4"/>
            <w:position w:val="5"/>
            <w:sz w:val="14"/>
            <w:u w:val="single" w:color="005DA1"/>
          </w:rPr>
          <w:t>176</w:t>
        </w:r>
      </w:hyperlink>
      <w:r>
        <w:rPr>
          <w:spacing w:val="-4"/>
          <w:position w:val="5"/>
          <w:sz w:val="14"/>
        </w:rPr>
        <w:t>.</w:t>
      </w:r>
      <w:r>
        <w:rPr>
          <w:position w:val="5"/>
          <w:sz w:val="14"/>
        </w:rPr>
        <w:tab/>
      </w:r>
      <w:r>
        <w:rPr>
          <w:sz w:val="20"/>
        </w:rPr>
        <w:t>Rome Convention art.1(2)(d). See </w:t>
      </w:r>
      <w:r>
        <w:rPr>
          <w:rFonts w:ascii="Arial"/>
          <w:i/>
          <w:sz w:val="20"/>
        </w:rPr>
        <w:t>Tamil Nadu Electricity Board v ST-CMS Electric Co </w:t>
      </w:r>
      <w:r>
        <w:rPr>
          <w:rFonts w:ascii="Arial"/>
          <w:i/>
          <w:sz w:val="20"/>
        </w:rPr>
        <w:t>Private Ltd</w:t>
      </w:r>
      <w:r>
        <w:rPr>
          <w:rFonts w:ascii="Arial"/>
          <w:i/>
          <w:spacing w:val="31"/>
          <w:sz w:val="20"/>
        </w:rPr>
        <w:t> </w:t>
      </w:r>
      <w:r>
        <w:rPr>
          <w:rFonts w:ascii="Arial"/>
          <w:i/>
          <w:sz w:val="20"/>
        </w:rPr>
        <w:t>[2007]</w:t>
      </w:r>
      <w:r>
        <w:rPr>
          <w:rFonts w:ascii="Arial"/>
          <w:i/>
          <w:spacing w:val="33"/>
          <w:sz w:val="20"/>
        </w:rPr>
        <w:t> </w:t>
      </w:r>
      <w:r>
        <w:rPr>
          <w:rFonts w:ascii="Arial"/>
          <w:i/>
          <w:sz w:val="20"/>
        </w:rPr>
        <w:t>EWHC</w:t>
      </w:r>
      <w:r>
        <w:rPr>
          <w:rFonts w:ascii="Arial"/>
          <w:i/>
          <w:spacing w:val="33"/>
          <w:sz w:val="20"/>
        </w:rPr>
        <w:t> </w:t>
      </w:r>
      <w:r>
        <w:rPr>
          <w:rFonts w:ascii="Arial"/>
          <w:i/>
          <w:sz w:val="20"/>
        </w:rPr>
        <w:t>1713</w:t>
      </w:r>
      <w:r>
        <w:rPr>
          <w:rFonts w:ascii="Arial"/>
          <w:i/>
          <w:spacing w:val="33"/>
          <w:sz w:val="20"/>
        </w:rPr>
        <w:t> </w:t>
      </w:r>
      <w:r>
        <w:rPr>
          <w:rFonts w:ascii="Arial"/>
          <w:i/>
          <w:sz w:val="20"/>
        </w:rPr>
        <w:t>(Comm),</w:t>
      </w:r>
      <w:r>
        <w:rPr>
          <w:rFonts w:ascii="Arial"/>
          <w:i/>
          <w:spacing w:val="33"/>
          <w:sz w:val="20"/>
        </w:rPr>
        <w:t> </w:t>
      </w:r>
      <w:r>
        <w:rPr>
          <w:rFonts w:ascii="Arial"/>
          <w:i/>
          <w:sz w:val="20"/>
        </w:rPr>
        <w:t>[2007]</w:t>
      </w:r>
      <w:r>
        <w:rPr>
          <w:rFonts w:ascii="Arial"/>
          <w:i/>
          <w:spacing w:val="33"/>
          <w:sz w:val="20"/>
        </w:rPr>
        <w:t> </w:t>
      </w:r>
      <w:r>
        <w:rPr>
          <w:rFonts w:ascii="Arial"/>
          <w:i/>
          <w:sz w:val="20"/>
        </w:rPr>
        <w:t>2</w:t>
      </w:r>
      <w:r>
        <w:rPr>
          <w:rFonts w:ascii="Arial"/>
          <w:i/>
          <w:spacing w:val="33"/>
          <w:sz w:val="20"/>
        </w:rPr>
        <w:t> </w:t>
      </w:r>
      <w:r>
        <w:rPr>
          <w:rFonts w:ascii="Arial"/>
          <w:i/>
          <w:sz w:val="20"/>
        </w:rPr>
        <w:t>All</w:t>
      </w:r>
      <w:r>
        <w:rPr>
          <w:rFonts w:ascii="Arial"/>
          <w:i/>
          <w:spacing w:val="33"/>
          <w:sz w:val="20"/>
        </w:rPr>
        <w:t> </w:t>
      </w:r>
      <w:r>
        <w:rPr>
          <w:rFonts w:ascii="Arial"/>
          <w:i/>
          <w:sz w:val="20"/>
        </w:rPr>
        <w:t>E.R.</w:t>
      </w:r>
      <w:r>
        <w:rPr>
          <w:rFonts w:ascii="Arial"/>
          <w:i/>
          <w:spacing w:val="33"/>
          <w:sz w:val="20"/>
        </w:rPr>
        <w:t> </w:t>
      </w:r>
      <w:r>
        <w:rPr>
          <w:rFonts w:ascii="Arial"/>
          <w:i/>
          <w:sz w:val="20"/>
        </w:rPr>
        <w:t>(Comm)</w:t>
      </w:r>
      <w:r>
        <w:rPr>
          <w:rFonts w:ascii="Arial"/>
          <w:i/>
          <w:spacing w:val="33"/>
          <w:sz w:val="20"/>
        </w:rPr>
        <w:t> </w:t>
      </w:r>
      <w:r>
        <w:rPr>
          <w:rFonts w:ascii="Arial"/>
          <w:i/>
          <w:sz w:val="20"/>
        </w:rPr>
        <w:t>701</w:t>
      </w:r>
      <w:r>
        <w:rPr>
          <w:rFonts w:ascii="Arial"/>
          <w:i/>
          <w:spacing w:val="33"/>
          <w:sz w:val="20"/>
        </w:rPr>
        <w:t> </w:t>
      </w:r>
      <w:r>
        <w:rPr>
          <w:sz w:val="20"/>
        </w:rPr>
        <w:t>at</w:t>
      </w:r>
      <w:r>
        <w:rPr>
          <w:spacing w:val="33"/>
          <w:sz w:val="20"/>
        </w:rPr>
        <w:t> </w:t>
      </w:r>
      <w:r>
        <w:rPr>
          <w:sz w:val="20"/>
        </w:rPr>
        <w:t>[44].</w:t>
      </w:r>
      <w:r>
        <w:rPr>
          <w:spacing w:val="33"/>
          <w:sz w:val="20"/>
        </w:rPr>
        <w:t> </w:t>
      </w:r>
      <w:r>
        <w:rPr>
          <w:sz w:val="20"/>
        </w:rPr>
        <w:t>And</w:t>
      </w:r>
      <w:r>
        <w:rPr>
          <w:spacing w:val="33"/>
          <w:sz w:val="20"/>
        </w:rPr>
        <w:t> </w:t>
      </w:r>
      <w:r>
        <w:rPr>
          <w:sz w:val="20"/>
        </w:rPr>
        <w:t>see</w:t>
      </w:r>
      <w:r>
        <w:rPr>
          <w:spacing w:val="33"/>
          <w:sz w:val="20"/>
        </w:rPr>
        <w:t> </w:t>
      </w:r>
      <w:r>
        <w:rPr>
          <w:rFonts w:ascii="Arial"/>
          <w:i/>
          <w:sz w:val="20"/>
        </w:rPr>
        <w:t>Halpern</w:t>
      </w:r>
      <w:r>
        <w:rPr>
          <w:rFonts w:ascii="Arial"/>
          <w:i/>
          <w:spacing w:val="33"/>
          <w:sz w:val="20"/>
        </w:rPr>
        <w:t> </w:t>
      </w:r>
      <w:r>
        <w:rPr>
          <w:rFonts w:ascii="Arial"/>
          <w:i/>
          <w:spacing w:val="-10"/>
          <w:sz w:val="20"/>
        </w:rPr>
        <w:t>v</w:t>
      </w:r>
    </w:p>
    <w:p>
      <w:pPr>
        <w:spacing w:line="235" w:lineRule="auto" w:before="0"/>
        <w:ind w:left="705" w:right="167" w:firstLine="0"/>
        <w:jc w:val="both"/>
        <w:rPr>
          <w:sz w:val="20"/>
        </w:rPr>
      </w:pPr>
      <w:r>
        <w:rPr>
          <w:rFonts w:ascii="Arial" w:hAnsi="Arial"/>
          <w:i/>
          <w:sz w:val="20"/>
        </w:rPr>
        <w:t>Halpern (Nos 1 and 2) [2007] EWCA Civ 291, [2008] Q.B. 195</w:t>
      </w:r>
      <w:r>
        <w:rPr>
          <w:sz w:val="20"/>
        </w:rPr>
        <w:t>. For discussion, see Dicey, Morris and Collins, paras 32–035—32–037; Kaye, pp.118–121; Morse, </w:t>
      </w:r>
      <w:r>
        <w:rPr>
          <w:rFonts w:ascii="Arial" w:hAnsi="Arial"/>
          <w:i/>
          <w:sz w:val="20"/>
        </w:rPr>
        <w:t>The Enforcement of International Contracts in the European Union </w:t>
      </w:r>
      <w:r>
        <w:rPr>
          <w:sz w:val="20"/>
        </w:rPr>
        <w:t>(2004), pp.191–209. An arbitration or choice of court agreement may nonetheless be relevant in determining whether the parties have made a choice of law: see below, paras 30-050 et seq.</w:t>
      </w:r>
    </w:p>
    <w:p>
      <w:pPr>
        <w:pStyle w:val="BodyText"/>
        <w:spacing w:before="7"/>
      </w:pPr>
    </w:p>
    <w:p>
      <w:pPr>
        <w:pStyle w:val="BodyText"/>
        <w:tabs>
          <w:tab w:pos="705" w:val="left" w:leader="none"/>
        </w:tabs>
        <w:spacing w:line="235" w:lineRule="auto"/>
        <w:ind w:left="705" w:right="168" w:hanging="541"/>
      </w:pPr>
      <w:bookmarkStart w:name="_bookmark370" w:id="372"/>
      <w:bookmarkEnd w:id="372"/>
      <w:r>
        <w:rPr/>
      </w:r>
      <w:hyperlink w:history="true" w:anchor="_bookmark289">
        <w:r>
          <w:rPr>
            <w:color w:val="005DA1"/>
            <w:spacing w:val="-4"/>
            <w:position w:val="5"/>
            <w:sz w:val="14"/>
            <w:u w:val="single" w:color="005DA1"/>
          </w:rPr>
          <w:t>177</w:t>
        </w:r>
      </w:hyperlink>
      <w:r>
        <w:rPr>
          <w:spacing w:val="-4"/>
          <w:position w:val="5"/>
          <w:sz w:val="14"/>
        </w:rPr>
        <w:t>.</w:t>
      </w:r>
      <w:r>
        <w:rPr>
          <w:position w:val="5"/>
          <w:sz w:val="14"/>
        </w:rPr>
        <w:tab/>
      </w:r>
      <w:r>
        <w:rPr/>
        <w:t>Giuliano-Lagarde</w:t>
      </w:r>
      <w:r>
        <w:rPr>
          <w:spacing w:val="40"/>
        </w:rPr>
        <w:t> </w:t>
      </w:r>
      <w:r>
        <w:rPr/>
        <w:t>Report,</w:t>
      </w:r>
      <w:r>
        <w:rPr>
          <w:spacing w:val="40"/>
        </w:rPr>
        <w:t> </w:t>
      </w:r>
      <w:r>
        <w:rPr/>
        <w:t>pp.11–12.</w:t>
      </w:r>
      <w:r>
        <w:rPr>
          <w:spacing w:val="40"/>
        </w:rPr>
        <w:t> </w:t>
      </w:r>
      <w:r>
        <w:rPr/>
        <w:t>The</w:t>
      </w:r>
      <w:r>
        <w:rPr>
          <w:spacing w:val="40"/>
        </w:rPr>
        <w:t> </w:t>
      </w:r>
      <w:r>
        <w:rPr/>
        <w:t>UK</w:t>
      </w:r>
      <w:r>
        <w:rPr>
          <w:spacing w:val="40"/>
        </w:rPr>
        <w:t> </w:t>
      </w:r>
      <w:r>
        <w:rPr/>
        <w:t>argued</w:t>
      </w:r>
      <w:r>
        <w:rPr>
          <w:spacing w:val="40"/>
        </w:rPr>
        <w:t> </w:t>
      </w:r>
      <w:r>
        <w:rPr/>
        <w:t>strenuously</w:t>
      </w:r>
      <w:r>
        <w:rPr>
          <w:spacing w:val="40"/>
        </w:rPr>
        <w:t> </w:t>
      </w:r>
      <w:r>
        <w:rPr/>
        <w:t>for</w:t>
      </w:r>
      <w:r>
        <w:rPr>
          <w:spacing w:val="40"/>
        </w:rPr>
        <w:t> </w:t>
      </w:r>
      <w:r>
        <w:rPr/>
        <w:t>the</w:t>
      </w:r>
      <w:r>
        <w:rPr>
          <w:spacing w:val="40"/>
        </w:rPr>
        <w:t> </w:t>
      </w:r>
      <w:r>
        <w:rPr/>
        <w:t>inclusion</w:t>
      </w:r>
      <w:r>
        <w:rPr>
          <w:spacing w:val="40"/>
        </w:rPr>
        <w:t> </w:t>
      </w:r>
      <w:r>
        <w:rPr/>
        <w:t>of</w:t>
      </w:r>
      <w:r>
        <w:rPr>
          <w:spacing w:val="40"/>
        </w:rPr>
        <w:t> </w:t>
      </w:r>
      <w:r>
        <w:rPr/>
        <w:t>both </w:t>
      </w:r>
      <w:r>
        <w:rPr>
          <w:spacing w:val="-2"/>
        </w:rPr>
        <w:t>matters.</w:t>
      </w:r>
    </w:p>
    <w:p>
      <w:pPr>
        <w:pStyle w:val="BodyText"/>
        <w:spacing w:before="9"/>
      </w:pPr>
    </w:p>
    <w:p>
      <w:pPr>
        <w:pStyle w:val="BodyText"/>
        <w:tabs>
          <w:tab w:pos="705" w:val="left" w:leader="none"/>
        </w:tabs>
        <w:spacing w:line="235" w:lineRule="auto"/>
        <w:ind w:left="705" w:right="167" w:hanging="541"/>
      </w:pPr>
      <w:bookmarkStart w:name="_bookmark371" w:id="373"/>
      <w:bookmarkEnd w:id="373"/>
      <w:r>
        <w:rPr/>
      </w:r>
      <w:hyperlink w:history="true" w:anchor="_bookmark290">
        <w:r>
          <w:rPr>
            <w:color w:val="005DA1"/>
            <w:spacing w:val="-4"/>
            <w:position w:val="5"/>
            <w:sz w:val="14"/>
            <w:u w:val="single" w:color="005DA1"/>
          </w:rPr>
          <w:t>178</w:t>
        </w:r>
      </w:hyperlink>
      <w:r>
        <w:rPr>
          <w:spacing w:val="-4"/>
          <w:position w:val="5"/>
          <w:sz w:val="14"/>
        </w:rPr>
        <w:t>.</w:t>
      </w:r>
      <w:r>
        <w:rPr>
          <w:position w:val="5"/>
          <w:sz w:val="14"/>
        </w:rPr>
        <w:tab/>
      </w:r>
      <w:r>
        <w:rPr/>
        <w:t>In fact only the New York Convention on the Recognition and Enforcement of Foreign Arbitral</w:t>
      </w:r>
      <w:r>
        <w:rPr>
          <w:spacing w:val="40"/>
        </w:rPr>
        <w:t> </w:t>
      </w:r>
      <w:r>
        <w:rPr/>
        <w:t>Awards</w:t>
      </w:r>
      <w:r>
        <w:rPr>
          <w:spacing w:val="46"/>
        </w:rPr>
        <w:t> </w:t>
      </w:r>
      <w:r>
        <w:rPr/>
        <w:t>touches</w:t>
      </w:r>
      <w:r>
        <w:rPr>
          <w:spacing w:val="46"/>
        </w:rPr>
        <w:t> </w:t>
      </w:r>
      <w:r>
        <w:rPr/>
        <w:t>upon</w:t>
      </w:r>
      <w:r>
        <w:rPr>
          <w:spacing w:val="46"/>
        </w:rPr>
        <w:t> </w:t>
      </w:r>
      <w:r>
        <w:rPr/>
        <w:t>the</w:t>
      </w:r>
      <w:r>
        <w:rPr>
          <w:spacing w:val="46"/>
        </w:rPr>
        <w:t> </w:t>
      </w:r>
      <w:r>
        <w:rPr/>
        <w:t>law</w:t>
      </w:r>
      <w:r>
        <w:rPr>
          <w:spacing w:val="46"/>
        </w:rPr>
        <w:t> </w:t>
      </w:r>
      <w:r>
        <w:rPr/>
        <w:t>applicable</w:t>
      </w:r>
      <w:r>
        <w:rPr>
          <w:spacing w:val="46"/>
        </w:rPr>
        <w:t> </w:t>
      </w:r>
      <w:r>
        <w:rPr/>
        <w:t>to</w:t>
      </w:r>
      <w:r>
        <w:rPr>
          <w:spacing w:val="46"/>
        </w:rPr>
        <w:t> </w:t>
      </w:r>
      <w:r>
        <w:rPr/>
        <w:t>an</w:t>
      </w:r>
      <w:r>
        <w:rPr>
          <w:spacing w:val="46"/>
        </w:rPr>
        <w:t> </w:t>
      </w:r>
      <w:r>
        <w:rPr/>
        <w:t>arbitration</w:t>
      </w:r>
      <w:r>
        <w:rPr>
          <w:spacing w:val="46"/>
        </w:rPr>
        <w:t> </w:t>
      </w:r>
      <w:r>
        <w:rPr/>
        <w:t>agreement</w:t>
      </w:r>
      <w:r>
        <w:rPr>
          <w:spacing w:val="46"/>
        </w:rPr>
        <w:t> </w:t>
      </w:r>
      <w:r>
        <w:rPr/>
        <w:t>(Arbitration</w:t>
      </w:r>
      <w:r>
        <w:rPr>
          <w:spacing w:val="46"/>
        </w:rPr>
        <w:t> </w:t>
      </w:r>
      <w:r>
        <w:rPr/>
        <w:t>Act</w:t>
      </w:r>
      <w:r>
        <w:rPr>
          <w:spacing w:val="46"/>
        </w:rPr>
        <w:t> </w:t>
      </w:r>
      <w:r>
        <w:rPr>
          <w:spacing w:val="-4"/>
        </w:rPr>
        <w:t>1996</w:t>
      </w:r>
    </w:p>
    <w:p>
      <w:pPr>
        <w:pStyle w:val="BodyText"/>
        <w:spacing w:after="0" w:line="235" w:lineRule="auto"/>
        <w:sectPr>
          <w:pgSz w:w="11900" w:h="16840"/>
          <w:pgMar w:header="971" w:footer="0" w:top="1300" w:bottom="280" w:left="1275" w:right="1275"/>
        </w:sectPr>
      </w:pPr>
    </w:p>
    <w:p>
      <w:pPr>
        <w:pStyle w:val="BodyText"/>
        <w:spacing w:before="166"/>
        <w:ind w:left="705"/>
      </w:pPr>
      <w:r>
        <w:rPr/>
        <w:t>s.103(2)(b)), and that only in the context of the recognition and enforcement of foreign </w:t>
      </w:r>
      <w:r>
        <w:rPr>
          <w:spacing w:val="-2"/>
        </w:rPr>
        <w:t>awards.</w:t>
      </w:r>
    </w:p>
    <w:p>
      <w:pPr>
        <w:pStyle w:val="BodyText"/>
        <w:spacing w:before="5"/>
      </w:pPr>
    </w:p>
    <w:p>
      <w:pPr>
        <w:pStyle w:val="BodyText"/>
        <w:tabs>
          <w:tab w:pos="705" w:val="left" w:leader="none"/>
        </w:tabs>
        <w:spacing w:before="1"/>
        <w:ind w:left="165"/>
      </w:pPr>
      <w:bookmarkStart w:name="_bookmark372" w:id="374"/>
      <w:bookmarkEnd w:id="374"/>
      <w:r>
        <w:rPr/>
      </w:r>
      <w:hyperlink w:history="true" w:anchor="_bookmark290">
        <w:r>
          <w:rPr>
            <w:color w:val="005DA1"/>
            <w:spacing w:val="-4"/>
            <w:position w:val="5"/>
            <w:sz w:val="14"/>
            <w:u w:val="single" w:color="005DA1"/>
          </w:rPr>
          <w:t>179</w:t>
        </w:r>
      </w:hyperlink>
      <w:r>
        <w:rPr>
          <w:spacing w:val="-4"/>
          <w:position w:val="5"/>
          <w:sz w:val="14"/>
        </w:rPr>
        <w:t>.</w:t>
      </w:r>
      <w:r>
        <w:rPr>
          <w:position w:val="5"/>
          <w:sz w:val="14"/>
        </w:rPr>
        <w:tab/>
      </w:r>
      <w:r>
        <w:rPr/>
        <w:t>See</w:t>
      </w:r>
      <w:r>
        <w:rPr>
          <w:spacing w:val="-2"/>
        </w:rPr>
        <w:t> </w:t>
      </w:r>
      <w:r>
        <w:rPr/>
        <w:t>below, para.30-</w:t>
      </w:r>
      <w:r>
        <w:rPr>
          <w:spacing w:val="-4"/>
        </w:rPr>
        <w:t>070.</w:t>
      </w:r>
    </w:p>
    <w:p>
      <w:pPr>
        <w:pStyle w:val="BodyText"/>
        <w:spacing w:before="4"/>
      </w:pPr>
    </w:p>
    <w:p>
      <w:pPr>
        <w:pStyle w:val="BodyText"/>
        <w:tabs>
          <w:tab w:pos="705" w:val="left" w:leader="none"/>
        </w:tabs>
        <w:spacing w:before="1"/>
        <w:ind w:left="165"/>
      </w:pPr>
      <w:bookmarkStart w:name="_bookmark373" w:id="375"/>
      <w:bookmarkEnd w:id="375"/>
      <w:r>
        <w:rPr/>
      </w:r>
      <w:hyperlink w:history="true" w:anchor="_bookmark291">
        <w:r>
          <w:rPr>
            <w:color w:val="005DA1"/>
            <w:spacing w:val="-4"/>
            <w:position w:val="5"/>
            <w:sz w:val="14"/>
            <w:u w:val="single" w:color="005DA1"/>
          </w:rPr>
          <w:t>180</w:t>
        </w:r>
      </w:hyperlink>
      <w:r>
        <w:rPr>
          <w:spacing w:val="-4"/>
          <w:position w:val="5"/>
          <w:sz w:val="14"/>
        </w:rPr>
        <w:t>.</w:t>
      </w:r>
      <w:r>
        <w:rPr>
          <w:position w:val="5"/>
          <w:sz w:val="14"/>
        </w:rPr>
        <w:tab/>
      </w:r>
      <w:r>
        <w:rPr/>
        <w:t>See</w:t>
      </w:r>
      <w:r>
        <w:rPr>
          <w:spacing w:val="-2"/>
        </w:rPr>
        <w:t> </w:t>
      </w:r>
      <w:r>
        <w:rPr/>
        <w:t>below, para.30-</w:t>
      </w:r>
      <w:r>
        <w:rPr>
          <w:spacing w:val="-4"/>
        </w:rPr>
        <w:t>055.</w:t>
      </w:r>
    </w:p>
    <w:p>
      <w:pPr>
        <w:pStyle w:val="BodyText"/>
        <w:spacing w:before="8"/>
      </w:pPr>
    </w:p>
    <w:p>
      <w:pPr>
        <w:spacing w:line="235" w:lineRule="auto" w:before="0"/>
        <w:ind w:left="705" w:right="168" w:hanging="541"/>
        <w:jc w:val="both"/>
        <w:rPr>
          <w:sz w:val="20"/>
        </w:rPr>
      </w:pPr>
      <w:bookmarkStart w:name="_bookmark374" w:id="376"/>
      <w:bookmarkEnd w:id="376"/>
      <w:r>
        <w:rPr/>
      </w:r>
      <w:hyperlink w:history="true" w:anchor="_bookmark292">
        <w:r>
          <w:rPr>
            <w:color w:val="005DA1"/>
            <w:position w:val="5"/>
            <w:sz w:val="14"/>
            <w:u w:val="single" w:color="005DA1"/>
          </w:rPr>
          <w:t>181</w:t>
        </w:r>
      </w:hyperlink>
      <w:r>
        <w:rPr>
          <w:position w:val="5"/>
          <w:sz w:val="14"/>
        </w:rPr>
        <w:t>.</w:t>
      </w:r>
      <w:r>
        <w:rPr>
          <w:spacing w:val="80"/>
          <w:position w:val="5"/>
          <w:sz w:val="14"/>
        </w:rPr>
        <w:t> </w:t>
      </w:r>
      <w:r>
        <w:rPr>
          <w:sz w:val="20"/>
        </w:rPr>
        <w:t>Giuliano-Lagarde Report, pp.11–12. As to “severability” of an arbitration clause, see </w:t>
      </w:r>
      <w:r>
        <w:rPr>
          <w:rFonts w:ascii="Arial" w:hAnsi="Arial"/>
          <w:i/>
          <w:sz w:val="20"/>
        </w:rPr>
        <w:t>XL</w:t>
      </w:r>
      <w:r>
        <w:rPr>
          <w:rFonts w:ascii="Arial" w:hAnsi="Arial"/>
          <w:i/>
          <w:spacing w:val="40"/>
          <w:sz w:val="20"/>
        </w:rPr>
        <w:t> </w:t>
      </w:r>
      <w:r>
        <w:rPr>
          <w:rFonts w:ascii="Arial" w:hAnsi="Arial"/>
          <w:i/>
          <w:sz w:val="20"/>
        </w:rPr>
        <w:t>Insurance Ltd v Owens Corning [2000] 2 Lloyd’s Rep. 500</w:t>
      </w:r>
      <w:r>
        <w:rPr>
          <w:sz w:val="20"/>
        </w:rPr>
        <w:t>; </w:t>
      </w:r>
      <w:r>
        <w:rPr>
          <w:rFonts w:ascii="Arial" w:hAnsi="Arial"/>
          <w:i/>
          <w:sz w:val="20"/>
        </w:rPr>
        <w:t>Premium Nafta Products Ltd v Fili Shipping Co Ltd [2007] UKHL 40</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75" w:id="377"/>
      <w:bookmarkEnd w:id="377"/>
      <w:r>
        <w:rPr/>
      </w:r>
      <w:hyperlink w:history="true" w:anchor="_bookmark293">
        <w:r>
          <w:rPr>
            <w:color w:val="005DA1"/>
            <w:spacing w:val="-4"/>
            <w:position w:val="5"/>
            <w:sz w:val="14"/>
            <w:u w:val="single" w:color="005DA1"/>
          </w:rPr>
          <w:t>182</w:t>
        </w:r>
      </w:hyperlink>
      <w:r>
        <w:rPr>
          <w:spacing w:val="-4"/>
          <w:position w:val="5"/>
          <w:sz w:val="14"/>
        </w:rPr>
        <w:t>.</w:t>
      </w:r>
      <w:r>
        <w:rPr>
          <w:position w:val="5"/>
          <w:sz w:val="14"/>
        </w:rPr>
        <w:tab/>
      </w:r>
      <w:r>
        <w:rPr>
          <w:sz w:val="20"/>
        </w:rPr>
        <w:t>Giuliano-Lagarde</w:t>
      </w:r>
      <w:r>
        <w:rPr>
          <w:spacing w:val="23"/>
          <w:sz w:val="20"/>
        </w:rPr>
        <w:t> </w:t>
      </w:r>
      <w:r>
        <w:rPr>
          <w:sz w:val="20"/>
        </w:rPr>
        <w:t>Report,</w:t>
      </w:r>
      <w:r>
        <w:rPr>
          <w:spacing w:val="23"/>
          <w:sz w:val="20"/>
        </w:rPr>
        <w:t> </w:t>
      </w:r>
      <w:r>
        <w:rPr>
          <w:sz w:val="20"/>
        </w:rPr>
        <w:t>p.12;</w:t>
      </w:r>
      <w:r>
        <w:rPr>
          <w:spacing w:val="23"/>
          <w:sz w:val="20"/>
        </w:rPr>
        <w:t> </w:t>
      </w:r>
      <w:r>
        <w:rPr>
          <w:sz w:val="20"/>
        </w:rPr>
        <w:t>and</w:t>
      </w:r>
      <w:r>
        <w:rPr>
          <w:spacing w:val="23"/>
          <w:sz w:val="20"/>
        </w:rPr>
        <w:t> </w:t>
      </w:r>
      <w:r>
        <w:rPr>
          <w:sz w:val="20"/>
        </w:rPr>
        <w:t>see</w:t>
      </w:r>
      <w:r>
        <w:rPr>
          <w:spacing w:val="23"/>
          <w:sz w:val="20"/>
        </w:rPr>
        <w:t> </w:t>
      </w:r>
      <w:r>
        <w:rPr>
          <w:rFonts w:ascii="Arial" w:hAnsi="Arial"/>
          <w:i/>
          <w:sz w:val="20"/>
        </w:rPr>
        <w:t>XL</w:t>
      </w:r>
      <w:r>
        <w:rPr>
          <w:rFonts w:ascii="Arial" w:hAnsi="Arial"/>
          <w:i/>
          <w:spacing w:val="23"/>
          <w:sz w:val="20"/>
        </w:rPr>
        <w:t> </w:t>
      </w:r>
      <w:r>
        <w:rPr>
          <w:rFonts w:ascii="Arial" w:hAnsi="Arial"/>
          <w:i/>
          <w:sz w:val="20"/>
        </w:rPr>
        <w:t>Insurance</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Owens</w:t>
      </w:r>
      <w:r>
        <w:rPr>
          <w:rFonts w:ascii="Arial" w:hAnsi="Arial"/>
          <w:i/>
          <w:spacing w:val="23"/>
          <w:sz w:val="20"/>
        </w:rPr>
        <w:t> </w:t>
      </w:r>
      <w:r>
        <w:rPr>
          <w:rFonts w:ascii="Arial" w:hAnsi="Arial"/>
          <w:i/>
          <w:sz w:val="20"/>
        </w:rPr>
        <w:t>Corning</w:t>
      </w:r>
      <w:r>
        <w:rPr>
          <w:rFonts w:ascii="Arial" w:hAnsi="Arial"/>
          <w:i/>
          <w:spacing w:val="23"/>
          <w:sz w:val="20"/>
        </w:rPr>
        <w:t> </w:t>
      </w:r>
      <w:r>
        <w:rPr>
          <w:rFonts w:ascii="Arial" w:hAnsi="Arial"/>
          <w:i/>
          <w:sz w:val="20"/>
        </w:rPr>
        <w:t>[2002]</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Lloyd’s Rep. 500</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3488">
            <wp:simplePos x="0" y="0"/>
            <wp:positionH relativeFrom="page">
              <wp:posOffset>1257846</wp:posOffset>
            </wp:positionH>
            <wp:positionV relativeFrom="paragraph">
              <wp:posOffset>160665</wp:posOffset>
            </wp:positionV>
            <wp:extent cx="107988" cy="107988"/>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76" w:id="378"/>
      <w:bookmarkEnd w:id="378"/>
      <w:r>
        <w:rPr/>
      </w:r>
      <w:hyperlink w:history="true" w:anchor="_bookmark294">
        <w:r>
          <w:rPr>
            <w:color w:val="005DA1"/>
            <w:spacing w:val="-4"/>
            <w:sz w:val="14"/>
            <w:u w:val="single" w:color="005DA1"/>
          </w:rPr>
          <w:t>183</w:t>
        </w:r>
      </w:hyperlink>
      <w:r>
        <w:rPr>
          <w:spacing w:val="-4"/>
          <w:sz w:val="14"/>
        </w:rPr>
        <w:t>.</w:t>
      </w:r>
    </w:p>
    <w:p>
      <w:pPr>
        <w:pStyle w:val="BodyText"/>
        <w:spacing w:line="235" w:lineRule="auto" w:before="212"/>
        <w:ind w:left="165" w:right="167" w:firstLine="170"/>
        <w:jc w:val="both"/>
      </w:pPr>
      <w:r>
        <w:rPr/>
        <w:br w:type="column"/>
      </w:r>
      <w:r>
        <w:rPr/>
        <w:t>In practice it may be that the law applicable to the contractual aspects of the </w:t>
      </w:r>
      <w:r>
        <w:rPr/>
        <w:t>arbitration agreement will normally be the same as that which governs the contract of which it forms part: Dicey, Morris and Collins, para.32–037. In </w:t>
      </w:r>
      <w:r>
        <w:rPr>
          <w:rFonts w:ascii="Arial" w:hAnsi="Arial"/>
          <w:i/>
        </w:rPr>
        <w:t>BCY v BCZ [2016] SGHC 249 </w:t>
      </w:r>
      <w:r>
        <w:rPr/>
        <w:t>the High Court of Singapore applied such a presumption.</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377" w:id="379"/>
      <w:bookmarkEnd w:id="379"/>
      <w:r>
        <w:rPr/>
      </w:r>
      <w:hyperlink w:history="true" w:anchor="_bookmark295">
        <w:r>
          <w:rPr>
            <w:color w:val="005DA1"/>
            <w:position w:val="5"/>
            <w:sz w:val="14"/>
            <w:u w:val="single" w:color="005DA1"/>
          </w:rPr>
          <w:t>184</w:t>
        </w:r>
      </w:hyperlink>
      <w:r>
        <w:rPr>
          <w:position w:val="5"/>
          <w:sz w:val="14"/>
        </w:rPr>
        <w:t>.</w:t>
      </w:r>
      <w:r>
        <w:rPr>
          <w:spacing w:val="40"/>
          <w:position w:val="5"/>
          <w:sz w:val="14"/>
        </w:rPr>
        <w:t>  </w:t>
      </w:r>
      <w:r>
        <w:rPr>
          <w:sz w:val="20"/>
        </w:rPr>
        <w:t>This is not the case in English law, in which the validity of such an agreement depends on the applicable law: see Dicey, Morris and Collins, para.12–090. cf. </w:t>
      </w:r>
      <w:r>
        <w:rPr>
          <w:rFonts w:ascii="Arial" w:hAnsi="Arial"/>
          <w:i/>
          <w:sz w:val="20"/>
        </w:rPr>
        <w:t>Centrax Ltd v Citibank NA</w:t>
      </w:r>
      <w:r>
        <w:rPr>
          <w:rFonts w:ascii="Arial" w:hAnsi="Arial"/>
          <w:i/>
          <w:spacing w:val="40"/>
          <w:sz w:val="20"/>
        </w:rPr>
        <w:t> </w:t>
      </w:r>
      <w:r>
        <w:rPr>
          <w:rFonts w:ascii="Arial" w:hAnsi="Arial"/>
          <w:i/>
          <w:sz w:val="20"/>
        </w:rPr>
        <w:t>[1999] 1 All E.R. (Comm) 557</w:t>
      </w:r>
      <w:r>
        <w:rPr>
          <w:sz w:val="20"/>
        </w:rPr>
        <w:t>; </w:t>
      </w:r>
      <w:r>
        <w:rPr>
          <w:rFonts w:ascii="Arial" w:hAnsi="Arial"/>
          <w:i/>
          <w:sz w:val="20"/>
        </w:rPr>
        <w:t>XL Insurance Ltd v Owens Corning [2002] 2 Lloyd’s Rep. 500</w:t>
      </w:r>
      <w:r>
        <w:rPr>
          <w:sz w:val="20"/>
        </w:rPr>
        <w:t>.</w:t>
      </w:r>
    </w:p>
    <w:p>
      <w:pPr>
        <w:pStyle w:val="BodyText"/>
        <w:spacing w:before="9"/>
      </w:pPr>
    </w:p>
    <w:p>
      <w:pPr>
        <w:pStyle w:val="BodyText"/>
        <w:tabs>
          <w:tab w:pos="705" w:val="left" w:leader="none"/>
        </w:tabs>
        <w:spacing w:line="235" w:lineRule="auto"/>
        <w:ind w:left="705" w:right="168" w:hanging="541"/>
      </w:pPr>
      <w:bookmarkStart w:name="_bookmark378" w:id="380"/>
      <w:bookmarkEnd w:id="380"/>
      <w:r>
        <w:rPr/>
      </w:r>
      <w:hyperlink w:history="true" w:anchor="_bookmark296">
        <w:r>
          <w:rPr>
            <w:color w:val="005DA1"/>
            <w:spacing w:val="-4"/>
            <w:position w:val="5"/>
            <w:sz w:val="14"/>
            <w:u w:val="single" w:color="005DA1"/>
          </w:rPr>
          <w:t>185</w:t>
        </w:r>
      </w:hyperlink>
      <w:r>
        <w:rPr>
          <w:spacing w:val="-4"/>
          <w:position w:val="5"/>
          <w:sz w:val="14"/>
        </w:rPr>
        <w:t>.</w:t>
      </w:r>
      <w:r>
        <w:rPr>
          <w:position w:val="5"/>
          <w:sz w:val="14"/>
        </w:rPr>
        <w:tab/>
      </w:r>
      <w:r>
        <w:rPr/>
        <w:t>It is difficult not to regard this reason as incomprehensible, since, presumably, non-</w:t>
      </w:r>
      <w:r>
        <w:rPr/>
        <w:t>contracting states would not apply the Convention in any event.</w:t>
      </w:r>
    </w:p>
    <w:p>
      <w:pPr>
        <w:pStyle w:val="BodyText"/>
        <w:spacing w:before="9"/>
      </w:pPr>
    </w:p>
    <w:p>
      <w:pPr>
        <w:pStyle w:val="BodyText"/>
        <w:spacing w:line="235" w:lineRule="auto"/>
        <w:ind w:left="705" w:right="167" w:hanging="541"/>
        <w:jc w:val="both"/>
      </w:pPr>
      <w:bookmarkStart w:name="_bookmark379" w:id="381"/>
      <w:bookmarkEnd w:id="381"/>
      <w:r>
        <w:rPr/>
      </w:r>
      <w:hyperlink w:history="true" w:anchor="_bookmark297">
        <w:r>
          <w:rPr>
            <w:color w:val="005DA1"/>
            <w:position w:val="5"/>
            <w:sz w:val="14"/>
            <w:u w:val="single" w:color="005DA1"/>
          </w:rPr>
          <w:t>186</w:t>
        </w:r>
      </w:hyperlink>
      <w:r>
        <w:rPr>
          <w:position w:val="5"/>
          <w:sz w:val="14"/>
        </w:rPr>
        <w:t>.</w:t>
      </w:r>
      <w:r>
        <w:rPr>
          <w:spacing w:val="80"/>
          <w:position w:val="5"/>
          <w:sz w:val="14"/>
        </w:rPr>
        <w:t> </w:t>
      </w:r>
      <w:r>
        <w:rPr/>
        <w:t>Giuliano-Lagarde</w:t>
      </w:r>
      <w:r>
        <w:rPr>
          <w:spacing w:val="40"/>
        </w:rPr>
        <w:t> </w:t>
      </w:r>
      <w:r>
        <w:rPr/>
        <w:t>Report,</w:t>
      </w:r>
      <w:r>
        <w:rPr>
          <w:spacing w:val="40"/>
        </w:rPr>
        <w:t> </w:t>
      </w:r>
      <w:r>
        <w:rPr/>
        <w:t>p.11.</w:t>
      </w:r>
      <w:r>
        <w:rPr>
          <w:spacing w:val="40"/>
        </w:rPr>
        <w:t> </w:t>
      </w:r>
      <w:r>
        <w:rPr/>
        <w:t>Apparently,</w:t>
      </w:r>
      <w:r>
        <w:rPr>
          <w:spacing w:val="40"/>
        </w:rPr>
        <w:t> </w:t>
      </w:r>
      <w:r>
        <w:rPr/>
        <w:t>according</w:t>
      </w:r>
      <w:r>
        <w:rPr>
          <w:spacing w:val="40"/>
        </w:rPr>
        <w:t> </w:t>
      </w:r>
      <w:r>
        <w:rPr/>
        <w:t>to</w:t>
      </w:r>
      <w:r>
        <w:rPr>
          <w:spacing w:val="40"/>
        </w:rPr>
        <w:t> </w:t>
      </w:r>
      <w:r>
        <w:rPr/>
        <w:t>the</w:t>
      </w:r>
      <w:r>
        <w:rPr>
          <w:spacing w:val="40"/>
        </w:rPr>
        <w:t> </w:t>
      </w:r>
      <w:r>
        <w:rPr/>
        <w:t>view</w:t>
      </w:r>
      <w:r>
        <w:rPr>
          <w:spacing w:val="40"/>
        </w:rPr>
        <w:t> </w:t>
      </w:r>
      <w:r>
        <w:rPr/>
        <w:t>there</w:t>
      </w:r>
      <w:r>
        <w:rPr>
          <w:spacing w:val="40"/>
        </w:rPr>
        <w:t> </w:t>
      </w:r>
      <w:r>
        <w:rPr/>
        <w:t>expressed: “[O]utstanding points, notably those relating to consent, do not arise in practice, having regard</w:t>
      </w:r>
      <w:r>
        <w:rPr>
          <w:spacing w:val="40"/>
        </w:rPr>
        <w:t> </w:t>
      </w:r>
      <w:r>
        <w:rPr/>
        <w:t>to the fact that Art.17 provides that these agreements shall be in writing”. But see Dicey, Morris and Collins, paras 12–097—12–099, 16–017—16–027, 32–035—32–037.</w:t>
      </w:r>
    </w:p>
    <w:p>
      <w:pPr>
        <w:pStyle w:val="BodyText"/>
        <w:spacing w:before="5"/>
      </w:pPr>
    </w:p>
    <w:p>
      <w:pPr>
        <w:tabs>
          <w:tab w:pos="705" w:val="left" w:leader="none"/>
        </w:tabs>
        <w:spacing w:before="0"/>
        <w:ind w:left="165" w:right="0" w:firstLine="0"/>
        <w:jc w:val="left"/>
        <w:rPr>
          <w:sz w:val="20"/>
        </w:rPr>
      </w:pPr>
      <w:bookmarkStart w:name="_bookmark380" w:id="382"/>
      <w:bookmarkEnd w:id="382"/>
      <w:r>
        <w:rPr/>
      </w:r>
      <w:hyperlink w:history="true" w:anchor="_bookmark298">
        <w:r>
          <w:rPr>
            <w:color w:val="005DA1"/>
            <w:spacing w:val="-4"/>
            <w:position w:val="5"/>
            <w:sz w:val="14"/>
            <w:u w:val="single" w:color="005DA1"/>
          </w:rPr>
          <w:t>187</w:t>
        </w:r>
      </w:hyperlink>
      <w:r>
        <w:rPr>
          <w:spacing w:val="-4"/>
          <w:position w:val="5"/>
          <w:sz w:val="14"/>
        </w:rPr>
        <w:t>.</w:t>
      </w:r>
      <w:r>
        <w:rPr>
          <w:position w:val="5"/>
          <w:sz w:val="14"/>
        </w:rPr>
        <w:tab/>
      </w:r>
      <w:r>
        <w:rPr>
          <w:rFonts w:ascii="Arial" w:hAnsi="Arial"/>
          <w:i/>
          <w:sz w:val="20"/>
        </w:rPr>
        <w:t>Akai Pty Ltd v People’s Insurance Co Ltd [1998] 1 Lloyd’s Rep. 90, </w:t>
      </w:r>
      <w:r>
        <w:rPr>
          <w:rFonts w:ascii="Arial" w:hAnsi="Arial"/>
          <w:i/>
          <w:spacing w:val="-5"/>
          <w:sz w:val="20"/>
        </w:rPr>
        <w:t>98</w:t>
      </w:r>
      <w:r>
        <w:rPr>
          <w:spacing w:val="-5"/>
          <w:sz w:val="20"/>
        </w:rPr>
        <w:t>.</w:t>
      </w:r>
    </w:p>
    <w:p>
      <w:pPr>
        <w:pStyle w:val="BodyText"/>
        <w:spacing w:before="8"/>
      </w:pPr>
    </w:p>
    <w:p>
      <w:pPr>
        <w:spacing w:line="235" w:lineRule="auto" w:before="1"/>
        <w:ind w:left="705" w:right="168" w:hanging="541"/>
        <w:jc w:val="both"/>
        <w:rPr>
          <w:sz w:val="20"/>
        </w:rPr>
      </w:pPr>
      <w:bookmarkStart w:name="_bookmark381" w:id="383"/>
      <w:bookmarkEnd w:id="383"/>
      <w:r>
        <w:rPr/>
      </w:r>
      <w:hyperlink w:history="true" w:anchor="_bookmark299">
        <w:r>
          <w:rPr>
            <w:color w:val="005DA1"/>
            <w:position w:val="5"/>
            <w:sz w:val="14"/>
            <w:u w:val="single" w:color="005DA1"/>
          </w:rPr>
          <w:t>188</w:t>
        </w:r>
      </w:hyperlink>
      <w:r>
        <w:rPr>
          <w:position w:val="5"/>
          <w:sz w:val="14"/>
        </w:rPr>
        <w:t>.</w:t>
      </w:r>
      <w:r>
        <w:rPr>
          <w:spacing w:val="80"/>
          <w:w w:val="150"/>
          <w:position w:val="5"/>
          <w:sz w:val="14"/>
        </w:rPr>
        <w:t> </w:t>
      </w:r>
      <w:r>
        <w:rPr>
          <w:sz w:val="20"/>
        </w:rPr>
        <w:t>Rome Convention art.1(2)(e); </w:t>
      </w:r>
      <w:r>
        <w:rPr>
          <w:rFonts w:ascii="Arial" w:hAnsi="Arial"/>
          <w:i/>
          <w:sz w:val="20"/>
        </w:rPr>
        <w:t>Debt Collect London Ltd v SK Slavia Praha-Fotbal AS [2010] EWHC 57 (QB) </w:t>
      </w:r>
      <w:r>
        <w:rPr>
          <w:sz w:val="20"/>
        </w:rPr>
        <w:t>at [14]; </w:t>
      </w:r>
      <w:r>
        <w:rPr>
          <w:rFonts w:ascii="Arial" w:hAnsi="Arial"/>
          <w:i/>
          <w:sz w:val="20"/>
        </w:rPr>
        <w:t>Integral Petroleum SA v SCU-Finanz AG [2014] EWHC 702 </w:t>
      </w:r>
      <w:r>
        <w:rPr>
          <w:rFonts w:ascii="Arial" w:hAnsi="Arial"/>
          <w:i/>
          <w:sz w:val="20"/>
        </w:rPr>
        <w:t>(Comm)</w:t>
      </w:r>
      <w:r>
        <w:rPr>
          <w:sz w:val="20"/>
        </w:rPr>
        <w:t>. See Dicey, Morris and Collins, paras 30–025—30–028; Benedetelli, </w:t>
      </w:r>
      <w:r>
        <w:rPr>
          <w:rFonts w:ascii="Arial" w:hAnsi="Arial"/>
          <w:i/>
          <w:sz w:val="20"/>
        </w:rPr>
        <w:t>The Enforcement of International Contracts in the European Union </w:t>
      </w:r>
      <w:r>
        <w:rPr>
          <w:sz w:val="20"/>
        </w:rPr>
        <w:t>(2004), pp.225–254.</w:t>
      </w:r>
    </w:p>
    <w:p>
      <w:pPr>
        <w:pStyle w:val="BodyText"/>
        <w:spacing w:before="4"/>
      </w:pPr>
    </w:p>
    <w:p>
      <w:pPr>
        <w:pStyle w:val="BodyText"/>
        <w:tabs>
          <w:tab w:pos="705" w:val="left" w:leader="none"/>
        </w:tabs>
        <w:ind w:left="165"/>
      </w:pPr>
      <w:bookmarkStart w:name="_bookmark382" w:id="384"/>
      <w:bookmarkEnd w:id="384"/>
      <w:r>
        <w:rPr/>
      </w:r>
      <w:hyperlink w:history="true" w:anchor="_bookmark300">
        <w:r>
          <w:rPr>
            <w:color w:val="005DA1"/>
            <w:spacing w:val="-4"/>
            <w:position w:val="5"/>
            <w:sz w:val="14"/>
            <w:u w:val="single" w:color="005DA1"/>
          </w:rPr>
          <w:t>189</w:t>
        </w:r>
      </w:hyperlink>
      <w:r>
        <w:rPr>
          <w:spacing w:val="-4"/>
          <w:position w:val="5"/>
          <w:sz w:val="14"/>
        </w:rPr>
        <w:t>.</w:t>
      </w:r>
      <w:r>
        <w:rPr>
          <w:position w:val="5"/>
          <w:sz w:val="14"/>
        </w:rPr>
        <w:tab/>
      </w:r>
      <w:r>
        <w:rPr/>
        <w:t>Giuliano-Lagarde Report, </w:t>
      </w:r>
      <w:r>
        <w:rPr>
          <w:spacing w:val="-2"/>
        </w:rPr>
        <w:t>p.12.</w:t>
      </w:r>
    </w:p>
    <w:p>
      <w:pPr>
        <w:pStyle w:val="BodyText"/>
        <w:spacing w:before="9"/>
      </w:pPr>
    </w:p>
    <w:p>
      <w:pPr>
        <w:tabs>
          <w:tab w:pos="705" w:val="left" w:leader="none"/>
        </w:tabs>
        <w:spacing w:line="235" w:lineRule="auto" w:before="0"/>
        <w:ind w:left="705" w:right="168" w:hanging="541"/>
        <w:jc w:val="left"/>
        <w:rPr>
          <w:sz w:val="20"/>
        </w:rPr>
      </w:pPr>
      <w:bookmarkStart w:name="_bookmark383" w:id="385"/>
      <w:bookmarkEnd w:id="385"/>
      <w:r>
        <w:rPr/>
      </w:r>
      <w:hyperlink w:history="true" w:anchor="_bookmark301">
        <w:r>
          <w:rPr>
            <w:color w:val="005DA1"/>
            <w:spacing w:val="-4"/>
            <w:position w:val="5"/>
            <w:sz w:val="14"/>
            <w:u w:val="single" w:color="005DA1"/>
          </w:rPr>
          <w:t>190</w:t>
        </w:r>
      </w:hyperlink>
      <w:r>
        <w:rPr>
          <w:spacing w:val="-4"/>
          <w:position w:val="5"/>
          <w:sz w:val="14"/>
        </w:rPr>
        <w:t>.</w:t>
      </w:r>
      <w:r>
        <w:rPr>
          <w:position w:val="5"/>
          <w:sz w:val="14"/>
        </w:rPr>
        <w:tab/>
      </w:r>
      <w:r>
        <w:rPr>
          <w:sz w:val="20"/>
        </w:rPr>
        <w:t>On this work, see Dine, </w:t>
      </w:r>
      <w:r>
        <w:rPr>
          <w:rFonts w:ascii="Arial"/>
          <w:i/>
          <w:sz w:val="20"/>
        </w:rPr>
        <w:t>EC Company Law </w:t>
      </w:r>
      <w:r>
        <w:rPr>
          <w:sz w:val="20"/>
        </w:rPr>
        <w:t>(1991); Andenas and Kenyon-Slade, </w:t>
      </w:r>
      <w:r>
        <w:rPr>
          <w:rFonts w:ascii="Arial"/>
          <w:i/>
          <w:sz w:val="20"/>
        </w:rPr>
        <w:t>EC Financial</w:t>
      </w:r>
      <w:r>
        <w:rPr>
          <w:rFonts w:ascii="Arial"/>
          <w:i/>
          <w:spacing w:val="40"/>
          <w:sz w:val="20"/>
        </w:rPr>
        <w:t> </w:t>
      </w:r>
      <w:r>
        <w:rPr>
          <w:rFonts w:ascii="Arial"/>
          <w:i/>
          <w:sz w:val="20"/>
        </w:rPr>
        <w:t>Market Regulation and Company Law </w:t>
      </w:r>
      <w:r>
        <w:rPr>
          <w:sz w:val="20"/>
        </w:rPr>
        <w:t>(1993); Werlauff, </w:t>
      </w:r>
      <w:r>
        <w:rPr>
          <w:rFonts w:ascii="Arial"/>
          <w:i/>
          <w:sz w:val="20"/>
        </w:rPr>
        <w:t>EC Company Law </w:t>
      </w:r>
      <w:r>
        <w:rPr>
          <w:sz w:val="20"/>
        </w:rPr>
        <w:t>(1993).</w:t>
      </w:r>
    </w:p>
    <w:p>
      <w:pPr>
        <w:pStyle w:val="BodyText"/>
        <w:spacing w:before="9"/>
      </w:pPr>
    </w:p>
    <w:p>
      <w:pPr>
        <w:spacing w:line="235" w:lineRule="auto" w:before="0"/>
        <w:ind w:left="705" w:right="167" w:hanging="541"/>
        <w:jc w:val="both"/>
        <w:rPr>
          <w:sz w:val="20"/>
        </w:rPr>
      </w:pPr>
      <w:bookmarkStart w:name="_bookmark384" w:id="386"/>
      <w:bookmarkEnd w:id="386"/>
      <w:r>
        <w:rPr/>
      </w:r>
      <w:hyperlink w:history="true" w:anchor="_bookmark302">
        <w:r>
          <w:rPr>
            <w:color w:val="005DA1"/>
            <w:position w:val="5"/>
            <w:sz w:val="14"/>
            <w:u w:val="single" w:color="005DA1"/>
          </w:rPr>
          <w:t>191</w:t>
        </w:r>
      </w:hyperlink>
      <w:r>
        <w:rPr>
          <w:position w:val="5"/>
          <w:sz w:val="14"/>
        </w:rPr>
        <w:t>.</w:t>
      </w:r>
      <w:r>
        <w:rPr>
          <w:spacing w:val="40"/>
          <w:position w:val="5"/>
          <w:sz w:val="14"/>
        </w:rPr>
        <w:t>  </w:t>
      </w:r>
      <w:r>
        <w:rPr>
          <w:rFonts w:ascii="Arial" w:hAnsi="Arial"/>
          <w:i/>
          <w:sz w:val="20"/>
        </w:rPr>
        <w:t>Base Metal Trading Ltd v Shamurin [2004] EWCA Civ 1316, [2005] 1 W.L.R. 1157</w:t>
      </w:r>
      <w:r>
        <w:rPr>
          <w:sz w:val="20"/>
        </w:rPr>
        <w:t>; </w:t>
      </w:r>
      <w:r>
        <w:rPr>
          <w:rFonts w:ascii="Arial" w:hAnsi="Arial"/>
          <w:i/>
          <w:sz w:val="20"/>
        </w:rPr>
        <w:t>Continental Enterprises Ltd v Shandong Zucheng Foreign Trade Group Co [2005] EWHC 92 </w:t>
      </w:r>
      <w:r>
        <w:rPr>
          <w:rFonts w:ascii="Arial" w:hAnsi="Arial"/>
          <w:i/>
          <w:sz w:val="20"/>
        </w:rPr>
        <w:t>(Comm)</w:t>
      </w:r>
      <w:r>
        <w:rPr>
          <w:sz w:val="20"/>
        </w:rPr>
        <w:t>; </w:t>
      </w:r>
      <w:r>
        <w:rPr>
          <w:rFonts w:ascii="Arial" w:hAnsi="Arial"/>
          <w:i/>
          <w:sz w:val="20"/>
        </w:rPr>
        <w:t>Atlantic Telecom GmbH, Noter (2004) S.L.T. 1031</w:t>
      </w:r>
      <w:r>
        <w:rPr>
          <w:sz w:val="20"/>
        </w:rPr>
        <w:t>; </w:t>
      </w:r>
      <w:r>
        <w:rPr>
          <w:rFonts w:ascii="Arial" w:hAnsi="Arial"/>
          <w:i/>
          <w:sz w:val="20"/>
        </w:rPr>
        <w:t>Haugesund Kommune v Depfa ACS Bank [2010] EWCA Civ 579, [2011] 1 All E.R. 190</w:t>
      </w:r>
      <w:r>
        <w:rPr>
          <w:sz w:val="20"/>
        </w:rPr>
        <w:t>; </w:t>
      </w:r>
      <w:r>
        <w:rPr>
          <w:rFonts w:ascii="Arial" w:hAnsi="Arial"/>
          <w:i/>
          <w:sz w:val="20"/>
        </w:rPr>
        <w:t>Credit Suisse International v Stichting Vestia Groep [2014] EWHC 3103 (Comm)</w:t>
      </w:r>
      <w:r>
        <w:rPr>
          <w:sz w:val="20"/>
        </w:rPr>
        <w:t>. See also </w:t>
      </w:r>
      <w:r>
        <w:rPr>
          <w:rFonts w:ascii="Arial" w:hAnsi="Arial"/>
          <w:i/>
          <w:sz w:val="20"/>
        </w:rPr>
        <w:t>Standard Chartered Bank v Ceylon Petroleum Corp [2011] EWHC 1785 (Comm)</w:t>
      </w:r>
      <w:r>
        <w:rPr>
          <w:sz w:val="20"/>
        </w:rPr>
        <w:t>. The exclusion of legal capacity concerns limitations on companies or firms, for example, in respect of acquisition of immovable property, but does not concern “ultra vires act by organs of the company or firm” (Giuliano-Lagarde Report, pp.12–13) which are excluded under Rome Convention art.1(2)(f): see below, para.30-326.</w:t>
      </w:r>
    </w:p>
    <w:p>
      <w:pPr>
        <w:pStyle w:val="BodyText"/>
        <w:spacing w:before="3"/>
      </w:pPr>
    </w:p>
    <w:p>
      <w:pPr>
        <w:pStyle w:val="BodyText"/>
        <w:tabs>
          <w:tab w:pos="705" w:val="left" w:leader="none"/>
        </w:tabs>
        <w:ind w:left="165"/>
      </w:pPr>
      <w:bookmarkStart w:name="_bookmark385" w:id="387"/>
      <w:bookmarkEnd w:id="387"/>
      <w:r>
        <w:rPr/>
      </w:r>
      <w:hyperlink w:history="true" w:anchor="_bookmark303">
        <w:r>
          <w:rPr>
            <w:color w:val="005DA1"/>
            <w:spacing w:val="-4"/>
            <w:position w:val="5"/>
            <w:sz w:val="14"/>
            <w:u w:val="single" w:color="005DA1"/>
          </w:rPr>
          <w:t>192</w:t>
        </w:r>
      </w:hyperlink>
      <w:r>
        <w:rPr>
          <w:spacing w:val="-4"/>
          <w:position w:val="5"/>
          <w:sz w:val="14"/>
        </w:rPr>
        <w:t>.</w:t>
      </w:r>
      <w:r>
        <w:rPr>
          <w:position w:val="5"/>
          <w:sz w:val="14"/>
        </w:rPr>
        <w:tab/>
      </w:r>
      <w:r>
        <w:rPr/>
        <w:t>Giuliano-Lagarde Report, </w:t>
      </w:r>
      <w:r>
        <w:rPr>
          <w:spacing w:val="-2"/>
        </w:rPr>
        <w:t>p.12.</w:t>
      </w:r>
    </w:p>
    <w:p>
      <w:pPr>
        <w:pStyle w:val="BodyText"/>
        <w:spacing w:before="5"/>
      </w:pPr>
    </w:p>
    <w:p>
      <w:pPr>
        <w:pStyle w:val="BodyText"/>
        <w:tabs>
          <w:tab w:pos="705" w:val="left" w:leader="none"/>
        </w:tabs>
        <w:ind w:left="165"/>
      </w:pPr>
      <w:bookmarkStart w:name="_bookmark386" w:id="388"/>
      <w:bookmarkEnd w:id="388"/>
      <w:r>
        <w:rPr/>
      </w:r>
      <w:hyperlink w:history="true" w:anchor="_bookmark304">
        <w:r>
          <w:rPr>
            <w:color w:val="005DA1"/>
            <w:spacing w:val="-4"/>
            <w:position w:val="5"/>
            <w:sz w:val="14"/>
            <w:u w:val="single" w:color="005DA1"/>
          </w:rPr>
          <w:t>193</w:t>
        </w:r>
      </w:hyperlink>
      <w:r>
        <w:rPr>
          <w:spacing w:val="-4"/>
          <w:position w:val="5"/>
          <w:sz w:val="14"/>
        </w:rPr>
        <w:t>.</w:t>
      </w:r>
      <w:r>
        <w:rPr>
          <w:position w:val="5"/>
          <w:sz w:val="14"/>
        </w:rPr>
        <w:tab/>
      </w:r>
      <w:r>
        <w:rPr/>
        <w:t>Rome Convention </w:t>
      </w:r>
      <w:r>
        <w:rPr>
          <w:spacing w:val="-2"/>
        </w:rPr>
        <w:t>art.1(2)(f).</w:t>
      </w:r>
    </w:p>
    <w:p>
      <w:pPr>
        <w:pStyle w:val="BodyText"/>
        <w:spacing w:before="5"/>
      </w:pPr>
    </w:p>
    <w:p>
      <w:pPr>
        <w:pStyle w:val="BodyText"/>
        <w:tabs>
          <w:tab w:pos="705" w:val="left" w:leader="none"/>
        </w:tabs>
        <w:ind w:left="165"/>
      </w:pPr>
      <w:bookmarkStart w:name="_bookmark387" w:id="389"/>
      <w:bookmarkEnd w:id="389"/>
      <w:r>
        <w:rPr/>
      </w:r>
      <w:hyperlink w:history="true" w:anchor="_bookmark305">
        <w:r>
          <w:rPr>
            <w:color w:val="005DA1"/>
            <w:spacing w:val="-4"/>
            <w:position w:val="5"/>
            <w:sz w:val="14"/>
            <w:u w:val="single" w:color="005DA1"/>
          </w:rPr>
          <w:t>194</w:t>
        </w:r>
      </w:hyperlink>
      <w:r>
        <w:rPr>
          <w:spacing w:val="-4"/>
          <w:position w:val="5"/>
          <w:sz w:val="14"/>
        </w:rPr>
        <w:t>.</w:t>
      </w:r>
      <w:r>
        <w:rPr>
          <w:position w:val="5"/>
          <w:sz w:val="14"/>
        </w:rPr>
        <w:tab/>
      </w:r>
      <w:r>
        <w:rPr/>
        <w:t>Giuliano-Lagarde Report, </w:t>
      </w:r>
      <w:r>
        <w:rPr>
          <w:spacing w:val="-2"/>
        </w:rPr>
        <w:t>p.13.</w:t>
      </w:r>
    </w:p>
    <w:p>
      <w:pPr>
        <w:pStyle w:val="BodyText"/>
        <w:spacing w:before="5"/>
      </w:pPr>
    </w:p>
    <w:p>
      <w:pPr>
        <w:pStyle w:val="BodyText"/>
        <w:tabs>
          <w:tab w:pos="705" w:val="left" w:leader="none"/>
        </w:tabs>
        <w:ind w:left="165"/>
      </w:pPr>
      <w:bookmarkStart w:name="_bookmark388" w:id="390"/>
      <w:bookmarkEnd w:id="390"/>
      <w:r>
        <w:rPr/>
      </w:r>
      <w:hyperlink w:history="true" w:anchor="_bookmark306">
        <w:r>
          <w:rPr>
            <w:color w:val="005DA1"/>
            <w:spacing w:val="-4"/>
            <w:position w:val="5"/>
            <w:sz w:val="14"/>
            <w:u w:val="single" w:color="005DA1"/>
          </w:rPr>
          <w:t>195</w:t>
        </w:r>
      </w:hyperlink>
      <w:r>
        <w:rPr>
          <w:spacing w:val="-4"/>
          <w:position w:val="5"/>
          <w:sz w:val="14"/>
        </w:rPr>
        <w:t>.</w:t>
      </w:r>
      <w:r>
        <w:rPr>
          <w:position w:val="5"/>
          <w:sz w:val="14"/>
        </w:rPr>
        <w:tab/>
      </w:r>
      <w:r>
        <w:rPr/>
        <w:t>See below, paras 30-046 et </w:t>
      </w:r>
      <w:r>
        <w:rPr>
          <w:spacing w:val="-4"/>
        </w:rPr>
        <w:t>seq.</w:t>
      </w:r>
    </w:p>
    <w:p>
      <w:pPr>
        <w:pStyle w:val="BodyText"/>
        <w:spacing w:after="0"/>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307">
        <w:r>
          <w:rPr>
            <w:color w:val="005DA1"/>
            <w:spacing w:val="-4"/>
            <w:position w:val="5"/>
            <w:sz w:val="14"/>
            <w:u w:val="single" w:color="005DA1"/>
          </w:rPr>
          <w:t>196</w:t>
        </w:r>
      </w:hyperlink>
      <w:r>
        <w:rPr>
          <w:spacing w:val="-4"/>
          <w:position w:val="5"/>
          <w:sz w:val="14"/>
        </w:rPr>
        <w:t>.</w:t>
      </w:r>
      <w:r>
        <w:rPr>
          <w:position w:val="5"/>
          <w:sz w:val="14"/>
        </w:rPr>
        <w:tab/>
      </w:r>
      <w:r>
        <w:rPr/>
        <w:t>Giuliano-Lagarde Report, </w:t>
      </w:r>
      <w:r>
        <w:rPr>
          <w:spacing w:val="-2"/>
        </w:rPr>
        <w:t>p.13.</w:t>
      </w:r>
    </w:p>
    <w:p>
      <w:pPr>
        <w:pStyle w:val="BodyText"/>
        <w:spacing w:before="9"/>
      </w:pPr>
    </w:p>
    <w:p>
      <w:pPr>
        <w:spacing w:line="235" w:lineRule="auto" w:before="0"/>
        <w:ind w:left="705" w:right="168" w:hanging="541"/>
        <w:jc w:val="both"/>
        <w:rPr>
          <w:sz w:val="20"/>
        </w:rPr>
      </w:pPr>
      <w:bookmarkStart w:name="_bookmark389" w:id="391"/>
      <w:bookmarkEnd w:id="391"/>
      <w:r>
        <w:rPr/>
      </w:r>
      <w:hyperlink w:history="true" w:anchor="_bookmark308">
        <w:r>
          <w:rPr>
            <w:color w:val="005DA1"/>
            <w:position w:val="5"/>
            <w:sz w:val="14"/>
            <w:u w:val="single" w:color="005DA1"/>
          </w:rPr>
          <w:t>197</w:t>
        </w:r>
      </w:hyperlink>
      <w:r>
        <w:rPr>
          <w:position w:val="5"/>
          <w:sz w:val="14"/>
        </w:rPr>
        <w:t>.</w:t>
      </w:r>
      <w:r>
        <w:rPr>
          <w:spacing w:val="80"/>
          <w:position w:val="5"/>
          <w:sz w:val="14"/>
        </w:rPr>
        <w:t>  </w:t>
      </w:r>
      <w:r>
        <w:rPr>
          <w:sz w:val="20"/>
        </w:rPr>
        <w:t>As</w:t>
      </w:r>
      <w:r>
        <w:rPr>
          <w:spacing w:val="-2"/>
          <w:sz w:val="20"/>
        </w:rPr>
        <w:t> </w:t>
      </w:r>
      <w:r>
        <w:rPr>
          <w:sz w:val="20"/>
        </w:rPr>
        <w:t>to</w:t>
      </w:r>
      <w:r>
        <w:rPr>
          <w:spacing w:val="-2"/>
          <w:sz w:val="20"/>
        </w:rPr>
        <w:t> </w:t>
      </w:r>
      <w:r>
        <w:rPr>
          <w:sz w:val="20"/>
        </w:rPr>
        <w:t>which,</w:t>
      </w:r>
      <w:r>
        <w:rPr>
          <w:spacing w:val="-2"/>
          <w:sz w:val="20"/>
        </w:rPr>
        <w:t> </w:t>
      </w:r>
      <w:r>
        <w:rPr>
          <w:sz w:val="20"/>
        </w:rPr>
        <w:t>see</w:t>
      </w:r>
      <w:r>
        <w:rPr>
          <w:spacing w:val="-2"/>
          <w:sz w:val="20"/>
        </w:rPr>
        <w:t> </w:t>
      </w:r>
      <w:r>
        <w:rPr>
          <w:sz w:val="20"/>
        </w:rPr>
        <w:t>Dicey,</w:t>
      </w:r>
      <w:r>
        <w:rPr>
          <w:spacing w:val="-2"/>
          <w:sz w:val="20"/>
        </w:rPr>
        <w:t> </w:t>
      </w:r>
      <w:r>
        <w:rPr>
          <w:sz w:val="20"/>
        </w:rPr>
        <w:t>Morris</w:t>
      </w:r>
      <w:r>
        <w:rPr>
          <w:spacing w:val="-2"/>
          <w:sz w:val="20"/>
        </w:rPr>
        <w:t> </w:t>
      </w:r>
      <w:r>
        <w:rPr>
          <w:sz w:val="20"/>
        </w:rPr>
        <w:t>and</w:t>
      </w:r>
      <w:r>
        <w:rPr>
          <w:spacing w:val="-2"/>
          <w:sz w:val="20"/>
        </w:rPr>
        <w:t> </w:t>
      </w:r>
      <w:r>
        <w:rPr>
          <w:sz w:val="20"/>
        </w:rPr>
        <w:t>Collins,</w:t>
      </w:r>
      <w:r>
        <w:rPr>
          <w:spacing w:val="-2"/>
          <w:sz w:val="20"/>
        </w:rPr>
        <w:t> </w:t>
      </w:r>
      <w:r>
        <w:rPr>
          <w:sz w:val="20"/>
        </w:rPr>
        <w:t>para.33R–428</w:t>
      </w:r>
      <w:r>
        <w:rPr>
          <w:spacing w:val="-2"/>
          <w:sz w:val="20"/>
        </w:rPr>
        <w:t> </w:t>
      </w:r>
      <w:r>
        <w:rPr>
          <w:sz w:val="20"/>
        </w:rPr>
        <w:t>et</w:t>
      </w:r>
      <w:r>
        <w:rPr>
          <w:spacing w:val="-2"/>
          <w:sz w:val="20"/>
        </w:rPr>
        <w:t> </w:t>
      </w:r>
      <w:r>
        <w:rPr>
          <w:sz w:val="20"/>
        </w:rPr>
        <w:t>seq.</w:t>
      </w:r>
      <w:r>
        <w:rPr>
          <w:spacing w:val="-2"/>
          <w:sz w:val="20"/>
        </w:rPr>
        <w:t> </w:t>
      </w:r>
      <w:r>
        <w:rPr>
          <w:sz w:val="20"/>
        </w:rPr>
        <w:t>See</w:t>
      </w:r>
      <w:r>
        <w:rPr>
          <w:spacing w:val="-3"/>
          <w:sz w:val="20"/>
        </w:rPr>
        <w:t> </w:t>
      </w:r>
      <w:r>
        <w:rPr>
          <w:rFonts w:ascii="Arial" w:hAnsi="Arial"/>
          <w:i/>
          <w:sz w:val="20"/>
        </w:rPr>
        <w:t>Rimpacific</w:t>
      </w:r>
      <w:r>
        <w:rPr>
          <w:rFonts w:ascii="Arial" w:hAnsi="Arial"/>
          <w:i/>
          <w:spacing w:val="-2"/>
          <w:sz w:val="20"/>
        </w:rPr>
        <w:t> </w:t>
      </w:r>
      <w:r>
        <w:rPr>
          <w:rFonts w:ascii="Arial" w:hAnsi="Arial"/>
          <w:i/>
          <w:sz w:val="20"/>
        </w:rPr>
        <w:t>Navigation</w:t>
      </w:r>
      <w:r>
        <w:rPr>
          <w:rFonts w:ascii="Arial" w:hAnsi="Arial"/>
          <w:i/>
          <w:spacing w:val="-2"/>
          <w:sz w:val="20"/>
        </w:rPr>
        <w:t> </w:t>
      </w:r>
      <w:r>
        <w:rPr>
          <w:rFonts w:ascii="Arial" w:hAnsi="Arial"/>
          <w:i/>
          <w:sz w:val="20"/>
        </w:rPr>
        <w:t>Inc v Daehan Shipbuilding Co Ltd [2010] EWHC 294 (Comm), [2010] 2 Lloyd’s Rep. 236</w:t>
      </w:r>
      <w:r>
        <w:rPr>
          <w:sz w:val="20"/>
        </w:rPr>
        <w:t>; </w:t>
      </w:r>
      <w:r>
        <w:rPr>
          <w:rFonts w:ascii="Arial" w:hAnsi="Arial"/>
          <w:i/>
          <w:sz w:val="20"/>
        </w:rPr>
        <w:t>Standard Chartered Bank v Ceylon Investment Corp</w:t>
      </w:r>
      <w:r>
        <w:rPr>
          <w:sz w:val="20"/>
        </w:rPr>
        <w:t>, above.</w:t>
      </w:r>
    </w:p>
    <w:p>
      <w:pPr>
        <w:pStyle w:val="BodyText"/>
        <w:spacing w:before="9"/>
      </w:pPr>
    </w:p>
    <w:p>
      <w:pPr>
        <w:pStyle w:val="BodyText"/>
        <w:spacing w:line="235" w:lineRule="auto"/>
        <w:ind w:left="705" w:right="167" w:hanging="541"/>
        <w:jc w:val="both"/>
      </w:pPr>
      <w:bookmarkStart w:name="_bookmark390" w:id="392"/>
      <w:bookmarkEnd w:id="392"/>
      <w:r>
        <w:rPr/>
      </w:r>
      <w:hyperlink w:history="true" w:anchor="_bookmark309">
        <w:r>
          <w:rPr>
            <w:color w:val="005DA1"/>
            <w:position w:val="5"/>
            <w:sz w:val="14"/>
            <w:u w:val="single" w:color="005DA1"/>
          </w:rPr>
          <w:t>198</w:t>
        </w:r>
      </w:hyperlink>
      <w:r>
        <w:rPr>
          <w:position w:val="5"/>
          <w:sz w:val="14"/>
        </w:rPr>
        <w:t>.</w:t>
      </w:r>
      <w:r>
        <w:rPr>
          <w:spacing w:val="80"/>
          <w:w w:val="150"/>
          <w:position w:val="5"/>
          <w:sz w:val="14"/>
        </w:rPr>
        <w:t> </w:t>
      </w:r>
      <w:r>
        <w:rPr/>
        <w:t>Giuliano-Lagarde</w:t>
      </w:r>
      <w:r>
        <w:rPr>
          <w:spacing w:val="40"/>
        </w:rPr>
        <w:t> </w:t>
      </w:r>
      <w:r>
        <w:rPr/>
        <w:t>Report,</w:t>
      </w:r>
      <w:r>
        <w:rPr>
          <w:spacing w:val="40"/>
        </w:rPr>
        <w:t> </w:t>
      </w:r>
      <w:r>
        <w:rPr/>
        <w:t>p.13.</w:t>
      </w:r>
      <w:r>
        <w:rPr>
          <w:spacing w:val="40"/>
        </w:rPr>
        <w:t> </w:t>
      </w:r>
      <w:r>
        <w:rPr/>
        <w:t>For</w:t>
      </w:r>
      <w:r>
        <w:rPr>
          <w:spacing w:val="40"/>
        </w:rPr>
        <w:t> </w:t>
      </w:r>
      <w:r>
        <w:rPr/>
        <w:t>discussion,</w:t>
      </w:r>
      <w:r>
        <w:rPr>
          <w:spacing w:val="40"/>
        </w:rPr>
        <w:t> </w:t>
      </w:r>
      <w:r>
        <w:rPr/>
        <w:t>see</w:t>
      </w:r>
      <w:r>
        <w:rPr>
          <w:spacing w:val="40"/>
        </w:rPr>
        <w:t> </w:t>
      </w:r>
      <w:r>
        <w:rPr/>
        <w:t>Dicey,</w:t>
      </w:r>
      <w:r>
        <w:rPr>
          <w:spacing w:val="40"/>
        </w:rPr>
        <w:t> </w:t>
      </w:r>
      <w:r>
        <w:rPr/>
        <w:t>Morris</w:t>
      </w:r>
      <w:r>
        <w:rPr>
          <w:spacing w:val="40"/>
        </w:rPr>
        <w:t> </w:t>
      </w:r>
      <w:r>
        <w:rPr/>
        <w:t>and</w:t>
      </w:r>
      <w:r>
        <w:rPr>
          <w:spacing w:val="40"/>
        </w:rPr>
        <w:t> </w:t>
      </w:r>
      <w:r>
        <w:rPr/>
        <w:t>Collins,</w:t>
      </w:r>
      <w:r>
        <w:rPr>
          <w:spacing w:val="40"/>
        </w:rPr>
        <w:t> </w:t>
      </w:r>
      <w:r>
        <w:rPr/>
        <w:t>paras 33–405—33–425. Application of the common law rules on this matter may be affected by </w:t>
      </w:r>
      <w:r>
        <w:rPr/>
        <w:t>the Directive on Self-employed Commercial Agents [1986] O.J. L382/17 implemented in England and Wales and Scotland by the Commercial Agents (Council Directive) Regulations 1993 (SI 1993/3053), as amended by SI 1993/3173 and SI 1998/2868 and in Northern Ireland by the Commercial Agents (Council Directive) Regulations (Northern Ireland) 1993 (SI 1993/483). The Regulations govern the relations between commercial agents and their principals and apply in respect of the activities of commercial agents in Great Britain (reg.1(2)). It is specifically provided that regs 3–22, which deal with the mutual rights and obligations of agent and principal, remuneration of the agent, the conclusion and termination of the agency contract and miscellaneous matters such as service of notices, do not apply where the parties have agreed that the agency contract is to be governed by the law of another Member State (reg.1(3)(a)). Conversely, regs 3–22 will apply where the law of another Member State, corresponding to the Regulations, enables the parties to agree that the agency contract is to be governed by the law of</w:t>
      </w:r>
      <w:r>
        <w:rPr>
          <w:spacing w:val="-1"/>
        </w:rPr>
        <w:t> </w:t>
      </w:r>
      <w:r>
        <w:rPr/>
        <w:t>a</w:t>
      </w:r>
      <w:r>
        <w:rPr>
          <w:spacing w:val="-1"/>
        </w:rPr>
        <w:t> </w:t>
      </w:r>
      <w:r>
        <w:rPr/>
        <w:t>different</w:t>
      </w:r>
      <w:r>
        <w:rPr>
          <w:spacing w:val="-1"/>
        </w:rPr>
        <w:t> </w:t>
      </w:r>
      <w:r>
        <w:rPr/>
        <w:t>Member</w:t>
      </w:r>
      <w:r>
        <w:rPr>
          <w:spacing w:val="-1"/>
        </w:rPr>
        <w:t> </w:t>
      </w:r>
      <w:r>
        <w:rPr/>
        <w:t>State</w:t>
      </w:r>
      <w:r>
        <w:rPr>
          <w:spacing w:val="-1"/>
        </w:rPr>
        <w:t> </w:t>
      </w:r>
      <w:r>
        <w:rPr/>
        <w:t>and</w:t>
      </w:r>
      <w:r>
        <w:rPr>
          <w:spacing w:val="-1"/>
        </w:rPr>
        <w:t> </w:t>
      </w:r>
      <w:r>
        <w:rPr/>
        <w:t>the</w:t>
      </w:r>
      <w:r>
        <w:rPr>
          <w:spacing w:val="-1"/>
        </w:rPr>
        <w:t> </w:t>
      </w:r>
      <w:r>
        <w:rPr/>
        <w:t>parties</w:t>
      </w:r>
      <w:r>
        <w:rPr>
          <w:spacing w:val="-1"/>
        </w:rPr>
        <w:t> </w:t>
      </w:r>
      <w:r>
        <w:rPr/>
        <w:t>have</w:t>
      </w:r>
      <w:r>
        <w:rPr>
          <w:spacing w:val="-1"/>
        </w:rPr>
        <w:t> </w:t>
      </w:r>
      <w:r>
        <w:rPr/>
        <w:t>agreed</w:t>
      </w:r>
      <w:r>
        <w:rPr>
          <w:spacing w:val="-1"/>
        </w:rPr>
        <w:t> </w:t>
      </w:r>
      <w:r>
        <w:rPr/>
        <w:t>that</w:t>
      </w:r>
      <w:r>
        <w:rPr>
          <w:spacing w:val="-1"/>
        </w:rPr>
        <w:t> </w:t>
      </w:r>
      <w:r>
        <w:rPr/>
        <w:t>it</w:t>
      </w:r>
      <w:r>
        <w:rPr>
          <w:spacing w:val="-1"/>
        </w:rPr>
        <w:t> </w:t>
      </w:r>
      <w:r>
        <w:rPr/>
        <w:t>is</w:t>
      </w:r>
      <w:r>
        <w:rPr>
          <w:spacing w:val="-1"/>
        </w:rPr>
        <w:t> </w:t>
      </w:r>
      <w:r>
        <w:rPr/>
        <w:t>to</w:t>
      </w:r>
      <w:r>
        <w:rPr>
          <w:spacing w:val="-1"/>
        </w:rPr>
        <w:t> </w:t>
      </w:r>
      <w:r>
        <w:rPr/>
        <w:t>be</w:t>
      </w:r>
      <w:r>
        <w:rPr>
          <w:spacing w:val="-1"/>
        </w:rPr>
        <w:t> </w:t>
      </w:r>
      <w:r>
        <w:rPr/>
        <w:t>governed</w:t>
      </w:r>
      <w:r>
        <w:rPr>
          <w:spacing w:val="-1"/>
        </w:rPr>
        <w:t> </w:t>
      </w:r>
      <w:r>
        <w:rPr/>
        <w:t>by</w:t>
      </w:r>
      <w:r>
        <w:rPr>
          <w:spacing w:val="-1"/>
        </w:rPr>
        <w:t> </w:t>
      </w:r>
      <w:r>
        <w:rPr/>
        <w:t>English</w:t>
      </w:r>
      <w:r>
        <w:rPr>
          <w:spacing w:val="-1"/>
        </w:rPr>
        <w:t> </w:t>
      </w:r>
      <w:r>
        <w:rPr/>
        <w:t>law (reg.1(3)(b)). For consideration of some of the conflict of laws problems which arise in the context of the Directive and the Regulations, see </w:t>
      </w:r>
      <w:r>
        <w:rPr>
          <w:rFonts w:ascii="Arial" w:hAnsi="Arial"/>
          <w:i/>
        </w:rPr>
        <w:t>Case 381/98 Ingmar GB Ltd v Eaton Leonard Technologies</w:t>
      </w:r>
      <w:r>
        <w:rPr>
          <w:rFonts w:ascii="Arial" w:hAnsi="Arial"/>
          <w:i/>
          <w:spacing w:val="66"/>
        </w:rPr>
        <w:t> </w:t>
      </w:r>
      <w:r>
        <w:rPr>
          <w:rFonts w:ascii="Arial" w:hAnsi="Arial"/>
          <w:i/>
        </w:rPr>
        <w:t>Inc</w:t>
      </w:r>
      <w:r>
        <w:rPr>
          <w:rFonts w:ascii="Arial" w:hAnsi="Arial"/>
          <w:i/>
          <w:spacing w:val="67"/>
        </w:rPr>
        <w:t> </w:t>
      </w:r>
      <w:r>
        <w:rPr>
          <w:rFonts w:ascii="Arial" w:hAnsi="Arial"/>
          <w:i/>
        </w:rPr>
        <w:t>[2000]</w:t>
      </w:r>
      <w:r>
        <w:rPr>
          <w:rFonts w:ascii="Arial" w:hAnsi="Arial"/>
          <w:i/>
          <w:spacing w:val="67"/>
        </w:rPr>
        <w:t> </w:t>
      </w:r>
      <w:r>
        <w:rPr>
          <w:rFonts w:ascii="Arial" w:hAnsi="Arial"/>
          <w:i/>
        </w:rPr>
        <w:t>E.C.R.</w:t>
      </w:r>
      <w:r>
        <w:rPr>
          <w:rFonts w:ascii="Arial" w:hAnsi="Arial"/>
          <w:i/>
          <w:spacing w:val="67"/>
        </w:rPr>
        <w:t> </w:t>
      </w:r>
      <w:r>
        <w:rPr>
          <w:rFonts w:ascii="Arial" w:hAnsi="Arial"/>
          <w:i/>
        </w:rPr>
        <w:t>I–9305</w:t>
      </w:r>
      <w:r>
        <w:rPr/>
        <w:t>,</w:t>
      </w:r>
      <w:r>
        <w:rPr>
          <w:spacing w:val="67"/>
        </w:rPr>
        <w:t> </w:t>
      </w:r>
      <w:r>
        <w:rPr/>
        <w:t>discussed</w:t>
      </w:r>
      <w:r>
        <w:rPr>
          <w:spacing w:val="67"/>
        </w:rPr>
        <w:t> </w:t>
      </w:r>
      <w:r>
        <w:rPr/>
        <w:t>by</w:t>
      </w:r>
      <w:r>
        <w:rPr>
          <w:spacing w:val="67"/>
        </w:rPr>
        <w:t> </w:t>
      </w:r>
      <w:r>
        <w:rPr/>
        <w:t>Verhagen</w:t>
      </w:r>
      <w:r>
        <w:rPr>
          <w:spacing w:val="67"/>
        </w:rPr>
        <w:t> </w:t>
      </w:r>
      <w:r>
        <w:rPr/>
        <w:t>(2002)</w:t>
      </w:r>
      <w:r>
        <w:rPr>
          <w:spacing w:val="67"/>
        </w:rPr>
        <w:t> </w:t>
      </w:r>
      <w:r>
        <w:rPr/>
        <w:t>51</w:t>
      </w:r>
      <w:r>
        <w:rPr>
          <w:spacing w:val="67"/>
        </w:rPr>
        <w:t> </w:t>
      </w:r>
      <w:r>
        <w:rPr/>
        <w:t>I.C.L.Q.</w:t>
      </w:r>
      <w:r>
        <w:rPr>
          <w:spacing w:val="67"/>
        </w:rPr>
        <w:t> </w:t>
      </w:r>
      <w:r>
        <w:rPr>
          <w:spacing w:val="-4"/>
        </w:rPr>
        <w:t>135;</w:t>
      </w:r>
    </w:p>
    <w:p>
      <w:pPr>
        <w:spacing w:line="235" w:lineRule="auto" w:before="0"/>
        <w:ind w:left="705" w:right="167" w:firstLine="0"/>
        <w:jc w:val="both"/>
        <w:rPr>
          <w:sz w:val="20"/>
        </w:rPr>
      </w:pPr>
      <w:r>
        <w:rPr>
          <w:rFonts w:ascii="Arial" w:hAnsi="Arial"/>
          <w:i/>
          <w:sz w:val="20"/>
        </w:rPr>
        <w:t>Accentuate Ltd v ASIGRA Inc [2009] EWHC 2655 (QB), [2009] 2 Lloyd’s Rep. 599</w:t>
      </w:r>
      <w:r>
        <w:rPr>
          <w:sz w:val="20"/>
        </w:rPr>
        <w:t>; </w:t>
      </w:r>
      <w:r>
        <w:rPr>
          <w:rFonts w:ascii="Arial" w:hAnsi="Arial"/>
          <w:i/>
          <w:sz w:val="20"/>
        </w:rPr>
        <w:t>United Antwerp Maritime Agencies (Unamar) NV v Navigation Maritime Bulgare (C-184/12) [2014] 1 Lloyd’s Rep. 161</w:t>
      </w:r>
      <w:r>
        <w:rPr>
          <w:sz w:val="20"/>
        </w:rPr>
        <w:t>; </w:t>
      </w:r>
      <w:r>
        <w:rPr>
          <w:rFonts w:ascii="Arial" w:hAnsi="Arial"/>
          <w:i/>
          <w:sz w:val="20"/>
        </w:rPr>
        <w:t>Fern Computer Consultancy Ltd v Intergraph Cadworx &amp; Analysis </w:t>
      </w:r>
      <w:r>
        <w:rPr>
          <w:rFonts w:ascii="Arial" w:hAnsi="Arial"/>
          <w:i/>
          <w:sz w:val="20"/>
        </w:rPr>
        <w:t>Solutions Inc [2014] EWHC 2908 (Ch)</w:t>
      </w:r>
      <w:r>
        <w:rPr>
          <w:sz w:val="20"/>
        </w:rPr>
        <w:t>. For further discussion, see Vol.II, para.31-017; Bowstead and Reynolds</w:t>
      </w:r>
      <w:r>
        <w:rPr>
          <w:spacing w:val="80"/>
          <w:sz w:val="20"/>
        </w:rPr>
        <w:t> </w:t>
      </w:r>
      <w:r>
        <w:rPr>
          <w:sz w:val="20"/>
        </w:rPr>
        <w:t>on</w:t>
      </w:r>
      <w:r>
        <w:rPr>
          <w:spacing w:val="80"/>
          <w:sz w:val="20"/>
        </w:rPr>
        <w:t> </w:t>
      </w:r>
      <w:r>
        <w:rPr>
          <w:sz w:val="20"/>
        </w:rPr>
        <w:t>Agency,</w:t>
      </w:r>
      <w:r>
        <w:rPr>
          <w:spacing w:val="80"/>
          <w:sz w:val="20"/>
        </w:rPr>
        <w:t> </w:t>
      </w:r>
      <w:r>
        <w:rPr>
          <w:sz w:val="20"/>
        </w:rPr>
        <w:t>18th</w:t>
      </w:r>
      <w:r>
        <w:rPr>
          <w:spacing w:val="80"/>
          <w:sz w:val="20"/>
        </w:rPr>
        <w:t> </w:t>
      </w:r>
      <w:r>
        <w:rPr>
          <w:sz w:val="20"/>
        </w:rPr>
        <w:t>edn</w:t>
      </w:r>
      <w:r>
        <w:rPr>
          <w:spacing w:val="80"/>
          <w:sz w:val="20"/>
        </w:rPr>
        <w:t> </w:t>
      </w:r>
      <w:r>
        <w:rPr>
          <w:sz w:val="20"/>
        </w:rPr>
        <w:t>(2006),</w:t>
      </w:r>
      <w:r>
        <w:rPr>
          <w:spacing w:val="80"/>
          <w:sz w:val="20"/>
        </w:rPr>
        <w:t> </w:t>
      </w:r>
      <w:r>
        <w:rPr>
          <w:sz w:val="20"/>
        </w:rPr>
        <w:t>Ch.11;</w:t>
      </w:r>
      <w:r>
        <w:rPr>
          <w:spacing w:val="80"/>
          <w:sz w:val="20"/>
        </w:rPr>
        <w:t> </w:t>
      </w:r>
      <w:r>
        <w:rPr>
          <w:sz w:val="20"/>
        </w:rPr>
        <w:t>Dicey,</w:t>
      </w:r>
      <w:r>
        <w:rPr>
          <w:spacing w:val="80"/>
          <w:sz w:val="20"/>
        </w:rPr>
        <w:t> </w:t>
      </w:r>
      <w:r>
        <w:rPr>
          <w:sz w:val="20"/>
        </w:rPr>
        <w:t>Morris</w:t>
      </w:r>
      <w:r>
        <w:rPr>
          <w:spacing w:val="80"/>
          <w:sz w:val="20"/>
        </w:rPr>
        <w:t> </w:t>
      </w:r>
      <w:r>
        <w:rPr>
          <w:sz w:val="20"/>
        </w:rPr>
        <w:t>and</w:t>
      </w:r>
      <w:r>
        <w:rPr>
          <w:spacing w:val="80"/>
          <w:sz w:val="20"/>
        </w:rPr>
        <w:t> </w:t>
      </w:r>
      <w:r>
        <w:rPr>
          <w:sz w:val="20"/>
        </w:rPr>
        <w:t>Collins,</w:t>
      </w:r>
      <w:r>
        <w:rPr>
          <w:spacing w:val="80"/>
          <w:sz w:val="20"/>
        </w:rPr>
        <w:t> </w:t>
      </w:r>
      <w:r>
        <w:rPr>
          <w:sz w:val="20"/>
        </w:rPr>
        <w:t>paras 33–416—33–425; below, para. 30-064. On the interpretation of the compensation provisions of the Regulations, see </w:t>
      </w:r>
      <w:r>
        <w:rPr>
          <w:rFonts w:ascii="Arial" w:hAnsi="Arial"/>
          <w:i/>
          <w:sz w:val="20"/>
        </w:rPr>
        <w:t>Lonsdale v Howard &amp; Hallam Ltd [2007] UKHL 32, [2007] 1 W.L.R. 2055</w:t>
      </w:r>
      <w:r>
        <w:rPr>
          <w:sz w:val="20"/>
        </w:rPr>
        <w:t>, Vol.II, para.31-149.</w:t>
      </w:r>
    </w:p>
    <w:p>
      <w:pPr>
        <w:pStyle w:val="BodyText"/>
      </w:pPr>
    </w:p>
    <w:p>
      <w:pPr>
        <w:tabs>
          <w:tab w:pos="705" w:val="left" w:leader="none"/>
        </w:tabs>
        <w:spacing w:line="235" w:lineRule="auto" w:before="0"/>
        <w:ind w:left="705" w:right="168" w:hanging="541"/>
        <w:jc w:val="left"/>
        <w:rPr>
          <w:sz w:val="20"/>
        </w:rPr>
      </w:pPr>
      <w:bookmarkStart w:name="_bookmark391" w:id="393"/>
      <w:bookmarkEnd w:id="393"/>
      <w:r>
        <w:rPr/>
      </w:r>
      <w:hyperlink w:history="true" w:anchor="_bookmark310">
        <w:r>
          <w:rPr>
            <w:color w:val="005DA1"/>
            <w:spacing w:val="-4"/>
            <w:position w:val="5"/>
            <w:sz w:val="14"/>
            <w:u w:val="single" w:color="005DA1"/>
          </w:rPr>
          <w:t>199</w:t>
        </w:r>
      </w:hyperlink>
      <w:r>
        <w:rPr>
          <w:spacing w:val="-4"/>
          <w:position w:val="5"/>
          <w:sz w:val="14"/>
        </w:rPr>
        <w:t>.</w:t>
      </w:r>
      <w:r>
        <w:rPr>
          <w:position w:val="5"/>
          <w:sz w:val="14"/>
        </w:rPr>
        <w:tab/>
      </w:r>
      <w:r>
        <w:rPr>
          <w:sz w:val="20"/>
        </w:rPr>
        <w:t>Giuliano-Lagarde</w:t>
      </w:r>
      <w:r>
        <w:rPr>
          <w:spacing w:val="35"/>
          <w:sz w:val="20"/>
        </w:rPr>
        <w:t> </w:t>
      </w:r>
      <w:r>
        <w:rPr>
          <w:sz w:val="20"/>
        </w:rPr>
        <w:t>Report,</w:t>
      </w:r>
      <w:r>
        <w:rPr>
          <w:spacing w:val="35"/>
          <w:sz w:val="20"/>
        </w:rPr>
        <w:t> </w:t>
      </w:r>
      <w:r>
        <w:rPr>
          <w:sz w:val="20"/>
        </w:rPr>
        <w:t>p.13.</w:t>
      </w:r>
      <w:r>
        <w:rPr>
          <w:spacing w:val="35"/>
          <w:sz w:val="20"/>
        </w:rPr>
        <w:t> </w:t>
      </w:r>
      <w:r>
        <w:rPr>
          <w:sz w:val="20"/>
        </w:rPr>
        <w:t>This</w:t>
      </w:r>
      <w:r>
        <w:rPr>
          <w:spacing w:val="35"/>
          <w:sz w:val="20"/>
        </w:rPr>
        <w:t> </w:t>
      </w:r>
      <w:r>
        <w:rPr>
          <w:sz w:val="20"/>
        </w:rPr>
        <w:t>conclusion</w:t>
      </w:r>
      <w:r>
        <w:rPr>
          <w:spacing w:val="35"/>
          <w:sz w:val="20"/>
        </w:rPr>
        <w:t> </w:t>
      </w:r>
      <w:r>
        <w:rPr>
          <w:sz w:val="20"/>
        </w:rPr>
        <w:t>is</w:t>
      </w:r>
      <w:r>
        <w:rPr>
          <w:spacing w:val="35"/>
          <w:sz w:val="20"/>
        </w:rPr>
        <w:t> </w:t>
      </w:r>
      <w:r>
        <w:rPr>
          <w:sz w:val="20"/>
        </w:rPr>
        <w:t>not</w:t>
      </w:r>
      <w:r>
        <w:rPr>
          <w:spacing w:val="35"/>
          <w:sz w:val="20"/>
        </w:rPr>
        <w:t> </w:t>
      </w:r>
      <w:r>
        <w:rPr>
          <w:sz w:val="20"/>
        </w:rPr>
        <w:t>free</w:t>
      </w:r>
      <w:r>
        <w:rPr>
          <w:spacing w:val="35"/>
          <w:sz w:val="20"/>
        </w:rPr>
        <w:t> </w:t>
      </w:r>
      <w:r>
        <w:rPr>
          <w:sz w:val="20"/>
        </w:rPr>
        <w:t>from</w:t>
      </w:r>
      <w:r>
        <w:rPr>
          <w:spacing w:val="35"/>
          <w:sz w:val="20"/>
        </w:rPr>
        <w:t> </w:t>
      </w:r>
      <w:r>
        <w:rPr>
          <w:sz w:val="20"/>
        </w:rPr>
        <w:t>difficulty:</w:t>
      </w:r>
      <w:r>
        <w:rPr>
          <w:spacing w:val="35"/>
          <w:sz w:val="20"/>
        </w:rPr>
        <w:t> </w:t>
      </w:r>
      <w:r>
        <w:rPr>
          <w:sz w:val="20"/>
        </w:rPr>
        <w:t>Dicey,</w:t>
      </w:r>
      <w:r>
        <w:rPr>
          <w:spacing w:val="35"/>
          <w:sz w:val="20"/>
        </w:rPr>
        <w:t> </w:t>
      </w:r>
      <w:r>
        <w:rPr>
          <w:sz w:val="20"/>
        </w:rPr>
        <w:t>Morris</w:t>
      </w:r>
      <w:r>
        <w:rPr>
          <w:spacing w:val="35"/>
          <w:sz w:val="20"/>
        </w:rPr>
        <w:t> </w:t>
      </w:r>
      <w:r>
        <w:rPr>
          <w:sz w:val="20"/>
        </w:rPr>
        <w:t>and Collins, para.33–443. See also </w:t>
      </w:r>
      <w:r>
        <w:rPr>
          <w:rFonts w:ascii="Arial" w:hAnsi="Arial"/>
          <w:i/>
          <w:sz w:val="20"/>
        </w:rPr>
        <w:t>Presentaciones Musicales SA v Secunda [1994] Ch. 271</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392" w:id="394"/>
      <w:bookmarkEnd w:id="394"/>
      <w:r>
        <w:rPr/>
      </w:r>
      <w:hyperlink w:history="true" w:anchor="_bookmark311">
        <w:r>
          <w:rPr>
            <w:color w:val="005DA1"/>
            <w:spacing w:val="-4"/>
            <w:position w:val="5"/>
            <w:sz w:val="14"/>
            <w:u w:val="single" w:color="005DA1"/>
          </w:rPr>
          <w:t>200</w:t>
        </w:r>
      </w:hyperlink>
      <w:r>
        <w:rPr>
          <w:spacing w:val="-4"/>
          <w:position w:val="5"/>
          <w:sz w:val="14"/>
        </w:rPr>
        <w:t>.</w:t>
      </w:r>
      <w:r>
        <w:rPr>
          <w:position w:val="5"/>
          <w:sz w:val="14"/>
        </w:rPr>
        <w:tab/>
      </w:r>
      <w:r>
        <w:rPr>
          <w:sz w:val="20"/>
        </w:rPr>
        <w:t>Giuliano-Lagarde</w:t>
      </w:r>
      <w:r>
        <w:rPr>
          <w:spacing w:val="40"/>
          <w:sz w:val="20"/>
        </w:rPr>
        <w:t> </w:t>
      </w:r>
      <w:r>
        <w:rPr>
          <w:sz w:val="20"/>
        </w:rPr>
        <w:t>Report,</w:t>
      </w:r>
      <w:r>
        <w:rPr>
          <w:spacing w:val="40"/>
          <w:sz w:val="20"/>
        </w:rPr>
        <w:t> </w:t>
      </w:r>
      <w:r>
        <w:rPr>
          <w:sz w:val="20"/>
        </w:rPr>
        <w:t>p.13</w:t>
      </w:r>
      <w:r>
        <w:rPr>
          <w:spacing w:val="40"/>
          <w:sz w:val="20"/>
        </w:rPr>
        <w:t> </w:t>
      </w:r>
      <w:r>
        <w:rPr>
          <w:rFonts w:ascii="Arial"/>
          <w:i/>
          <w:sz w:val="20"/>
        </w:rPr>
        <w:t>Credit</w:t>
      </w:r>
      <w:r>
        <w:rPr>
          <w:rFonts w:ascii="Arial"/>
          <w:i/>
          <w:spacing w:val="40"/>
          <w:sz w:val="20"/>
        </w:rPr>
        <w:t> </w:t>
      </w:r>
      <w:r>
        <w:rPr>
          <w:rFonts w:ascii="Arial"/>
          <w:i/>
          <w:sz w:val="20"/>
        </w:rPr>
        <w:t>Suisse</w:t>
      </w:r>
      <w:r>
        <w:rPr>
          <w:rFonts w:ascii="Arial"/>
          <w:i/>
          <w:spacing w:val="40"/>
          <w:sz w:val="20"/>
        </w:rPr>
        <w:t> </w:t>
      </w:r>
      <w:r>
        <w:rPr>
          <w:rFonts w:ascii="Arial"/>
          <w:i/>
          <w:sz w:val="20"/>
        </w:rPr>
        <w:t>International</w:t>
      </w:r>
      <w:r>
        <w:rPr>
          <w:rFonts w:ascii="Arial"/>
          <w:i/>
          <w:spacing w:val="40"/>
          <w:sz w:val="20"/>
        </w:rPr>
        <w:t> </w:t>
      </w:r>
      <w:r>
        <w:rPr>
          <w:rFonts w:ascii="Arial"/>
          <w:i/>
          <w:sz w:val="20"/>
        </w:rPr>
        <w:t>v</w:t>
      </w:r>
      <w:r>
        <w:rPr>
          <w:rFonts w:ascii="Arial"/>
          <w:i/>
          <w:spacing w:val="40"/>
          <w:sz w:val="20"/>
        </w:rPr>
        <w:t> </w:t>
      </w:r>
      <w:r>
        <w:rPr>
          <w:rFonts w:ascii="Arial"/>
          <w:i/>
          <w:sz w:val="20"/>
        </w:rPr>
        <w:t>Stichting</w:t>
      </w:r>
      <w:r>
        <w:rPr>
          <w:rFonts w:ascii="Arial"/>
          <w:i/>
          <w:spacing w:val="40"/>
          <w:sz w:val="20"/>
        </w:rPr>
        <w:t> </w:t>
      </w:r>
      <w:r>
        <w:rPr>
          <w:rFonts w:ascii="Arial"/>
          <w:i/>
          <w:sz w:val="20"/>
        </w:rPr>
        <w:t>Vestia</w:t>
      </w:r>
      <w:r>
        <w:rPr>
          <w:rFonts w:ascii="Arial"/>
          <w:i/>
          <w:spacing w:val="40"/>
          <w:sz w:val="20"/>
        </w:rPr>
        <w:t> </w:t>
      </w:r>
      <w:r>
        <w:rPr>
          <w:rFonts w:ascii="Arial"/>
          <w:i/>
          <w:sz w:val="20"/>
        </w:rPr>
        <w:t>Groep</w:t>
      </w:r>
      <w:r>
        <w:rPr>
          <w:rFonts w:ascii="Arial"/>
          <w:i/>
          <w:spacing w:val="40"/>
          <w:sz w:val="20"/>
        </w:rPr>
        <w:t> </w:t>
      </w:r>
      <w:r>
        <w:rPr>
          <w:rFonts w:ascii="Arial"/>
          <w:i/>
          <w:sz w:val="20"/>
        </w:rPr>
        <w:t>[2014] EWHC 3103 (Comm)</w:t>
      </w:r>
      <w:r>
        <w:rPr>
          <w:sz w:val="20"/>
        </w:rPr>
        <w:t>.</w:t>
      </w:r>
    </w:p>
    <w:p>
      <w:pPr>
        <w:pStyle w:val="BodyText"/>
        <w:spacing w:before="5"/>
      </w:pPr>
    </w:p>
    <w:p>
      <w:pPr>
        <w:tabs>
          <w:tab w:pos="705" w:val="left" w:leader="none"/>
        </w:tabs>
        <w:spacing w:before="0"/>
        <w:ind w:left="165" w:right="0" w:firstLine="0"/>
        <w:jc w:val="left"/>
        <w:rPr>
          <w:sz w:val="20"/>
        </w:rPr>
      </w:pPr>
      <w:bookmarkStart w:name="_bookmark393" w:id="395"/>
      <w:bookmarkEnd w:id="395"/>
      <w:r>
        <w:rPr/>
      </w:r>
      <w:hyperlink w:history="true" w:anchor="_bookmark312">
        <w:r>
          <w:rPr>
            <w:color w:val="005DA1"/>
            <w:spacing w:val="-4"/>
            <w:position w:val="5"/>
            <w:sz w:val="14"/>
            <w:u w:val="single" w:color="005DA1"/>
          </w:rPr>
          <w:t>201</w:t>
        </w:r>
      </w:hyperlink>
      <w:r>
        <w:rPr>
          <w:spacing w:val="-4"/>
          <w:position w:val="5"/>
          <w:sz w:val="14"/>
        </w:rPr>
        <w:t>.</w:t>
      </w:r>
      <w:r>
        <w:rPr>
          <w:position w:val="5"/>
          <w:sz w:val="14"/>
        </w:rPr>
        <w:tab/>
      </w:r>
      <w:r>
        <w:rPr>
          <w:sz w:val="20"/>
        </w:rPr>
        <w:t>Above, para.30-</w:t>
      </w:r>
      <w:r>
        <w:rPr>
          <w:spacing w:val="-4"/>
          <w:sz w:val="20"/>
        </w:rPr>
        <w:t>040.</w:t>
      </w:r>
    </w:p>
    <w:p>
      <w:pPr>
        <w:pStyle w:val="BodyText"/>
        <w:spacing w:before="9"/>
      </w:pPr>
    </w:p>
    <w:p>
      <w:pPr>
        <w:tabs>
          <w:tab w:pos="705" w:val="left" w:leader="none"/>
        </w:tabs>
        <w:spacing w:line="235" w:lineRule="auto" w:before="0"/>
        <w:ind w:left="705" w:right="168" w:hanging="541"/>
        <w:jc w:val="left"/>
        <w:rPr>
          <w:sz w:val="20"/>
        </w:rPr>
      </w:pPr>
      <w:bookmarkStart w:name="_bookmark394" w:id="396"/>
      <w:bookmarkEnd w:id="396"/>
      <w:r>
        <w:rPr/>
      </w:r>
      <w:hyperlink w:history="true" w:anchor="_bookmark313">
        <w:r>
          <w:rPr>
            <w:color w:val="005DA1"/>
            <w:spacing w:val="-4"/>
            <w:position w:val="5"/>
            <w:sz w:val="14"/>
            <w:u w:val="single" w:color="005DA1"/>
          </w:rPr>
          <w:t>202</w:t>
        </w:r>
      </w:hyperlink>
      <w:r>
        <w:rPr>
          <w:spacing w:val="-4"/>
          <w:position w:val="5"/>
          <w:sz w:val="14"/>
        </w:rPr>
        <w:t>.</w:t>
      </w:r>
      <w:r>
        <w:rPr>
          <w:position w:val="5"/>
          <w:sz w:val="14"/>
        </w:rPr>
        <w:tab/>
      </w:r>
      <w:r>
        <w:rPr>
          <w:sz w:val="20"/>
        </w:rPr>
        <w:t>Dicey, Morris and Collins, para.33–430. See </w:t>
      </w:r>
      <w:r>
        <w:rPr>
          <w:rFonts w:ascii="Arial" w:hAnsi="Arial"/>
          <w:i/>
          <w:sz w:val="20"/>
        </w:rPr>
        <w:t>Integral Petroleum SA v SCU-Finanz AG </w:t>
      </w:r>
      <w:r>
        <w:rPr>
          <w:rFonts w:ascii="Arial" w:hAnsi="Arial"/>
          <w:i/>
          <w:sz w:val="20"/>
        </w:rPr>
        <w:t>[2014]</w:t>
      </w:r>
      <w:r>
        <w:rPr>
          <w:rFonts w:ascii="Arial" w:hAnsi="Arial"/>
          <w:i/>
          <w:spacing w:val="80"/>
          <w:sz w:val="20"/>
        </w:rPr>
        <w:t> </w:t>
      </w:r>
      <w:r>
        <w:rPr>
          <w:rFonts w:ascii="Arial" w:hAnsi="Arial"/>
          <w:i/>
          <w:sz w:val="20"/>
        </w:rPr>
        <w:t>EWHC 702 (Comm) </w:t>
      </w:r>
      <w:r>
        <w:rPr>
          <w:sz w:val="20"/>
        </w:rPr>
        <w:t>at [62].</w:t>
      </w:r>
    </w:p>
    <w:p>
      <w:pPr>
        <w:pStyle w:val="BodyText"/>
        <w:spacing w:before="5"/>
      </w:pPr>
    </w:p>
    <w:p>
      <w:pPr>
        <w:pStyle w:val="BodyText"/>
        <w:tabs>
          <w:tab w:pos="705" w:val="left" w:leader="none"/>
        </w:tabs>
        <w:ind w:left="165"/>
      </w:pPr>
      <w:bookmarkStart w:name="_bookmark395" w:id="397"/>
      <w:bookmarkEnd w:id="397"/>
      <w:r>
        <w:rPr/>
      </w:r>
      <w:hyperlink w:history="true" w:anchor="_bookmark314">
        <w:r>
          <w:rPr>
            <w:color w:val="005DA1"/>
            <w:spacing w:val="-4"/>
            <w:position w:val="5"/>
            <w:sz w:val="14"/>
            <w:u w:val="single" w:color="005DA1"/>
          </w:rPr>
          <w:t>203</w:t>
        </w:r>
      </w:hyperlink>
      <w:r>
        <w:rPr>
          <w:spacing w:val="-4"/>
          <w:position w:val="5"/>
          <w:sz w:val="14"/>
        </w:rPr>
        <w:t>.</w:t>
      </w:r>
      <w:r>
        <w:rPr>
          <w:position w:val="5"/>
          <w:sz w:val="14"/>
        </w:rPr>
        <w:tab/>
      </w:r>
      <w:r>
        <w:rPr/>
        <w:t>Giuliano-Lagarde Report, </w:t>
      </w:r>
      <w:r>
        <w:rPr>
          <w:spacing w:val="-2"/>
        </w:rPr>
        <w:t>p.13.</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396" w:id="398"/>
      <w:bookmarkEnd w:id="398"/>
      <w:r>
        <w:rPr/>
      </w:r>
      <w:hyperlink w:history="true" w:anchor="_bookmark315">
        <w:r>
          <w:rPr>
            <w:color w:val="005DA1"/>
            <w:spacing w:val="-4"/>
            <w:position w:val="5"/>
            <w:sz w:val="14"/>
            <w:u w:val="single" w:color="005DA1"/>
          </w:rPr>
          <w:t>204</w:t>
        </w:r>
      </w:hyperlink>
      <w:r>
        <w:rPr>
          <w:spacing w:val="-4"/>
          <w:position w:val="5"/>
          <w:sz w:val="14"/>
        </w:rPr>
        <w:t>.</w:t>
      </w:r>
      <w:r>
        <w:rPr>
          <w:position w:val="5"/>
          <w:sz w:val="14"/>
        </w:rPr>
        <w:tab/>
      </w:r>
      <w:r>
        <w:rPr>
          <w:sz w:val="20"/>
        </w:rPr>
        <w:t>For</w:t>
      </w:r>
      <w:r>
        <w:rPr>
          <w:spacing w:val="29"/>
          <w:sz w:val="20"/>
        </w:rPr>
        <w:t> </w:t>
      </w:r>
      <w:r>
        <w:rPr>
          <w:sz w:val="20"/>
        </w:rPr>
        <w:t>choice</w:t>
      </w:r>
      <w:r>
        <w:rPr>
          <w:spacing w:val="29"/>
          <w:sz w:val="20"/>
        </w:rPr>
        <w:t> </w:t>
      </w:r>
      <w:r>
        <w:rPr>
          <w:sz w:val="20"/>
        </w:rPr>
        <w:t>of</w:t>
      </w:r>
      <w:r>
        <w:rPr>
          <w:spacing w:val="29"/>
          <w:sz w:val="20"/>
        </w:rPr>
        <w:t> </w:t>
      </w:r>
      <w:r>
        <w:rPr>
          <w:sz w:val="20"/>
        </w:rPr>
        <w:t>law</w:t>
      </w:r>
      <w:r>
        <w:rPr>
          <w:spacing w:val="29"/>
          <w:sz w:val="20"/>
        </w:rPr>
        <w:t> </w:t>
      </w:r>
      <w:r>
        <w:rPr>
          <w:sz w:val="20"/>
        </w:rPr>
        <w:t>rules</w:t>
      </w:r>
      <w:r>
        <w:rPr>
          <w:spacing w:val="29"/>
          <w:sz w:val="20"/>
        </w:rPr>
        <w:t> </w:t>
      </w:r>
      <w:r>
        <w:rPr>
          <w:sz w:val="20"/>
        </w:rPr>
        <w:t>in</w:t>
      </w:r>
      <w:r>
        <w:rPr>
          <w:spacing w:val="29"/>
          <w:sz w:val="20"/>
        </w:rPr>
        <w:t> </w:t>
      </w:r>
      <w:r>
        <w:rPr>
          <w:sz w:val="20"/>
        </w:rPr>
        <w:t>trusts,</w:t>
      </w:r>
      <w:r>
        <w:rPr>
          <w:spacing w:val="29"/>
          <w:sz w:val="20"/>
        </w:rPr>
        <w:t> </w:t>
      </w:r>
      <w:r>
        <w:rPr>
          <w:sz w:val="20"/>
        </w:rPr>
        <w:t>see</w:t>
      </w:r>
      <w:r>
        <w:rPr>
          <w:spacing w:val="29"/>
          <w:sz w:val="20"/>
        </w:rPr>
        <w:t> </w:t>
      </w:r>
      <w:r>
        <w:rPr>
          <w:sz w:val="20"/>
        </w:rPr>
        <w:t>Dicey,</w:t>
      </w:r>
      <w:r>
        <w:rPr>
          <w:spacing w:val="29"/>
          <w:sz w:val="20"/>
        </w:rPr>
        <w:t> </w:t>
      </w:r>
      <w:r>
        <w:rPr>
          <w:sz w:val="20"/>
        </w:rPr>
        <w:t>Morris</w:t>
      </w:r>
      <w:r>
        <w:rPr>
          <w:spacing w:val="29"/>
          <w:sz w:val="20"/>
        </w:rPr>
        <w:t> </w:t>
      </w:r>
      <w:r>
        <w:rPr>
          <w:sz w:val="20"/>
        </w:rPr>
        <w:t>and</w:t>
      </w:r>
      <w:r>
        <w:rPr>
          <w:spacing w:val="29"/>
          <w:sz w:val="20"/>
        </w:rPr>
        <w:t> </w:t>
      </w:r>
      <w:r>
        <w:rPr>
          <w:sz w:val="20"/>
        </w:rPr>
        <w:t>Collins</w:t>
      </w:r>
      <w:r>
        <w:rPr>
          <w:spacing w:val="29"/>
          <w:sz w:val="20"/>
        </w:rPr>
        <w:t> </w:t>
      </w:r>
      <w:r>
        <w:rPr>
          <w:sz w:val="20"/>
        </w:rPr>
        <w:t>at</w:t>
      </w:r>
      <w:r>
        <w:rPr>
          <w:spacing w:val="29"/>
          <w:sz w:val="20"/>
        </w:rPr>
        <w:t> </w:t>
      </w:r>
      <w:r>
        <w:rPr>
          <w:sz w:val="20"/>
        </w:rPr>
        <w:t>Ch.29.</w:t>
      </w:r>
      <w:r>
        <w:rPr>
          <w:spacing w:val="29"/>
          <w:sz w:val="20"/>
        </w:rPr>
        <w:t> </w:t>
      </w:r>
      <w:r>
        <w:rPr>
          <w:sz w:val="20"/>
        </w:rPr>
        <w:t>See</w:t>
      </w:r>
      <w:r>
        <w:rPr>
          <w:spacing w:val="28"/>
          <w:sz w:val="20"/>
        </w:rPr>
        <w:t> </w:t>
      </w:r>
      <w:r>
        <w:rPr>
          <w:rFonts w:ascii="Arial"/>
          <w:i/>
          <w:sz w:val="20"/>
        </w:rPr>
        <w:t>Tod</w:t>
      </w:r>
      <w:r>
        <w:rPr>
          <w:rFonts w:ascii="Arial"/>
          <w:i/>
          <w:spacing w:val="29"/>
          <w:sz w:val="20"/>
        </w:rPr>
        <w:t> </w:t>
      </w:r>
      <w:r>
        <w:rPr>
          <w:rFonts w:ascii="Arial"/>
          <w:i/>
          <w:sz w:val="20"/>
        </w:rPr>
        <w:t>v</w:t>
      </w:r>
      <w:r>
        <w:rPr>
          <w:rFonts w:ascii="Arial"/>
          <w:i/>
          <w:spacing w:val="29"/>
          <w:sz w:val="20"/>
        </w:rPr>
        <w:t> </w:t>
      </w:r>
      <w:r>
        <w:rPr>
          <w:rFonts w:ascii="Arial"/>
          <w:i/>
          <w:sz w:val="20"/>
        </w:rPr>
        <w:t>Barton [2002]</w:t>
      </w:r>
      <w:r>
        <w:rPr>
          <w:rFonts w:ascii="Arial"/>
          <w:i/>
          <w:spacing w:val="6"/>
          <w:sz w:val="20"/>
        </w:rPr>
        <w:t> </w:t>
      </w:r>
      <w:r>
        <w:rPr>
          <w:rFonts w:ascii="Arial"/>
          <w:i/>
          <w:sz w:val="20"/>
        </w:rPr>
        <w:t>EWHC</w:t>
      </w:r>
      <w:r>
        <w:rPr>
          <w:rFonts w:ascii="Arial"/>
          <w:i/>
          <w:spacing w:val="7"/>
          <w:sz w:val="20"/>
        </w:rPr>
        <w:t> </w:t>
      </w:r>
      <w:r>
        <w:rPr>
          <w:rFonts w:ascii="Arial"/>
          <w:i/>
          <w:sz w:val="20"/>
        </w:rPr>
        <w:t>264</w:t>
      </w:r>
      <w:r>
        <w:rPr>
          <w:rFonts w:ascii="Arial"/>
          <w:i/>
          <w:spacing w:val="7"/>
          <w:sz w:val="20"/>
        </w:rPr>
        <w:t> </w:t>
      </w:r>
      <w:r>
        <w:rPr>
          <w:rFonts w:ascii="Arial"/>
          <w:i/>
          <w:sz w:val="20"/>
        </w:rPr>
        <w:t>(Ch),</w:t>
      </w:r>
      <w:r>
        <w:rPr>
          <w:rFonts w:ascii="Arial"/>
          <w:i/>
          <w:spacing w:val="7"/>
          <w:sz w:val="20"/>
        </w:rPr>
        <w:t> </w:t>
      </w:r>
      <w:r>
        <w:rPr>
          <w:rFonts w:ascii="Arial"/>
          <w:i/>
          <w:sz w:val="20"/>
        </w:rPr>
        <w:t>[2002]</w:t>
      </w:r>
      <w:r>
        <w:rPr>
          <w:rFonts w:ascii="Arial"/>
          <w:i/>
          <w:spacing w:val="7"/>
          <w:sz w:val="20"/>
        </w:rPr>
        <w:t> </w:t>
      </w:r>
      <w:r>
        <w:rPr>
          <w:rFonts w:ascii="Arial"/>
          <w:i/>
          <w:sz w:val="20"/>
        </w:rPr>
        <w:t>W.T.L.R.</w:t>
      </w:r>
      <w:r>
        <w:rPr>
          <w:rFonts w:ascii="Arial"/>
          <w:i/>
          <w:spacing w:val="7"/>
          <w:sz w:val="20"/>
        </w:rPr>
        <w:t> </w:t>
      </w:r>
      <w:r>
        <w:rPr>
          <w:rFonts w:ascii="Arial"/>
          <w:i/>
          <w:sz w:val="20"/>
        </w:rPr>
        <w:t>469</w:t>
      </w:r>
      <w:r>
        <w:rPr>
          <w:sz w:val="20"/>
        </w:rPr>
        <w:t>;</w:t>
      </w:r>
      <w:r>
        <w:rPr>
          <w:spacing w:val="7"/>
          <w:sz w:val="20"/>
        </w:rPr>
        <w:t> </w:t>
      </w:r>
      <w:r>
        <w:rPr>
          <w:rFonts w:ascii="Arial"/>
          <w:i/>
          <w:sz w:val="20"/>
        </w:rPr>
        <w:t>Chellaram</w:t>
      </w:r>
      <w:r>
        <w:rPr>
          <w:rFonts w:ascii="Arial"/>
          <w:i/>
          <w:spacing w:val="7"/>
          <w:sz w:val="20"/>
        </w:rPr>
        <w:t> </w:t>
      </w:r>
      <w:r>
        <w:rPr>
          <w:rFonts w:ascii="Arial"/>
          <w:i/>
          <w:sz w:val="20"/>
        </w:rPr>
        <w:t>v</w:t>
      </w:r>
      <w:r>
        <w:rPr>
          <w:rFonts w:ascii="Arial"/>
          <w:i/>
          <w:spacing w:val="7"/>
          <w:sz w:val="20"/>
        </w:rPr>
        <w:t> </w:t>
      </w:r>
      <w:r>
        <w:rPr>
          <w:rFonts w:ascii="Arial"/>
          <w:i/>
          <w:sz w:val="20"/>
        </w:rPr>
        <w:t>Chellaram</w:t>
      </w:r>
      <w:r>
        <w:rPr>
          <w:rFonts w:ascii="Arial"/>
          <w:i/>
          <w:spacing w:val="7"/>
          <w:sz w:val="20"/>
        </w:rPr>
        <w:t> </w:t>
      </w:r>
      <w:r>
        <w:rPr>
          <w:rFonts w:ascii="Arial"/>
          <w:i/>
          <w:sz w:val="20"/>
        </w:rPr>
        <w:t>(No.2)</w:t>
      </w:r>
      <w:r>
        <w:rPr>
          <w:rFonts w:ascii="Arial"/>
          <w:i/>
          <w:spacing w:val="7"/>
          <w:sz w:val="20"/>
        </w:rPr>
        <w:t> </w:t>
      </w:r>
      <w:r>
        <w:rPr>
          <w:rFonts w:ascii="Arial"/>
          <w:i/>
          <w:sz w:val="20"/>
        </w:rPr>
        <w:t>[2002]</w:t>
      </w:r>
      <w:r>
        <w:rPr>
          <w:rFonts w:ascii="Arial"/>
          <w:i/>
          <w:spacing w:val="7"/>
          <w:sz w:val="20"/>
        </w:rPr>
        <w:t> </w:t>
      </w:r>
      <w:r>
        <w:rPr>
          <w:rFonts w:ascii="Arial"/>
          <w:i/>
          <w:sz w:val="20"/>
        </w:rPr>
        <w:t>EWHC</w:t>
      </w:r>
      <w:r>
        <w:rPr>
          <w:rFonts w:ascii="Arial"/>
          <w:i/>
          <w:spacing w:val="7"/>
          <w:sz w:val="20"/>
        </w:rPr>
        <w:t> </w:t>
      </w:r>
      <w:r>
        <w:rPr>
          <w:rFonts w:ascii="Arial"/>
          <w:i/>
          <w:spacing w:val="-5"/>
          <w:sz w:val="20"/>
        </w:rPr>
        <w:t>632</w:t>
      </w:r>
    </w:p>
    <w:p>
      <w:pPr>
        <w:spacing w:line="225" w:lineRule="exact" w:before="0"/>
        <w:ind w:left="705" w:right="0" w:firstLine="0"/>
        <w:jc w:val="left"/>
        <w:rPr>
          <w:sz w:val="20"/>
        </w:rPr>
      </w:pPr>
      <w:r>
        <w:rPr>
          <w:rFonts w:ascii="Arial"/>
          <w:i/>
          <w:sz w:val="20"/>
        </w:rPr>
        <w:t>(Ch), [2002] 3 All E.R. </w:t>
      </w:r>
      <w:r>
        <w:rPr>
          <w:rFonts w:ascii="Arial"/>
          <w:i/>
          <w:spacing w:val="-5"/>
          <w:sz w:val="20"/>
        </w:rPr>
        <w:t>17</w:t>
      </w:r>
      <w:r>
        <w:rPr>
          <w:spacing w:val="-5"/>
          <w:sz w:val="20"/>
        </w:rPr>
        <w:t>.</w:t>
      </w:r>
    </w:p>
    <w:p>
      <w:pPr>
        <w:pStyle w:val="BodyText"/>
        <w:spacing w:before="5"/>
      </w:pPr>
    </w:p>
    <w:p>
      <w:pPr>
        <w:pStyle w:val="BodyText"/>
        <w:tabs>
          <w:tab w:pos="705" w:val="left" w:leader="none"/>
        </w:tabs>
        <w:ind w:left="165"/>
      </w:pPr>
      <w:bookmarkStart w:name="_bookmark397" w:id="399"/>
      <w:bookmarkEnd w:id="399"/>
      <w:r>
        <w:rPr/>
      </w:r>
      <w:hyperlink w:history="true" w:anchor="_bookmark316">
        <w:r>
          <w:rPr>
            <w:color w:val="005DA1"/>
            <w:spacing w:val="-4"/>
            <w:position w:val="5"/>
            <w:sz w:val="14"/>
            <w:u w:val="single" w:color="005DA1"/>
          </w:rPr>
          <w:t>205</w:t>
        </w:r>
      </w:hyperlink>
      <w:r>
        <w:rPr>
          <w:spacing w:val="-4"/>
          <w:position w:val="5"/>
          <w:sz w:val="14"/>
        </w:rPr>
        <w:t>.</w:t>
      </w:r>
      <w:r>
        <w:rPr>
          <w:position w:val="5"/>
          <w:sz w:val="14"/>
        </w:rPr>
        <w:tab/>
      </w:r>
      <w:r>
        <w:rPr/>
        <w:t>Giuliano-Lagarde Report, </w:t>
      </w:r>
      <w:r>
        <w:rPr>
          <w:spacing w:val="-2"/>
        </w:rPr>
        <w:t>p.13.</w:t>
      </w:r>
    </w:p>
    <w:p>
      <w:pPr>
        <w:pStyle w:val="BodyText"/>
        <w:spacing w:before="5"/>
      </w:pPr>
    </w:p>
    <w:p>
      <w:pPr>
        <w:pStyle w:val="BodyText"/>
        <w:tabs>
          <w:tab w:pos="705" w:val="left" w:leader="none"/>
        </w:tabs>
        <w:ind w:left="165"/>
      </w:pPr>
      <w:bookmarkStart w:name="_bookmark398" w:id="400"/>
      <w:bookmarkEnd w:id="400"/>
      <w:r>
        <w:rPr/>
      </w:r>
      <w:hyperlink w:history="true" w:anchor="_bookmark317">
        <w:r>
          <w:rPr>
            <w:color w:val="005DA1"/>
            <w:spacing w:val="-4"/>
            <w:position w:val="5"/>
            <w:sz w:val="14"/>
            <w:u w:val="single" w:color="005DA1"/>
          </w:rPr>
          <w:t>206</w:t>
        </w:r>
      </w:hyperlink>
      <w:r>
        <w:rPr>
          <w:spacing w:val="-4"/>
          <w:position w:val="5"/>
          <w:sz w:val="14"/>
        </w:rPr>
        <w:t>.</w:t>
      </w:r>
      <w:r>
        <w:rPr>
          <w:position w:val="5"/>
          <w:sz w:val="14"/>
        </w:rPr>
        <w:tab/>
      </w:r>
      <w:r>
        <w:rPr/>
        <w:t>Giuliano-Lagarde Report, </w:t>
      </w:r>
      <w:r>
        <w:rPr>
          <w:spacing w:val="-2"/>
        </w:rPr>
        <w:t>p.13.</w:t>
      </w:r>
    </w:p>
    <w:p>
      <w:pPr>
        <w:pStyle w:val="BodyText"/>
        <w:spacing w:before="9"/>
      </w:pPr>
    </w:p>
    <w:p>
      <w:pPr>
        <w:tabs>
          <w:tab w:pos="705" w:val="left" w:leader="none"/>
        </w:tabs>
        <w:spacing w:line="235" w:lineRule="auto" w:before="0"/>
        <w:ind w:left="705" w:right="168" w:hanging="541"/>
        <w:jc w:val="left"/>
        <w:rPr>
          <w:sz w:val="20"/>
        </w:rPr>
      </w:pPr>
      <w:bookmarkStart w:name="_bookmark399" w:id="401"/>
      <w:bookmarkEnd w:id="401"/>
      <w:r>
        <w:rPr/>
      </w:r>
      <w:hyperlink w:history="true" w:anchor="_bookmark318">
        <w:r>
          <w:rPr>
            <w:color w:val="005DA1"/>
            <w:spacing w:val="-4"/>
            <w:position w:val="5"/>
            <w:sz w:val="14"/>
            <w:u w:val="single" w:color="005DA1"/>
          </w:rPr>
          <w:t>207</w:t>
        </w:r>
      </w:hyperlink>
      <w:r>
        <w:rPr>
          <w:spacing w:val="-4"/>
          <w:position w:val="5"/>
          <w:sz w:val="14"/>
        </w:rPr>
        <w:t>.</w:t>
      </w:r>
      <w:r>
        <w:rPr>
          <w:position w:val="5"/>
          <w:sz w:val="14"/>
        </w:rPr>
        <w:tab/>
      </w:r>
      <w:r>
        <w:rPr>
          <w:sz w:val="20"/>
        </w:rPr>
        <w:t>Giuliano-Lagarde Report, p.13. See </w:t>
      </w:r>
      <w:r>
        <w:rPr>
          <w:rFonts w:ascii="Arial"/>
          <w:i/>
          <w:sz w:val="20"/>
        </w:rPr>
        <w:t>Wall v Mutuelle de Poities Assurances [2014] EWCA </w:t>
      </w:r>
      <w:r>
        <w:rPr>
          <w:rFonts w:ascii="Arial"/>
          <w:i/>
          <w:sz w:val="20"/>
        </w:rPr>
        <w:t>Civ</w:t>
      </w:r>
      <w:r>
        <w:rPr>
          <w:rFonts w:ascii="Arial"/>
          <w:i/>
          <w:spacing w:val="40"/>
          <w:sz w:val="20"/>
        </w:rPr>
        <w:t> </w:t>
      </w:r>
      <w:r>
        <w:rPr>
          <w:rFonts w:ascii="Arial"/>
          <w:i/>
          <w:sz w:val="20"/>
        </w:rPr>
        <w:t>138, [2014] 1 W.L.R. 4263</w:t>
      </w:r>
      <w:r>
        <w:rPr>
          <w:sz w:val="20"/>
        </w:rPr>
        <w:t>.</w:t>
      </w:r>
    </w:p>
    <w:p>
      <w:pPr>
        <w:pStyle w:val="BodyText"/>
        <w:spacing w:before="9"/>
      </w:pPr>
    </w:p>
    <w:p>
      <w:pPr>
        <w:pStyle w:val="BodyText"/>
        <w:tabs>
          <w:tab w:pos="705" w:val="left" w:leader="none"/>
        </w:tabs>
        <w:spacing w:line="235" w:lineRule="auto"/>
        <w:ind w:left="705" w:right="168" w:hanging="541"/>
      </w:pPr>
      <w:bookmarkStart w:name="_bookmark400" w:id="402"/>
      <w:bookmarkEnd w:id="402"/>
      <w:r>
        <w:rPr/>
      </w:r>
      <w:hyperlink w:history="true" w:anchor="_bookmark319">
        <w:r>
          <w:rPr>
            <w:color w:val="005DA1"/>
            <w:spacing w:val="-4"/>
            <w:position w:val="5"/>
            <w:sz w:val="14"/>
            <w:u w:val="single" w:color="005DA1"/>
          </w:rPr>
          <w:t>208</w:t>
        </w:r>
      </w:hyperlink>
      <w:r>
        <w:rPr>
          <w:spacing w:val="-4"/>
          <w:position w:val="5"/>
          <w:sz w:val="14"/>
        </w:rPr>
        <w:t>.</w:t>
      </w:r>
      <w:r>
        <w:rPr>
          <w:position w:val="5"/>
          <w:sz w:val="14"/>
        </w:rPr>
        <w:tab/>
      </w:r>
      <w:r>
        <w:rPr/>
        <w:t>See Cheshire and North, p.550 (stressing that English courts should not necessarily adopt </w:t>
      </w:r>
      <w:r>
        <w:rPr/>
        <w:t>the classifications applied in the common law in the context of the Convention).</w:t>
      </w:r>
    </w:p>
    <w:p>
      <w:pPr>
        <w:pStyle w:val="BodyText"/>
        <w:spacing w:after="0" w:line="235" w:lineRule="auto"/>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320">
        <w:r>
          <w:rPr>
            <w:color w:val="005DA1"/>
            <w:position w:val="5"/>
            <w:sz w:val="14"/>
            <w:u w:val="single" w:color="005DA1"/>
          </w:rPr>
          <w:t>209</w:t>
        </w:r>
      </w:hyperlink>
      <w:r>
        <w:rPr>
          <w:position w:val="5"/>
          <w:sz w:val="14"/>
        </w:rPr>
        <w:t>.</w:t>
      </w:r>
      <w:r>
        <w:rPr>
          <w:spacing w:val="80"/>
          <w:position w:val="5"/>
          <w:sz w:val="14"/>
        </w:rPr>
        <w:t>  </w:t>
      </w:r>
      <w:r>
        <w:rPr/>
        <w:t>It</w:t>
      </w:r>
      <w:r>
        <w:rPr>
          <w:spacing w:val="30"/>
        </w:rPr>
        <w:t> </w:t>
      </w:r>
      <w:r>
        <w:rPr/>
        <w:t>can</w:t>
      </w:r>
      <w:r>
        <w:rPr>
          <w:spacing w:val="30"/>
        </w:rPr>
        <w:t> </w:t>
      </w:r>
      <w:r>
        <w:rPr/>
        <w:t>be</w:t>
      </w:r>
      <w:r>
        <w:rPr>
          <w:spacing w:val="30"/>
        </w:rPr>
        <w:t> </w:t>
      </w:r>
      <w:r>
        <w:rPr/>
        <w:t>suggested</w:t>
      </w:r>
      <w:r>
        <w:rPr>
          <w:spacing w:val="30"/>
        </w:rPr>
        <w:t> </w:t>
      </w:r>
      <w:r>
        <w:rPr/>
        <w:t>that</w:t>
      </w:r>
      <w:r>
        <w:rPr>
          <w:spacing w:val="30"/>
        </w:rPr>
        <w:t> </w:t>
      </w:r>
      <w:r>
        <w:rPr/>
        <w:t>the</w:t>
      </w:r>
      <w:r>
        <w:rPr>
          <w:spacing w:val="30"/>
        </w:rPr>
        <w:t> </w:t>
      </w:r>
      <w:r>
        <w:rPr/>
        <w:t>principles</w:t>
      </w:r>
      <w:r>
        <w:rPr>
          <w:spacing w:val="30"/>
        </w:rPr>
        <w:t> </w:t>
      </w:r>
      <w:r>
        <w:rPr/>
        <w:t>of</w:t>
      </w:r>
      <w:r>
        <w:rPr>
          <w:spacing w:val="30"/>
        </w:rPr>
        <w:t> </w:t>
      </w:r>
      <w:r>
        <w:rPr/>
        <w:t>uniform</w:t>
      </w:r>
      <w:r>
        <w:rPr>
          <w:spacing w:val="30"/>
        </w:rPr>
        <w:t> </w:t>
      </w:r>
      <w:r>
        <w:rPr/>
        <w:t>interpretation</w:t>
      </w:r>
      <w:r>
        <w:rPr>
          <w:spacing w:val="30"/>
        </w:rPr>
        <w:t> </w:t>
      </w:r>
      <w:r>
        <w:rPr/>
        <w:t>(art.18,</w:t>
      </w:r>
      <w:r>
        <w:rPr>
          <w:spacing w:val="30"/>
        </w:rPr>
        <w:t> </w:t>
      </w:r>
      <w:r>
        <w:rPr/>
        <w:t>above,</w:t>
      </w:r>
      <w:r>
        <w:rPr>
          <w:spacing w:val="30"/>
        </w:rPr>
        <w:t> </w:t>
      </w:r>
      <w:r>
        <w:rPr/>
        <w:t>para.30-</w:t>
      </w:r>
      <w:r>
        <w:rPr/>
        <w:t>019) may be applied to avoid the danger of different states making different classifications. And see below, Section 5.</w:t>
      </w:r>
    </w:p>
    <w:p>
      <w:pPr>
        <w:pStyle w:val="BodyText"/>
        <w:spacing w:before="9"/>
      </w:pPr>
    </w:p>
    <w:p>
      <w:pPr>
        <w:pStyle w:val="BodyText"/>
        <w:spacing w:line="235" w:lineRule="auto"/>
        <w:ind w:left="705" w:right="167" w:hanging="541"/>
        <w:jc w:val="both"/>
      </w:pPr>
      <w:bookmarkStart w:name="_bookmark401" w:id="403"/>
      <w:bookmarkEnd w:id="403"/>
      <w:r>
        <w:rPr/>
      </w:r>
      <w:hyperlink w:history="true" w:anchor="_bookmark321">
        <w:r>
          <w:rPr>
            <w:color w:val="005DA1"/>
            <w:position w:val="5"/>
            <w:sz w:val="14"/>
            <w:u w:val="single" w:color="005DA1"/>
          </w:rPr>
          <w:t>210</w:t>
        </w:r>
      </w:hyperlink>
      <w:r>
        <w:rPr>
          <w:position w:val="5"/>
          <w:sz w:val="14"/>
        </w:rPr>
        <w:t>.</w:t>
      </w:r>
      <w:r>
        <w:rPr>
          <w:spacing w:val="80"/>
          <w:position w:val="5"/>
          <w:sz w:val="14"/>
        </w:rPr>
        <w:t>  </w:t>
      </w:r>
      <w:r>
        <w:rPr/>
        <w:t>Contrast the approach taken in the Rome I Regulation which provides, in art.7, choice of law rules for determining the law applicable to contracts of insurance, subject to the exclusion of a limited category of insurance contracts in art.1(2)(k): see below, paras 30-252 et seq.</w:t>
      </w:r>
    </w:p>
    <w:p>
      <w:pPr>
        <w:pStyle w:val="BodyText"/>
        <w:spacing w:before="9"/>
      </w:pPr>
    </w:p>
    <w:p>
      <w:pPr>
        <w:spacing w:line="235" w:lineRule="auto" w:before="0"/>
        <w:ind w:left="705" w:right="167" w:hanging="541"/>
        <w:jc w:val="both"/>
        <w:rPr>
          <w:sz w:val="20"/>
        </w:rPr>
      </w:pPr>
      <w:bookmarkStart w:name="_bookmark402" w:id="404"/>
      <w:bookmarkEnd w:id="404"/>
      <w:r>
        <w:rPr/>
      </w:r>
      <w:hyperlink w:history="true" w:anchor="_bookmark322">
        <w:r>
          <w:rPr>
            <w:color w:val="005DA1"/>
            <w:position w:val="5"/>
            <w:sz w:val="14"/>
            <w:u w:val="single" w:color="005DA1"/>
          </w:rPr>
          <w:t>211</w:t>
        </w:r>
      </w:hyperlink>
      <w:r>
        <w:rPr>
          <w:position w:val="5"/>
          <w:sz w:val="14"/>
        </w:rPr>
        <w:t>.</w:t>
      </w:r>
      <w:r>
        <w:rPr>
          <w:spacing w:val="80"/>
          <w:w w:val="150"/>
          <w:position w:val="5"/>
          <w:sz w:val="14"/>
        </w:rPr>
        <w:t> </w:t>
      </w:r>
      <w:r>
        <w:rPr>
          <w:sz w:val="20"/>
        </w:rPr>
        <w:t>See </w:t>
      </w:r>
      <w:r>
        <w:rPr>
          <w:rFonts w:ascii="Arial" w:hAnsi="Arial"/>
          <w:i/>
          <w:sz w:val="20"/>
        </w:rPr>
        <w:t>Crédit Lyonnais v New Hampshire Insurance Co [1997] 2 Lloyd’s Rep. 1</w:t>
      </w:r>
      <w:r>
        <w:rPr>
          <w:sz w:val="20"/>
        </w:rPr>
        <w:t>; </w:t>
      </w:r>
      <w:r>
        <w:rPr>
          <w:rFonts w:ascii="Arial" w:hAnsi="Arial"/>
          <w:i/>
          <w:sz w:val="20"/>
        </w:rPr>
        <w:t>American</w:t>
      </w:r>
      <w:r>
        <w:rPr>
          <w:rFonts w:ascii="Arial" w:hAnsi="Arial"/>
          <w:i/>
          <w:spacing w:val="80"/>
          <w:sz w:val="20"/>
        </w:rPr>
        <w:t> </w:t>
      </w:r>
      <w:r>
        <w:rPr>
          <w:rFonts w:ascii="Arial" w:hAnsi="Arial"/>
          <w:i/>
          <w:sz w:val="20"/>
        </w:rPr>
        <w:t>Motorists Insurance Co v Cellstar Corp [2003] EWCA Civ 206, [2003] I.L.Pr. 370</w:t>
      </w:r>
      <w:r>
        <w:rPr>
          <w:sz w:val="20"/>
        </w:rPr>
        <w:t>. For the application of the rules of the Rome Convention in this situation, see Dicey, Morris and Collins, r.214, paras 33–137 et seq.</w:t>
      </w:r>
    </w:p>
    <w:p>
      <w:pPr>
        <w:pStyle w:val="BodyText"/>
        <w:spacing w:before="8"/>
      </w:pPr>
    </w:p>
    <w:p>
      <w:pPr>
        <w:pStyle w:val="BodyText"/>
        <w:spacing w:line="235" w:lineRule="auto"/>
        <w:ind w:left="705" w:right="167" w:hanging="541"/>
        <w:jc w:val="both"/>
      </w:pPr>
      <w:bookmarkStart w:name="_bookmark403" w:id="405"/>
      <w:bookmarkEnd w:id="405"/>
      <w:r>
        <w:rPr/>
      </w:r>
      <w:hyperlink w:history="true" w:anchor="_bookmark323">
        <w:r>
          <w:rPr>
            <w:color w:val="005DA1"/>
            <w:position w:val="5"/>
            <w:sz w:val="14"/>
            <w:u w:val="single" w:color="005DA1"/>
          </w:rPr>
          <w:t>212</w:t>
        </w:r>
      </w:hyperlink>
      <w:r>
        <w:rPr>
          <w:position w:val="5"/>
          <w:sz w:val="14"/>
        </w:rPr>
        <w:t>.</w:t>
      </w:r>
      <w:r>
        <w:rPr>
          <w:spacing w:val="80"/>
          <w:w w:val="150"/>
          <w:position w:val="5"/>
          <w:sz w:val="14"/>
        </w:rPr>
        <w:t> </w:t>
      </w:r>
      <w:r>
        <w:rPr/>
        <w:t>Rome Convention art.1(4). For application of the Convention rules to reinsurance, see Dicey, Morris and Collins, r.217, paras 33–210 et seq. The special choice of law rules for insurance contracts contained in the Rome I Regulation do not apply to contracts of reinsurance: see art.7(1), below, para.30-254.</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160344</wp:posOffset>
            </wp:positionV>
            <wp:extent cx="107988" cy="107988"/>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04" w:id="406"/>
      <w:bookmarkEnd w:id="406"/>
      <w:r>
        <w:rPr/>
      </w:r>
      <w:hyperlink w:history="true" w:anchor="_bookmark324">
        <w:r>
          <w:rPr>
            <w:color w:val="005DA1"/>
            <w:spacing w:val="-4"/>
            <w:sz w:val="14"/>
            <w:u w:val="single" w:color="005DA1"/>
          </w:rPr>
          <w:t>213</w:t>
        </w:r>
      </w:hyperlink>
      <w:r>
        <w:rPr>
          <w:spacing w:val="-4"/>
          <w:sz w:val="14"/>
        </w:rPr>
        <w:t>.</w:t>
      </w:r>
    </w:p>
    <w:p>
      <w:pPr>
        <w:pStyle w:val="BodyText"/>
        <w:spacing w:line="235" w:lineRule="auto" w:before="212"/>
        <w:ind w:left="165" w:right="167" w:firstLine="170"/>
        <w:jc w:val="both"/>
      </w:pPr>
      <w:r>
        <w:rPr/>
        <w:br w:type="column"/>
      </w:r>
      <w:r>
        <w:rPr/>
        <w:t>Second Council Directive on the co-ordination of laws, regulations and </w:t>
      </w:r>
      <w:r>
        <w:rPr/>
        <w:t>administrative provisions relating to direct insurance other than life insurance and laying down provisions to facilitate the effective exercise of the freedom to provide services: [1988] O.J. L127/1,</w:t>
      </w:r>
      <w:r>
        <w:rPr>
          <w:spacing w:val="40"/>
        </w:rPr>
        <w:t> </w:t>
      </w:r>
      <w:r>
        <w:rPr/>
        <w:t>amending the First Council Directive [1973] O.J. L228/3 (the Second Non-Life Insurance Directive); Third Council Directive on the co-ordination of laws, regulations and administrative provisions relating to direct insurance other than life insurance [1992] O.J. L228/1, amending</w:t>
      </w:r>
      <w:r>
        <w:rPr>
          <w:spacing w:val="40"/>
        </w:rPr>
        <w:t> </w:t>
      </w:r>
      <w:r>
        <w:rPr/>
        <w:t>the First Council Directive and the Second Non-Life Insurance Directive (the Third Non-Life Directive);</w:t>
      </w:r>
      <w:r>
        <w:rPr>
          <w:spacing w:val="-3"/>
        </w:rPr>
        <w:t> </w:t>
      </w:r>
      <w:r>
        <w:rPr/>
        <w:t>Second</w:t>
      </w:r>
      <w:r>
        <w:rPr>
          <w:spacing w:val="-3"/>
        </w:rPr>
        <w:t> </w:t>
      </w:r>
      <w:r>
        <w:rPr/>
        <w:t>Council</w:t>
      </w:r>
      <w:r>
        <w:rPr>
          <w:spacing w:val="-3"/>
        </w:rPr>
        <w:t> </w:t>
      </w:r>
      <w:r>
        <w:rPr/>
        <w:t>Directive</w:t>
      </w:r>
      <w:r>
        <w:rPr>
          <w:spacing w:val="-3"/>
        </w:rPr>
        <w:t> </w:t>
      </w:r>
      <w:r>
        <w:rPr/>
        <w:t>on</w:t>
      </w:r>
      <w:r>
        <w:rPr>
          <w:spacing w:val="-3"/>
        </w:rPr>
        <w:t> </w:t>
      </w:r>
      <w:r>
        <w:rPr/>
        <w:t>the</w:t>
      </w:r>
      <w:r>
        <w:rPr>
          <w:spacing w:val="-3"/>
        </w:rPr>
        <w:t> </w:t>
      </w:r>
      <w:r>
        <w:rPr/>
        <w:t>co-ordination</w:t>
      </w:r>
      <w:r>
        <w:rPr>
          <w:spacing w:val="-3"/>
        </w:rPr>
        <w:t> </w:t>
      </w:r>
      <w:r>
        <w:rPr/>
        <w:t>of</w:t>
      </w:r>
      <w:r>
        <w:rPr>
          <w:spacing w:val="-3"/>
        </w:rPr>
        <w:t> </w:t>
      </w:r>
      <w:r>
        <w:rPr/>
        <w:t>laws,</w:t>
      </w:r>
      <w:r>
        <w:rPr>
          <w:spacing w:val="-3"/>
        </w:rPr>
        <w:t> </w:t>
      </w:r>
      <w:r>
        <w:rPr/>
        <w:t>regulations</w:t>
      </w:r>
      <w:r>
        <w:rPr>
          <w:spacing w:val="-3"/>
        </w:rPr>
        <w:t> </w:t>
      </w:r>
      <w:r>
        <w:rPr/>
        <w:t>and</w:t>
      </w:r>
      <w:r>
        <w:rPr>
          <w:spacing w:val="-3"/>
        </w:rPr>
        <w:t> </w:t>
      </w:r>
      <w:r>
        <w:rPr/>
        <w:t>administrative provisions relating to direct life assurance, laying down provisions to facilitate the effective exercise of freedom to provide services [1990] O.J. L330/50, amending the First Council Directive</w:t>
      </w:r>
      <w:r>
        <w:rPr>
          <w:spacing w:val="-1"/>
        </w:rPr>
        <w:t> </w:t>
      </w:r>
      <w:r>
        <w:rPr/>
        <w:t>[1979]</w:t>
      </w:r>
      <w:r>
        <w:rPr>
          <w:spacing w:val="-1"/>
        </w:rPr>
        <w:t> </w:t>
      </w:r>
      <w:r>
        <w:rPr/>
        <w:t>O.J.</w:t>
      </w:r>
      <w:r>
        <w:rPr>
          <w:spacing w:val="-1"/>
        </w:rPr>
        <w:t> </w:t>
      </w:r>
      <w:r>
        <w:rPr/>
        <w:t>L63/1</w:t>
      </w:r>
      <w:r>
        <w:rPr>
          <w:spacing w:val="-1"/>
        </w:rPr>
        <w:t> </w:t>
      </w:r>
      <w:r>
        <w:rPr/>
        <w:t>(the</w:t>
      </w:r>
      <w:r>
        <w:rPr>
          <w:spacing w:val="-1"/>
        </w:rPr>
        <w:t> </w:t>
      </w:r>
      <w:r>
        <w:rPr/>
        <w:t>Second</w:t>
      </w:r>
      <w:r>
        <w:rPr>
          <w:spacing w:val="-1"/>
        </w:rPr>
        <w:t> </w:t>
      </w:r>
      <w:r>
        <w:rPr/>
        <w:t>Life</w:t>
      </w:r>
      <w:r>
        <w:rPr>
          <w:spacing w:val="-1"/>
        </w:rPr>
        <w:t> </w:t>
      </w:r>
      <w:r>
        <w:rPr/>
        <w:t>Insurance</w:t>
      </w:r>
      <w:r>
        <w:rPr>
          <w:spacing w:val="-1"/>
        </w:rPr>
        <w:t> </w:t>
      </w:r>
      <w:r>
        <w:rPr/>
        <w:t>Directive);</w:t>
      </w:r>
      <w:r>
        <w:rPr>
          <w:spacing w:val="-1"/>
        </w:rPr>
        <w:t> </w:t>
      </w:r>
      <w:r>
        <w:rPr/>
        <w:t>Third</w:t>
      </w:r>
      <w:r>
        <w:rPr>
          <w:spacing w:val="-1"/>
        </w:rPr>
        <w:t> </w:t>
      </w:r>
      <w:r>
        <w:rPr/>
        <w:t>Council</w:t>
      </w:r>
      <w:r>
        <w:rPr>
          <w:spacing w:val="-1"/>
        </w:rPr>
        <w:t> </w:t>
      </w:r>
      <w:r>
        <w:rPr/>
        <w:t>Directive</w:t>
      </w:r>
      <w:r>
        <w:rPr>
          <w:spacing w:val="-1"/>
        </w:rPr>
        <w:t> </w:t>
      </w:r>
      <w:r>
        <w:rPr/>
        <w:t>on</w:t>
      </w:r>
      <w:r>
        <w:rPr>
          <w:spacing w:val="-1"/>
        </w:rPr>
        <w:t> </w:t>
      </w:r>
      <w:r>
        <w:rPr/>
        <w:t>the co-ordination of laws, regulations and administrative provisions relating to direct life assurance [1992] O.J. L360/1, amending the First Council Directive and the Second Life Directive (the Third Life Directive). The choice of law rules are to be found respectively in art.7 of the Second Non-Life Insurance Directive, as amended by art.24 of the Third Non-Life Directive, and art.4 of the Second Life Insurance Directive. The Directives concerned with life insurance have been “recast” and amended in Directive 2002/83 [2002] O.J. L345/1. See SI 2004/3379. The choice</w:t>
      </w:r>
      <w:r>
        <w:rPr>
          <w:spacing w:val="40"/>
        </w:rPr>
        <w:t> </w:t>
      </w:r>
      <w:r>
        <w:rPr/>
        <w:t>of law rules contained in art.32 of this Directive are the same as those which are already applicable. All of these earlier Directives will be repealed by Directive 2009/138/EC of the European Parliament and of the Council of November 25, 2009 on the taking-up and pursuit of the business of Insurance and Reinsurance (Solvency II) (recast). The Solvency II Directive came into force on January 1, 2016. The UK has implemented the Directive through the Solvency 2 Regulations 2015 (SI 2015/575) making only minor changes to the pre-existing statutory instruments.</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1"/>
      </w:pPr>
    </w:p>
    <w:p>
      <w:pPr>
        <w:pStyle w:val="BodyText"/>
        <w:spacing w:line="235" w:lineRule="auto"/>
        <w:ind w:left="705" w:right="167" w:hanging="541"/>
        <w:jc w:val="both"/>
      </w:pPr>
      <w:bookmarkStart w:name="_bookmark405" w:id="407"/>
      <w:bookmarkEnd w:id="407"/>
      <w:r>
        <w:rPr/>
      </w:r>
      <w:hyperlink w:history="true" w:anchor="_bookmark325">
        <w:r>
          <w:rPr>
            <w:color w:val="005DA1"/>
            <w:position w:val="5"/>
            <w:sz w:val="14"/>
            <w:u w:val="single" w:color="005DA1"/>
          </w:rPr>
          <w:t>214</w:t>
        </w:r>
      </w:hyperlink>
      <w:r>
        <w:rPr>
          <w:position w:val="5"/>
          <w:sz w:val="14"/>
        </w:rPr>
        <w:t>.</w:t>
      </w:r>
      <w:r>
        <w:rPr>
          <w:spacing w:val="80"/>
          <w:position w:val="5"/>
          <w:sz w:val="14"/>
        </w:rPr>
        <w:t> </w:t>
      </w:r>
      <w:r>
        <w:rPr/>
        <w:t>The choice of law rules contained in the directives are, with effect from December 1, </w:t>
      </w:r>
      <w:r>
        <w:rPr/>
        <w:t>2001, implemented in the Financial Services and Markets Act 2000 (Law Applicable to Contracts of Insurance) Regulations 2001 (SI 2001/2635), as amended by SI 2001/3452. The Regulations apply to determine the law applicable to a contract of Insurance covering a risk situated in an EEA Member State: see in addition to the Regulations EEA Agreement (Agreement on the European Economic Area signed at Oporto on May 2, 1992 as adjusted by the Protocol signed at Brussels on March 17, 1993); European Economic Area Act 1993. The Directives were originally implemented in regulations amending the Insurance Companies Act 1982 which was repealed by the Financial Services and Markets Act 2000.</w:t>
      </w:r>
    </w:p>
    <w:p>
      <w:pPr>
        <w:pStyle w:val="BodyText"/>
        <w:spacing w:before="2"/>
      </w:pPr>
    </w:p>
    <w:p>
      <w:pPr>
        <w:pStyle w:val="BodyText"/>
        <w:tabs>
          <w:tab w:pos="705" w:val="left" w:leader="none"/>
        </w:tabs>
        <w:spacing w:before="1"/>
        <w:ind w:left="165"/>
      </w:pPr>
      <w:bookmarkStart w:name="_bookmark406" w:id="408"/>
      <w:bookmarkEnd w:id="408"/>
      <w:r>
        <w:rPr/>
      </w:r>
      <w:hyperlink w:history="true" w:anchor="_bookmark326">
        <w:r>
          <w:rPr>
            <w:color w:val="005DA1"/>
            <w:spacing w:val="-4"/>
            <w:position w:val="5"/>
            <w:sz w:val="14"/>
            <w:u w:val="single" w:color="005DA1"/>
          </w:rPr>
          <w:t>215</w:t>
        </w:r>
      </w:hyperlink>
      <w:r>
        <w:rPr>
          <w:spacing w:val="-4"/>
          <w:position w:val="5"/>
          <w:sz w:val="14"/>
        </w:rPr>
        <w:t>.</w:t>
      </w:r>
      <w:r>
        <w:rPr>
          <w:position w:val="5"/>
          <w:sz w:val="14"/>
        </w:rPr>
        <w:tab/>
      </w:r>
      <w:r>
        <w:rPr/>
        <w:t>Dicey, Morris and Collins, r.215, paras 33–159 et seq., r.216, paras 33–190 et </w:t>
      </w:r>
      <w:r>
        <w:rPr>
          <w:spacing w:val="-4"/>
        </w:rPr>
        <w:t>seq.</w:t>
      </w:r>
    </w:p>
    <w:p>
      <w:pPr>
        <w:pStyle w:val="BodyText"/>
        <w:spacing w:before="5"/>
      </w:pPr>
    </w:p>
    <w:p>
      <w:pPr>
        <w:pStyle w:val="BodyText"/>
        <w:tabs>
          <w:tab w:pos="705" w:val="left" w:leader="none"/>
        </w:tabs>
        <w:ind w:left="165"/>
      </w:pPr>
      <w:bookmarkStart w:name="_bookmark407" w:id="409"/>
      <w:bookmarkEnd w:id="409"/>
      <w:r>
        <w:rPr/>
      </w:r>
      <w:hyperlink w:history="true" w:anchor="_bookmark327">
        <w:r>
          <w:rPr>
            <w:color w:val="005DA1"/>
            <w:spacing w:val="-4"/>
            <w:position w:val="5"/>
            <w:sz w:val="14"/>
            <w:u w:val="single" w:color="005DA1"/>
          </w:rPr>
          <w:t>216</w:t>
        </w:r>
      </w:hyperlink>
      <w:r>
        <w:rPr>
          <w:spacing w:val="-4"/>
          <w:position w:val="5"/>
          <w:sz w:val="14"/>
        </w:rPr>
        <w:t>.</w:t>
      </w:r>
      <w:r>
        <w:rPr>
          <w:position w:val="5"/>
          <w:sz w:val="14"/>
        </w:rPr>
        <w:tab/>
      </w:r>
      <w:r>
        <w:rPr/>
        <w:t>This excludes rules of private international law: Giuliano-Lagarde Report, </w:t>
      </w:r>
      <w:r>
        <w:rPr>
          <w:spacing w:val="-2"/>
        </w:rPr>
        <w:t>p.13.</w:t>
      </w:r>
    </w:p>
    <w:p>
      <w:pPr>
        <w:pStyle w:val="BodyText"/>
        <w:spacing w:before="5"/>
      </w:pPr>
    </w:p>
    <w:p>
      <w:pPr>
        <w:tabs>
          <w:tab w:pos="705" w:val="left" w:leader="none"/>
        </w:tabs>
        <w:spacing w:before="0"/>
        <w:ind w:left="165" w:right="0" w:firstLine="0"/>
        <w:jc w:val="left"/>
        <w:rPr>
          <w:sz w:val="20"/>
        </w:rPr>
      </w:pPr>
      <w:bookmarkStart w:name="_bookmark408" w:id="410"/>
      <w:bookmarkEnd w:id="410"/>
      <w:r>
        <w:rPr/>
      </w:r>
      <w:hyperlink w:history="true" w:anchor="_bookmark328">
        <w:r>
          <w:rPr>
            <w:color w:val="005DA1"/>
            <w:spacing w:val="-4"/>
            <w:position w:val="5"/>
            <w:sz w:val="14"/>
            <w:u w:val="single" w:color="005DA1"/>
          </w:rPr>
          <w:t>217</w:t>
        </w:r>
      </w:hyperlink>
      <w:r>
        <w:rPr>
          <w:spacing w:val="-4"/>
          <w:position w:val="5"/>
          <w:sz w:val="14"/>
        </w:rPr>
        <w:t>.</w:t>
      </w:r>
      <w:r>
        <w:rPr>
          <w:position w:val="5"/>
          <w:sz w:val="14"/>
        </w:rPr>
        <w:tab/>
      </w:r>
      <w:r>
        <w:rPr>
          <w:sz w:val="20"/>
        </w:rPr>
        <w:t>See above, </w:t>
      </w:r>
      <w:r>
        <w:rPr>
          <w:spacing w:val="-2"/>
          <w:sz w:val="20"/>
        </w:rPr>
        <w:t>n.215.</w:t>
      </w:r>
    </w:p>
    <w:p>
      <w:pPr>
        <w:pStyle w:val="BodyText"/>
        <w:spacing w:before="5"/>
      </w:pPr>
    </w:p>
    <w:p>
      <w:pPr>
        <w:pStyle w:val="BodyText"/>
        <w:tabs>
          <w:tab w:pos="705" w:val="left" w:leader="none"/>
        </w:tabs>
        <w:ind w:left="165"/>
      </w:pPr>
      <w:bookmarkStart w:name="_bookmark409" w:id="411"/>
      <w:bookmarkEnd w:id="411"/>
      <w:r>
        <w:rPr/>
      </w:r>
      <w:hyperlink w:history="true" w:anchor="_bookmark329">
        <w:r>
          <w:rPr>
            <w:color w:val="005DA1"/>
            <w:spacing w:val="-4"/>
            <w:position w:val="5"/>
            <w:sz w:val="14"/>
            <w:u w:val="single" w:color="005DA1"/>
          </w:rPr>
          <w:t>218</w:t>
        </w:r>
      </w:hyperlink>
      <w:r>
        <w:rPr>
          <w:spacing w:val="-4"/>
          <w:position w:val="5"/>
          <w:sz w:val="14"/>
        </w:rPr>
        <w:t>.</w:t>
      </w:r>
      <w:r>
        <w:rPr>
          <w:position w:val="5"/>
          <w:sz w:val="14"/>
        </w:rPr>
        <w:tab/>
      </w:r>
      <w:r>
        <w:rPr/>
        <w:t>SI 2001/2635, as amended by SI 2001/3542: above, </w:t>
      </w:r>
      <w:r>
        <w:rPr>
          <w:spacing w:val="-2"/>
        </w:rPr>
        <w:t>n.215.</w:t>
      </w:r>
    </w:p>
    <w:p>
      <w:pPr>
        <w:pStyle w:val="BodyText"/>
        <w:spacing w:after="0"/>
        <w:sectPr>
          <w:type w:val="continuous"/>
          <w:pgSz w:w="11900" w:h="16840"/>
          <w:pgMar w:header="971" w:footer="0" w:top="1300" w:bottom="280" w:left="1275" w:right="1275"/>
        </w:sectPr>
      </w:pPr>
    </w:p>
    <w:p>
      <w:pPr>
        <w:pStyle w:val="BodyText"/>
        <w:spacing w:line="235" w:lineRule="auto" w:before="170"/>
        <w:ind w:left="705" w:right="167" w:hanging="541"/>
        <w:jc w:val="both"/>
      </w:pPr>
      <w:hyperlink w:history="true" w:anchor="_bookmark330">
        <w:r>
          <w:rPr>
            <w:color w:val="005DA1"/>
            <w:position w:val="5"/>
            <w:sz w:val="14"/>
            <w:u w:val="single" w:color="005DA1"/>
          </w:rPr>
          <w:t>219</w:t>
        </w:r>
      </w:hyperlink>
      <w:r>
        <w:rPr>
          <w:position w:val="5"/>
          <w:sz w:val="14"/>
        </w:rPr>
        <w:t>.</w:t>
      </w:r>
      <w:r>
        <w:rPr>
          <w:spacing w:val="80"/>
          <w:position w:val="5"/>
          <w:sz w:val="14"/>
        </w:rPr>
        <w:t> </w:t>
      </w:r>
      <w:r>
        <w:rPr/>
        <w:t>Contracts</w:t>
      </w:r>
      <w:r>
        <w:rPr>
          <w:spacing w:val="40"/>
        </w:rPr>
        <w:t> </w:t>
      </w:r>
      <w:r>
        <w:rPr/>
        <w:t>(Applicable</w:t>
      </w:r>
      <w:r>
        <w:rPr>
          <w:spacing w:val="40"/>
        </w:rPr>
        <w:t> </w:t>
      </w:r>
      <w:r>
        <w:rPr/>
        <w:t>Law)</w:t>
      </w:r>
      <w:r>
        <w:rPr>
          <w:spacing w:val="40"/>
        </w:rPr>
        <w:t> </w:t>
      </w:r>
      <w:r>
        <w:rPr/>
        <w:t>Act</w:t>
      </w:r>
      <w:r>
        <w:rPr>
          <w:spacing w:val="40"/>
        </w:rPr>
        <w:t> </w:t>
      </w:r>
      <w:r>
        <w:rPr/>
        <w:t>1990</w:t>
      </w:r>
      <w:r>
        <w:rPr>
          <w:spacing w:val="40"/>
        </w:rPr>
        <w:t> </w:t>
      </w:r>
      <w:r>
        <w:rPr/>
        <w:t>s.2(1)(a),</w:t>
      </w:r>
      <w:r>
        <w:rPr>
          <w:spacing w:val="40"/>
        </w:rPr>
        <w:t> </w:t>
      </w:r>
      <w:r>
        <w:rPr/>
        <w:t>as</w:t>
      </w:r>
      <w:r>
        <w:rPr>
          <w:spacing w:val="40"/>
        </w:rPr>
        <w:t> </w:t>
      </w:r>
      <w:r>
        <w:rPr/>
        <w:t>substituted</w:t>
      </w:r>
      <w:r>
        <w:rPr>
          <w:spacing w:val="40"/>
        </w:rPr>
        <w:t> </w:t>
      </w:r>
      <w:r>
        <w:rPr/>
        <w:t>by</w:t>
      </w:r>
      <w:r>
        <w:rPr>
          <w:spacing w:val="40"/>
        </w:rPr>
        <w:t> </w:t>
      </w:r>
      <w:r>
        <w:rPr/>
        <w:t>SI</w:t>
      </w:r>
      <w:r>
        <w:rPr>
          <w:spacing w:val="40"/>
        </w:rPr>
        <w:t> </w:t>
      </w:r>
      <w:r>
        <w:rPr/>
        <w:t>2001/3649</w:t>
      </w:r>
      <w:r>
        <w:rPr>
          <w:spacing w:val="40"/>
        </w:rPr>
        <w:t> </w:t>
      </w:r>
      <w:r>
        <w:rPr/>
        <w:t>art.320. According to the Financial Services and Markets Act 2000 (Law Applicable to Contracts of Insurance) Regulations 2001 (hereafter “the Regulations”) where the contract relates </w:t>
      </w:r>
      <w:r>
        <w:rPr/>
        <w:t>to buildings or their contents (in so far as the contents are covered by the same policy) the risk covered by the contract is situated in the EEA state in which the property is situated:</w:t>
      </w:r>
      <w:r>
        <w:rPr>
          <w:spacing w:val="40"/>
        </w:rPr>
        <w:t> </w:t>
      </w:r>
      <w:r>
        <w:rPr/>
        <w:t>reg.2(2)(a). If the contract relates to vehicles of any type, the relevant EEA state is that of the registration of the vehicle: reg.2(2)(b). Where the contract covers travel or holiday risks and has a duration of four months or less, the relevant EEA state is that in which the policyholder entered into the contract: reg.2(2)(c). In any other case, if the policyholder is an individual, the EEA state where the risk covered by the contract is situated is that in which the policyholder resides on the date the contract is entered into (reg.2(2)(d)(i)) and the state in which an individual resides for these purposes is to be treated as being the country in which he has his habitual residence (reg.2(3)(a)). If the policyholder is not an individual the relevant EEA state is that in which the establishment (defined in reg.2(1)) of the policyholder too which the contract relates is situated on the date the contract is entered into: reg.2(2)(d)(ii). The scope of the choice of law rules for life insurance is defined by reference to these last two grounds. If the policyholder is an individual, the choice of law rules contained in the Regulations will apply if</w:t>
      </w:r>
      <w:r>
        <w:rPr>
          <w:spacing w:val="40"/>
        </w:rPr>
        <w:t> </w:t>
      </w:r>
      <w:r>
        <w:rPr/>
        <w:t>that individual is habitually resident in an EEA state: regs 2(1) and 2(2)(a). If the policyholder is, for</w:t>
      </w:r>
      <w:r>
        <w:rPr>
          <w:spacing w:val="-1"/>
        </w:rPr>
        <w:t> </w:t>
      </w:r>
      <w:r>
        <w:rPr/>
        <w:t>example,</w:t>
      </w:r>
      <w:r>
        <w:rPr>
          <w:spacing w:val="-1"/>
        </w:rPr>
        <w:t> </w:t>
      </w:r>
      <w:r>
        <w:rPr/>
        <w:t>a</w:t>
      </w:r>
      <w:r>
        <w:rPr>
          <w:spacing w:val="-1"/>
        </w:rPr>
        <w:t> </w:t>
      </w:r>
      <w:r>
        <w:rPr/>
        <w:t>company</w:t>
      </w:r>
      <w:r>
        <w:rPr>
          <w:spacing w:val="-1"/>
        </w:rPr>
        <w:t> </w:t>
      </w:r>
      <w:r>
        <w:rPr/>
        <w:t>insuring</w:t>
      </w:r>
      <w:r>
        <w:rPr>
          <w:spacing w:val="-1"/>
        </w:rPr>
        <w:t> </w:t>
      </w:r>
      <w:r>
        <w:rPr/>
        <w:t>the</w:t>
      </w:r>
      <w:r>
        <w:rPr>
          <w:spacing w:val="-1"/>
        </w:rPr>
        <w:t> </w:t>
      </w:r>
      <w:r>
        <w:rPr/>
        <w:t>lives</w:t>
      </w:r>
      <w:r>
        <w:rPr>
          <w:spacing w:val="-1"/>
        </w:rPr>
        <w:t> </w:t>
      </w:r>
      <w:r>
        <w:rPr/>
        <w:t>of</w:t>
      </w:r>
      <w:r>
        <w:rPr>
          <w:spacing w:val="-1"/>
        </w:rPr>
        <w:t> </w:t>
      </w:r>
      <w:r>
        <w:rPr/>
        <w:t>an</w:t>
      </w:r>
      <w:r>
        <w:rPr>
          <w:spacing w:val="-1"/>
        </w:rPr>
        <w:t> </w:t>
      </w:r>
      <w:r>
        <w:rPr/>
        <w:t>employee</w:t>
      </w:r>
      <w:r>
        <w:rPr>
          <w:spacing w:val="-1"/>
        </w:rPr>
        <w:t> </w:t>
      </w:r>
      <w:r>
        <w:rPr/>
        <w:t>or</w:t>
      </w:r>
      <w:r>
        <w:rPr>
          <w:spacing w:val="-1"/>
        </w:rPr>
        <w:t> </w:t>
      </w:r>
      <w:r>
        <w:rPr/>
        <w:t>employees,</w:t>
      </w:r>
      <w:r>
        <w:rPr>
          <w:spacing w:val="-1"/>
        </w:rPr>
        <w:t> </w:t>
      </w:r>
      <w:r>
        <w:rPr/>
        <w:t>the</w:t>
      </w:r>
      <w:r>
        <w:rPr>
          <w:spacing w:val="-1"/>
        </w:rPr>
        <w:t> </w:t>
      </w:r>
      <w:r>
        <w:rPr/>
        <w:t>choice</w:t>
      </w:r>
      <w:r>
        <w:rPr>
          <w:spacing w:val="-1"/>
        </w:rPr>
        <w:t> </w:t>
      </w:r>
      <w:r>
        <w:rPr/>
        <w:t>of</w:t>
      </w:r>
      <w:r>
        <w:rPr>
          <w:spacing w:val="-1"/>
        </w:rPr>
        <w:t> </w:t>
      </w:r>
      <w:r>
        <w:rPr/>
        <w:t>law</w:t>
      </w:r>
      <w:r>
        <w:rPr>
          <w:spacing w:val="-1"/>
        </w:rPr>
        <w:t> </w:t>
      </w:r>
      <w:r>
        <w:rPr/>
        <w:t>rules contained in the Regulations will apply if the establishment at which the employee is, or employees are, employed is situated in an EEA state: reg.2(1). For discussion, see Dicey, Morris and Collins, paras 33–144—33–146.</w:t>
      </w:r>
    </w:p>
    <w:p>
      <w:pPr>
        <w:pStyle w:val="BodyText"/>
        <w:spacing w:before="185"/>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position w:val="11"/>
          <w:sz w:val="12"/>
        </w:rPr>
      </w:pPr>
      <w:r>
        <w:rPr>
          <w:rFonts w:ascii="Arial"/>
          <w:b/>
          <w:sz w:val="24"/>
        </w:rPr>
        <w:t>Section 3. - The Rome Convention </w:t>
      </w:r>
      <w:r>
        <w:rPr>
          <w:rFonts w:ascii="Arial"/>
          <w:b/>
          <w:color w:val="005DA1"/>
          <w:spacing w:val="-5"/>
          <w:position w:val="11"/>
          <w:sz w:val="12"/>
          <w:u w:val="single" w:color="005DA1"/>
        </w:rPr>
        <w:t>96</w:t>
      </w:r>
    </w:p>
    <w:p>
      <w:pPr>
        <w:pStyle w:val="ListParagraph"/>
        <w:numPr>
          <w:ilvl w:val="0"/>
          <w:numId w:val="1"/>
        </w:numPr>
        <w:tabs>
          <w:tab w:pos="3011" w:val="left" w:leader="none"/>
        </w:tabs>
        <w:spacing w:line="240" w:lineRule="auto" w:before="194" w:after="0"/>
        <w:ind w:left="3011" w:right="0" w:hanging="360"/>
        <w:jc w:val="left"/>
        <w:rPr>
          <w:b/>
          <w:position w:val="11"/>
          <w:sz w:val="12"/>
        </w:rPr>
      </w:pPr>
      <w:bookmarkStart w:name="_bookmark410" w:id="412"/>
      <w:bookmarkEnd w:id="412"/>
      <w:r>
        <w:rPr/>
      </w:r>
      <w:r>
        <w:rPr>
          <w:b/>
          <w:sz w:val="24"/>
        </w:rPr>
        <w:t>- Choice of Law by the Parties</w:t>
      </w:r>
      <w:r>
        <w:rPr>
          <w:b/>
          <w:spacing w:val="-1"/>
          <w:sz w:val="24"/>
        </w:rPr>
        <w:t> </w:t>
      </w:r>
      <w:r>
        <w:rPr>
          <w:b/>
          <w:color w:val="005DA1"/>
          <w:spacing w:val="-5"/>
          <w:position w:val="11"/>
          <w:sz w:val="12"/>
          <w:u w:val="single" w:color="005DA1"/>
        </w:rPr>
        <w:t>220</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The general </w:t>
      </w:r>
      <w:r>
        <w:rPr>
          <w:rFonts w:ascii="Arial"/>
          <w:b/>
          <w:spacing w:val="-2"/>
          <w:sz w:val="18"/>
        </w:rPr>
        <w:t>principle</w:t>
      </w:r>
    </w:p>
    <w:p>
      <w:pPr>
        <w:pStyle w:val="BodyText"/>
        <w:spacing w:before="42"/>
        <w:rPr>
          <w:rFonts w:ascii="Arial"/>
          <w:b/>
          <w:sz w:val="18"/>
        </w:rPr>
      </w:pPr>
    </w:p>
    <w:p>
      <w:pPr>
        <w:pStyle w:val="Heading2"/>
      </w:pPr>
      <w:r>
        <w:rPr/>
        <w:t>30-</w:t>
      </w:r>
      <w:r>
        <w:rPr>
          <w:spacing w:val="-5"/>
        </w:rPr>
        <w:t>046</w:t>
      </w:r>
    </w:p>
    <w:p>
      <w:pPr>
        <w:pStyle w:val="BodyText"/>
        <w:spacing w:line="235" w:lineRule="auto" w:before="202"/>
        <w:ind w:left="164" w:right="167"/>
        <w:jc w:val="both"/>
      </w:pPr>
      <w:r>
        <w:rPr/>
        <w:t>The opening sentence of art.3(1) of the Rome Convention provides that a “contract shall be </w:t>
      </w:r>
      <w:r>
        <w:rPr/>
        <w:t>governed </w:t>
      </w:r>
      <w:bookmarkStart w:name="_bookmark411" w:id="413"/>
      <w:bookmarkEnd w:id="413"/>
      <w:r>
        <w:rPr/>
        <w:t>by</w:t>
      </w:r>
      <w:r>
        <w:rPr/>
        <w:t> the law chosen by the parties”. The clear intent of this provision is to legitimise, for the purposes of the Convention, the principle of party autonomy. </w:t>
      </w:r>
      <w:r>
        <w:rPr>
          <w:color w:val="005DA1"/>
          <w:u w:val="single" w:color="005DA1"/>
          <w:vertAlign w:val="superscript"/>
        </w:rPr>
        <w:t>221</w:t>
      </w:r>
      <w:r>
        <w:rPr>
          <w:color w:val="005DA1"/>
          <w:vertAlign w:val="baseline"/>
        </w:rPr>
        <w:t> </w:t>
      </w:r>
      <w:r>
        <w:rPr>
          <w:vertAlign w:val="baseline"/>
        </w:rPr>
        <w:t>Its effect is that the law chosen by the parties will </w:t>
      </w:r>
      <w:bookmarkStart w:name="_bookmark412" w:id="414"/>
      <w:bookmarkEnd w:id="414"/>
      <w:r>
        <w:rPr>
          <w:vertAlign w:val="baseline"/>
        </w:rPr>
        <w:t>govern</w:t>
      </w:r>
      <w:r>
        <w:rPr>
          <w:vertAlign w:val="baseline"/>
        </w:rPr>
        <w:t> the contract except to the extent that the power to choose is limited or restricted by other provisions of the Convention. </w:t>
      </w:r>
      <w:r>
        <w:rPr>
          <w:color w:val="005DA1"/>
          <w:u w:val="single" w:color="005DA1"/>
          <w:vertAlign w:val="superscript"/>
        </w:rPr>
        <w:t>222</w:t>
      </w:r>
    </w:p>
    <w:p>
      <w:pPr>
        <w:pStyle w:val="BodyText"/>
      </w:pPr>
    </w:p>
    <w:p>
      <w:pPr>
        <w:pStyle w:val="BodyText"/>
        <w:spacing w:before="37"/>
      </w:pPr>
    </w:p>
    <w:p>
      <w:pPr>
        <w:spacing w:before="0"/>
        <w:ind w:left="165" w:right="0" w:firstLine="0"/>
        <w:jc w:val="left"/>
        <w:rPr>
          <w:rFonts w:ascii="Arial"/>
          <w:b/>
          <w:sz w:val="18"/>
        </w:rPr>
      </w:pPr>
      <w:r>
        <w:rPr>
          <w:rFonts w:ascii="Arial"/>
          <w:b/>
          <w:sz w:val="18"/>
        </w:rPr>
        <w:t>Choice must be of law of a </w:t>
      </w:r>
      <w:r>
        <w:rPr>
          <w:rFonts w:ascii="Arial"/>
          <w:b/>
          <w:spacing w:val="-2"/>
          <w:sz w:val="18"/>
        </w:rPr>
        <w:t>country</w:t>
      </w:r>
    </w:p>
    <w:p>
      <w:pPr>
        <w:pStyle w:val="BodyText"/>
        <w:spacing w:before="41"/>
        <w:rPr>
          <w:rFonts w:ascii="Arial"/>
          <w:b/>
          <w:sz w:val="18"/>
        </w:rPr>
      </w:pPr>
    </w:p>
    <w:p>
      <w:pPr>
        <w:pStyle w:val="Heading2"/>
      </w:pPr>
      <w:r>
        <w:rPr/>
        <w:t>30-</w:t>
      </w:r>
      <w:r>
        <w:rPr>
          <w:spacing w:val="-5"/>
        </w:rPr>
        <w:t>047</w:t>
      </w:r>
    </w:p>
    <w:p>
      <w:pPr>
        <w:pStyle w:val="BodyText"/>
        <w:spacing w:line="235" w:lineRule="auto" w:before="203"/>
        <w:ind w:left="165" w:right="167"/>
        <w:jc w:val="both"/>
      </w:pPr>
      <w:bookmarkStart w:name="_bookmark413" w:id="415"/>
      <w:bookmarkEnd w:id="415"/>
      <w:r>
        <w:rPr/>
      </w:r>
      <w:r>
        <w:rPr/>
        <w:t>By way of introduction, it would first seem that parties may only choose a law of a country to </w:t>
      </w:r>
      <w:r>
        <w:rPr/>
        <w:t>govern </w:t>
      </w:r>
      <w:bookmarkStart w:name="_bookmark414" w:id="416"/>
      <w:bookmarkEnd w:id="416"/>
      <w:r>
        <w:rPr/>
        <w:t>the</w:t>
      </w:r>
      <w:r>
        <w:rPr/>
        <w:t> contract. This appears to follow from the terms of art.1(1) of the Convention. </w:t>
      </w:r>
      <w:r>
        <w:rPr>
          <w:color w:val="005DA1"/>
          <w:u w:val="single" w:color="005DA1"/>
          <w:vertAlign w:val="superscript"/>
        </w:rPr>
        <w:t>223</w:t>
      </w:r>
      <w:r>
        <w:rPr>
          <w:color w:val="005DA1"/>
          <w:vertAlign w:val="baseline"/>
        </w:rPr>
        <w:t> </w:t>
      </w:r>
      <w:r>
        <w:rPr>
          <w:vertAlign w:val="baseline"/>
        </w:rPr>
        <w:t>Thus a choice of the principles of Sharia law will not be the choice of the law of a country. </w:t>
      </w:r>
      <w:r>
        <w:rPr>
          <w:color w:val="005DA1"/>
          <w:u w:val="single" w:color="005DA1"/>
          <w:vertAlign w:val="superscript"/>
        </w:rPr>
        <w:t>224</w:t>
      </w:r>
      <w:r>
        <w:rPr>
          <w:color w:val="005DA1"/>
          <w:vertAlign w:val="baseline"/>
        </w:rPr>
        <w:t> </w:t>
      </w:r>
      <w:r>
        <w:rPr>
          <w:vertAlign w:val="baseline"/>
        </w:rPr>
        <w:t>Similarly, if the parties </w:t>
      </w:r>
      <w:bookmarkStart w:name="_bookmark415" w:id="417"/>
      <w:bookmarkEnd w:id="417"/>
      <w:r>
        <w:rPr>
          <w:vertAlign w:val="baseline"/>
        </w:rPr>
        <w:t>stipulate</w:t>
      </w:r>
      <w:r>
        <w:rPr>
          <w:vertAlign w:val="baseline"/>
        </w:rPr>
        <w:t> that the contract shall be governed by “general principles of law”, or by “its own terms” or by the “lex mercatoria”, such clauses will not amount to a choice of law. </w:t>
      </w:r>
      <w:r>
        <w:rPr>
          <w:color w:val="005DA1"/>
          <w:u w:val="single" w:color="005DA1"/>
          <w:vertAlign w:val="superscript"/>
        </w:rPr>
        <w:t>225</w:t>
      </w:r>
      <w:r>
        <w:rPr>
          <w:color w:val="005DA1"/>
          <w:vertAlign w:val="baseline"/>
        </w:rPr>
        <w:t> </w:t>
      </w:r>
      <w:r>
        <w:rPr>
          <w:vertAlign w:val="baseline"/>
        </w:rPr>
        <w:t>In such cases, the applicable </w:t>
      </w:r>
      <w:bookmarkStart w:name="_bookmark416" w:id="418"/>
      <w:bookmarkEnd w:id="418"/>
      <w:r>
        <w:rPr>
          <w:vertAlign w:val="baseline"/>
        </w:rPr>
        <w:t>law</w:t>
      </w:r>
      <w:r>
        <w:rPr>
          <w:vertAlign w:val="baseline"/>
        </w:rPr>
        <w:t> will have to be determined as if the parties had made no choice of law, i.e. according to art.4 of </w:t>
      </w:r>
      <w:bookmarkStart w:name="_bookmark417" w:id="419"/>
      <w:bookmarkEnd w:id="419"/>
      <w:r>
        <w:rPr>
          <w:vertAlign w:val="baseline"/>
        </w:rPr>
        <w:t>the</w:t>
      </w:r>
      <w:r>
        <w:rPr>
          <w:vertAlign w:val="baseline"/>
        </w:rPr>
        <w:t> Convention </w:t>
      </w:r>
      <w:r>
        <w:rPr>
          <w:color w:val="005DA1"/>
          <w:u w:val="single" w:color="005DA1"/>
          <w:vertAlign w:val="superscript"/>
        </w:rPr>
        <w:t>226</w:t>
      </w:r>
      <w:r>
        <w:rPr>
          <w:vertAlign w:val="baseline"/>
        </w:rPr>
        <w:t>: and it will then be for the applicable law, as so identified, to determine whether a clause of this kind is effective. </w:t>
      </w:r>
      <w:r>
        <w:rPr>
          <w:color w:val="005DA1"/>
          <w:u w:val="single" w:color="005DA1"/>
          <w:vertAlign w:val="superscript"/>
        </w:rPr>
        <w:t>227</w:t>
      </w:r>
    </w:p>
    <w:p>
      <w:pPr>
        <w:pStyle w:val="BodyText"/>
      </w:pPr>
    </w:p>
    <w:p>
      <w:pPr>
        <w:pStyle w:val="BodyText"/>
        <w:spacing w:before="35"/>
      </w:pPr>
    </w:p>
    <w:p>
      <w:pPr>
        <w:spacing w:before="1"/>
        <w:ind w:left="165" w:right="0" w:firstLine="0"/>
        <w:jc w:val="left"/>
        <w:rPr>
          <w:rFonts w:ascii="Arial"/>
          <w:b/>
          <w:sz w:val="18"/>
        </w:rPr>
      </w:pPr>
      <w:r>
        <w:rPr>
          <w:rFonts w:ascii="Arial"/>
          <w:b/>
          <w:sz w:val="18"/>
        </w:rPr>
        <w:t>Law neither pleaded nor </w:t>
      </w:r>
      <w:r>
        <w:rPr>
          <w:rFonts w:ascii="Arial"/>
          <w:b/>
          <w:spacing w:val="-2"/>
          <w:sz w:val="18"/>
        </w:rPr>
        <w:t>proved</w:t>
      </w:r>
    </w:p>
    <w:p>
      <w:pPr>
        <w:pStyle w:val="BodyText"/>
        <w:spacing w:before="41"/>
        <w:rPr>
          <w:rFonts w:ascii="Arial"/>
          <w:b/>
          <w:sz w:val="18"/>
        </w:rPr>
      </w:pPr>
    </w:p>
    <w:p>
      <w:pPr>
        <w:pStyle w:val="Heading2"/>
      </w:pPr>
      <w:r>
        <w:rPr/>
        <w:t>30-</w:t>
      </w:r>
      <w:r>
        <w:rPr>
          <w:spacing w:val="-5"/>
        </w:rPr>
        <w:t>048</w:t>
      </w:r>
    </w:p>
    <w:p>
      <w:pPr>
        <w:pStyle w:val="BodyText"/>
        <w:spacing w:line="235" w:lineRule="auto" w:before="203"/>
        <w:ind w:left="164" w:right="167"/>
        <w:jc w:val="both"/>
      </w:pPr>
      <w:r>
        <w:rPr/>
        <w:t>Secondly, the question arises as to whether a court faced with a contract containing a choice of law is required</w:t>
      </w:r>
      <w:r>
        <w:rPr>
          <w:spacing w:val="-1"/>
        </w:rPr>
        <w:t> </w:t>
      </w:r>
      <w:r>
        <w:rPr/>
        <w:t>to</w:t>
      </w:r>
      <w:r>
        <w:rPr>
          <w:spacing w:val="-1"/>
        </w:rPr>
        <w:t> </w:t>
      </w:r>
      <w:r>
        <w:rPr/>
        <w:t>apply</w:t>
      </w:r>
      <w:r>
        <w:rPr>
          <w:spacing w:val="-1"/>
        </w:rPr>
        <w:t> </w:t>
      </w:r>
      <w:r>
        <w:rPr/>
        <w:t>that</w:t>
      </w:r>
      <w:r>
        <w:rPr>
          <w:spacing w:val="-1"/>
        </w:rPr>
        <w:t> </w:t>
      </w:r>
      <w:r>
        <w:rPr/>
        <w:t>law</w:t>
      </w:r>
      <w:r>
        <w:rPr>
          <w:spacing w:val="-1"/>
        </w:rPr>
        <w:t> </w:t>
      </w:r>
      <w:r>
        <w:rPr/>
        <w:t>if</w:t>
      </w:r>
      <w:r>
        <w:rPr>
          <w:spacing w:val="-1"/>
        </w:rPr>
        <w:t> </w:t>
      </w:r>
      <w:r>
        <w:rPr/>
        <w:t>that</w:t>
      </w:r>
      <w:r>
        <w:rPr>
          <w:spacing w:val="-1"/>
        </w:rPr>
        <w:t> </w:t>
      </w:r>
      <w:r>
        <w:rPr/>
        <w:t>law</w:t>
      </w:r>
      <w:r>
        <w:rPr>
          <w:spacing w:val="-1"/>
        </w:rPr>
        <w:t> </w:t>
      </w:r>
      <w:r>
        <w:rPr/>
        <w:t>is</w:t>
      </w:r>
      <w:r>
        <w:rPr>
          <w:spacing w:val="-1"/>
        </w:rPr>
        <w:t> </w:t>
      </w:r>
      <w:r>
        <w:rPr/>
        <w:t>neither</w:t>
      </w:r>
      <w:r>
        <w:rPr>
          <w:spacing w:val="-1"/>
        </w:rPr>
        <w:t> </w:t>
      </w:r>
      <w:r>
        <w:rPr/>
        <w:t>pleaded</w:t>
      </w:r>
      <w:r>
        <w:rPr>
          <w:spacing w:val="-1"/>
        </w:rPr>
        <w:t> </w:t>
      </w:r>
      <w:r>
        <w:rPr/>
        <w:t>nor</w:t>
      </w:r>
      <w:r>
        <w:rPr>
          <w:spacing w:val="-1"/>
        </w:rPr>
        <w:t> </w:t>
      </w:r>
      <w:r>
        <w:rPr/>
        <w:t>proved</w:t>
      </w:r>
      <w:r>
        <w:rPr>
          <w:spacing w:val="-1"/>
        </w:rPr>
        <w:t> </w:t>
      </w:r>
      <w:r>
        <w:rPr/>
        <w:t>by</w:t>
      </w:r>
      <w:r>
        <w:rPr>
          <w:spacing w:val="-1"/>
        </w:rPr>
        <w:t> </w:t>
      </w:r>
      <w:r>
        <w:rPr/>
        <w:t>either</w:t>
      </w:r>
      <w:r>
        <w:rPr>
          <w:spacing w:val="-1"/>
        </w:rPr>
        <w:t> </w:t>
      </w:r>
      <w:r>
        <w:rPr/>
        <w:t>party.</w:t>
      </w:r>
      <w:r>
        <w:rPr>
          <w:spacing w:val="-1"/>
        </w:rPr>
        <w:t> </w:t>
      </w:r>
      <w:r>
        <w:rPr/>
        <w:t>The</w:t>
      </w:r>
      <w:r>
        <w:rPr>
          <w:spacing w:val="-1"/>
        </w:rPr>
        <w:t> </w:t>
      </w:r>
      <w:r>
        <w:rPr/>
        <w:t>use</w:t>
      </w:r>
      <w:r>
        <w:rPr>
          <w:spacing w:val="-1"/>
        </w:rPr>
        <w:t> </w:t>
      </w:r>
      <w:r>
        <w:rPr/>
        <w:t>of</w:t>
      </w:r>
      <w:r>
        <w:rPr>
          <w:spacing w:val="-1"/>
        </w:rPr>
        <w:t> </w:t>
      </w:r>
      <w:r>
        <w:rPr/>
        <w:t>the</w:t>
      </w:r>
      <w:r>
        <w:rPr>
          <w:spacing w:val="-1"/>
        </w:rPr>
        <w:t> </w:t>
      </w:r>
      <w:r>
        <w:rPr/>
        <w:t>word </w:t>
      </w:r>
      <w:bookmarkStart w:name="_bookmark418" w:id="420"/>
      <w:bookmarkEnd w:id="420"/>
      <w:r>
        <w:rPr/>
        <w:t>“shall”</w:t>
      </w:r>
      <w:r>
        <w:rPr/>
        <w:t> in the first sentence of art.3(1) appears to carry a mandatory connotation. However, </w:t>
      </w:r>
      <w:r>
        <w:rPr/>
        <w:t>the</w:t>
      </w:r>
      <w:r>
        <w:rPr>
          <w:spacing w:val="80"/>
        </w:rPr>
        <w:t> </w:t>
      </w:r>
      <w:bookmarkStart w:name="_bookmark419" w:id="421"/>
      <w:bookmarkEnd w:id="421"/>
      <w:r>
        <w:rPr/>
        <w:t>English</w:t>
      </w:r>
      <w:r>
        <w:rPr/>
        <w:t> rule that foreign law must be pleaded and proved, failing which English law will be applied,</w:t>
      </w:r>
      <w:r>
        <w:rPr>
          <w:spacing w:val="-1"/>
        </w:rPr>
        <w:t> </w:t>
      </w:r>
      <w:r>
        <w:rPr>
          <w:color w:val="005DA1"/>
          <w:u w:val="single" w:color="005DA1"/>
          <w:vertAlign w:val="superscript"/>
        </w:rPr>
        <w:t>228</w:t>
      </w:r>
      <w:r>
        <w:rPr>
          <w:color w:val="005DA1"/>
          <w:vertAlign w:val="baseline"/>
        </w:rPr>
        <w:t> </w:t>
      </w:r>
      <w:r>
        <w:rPr>
          <w:vertAlign w:val="baseline"/>
        </w:rPr>
        <w:t>is a rule of evidence </w:t>
      </w:r>
      <w:r>
        <w:rPr>
          <w:color w:val="005DA1"/>
          <w:u w:val="single" w:color="005DA1"/>
          <w:vertAlign w:val="superscript"/>
        </w:rPr>
        <w:t>229</w:t>
      </w:r>
      <w:r>
        <w:rPr>
          <w:color w:val="005DA1"/>
          <w:vertAlign w:val="baseline"/>
        </w:rPr>
        <w:t> </w:t>
      </w:r>
      <w:r>
        <w:rPr>
          <w:vertAlign w:val="baseline"/>
        </w:rPr>
        <w:t>or procedure </w:t>
      </w:r>
      <w:r>
        <w:rPr>
          <w:color w:val="005DA1"/>
          <w:u w:val="single" w:color="005DA1"/>
          <w:vertAlign w:val="superscript"/>
        </w:rPr>
        <w:t>230</w:t>
      </w:r>
      <w:r>
        <w:rPr>
          <w:color w:val="005DA1"/>
          <w:vertAlign w:val="baseline"/>
        </w:rPr>
        <w:t> </w:t>
      </w:r>
      <w:r>
        <w:rPr>
          <w:vertAlign w:val="baseline"/>
        </w:rPr>
        <w:t>and, as has been pointed out above, </w:t>
      </w:r>
      <w:r>
        <w:rPr>
          <w:color w:val="005DA1"/>
          <w:u w:val="single" w:color="005DA1"/>
          <w:vertAlign w:val="superscript"/>
        </w:rPr>
        <w:t>231</w:t>
      </w:r>
      <w:r>
        <w:rPr>
          <w:color w:val="005DA1"/>
          <w:vertAlign w:val="baseline"/>
        </w:rPr>
        <w:t> </w:t>
      </w:r>
      <w:r>
        <w:rPr>
          <w:vertAlign w:val="baseline"/>
        </w:rPr>
        <w:t>such matters are excluded from the scope of the Convention by art.1(2)(h). It is suggested that the practice of the </w:t>
      </w:r>
      <w:bookmarkStart w:name="_bookmark420" w:id="422"/>
      <w:bookmarkEnd w:id="422"/>
      <w:r>
        <w:rPr>
          <w:vertAlign w:val="baseline"/>
        </w:rPr>
        <w:t>common</w:t>
      </w:r>
      <w:r>
        <w:rPr>
          <w:vertAlign w:val="baseline"/>
        </w:rPr>
        <w:t> law remains unchanged and that the court is not bound to apply a foreign applicable law which is neither pleaded nor proved by the parties. </w:t>
      </w:r>
      <w:r>
        <w:rPr>
          <w:color w:val="005DA1"/>
          <w:u w:val="single" w:color="005DA1"/>
          <w:vertAlign w:val="superscript"/>
        </w:rPr>
        <w:t>232</w:t>
      </w:r>
      <w:r>
        <w:rPr>
          <w:color w:val="005DA1"/>
          <w:vertAlign w:val="baseline"/>
        </w:rPr>
        <w:t> </w:t>
      </w:r>
      <w:r>
        <w:rPr>
          <w:vertAlign w:val="baseline"/>
        </w:rPr>
        <w:t>However, this conclusion cannot be free from </w:t>
      </w:r>
      <w:bookmarkStart w:name="_bookmark421" w:id="423"/>
      <w:bookmarkEnd w:id="423"/>
      <w:r>
        <w:rPr>
          <w:vertAlign w:val="baseline"/>
        </w:rPr>
        <w:t>doubt</w:t>
      </w:r>
      <w:r>
        <w:rPr>
          <w:vertAlign w:val="baseline"/>
        </w:rPr>
        <w:t> in the light of the potential lack of harmony which it might introduce into the application of the Convention amongst the contracting states. </w:t>
      </w:r>
      <w:r>
        <w:rPr>
          <w:color w:val="005DA1"/>
          <w:u w:val="single" w:color="005DA1"/>
          <w:vertAlign w:val="superscript"/>
        </w:rPr>
        <w:t>233</w:t>
      </w:r>
    </w:p>
    <w:p>
      <w:pPr>
        <w:pStyle w:val="BodyText"/>
      </w:pPr>
    </w:p>
    <w:p>
      <w:pPr>
        <w:pStyle w:val="BodyText"/>
        <w:spacing w:before="34"/>
      </w:pPr>
    </w:p>
    <w:p>
      <w:pPr>
        <w:spacing w:before="0"/>
        <w:ind w:left="165" w:right="0" w:firstLine="0"/>
        <w:jc w:val="left"/>
        <w:rPr>
          <w:rFonts w:ascii="Arial" w:hAnsi="Arial"/>
          <w:b/>
          <w:sz w:val="18"/>
        </w:rPr>
      </w:pPr>
      <w:r>
        <w:rPr>
          <w:rFonts w:ascii="Arial" w:hAnsi="Arial"/>
          <w:b/>
          <w:sz w:val="18"/>
        </w:rPr>
        <w:t>Meaning of a “choice” of law: </w:t>
      </w:r>
      <w:r>
        <w:rPr>
          <w:rFonts w:ascii="Arial" w:hAnsi="Arial"/>
          <w:b/>
          <w:spacing w:val="-2"/>
          <w:sz w:val="18"/>
        </w:rPr>
        <w:t>express</w:t>
      </w:r>
    </w:p>
    <w:p>
      <w:pPr>
        <w:spacing w:after="0"/>
        <w:jc w:val="left"/>
        <w:rPr>
          <w:rFonts w:ascii="Arial" w:hAnsi="Arial"/>
          <w:b/>
          <w:sz w:val="18"/>
        </w:rPr>
        <w:sectPr>
          <w:headerReference w:type="default" r:id="rId10"/>
          <w:pgSz w:w="11900" w:h="16840"/>
          <w:pgMar w:header="971" w:footer="0" w:top="1300" w:bottom="280" w:left="1275" w:right="1275"/>
          <w:pgNumType w:start="1"/>
        </w:sectPr>
      </w:pPr>
    </w:p>
    <w:p>
      <w:pPr>
        <w:pStyle w:val="Heading2"/>
        <w:spacing w:before="262"/>
      </w:pPr>
      <w:r>
        <w:rPr/>
        <w:t>30-</w:t>
      </w:r>
      <w:r>
        <w:rPr>
          <w:spacing w:val="-5"/>
        </w:rPr>
        <w:t>049</w:t>
      </w:r>
    </w:p>
    <w:p>
      <w:pPr>
        <w:pStyle w:val="BodyText"/>
        <w:spacing w:line="235" w:lineRule="auto" w:before="202"/>
        <w:ind w:left="165" w:right="167"/>
        <w:jc w:val="both"/>
      </w:pPr>
      <w:r>
        <w:rPr/>
        <w:t>The second sentence of art.3(1) requires that the “choice must be express or demonstrated </w:t>
      </w:r>
      <w:r>
        <w:rPr/>
        <w:t>with reasonable</w:t>
      </w:r>
      <w:r>
        <w:rPr>
          <w:spacing w:val="-1"/>
        </w:rPr>
        <w:t> </w:t>
      </w:r>
      <w:r>
        <w:rPr/>
        <w:t>certainty</w:t>
      </w:r>
      <w:r>
        <w:rPr>
          <w:spacing w:val="-1"/>
        </w:rPr>
        <w:t> </w:t>
      </w:r>
      <w:r>
        <w:rPr/>
        <w:t>by</w:t>
      </w:r>
      <w:r>
        <w:rPr>
          <w:spacing w:val="-1"/>
        </w:rPr>
        <w:t> </w:t>
      </w:r>
      <w:r>
        <w:rPr/>
        <w:t>the</w:t>
      </w:r>
      <w:r>
        <w:rPr>
          <w:spacing w:val="-1"/>
        </w:rPr>
        <w:t> </w:t>
      </w:r>
      <w:r>
        <w:rPr/>
        <w:t>terms</w:t>
      </w:r>
      <w:r>
        <w:rPr>
          <w:spacing w:val="-1"/>
        </w:rPr>
        <w:t> </w:t>
      </w:r>
      <w:r>
        <w:rPr/>
        <w:t>of</w:t>
      </w:r>
      <w:r>
        <w:rPr>
          <w:spacing w:val="-1"/>
        </w:rPr>
        <w:t> </w:t>
      </w:r>
      <w:r>
        <w:rPr/>
        <w:t>the</w:t>
      </w:r>
      <w:r>
        <w:rPr>
          <w:spacing w:val="-1"/>
        </w:rPr>
        <w:t> </w:t>
      </w:r>
      <w:r>
        <w:rPr/>
        <w:t>contract</w:t>
      </w:r>
      <w:r>
        <w:rPr>
          <w:spacing w:val="-1"/>
        </w:rPr>
        <w:t> </w:t>
      </w:r>
      <w:r>
        <w:rPr/>
        <w:t>or</w:t>
      </w:r>
      <w:r>
        <w:rPr>
          <w:spacing w:val="-1"/>
        </w:rPr>
        <w:t> </w:t>
      </w:r>
      <w:r>
        <w:rPr/>
        <w:t>the</w:t>
      </w:r>
      <w:r>
        <w:rPr>
          <w:spacing w:val="-1"/>
        </w:rPr>
        <w:t> </w:t>
      </w:r>
      <w:r>
        <w:rPr/>
        <w:t>circumstances</w:t>
      </w:r>
      <w:r>
        <w:rPr>
          <w:spacing w:val="-1"/>
        </w:rPr>
        <w:t> </w:t>
      </w:r>
      <w:r>
        <w:rPr/>
        <w:t>of</w:t>
      </w:r>
      <w:r>
        <w:rPr>
          <w:spacing w:val="-1"/>
        </w:rPr>
        <w:t> </w:t>
      </w:r>
      <w:r>
        <w:rPr/>
        <w:t>the</w:t>
      </w:r>
      <w:r>
        <w:rPr>
          <w:spacing w:val="-1"/>
        </w:rPr>
        <w:t> </w:t>
      </w:r>
      <w:r>
        <w:rPr/>
        <w:t>case”.</w:t>
      </w:r>
      <w:r>
        <w:rPr>
          <w:spacing w:val="-1"/>
        </w:rPr>
        <w:t> </w:t>
      </w:r>
      <w:r>
        <w:rPr/>
        <w:t>The</w:t>
      </w:r>
      <w:r>
        <w:rPr>
          <w:spacing w:val="-1"/>
        </w:rPr>
        <w:t> </w:t>
      </w:r>
      <w:r>
        <w:rPr/>
        <w:t>first</w:t>
      </w:r>
      <w:r>
        <w:rPr>
          <w:spacing w:val="-1"/>
        </w:rPr>
        <w:t> </w:t>
      </w:r>
      <w:r>
        <w:rPr/>
        <w:t>aspect</w:t>
      </w:r>
      <w:r>
        <w:rPr>
          <w:spacing w:val="-1"/>
        </w:rPr>
        <w:t> </w:t>
      </w:r>
      <w:r>
        <w:rPr/>
        <w:t>of </w:t>
      </w:r>
      <w:bookmarkStart w:name="_bookmark422" w:id="424"/>
      <w:bookmarkEnd w:id="424"/>
      <w:r>
        <w:rPr/>
        <w:t>this</w:t>
      </w:r>
      <w:r>
        <w:rPr>
          <w:spacing w:val="-1"/>
        </w:rPr>
        <w:t> </w:t>
      </w:r>
      <w:r>
        <w:rPr/>
        <w:t>formula</w:t>
      </w:r>
      <w:r>
        <w:rPr>
          <w:spacing w:val="-1"/>
        </w:rPr>
        <w:t> </w:t>
      </w:r>
      <w:r>
        <w:rPr/>
        <w:t>recognises</w:t>
      </w:r>
      <w:r>
        <w:rPr>
          <w:spacing w:val="-1"/>
        </w:rPr>
        <w:t> </w:t>
      </w:r>
      <w:r>
        <w:rPr/>
        <w:t>the</w:t>
      </w:r>
      <w:r>
        <w:rPr>
          <w:spacing w:val="-1"/>
        </w:rPr>
        <w:t> </w:t>
      </w:r>
      <w:r>
        <w:rPr/>
        <w:t>efficacy</w:t>
      </w:r>
      <w:r>
        <w:rPr>
          <w:spacing w:val="-1"/>
        </w:rPr>
        <w:t> </w:t>
      </w:r>
      <w:r>
        <w:rPr/>
        <w:t>of</w:t>
      </w:r>
      <w:r>
        <w:rPr>
          <w:spacing w:val="-1"/>
        </w:rPr>
        <w:t> </w:t>
      </w:r>
      <w:r>
        <w:rPr/>
        <w:t>typical</w:t>
      </w:r>
      <w:r>
        <w:rPr>
          <w:spacing w:val="-1"/>
        </w:rPr>
        <w:t> </w:t>
      </w:r>
      <w:r>
        <w:rPr/>
        <w:t>contractual</w:t>
      </w:r>
      <w:r>
        <w:rPr>
          <w:spacing w:val="-1"/>
        </w:rPr>
        <w:t> </w:t>
      </w:r>
      <w:r>
        <w:rPr/>
        <w:t>terms</w:t>
      </w:r>
      <w:r>
        <w:rPr>
          <w:spacing w:val="-1"/>
        </w:rPr>
        <w:t> </w:t>
      </w:r>
      <w:r>
        <w:rPr/>
        <w:t>such</w:t>
      </w:r>
      <w:r>
        <w:rPr>
          <w:spacing w:val="-1"/>
        </w:rPr>
        <w:t> </w:t>
      </w:r>
      <w:r>
        <w:rPr/>
        <w:t>as</w:t>
      </w:r>
      <w:r>
        <w:rPr>
          <w:spacing w:val="-1"/>
        </w:rPr>
        <w:t> </w:t>
      </w:r>
      <w:r>
        <w:rPr/>
        <w:t>the</w:t>
      </w:r>
      <w:r>
        <w:rPr>
          <w:spacing w:val="-1"/>
        </w:rPr>
        <w:t> </w:t>
      </w:r>
      <w:r>
        <w:rPr/>
        <w:t>contact</w:t>
      </w:r>
      <w:r>
        <w:rPr>
          <w:spacing w:val="-1"/>
        </w:rPr>
        <w:t> </w:t>
      </w:r>
      <w:r>
        <w:rPr/>
        <w:t>is</w:t>
      </w:r>
      <w:r>
        <w:rPr>
          <w:spacing w:val="-1"/>
        </w:rPr>
        <w:t> </w:t>
      </w:r>
      <w:r>
        <w:rPr/>
        <w:t>to</w:t>
      </w:r>
      <w:r>
        <w:rPr>
          <w:spacing w:val="-1"/>
        </w:rPr>
        <w:t> </w:t>
      </w:r>
      <w:r>
        <w:rPr/>
        <w:t>be</w:t>
      </w:r>
      <w:r>
        <w:rPr>
          <w:spacing w:val="-1"/>
        </w:rPr>
        <w:t> </w:t>
      </w:r>
      <w:r>
        <w:rPr/>
        <w:t>“governed </w:t>
      </w:r>
      <w:bookmarkStart w:name="_bookmark423" w:id="425"/>
      <w:bookmarkEnd w:id="425"/>
      <w:r>
        <w:rPr/>
        <w:t>by”</w:t>
      </w:r>
      <w:r>
        <w:rPr/>
        <w:t> </w:t>
      </w:r>
      <w:r>
        <w:rPr>
          <w:color w:val="005DA1"/>
          <w:u w:val="single" w:color="005DA1"/>
          <w:vertAlign w:val="superscript"/>
        </w:rPr>
        <w:t>234</w:t>
      </w:r>
      <w:r>
        <w:rPr>
          <w:color w:val="005DA1"/>
          <w:vertAlign w:val="baseline"/>
        </w:rPr>
        <w:t> </w:t>
      </w:r>
      <w:r>
        <w:rPr>
          <w:vertAlign w:val="baseline"/>
        </w:rPr>
        <w:t>or “construed in accordance with” </w:t>
      </w:r>
      <w:r>
        <w:rPr>
          <w:color w:val="005DA1"/>
          <w:u w:val="single" w:color="005DA1"/>
          <w:vertAlign w:val="superscript"/>
        </w:rPr>
        <w:t>235</w:t>
      </w:r>
      <w:r>
        <w:rPr>
          <w:color w:val="005DA1"/>
          <w:vertAlign w:val="baseline"/>
        </w:rPr>
        <w:t> </w:t>
      </w:r>
      <w:r>
        <w:rPr>
          <w:vertAlign w:val="baseline"/>
        </w:rPr>
        <w:t>or “subject to” </w:t>
      </w:r>
      <w:r>
        <w:rPr>
          <w:color w:val="005DA1"/>
          <w:u w:val="single" w:color="005DA1"/>
          <w:vertAlign w:val="superscript"/>
        </w:rPr>
        <w:t>236</w:t>
      </w:r>
      <w:r>
        <w:rPr>
          <w:color w:val="005DA1"/>
          <w:vertAlign w:val="baseline"/>
        </w:rPr>
        <w:t> </w:t>
      </w:r>
      <w:r>
        <w:rPr>
          <w:vertAlign w:val="baseline"/>
        </w:rPr>
        <w:t>a particular country’s law, as apt to </w:t>
      </w:r>
      <w:bookmarkStart w:name="_bookmark424" w:id="426"/>
      <w:bookmarkEnd w:id="426"/>
      <w:r>
        <w:rPr>
          <w:vertAlign w:val="baseline"/>
        </w:rPr>
        <w:t>make</w:t>
      </w:r>
      <w:r>
        <w:rPr>
          <w:vertAlign w:val="baseline"/>
        </w:rPr>
        <w:t> a choice of law. </w:t>
      </w:r>
      <w:r>
        <w:rPr>
          <w:color w:val="005DA1"/>
          <w:u w:val="single" w:color="005DA1"/>
          <w:vertAlign w:val="superscript"/>
        </w:rPr>
        <w:t>237</w:t>
      </w:r>
      <w:r>
        <w:rPr>
          <w:color w:val="005DA1"/>
          <w:vertAlign w:val="baseline"/>
        </w:rPr>
        <w:t> </w:t>
      </w:r>
      <w:r>
        <w:rPr>
          <w:vertAlign w:val="baseline"/>
        </w:rPr>
        <w:t>It appears, also, that an express oral agreement as to the applicable law will satisfy art.3(1). </w:t>
      </w:r>
      <w:r>
        <w:rPr>
          <w:color w:val="005DA1"/>
          <w:u w:val="single" w:color="005DA1"/>
          <w:vertAlign w:val="superscript"/>
        </w:rPr>
        <w:t>238</w:t>
      </w:r>
    </w:p>
    <w:p>
      <w:pPr>
        <w:pStyle w:val="BodyText"/>
      </w:pPr>
    </w:p>
    <w:p>
      <w:pPr>
        <w:pStyle w:val="BodyText"/>
        <w:spacing w:before="36"/>
      </w:pPr>
    </w:p>
    <w:p>
      <w:pPr>
        <w:spacing w:before="1"/>
        <w:ind w:left="165" w:right="0" w:firstLine="0"/>
        <w:jc w:val="both"/>
        <w:rPr>
          <w:rFonts w:ascii="Arial" w:hAnsi="Arial"/>
          <w:b/>
          <w:sz w:val="18"/>
        </w:rPr>
      </w:pPr>
      <w:r>
        <w:rPr>
          <w:rFonts w:ascii="Arial" w:hAnsi="Arial"/>
          <w:b/>
          <w:sz w:val="18"/>
        </w:rPr>
        <w:t>“Implied </w:t>
      </w:r>
      <w:r>
        <w:rPr>
          <w:rFonts w:ascii="Arial" w:hAnsi="Arial"/>
          <w:b/>
          <w:spacing w:val="-2"/>
          <w:sz w:val="18"/>
        </w:rPr>
        <w:t>choice”</w:t>
      </w:r>
    </w:p>
    <w:p>
      <w:pPr>
        <w:pStyle w:val="BodyText"/>
        <w:spacing w:before="41"/>
        <w:rPr>
          <w:rFonts w:ascii="Arial"/>
          <w:b/>
          <w:sz w:val="18"/>
        </w:rPr>
      </w:pPr>
    </w:p>
    <w:p>
      <w:pPr>
        <w:pStyle w:val="Heading2"/>
      </w:pPr>
      <w:r>
        <w:rPr/>
        <w:t>30-</w:t>
      </w:r>
      <w:r>
        <w:rPr>
          <w:spacing w:val="-5"/>
        </w:rPr>
        <w:t>050</w:t>
      </w:r>
    </w:p>
    <w:p>
      <w:pPr>
        <w:pStyle w:val="BodyText"/>
        <w:spacing w:line="235" w:lineRule="auto" w:before="203"/>
        <w:ind w:left="165" w:right="167"/>
        <w:jc w:val="both"/>
      </w:pPr>
      <w:bookmarkStart w:name="_bookmark425" w:id="427"/>
      <w:bookmarkEnd w:id="427"/>
      <w:r>
        <w:rPr/>
      </w:r>
      <w:r>
        <w:rPr/>
        <w:t>More difficulty surrounds the second aspect of the formula. </w:t>
      </w:r>
      <w:r>
        <w:rPr>
          <w:color w:val="005DA1"/>
          <w:u w:val="single" w:color="005DA1"/>
          <w:vertAlign w:val="superscript"/>
        </w:rPr>
        <w:t>239</w:t>
      </w:r>
      <w:r>
        <w:rPr>
          <w:color w:val="005DA1"/>
          <w:vertAlign w:val="baseline"/>
        </w:rPr>
        <w:t> </w:t>
      </w:r>
      <w:r>
        <w:rPr>
          <w:vertAlign w:val="baseline"/>
        </w:rPr>
        <w:t>The common law recognised that parties could impliedly choose the law to govern a contract and that an intention on their part to do </w:t>
      </w:r>
      <w:r>
        <w:rPr>
          <w:vertAlign w:val="baseline"/>
        </w:rPr>
        <w:t>so </w:t>
      </w:r>
      <w:bookmarkStart w:name="_bookmark426" w:id="428"/>
      <w:bookmarkEnd w:id="428"/>
      <w:r>
        <w:rPr>
          <w:vertAlign w:val="baseline"/>
        </w:rPr>
        <w:t>could</w:t>
      </w:r>
      <w:r>
        <w:rPr>
          <w:vertAlign w:val="baseline"/>
        </w:rPr>
        <w:t> be inferred from the terms and nature of the contract and from the general circumstances of the case. </w:t>
      </w:r>
      <w:r>
        <w:rPr>
          <w:color w:val="005DA1"/>
          <w:u w:val="single" w:color="005DA1"/>
          <w:vertAlign w:val="superscript"/>
        </w:rPr>
        <w:t>240</w:t>
      </w:r>
      <w:r>
        <w:rPr>
          <w:color w:val="005DA1"/>
          <w:vertAlign w:val="baseline"/>
        </w:rPr>
        <w:t> </w:t>
      </w:r>
      <w:r>
        <w:rPr>
          <w:vertAlign w:val="baseline"/>
        </w:rPr>
        <w:t>However, art.3(1) requires that the parties choice be “demonstrated” and further that such </w:t>
      </w:r>
      <w:bookmarkStart w:name="_bookmark427" w:id="429"/>
      <w:bookmarkEnd w:id="429"/>
      <w:r>
        <w:rPr>
          <w:vertAlign w:val="baseline"/>
        </w:rPr>
        <w:t>demonstration</w:t>
      </w:r>
      <w:r>
        <w:rPr>
          <w:vertAlign w:val="baseline"/>
        </w:rPr>
        <w:t> be “with reasonable certainty”, which might connote a stricter evidential standard than that involved in drawing an “inference” as to the parties’ intentions at common law, </w:t>
      </w:r>
      <w:r>
        <w:rPr>
          <w:color w:val="005DA1"/>
          <w:u w:val="single" w:color="005DA1"/>
          <w:vertAlign w:val="superscript"/>
        </w:rPr>
        <w:t>241</w:t>
      </w:r>
      <w:r>
        <w:rPr>
          <w:color w:val="005DA1"/>
          <w:vertAlign w:val="baseline"/>
        </w:rPr>
        <w:t> </w:t>
      </w:r>
      <w:r>
        <w:rPr>
          <w:vertAlign w:val="baseline"/>
        </w:rPr>
        <w:t>particularly </w:t>
      </w:r>
      <w:bookmarkStart w:name="_bookmark428" w:id="430"/>
      <w:bookmarkEnd w:id="430"/>
      <w:r>
        <w:rPr>
          <w:vertAlign w:val="baseline"/>
        </w:rPr>
        <w:t>when,</w:t>
      </w:r>
      <w:r>
        <w:rPr>
          <w:vertAlign w:val="baseline"/>
        </w:rPr>
        <w:t> according to the Giuliano-Lagarde Report, this aspect of the formula is supposed to reveal, in </w:t>
      </w:r>
      <w:bookmarkStart w:name="_bookmark429" w:id="431"/>
      <w:bookmarkEnd w:id="431"/>
      <w:r>
        <w:rPr>
          <w:vertAlign w:val="baseline"/>
        </w:rPr>
        <w:t>its</w:t>
      </w:r>
      <w:r>
        <w:rPr>
          <w:spacing w:val="-2"/>
          <w:vertAlign w:val="baseline"/>
        </w:rPr>
        <w:t> </w:t>
      </w:r>
      <w:r>
        <w:rPr>
          <w:vertAlign w:val="baseline"/>
        </w:rPr>
        <w:t>application,</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have</w:t>
      </w:r>
      <w:r>
        <w:rPr>
          <w:spacing w:val="-2"/>
          <w:vertAlign w:val="baseline"/>
        </w:rPr>
        <w:t> </w:t>
      </w:r>
      <w:r>
        <w:rPr>
          <w:vertAlign w:val="baseline"/>
        </w:rPr>
        <w:t>made</w:t>
      </w:r>
      <w:r>
        <w:rPr>
          <w:spacing w:val="-2"/>
          <w:vertAlign w:val="baseline"/>
        </w:rPr>
        <w:t> </w:t>
      </w:r>
      <w:r>
        <w:rPr>
          <w:vertAlign w:val="baseline"/>
        </w:rPr>
        <w:t>a</w:t>
      </w:r>
      <w:r>
        <w:rPr>
          <w:spacing w:val="-2"/>
          <w:vertAlign w:val="baseline"/>
        </w:rPr>
        <w:t> </w:t>
      </w:r>
      <w:r>
        <w:rPr>
          <w:vertAlign w:val="baseline"/>
        </w:rPr>
        <w:t>“real</w:t>
      </w:r>
      <w:r>
        <w:rPr>
          <w:spacing w:val="-2"/>
          <w:vertAlign w:val="baseline"/>
        </w:rPr>
        <w:t> </w:t>
      </w:r>
      <w:r>
        <w:rPr>
          <w:vertAlign w:val="baseline"/>
        </w:rPr>
        <w:t>choice</w:t>
      </w:r>
      <w:r>
        <w:rPr>
          <w:spacing w:val="-2"/>
          <w:vertAlign w:val="baseline"/>
        </w:rPr>
        <w:t> </w:t>
      </w:r>
      <w:r>
        <w:rPr>
          <w:vertAlign w:val="baseline"/>
        </w:rPr>
        <w:t>of</w:t>
      </w:r>
      <w:r>
        <w:rPr>
          <w:spacing w:val="-2"/>
          <w:vertAlign w:val="baseline"/>
        </w:rPr>
        <w:t> </w:t>
      </w:r>
      <w:r>
        <w:rPr>
          <w:vertAlign w:val="baseline"/>
        </w:rPr>
        <w:t>law”.</w:t>
      </w:r>
      <w:r>
        <w:rPr>
          <w:spacing w:val="-3"/>
          <w:vertAlign w:val="baseline"/>
        </w:rPr>
        <w:t> </w:t>
      </w:r>
      <w:r>
        <w:rPr>
          <w:color w:val="005DA1"/>
          <w:u w:val="single" w:color="005DA1"/>
          <w:vertAlign w:val="superscript"/>
        </w:rPr>
        <w:t>242</w:t>
      </w:r>
      <w:r>
        <w:rPr>
          <w:color w:val="005DA1"/>
          <w:spacing w:val="-2"/>
          <w:vertAlign w:val="baseline"/>
        </w:rPr>
        <w:t> </w:t>
      </w:r>
      <w:r>
        <w:rPr>
          <w:vertAlign w:val="baseline"/>
        </w:rPr>
        <w:t>Having</w:t>
      </w:r>
      <w:r>
        <w:rPr>
          <w:spacing w:val="-2"/>
          <w:vertAlign w:val="baseline"/>
        </w:rPr>
        <w:t> </w:t>
      </w:r>
      <w:r>
        <w:rPr>
          <w:vertAlign w:val="baseline"/>
        </w:rPr>
        <w:t>said</w:t>
      </w:r>
      <w:r>
        <w:rPr>
          <w:spacing w:val="-2"/>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necessary</w:t>
      </w:r>
      <w:r>
        <w:rPr>
          <w:spacing w:val="-2"/>
          <w:vertAlign w:val="baseline"/>
        </w:rPr>
        <w:t> </w:t>
      </w:r>
      <w:r>
        <w:rPr>
          <w:vertAlign w:val="baseline"/>
        </w:rPr>
        <w:t>to bear</w:t>
      </w:r>
      <w:r>
        <w:rPr>
          <w:spacing w:val="-3"/>
          <w:vertAlign w:val="baseline"/>
        </w:rPr>
        <w:t> </w:t>
      </w:r>
      <w:r>
        <w:rPr>
          <w:vertAlign w:val="baseline"/>
        </w:rPr>
        <w:t>in</w:t>
      </w:r>
      <w:r>
        <w:rPr>
          <w:spacing w:val="-3"/>
          <w:vertAlign w:val="baseline"/>
        </w:rPr>
        <w:t> </w:t>
      </w:r>
      <w:r>
        <w:rPr>
          <w:vertAlign w:val="baseline"/>
        </w:rPr>
        <w:t>mind</w:t>
      </w:r>
      <w:r>
        <w:rPr>
          <w:spacing w:val="-3"/>
          <w:vertAlign w:val="baseline"/>
        </w:rPr>
        <w:t> </w:t>
      </w:r>
      <w:r>
        <w:rPr>
          <w:vertAlign w:val="baseline"/>
        </w:rPr>
        <w:t>the</w:t>
      </w:r>
      <w:r>
        <w:rPr>
          <w:spacing w:val="-3"/>
          <w:vertAlign w:val="baseline"/>
        </w:rPr>
        <w:t> </w:t>
      </w:r>
      <w:r>
        <w:rPr>
          <w:vertAlign w:val="baseline"/>
        </w:rPr>
        <w:t>need</w:t>
      </w:r>
      <w:r>
        <w:rPr>
          <w:spacing w:val="-3"/>
          <w:vertAlign w:val="baseline"/>
        </w:rPr>
        <w:t> </w:t>
      </w:r>
      <w:r>
        <w:rPr>
          <w:vertAlign w:val="baseline"/>
        </w:rPr>
        <w:t>for</w:t>
      </w:r>
      <w:r>
        <w:rPr>
          <w:spacing w:val="-3"/>
          <w:vertAlign w:val="baseline"/>
        </w:rPr>
        <w:t> </w:t>
      </w:r>
      <w:r>
        <w:rPr>
          <w:vertAlign w:val="baseline"/>
        </w:rPr>
        <w:t>uniform</w:t>
      </w:r>
      <w:r>
        <w:rPr>
          <w:spacing w:val="-3"/>
          <w:vertAlign w:val="baseline"/>
        </w:rPr>
        <w:t> </w:t>
      </w:r>
      <w:r>
        <w:rPr>
          <w:vertAlign w:val="baseline"/>
        </w:rPr>
        <w:t>interpretation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Convention.</w:t>
      </w:r>
      <w:r>
        <w:rPr>
          <w:spacing w:val="-4"/>
          <w:vertAlign w:val="baseline"/>
        </w:rPr>
        <w:t> </w:t>
      </w:r>
      <w:r>
        <w:rPr>
          <w:color w:val="005DA1"/>
          <w:u w:val="single" w:color="005DA1"/>
          <w:vertAlign w:val="superscript"/>
        </w:rPr>
        <w:t>243</w:t>
      </w:r>
      <w:r>
        <w:rPr>
          <w:color w:val="005DA1"/>
          <w:spacing w:val="-3"/>
          <w:vertAlign w:val="baseline"/>
        </w:rPr>
        <w:t> </w:t>
      </w:r>
      <w:r>
        <w:rPr>
          <w:vertAlign w:val="baseline"/>
        </w:rPr>
        <w:t>This</w:t>
      </w:r>
      <w:r>
        <w:rPr>
          <w:spacing w:val="-3"/>
          <w:vertAlign w:val="baseline"/>
        </w:rPr>
        <w:t> </w:t>
      </w:r>
      <w:r>
        <w:rPr>
          <w:vertAlign w:val="baseline"/>
        </w:rPr>
        <w:t>means</w:t>
      </w:r>
      <w:r>
        <w:rPr>
          <w:spacing w:val="-3"/>
          <w:vertAlign w:val="baseline"/>
        </w:rPr>
        <w:t> </w:t>
      </w:r>
      <w:r>
        <w:rPr>
          <w:vertAlign w:val="baseline"/>
        </w:rPr>
        <w:t>that</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appropriate </w:t>
      </w:r>
      <w:bookmarkStart w:name="_bookmark430" w:id="432"/>
      <w:bookmarkEnd w:id="432"/>
      <w:r>
        <w:rPr>
          <w:vertAlign w:val="baseline"/>
        </w:rPr>
        <w:t>to</w:t>
      </w:r>
      <w:r>
        <w:rPr>
          <w:vertAlign w:val="baseline"/>
        </w:rPr>
        <w:t> adopt a purposive approach to interpretation which does not involve construing the Convention in a narrow, literal fashion. </w:t>
      </w:r>
      <w:r>
        <w:rPr>
          <w:color w:val="005DA1"/>
          <w:u w:val="single" w:color="005DA1"/>
          <w:vertAlign w:val="superscript"/>
        </w:rPr>
        <w:t>244</w:t>
      </w:r>
      <w:r>
        <w:rPr>
          <w:color w:val="005DA1"/>
          <w:vertAlign w:val="baseline"/>
        </w:rPr>
        <w:t> </w:t>
      </w:r>
      <w:r>
        <w:rPr>
          <w:vertAlign w:val="baseline"/>
        </w:rPr>
        <w:t>Overall however, the examples given in the Giuliano-Lagarde Report of circumstances which may suffice to demonstrate a choice of law with reasonable certainty, tend to indicate that the relevant factors are broadly similar to those which were capable of indicating an implied choice of law at common law.</w:t>
      </w:r>
    </w:p>
    <w:p>
      <w:pPr>
        <w:pStyle w:val="BodyText"/>
      </w:pPr>
    </w:p>
    <w:p>
      <w:pPr>
        <w:pStyle w:val="BodyText"/>
        <w:spacing w:before="121"/>
      </w:pPr>
    </w:p>
    <w:p>
      <w:pPr>
        <w:pStyle w:val="BodyText"/>
        <w:spacing w:line="235" w:lineRule="auto"/>
        <w:ind w:left="1245" w:right="167"/>
        <w:jc w:val="both"/>
      </w:pPr>
      <w:r>
        <w:rPr/>
        <w:t>“For example, the contract may be in a standard form which is known to be governed </w:t>
      </w:r>
      <w:r>
        <w:rPr/>
        <w:t>by</w:t>
      </w:r>
      <w:r>
        <w:rPr>
          <w:spacing w:val="80"/>
        </w:rPr>
        <w:t> </w:t>
      </w:r>
      <w:bookmarkStart w:name="_bookmark431" w:id="433"/>
      <w:bookmarkEnd w:id="433"/>
      <w:r>
        <w:rPr/>
        <w:t>a</w:t>
      </w:r>
      <w:r>
        <w:rPr/>
        <w:t> particular system of law even though there is no express statement to this effect, such as a Lloyd’s policy of marine insurance. </w:t>
      </w:r>
      <w:r>
        <w:rPr>
          <w:color w:val="005DA1"/>
          <w:u w:val="single" w:color="005DA1"/>
          <w:vertAlign w:val="superscript"/>
        </w:rPr>
        <w:t>245</w:t>
      </w:r>
      <w:r>
        <w:rPr>
          <w:color w:val="005DA1"/>
          <w:vertAlign w:val="baseline"/>
        </w:rPr>
        <w:t> </w:t>
      </w:r>
      <w:r>
        <w:rPr>
          <w:vertAlign w:val="baseline"/>
        </w:rPr>
        <w:t>In other cases a previous course of dealing between the parties under contracts containing an express choice of law may leave the court in no doubt that the contract in question is to be governed by the law previously </w:t>
      </w:r>
      <w:bookmarkStart w:name="_bookmark432" w:id="434"/>
      <w:bookmarkEnd w:id="434"/>
      <w:r>
        <w:rPr>
          <w:vertAlign w:val="baseline"/>
        </w:rPr>
        <w:t>chosen</w:t>
      </w:r>
      <w:r>
        <w:rPr>
          <w:vertAlign w:val="baseline"/>
        </w:rPr>
        <w:t> where the choice of law clause has been omitted in circumstances which do not indicate a deliberate change of policy by the parties. </w:t>
      </w:r>
      <w:r>
        <w:rPr>
          <w:color w:val="005DA1"/>
          <w:u w:val="single" w:color="005DA1"/>
          <w:vertAlign w:val="superscript"/>
        </w:rPr>
        <w:t>246</w:t>
      </w:r>
      <w:r>
        <w:rPr>
          <w:color w:val="005DA1"/>
          <w:vertAlign w:val="baseline"/>
        </w:rPr>
        <w:t> </w:t>
      </w:r>
      <w:r>
        <w:rPr>
          <w:vertAlign w:val="baseline"/>
        </w:rPr>
        <w:t>In some cases the choice of a particular forum may show in no uncertain manner that the parties intend the contract to </w:t>
      </w:r>
      <w:bookmarkStart w:name="_bookmark433" w:id="435"/>
      <w:bookmarkEnd w:id="435"/>
      <w:r>
        <w:rPr>
          <w:vertAlign w:val="baseline"/>
        </w:rPr>
        <w:t>be</w:t>
      </w:r>
      <w:r>
        <w:rPr>
          <w:vertAlign w:val="baseline"/>
        </w:rPr>
        <w:t> governed by the law of that forum, but this must always be subject to the other terms</w:t>
      </w:r>
      <w:r>
        <w:rPr>
          <w:spacing w:val="40"/>
          <w:vertAlign w:val="baseline"/>
        </w:rPr>
        <w:t> </w:t>
      </w:r>
      <w:r>
        <w:rPr>
          <w:vertAlign w:val="baseline"/>
        </w:rPr>
        <w:t>of the contract and all the circumstances of the case. </w:t>
      </w:r>
      <w:r>
        <w:rPr>
          <w:color w:val="005DA1"/>
          <w:u w:val="single" w:color="005DA1"/>
          <w:vertAlign w:val="superscript"/>
        </w:rPr>
        <w:t>247</w:t>
      </w:r>
      <w:r>
        <w:rPr>
          <w:color w:val="005DA1"/>
          <w:vertAlign w:val="baseline"/>
        </w:rPr>
        <w:t> </w:t>
      </w:r>
      <w:r>
        <w:rPr>
          <w:vertAlign w:val="baseline"/>
        </w:rPr>
        <w:t>Similarly, references in the contract to specific Articles of the French Civil Code may leave the court in no doubt that </w:t>
      </w:r>
      <w:bookmarkStart w:name="_bookmark434" w:id="436"/>
      <w:bookmarkEnd w:id="436"/>
      <w:r>
        <w:rPr>
          <w:vertAlign w:val="baseline"/>
        </w:rPr>
        <w:t>the</w:t>
      </w:r>
      <w:r>
        <w:rPr>
          <w:vertAlign w:val="baseline"/>
        </w:rPr>
        <w:t> parties have deliberately chosen French law, although there is no expressly stated choice of law. </w:t>
      </w:r>
      <w:r>
        <w:rPr>
          <w:color w:val="005DA1"/>
          <w:u w:val="single" w:color="005DA1"/>
          <w:vertAlign w:val="superscript"/>
        </w:rPr>
        <w:t>248</w:t>
      </w:r>
      <w:r>
        <w:rPr>
          <w:color w:val="005DA1"/>
          <w:vertAlign w:val="baseline"/>
        </w:rPr>
        <w:t> </w:t>
      </w:r>
      <w:r>
        <w:rPr>
          <w:vertAlign w:val="baseline"/>
        </w:rPr>
        <w:t>Other matters that may impel the court to the conclusion that a real </w:t>
      </w:r>
      <w:bookmarkStart w:name="_bookmark435" w:id="437"/>
      <w:bookmarkEnd w:id="437"/>
      <w:r>
        <w:rPr>
          <w:vertAlign w:val="baseline"/>
        </w:rPr>
        <w:t>choice</w:t>
      </w:r>
      <w:r>
        <w:rPr>
          <w:vertAlign w:val="baseline"/>
        </w:rPr>
        <w:t> of law has been made might include an express choice of law in related transactions between the same parties, </w:t>
      </w:r>
      <w:r>
        <w:rPr>
          <w:color w:val="005DA1"/>
          <w:u w:val="single" w:color="005DA1"/>
          <w:vertAlign w:val="superscript"/>
        </w:rPr>
        <w:t>249</w:t>
      </w:r>
      <w:r>
        <w:rPr>
          <w:color w:val="005DA1"/>
          <w:vertAlign w:val="baseline"/>
        </w:rPr>
        <w:t> </w:t>
      </w:r>
      <w:r>
        <w:rPr>
          <w:vertAlign w:val="baseline"/>
        </w:rPr>
        <w:t>or the choice of a place where disputes are to </w:t>
      </w:r>
      <w:bookmarkStart w:name="_bookmark436" w:id="438"/>
      <w:bookmarkEnd w:id="438"/>
      <w:r>
        <w:rPr>
          <w:vertAlign w:val="baseline"/>
        </w:rPr>
        <w:t>be</w:t>
      </w:r>
      <w:r>
        <w:rPr>
          <w:vertAlign w:val="baseline"/>
        </w:rPr>
        <w:t> settled by arbitration in circumstances indicating that the arbitrator should apply the</w:t>
      </w:r>
      <w:r>
        <w:rPr>
          <w:spacing w:val="40"/>
          <w:vertAlign w:val="baseline"/>
        </w:rPr>
        <w:t> </w:t>
      </w:r>
      <w:r>
        <w:rPr>
          <w:vertAlign w:val="baseline"/>
        </w:rPr>
        <w:t>law of that place.” </w:t>
      </w:r>
      <w:r>
        <w:rPr>
          <w:color w:val="005DA1"/>
          <w:u w:val="single" w:color="005DA1"/>
          <w:vertAlign w:val="superscript"/>
        </w:rPr>
        <w:t>250</w:t>
      </w:r>
    </w:p>
    <w:p>
      <w:pPr>
        <w:pStyle w:val="BodyText"/>
      </w:pPr>
    </w:p>
    <w:p>
      <w:pPr>
        <w:pStyle w:val="BodyText"/>
        <w:spacing w:before="192"/>
      </w:pPr>
    </w:p>
    <w:p>
      <w:pPr>
        <w:pStyle w:val="Heading2"/>
      </w:pPr>
      <w:r>
        <w:rPr/>
        <w:t>30-</w:t>
      </w:r>
      <w:r>
        <w:rPr>
          <w:spacing w:val="-5"/>
        </w:rPr>
        <w:t>051</w:t>
      </w:r>
    </w:p>
    <w:p>
      <w:pPr>
        <w:pStyle w:val="BodyText"/>
        <w:spacing w:line="235" w:lineRule="auto" w:before="202"/>
        <w:ind w:left="165" w:right="167"/>
        <w:jc w:val="both"/>
      </w:pPr>
      <w:bookmarkStart w:name="_bookmark437" w:id="439"/>
      <w:bookmarkEnd w:id="439"/>
      <w:r>
        <w:rPr/>
      </w:r>
      <w:bookmarkStart w:name="_bookmark438" w:id="440"/>
      <w:bookmarkEnd w:id="440"/>
      <w:r>
        <w:rPr/>
      </w:r>
      <w:r>
        <w:rPr/>
        <w:t>In the case of arbitration clauses it appears that the application of art.3(1) involves a shift of emphasis </w:t>
      </w:r>
      <w:r>
        <w:rPr>
          <w:color w:val="005DA1"/>
          <w:u w:val="single" w:color="005DA1"/>
          <w:vertAlign w:val="superscript"/>
        </w:rPr>
        <w:t>251</w:t>
      </w:r>
      <w:r>
        <w:rPr>
          <w:color w:val="005DA1"/>
          <w:spacing w:val="-4"/>
          <w:vertAlign w:val="baseline"/>
        </w:rPr>
        <w:t> </w:t>
      </w:r>
      <w:r>
        <w:rPr>
          <w:vertAlign w:val="baseline"/>
        </w:rPr>
        <w:t>from</w:t>
      </w:r>
      <w:r>
        <w:rPr>
          <w:spacing w:val="-4"/>
          <w:vertAlign w:val="baseline"/>
        </w:rPr>
        <w:t> </w:t>
      </w:r>
      <w:r>
        <w:rPr>
          <w:vertAlign w:val="baseline"/>
        </w:rPr>
        <w:t>the</w:t>
      </w:r>
      <w:r>
        <w:rPr>
          <w:spacing w:val="-4"/>
          <w:vertAlign w:val="baseline"/>
        </w:rPr>
        <w:t> </w:t>
      </w:r>
      <w:r>
        <w:rPr>
          <w:vertAlign w:val="baseline"/>
        </w:rPr>
        <w:t>approach</w:t>
      </w:r>
      <w:r>
        <w:rPr>
          <w:spacing w:val="-4"/>
          <w:vertAlign w:val="baseline"/>
        </w:rPr>
        <w:t> </w:t>
      </w:r>
      <w:r>
        <w:rPr>
          <w:vertAlign w:val="baseline"/>
        </w:rPr>
        <w:t>which</w:t>
      </w:r>
      <w:r>
        <w:rPr>
          <w:spacing w:val="-4"/>
          <w:vertAlign w:val="baseline"/>
        </w:rPr>
        <w:t> </w:t>
      </w:r>
      <w:r>
        <w:rPr>
          <w:vertAlign w:val="baseline"/>
        </w:rPr>
        <w:t>was</w:t>
      </w:r>
      <w:r>
        <w:rPr>
          <w:spacing w:val="-4"/>
          <w:vertAlign w:val="baseline"/>
        </w:rPr>
        <w:t> </w:t>
      </w:r>
      <w:r>
        <w:rPr>
          <w:vertAlign w:val="baseline"/>
        </w:rPr>
        <w:t>found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common</w:t>
      </w:r>
      <w:r>
        <w:rPr>
          <w:spacing w:val="-4"/>
          <w:vertAlign w:val="baseline"/>
        </w:rPr>
        <w:t> </w:t>
      </w:r>
      <w:r>
        <w:rPr>
          <w:vertAlign w:val="baseline"/>
        </w:rPr>
        <w:t>law.</w:t>
      </w:r>
      <w:r>
        <w:rPr>
          <w:spacing w:val="-5"/>
          <w:vertAlign w:val="baseline"/>
        </w:rPr>
        <w:t> </w:t>
      </w:r>
      <w:r>
        <w:rPr>
          <w:color w:val="005DA1"/>
          <w:u w:val="single" w:color="005DA1"/>
          <w:vertAlign w:val="superscript"/>
        </w:rPr>
        <w:t>252</w:t>
      </w:r>
      <w:r>
        <w:rPr>
          <w:color w:val="005DA1"/>
          <w:spacing w:val="-4"/>
          <w:vertAlign w:val="baseline"/>
        </w:rPr>
        <w:t> </w:t>
      </w:r>
      <w:r>
        <w:rPr>
          <w:vertAlign w:val="baseline"/>
        </w:rPr>
        <w:t>This</w:t>
      </w:r>
      <w:r>
        <w:rPr>
          <w:spacing w:val="-4"/>
          <w:vertAlign w:val="baseline"/>
        </w:rPr>
        <w:t> </w:t>
      </w:r>
      <w:r>
        <w:rPr>
          <w:vertAlign w:val="baseline"/>
        </w:rPr>
        <w:t>results</w:t>
      </w:r>
      <w:r>
        <w:rPr>
          <w:spacing w:val="-4"/>
          <w:vertAlign w:val="baseline"/>
        </w:rPr>
        <w:t> </w:t>
      </w:r>
      <w:r>
        <w:rPr>
          <w:vertAlign w:val="baseline"/>
        </w:rPr>
        <w:t>from</w:t>
      </w:r>
      <w:r>
        <w:rPr>
          <w:spacing w:val="-4"/>
          <w:vertAlign w:val="baseline"/>
        </w:rPr>
        <w:t> </w:t>
      </w:r>
      <w:r>
        <w:rPr>
          <w:vertAlign w:val="baseline"/>
        </w:rPr>
        <w:t>the</w:t>
      </w:r>
      <w:r>
        <w:rPr>
          <w:spacing w:val="-4"/>
          <w:vertAlign w:val="baseline"/>
        </w:rPr>
        <w:t> </w:t>
      </w:r>
      <w:r>
        <w:rPr>
          <w:vertAlign w:val="baseline"/>
        </w:rPr>
        <w:t>fact</w:t>
      </w:r>
      <w:r>
        <w:rPr>
          <w:spacing w:val="-4"/>
          <w:vertAlign w:val="baseline"/>
        </w:rPr>
        <w:t> </w:t>
      </w:r>
      <w:r>
        <w:rPr>
          <w:vertAlign w:val="baseline"/>
        </w:rPr>
        <w:t>that,</w:t>
      </w:r>
      <w:r>
        <w:rPr>
          <w:spacing w:val="-4"/>
          <w:vertAlign w:val="baseline"/>
        </w:rPr>
        <w:t> </w:t>
      </w:r>
      <w:r>
        <w:rPr>
          <w:vertAlign w:val="baseline"/>
        </w:rPr>
        <w:t>as</w:t>
      </w:r>
      <w:r>
        <w:rPr>
          <w:spacing w:val="-4"/>
          <w:vertAlign w:val="baseline"/>
        </w:rPr>
        <w:t> </w:t>
      </w:r>
      <w:r>
        <w:rPr>
          <w:vertAlign w:val="baseline"/>
        </w:rPr>
        <w:t>stated in the extract from the Giuliano-Lagarde Report set out above, the circumstances surrounding </w:t>
      </w:r>
      <w:r>
        <w:rPr>
          <w:vertAlign w:val="baseline"/>
        </w:rPr>
        <w:t>the arbitration clause must indicate that it is the intention of the parties that the arbitrator should apply the </w:t>
      </w:r>
      <w:bookmarkStart w:name="_bookmark439" w:id="441"/>
      <w:bookmarkEnd w:id="441"/>
      <w:r>
        <w:rPr>
          <w:vertAlign w:val="baseline"/>
        </w:rPr>
        <w:t>law</w:t>
      </w:r>
      <w:r>
        <w:rPr>
          <w:vertAlign w:val="baseline"/>
        </w:rPr>
        <w:t> of the country in which the arbitration takes place, which is not quite the same test as was</w:t>
      </w:r>
      <w:r>
        <w:rPr>
          <w:spacing w:val="40"/>
          <w:vertAlign w:val="baseline"/>
        </w:rPr>
        <w:t> </w:t>
      </w:r>
      <w:bookmarkStart w:name="_bookmark440" w:id="442"/>
      <w:bookmarkEnd w:id="442"/>
      <w:r>
        <w:rPr>
          <w:vertAlign w:val="baseline"/>
        </w:rPr>
        <w:t>adopted</w:t>
      </w:r>
      <w:r>
        <w:rPr>
          <w:vertAlign w:val="baseline"/>
        </w:rPr>
        <w:t> in the common law. </w:t>
      </w:r>
      <w:r>
        <w:rPr>
          <w:color w:val="005DA1"/>
          <w:u w:val="single" w:color="005DA1"/>
          <w:vertAlign w:val="superscript"/>
        </w:rPr>
        <w:t>253</w:t>
      </w:r>
      <w:r>
        <w:rPr>
          <w:color w:val="005DA1"/>
          <w:vertAlign w:val="baseline"/>
        </w:rPr>
        <w:t> </w:t>
      </w:r>
      <w:r>
        <w:rPr>
          <w:vertAlign w:val="baseline"/>
        </w:rPr>
        <w:t>In practice, however, it is unlikely that any material difference will emerge between the two approaches. </w:t>
      </w:r>
      <w:r>
        <w:rPr>
          <w:color w:val="005DA1"/>
          <w:u w:val="single" w:color="005DA1"/>
          <w:vertAlign w:val="superscript"/>
        </w:rPr>
        <w:t>254</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Other relevant </w:t>
      </w:r>
      <w:r>
        <w:rPr>
          <w:rFonts w:ascii="Arial"/>
          <w:b/>
          <w:spacing w:val="-2"/>
          <w:sz w:val="18"/>
        </w:rPr>
        <w:t>factors</w:t>
      </w:r>
    </w:p>
    <w:p>
      <w:pPr>
        <w:pStyle w:val="BodyText"/>
        <w:spacing w:before="41"/>
        <w:rPr>
          <w:rFonts w:ascii="Arial"/>
          <w:b/>
          <w:sz w:val="18"/>
        </w:rPr>
      </w:pPr>
    </w:p>
    <w:p>
      <w:pPr>
        <w:pStyle w:val="Heading2"/>
      </w:pPr>
      <w:r>
        <w:rPr/>
        <w:t>30-</w:t>
      </w:r>
      <w:r>
        <w:rPr>
          <w:spacing w:val="-5"/>
        </w:rPr>
        <w:t>052</w:t>
      </w:r>
    </w:p>
    <w:p>
      <w:pPr>
        <w:pStyle w:val="BodyText"/>
        <w:spacing w:line="235" w:lineRule="auto" w:before="203"/>
        <w:ind w:left="165" w:right="167"/>
        <w:jc w:val="both"/>
      </w:pPr>
      <w:bookmarkStart w:name="_bookmark441" w:id="443"/>
      <w:bookmarkEnd w:id="443"/>
      <w:r>
        <w:rPr/>
      </w:r>
      <w:r>
        <w:rPr/>
        <w:t>The extract from the Giuliano-Lagarde Report set out above </w:t>
      </w:r>
      <w:r>
        <w:rPr>
          <w:color w:val="005DA1"/>
          <w:u w:val="single" w:color="005DA1"/>
          <w:vertAlign w:val="superscript"/>
        </w:rPr>
        <w:t>255</w:t>
      </w:r>
      <w:r>
        <w:rPr>
          <w:color w:val="005DA1"/>
          <w:vertAlign w:val="baseline"/>
        </w:rPr>
        <w:t> </w:t>
      </w:r>
      <w:r>
        <w:rPr>
          <w:vertAlign w:val="baseline"/>
        </w:rPr>
        <w:t>is expressly stated to provide examples of what might be taken to be indications as to the intent of the parties to choose a </w:t>
      </w:r>
      <w:r>
        <w:rPr>
          <w:vertAlign w:val="baseline"/>
        </w:rPr>
        <w:t>particular </w:t>
      </w:r>
      <w:bookmarkStart w:name="_bookmark442" w:id="444"/>
      <w:bookmarkEnd w:id="444"/>
      <w:r>
        <w:rPr>
          <w:vertAlign w:val="baseline"/>
        </w:rPr>
        <w:t>law</w:t>
      </w:r>
      <w:r>
        <w:rPr>
          <w:vertAlign w:val="baseline"/>
        </w:rPr>
        <w:t> as the governing law. There may, however, be other terms of the contract or other circumstances in the particular case which will point to the fact that the parties have made a “real choice of law”. </w:t>
      </w:r>
      <w:r>
        <w:rPr>
          <w:color w:val="005DA1"/>
          <w:u w:val="single" w:color="005DA1"/>
          <w:vertAlign w:val="superscript"/>
        </w:rPr>
        <w:t>256</w:t>
      </w:r>
      <w:r>
        <w:rPr>
          <w:color w:val="005DA1"/>
          <w:vertAlign w:val="baseline"/>
        </w:rPr>
        <w:t> </w:t>
      </w:r>
      <w:r>
        <w:rPr>
          <w:vertAlign w:val="baseline"/>
        </w:rPr>
        <w:t>Thus, for example, where a company based in a particular country concludes, in that country, through a broker based in the same country, a worldwide insurance policy on behalf of its subsidiaries with an insurer based in the same country, and the policy contains a term which imposes a one year period in which suit had to be brought unless such a limit was invalid by the law of the country in which the policy was issued in which case suit had to be commenced within the shortest limit of time permitted under the law of the latter country, the conclusion may well be drawn that the parties intended to</w:t>
      </w:r>
      <w:r>
        <w:rPr>
          <w:spacing w:val="40"/>
          <w:vertAlign w:val="baseline"/>
        </w:rPr>
        <w:t> </w:t>
      </w:r>
      <w:bookmarkStart w:name="_bookmark443" w:id="445"/>
      <w:bookmarkEnd w:id="445"/>
      <w:r>
        <w:rPr>
          <w:vertAlign w:val="baseline"/>
        </w:rPr>
        <w:t>make</w:t>
      </w:r>
      <w:r>
        <w:rPr>
          <w:vertAlign w:val="baseline"/>
        </w:rPr>
        <w:t> a real choice of the law of that country and that the term and the other circumstances demonstrated with reasonable certainty an intention to make such a choice. </w:t>
      </w:r>
      <w:r>
        <w:rPr>
          <w:color w:val="005DA1"/>
          <w:u w:val="single" w:color="005DA1"/>
          <w:vertAlign w:val="superscript"/>
        </w:rPr>
        <w:t>257</w:t>
      </w:r>
    </w:p>
    <w:p>
      <w:pPr>
        <w:pStyle w:val="BodyText"/>
      </w:pPr>
    </w:p>
    <w:p>
      <w:pPr>
        <w:pStyle w:val="BodyText"/>
        <w:spacing w:before="34"/>
      </w:pPr>
    </w:p>
    <w:p>
      <w:pPr>
        <w:spacing w:before="0"/>
        <w:ind w:left="165" w:right="0" w:firstLine="0"/>
        <w:jc w:val="left"/>
        <w:rPr>
          <w:rFonts w:ascii="Arial"/>
          <w:b/>
          <w:sz w:val="18"/>
        </w:rPr>
      </w:pPr>
      <w:r>
        <w:rPr>
          <w:rFonts w:ascii="Arial"/>
          <w:b/>
          <w:sz w:val="18"/>
        </w:rPr>
        <w:t>Subsequent </w:t>
      </w:r>
      <w:r>
        <w:rPr>
          <w:rFonts w:ascii="Arial"/>
          <w:b/>
          <w:spacing w:val="-2"/>
          <w:sz w:val="18"/>
        </w:rPr>
        <w:t>conduct</w:t>
      </w:r>
    </w:p>
    <w:p>
      <w:pPr>
        <w:pStyle w:val="BodyText"/>
        <w:spacing w:before="41"/>
        <w:rPr>
          <w:rFonts w:ascii="Arial"/>
          <w:b/>
          <w:sz w:val="18"/>
        </w:rPr>
      </w:pPr>
    </w:p>
    <w:p>
      <w:pPr>
        <w:pStyle w:val="Heading2"/>
      </w:pPr>
      <w:r>
        <w:rPr/>
        <w:t>30-</w:t>
      </w:r>
      <w:r>
        <w:rPr>
          <w:spacing w:val="-5"/>
        </w:rPr>
        <w:t>053</w:t>
      </w:r>
    </w:p>
    <w:p>
      <w:pPr>
        <w:pStyle w:val="BodyText"/>
        <w:spacing w:line="235" w:lineRule="auto" w:before="203"/>
        <w:ind w:left="164" w:right="167"/>
        <w:jc w:val="both"/>
      </w:pPr>
      <w:bookmarkStart w:name="_bookmark444" w:id="446"/>
      <w:bookmarkEnd w:id="446"/>
      <w:r>
        <w:rPr/>
      </w:r>
      <w:r>
        <w:rPr/>
        <w:t>At common law, it was not possible to take into account the conduct of the parties subsequent to </w:t>
      </w:r>
      <w:r>
        <w:rPr/>
        <w:t>the making of the contract in determining their intentions in relation to an implied choice of law. </w:t>
      </w:r>
      <w:r>
        <w:rPr>
          <w:color w:val="005DA1"/>
          <w:u w:val="single" w:color="005DA1"/>
          <w:vertAlign w:val="superscript"/>
        </w:rPr>
        <w:t>258</w:t>
      </w:r>
      <w:r>
        <w:rPr>
          <w:color w:val="005DA1"/>
          <w:vertAlign w:val="baseline"/>
        </w:rPr>
        <w:t> </w:t>
      </w:r>
      <w:r>
        <w:rPr>
          <w:vertAlign w:val="baseline"/>
        </w:rPr>
        <w:t>The </w:t>
      </w:r>
      <w:bookmarkStart w:name="_bookmark445" w:id="447"/>
      <w:bookmarkEnd w:id="447"/>
      <w:r>
        <w:rPr>
          <w:vertAlign w:val="baseline"/>
        </w:rPr>
        <w:t>position</w:t>
      </w:r>
      <w:r>
        <w:rPr>
          <w:vertAlign w:val="baseline"/>
        </w:rPr>
        <w:t> under the Rome Convention is not clear. The Giuliano-Lagarde Report recognises that a choice of law may be deduced “in the light of all the facts”. </w:t>
      </w:r>
      <w:r>
        <w:rPr>
          <w:color w:val="005DA1"/>
          <w:u w:val="single" w:color="005DA1"/>
          <w:vertAlign w:val="superscript"/>
        </w:rPr>
        <w:t>259</w:t>
      </w:r>
      <w:r>
        <w:rPr>
          <w:color w:val="005DA1"/>
          <w:vertAlign w:val="baseline"/>
        </w:rPr>
        <w:t> </w:t>
      </w:r>
      <w:r>
        <w:rPr>
          <w:vertAlign w:val="baseline"/>
        </w:rPr>
        <w:t>It further concludes that where there is </w:t>
      </w:r>
      <w:bookmarkStart w:name="_bookmark446" w:id="448"/>
      <w:bookmarkEnd w:id="448"/>
      <w:r>
        <w:rPr>
          <w:vertAlign w:val="baseline"/>
        </w:rPr>
        <w:t>no</w:t>
      </w:r>
      <w:r>
        <w:rPr>
          <w:vertAlign w:val="baseline"/>
        </w:rPr>
        <w:t> choice of law, so that it is necessary to discover the law of the country with which the contract is </w:t>
      </w:r>
      <w:bookmarkStart w:name="_bookmark447" w:id="449"/>
      <w:bookmarkEnd w:id="449"/>
      <w:r>
        <w:rPr>
          <w:vertAlign w:val="baseline"/>
        </w:rPr>
        <w:t>most</w:t>
      </w:r>
      <w:r>
        <w:rPr>
          <w:vertAlign w:val="baseline"/>
        </w:rPr>
        <w:t> closely connected pursuant to art.4 of the Convention, </w:t>
      </w:r>
      <w:r>
        <w:rPr>
          <w:color w:val="005DA1"/>
          <w:u w:val="single" w:color="005DA1"/>
          <w:vertAlign w:val="superscript"/>
        </w:rPr>
        <w:t>260</w:t>
      </w:r>
      <w:r>
        <w:rPr>
          <w:color w:val="005DA1"/>
          <w:vertAlign w:val="baseline"/>
        </w:rPr>
        <w:t> </w:t>
      </w:r>
      <w:r>
        <w:rPr>
          <w:vertAlign w:val="baseline"/>
        </w:rPr>
        <w:t>“it is also possible to take account of factors which supervened after the conclusion of the contract”. </w:t>
      </w:r>
      <w:r>
        <w:rPr>
          <w:color w:val="005DA1"/>
          <w:u w:val="single" w:color="005DA1"/>
          <w:vertAlign w:val="superscript"/>
        </w:rPr>
        <w:t>261</w:t>
      </w:r>
      <w:r>
        <w:rPr>
          <w:color w:val="005DA1"/>
          <w:vertAlign w:val="baseline"/>
        </w:rPr>
        <w:t> </w:t>
      </w:r>
      <w:r>
        <w:rPr>
          <w:vertAlign w:val="baseline"/>
        </w:rPr>
        <w:t>The better view, it is suggested, is </w:t>
      </w:r>
      <w:bookmarkStart w:name="_bookmark448" w:id="450"/>
      <w:bookmarkEnd w:id="450"/>
      <w:r>
        <w:rPr>
          <w:vertAlign w:val="baseline"/>
        </w:rPr>
        <w:t>that</w:t>
      </w:r>
      <w:r>
        <w:rPr>
          <w:vertAlign w:val="baseline"/>
        </w:rPr>
        <w:t> subsequent conduct may be taken into account in this context also to the extent that it points to the intentions of the parties at the time the contract was made. </w:t>
      </w:r>
      <w:r>
        <w:rPr>
          <w:color w:val="005DA1"/>
          <w:u w:val="single" w:color="005DA1"/>
          <w:vertAlign w:val="superscript"/>
        </w:rPr>
        <w:t>262</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“Implied” choice or “no” </w:t>
      </w:r>
      <w:r>
        <w:rPr>
          <w:rFonts w:ascii="Arial" w:hAnsi="Arial"/>
          <w:b/>
          <w:spacing w:val="-2"/>
          <w:sz w:val="18"/>
        </w:rPr>
        <w:t>choice</w:t>
      </w:r>
    </w:p>
    <w:p>
      <w:pPr>
        <w:pStyle w:val="BodyText"/>
        <w:spacing w:before="41"/>
        <w:rPr>
          <w:rFonts w:ascii="Arial"/>
          <w:b/>
          <w:sz w:val="18"/>
        </w:rPr>
      </w:pPr>
    </w:p>
    <w:p>
      <w:pPr>
        <w:pStyle w:val="Heading2"/>
      </w:pPr>
      <w:r>
        <w:rPr/>
        <w:t>30-</w:t>
      </w:r>
      <w:r>
        <w:rPr>
          <w:spacing w:val="-5"/>
        </w:rPr>
        <w:t>054</w:t>
      </w:r>
    </w:p>
    <w:p>
      <w:pPr>
        <w:pStyle w:val="BodyText"/>
        <w:spacing w:line="235" w:lineRule="auto" w:before="203"/>
        <w:ind w:left="165" w:right="167"/>
        <w:jc w:val="both"/>
      </w:pPr>
      <w:bookmarkStart w:name="_bookmark449" w:id="451"/>
      <w:bookmarkEnd w:id="451"/>
      <w:r>
        <w:rPr/>
      </w:r>
      <w:r>
        <w:rPr/>
        <w:t>One difficulty in the common law, which remains under the Convention, is that of </w:t>
      </w:r>
      <w:r>
        <w:rPr/>
        <w:t>distinguishing </w:t>
      </w:r>
      <w:bookmarkStart w:name="_bookmark450" w:id="452"/>
      <w:bookmarkEnd w:id="452"/>
      <w:r>
        <w:rPr/>
        <w:t>between</w:t>
      </w:r>
      <w:r>
        <w:rPr/>
        <w:t> a case of “implied” choice of law and a case of “no” choice of law. </w:t>
      </w:r>
      <w:r>
        <w:rPr>
          <w:color w:val="005DA1"/>
          <w:u w:val="single" w:color="005DA1"/>
          <w:vertAlign w:val="superscript"/>
        </w:rPr>
        <w:t>263</w:t>
      </w:r>
      <w:r>
        <w:rPr>
          <w:color w:val="005DA1"/>
          <w:vertAlign w:val="baseline"/>
        </w:rPr>
        <w:t> </w:t>
      </w:r>
      <w:r>
        <w:rPr>
          <w:vertAlign w:val="baseline"/>
        </w:rPr>
        <w:t>In the latter case, art.4 will be used to determine the applicable law. </w:t>
      </w:r>
      <w:r>
        <w:rPr>
          <w:color w:val="005DA1"/>
          <w:u w:val="single" w:color="005DA1"/>
          <w:vertAlign w:val="superscript"/>
        </w:rPr>
        <w:t>264</w:t>
      </w:r>
      <w:r>
        <w:rPr>
          <w:color w:val="005DA1"/>
          <w:vertAlign w:val="baseline"/>
        </w:rPr>
        <w:t> </w:t>
      </w:r>
      <w:r>
        <w:rPr>
          <w:vertAlign w:val="baseline"/>
        </w:rPr>
        <w:t>But opinions may legitimately differ on whether a </w:t>
      </w:r>
      <w:bookmarkStart w:name="_bookmark451" w:id="453"/>
      <w:bookmarkEnd w:id="453"/>
      <w:r>
        <w:rPr>
          <w:vertAlign w:val="baseline"/>
        </w:rPr>
        <w:t>particular</w:t>
      </w:r>
      <w:r>
        <w:rPr>
          <w:vertAlign w:val="baseline"/>
        </w:rPr>
        <w:t> case constitutes one in which a choice of law has been demonstrated with reasonable certainty or whether it is, in fact, one in which no choice of law has been made. </w:t>
      </w:r>
      <w:r>
        <w:rPr>
          <w:color w:val="005DA1"/>
          <w:u w:val="single" w:color="005DA1"/>
          <w:vertAlign w:val="superscript"/>
        </w:rPr>
        <w:t>265</w:t>
      </w:r>
      <w:r>
        <w:rPr>
          <w:color w:val="005DA1"/>
          <w:vertAlign w:val="baseline"/>
        </w:rPr>
        <w:t> </w:t>
      </w:r>
      <w:r>
        <w:rPr>
          <w:vertAlign w:val="baseline"/>
        </w:rPr>
        <w:t>The obvious solution to this potential uncertainty is to include an express choice of law in the contract.</w:t>
      </w:r>
    </w:p>
    <w:p>
      <w:pPr>
        <w:pStyle w:val="BodyText"/>
      </w:pPr>
    </w:p>
    <w:p>
      <w:pPr>
        <w:pStyle w:val="BodyText"/>
        <w:spacing w:before="36"/>
      </w:pPr>
    </w:p>
    <w:p>
      <w:pPr>
        <w:spacing w:before="0"/>
        <w:ind w:left="165" w:right="0" w:firstLine="0"/>
        <w:jc w:val="left"/>
        <w:rPr>
          <w:rFonts w:ascii="Arial"/>
          <w:b/>
          <w:sz w:val="18"/>
        </w:rPr>
      </w:pPr>
      <w:r>
        <w:rPr>
          <w:rFonts w:ascii="Arial"/>
          <w:b/>
          <w:sz w:val="18"/>
        </w:rPr>
        <w:t>Partial choice of </w:t>
      </w:r>
      <w:r>
        <w:rPr>
          <w:rFonts w:ascii="Arial"/>
          <w:b/>
          <w:spacing w:val="-5"/>
          <w:sz w:val="18"/>
        </w:rPr>
        <w:t>law</w:t>
      </w:r>
    </w:p>
    <w:p>
      <w:pPr>
        <w:pStyle w:val="BodyText"/>
        <w:spacing w:before="42"/>
        <w:rPr>
          <w:rFonts w:ascii="Arial"/>
          <w:b/>
          <w:sz w:val="18"/>
        </w:rPr>
      </w:pPr>
    </w:p>
    <w:p>
      <w:pPr>
        <w:pStyle w:val="Heading2"/>
      </w:pPr>
      <w:r>
        <w:rPr/>
        <w:t>30-</w:t>
      </w:r>
      <w:r>
        <w:rPr>
          <w:spacing w:val="-5"/>
        </w:rPr>
        <w:t>055</w:t>
      </w:r>
    </w:p>
    <w:p>
      <w:pPr>
        <w:pStyle w:val="BodyText"/>
        <w:spacing w:line="235" w:lineRule="auto" w:before="202"/>
        <w:ind w:left="165" w:right="167"/>
        <w:jc w:val="both"/>
      </w:pPr>
      <w:bookmarkStart w:name="_bookmark452" w:id="454"/>
      <w:bookmarkEnd w:id="454"/>
      <w:r>
        <w:rPr/>
      </w:r>
      <w:r>
        <w:rPr/>
        <w:t>The first sentence of art.3(1) permits the parties to “select the law applicable to the whole or part only </w:t>
      </w:r>
      <w:bookmarkStart w:name="_bookmark453" w:id="455"/>
      <w:bookmarkEnd w:id="455"/>
      <w:r>
        <w:rPr/>
        <w:t>of</w:t>
      </w:r>
      <w:r>
        <w:rPr/>
        <w:t> the contract”. The provision introduces into the Convention the notion of the splitting </w:t>
      </w:r>
      <w:r>
        <w:rPr>
          <w:color w:val="005DA1"/>
          <w:u w:val="single" w:color="005DA1"/>
          <w:vertAlign w:val="superscript"/>
        </w:rPr>
        <w:t>266</w:t>
      </w:r>
      <w:r>
        <w:rPr>
          <w:color w:val="005DA1"/>
          <w:vertAlign w:val="baseline"/>
        </w:rPr>
        <w:t> </w:t>
      </w:r>
      <w:r>
        <w:rPr>
          <w:vertAlign w:val="baseline"/>
        </w:rPr>
        <w:t>of the contract,</w:t>
      </w:r>
      <w:r>
        <w:rPr>
          <w:spacing w:val="11"/>
          <w:vertAlign w:val="baseline"/>
        </w:rPr>
        <w:t> </w:t>
      </w:r>
      <w:r>
        <w:rPr>
          <w:vertAlign w:val="baseline"/>
        </w:rPr>
        <w:t>or</w:t>
      </w:r>
      <w:r>
        <w:rPr>
          <w:spacing w:val="12"/>
          <w:vertAlign w:val="baseline"/>
        </w:rPr>
        <w:t> </w:t>
      </w:r>
      <w:r>
        <w:rPr>
          <w:vertAlign w:val="baseline"/>
        </w:rPr>
        <w:t>severability</w:t>
      </w:r>
      <w:r>
        <w:rPr>
          <w:spacing w:val="12"/>
          <w:vertAlign w:val="baseline"/>
        </w:rPr>
        <w:t> </w:t>
      </w:r>
      <w:r>
        <w:rPr>
          <w:color w:val="005DA1"/>
          <w:u w:val="single" w:color="005DA1"/>
          <w:vertAlign w:val="superscript"/>
        </w:rPr>
        <w:t>267</w:t>
      </w:r>
      <w:r>
        <w:rPr>
          <w:color w:val="005DA1"/>
          <w:spacing w:val="12"/>
          <w:vertAlign w:val="baseline"/>
        </w:rPr>
        <w:t> </w:t>
      </w:r>
      <w:r>
        <w:rPr>
          <w:vertAlign w:val="baseline"/>
        </w:rPr>
        <w:t>thereof,</w:t>
      </w:r>
      <w:r>
        <w:rPr>
          <w:spacing w:val="12"/>
          <w:vertAlign w:val="baseline"/>
        </w:rPr>
        <w:t> </w:t>
      </w:r>
      <w:r>
        <w:rPr>
          <w:vertAlign w:val="baseline"/>
        </w:rPr>
        <w:t>often</w:t>
      </w:r>
      <w:r>
        <w:rPr>
          <w:spacing w:val="12"/>
          <w:vertAlign w:val="baseline"/>
        </w:rPr>
        <w:t> </w:t>
      </w:r>
      <w:r>
        <w:rPr>
          <w:vertAlign w:val="baseline"/>
        </w:rPr>
        <w:t>described</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jargon</w:t>
      </w:r>
      <w:r>
        <w:rPr>
          <w:spacing w:val="12"/>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conflict</w:t>
      </w:r>
      <w:r>
        <w:rPr>
          <w:spacing w:val="12"/>
          <w:vertAlign w:val="baseline"/>
        </w:rPr>
        <w:t> </w:t>
      </w:r>
      <w:r>
        <w:rPr>
          <w:vertAlign w:val="baseline"/>
        </w:rPr>
        <w:t>of</w:t>
      </w:r>
      <w:r>
        <w:rPr>
          <w:spacing w:val="12"/>
          <w:vertAlign w:val="baseline"/>
        </w:rPr>
        <w:t> </w:t>
      </w:r>
      <w:r>
        <w:rPr>
          <w:vertAlign w:val="baseline"/>
        </w:rPr>
        <w:t>laws</w:t>
      </w:r>
      <w:r>
        <w:rPr>
          <w:spacing w:val="12"/>
          <w:vertAlign w:val="baseline"/>
        </w:rPr>
        <w:t> </w:t>
      </w:r>
      <w:r>
        <w:rPr>
          <w:vertAlign w:val="baseline"/>
        </w:rPr>
        <w:t>as</w:t>
      </w:r>
      <w:r>
        <w:rPr>
          <w:spacing w:val="12"/>
          <w:vertAlign w:val="baseline"/>
        </w:rPr>
        <w:t> </w:t>
      </w:r>
      <w:r>
        <w:rPr>
          <w:spacing w:val="-2"/>
          <w:vertAlign w:val="baseline"/>
        </w:rPr>
        <w:t>dépeçage,</w:t>
      </w:r>
    </w:p>
    <w:p>
      <w:pPr>
        <w:pStyle w:val="BodyText"/>
        <w:spacing w:line="235" w:lineRule="auto"/>
        <w:ind w:left="164" w:right="167"/>
        <w:jc w:val="both"/>
      </w:pPr>
      <w:r>
        <w:rPr>
          <w:color w:val="005DA1"/>
          <w:u w:val="single" w:color="005DA1"/>
          <w:vertAlign w:val="superscript"/>
        </w:rPr>
        <w:t>268</w:t>
      </w:r>
      <w:r>
        <w:rPr>
          <w:color w:val="005DA1"/>
          <w:vertAlign w:val="baseline"/>
        </w:rPr>
        <w:t> </w:t>
      </w:r>
      <w:bookmarkStart w:name="_bookmark454" w:id="456"/>
      <w:bookmarkEnd w:id="456"/>
      <w:r>
        <w:rPr>
          <w:color w:val="005DA1"/>
          <w:spacing w:val="16"/>
          <w:vertAlign w:val="baseline"/>
        </w:rPr>
      </w:r>
      <w:r>
        <w:rPr>
          <w:vertAlign w:val="baseline"/>
        </w:rPr>
        <w:t>whereby different aspects (or parts) of a contract may be governed by different laws. This notion </w:t>
      </w:r>
      <w:bookmarkStart w:name="_bookmark455" w:id="457"/>
      <w:bookmarkEnd w:id="457"/>
      <w:r>
        <w:rPr>
          <w:vertAlign w:val="baseline"/>
        </w:rPr>
        <w:t>was</w:t>
      </w:r>
      <w:r>
        <w:rPr>
          <w:vertAlign w:val="baseline"/>
        </w:rPr>
        <w:t> also recognised in the common law. </w:t>
      </w:r>
      <w:r>
        <w:rPr>
          <w:color w:val="005DA1"/>
          <w:u w:val="single" w:color="005DA1"/>
          <w:vertAlign w:val="superscript"/>
        </w:rPr>
        <w:t>269</w:t>
      </w:r>
      <w:r>
        <w:rPr>
          <w:color w:val="005DA1"/>
          <w:vertAlign w:val="baseline"/>
        </w:rPr>
        <w:t> </w:t>
      </w:r>
      <w:r>
        <w:rPr>
          <w:vertAlign w:val="baseline"/>
        </w:rPr>
        <w:t>Its inclusion in the Convention was not, </w:t>
      </w:r>
      <w:r>
        <w:rPr>
          <w:vertAlign w:val="baseline"/>
        </w:rPr>
        <w:t>however, uncontroversial, </w:t>
      </w:r>
      <w:r>
        <w:rPr>
          <w:color w:val="005DA1"/>
          <w:u w:val="single" w:color="005DA1"/>
          <w:vertAlign w:val="superscript"/>
        </w:rPr>
        <w:t>270</w:t>
      </w:r>
      <w:r>
        <w:rPr>
          <w:color w:val="005DA1"/>
          <w:vertAlign w:val="baseline"/>
        </w:rPr>
        <w:t> </w:t>
      </w:r>
      <w:r>
        <w:rPr>
          <w:vertAlign w:val="baseline"/>
        </w:rPr>
        <w:t>though ultimately it was accepted that permitting parties, in this way, to choose </w:t>
      </w:r>
      <w:bookmarkStart w:name="_bookmark456" w:id="458"/>
      <w:bookmarkEnd w:id="458"/>
      <w:r>
        <w:rPr>
          <w:vertAlign w:val="baseline"/>
        </w:rPr>
        <w:t>different</w:t>
      </w:r>
      <w:r>
        <w:rPr>
          <w:spacing w:val="-1"/>
          <w:vertAlign w:val="baseline"/>
        </w:rPr>
        <w:t> </w:t>
      </w:r>
      <w:r>
        <w:rPr>
          <w:vertAlign w:val="baseline"/>
        </w:rPr>
        <w:t>laws</w:t>
      </w:r>
      <w:r>
        <w:rPr>
          <w:spacing w:val="-1"/>
          <w:vertAlign w:val="baseline"/>
        </w:rPr>
        <w:t> </w:t>
      </w:r>
      <w:r>
        <w:rPr>
          <w:vertAlign w:val="baseline"/>
        </w:rPr>
        <w:t>to</w:t>
      </w:r>
      <w:r>
        <w:rPr>
          <w:spacing w:val="-1"/>
          <w:vertAlign w:val="baseline"/>
        </w:rPr>
        <w:t> </w:t>
      </w:r>
      <w:r>
        <w:rPr>
          <w:vertAlign w:val="baseline"/>
        </w:rPr>
        <w:t>govern</w:t>
      </w:r>
      <w:r>
        <w:rPr>
          <w:spacing w:val="-1"/>
          <w:vertAlign w:val="baseline"/>
        </w:rPr>
        <w:t> </w:t>
      </w:r>
      <w:r>
        <w:rPr>
          <w:vertAlign w:val="baseline"/>
        </w:rPr>
        <w:t>different</w:t>
      </w:r>
      <w:r>
        <w:rPr>
          <w:spacing w:val="-1"/>
          <w:vertAlign w:val="baseline"/>
        </w:rPr>
        <w:t> </w:t>
      </w:r>
      <w:r>
        <w:rPr>
          <w:vertAlign w:val="baseline"/>
        </w:rPr>
        <w:t>parts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or</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a</w:t>
      </w:r>
      <w:r>
        <w:rPr>
          <w:spacing w:val="-1"/>
          <w:vertAlign w:val="baseline"/>
        </w:rPr>
        <w:t> </w:t>
      </w:r>
      <w:r>
        <w:rPr>
          <w:vertAlign w:val="baseline"/>
        </w:rPr>
        <w:t>choice</w:t>
      </w:r>
      <w:r>
        <w:rPr>
          <w:spacing w:val="-1"/>
          <w:vertAlign w:val="baseline"/>
        </w:rPr>
        <w:t> </w:t>
      </w:r>
      <w:r>
        <w:rPr>
          <w:vertAlign w:val="baseline"/>
        </w:rPr>
        <w:t>of</w:t>
      </w:r>
      <w:r>
        <w:rPr>
          <w:spacing w:val="-1"/>
          <w:vertAlign w:val="baseline"/>
        </w:rPr>
        <w:t> </w:t>
      </w:r>
      <w:r>
        <w:rPr>
          <w:vertAlign w:val="baseline"/>
        </w:rPr>
        <w:t>law</w:t>
      </w:r>
      <w:r>
        <w:rPr>
          <w:spacing w:val="-1"/>
          <w:vertAlign w:val="baseline"/>
        </w:rPr>
        <w:t> </w:t>
      </w:r>
      <w:r>
        <w:rPr>
          <w:vertAlign w:val="baseline"/>
        </w:rPr>
        <w:t>in</w:t>
      </w:r>
      <w:r>
        <w:rPr>
          <w:spacing w:val="-1"/>
          <w:vertAlign w:val="baseline"/>
        </w:rPr>
        <w:t> </w:t>
      </w:r>
      <w:r>
        <w:rPr>
          <w:vertAlign w:val="baseline"/>
        </w:rPr>
        <w:t>relation</w:t>
      </w:r>
      <w:r>
        <w:rPr>
          <w:spacing w:val="-1"/>
          <w:vertAlign w:val="baseline"/>
        </w:rPr>
        <w:t> </w:t>
      </w:r>
      <w:r>
        <w:rPr>
          <w:vertAlign w:val="baseline"/>
        </w:rPr>
        <w:t>to</w:t>
      </w:r>
      <w:r>
        <w:rPr>
          <w:spacing w:val="-1"/>
          <w:vertAlign w:val="baseline"/>
        </w:rPr>
        <w:t> </w:t>
      </w:r>
      <w:r>
        <w:rPr>
          <w:vertAlign w:val="baseline"/>
        </w:rPr>
        <w:t>one</w:t>
      </w:r>
      <w:r>
        <w:rPr>
          <w:spacing w:val="-1"/>
          <w:vertAlign w:val="baseline"/>
        </w:rPr>
        <w:t> </w:t>
      </w:r>
      <w:r>
        <w:rPr>
          <w:vertAlign w:val="baseline"/>
        </w:rPr>
        <w:t>part </w:t>
      </w:r>
      <w:bookmarkStart w:name="_bookmark457" w:id="459"/>
      <w:bookmarkEnd w:id="459"/>
      <w:r>
        <w:rPr>
          <w:vertAlign w:val="baseline"/>
        </w:rPr>
        <w:t>and</w:t>
      </w:r>
      <w:r>
        <w:rPr>
          <w:vertAlign w:val="baseline"/>
        </w:rPr>
        <w:t> no choice in relation to another part or parts of the contract </w:t>
      </w:r>
      <w:r>
        <w:rPr>
          <w:color w:val="005DA1"/>
          <w:u w:val="single" w:color="005DA1"/>
          <w:vertAlign w:val="superscript"/>
        </w:rPr>
        <w:t>271</w:t>
      </w:r>
      <w:r>
        <w:rPr>
          <w:color w:val="005DA1"/>
          <w:vertAlign w:val="baseline"/>
        </w:rPr>
        <w:t> </w:t>
      </w:r>
      <w:r>
        <w:rPr>
          <w:vertAlign w:val="baseline"/>
        </w:rPr>
        <w:t>could be justified as the logical conclusion of the principle of party autonomy in choice of law. </w:t>
      </w:r>
      <w:r>
        <w:rPr>
          <w:color w:val="005DA1"/>
          <w:u w:val="single" w:color="005DA1"/>
          <w:vertAlign w:val="superscript"/>
        </w:rPr>
        <w:t>272</w:t>
      </w:r>
    </w:p>
    <w:p>
      <w:pPr>
        <w:pStyle w:val="BodyText"/>
        <w:spacing w:after="0" w:line="235" w:lineRule="auto"/>
        <w:jc w:val="both"/>
        <w:sectPr>
          <w:pgSz w:w="11900" w:h="16840"/>
          <w:pgMar w:header="971" w:footer="0" w:top="1300" w:bottom="280" w:left="1275" w:right="1275"/>
        </w:sectPr>
      </w:pPr>
    </w:p>
    <w:p>
      <w:pPr>
        <w:pStyle w:val="Heading2"/>
        <w:spacing w:before="262"/>
      </w:pPr>
      <w:r>
        <w:rPr/>
        <w:t>30-</w:t>
      </w:r>
      <w:r>
        <w:rPr>
          <w:spacing w:val="-5"/>
        </w:rPr>
        <w:t>056</w:t>
      </w:r>
    </w:p>
    <w:p>
      <w:pPr>
        <w:pStyle w:val="BodyText"/>
        <w:spacing w:line="235" w:lineRule="auto" w:before="202"/>
        <w:ind w:left="165" w:right="167"/>
        <w:jc w:val="both"/>
      </w:pPr>
      <w:r>
        <w:rPr/>
        <w:t>The Giuliano-Lagarde Report provides some guidance as to how it is thought the provision is likely </w:t>
      </w:r>
      <w:r>
        <w:rPr/>
        <w:t>to </w:t>
      </w:r>
      <w:bookmarkStart w:name="_bookmark458" w:id="460"/>
      <w:bookmarkEnd w:id="460"/>
      <w:r>
        <w:rPr/>
        <w:t>operate.</w:t>
      </w:r>
      <w:r>
        <w:rPr/>
        <w:t> First, it appears that the contract must consist of several parts “which are separable and independent</w:t>
      </w:r>
      <w:r>
        <w:rPr>
          <w:spacing w:val="-3"/>
        </w:rPr>
        <w:t> </w:t>
      </w:r>
      <w:r>
        <w:rPr/>
        <w:t>of</w:t>
      </w:r>
      <w:r>
        <w:rPr>
          <w:spacing w:val="-3"/>
        </w:rPr>
        <w:t> </w:t>
      </w:r>
      <w:r>
        <w:rPr/>
        <w:t>each</w:t>
      </w:r>
      <w:r>
        <w:rPr>
          <w:spacing w:val="-3"/>
        </w:rPr>
        <w:t> </w:t>
      </w:r>
      <w:r>
        <w:rPr/>
        <w:t>other</w:t>
      </w:r>
      <w:r>
        <w:rPr>
          <w:spacing w:val="-3"/>
        </w:rPr>
        <w:t> </w:t>
      </w:r>
      <w:r>
        <w:rPr/>
        <w:t>from</w:t>
      </w:r>
      <w:r>
        <w:rPr>
          <w:spacing w:val="-3"/>
        </w:rPr>
        <w:t> </w:t>
      </w:r>
      <w:r>
        <w:rPr/>
        <w:t>the</w:t>
      </w:r>
      <w:r>
        <w:rPr>
          <w:spacing w:val="-3"/>
        </w:rPr>
        <w:t> </w:t>
      </w:r>
      <w:r>
        <w:rPr/>
        <w:t>legal</w:t>
      </w:r>
      <w:r>
        <w:rPr>
          <w:spacing w:val="-3"/>
        </w:rPr>
        <w:t> </w:t>
      </w:r>
      <w:r>
        <w:rPr/>
        <w:t>and</w:t>
      </w:r>
      <w:r>
        <w:rPr>
          <w:spacing w:val="-3"/>
        </w:rPr>
        <w:t> </w:t>
      </w:r>
      <w:r>
        <w:rPr/>
        <w:t>economic</w:t>
      </w:r>
      <w:r>
        <w:rPr>
          <w:spacing w:val="-3"/>
        </w:rPr>
        <w:t> </w:t>
      </w:r>
      <w:r>
        <w:rPr/>
        <w:t>point</w:t>
      </w:r>
      <w:r>
        <w:rPr>
          <w:spacing w:val="-3"/>
        </w:rPr>
        <w:t> </w:t>
      </w:r>
      <w:r>
        <w:rPr/>
        <w:t>of</w:t>
      </w:r>
      <w:r>
        <w:rPr>
          <w:spacing w:val="-3"/>
        </w:rPr>
        <w:t> </w:t>
      </w:r>
      <w:r>
        <w:rPr/>
        <w:t>view”.</w:t>
      </w:r>
      <w:r>
        <w:rPr>
          <w:spacing w:val="-4"/>
        </w:rPr>
        <w:t> </w:t>
      </w:r>
      <w:r>
        <w:rPr>
          <w:color w:val="005DA1"/>
          <w:u w:val="single" w:color="005DA1"/>
          <w:vertAlign w:val="superscript"/>
        </w:rPr>
        <w:t>273</w:t>
      </w:r>
      <w:r>
        <w:rPr>
          <w:color w:val="005DA1"/>
          <w:spacing w:val="-3"/>
          <w:vertAlign w:val="baseline"/>
        </w:rPr>
        <w:t> </w:t>
      </w:r>
      <w:r>
        <w:rPr>
          <w:vertAlign w:val="baseline"/>
        </w:rPr>
        <w:t>Secondly,</w:t>
      </w:r>
      <w:r>
        <w:rPr>
          <w:spacing w:val="-3"/>
          <w:vertAlign w:val="baseline"/>
        </w:rPr>
        <w:t> </w:t>
      </w:r>
      <w:r>
        <w:rPr>
          <w:vertAlign w:val="baseline"/>
        </w:rPr>
        <w:t>when</w:t>
      </w:r>
      <w:r>
        <w:rPr>
          <w:spacing w:val="-3"/>
          <w:vertAlign w:val="baseline"/>
        </w:rPr>
        <w:t> </w:t>
      </w:r>
      <w:r>
        <w:rPr>
          <w:vertAlign w:val="baseline"/>
        </w:rPr>
        <w:t>the</w:t>
      </w:r>
      <w:r>
        <w:rPr>
          <w:spacing w:val="-3"/>
          <w:vertAlign w:val="baseline"/>
        </w:rPr>
        <w:t> </w:t>
      </w:r>
      <w:r>
        <w:rPr>
          <w:vertAlign w:val="baseline"/>
        </w:rPr>
        <w:t>contract can be split in this sense:</w:t>
      </w:r>
    </w:p>
    <w:p>
      <w:pPr>
        <w:pStyle w:val="BodyText"/>
      </w:pPr>
    </w:p>
    <w:p>
      <w:pPr>
        <w:pStyle w:val="BodyText"/>
        <w:spacing w:before="125"/>
      </w:pPr>
    </w:p>
    <w:p>
      <w:pPr>
        <w:pStyle w:val="BodyText"/>
        <w:spacing w:line="235" w:lineRule="auto" w:before="1"/>
        <w:ind w:left="1245" w:right="167"/>
        <w:jc w:val="both"/>
      </w:pPr>
      <w:r>
        <w:rPr/>
        <w:t>“… the choice must be logically consistent, i.e. it must relate to elements in the </w:t>
      </w:r>
      <w:r>
        <w:rPr/>
        <w:t>contract which can be governed by different laws without giving rise to contradictions. For example, an ‘index-linking clause’ may be subject to a different law; on the other hand it</w:t>
      </w:r>
      <w:r>
        <w:rPr>
          <w:spacing w:val="80"/>
        </w:rPr>
        <w:t> </w:t>
      </w:r>
      <w:bookmarkStart w:name="_bookmark459" w:id="461"/>
      <w:bookmarkEnd w:id="461"/>
      <w:r>
        <w:rPr/>
        <w:t>is</w:t>
      </w:r>
      <w:r>
        <w:rPr/>
        <w:t> unlikely that repudiation of the contract for non-performance would be subjected to two different laws, one for the vendor and the other for the purchaser.” </w:t>
      </w:r>
      <w:r>
        <w:rPr>
          <w:color w:val="005DA1"/>
          <w:u w:val="single" w:color="005DA1"/>
          <w:vertAlign w:val="superscript"/>
        </w:rPr>
        <w:t>274</w:t>
      </w:r>
    </w:p>
    <w:p>
      <w:pPr>
        <w:pStyle w:val="BodyText"/>
        <w:spacing w:before="114"/>
      </w:pPr>
    </w:p>
    <w:p>
      <w:pPr>
        <w:pStyle w:val="BodyText"/>
        <w:spacing w:line="235" w:lineRule="auto"/>
        <w:ind w:left="164" w:right="167"/>
        <w:jc w:val="both"/>
      </w:pPr>
      <w:r>
        <w:rPr/>
        <w:t>If the chosen laws cannot be reconciled as a matter of logic, then neither choice of law is effective so </w:t>
      </w:r>
      <w:bookmarkStart w:name="_bookmark460" w:id="462"/>
      <w:bookmarkEnd w:id="462"/>
      <w:r>
        <w:rPr/>
        <w:t>that</w:t>
      </w:r>
      <w:r>
        <w:rPr/>
        <w:t> the law applicable to the contract will have to be determined according to art.4 of the </w:t>
      </w:r>
      <w:r>
        <w:rPr/>
        <w:t>Convention, as if the parties had made no choice of law at all. </w:t>
      </w:r>
      <w:r>
        <w:rPr>
          <w:color w:val="005DA1"/>
          <w:u w:val="single" w:color="005DA1"/>
          <w:vertAlign w:val="superscript"/>
        </w:rPr>
        <w:t>275</w:t>
      </w:r>
      <w:r>
        <w:rPr>
          <w:color w:val="005DA1"/>
          <w:vertAlign w:val="baseline"/>
        </w:rPr>
        <w:t> </w:t>
      </w:r>
      <w:r>
        <w:rPr>
          <w:vertAlign w:val="baseline"/>
        </w:rPr>
        <w:t>Finally, where parties make a choice of law in relation to one part of the contract but no such choice in relation to the other part or parts, the law </w:t>
      </w:r>
      <w:bookmarkStart w:name="_bookmark461" w:id="463"/>
      <w:bookmarkEnd w:id="463"/>
      <w:r>
        <w:rPr>
          <w:vertAlign w:val="baseline"/>
        </w:rPr>
        <w:t>applicable</w:t>
      </w:r>
      <w:r>
        <w:rPr>
          <w:vertAlign w:val="baseline"/>
        </w:rPr>
        <w:t> to the latter part or parts will also have to be determined according to art.4 of the Convention. </w:t>
      </w:r>
      <w:r>
        <w:rPr>
          <w:color w:val="005DA1"/>
          <w:u w:val="single" w:color="005DA1"/>
          <w:vertAlign w:val="superscript"/>
        </w:rPr>
        <w:t>276</w:t>
      </w:r>
    </w:p>
    <w:p>
      <w:pPr>
        <w:pStyle w:val="BodyText"/>
      </w:pPr>
    </w:p>
    <w:p>
      <w:pPr>
        <w:pStyle w:val="BodyText"/>
        <w:spacing w:before="37"/>
      </w:pPr>
    </w:p>
    <w:p>
      <w:pPr>
        <w:spacing w:before="0"/>
        <w:ind w:left="164" w:right="0" w:firstLine="0"/>
        <w:jc w:val="both"/>
        <w:rPr>
          <w:rFonts w:ascii="Arial"/>
          <w:b/>
          <w:sz w:val="18"/>
        </w:rPr>
      </w:pPr>
      <w:r>
        <w:rPr>
          <w:rFonts w:ascii="Arial"/>
          <w:b/>
          <w:sz w:val="18"/>
        </w:rPr>
        <w:t>Changing the applicable </w:t>
      </w:r>
      <w:r>
        <w:rPr>
          <w:rFonts w:ascii="Arial"/>
          <w:b/>
          <w:spacing w:val="-5"/>
          <w:sz w:val="18"/>
        </w:rPr>
        <w:t>law</w:t>
      </w:r>
    </w:p>
    <w:p>
      <w:pPr>
        <w:pStyle w:val="BodyText"/>
        <w:spacing w:before="41"/>
        <w:rPr>
          <w:rFonts w:ascii="Arial"/>
          <w:b/>
          <w:sz w:val="18"/>
        </w:rPr>
      </w:pPr>
    </w:p>
    <w:p>
      <w:pPr>
        <w:pStyle w:val="Heading2"/>
        <w:ind w:left="164"/>
      </w:pPr>
      <w:r>
        <w:rPr/>
        <w:t>30-</w:t>
      </w:r>
      <w:r>
        <w:rPr>
          <w:spacing w:val="-5"/>
        </w:rPr>
        <w:t>057</w:t>
      </w:r>
    </w:p>
    <w:p>
      <w:pPr>
        <w:pStyle w:val="BodyText"/>
        <w:spacing w:line="235" w:lineRule="auto" w:before="203"/>
        <w:ind w:left="164" w:right="167"/>
        <w:jc w:val="both"/>
      </w:pPr>
      <w:r>
        <w:rPr/>
        <w:t>At common law, it was uncertain whether the parties were free to change the law governing their </w:t>
      </w:r>
      <w:bookmarkStart w:name="_bookmark462" w:id="464"/>
      <w:bookmarkEnd w:id="464"/>
      <w:r>
        <w:rPr/>
        <w:t>contract</w:t>
      </w:r>
      <w:r>
        <w:rPr/>
        <w:t> and, if so, what law governed the question of whether they were able to make such a</w:t>
      </w:r>
      <w:r>
        <w:rPr>
          <w:spacing w:val="40"/>
        </w:rPr>
        <w:t> </w:t>
      </w:r>
      <w:bookmarkStart w:name="_bookmark463" w:id="465"/>
      <w:bookmarkEnd w:id="465"/>
      <w:r>
        <w:rPr/>
        <w:t>change.</w:t>
      </w:r>
      <w:r>
        <w:rPr/>
        <w:t> </w:t>
      </w:r>
      <w:r>
        <w:rPr>
          <w:color w:val="005DA1"/>
          <w:u w:val="single" w:color="005DA1"/>
          <w:vertAlign w:val="superscript"/>
        </w:rPr>
        <w:t>277</w:t>
      </w:r>
      <w:r>
        <w:rPr>
          <w:color w:val="005DA1"/>
          <w:vertAlign w:val="baseline"/>
        </w:rPr>
        <w:t> </w:t>
      </w:r>
      <w:r>
        <w:rPr>
          <w:vertAlign w:val="baseline"/>
        </w:rPr>
        <w:t>Support, however, existed for the power to change, </w:t>
      </w:r>
      <w:r>
        <w:rPr>
          <w:color w:val="005DA1"/>
          <w:u w:val="single" w:color="005DA1"/>
          <w:vertAlign w:val="superscript"/>
        </w:rPr>
        <w:t>278</w:t>
      </w:r>
      <w:r>
        <w:rPr>
          <w:color w:val="005DA1"/>
          <w:vertAlign w:val="baseline"/>
        </w:rPr>
        <w:t> </w:t>
      </w:r>
      <w:r>
        <w:rPr>
          <w:vertAlign w:val="baseline"/>
        </w:rPr>
        <w:t>such power to change </w:t>
      </w:r>
      <w:r>
        <w:rPr>
          <w:vertAlign w:val="baseline"/>
        </w:rPr>
        <w:t>being governed by English law as the law of the forum. </w:t>
      </w:r>
      <w:r>
        <w:rPr>
          <w:color w:val="005DA1"/>
          <w:u w:val="single" w:color="005DA1"/>
          <w:vertAlign w:val="superscript"/>
        </w:rPr>
        <w:t>279</w:t>
      </w:r>
      <w:r>
        <w:rPr>
          <w:color w:val="005DA1"/>
          <w:vertAlign w:val="baseline"/>
        </w:rPr>
        <w:t> </w:t>
      </w:r>
      <w:r>
        <w:rPr>
          <w:vertAlign w:val="baseline"/>
        </w:rPr>
        <w:t>Article 3(2) of the Rome Convention provides a specific choice of law rule to deal with the question:</w:t>
      </w:r>
    </w:p>
    <w:p>
      <w:pPr>
        <w:pStyle w:val="BodyText"/>
      </w:pPr>
    </w:p>
    <w:p>
      <w:pPr>
        <w:pStyle w:val="BodyText"/>
        <w:spacing w:before="124"/>
      </w:pPr>
    </w:p>
    <w:p>
      <w:pPr>
        <w:pStyle w:val="BodyText"/>
        <w:spacing w:line="235" w:lineRule="auto" w:before="1"/>
        <w:ind w:left="1244" w:right="167"/>
        <w:jc w:val="both"/>
      </w:pPr>
      <w:r>
        <w:rPr/>
        <w:t>“The parties may at any time agree to subject the contract to a law other than that which previously governed it, whether as a result of an earlier choice under this Article or of other provisions of this Convention. Any variation by the parties of the law to be </w:t>
      </w:r>
      <w:r>
        <w:rPr/>
        <w:t>applied made after the conclusion of the contract shall not prejudice its formal validity under Article 9 or adversely affect the rights of third parties.”</w:t>
      </w:r>
    </w:p>
    <w:p>
      <w:pPr>
        <w:pStyle w:val="BodyText"/>
        <w:spacing w:before="114"/>
      </w:pPr>
    </w:p>
    <w:p>
      <w:pPr>
        <w:pStyle w:val="BodyText"/>
        <w:spacing w:line="235" w:lineRule="auto"/>
        <w:ind w:left="164" w:right="166"/>
        <w:jc w:val="both"/>
      </w:pPr>
      <w:bookmarkStart w:name="_bookmark464" w:id="466"/>
      <w:bookmarkEnd w:id="466"/>
      <w:r>
        <w:rPr/>
      </w:r>
      <w:r>
        <w:rPr/>
        <w:t>In</w:t>
      </w:r>
      <w:r>
        <w:rPr>
          <w:spacing w:val="-1"/>
        </w:rPr>
        <w:t> </w:t>
      </w:r>
      <w:r>
        <w:rPr/>
        <w:t>this</w:t>
      </w:r>
      <w:r>
        <w:rPr>
          <w:spacing w:val="-1"/>
        </w:rPr>
        <w:t> </w:t>
      </w:r>
      <w:r>
        <w:rPr/>
        <w:t>formulation,</w:t>
      </w:r>
      <w:r>
        <w:rPr>
          <w:spacing w:val="-1"/>
        </w:rPr>
        <w:t> </w:t>
      </w:r>
      <w:r>
        <w:rPr/>
        <w:t>it</w:t>
      </w:r>
      <w:r>
        <w:rPr>
          <w:spacing w:val="-1"/>
        </w:rPr>
        <w:t> </w:t>
      </w:r>
      <w:r>
        <w:rPr/>
        <w:t>is</w:t>
      </w:r>
      <w:r>
        <w:rPr>
          <w:spacing w:val="-1"/>
        </w:rPr>
        <w:t> </w:t>
      </w:r>
      <w:r>
        <w:rPr/>
        <w:t>necessary</w:t>
      </w:r>
      <w:r>
        <w:rPr>
          <w:spacing w:val="-1"/>
        </w:rPr>
        <w:t> </w:t>
      </w:r>
      <w:r>
        <w:rPr/>
        <w:t>to</w:t>
      </w:r>
      <w:r>
        <w:rPr>
          <w:spacing w:val="-1"/>
        </w:rPr>
        <w:t> </w:t>
      </w:r>
      <w:r>
        <w:rPr/>
        <w:t>emphasise</w:t>
      </w:r>
      <w:r>
        <w:rPr>
          <w:spacing w:val="-1"/>
        </w:rPr>
        <w:t> </w:t>
      </w:r>
      <w:r>
        <w:rPr/>
        <w:t>the</w:t>
      </w:r>
      <w:r>
        <w:rPr>
          <w:spacing w:val="-1"/>
        </w:rPr>
        <w:t> </w:t>
      </w:r>
      <w:r>
        <w:rPr/>
        <w:t>proviso</w:t>
      </w:r>
      <w:r>
        <w:rPr>
          <w:spacing w:val="-1"/>
        </w:rPr>
        <w:t> </w:t>
      </w:r>
      <w:r>
        <w:rPr/>
        <w:t>as</w:t>
      </w:r>
      <w:r>
        <w:rPr>
          <w:spacing w:val="-1"/>
        </w:rPr>
        <w:t> </w:t>
      </w:r>
      <w:r>
        <w:rPr/>
        <w:t>to</w:t>
      </w:r>
      <w:r>
        <w:rPr>
          <w:spacing w:val="-1"/>
        </w:rPr>
        <w:t> </w:t>
      </w:r>
      <w:r>
        <w:rPr/>
        <w:t>formal</w:t>
      </w:r>
      <w:r>
        <w:rPr>
          <w:spacing w:val="-1"/>
        </w:rPr>
        <w:t> </w:t>
      </w:r>
      <w:r>
        <w:rPr/>
        <w:t>validity</w:t>
      </w:r>
      <w:r>
        <w:rPr>
          <w:spacing w:val="-1"/>
        </w:rPr>
        <w:t> </w:t>
      </w:r>
      <w:r>
        <w:rPr/>
        <w:t>of</w:t>
      </w:r>
      <w:r>
        <w:rPr>
          <w:spacing w:val="-1"/>
        </w:rPr>
        <w:t> </w:t>
      </w:r>
      <w:r>
        <w:rPr/>
        <w:t>the</w:t>
      </w:r>
      <w:r>
        <w:rPr>
          <w:spacing w:val="-1"/>
        </w:rPr>
        <w:t> </w:t>
      </w:r>
      <w:r>
        <w:rPr/>
        <w:t>contract</w:t>
      </w:r>
      <w:r>
        <w:rPr>
          <w:spacing w:val="-2"/>
        </w:rPr>
        <w:t> </w:t>
      </w:r>
      <w:r>
        <w:rPr>
          <w:color w:val="005DA1"/>
          <w:u w:val="single" w:color="005DA1"/>
          <w:vertAlign w:val="superscript"/>
        </w:rPr>
        <w:t>280</w:t>
      </w:r>
      <w:r>
        <w:rPr>
          <w:color w:val="005DA1"/>
          <w:spacing w:val="-1"/>
          <w:vertAlign w:val="baseline"/>
        </w:rPr>
        <w:t> </w:t>
      </w:r>
      <w:r>
        <w:rPr>
          <w:vertAlign w:val="baseline"/>
        </w:rPr>
        <w:t>and </w:t>
      </w:r>
      <w:bookmarkStart w:name="_bookmark465" w:id="467"/>
      <w:bookmarkEnd w:id="467"/>
      <w:r>
        <w:rPr>
          <w:vertAlign w:val="baseline"/>
        </w:rPr>
        <w:t>the</w:t>
      </w:r>
      <w:r>
        <w:rPr>
          <w:vertAlign w:val="baseline"/>
        </w:rPr>
        <w:t> need to protect the rights of third parties who may be adversely affected by a change in </w:t>
      </w:r>
      <w:r>
        <w:rPr>
          <w:vertAlign w:val="baseline"/>
        </w:rPr>
        <w:t>the applicable law. </w:t>
      </w:r>
      <w:r>
        <w:rPr>
          <w:color w:val="005DA1"/>
          <w:u w:val="single" w:color="005DA1"/>
          <w:vertAlign w:val="superscript"/>
        </w:rPr>
        <w:t>281</w:t>
      </w:r>
      <w:r>
        <w:rPr>
          <w:color w:val="005DA1"/>
          <w:vertAlign w:val="baseline"/>
        </w:rPr>
        <w:t> </w:t>
      </w:r>
      <w:r>
        <w:rPr>
          <w:vertAlign w:val="baseline"/>
        </w:rPr>
        <w:t>Subject to these points, however, the provision gives the parties to the contract </w:t>
      </w:r>
      <w:bookmarkStart w:name="_bookmark466" w:id="468"/>
      <w:bookmarkEnd w:id="468"/>
      <w:r>
        <w:rPr>
          <w:vertAlign w:val="baseline"/>
        </w:rPr>
        <w:t>maximum</w:t>
      </w:r>
      <w:r>
        <w:rPr>
          <w:spacing w:val="-2"/>
          <w:vertAlign w:val="baseline"/>
        </w:rPr>
        <w:t> </w:t>
      </w:r>
      <w:r>
        <w:rPr>
          <w:vertAlign w:val="baseline"/>
        </w:rPr>
        <w:t>freedom</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time</w:t>
      </w:r>
      <w:r>
        <w:rPr>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ultimate</w:t>
      </w:r>
      <w:r>
        <w:rPr>
          <w:spacing w:val="-2"/>
          <w:vertAlign w:val="baseline"/>
        </w:rPr>
        <w:t> </w:t>
      </w:r>
      <w:r>
        <w:rPr>
          <w:vertAlign w:val="baseline"/>
        </w:rPr>
        <w:t>choice</w:t>
      </w:r>
      <w:r>
        <w:rPr>
          <w:spacing w:val="-2"/>
          <w:vertAlign w:val="baseline"/>
        </w:rPr>
        <w:t> </w:t>
      </w:r>
      <w:r>
        <w:rPr>
          <w:vertAlign w:val="baseline"/>
        </w:rPr>
        <w:t>of</w:t>
      </w:r>
      <w:r>
        <w:rPr>
          <w:spacing w:val="-2"/>
          <w:vertAlign w:val="baseline"/>
        </w:rPr>
        <w:t> </w:t>
      </w:r>
      <w:r>
        <w:rPr>
          <w:vertAlign w:val="baseline"/>
        </w:rPr>
        <w:t>law</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made</w:t>
      </w:r>
      <w:r>
        <w:rPr>
          <w:spacing w:val="-2"/>
          <w:vertAlign w:val="baseline"/>
        </w:rPr>
        <w:t> </w:t>
      </w:r>
      <w:r>
        <w:rPr>
          <w:vertAlign w:val="baseline"/>
        </w:rPr>
        <w:t>since</w:t>
      </w:r>
      <w:r>
        <w:rPr>
          <w:spacing w:val="-2"/>
          <w:vertAlign w:val="baseline"/>
        </w:rPr>
        <w:t> </w:t>
      </w:r>
      <w:r>
        <w:rPr>
          <w:vertAlign w:val="baseline"/>
        </w:rPr>
        <w:t>it</w:t>
      </w:r>
      <w:r>
        <w:rPr>
          <w:spacing w:val="-2"/>
          <w:vertAlign w:val="baseline"/>
        </w:rPr>
        <w:t> </w:t>
      </w:r>
      <w:r>
        <w:rPr>
          <w:vertAlign w:val="baseline"/>
        </w:rPr>
        <w:t>confers</w:t>
      </w:r>
      <w:r>
        <w:rPr>
          <w:spacing w:val="-2"/>
          <w:vertAlign w:val="baseline"/>
        </w:rPr>
        <w:t> </w:t>
      </w:r>
      <w:r>
        <w:rPr>
          <w:vertAlign w:val="baseline"/>
        </w:rPr>
        <w:t>on</w:t>
      </w:r>
      <w:r>
        <w:rPr>
          <w:spacing w:val="-2"/>
          <w:vertAlign w:val="baseline"/>
        </w:rPr>
        <w:t> </w:t>
      </w:r>
      <w:r>
        <w:rPr>
          <w:vertAlign w:val="baseline"/>
        </w:rPr>
        <w:t>the parties such a wide freedom to change the applicable law. </w:t>
      </w:r>
      <w:r>
        <w:rPr>
          <w:color w:val="005DA1"/>
          <w:u w:val="single" w:color="005DA1"/>
          <w:vertAlign w:val="superscript"/>
        </w:rPr>
        <w:t>282</w:t>
      </w:r>
      <w:r>
        <w:rPr>
          <w:color w:val="005DA1"/>
          <w:vertAlign w:val="baseline"/>
        </w:rPr>
        <w:t> </w:t>
      </w:r>
      <w:r>
        <w:rPr>
          <w:vertAlign w:val="baseline"/>
        </w:rPr>
        <w:t>This freedom extends to changing the </w:t>
      </w:r>
      <w:bookmarkStart w:name="_bookmark467" w:id="469"/>
      <w:bookmarkEnd w:id="469"/>
      <w:r>
        <w:rPr>
          <w:vertAlign w:val="baseline"/>
        </w:rPr>
        <w:t>applicable</w:t>
      </w:r>
      <w:r>
        <w:rPr>
          <w:vertAlign w:val="baseline"/>
        </w:rPr>
        <w:t> law when that law was chosen by the parties and to cases where the governing law which is changed was initially applicable by virtue of art.4 of the Convention. </w:t>
      </w:r>
      <w:r>
        <w:rPr>
          <w:color w:val="005DA1"/>
          <w:u w:val="single" w:color="005DA1"/>
          <w:vertAlign w:val="superscript"/>
        </w:rPr>
        <w:t>283</w:t>
      </w:r>
      <w:r>
        <w:rPr>
          <w:color w:val="005DA1"/>
          <w:vertAlign w:val="baseline"/>
        </w:rPr>
        <w:t> </w:t>
      </w:r>
      <w:r>
        <w:rPr>
          <w:vertAlign w:val="baseline"/>
        </w:rPr>
        <w:t>The choice of law which </w:t>
      </w:r>
      <w:bookmarkStart w:name="_bookmark468" w:id="470"/>
      <w:bookmarkEnd w:id="470"/>
      <w:r>
        <w:rPr>
          <w:vertAlign w:val="baseline"/>
        </w:rPr>
        <w:t>purports</w:t>
      </w:r>
      <w:r>
        <w:rPr>
          <w:vertAlign w:val="baseline"/>
        </w:rPr>
        <w:t> to vary or change the original governing law will, however, need to comply with the </w:t>
      </w:r>
      <w:bookmarkStart w:name="_bookmark469" w:id="471"/>
      <w:bookmarkEnd w:id="471"/>
      <w:r>
        <w:rPr>
          <w:vertAlign w:val="baseline"/>
        </w:rPr>
        <w:t>requirements</w:t>
      </w:r>
      <w:r>
        <w:rPr>
          <w:vertAlign w:val="baseline"/>
        </w:rPr>
        <w:t> of art.3(1) of the Convention. </w:t>
      </w:r>
      <w:r>
        <w:rPr>
          <w:color w:val="005DA1"/>
          <w:u w:val="single" w:color="005DA1"/>
          <w:vertAlign w:val="superscript"/>
        </w:rPr>
        <w:t>284</w:t>
      </w:r>
      <w:r>
        <w:rPr>
          <w:color w:val="005DA1"/>
          <w:vertAlign w:val="baseline"/>
        </w:rPr>
        <w:t> </w:t>
      </w:r>
      <w:r>
        <w:rPr>
          <w:vertAlign w:val="baseline"/>
        </w:rPr>
        <w:t>The principle of the common law which requires that a contract have a governing law from its inception </w:t>
      </w:r>
      <w:r>
        <w:rPr>
          <w:color w:val="005DA1"/>
          <w:u w:val="single" w:color="005DA1"/>
          <w:vertAlign w:val="superscript"/>
        </w:rPr>
        <w:t>285</w:t>
      </w:r>
      <w:r>
        <w:rPr>
          <w:color w:val="005DA1"/>
          <w:vertAlign w:val="baseline"/>
        </w:rPr>
        <w:t> </w:t>
      </w:r>
      <w:r>
        <w:rPr>
          <w:vertAlign w:val="baseline"/>
        </w:rPr>
        <w:t>is equally a principle of the Rome Convention which is unaffected by art.3(2). It would seem, however, that where the contract provides for two </w:t>
      </w:r>
      <w:bookmarkStart w:name="_bookmark470" w:id="472"/>
      <w:bookmarkEnd w:id="472"/>
      <w:r>
        <w:rPr>
          <w:vertAlign w:val="baseline"/>
        </w:rPr>
        <w:t>governing</w:t>
      </w:r>
      <w:r>
        <w:rPr>
          <w:vertAlign w:val="baseline"/>
        </w:rPr>
        <w:t> laws, the second to be applied if the event on which the application of the first depends is </w:t>
      </w:r>
      <w:bookmarkStart w:name="_bookmark471" w:id="473"/>
      <w:bookmarkEnd w:id="473"/>
      <w:r>
        <w:rPr>
          <w:vertAlign w:val="baseline"/>
        </w:rPr>
        <w:t>negatived,</w:t>
      </w:r>
      <w:r>
        <w:rPr>
          <w:vertAlign w:val="baseline"/>
        </w:rPr>
        <w:t> </w:t>
      </w:r>
      <w:r>
        <w:rPr>
          <w:color w:val="005DA1"/>
          <w:u w:val="single" w:color="005DA1"/>
          <w:vertAlign w:val="superscript"/>
        </w:rPr>
        <w:t>286</w:t>
      </w:r>
      <w:r>
        <w:rPr>
          <w:color w:val="005DA1"/>
          <w:vertAlign w:val="baseline"/>
        </w:rPr>
        <w:t> </w:t>
      </w:r>
      <w:r>
        <w:rPr>
          <w:vertAlign w:val="baseline"/>
        </w:rPr>
        <w:t>then the applicable law can be said to be changed from the first to the second law, pursuant to art.3(2), when the relevant event comes about. </w:t>
      </w:r>
      <w:r>
        <w:rPr>
          <w:color w:val="005DA1"/>
          <w:u w:val="single" w:color="005DA1"/>
          <w:vertAlign w:val="superscript"/>
        </w:rPr>
        <w:t>287</w:t>
      </w:r>
    </w:p>
    <w:p>
      <w:pPr>
        <w:pStyle w:val="BodyText"/>
      </w:pPr>
    </w:p>
    <w:p>
      <w:pPr>
        <w:pStyle w:val="BodyText"/>
        <w:spacing w:before="34"/>
      </w:pPr>
    </w:p>
    <w:p>
      <w:pPr>
        <w:spacing w:before="0"/>
        <w:ind w:left="165" w:right="0" w:firstLine="0"/>
        <w:jc w:val="both"/>
        <w:rPr>
          <w:rFonts w:ascii="Arial"/>
          <w:b/>
          <w:sz w:val="18"/>
        </w:rPr>
      </w:pPr>
      <w:r>
        <w:rPr>
          <w:rFonts w:ascii="Arial"/>
          <w:b/>
          <w:sz w:val="18"/>
        </w:rPr>
        <w:t>Validity of choice of </w:t>
      </w:r>
      <w:r>
        <w:rPr>
          <w:rFonts w:ascii="Arial"/>
          <w:b/>
          <w:spacing w:val="-5"/>
          <w:sz w:val="18"/>
        </w:rPr>
        <w:t>law</w:t>
      </w:r>
    </w:p>
    <w:p>
      <w:pPr>
        <w:spacing w:after="0"/>
        <w:jc w:val="both"/>
        <w:rPr>
          <w:rFonts w:ascii="Arial"/>
          <w:b/>
          <w:sz w:val="18"/>
        </w:rPr>
        <w:sectPr>
          <w:pgSz w:w="11900" w:h="16840"/>
          <w:pgMar w:header="971" w:footer="0" w:top="1300" w:bottom="280" w:left="1275" w:right="1275"/>
        </w:sectPr>
      </w:pPr>
    </w:p>
    <w:p>
      <w:pPr>
        <w:pStyle w:val="Heading2"/>
        <w:spacing w:before="262"/>
      </w:pPr>
      <w:r>
        <w:rPr/>
        <w:t>30-</w:t>
      </w:r>
      <w:r>
        <w:rPr>
          <w:spacing w:val="-5"/>
        </w:rPr>
        <w:t>058</w:t>
      </w:r>
    </w:p>
    <w:p>
      <w:pPr>
        <w:pStyle w:val="BodyText"/>
        <w:spacing w:line="235" w:lineRule="auto" w:before="202"/>
        <w:ind w:left="164" w:right="167"/>
        <w:jc w:val="both"/>
      </w:pPr>
      <w:r>
        <w:rPr/>
        <w:t>Article 3(4) refers the “existence and validity of the consent of the parties as to the choice of </w:t>
      </w:r>
      <w:r>
        <w:rPr/>
        <w:t>the </w:t>
      </w:r>
      <w:bookmarkStart w:name="_bookmark472" w:id="474"/>
      <w:bookmarkEnd w:id="474"/>
      <w:r>
        <w:rPr/>
        <w:t>applicable</w:t>
      </w:r>
      <w:r>
        <w:rPr/>
        <w:t> law” to the law which the parties purported to choose, i.e. the law which would be the chosen law if the choice of law were valid. </w:t>
      </w:r>
      <w:r>
        <w:rPr>
          <w:color w:val="005DA1"/>
          <w:u w:val="single" w:color="005DA1"/>
          <w:vertAlign w:val="superscript"/>
        </w:rPr>
        <w:t>288</w:t>
      </w:r>
      <w:r>
        <w:rPr>
          <w:color w:val="005DA1"/>
          <w:vertAlign w:val="baseline"/>
        </w:rPr>
        <w:t> </w:t>
      </w:r>
      <w:r>
        <w:rPr>
          <w:vertAlign w:val="baseline"/>
        </w:rPr>
        <w:t>This so-called “bootstrap” rule would seem to enable one party to choose the law to govern consent to a choice of law. However, it does not provide an answer in cases where there are conflicting standard forms of contract each referring to different applicable</w:t>
      </w:r>
      <w:r>
        <w:rPr>
          <w:spacing w:val="-1"/>
          <w:vertAlign w:val="baseline"/>
        </w:rPr>
        <w:t> </w:t>
      </w:r>
      <w:r>
        <w:rPr>
          <w:vertAlign w:val="baseline"/>
        </w:rPr>
        <w:t>laws</w:t>
      </w:r>
      <w:r>
        <w:rPr>
          <w:spacing w:val="-1"/>
          <w:vertAlign w:val="baseline"/>
        </w:rPr>
        <w:t> </w:t>
      </w:r>
      <w:r>
        <w:rPr>
          <w:vertAlign w:val="baseline"/>
        </w:rPr>
        <w:t>(or</w:t>
      </w:r>
      <w:r>
        <w:rPr>
          <w:spacing w:val="-1"/>
          <w:vertAlign w:val="baseline"/>
        </w:rPr>
        <w:t> </w:t>
      </w:r>
      <w:r>
        <w:rPr>
          <w:vertAlign w:val="baseline"/>
        </w:rPr>
        <w:t>where</w:t>
      </w:r>
      <w:r>
        <w:rPr>
          <w:spacing w:val="-1"/>
          <w:vertAlign w:val="baseline"/>
        </w:rPr>
        <w:t> </w:t>
      </w:r>
      <w:r>
        <w:rPr>
          <w:vertAlign w:val="baseline"/>
        </w:rPr>
        <w:t>one</w:t>
      </w:r>
      <w:r>
        <w:rPr>
          <w:spacing w:val="-1"/>
          <w:vertAlign w:val="baseline"/>
        </w:rPr>
        <w:t> </w:t>
      </w:r>
      <w:r>
        <w:rPr>
          <w:vertAlign w:val="baseline"/>
        </w:rPr>
        <w:t>standard</w:t>
      </w:r>
      <w:r>
        <w:rPr>
          <w:spacing w:val="-1"/>
          <w:vertAlign w:val="baseline"/>
        </w:rPr>
        <w:t> </w:t>
      </w:r>
      <w:r>
        <w:rPr>
          <w:vertAlign w:val="baseline"/>
        </w:rPr>
        <w:t>form</w:t>
      </w:r>
      <w:r>
        <w:rPr>
          <w:spacing w:val="-1"/>
          <w:vertAlign w:val="baseline"/>
        </w:rPr>
        <w:t> </w:t>
      </w:r>
      <w:r>
        <w:rPr>
          <w:vertAlign w:val="baseline"/>
        </w:rPr>
        <w:t>contains</w:t>
      </w:r>
      <w:r>
        <w:rPr>
          <w:spacing w:val="-1"/>
          <w:vertAlign w:val="baseline"/>
        </w:rPr>
        <w:t> </w:t>
      </w:r>
      <w:r>
        <w:rPr>
          <w:vertAlign w:val="baseline"/>
        </w:rPr>
        <w:t>a</w:t>
      </w:r>
      <w:r>
        <w:rPr>
          <w:spacing w:val="-1"/>
          <w:vertAlign w:val="baseline"/>
        </w:rPr>
        <w:t> </w:t>
      </w:r>
      <w:r>
        <w:rPr>
          <w:vertAlign w:val="baseline"/>
        </w:rPr>
        <w:t>choice</w:t>
      </w:r>
      <w:r>
        <w:rPr>
          <w:spacing w:val="-1"/>
          <w:vertAlign w:val="baseline"/>
        </w:rPr>
        <w:t> </w:t>
      </w:r>
      <w:r>
        <w:rPr>
          <w:vertAlign w:val="baseline"/>
        </w:rPr>
        <w:t>of</w:t>
      </w:r>
      <w:r>
        <w:rPr>
          <w:spacing w:val="-1"/>
          <w:vertAlign w:val="baseline"/>
        </w:rPr>
        <w:t> </w:t>
      </w:r>
      <w:r>
        <w:rPr>
          <w:vertAlign w:val="baseline"/>
        </w:rPr>
        <w:t>law</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In</w:t>
      </w:r>
      <w:r>
        <w:rPr>
          <w:spacing w:val="-1"/>
          <w:vertAlign w:val="baseline"/>
        </w:rPr>
        <w:t> </w:t>
      </w:r>
      <w:r>
        <w:rPr>
          <w:vertAlign w:val="baseline"/>
        </w:rPr>
        <w:t>such </w:t>
      </w:r>
      <w:bookmarkStart w:name="_bookmark473" w:id="475"/>
      <w:bookmarkEnd w:id="475"/>
      <w:r>
        <w:rPr>
          <w:vertAlign w:val="baseline"/>
        </w:rPr>
        <w:t>cases,</w:t>
      </w:r>
      <w:r>
        <w:rPr>
          <w:vertAlign w:val="baseline"/>
        </w:rPr>
        <w:t> it has been suggested that resort should be had to the law which would govern the contract if </w:t>
      </w:r>
      <w:bookmarkStart w:name="_bookmark474" w:id="476"/>
      <w:bookmarkEnd w:id="476"/>
      <w:r>
        <w:rPr>
          <w:vertAlign w:val="baseline"/>
        </w:rPr>
        <w:t>no</w:t>
      </w:r>
      <w:r>
        <w:rPr>
          <w:vertAlign w:val="baseline"/>
        </w:rPr>
        <w:t> choice of law had been made, </w:t>
      </w:r>
      <w:r>
        <w:rPr>
          <w:color w:val="005DA1"/>
          <w:u w:val="single" w:color="005DA1"/>
          <w:vertAlign w:val="superscript"/>
        </w:rPr>
        <w:t>289</w:t>
      </w:r>
      <w:r>
        <w:rPr>
          <w:color w:val="005DA1"/>
          <w:vertAlign w:val="baseline"/>
        </w:rPr>
        <w:t> </w:t>
      </w:r>
      <w:r>
        <w:rPr>
          <w:vertAlign w:val="baseline"/>
        </w:rPr>
        <w:t>i.e. art.4 of the Convention. In any event, art.4 will determine the governing</w:t>
      </w:r>
      <w:r>
        <w:rPr>
          <w:spacing w:val="6"/>
          <w:vertAlign w:val="baseline"/>
        </w:rPr>
        <w:t> </w:t>
      </w:r>
      <w:r>
        <w:rPr>
          <w:vertAlign w:val="baseline"/>
        </w:rPr>
        <w:t>law</w:t>
      </w:r>
      <w:r>
        <w:rPr>
          <w:spacing w:val="6"/>
          <w:vertAlign w:val="baseline"/>
        </w:rPr>
        <w:t> </w:t>
      </w:r>
      <w:r>
        <w:rPr>
          <w:vertAlign w:val="baseline"/>
        </w:rPr>
        <w:t>if,</w:t>
      </w:r>
      <w:r>
        <w:rPr>
          <w:spacing w:val="6"/>
          <w:vertAlign w:val="baseline"/>
        </w:rPr>
        <w:t> </w:t>
      </w:r>
      <w:r>
        <w:rPr>
          <w:vertAlign w:val="baseline"/>
        </w:rPr>
        <w:t>according</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“bootstrap”</w:t>
      </w:r>
      <w:r>
        <w:rPr>
          <w:spacing w:val="6"/>
          <w:vertAlign w:val="baseline"/>
        </w:rPr>
        <w:t> </w:t>
      </w:r>
      <w:r>
        <w:rPr>
          <w:vertAlign w:val="baseline"/>
        </w:rPr>
        <w:t>rule,</w:t>
      </w:r>
      <w:r>
        <w:rPr>
          <w:spacing w:val="6"/>
          <w:vertAlign w:val="baseline"/>
        </w:rPr>
        <w:t> </w:t>
      </w:r>
      <w:r>
        <w:rPr>
          <w:vertAlign w:val="baseline"/>
        </w:rPr>
        <w:t>there</w:t>
      </w:r>
      <w:r>
        <w:rPr>
          <w:spacing w:val="6"/>
          <w:vertAlign w:val="baseline"/>
        </w:rPr>
        <w:t> </w:t>
      </w:r>
      <w:r>
        <w:rPr>
          <w:vertAlign w:val="baseline"/>
        </w:rPr>
        <w:t>is</w:t>
      </w:r>
      <w:r>
        <w:rPr>
          <w:spacing w:val="6"/>
          <w:vertAlign w:val="baseline"/>
        </w:rPr>
        <w:t> </w:t>
      </w:r>
      <w:r>
        <w:rPr>
          <w:vertAlign w:val="baseline"/>
        </w:rPr>
        <w:t>no</w:t>
      </w:r>
      <w:r>
        <w:rPr>
          <w:spacing w:val="6"/>
          <w:vertAlign w:val="baseline"/>
        </w:rPr>
        <w:t> </w:t>
      </w:r>
      <w:r>
        <w:rPr>
          <w:vertAlign w:val="baseline"/>
        </w:rPr>
        <w:t>valid</w:t>
      </w:r>
      <w:r>
        <w:rPr>
          <w:spacing w:val="6"/>
          <w:vertAlign w:val="baseline"/>
        </w:rPr>
        <w:t> </w:t>
      </w:r>
      <w:r>
        <w:rPr>
          <w:vertAlign w:val="baseline"/>
        </w:rPr>
        <w:t>choice</w:t>
      </w:r>
      <w:r>
        <w:rPr>
          <w:spacing w:val="6"/>
          <w:vertAlign w:val="baseline"/>
        </w:rPr>
        <w:t> </w:t>
      </w:r>
      <w:r>
        <w:rPr>
          <w:vertAlign w:val="baseline"/>
        </w:rPr>
        <w:t>of</w:t>
      </w:r>
      <w:r>
        <w:rPr>
          <w:spacing w:val="6"/>
          <w:vertAlign w:val="baseline"/>
        </w:rPr>
        <w:t> </w:t>
      </w:r>
      <w:r>
        <w:rPr>
          <w:vertAlign w:val="baseline"/>
        </w:rPr>
        <w:t>law</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contract</w:t>
      </w:r>
      <w:r>
        <w:rPr>
          <w:spacing w:val="6"/>
          <w:vertAlign w:val="baseline"/>
        </w:rPr>
        <w:t> </w:t>
      </w:r>
      <w:r>
        <w:rPr>
          <w:spacing w:val="-2"/>
          <w:vertAlign w:val="baseline"/>
        </w:rPr>
        <w:t>itself.</w:t>
      </w:r>
    </w:p>
    <w:p>
      <w:pPr>
        <w:spacing w:line="110" w:lineRule="exact" w:before="0"/>
        <w:ind w:left="165" w:right="0" w:firstLine="0"/>
        <w:jc w:val="left"/>
        <w:rPr>
          <w:sz w:val="12"/>
        </w:rPr>
      </w:pPr>
      <w:r>
        <w:rPr>
          <w:color w:val="005DA1"/>
          <w:spacing w:val="-5"/>
          <w:sz w:val="12"/>
          <w:u w:val="single" w:color="005DA1"/>
        </w:rPr>
        <w:t>290</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both"/>
        <w:rPr>
          <w:rFonts w:ascii="Arial"/>
          <w:b/>
          <w:sz w:val="18"/>
        </w:rPr>
      </w:pPr>
      <w:r>
        <w:rPr>
          <w:rFonts w:ascii="Arial"/>
          <w:b/>
          <w:sz w:val="18"/>
        </w:rPr>
        <w:t>Limitations upon the </w:t>
      </w:r>
      <w:r>
        <w:rPr>
          <w:rFonts w:ascii="Arial"/>
          <w:b/>
          <w:spacing w:val="-2"/>
          <w:sz w:val="18"/>
        </w:rPr>
        <w:t>choice</w:t>
      </w:r>
    </w:p>
    <w:p>
      <w:pPr>
        <w:pStyle w:val="BodyText"/>
        <w:spacing w:before="42"/>
        <w:rPr>
          <w:rFonts w:ascii="Arial"/>
          <w:b/>
          <w:sz w:val="18"/>
        </w:rPr>
      </w:pPr>
    </w:p>
    <w:p>
      <w:pPr>
        <w:pStyle w:val="Heading2"/>
      </w:pPr>
      <w:r>
        <w:rPr/>
        <w:t>30-</w:t>
      </w:r>
      <w:r>
        <w:rPr>
          <w:spacing w:val="-5"/>
        </w:rPr>
        <w:t>059</w:t>
      </w:r>
    </w:p>
    <w:p>
      <w:pPr>
        <w:pStyle w:val="BodyText"/>
        <w:spacing w:line="235" w:lineRule="auto" w:before="202"/>
        <w:ind w:left="165" w:right="167"/>
        <w:jc w:val="both"/>
      </w:pPr>
      <w:bookmarkStart w:name="_bookmark475" w:id="477"/>
      <w:bookmarkEnd w:id="477"/>
      <w:r>
        <w:rPr/>
      </w:r>
      <w:r>
        <w:rPr/>
        <w:t>In general, the provisions of the Rome Convention will, in practice, give the parties a </w:t>
      </w:r>
      <w:r>
        <w:rPr/>
        <w:t>comparatively wide freedom to choose the applicable law. </w:t>
      </w:r>
      <w:r>
        <w:rPr>
          <w:color w:val="005DA1"/>
          <w:u w:val="single" w:color="005DA1"/>
          <w:vertAlign w:val="superscript"/>
        </w:rPr>
        <w:t>291</w:t>
      </w:r>
      <w:r>
        <w:rPr>
          <w:color w:val="005DA1"/>
          <w:vertAlign w:val="baseline"/>
        </w:rPr>
        <w:t> </w:t>
      </w:r>
      <w:r>
        <w:rPr>
          <w:vertAlign w:val="baseline"/>
        </w:rPr>
        <w:t>There are, however, some provisions which place </w:t>
      </w:r>
      <w:bookmarkStart w:name="_bookmark476" w:id="478"/>
      <w:bookmarkEnd w:id="478"/>
      <w:r>
        <w:rPr>
          <w:vertAlign w:val="baseline"/>
        </w:rPr>
        <w:t>specific</w:t>
      </w:r>
      <w:r>
        <w:rPr>
          <w:vertAlign w:val="baseline"/>
        </w:rPr>
        <w:t> limits upon this freedom. The tendency of these provisions, however, is to limit rather than invalidate in toto the choice of law. </w:t>
      </w:r>
      <w:r>
        <w:rPr>
          <w:color w:val="005DA1"/>
          <w:u w:val="single" w:color="005DA1"/>
          <w:vertAlign w:val="superscript"/>
        </w:rPr>
        <w:t>292</w:t>
      </w:r>
      <w:r>
        <w:rPr>
          <w:color w:val="005DA1"/>
          <w:vertAlign w:val="baseline"/>
        </w:rPr>
        <w:t> </w:t>
      </w:r>
      <w:r>
        <w:rPr>
          <w:vertAlign w:val="baseline"/>
        </w:rPr>
        <w:t>These specific limitations are discussed in the following </w:t>
      </w:r>
      <w:r>
        <w:rPr>
          <w:spacing w:val="-2"/>
          <w:vertAlign w:val="baseline"/>
        </w:rPr>
        <w:t>paragraphs.</w:t>
      </w:r>
    </w:p>
    <w:p>
      <w:pPr>
        <w:pStyle w:val="BodyText"/>
      </w:pPr>
    </w:p>
    <w:p>
      <w:pPr>
        <w:pStyle w:val="BodyText"/>
        <w:spacing w:before="37"/>
      </w:pPr>
    </w:p>
    <w:p>
      <w:pPr>
        <w:spacing w:before="0"/>
        <w:ind w:left="165" w:right="0" w:firstLine="0"/>
        <w:jc w:val="both"/>
        <w:rPr>
          <w:rFonts w:ascii="Arial"/>
          <w:b/>
          <w:sz w:val="18"/>
        </w:rPr>
      </w:pPr>
      <w:r>
        <w:rPr>
          <w:rFonts w:ascii="Arial"/>
          <w:b/>
          <w:sz w:val="18"/>
        </w:rPr>
        <w:t>Mandatory </w:t>
      </w:r>
      <w:r>
        <w:rPr>
          <w:rFonts w:ascii="Arial"/>
          <w:b/>
          <w:spacing w:val="-2"/>
          <w:sz w:val="18"/>
        </w:rPr>
        <w:t>rules</w:t>
      </w:r>
    </w:p>
    <w:p>
      <w:pPr>
        <w:pStyle w:val="BodyText"/>
        <w:spacing w:before="41"/>
        <w:rPr>
          <w:rFonts w:ascii="Arial"/>
          <w:b/>
          <w:sz w:val="18"/>
        </w:rPr>
      </w:pPr>
    </w:p>
    <w:p>
      <w:pPr>
        <w:pStyle w:val="Heading2"/>
      </w:pPr>
      <w:r>
        <w:rPr/>
        <w:t>30-</w:t>
      </w:r>
      <w:r>
        <w:rPr>
          <w:spacing w:val="-5"/>
        </w:rPr>
        <w:t>060</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77" w:id="479"/>
      <w:bookmarkEnd w:id="479"/>
      <w:r>
        <w:rPr>
          <w:rFonts w:ascii="Times New Roman" w:hAnsi="Times New Roman"/>
          <w:spacing w:val="2"/>
        </w:rPr>
      </w:r>
      <w:r>
        <w:rPr/>
        <w:t>The Convention refers to the concept of “mandatory rule” in various provisions which will be discussed</w:t>
      </w:r>
      <w:r>
        <w:rPr>
          <w:spacing w:val="-2"/>
        </w:rPr>
        <w:t> </w:t>
      </w:r>
      <w:r>
        <w:rPr/>
        <w:t>in</w:t>
      </w:r>
      <w:r>
        <w:rPr>
          <w:spacing w:val="-2"/>
        </w:rPr>
        <w:t> </w:t>
      </w:r>
      <w:r>
        <w:rPr/>
        <w:t>this</w:t>
      </w:r>
      <w:r>
        <w:rPr>
          <w:spacing w:val="-2"/>
        </w:rPr>
        <w:t> </w:t>
      </w:r>
      <w:r>
        <w:rPr/>
        <w:t>chapter.</w:t>
      </w:r>
      <w:r>
        <w:rPr>
          <w:spacing w:val="-2"/>
        </w:rPr>
        <w:t> </w:t>
      </w:r>
      <w:r>
        <w:rPr>
          <w:color w:val="005DA1"/>
          <w:u w:val="single" w:color="005DA1"/>
          <w:vertAlign w:val="superscript"/>
        </w:rPr>
        <w:t>293</w:t>
      </w:r>
      <w:r>
        <w:rPr>
          <w:color w:val="005DA1"/>
          <w:spacing w:val="-2"/>
          <w:vertAlign w:val="baseline"/>
        </w:rPr>
        <w:t> </w:t>
      </w:r>
      <w:r>
        <w:rPr>
          <w:vertAlign w:val="baseline"/>
        </w:rPr>
        <w:t>At</w:t>
      </w:r>
      <w:r>
        <w:rPr>
          <w:spacing w:val="-2"/>
          <w:vertAlign w:val="baseline"/>
        </w:rPr>
        <w:t> </w:t>
      </w:r>
      <w:r>
        <w:rPr>
          <w:vertAlign w:val="baseline"/>
        </w:rPr>
        <w:t>this</w:t>
      </w:r>
      <w:r>
        <w:rPr>
          <w:spacing w:val="-2"/>
          <w:vertAlign w:val="baseline"/>
        </w:rPr>
        <w:t> </w:t>
      </w:r>
      <w:r>
        <w:rPr>
          <w:vertAlign w:val="baseline"/>
        </w:rPr>
        <w:t>juncture,</w:t>
      </w:r>
      <w:r>
        <w:rPr>
          <w:spacing w:val="-2"/>
          <w:vertAlign w:val="baseline"/>
        </w:rPr>
        <w:t> </w:t>
      </w:r>
      <w:r>
        <w:rPr>
          <w:vertAlign w:val="baseline"/>
        </w:rPr>
        <w:t>in</w:t>
      </w:r>
      <w:r>
        <w:rPr>
          <w:spacing w:val="-2"/>
          <w:vertAlign w:val="baseline"/>
        </w:rPr>
        <w:t> </w:t>
      </w:r>
      <w:r>
        <w:rPr>
          <w:vertAlign w:val="baseline"/>
        </w:rPr>
        <w:t>connection</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power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to</w:t>
      </w:r>
      <w:r>
        <w:rPr>
          <w:spacing w:val="-2"/>
          <w:vertAlign w:val="baseline"/>
        </w:rPr>
        <w:t> </w:t>
      </w:r>
      <w:r>
        <w:rPr>
          <w:vertAlign w:val="baseline"/>
        </w:rPr>
        <w:t>choose</w:t>
      </w:r>
      <w:r>
        <w:rPr>
          <w:spacing w:val="-2"/>
          <w:vertAlign w:val="baseline"/>
        </w:rPr>
        <w:t> </w:t>
      </w:r>
      <w:r>
        <w:rPr>
          <w:vertAlign w:val="baseline"/>
        </w:rPr>
        <w:t>the governing law, it is necessary to refer to art.3(3) which provides as follows:</w:t>
      </w:r>
    </w:p>
    <w:p>
      <w:pPr>
        <w:pStyle w:val="BodyText"/>
      </w:pPr>
    </w:p>
    <w:p>
      <w:pPr>
        <w:pStyle w:val="BodyText"/>
        <w:spacing w:before="125"/>
      </w:pPr>
    </w:p>
    <w:p>
      <w:pPr>
        <w:pStyle w:val="BodyText"/>
        <w:spacing w:line="235" w:lineRule="auto" w:before="1"/>
        <w:ind w:left="1245" w:right="167"/>
        <w:jc w:val="both"/>
      </w:pPr>
      <w:r>
        <w:rPr/>
        <w:t>“The fact that the parties have chosen a foreign law, whether or not accompanied by </w:t>
      </w:r>
      <w:r>
        <w:rPr/>
        <w:t>the choice of a foreign tribunal, shall not, where all the other elements relevant to the</w:t>
      </w:r>
      <w:r>
        <w:rPr>
          <w:spacing w:val="40"/>
        </w:rPr>
        <w:t> </w:t>
      </w:r>
      <w:r>
        <w:rPr/>
        <w:t>situation at the time of the choice are connected with one country only, prejudice the </w:t>
      </w:r>
      <w:bookmarkStart w:name="_bookmark478" w:id="480"/>
      <w:bookmarkEnd w:id="480"/>
      <w:r>
        <w:rPr/>
        <w:t>application</w:t>
      </w:r>
      <w:r>
        <w:rPr>
          <w:spacing w:val="-1"/>
        </w:rPr>
        <w:t> </w:t>
      </w:r>
      <w:r>
        <w:rPr/>
        <w:t>of</w:t>
      </w:r>
      <w:r>
        <w:rPr>
          <w:spacing w:val="-1"/>
        </w:rPr>
        <w:t> </w:t>
      </w:r>
      <w:r>
        <w:rPr/>
        <w:t>rules</w:t>
      </w:r>
      <w:r>
        <w:rPr>
          <w:spacing w:val="-1"/>
        </w:rPr>
        <w:t> </w:t>
      </w:r>
      <w:r>
        <w:rPr/>
        <w:t>of</w:t>
      </w:r>
      <w:r>
        <w:rPr>
          <w:spacing w:val="-1"/>
        </w:rPr>
        <w:t> </w:t>
      </w:r>
      <w:r>
        <w:rPr/>
        <w:t>the</w:t>
      </w:r>
      <w:r>
        <w:rPr>
          <w:spacing w:val="-1"/>
        </w:rPr>
        <w:t> </w:t>
      </w:r>
      <w:r>
        <w:rPr/>
        <w:t>law</w:t>
      </w:r>
      <w:r>
        <w:rPr>
          <w:spacing w:val="-1"/>
        </w:rPr>
        <w:t> </w:t>
      </w:r>
      <w:r>
        <w:rPr/>
        <w:t>of</w:t>
      </w:r>
      <w:r>
        <w:rPr>
          <w:spacing w:val="-1"/>
        </w:rPr>
        <w:t> </w:t>
      </w:r>
      <w:r>
        <w:rPr/>
        <w:t>that</w:t>
      </w:r>
      <w:r>
        <w:rPr>
          <w:spacing w:val="-1"/>
        </w:rPr>
        <w:t> </w:t>
      </w:r>
      <w:r>
        <w:rPr/>
        <w:t>country</w:t>
      </w:r>
      <w:r>
        <w:rPr>
          <w:spacing w:val="-1"/>
        </w:rPr>
        <w:t> </w:t>
      </w:r>
      <w:r>
        <w:rPr/>
        <w:t>which</w:t>
      </w:r>
      <w:r>
        <w:rPr>
          <w:spacing w:val="-1"/>
        </w:rPr>
        <w:t> </w:t>
      </w:r>
      <w:r>
        <w:rPr/>
        <w:t>cannot</w:t>
      </w:r>
      <w:r>
        <w:rPr>
          <w:spacing w:val="-1"/>
        </w:rPr>
        <w:t> </w:t>
      </w:r>
      <w:r>
        <w:rPr/>
        <w:t>be</w:t>
      </w:r>
      <w:r>
        <w:rPr>
          <w:spacing w:val="-1"/>
        </w:rPr>
        <w:t> </w:t>
      </w:r>
      <w:r>
        <w:rPr/>
        <w:t>derogated</w:t>
      </w:r>
      <w:r>
        <w:rPr>
          <w:spacing w:val="-1"/>
        </w:rPr>
        <w:t> </w:t>
      </w:r>
      <w:r>
        <w:rPr/>
        <w:t>from</w:t>
      </w:r>
      <w:r>
        <w:rPr>
          <w:spacing w:val="-1"/>
        </w:rPr>
        <w:t> </w:t>
      </w:r>
      <w:r>
        <w:rPr/>
        <w:t>by</w:t>
      </w:r>
      <w:r>
        <w:rPr>
          <w:spacing w:val="-1"/>
        </w:rPr>
        <w:t> </w:t>
      </w:r>
      <w:r>
        <w:rPr/>
        <w:t>contract, hereinafter called ‘mandatory rules’.” </w:t>
      </w:r>
      <w:r>
        <w:rPr>
          <w:color w:val="005DA1"/>
          <w:u w:val="single" w:color="005DA1"/>
          <w:vertAlign w:val="superscript"/>
        </w:rPr>
        <w:t>294</w:t>
      </w:r>
    </w:p>
    <w:p>
      <w:pPr>
        <w:pStyle w:val="BodyText"/>
        <w:spacing w:before="114"/>
      </w:pPr>
    </w:p>
    <w:p>
      <w:pPr>
        <w:pStyle w:val="BodyText"/>
        <w:spacing w:line="235" w:lineRule="auto" w:before="1"/>
        <w:ind w:left="165" w:right="167"/>
        <w:jc w:val="both"/>
      </w:pPr>
      <w:r>
        <w:rPr/>
        <w:t>The purpose of this provision would seem, essentially, to be somewhat narrow. It is designed to prevent the evasion of mandatory rules, as defined in the Article, in relation to a contract which, </w:t>
      </w:r>
      <w:r>
        <w:rPr/>
        <w:t>but</w:t>
      </w:r>
      <w:r>
        <w:rPr>
          <w:spacing w:val="40"/>
        </w:rPr>
        <w:t> </w:t>
      </w:r>
      <w:bookmarkStart w:name="_bookmark479" w:id="481"/>
      <w:bookmarkEnd w:id="481"/>
      <w:r>
        <w:rPr/>
        <w:t>for</w:t>
      </w:r>
      <w:r>
        <w:rPr>
          <w:spacing w:val="12"/>
        </w:rPr>
        <w:t> </w:t>
      </w:r>
      <w:r>
        <w:rPr/>
        <w:t>a</w:t>
      </w:r>
      <w:r>
        <w:rPr>
          <w:spacing w:val="12"/>
        </w:rPr>
        <w:t> </w:t>
      </w:r>
      <w:r>
        <w:rPr/>
        <w:t>choice</w:t>
      </w:r>
      <w:r>
        <w:rPr>
          <w:spacing w:val="12"/>
        </w:rPr>
        <w:t> </w:t>
      </w:r>
      <w:r>
        <w:rPr/>
        <w:t>of</w:t>
      </w:r>
      <w:r>
        <w:rPr>
          <w:spacing w:val="12"/>
        </w:rPr>
        <w:t> </w:t>
      </w:r>
      <w:r>
        <w:rPr/>
        <w:t>foreign</w:t>
      </w:r>
      <w:r>
        <w:rPr>
          <w:spacing w:val="12"/>
        </w:rPr>
        <w:t> </w:t>
      </w:r>
      <w:r>
        <w:rPr/>
        <w:t>law,</w:t>
      </w:r>
      <w:r>
        <w:rPr>
          <w:spacing w:val="12"/>
        </w:rPr>
        <w:t> </w:t>
      </w:r>
      <w:r>
        <w:rPr/>
        <w:t>would</w:t>
      </w:r>
      <w:r>
        <w:rPr>
          <w:spacing w:val="12"/>
        </w:rPr>
        <w:t> </w:t>
      </w:r>
      <w:r>
        <w:rPr/>
        <w:t>be</w:t>
      </w:r>
      <w:r>
        <w:rPr>
          <w:spacing w:val="12"/>
        </w:rPr>
        <w:t> </w:t>
      </w:r>
      <w:r>
        <w:rPr/>
        <w:t>a</w:t>
      </w:r>
      <w:r>
        <w:rPr>
          <w:spacing w:val="12"/>
        </w:rPr>
        <w:t> </w:t>
      </w:r>
      <w:r>
        <w:rPr/>
        <w:t>purely</w:t>
      </w:r>
      <w:r>
        <w:rPr>
          <w:spacing w:val="12"/>
        </w:rPr>
        <w:t> </w:t>
      </w:r>
      <w:r>
        <w:rPr/>
        <w:t>domestic</w:t>
      </w:r>
      <w:r>
        <w:rPr>
          <w:spacing w:val="12"/>
        </w:rPr>
        <w:t> </w:t>
      </w:r>
      <w:r>
        <w:rPr/>
        <w:t>contract,</w:t>
      </w:r>
      <w:r>
        <w:rPr>
          <w:spacing w:val="12"/>
        </w:rPr>
        <w:t> </w:t>
      </w:r>
      <w:r>
        <w:rPr/>
        <w:t>by</w:t>
      </w:r>
      <w:r>
        <w:rPr>
          <w:spacing w:val="12"/>
        </w:rPr>
        <w:t> </w:t>
      </w:r>
      <w:r>
        <w:rPr/>
        <w:t>the</w:t>
      </w:r>
      <w:r>
        <w:rPr>
          <w:spacing w:val="12"/>
        </w:rPr>
        <w:t> </w:t>
      </w:r>
      <w:r>
        <w:rPr/>
        <w:t>simple</w:t>
      </w:r>
      <w:r>
        <w:rPr>
          <w:spacing w:val="12"/>
        </w:rPr>
        <w:t> </w:t>
      </w:r>
      <w:r>
        <w:rPr/>
        <w:t>device</w:t>
      </w:r>
      <w:r>
        <w:rPr>
          <w:spacing w:val="12"/>
        </w:rPr>
        <w:t> </w:t>
      </w:r>
      <w:r>
        <w:rPr/>
        <w:t>of</w:t>
      </w:r>
      <w:r>
        <w:rPr>
          <w:spacing w:val="12"/>
        </w:rPr>
        <w:t> </w:t>
      </w:r>
      <w:r>
        <w:rPr/>
        <w:t>including</w:t>
      </w:r>
      <w:r>
        <w:rPr>
          <w:spacing w:val="12"/>
        </w:rPr>
        <w:t> </w:t>
      </w:r>
      <w:r>
        <w:rPr>
          <w:spacing w:val="-5"/>
        </w:rPr>
        <w:t>in</w:t>
      </w:r>
    </w:p>
    <w:p>
      <w:pPr>
        <w:pStyle w:val="BodyText"/>
        <w:spacing w:line="235" w:lineRule="auto" w:before="118"/>
        <w:ind w:left="164" w:right="167"/>
        <w:jc w:val="both"/>
      </w:pPr>
      <w:bookmarkStart w:name="_bookmark480" w:id="482"/>
      <w:bookmarkEnd w:id="482"/>
      <w:r>
        <w:rPr/>
      </w:r>
      <w:r>
        <w:rPr/>
        <w:t>the contract such a choice of foreign law. </w:t>
      </w:r>
      <w:r>
        <w:rPr>
          <w:color w:val="005DA1"/>
          <w:u w:val="single" w:color="005DA1"/>
          <w:vertAlign w:val="superscript"/>
        </w:rPr>
        <w:t>295</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10"/>
          <w:vertAlign w:val="baseline"/>
        </w:rPr>
        <w:t> </w:t>
      </w:r>
      <w:r>
        <w:rPr>
          <w:vertAlign w:val="baseline"/>
        </w:rPr>
        <w:t>Such a narrow situation does not appear to have arisen in any reported case at common law, </w:t>
      </w:r>
      <w:r>
        <w:rPr>
          <w:color w:val="005DA1"/>
          <w:u w:val="single" w:color="005DA1"/>
          <w:vertAlign w:val="superscript"/>
        </w:rPr>
        <w:t>296</w:t>
      </w:r>
      <w:r>
        <w:rPr>
          <w:color w:val="005DA1"/>
          <w:vertAlign w:val="baseline"/>
        </w:rPr>
        <w:t> </w:t>
      </w:r>
      <w:r>
        <w:rPr>
          <w:vertAlign w:val="baseline"/>
        </w:rPr>
        <w:t>but the narrowness of art.3(3) is explicable by reference to the desire of the United Kingdom negotiators of the Convention to preserve </w:t>
      </w:r>
      <w:r>
        <w:rPr>
          <w:vertAlign w:val="baseline"/>
        </w:rPr>
        <w:t>the</w:t>
      </w:r>
      <w:r>
        <w:rPr>
          <w:spacing w:val="80"/>
          <w:vertAlign w:val="baseline"/>
        </w:rPr>
        <w:t> </w:t>
      </w:r>
      <w:bookmarkStart w:name="_bookmark481" w:id="483"/>
      <w:bookmarkEnd w:id="483"/>
      <w:r>
        <w:rPr>
          <w:vertAlign w:val="baseline"/>
        </w:rPr>
        <w:t>possibility</w:t>
      </w:r>
      <w:r>
        <w:rPr>
          <w:vertAlign w:val="baseline"/>
        </w:rPr>
        <w:t> of the parties choosing a foreign law although there was no other foreign element in the </w:t>
      </w:r>
      <w:bookmarkStart w:name="_bookmark482" w:id="484"/>
      <w:bookmarkEnd w:id="484"/>
      <w:r>
        <w:rPr>
          <w:vertAlign w:val="baseline"/>
        </w:rPr>
        <w:t>situation.</w:t>
      </w:r>
      <w:r>
        <w:rPr>
          <w:spacing w:val="-2"/>
          <w:vertAlign w:val="baseline"/>
        </w:rPr>
        <w:t> </w:t>
      </w:r>
      <w:r>
        <w:rPr>
          <w:color w:val="005DA1"/>
          <w:u w:val="single" w:color="005DA1"/>
          <w:vertAlign w:val="superscript"/>
        </w:rPr>
        <w:t>297</w:t>
      </w:r>
      <w:r>
        <w:rPr>
          <w:color w:val="005DA1"/>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possibility</w:t>
      </w:r>
      <w:r>
        <w:rPr>
          <w:spacing w:val="-1"/>
          <w:vertAlign w:val="baseline"/>
        </w:rPr>
        <w:t> </w:t>
      </w:r>
      <w:r>
        <w:rPr>
          <w:vertAlign w:val="baseline"/>
        </w:rPr>
        <w:t>should</w:t>
      </w:r>
      <w:r>
        <w:rPr>
          <w:spacing w:val="-1"/>
          <w:vertAlign w:val="baseline"/>
        </w:rPr>
        <w:t> </w:t>
      </w:r>
      <w:r>
        <w:rPr>
          <w:vertAlign w:val="baseline"/>
        </w:rPr>
        <w:t>only,</w:t>
      </w:r>
      <w:r>
        <w:rPr>
          <w:spacing w:val="-1"/>
          <w:vertAlign w:val="baseline"/>
        </w:rPr>
        <w:t> </w:t>
      </w:r>
      <w:r>
        <w:rPr>
          <w:vertAlign w:val="baseline"/>
        </w:rPr>
        <w:t>thus,</w:t>
      </w:r>
      <w:r>
        <w:rPr>
          <w:spacing w:val="-1"/>
          <w:vertAlign w:val="baseline"/>
        </w:rPr>
        <w:t> </w:t>
      </w:r>
      <w:r>
        <w:rPr>
          <w:vertAlign w:val="baseline"/>
        </w:rPr>
        <w:t>be</w:t>
      </w:r>
      <w:r>
        <w:rPr>
          <w:spacing w:val="-1"/>
          <w:vertAlign w:val="baseline"/>
        </w:rPr>
        <w:t> </w:t>
      </w:r>
      <w:r>
        <w:rPr>
          <w:vertAlign w:val="baseline"/>
        </w:rPr>
        <w:t>restricted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mandatory</w:t>
      </w:r>
      <w:r>
        <w:rPr>
          <w:spacing w:val="-1"/>
          <w:vertAlign w:val="baseline"/>
        </w:rPr>
        <w:t> </w:t>
      </w:r>
      <w:r>
        <w:rPr>
          <w:vertAlign w:val="baseline"/>
        </w:rPr>
        <w:t>rules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only</w:t>
      </w:r>
      <w:r>
        <w:rPr>
          <w:spacing w:val="-1"/>
          <w:vertAlign w:val="baseline"/>
        </w:rPr>
        <w:t> </w:t>
      </w:r>
      <w:r>
        <w:rPr>
          <w:spacing w:val="-2"/>
          <w:vertAlign w:val="baseline"/>
        </w:rPr>
        <w:t>other</w:t>
      </w:r>
    </w:p>
    <w:p>
      <w:pPr>
        <w:pStyle w:val="BodyText"/>
        <w:spacing w:before="115"/>
        <w:ind w:left="164"/>
        <w:jc w:val="both"/>
        <w:rPr>
          <w:position w:val="-2"/>
        </w:rPr>
      </w:pPr>
      <w:r>
        <w:rPr/>
        <w:t>country which would otherwise be relevant to the situation. </w:t>
      </w:r>
      <w:r>
        <w:rPr>
          <w:color w:val="005DA1"/>
          <w:u w:val="single" w:color="005DA1"/>
          <w:vertAlign w:val="superscript"/>
        </w:rPr>
        <w:t>298</w:t>
      </w:r>
      <w:r>
        <w:rPr>
          <w:color w:val="005DA1"/>
          <w:spacing w:val="80"/>
          <w:w w:val="150"/>
          <w:vertAlign w:val="baseline"/>
        </w:rPr>
        <w:t> </w:t>
      </w:r>
      <w:r>
        <w:rPr>
          <w:color w:val="005DA1"/>
          <w:position w:val="-2"/>
          <w:vertAlign w:val="baseline"/>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Connection with one country </w:t>
      </w:r>
      <w:r>
        <w:rPr>
          <w:rFonts w:ascii="Arial"/>
          <w:b/>
          <w:spacing w:val="-4"/>
          <w:sz w:val="18"/>
        </w:rPr>
        <w:t>only</w:t>
      </w:r>
    </w:p>
    <w:p>
      <w:pPr>
        <w:pStyle w:val="BodyText"/>
        <w:spacing w:before="41"/>
        <w:rPr>
          <w:rFonts w:ascii="Arial"/>
          <w:b/>
          <w:sz w:val="18"/>
        </w:rPr>
      </w:pPr>
    </w:p>
    <w:p>
      <w:pPr>
        <w:pStyle w:val="Heading2"/>
        <w:spacing w:before="1"/>
      </w:pPr>
      <w:r>
        <w:rPr/>
        <w:t>30-</w:t>
      </w:r>
      <w:r>
        <w:rPr>
          <w:spacing w:val="-5"/>
        </w:rPr>
        <w:t>061</w:t>
      </w:r>
    </w:p>
    <w:p>
      <w:pPr>
        <w:pStyle w:val="BodyText"/>
        <w:spacing w:line="235" w:lineRule="auto" w:before="202"/>
        <w:ind w:left="165"/>
      </w:pPr>
      <w:r>
        <w:rPr/>
        <w:t>For</w:t>
      </w:r>
      <w:r>
        <w:rPr>
          <w:spacing w:val="28"/>
        </w:rPr>
        <w:t> </w:t>
      </w:r>
      <w:r>
        <w:rPr/>
        <w:t>art.3(3)</w:t>
      </w:r>
      <w:r>
        <w:rPr>
          <w:spacing w:val="28"/>
        </w:rPr>
        <w:t> </w:t>
      </w:r>
      <w:r>
        <w:rPr/>
        <w:t>to</w:t>
      </w:r>
      <w:r>
        <w:rPr>
          <w:spacing w:val="28"/>
        </w:rPr>
        <w:t> </w:t>
      </w:r>
      <w:r>
        <w:rPr/>
        <w:t>operate</w:t>
      </w:r>
      <w:r>
        <w:rPr>
          <w:spacing w:val="28"/>
        </w:rPr>
        <w:t> </w:t>
      </w:r>
      <w:r>
        <w:rPr/>
        <w:t>it</w:t>
      </w:r>
      <w:r>
        <w:rPr>
          <w:spacing w:val="28"/>
        </w:rPr>
        <w:t> </w:t>
      </w:r>
      <w:r>
        <w:rPr/>
        <w:t>is</w:t>
      </w:r>
      <w:r>
        <w:rPr>
          <w:spacing w:val="28"/>
        </w:rPr>
        <w:t> </w:t>
      </w:r>
      <w:r>
        <w:rPr/>
        <w:t>first</w:t>
      </w:r>
      <w:r>
        <w:rPr>
          <w:spacing w:val="28"/>
        </w:rPr>
        <w:t> </w:t>
      </w:r>
      <w:r>
        <w:rPr/>
        <w:t>necessary</w:t>
      </w:r>
      <w:r>
        <w:rPr>
          <w:spacing w:val="28"/>
        </w:rPr>
        <w:t> </w:t>
      </w:r>
      <w:r>
        <w:rPr/>
        <w:t>that</w:t>
      </w:r>
      <w:r>
        <w:rPr>
          <w:spacing w:val="28"/>
        </w:rPr>
        <w:t> </w:t>
      </w:r>
      <w:r>
        <w:rPr/>
        <w:t>all</w:t>
      </w:r>
      <w:r>
        <w:rPr>
          <w:spacing w:val="28"/>
        </w:rPr>
        <w:t> </w:t>
      </w:r>
      <w:r>
        <w:rPr/>
        <w:t>the</w:t>
      </w:r>
      <w:r>
        <w:rPr>
          <w:spacing w:val="28"/>
        </w:rPr>
        <w:t> </w:t>
      </w:r>
      <w:r>
        <w:rPr/>
        <w:t>elements</w:t>
      </w:r>
      <w:r>
        <w:rPr>
          <w:spacing w:val="28"/>
        </w:rPr>
        <w:t> </w:t>
      </w:r>
      <w:r>
        <w:rPr/>
        <w:t>(other</w:t>
      </w:r>
      <w:r>
        <w:rPr>
          <w:spacing w:val="28"/>
        </w:rPr>
        <w:t> </w:t>
      </w:r>
      <w:r>
        <w:rPr/>
        <w:t>than</w:t>
      </w:r>
      <w:r>
        <w:rPr>
          <w:spacing w:val="28"/>
        </w:rPr>
        <w:t> </w:t>
      </w:r>
      <w:r>
        <w:rPr/>
        <w:t>the</w:t>
      </w:r>
      <w:r>
        <w:rPr>
          <w:spacing w:val="28"/>
        </w:rPr>
        <w:t> </w:t>
      </w:r>
      <w:r>
        <w:rPr/>
        <w:t>choice</w:t>
      </w:r>
      <w:r>
        <w:rPr>
          <w:spacing w:val="28"/>
        </w:rPr>
        <w:t> </w:t>
      </w:r>
      <w:r>
        <w:rPr/>
        <w:t>of</w:t>
      </w:r>
      <w:r>
        <w:rPr>
          <w:spacing w:val="28"/>
        </w:rPr>
        <w:t> </w:t>
      </w:r>
      <w:r>
        <w:rPr/>
        <w:t>law</w:t>
      </w:r>
      <w:r>
        <w:rPr>
          <w:spacing w:val="28"/>
        </w:rPr>
        <w:t> </w:t>
      </w:r>
      <w:r>
        <w:rPr/>
        <w:t>and jurisdiction</w:t>
      </w:r>
      <w:r>
        <w:rPr>
          <w:spacing w:val="28"/>
        </w:rPr>
        <w:t> </w:t>
      </w:r>
      <w:r>
        <w:rPr/>
        <w:t>where</w:t>
      </w:r>
      <w:r>
        <w:rPr>
          <w:spacing w:val="28"/>
        </w:rPr>
        <w:t> </w:t>
      </w:r>
      <w:r>
        <w:rPr/>
        <w:t>present)</w:t>
      </w:r>
      <w:r>
        <w:rPr>
          <w:spacing w:val="28"/>
        </w:rPr>
        <w:t> </w:t>
      </w:r>
      <w:r>
        <w:rPr/>
        <w:t>relevant</w:t>
      </w:r>
      <w:r>
        <w:rPr>
          <w:spacing w:val="28"/>
        </w:rPr>
        <w:t> </w:t>
      </w:r>
      <w:r>
        <w:rPr/>
        <w:t>to</w:t>
      </w:r>
      <w:r>
        <w:rPr>
          <w:spacing w:val="28"/>
        </w:rPr>
        <w:t> </w:t>
      </w:r>
      <w:r>
        <w:rPr/>
        <w:t>the</w:t>
      </w:r>
      <w:r>
        <w:rPr>
          <w:spacing w:val="28"/>
        </w:rPr>
        <w:t> </w:t>
      </w:r>
      <w:r>
        <w:rPr/>
        <w:t>situation</w:t>
      </w:r>
      <w:r>
        <w:rPr>
          <w:spacing w:val="28"/>
        </w:rPr>
        <w:t> </w:t>
      </w:r>
      <w:r>
        <w:rPr/>
        <w:t>(not</w:t>
      </w:r>
      <w:r>
        <w:rPr>
          <w:spacing w:val="28"/>
        </w:rPr>
        <w:t> </w:t>
      </w:r>
      <w:r>
        <w:rPr/>
        <w:t>the</w:t>
      </w:r>
      <w:r>
        <w:rPr>
          <w:spacing w:val="28"/>
        </w:rPr>
        <w:t> </w:t>
      </w:r>
      <w:r>
        <w:rPr/>
        <w:t>contract)</w:t>
      </w:r>
      <w:r>
        <w:rPr>
          <w:spacing w:val="28"/>
        </w:rPr>
        <w:t> </w:t>
      </w:r>
      <w:r>
        <w:rPr/>
        <w:t>at</w:t>
      </w:r>
      <w:r>
        <w:rPr>
          <w:spacing w:val="28"/>
        </w:rPr>
        <w:t> </w:t>
      </w:r>
      <w:r>
        <w:rPr/>
        <w:t>the</w:t>
      </w:r>
      <w:r>
        <w:rPr>
          <w:spacing w:val="28"/>
        </w:rPr>
        <w:t> </w:t>
      </w:r>
      <w:r>
        <w:rPr/>
        <w:t>time</w:t>
      </w:r>
      <w:r>
        <w:rPr>
          <w:spacing w:val="28"/>
        </w:rPr>
        <w:t> </w:t>
      </w:r>
      <w:r>
        <w:rPr/>
        <w:t>of</w:t>
      </w:r>
      <w:r>
        <w:rPr>
          <w:spacing w:val="28"/>
        </w:rPr>
        <w:t> </w:t>
      </w:r>
      <w:r>
        <w:rPr/>
        <w:t>the</w:t>
      </w:r>
      <w:r>
        <w:rPr>
          <w:spacing w:val="28"/>
        </w:rPr>
        <w:t> </w:t>
      </w:r>
      <w:r>
        <w:rPr/>
        <w:t>choice</w:t>
      </w:r>
      <w:r>
        <w:rPr>
          <w:spacing w:val="28"/>
        </w:rPr>
        <w:t> </w:t>
      </w:r>
      <w:r>
        <w:rPr>
          <w:spacing w:val="-5"/>
        </w:rPr>
        <w:t>are</w:t>
      </w:r>
    </w:p>
    <w:p>
      <w:pPr>
        <w:pStyle w:val="BodyText"/>
        <w:spacing w:after="0" w:line="235" w:lineRule="auto"/>
        <w:sectPr>
          <w:pgSz w:w="11900" w:h="16840"/>
          <w:pgMar w:header="971" w:footer="0" w:top="1300" w:bottom="280" w:left="1275" w:right="1275"/>
        </w:sectPr>
      </w:pPr>
    </w:p>
    <w:p>
      <w:pPr>
        <w:pStyle w:val="BodyText"/>
        <w:spacing w:line="235" w:lineRule="auto" w:before="210"/>
        <w:ind w:left="164" w:right="167"/>
        <w:jc w:val="both"/>
      </w:pPr>
      <w:r>
        <w:rPr/>
        <w:t>connected</w:t>
      </w:r>
      <w:r>
        <w:rPr>
          <w:spacing w:val="-2"/>
        </w:rPr>
        <w:t> </w:t>
      </w:r>
      <w:r>
        <w:rPr/>
        <w:t>with</w:t>
      </w:r>
      <w:r>
        <w:rPr>
          <w:spacing w:val="-2"/>
        </w:rPr>
        <w:t> </w:t>
      </w:r>
      <w:r>
        <w:rPr>
          <w:rFonts w:ascii="Arial" w:hAnsi="Arial"/>
          <w:i/>
        </w:rPr>
        <w:t>one</w:t>
      </w:r>
      <w:r>
        <w:rPr>
          <w:rFonts w:ascii="Arial" w:hAnsi="Arial"/>
          <w:i/>
          <w:spacing w:val="-2"/>
        </w:rPr>
        <w:t> </w:t>
      </w:r>
      <w:r>
        <w:rPr/>
        <w:t>country</w:t>
      </w:r>
      <w:r>
        <w:rPr>
          <w:spacing w:val="-2"/>
        </w:rPr>
        <w:t> </w:t>
      </w:r>
      <w:r>
        <w:rPr/>
        <w:t>only.</w:t>
      </w:r>
      <w:r>
        <w:rPr>
          <w:spacing w:val="-2"/>
        </w:rPr>
        <w:t> </w:t>
      </w:r>
      <w:r>
        <w:rPr/>
        <w:t>Accordingly,</w:t>
      </w:r>
      <w:r>
        <w:rPr>
          <w:spacing w:val="-2"/>
        </w:rPr>
        <w:t> </w:t>
      </w:r>
      <w:r>
        <w:rPr/>
        <w:t>the</w:t>
      </w:r>
      <w:r>
        <w:rPr>
          <w:spacing w:val="-2"/>
        </w:rPr>
        <w:t> </w:t>
      </w:r>
      <w:r>
        <w:rPr/>
        <w:t>provision</w:t>
      </w:r>
      <w:r>
        <w:rPr>
          <w:spacing w:val="-2"/>
        </w:rPr>
        <w:t> </w:t>
      </w:r>
      <w:r>
        <w:rPr/>
        <w:t>will</w:t>
      </w:r>
      <w:r>
        <w:rPr>
          <w:spacing w:val="-2"/>
        </w:rPr>
        <w:t> </w:t>
      </w:r>
      <w:r>
        <w:rPr/>
        <w:t>not</w:t>
      </w:r>
      <w:r>
        <w:rPr>
          <w:spacing w:val="-2"/>
        </w:rPr>
        <w:t> </w:t>
      </w:r>
      <w:r>
        <w:rPr/>
        <w:t>apply</w:t>
      </w:r>
      <w:r>
        <w:rPr>
          <w:spacing w:val="-2"/>
        </w:rPr>
        <w:t> </w:t>
      </w:r>
      <w:r>
        <w:rPr/>
        <w:t>where,</w:t>
      </w:r>
      <w:r>
        <w:rPr>
          <w:spacing w:val="-2"/>
        </w:rPr>
        <w:t> </w:t>
      </w:r>
      <w:r>
        <w:rPr/>
        <w:t>although</w:t>
      </w:r>
      <w:r>
        <w:rPr>
          <w:spacing w:val="-2"/>
        </w:rPr>
        <w:t> </w:t>
      </w:r>
      <w:r>
        <w:rPr/>
        <w:t>at</w:t>
      </w:r>
      <w:r>
        <w:rPr>
          <w:spacing w:val="-2"/>
        </w:rPr>
        <w:t> </w:t>
      </w:r>
      <w:r>
        <w:rPr/>
        <w:t>first</w:t>
      </w:r>
      <w:r>
        <w:rPr>
          <w:spacing w:val="-2"/>
        </w:rPr>
        <w:t> </w:t>
      </w:r>
      <w:r>
        <w:rPr/>
        <w:t>sight the contract appears to be connected to one country only, there are other elements relevant to </w:t>
      </w:r>
      <w:r>
        <w:rPr/>
        <w:t>the “situation” (which goes beyond the contract itself) which are connected with another country or other countries. Having said that, it is not easy to determine in the abstract whether an element is “relevant” to the “situation”. Such a conclusion may be reached if a seller manufactures goods in one country which are then sold in another country under a contract entirely connected with the latter country</w:t>
      </w:r>
      <w:r>
        <w:rPr>
          <w:spacing w:val="40"/>
        </w:rPr>
        <w:t> </w:t>
      </w:r>
      <w:r>
        <w:rPr/>
        <w:t>apart from the choice of the law of yet a different country. It is by no means certain that this is a </w:t>
      </w:r>
      <w:bookmarkStart w:name="_bookmark483" w:id="485"/>
      <w:bookmarkEnd w:id="485"/>
      <w:r>
        <w:rPr/>
        <w:t>situation</w:t>
      </w:r>
      <w:r>
        <w:rPr/>
        <w:t> which would not call art.3(3) into play, though it is suggested that art.3(3) should not apply here. </w:t>
      </w:r>
      <w:r>
        <w:rPr>
          <w:color w:val="005DA1"/>
          <w:u w:val="single" w:color="005DA1"/>
          <w:vertAlign w:val="superscript"/>
        </w:rPr>
        <w:t>299</w:t>
      </w:r>
      <w:r>
        <w:rPr>
          <w:color w:val="005DA1"/>
          <w:vertAlign w:val="baseline"/>
        </w:rPr>
        <w:t> </w:t>
      </w:r>
      <w:r>
        <w:rPr>
          <w:vertAlign w:val="baseline"/>
        </w:rPr>
        <w:t>Conversely, it is likely that art.3(3) will apply if, say, an English buyer enters into a contract with an English seller through the seller’s website on the internet and the only foreign element (apart </w:t>
      </w:r>
      <w:bookmarkStart w:name="_bookmark484" w:id="486"/>
      <w:bookmarkEnd w:id="486"/>
      <w:r>
        <w:rPr>
          <w:vertAlign w:val="baseline"/>
        </w:rPr>
        <w:t>from</w:t>
      </w:r>
      <w:r>
        <w:rPr>
          <w:vertAlign w:val="baseline"/>
        </w:rPr>
        <w:t> a choice of foreign law) is the fact that the website is hosted by a third party in a foreign country, since the physical location of the server would not seem to be an element relevant to the situation. </w:t>
      </w:r>
      <w:r>
        <w:rPr>
          <w:color w:val="005DA1"/>
          <w:u w:val="single" w:color="005DA1"/>
          <w:vertAlign w:val="superscript"/>
        </w:rPr>
        <w:t>300</w:t>
      </w:r>
      <w:r>
        <w:rPr>
          <w:color w:val="005DA1"/>
          <w:vertAlign w:val="baseline"/>
        </w:rPr>
        <w:t> </w:t>
      </w:r>
      <w:r>
        <w:rPr>
          <w:vertAlign w:val="baseline"/>
        </w:rPr>
        <w:t>Secondly, the time at which it must be ascertained whether the relevant elements are connected with one country only is the time at which the choice of law is made so that connections with other countries which materialise after that time must seemingly be ignored. Thirdly, although art.3(3) speaks literally of a choice of foreign law, it may apply, nonetheless, if parties to a contract have chosen English law if all the other elements relevant to the situation at the time of the choice are connected</w:t>
      </w:r>
      <w:r>
        <w:rPr>
          <w:spacing w:val="-2"/>
          <w:vertAlign w:val="baseline"/>
        </w:rPr>
        <w:t> </w:t>
      </w:r>
      <w:r>
        <w:rPr>
          <w:vertAlign w:val="baseline"/>
        </w:rPr>
        <w:t>with</w:t>
      </w:r>
      <w:r>
        <w:rPr>
          <w:spacing w:val="-2"/>
          <w:vertAlign w:val="baseline"/>
        </w:rPr>
        <w:t> </w:t>
      </w:r>
      <w:r>
        <w:rPr>
          <w:vertAlign w:val="baseline"/>
        </w:rPr>
        <w:t>a</w:t>
      </w:r>
      <w:r>
        <w:rPr>
          <w:spacing w:val="-2"/>
          <w:vertAlign w:val="baseline"/>
        </w:rPr>
        <w:t> </w:t>
      </w:r>
      <w:r>
        <w:rPr>
          <w:vertAlign w:val="baseline"/>
        </w:rPr>
        <w:t>foreign</w:t>
      </w:r>
      <w:r>
        <w:rPr>
          <w:spacing w:val="-2"/>
          <w:vertAlign w:val="baseline"/>
        </w:rPr>
        <w:t> </w:t>
      </w:r>
      <w:r>
        <w:rPr>
          <w:vertAlign w:val="baseline"/>
        </w:rPr>
        <w:t>country.</w:t>
      </w:r>
      <w:r>
        <w:rPr>
          <w:spacing w:val="-2"/>
          <w:vertAlign w:val="baseline"/>
        </w:rPr>
        <w:t> </w:t>
      </w:r>
      <w:r>
        <w:rPr>
          <w:vertAlign w:val="baseline"/>
        </w:rPr>
        <w:t>Thus</w:t>
      </w:r>
      <w:r>
        <w:rPr>
          <w:spacing w:val="-2"/>
          <w:vertAlign w:val="baseline"/>
        </w:rPr>
        <w:t> </w:t>
      </w:r>
      <w:r>
        <w:rPr>
          <w:vertAlign w:val="baseline"/>
        </w:rPr>
        <w:t>if</w:t>
      </w:r>
      <w:r>
        <w:rPr>
          <w:spacing w:val="-2"/>
          <w:vertAlign w:val="baseline"/>
        </w:rPr>
        <w:t> </w:t>
      </w:r>
      <w:r>
        <w:rPr>
          <w:vertAlign w:val="baseline"/>
        </w:rPr>
        <w:t>all</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elements</w:t>
      </w:r>
      <w:r>
        <w:rPr>
          <w:spacing w:val="-2"/>
          <w:vertAlign w:val="baseline"/>
        </w:rPr>
        <w:t> </w:t>
      </w:r>
      <w:r>
        <w:rPr>
          <w:vertAlign w:val="baseline"/>
        </w:rPr>
        <w:t>relevant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situation</w:t>
      </w:r>
      <w:r>
        <w:rPr>
          <w:spacing w:val="-2"/>
          <w:vertAlign w:val="baseline"/>
        </w:rPr>
        <w:t> </w:t>
      </w:r>
      <w:r>
        <w:rPr>
          <w:vertAlign w:val="baseline"/>
        </w:rPr>
        <w:t>are</w:t>
      </w:r>
      <w:r>
        <w:rPr>
          <w:spacing w:val="-2"/>
          <w:vertAlign w:val="baseline"/>
        </w:rPr>
        <w:t> </w:t>
      </w:r>
      <w:r>
        <w:rPr>
          <w:vertAlign w:val="baseline"/>
        </w:rPr>
        <w:t>connected </w:t>
      </w:r>
      <w:bookmarkStart w:name="_bookmark485" w:id="487"/>
      <w:bookmarkEnd w:id="487"/>
      <w:r>
        <w:rPr>
          <w:vertAlign w:val="baseline"/>
        </w:rPr>
        <w:t>with</w:t>
      </w:r>
      <w:r>
        <w:rPr>
          <w:vertAlign w:val="baseline"/>
        </w:rPr>
        <w:t> Germany but the contract contains a choice of English law then the English court would have to apply German mandatory rules. </w:t>
      </w:r>
      <w:r>
        <w:rPr>
          <w:color w:val="005DA1"/>
          <w:u w:val="single" w:color="005DA1"/>
          <w:vertAlign w:val="superscript"/>
        </w:rPr>
        <w:t>301</w:t>
      </w:r>
      <w:r>
        <w:rPr>
          <w:color w:val="005DA1"/>
          <w:vertAlign w:val="baseline"/>
        </w:rPr>
        <w:t> </w:t>
      </w:r>
      <w:r>
        <w:rPr>
          <w:vertAlign w:val="baseline"/>
        </w:rPr>
        <w:t>Likewise, if all the other elements relevant to the situation were connected</w:t>
      </w:r>
      <w:r>
        <w:rPr>
          <w:spacing w:val="-1"/>
          <w:vertAlign w:val="baseline"/>
        </w:rPr>
        <w:t> </w:t>
      </w:r>
      <w:r>
        <w:rPr>
          <w:vertAlign w:val="baseline"/>
        </w:rPr>
        <w:t>with</w:t>
      </w:r>
      <w:r>
        <w:rPr>
          <w:spacing w:val="-1"/>
          <w:vertAlign w:val="baseline"/>
        </w:rPr>
        <w:t> </w:t>
      </w:r>
      <w:r>
        <w:rPr>
          <w:vertAlign w:val="baseline"/>
        </w:rPr>
        <w:t>England,</w:t>
      </w:r>
      <w:r>
        <w:rPr>
          <w:spacing w:val="-1"/>
          <w:vertAlign w:val="baseline"/>
        </w:rPr>
        <w:t> </w:t>
      </w:r>
      <w:r>
        <w:rPr>
          <w:vertAlign w:val="baseline"/>
        </w:rPr>
        <w:t>but</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contains</w:t>
      </w:r>
      <w:r>
        <w:rPr>
          <w:spacing w:val="-1"/>
          <w:vertAlign w:val="baseline"/>
        </w:rPr>
        <w:t> </w:t>
      </w:r>
      <w:r>
        <w:rPr>
          <w:vertAlign w:val="baseline"/>
        </w:rPr>
        <w:t>a</w:t>
      </w:r>
      <w:r>
        <w:rPr>
          <w:spacing w:val="-1"/>
          <w:vertAlign w:val="baseline"/>
        </w:rPr>
        <w:t> </w:t>
      </w:r>
      <w:r>
        <w:rPr>
          <w:vertAlign w:val="baseline"/>
        </w:rPr>
        <w:t>choice</w:t>
      </w:r>
      <w:r>
        <w:rPr>
          <w:spacing w:val="-1"/>
          <w:vertAlign w:val="baseline"/>
        </w:rPr>
        <w:t> </w:t>
      </w:r>
      <w:r>
        <w:rPr>
          <w:vertAlign w:val="baseline"/>
        </w:rPr>
        <w:t>of</w:t>
      </w:r>
      <w:r>
        <w:rPr>
          <w:spacing w:val="-1"/>
          <w:vertAlign w:val="baseline"/>
        </w:rPr>
        <w:t> </w:t>
      </w:r>
      <w:r>
        <w:rPr>
          <w:vertAlign w:val="baseline"/>
        </w:rPr>
        <w:t>German</w:t>
      </w:r>
      <w:r>
        <w:rPr>
          <w:spacing w:val="-1"/>
          <w:vertAlign w:val="baseline"/>
        </w:rPr>
        <w:t> </w:t>
      </w:r>
      <w:r>
        <w:rPr>
          <w:vertAlign w:val="baseline"/>
        </w:rPr>
        <w:t>law,</w:t>
      </w:r>
      <w:r>
        <w:rPr>
          <w:spacing w:val="-1"/>
          <w:vertAlign w:val="baseline"/>
        </w:rPr>
        <w:t> </w:t>
      </w:r>
      <w:r>
        <w:rPr>
          <w:vertAlign w:val="baseline"/>
        </w:rPr>
        <w:t>the</w:t>
      </w:r>
      <w:r>
        <w:rPr>
          <w:spacing w:val="-1"/>
          <w:vertAlign w:val="baseline"/>
        </w:rPr>
        <w:t> </w:t>
      </w:r>
      <w:r>
        <w:rPr>
          <w:vertAlign w:val="baseline"/>
        </w:rPr>
        <w:t>English</w:t>
      </w:r>
      <w:r>
        <w:rPr>
          <w:spacing w:val="-1"/>
          <w:vertAlign w:val="baseline"/>
        </w:rPr>
        <w:t> </w:t>
      </w:r>
      <w:r>
        <w:rPr>
          <w:vertAlign w:val="baseline"/>
        </w:rPr>
        <w:t>court</w:t>
      </w:r>
      <w:r>
        <w:rPr>
          <w:spacing w:val="-1"/>
          <w:vertAlign w:val="baseline"/>
        </w:rPr>
        <w:t> </w:t>
      </w:r>
      <w:r>
        <w:rPr>
          <w:vertAlign w:val="baseline"/>
        </w:rPr>
        <w:t>will</w:t>
      </w:r>
      <w:r>
        <w:rPr>
          <w:spacing w:val="-1"/>
          <w:vertAlign w:val="baseline"/>
        </w:rPr>
        <w:t> </w:t>
      </w:r>
      <w:r>
        <w:rPr>
          <w:vertAlign w:val="baseline"/>
        </w:rPr>
        <w:t>have to apply any relevant English mandatory rules.</w:t>
      </w:r>
    </w:p>
    <w:p>
      <w:pPr>
        <w:pStyle w:val="BodyText"/>
      </w:pPr>
    </w:p>
    <w:p>
      <w:pPr>
        <w:pStyle w:val="BodyText"/>
        <w:spacing w:before="30"/>
      </w:pPr>
    </w:p>
    <w:p>
      <w:pPr>
        <w:spacing w:before="1"/>
        <w:ind w:left="164" w:right="0" w:firstLine="0"/>
        <w:jc w:val="both"/>
        <w:rPr>
          <w:rFonts w:ascii="Arial" w:hAnsi="Arial"/>
          <w:b/>
          <w:sz w:val="18"/>
        </w:rPr>
      </w:pPr>
      <w:r>
        <w:rPr>
          <w:rFonts w:ascii="Arial" w:hAnsi="Arial"/>
          <w:b/>
          <w:sz w:val="18"/>
        </w:rPr>
        <w:t>“Mandatory </w:t>
      </w:r>
      <w:r>
        <w:rPr>
          <w:rFonts w:ascii="Arial" w:hAnsi="Arial"/>
          <w:b/>
          <w:spacing w:val="-2"/>
          <w:sz w:val="18"/>
        </w:rPr>
        <w:t>rules”</w:t>
      </w:r>
    </w:p>
    <w:p>
      <w:pPr>
        <w:pStyle w:val="BodyText"/>
        <w:spacing w:before="41"/>
        <w:rPr>
          <w:rFonts w:ascii="Arial"/>
          <w:b/>
          <w:sz w:val="18"/>
        </w:rPr>
      </w:pPr>
    </w:p>
    <w:p>
      <w:pPr>
        <w:pStyle w:val="Heading2"/>
        <w:ind w:left="164"/>
      </w:pPr>
      <w:r>
        <w:rPr/>
        <w:t>30-</w:t>
      </w:r>
      <w:r>
        <w:rPr>
          <w:spacing w:val="-5"/>
        </w:rPr>
        <w:t>062</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core difficulty with art.3(3) is, however, the concept of “mandatory rules”. By way of </w:t>
      </w:r>
      <w:r>
        <w:rPr/>
        <w:t>purported definition, the provision describes them as rules “which cannot be derogated from by contract, hereinafter called ‘mandatory rules’”. This wording might be thought to suggest that the concept of </w:t>
      </w:r>
      <w:bookmarkStart w:name="_bookmark486" w:id="488"/>
      <w:bookmarkEnd w:id="488"/>
      <w:r>
        <w:rPr/>
        <w:t>mandatory</w:t>
      </w:r>
      <w:r>
        <w:rPr/>
        <w:t> rules bears this meaning wherever these rules are referred to in other provisions of the </w:t>
      </w:r>
      <w:bookmarkStart w:name="_bookmark487" w:id="489"/>
      <w:bookmarkEnd w:id="489"/>
      <w:r>
        <w:rPr/>
        <w:t>Convention.</w:t>
      </w:r>
      <w:r>
        <w:rPr/>
        <w:t> Reference to such rules appears in art.5 (dealing with “certain consumer contracts”), </w:t>
      </w:r>
      <w:r>
        <w:rPr>
          <w:color w:val="005DA1"/>
          <w:u w:val="single" w:color="005DA1"/>
          <w:vertAlign w:val="superscript"/>
        </w:rPr>
        <w:t>302</w:t>
      </w:r>
      <w:r>
        <w:rPr>
          <w:color w:val="005DA1"/>
          <w:vertAlign w:val="baseline"/>
        </w:rPr>
        <w:t> </w:t>
      </w:r>
      <w:bookmarkStart w:name="_bookmark488" w:id="490"/>
      <w:bookmarkEnd w:id="490"/>
      <w:r>
        <w:rPr>
          <w:color w:val="005DA1"/>
          <w:w w:val="92"/>
          <w:vertAlign w:val="baseline"/>
        </w:rPr>
      </w:r>
      <w:r>
        <w:rPr>
          <w:vertAlign w:val="baseline"/>
        </w:rPr>
        <w:t>art.6 (dealing with “individual employment contracts”),</w:t>
      </w:r>
      <w:r>
        <w:rPr>
          <w:spacing w:val="-1"/>
          <w:vertAlign w:val="baseline"/>
        </w:rPr>
        <w:t> </w:t>
      </w:r>
      <w:r>
        <w:rPr>
          <w:color w:val="005DA1"/>
          <w:u w:val="single" w:color="005DA1"/>
          <w:vertAlign w:val="superscript"/>
        </w:rPr>
        <w:t>303</w:t>
      </w:r>
      <w:r>
        <w:rPr>
          <w:color w:val="005DA1"/>
          <w:vertAlign w:val="baseline"/>
        </w:rPr>
        <w:t> </w:t>
      </w:r>
      <w:r>
        <w:rPr>
          <w:vertAlign w:val="baseline"/>
        </w:rPr>
        <w:t>art.7(1) (which is of broader application) and </w:t>
      </w:r>
      <w:bookmarkStart w:name="_bookmark489" w:id="491"/>
      <w:bookmarkEnd w:id="491"/>
      <w:r>
        <w:rPr>
          <w:vertAlign w:val="baseline"/>
        </w:rPr>
        <w:t>art.7(2)</w:t>
      </w:r>
      <w:r>
        <w:rPr>
          <w:vertAlign w:val="baseline"/>
        </w:rPr>
        <w:t> (which concerns mandatory rules of the law of the forum </w:t>
      </w:r>
      <w:r>
        <w:rPr>
          <w:color w:val="005DA1"/>
          <w:u w:val="single" w:color="005DA1"/>
          <w:vertAlign w:val="superscript"/>
        </w:rPr>
        <w:t>304</w:t>
      </w:r>
      <w:r>
        <w:rPr>
          <w:vertAlign w:val="baseline"/>
        </w:rPr>
        <w:t>). Article 7(1) does not have the force of law in the United Kingdom </w:t>
      </w:r>
      <w:r>
        <w:rPr>
          <w:color w:val="005DA1"/>
          <w:u w:val="single" w:color="005DA1"/>
          <w:vertAlign w:val="superscript"/>
        </w:rPr>
        <w:t>305</w:t>
      </w:r>
      <w:r>
        <w:rPr>
          <w:color w:val="005DA1"/>
          <w:vertAlign w:val="baseline"/>
        </w:rPr>
        <w:t> </w:t>
      </w:r>
      <w:r>
        <w:rPr>
          <w:vertAlign w:val="baseline"/>
        </w:rPr>
        <w:t>which renders unnecessary a detailed examination of its terms. </w:t>
      </w:r>
      <w:bookmarkStart w:name="_bookmark490" w:id="492"/>
      <w:bookmarkEnd w:id="492"/>
      <w:r>
        <w:rPr>
          <w:vertAlign w:val="baseline"/>
        </w:rPr>
        <w:t>However,</w:t>
      </w:r>
      <w:r>
        <w:rPr>
          <w:vertAlign w:val="baseline"/>
        </w:rPr>
        <w:t> comparison of arts 3(3) and 7(1) indicates that the Convention contemplates two kinds of mandatory rule. </w:t>
      </w:r>
      <w:r>
        <w:rPr>
          <w:color w:val="005DA1"/>
          <w:u w:val="single" w:color="005DA1"/>
          <w:vertAlign w:val="superscript"/>
        </w:rPr>
        <w:t>306</w:t>
      </w:r>
      <w:r>
        <w:rPr>
          <w:color w:val="005DA1"/>
          <w:vertAlign w:val="baseline"/>
        </w:rPr>
        <w:t> </w:t>
      </w:r>
      <w:r>
        <w:rPr>
          <w:vertAlign w:val="baseline"/>
        </w:rPr>
        <w:t>Article 7(1) gives the courts of a country which implements the provision a discretion, when applying under the Convention the law of one country, to give effect to:</w:t>
      </w:r>
    </w:p>
    <w:p>
      <w:pPr>
        <w:pStyle w:val="BodyText"/>
      </w:pPr>
    </w:p>
    <w:p>
      <w:pPr>
        <w:pStyle w:val="BodyText"/>
        <w:spacing w:before="123"/>
      </w:pPr>
    </w:p>
    <w:p>
      <w:pPr>
        <w:pStyle w:val="BodyText"/>
        <w:spacing w:line="235" w:lineRule="auto"/>
        <w:ind w:left="1245" w:right="167"/>
        <w:jc w:val="both"/>
      </w:pPr>
      <w:r>
        <w:rPr/>
        <w:t>“… the mandatory rules of the law of another country with which the situation has a </w:t>
      </w:r>
      <w:r>
        <w:rPr/>
        <w:t>close connection, if and in so far as, under the law of the latter country, those rules must be applied whatever the law applicable to the contract.”</w:t>
      </w:r>
    </w:p>
    <w:p>
      <w:pPr>
        <w:pStyle w:val="BodyText"/>
        <w:spacing w:before="116"/>
      </w:pPr>
    </w:p>
    <w:p>
      <w:pPr>
        <w:pStyle w:val="BodyText"/>
        <w:spacing w:line="235" w:lineRule="auto"/>
        <w:ind w:left="165" w:right="167"/>
        <w:jc w:val="both"/>
      </w:pPr>
      <w:r>
        <w:rPr/>
        <w:t>It appears from this formulation that to be applied under art.7(1), a rule must not only be mandatory </w:t>
      </w:r>
      <w:r>
        <w:rPr/>
        <w:t>in the sense of art.3(3) but must also bear an additional quality, namely that it must also be a rule which must be applied whatever the law applicable to the contract. Accordingly, art.3(3) is concerned with securing</w:t>
      </w:r>
      <w:r>
        <w:rPr>
          <w:spacing w:val="-2"/>
        </w:rPr>
        <w:t> </w:t>
      </w:r>
      <w:r>
        <w:rPr/>
        <w:t>the</w:t>
      </w:r>
      <w:r>
        <w:rPr>
          <w:spacing w:val="-2"/>
        </w:rPr>
        <w:t> </w:t>
      </w:r>
      <w:r>
        <w:rPr/>
        <w:t>application</w:t>
      </w:r>
      <w:r>
        <w:rPr>
          <w:spacing w:val="-2"/>
        </w:rPr>
        <w:t> </w:t>
      </w:r>
      <w:r>
        <w:rPr/>
        <w:t>of</w:t>
      </w:r>
      <w:r>
        <w:rPr>
          <w:spacing w:val="-2"/>
        </w:rPr>
        <w:t> </w:t>
      </w:r>
      <w:r>
        <w:rPr/>
        <w:t>mandatory</w:t>
      </w:r>
      <w:r>
        <w:rPr>
          <w:spacing w:val="-2"/>
        </w:rPr>
        <w:t> </w:t>
      </w:r>
      <w:r>
        <w:rPr/>
        <w:t>rules</w:t>
      </w:r>
      <w:r>
        <w:rPr>
          <w:spacing w:val="-2"/>
        </w:rPr>
        <w:t> </w:t>
      </w:r>
      <w:r>
        <w:rPr/>
        <w:t>of</w:t>
      </w:r>
      <w:r>
        <w:rPr>
          <w:spacing w:val="-2"/>
        </w:rPr>
        <w:t> </w:t>
      </w:r>
      <w:r>
        <w:rPr/>
        <w:t>a</w:t>
      </w:r>
      <w:r>
        <w:rPr>
          <w:spacing w:val="-2"/>
        </w:rPr>
        <w:t> </w:t>
      </w:r>
      <w:r>
        <w:rPr/>
        <w:t>domestic</w:t>
      </w:r>
      <w:r>
        <w:rPr>
          <w:spacing w:val="-2"/>
        </w:rPr>
        <w:t> </w:t>
      </w:r>
      <w:r>
        <w:rPr/>
        <w:t>nature,</w:t>
      </w:r>
      <w:r>
        <w:rPr>
          <w:spacing w:val="-2"/>
        </w:rPr>
        <w:t> </w:t>
      </w:r>
      <w:r>
        <w:rPr/>
        <w:t>i.e.</w:t>
      </w:r>
      <w:r>
        <w:rPr>
          <w:spacing w:val="-2"/>
        </w:rPr>
        <w:t> </w:t>
      </w:r>
      <w:r>
        <w:rPr/>
        <w:t>rules</w:t>
      </w:r>
      <w:r>
        <w:rPr>
          <w:spacing w:val="-2"/>
        </w:rPr>
        <w:t> </w:t>
      </w:r>
      <w:r>
        <w:rPr/>
        <w:t>which</w:t>
      </w:r>
      <w:r>
        <w:rPr>
          <w:spacing w:val="-2"/>
        </w:rPr>
        <w:t> </w:t>
      </w:r>
      <w:r>
        <w:rPr/>
        <w:t>cannot</w:t>
      </w:r>
      <w:r>
        <w:rPr>
          <w:spacing w:val="-2"/>
        </w:rPr>
        <w:t> </w:t>
      </w:r>
      <w:r>
        <w:rPr/>
        <w:t>be</w:t>
      </w:r>
      <w:r>
        <w:rPr>
          <w:spacing w:val="-2"/>
        </w:rPr>
        <w:t> </w:t>
      </w:r>
      <w:r>
        <w:rPr/>
        <w:t>derogated </w:t>
      </w:r>
      <w:bookmarkStart w:name="_bookmark491" w:id="493"/>
      <w:bookmarkEnd w:id="493"/>
      <w:r>
        <w:rPr/>
        <w:t>from</w:t>
      </w:r>
      <w:r>
        <w:rPr>
          <w:spacing w:val="18"/>
        </w:rPr>
        <w:t> </w:t>
      </w:r>
      <w:r>
        <w:rPr/>
        <w:t>in</w:t>
      </w:r>
      <w:r>
        <w:rPr>
          <w:spacing w:val="18"/>
        </w:rPr>
        <w:t> </w:t>
      </w:r>
      <w:r>
        <w:rPr/>
        <w:t>a</w:t>
      </w:r>
      <w:r>
        <w:rPr>
          <w:spacing w:val="18"/>
        </w:rPr>
        <w:t> </w:t>
      </w:r>
      <w:r>
        <w:rPr/>
        <w:t>purely</w:t>
      </w:r>
      <w:r>
        <w:rPr>
          <w:spacing w:val="18"/>
        </w:rPr>
        <w:t> </w:t>
      </w:r>
      <w:r>
        <w:rPr/>
        <w:t>domestic</w:t>
      </w:r>
      <w:r>
        <w:rPr>
          <w:spacing w:val="18"/>
        </w:rPr>
        <w:t> </w:t>
      </w:r>
      <w:r>
        <w:rPr/>
        <w:t>transaction,</w:t>
      </w:r>
      <w:r>
        <w:rPr>
          <w:spacing w:val="18"/>
        </w:rPr>
        <w:t> </w:t>
      </w:r>
      <w:r>
        <w:rPr/>
        <w:t>even</w:t>
      </w:r>
      <w:r>
        <w:rPr>
          <w:spacing w:val="18"/>
        </w:rPr>
        <w:t> </w:t>
      </w:r>
      <w:r>
        <w:rPr/>
        <w:t>by</w:t>
      </w:r>
      <w:r>
        <w:rPr>
          <w:spacing w:val="18"/>
        </w:rPr>
        <w:t> </w:t>
      </w:r>
      <w:r>
        <w:rPr/>
        <w:t>a</w:t>
      </w:r>
      <w:r>
        <w:rPr>
          <w:spacing w:val="18"/>
        </w:rPr>
        <w:t> </w:t>
      </w:r>
      <w:r>
        <w:rPr/>
        <w:t>choice</w:t>
      </w:r>
      <w:r>
        <w:rPr>
          <w:spacing w:val="18"/>
        </w:rPr>
        <w:t> </w:t>
      </w:r>
      <w:r>
        <w:rPr/>
        <w:t>of</w:t>
      </w:r>
      <w:r>
        <w:rPr>
          <w:spacing w:val="18"/>
        </w:rPr>
        <w:t> </w:t>
      </w:r>
      <w:r>
        <w:rPr/>
        <w:t>foreign</w:t>
      </w:r>
      <w:r>
        <w:rPr>
          <w:spacing w:val="18"/>
        </w:rPr>
        <w:t> </w:t>
      </w:r>
      <w:r>
        <w:rPr/>
        <w:t>law,</w:t>
      </w:r>
      <w:r>
        <w:rPr>
          <w:spacing w:val="18"/>
        </w:rPr>
        <w:t> </w:t>
      </w:r>
      <w:r>
        <w:rPr/>
        <w:t>but</w:t>
      </w:r>
      <w:r>
        <w:rPr>
          <w:spacing w:val="18"/>
        </w:rPr>
        <w:t> </w:t>
      </w:r>
      <w:r>
        <w:rPr/>
        <w:t>which</w:t>
      </w:r>
      <w:r>
        <w:rPr>
          <w:spacing w:val="18"/>
        </w:rPr>
        <w:t> </w:t>
      </w:r>
      <w:r>
        <w:rPr/>
        <w:t>can</w:t>
      </w:r>
      <w:r>
        <w:rPr>
          <w:spacing w:val="18"/>
        </w:rPr>
        <w:t> </w:t>
      </w:r>
      <w:r>
        <w:rPr/>
        <w:t>be</w:t>
      </w:r>
      <w:r>
        <w:rPr>
          <w:spacing w:val="18"/>
        </w:rPr>
        <w:t> </w:t>
      </w:r>
      <w:r>
        <w:rPr>
          <w:spacing w:val="-2"/>
        </w:rPr>
        <w:t>derogated</w:t>
      </w:r>
    </w:p>
    <w:p>
      <w:pPr>
        <w:pStyle w:val="BodyText"/>
        <w:spacing w:line="235" w:lineRule="auto" w:before="118"/>
        <w:ind w:left="165" w:right="167"/>
        <w:jc w:val="both"/>
      </w:pPr>
      <w:r>
        <w:rPr/>
        <w:t>from in a contract which bears an international character. </w:t>
      </w:r>
      <w:r>
        <w:rPr>
          <w:color w:val="005DA1"/>
          <w:u w:val="single" w:color="005DA1"/>
          <w:vertAlign w:val="superscript"/>
        </w:rPr>
        <w:t>307</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21"/>
          <w:vertAlign w:val="baseline"/>
        </w:rPr>
        <w:t> </w:t>
      </w:r>
      <w:r>
        <w:rPr>
          <w:vertAlign w:val="baseline"/>
        </w:rPr>
        <w:t>On the other hand, art.7(1) </w:t>
      </w:r>
      <w:r>
        <w:rPr>
          <w:vertAlign w:val="baseline"/>
        </w:rPr>
        <w:t>entails</w:t>
      </w:r>
      <w:r>
        <w:rPr>
          <w:spacing w:val="40"/>
          <w:vertAlign w:val="baseline"/>
        </w:rPr>
        <w:t> </w:t>
      </w:r>
      <w:r>
        <w:rPr>
          <w:vertAlign w:val="baseline"/>
        </w:rPr>
        <w:t>the</w:t>
      </w:r>
      <w:r>
        <w:rPr>
          <w:spacing w:val="-1"/>
          <w:vertAlign w:val="baseline"/>
        </w:rPr>
        <w:t> </w:t>
      </w:r>
      <w:r>
        <w:rPr>
          <w:vertAlign w:val="baseline"/>
        </w:rPr>
        <w:t>possibility,</w:t>
      </w:r>
      <w:r>
        <w:rPr>
          <w:spacing w:val="-1"/>
          <w:vertAlign w:val="baseline"/>
        </w:rPr>
        <w:t> </w:t>
      </w:r>
      <w:r>
        <w:rPr>
          <w:vertAlign w:val="baseline"/>
        </w:rPr>
        <w:t>for</w:t>
      </w:r>
      <w:r>
        <w:rPr>
          <w:spacing w:val="-1"/>
          <w:vertAlign w:val="baseline"/>
        </w:rPr>
        <w:t> </w:t>
      </w:r>
      <w:r>
        <w:rPr>
          <w:vertAlign w:val="baseline"/>
        </w:rPr>
        <w:t>courts</w:t>
      </w:r>
      <w:r>
        <w:rPr>
          <w:spacing w:val="-1"/>
          <w:vertAlign w:val="baseline"/>
        </w:rPr>
        <w:t> </w:t>
      </w:r>
      <w:r>
        <w:rPr>
          <w:vertAlign w:val="baseline"/>
        </w:rPr>
        <w:t>of</w:t>
      </w:r>
      <w:r>
        <w:rPr>
          <w:spacing w:val="-1"/>
          <w:vertAlign w:val="baseline"/>
        </w:rPr>
        <w:t> </w:t>
      </w:r>
      <w:r>
        <w:rPr>
          <w:vertAlign w:val="baseline"/>
        </w:rPr>
        <w:t>states</w:t>
      </w:r>
      <w:r>
        <w:rPr>
          <w:spacing w:val="-1"/>
          <w:vertAlign w:val="baseline"/>
        </w:rPr>
        <w:t> </w:t>
      </w:r>
      <w:r>
        <w:rPr>
          <w:vertAlign w:val="baseline"/>
        </w:rPr>
        <w:t>which</w:t>
      </w:r>
      <w:r>
        <w:rPr>
          <w:spacing w:val="-1"/>
          <w:vertAlign w:val="baseline"/>
        </w:rPr>
        <w:t> </w:t>
      </w:r>
      <w:r>
        <w:rPr>
          <w:vertAlign w:val="baseline"/>
        </w:rPr>
        <w:t>implement</w:t>
      </w:r>
      <w:r>
        <w:rPr>
          <w:spacing w:val="-1"/>
          <w:vertAlign w:val="baseline"/>
        </w:rPr>
        <w:t> </w:t>
      </w:r>
      <w:r>
        <w:rPr>
          <w:vertAlign w:val="baseline"/>
        </w:rPr>
        <w:t>the</w:t>
      </w:r>
      <w:r>
        <w:rPr>
          <w:spacing w:val="-1"/>
          <w:vertAlign w:val="baseline"/>
        </w:rPr>
        <w:t> </w:t>
      </w:r>
      <w:r>
        <w:rPr>
          <w:vertAlign w:val="baseline"/>
        </w:rPr>
        <w:t>provision,</w:t>
      </w:r>
      <w:r>
        <w:rPr>
          <w:spacing w:val="-1"/>
          <w:vertAlign w:val="baseline"/>
        </w:rPr>
        <w:t> </w:t>
      </w:r>
      <w:r>
        <w:rPr>
          <w:vertAlign w:val="baseline"/>
        </w:rPr>
        <w:t>to</w:t>
      </w:r>
      <w:r>
        <w:rPr>
          <w:spacing w:val="-1"/>
          <w:vertAlign w:val="baseline"/>
        </w:rPr>
        <w:t> </w:t>
      </w:r>
      <w:r>
        <w:rPr>
          <w:vertAlign w:val="baseline"/>
        </w:rPr>
        <w:t>apply</w:t>
      </w:r>
      <w:r>
        <w:rPr>
          <w:spacing w:val="-1"/>
          <w:vertAlign w:val="baseline"/>
        </w:rPr>
        <w:t> </w:t>
      </w:r>
      <w:r>
        <w:rPr>
          <w:vertAlign w:val="baseline"/>
        </w:rPr>
        <w:t>mandatory</w:t>
      </w:r>
      <w:r>
        <w:rPr>
          <w:spacing w:val="-1"/>
          <w:vertAlign w:val="baseline"/>
        </w:rPr>
        <w:t> </w:t>
      </w:r>
      <w:r>
        <w:rPr>
          <w:vertAlign w:val="baseline"/>
        </w:rPr>
        <w:t>rules</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higher </w:t>
      </w:r>
      <w:bookmarkStart w:name="_bookmark492" w:id="494"/>
      <w:bookmarkEnd w:id="494"/>
      <w:r>
        <w:rPr>
          <w:vertAlign w:val="baseline"/>
        </w:rPr>
        <w:t>order,</w:t>
      </w:r>
      <w:r>
        <w:rPr>
          <w:vertAlign w:val="baseline"/>
        </w:rPr>
        <w:t> namely rules which apply whatever law is applicable to the contract even when the contract is of an international character. </w:t>
      </w:r>
      <w:r>
        <w:rPr>
          <w:color w:val="005DA1"/>
          <w:u w:val="single" w:color="005DA1"/>
          <w:vertAlign w:val="superscript"/>
        </w:rPr>
        <w:t>308</w:t>
      </w:r>
    </w:p>
    <w:p>
      <w:pPr>
        <w:pStyle w:val="BodyText"/>
      </w:pPr>
    </w:p>
    <w:p>
      <w:pPr>
        <w:pStyle w:val="BodyText"/>
        <w:spacing w:before="37"/>
      </w:pPr>
    </w:p>
    <w:p>
      <w:pPr>
        <w:spacing w:before="0"/>
        <w:ind w:left="165" w:right="0" w:firstLine="0"/>
        <w:jc w:val="both"/>
        <w:rPr>
          <w:rFonts w:ascii="Arial"/>
          <w:b/>
          <w:sz w:val="18"/>
        </w:rPr>
      </w:pPr>
      <w:r>
        <w:rPr>
          <w:rFonts w:ascii="Arial"/>
          <w:b/>
          <w:sz w:val="18"/>
        </w:rPr>
        <w:t>Rules not applicable if foreign law </w:t>
      </w:r>
      <w:r>
        <w:rPr>
          <w:rFonts w:ascii="Arial"/>
          <w:b/>
          <w:spacing w:val="-2"/>
          <w:sz w:val="18"/>
        </w:rPr>
        <w:t>chosen</w:t>
      </w:r>
    </w:p>
    <w:p>
      <w:pPr>
        <w:spacing w:after="0"/>
        <w:jc w:val="both"/>
        <w:rPr>
          <w:rFonts w:ascii="Arial"/>
          <w:b/>
          <w:sz w:val="18"/>
        </w:rPr>
        <w:sectPr>
          <w:pgSz w:w="11900" w:h="16840"/>
          <w:pgMar w:header="971" w:footer="0" w:top="1300" w:bottom="280" w:left="1275" w:right="1275"/>
        </w:sectPr>
      </w:pPr>
    </w:p>
    <w:p>
      <w:pPr>
        <w:pStyle w:val="Heading2"/>
        <w:spacing w:before="262"/>
      </w:pPr>
      <w:r>
        <w:rPr/>
        <w:t>30-</w:t>
      </w:r>
      <w:r>
        <w:rPr>
          <w:spacing w:val="-5"/>
        </w:rPr>
        <w:t>063</w:t>
      </w:r>
    </w:p>
    <w:p>
      <w:pPr>
        <w:pStyle w:val="BodyText"/>
        <w:spacing w:line="235" w:lineRule="auto" w:before="202"/>
        <w:ind w:left="165" w:right="167"/>
        <w:jc w:val="both"/>
      </w:pPr>
      <w:r>
        <w:rPr/>
        <w:t>When art.3(3) applies, its effect is that the choice of foreign law “shall not … prejudice” application </w:t>
      </w:r>
      <w:r>
        <w:rPr/>
        <w:t>of relevant mandatory rules. On one view, this wording might suggest that a rule is mandatory for this purpose even if, according to the law of the country of which it forms part, it is possible to contract out of it by a choice of foreign law. It is submitted, however, that art.3(3) does not have this effect. If the </w:t>
      </w:r>
      <w:bookmarkStart w:name="_bookmark493" w:id="495"/>
      <w:bookmarkEnd w:id="495"/>
      <w:r>
        <w:rPr/>
        <w:t>country</w:t>
      </w:r>
      <w:r>
        <w:rPr/>
        <w:t> of whose law the rule forms part would not apply the rule in the circumstances of the case then the rule is inapplicable in the context of art.3(3). </w:t>
      </w:r>
      <w:r>
        <w:rPr>
          <w:color w:val="005DA1"/>
          <w:u w:val="single" w:color="005DA1"/>
          <w:vertAlign w:val="superscript"/>
        </w:rPr>
        <w:t>309</w:t>
      </w:r>
    </w:p>
    <w:p>
      <w:pPr>
        <w:pStyle w:val="BodyText"/>
      </w:pPr>
    </w:p>
    <w:p>
      <w:pPr>
        <w:pStyle w:val="BodyText"/>
        <w:spacing w:before="36"/>
      </w:pPr>
    </w:p>
    <w:p>
      <w:pPr>
        <w:spacing w:before="1"/>
        <w:ind w:left="165" w:right="0" w:firstLine="0"/>
        <w:jc w:val="left"/>
        <w:rPr>
          <w:rFonts w:ascii="Arial"/>
          <w:b/>
          <w:sz w:val="18"/>
        </w:rPr>
      </w:pPr>
      <w:r>
        <w:rPr>
          <w:rFonts w:ascii="Arial"/>
          <w:b/>
          <w:sz w:val="18"/>
        </w:rPr>
        <w:t>When is a rule </w:t>
      </w:r>
      <w:r>
        <w:rPr>
          <w:rFonts w:ascii="Arial"/>
          <w:b/>
          <w:spacing w:val="-2"/>
          <w:sz w:val="18"/>
        </w:rPr>
        <w:t>mandatory?</w:t>
      </w:r>
    </w:p>
    <w:p>
      <w:pPr>
        <w:pStyle w:val="BodyText"/>
        <w:spacing w:before="41"/>
        <w:rPr>
          <w:rFonts w:ascii="Arial"/>
          <w:b/>
          <w:sz w:val="18"/>
        </w:rPr>
      </w:pPr>
    </w:p>
    <w:p>
      <w:pPr>
        <w:pStyle w:val="Heading2"/>
      </w:pPr>
      <w:r>
        <w:rPr/>
        <w:t>30-</w:t>
      </w:r>
      <w:r>
        <w:rPr>
          <w:spacing w:val="-5"/>
        </w:rPr>
        <w:t>064</w:t>
      </w:r>
    </w:p>
    <w:p>
      <w:pPr>
        <w:pStyle w:val="BodyText"/>
        <w:spacing w:line="235" w:lineRule="auto" w:before="203"/>
        <w:ind w:left="164" w:right="167"/>
        <w:jc w:val="both"/>
      </w:pPr>
      <w:r>
        <w:rPr/>
        <w:t>Where</w:t>
      </w:r>
      <w:r>
        <w:rPr>
          <w:spacing w:val="-2"/>
        </w:rPr>
        <w:t> </w:t>
      </w:r>
      <w:r>
        <w:rPr/>
        <w:t>an</w:t>
      </w:r>
      <w:r>
        <w:rPr>
          <w:spacing w:val="-2"/>
        </w:rPr>
        <w:t> </w:t>
      </w:r>
      <w:r>
        <w:rPr/>
        <w:t>English</w:t>
      </w:r>
      <w:r>
        <w:rPr>
          <w:spacing w:val="-2"/>
        </w:rPr>
        <w:t> </w:t>
      </w:r>
      <w:r>
        <w:rPr/>
        <w:t>court</w:t>
      </w:r>
      <w:r>
        <w:rPr>
          <w:spacing w:val="-2"/>
        </w:rPr>
        <w:t> </w:t>
      </w:r>
      <w:r>
        <w:rPr/>
        <w:t>is</w:t>
      </w:r>
      <w:r>
        <w:rPr>
          <w:spacing w:val="-2"/>
        </w:rPr>
        <w:t> </w:t>
      </w:r>
      <w:r>
        <w:rPr/>
        <w:t>faced</w:t>
      </w:r>
      <w:r>
        <w:rPr>
          <w:spacing w:val="-2"/>
        </w:rPr>
        <w:t> </w:t>
      </w:r>
      <w:r>
        <w:rPr/>
        <w:t>with</w:t>
      </w:r>
      <w:r>
        <w:rPr>
          <w:spacing w:val="-2"/>
        </w:rPr>
        <w:t> </w:t>
      </w:r>
      <w:r>
        <w:rPr/>
        <w:t>a</w:t>
      </w:r>
      <w:r>
        <w:rPr>
          <w:spacing w:val="-2"/>
        </w:rPr>
        <w:t> </w:t>
      </w:r>
      <w:r>
        <w:rPr/>
        <w:t>problem</w:t>
      </w:r>
      <w:r>
        <w:rPr>
          <w:spacing w:val="-2"/>
        </w:rPr>
        <w:t> </w:t>
      </w:r>
      <w:r>
        <w:rPr/>
        <w:t>involving</w:t>
      </w:r>
      <w:r>
        <w:rPr>
          <w:spacing w:val="-2"/>
        </w:rPr>
        <w:t> </w:t>
      </w:r>
      <w:r>
        <w:rPr/>
        <w:t>art.3(3)</w:t>
      </w:r>
      <w:r>
        <w:rPr>
          <w:spacing w:val="-2"/>
        </w:rPr>
        <w:t> </w:t>
      </w:r>
      <w:r>
        <w:rPr/>
        <w:t>and</w:t>
      </w:r>
      <w:r>
        <w:rPr>
          <w:spacing w:val="-2"/>
        </w:rPr>
        <w:t> </w:t>
      </w:r>
      <w:r>
        <w:rPr/>
        <w:t>the</w:t>
      </w:r>
      <w:r>
        <w:rPr>
          <w:spacing w:val="-2"/>
        </w:rPr>
        <w:t> </w:t>
      </w:r>
      <w:r>
        <w:rPr/>
        <w:t>possibility</w:t>
      </w:r>
      <w:r>
        <w:rPr>
          <w:spacing w:val="-2"/>
        </w:rPr>
        <w:t> </w:t>
      </w:r>
      <w:r>
        <w:rPr/>
        <w:t>arises</w:t>
      </w:r>
      <w:r>
        <w:rPr>
          <w:spacing w:val="-2"/>
        </w:rPr>
        <w:t> </w:t>
      </w:r>
      <w:r>
        <w:rPr/>
        <w:t>that</w:t>
      </w:r>
      <w:r>
        <w:rPr>
          <w:spacing w:val="-2"/>
        </w:rPr>
        <w:t> </w:t>
      </w:r>
      <w:r>
        <w:rPr/>
        <w:t>foreign mandatory</w:t>
      </w:r>
      <w:r>
        <w:rPr>
          <w:spacing w:val="-1"/>
        </w:rPr>
        <w:t> </w:t>
      </w:r>
      <w:r>
        <w:rPr/>
        <w:t>rules</w:t>
      </w:r>
      <w:r>
        <w:rPr>
          <w:spacing w:val="-1"/>
        </w:rPr>
        <w:t> </w:t>
      </w:r>
      <w:r>
        <w:rPr/>
        <w:t>may</w:t>
      </w:r>
      <w:r>
        <w:rPr>
          <w:spacing w:val="-1"/>
        </w:rPr>
        <w:t> </w:t>
      </w:r>
      <w:r>
        <w:rPr/>
        <w:t>apply,</w:t>
      </w:r>
      <w:r>
        <w:rPr>
          <w:spacing w:val="-1"/>
        </w:rPr>
        <w:t> </w:t>
      </w:r>
      <w:r>
        <w:rPr/>
        <w:t>then</w:t>
      </w:r>
      <w:r>
        <w:rPr>
          <w:spacing w:val="-1"/>
        </w:rPr>
        <w:t> </w:t>
      </w:r>
      <w:r>
        <w:rPr/>
        <w:t>whether</w:t>
      </w:r>
      <w:r>
        <w:rPr>
          <w:spacing w:val="-1"/>
        </w:rPr>
        <w:t> </w:t>
      </w:r>
      <w:r>
        <w:rPr/>
        <w:t>a</w:t>
      </w:r>
      <w:r>
        <w:rPr>
          <w:spacing w:val="-1"/>
        </w:rPr>
        <w:t> </w:t>
      </w:r>
      <w:r>
        <w:rPr/>
        <w:t>rule</w:t>
      </w:r>
      <w:r>
        <w:rPr>
          <w:spacing w:val="-1"/>
        </w:rPr>
        <w:t> </w:t>
      </w:r>
      <w:r>
        <w:rPr/>
        <w:t>is</w:t>
      </w:r>
      <w:r>
        <w:rPr>
          <w:spacing w:val="-1"/>
        </w:rPr>
        <w:t> </w:t>
      </w:r>
      <w:r>
        <w:rPr/>
        <w:t>mandatory</w:t>
      </w:r>
      <w:r>
        <w:rPr>
          <w:spacing w:val="-1"/>
        </w:rPr>
        <w:t> </w:t>
      </w:r>
      <w:r>
        <w:rPr/>
        <w:t>for</w:t>
      </w:r>
      <w:r>
        <w:rPr>
          <w:spacing w:val="-1"/>
        </w:rPr>
        <w:t> </w:t>
      </w:r>
      <w:r>
        <w:rPr/>
        <w:t>this</w:t>
      </w:r>
      <w:r>
        <w:rPr>
          <w:spacing w:val="-1"/>
        </w:rPr>
        <w:t> </w:t>
      </w:r>
      <w:r>
        <w:rPr/>
        <w:t>purpose</w:t>
      </w:r>
      <w:r>
        <w:rPr>
          <w:spacing w:val="-1"/>
        </w:rPr>
        <w:t> </w:t>
      </w:r>
      <w:r>
        <w:rPr/>
        <w:t>will</w:t>
      </w:r>
      <w:r>
        <w:rPr>
          <w:spacing w:val="-1"/>
        </w:rPr>
        <w:t> </w:t>
      </w:r>
      <w:r>
        <w:rPr/>
        <w:t>depend</w:t>
      </w:r>
      <w:r>
        <w:rPr>
          <w:spacing w:val="-1"/>
        </w:rPr>
        <w:t> </w:t>
      </w:r>
      <w:r>
        <w:rPr/>
        <w:t>on</w:t>
      </w:r>
      <w:r>
        <w:rPr>
          <w:spacing w:val="-1"/>
        </w:rPr>
        <w:t> </w:t>
      </w:r>
      <w:r>
        <w:rPr/>
        <w:t>the</w:t>
      </w:r>
      <w:r>
        <w:rPr>
          <w:spacing w:val="-1"/>
        </w:rPr>
        <w:t> </w:t>
      </w:r>
      <w:r>
        <w:rPr/>
        <w:t>view of it in the law of the country of which it forms part. Where it is alleged that an English mandatory rule is applicable, it will first be necessary to decide whether the particular rule in question does possess a </w:t>
      </w:r>
      <w:bookmarkStart w:name="_bookmark494" w:id="496"/>
      <w:bookmarkEnd w:id="496"/>
      <w:r>
        <w:rPr/>
        <w:t>mandatory</w:t>
      </w:r>
      <w:r>
        <w:rPr/>
        <w:t> character. A statute may give an express indication of whether, and to what extent, </w:t>
      </w:r>
      <w:r>
        <w:rPr/>
        <w:t>its provisions are mandatory, </w:t>
      </w:r>
      <w:r>
        <w:rPr>
          <w:color w:val="005DA1"/>
          <w:u w:val="single" w:color="005DA1"/>
          <w:vertAlign w:val="superscript"/>
        </w:rPr>
        <w:t>310</w:t>
      </w:r>
      <w:r>
        <w:rPr>
          <w:color w:val="005DA1"/>
          <w:vertAlign w:val="baseline"/>
        </w:rPr>
        <w:t> </w:t>
      </w:r>
      <w:r>
        <w:rPr>
          <w:vertAlign w:val="baseline"/>
        </w:rPr>
        <w:t>but this is not always the case. </w:t>
      </w:r>
      <w:r>
        <w:rPr>
          <w:color w:val="005DA1"/>
          <w:u w:val="single" w:color="005DA1"/>
          <w:vertAlign w:val="superscript"/>
        </w:rPr>
        <w:t>311</w:t>
      </w:r>
      <w:r>
        <w:rPr>
          <w:color w:val="005DA1"/>
          <w:vertAlign w:val="baseline"/>
        </w:rPr>
        <w:t> </w:t>
      </w:r>
      <w:r>
        <w:rPr>
          <w:vertAlign w:val="baseline"/>
        </w:rPr>
        <w:t>Further, it may be particularly difficult to determine whether any particular common law rule is mandatory. All that can be said with any </w:t>
      </w:r>
      <w:bookmarkStart w:name="_bookmark495" w:id="497"/>
      <w:bookmarkEnd w:id="497"/>
      <w:r>
        <w:rPr>
          <w:vertAlign w:val="baseline"/>
        </w:rPr>
        <w:t>degree</w:t>
      </w:r>
      <w:r>
        <w:rPr>
          <w:vertAlign w:val="baseline"/>
        </w:rPr>
        <w:t> of certainty is that, in the absence of any express indication, whether any given rule is mandatory will depend on the proper construction of the rule. </w:t>
      </w:r>
      <w:r>
        <w:rPr>
          <w:color w:val="005DA1"/>
          <w:u w:val="single" w:color="005DA1"/>
          <w:vertAlign w:val="superscript"/>
        </w:rPr>
        <w:t>312</w:t>
      </w:r>
    </w:p>
    <w:p>
      <w:pPr>
        <w:pStyle w:val="BodyText"/>
      </w:pPr>
    </w:p>
    <w:p>
      <w:pPr>
        <w:pStyle w:val="BodyText"/>
        <w:spacing w:before="35"/>
      </w:pPr>
    </w:p>
    <w:p>
      <w:pPr>
        <w:spacing w:before="0"/>
        <w:ind w:left="165" w:right="0" w:firstLine="0"/>
        <w:jc w:val="left"/>
        <w:rPr>
          <w:rFonts w:ascii="Arial"/>
          <w:b/>
          <w:sz w:val="18"/>
        </w:rPr>
      </w:pPr>
      <w:r>
        <w:rPr>
          <w:rFonts w:ascii="Arial"/>
          <w:b/>
          <w:sz w:val="18"/>
        </w:rPr>
        <w:t>Mandatory rules of English </w:t>
      </w:r>
      <w:r>
        <w:rPr>
          <w:rFonts w:ascii="Arial"/>
          <w:b/>
          <w:spacing w:val="-5"/>
          <w:sz w:val="18"/>
        </w:rPr>
        <w:t>law</w:t>
      </w:r>
    </w:p>
    <w:p>
      <w:pPr>
        <w:pStyle w:val="BodyText"/>
        <w:spacing w:before="41"/>
        <w:rPr>
          <w:rFonts w:ascii="Arial"/>
          <w:b/>
          <w:sz w:val="18"/>
        </w:rPr>
      </w:pPr>
    </w:p>
    <w:p>
      <w:pPr>
        <w:pStyle w:val="Heading2"/>
      </w:pPr>
      <w:r>
        <w:rPr/>
        <w:t>30-</w:t>
      </w:r>
      <w:r>
        <w:rPr>
          <w:spacing w:val="-5"/>
        </w:rPr>
        <w:t>065</w:t>
      </w:r>
    </w:p>
    <w:p>
      <w:pPr>
        <w:pStyle w:val="BodyText"/>
        <w:spacing w:line="235" w:lineRule="auto" w:before="203"/>
        <w:ind w:left="164" w:right="166"/>
        <w:jc w:val="both"/>
      </w:pPr>
      <w:r>
        <w:rPr/>
        <w:t>As far as English law is concerned, it is suggested that most rules possessing a mandatory </w:t>
      </w:r>
      <w:r>
        <w:rPr/>
        <w:t>character </w:t>
      </w:r>
      <w:bookmarkStart w:name="_bookmark496" w:id="498"/>
      <w:bookmarkEnd w:id="498"/>
      <w:r>
        <w:rPr/>
        <w:t>will</w:t>
      </w:r>
      <w:r>
        <w:rPr/>
        <w:t> be contained in legislation and these will also be rules which apply whatever the law applicable to the contract. </w:t>
      </w:r>
      <w:r>
        <w:rPr>
          <w:color w:val="005DA1"/>
          <w:u w:val="single" w:color="005DA1"/>
          <w:vertAlign w:val="superscript"/>
        </w:rPr>
        <w:t>313</w:t>
      </w:r>
      <w:r>
        <w:rPr>
          <w:color w:val="005DA1"/>
          <w:vertAlign w:val="baseline"/>
        </w:rPr>
        <w:t> </w:t>
      </w:r>
      <w:r>
        <w:rPr>
          <w:vertAlign w:val="baseline"/>
        </w:rPr>
        <w:t>Accordingly, although art.3(3) is designed to secure application of “domestic” mandatory rules, and, a fortiori, internationally mandatory rules, there are unlikely to be many rules of domestic English contract law which will be treated as mandatory for the purposes of art.3(3). Thus, </w:t>
      </w:r>
      <w:bookmarkStart w:name="_bookmark497" w:id="499"/>
      <w:bookmarkEnd w:id="499"/>
      <w:r>
        <w:rPr>
          <w:vertAlign w:val="baseline"/>
        </w:rPr>
        <w:t>for</w:t>
      </w:r>
      <w:r>
        <w:rPr>
          <w:vertAlign w:val="baseline"/>
        </w:rPr>
        <w:t> example, it would be doubtful whether the requirement of consideration would be treated as </w:t>
      </w:r>
      <w:bookmarkStart w:name="_bookmark498" w:id="500"/>
      <w:bookmarkEnd w:id="500"/>
      <w:r>
        <w:rPr>
          <w:vertAlign w:val="baseline"/>
        </w:rPr>
        <w:t>mandatory,</w:t>
      </w:r>
      <w:r>
        <w:rPr>
          <w:vertAlign w:val="baseline"/>
        </w:rPr>
        <w:t> </w:t>
      </w:r>
      <w:r>
        <w:rPr>
          <w:color w:val="005DA1"/>
          <w:u w:val="single" w:color="005DA1"/>
          <w:vertAlign w:val="superscript"/>
        </w:rPr>
        <w:t>314</w:t>
      </w:r>
      <w:r>
        <w:rPr>
          <w:color w:val="005DA1"/>
          <w:vertAlign w:val="baseline"/>
        </w:rPr>
        <w:t> </w:t>
      </w:r>
      <w:r>
        <w:rPr>
          <w:vertAlign w:val="baseline"/>
        </w:rPr>
        <w:t>though it is possible that the English rule against contractual penalties bears that character. </w:t>
      </w:r>
      <w:r>
        <w:rPr>
          <w:color w:val="005DA1"/>
          <w:u w:val="single" w:color="005DA1"/>
          <w:vertAlign w:val="superscript"/>
        </w:rPr>
        <w:t>315</w:t>
      </w:r>
      <w:r>
        <w:rPr>
          <w:color w:val="005DA1"/>
          <w:vertAlign w:val="baseline"/>
        </w:rPr>
        <w:t> </w:t>
      </w:r>
      <w:r>
        <w:rPr>
          <w:vertAlign w:val="baseline"/>
        </w:rPr>
        <w:t>In contrast, statutory rules designed to give effect to important social policies, for </w:t>
      </w:r>
      <w:bookmarkStart w:name="_bookmark499" w:id="501"/>
      <w:bookmarkEnd w:id="501"/>
      <w:r>
        <w:rPr>
          <w:vertAlign w:val="baseline"/>
        </w:rPr>
        <w:t>example</w:t>
      </w:r>
      <w:r>
        <w:rPr>
          <w:vertAlign w:val="baseline"/>
        </w:rPr>
        <w:t> rules concerning consumer or employee protection, are more likely to be regarded as being of a mandatory nature. </w:t>
      </w:r>
      <w:r>
        <w:rPr>
          <w:color w:val="005DA1"/>
          <w:u w:val="single" w:color="005DA1"/>
          <w:vertAlign w:val="superscript"/>
        </w:rPr>
        <w:t>316</w:t>
      </w:r>
    </w:p>
    <w:p>
      <w:pPr>
        <w:pStyle w:val="BodyText"/>
      </w:pPr>
    </w:p>
    <w:p>
      <w:pPr>
        <w:pStyle w:val="BodyText"/>
        <w:spacing w:before="34"/>
      </w:pPr>
    </w:p>
    <w:p>
      <w:pPr>
        <w:spacing w:before="1"/>
        <w:ind w:left="164" w:right="0" w:firstLine="0"/>
        <w:jc w:val="left"/>
        <w:rPr>
          <w:rFonts w:ascii="Arial"/>
          <w:b/>
          <w:sz w:val="18"/>
        </w:rPr>
      </w:pPr>
      <w:r>
        <w:rPr>
          <w:rFonts w:ascii="Arial"/>
          <w:b/>
          <w:sz w:val="18"/>
        </w:rPr>
        <w:t>Chosen law governs other </w:t>
      </w:r>
      <w:r>
        <w:rPr>
          <w:rFonts w:ascii="Arial"/>
          <w:b/>
          <w:spacing w:val="-2"/>
          <w:sz w:val="18"/>
        </w:rPr>
        <w:t>issues</w:t>
      </w:r>
    </w:p>
    <w:p>
      <w:pPr>
        <w:pStyle w:val="BodyText"/>
        <w:spacing w:before="41"/>
        <w:rPr>
          <w:rFonts w:ascii="Arial"/>
          <w:b/>
          <w:sz w:val="18"/>
        </w:rPr>
      </w:pPr>
    </w:p>
    <w:p>
      <w:pPr>
        <w:pStyle w:val="Heading2"/>
        <w:ind w:left="164"/>
      </w:pPr>
      <w:r>
        <w:rPr/>
        <w:t>30-</w:t>
      </w:r>
      <w:r>
        <w:rPr>
          <w:spacing w:val="-5"/>
        </w:rPr>
        <w:t>066</w:t>
      </w:r>
    </w:p>
    <w:p>
      <w:pPr>
        <w:pStyle w:val="BodyText"/>
        <w:spacing w:line="235" w:lineRule="auto" w:before="203"/>
        <w:ind w:left="164" w:right="167"/>
        <w:jc w:val="both"/>
      </w:pPr>
      <w:r>
        <w:rPr/>
        <w:t>Lastly, it must be emphasised that the application of art.3(3) does not strike down the choice of law </w:t>
      </w:r>
      <w:r>
        <w:rPr/>
        <w:t>in toto. The provision merely restricts application of the chosen law to the extent that the chosen law </w:t>
      </w:r>
      <w:bookmarkStart w:name="_bookmark500" w:id="502"/>
      <w:bookmarkEnd w:id="502"/>
      <w:r>
        <w:rPr/>
        <w:t>conflicts</w:t>
      </w:r>
      <w:r>
        <w:rPr/>
        <w:t> with relevant mandatory rules. To the extent that these mandatory rules are not prejudiced, the chosen law will continue to govern issues not covered by mandatory rules. </w:t>
      </w:r>
      <w:r>
        <w:rPr>
          <w:color w:val="005DA1"/>
          <w:u w:val="single" w:color="005DA1"/>
          <w:vertAlign w:val="superscript"/>
        </w:rPr>
        <w:t>317</w:t>
      </w:r>
    </w:p>
    <w:p>
      <w:pPr>
        <w:pStyle w:val="BodyText"/>
      </w:pPr>
    </w:p>
    <w:p>
      <w:pPr>
        <w:pStyle w:val="BodyText"/>
        <w:spacing w:before="36"/>
      </w:pPr>
    </w:p>
    <w:p>
      <w:pPr>
        <w:spacing w:before="1"/>
        <w:ind w:left="165" w:right="0" w:firstLine="0"/>
        <w:jc w:val="left"/>
        <w:rPr>
          <w:rFonts w:ascii="Arial"/>
          <w:b/>
          <w:sz w:val="18"/>
        </w:rPr>
      </w:pPr>
      <w:r>
        <w:rPr>
          <w:rFonts w:ascii="Arial"/>
          <w:b/>
          <w:sz w:val="18"/>
        </w:rPr>
        <w:t>Mandatory rules of the law of the </w:t>
      </w:r>
      <w:r>
        <w:rPr>
          <w:rFonts w:ascii="Arial"/>
          <w:b/>
          <w:spacing w:val="-2"/>
          <w:sz w:val="18"/>
        </w:rPr>
        <w:t>forum</w:t>
      </w:r>
    </w:p>
    <w:p>
      <w:pPr>
        <w:pStyle w:val="BodyText"/>
        <w:spacing w:before="41"/>
        <w:rPr>
          <w:rFonts w:ascii="Arial"/>
          <w:b/>
          <w:sz w:val="18"/>
        </w:rPr>
      </w:pPr>
    </w:p>
    <w:p>
      <w:pPr>
        <w:pStyle w:val="Heading2"/>
      </w:pPr>
      <w:r>
        <w:rPr/>
        <w:t>30-</w:t>
      </w:r>
      <w:r>
        <w:rPr>
          <w:spacing w:val="-5"/>
        </w:rPr>
        <w:t>067</w:t>
      </w:r>
    </w:p>
    <w:p>
      <w:pPr>
        <w:pStyle w:val="BodyText"/>
        <w:spacing w:before="199"/>
        <w:ind w:left="165"/>
        <w:jc w:val="both"/>
      </w:pPr>
      <w:r>
        <w:rPr/>
        <w:t>Article 7(2) of the Rome Convention provides </w:t>
      </w:r>
      <w:r>
        <w:rPr>
          <w:spacing w:val="-2"/>
        </w:rPr>
        <w:t>that:</w:t>
      </w:r>
    </w:p>
    <w:p>
      <w:pPr>
        <w:pStyle w:val="BodyText"/>
      </w:pPr>
    </w:p>
    <w:p>
      <w:pPr>
        <w:pStyle w:val="BodyText"/>
        <w:spacing w:before="121"/>
      </w:pPr>
    </w:p>
    <w:p>
      <w:pPr>
        <w:pStyle w:val="BodyText"/>
        <w:spacing w:before="1"/>
        <w:ind w:left="1245"/>
      </w:pPr>
      <w:r>
        <w:rPr/>
        <w:t>“…</w:t>
      </w:r>
      <w:r>
        <w:rPr>
          <w:spacing w:val="20"/>
        </w:rPr>
        <w:t> </w:t>
      </w:r>
      <w:r>
        <w:rPr/>
        <w:t>nothing</w:t>
      </w:r>
      <w:r>
        <w:rPr>
          <w:spacing w:val="20"/>
        </w:rPr>
        <w:t> </w:t>
      </w:r>
      <w:r>
        <w:rPr/>
        <w:t>in</w:t>
      </w:r>
      <w:r>
        <w:rPr>
          <w:spacing w:val="20"/>
        </w:rPr>
        <w:t> </w:t>
      </w:r>
      <w:r>
        <w:rPr/>
        <w:t>this</w:t>
      </w:r>
      <w:r>
        <w:rPr>
          <w:spacing w:val="20"/>
        </w:rPr>
        <w:t> </w:t>
      </w:r>
      <w:r>
        <w:rPr/>
        <w:t>Convention</w:t>
      </w:r>
      <w:r>
        <w:rPr>
          <w:spacing w:val="20"/>
        </w:rPr>
        <w:t> </w:t>
      </w:r>
      <w:r>
        <w:rPr/>
        <w:t>shall</w:t>
      </w:r>
      <w:r>
        <w:rPr>
          <w:spacing w:val="20"/>
        </w:rPr>
        <w:t> </w:t>
      </w:r>
      <w:r>
        <w:rPr/>
        <w:t>restrict</w:t>
      </w:r>
      <w:r>
        <w:rPr>
          <w:spacing w:val="20"/>
        </w:rPr>
        <w:t> </w:t>
      </w:r>
      <w:r>
        <w:rPr/>
        <w:t>the</w:t>
      </w:r>
      <w:r>
        <w:rPr>
          <w:spacing w:val="20"/>
        </w:rPr>
        <w:t> </w:t>
      </w:r>
      <w:r>
        <w:rPr/>
        <w:t>application</w:t>
      </w:r>
      <w:r>
        <w:rPr>
          <w:spacing w:val="20"/>
        </w:rPr>
        <w:t> </w:t>
      </w:r>
      <w:r>
        <w:rPr/>
        <w:t>of</w:t>
      </w:r>
      <w:r>
        <w:rPr>
          <w:spacing w:val="20"/>
        </w:rPr>
        <w:t> </w:t>
      </w:r>
      <w:r>
        <w:rPr/>
        <w:t>the</w:t>
      </w:r>
      <w:r>
        <w:rPr>
          <w:spacing w:val="20"/>
        </w:rPr>
        <w:t> </w:t>
      </w:r>
      <w:r>
        <w:rPr/>
        <w:t>rules</w:t>
      </w:r>
      <w:r>
        <w:rPr>
          <w:spacing w:val="20"/>
        </w:rPr>
        <w:t> </w:t>
      </w:r>
      <w:r>
        <w:rPr/>
        <w:t>of</w:t>
      </w:r>
      <w:r>
        <w:rPr>
          <w:spacing w:val="20"/>
        </w:rPr>
        <w:t> </w:t>
      </w:r>
      <w:r>
        <w:rPr/>
        <w:t>the</w:t>
      </w:r>
      <w:r>
        <w:rPr>
          <w:spacing w:val="20"/>
        </w:rPr>
        <w:t> </w:t>
      </w:r>
      <w:r>
        <w:rPr/>
        <w:t>law</w:t>
      </w:r>
      <w:r>
        <w:rPr>
          <w:spacing w:val="20"/>
        </w:rPr>
        <w:t> </w:t>
      </w:r>
      <w:r>
        <w:rPr/>
        <w:t>of</w:t>
      </w:r>
      <w:r>
        <w:rPr>
          <w:spacing w:val="20"/>
        </w:rPr>
        <w:t> </w:t>
      </w:r>
      <w:r>
        <w:rPr>
          <w:spacing w:val="-5"/>
        </w:rPr>
        <w:t>the</w:t>
      </w:r>
    </w:p>
    <w:p>
      <w:pPr>
        <w:pStyle w:val="BodyText"/>
        <w:spacing w:after="0"/>
        <w:sectPr>
          <w:pgSz w:w="11900" w:h="16840"/>
          <w:pgMar w:header="971" w:footer="0" w:top="1300" w:bottom="280" w:left="1275" w:right="1275"/>
        </w:sectPr>
      </w:pPr>
    </w:p>
    <w:p>
      <w:pPr>
        <w:pStyle w:val="BodyText"/>
        <w:spacing w:before="167"/>
      </w:pPr>
    </w:p>
    <w:p>
      <w:pPr>
        <w:pStyle w:val="BodyText"/>
        <w:spacing w:line="235" w:lineRule="auto"/>
        <w:ind w:left="1245" w:right="167"/>
        <w:jc w:val="both"/>
      </w:pPr>
      <w:bookmarkStart w:name="_bookmark501" w:id="503"/>
      <w:bookmarkEnd w:id="503"/>
      <w:r>
        <w:rPr/>
      </w:r>
      <w:r>
        <w:rPr/>
        <w:t>forum</w:t>
      </w:r>
      <w:r>
        <w:rPr>
          <w:spacing w:val="-3"/>
        </w:rPr>
        <w:t> </w:t>
      </w:r>
      <w:r>
        <w:rPr/>
        <w:t>in</w:t>
      </w:r>
      <w:r>
        <w:rPr>
          <w:spacing w:val="-3"/>
        </w:rPr>
        <w:t> </w:t>
      </w:r>
      <w:r>
        <w:rPr/>
        <w:t>a</w:t>
      </w:r>
      <w:r>
        <w:rPr>
          <w:spacing w:val="-3"/>
        </w:rPr>
        <w:t> </w:t>
      </w:r>
      <w:r>
        <w:rPr/>
        <w:t>situation</w:t>
      </w:r>
      <w:r>
        <w:rPr>
          <w:spacing w:val="-3"/>
        </w:rPr>
        <w:t> </w:t>
      </w:r>
      <w:r>
        <w:rPr/>
        <w:t>where</w:t>
      </w:r>
      <w:r>
        <w:rPr>
          <w:spacing w:val="-3"/>
        </w:rPr>
        <w:t> </w:t>
      </w:r>
      <w:r>
        <w:rPr/>
        <w:t>they</w:t>
      </w:r>
      <w:r>
        <w:rPr>
          <w:spacing w:val="-3"/>
        </w:rPr>
        <w:t> </w:t>
      </w:r>
      <w:r>
        <w:rPr/>
        <w:t>are</w:t>
      </w:r>
      <w:r>
        <w:rPr>
          <w:spacing w:val="-3"/>
        </w:rPr>
        <w:t> </w:t>
      </w:r>
      <w:r>
        <w:rPr/>
        <w:t>mandatory</w:t>
      </w:r>
      <w:r>
        <w:rPr>
          <w:spacing w:val="-3"/>
        </w:rPr>
        <w:t> </w:t>
      </w:r>
      <w:r>
        <w:rPr/>
        <w:t>irrespective</w:t>
      </w:r>
      <w:r>
        <w:rPr>
          <w:spacing w:val="-3"/>
        </w:rPr>
        <w:t> </w:t>
      </w:r>
      <w:r>
        <w:rPr/>
        <w:t>of</w:t>
      </w:r>
      <w:r>
        <w:rPr>
          <w:spacing w:val="-3"/>
        </w:rPr>
        <w:t> </w:t>
      </w:r>
      <w:r>
        <w:rPr/>
        <w:t>the</w:t>
      </w:r>
      <w:r>
        <w:rPr>
          <w:spacing w:val="-3"/>
        </w:rPr>
        <w:t> </w:t>
      </w:r>
      <w:r>
        <w:rPr/>
        <w:t>law</w:t>
      </w:r>
      <w:r>
        <w:rPr>
          <w:spacing w:val="-3"/>
        </w:rPr>
        <w:t> </w:t>
      </w:r>
      <w:r>
        <w:rPr/>
        <w:t>otherwise</w:t>
      </w:r>
      <w:r>
        <w:rPr>
          <w:spacing w:val="-3"/>
        </w:rPr>
        <w:t> </w:t>
      </w:r>
      <w:r>
        <w:rPr/>
        <w:t>applicable to the contract.” </w:t>
      </w:r>
      <w:r>
        <w:rPr>
          <w:color w:val="005DA1"/>
          <w:u w:val="single" w:color="005DA1"/>
          <w:vertAlign w:val="superscript"/>
        </w:rPr>
        <w:t>318</w:t>
      </w:r>
    </w:p>
    <w:p>
      <w:pPr>
        <w:pStyle w:val="BodyText"/>
        <w:spacing w:before="116"/>
      </w:pPr>
    </w:p>
    <w:p>
      <w:pPr>
        <w:pStyle w:val="BodyText"/>
        <w:spacing w:line="235" w:lineRule="auto"/>
        <w:ind w:left="164" w:right="167"/>
        <w:jc w:val="both"/>
      </w:pPr>
      <w:bookmarkStart w:name="_bookmark502" w:id="504"/>
      <w:bookmarkEnd w:id="504"/>
      <w:r>
        <w:rPr/>
      </w:r>
      <w:r>
        <w:rPr/>
        <w:t>As</w:t>
      </w:r>
      <w:r>
        <w:rPr>
          <w:spacing w:val="-2"/>
        </w:rPr>
        <w:t> </w:t>
      </w:r>
      <w:r>
        <w:rPr/>
        <w:t>far</w:t>
      </w:r>
      <w:r>
        <w:rPr>
          <w:spacing w:val="-2"/>
        </w:rPr>
        <w:t> </w:t>
      </w:r>
      <w:r>
        <w:rPr/>
        <w:t>as</w:t>
      </w:r>
      <w:r>
        <w:rPr>
          <w:spacing w:val="-2"/>
        </w:rPr>
        <w:t> </w:t>
      </w:r>
      <w:r>
        <w:rPr/>
        <w:t>English</w:t>
      </w:r>
      <w:r>
        <w:rPr>
          <w:spacing w:val="-2"/>
        </w:rPr>
        <w:t> </w:t>
      </w:r>
      <w:r>
        <w:rPr/>
        <w:t>courts</w:t>
      </w:r>
      <w:r>
        <w:rPr>
          <w:spacing w:val="-2"/>
        </w:rPr>
        <w:t> </w:t>
      </w:r>
      <w:r>
        <w:rPr/>
        <w:t>are</w:t>
      </w:r>
      <w:r>
        <w:rPr>
          <w:spacing w:val="-2"/>
        </w:rPr>
        <w:t> </w:t>
      </w:r>
      <w:r>
        <w:rPr/>
        <w:t>concerned,</w:t>
      </w:r>
      <w:r>
        <w:rPr>
          <w:spacing w:val="-2"/>
        </w:rPr>
        <w:t> </w:t>
      </w:r>
      <w:r>
        <w:rPr/>
        <w:t>the</w:t>
      </w:r>
      <w:r>
        <w:rPr>
          <w:spacing w:val="-2"/>
        </w:rPr>
        <w:t> </w:t>
      </w:r>
      <w:r>
        <w:rPr/>
        <w:t>provision</w:t>
      </w:r>
      <w:r>
        <w:rPr>
          <w:spacing w:val="-2"/>
        </w:rPr>
        <w:t> </w:t>
      </w:r>
      <w:r>
        <w:rPr/>
        <w:t>will</w:t>
      </w:r>
      <w:r>
        <w:rPr>
          <w:spacing w:val="-2"/>
        </w:rPr>
        <w:t> </w:t>
      </w:r>
      <w:r>
        <w:rPr/>
        <w:t>enable</w:t>
      </w:r>
      <w:r>
        <w:rPr>
          <w:spacing w:val="-2"/>
        </w:rPr>
        <w:t> </w:t>
      </w:r>
      <w:r>
        <w:rPr/>
        <w:t>them</w:t>
      </w:r>
      <w:r>
        <w:rPr>
          <w:spacing w:val="-2"/>
        </w:rPr>
        <w:t> </w:t>
      </w:r>
      <w:r>
        <w:rPr/>
        <w:t>to</w:t>
      </w:r>
      <w:r>
        <w:rPr>
          <w:spacing w:val="-2"/>
        </w:rPr>
        <w:t> </w:t>
      </w:r>
      <w:r>
        <w:rPr/>
        <w:t>give</w:t>
      </w:r>
      <w:r>
        <w:rPr>
          <w:spacing w:val="-2"/>
        </w:rPr>
        <w:t> </w:t>
      </w:r>
      <w:r>
        <w:rPr/>
        <w:t>effect</w:t>
      </w:r>
      <w:r>
        <w:rPr>
          <w:spacing w:val="-2"/>
        </w:rPr>
        <w:t> </w:t>
      </w:r>
      <w:r>
        <w:rPr/>
        <w:t>to</w:t>
      </w:r>
      <w:r>
        <w:rPr>
          <w:spacing w:val="-2"/>
        </w:rPr>
        <w:t> </w:t>
      </w:r>
      <w:r>
        <w:rPr/>
        <w:t>English</w:t>
      </w:r>
      <w:r>
        <w:rPr>
          <w:spacing w:val="-2"/>
        </w:rPr>
        <w:t> </w:t>
      </w:r>
      <w:r>
        <w:rPr/>
        <w:t>rules</w:t>
      </w:r>
      <w:r>
        <w:rPr>
          <w:spacing w:val="-2"/>
        </w:rPr>
        <w:t> </w:t>
      </w:r>
      <w:r>
        <w:rPr/>
        <w:t>of this nature so as to override the choice of law by the parties. </w:t>
      </w:r>
      <w:r>
        <w:rPr>
          <w:color w:val="005DA1"/>
          <w:u w:val="single" w:color="005DA1"/>
          <w:vertAlign w:val="superscript"/>
        </w:rPr>
        <w:t>319</w:t>
      </w:r>
      <w:r>
        <w:rPr>
          <w:color w:val="005DA1"/>
          <w:vertAlign w:val="baseline"/>
        </w:rPr>
        <w:t> </w:t>
      </w:r>
      <w:r>
        <w:rPr>
          <w:vertAlign w:val="baseline"/>
        </w:rPr>
        <w:t>Rules envisaged as </w:t>
      </w:r>
      <w:r>
        <w:rPr>
          <w:vertAlign w:val="baseline"/>
        </w:rPr>
        <w:t>applicable </w:t>
      </w:r>
      <w:bookmarkStart w:name="_bookmark503" w:id="505"/>
      <w:bookmarkEnd w:id="505"/>
      <w:r>
        <w:rPr>
          <w:vertAlign w:val="baseline"/>
        </w:rPr>
        <w:t>through</w:t>
      </w:r>
      <w:r>
        <w:rPr>
          <w:vertAlign w:val="baseline"/>
        </w:rPr>
        <w:t> the principle are, notably, rules on cartels, competition and restrictive practices, consumer protection and certain rules concerning carriage. </w:t>
      </w:r>
      <w:r>
        <w:rPr>
          <w:color w:val="005DA1"/>
          <w:u w:val="single" w:color="005DA1"/>
          <w:vertAlign w:val="superscript"/>
        </w:rPr>
        <w:t>320</w:t>
      </w:r>
      <w:r>
        <w:rPr>
          <w:color w:val="005DA1"/>
          <w:vertAlign w:val="baseline"/>
        </w:rPr>
        <w:t> </w:t>
      </w:r>
      <w:r>
        <w:rPr>
          <w:vertAlign w:val="baseline"/>
        </w:rPr>
        <w:t>To qualify for application, the relevant mandatory rules must be rules which cannot be derogated from even in an international transaction governed by a foreign law, as opposed to mandatory rules which are the subject-matter of art.3(3) where what are </w:t>
      </w:r>
      <w:bookmarkStart w:name="_bookmark504" w:id="506"/>
      <w:bookmarkEnd w:id="506"/>
      <w:r>
        <w:rPr>
          <w:vertAlign w:val="baseline"/>
        </w:rPr>
        <w:t>relevant</w:t>
      </w:r>
      <w:r>
        <w:rPr>
          <w:spacing w:val="-2"/>
          <w:vertAlign w:val="baseline"/>
        </w:rPr>
        <w:t> </w:t>
      </w:r>
      <w:r>
        <w:rPr>
          <w:vertAlign w:val="baseline"/>
        </w:rPr>
        <w:t>are</w:t>
      </w:r>
      <w:r>
        <w:rPr>
          <w:spacing w:val="-2"/>
          <w:vertAlign w:val="baseline"/>
        </w:rPr>
        <w:t> </w:t>
      </w:r>
      <w:r>
        <w:rPr>
          <w:vertAlign w:val="baseline"/>
        </w:rPr>
        <w:t>rules</w:t>
      </w:r>
      <w:r>
        <w:rPr>
          <w:spacing w:val="-2"/>
          <w:vertAlign w:val="baseline"/>
        </w:rPr>
        <w:t> </w:t>
      </w:r>
      <w:r>
        <w:rPr>
          <w:vertAlign w:val="baseline"/>
        </w:rPr>
        <w:t>which</w:t>
      </w:r>
      <w:r>
        <w:rPr>
          <w:spacing w:val="-2"/>
          <w:vertAlign w:val="baseline"/>
        </w:rPr>
        <w:t> </w:t>
      </w:r>
      <w:r>
        <w:rPr>
          <w:vertAlign w:val="baseline"/>
        </w:rPr>
        <w:t>are</w:t>
      </w:r>
      <w:r>
        <w:rPr>
          <w:spacing w:val="-2"/>
          <w:vertAlign w:val="baseline"/>
        </w:rPr>
        <w:t> </w:t>
      </w:r>
      <w:r>
        <w:rPr>
          <w:vertAlign w:val="baseline"/>
        </w:rPr>
        <w:t>mandatory</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domestic</w:t>
      </w:r>
      <w:r>
        <w:rPr>
          <w:spacing w:val="-2"/>
          <w:vertAlign w:val="baseline"/>
        </w:rPr>
        <w:t> </w:t>
      </w:r>
      <w:r>
        <w:rPr>
          <w:vertAlign w:val="baseline"/>
        </w:rPr>
        <w:t>context</w:t>
      </w:r>
      <w:r>
        <w:rPr>
          <w:spacing w:val="-2"/>
          <w:vertAlign w:val="baseline"/>
        </w:rPr>
        <w:t> </w:t>
      </w:r>
      <w:r>
        <w:rPr>
          <w:vertAlign w:val="baseline"/>
        </w:rPr>
        <w:t>but</w:t>
      </w:r>
      <w:r>
        <w:rPr>
          <w:spacing w:val="-2"/>
          <w:vertAlign w:val="baseline"/>
        </w:rPr>
        <w:t> </w:t>
      </w:r>
      <w:r>
        <w:rPr>
          <w:vertAlign w:val="baseline"/>
        </w:rPr>
        <w:t>which</w:t>
      </w:r>
      <w:r>
        <w:rPr>
          <w:spacing w:val="-2"/>
          <w:vertAlign w:val="baseline"/>
        </w:rPr>
        <w:t> </w:t>
      </w:r>
      <w:r>
        <w:rPr>
          <w:vertAlign w:val="baseline"/>
        </w:rPr>
        <w:t>can,</w:t>
      </w:r>
      <w:r>
        <w:rPr>
          <w:spacing w:val="-2"/>
          <w:vertAlign w:val="baseline"/>
        </w:rPr>
        <w:t> </w:t>
      </w:r>
      <w:r>
        <w:rPr>
          <w:vertAlign w:val="baseline"/>
        </w:rPr>
        <w:t>nevertheless,</w:t>
      </w:r>
      <w:r>
        <w:rPr>
          <w:spacing w:val="-2"/>
          <w:vertAlign w:val="baseline"/>
        </w:rPr>
        <w:t> </w:t>
      </w:r>
      <w:r>
        <w:rPr>
          <w:vertAlign w:val="baseline"/>
        </w:rPr>
        <w:t>be</w:t>
      </w:r>
      <w:r>
        <w:rPr>
          <w:spacing w:val="-2"/>
          <w:vertAlign w:val="baseline"/>
        </w:rPr>
        <w:t> </w:t>
      </w:r>
      <w:r>
        <w:rPr>
          <w:vertAlign w:val="baseline"/>
        </w:rPr>
        <w:t>avoided </w:t>
      </w:r>
      <w:bookmarkStart w:name="_bookmark505" w:id="507"/>
      <w:bookmarkEnd w:id="507"/>
      <w:r>
        <w:rPr>
          <w:vertAlign w:val="baseline"/>
        </w:rPr>
        <w:t>or</w:t>
      </w:r>
      <w:r>
        <w:rPr>
          <w:vertAlign w:val="baseline"/>
        </w:rPr>
        <w:t> restricted in application, by a choice of foreign law. </w:t>
      </w:r>
      <w:r>
        <w:rPr>
          <w:color w:val="005DA1"/>
          <w:u w:val="single" w:color="005DA1"/>
          <w:vertAlign w:val="superscript"/>
        </w:rPr>
        <w:t>321</w:t>
      </w:r>
      <w:r>
        <w:rPr>
          <w:color w:val="005DA1"/>
          <w:vertAlign w:val="baseline"/>
        </w:rPr>
        <w:t> </w:t>
      </w:r>
      <w:r>
        <w:rPr>
          <w:vertAlign w:val="baseline"/>
        </w:rPr>
        <w:t>Whether any particular rule bears this </w:t>
      </w:r>
      <w:bookmarkStart w:name="_bookmark506" w:id="508"/>
      <w:bookmarkEnd w:id="508"/>
      <w:r>
        <w:rPr>
          <w:vertAlign w:val="baseline"/>
        </w:rPr>
        <w:t>overriding</w:t>
      </w:r>
      <w:r>
        <w:rPr>
          <w:vertAlign w:val="baseline"/>
        </w:rPr>
        <w:t> </w:t>
      </w:r>
      <w:r>
        <w:rPr>
          <w:color w:val="005DA1"/>
          <w:u w:val="single" w:color="005DA1"/>
          <w:vertAlign w:val="superscript"/>
        </w:rPr>
        <w:t>322</w:t>
      </w:r>
      <w:r>
        <w:rPr>
          <w:color w:val="005DA1"/>
          <w:vertAlign w:val="baseline"/>
        </w:rPr>
        <w:t> </w:t>
      </w:r>
      <w:r>
        <w:rPr>
          <w:vertAlign w:val="baseline"/>
        </w:rPr>
        <w:t>character will, in the absence of any express indication in the rule itself, </w:t>
      </w:r>
      <w:r>
        <w:rPr>
          <w:color w:val="005DA1"/>
          <w:u w:val="single" w:color="005DA1"/>
          <w:vertAlign w:val="superscript"/>
        </w:rPr>
        <w:t>323</w:t>
      </w:r>
      <w:r>
        <w:rPr>
          <w:color w:val="005DA1"/>
          <w:vertAlign w:val="baseline"/>
        </w:rPr>
        <w:t> </w:t>
      </w:r>
      <w:r>
        <w:rPr>
          <w:vertAlign w:val="baseline"/>
        </w:rPr>
        <w:t>depend on the proper construction of the relevant rule. </w:t>
      </w:r>
      <w:r>
        <w:rPr>
          <w:color w:val="005DA1"/>
          <w:u w:val="single" w:color="005DA1"/>
          <w:vertAlign w:val="superscript"/>
        </w:rPr>
        <w:t>324</w:t>
      </w:r>
    </w:p>
    <w:p>
      <w:pPr>
        <w:pStyle w:val="BodyText"/>
      </w:pPr>
    </w:p>
    <w:p>
      <w:pPr>
        <w:pStyle w:val="BodyText"/>
        <w:spacing w:before="35"/>
      </w:pPr>
    </w:p>
    <w:p>
      <w:pPr>
        <w:spacing w:before="0"/>
        <w:ind w:left="165" w:right="0" w:firstLine="0"/>
        <w:jc w:val="left"/>
        <w:rPr>
          <w:rFonts w:ascii="Arial"/>
          <w:b/>
          <w:sz w:val="18"/>
        </w:rPr>
      </w:pPr>
      <w:bookmarkStart w:name="_bookmark507" w:id="509"/>
      <w:bookmarkEnd w:id="509"/>
      <w:r>
        <w:rPr/>
      </w:r>
      <w:r>
        <w:rPr>
          <w:rFonts w:ascii="Arial"/>
          <w:b/>
          <w:sz w:val="18"/>
        </w:rPr>
        <w:t>Public policy </w:t>
      </w:r>
      <w:r>
        <w:rPr>
          <w:rFonts w:ascii="Arial"/>
          <w:b/>
          <w:color w:val="005DA1"/>
          <w:spacing w:val="-5"/>
          <w:sz w:val="18"/>
          <w:u w:val="single" w:color="005DA1"/>
          <w:vertAlign w:val="superscript"/>
        </w:rPr>
        <w:t>325</w:t>
      </w:r>
    </w:p>
    <w:p>
      <w:pPr>
        <w:pStyle w:val="BodyText"/>
        <w:spacing w:before="41"/>
        <w:rPr>
          <w:rFonts w:ascii="Arial"/>
          <w:b/>
          <w:sz w:val="18"/>
        </w:rPr>
      </w:pPr>
    </w:p>
    <w:p>
      <w:pPr>
        <w:pStyle w:val="Heading2"/>
      </w:pPr>
      <w:r>
        <w:rPr/>
        <w:t>30-</w:t>
      </w:r>
      <w:r>
        <w:rPr>
          <w:spacing w:val="-5"/>
        </w:rPr>
        <w:t>068</w:t>
      </w:r>
    </w:p>
    <w:p>
      <w:pPr>
        <w:pStyle w:val="BodyText"/>
        <w:spacing w:line="235" w:lineRule="auto" w:before="203"/>
        <w:ind w:left="165" w:right="167"/>
        <w:jc w:val="both"/>
      </w:pPr>
      <w:r>
        <w:rPr/>
        <w:t>Article 16 of the Rome Convention contains a general reservation to the application of a foreign law</w:t>
      </w:r>
      <w:r>
        <w:rPr>
          <w:spacing w:val="40"/>
        </w:rPr>
        <w:t> </w:t>
      </w:r>
      <w:r>
        <w:rPr/>
        <w:t>on the basis of public policy (</w:t>
      </w:r>
      <w:r>
        <w:rPr>
          <w:rFonts w:ascii="Arial"/>
          <w:i/>
        </w:rPr>
        <w:t>ordre public</w:t>
      </w:r>
      <w:r>
        <w:rPr/>
        <w:t>):</w:t>
      </w:r>
    </w:p>
    <w:p>
      <w:pPr>
        <w:pStyle w:val="BodyText"/>
      </w:pPr>
    </w:p>
    <w:p>
      <w:pPr>
        <w:pStyle w:val="BodyText"/>
        <w:spacing w:before="126"/>
      </w:pPr>
    </w:p>
    <w:p>
      <w:pPr>
        <w:pStyle w:val="BodyText"/>
        <w:spacing w:line="235" w:lineRule="auto"/>
        <w:ind w:left="1245" w:right="167"/>
        <w:jc w:val="both"/>
      </w:pPr>
      <w:r>
        <w:rPr/>
        <w:t>“The application of a rule of the law of any country specified by this Convention may be refused only if such application is manifestly incompatible with the public policy </w:t>
      </w:r>
      <w:r>
        <w:rPr/>
        <w:t>(‘ordre public’) of the forum.”</w:t>
      </w:r>
    </w:p>
    <w:p>
      <w:pPr>
        <w:pStyle w:val="BodyText"/>
        <w:spacing w:before="115"/>
      </w:pPr>
    </w:p>
    <w:p>
      <w:pPr>
        <w:pStyle w:val="BodyText"/>
        <w:spacing w:line="235" w:lineRule="auto"/>
        <w:ind w:left="165" w:right="167"/>
        <w:jc w:val="both"/>
      </w:pPr>
      <w:bookmarkStart w:name="_bookmark508" w:id="510"/>
      <w:bookmarkEnd w:id="510"/>
      <w:r>
        <w:rPr/>
      </w:r>
      <w:r>
        <w:rPr/>
        <w:t>This provision, although of general application, may also be resorted to deny effect to a choice of law </w:t>
      </w:r>
      <w:bookmarkStart w:name="_bookmark509" w:id="511"/>
      <w:bookmarkEnd w:id="511"/>
      <w:r>
        <w:rPr/>
        <w:t>by</w:t>
      </w:r>
      <w:r>
        <w:rPr/>
        <w:t> the parties to the contract. </w:t>
      </w:r>
      <w:r>
        <w:rPr>
          <w:color w:val="005DA1"/>
          <w:u w:val="single" w:color="005DA1"/>
          <w:vertAlign w:val="superscript"/>
        </w:rPr>
        <w:t>326</w:t>
      </w:r>
      <w:r>
        <w:rPr>
          <w:color w:val="005DA1"/>
          <w:vertAlign w:val="baseline"/>
        </w:rPr>
        <w:t> </w:t>
      </w:r>
      <w:r>
        <w:rPr>
          <w:vertAlign w:val="baseline"/>
        </w:rPr>
        <w:t>The expression “manifestly” is designed to indicate that there </w:t>
      </w:r>
      <w:r>
        <w:rPr>
          <w:vertAlign w:val="baseline"/>
        </w:rPr>
        <w:t>must be special grounds, of an exceptional nature, for the exclusion to apply. </w:t>
      </w:r>
      <w:r>
        <w:rPr>
          <w:color w:val="005DA1"/>
          <w:u w:val="single" w:color="005DA1"/>
          <w:vertAlign w:val="superscript"/>
        </w:rPr>
        <w:t>327</w:t>
      </w:r>
      <w:r>
        <w:rPr>
          <w:color w:val="005DA1"/>
          <w:vertAlign w:val="baseline"/>
        </w:rPr>
        <w:t> </w:t>
      </w:r>
      <w:r>
        <w:rPr>
          <w:vertAlign w:val="baseline"/>
        </w:rPr>
        <w:t>It is also important to stress that the concept of public policy is not to be applied to a foreign law in the abstract. It may only </w:t>
      </w:r>
      <w:bookmarkStart w:name="_bookmark510" w:id="512"/>
      <w:bookmarkEnd w:id="512"/>
      <w:r>
        <w:rPr>
          <w:vertAlign w:val="baseline"/>
        </w:rPr>
        <w:t>be</w:t>
      </w:r>
      <w:r>
        <w:rPr>
          <w:vertAlign w:val="baseline"/>
        </w:rPr>
        <w:t> resorted to when a provision of foreign law, if applied to an actual case, would offend English</w:t>
      </w:r>
      <w:r>
        <w:rPr>
          <w:spacing w:val="40"/>
          <w:vertAlign w:val="baseline"/>
        </w:rPr>
        <w:t> </w:t>
      </w:r>
      <w:r>
        <w:rPr>
          <w:vertAlign w:val="baseline"/>
        </w:rPr>
        <w:t>public policy. </w:t>
      </w:r>
      <w:r>
        <w:rPr>
          <w:color w:val="005DA1"/>
          <w:u w:val="single" w:color="005DA1"/>
          <w:vertAlign w:val="superscript"/>
        </w:rPr>
        <w:t>328</w:t>
      </w:r>
      <w:r>
        <w:rPr>
          <w:color w:val="005DA1"/>
          <w:vertAlign w:val="baseline"/>
        </w:rPr>
        <w:t> </w:t>
      </w:r>
      <w:r>
        <w:rPr>
          <w:vertAlign w:val="baseline"/>
        </w:rPr>
        <w:t>The terms of art.16 clearly warn against an ubiquitous application of the doctrine. </w:t>
      </w:r>
      <w:r>
        <w:rPr>
          <w:color w:val="005DA1"/>
          <w:u w:val="single" w:color="005DA1"/>
          <w:vertAlign w:val="superscript"/>
        </w:rPr>
        <w:t>329</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“Community public </w:t>
      </w:r>
      <w:r>
        <w:rPr>
          <w:rFonts w:ascii="Arial" w:hAnsi="Arial"/>
          <w:b/>
          <w:spacing w:val="-2"/>
          <w:sz w:val="18"/>
        </w:rPr>
        <w:t>policy”</w:t>
      </w:r>
    </w:p>
    <w:p>
      <w:pPr>
        <w:pStyle w:val="BodyText"/>
        <w:spacing w:before="41"/>
        <w:rPr>
          <w:rFonts w:ascii="Arial"/>
          <w:b/>
          <w:sz w:val="18"/>
        </w:rPr>
      </w:pPr>
    </w:p>
    <w:p>
      <w:pPr>
        <w:pStyle w:val="Heading2"/>
      </w:pPr>
      <w:r>
        <w:rPr/>
        <w:t>30-</w:t>
      </w:r>
      <w:r>
        <w:rPr>
          <w:spacing w:val="-5"/>
        </w:rPr>
        <w:t>069</w:t>
      </w:r>
    </w:p>
    <w:p>
      <w:pPr>
        <w:pStyle w:val="BodyText"/>
        <w:spacing w:line="235" w:lineRule="auto" w:before="203"/>
        <w:ind w:left="164" w:right="167"/>
        <w:jc w:val="both"/>
      </w:pPr>
      <w:r>
        <w:rPr/>
        <w:t>According to the Giuliano-Lagarde Report public policy, for the purposes of art.16 of the Rome </w:t>
      </w:r>
      <w:bookmarkStart w:name="_bookmark511" w:id="513"/>
      <w:bookmarkEnd w:id="513"/>
      <w:r>
        <w:rPr/>
        <w:t>Convention,</w:t>
      </w:r>
      <w:r>
        <w:rPr/>
        <w:t> includes “Community public policy” and the concept of the public policy of the </w:t>
      </w:r>
      <w:r>
        <w:rPr/>
        <w:t>English forum must be understood as embracing this European dimension. </w:t>
      </w:r>
      <w:r>
        <w:rPr>
          <w:color w:val="005DA1"/>
          <w:u w:val="single" w:color="005DA1"/>
          <w:vertAlign w:val="superscript"/>
        </w:rPr>
        <w:t>330</w:t>
      </w:r>
      <w:r>
        <w:rPr>
          <w:color w:val="005DA1"/>
          <w:vertAlign w:val="baseline"/>
        </w:rPr>
        <w:t> </w:t>
      </w:r>
      <w:r>
        <w:rPr>
          <w:vertAlign w:val="baseline"/>
        </w:rPr>
        <w:t>The European Court of Justice </w:t>
      </w:r>
      <w:bookmarkStart w:name="_bookmark512" w:id="514"/>
      <w:bookmarkEnd w:id="514"/>
      <w:r>
        <w:rPr>
          <w:vertAlign w:val="baseline"/>
        </w:rPr>
        <w:t>has</w:t>
      </w:r>
      <w:r>
        <w:rPr>
          <w:spacing w:val="-2"/>
          <w:vertAlign w:val="baseline"/>
        </w:rPr>
        <w:t> </w:t>
      </w:r>
      <w:r>
        <w:rPr>
          <w:vertAlign w:val="baseline"/>
        </w:rPr>
        <w:t>held,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context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Brussels</w:t>
      </w:r>
      <w:r>
        <w:rPr>
          <w:spacing w:val="-2"/>
          <w:vertAlign w:val="baseline"/>
        </w:rPr>
        <w:t> </w:t>
      </w:r>
      <w:r>
        <w:rPr>
          <w:vertAlign w:val="baseline"/>
        </w:rPr>
        <w:t>Convention</w:t>
      </w:r>
      <w:r>
        <w:rPr>
          <w:spacing w:val="-2"/>
          <w:vertAlign w:val="baseline"/>
        </w:rPr>
        <w:t> </w:t>
      </w:r>
      <w:r>
        <w:rPr>
          <w:vertAlign w:val="baseline"/>
        </w:rPr>
        <w:t>on</w:t>
      </w:r>
      <w:r>
        <w:rPr>
          <w:spacing w:val="-2"/>
          <w:vertAlign w:val="baseline"/>
        </w:rPr>
        <w:t> </w:t>
      </w:r>
      <w:r>
        <w:rPr>
          <w:vertAlign w:val="baseline"/>
        </w:rPr>
        <w:t>Jurisdiction</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Enforcement</w:t>
      </w:r>
      <w:r>
        <w:rPr>
          <w:spacing w:val="-2"/>
          <w:vertAlign w:val="baseline"/>
        </w:rPr>
        <w:t> </w:t>
      </w:r>
      <w:r>
        <w:rPr>
          <w:vertAlign w:val="baseline"/>
        </w:rPr>
        <w:t>of</w:t>
      </w:r>
      <w:r>
        <w:rPr>
          <w:spacing w:val="-2"/>
          <w:vertAlign w:val="baseline"/>
        </w:rPr>
        <w:t> </w:t>
      </w:r>
      <w:r>
        <w:rPr>
          <w:vertAlign w:val="baseline"/>
        </w:rPr>
        <w:t>Judgments </w:t>
      </w:r>
      <w:bookmarkStart w:name="_bookmark513" w:id="515"/>
      <w:bookmarkEnd w:id="515"/>
      <w:r>
        <w:rPr>
          <w:vertAlign w:val="baseline"/>
        </w:rPr>
        <w:t>in</w:t>
      </w:r>
      <w:r>
        <w:rPr>
          <w:vertAlign w:val="baseline"/>
        </w:rPr>
        <w:t> Civil and Commercial Matters 1968 </w:t>
      </w:r>
      <w:r>
        <w:rPr>
          <w:color w:val="005DA1"/>
          <w:u w:val="single" w:color="005DA1"/>
          <w:vertAlign w:val="superscript"/>
        </w:rPr>
        <w:t>331</w:t>
      </w:r>
      <w:r>
        <w:rPr>
          <w:color w:val="005DA1"/>
          <w:vertAlign w:val="baseline"/>
        </w:rPr>
        <w:t> </w:t>
      </w:r>
      <w:r>
        <w:rPr>
          <w:vertAlign w:val="baseline"/>
        </w:rPr>
        <w:t>that fundamental principles of human rights, as contained in </w:t>
      </w:r>
      <w:bookmarkStart w:name="_bookmark514" w:id="516"/>
      <w:bookmarkEnd w:id="516"/>
      <w:r>
        <w:rPr>
          <w:vertAlign w:val="baseline"/>
        </w:rPr>
        <w:t>the</w:t>
      </w:r>
      <w:r>
        <w:rPr>
          <w:vertAlign w:val="baseline"/>
        </w:rPr>
        <w:t> European Convention on Human Rights, may inform the content of Community public policy, </w:t>
      </w:r>
      <w:r>
        <w:rPr>
          <w:color w:val="005DA1"/>
          <w:u w:val="single" w:color="005DA1"/>
          <w:vertAlign w:val="superscript"/>
        </w:rPr>
        <w:t>332</w:t>
      </w:r>
      <w:r>
        <w:rPr>
          <w:color w:val="005DA1"/>
          <w:vertAlign w:val="baseline"/>
        </w:rPr>
        <w:t> </w:t>
      </w:r>
      <w:r>
        <w:rPr>
          <w:vertAlign w:val="baseline"/>
        </w:rPr>
        <w:t>a view which has been accepted in England. </w:t>
      </w:r>
      <w:r>
        <w:rPr>
          <w:color w:val="005DA1"/>
          <w:u w:val="single" w:color="005DA1"/>
          <w:vertAlign w:val="superscript"/>
        </w:rPr>
        <w:t>333</w:t>
      </w:r>
      <w:r>
        <w:rPr>
          <w:color w:val="005DA1"/>
          <w:vertAlign w:val="baseline"/>
        </w:rPr>
        <w:t> </w:t>
      </w:r>
      <w:r>
        <w:rPr>
          <w:vertAlign w:val="baseline"/>
        </w:rPr>
        <w:t>The European Court has also indicated that it is for </w:t>
      </w:r>
      <w:bookmarkStart w:name="_bookmark515" w:id="517"/>
      <w:bookmarkEnd w:id="517"/>
      <w:r>
        <w:rPr>
          <w:vertAlign w:val="baseline"/>
        </w:rPr>
        <w:t>national</w:t>
      </w:r>
      <w:r>
        <w:rPr>
          <w:vertAlign w:val="baseline"/>
        </w:rPr>
        <w:t> courts to define the content of public policy, though the European Court may itself review the limits within which national courts may have recourse to that concept. </w:t>
      </w:r>
      <w:r>
        <w:rPr>
          <w:color w:val="005DA1"/>
          <w:u w:val="single" w:color="005DA1"/>
          <w:vertAlign w:val="superscript"/>
        </w:rPr>
        <w:t>334</w:t>
      </w:r>
    </w:p>
    <w:p>
      <w:pPr>
        <w:pStyle w:val="BodyText"/>
      </w:pPr>
    </w:p>
    <w:p>
      <w:pPr>
        <w:pStyle w:val="BodyText"/>
        <w:spacing w:before="36"/>
      </w:pPr>
      <w:r>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184491</wp:posOffset>
                </wp:positionV>
                <wp:extent cx="572452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6891pt;width:450.75pt;height:.1pt;mso-position-horizontal-relative:page;mso-position-vertical-relative:paragraph;z-index:-15712768;mso-wrap-distance-left:0;mso-wrap-distance-right:0" id="docshape12"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hyperlink w:history="true" w:anchor="_bookmark1132">
        <w:r>
          <w:rPr>
            <w:color w:val="005DA1"/>
            <w:position w:val="5"/>
            <w:sz w:val="14"/>
            <w:u w:val="single" w:color="005DA1"/>
          </w:rPr>
          <w:t>96</w:t>
        </w:r>
      </w:hyperlink>
      <w:r>
        <w:rPr>
          <w:position w:val="5"/>
          <w:sz w:val="14"/>
        </w:rPr>
        <w:t>.</w:t>
      </w:r>
      <w:r>
        <w:rPr>
          <w:spacing w:val="80"/>
          <w:position w:val="5"/>
          <w:sz w:val="14"/>
        </w:rPr>
        <w:t>  </w:t>
      </w:r>
      <w:r>
        <w:rPr>
          <w:sz w:val="20"/>
        </w:rPr>
        <w:t>Dicey, Morris and Collins on the Conflict of Laws, 14th edn (2006), Chs 32 and 33; Cheshire, North and Fawcett, </w:t>
      </w:r>
      <w:r>
        <w:rPr>
          <w:rFonts w:ascii="Arial"/>
          <w:i/>
          <w:sz w:val="20"/>
        </w:rPr>
        <w:t>Private International Law</w:t>
      </w:r>
      <w:r>
        <w:rPr>
          <w:sz w:val="20"/>
        </w:rPr>
        <w:t>, 14th edn (2008), Ch.18; Fawcett, Harris </w:t>
      </w:r>
      <w:r>
        <w:rPr>
          <w:sz w:val="20"/>
        </w:rPr>
        <w:t>and Bridge, </w:t>
      </w:r>
      <w:r>
        <w:rPr>
          <w:rFonts w:ascii="Arial"/>
          <w:i/>
          <w:sz w:val="20"/>
        </w:rPr>
        <w:t>International Sale of Goods in the Conflict of Laws </w:t>
      </w:r>
      <w:r>
        <w:rPr>
          <w:sz w:val="20"/>
        </w:rPr>
        <w:t>(2005), Ch.13; Meeusen, Pertegas and Straetmans, </w:t>
      </w:r>
      <w:r>
        <w:rPr>
          <w:rFonts w:ascii="Arial"/>
          <w:i/>
          <w:sz w:val="20"/>
        </w:rPr>
        <w:t>The Enforcement of International Contracts in the European Union </w:t>
      </w:r>
      <w:r>
        <w:rPr>
          <w:sz w:val="20"/>
        </w:rPr>
        <w:t>(2004); Plender and Wilderspin, </w:t>
      </w:r>
      <w:r>
        <w:rPr>
          <w:rFonts w:ascii="Arial"/>
          <w:i/>
          <w:sz w:val="20"/>
        </w:rPr>
        <w:t>The European Private International Law of Obligations </w:t>
      </w:r>
      <w:r>
        <w:rPr>
          <w:sz w:val="20"/>
        </w:rPr>
        <w:t>4th edn (2014), Chs</w:t>
      </w:r>
      <w:r>
        <w:rPr>
          <w:spacing w:val="60"/>
          <w:sz w:val="20"/>
        </w:rPr>
        <w:t> </w:t>
      </w:r>
      <w:r>
        <w:rPr>
          <w:sz w:val="20"/>
        </w:rPr>
        <w:t>4-15;</w:t>
      </w:r>
      <w:r>
        <w:rPr>
          <w:spacing w:val="60"/>
          <w:sz w:val="20"/>
        </w:rPr>
        <w:t> </w:t>
      </w:r>
      <w:r>
        <w:rPr>
          <w:sz w:val="20"/>
        </w:rPr>
        <w:t>Fentiman,</w:t>
      </w:r>
      <w:r>
        <w:rPr>
          <w:spacing w:val="60"/>
          <w:sz w:val="20"/>
        </w:rPr>
        <w:t> </w:t>
      </w:r>
      <w:r>
        <w:rPr>
          <w:rFonts w:ascii="Arial"/>
          <w:i/>
          <w:sz w:val="20"/>
        </w:rPr>
        <w:t>International</w:t>
      </w:r>
      <w:r>
        <w:rPr>
          <w:rFonts w:ascii="Arial"/>
          <w:i/>
          <w:spacing w:val="60"/>
          <w:sz w:val="20"/>
        </w:rPr>
        <w:t> </w:t>
      </w:r>
      <w:r>
        <w:rPr>
          <w:rFonts w:ascii="Arial"/>
          <w:i/>
          <w:sz w:val="20"/>
        </w:rPr>
        <w:t>Commercial</w:t>
      </w:r>
      <w:r>
        <w:rPr>
          <w:rFonts w:ascii="Arial"/>
          <w:i/>
          <w:spacing w:val="60"/>
          <w:sz w:val="20"/>
        </w:rPr>
        <w:t> </w:t>
      </w:r>
      <w:r>
        <w:rPr>
          <w:rFonts w:ascii="Arial"/>
          <w:i/>
          <w:sz w:val="20"/>
        </w:rPr>
        <w:t>Litigation</w:t>
      </w:r>
      <w:r>
        <w:rPr>
          <w:rFonts w:ascii="Arial"/>
          <w:i/>
          <w:spacing w:val="59"/>
          <w:sz w:val="20"/>
        </w:rPr>
        <w:t> </w:t>
      </w:r>
      <w:r>
        <w:rPr>
          <w:sz w:val="20"/>
        </w:rPr>
        <w:t>2nd</w:t>
      </w:r>
      <w:r>
        <w:rPr>
          <w:spacing w:val="60"/>
          <w:sz w:val="20"/>
        </w:rPr>
        <w:t> </w:t>
      </w:r>
      <w:r>
        <w:rPr>
          <w:sz w:val="20"/>
        </w:rPr>
        <w:t>edn</w:t>
      </w:r>
      <w:r>
        <w:rPr>
          <w:spacing w:val="60"/>
          <w:sz w:val="20"/>
        </w:rPr>
        <w:t> </w:t>
      </w:r>
      <w:r>
        <w:rPr>
          <w:sz w:val="20"/>
        </w:rPr>
        <w:t>(2015),</w:t>
      </w:r>
      <w:r>
        <w:rPr>
          <w:spacing w:val="60"/>
          <w:sz w:val="20"/>
        </w:rPr>
        <w:t> </w:t>
      </w:r>
      <w:r>
        <w:rPr>
          <w:sz w:val="20"/>
        </w:rPr>
        <w:t>Chs</w:t>
      </w:r>
      <w:r>
        <w:rPr>
          <w:spacing w:val="60"/>
          <w:sz w:val="20"/>
        </w:rPr>
        <w:t> </w:t>
      </w:r>
      <w:r>
        <w:rPr>
          <w:sz w:val="20"/>
        </w:rPr>
        <w:t>3-6;</w:t>
      </w:r>
      <w:r>
        <w:rPr>
          <w:spacing w:val="60"/>
          <w:sz w:val="20"/>
        </w:rPr>
        <w:t> </w:t>
      </w:r>
      <w:r>
        <w:rPr>
          <w:spacing w:val="-2"/>
          <w:sz w:val="20"/>
        </w:rPr>
        <w:t>Nygh,</w:t>
      </w:r>
    </w:p>
    <w:p>
      <w:pPr>
        <w:spacing w:after="0" w:line="235" w:lineRule="auto"/>
        <w:jc w:val="both"/>
        <w:rPr>
          <w:sz w:val="20"/>
        </w:rPr>
        <w:sectPr>
          <w:pgSz w:w="11900" w:h="16840"/>
          <w:pgMar w:header="971" w:footer="0" w:top="1300" w:bottom="280" w:left="1275" w:right="1275"/>
        </w:sectPr>
      </w:pPr>
    </w:p>
    <w:p>
      <w:pPr>
        <w:spacing w:line="235" w:lineRule="auto" w:before="170"/>
        <w:ind w:left="705" w:right="167" w:firstLine="0"/>
        <w:jc w:val="both"/>
        <w:rPr>
          <w:sz w:val="20"/>
        </w:rPr>
      </w:pPr>
      <w:r>
        <w:rPr>
          <w:rFonts w:ascii="Arial"/>
          <w:i/>
          <w:sz w:val="20"/>
        </w:rPr>
        <w:t>Autonomy in International Contracts </w:t>
      </w:r>
      <w:r>
        <w:rPr>
          <w:sz w:val="20"/>
        </w:rPr>
        <w:t>(1999); Kaye, </w:t>
      </w:r>
      <w:r>
        <w:rPr>
          <w:rFonts w:ascii="Arial"/>
          <w:i/>
          <w:sz w:val="20"/>
        </w:rPr>
        <w:t>The New Private International Law </w:t>
      </w:r>
      <w:r>
        <w:rPr>
          <w:rFonts w:ascii="Arial"/>
          <w:i/>
          <w:sz w:val="20"/>
        </w:rPr>
        <w:t>of Contract of the European Community </w:t>
      </w:r>
      <w:r>
        <w:rPr>
          <w:sz w:val="20"/>
        </w:rPr>
        <w:t>(1993); Lasok and Stone, </w:t>
      </w:r>
      <w:r>
        <w:rPr>
          <w:rFonts w:ascii="Arial"/>
          <w:i/>
          <w:sz w:val="20"/>
        </w:rPr>
        <w:t>Conflict of Laws in the European Community </w:t>
      </w:r>
      <w:r>
        <w:rPr>
          <w:sz w:val="20"/>
        </w:rPr>
        <w:t>(1987), Ch.9; North, </w:t>
      </w:r>
      <w:r>
        <w:rPr>
          <w:rFonts w:ascii="Arial"/>
          <w:i/>
          <w:sz w:val="20"/>
        </w:rPr>
        <w:t>Contract Conflicts </w:t>
      </w:r>
      <w:r>
        <w:rPr>
          <w:sz w:val="20"/>
        </w:rPr>
        <w:t>(1982); Fletcher, </w:t>
      </w:r>
      <w:r>
        <w:rPr>
          <w:rFonts w:ascii="Arial"/>
          <w:i/>
          <w:sz w:val="20"/>
        </w:rPr>
        <w:t>Conflict of Laws and European Community Law </w:t>
      </w:r>
      <w:r>
        <w:rPr>
          <w:sz w:val="20"/>
        </w:rPr>
        <w:t>(1982), Ch.5; Anton, </w:t>
      </w:r>
      <w:r>
        <w:rPr>
          <w:rFonts w:ascii="Arial"/>
          <w:i/>
          <w:sz w:val="20"/>
        </w:rPr>
        <w:t>Private International Law</w:t>
      </w:r>
      <w:r>
        <w:rPr>
          <w:sz w:val="20"/>
        </w:rPr>
        <w:t>, 2nd edn (1990), Ch.11;</w:t>
      </w:r>
      <w:r>
        <w:rPr>
          <w:spacing w:val="9"/>
          <w:sz w:val="20"/>
        </w:rPr>
        <w:t> </w:t>
      </w:r>
      <w:r>
        <w:rPr>
          <w:sz w:val="20"/>
        </w:rPr>
        <w:t>Diamond</w:t>
      </w:r>
      <w:r>
        <w:rPr>
          <w:spacing w:val="9"/>
          <w:sz w:val="20"/>
        </w:rPr>
        <w:t> </w:t>
      </w:r>
      <w:r>
        <w:rPr>
          <w:sz w:val="20"/>
        </w:rPr>
        <w:t>(1986)</w:t>
      </w:r>
      <w:r>
        <w:rPr>
          <w:spacing w:val="9"/>
          <w:sz w:val="20"/>
        </w:rPr>
        <w:t> </w:t>
      </w:r>
      <w:r>
        <w:rPr>
          <w:sz w:val="20"/>
        </w:rPr>
        <w:t>216</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z w:val="20"/>
        </w:rPr>
        <w:t>IV,</w:t>
      </w:r>
      <w:r>
        <w:rPr>
          <w:spacing w:val="9"/>
          <w:sz w:val="20"/>
        </w:rPr>
        <w:t> </w:t>
      </w:r>
      <w:r>
        <w:rPr>
          <w:sz w:val="20"/>
        </w:rPr>
        <w:t>233;</w:t>
      </w:r>
      <w:r>
        <w:rPr>
          <w:spacing w:val="9"/>
          <w:sz w:val="20"/>
        </w:rPr>
        <w:t> </w:t>
      </w:r>
      <w:r>
        <w:rPr>
          <w:sz w:val="20"/>
        </w:rPr>
        <w:t>North</w:t>
      </w:r>
      <w:r>
        <w:rPr>
          <w:spacing w:val="9"/>
          <w:sz w:val="20"/>
        </w:rPr>
        <w:t> </w:t>
      </w:r>
      <w:r>
        <w:rPr>
          <w:sz w:val="20"/>
        </w:rPr>
        <w:t>(1990)</w:t>
      </w:r>
      <w:r>
        <w:rPr>
          <w:spacing w:val="9"/>
          <w:sz w:val="20"/>
        </w:rPr>
        <w:t> </w:t>
      </w:r>
      <w:r>
        <w:rPr>
          <w:sz w:val="20"/>
        </w:rPr>
        <w:t>220</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pacing w:val="-5"/>
          <w:sz w:val="20"/>
        </w:rPr>
        <w:t>I,</w:t>
      </w:r>
    </w:p>
    <w:p>
      <w:pPr>
        <w:pStyle w:val="BodyText"/>
        <w:spacing w:line="222" w:lineRule="exact"/>
        <w:ind w:left="705"/>
        <w:jc w:val="both"/>
      </w:pPr>
      <w:r>
        <w:rPr/>
        <w:t>3,</w:t>
      </w:r>
      <w:r>
        <w:rPr>
          <w:spacing w:val="11"/>
        </w:rPr>
        <w:t> </w:t>
      </w:r>
      <w:r>
        <w:rPr/>
        <w:t>176-205;</w:t>
      </w:r>
      <w:r>
        <w:rPr>
          <w:spacing w:val="11"/>
        </w:rPr>
        <w:t> </w:t>
      </w:r>
      <w:r>
        <w:rPr/>
        <w:t>North</w:t>
      </w:r>
      <w:r>
        <w:rPr>
          <w:spacing w:val="11"/>
        </w:rPr>
        <w:t> </w:t>
      </w:r>
      <w:r>
        <w:rPr/>
        <w:t>[1980]</w:t>
      </w:r>
      <w:r>
        <w:rPr>
          <w:spacing w:val="11"/>
        </w:rPr>
        <w:t> </w:t>
      </w:r>
      <w:r>
        <w:rPr/>
        <w:t>J.B.L.</w:t>
      </w:r>
      <w:r>
        <w:rPr>
          <w:spacing w:val="11"/>
        </w:rPr>
        <w:t> </w:t>
      </w:r>
      <w:r>
        <w:rPr/>
        <w:t>392;</w:t>
      </w:r>
      <w:r>
        <w:rPr>
          <w:spacing w:val="11"/>
        </w:rPr>
        <w:t> </w:t>
      </w:r>
      <w:r>
        <w:rPr/>
        <w:t>Morse</w:t>
      </w:r>
      <w:r>
        <w:rPr>
          <w:spacing w:val="11"/>
        </w:rPr>
        <w:t> </w:t>
      </w:r>
      <w:r>
        <w:rPr/>
        <w:t>(1982)</w:t>
      </w:r>
      <w:r>
        <w:rPr>
          <w:spacing w:val="11"/>
        </w:rPr>
        <w:t> </w:t>
      </w:r>
      <w:r>
        <w:rPr/>
        <w:t>2</w:t>
      </w:r>
      <w:r>
        <w:rPr>
          <w:spacing w:val="11"/>
        </w:rPr>
        <w:t> </w:t>
      </w:r>
      <w:r>
        <w:rPr/>
        <w:t>Yb.</w:t>
      </w:r>
      <w:r>
        <w:rPr>
          <w:spacing w:val="11"/>
        </w:rPr>
        <w:t> </w:t>
      </w:r>
      <w:r>
        <w:rPr/>
        <w:t>Eur.</w:t>
      </w:r>
      <w:r>
        <w:rPr>
          <w:spacing w:val="11"/>
        </w:rPr>
        <w:t> </w:t>
      </w:r>
      <w:r>
        <w:rPr/>
        <w:t>L.</w:t>
      </w:r>
      <w:r>
        <w:rPr>
          <w:spacing w:val="11"/>
        </w:rPr>
        <w:t> </w:t>
      </w:r>
      <w:r>
        <w:rPr/>
        <w:t>107;</w:t>
      </w:r>
      <w:r>
        <w:rPr>
          <w:spacing w:val="11"/>
        </w:rPr>
        <w:t> </w:t>
      </w:r>
      <w:r>
        <w:rPr/>
        <w:t>Jaffey</w:t>
      </w:r>
      <w:r>
        <w:rPr>
          <w:spacing w:val="11"/>
        </w:rPr>
        <w:t> </w:t>
      </w:r>
      <w:r>
        <w:rPr/>
        <w:t>(1984)</w:t>
      </w:r>
      <w:r>
        <w:rPr>
          <w:spacing w:val="11"/>
        </w:rPr>
        <w:t> </w:t>
      </w:r>
      <w:r>
        <w:rPr/>
        <w:t>33</w:t>
      </w:r>
      <w:r>
        <w:rPr>
          <w:spacing w:val="11"/>
        </w:rPr>
        <w:t> </w:t>
      </w:r>
      <w:r>
        <w:rPr>
          <w:spacing w:val="-2"/>
        </w:rPr>
        <w:t>I.C.L.Q.</w:t>
      </w:r>
    </w:p>
    <w:p>
      <w:pPr>
        <w:pStyle w:val="BodyText"/>
        <w:spacing w:line="227" w:lineRule="exact"/>
        <w:ind w:left="705"/>
        <w:jc w:val="both"/>
      </w:pPr>
      <w:r>
        <w:rPr/>
        <w:t>531; Williams (1986) 35 I.C.L.Q. </w:t>
      </w:r>
      <w:r>
        <w:rPr>
          <w:spacing w:val="-5"/>
        </w:rPr>
        <w:t>1.</w:t>
      </w:r>
    </w:p>
    <w:p>
      <w:pPr>
        <w:pStyle w:val="BodyText"/>
        <w:spacing w:before="9"/>
      </w:pPr>
    </w:p>
    <w:p>
      <w:pPr>
        <w:spacing w:line="235" w:lineRule="auto" w:before="0"/>
        <w:ind w:left="705" w:right="167" w:hanging="541"/>
        <w:jc w:val="both"/>
        <w:rPr>
          <w:sz w:val="20"/>
        </w:rPr>
      </w:pPr>
      <w:bookmarkStart w:name="_bookmark516" w:id="518"/>
      <w:bookmarkEnd w:id="518"/>
      <w:r>
        <w:rPr/>
      </w:r>
      <w:hyperlink w:history="true" w:anchor="_bookmark410">
        <w:r>
          <w:rPr>
            <w:color w:val="005DA1"/>
            <w:position w:val="5"/>
            <w:sz w:val="14"/>
            <w:u w:val="single" w:color="005DA1"/>
          </w:rPr>
          <w:t>220</w:t>
        </w:r>
      </w:hyperlink>
      <w:r>
        <w:rPr>
          <w:position w:val="5"/>
          <w:sz w:val="14"/>
        </w:rPr>
        <w:t>.</w:t>
      </w:r>
      <w:r>
        <w:rPr>
          <w:spacing w:val="80"/>
          <w:position w:val="5"/>
          <w:sz w:val="14"/>
        </w:rPr>
        <w:t> </w:t>
      </w:r>
      <w:r>
        <w:rPr>
          <w:sz w:val="20"/>
        </w:rPr>
        <w:t>Dicey, Morris and Collins on the Conflict of Laws, 14th edn (2006), paras 30–062—30–103; Cheshire, North and Fawcett, </w:t>
      </w:r>
      <w:r>
        <w:rPr>
          <w:rFonts w:ascii="Arial" w:hAnsi="Arial"/>
          <w:i/>
          <w:sz w:val="20"/>
        </w:rPr>
        <w:t>Private International Law</w:t>
      </w:r>
      <w:r>
        <w:rPr>
          <w:sz w:val="20"/>
        </w:rPr>
        <w:t>, 14th edn (2008), pp.690–707; Fentiman, </w:t>
      </w:r>
      <w:r>
        <w:rPr>
          <w:rFonts w:ascii="Arial" w:hAnsi="Arial"/>
          <w:i/>
          <w:sz w:val="20"/>
        </w:rPr>
        <w:t>International Commercial Litigation </w:t>
      </w:r>
      <w:r>
        <w:rPr>
          <w:sz w:val="20"/>
        </w:rPr>
        <w:t>2nd edn (2015), pp.196 et seq.</w:t>
      </w:r>
    </w:p>
    <w:p>
      <w:pPr>
        <w:pStyle w:val="BodyText"/>
        <w:spacing w:before="9"/>
      </w:pPr>
    </w:p>
    <w:p>
      <w:pPr>
        <w:pStyle w:val="BodyText"/>
        <w:tabs>
          <w:tab w:pos="705" w:val="left" w:leader="none"/>
        </w:tabs>
        <w:spacing w:line="235" w:lineRule="auto"/>
        <w:ind w:left="705" w:right="168" w:hanging="541"/>
      </w:pPr>
      <w:bookmarkStart w:name="_bookmark517" w:id="519"/>
      <w:bookmarkEnd w:id="519"/>
      <w:r>
        <w:rPr/>
      </w:r>
      <w:hyperlink w:history="true" w:anchor="_bookmark411">
        <w:r>
          <w:rPr>
            <w:color w:val="005DA1"/>
            <w:spacing w:val="-4"/>
            <w:position w:val="5"/>
            <w:sz w:val="14"/>
            <w:u w:val="single" w:color="005DA1"/>
          </w:rPr>
          <w:t>221</w:t>
        </w:r>
      </w:hyperlink>
      <w:r>
        <w:rPr>
          <w:spacing w:val="-4"/>
          <w:position w:val="5"/>
          <w:sz w:val="14"/>
        </w:rPr>
        <w:t>.</w:t>
      </w:r>
      <w:r>
        <w:rPr>
          <w:position w:val="5"/>
          <w:sz w:val="14"/>
        </w:rPr>
        <w:tab/>
      </w:r>
      <w:r>
        <w:rPr/>
        <w:t>Giuliano-Lagarde Report, pp.15–16. For the background, see Dicey, Morris and Collins, </w:t>
      </w:r>
      <w:r>
        <w:rPr/>
        <w:t>paras </w:t>
      </w:r>
      <w:r>
        <w:rPr>
          <w:spacing w:val="-2"/>
        </w:rPr>
        <w:t>32–062—32–064.</w:t>
      </w:r>
    </w:p>
    <w:p>
      <w:pPr>
        <w:pStyle w:val="BodyText"/>
        <w:spacing w:before="5"/>
      </w:pPr>
    </w:p>
    <w:p>
      <w:pPr>
        <w:pStyle w:val="BodyText"/>
        <w:tabs>
          <w:tab w:pos="705" w:val="left" w:leader="none"/>
        </w:tabs>
        <w:ind w:left="165"/>
      </w:pPr>
      <w:bookmarkStart w:name="_bookmark518" w:id="520"/>
      <w:bookmarkEnd w:id="520"/>
      <w:r>
        <w:rPr/>
      </w:r>
      <w:hyperlink w:history="true" w:anchor="_bookmark412">
        <w:r>
          <w:rPr>
            <w:color w:val="005DA1"/>
            <w:spacing w:val="-4"/>
            <w:position w:val="5"/>
            <w:sz w:val="14"/>
            <w:u w:val="single" w:color="005DA1"/>
          </w:rPr>
          <w:t>222</w:t>
        </w:r>
      </w:hyperlink>
      <w:r>
        <w:rPr>
          <w:spacing w:val="-4"/>
          <w:position w:val="5"/>
          <w:sz w:val="14"/>
        </w:rPr>
        <w:t>.</w:t>
      </w:r>
      <w:r>
        <w:rPr>
          <w:position w:val="5"/>
          <w:sz w:val="14"/>
        </w:rPr>
        <w:tab/>
      </w:r>
      <w:r>
        <w:rPr/>
        <w:t>See below, paras 30-059 et </w:t>
      </w:r>
      <w:r>
        <w:rPr>
          <w:spacing w:val="-4"/>
        </w:rPr>
        <w:t>seq.</w:t>
      </w:r>
    </w:p>
    <w:p>
      <w:pPr>
        <w:pStyle w:val="BodyText"/>
        <w:spacing w:before="9"/>
      </w:pPr>
    </w:p>
    <w:p>
      <w:pPr>
        <w:spacing w:line="235" w:lineRule="auto" w:before="0"/>
        <w:ind w:left="705" w:right="168" w:hanging="541"/>
        <w:jc w:val="both"/>
        <w:rPr>
          <w:rFonts w:ascii="Arial" w:hAnsi="Arial"/>
          <w:i/>
          <w:sz w:val="20"/>
        </w:rPr>
      </w:pPr>
      <w:bookmarkStart w:name="_bookmark519" w:id="521"/>
      <w:bookmarkEnd w:id="521"/>
      <w:r>
        <w:rPr/>
      </w:r>
      <w:hyperlink w:history="true" w:anchor="_bookmark413">
        <w:r>
          <w:rPr>
            <w:color w:val="005DA1"/>
            <w:position w:val="5"/>
            <w:sz w:val="14"/>
            <w:u w:val="single" w:color="005DA1"/>
          </w:rPr>
          <w:t>223</w:t>
        </w:r>
      </w:hyperlink>
      <w:r>
        <w:rPr>
          <w:position w:val="5"/>
          <w:sz w:val="14"/>
        </w:rPr>
        <w:t>.</w:t>
      </w:r>
      <w:r>
        <w:rPr>
          <w:spacing w:val="80"/>
          <w:position w:val="5"/>
          <w:sz w:val="14"/>
        </w:rPr>
        <w:t> </w:t>
      </w:r>
      <w:r>
        <w:rPr>
          <w:sz w:val="20"/>
        </w:rPr>
        <w:t>“Convention shall apply … in any situation involving a choice between the </w:t>
      </w:r>
      <w:r>
        <w:rPr>
          <w:rFonts w:ascii="Arial" w:hAnsi="Arial"/>
          <w:i/>
          <w:sz w:val="20"/>
        </w:rPr>
        <w:t>laws of </w:t>
      </w:r>
      <w:r>
        <w:rPr>
          <w:rFonts w:ascii="Arial" w:hAnsi="Arial"/>
          <w:i/>
          <w:sz w:val="20"/>
        </w:rPr>
        <w:t>different countries</w:t>
      </w:r>
      <w:r>
        <w:rPr>
          <w:rFonts w:ascii="Arial" w:hAnsi="Arial"/>
          <w:i/>
          <w:spacing w:val="-14"/>
          <w:sz w:val="20"/>
        </w:rPr>
        <w:t> </w:t>
      </w:r>
      <w:r>
        <w:rPr>
          <w:sz w:val="20"/>
        </w:rPr>
        <w:t>” [emphasis added]; </w:t>
      </w:r>
      <w:r>
        <w:rPr>
          <w:rFonts w:ascii="Arial" w:hAnsi="Arial"/>
          <w:i/>
          <w:sz w:val="20"/>
        </w:rPr>
        <w:t>Shamil Bank of Bahrain v Beximco Pharmaceuticals Ltd [2004] EWCA</w:t>
      </w:r>
      <w:r>
        <w:rPr>
          <w:rFonts w:ascii="Arial" w:hAnsi="Arial"/>
          <w:i/>
          <w:spacing w:val="11"/>
          <w:sz w:val="20"/>
        </w:rPr>
        <w:t> </w:t>
      </w:r>
      <w:r>
        <w:rPr>
          <w:rFonts w:ascii="Arial" w:hAnsi="Arial"/>
          <w:i/>
          <w:sz w:val="20"/>
        </w:rPr>
        <w:t>Civ</w:t>
      </w:r>
      <w:r>
        <w:rPr>
          <w:rFonts w:ascii="Arial" w:hAnsi="Arial"/>
          <w:i/>
          <w:spacing w:val="12"/>
          <w:sz w:val="20"/>
        </w:rPr>
        <w:t> </w:t>
      </w:r>
      <w:r>
        <w:rPr>
          <w:rFonts w:ascii="Arial" w:hAnsi="Arial"/>
          <w:i/>
          <w:sz w:val="20"/>
        </w:rPr>
        <w:t>19,</w:t>
      </w:r>
      <w:r>
        <w:rPr>
          <w:rFonts w:ascii="Arial" w:hAnsi="Arial"/>
          <w:i/>
          <w:spacing w:val="12"/>
          <w:sz w:val="20"/>
        </w:rPr>
        <w:t> </w:t>
      </w:r>
      <w:r>
        <w:rPr>
          <w:rFonts w:ascii="Arial" w:hAnsi="Arial"/>
          <w:i/>
          <w:sz w:val="20"/>
        </w:rPr>
        <w:t>[2004]</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W.L.R.</w:t>
      </w:r>
      <w:r>
        <w:rPr>
          <w:rFonts w:ascii="Arial" w:hAnsi="Arial"/>
          <w:i/>
          <w:spacing w:val="12"/>
          <w:sz w:val="20"/>
        </w:rPr>
        <w:t> </w:t>
      </w:r>
      <w:r>
        <w:rPr>
          <w:rFonts w:ascii="Arial" w:hAnsi="Arial"/>
          <w:i/>
          <w:sz w:val="20"/>
        </w:rPr>
        <w:t>1784</w:t>
      </w:r>
      <w:r>
        <w:rPr>
          <w:sz w:val="20"/>
        </w:rPr>
        <w:t>;</w:t>
      </w:r>
      <w:r>
        <w:rPr>
          <w:spacing w:val="12"/>
          <w:sz w:val="20"/>
        </w:rPr>
        <w:t> </w:t>
      </w:r>
      <w:r>
        <w:rPr>
          <w:rFonts w:ascii="Arial" w:hAnsi="Arial"/>
          <w:i/>
          <w:sz w:val="20"/>
        </w:rPr>
        <w:t>Halpern</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Halpern</w:t>
      </w:r>
      <w:r>
        <w:rPr>
          <w:rFonts w:ascii="Arial" w:hAnsi="Arial"/>
          <w:i/>
          <w:spacing w:val="12"/>
          <w:sz w:val="20"/>
        </w:rPr>
        <w:t> </w:t>
      </w:r>
      <w:r>
        <w:rPr>
          <w:rFonts w:ascii="Arial" w:hAnsi="Arial"/>
          <w:i/>
          <w:sz w:val="20"/>
        </w:rPr>
        <w:t>(Nos</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and</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z w:val="20"/>
        </w:rPr>
        <w:t>[2007]</w:t>
      </w:r>
      <w:r>
        <w:rPr>
          <w:rFonts w:ascii="Arial" w:hAnsi="Arial"/>
          <w:i/>
          <w:spacing w:val="12"/>
          <w:sz w:val="20"/>
        </w:rPr>
        <w:t> </w:t>
      </w:r>
      <w:r>
        <w:rPr>
          <w:rFonts w:ascii="Arial" w:hAnsi="Arial"/>
          <w:i/>
          <w:sz w:val="20"/>
        </w:rPr>
        <w:t>EWCA</w:t>
      </w:r>
      <w:r>
        <w:rPr>
          <w:rFonts w:ascii="Arial" w:hAnsi="Arial"/>
          <w:i/>
          <w:spacing w:val="12"/>
          <w:sz w:val="20"/>
        </w:rPr>
        <w:t> </w:t>
      </w:r>
      <w:r>
        <w:rPr>
          <w:rFonts w:ascii="Arial" w:hAnsi="Arial"/>
          <w:i/>
          <w:sz w:val="20"/>
        </w:rPr>
        <w:t>Civ</w:t>
      </w:r>
      <w:r>
        <w:rPr>
          <w:rFonts w:ascii="Arial" w:hAnsi="Arial"/>
          <w:i/>
          <w:spacing w:val="12"/>
          <w:sz w:val="20"/>
        </w:rPr>
        <w:t> </w:t>
      </w:r>
      <w:r>
        <w:rPr>
          <w:rFonts w:ascii="Arial" w:hAnsi="Arial"/>
          <w:i/>
          <w:spacing w:val="-4"/>
          <w:sz w:val="20"/>
        </w:rPr>
        <w:t>291,</w:t>
      </w:r>
    </w:p>
    <w:p>
      <w:pPr>
        <w:spacing w:line="223" w:lineRule="exact" w:before="0"/>
        <w:ind w:left="705" w:right="0" w:firstLine="0"/>
        <w:jc w:val="both"/>
        <w:rPr>
          <w:rFonts w:ascii="Arial" w:hAnsi="Arial"/>
          <w:i/>
          <w:sz w:val="20"/>
        </w:rPr>
      </w:pPr>
      <w:r>
        <w:rPr>
          <w:rFonts w:ascii="Arial" w:hAnsi="Arial"/>
          <w:i/>
          <w:sz w:val="20"/>
        </w:rPr>
        <w:t>[2008]</w:t>
      </w:r>
      <w:r>
        <w:rPr>
          <w:rFonts w:ascii="Arial" w:hAnsi="Arial"/>
          <w:i/>
          <w:spacing w:val="5"/>
          <w:sz w:val="20"/>
        </w:rPr>
        <w:t> </w:t>
      </w:r>
      <w:r>
        <w:rPr>
          <w:rFonts w:ascii="Arial" w:hAnsi="Arial"/>
          <w:i/>
          <w:sz w:val="20"/>
        </w:rPr>
        <w:t>Q.B.</w:t>
      </w:r>
      <w:r>
        <w:rPr>
          <w:rFonts w:ascii="Arial" w:hAnsi="Arial"/>
          <w:i/>
          <w:spacing w:val="6"/>
          <w:sz w:val="20"/>
        </w:rPr>
        <w:t> </w:t>
      </w:r>
      <w:r>
        <w:rPr>
          <w:rFonts w:ascii="Arial" w:hAnsi="Arial"/>
          <w:i/>
          <w:sz w:val="20"/>
        </w:rPr>
        <w:t>195</w:t>
      </w:r>
      <w:r>
        <w:rPr>
          <w:sz w:val="20"/>
        </w:rPr>
        <w:t>;</w:t>
      </w:r>
      <w:r>
        <w:rPr>
          <w:spacing w:val="6"/>
          <w:sz w:val="20"/>
        </w:rPr>
        <w:t> </w:t>
      </w:r>
      <w:r>
        <w:rPr>
          <w:rFonts w:ascii="Arial" w:hAnsi="Arial"/>
          <w:i/>
          <w:sz w:val="20"/>
        </w:rPr>
        <w:t>Musawi</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RE</w:t>
      </w:r>
      <w:r>
        <w:rPr>
          <w:rFonts w:ascii="Arial" w:hAnsi="Arial"/>
          <w:i/>
          <w:spacing w:val="6"/>
          <w:sz w:val="20"/>
        </w:rPr>
        <w:t> </w:t>
      </w:r>
      <w:r>
        <w:rPr>
          <w:rFonts w:ascii="Arial" w:hAnsi="Arial"/>
          <w:i/>
          <w:sz w:val="20"/>
        </w:rPr>
        <w:t>International</w:t>
      </w:r>
      <w:r>
        <w:rPr>
          <w:rFonts w:ascii="Arial" w:hAnsi="Arial"/>
          <w:i/>
          <w:spacing w:val="6"/>
          <w:sz w:val="20"/>
        </w:rPr>
        <w:t> </w:t>
      </w:r>
      <w:r>
        <w:rPr>
          <w:rFonts w:ascii="Arial" w:hAnsi="Arial"/>
          <w:i/>
          <w:sz w:val="20"/>
        </w:rPr>
        <w:t>(UK)</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[2007]</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2981</w:t>
      </w:r>
      <w:r>
        <w:rPr>
          <w:rFonts w:ascii="Arial" w:hAnsi="Arial"/>
          <w:i/>
          <w:spacing w:val="6"/>
          <w:sz w:val="20"/>
        </w:rPr>
        <w:t> </w:t>
      </w:r>
      <w:r>
        <w:rPr>
          <w:rFonts w:ascii="Arial" w:hAnsi="Arial"/>
          <w:i/>
          <w:sz w:val="20"/>
        </w:rPr>
        <w:t>(Ch),</w:t>
      </w:r>
      <w:r>
        <w:rPr>
          <w:rFonts w:ascii="Arial" w:hAnsi="Arial"/>
          <w:i/>
          <w:spacing w:val="6"/>
          <w:sz w:val="20"/>
        </w:rPr>
        <w:t> </w:t>
      </w:r>
      <w:r>
        <w:rPr>
          <w:rFonts w:ascii="Arial" w:hAnsi="Arial"/>
          <w:i/>
          <w:sz w:val="20"/>
        </w:rPr>
        <w:t>[2008]</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pacing w:val="-2"/>
          <w:sz w:val="20"/>
        </w:rPr>
        <w:t>Lloyd’s</w:t>
      </w:r>
    </w:p>
    <w:p>
      <w:pPr>
        <w:spacing w:line="227" w:lineRule="exact" w:before="0"/>
        <w:ind w:left="705" w:right="0" w:firstLine="0"/>
        <w:jc w:val="both"/>
        <w:rPr>
          <w:sz w:val="20"/>
        </w:rPr>
      </w:pPr>
      <w:r>
        <w:rPr>
          <w:rFonts w:ascii="Arial"/>
          <w:i/>
          <w:sz w:val="20"/>
        </w:rPr>
        <w:t>Rep.</w:t>
      </w:r>
      <w:r>
        <w:rPr>
          <w:rFonts w:ascii="Arial"/>
          <w:i/>
          <w:spacing w:val="-2"/>
          <w:sz w:val="20"/>
        </w:rPr>
        <w:t> </w:t>
      </w:r>
      <w:r>
        <w:rPr>
          <w:rFonts w:ascii="Arial"/>
          <w:i/>
          <w:spacing w:val="-4"/>
          <w:sz w:val="20"/>
        </w:rPr>
        <w:t>326</w:t>
      </w:r>
      <w:r>
        <w:rPr>
          <w:spacing w:val="-4"/>
          <w:sz w:val="20"/>
        </w:rPr>
        <w:t>.</w:t>
      </w:r>
    </w:p>
    <w:p>
      <w:pPr>
        <w:pStyle w:val="BodyText"/>
        <w:spacing w:before="9"/>
      </w:pPr>
    </w:p>
    <w:p>
      <w:pPr>
        <w:spacing w:line="235" w:lineRule="auto" w:before="0"/>
        <w:ind w:left="705" w:right="169" w:hanging="541"/>
        <w:jc w:val="both"/>
        <w:rPr>
          <w:sz w:val="20"/>
        </w:rPr>
      </w:pPr>
      <w:bookmarkStart w:name="_bookmark520" w:id="522"/>
      <w:bookmarkEnd w:id="522"/>
      <w:r>
        <w:rPr/>
      </w:r>
      <w:hyperlink w:history="true" w:anchor="_bookmark414">
        <w:r>
          <w:rPr>
            <w:color w:val="005DA1"/>
            <w:position w:val="5"/>
            <w:sz w:val="14"/>
            <w:u w:val="single" w:color="005DA1"/>
          </w:rPr>
          <w:t>224</w:t>
        </w:r>
      </w:hyperlink>
      <w:r>
        <w:rPr>
          <w:position w:val="5"/>
          <w:sz w:val="14"/>
        </w:rPr>
        <w:t>.</w:t>
      </w:r>
      <w:r>
        <w:rPr>
          <w:spacing w:val="80"/>
          <w:position w:val="5"/>
          <w:sz w:val="14"/>
        </w:rPr>
        <w:t> </w:t>
      </w:r>
      <w:r>
        <w:rPr>
          <w:rFonts w:ascii="Arial"/>
          <w:i/>
          <w:sz w:val="20"/>
        </w:rPr>
        <w:t>Shamil Bank of Bahrain v Beximco Pharmaceuticals Ltd [2004] EWCA Civ 19</w:t>
      </w:r>
      <w:r>
        <w:rPr>
          <w:sz w:val="20"/>
        </w:rPr>
        <w:t>; </w:t>
      </w:r>
      <w:r>
        <w:rPr>
          <w:rFonts w:ascii="Arial"/>
          <w:i/>
          <w:sz w:val="20"/>
        </w:rPr>
        <w:t>Musawi v RE International (UK) Ltd [2007] EWHC 2881 (Ch)</w:t>
      </w:r>
      <w:r>
        <w:rPr>
          <w:sz w:val="20"/>
        </w:rPr>
        <w:t>. See also </w:t>
      </w:r>
      <w:r>
        <w:rPr>
          <w:rFonts w:ascii="Arial"/>
          <w:i/>
          <w:sz w:val="20"/>
        </w:rPr>
        <w:t>Halpern v Halpern (Nos 1 and 2) [2007] EWCA Civ 241 (Jewish law)</w:t>
      </w:r>
      <w:r>
        <w:rPr>
          <w:sz w:val="20"/>
        </w:rPr>
        <w:t>. cf. </w:t>
      </w:r>
      <w:r>
        <w:rPr>
          <w:rFonts w:ascii="Arial"/>
          <w:i/>
          <w:sz w:val="20"/>
        </w:rPr>
        <w:t>Investment Dar Co KSCC v Blom Developments Bank Sal [2009] EWHC 3545 (Ch)</w:t>
      </w:r>
      <w:r>
        <w:rPr>
          <w:sz w:val="20"/>
        </w:rPr>
        <w:t>. </w:t>
      </w:r>
      <w:r>
        <w:rPr>
          <w:rFonts w:ascii="Arial"/>
          <w:i/>
          <w:sz w:val="20"/>
        </w:rPr>
        <w:t>Dubai Islamic Bank PJSC v Energy Holdings BSC [2013] EWHC 3186 (Comm)</w:t>
      </w:r>
      <w:r>
        <w:rPr>
          <w:sz w:val="20"/>
        </w:rPr>
        <w:t>.</w:t>
      </w:r>
    </w:p>
    <w:p>
      <w:pPr>
        <w:pStyle w:val="BodyText"/>
        <w:spacing w:before="4"/>
      </w:pPr>
    </w:p>
    <w:p>
      <w:pPr>
        <w:pStyle w:val="BodyText"/>
        <w:tabs>
          <w:tab w:pos="705" w:val="left" w:leader="none"/>
        </w:tabs>
        <w:ind w:left="165"/>
      </w:pPr>
      <w:bookmarkStart w:name="_bookmark521" w:id="523"/>
      <w:bookmarkEnd w:id="523"/>
      <w:r>
        <w:rPr/>
      </w:r>
      <w:hyperlink w:history="true" w:anchor="_bookmark415">
        <w:r>
          <w:rPr>
            <w:color w:val="005DA1"/>
            <w:spacing w:val="-4"/>
            <w:position w:val="5"/>
            <w:sz w:val="14"/>
            <w:u w:val="single" w:color="005DA1"/>
          </w:rPr>
          <w:t>225</w:t>
        </w:r>
      </w:hyperlink>
      <w:r>
        <w:rPr>
          <w:spacing w:val="-4"/>
          <w:position w:val="5"/>
          <w:sz w:val="14"/>
        </w:rPr>
        <w:t>.</w:t>
      </w:r>
      <w:r>
        <w:rPr>
          <w:position w:val="5"/>
          <w:sz w:val="14"/>
        </w:rPr>
        <w:tab/>
      </w:r>
      <w:r>
        <w:rPr/>
        <w:t>Dicey, Morris and Collins, para.32–081; Cheshire, North and Fawcett, </w:t>
      </w:r>
      <w:r>
        <w:rPr>
          <w:spacing w:val="-2"/>
        </w:rPr>
        <w:t>pp.698–700.</w:t>
      </w:r>
    </w:p>
    <w:p>
      <w:pPr>
        <w:pStyle w:val="BodyText"/>
        <w:spacing w:before="5"/>
      </w:pPr>
    </w:p>
    <w:p>
      <w:pPr>
        <w:pStyle w:val="BodyText"/>
        <w:tabs>
          <w:tab w:pos="705" w:val="left" w:leader="none"/>
        </w:tabs>
        <w:ind w:left="165"/>
      </w:pPr>
      <w:bookmarkStart w:name="_bookmark522" w:id="524"/>
      <w:bookmarkEnd w:id="524"/>
      <w:r>
        <w:rPr/>
      </w:r>
      <w:hyperlink w:history="true" w:anchor="_bookmark416">
        <w:r>
          <w:rPr>
            <w:color w:val="005DA1"/>
            <w:spacing w:val="-4"/>
            <w:position w:val="5"/>
            <w:sz w:val="14"/>
            <w:u w:val="single" w:color="005DA1"/>
          </w:rPr>
          <w:t>226</w:t>
        </w:r>
      </w:hyperlink>
      <w:r>
        <w:rPr>
          <w:spacing w:val="-4"/>
          <w:position w:val="5"/>
          <w:sz w:val="14"/>
        </w:rPr>
        <w:t>.</w:t>
      </w:r>
      <w:r>
        <w:rPr>
          <w:position w:val="5"/>
          <w:sz w:val="14"/>
        </w:rPr>
        <w:tab/>
      </w:r>
      <w:r>
        <w:rPr/>
        <w:t>Below,</w:t>
      </w:r>
      <w:r>
        <w:rPr>
          <w:spacing w:val="-2"/>
        </w:rPr>
        <w:t> </w:t>
      </w:r>
      <w:r>
        <w:rPr/>
        <w:t>paras 30-070 et </w:t>
      </w:r>
      <w:r>
        <w:rPr>
          <w:spacing w:val="-4"/>
        </w:rPr>
        <w:t>seq.</w:t>
      </w:r>
    </w:p>
    <w:p>
      <w:pPr>
        <w:pStyle w:val="BodyText"/>
        <w:spacing w:before="5"/>
      </w:pPr>
    </w:p>
    <w:p>
      <w:pPr>
        <w:pStyle w:val="BodyText"/>
        <w:tabs>
          <w:tab w:pos="705" w:val="left" w:leader="none"/>
        </w:tabs>
        <w:ind w:left="165"/>
      </w:pPr>
      <w:bookmarkStart w:name="_bookmark523" w:id="525"/>
      <w:bookmarkEnd w:id="525"/>
      <w:r>
        <w:rPr/>
      </w:r>
      <w:hyperlink w:history="true" w:anchor="_bookmark417">
        <w:r>
          <w:rPr>
            <w:color w:val="005DA1"/>
            <w:spacing w:val="-4"/>
            <w:position w:val="5"/>
            <w:sz w:val="14"/>
            <w:u w:val="single" w:color="005DA1"/>
          </w:rPr>
          <w:t>227</w:t>
        </w:r>
      </w:hyperlink>
      <w:r>
        <w:rPr>
          <w:spacing w:val="-4"/>
          <w:position w:val="5"/>
          <w:sz w:val="14"/>
        </w:rPr>
        <w:t>.</w:t>
      </w:r>
      <w:r>
        <w:rPr>
          <w:position w:val="5"/>
          <w:sz w:val="14"/>
        </w:rPr>
        <w:tab/>
      </w:r>
      <w:r>
        <w:rPr/>
        <w:t>See</w:t>
      </w:r>
      <w:r>
        <w:rPr>
          <w:spacing w:val="-2"/>
        </w:rPr>
        <w:t> </w:t>
      </w:r>
      <w:r>
        <w:rPr/>
        <w:t>below, para.30-</w:t>
      </w:r>
      <w:r>
        <w:rPr>
          <w:spacing w:val="-4"/>
        </w:rPr>
        <w:t>048.</w:t>
      </w:r>
    </w:p>
    <w:p>
      <w:pPr>
        <w:pStyle w:val="BodyText"/>
        <w:spacing w:before="9"/>
      </w:pPr>
    </w:p>
    <w:p>
      <w:pPr>
        <w:tabs>
          <w:tab w:pos="705" w:val="left" w:leader="none"/>
        </w:tabs>
        <w:spacing w:line="235" w:lineRule="auto" w:before="0"/>
        <w:ind w:left="705" w:right="168" w:hanging="541"/>
        <w:jc w:val="left"/>
        <w:rPr>
          <w:sz w:val="20"/>
        </w:rPr>
      </w:pPr>
      <w:bookmarkStart w:name="_bookmark524" w:id="526"/>
      <w:bookmarkEnd w:id="526"/>
      <w:r>
        <w:rPr/>
      </w:r>
      <w:hyperlink w:history="true" w:anchor="_bookmark418">
        <w:r>
          <w:rPr>
            <w:color w:val="005DA1"/>
            <w:spacing w:val="-4"/>
            <w:position w:val="5"/>
            <w:sz w:val="14"/>
            <w:u w:val="single" w:color="005DA1"/>
          </w:rPr>
          <w:t>228</w:t>
        </w:r>
      </w:hyperlink>
      <w:r>
        <w:rPr>
          <w:spacing w:val="-4"/>
          <w:position w:val="5"/>
          <w:sz w:val="14"/>
        </w:rPr>
        <w:t>.</w:t>
      </w:r>
      <w:r>
        <w:rPr>
          <w:position w:val="5"/>
          <w:sz w:val="14"/>
        </w:rPr>
        <w:tab/>
      </w:r>
      <w:r>
        <w:rPr>
          <w:sz w:val="20"/>
        </w:rPr>
        <w:t>Dicey, Morris and Collins, Ch.9; Fentiman, </w:t>
      </w:r>
      <w:r>
        <w:rPr>
          <w:rFonts w:ascii="Arial"/>
          <w:i/>
          <w:sz w:val="20"/>
        </w:rPr>
        <w:t>International Commercial Litigation </w:t>
      </w:r>
      <w:r>
        <w:rPr>
          <w:sz w:val="20"/>
        </w:rPr>
        <w:t>2nd edn </w:t>
      </w:r>
      <w:r>
        <w:rPr>
          <w:sz w:val="20"/>
        </w:rPr>
        <w:t>(2015), Ch.20;</w:t>
      </w:r>
      <w:r>
        <w:rPr>
          <w:spacing w:val="60"/>
          <w:sz w:val="20"/>
        </w:rPr>
        <w:t> </w:t>
      </w:r>
      <w:r>
        <w:rPr>
          <w:sz w:val="20"/>
        </w:rPr>
        <w:t>Fentiman,</w:t>
      </w:r>
      <w:r>
        <w:rPr>
          <w:spacing w:val="60"/>
          <w:sz w:val="20"/>
        </w:rPr>
        <w:t> </w:t>
      </w:r>
      <w:r>
        <w:rPr>
          <w:rFonts w:ascii="Arial"/>
          <w:i/>
          <w:sz w:val="20"/>
        </w:rPr>
        <w:t>Foreign</w:t>
      </w:r>
      <w:r>
        <w:rPr>
          <w:rFonts w:ascii="Arial"/>
          <w:i/>
          <w:spacing w:val="60"/>
          <w:sz w:val="20"/>
        </w:rPr>
        <w:t> </w:t>
      </w:r>
      <w:r>
        <w:rPr>
          <w:rFonts w:ascii="Arial"/>
          <w:i/>
          <w:sz w:val="20"/>
        </w:rPr>
        <w:t>Law</w:t>
      </w:r>
      <w:r>
        <w:rPr>
          <w:rFonts w:ascii="Arial"/>
          <w:i/>
          <w:spacing w:val="60"/>
          <w:sz w:val="20"/>
        </w:rPr>
        <w:t> </w:t>
      </w:r>
      <w:r>
        <w:rPr>
          <w:rFonts w:ascii="Arial"/>
          <w:i/>
          <w:sz w:val="20"/>
        </w:rPr>
        <w:t>in</w:t>
      </w:r>
      <w:r>
        <w:rPr>
          <w:rFonts w:ascii="Arial"/>
          <w:i/>
          <w:spacing w:val="60"/>
          <w:sz w:val="20"/>
        </w:rPr>
        <w:t> </w:t>
      </w:r>
      <w:r>
        <w:rPr>
          <w:rFonts w:ascii="Arial"/>
          <w:i/>
          <w:sz w:val="20"/>
        </w:rPr>
        <w:t>English</w:t>
      </w:r>
      <w:r>
        <w:rPr>
          <w:rFonts w:ascii="Arial"/>
          <w:i/>
          <w:spacing w:val="60"/>
          <w:sz w:val="20"/>
        </w:rPr>
        <w:t> </w:t>
      </w:r>
      <w:r>
        <w:rPr>
          <w:rFonts w:ascii="Arial"/>
          <w:i/>
          <w:sz w:val="20"/>
        </w:rPr>
        <w:t>Courts</w:t>
      </w:r>
      <w:r>
        <w:rPr>
          <w:rFonts w:ascii="Arial"/>
          <w:i/>
          <w:spacing w:val="60"/>
          <w:sz w:val="20"/>
        </w:rPr>
        <w:t> </w:t>
      </w:r>
      <w:r>
        <w:rPr>
          <w:sz w:val="20"/>
        </w:rPr>
        <w:t>(1998);</w:t>
      </w:r>
      <w:r>
        <w:rPr>
          <w:spacing w:val="60"/>
          <w:sz w:val="20"/>
        </w:rPr>
        <w:t> </w:t>
      </w:r>
      <w:r>
        <w:rPr>
          <w:sz w:val="20"/>
        </w:rPr>
        <w:t>Hartley</w:t>
      </w:r>
      <w:r>
        <w:rPr>
          <w:spacing w:val="60"/>
          <w:sz w:val="20"/>
        </w:rPr>
        <w:t> </w:t>
      </w:r>
      <w:r>
        <w:rPr>
          <w:sz w:val="20"/>
        </w:rPr>
        <w:t>(1996)</w:t>
      </w:r>
      <w:r>
        <w:rPr>
          <w:spacing w:val="60"/>
          <w:sz w:val="20"/>
        </w:rPr>
        <w:t> </w:t>
      </w:r>
      <w:r>
        <w:rPr>
          <w:sz w:val="20"/>
        </w:rPr>
        <w:t>45</w:t>
      </w:r>
      <w:r>
        <w:rPr>
          <w:spacing w:val="60"/>
          <w:sz w:val="20"/>
        </w:rPr>
        <w:t> </w:t>
      </w:r>
      <w:r>
        <w:rPr>
          <w:sz w:val="20"/>
        </w:rPr>
        <w:t>I.C.L.Q.</w:t>
      </w:r>
      <w:r>
        <w:rPr>
          <w:spacing w:val="60"/>
          <w:sz w:val="20"/>
        </w:rPr>
        <w:t> </w:t>
      </w:r>
      <w:r>
        <w:rPr>
          <w:spacing w:val="-4"/>
          <w:sz w:val="20"/>
        </w:rPr>
        <w:t>271;</w:t>
      </w:r>
    </w:p>
    <w:p>
      <w:pPr>
        <w:pStyle w:val="BodyText"/>
        <w:spacing w:line="225" w:lineRule="exact"/>
        <w:ind w:left="705"/>
      </w:pPr>
      <w:r>
        <w:rPr/>
        <w:t>Fentiman (1992) 108 L.Q.R. </w:t>
      </w:r>
      <w:r>
        <w:rPr>
          <w:spacing w:val="-4"/>
        </w:rPr>
        <w:t>142.</w:t>
      </w:r>
    </w:p>
    <w:p>
      <w:pPr>
        <w:pStyle w:val="BodyText"/>
        <w:spacing w:before="5"/>
      </w:pPr>
    </w:p>
    <w:p>
      <w:pPr>
        <w:pStyle w:val="BodyText"/>
        <w:tabs>
          <w:tab w:pos="705" w:val="left" w:leader="none"/>
        </w:tabs>
        <w:ind w:left="165"/>
      </w:pPr>
      <w:bookmarkStart w:name="_bookmark525" w:id="527"/>
      <w:bookmarkEnd w:id="527"/>
      <w:r>
        <w:rPr/>
      </w:r>
      <w:hyperlink w:history="true" w:anchor="_bookmark419">
        <w:r>
          <w:rPr>
            <w:color w:val="005DA1"/>
            <w:spacing w:val="-4"/>
            <w:position w:val="5"/>
            <w:sz w:val="14"/>
            <w:u w:val="single" w:color="005DA1"/>
          </w:rPr>
          <w:t>229</w:t>
        </w:r>
      </w:hyperlink>
      <w:r>
        <w:rPr>
          <w:spacing w:val="-4"/>
          <w:position w:val="5"/>
          <w:sz w:val="14"/>
        </w:rPr>
        <w:t>.</w:t>
      </w:r>
      <w:r>
        <w:rPr>
          <w:position w:val="5"/>
          <w:sz w:val="14"/>
        </w:rPr>
        <w:tab/>
      </w:r>
      <w:r>
        <w:rPr/>
        <w:t>Fentiman (1992) 108 L.Q.R. </w:t>
      </w:r>
      <w:r>
        <w:rPr>
          <w:spacing w:val="-4"/>
        </w:rPr>
        <w:t>142.</w:t>
      </w:r>
    </w:p>
    <w:p>
      <w:pPr>
        <w:pStyle w:val="BodyText"/>
        <w:spacing w:before="5"/>
      </w:pPr>
    </w:p>
    <w:p>
      <w:pPr>
        <w:pStyle w:val="BodyText"/>
        <w:tabs>
          <w:tab w:pos="705" w:val="left" w:leader="none"/>
        </w:tabs>
        <w:ind w:left="165"/>
      </w:pPr>
      <w:bookmarkStart w:name="_bookmark526" w:id="528"/>
      <w:bookmarkEnd w:id="528"/>
      <w:r>
        <w:rPr/>
      </w:r>
      <w:hyperlink w:history="true" w:anchor="_bookmark419">
        <w:r>
          <w:rPr>
            <w:color w:val="005DA1"/>
            <w:spacing w:val="-4"/>
            <w:position w:val="5"/>
            <w:sz w:val="14"/>
            <w:u w:val="single" w:color="005DA1"/>
          </w:rPr>
          <w:t>230</w:t>
        </w:r>
      </w:hyperlink>
      <w:r>
        <w:rPr>
          <w:spacing w:val="-4"/>
          <w:position w:val="5"/>
          <w:sz w:val="14"/>
        </w:rPr>
        <w:t>.</w:t>
      </w:r>
      <w:r>
        <w:rPr>
          <w:position w:val="5"/>
          <w:sz w:val="14"/>
        </w:rPr>
        <w:tab/>
      </w:r>
      <w:r>
        <w:rPr/>
        <w:t>Giuliano-Lagarde Report, </w:t>
      </w:r>
      <w:r>
        <w:rPr>
          <w:spacing w:val="-2"/>
        </w:rPr>
        <w:t>p.18.</w:t>
      </w:r>
    </w:p>
    <w:p>
      <w:pPr>
        <w:pStyle w:val="BodyText"/>
        <w:spacing w:before="5"/>
      </w:pPr>
    </w:p>
    <w:p>
      <w:pPr>
        <w:tabs>
          <w:tab w:pos="705" w:val="left" w:leader="none"/>
        </w:tabs>
        <w:spacing w:before="0"/>
        <w:ind w:left="165" w:right="0" w:firstLine="0"/>
        <w:jc w:val="left"/>
        <w:rPr>
          <w:sz w:val="20"/>
        </w:rPr>
      </w:pPr>
      <w:bookmarkStart w:name="_bookmark527" w:id="529"/>
      <w:bookmarkEnd w:id="529"/>
      <w:r>
        <w:rPr/>
      </w:r>
      <w:hyperlink w:history="true" w:anchor="_bookmark419">
        <w:r>
          <w:rPr>
            <w:color w:val="005DA1"/>
            <w:spacing w:val="-4"/>
            <w:position w:val="5"/>
            <w:sz w:val="14"/>
            <w:u w:val="single" w:color="005DA1"/>
          </w:rPr>
          <w:t>231</w:t>
        </w:r>
      </w:hyperlink>
      <w:r>
        <w:rPr>
          <w:spacing w:val="-4"/>
          <w:position w:val="5"/>
          <w:sz w:val="14"/>
        </w:rPr>
        <w:t>.</w:t>
      </w:r>
      <w:r>
        <w:rPr>
          <w:position w:val="5"/>
          <w:sz w:val="14"/>
        </w:rPr>
        <w:tab/>
      </w:r>
      <w:r>
        <w:rPr>
          <w:sz w:val="20"/>
        </w:rPr>
        <w:t>Above, para.30-</w:t>
      </w:r>
      <w:r>
        <w:rPr>
          <w:spacing w:val="-4"/>
          <w:sz w:val="20"/>
        </w:rPr>
        <w:t>043.</w:t>
      </w:r>
    </w:p>
    <w:p>
      <w:pPr>
        <w:pStyle w:val="BodyText"/>
        <w:spacing w:before="5"/>
      </w:pPr>
    </w:p>
    <w:p>
      <w:pPr>
        <w:pStyle w:val="BodyText"/>
        <w:tabs>
          <w:tab w:pos="705" w:val="left" w:leader="none"/>
        </w:tabs>
        <w:ind w:left="165"/>
      </w:pPr>
      <w:bookmarkStart w:name="_bookmark528" w:id="530"/>
      <w:bookmarkEnd w:id="530"/>
      <w:r>
        <w:rPr/>
      </w:r>
      <w:hyperlink w:history="true" w:anchor="_bookmark420">
        <w:r>
          <w:rPr>
            <w:color w:val="005DA1"/>
            <w:spacing w:val="-4"/>
            <w:position w:val="5"/>
            <w:sz w:val="14"/>
            <w:u w:val="single" w:color="005DA1"/>
          </w:rPr>
          <w:t>232</w:t>
        </w:r>
      </w:hyperlink>
      <w:r>
        <w:rPr>
          <w:spacing w:val="-4"/>
          <w:position w:val="5"/>
          <w:sz w:val="14"/>
        </w:rPr>
        <w:t>.</w:t>
      </w:r>
      <w:r>
        <w:rPr>
          <w:position w:val="5"/>
          <w:sz w:val="14"/>
        </w:rPr>
        <w:tab/>
      </w:r>
      <w:r>
        <w:rPr/>
        <w:t>Dicey, Morris and Collins, paras 9–011, 32–060, 32–065; Cheshire, North and Fawcett, </w:t>
      </w:r>
      <w:r>
        <w:rPr>
          <w:spacing w:val="-2"/>
        </w:rPr>
        <w:t>p.694.</w:t>
      </w:r>
    </w:p>
    <w:p>
      <w:pPr>
        <w:pStyle w:val="BodyText"/>
        <w:spacing w:before="9"/>
      </w:pPr>
    </w:p>
    <w:p>
      <w:pPr>
        <w:tabs>
          <w:tab w:pos="705" w:val="left" w:leader="none"/>
        </w:tabs>
        <w:spacing w:line="235" w:lineRule="auto" w:before="0"/>
        <w:ind w:left="705" w:right="168" w:hanging="541"/>
        <w:jc w:val="left"/>
        <w:rPr>
          <w:sz w:val="20"/>
        </w:rPr>
      </w:pPr>
      <w:bookmarkStart w:name="_bookmark529" w:id="531"/>
      <w:bookmarkEnd w:id="531"/>
      <w:r>
        <w:rPr/>
      </w:r>
      <w:hyperlink w:history="true" w:anchor="_bookmark421">
        <w:r>
          <w:rPr>
            <w:color w:val="005DA1"/>
            <w:spacing w:val="-4"/>
            <w:position w:val="5"/>
            <w:sz w:val="14"/>
            <w:u w:val="single" w:color="005DA1"/>
          </w:rPr>
          <w:t>233</w:t>
        </w:r>
      </w:hyperlink>
      <w:r>
        <w:rPr>
          <w:spacing w:val="-4"/>
          <w:position w:val="5"/>
          <w:sz w:val="14"/>
        </w:rPr>
        <w:t>.</w:t>
      </w:r>
      <w:r>
        <w:rPr>
          <w:position w:val="5"/>
          <w:sz w:val="14"/>
        </w:rPr>
        <w:tab/>
      </w:r>
      <w:r>
        <w:rPr>
          <w:sz w:val="20"/>
        </w:rPr>
        <w:t>See Fentiman, </w:t>
      </w:r>
      <w:r>
        <w:rPr>
          <w:rFonts w:ascii="Arial" w:hAnsi="Arial"/>
          <w:i/>
          <w:sz w:val="20"/>
        </w:rPr>
        <w:t>Foreign Law in English Courts </w:t>
      </w:r>
      <w:r>
        <w:rPr>
          <w:sz w:val="20"/>
        </w:rPr>
        <w:t>(1998), pp.87–96; Fentiman (1992) 108 </w:t>
      </w:r>
      <w:r>
        <w:rPr>
          <w:sz w:val="20"/>
        </w:rPr>
        <w:t>L.Q.R.</w:t>
      </w:r>
      <w:r>
        <w:rPr>
          <w:spacing w:val="40"/>
          <w:sz w:val="20"/>
        </w:rPr>
        <w:t> </w:t>
      </w:r>
      <w:r>
        <w:rPr>
          <w:spacing w:val="-4"/>
          <w:sz w:val="20"/>
        </w:rPr>
        <w:t>142.</w:t>
      </w:r>
    </w:p>
    <w:p>
      <w:pPr>
        <w:pStyle w:val="BodyText"/>
        <w:spacing w:before="5"/>
      </w:pPr>
    </w:p>
    <w:p>
      <w:pPr>
        <w:tabs>
          <w:tab w:pos="705" w:val="left" w:leader="none"/>
        </w:tabs>
        <w:spacing w:before="1"/>
        <w:ind w:left="165" w:right="0" w:firstLine="0"/>
        <w:jc w:val="left"/>
        <w:rPr>
          <w:sz w:val="20"/>
        </w:rPr>
      </w:pPr>
      <w:bookmarkStart w:name="_bookmark530" w:id="532"/>
      <w:bookmarkEnd w:id="532"/>
      <w:r>
        <w:rPr/>
      </w:r>
      <w:hyperlink w:history="true" w:anchor="_bookmark422">
        <w:r>
          <w:rPr>
            <w:color w:val="005DA1"/>
            <w:spacing w:val="-4"/>
            <w:position w:val="5"/>
            <w:sz w:val="14"/>
            <w:u w:val="single" w:color="005DA1"/>
          </w:rPr>
          <w:t>234</w:t>
        </w:r>
      </w:hyperlink>
      <w:r>
        <w:rPr>
          <w:spacing w:val="-4"/>
          <w:position w:val="5"/>
          <w:sz w:val="14"/>
        </w:rPr>
        <w:t>.</w:t>
      </w:r>
      <w:r>
        <w:rPr>
          <w:position w:val="5"/>
          <w:sz w:val="14"/>
        </w:rPr>
        <w:tab/>
      </w:r>
      <w:r>
        <w:rPr>
          <w:sz w:val="20"/>
        </w:rPr>
        <w:t>See, e.g. </w:t>
      </w:r>
      <w:r>
        <w:rPr>
          <w:rFonts w:ascii="Arial"/>
          <w:i/>
          <w:sz w:val="20"/>
        </w:rPr>
        <w:t>Vita Food Products Inc v Unus Shipping Co Ltd [1939] A.C. </w:t>
      </w:r>
      <w:r>
        <w:rPr>
          <w:rFonts w:ascii="Arial"/>
          <w:i/>
          <w:spacing w:val="-4"/>
          <w:sz w:val="20"/>
        </w:rPr>
        <w:t>277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31" w:id="533"/>
      <w:bookmarkEnd w:id="533"/>
      <w:r>
        <w:rPr/>
      </w:r>
      <w:hyperlink w:history="true" w:anchor="_bookmark422">
        <w:r>
          <w:rPr>
            <w:color w:val="005DA1"/>
            <w:spacing w:val="-4"/>
            <w:position w:val="5"/>
            <w:sz w:val="14"/>
            <w:u w:val="single" w:color="005DA1"/>
          </w:rPr>
          <w:t>235</w:t>
        </w:r>
      </w:hyperlink>
      <w:r>
        <w:rPr>
          <w:spacing w:val="-4"/>
          <w:position w:val="5"/>
          <w:sz w:val="14"/>
        </w:rPr>
        <w:t>.</w:t>
      </w:r>
      <w:r>
        <w:rPr>
          <w:position w:val="5"/>
          <w:sz w:val="14"/>
        </w:rPr>
        <w:tab/>
      </w:r>
      <w:r>
        <w:rPr>
          <w:sz w:val="20"/>
        </w:rPr>
        <w:t>See, e.g. </w:t>
      </w:r>
      <w:r>
        <w:rPr>
          <w:rFonts w:ascii="Arial"/>
          <w:i/>
          <w:sz w:val="20"/>
        </w:rPr>
        <w:t>The Torni [1932] </w:t>
      </w:r>
      <w:r>
        <w:rPr>
          <w:rFonts w:ascii="Arial"/>
          <w:i/>
          <w:spacing w:val="-2"/>
          <w:sz w:val="20"/>
        </w:rPr>
        <w:t>P.78</w:t>
      </w:r>
      <w:r>
        <w:rPr>
          <w:spacing w:val="-2"/>
          <w:sz w:val="20"/>
        </w:rPr>
        <w:t>.</w:t>
      </w:r>
    </w:p>
    <w:p>
      <w:pPr>
        <w:pStyle w:val="BodyText"/>
        <w:spacing w:before="5"/>
      </w:pPr>
    </w:p>
    <w:p>
      <w:pPr>
        <w:pStyle w:val="BodyText"/>
        <w:tabs>
          <w:tab w:pos="705" w:val="left" w:leader="none"/>
        </w:tabs>
        <w:ind w:left="165"/>
      </w:pPr>
      <w:bookmarkStart w:name="_bookmark532" w:id="534"/>
      <w:bookmarkEnd w:id="534"/>
      <w:r>
        <w:rPr/>
      </w:r>
      <w:hyperlink w:history="true" w:anchor="_bookmark422">
        <w:r>
          <w:rPr>
            <w:color w:val="005DA1"/>
            <w:spacing w:val="-4"/>
            <w:position w:val="5"/>
            <w:sz w:val="14"/>
            <w:u w:val="single" w:color="005DA1"/>
          </w:rPr>
          <w:t>236</w:t>
        </w:r>
      </w:hyperlink>
      <w:r>
        <w:rPr>
          <w:spacing w:val="-4"/>
          <w:position w:val="5"/>
          <w:sz w:val="14"/>
        </w:rPr>
        <w:t>.</w:t>
      </w:r>
      <w:r>
        <w:rPr>
          <w:position w:val="5"/>
          <w:sz w:val="14"/>
        </w:rPr>
        <w:tab/>
      </w:r>
      <w:r>
        <w:rPr/>
        <w:t>Dicey, Morris and Collins, </w:t>
      </w:r>
      <w:r>
        <w:rPr>
          <w:spacing w:val="-2"/>
        </w:rPr>
        <w:t>para.32–078.</w:t>
      </w:r>
    </w:p>
    <w:p>
      <w:pPr>
        <w:pStyle w:val="BodyText"/>
        <w:spacing w:before="5"/>
      </w:pPr>
    </w:p>
    <w:p>
      <w:pPr>
        <w:pStyle w:val="BodyText"/>
        <w:tabs>
          <w:tab w:pos="705" w:val="left" w:leader="none"/>
        </w:tabs>
        <w:ind w:left="165"/>
      </w:pPr>
      <w:bookmarkStart w:name="_bookmark533" w:id="535"/>
      <w:bookmarkEnd w:id="535"/>
      <w:r>
        <w:rPr/>
      </w:r>
      <w:hyperlink w:history="true" w:anchor="_bookmark423">
        <w:r>
          <w:rPr>
            <w:color w:val="005DA1"/>
            <w:spacing w:val="-4"/>
            <w:position w:val="5"/>
            <w:sz w:val="14"/>
            <w:u w:val="single" w:color="005DA1"/>
          </w:rPr>
          <w:t>237</w:t>
        </w:r>
      </w:hyperlink>
      <w:r>
        <w:rPr>
          <w:spacing w:val="-4"/>
          <w:position w:val="5"/>
          <w:sz w:val="14"/>
        </w:rPr>
        <w:t>.</w:t>
      </w:r>
      <w:r>
        <w:rPr>
          <w:position w:val="5"/>
          <w:sz w:val="14"/>
        </w:rPr>
        <w:tab/>
      </w:r>
      <w:r>
        <w:rPr/>
        <w:t>cf.</w:t>
      </w:r>
      <w:r>
        <w:rPr>
          <w:spacing w:val="-2"/>
        </w:rPr>
        <w:t> </w:t>
      </w:r>
      <w:r>
        <w:rPr/>
        <w:t>above, para.30-</w:t>
      </w:r>
      <w:r>
        <w:rPr>
          <w:spacing w:val="-4"/>
        </w:rPr>
        <w:t>006.</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534" w:id="536"/>
      <w:bookmarkEnd w:id="536"/>
      <w:r>
        <w:rPr/>
      </w:r>
      <w:hyperlink w:history="true" w:anchor="_bookmark424">
        <w:r>
          <w:rPr>
            <w:color w:val="005DA1"/>
            <w:spacing w:val="-4"/>
            <w:position w:val="5"/>
            <w:sz w:val="14"/>
            <w:u w:val="single" w:color="005DA1"/>
          </w:rPr>
          <w:t>238</w:t>
        </w:r>
      </w:hyperlink>
      <w:r>
        <w:rPr>
          <w:spacing w:val="-4"/>
          <w:position w:val="5"/>
          <w:sz w:val="14"/>
        </w:rPr>
        <w:t>.</w:t>
      </w:r>
      <w:r>
        <w:rPr>
          <w:position w:val="5"/>
          <w:sz w:val="14"/>
        </w:rPr>
        <w:tab/>
      </w:r>
      <w:r>
        <w:rPr>
          <w:rFonts w:ascii="Arial"/>
          <w:i/>
          <w:sz w:val="20"/>
        </w:rPr>
        <w:t>Oakley v Ultra Vehicle Design Ltd [2005] EWHC 872 (Ch), [2005] I.L.Pr. 747</w:t>
      </w:r>
      <w:r>
        <w:rPr>
          <w:sz w:val="20"/>
        </w:rPr>
        <w:t>. General words of incorporation</w:t>
      </w:r>
      <w:r>
        <w:rPr>
          <w:spacing w:val="6"/>
          <w:sz w:val="20"/>
        </w:rPr>
        <w:t> </w:t>
      </w:r>
      <w:r>
        <w:rPr>
          <w:sz w:val="20"/>
        </w:rPr>
        <w:t>may</w:t>
      </w:r>
      <w:r>
        <w:rPr>
          <w:spacing w:val="6"/>
          <w:sz w:val="20"/>
        </w:rPr>
        <w:t> </w:t>
      </w:r>
      <w:r>
        <w:rPr>
          <w:sz w:val="20"/>
        </w:rPr>
        <w:t>also</w:t>
      </w:r>
      <w:r>
        <w:rPr>
          <w:spacing w:val="6"/>
          <w:sz w:val="20"/>
        </w:rPr>
        <w:t> </w:t>
      </w:r>
      <w:r>
        <w:rPr>
          <w:sz w:val="20"/>
        </w:rPr>
        <w:t>be</w:t>
      </w:r>
      <w:r>
        <w:rPr>
          <w:spacing w:val="6"/>
          <w:sz w:val="20"/>
        </w:rPr>
        <w:t> </w:t>
      </w:r>
      <w:r>
        <w:rPr>
          <w:sz w:val="20"/>
        </w:rPr>
        <w:t>sufficient</w:t>
      </w:r>
      <w:r>
        <w:rPr>
          <w:spacing w:val="6"/>
          <w:sz w:val="20"/>
        </w:rPr>
        <w:t> </w:t>
      </w:r>
      <w:r>
        <w:rPr>
          <w:sz w:val="20"/>
        </w:rPr>
        <w:t>to</w:t>
      </w:r>
      <w:r>
        <w:rPr>
          <w:spacing w:val="6"/>
          <w:sz w:val="20"/>
        </w:rPr>
        <w:t> </w:t>
      </w:r>
      <w:r>
        <w:rPr>
          <w:sz w:val="20"/>
        </w:rPr>
        <w:t>incorporate</w:t>
      </w:r>
      <w:r>
        <w:rPr>
          <w:spacing w:val="6"/>
          <w:sz w:val="20"/>
        </w:rPr>
        <w:t> </w:t>
      </w:r>
      <w:r>
        <w:rPr>
          <w:sz w:val="20"/>
        </w:rPr>
        <w:t>a</w:t>
      </w:r>
      <w:r>
        <w:rPr>
          <w:spacing w:val="6"/>
          <w:sz w:val="20"/>
        </w:rPr>
        <w:t> </w:t>
      </w:r>
      <w:r>
        <w:rPr>
          <w:sz w:val="20"/>
        </w:rPr>
        <w:t>proper</w:t>
      </w:r>
      <w:r>
        <w:rPr>
          <w:spacing w:val="6"/>
          <w:sz w:val="20"/>
        </w:rPr>
        <w:t> </w:t>
      </w:r>
      <w:r>
        <w:rPr>
          <w:sz w:val="20"/>
        </w:rPr>
        <w:t>law</w:t>
      </w:r>
      <w:r>
        <w:rPr>
          <w:spacing w:val="6"/>
          <w:sz w:val="20"/>
        </w:rPr>
        <w:t> </w:t>
      </w:r>
      <w:r>
        <w:rPr>
          <w:sz w:val="20"/>
        </w:rPr>
        <w:t>clause:</w:t>
      </w:r>
      <w:r>
        <w:rPr>
          <w:spacing w:val="5"/>
          <w:sz w:val="20"/>
        </w:rPr>
        <w:t> </w:t>
      </w:r>
      <w:r>
        <w:rPr>
          <w:rFonts w:ascii="Arial"/>
          <w:i/>
          <w:sz w:val="20"/>
        </w:rPr>
        <w:t>Caresse</w:t>
      </w:r>
      <w:r>
        <w:rPr>
          <w:rFonts w:ascii="Arial"/>
          <w:i/>
          <w:spacing w:val="6"/>
          <w:sz w:val="20"/>
        </w:rPr>
        <w:t> </w:t>
      </w:r>
      <w:r>
        <w:rPr>
          <w:rFonts w:ascii="Arial"/>
          <w:i/>
          <w:sz w:val="20"/>
        </w:rPr>
        <w:t>Navigation</w:t>
      </w:r>
      <w:r>
        <w:rPr>
          <w:rFonts w:ascii="Arial"/>
          <w:i/>
          <w:spacing w:val="6"/>
          <w:sz w:val="20"/>
        </w:rPr>
        <w:t> </w:t>
      </w:r>
      <w:r>
        <w:rPr>
          <w:rFonts w:ascii="Arial"/>
          <w:i/>
          <w:spacing w:val="-5"/>
          <w:sz w:val="20"/>
        </w:rPr>
        <w:t>Ltd</w:t>
      </w:r>
    </w:p>
    <w:p>
      <w:pPr>
        <w:spacing w:after="0" w:line="235" w:lineRule="auto"/>
        <w:jc w:val="left"/>
        <w:rPr>
          <w:rFonts w:ascii="Arial"/>
          <w:i/>
          <w:sz w:val="20"/>
        </w:rPr>
        <w:sectPr>
          <w:pgSz w:w="11900" w:h="16840"/>
          <w:pgMar w:header="971" w:footer="0" w:top="1300" w:bottom="280" w:left="1275" w:right="1275"/>
        </w:sectPr>
      </w:pPr>
    </w:p>
    <w:p>
      <w:pPr>
        <w:spacing w:before="106"/>
        <w:ind w:left="705" w:right="0" w:firstLine="0"/>
        <w:jc w:val="left"/>
        <w:rPr>
          <w:sz w:val="20"/>
        </w:rPr>
      </w:pPr>
      <w:r>
        <w:rPr>
          <w:rFonts w:ascii="Arial" w:hAnsi="Arial"/>
          <w:i/>
          <w:sz w:val="20"/>
        </w:rPr>
        <w:t>v Office National De L’Electricite [2013] EWHC 3081 (Comm), [2014] 1 Lloyd’s Rep. </w:t>
      </w:r>
      <w:r>
        <w:rPr>
          <w:rFonts w:ascii="Arial" w:hAnsi="Arial"/>
          <w:i/>
          <w:spacing w:val="-4"/>
          <w:sz w:val="20"/>
        </w:rPr>
        <w:t>337</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535" w:id="537"/>
      <w:bookmarkEnd w:id="537"/>
      <w:r>
        <w:rPr/>
      </w:r>
      <w:hyperlink w:history="true" w:anchor="_bookmark425">
        <w:r>
          <w:rPr>
            <w:color w:val="005DA1"/>
            <w:spacing w:val="-4"/>
            <w:position w:val="5"/>
            <w:sz w:val="14"/>
            <w:u w:val="single" w:color="005DA1"/>
          </w:rPr>
          <w:t>239</w:t>
        </w:r>
      </w:hyperlink>
      <w:r>
        <w:rPr>
          <w:spacing w:val="-4"/>
          <w:position w:val="5"/>
          <w:sz w:val="14"/>
        </w:rPr>
        <w:t>.</w:t>
      </w:r>
      <w:r>
        <w:rPr>
          <w:position w:val="5"/>
          <w:sz w:val="14"/>
        </w:rPr>
        <w:tab/>
      </w:r>
      <w:r>
        <w:rPr/>
        <w:t>Dicey, Morris and Collins, paras 32–091—32–099; Cheshire, North and Fawcett, </w:t>
      </w:r>
      <w:r>
        <w:rPr/>
        <w:t>pp.701–707; Kaye, pp.150–154; Morse (1982) 2 Ybk. Eur.L. 107, 117.</w:t>
      </w:r>
    </w:p>
    <w:p>
      <w:pPr>
        <w:pStyle w:val="BodyText"/>
        <w:spacing w:before="6"/>
      </w:pPr>
    </w:p>
    <w:p>
      <w:pPr>
        <w:pStyle w:val="BodyText"/>
        <w:tabs>
          <w:tab w:pos="705" w:val="left" w:leader="none"/>
        </w:tabs>
        <w:ind w:left="165"/>
      </w:pPr>
      <w:bookmarkStart w:name="_bookmark536" w:id="538"/>
      <w:bookmarkEnd w:id="538"/>
      <w:r>
        <w:rPr/>
      </w:r>
      <w:hyperlink w:history="true" w:anchor="_bookmark426">
        <w:r>
          <w:rPr>
            <w:color w:val="005DA1"/>
            <w:spacing w:val="-4"/>
            <w:position w:val="5"/>
            <w:sz w:val="14"/>
            <w:u w:val="single" w:color="005DA1"/>
          </w:rPr>
          <w:t>240</w:t>
        </w:r>
      </w:hyperlink>
      <w:r>
        <w:rPr>
          <w:spacing w:val="-4"/>
          <w:position w:val="5"/>
          <w:sz w:val="14"/>
        </w:rPr>
        <w:t>.</w:t>
      </w:r>
      <w:r>
        <w:rPr>
          <w:position w:val="5"/>
          <w:sz w:val="14"/>
        </w:rPr>
        <w:tab/>
      </w:r>
      <w:r>
        <w:rPr/>
        <w:t>Above,</w:t>
      </w:r>
      <w:r>
        <w:rPr>
          <w:spacing w:val="-2"/>
        </w:rPr>
        <w:t> </w:t>
      </w:r>
      <w:r>
        <w:rPr/>
        <w:t>paras 30-010 et </w:t>
      </w:r>
      <w:r>
        <w:rPr>
          <w:spacing w:val="-4"/>
        </w:rPr>
        <w:t>seq.</w:t>
      </w:r>
    </w:p>
    <w:p>
      <w:pPr>
        <w:pStyle w:val="BodyText"/>
        <w:spacing w:before="5"/>
      </w:pPr>
    </w:p>
    <w:p>
      <w:pPr>
        <w:pStyle w:val="BodyText"/>
        <w:tabs>
          <w:tab w:pos="705" w:val="left" w:leader="none"/>
        </w:tabs>
        <w:ind w:left="165"/>
      </w:pPr>
      <w:bookmarkStart w:name="_bookmark537" w:id="539"/>
      <w:bookmarkEnd w:id="539"/>
      <w:r>
        <w:rPr/>
      </w:r>
      <w:hyperlink w:history="true" w:anchor="_bookmark427">
        <w:r>
          <w:rPr>
            <w:color w:val="005DA1"/>
            <w:spacing w:val="-4"/>
            <w:position w:val="5"/>
            <w:sz w:val="14"/>
            <w:u w:val="single" w:color="005DA1"/>
          </w:rPr>
          <w:t>241</w:t>
        </w:r>
      </w:hyperlink>
      <w:r>
        <w:rPr>
          <w:spacing w:val="-4"/>
          <w:position w:val="5"/>
          <w:sz w:val="14"/>
        </w:rPr>
        <w:t>.</w:t>
      </w:r>
      <w:r>
        <w:rPr>
          <w:position w:val="5"/>
          <w:sz w:val="14"/>
        </w:rPr>
        <w:tab/>
      </w:r>
      <w:r>
        <w:rPr/>
        <w:t>See Morse (1982) 2 Ybk. Eur. L. 107, 177. See above, paras 30-010 et </w:t>
      </w:r>
      <w:r>
        <w:rPr>
          <w:spacing w:val="-4"/>
        </w:rPr>
        <w:t>seq.</w:t>
      </w:r>
    </w:p>
    <w:p>
      <w:pPr>
        <w:pStyle w:val="BodyText"/>
        <w:spacing w:before="8"/>
      </w:pPr>
    </w:p>
    <w:p>
      <w:pPr>
        <w:spacing w:line="235" w:lineRule="auto" w:before="1"/>
        <w:ind w:left="705" w:right="167" w:hanging="541"/>
        <w:jc w:val="both"/>
        <w:rPr>
          <w:rFonts w:ascii="Arial" w:hAnsi="Arial"/>
          <w:i/>
          <w:sz w:val="20"/>
        </w:rPr>
      </w:pPr>
      <w:bookmarkStart w:name="_bookmark538" w:id="540"/>
      <w:bookmarkEnd w:id="540"/>
      <w:r>
        <w:rPr/>
      </w:r>
      <w:hyperlink w:history="true" w:anchor="_bookmark428">
        <w:r>
          <w:rPr>
            <w:color w:val="005DA1"/>
            <w:position w:val="5"/>
            <w:sz w:val="14"/>
            <w:u w:val="single" w:color="005DA1"/>
          </w:rPr>
          <w:t>242</w:t>
        </w:r>
      </w:hyperlink>
      <w:r>
        <w:rPr>
          <w:position w:val="5"/>
          <w:sz w:val="14"/>
        </w:rPr>
        <w:t>.</w:t>
      </w:r>
      <w:r>
        <w:rPr>
          <w:spacing w:val="40"/>
          <w:position w:val="5"/>
          <w:sz w:val="14"/>
        </w:rPr>
        <w:t>  </w:t>
      </w:r>
      <w:r>
        <w:rPr>
          <w:sz w:val="20"/>
        </w:rPr>
        <w:t>Giuliano-Lagarde</w:t>
      </w:r>
      <w:r>
        <w:rPr>
          <w:spacing w:val="-2"/>
          <w:sz w:val="20"/>
        </w:rPr>
        <w:t> </w:t>
      </w:r>
      <w:r>
        <w:rPr>
          <w:sz w:val="20"/>
        </w:rPr>
        <w:t>Report,</w:t>
      </w:r>
      <w:r>
        <w:rPr>
          <w:spacing w:val="-2"/>
          <w:sz w:val="20"/>
        </w:rPr>
        <w:t> </w:t>
      </w:r>
      <w:r>
        <w:rPr>
          <w:sz w:val="20"/>
        </w:rPr>
        <w:t>p.17.</w:t>
      </w:r>
      <w:r>
        <w:rPr>
          <w:spacing w:val="-2"/>
          <w:sz w:val="20"/>
        </w:rPr>
        <w:t> </w:t>
      </w:r>
      <w:r>
        <w:rPr>
          <w:sz w:val="20"/>
        </w:rPr>
        <w:t>See</w:t>
      </w:r>
      <w:r>
        <w:rPr>
          <w:spacing w:val="-3"/>
          <w:sz w:val="20"/>
        </w:rPr>
        <w:t> </w:t>
      </w:r>
      <w:r>
        <w:rPr>
          <w:rFonts w:ascii="Arial" w:hAnsi="Arial"/>
          <w:i/>
          <w:sz w:val="20"/>
        </w:rPr>
        <w:t>Egon</w:t>
      </w:r>
      <w:r>
        <w:rPr>
          <w:rFonts w:ascii="Arial" w:hAnsi="Arial"/>
          <w:i/>
          <w:spacing w:val="-2"/>
          <w:sz w:val="20"/>
        </w:rPr>
        <w:t> </w:t>
      </w:r>
      <w:r>
        <w:rPr>
          <w:rFonts w:ascii="Arial" w:hAnsi="Arial"/>
          <w:i/>
          <w:sz w:val="20"/>
        </w:rPr>
        <w:t>Oldendorff</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Libera</w:t>
      </w:r>
      <w:r>
        <w:rPr>
          <w:rFonts w:ascii="Arial" w:hAnsi="Arial"/>
          <w:i/>
          <w:spacing w:val="-2"/>
          <w:sz w:val="20"/>
        </w:rPr>
        <w:t> </w:t>
      </w:r>
      <w:r>
        <w:rPr>
          <w:rFonts w:ascii="Arial" w:hAnsi="Arial"/>
          <w:i/>
          <w:sz w:val="20"/>
        </w:rPr>
        <w:t>Corp</w:t>
      </w:r>
      <w:r>
        <w:rPr>
          <w:rFonts w:ascii="Arial" w:hAnsi="Arial"/>
          <w:i/>
          <w:spacing w:val="-2"/>
          <w:sz w:val="20"/>
        </w:rPr>
        <w:t> </w:t>
      </w:r>
      <w:r>
        <w:rPr>
          <w:rFonts w:ascii="Arial" w:hAnsi="Arial"/>
          <w:i/>
          <w:sz w:val="20"/>
        </w:rPr>
        <w:t>(No.2)</w:t>
      </w:r>
      <w:r>
        <w:rPr>
          <w:rFonts w:ascii="Arial" w:hAnsi="Arial"/>
          <w:i/>
          <w:spacing w:val="-2"/>
          <w:sz w:val="20"/>
        </w:rPr>
        <w:t> </w:t>
      </w:r>
      <w:r>
        <w:rPr>
          <w:rFonts w:ascii="Arial" w:hAnsi="Arial"/>
          <w:i/>
          <w:sz w:val="20"/>
        </w:rPr>
        <w:t>[1996]</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 380</w:t>
      </w:r>
      <w:r>
        <w:rPr>
          <w:sz w:val="20"/>
        </w:rPr>
        <w:t>; </w:t>
      </w:r>
      <w:r>
        <w:rPr>
          <w:rFonts w:ascii="Arial" w:hAnsi="Arial"/>
          <w:i/>
          <w:sz w:val="20"/>
        </w:rPr>
        <w:t>Aeolian Shipping SA v ISS Machinery Services Ltd [2001] EWCA Civ 1162, [2001] 2 Lloyd’s Rep. 641</w:t>
      </w:r>
      <w:r>
        <w:rPr>
          <w:sz w:val="20"/>
        </w:rPr>
        <w:t>; </w:t>
      </w:r>
      <w:r>
        <w:rPr>
          <w:rFonts w:ascii="Arial" w:hAnsi="Arial"/>
          <w:i/>
          <w:sz w:val="20"/>
        </w:rPr>
        <w:t>Samcrete Egypt Engineers and Contractors SAE v Land Rover Exports Ltd [2001] EWCA Civ 1162, [2002] C.L.C. 533</w:t>
      </w:r>
      <w:r>
        <w:rPr>
          <w:sz w:val="20"/>
        </w:rPr>
        <w:t>; </w:t>
      </w:r>
      <w:r>
        <w:rPr>
          <w:rFonts w:ascii="Arial" w:hAnsi="Arial"/>
          <w:i/>
          <w:sz w:val="20"/>
        </w:rPr>
        <w:t>Marubeni Hong Kong and South China Ltd v Mongolian Government [2002] 2 All E.R. (Comm) 873</w:t>
      </w:r>
      <w:r>
        <w:rPr>
          <w:sz w:val="20"/>
        </w:rPr>
        <w:t>; </w:t>
      </w:r>
      <w:r>
        <w:rPr>
          <w:rFonts w:ascii="Arial" w:hAnsi="Arial"/>
          <w:i/>
          <w:sz w:val="20"/>
        </w:rPr>
        <w:t>American Motorists Insurance Co v Cellstar Corp [2003] EWCA Civ 206, [2003] I.L.Pr. 370</w:t>
      </w:r>
      <w:r>
        <w:rPr>
          <w:sz w:val="20"/>
        </w:rPr>
        <w:t>; </w:t>
      </w:r>
      <w:r>
        <w:rPr>
          <w:rFonts w:ascii="Arial" w:hAnsi="Arial"/>
          <w:i/>
          <w:sz w:val="20"/>
        </w:rPr>
        <w:t>Stonebridge Underwriting Ltd v Ontario Municipal Insurance Exchange [2010] EWHC 2279 (Comm), [2010] 2 C.L.C. 349</w:t>
      </w:r>
      <w:r>
        <w:rPr>
          <w:sz w:val="20"/>
        </w:rPr>
        <w:t>; </w:t>
      </w:r>
      <w:r>
        <w:rPr>
          <w:rFonts w:ascii="Arial" w:hAnsi="Arial"/>
          <w:i/>
          <w:sz w:val="20"/>
        </w:rPr>
        <w:t>FR Lurssen Werft GmbH &amp; Co KG v Halle [2010] EWCA Civ 587, [2011] 1 Lloyd’s Rep. 265</w:t>
      </w:r>
      <w:r>
        <w:rPr>
          <w:sz w:val="20"/>
        </w:rPr>
        <w:t>; </w:t>
      </w:r>
      <w:r>
        <w:rPr>
          <w:rFonts w:ascii="Arial" w:hAnsi="Arial"/>
          <w:i/>
          <w:sz w:val="20"/>
        </w:rPr>
        <w:t>Gard Marine &amp; Energy Ltd v Tunnicliffe [2010] EWCA Civ 1052, [2011] I.L.Pr. 10</w:t>
      </w:r>
      <w:r>
        <w:rPr>
          <w:sz w:val="20"/>
        </w:rPr>
        <w:t>; </w:t>
      </w:r>
      <w:r>
        <w:rPr>
          <w:rFonts w:ascii="Arial" w:hAnsi="Arial"/>
          <w:i/>
          <w:sz w:val="20"/>
        </w:rPr>
        <w:t>British Arab Commercial</w:t>
      </w:r>
      <w:r>
        <w:rPr>
          <w:rFonts w:ascii="Arial" w:hAnsi="Arial"/>
          <w:i/>
          <w:spacing w:val="40"/>
          <w:sz w:val="20"/>
        </w:rPr>
        <w:t> </w:t>
      </w:r>
      <w:r>
        <w:rPr>
          <w:rFonts w:ascii="Arial" w:hAnsi="Arial"/>
          <w:i/>
          <w:sz w:val="20"/>
        </w:rPr>
        <w:t>Bank Plc v Bank of Communications [2011] EWHC 281 (Comm), [2011] 1 Lloyd’s Rep. 664</w:t>
      </w:r>
      <w:r>
        <w:rPr>
          <w:sz w:val="20"/>
        </w:rPr>
        <w:t>; </w:t>
      </w:r>
      <w:r>
        <w:rPr>
          <w:rFonts w:ascii="Arial" w:hAnsi="Arial"/>
          <w:i/>
          <w:sz w:val="20"/>
        </w:rPr>
        <w:t>Faraday Reinsurance Co Ltd v Howden North America Inc [2011] EWHC 2837 (Comm), affirmed [2012] EWCA Civ 980, [2012] 2 C.L.C</w:t>
      </w:r>
      <w:r>
        <w:rPr>
          <w:sz w:val="20"/>
        </w:rPr>
        <w:t>. See also </w:t>
      </w:r>
      <w:r>
        <w:rPr>
          <w:rFonts w:ascii="Arial" w:hAnsi="Arial"/>
          <w:i/>
          <w:sz w:val="20"/>
        </w:rPr>
        <w:t>Travelers Casualty &amp; Surety Co of Europe Ltd v Sun Life Assurance Co of Canada (UK) Ltd [2004] EWHC 1704 (Comm), [2004] I.L.Pr. 793</w:t>
      </w:r>
      <w:r>
        <w:rPr>
          <w:sz w:val="20"/>
        </w:rPr>
        <w:t>; </w:t>
      </w:r>
      <w:r>
        <w:rPr>
          <w:rFonts w:ascii="Arial" w:hAnsi="Arial"/>
          <w:i/>
          <w:sz w:val="20"/>
        </w:rPr>
        <w:t>Sapporo Breweries Ltd v Lupofresh Ltd [2012] EWHC 2013 (QB), affirmed [2012] EWCA Civ 948, [2013] 2 Lloyd’s Rep. 444</w:t>
      </w:r>
      <w:r>
        <w:rPr>
          <w:sz w:val="20"/>
        </w:rPr>
        <w:t>; </w:t>
      </w:r>
      <w:r>
        <w:rPr>
          <w:rFonts w:ascii="Arial" w:hAnsi="Arial"/>
          <w:i/>
          <w:sz w:val="20"/>
        </w:rPr>
        <w:t>Lawlor v Sandvik Mining and Construction Mobile Crushers and</w:t>
      </w:r>
      <w:r>
        <w:rPr>
          <w:rFonts w:ascii="Arial" w:hAnsi="Arial"/>
          <w:i/>
          <w:spacing w:val="1"/>
          <w:sz w:val="20"/>
        </w:rPr>
        <w:t> </w:t>
      </w:r>
      <w:r>
        <w:rPr>
          <w:rFonts w:ascii="Arial" w:hAnsi="Arial"/>
          <w:i/>
          <w:sz w:val="20"/>
        </w:rPr>
        <w:t>Screens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[2013]</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365,</w:t>
      </w:r>
      <w:r>
        <w:rPr>
          <w:rFonts w:ascii="Arial" w:hAnsi="Arial"/>
          <w:i/>
          <w:spacing w:val="1"/>
          <w:sz w:val="20"/>
        </w:rPr>
        <w:t> </w:t>
      </w:r>
      <w:r>
        <w:rPr>
          <w:rFonts w:ascii="Arial" w:hAnsi="Arial"/>
          <w:i/>
          <w:sz w:val="20"/>
        </w:rPr>
        <w:t>[2013]</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98</w:t>
      </w:r>
      <w:r>
        <w:rPr>
          <w:sz w:val="20"/>
        </w:rPr>
        <w:t>;</w:t>
      </w:r>
      <w:r>
        <w:rPr>
          <w:spacing w:val="1"/>
          <w:sz w:val="20"/>
        </w:rPr>
        <w:t> </w:t>
      </w:r>
      <w:r>
        <w:rPr>
          <w:rFonts w:ascii="Arial" w:hAnsi="Arial"/>
          <w:i/>
          <w:sz w:val="20"/>
        </w:rPr>
        <w:t>Caresse</w:t>
      </w:r>
      <w:r>
        <w:rPr>
          <w:rFonts w:ascii="Arial" w:hAnsi="Arial"/>
          <w:i/>
          <w:spacing w:val="1"/>
          <w:sz w:val="20"/>
        </w:rPr>
        <w:t> </w:t>
      </w:r>
      <w:r>
        <w:rPr>
          <w:rFonts w:ascii="Arial" w:hAnsi="Arial"/>
          <w:i/>
          <w:spacing w:val="-2"/>
          <w:sz w:val="20"/>
        </w:rPr>
        <w:t>Navigation</w:t>
      </w:r>
    </w:p>
    <w:p>
      <w:pPr>
        <w:spacing w:line="220" w:lineRule="exact" w:before="0"/>
        <w:ind w:left="705" w:right="0" w:firstLine="0"/>
        <w:jc w:val="both"/>
        <w:rPr>
          <w:sz w:val="20"/>
        </w:rPr>
      </w:pPr>
      <w:r>
        <w:rPr>
          <w:rFonts w:ascii="Arial" w:hAnsi="Arial"/>
          <w:i/>
          <w:sz w:val="20"/>
        </w:rPr>
        <w:t>Ltd v Office National De L’Electricite [2013] EWHC 3081 (Comm), [2014] 1 Lloyd’s Rep. </w:t>
      </w:r>
      <w:r>
        <w:rPr>
          <w:rFonts w:ascii="Arial" w:hAnsi="Arial"/>
          <w:i/>
          <w:spacing w:val="-4"/>
          <w:sz w:val="20"/>
        </w:rPr>
        <w:t>337</w:t>
      </w:r>
      <w:r>
        <w:rPr>
          <w:spacing w:val="-4"/>
          <w:sz w:val="20"/>
        </w:rPr>
        <w:t>.</w:t>
      </w:r>
    </w:p>
    <w:p>
      <w:pPr>
        <w:pStyle w:val="BodyText"/>
        <w:spacing w:before="8"/>
      </w:pPr>
    </w:p>
    <w:p>
      <w:pPr>
        <w:spacing w:line="235" w:lineRule="auto" w:before="0"/>
        <w:ind w:left="705" w:right="168" w:hanging="541"/>
        <w:jc w:val="both"/>
        <w:rPr>
          <w:sz w:val="20"/>
        </w:rPr>
      </w:pPr>
      <w:bookmarkStart w:name="_bookmark539" w:id="541"/>
      <w:bookmarkEnd w:id="541"/>
      <w:r>
        <w:rPr/>
      </w:r>
      <w:hyperlink w:history="true" w:anchor="_bookmark429">
        <w:r>
          <w:rPr>
            <w:color w:val="005DA1"/>
            <w:position w:val="5"/>
            <w:sz w:val="14"/>
            <w:u w:val="single" w:color="005DA1"/>
          </w:rPr>
          <w:t>243</w:t>
        </w:r>
      </w:hyperlink>
      <w:r>
        <w:rPr>
          <w:position w:val="5"/>
          <w:sz w:val="14"/>
        </w:rPr>
        <w:t>.</w:t>
      </w:r>
      <w:r>
        <w:rPr>
          <w:spacing w:val="80"/>
          <w:position w:val="5"/>
          <w:sz w:val="14"/>
        </w:rPr>
        <w:t>  </w:t>
      </w:r>
      <w:r>
        <w:rPr>
          <w:sz w:val="20"/>
        </w:rPr>
        <w:t>Rome Convention art.18; </w:t>
      </w:r>
      <w:r>
        <w:rPr>
          <w:rFonts w:ascii="Arial"/>
          <w:i/>
          <w:sz w:val="20"/>
        </w:rPr>
        <w:t>Raiffeisen Zentralbank Osterreich AG v Five Star General </w:t>
      </w:r>
      <w:r>
        <w:rPr>
          <w:rFonts w:ascii="Arial"/>
          <w:i/>
          <w:sz w:val="20"/>
        </w:rPr>
        <w:t>Trading</w:t>
      </w:r>
      <w:r>
        <w:rPr>
          <w:rFonts w:ascii="Arial"/>
          <w:i/>
          <w:spacing w:val="40"/>
          <w:sz w:val="20"/>
        </w:rPr>
        <w:t> </w:t>
      </w:r>
      <w:r>
        <w:rPr>
          <w:rFonts w:ascii="Arial"/>
          <w:i/>
          <w:sz w:val="20"/>
        </w:rPr>
        <w:t>LLC [2001] EWCA Civ 68, [2001] Q.B. 825</w:t>
      </w:r>
      <w:r>
        <w:rPr>
          <w:sz w:val="20"/>
        </w:rPr>
        <w:t>; </w:t>
      </w:r>
      <w:r>
        <w:rPr>
          <w:rFonts w:ascii="Arial"/>
          <w:i/>
          <w:sz w:val="20"/>
        </w:rPr>
        <w:t>Samcrete Egypt Engineers and Contractors SAE v Land Rover Exports Ltd [2001] EWCA Civ 1162</w:t>
      </w:r>
      <w:r>
        <w:rPr>
          <w:sz w:val="20"/>
        </w:rPr>
        <w:t>; </w:t>
      </w:r>
      <w:r>
        <w:rPr>
          <w:rFonts w:ascii="Arial"/>
          <w:i/>
          <w:sz w:val="20"/>
        </w:rPr>
        <w:t>Iran Continental Shelf Oil Co v IRI</w:t>
      </w:r>
      <w:r>
        <w:rPr>
          <w:rFonts w:ascii="Arial"/>
          <w:i/>
          <w:spacing w:val="40"/>
          <w:sz w:val="20"/>
        </w:rPr>
        <w:t> </w:t>
      </w:r>
      <w:r>
        <w:rPr>
          <w:rFonts w:ascii="Arial"/>
          <w:i/>
          <w:sz w:val="20"/>
        </w:rPr>
        <w:t>International Corp [2002] EWCA Civ 1024</w:t>
      </w:r>
      <w:r>
        <w:rPr>
          <w:sz w:val="20"/>
        </w:rPr>
        <w:t>.</w:t>
      </w:r>
    </w:p>
    <w:p>
      <w:pPr>
        <w:pStyle w:val="BodyText"/>
        <w:spacing w:before="9"/>
      </w:pPr>
    </w:p>
    <w:p>
      <w:pPr>
        <w:spacing w:line="235" w:lineRule="auto" w:before="0"/>
        <w:ind w:left="705" w:right="168" w:hanging="541"/>
        <w:jc w:val="both"/>
        <w:rPr>
          <w:sz w:val="20"/>
        </w:rPr>
      </w:pPr>
      <w:bookmarkStart w:name="_bookmark540" w:id="542"/>
      <w:bookmarkEnd w:id="542"/>
      <w:r>
        <w:rPr/>
      </w:r>
      <w:hyperlink w:history="true" w:anchor="_bookmark430">
        <w:r>
          <w:rPr>
            <w:color w:val="005DA1"/>
            <w:position w:val="5"/>
            <w:sz w:val="14"/>
            <w:u w:val="single" w:color="005DA1"/>
          </w:rPr>
          <w:t>244</w:t>
        </w:r>
      </w:hyperlink>
      <w:r>
        <w:rPr>
          <w:position w:val="5"/>
          <w:sz w:val="14"/>
        </w:rPr>
        <w:t>.</w:t>
      </w:r>
      <w:r>
        <w:rPr>
          <w:spacing w:val="80"/>
          <w:position w:val="5"/>
          <w:sz w:val="14"/>
        </w:rPr>
        <w:t> </w:t>
      </w:r>
      <w:r>
        <w:rPr>
          <w:rFonts w:ascii="Arial" w:hAnsi="Arial"/>
          <w:i/>
          <w:sz w:val="20"/>
        </w:rPr>
        <w:t>Egon Oldendorff v Libera Corp (No.2) [1996] 1 Lloyd’s Rep. 380</w:t>
      </w:r>
      <w:r>
        <w:rPr>
          <w:sz w:val="20"/>
        </w:rPr>
        <w:t>; </w:t>
      </w:r>
      <w:r>
        <w:rPr>
          <w:rFonts w:ascii="Arial" w:hAnsi="Arial"/>
          <w:i/>
          <w:sz w:val="20"/>
        </w:rPr>
        <w:t>Raiffeisen Zentralbank Osterreich AG v Five Star General Trading LLC [2001] EWCA Civ 68</w:t>
      </w:r>
      <w:r>
        <w:rPr>
          <w:sz w:val="20"/>
        </w:rPr>
        <w:t>; </w:t>
      </w:r>
      <w:r>
        <w:rPr>
          <w:rFonts w:ascii="Arial" w:hAnsi="Arial"/>
          <w:i/>
          <w:sz w:val="20"/>
        </w:rPr>
        <w:t>Samcrete Egypt Engineers and Contractors SAE v Land Rover Exports Ltd [2001] EWCA Civ 1162</w:t>
      </w:r>
      <w:r>
        <w:rPr>
          <w:sz w:val="20"/>
        </w:rPr>
        <w:t>; </w:t>
      </w:r>
      <w:r>
        <w:rPr>
          <w:rFonts w:ascii="Arial" w:hAnsi="Arial"/>
          <w:i/>
          <w:sz w:val="20"/>
        </w:rPr>
        <w:t>Iran Continental Shelf Oil Co v IRI International Corp [2002] EWCA Civ 1024</w:t>
      </w:r>
      <w:r>
        <w:rPr>
          <w:sz w:val="20"/>
        </w:rPr>
        <w:t>; Dicey, Morris and Collins, para.32–080.</w:t>
      </w:r>
    </w:p>
    <w:p>
      <w:pPr>
        <w:pStyle w:val="BodyText"/>
        <w:spacing w:before="8"/>
      </w:pPr>
    </w:p>
    <w:p>
      <w:pPr>
        <w:spacing w:line="235" w:lineRule="auto" w:before="0"/>
        <w:ind w:left="705" w:right="167" w:hanging="541"/>
        <w:jc w:val="both"/>
        <w:rPr>
          <w:rFonts w:ascii="Arial" w:hAnsi="Arial"/>
          <w:i/>
          <w:sz w:val="20"/>
        </w:rPr>
      </w:pPr>
      <w:bookmarkStart w:name="_bookmark541" w:id="543"/>
      <w:bookmarkEnd w:id="543"/>
      <w:r>
        <w:rPr/>
      </w:r>
      <w:hyperlink w:history="true" w:anchor="_bookmark431">
        <w:r>
          <w:rPr>
            <w:color w:val="005DA1"/>
            <w:position w:val="5"/>
            <w:sz w:val="14"/>
            <w:u w:val="single" w:color="005DA1"/>
          </w:rPr>
          <w:t>245</w:t>
        </w:r>
      </w:hyperlink>
      <w:r>
        <w:rPr>
          <w:position w:val="5"/>
          <w:sz w:val="14"/>
        </w:rPr>
        <w:t>.</w:t>
      </w:r>
      <w:r>
        <w:rPr>
          <w:spacing w:val="80"/>
          <w:position w:val="5"/>
          <w:sz w:val="14"/>
        </w:rPr>
        <w:t> </w:t>
      </w:r>
      <w:r>
        <w:rPr>
          <w:sz w:val="20"/>
        </w:rPr>
        <w:t>See </w:t>
      </w:r>
      <w:r>
        <w:rPr>
          <w:rFonts w:ascii="Arial" w:hAnsi="Arial"/>
          <w:i/>
          <w:sz w:val="20"/>
        </w:rPr>
        <w:t>Tiernan v Magen Insurance Co Ltd [2000] I.L.Pr. 517 </w:t>
      </w:r>
      <w:r>
        <w:rPr>
          <w:sz w:val="20"/>
        </w:rPr>
        <w:t>in which it was said that where a reinsurance contract was placed on the Lloyd’s market in the usual way, the contract was on </w:t>
      </w:r>
      <w:r>
        <w:rPr>
          <w:sz w:val="20"/>
        </w:rPr>
        <w:t>a Lloyd’s form and contained London market clauses, such factors were sufficient to demonstrate with reasonable certainty a choice of English law for the purposes of art.3 of the Rome Convention. See also </w:t>
      </w:r>
      <w:r>
        <w:rPr>
          <w:rFonts w:ascii="Arial" w:hAnsi="Arial"/>
          <w:i/>
          <w:sz w:val="20"/>
        </w:rPr>
        <w:t>Ace Insurance SA-NV v Zurich Insurance Co [2000] 2 Lloyd’s Rep. 423, affirmed</w:t>
      </w:r>
      <w:r>
        <w:rPr>
          <w:rFonts w:ascii="Arial" w:hAnsi="Arial"/>
          <w:i/>
          <w:spacing w:val="10"/>
          <w:sz w:val="20"/>
        </w:rPr>
        <w:t> </w:t>
      </w:r>
      <w:r>
        <w:rPr>
          <w:rFonts w:ascii="Arial" w:hAnsi="Arial"/>
          <w:i/>
          <w:sz w:val="20"/>
        </w:rPr>
        <w:t>[2001]</w:t>
      </w:r>
      <w:r>
        <w:rPr>
          <w:rFonts w:ascii="Arial" w:hAnsi="Arial"/>
          <w:i/>
          <w:spacing w:val="13"/>
          <w:sz w:val="20"/>
        </w:rPr>
        <w:t> </w:t>
      </w:r>
      <w:r>
        <w:rPr>
          <w:rFonts w:ascii="Arial" w:hAnsi="Arial"/>
          <w:i/>
          <w:sz w:val="20"/>
        </w:rPr>
        <w:t>EWCA</w:t>
      </w:r>
      <w:r>
        <w:rPr>
          <w:rFonts w:ascii="Arial" w:hAnsi="Arial"/>
          <w:i/>
          <w:spacing w:val="13"/>
          <w:sz w:val="20"/>
        </w:rPr>
        <w:t> </w:t>
      </w:r>
      <w:r>
        <w:rPr>
          <w:rFonts w:ascii="Arial" w:hAnsi="Arial"/>
          <w:i/>
          <w:sz w:val="20"/>
        </w:rPr>
        <w:t>Civ</w:t>
      </w:r>
      <w:r>
        <w:rPr>
          <w:rFonts w:ascii="Arial" w:hAnsi="Arial"/>
          <w:i/>
          <w:spacing w:val="13"/>
          <w:sz w:val="20"/>
        </w:rPr>
        <w:t> </w:t>
      </w:r>
      <w:r>
        <w:rPr>
          <w:rFonts w:ascii="Arial" w:hAnsi="Arial"/>
          <w:i/>
          <w:sz w:val="20"/>
        </w:rPr>
        <w:t>173,</w:t>
      </w:r>
      <w:r>
        <w:rPr>
          <w:rFonts w:ascii="Arial" w:hAnsi="Arial"/>
          <w:i/>
          <w:spacing w:val="13"/>
          <w:sz w:val="20"/>
        </w:rPr>
        <w:t> </w:t>
      </w:r>
      <w:r>
        <w:rPr>
          <w:rFonts w:ascii="Arial" w:hAnsi="Arial"/>
          <w:i/>
          <w:sz w:val="20"/>
        </w:rPr>
        <w:t>[2001]</w:t>
      </w:r>
      <w:r>
        <w:rPr>
          <w:rFonts w:ascii="Arial" w:hAnsi="Arial"/>
          <w:i/>
          <w:spacing w:val="13"/>
          <w:sz w:val="20"/>
        </w:rPr>
        <w:t> </w:t>
      </w:r>
      <w:r>
        <w:rPr>
          <w:rFonts w:ascii="Arial" w:hAnsi="Arial"/>
          <w:i/>
          <w:sz w:val="20"/>
        </w:rPr>
        <w:t>1</w:t>
      </w:r>
      <w:r>
        <w:rPr>
          <w:rFonts w:ascii="Arial" w:hAnsi="Arial"/>
          <w:i/>
          <w:spacing w:val="13"/>
          <w:sz w:val="20"/>
        </w:rPr>
        <w:t> </w:t>
      </w:r>
      <w:r>
        <w:rPr>
          <w:rFonts w:ascii="Arial" w:hAnsi="Arial"/>
          <w:i/>
          <w:sz w:val="20"/>
        </w:rPr>
        <w:t>Lloyd’s</w:t>
      </w:r>
      <w:r>
        <w:rPr>
          <w:rFonts w:ascii="Arial" w:hAnsi="Arial"/>
          <w:i/>
          <w:spacing w:val="13"/>
          <w:sz w:val="20"/>
        </w:rPr>
        <w:t> </w:t>
      </w:r>
      <w:r>
        <w:rPr>
          <w:rFonts w:ascii="Arial" w:hAnsi="Arial"/>
          <w:i/>
          <w:sz w:val="20"/>
        </w:rPr>
        <w:t>Rep.</w:t>
      </w:r>
      <w:r>
        <w:rPr>
          <w:rFonts w:ascii="Arial" w:hAnsi="Arial"/>
          <w:i/>
          <w:spacing w:val="13"/>
          <w:sz w:val="20"/>
        </w:rPr>
        <w:t> </w:t>
      </w:r>
      <w:r>
        <w:rPr>
          <w:rFonts w:ascii="Arial" w:hAnsi="Arial"/>
          <w:i/>
          <w:sz w:val="20"/>
        </w:rPr>
        <w:t>618</w:t>
      </w:r>
      <w:r>
        <w:rPr>
          <w:sz w:val="20"/>
        </w:rPr>
        <w:t>;</w:t>
      </w:r>
      <w:r>
        <w:rPr>
          <w:spacing w:val="13"/>
          <w:sz w:val="20"/>
        </w:rPr>
        <w:t> </w:t>
      </w:r>
      <w:r>
        <w:rPr>
          <w:rFonts w:ascii="Arial" w:hAnsi="Arial"/>
          <w:i/>
          <w:sz w:val="20"/>
        </w:rPr>
        <w:t>Evialis</w:t>
      </w:r>
      <w:r>
        <w:rPr>
          <w:rFonts w:ascii="Arial" w:hAnsi="Arial"/>
          <w:i/>
          <w:spacing w:val="13"/>
          <w:sz w:val="20"/>
        </w:rPr>
        <w:t> </w:t>
      </w:r>
      <w:r>
        <w:rPr>
          <w:rFonts w:ascii="Arial" w:hAnsi="Arial"/>
          <w:i/>
          <w:sz w:val="20"/>
        </w:rPr>
        <w:t>SA</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S.I.A.T.</w:t>
      </w:r>
      <w:r>
        <w:rPr>
          <w:rFonts w:ascii="Arial" w:hAnsi="Arial"/>
          <w:i/>
          <w:spacing w:val="13"/>
          <w:sz w:val="20"/>
        </w:rPr>
        <w:t> </w:t>
      </w:r>
      <w:r>
        <w:rPr>
          <w:rFonts w:ascii="Arial" w:hAnsi="Arial"/>
          <w:i/>
          <w:sz w:val="20"/>
        </w:rPr>
        <w:t>[2003]</w:t>
      </w:r>
      <w:r>
        <w:rPr>
          <w:rFonts w:ascii="Arial" w:hAnsi="Arial"/>
          <w:i/>
          <w:spacing w:val="13"/>
          <w:sz w:val="20"/>
        </w:rPr>
        <w:t> </w:t>
      </w:r>
      <w:r>
        <w:rPr>
          <w:rFonts w:ascii="Arial" w:hAnsi="Arial"/>
          <w:i/>
          <w:spacing w:val="-4"/>
          <w:sz w:val="20"/>
        </w:rPr>
        <w:t>EWHC</w:t>
      </w:r>
    </w:p>
    <w:p>
      <w:pPr>
        <w:spacing w:line="235" w:lineRule="auto" w:before="0"/>
        <w:ind w:left="705" w:right="167" w:firstLine="0"/>
        <w:jc w:val="both"/>
        <w:rPr>
          <w:sz w:val="20"/>
        </w:rPr>
      </w:pPr>
      <w:r>
        <w:rPr>
          <w:rFonts w:ascii="Arial" w:hAnsi="Arial"/>
          <w:i/>
          <w:sz w:val="20"/>
        </w:rPr>
        <w:t>863 (Comm), [2003] 2 Lloyd’s Rep. 377</w:t>
      </w:r>
      <w:r>
        <w:rPr>
          <w:sz w:val="20"/>
        </w:rPr>
        <w:t>; </w:t>
      </w:r>
      <w:r>
        <w:rPr>
          <w:rFonts w:ascii="Arial" w:hAnsi="Arial"/>
          <w:i/>
          <w:sz w:val="20"/>
        </w:rPr>
        <w:t>Tonicstar Ltd v American Home Insurance Co </w:t>
      </w:r>
      <w:r>
        <w:rPr>
          <w:rFonts w:ascii="Arial" w:hAnsi="Arial"/>
          <w:i/>
          <w:sz w:val="20"/>
        </w:rPr>
        <w:t>[2004] EWHC 1234 (Comm), [2005] Lloyd’s Rep. I.R. 32</w:t>
      </w:r>
      <w:r>
        <w:rPr>
          <w:sz w:val="20"/>
        </w:rPr>
        <w:t>; </w:t>
      </w:r>
      <w:r>
        <w:rPr>
          <w:rFonts w:ascii="Arial" w:hAnsi="Arial"/>
          <w:i/>
          <w:sz w:val="20"/>
        </w:rPr>
        <w:t>Tryg Baltica International (UK) Ltd v Boston Compania De Seguros SA [2004] EWHC 1186 (Comm), [2005] Lloyd’s Rep. I.R. 40</w:t>
      </w:r>
      <w:r>
        <w:rPr>
          <w:sz w:val="20"/>
        </w:rPr>
        <w:t>. cf. </w:t>
      </w:r>
      <w:r>
        <w:rPr>
          <w:rFonts w:ascii="Arial" w:hAnsi="Arial"/>
          <w:i/>
          <w:sz w:val="20"/>
        </w:rPr>
        <w:t>Travelers Casualty and Surety Co of Canada v Sun Life Assurance Co of Canada (UK) </w:t>
      </w:r>
      <w:r>
        <w:rPr>
          <w:rFonts w:ascii="Arial" w:hAnsi="Arial"/>
          <w:i/>
          <w:sz w:val="20"/>
        </w:rPr>
        <w:t>Ltd [2006] EWHC 2716 (Comm), [2007] Lloyd’s Rep. I.R. 619</w:t>
      </w:r>
      <w:r>
        <w:rPr>
          <w:sz w:val="20"/>
        </w:rPr>
        <w:t>; </w:t>
      </w:r>
      <w:r>
        <w:rPr>
          <w:rFonts w:ascii="Arial" w:hAnsi="Arial"/>
          <w:i/>
          <w:sz w:val="20"/>
        </w:rPr>
        <w:t>Dornoch Ltd v Mauritius </w:t>
      </w:r>
      <w:r>
        <w:rPr>
          <w:rFonts w:ascii="Arial" w:hAnsi="Arial"/>
          <w:i/>
          <w:sz w:val="20"/>
        </w:rPr>
        <w:t>Union Assurance</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389,</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475</w:t>
      </w:r>
      <w:r>
        <w:rPr>
          <w:sz w:val="20"/>
        </w:rPr>
        <w:t>.</w:t>
      </w:r>
      <w:r>
        <w:rPr>
          <w:spacing w:val="-1"/>
          <w:sz w:val="20"/>
        </w:rPr>
        <w:t> </w:t>
      </w:r>
      <w:r>
        <w:rPr>
          <w:sz w:val="20"/>
        </w:rPr>
        <w:t>In</w:t>
      </w:r>
      <w:r>
        <w:rPr>
          <w:spacing w:val="-1"/>
          <w:sz w:val="20"/>
        </w:rPr>
        <w:t> </w:t>
      </w:r>
      <w:r>
        <w:rPr>
          <w:rFonts w:ascii="Arial" w:hAnsi="Arial"/>
          <w:i/>
          <w:sz w:val="20"/>
        </w:rPr>
        <w:t>Amin</w:t>
      </w:r>
      <w:r>
        <w:rPr>
          <w:rFonts w:ascii="Arial" w:hAnsi="Arial"/>
          <w:i/>
          <w:spacing w:val="-1"/>
          <w:sz w:val="20"/>
        </w:rPr>
        <w:t> </w:t>
      </w:r>
      <w:r>
        <w:rPr>
          <w:rFonts w:ascii="Arial" w:hAnsi="Arial"/>
          <w:i/>
          <w:sz w:val="20"/>
        </w:rPr>
        <w:t>Rasheed</w:t>
      </w:r>
      <w:r>
        <w:rPr>
          <w:rFonts w:ascii="Arial" w:hAnsi="Arial"/>
          <w:i/>
          <w:spacing w:val="-1"/>
          <w:sz w:val="20"/>
        </w:rPr>
        <w:t> </w:t>
      </w:r>
      <w:r>
        <w:rPr>
          <w:rFonts w:ascii="Arial" w:hAnsi="Arial"/>
          <w:i/>
          <w:sz w:val="20"/>
        </w:rPr>
        <w:t>Shipping Corp v Kuwait Insurance Co [1984] A.C. 50, 62</w:t>
      </w:r>
      <w:r>
        <w:rPr>
          <w:sz w:val="20"/>
        </w:rPr>
        <w:t>, where the use of a Lloyd’s policy of </w:t>
      </w:r>
      <w:r>
        <w:rPr>
          <w:sz w:val="20"/>
        </w:rPr>
        <w:t>marine insurance</w:t>
      </w:r>
      <w:r>
        <w:rPr>
          <w:spacing w:val="-1"/>
          <w:sz w:val="20"/>
        </w:rPr>
        <w:t> </w:t>
      </w:r>
      <w:r>
        <w:rPr>
          <w:sz w:val="20"/>
        </w:rPr>
        <w:t>and</w:t>
      </w:r>
      <w:r>
        <w:rPr>
          <w:spacing w:val="-1"/>
          <w:sz w:val="20"/>
        </w:rPr>
        <w:t> </w:t>
      </w:r>
      <w:r>
        <w:rPr>
          <w:sz w:val="20"/>
        </w:rPr>
        <w:t>the</w:t>
      </w:r>
      <w:r>
        <w:rPr>
          <w:spacing w:val="-1"/>
          <w:sz w:val="20"/>
        </w:rPr>
        <w:t> </w:t>
      </w:r>
      <w:r>
        <w:rPr>
          <w:sz w:val="20"/>
        </w:rPr>
        <w:t>absence</w:t>
      </w:r>
      <w:r>
        <w:rPr>
          <w:spacing w:val="-1"/>
          <w:sz w:val="20"/>
        </w:rPr>
        <w:t> </w:t>
      </w:r>
      <w:r>
        <w:rPr>
          <w:sz w:val="20"/>
        </w:rPr>
        <w:t>of</w:t>
      </w:r>
      <w:r>
        <w:rPr>
          <w:spacing w:val="-1"/>
          <w:sz w:val="20"/>
        </w:rPr>
        <w:t> </w:t>
      </w:r>
      <w:r>
        <w:rPr>
          <w:sz w:val="20"/>
        </w:rPr>
        <w:t>any</w:t>
      </w:r>
      <w:r>
        <w:rPr>
          <w:spacing w:val="-1"/>
          <w:sz w:val="20"/>
        </w:rPr>
        <w:t> </w:t>
      </w:r>
      <w:r>
        <w:rPr>
          <w:sz w:val="20"/>
        </w:rPr>
        <w:t>indigenous</w:t>
      </w:r>
      <w:r>
        <w:rPr>
          <w:spacing w:val="-1"/>
          <w:sz w:val="20"/>
        </w:rPr>
        <w:t> </w:t>
      </w:r>
      <w:r>
        <w:rPr>
          <w:sz w:val="20"/>
        </w:rPr>
        <w:t>code</w:t>
      </w:r>
      <w:r>
        <w:rPr>
          <w:spacing w:val="-1"/>
          <w:sz w:val="20"/>
        </w:rPr>
        <w:t> </w:t>
      </w:r>
      <w:r>
        <w:rPr>
          <w:sz w:val="20"/>
        </w:rPr>
        <w:t>of</w:t>
      </w:r>
      <w:r>
        <w:rPr>
          <w:spacing w:val="-1"/>
          <w:sz w:val="20"/>
        </w:rPr>
        <w:t> </w:t>
      </w:r>
      <w:r>
        <w:rPr>
          <w:sz w:val="20"/>
        </w:rPr>
        <w:t>marine</w:t>
      </w:r>
      <w:r>
        <w:rPr>
          <w:spacing w:val="-1"/>
          <w:sz w:val="20"/>
        </w:rPr>
        <w:t> </w:t>
      </w:r>
      <w:r>
        <w:rPr>
          <w:sz w:val="20"/>
        </w:rPr>
        <w:t>insurance</w:t>
      </w:r>
      <w:r>
        <w:rPr>
          <w:spacing w:val="-1"/>
          <w:sz w:val="20"/>
        </w:rPr>
        <w:t> </w:t>
      </w:r>
      <w:r>
        <w:rPr>
          <w:sz w:val="20"/>
        </w:rPr>
        <w:t>law</w:t>
      </w:r>
      <w:r>
        <w:rPr>
          <w:spacing w:val="-1"/>
          <w:sz w:val="20"/>
        </w:rPr>
        <w:t> </w:t>
      </w:r>
      <w:r>
        <w:rPr>
          <w:sz w:val="20"/>
        </w:rPr>
        <w:t>in</w:t>
      </w:r>
      <w:r>
        <w:rPr>
          <w:spacing w:val="-1"/>
          <w:sz w:val="20"/>
        </w:rPr>
        <w:t> </w:t>
      </w:r>
      <w:r>
        <w:rPr>
          <w:sz w:val="20"/>
        </w:rPr>
        <w:t>Kuwait,</w:t>
      </w:r>
      <w:r>
        <w:rPr>
          <w:spacing w:val="-1"/>
          <w:sz w:val="20"/>
        </w:rPr>
        <w:t> </w:t>
      </w:r>
      <w:r>
        <w:rPr>
          <w:sz w:val="20"/>
        </w:rPr>
        <w:t>the</w:t>
      </w:r>
      <w:r>
        <w:rPr>
          <w:spacing w:val="-1"/>
          <w:sz w:val="20"/>
        </w:rPr>
        <w:t> </w:t>
      </w:r>
      <w:r>
        <w:rPr>
          <w:sz w:val="20"/>
        </w:rPr>
        <w:t>other possible applicable law, was held, at common law, to point to an intention to choose English law. cf. </w:t>
      </w:r>
      <w:r>
        <w:rPr>
          <w:rFonts w:ascii="Arial" w:hAnsi="Arial"/>
          <w:i/>
          <w:sz w:val="20"/>
        </w:rPr>
        <w:t>DR Insurance Co v Central National Insurance Co [1996] 1 Lloyd’s Rep. 74</w:t>
      </w:r>
      <w:r>
        <w:rPr>
          <w:sz w:val="20"/>
        </w:rPr>
        <w:t>.</w:t>
      </w:r>
    </w:p>
    <w:p>
      <w:pPr>
        <w:pStyle w:val="BodyText"/>
        <w:spacing w:before="4"/>
      </w:pPr>
    </w:p>
    <w:p>
      <w:pPr>
        <w:tabs>
          <w:tab w:pos="705" w:val="left" w:leader="none"/>
        </w:tabs>
        <w:spacing w:line="235" w:lineRule="auto" w:before="0"/>
        <w:ind w:left="705" w:right="168" w:hanging="541"/>
        <w:jc w:val="left"/>
        <w:rPr>
          <w:sz w:val="20"/>
        </w:rPr>
      </w:pPr>
      <w:bookmarkStart w:name="_bookmark542" w:id="544"/>
      <w:bookmarkEnd w:id="544"/>
      <w:r>
        <w:rPr/>
      </w:r>
      <w:hyperlink w:history="true" w:anchor="_bookmark432">
        <w:r>
          <w:rPr>
            <w:color w:val="005DA1"/>
            <w:spacing w:val="-4"/>
            <w:position w:val="5"/>
            <w:sz w:val="14"/>
            <w:u w:val="single" w:color="005DA1"/>
          </w:rPr>
          <w:t>246</w:t>
        </w:r>
      </w:hyperlink>
      <w:r>
        <w:rPr>
          <w:spacing w:val="-4"/>
          <w:position w:val="5"/>
          <w:sz w:val="14"/>
        </w:rPr>
        <w:t>.</w:t>
      </w:r>
      <w:r>
        <w:rPr>
          <w:position w:val="5"/>
          <w:sz w:val="14"/>
        </w:rPr>
        <w:tab/>
      </w:r>
      <w:r>
        <w:rPr>
          <w:sz w:val="20"/>
        </w:rPr>
        <w:t>See</w:t>
      </w:r>
      <w:r>
        <w:rPr>
          <w:spacing w:val="40"/>
          <w:sz w:val="20"/>
        </w:rPr>
        <w:t> </w:t>
      </w:r>
      <w:r>
        <w:rPr>
          <w:rFonts w:ascii="Arial" w:hAnsi="Arial"/>
          <w:i/>
          <w:sz w:val="20"/>
        </w:rPr>
        <w:t>Aeolian</w:t>
      </w:r>
      <w:r>
        <w:rPr>
          <w:rFonts w:ascii="Arial" w:hAnsi="Arial"/>
          <w:i/>
          <w:spacing w:val="40"/>
          <w:sz w:val="20"/>
        </w:rPr>
        <w:t> </w:t>
      </w:r>
      <w:r>
        <w:rPr>
          <w:rFonts w:ascii="Arial" w:hAnsi="Arial"/>
          <w:i/>
          <w:sz w:val="20"/>
        </w:rPr>
        <w:t>Shipping</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ISS</w:t>
      </w:r>
      <w:r>
        <w:rPr>
          <w:rFonts w:ascii="Arial" w:hAnsi="Arial"/>
          <w:i/>
          <w:spacing w:val="40"/>
          <w:sz w:val="20"/>
        </w:rPr>
        <w:t> </w:t>
      </w:r>
      <w:r>
        <w:rPr>
          <w:rFonts w:ascii="Arial" w:hAnsi="Arial"/>
          <w:i/>
          <w:sz w:val="20"/>
        </w:rPr>
        <w:t>Machinery</w:t>
      </w:r>
      <w:r>
        <w:rPr>
          <w:rFonts w:ascii="Arial" w:hAnsi="Arial"/>
          <w:i/>
          <w:spacing w:val="40"/>
          <w:sz w:val="20"/>
        </w:rPr>
        <w:t> </w:t>
      </w:r>
      <w:r>
        <w:rPr>
          <w:rFonts w:ascii="Arial" w:hAnsi="Arial"/>
          <w:i/>
          <w:sz w:val="20"/>
        </w:rPr>
        <w:t>Services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[2001]</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1162,</w:t>
      </w:r>
      <w:r>
        <w:rPr>
          <w:rFonts w:ascii="Arial" w:hAnsi="Arial"/>
          <w:i/>
          <w:spacing w:val="40"/>
          <w:sz w:val="20"/>
        </w:rPr>
        <w:t> </w:t>
      </w:r>
      <w:r>
        <w:rPr>
          <w:rFonts w:ascii="Arial" w:hAnsi="Arial"/>
          <w:i/>
          <w:sz w:val="20"/>
        </w:rPr>
        <w:t>[2001]</w:t>
      </w:r>
      <w:r>
        <w:rPr>
          <w:rFonts w:ascii="Arial" w:hAnsi="Arial"/>
          <w:i/>
          <w:spacing w:val="40"/>
          <w:sz w:val="20"/>
        </w:rPr>
        <w:t> </w:t>
      </w:r>
      <w:r>
        <w:rPr>
          <w:rFonts w:ascii="Arial" w:hAnsi="Arial"/>
          <w:i/>
          <w:sz w:val="20"/>
        </w:rPr>
        <w:t>2 Lloyd’s Rep. 641</w:t>
      </w:r>
      <w:r>
        <w:rPr>
          <w:sz w:val="20"/>
        </w:rPr>
        <w:t>; cf. </w:t>
      </w:r>
      <w:r>
        <w:rPr>
          <w:rFonts w:ascii="Arial" w:hAnsi="Arial"/>
          <w:i/>
          <w:sz w:val="20"/>
        </w:rPr>
        <w:t>Burrows v Jamaica Private Power Co Ltd [2002] 1 All E.R. (Comm) 374</w:t>
      </w:r>
      <w:r>
        <w:rPr>
          <w:sz w:val="20"/>
        </w:rPr>
        <w:t>.</w:t>
      </w:r>
    </w:p>
    <w:p>
      <w:pPr>
        <w:pStyle w:val="BodyText"/>
        <w:spacing w:before="9"/>
      </w:pPr>
    </w:p>
    <w:p>
      <w:pPr>
        <w:spacing w:line="235" w:lineRule="auto" w:before="0"/>
        <w:ind w:left="705" w:right="167" w:hanging="541"/>
        <w:jc w:val="both"/>
        <w:rPr>
          <w:rFonts w:ascii="Arial"/>
          <w:i/>
          <w:sz w:val="20"/>
        </w:rPr>
      </w:pPr>
      <w:bookmarkStart w:name="_bookmark543" w:id="545"/>
      <w:bookmarkEnd w:id="545"/>
      <w:r>
        <w:rPr/>
      </w:r>
      <w:hyperlink w:history="true" w:anchor="_bookmark433">
        <w:r>
          <w:rPr>
            <w:color w:val="005DA1"/>
            <w:position w:val="5"/>
            <w:sz w:val="14"/>
            <w:u w:val="single" w:color="005DA1"/>
          </w:rPr>
          <w:t>247</w:t>
        </w:r>
      </w:hyperlink>
      <w:r>
        <w:rPr>
          <w:position w:val="5"/>
          <w:sz w:val="14"/>
        </w:rPr>
        <w:t>.</w:t>
      </w:r>
      <w:r>
        <w:rPr>
          <w:spacing w:val="80"/>
          <w:position w:val="5"/>
          <w:sz w:val="14"/>
        </w:rPr>
        <w:t>  </w:t>
      </w:r>
      <w:r>
        <w:rPr>
          <w:rFonts w:ascii="Arial"/>
          <w:i/>
          <w:sz w:val="20"/>
        </w:rPr>
        <w:t>Marubeni Hong Kong and South China Ltd v Mongolian Government [2002] 2 All E.R. (Comm) 873</w:t>
      </w:r>
      <w:r>
        <w:rPr>
          <w:sz w:val="20"/>
        </w:rPr>
        <w:t>. cf. </w:t>
      </w:r>
      <w:r>
        <w:rPr>
          <w:rFonts w:ascii="Arial"/>
          <w:i/>
          <w:sz w:val="20"/>
        </w:rPr>
        <w:t>Burrows v Jamaica Private Power Co Ltd [2002] 1 All E.R. (Comm) 374</w:t>
      </w:r>
      <w:r>
        <w:rPr>
          <w:sz w:val="20"/>
        </w:rPr>
        <w:t>; </w:t>
      </w:r>
      <w:r>
        <w:rPr>
          <w:rFonts w:ascii="Arial"/>
          <w:i/>
          <w:sz w:val="20"/>
        </w:rPr>
        <w:t>Samcrete Egypt</w:t>
      </w:r>
      <w:r>
        <w:rPr>
          <w:rFonts w:ascii="Arial"/>
          <w:i/>
          <w:spacing w:val="45"/>
          <w:sz w:val="20"/>
        </w:rPr>
        <w:t> </w:t>
      </w:r>
      <w:r>
        <w:rPr>
          <w:rFonts w:ascii="Arial"/>
          <w:i/>
          <w:sz w:val="20"/>
        </w:rPr>
        <w:t>Engineers</w:t>
      </w:r>
      <w:r>
        <w:rPr>
          <w:rFonts w:ascii="Arial"/>
          <w:i/>
          <w:spacing w:val="45"/>
          <w:sz w:val="20"/>
        </w:rPr>
        <w:t> </w:t>
      </w:r>
      <w:r>
        <w:rPr>
          <w:rFonts w:ascii="Arial"/>
          <w:i/>
          <w:sz w:val="20"/>
        </w:rPr>
        <w:t>and</w:t>
      </w:r>
      <w:r>
        <w:rPr>
          <w:rFonts w:ascii="Arial"/>
          <w:i/>
          <w:spacing w:val="45"/>
          <w:sz w:val="20"/>
        </w:rPr>
        <w:t> </w:t>
      </w:r>
      <w:r>
        <w:rPr>
          <w:rFonts w:ascii="Arial"/>
          <w:i/>
          <w:sz w:val="20"/>
        </w:rPr>
        <w:t>Contractors</w:t>
      </w:r>
      <w:r>
        <w:rPr>
          <w:rFonts w:ascii="Arial"/>
          <w:i/>
          <w:spacing w:val="45"/>
          <w:sz w:val="20"/>
        </w:rPr>
        <w:t> </w:t>
      </w:r>
      <w:r>
        <w:rPr>
          <w:rFonts w:ascii="Arial"/>
          <w:i/>
          <w:sz w:val="20"/>
        </w:rPr>
        <w:t>SAE</w:t>
      </w:r>
      <w:r>
        <w:rPr>
          <w:rFonts w:ascii="Arial"/>
          <w:i/>
          <w:spacing w:val="45"/>
          <w:sz w:val="20"/>
        </w:rPr>
        <w:t> </w:t>
      </w:r>
      <w:r>
        <w:rPr>
          <w:rFonts w:ascii="Arial"/>
          <w:i/>
          <w:sz w:val="20"/>
        </w:rPr>
        <w:t>v</w:t>
      </w:r>
      <w:r>
        <w:rPr>
          <w:rFonts w:ascii="Arial"/>
          <w:i/>
          <w:spacing w:val="45"/>
          <w:sz w:val="20"/>
        </w:rPr>
        <w:t> </w:t>
      </w:r>
      <w:r>
        <w:rPr>
          <w:rFonts w:ascii="Arial"/>
          <w:i/>
          <w:sz w:val="20"/>
        </w:rPr>
        <w:t>Land</w:t>
      </w:r>
      <w:r>
        <w:rPr>
          <w:rFonts w:ascii="Arial"/>
          <w:i/>
          <w:spacing w:val="45"/>
          <w:sz w:val="20"/>
        </w:rPr>
        <w:t> </w:t>
      </w:r>
      <w:r>
        <w:rPr>
          <w:rFonts w:ascii="Arial"/>
          <w:i/>
          <w:sz w:val="20"/>
        </w:rPr>
        <w:t>Rover</w:t>
      </w:r>
      <w:r>
        <w:rPr>
          <w:rFonts w:ascii="Arial"/>
          <w:i/>
          <w:spacing w:val="45"/>
          <w:sz w:val="20"/>
        </w:rPr>
        <w:t> </w:t>
      </w:r>
      <w:r>
        <w:rPr>
          <w:rFonts w:ascii="Arial"/>
          <w:i/>
          <w:sz w:val="20"/>
        </w:rPr>
        <w:t>Exports</w:t>
      </w:r>
      <w:r>
        <w:rPr>
          <w:rFonts w:ascii="Arial"/>
          <w:i/>
          <w:spacing w:val="45"/>
          <w:sz w:val="20"/>
        </w:rPr>
        <w:t> </w:t>
      </w:r>
      <w:r>
        <w:rPr>
          <w:rFonts w:ascii="Arial"/>
          <w:i/>
          <w:sz w:val="20"/>
        </w:rPr>
        <w:t>Ltd</w:t>
      </w:r>
      <w:r>
        <w:rPr>
          <w:rFonts w:ascii="Arial"/>
          <w:i/>
          <w:spacing w:val="45"/>
          <w:sz w:val="20"/>
        </w:rPr>
        <w:t> </w:t>
      </w:r>
      <w:r>
        <w:rPr>
          <w:rFonts w:ascii="Arial"/>
          <w:i/>
          <w:sz w:val="20"/>
        </w:rPr>
        <w:t>[2001]</w:t>
      </w:r>
      <w:r>
        <w:rPr>
          <w:rFonts w:ascii="Arial"/>
          <w:i/>
          <w:spacing w:val="45"/>
          <w:sz w:val="20"/>
        </w:rPr>
        <w:t> </w:t>
      </w:r>
      <w:r>
        <w:rPr>
          <w:rFonts w:ascii="Arial"/>
          <w:i/>
          <w:sz w:val="20"/>
        </w:rPr>
        <w:t>EWCA</w:t>
      </w:r>
      <w:r>
        <w:rPr>
          <w:rFonts w:ascii="Arial"/>
          <w:i/>
          <w:spacing w:val="45"/>
          <w:sz w:val="20"/>
        </w:rPr>
        <w:t> </w:t>
      </w:r>
      <w:r>
        <w:rPr>
          <w:rFonts w:ascii="Arial"/>
          <w:i/>
          <w:sz w:val="20"/>
        </w:rPr>
        <w:t>Civ</w:t>
      </w:r>
      <w:r>
        <w:rPr>
          <w:rFonts w:ascii="Arial"/>
          <w:i/>
          <w:spacing w:val="45"/>
          <w:sz w:val="20"/>
        </w:rPr>
        <w:t> </w:t>
      </w:r>
      <w:r>
        <w:rPr>
          <w:rFonts w:ascii="Arial"/>
          <w:i/>
          <w:spacing w:val="-4"/>
          <w:sz w:val="20"/>
        </w:rPr>
        <w:t>2019,</w:t>
      </w:r>
    </w:p>
    <w:p>
      <w:pPr>
        <w:spacing w:after="0" w:line="235" w:lineRule="auto"/>
        <w:jc w:val="both"/>
        <w:rPr>
          <w:rFonts w:ascii="Arial"/>
          <w:i/>
          <w:sz w:val="20"/>
        </w:rPr>
        <w:sectPr>
          <w:pgSz w:w="11900" w:h="16840"/>
          <w:pgMar w:header="971" w:footer="0" w:top="1300" w:bottom="280" w:left="1275" w:right="1275"/>
        </w:sectPr>
      </w:pPr>
    </w:p>
    <w:p>
      <w:pPr>
        <w:pStyle w:val="BodyText"/>
        <w:spacing w:line="235" w:lineRule="auto" w:before="110"/>
        <w:ind w:left="705" w:right="167"/>
        <w:jc w:val="both"/>
      </w:pPr>
      <w:r>
        <w:rPr>
          <w:rFonts w:ascii="Arial" w:hAnsi="Arial"/>
          <w:i/>
        </w:rPr>
        <w:t>[2002] C.L.C. 533 </w:t>
      </w:r>
      <w:r>
        <w:rPr/>
        <w:t>(deletion of English jurisdiction and choice of law clause from draft contract indicates that parties had made no choice as to the governing law). In </w:t>
      </w:r>
      <w:r>
        <w:rPr>
          <w:rFonts w:ascii="Arial" w:hAnsi="Arial"/>
          <w:i/>
        </w:rPr>
        <w:t>The Komninos S. [1991]</w:t>
      </w:r>
      <w:r>
        <w:rPr>
          <w:rFonts w:ascii="Arial" w:hAnsi="Arial"/>
          <w:i/>
          <w:spacing w:val="40"/>
        </w:rPr>
        <w:t> </w:t>
      </w:r>
      <w:r>
        <w:rPr>
          <w:rFonts w:ascii="Arial" w:hAnsi="Arial"/>
          <w:i/>
        </w:rPr>
        <w:t>1 Lloyd’s Rep. 371</w:t>
      </w:r>
      <w:r>
        <w:rPr/>
        <w:t>, the jurisdiction clause referred to “British” courts. This was construed as choice of English courts and English law (“[w]hatever the constitutional niceties, it seems to me altogether</w:t>
      </w:r>
      <w:r>
        <w:rPr>
          <w:spacing w:val="-1"/>
        </w:rPr>
        <w:t> </w:t>
      </w:r>
      <w:r>
        <w:rPr/>
        <w:t>far-fetched,</w:t>
      </w:r>
      <w:r>
        <w:rPr>
          <w:spacing w:val="-1"/>
        </w:rPr>
        <w:t> </w:t>
      </w:r>
      <w:r>
        <w:rPr/>
        <w:t>in</w:t>
      </w:r>
      <w:r>
        <w:rPr>
          <w:spacing w:val="-1"/>
        </w:rPr>
        <w:t> </w:t>
      </w:r>
      <w:r>
        <w:rPr/>
        <w:t>truth</w:t>
      </w:r>
      <w:r>
        <w:rPr>
          <w:spacing w:val="-1"/>
        </w:rPr>
        <w:t> </w:t>
      </w:r>
      <w:r>
        <w:rPr/>
        <w:t>a</w:t>
      </w:r>
      <w:r>
        <w:rPr>
          <w:spacing w:val="-1"/>
        </w:rPr>
        <w:t> </w:t>
      </w:r>
      <w:r>
        <w:rPr/>
        <w:t>lawyer’s</w:t>
      </w:r>
      <w:r>
        <w:rPr>
          <w:spacing w:val="-1"/>
        </w:rPr>
        <w:t> </w:t>
      </w:r>
      <w:r>
        <w:rPr/>
        <w:t>point,</w:t>
      </w:r>
      <w:r>
        <w:rPr>
          <w:spacing w:val="-1"/>
        </w:rPr>
        <w:t> </w:t>
      </w:r>
      <w:r>
        <w:rPr/>
        <w:t>to</w:t>
      </w:r>
      <w:r>
        <w:rPr>
          <w:spacing w:val="-1"/>
        </w:rPr>
        <w:t> </w:t>
      </w:r>
      <w:r>
        <w:rPr/>
        <w:t>suppose</w:t>
      </w:r>
      <w:r>
        <w:rPr>
          <w:spacing w:val="-1"/>
        </w:rPr>
        <w:t> </w:t>
      </w:r>
      <w:r>
        <w:rPr/>
        <w:t>that</w:t>
      </w:r>
      <w:r>
        <w:rPr>
          <w:spacing w:val="-1"/>
        </w:rPr>
        <w:t> </w:t>
      </w:r>
      <w:r>
        <w:rPr/>
        <w:t>the</w:t>
      </w:r>
      <w:r>
        <w:rPr>
          <w:spacing w:val="-1"/>
        </w:rPr>
        <w:t> </w:t>
      </w:r>
      <w:r>
        <w:rPr/>
        <w:t>parties</w:t>
      </w:r>
      <w:r>
        <w:rPr>
          <w:spacing w:val="-1"/>
        </w:rPr>
        <w:t> </w:t>
      </w:r>
      <w:r>
        <w:rPr/>
        <w:t>can</w:t>
      </w:r>
      <w:r>
        <w:rPr>
          <w:spacing w:val="-1"/>
        </w:rPr>
        <w:t> </w:t>
      </w:r>
      <w:r>
        <w:rPr/>
        <w:t>have</w:t>
      </w:r>
      <w:r>
        <w:rPr>
          <w:spacing w:val="-1"/>
        </w:rPr>
        <w:t> </w:t>
      </w:r>
      <w:r>
        <w:rPr/>
        <w:t>intended</w:t>
      </w:r>
      <w:r>
        <w:rPr>
          <w:spacing w:val="-1"/>
        </w:rPr>
        <w:t> </w:t>
      </w:r>
      <w:r>
        <w:rPr/>
        <w:t>to embrace the Courts of British dependencies overseas” and “scarcely less far-fetched to suppose that the parties can have meant or intended to embrace” the courts of Scotland or Northern Ireland: 374, per Bingham L.J.).</w:t>
      </w:r>
    </w:p>
    <w:p>
      <w:pPr>
        <w:pStyle w:val="BodyText"/>
        <w:spacing w:before="3"/>
      </w:pPr>
    </w:p>
    <w:p>
      <w:pPr>
        <w:tabs>
          <w:tab w:pos="705" w:val="left" w:leader="none"/>
        </w:tabs>
        <w:spacing w:before="0"/>
        <w:ind w:left="165" w:right="0" w:firstLine="0"/>
        <w:jc w:val="left"/>
        <w:rPr>
          <w:sz w:val="20"/>
        </w:rPr>
      </w:pPr>
      <w:bookmarkStart w:name="_bookmark544" w:id="546"/>
      <w:bookmarkEnd w:id="546"/>
      <w:r>
        <w:rPr/>
      </w:r>
      <w:hyperlink w:history="true" w:anchor="_bookmark434">
        <w:r>
          <w:rPr>
            <w:color w:val="005DA1"/>
            <w:spacing w:val="-4"/>
            <w:position w:val="5"/>
            <w:sz w:val="14"/>
            <w:u w:val="single" w:color="005DA1"/>
          </w:rPr>
          <w:t>248</w:t>
        </w:r>
      </w:hyperlink>
      <w:r>
        <w:rPr>
          <w:spacing w:val="-4"/>
          <w:position w:val="5"/>
          <w:sz w:val="14"/>
        </w:rPr>
        <w:t>.</w:t>
      </w:r>
      <w:r>
        <w:rPr>
          <w:position w:val="5"/>
          <w:sz w:val="14"/>
        </w:rPr>
        <w:tab/>
      </w:r>
      <w:r>
        <w:rPr>
          <w:sz w:val="20"/>
        </w:rPr>
        <w:t>cf.</w:t>
      </w:r>
      <w:r>
        <w:rPr>
          <w:spacing w:val="-1"/>
          <w:sz w:val="20"/>
        </w:rPr>
        <w:t> </w:t>
      </w:r>
      <w:r>
        <w:rPr>
          <w:rFonts w:ascii="Arial"/>
          <w:i/>
          <w:sz w:val="20"/>
        </w:rPr>
        <w:t>The Stensby (1948) 64 T.L.R. 89</w:t>
      </w:r>
      <w:r>
        <w:rPr>
          <w:sz w:val="20"/>
        </w:rPr>
        <w:t>; </w:t>
      </w:r>
      <w:r>
        <w:rPr>
          <w:rFonts w:ascii="Arial"/>
          <w:i/>
          <w:sz w:val="20"/>
        </w:rPr>
        <w:t>Keiner v Keiner [1952] 1 All E.R. </w:t>
      </w:r>
      <w:r>
        <w:rPr>
          <w:rFonts w:ascii="Arial"/>
          <w:i/>
          <w:spacing w:val="-4"/>
          <w:sz w:val="20"/>
        </w:rPr>
        <w:t>643</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545" w:id="547"/>
      <w:bookmarkEnd w:id="547"/>
      <w:r>
        <w:rPr/>
      </w:r>
      <w:hyperlink w:history="true" w:anchor="_bookmark435">
        <w:r>
          <w:rPr>
            <w:color w:val="005DA1"/>
            <w:position w:val="5"/>
            <w:sz w:val="14"/>
            <w:u w:val="single" w:color="005DA1"/>
          </w:rPr>
          <w:t>249</w:t>
        </w:r>
      </w:hyperlink>
      <w:r>
        <w:rPr>
          <w:position w:val="5"/>
          <w:sz w:val="14"/>
        </w:rPr>
        <w:t>.</w:t>
      </w:r>
      <w:r>
        <w:rPr>
          <w:spacing w:val="80"/>
          <w:position w:val="5"/>
          <w:sz w:val="14"/>
        </w:rPr>
        <w:t>  </w:t>
      </w:r>
      <w:r>
        <w:rPr>
          <w:sz w:val="20"/>
        </w:rPr>
        <w:t>See </w:t>
      </w:r>
      <w:r>
        <w:rPr>
          <w:rFonts w:ascii="Arial" w:hAnsi="Arial"/>
          <w:i/>
          <w:sz w:val="20"/>
        </w:rPr>
        <w:t>Samcrete Egypt Engineers and Contractors SAE v Land Rover Exports Ltd [2001] </w:t>
      </w:r>
      <w:r>
        <w:rPr>
          <w:rFonts w:ascii="Arial" w:hAnsi="Arial"/>
          <w:i/>
          <w:sz w:val="20"/>
        </w:rPr>
        <w:t>EWCA Civ</w:t>
      </w:r>
      <w:r>
        <w:rPr>
          <w:rFonts w:ascii="Arial" w:hAnsi="Arial"/>
          <w:i/>
          <w:spacing w:val="-2"/>
          <w:sz w:val="20"/>
        </w:rPr>
        <w:t> </w:t>
      </w:r>
      <w:r>
        <w:rPr>
          <w:rFonts w:ascii="Arial" w:hAnsi="Arial"/>
          <w:i/>
          <w:sz w:val="20"/>
        </w:rPr>
        <w:t>2019</w:t>
      </w:r>
      <w:r>
        <w:rPr>
          <w:sz w:val="20"/>
        </w:rPr>
        <w:t>.</w:t>
      </w:r>
      <w:r>
        <w:rPr>
          <w:spacing w:val="-2"/>
          <w:sz w:val="20"/>
        </w:rPr>
        <w:t> </w:t>
      </w:r>
      <w:r>
        <w:rPr>
          <w:sz w:val="20"/>
        </w:rPr>
        <w:t>Contrast</w:t>
      </w:r>
      <w:r>
        <w:rPr>
          <w:spacing w:val="-2"/>
          <w:sz w:val="20"/>
        </w:rPr>
        <w:t> </w:t>
      </w:r>
      <w:r>
        <w:rPr>
          <w:rFonts w:ascii="Arial" w:hAnsi="Arial"/>
          <w:i/>
          <w:sz w:val="20"/>
        </w:rPr>
        <w:t>Gan</w:t>
      </w:r>
      <w:r>
        <w:rPr>
          <w:rFonts w:ascii="Arial" w:hAnsi="Arial"/>
          <w:i/>
          <w:spacing w:val="-2"/>
          <w:sz w:val="20"/>
        </w:rPr>
        <w:t> </w:t>
      </w:r>
      <w:r>
        <w:rPr>
          <w:rFonts w:ascii="Arial" w:hAnsi="Arial"/>
          <w:i/>
          <w:sz w:val="20"/>
        </w:rPr>
        <w:t>Insurance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Tai</w:t>
      </w:r>
      <w:r>
        <w:rPr>
          <w:rFonts w:ascii="Arial" w:hAnsi="Arial"/>
          <w:i/>
          <w:spacing w:val="-2"/>
          <w:sz w:val="20"/>
        </w:rPr>
        <w:t> </w:t>
      </w:r>
      <w:r>
        <w:rPr>
          <w:rFonts w:ascii="Arial" w:hAnsi="Arial"/>
          <w:i/>
          <w:sz w:val="20"/>
        </w:rPr>
        <w:t>Ping</w:t>
      </w:r>
      <w:r>
        <w:rPr>
          <w:rFonts w:ascii="Arial" w:hAnsi="Arial"/>
          <w:i/>
          <w:spacing w:val="-2"/>
          <w:sz w:val="20"/>
        </w:rPr>
        <w:t> </w:t>
      </w:r>
      <w:r>
        <w:rPr>
          <w:rFonts w:ascii="Arial" w:hAnsi="Arial"/>
          <w:i/>
          <w:sz w:val="20"/>
        </w:rPr>
        <w:t>Insurance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[1999]</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(Comm) 54</w:t>
      </w:r>
      <w:r>
        <w:rPr>
          <w:rFonts w:ascii="Arial" w:hAnsi="Arial"/>
          <w:i/>
          <w:spacing w:val="-1"/>
          <w:sz w:val="20"/>
        </w:rPr>
        <w:t> </w:t>
      </w:r>
      <w:r>
        <w:rPr>
          <w:sz w:val="20"/>
        </w:rPr>
        <w:t>(fact</w:t>
      </w:r>
      <w:r>
        <w:rPr>
          <w:spacing w:val="-1"/>
          <w:sz w:val="20"/>
        </w:rPr>
        <w:t> </w:t>
      </w:r>
      <w:r>
        <w:rPr>
          <w:sz w:val="20"/>
        </w:rPr>
        <w:t>that</w:t>
      </w:r>
      <w:r>
        <w:rPr>
          <w:spacing w:val="-1"/>
          <w:sz w:val="20"/>
        </w:rPr>
        <w:t> </w:t>
      </w:r>
      <w:r>
        <w:rPr>
          <w:sz w:val="20"/>
        </w:rPr>
        <w:t>insurance</w:t>
      </w:r>
      <w:r>
        <w:rPr>
          <w:spacing w:val="-1"/>
          <w:sz w:val="20"/>
        </w:rPr>
        <w:t> </w:t>
      </w:r>
      <w:r>
        <w:rPr>
          <w:sz w:val="20"/>
        </w:rPr>
        <w:t>policy</w:t>
      </w:r>
      <w:r>
        <w:rPr>
          <w:spacing w:val="-1"/>
          <w:sz w:val="20"/>
        </w:rPr>
        <w:t> </w:t>
      </w:r>
      <w:r>
        <w:rPr>
          <w:sz w:val="20"/>
        </w:rPr>
        <w:t>was</w:t>
      </w:r>
      <w:r>
        <w:rPr>
          <w:spacing w:val="-1"/>
          <w:sz w:val="20"/>
        </w:rPr>
        <w:t> </w:t>
      </w:r>
      <w:r>
        <w:rPr>
          <w:sz w:val="20"/>
        </w:rPr>
        <w:t>expressly</w:t>
      </w:r>
      <w:r>
        <w:rPr>
          <w:spacing w:val="-1"/>
          <w:sz w:val="20"/>
        </w:rPr>
        <w:t> </w:t>
      </w:r>
      <w:r>
        <w:rPr>
          <w:sz w:val="20"/>
        </w:rPr>
        <w:t>governed</w:t>
      </w:r>
      <w:r>
        <w:rPr>
          <w:spacing w:val="-1"/>
          <w:sz w:val="20"/>
        </w:rPr>
        <w:t> </w:t>
      </w:r>
      <w:r>
        <w:rPr>
          <w:sz w:val="20"/>
        </w:rPr>
        <w:t>by</w:t>
      </w:r>
      <w:r>
        <w:rPr>
          <w:spacing w:val="-1"/>
          <w:sz w:val="20"/>
        </w:rPr>
        <w:t> </w:t>
      </w:r>
      <w:r>
        <w:rPr>
          <w:sz w:val="20"/>
        </w:rPr>
        <w:t>the</w:t>
      </w:r>
      <w:r>
        <w:rPr>
          <w:spacing w:val="-1"/>
          <w:sz w:val="20"/>
        </w:rPr>
        <w:t> </w:t>
      </w:r>
      <w:r>
        <w:rPr>
          <w:sz w:val="20"/>
        </w:rPr>
        <w:t>law</w:t>
      </w:r>
      <w:r>
        <w:rPr>
          <w:spacing w:val="-1"/>
          <w:sz w:val="20"/>
        </w:rPr>
        <w:t> </w:t>
      </w:r>
      <w:r>
        <w:rPr>
          <w:sz w:val="20"/>
        </w:rPr>
        <w:t>of</w:t>
      </w:r>
      <w:r>
        <w:rPr>
          <w:spacing w:val="-1"/>
          <w:sz w:val="20"/>
        </w:rPr>
        <w:t> </w:t>
      </w:r>
      <w:r>
        <w:rPr>
          <w:sz w:val="20"/>
        </w:rPr>
        <w:t>Taiwan</w:t>
      </w:r>
      <w:r>
        <w:rPr>
          <w:spacing w:val="-1"/>
          <w:sz w:val="20"/>
        </w:rPr>
        <w:t> </w:t>
      </w:r>
      <w:r>
        <w:rPr>
          <w:sz w:val="20"/>
        </w:rPr>
        <w:t>did</w:t>
      </w:r>
      <w:r>
        <w:rPr>
          <w:spacing w:val="-1"/>
          <w:sz w:val="20"/>
        </w:rPr>
        <w:t> </w:t>
      </w:r>
      <w:r>
        <w:rPr>
          <w:sz w:val="20"/>
        </w:rPr>
        <w:t>not</w:t>
      </w:r>
      <w:r>
        <w:rPr>
          <w:spacing w:val="-1"/>
          <w:sz w:val="20"/>
        </w:rPr>
        <w:t> </w:t>
      </w:r>
      <w:r>
        <w:rPr>
          <w:sz w:val="20"/>
        </w:rPr>
        <w:t>demonstrate with reasonable certainty an intention to choose Taiwanese law as the law applicable to an associated reinsurance policy which was made in England between English underwriters and brokers and thus was governed by English law). See too </w:t>
      </w:r>
      <w:r>
        <w:rPr>
          <w:rFonts w:ascii="Arial" w:hAnsi="Arial"/>
          <w:i/>
          <w:sz w:val="20"/>
        </w:rPr>
        <w:t>Emeraldian Ltd Partnership v Wellmix Shipping Ltd [2010] EWHC 1411 (Comm), [2010] 1 C.L.C. 993</w:t>
      </w:r>
      <w:r>
        <w:rPr>
          <w:sz w:val="20"/>
        </w:rPr>
        <w:t>; </w:t>
      </w:r>
      <w:r>
        <w:rPr>
          <w:rFonts w:ascii="Arial" w:hAnsi="Arial"/>
          <w:i/>
          <w:sz w:val="20"/>
        </w:rPr>
        <w:t>FR Lurssen Werft GmbH v</w:t>
      </w:r>
      <w:r>
        <w:rPr>
          <w:rFonts w:ascii="Arial" w:hAnsi="Arial"/>
          <w:i/>
          <w:spacing w:val="40"/>
          <w:sz w:val="20"/>
        </w:rPr>
        <w:t> </w:t>
      </w:r>
      <w:r>
        <w:rPr>
          <w:rFonts w:ascii="Arial" w:hAnsi="Arial"/>
          <w:i/>
          <w:sz w:val="20"/>
        </w:rPr>
        <w:t>Halle [2010] EWCA Civ 587, [2011] 1 Lloyd’s Rep. 265</w:t>
      </w:r>
      <w:r>
        <w:rPr>
          <w:sz w:val="20"/>
        </w:rPr>
        <w:t>; </w:t>
      </w:r>
      <w:r>
        <w:rPr>
          <w:rFonts w:ascii="Arial" w:hAnsi="Arial"/>
          <w:i/>
          <w:sz w:val="20"/>
        </w:rPr>
        <w:t>Gard Marine &amp; Energy Ltd v Tunnicliffe [2010]</w:t>
      </w:r>
      <w:r>
        <w:rPr>
          <w:rFonts w:ascii="Arial" w:hAnsi="Arial"/>
          <w:i/>
          <w:spacing w:val="30"/>
          <w:sz w:val="20"/>
        </w:rPr>
        <w:t> </w:t>
      </w:r>
      <w:r>
        <w:rPr>
          <w:rFonts w:ascii="Arial" w:hAnsi="Arial"/>
          <w:i/>
          <w:sz w:val="20"/>
        </w:rPr>
        <w:t>EWCA</w:t>
      </w:r>
      <w:r>
        <w:rPr>
          <w:rFonts w:ascii="Arial" w:hAnsi="Arial"/>
          <w:i/>
          <w:spacing w:val="33"/>
          <w:sz w:val="20"/>
        </w:rPr>
        <w:t> </w:t>
      </w:r>
      <w:r>
        <w:rPr>
          <w:rFonts w:ascii="Arial" w:hAnsi="Arial"/>
          <w:i/>
          <w:sz w:val="20"/>
        </w:rPr>
        <w:t>Civ</w:t>
      </w:r>
      <w:r>
        <w:rPr>
          <w:rFonts w:ascii="Arial" w:hAnsi="Arial"/>
          <w:i/>
          <w:spacing w:val="33"/>
          <w:sz w:val="20"/>
        </w:rPr>
        <w:t> </w:t>
      </w:r>
      <w:r>
        <w:rPr>
          <w:rFonts w:ascii="Arial" w:hAnsi="Arial"/>
          <w:i/>
          <w:sz w:val="20"/>
        </w:rPr>
        <w:t>1052,</w:t>
      </w:r>
      <w:r>
        <w:rPr>
          <w:rFonts w:ascii="Arial" w:hAnsi="Arial"/>
          <w:i/>
          <w:spacing w:val="33"/>
          <w:sz w:val="20"/>
        </w:rPr>
        <w:t> </w:t>
      </w:r>
      <w:r>
        <w:rPr>
          <w:rFonts w:ascii="Arial" w:hAnsi="Arial"/>
          <w:i/>
          <w:sz w:val="20"/>
        </w:rPr>
        <w:t>[2011]</w:t>
      </w:r>
      <w:r>
        <w:rPr>
          <w:rFonts w:ascii="Arial" w:hAnsi="Arial"/>
          <w:i/>
          <w:spacing w:val="33"/>
          <w:sz w:val="20"/>
        </w:rPr>
        <w:t> </w:t>
      </w:r>
      <w:r>
        <w:rPr>
          <w:rFonts w:ascii="Arial" w:hAnsi="Arial"/>
          <w:i/>
          <w:sz w:val="20"/>
        </w:rPr>
        <w:t>I.L.Pr.</w:t>
      </w:r>
      <w:r>
        <w:rPr>
          <w:rFonts w:ascii="Arial" w:hAnsi="Arial"/>
          <w:i/>
          <w:spacing w:val="33"/>
          <w:sz w:val="20"/>
        </w:rPr>
        <w:t> </w:t>
      </w:r>
      <w:r>
        <w:rPr>
          <w:rFonts w:ascii="Arial" w:hAnsi="Arial"/>
          <w:i/>
          <w:sz w:val="20"/>
        </w:rPr>
        <w:t>10</w:t>
      </w:r>
      <w:r>
        <w:rPr>
          <w:sz w:val="20"/>
        </w:rPr>
        <w:t>;</w:t>
      </w:r>
      <w:r>
        <w:rPr>
          <w:spacing w:val="34"/>
          <w:sz w:val="20"/>
        </w:rPr>
        <w:t> </w:t>
      </w:r>
      <w:r>
        <w:rPr>
          <w:rFonts w:ascii="Arial" w:hAnsi="Arial"/>
          <w:i/>
          <w:sz w:val="20"/>
        </w:rPr>
        <w:t>Stonebridge</w:t>
      </w:r>
      <w:r>
        <w:rPr>
          <w:rFonts w:ascii="Arial" w:hAnsi="Arial"/>
          <w:i/>
          <w:spacing w:val="33"/>
          <w:sz w:val="20"/>
        </w:rPr>
        <w:t> </w:t>
      </w:r>
      <w:r>
        <w:rPr>
          <w:rFonts w:ascii="Arial" w:hAnsi="Arial"/>
          <w:i/>
          <w:sz w:val="20"/>
        </w:rPr>
        <w:t>Underwriting</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Ontario</w:t>
      </w:r>
      <w:r>
        <w:rPr>
          <w:rFonts w:ascii="Arial" w:hAnsi="Arial"/>
          <w:i/>
          <w:spacing w:val="33"/>
          <w:sz w:val="20"/>
        </w:rPr>
        <w:t> </w:t>
      </w:r>
      <w:r>
        <w:rPr>
          <w:rFonts w:ascii="Arial" w:hAnsi="Arial"/>
          <w:i/>
          <w:spacing w:val="-2"/>
          <w:sz w:val="20"/>
        </w:rPr>
        <w:t>Municipal</w:t>
      </w:r>
    </w:p>
    <w:p>
      <w:pPr>
        <w:spacing w:line="220" w:lineRule="exact" w:before="0"/>
        <w:ind w:left="705" w:right="0" w:firstLine="0"/>
        <w:jc w:val="both"/>
        <w:rPr>
          <w:rFonts w:ascii="Arial"/>
          <w:i/>
          <w:sz w:val="20"/>
        </w:rPr>
      </w:pPr>
      <w:r>
        <w:rPr>
          <w:rFonts w:ascii="Arial"/>
          <w:i/>
          <w:sz w:val="20"/>
        </w:rPr>
        <w:t>Insurance</w:t>
      </w:r>
      <w:r>
        <w:rPr>
          <w:rFonts w:ascii="Arial"/>
          <w:i/>
          <w:spacing w:val="18"/>
          <w:sz w:val="20"/>
        </w:rPr>
        <w:t> </w:t>
      </w:r>
      <w:r>
        <w:rPr>
          <w:rFonts w:ascii="Arial"/>
          <w:i/>
          <w:sz w:val="20"/>
        </w:rPr>
        <w:t>Exchange</w:t>
      </w:r>
      <w:r>
        <w:rPr>
          <w:rFonts w:ascii="Arial"/>
          <w:i/>
          <w:spacing w:val="19"/>
          <w:sz w:val="20"/>
        </w:rPr>
        <w:t> </w:t>
      </w:r>
      <w:r>
        <w:rPr>
          <w:rFonts w:ascii="Arial"/>
          <w:i/>
          <w:sz w:val="20"/>
        </w:rPr>
        <w:t>[2010]</w:t>
      </w:r>
      <w:r>
        <w:rPr>
          <w:rFonts w:ascii="Arial"/>
          <w:i/>
          <w:spacing w:val="19"/>
          <w:sz w:val="20"/>
        </w:rPr>
        <w:t> </w:t>
      </w:r>
      <w:r>
        <w:rPr>
          <w:rFonts w:ascii="Arial"/>
          <w:i/>
          <w:sz w:val="20"/>
        </w:rPr>
        <w:t>EWHC</w:t>
      </w:r>
      <w:r>
        <w:rPr>
          <w:rFonts w:ascii="Arial"/>
          <w:i/>
          <w:spacing w:val="19"/>
          <w:sz w:val="20"/>
        </w:rPr>
        <w:t> </w:t>
      </w:r>
      <w:r>
        <w:rPr>
          <w:rFonts w:ascii="Arial"/>
          <w:i/>
          <w:sz w:val="20"/>
        </w:rPr>
        <w:t>2279</w:t>
      </w:r>
      <w:r>
        <w:rPr>
          <w:rFonts w:ascii="Arial"/>
          <w:i/>
          <w:spacing w:val="19"/>
          <w:sz w:val="20"/>
        </w:rPr>
        <w:t> </w:t>
      </w:r>
      <w:r>
        <w:rPr>
          <w:rFonts w:ascii="Arial"/>
          <w:i/>
          <w:sz w:val="20"/>
        </w:rPr>
        <w:t>(Comm),</w:t>
      </w:r>
      <w:r>
        <w:rPr>
          <w:rFonts w:ascii="Arial"/>
          <w:i/>
          <w:spacing w:val="19"/>
          <w:sz w:val="20"/>
        </w:rPr>
        <w:t> </w:t>
      </w:r>
      <w:r>
        <w:rPr>
          <w:rFonts w:ascii="Arial"/>
          <w:i/>
          <w:sz w:val="20"/>
        </w:rPr>
        <w:t>[2010]</w:t>
      </w:r>
      <w:r>
        <w:rPr>
          <w:rFonts w:ascii="Arial"/>
          <w:i/>
          <w:spacing w:val="19"/>
          <w:sz w:val="20"/>
        </w:rPr>
        <w:t> </w:t>
      </w:r>
      <w:r>
        <w:rPr>
          <w:rFonts w:ascii="Arial"/>
          <w:i/>
          <w:sz w:val="20"/>
        </w:rPr>
        <w:t>1</w:t>
      </w:r>
      <w:r>
        <w:rPr>
          <w:rFonts w:ascii="Arial"/>
          <w:i/>
          <w:spacing w:val="19"/>
          <w:sz w:val="20"/>
        </w:rPr>
        <w:t> </w:t>
      </w:r>
      <w:r>
        <w:rPr>
          <w:rFonts w:ascii="Arial"/>
          <w:i/>
          <w:sz w:val="20"/>
        </w:rPr>
        <w:t>C.L.C.</w:t>
      </w:r>
      <w:r>
        <w:rPr>
          <w:rFonts w:ascii="Arial"/>
          <w:i/>
          <w:spacing w:val="19"/>
          <w:sz w:val="20"/>
        </w:rPr>
        <w:t> </w:t>
      </w:r>
      <w:r>
        <w:rPr>
          <w:rFonts w:ascii="Arial"/>
          <w:i/>
          <w:sz w:val="20"/>
        </w:rPr>
        <w:t>349</w:t>
      </w:r>
      <w:r>
        <w:rPr>
          <w:sz w:val="20"/>
        </w:rPr>
        <w:t>;</w:t>
      </w:r>
      <w:r>
        <w:rPr>
          <w:spacing w:val="19"/>
          <w:sz w:val="20"/>
        </w:rPr>
        <w:t> </w:t>
      </w:r>
      <w:r>
        <w:rPr>
          <w:rFonts w:ascii="Arial"/>
          <w:i/>
          <w:sz w:val="20"/>
        </w:rPr>
        <w:t>Golden</w:t>
      </w:r>
      <w:r>
        <w:rPr>
          <w:rFonts w:ascii="Arial"/>
          <w:i/>
          <w:spacing w:val="19"/>
          <w:sz w:val="20"/>
        </w:rPr>
        <w:t> </w:t>
      </w:r>
      <w:r>
        <w:rPr>
          <w:rFonts w:ascii="Arial"/>
          <w:i/>
          <w:sz w:val="20"/>
        </w:rPr>
        <w:t>Ocean</w:t>
      </w:r>
      <w:r>
        <w:rPr>
          <w:rFonts w:ascii="Arial"/>
          <w:i/>
          <w:spacing w:val="19"/>
          <w:sz w:val="20"/>
        </w:rPr>
        <w:t> </w:t>
      </w:r>
      <w:r>
        <w:rPr>
          <w:rFonts w:ascii="Arial"/>
          <w:i/>
          <w:spacing w:val="-2"/>
          <w:sz w:val="20"/>
        </w:rPr>
        <w:t>Group</w:t>
      </w:r>
    </w:p>
    <w:p>
      <w:pPr>
        <w:spacing w:line="235" w:lineRule="auto" w:before="2"/>
        <w:ind w:left="705" w:right="167" w:firstLine="0"/>
        <w:jc w:val="both"/>
        <w:rPr>
          <w:rFonts w:ascii="Arial" w:hAnsi="Arial"/>
          <w:i/>
          <w:sz w:val="20"/>
        </w:rPr>
      </w:pPr>
      <w:r>
        <w:rPr>
          <w:rFonts w:ascii="Arial" w:hAnsi="Arial"/>
          <w:i/>
          <w:sz w:val="20"/>
        </w:rPr>
        <w:t>Ltd v Salgaocar Mining Industries Pvt Ltd [2011] EWHC 56 (Comm), [2011] 1 C.L.C. 125</w:t>
      </w:r>
      <w:r>
        <w:rPr>
          <w:sz w:val="20"/>
        </w:rPr>
        <w:t>;</w:t>
      </w:r>
      <w:r>
        <w:rPr>
          <w:spacing w:val="40"/>
          <w:sz w:val="20"/>
        </w:rPr>
        <w:t> </w:t>
      </w:r>
      <w:r>
        <w:rPr>
          <w:rFonts w:ascii="Arial" w:hAnsi="Arial"/>
          <w:i/>
          <w:sz w:val="20"/>
        </w:rPr>
        <w:t>British Arab Commercial Bank Plc v Bank of Communications [2011] EWHC 281 </w:t>
      </w:r>
      <w:r>
        <w:rPr>
          <w:rFonts w:ascii="Arial" w:hAnsi="Arial"/>
          <w:i/>
          <w:sz w:val="20"/>
        </w:rPr>
        <w:t>(Comm), [2011] 1 Lloyd’s Rep. 664</w:t>
      </w:r>
      <w:r>
        <w:rPr>
          <w:sz w:val="20"/>
        </w:rPr>
        <w:t>; </w:t>
      </w:r>
      <w:r>
        <w:rPr>
          <w:rFonts w:ascii="Arial" w:hAnsi="Arial"/>
          <w:i/>
          <w:sz w:val="20"/>
        </w:rPr>
        <w:t>Faraday Reinsurance Co Ltd v Howden North American Inc [2011] EWHC 2837 (Comm), [2012] EWCA Civ 980, [2012] 2 C.L.C. 956</w:t>
      </w:r>
      <w:r>
        <w:rPr>
          <w:sz w:val="20"/>
        </w:rPr>
        <w:t>; </w:t>
      </w:r>
      <w:r>
        <w:rPr>
          <w:rFonts w:ascii="Arial" w:hAnsi="Arial"/>
          <w:i/>
          <w:sz w:val="20"/>
        </w:rPr>
        <w:t>Aquavita International SA v Ashapura Minecham Ltd [2014] EWHC 2806 (Comm)</w:t>
      </w:r>
      <w:r>
        <w:rPr>
          <w:sz w:val="20"/>
        </w:rPr>
        <w:t>. And see </w:t>
      </w:r>
      <w:r>
        <w:rPr>
          <w:rFonts w:ascii="Arial" w:hAnsi="Arial"/>
          <w:i/>
          <w:sz w:val="20"/>
        </w:rPr>
        <w:t>Raiffeisen Zentralbank Osterreich AG v National Bank of Greece SA [1999] 1 Lloyd’s Rep. 408</w:t>
      </w:r>
      <w:r>
        <w:rPr>
          <w:sz w:val="20"/>
        </w:rPr>
        <w:t>; </w:t>
      </w:r>
      <w:r>
        <w:rPr>
          <w:rFonts w:ascii="Arial" w:hAnsi="Arial"/>
          <w:i/>
          <w:sz w:val="20"/>
        </w:rPr>
        <w:t>European Bank of Reconstruction &amp; Development v Tekoglu [2004] EWHC 846 (Comm)</w:t>
      </w:r>
      <w:r>
        <w:rPr>
          <w:sz w:val="20"/>
        </w:rPr>
        <w:t>. cf. </w:t>
      </w:r>
      <w:r>
        <w:rPr>
          <w:rFonts w:ascii="Arial" w:hAnsi="Arial"/>
          <w:i/>
          <w:sz w:val="20"/>
        </w:rPr>
        <w:t>Re United Rys of the Havana</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z w:val="20"/>
        </w:rPr>
        <w:t>Regla</w:t>
      </w:r>
      <w:r>
        <w:rPr>
          <w:rFonts w:ascii="Arial" w:hAnsi="Arial"/>
          <w:i/>
          <w:spacing w:val="-3"/>
          <w:sz w:val="20"/>
        </w:rPr>
        <w:t> </w:t>
      </w:r>
      <w:r>
        <w:rPr>
          <w:rFonts w:ascii="Arial" w:hAnsi="Arial"/>
          <w:i/>
          <w:sz w:val="20"/>
        </w:rPr>
        <w:t>Warehouses</w:t>
      </w:r>
      <w:r>
        <w:rPr>
          <w:rFonts w:ascii="Arial" w:hAnsi="Arial"/>
          <w:i/>
          <w:spacing w:val="-3"/>
          <w:sz w:val="20"/>
        </w:rPr>
        <w:t> </w:t>
      </w:r>
      <w:r>
        <w:rPr>
          <w:rFonts w:ascii="Arial" w:hAnsi="Arial"/>
          <w:i/>
          <w:sz w:val="20"/>
        </w:rPr>
        <w:t>[1960]</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52,</w:t>
      </w:r>
      <w:r>
        <w:rPr>
          <w:rFonts w:ascii="Arial" w:hAnsi="Arial"/>
          <w:i/>
          <w:spacing w:val="-3"/>
          <w:sz w:val="20"/>
        </w:rPr>
        <w:t> </w:t>
      </w:r>
      <w:r>
        <w:rPr>
          <w:rFonts w:ascii="Arial" w:hAnsi="Arial"/>
          <w:i/>
          <w:sz w:val="20"/>
        </w:rPr>
        <w:t>94</w:t>
      </w:r>
      <w:r>
        <w:rPr>
          <w:rFonts w:ascii="Arial" w:hAnsi="Arial"/>
          <w:i/>
          <w:spacing w:val="-3"/>
          <w:sz w:val="20"/>
        </w:rPr>
        <w:t> </w:t>
      </w:r>
      <w:r>
        <w:rPr>
          <w:rFonts w:ascii="Arial" w:hAnsi="Arial"/>
          <w:i/>
          <w:sz w:val="20"/>
        </w:rPr>
        <w:t>(affirmed</w:t>
      </w:r>
      <w:r>
        <w:rPr>
          <w:rFonts w:ascii="Arial" w:hAnsi="Arial"/>
          <w:i/>
          <w:spacing w:val="-3"/>
          <w:sz w:val="20"/>
        </w:rPr>
        <w:t> </w:t>
      </w:r>
      <w:r>
        <w:rPr>
          <w:rFonts w:ascii="Arial" w:hAnsi="Arial"/>
          <w:i/>
          <w:sz w:val="20"/>
        </w:rPr>
        <w:t>[1961]</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1007)</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hAnsi="Arial"/>
          <w:i/>
          <w:sz w:val="20"/>
        </w:rPr>
        <w:t>Wahda Bank</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Arab</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[1996]</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470</w:t>
      </w:r>
      <w:r>
        <w:rPr>
          <w:sz w:val="20"/>
        </w:rPr>
        <w:t>;</w:t>
      </w:r>
      <w:r>
        <w:rPr>
          <w:spacing w:val="-2"/>
          <w:sz w:val="20"/>
        </w:rPr>
        <w:t> </w:t>
      </w:r>
      <w:r>
        <w:rPr>
          <w:sz w:val="20"/>
        </w:rPr>
        <w:t>cf.</w:t>
      </w:r>
      <w:r>
        <w:rPr>
          <w:spacing w:val="-2"/>
          <w:sz w:val="20"/>
        </w:rPr>
        <w:t> </w:t>
      </w:r>
      <w:r>
        <w:rPr>
          <w:rFonts w:ascii="Arial" w:hAnsi="Arial"/>
          <w:i/>
          <w:sz w:val="20"/>
        </w:rPr>
        <w:t>Minories</w:t>
      </w:r>
      <w:r>
        <w:rPr>
          <w:rFonts w:ascii="Arial" w:hAnsi="Arial"/>
          <w:i/>
          <w:spacing w:val="-2"/>
          <w:sz w:val="20"/>
        </w:rPr>
        <w:t> </w:t>
      </w:r>
      <w:r>
        <w:rPr>
          <w:rFonts w:ascii="Arial" w:hAnsi="Arial"/>
          <w:i/>
          <w:sz w:val="20"/>
        </w:rPr>
        <w:t>Finance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Afribank</w:t>
      </w:r>
      <w:r>
        <w:rPr>
          <w:rFonts w:ascii="Arial" w:hAnsi="Arial"/>
          <w:i/>
          <w:spacing w:val="-2"/>
          <w:sz w:val="20"/>
        </w:rPr>
        <w:t> </w:t>
      </w:r>
      <w:r>
        <w:rPr>
          <w:rFonts w:ascii="Arial" w:hAnsi="Arial"/>
          <w:i/>
          <w:sz w:val="20"/>
        </w:rPr>
        <w:t>Nigeria</w:t>
      </w:r>
      <w:r>
        <w:rPr>
          <w:rFonts w:ascii="Arial" w:hAnsi="Arial"/>
          <w:i/>
          <w:spacing w:val="-2"/>
          <w:sz w:val="20"/>
        </w:rPr>
        <w:t> </w:t>
      </w:r>
      <w:r>
        <w:rPr>
          <w:rFonts w:ascii="Arial" w:hAnsi="Arial"/>
          <w:i/>
          <w:sz w:val="20"/>
        </w:rPr>
        <w:t>Ltd [1995] 1 Lloyd’s Rep. 134</w:t>
      </w:r>
      <w:r>
        <w:rPr>
          <w:sz w:val="20"/>
        </w:rPr>
        <w:t>; </w:t>
      </w:r>
      <w:r>
        <w:rPr>
          <w:rFonts w:ascii="Arial" w:hAnsi="Arial"/>
          <w:i/>
          <w:sz w:val="20"/>
        </w:rPr>
        <w:t>Bank of Credit and Commerce Hong Kong Ltd v Sonali Bank [1995]</w:t>
      </w:r>
      <w:r>
        <w:rPr>
          <w:rFonts w:ascii="Arial" w:hAnsi="Arial"/>
          <w:i/>
          <w:spacing w:val="40"/>
          <w:sz w:val="20"/>
        </w:rPr>
        <w:t> </w:t>
      </w:r>
      <w:r>
        <w:rPr>
          <w:rFonts w:ascii="Arial" w:hAnsi="Arial"/>
          <w:i/>
          <w:sz w:val="20"/>
        </w:rPr>
        <w:t>1 Lloyd’s Rep. 277</w:t>
      </w:r>
      <w:r>
        <w:rPr>
          <w:sz w:val="20"/>
        </w:rPr>
        <w:t>; </w:t>
      </w:r>
      <w:r>
        <w:rPr>
          <w:rFonts w:ascii="Arial" w:hAnsi="Arial"/>
          <w:i/>
          <w:sz w:val="20"/>
        </w:rPr>
        <w:t>Batstone &amp; Firminger Ltd v Nasima Enterprises (Nigeria) Ltd [1996] C.L.C. 1902,</w:t>
      </w:r>
      <w:r>
        <w:rPr>
          <w:rFonts w:ascii="Arial" w:hAnsi="Arial"/>
          <w:i/>
          <w:spacing w:val="-1"/>
          <w:sz w:val="20"/>
        </w:rPr>
        <w:t> </w:t>
      </w:r>
      <w:r>
        <w:rPr>
          <w:rFonts w:ascii="Arial" w:hAnsi="Arial"/>
          <w:i/>
          <w:sz w:val="20"/>
        </w:rPr>
        <w:t>1910</w:t>
      </w:r>
      <w:r>
        <w:rPr>
          <w:sz w:val="20"/>
        </w:rPr>
        <w:t>.</w:t>
      </w:r>
      <w:r>
        <w:rPr>
          <w:spacing w:val="2"/>
          <w:sz w:val="20"/>
        </w:rPr>
        <w:t> </w:t>
      </w:r>
      <w:r>
        <w:rPr>
          <w:sz w:val="20"/>
        </w:rPr>
        <w:t>And</w:t>
      </w:r>
      <w:r>
        <w:rPr>
          <w:spacing w:val="2"/>
          <w:sz w:val="20"/>
        </w:rPr>
        <w:t> </w:t>
      </w:r>
      <w:r>
        <w:rPr>
          <w:sz w:val="20"/>
        </w:rPr>
        <w:t>see</w:t>
      </w:r>
      <w:r>
        <w:rPr>
          <w:spacing w:val="2"/>
          <w:sz w:val="20"/>
        </w:rPr>
        <w:t> </w:t>
      </w:r>
      <w:r>
        <w:rPr>
          <w:rFonts w:ascii="Arial" w:hAnsi="Arial"/>
          <w:i/>
          <w:sz w:val="20"/>
        </w:rPr>
        <w:t>Alliance</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JSC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Aquanta</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[2012]</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1588,</w:t>
      </w:r>
      <w:r>
        <w:rPr>
          <w:rFonts w:ascii="Arial" w:hAnsi="Arial"/>
          <w:i/>
          <w:spacing w:val="2"/>
          <w:sz w:val="20"/>
        </w:rPr>
        <w:t> </w:t>
      </w:r>
      <w:r>
        <w:rPr>
          <w:rFonts w:ascii="Arial" w:hAnsi="Arial"/>
          <w:i/>
          <w:sz w:val="20"/>
        </w:rPr>
        <w:t>[2013]</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pacing w:val="-2"/>
          <w:sz w:val="20"/>
        </w:rPr>
        <w:t>Lloyd’s</w:t>
      </w:r>
    </w:p>
    <w:p>
      <w:pPr>
        <w:spacing w:line="222" w:lineRule="exact" w:before="0"/>
        <w:ind w:left="705" w:right="0" w:firstLine="0"/>
        <w:jc w:val="both"/>
        <w:rPr>
          <w:sz w:val="20"/>
        </w:rPr>
      </w:pPr>
      <w:r>
        <w:rPr>
          <w:rFonts w:ascii="Arial"/>
          <w:i/>
          <w:sz w:val="20"/>
        </w:rPr>
        <w:t>Rep.</w:t>
      </w:r>
      <w:r>
        <w:rPr>
          <w:rFonts w:ascii="Arial"/>
          <w:i/>
          <w:spacing w:val="-2"/>
          <w:sz w:val="20"/>
        </w:rPr>
        <w:t> </w:t>
      </w:r>
      <w:r>
        <w:rPr>
          <w:rFonts w:ascii="Arial"/>
          <w:i/>
          <w:spacing w:val="-4"/>
          <w:sz w:val="20"/>
        </w:rPr>
        <w:t>175</w:t>
      </w:r>
      <w:r>
        <w:rPr>
          <w:spacing w:val="-4"/>
          <w:sz w:val="20"/>
        </w:rPr>
        <w:t>.</w:t>
      </w:r>
    </w:p>
    <w:p>
      <w:pPr>
        <w:pStyle w:val="BodyText"/>
        <w:spacing w:before="8"/>
      </w:pPr>
    </w:p>
    <w:p>
      <w:pPr>
        <w:spacing w:line="235" w:lineRule="auto" w:before="0"/>
        <w:ind w:left="705" w:right="167" w:hanging="541"/>
        <w:jc w:val="both"/>
        <w:rPr>
          <w:sz w:val="20"/>
        </w:rPr>
      </w:pPr>
      <w:bookmarkStart w:name="_bookmark546" w:id="548"/>
      <w:bookmarkEnd w:id="548"/>
      <w:r>
        <w:rPr/>
      </w:r>
      <w:hyperlink w:history="true" w:anchor="_bookmark436">
        <w:r>
          <w:rPr>
            <w:color w:val="005DA1"/>
            <w:position w:val="5"/>
            <w:sz w:val="14"/>
            <w:u w:val="single" w:color="005DA1"/>
          </w:rPr>
          <w:t>250</w:t>
        </w:r>
      </w:hyperlink>
      <w:r>
        <w:rPr>
          <w:position w:val="5"/>
          <w:sz w:val="14"/>
        </w:rPr>
        <w:t>.</w:t>
      </w:r>
      <w:r>
        <w:rPr>
          <w:spacing w:val="40"/>
          <w:position w:val="5"/>
          <w:sz w:val="14"/>
        </w:rPr>
        <w:t> </w:t>
      </w:r>
      <w:r>
        <w:rPr>
          <w:sz w:val="20"/>
        </w:rPr>
        <w:t>Giuliano-Lagarde Report, p.17. cf. </w:t>
      </w:r>
      <w:r>
        <w:rPr>
          <w:rFonts w:ascii="Arial" w:hAnsi="Arial"/>
          <w:i/>
          <w:sz w:val="20"/>
        </w:rPr>
        <w:t>Star Shipping SA v China National Foreign </w:t>
      </w:r>
      <w:r>
        <w:rPr>
          <w:rFonts w:ascii="Arial" w:hAnsi="Arial"/>
          <w:i/>
          <w:sz w:val="20"/>
        </w:rPr>
        <w:t>Trade Transportation Corp [1993] 2 Lloyd’s Rep. 445</w:t>
      </w:r>
      <w:r>
        <w:rPr>
          <w:sz w:val="20"/>
        </w:rPr>
        <w:t>, and see Dicey, Morris and Collins, paras 32–096—32–098. The Report makes no reference to the relevance of an inference in favorem </w:t>
      </w:r>
      <w:r>
        <w:rPr>
          <w:spacing w:val="-2"/>
          <w:sz w:val="20"/>
        </w:rPr>
        <w:t>negotii.</w:t>
      </w:r>
    </w:p>
    <w:p>
      <w:pPr>
        <w:pStyle w:val="BodyText"/>
        <w:spacing w:before="9"/>
      </w:pPr>
    </w:p>
    <w:p>
      <w:pPr>
        <w:spacing w:line="235" w:lineRule="auto" w:before="0"/>
        <w:ind w:left="705" w:right="168" w:hanging="541"/>
        <w:jc w:val="both"/>
        <w:rPr>
          <w:sz w:val="20"/>
        </w:rPr>
      </w:pPr>
      <w:bookmarkStart w:name="_bookmark547" w:id="549"/>
      <w:bookmarkEnd w:id="549"/>
      <w:r>
        <w:rPr/>
      </w:r>
      <w:hyperlink w:history="true" w:anchor="_bookmark437">
        <w:r>
          <w:rPr>
            <w:color w:val="005DA1"/>
            <w:position w:val="5"/>
            <w:sz w:val="14"/>
            <w:u w:val="single" w:color="005DA1"/>
          </w:rPr>
          <w:t>251</w:t>
        </w:r>
      </w:hyperlink>
      <w:r>
        <w:rPr>
          <w:position w:val="5"/>
          <w:sz w:val="14"/>
        </w:rPr>
        <w:t>.</w:t>
      </w:r>
      <w:r>
        <w:rPr>
          <w:spacing w:val="80"/>
          <w:position w:val="5"/>
          <w:sz w:val="14"/>
        </w:rPr>
        <w:t>  </w:t>
      </w:r>
      <w:r>
        <w:rPr>
          <w:sz w:val="20"/>
        </w:rPr>
        <w:t>Dicey, Morris and Collins, paras 32–096—32–097 referred to with approval in </w:t>
      </w:r>
      <w:r>
        <w:rPr>
          <w:rFonts w:ascii="Arial" w:hAnsi="Arial"/>
          <w:i/>
          <w:sz w:val="20"/>
        </w:rPr>
        <w:t>Egon Oldendorff</w:t>
      </w:r>
      <w:r>
        <w:rPr>
          <w:rFonts w:ascii="Arial" w:hAnsi="Arial"/>
          <w:i/>
          <w:spacing w:val="80"/>
          <w:sz w:val="20"/>
        </w:rPr>
        <w:t> </w:t>
      </w:r>
      <w:r>
        <w:rPr>
          <w:rFonts w:ascii="Arial" w:hAnsi="Arial"/>
          <w:i/>
          <w:sz w:val="20"/>
        </w:rPr>
        <w:t>v Libera Corp (No.2) [1996] 1 Lloyd’s Rep. 381</w:t>
      </w:r>
      <w:r>
        <w:rPr>
          <w:sz w:val="20"/>
        </w:rPr>
        <w:t>. And see </w:t>
      </w:r>
      <w:r>
        <w:rPr>
          <w:rFonts w:ascii="Arial" w:hAnsi="Arial"/>
          <w:i/>
          <w:sz w:val="20"/>
        </w:rPr>
        <w:t>Egon Oldendorff v Libera Corp </w:t>
      </w:r>
      <w:r>
        <w:rPr>
          <w:rFonts w:ascii="Arial" w:hAnsi="Arial"/>
          <w:i/>
          <w:sz w:val="20"/>
        </w:rPr>
        <w:t>(No.1) [1995] 2 Lloyd’s Rep. 64</w:t>
      </w:r>
      <w:r>
        <w:rPr>
          <w:sz w:val="20"/>
        </w:rPr>
        <w:t>. See also Morse, </w:t>
      </w:r>
      <w:r>
        <w:rPr>
          <w:rFonts w:ascii="Arial" w:hAnsi="Arial"/>
          <w:i/>
          <w:sz w:val="20"/>
        </w:rPr>
        <w:t>The Enforcement of International Contracts in the European Union </w:t>
      </w:r>
      <w:r>
        <w:rPr>
          <w:sz w:val="20"/>
        </w:rPr>
        <w:t>(2004), pp.191, 204–206.</w:t>
      </w:r>
    </w:p>
    <w:p>
      <w:pPr>
        <w:pStyle w:val="BodyText"/>
        <w:spacing w:before="4"/>
      </w:pPr>
    </w:p>
    <w:p>
      <w:pPr>
        <w:tabs>
          <w:tab w:pos="705" w:val="left" w:leader="none"/>
        </w:tabs>
        <w:spacing w:before="1"/>
        <w:ind w:left="165" w:right="0" w:firstLine="0"/>
        <w:jc w:val="left"/>
        <w:rPr>
          <w:sz w:val="20"/>
        </w:rPr>
      </w:pPr>
      <w:bookmarkStart w:name="_bookmark548" w:id="550"/>
      <w:bookmarkEnd w:id="550"/>
      <w:r>
        <w:rPr/>
      </w:r>
      <w:hyperlink w:history="true" w:anchor="_bookmark438">
        <w:r>
          <w:rPr>
            <w:color w:val="005DA1"/>
            <w:spacing w:val="-4"/>
            <w:position w:val="5"/>
            <w:sz w:val="14"/>
            <w:u w:val="single" w:color="005DA1"/>
          </w:rPr>
          <w:t>252</w:t>
        </w:r>
      </w:hyperlink>
      <w:r>
        <w:rPr>
          <w:spacing w:val="-4"/>
          <w:position w:val="5"/>
          <w:sz w:val="14"/>
        </w:rPr>
        <w:t>.</w:t>
      </w:r>
      <w:r>
        <w:rPr>
          <w:position w:val="5"/>
          <w:sz w:val="14"/>
        </w:rPr>
        <w:tab/>
      </w:r>
      <w:r>
        <w:rPr>
          <w:rFonts w:ascii="Arial" w:hAnsi="Arial"/>
          <w:i/>
          <w:sz w:val="20"/>
        </w:rPr>
        <w:t>Egon</w:t>
      </w:r>
      <w:r>
        <w:rPr>
          <w:rFonts w:ascii="Arial" w:hAnsi="Arial"/>
          <w:i/>
          <w:spacing w:val="-2"/>
          <w:sz w:val="20"/>
        </w:rPr>
        <w:t> </w:t>
      </w:r>
      <w:r>
        <w:rPr>
          <w:rFonts w:ascii="Arial" w:hAnsi="Arial"/>
          <w:i/>
          <w:sz w:val="20"/>
        </w:rPr>
        <w:t>Oldendorff v Libera Corp (No.2) [1996] 1 Lloyd’s Rep. 381, </w:t>
      </w:r>
      <w:r>
        <w:rPr>
          <w:rFonts w:ascii="Arial" w:hAnsi="Arial"/>
          <w:i/>
          <w:spacing w:val="-2"/>
          <w:sz w:val="20"/>
        </w:rPr>
        <w:t>389–390</w:t>
      </w:r>
      <w:r>
        <w:rPr>
          <w:spacing w:val="-2"/>
          <w:sz w:val="20"/>
        </w:rPr>
        <w:t>.</w:t>
      </w:r>
    </w:p>
    <w:p>
      <w:pPr>
        <w:pStyle w:val="BodyText"/>
        <w:spacing w:before="8"/>
      </w:pPr>
    </w:p>
    <w:p>
      <w:pPr>
        <w:spacing w:line="235" w:lineRule="auto" w:before="0"/>
        <w:ind w:left="705" w:right="167" w:hanging="541"/>
        <w:jc w:val="both"/>
        <w:rPr>
          <w:sz w:val="20"/>
        </w:rPr>
      </w:pPr>
      <w:bookmarkStart w:name="_bookmark549" w:id="551"/>
      <w:bookmarkEnd w:id="551"/>
      <w:r>
        <w:rPr/>
      </w:r>
      <w:hyperlink w:history="true" w:anchor="_bookmark439">
        <w:r>
          <w:rPr>
            <w:color w:val="005DA1"/>
            <w:position w:val="5"/>
            <w:sz w:val="14"/>
            <w:u w:val="single" w:color="005DA1"/>
          </w:rPr>
          <w:t>253</w:t>
        </w:r>
      </w:hyperlink>
      <w:r>
        <w:rPr>
          <w:position w:val="5"/>
          <w:sz w:val="14"/>
        </w:rPr>
        <w:t>.</w:t>
      </w:r>
      <w:r>
        <w:rPr>
          <w:spacing w:val="40"/>
          <w:position w:val="5"/>
          <w:sz w:val="14"/>
        </w:rPr>
        <w:t>  </w:t>
      </w:r>
      <w:r>
        <w:rPr>
          <w:sz w:val="20"/>
        </w:rPr>
        <w:t>Common law decisions did not always stress this additional factor, though there are dicta which refer to it: see, e.g. </w:t>
      </w:r>
      <w:r>
        <w:rPr>
          <w:rFonts w:ascii="Arial" w:hAnsi="Arial"/>
          <w:i/>
          <w:sz w:val="20"/>
        </w:rPr>
        <w:t>Compagnie d’Armement Maritime SA v Compagnie Tunisienne de Navigation SA [1971] A.C. 572, 579, 600, 605, 609</w:t>
      </w:r>
      <w:r>
        <w:rPr>
          <w:sz w:val="20"/>
        </w:rPr>
        <w:t>.</w:t>
      </w:r>
    </w:p>
    <w:p>
      <w:pPr>
        <w:pStyle w:val="BodyText"/>
        <w:spacing w:before="9"/>
      </w:pPr>
    </w:p>
    <w:p>
      <w:pPr>
        <w:pStyle w:val="BodyText"/>
        <w:spacing w:line="235" w:lineRule="auto"/>
        <w:ind w:left="705" w:right="167" w:hanging="541"/>
        <w:jc w:val="both"/>
      </w:pPr>
      <w:bookmarkStart w:name="_bookmark550" w:id="552"/>
      <w:bookmarkEnd w:id="552"/>
      <w:r>
        <w:rPr/>
      </w:r>
      <w:hyperlink w:history="true" w:anchor="_bookmark440">
        <w:r>
          <w:rPr>
            <w:color w:val="005DA1"/>
            <w:position w:val="5"/>
            <w:sz w:val="14"/>
            <w:u w:val="single" w:color="005DA1"/>
          </w:rPr>
          <w:t>254</w:t>
        </w:r>
      </w:hyperlink>
      <w:r>
        <w:rPr>
          <w:position w:val="5"/>
          <w:sz w:val="14"/>
        </w:rPr>
        <w:t>.</w:t>
      </w:r>
      <w:r>
        <w:rPr>
          <w:spacing w:val="80"/>
          <w:position w:val="5"/>
          <w:sz w:val="14"/>
        </w:rPr>
        <w:t>  </w:t>
      </w:r>
      <w:r>
        <w:rPr>
          <w:rFonts w:ascii="Arial" w:hAnsi="Arial"/>
          <w:i/>
        </w:rPr>
        <w:t>Egon Oldendorff v Libera Corp (No.2) [1996] 1 Lloyd’s Rep. 381, 390</w:t>
      </w:r>
      <w:r>
        <w:rPr/>
        <w:t>. In this case the parties had agreed to English arbitration by arbitrators conversant with shipping matters in respect </w:t>
      </w:r>
      <w:r>
        <w:rPr/>
        <w:t>of disputes arising out of a well-known English form of charterparty containing standard clauses and terminology with well-known meanings in English law. Although the parties were, respectively, German and Japanese, it was held that all of these factors pointed to an intention to choose English law for the purposes of art.3(1) of the Convention. The parties had chosen England</w:t>
      </w:r>
      <w:r>
        <w:rPr>
          <w:spacing w:val="-1"/>
        </w:rPr>
        <w:t> </w:t>
      </w:r>
      <w:r>
        <w:rPr/>
        <w:t>as</w:t>
      </w:r>
      <w:r>
        <w:rPr>
          <w:spacing w:val="-1"/>
        </w:rPr>
        <w:t> </w:t>
      </w:r>
      <w:r>
        <w:rPr/>
        <w:t>the</w:t>
      </w:r>
      <w:r>
        <w:rPr>
          <w:spacing w:val="-1"/>
        </w:rPr>
        <w:t> </w:t>
      </w:r>
      <w:r>
        <w:rPr/>
        <w:t>place</w:t>
      </w:r>
      <w:r>
        <w:rPr>
          <w:spacing w:val="-1"/>
        </w:rPr>
        <w:t> </w:t>
      </w:r>
      <w:r>
        <w:rPr/>
        <w:t>of</w:t>
      </w:r>
      <w:r>
        <w:rPr>
          <w:spacing w:val="-1"/>
        </w:rPr>
        <w:t> </w:t>
      </w:r>
      <w:r>
        <w:rPr/>
        <w:t>arbitration</w:t>
      </w:r>
      <w:r>
        <w:rPr>
          <w:spacing w:val="-1"/>
        </w:rPr>
        <w:t> </w:t>
      </w:r>
      <w:r>
        <w:rPr/>
        <w:t>because</w:t>
      </w:r>
      <w:r>
        <w:rPr>
          <w:spacing w:val="-1"/>
        </w:rPr>
        <w:t> </w:t>
      </w:r>
      <w:r>
        <w:rPr/>
        <w:t>it</w:t>
      </w:r>
      <w:r>
        <w:rPr>
          <w:spacing w:val="-1"/>
        </w:rPr>
        <w:t> </w:t>
      </w:r>
      <w:r>
        <w:rPr/>
        <w:t>was</w:t>
      </w:r>
      <w:r>
        <w:rPr>
          <w:spacing w:val="-1"/>
        </w:rPr>
        <w:t> </w:t>
      </w:r>
      <w:r>
        <w:rPr/>
        <w:t>“neutral”.</w:t>
      </w:r>
      <w:r>
        <w:rPr>
          <w:spacing w:val="-1"/>
        </w:rPr>
        <w:t> </w:t>
      </w:r>
      <w:r>
        <w:rPr/>
        <w:t>Equally,</w:t>
      </w:r>
      <w:r>
        <w:rPr>
          <w:spacing w:val="-1"/>
        </w:rPr>
        <w:t> </w:t>
      </w:r>
      <w:r>
        <w:rPr/>
        <w:t>they</w:t>
      </w:r>
      <w:r>
        <w:rPr>
          <w:spacing w:val="-1"/>
        </w:rPr>
        <w:t> </w:t>
      </w:r>
      <w:r>
        <w:rPr/>
        <w:t>must</w:t>
      </w:r>
      <w:r>
        <w:rPr>
          <w:spacing w:val="-1"/>
        </w:rPr>
        <w:t> </w:t>
      </w:r>
      <w:r>
        <w:rPr/>
        <w:t>have</w:t>
      </w:r>
      <w:r>
        <w:rPr>
          <w:spacing w:val="-1"/>
        </w:rPr>
        <w:t> </w:t>
      </w:r>
      <w:r>
        <w:rPr/>
        <w:t>intended</w:t>
      </w:r>
      <w:r>
        <w:rPr>
          <w:spacing w:val="-1"/>
        </w:rPr>
        <w:t> </w:t>
      </w:r>
      <w:r>
        <w:rPr/>
        <w:t>a “neutral” law to apply. The inference to be drawn, in favour of English law, will of course be stronger if the arbitration clause provides for arbitration in England before arbitrators of the London</w:t>
      </w:r>
      <w:r>
        <w:rPr>
          <w:spacing w:val="4"/>
        </w:rPr>
        <w:t> </w:t>
      </w:r>
      <w:r>
        <w:rPr/>
        <w:t>Maritime</w:t>
      </w:r>
      <w:r>
        <w:rPr>
          <w:spacing w:val="4"/>
        </w:rPr>
        <w:t> </w:t>
      </w:r>
      <w:r>
        <w:rPr/>
        <w:t>Arbitrators’</w:t>
      </w:r>
      <w:r>
        <w:rPr>
          <w:spacing w:val="4"/>
        </w:rPr>
        <w:t> </w:t>
      </w:r>
      <w:r>
        <w:rPr/>
        <w:t>Association,</w:t>
      </w:r>
      <w:r>
        <w:rPr>
          <w:spacing w:val="4"/>
        </w:rPr>
        <w:t> </w:t>
      </w:r>
      <w:r>
        <w:rPr/>
        <w:t>or</w:t>
      </w:r>
      <w:r>
        <w:rPr>
          <w:spacing w:val="4"/>
        </w:rPr>
        <w:t> </w:t>
      </w:r>
      <w:r>
        <w:rPr/>
        <w:t>before</w:t>
      </w:r>
      <w:r>
        <w:rPr>
          <w:spacing w:val="4"/>
        </w:rPr>
        <w:t> </w:t>
      </w:r>
      <w:r>
        <w:rPr/>
        <w:t>London</w:t>
      </w:r>
      <w:r>
        <w:rPr>
          <w:spacing w:val="4"/>
        </w:rPr>
        <w:t> </w:t>
      </w:r>
      <w:r>
        <w:rPr/>
        <w:t>brokers,</w:t>
      </w:r>
      <w:r>
        <w:rPr>
          <w:spacing w:val="4"/>
        </w:rPr>
        <w:t> </w:t>
      </w:r>
      <w:r>
        <w:rPr/>
        <w:t>or</w:t>
      </w:r>
      <w:r>
        <w:rPr>
          <w:spacing w:val="4"/>
        </w:rPr>
        <w:t> </w:t>
      </w:r>
      <w:r>
        <w:rPr/>
        <w:t>a</w:t>
      </w:r>
      <w:r>
        <w:rPr>
          <w:spacing w:val="4"/>
        </w:rPr>
        <w:t> </w:t>
      </w:r>
      <w:r>
        <w:rPr/>
        <w:t>London</w:t>
      </w:r>
      <w:r>
        <w:rPr>
          <w:spacing w:val="4"/>
        </w:rPr>
        <w:t> </w:t>
      </w:r>
      <w:r>
        <w:rPr/>
        <w:t>association</w:t>
      </w:r>
      <w:r>
        <w:rPr>
          <w:spacing w:val="4"/>
        </w:rPr>
        <w:t> </w:t>
      </w:r>
      <w:r>
        <w:rPr>
          <w:spacing w:val="-5"/>
        </w:rPr>
        <w:t>or</w:t>
      </w:r>
    </w:p>
    <w:p>
      <w:pPr>
        <w:pStyle w:val="BodyText"/>
        <w:spacing w:after="0" w:line="235" w:lineRule="auto"/>
        <w:jc w:val="both"/>
        <w:sectPr>
          <w:pgSz w:w="11900" w:h="16840"/>
          <w:pgMar w:header="971" w:footer="0" w:top="1300" w:bottom="280" w:left="1275" w:right="1275"/>
        </w:sectPr>
      </w:pPr>
    </w:p>
    <w:p>
      <w:pPr>
        <w:spacing w:line="235" w:lineRule="auto" w:before="110"/>
        <w:ind w:left="705" w:right="167" w:firstLine="0"/>
        <w:jc w:val="both"/>
        <w:rPr>
          <w:sz w:val="20"/>
        </w:rPr>
      </w:pPr>
      <w:r>
        <w:rPr>
          <w:sz w:val="20"/>
        </w:rPr>
        <w:t>exchange. And see </w:t>
      </w:r>
      <w:r>
        <w:rPr>
          <w:rFonts w:ascii="Arial" w:hAnsi="Arial"/>
          <w:i/>
          <w:sz w:val="20"/>
        </w:rPr>
        <w:t>Egon Oldendorff v Libera Corp (No.1) [1995] 2 Lloyd’s Rep. 64</w:t>
      </w:r>
      <w:r>
        <w:rPr>
          <w:sz w:val="20"/>
        </w:rPr>
        <w:t>. cf. </w:t>
      </w:r>
      <w:r>
        <w:rPr>
          <w:rFonts w:ascii="Arial" w:hAnsi="Arial"/>
          <w:i/>
          <w:sz w:val="20"/>
        </w:rPr>
        <w:t>XL Insurance Ltd v Owens Corning [2000] 2 Lloyd’s Rep. 500</w:t>
      </w:r>
      <w:r>
        <w:rPr>
          <w:sz w:val="20"/>
        </w:rPr>
        <w:t>; </w:t>
      </w:r>
      <w:r>
        <w:rPr>
          <w:rFonts w:ascii="Arial" w:hAnsi="Arial"/>
          <w:i/>
          <w:sz w:val="20"/>
        </w:rPr>
        <w:t>Sulamerica Cia Nacional de</w:t>
      </w:r>
      <w:r>
        <w:rPr>
          <w:rFonts w:ascii="Arial" w:hAnsi="Arial"/>
          <w:i/>
          <w:spacing w:val="40"/>
          <w:sz w:val="20"/>
        </w:rPr>
        <w:t> </w:t>
      </w:r>
      <w:r>
        <w:rPr>
          <w:rFonts w:ascii="Arial" w:hAnsi="Arial"/>
          <w:i/>
          <w:sz w:val="20"/>
        </w:rPr>
        <w:t>Seguros SA v Enesa Engenharia SA [2012] EWCA Civ 638, [2013] 1 W.L.R. 102</w:t>
      </w:r>
      <w:r>
        <w:rPr>
          <w:sz w:val="20"/>
        </w:rPr>
        <w:t>; </w:t>
      </w:r>
      <w:r>
        <w:rPr>
          <w:rFonts w:ascii="Arial" w:hAnsi="Arial"/>
          <w:i/>
          <w:sz w:val="20"/>
        </w:rPr>
        <w:t>Navig8 Pte v Al-Riyadh Co for Vegetable Oil Industry [2013] EWHC 328 (Comm), [2013] 2 Lloyd’s Rep. 104</w:t>
      </w:r>
      <w:r>
        <w:rPr>
          <w:sz w:val="20"/>
        </w:rPr>
        <w:t>; </w:t>
      </w:r>
      <w:r>
        <w:rPr>
          <w:rFonts w:ascii="Arial" w:hAnsi="Arial"/>
          <w:i/>
          <w:sz w:val="20"/>
        </w:rPr>
        <w:t>Caresse Navigation Ltd v Office National De L’Electricite [2013] EWHC 3081 (Comm), [2014] </w:t>
      </w:r>
      <w:r>
        <w:rPr>
          <w:rFonts w:ascii="Arial" w:hAnsi="Arial"/>
          <w:i/>
          <w:sz w:val="20"/>
        </w:rPr>
        <w:t>1 Lloyd’s Rep. 337</w:t>
      </w:r>
      <w:r>
        <w:rPr>
          <w:sz w:val="20"/>
        </w:rPr>
        <w:t>.</w:t>
      </w:r>
    </w:p>
    <w:p>
      <w:pPr>
        <w:pStyle w:val="BodyText"/>
        <w:spacing w:before="4"/>
      </w:pPr>
    </w:p>
    <w:p>
      <w:pPr>
        <w:tabs>
          <w:tab w:pos="705" w:val="left" w:leader="none"/>
        </w:tabs>
        <w:spacing w:before="0"/>
        <w:ind w:left="165" w:right="0" w:firstLine="0"/>
        <w:jc w:val="left"/>
        <w:rPr>
          <w:sz w:val="20"/>
        </w:rPr>
      </w:pPr>
      <w:bookmarkStart w:name="_bookmark551" w:id="553"/>
      <w:bookmarkEnd w:id="553"/>
      <w:r>
        <w:rPr/>
      </w:r>
      <w:hyperlink w:history="true" w:anchor="_bookmark441">
        <w:r>
          <w:rPr>
            <w:color w:val="005DA1"/>
            <w:spacing w:val="-4"/>
            <w:position w:val="5"/>
            <w:sz w:val="14"/>
            <w:u w:val="single" w:color="005DA1"/>
          </w:rPr>
          <w:t>255</w:t>
        </w:r>
      </w:hyperlink>
      <w:r>
        <w:rPr>
          <w:spacing w:val="-4"/>
          <w:position w:val="5"/>
          <w:sz w:val="14"/>
        </w:rPr>
        <w:t>.</w:t>
      </w:r>
      <w:r>
        <w:rPr>
          <w:position w:val="5"/>
          <w:sz w:val="14"/>
        </w:rPr>
        <w:tab/>
      </w:r>
      <w:r>
        <w:rPr>
          <w:sz w:val="20"/>
        </w:rPr>
        <w:t>Above, para.30-</w:t>
      </w:r>
      <w:r>
        <w:rPr>
          <w:spacing w:val="-4"/>
          <w:sz w:val="20"/>
        </w:rPr>
        <w:t>050.</w:t>
      </w:r>
    </w:p>
    <w:p>
      <w:pPr>
        <w:pStyle w:val="BodyText"/>
        <w:spacing w:before="9"/>
      </w:pPr>
    </w:p>
    <w:p>
      <w:pPr>
        <w:spacing w:line="235" w:lineRule="auto" w:before="0"/>
        <w:ind w:left="705" w:right="167" w:hanging="541"/>
        <w:jc w:val="both"/>
        <w:rPr>
          <w:rFonts w:ascii="Arial" w:hAnsi="Arial"/>
          <w:i/>
          <w:sz w:val="20"/>
        </w:rPr>
      </w:pPr>
      <w:bookmarkStart w:name="_bookmark552" w:id="554"/>
      <w:bookmarkEnd w:id="554"/>
      <w:r>
        <w:rPr/>
      </w:r>
      <w:hyperlink w:history="true" w:anchor="_bookmark442">
        <w:r>
          <w:rPr>
            <w:color w:val="005DA1"/>
            <w:position w:val="5"/>
            <w:sz w:val="14"/>
            <w:u w:val="single" w:color="005DA1"/>
          </w:rPr>
          <w:t>256</w:t>
        </w:r>
      </w:hyperlink>
      <w:r>
        <w:rPr>
          <w:position w:val="5"/>
          <w:sz w:val="14"/>
        </w:rPr>
        <w:t>.</w:t>
      </w:r>
      <w:r>
        <w:rPr>
          <w:spacing w:val="80"/>
          <w:position w:val="5"/>
          <w:sz w:val="14"/>
        </w:rPr>
        <w:t>  </w:t>
      </w:r>
      <w:r>
        <w:rPr>
          <w:sz w:val="20"/>
        </w:rPr>
        <w:t>Giuliano-Lagarde Report, p.17. The test is objective and it is not enough that the parties, if </w:t>
      </w:r>
      <w:r>
        <w:rPr>
          <w:sz w:val="20"/>
        </w:rPr>
        <w:t>they had made a choice of law, would have chosen English law: </w:t>
      </w:r>
      <w:r>
        <w:rPr>
          <w:rFonts w:ascii="Arial" w:hAnsi="Arial"/>
          <w:i/>
          <w:sz w:val="20"/>
        </w:rPr>
        <w:t>Lupofresh Ltd v Sapporo Breweries Ltd</w:t>
      </w:r>
      <w:r>
        <w:rPr>
          <w:rFonts w:ascii="Arial" w:hAnsi="Arial"/>
          <w:i/>
          <w:spacing w:val="54"/>
          <w:w w:val="150"/>
          <w:sz w:val="20"/>
        </w:rPr>
        <w:t> </w:t>
      </w:r>
      <w:r>
        <w:rPr>
          <w:rFonts w:ascii="Arial" w:hAnsi="Arial"/>
          <w:i/>
          <w:sz w:val="20"/>
        </w:rPr>
        <w:t>[2013]</w:t>
      </w:r>
      <w:r>
        <w:rPr>
          <w:rFonts w:ascii="Arial" w:hAnsi="Arial"/>
          <w:i/>
          <w:spacing w:val="54"/>
          <w:w w:val="150"/>
          <w:sz w:val="20"/>
        </w:rPr>
        <w:t> </w:t>
      </w:r>
      <w:r>
        <w:rPr>
          <w:rFonts w:ascii="Arial" w:hAnsi="Arial"/>
          <w:i/>
          <w:sz w:val="20"/>
        </w:rPr>
        <w:t>EWCA</w:t>
      </w:r>
      <w:r>
        <w:rPr>
          <w:rFonts w:ascii="Arial" w:hAnsi="Arial"/>
          <w:i/>
          <w:spacing w:val="54"/>
          <w:w w:val="150"/>
          <w:sz w:val="20"/>
        </w:rPr>
        <w:t> </w:t>
      </w:r>
      <w:r>
        <w:rPr>
          <w:rFonts w:ascii="Arial" w:hAnsi="Arial"/>
          <w:i/>
          <w:sz w:val="20"/>
        </w:rPr>
        <w:t>Civ</w:t>
      </w:r>
      <w:r>
        <w:rPr>
          <w:rFonts w:ascii="Arial" w:hAnsi="Arial"/>
          <w:i/>
          <w:spacing w:val="54"/>
          <w:w w:val="150"/>
          <w:sz w:val="20"/>
        </w:rPr>
        <w:t> </w:t>
      </w:r>
      <w:r>
        <w:rPr>
          <w:rFonts w:ascii="Arial" w:hAnsi="Arial"/>
          <w:i/>
          <w:sz w:val="20"/>
        </w:rPr>
        <w:t>948,</w:t>
      </w:r>
      <w:r>
        <w:rPr>
          <w:rFonts w:ascii="Arial" w:hAnsi="Arial"/>
          <w:i/>
          <w:spacing w:val="54"/>
          <w:w w:val="150"/>
          <w:sz w:val="20"/>
        </w:rPr>
        <w:t> </w:t>
      </w:r>
      <w:r>
        <w:rPr>
          <w:rFonts w:ascii="Arial" w:hAnsi="Arial"/>
          <w:i/>
          <w:sz w:val="20"/>
        </w:rPr>
        <w:t>[2013]</w:t>
      </w:r>
      <w:r>
        <w:rPr>
          <w:rFonts w:ascii="Arial" w:hAnsi="Arial"/>
          <w:i/>
          <w:spacing w:val="54"/>
          <w:w w:val="150"/>
          <w:sz w:val="20"/>
        </w:rPr>
        <w:t> </w:t>
      </w:r>
      <w:r>
        <w:rPr>
          <w:rFonts w:ascii="Arial" w:hAnsi="Arial"/>
          <w:i/>
          <w:sz w:val="20"/>
        </w:rPr>
        <w:t>2</w:t>
      </w:r>
      <w:r>
        <w:rPr>
          <w:rFonts w:ascii="Arial" w:hAnsi="Arial"/>
          <w:i/>
          <w:spacing w:val="55"/>
          <w:w w:val="150"/>
          <w:sz w:val="20"/>
        </w:rPr>
        <w:t> </w:t>
      </w:r>
      <w:r>
        <w:rPr>
          <w:rFonts w:ascii="Arial" w:hAnsi="Arial"/>
          <w:i/>
          <w:sz w:val="20"/>
        </w:rPr>
        <w:t>Lloyd’s</w:t>
      </w:r>
      <w:r>
        <w:rPr>
          <w:rFonts w:ascii="Arial" w:hAnsi="Arial"/>
          <w:i/>
          <w:spacing w:val="54"/>
          <w:w w:val="150"/>
          <w:sz w:val="20"/>
        </w:rPr>
        <w:t> </w:t>
      </w:r>
      <w:r>
        <w:rPr>
          <w:rFonts w:ascii="Arial" w:hAnsi="Arial"/>
          <w:i/>
          <w:sz w:val="20"/>
        </w:rPr>
        <w:t>Rep.</w:t>
      </w:r>
      <w:r>
        <w:rPr>
          <w:rFonts w:ascii="Arial" w:hAnsi="Arial"/>
          <w:i/>
          <w:spacing w:val="54"/>
          <w:w w:val="150"/>
          <w:sz w:val="20"/>
        </w:rPr>
        <w:t> </w:t>
      </w:r>
      <w:r>
        <w:rPr>
          <w:rFonts w:ascii="Arial" w:hAnsi="Arial"/>
          <w:i/>
          <w:sz w:val="20"/>
        </w:rPr>
        <w:t>444</w:t>
      </w:r>
      <w:r>
        <w:rPr>
          <w:sz w:val="20"/>
        </w:rPr>
        <w:t>;</w:t>
      </w:r>
      <w:r>
        <w:rPr>
          <w:spacing w:val="54"/>
          <w:w w:val="150"/>
          <w:sz w:val="20"/>
        </w:rPr>
        <w:t> </w:t>
      </w:r>
      <w:r>
        <w:rPr>
          <w:rFonts w:ascii="Arial" w:hAnsi="Arial"/>
          <w:i/>
          <w:sz w:val="20"/>
        </w:rPr>
        <w:t>Lawlor</w:t>
      </w:r>
      <w:r>
        <w:rPr>
          <w:rFonts w:ascii="Arial" w:hAnsi="Arial"/>
          <w:i/>
          <w:spacing w:val="54"/>
          <w:w w:val="150"/>
          <w:sz w:val="20"/>
        </w:rPr>
        <w:t> </w:t>
      </w:r>
      <w:r>
        <w:rPr>
          <w:rFonts w:ascii="Arial" w:hAnsi="Arial"/>
          <w:i/>
          <w:sz w:val="20"/>
        </w:rPr>
        <w:t>v</w:t>
      </w:r>
      <w:r>
        <w:rPr>
          <w:rFonts w:ascii="Arial" w:hAnsi="Arial"/>
          <w:i/>
          <w:spacing w:val="54"/>
          <w:w w:val="150"/>
          <w:sz w:val="20"/>
        </w:rPr>
        <w:t> </w:t>
      </w:r>
      <w:r>
        <w:rPr>
          <w:rFonts w:ascii="Arial" w:hAnsi="Arial"/>
          <w:i/>
          <w:sz w:val="20"/>
        </w:rPr>
        <w:t>Sandvik</w:t>
      </w:r>
      <w:r>
        <w:rPr>
          <w:rFonts w:ascii="Arial" w:hAnsi="Arial"/>
          <w:i/>
          <w:spacing w:val="54"/>
          <w:w w:val="150"/>
          <w:sz w:val="20"/>
        </w:rPr>
        <w:t> </w:t>
      </w:r>
      <w:r>
        <w:rPr>
          <w:rFonts w:ascii="Arial" w:hAnsi="Arial"/>
          <w:i/>
          <w:sz w:val="20"/>
        </w:rPr>
        <w:t>Mining</w:t>
      </w:r>
      <w:r>
        <w:rPr>
          <w:rFonts w:ascii="Arial" w:hAnsi="Arial"/>
          <w:i/>
          <w:spacing w:val="55"/>
          <w:w w:val="150"/>
          <w:sz w:val="20"/>
        </w:rPr>
        <w:t> </w:t>
      </w:r>
      <w:r>
        <w:rPr>
          <w:rFonts w:ascii="Arial" w:hAnsi="Arial"/>
          <w:i/>
          <w:spacing w:val="-5"/>
          <w:sz w:val="20"/>
        </w:rPr>
        <w:t>and</w:t>
      </w:r>
    </w:p>
    <w:p>
      <w:pPr>
        <w:spacing w:line="225" w:lineRule="exact" w:before="0"/>
        <w:ind w:left="705" w:right="0" w:firstLine="0"/>
        <w:jc w:val="left"/>
        <w:rPr>
          <w:sz w:val="20"/>
        </w:rPr>
      </w:pPr>
      <w:r>
        <w:rPr>
          <w:rFonts w:ascii="Arial" w:hAnsi="Arial"/>
          <w:i/>
          <w:sz w:val="20"/>
        </w:rPr>
        <w:t>Construction Mobile Crushers and Screens Ltd [2013] EWCA Civ 365, [2013] 1 Lloyd’s Rep. </w:t>
      </w:r>
      <w:r>
        <w:rPr>
          <w:rFonts w:ascii="Arial" w:hAnsi="Arial"/>
          <w:i/>
          <w:spacing w:val="-5"/>
          <w:sz w:val="20"/>
        </w:rPr>
        <w:t>98</w:t>
      </w:r>
      <w:r>
        <w:rPr>
          <w:spacing w:val="-5"/>
          <w:sz w:val="20"/>
        </w:rPr>
        <w:t>.</w:t>
      </w:r>
    </w:p>
    <w:p>
      <w:pPr>
        <w:pStyle w:val="BodyText"/>
        <w:spacing w:before="9"/>
      </w:pPr>
    </w:p>
    <w:p>
      <w:pPr>
        <w:spacing w:line="235" w:lineRule="auto" w:before="0"/>
        <w:ind w:left="705" w:right="167" w:hanging="541"/>
        <w:jc w:val="both"/>
        <w:rPr>
          <w:sz w:val="20"/>
        </w:rPr>
      </w:pPr>
      <w:bookmarkStart w:name="_bookmark553" w:id="555"/>
      <w:bookmarkEnd w:id="555"/>
      <w:r>
        <w:rPr/>
      </w:r>
      <w:hyperlink w:history="true" w:anchor="_bookmark443">
        <w:r>
          <w:rPr>
            <w:color w:val="005DA1"/>
            <w:position w:val="5"/>
            <w:sz w:val="14"/>
            <w:u w:val="single" w:color="005DA1"/>
          </w:rPr>
          <w:t>257</w:t>
        </w:r>
      </w:hyperlink>
      <w:r>
        <w:rPr>
          <w:position w:val="5"/>
          <w:sz w:val="14"/>
        </w:rPr>
        <w:t>.</w:t>
      </w:r>
      <w:r>
        <w:rPr>
          <w:spacing w:val="80"/>
          <w:position w:val="5"/>
          <w:sz w:val="14"/>
        </w:rPr>
        <w:t>  </w:t>
      </w:r>
      <w:r>
        <w:rPr>
          <w:rFonts w:ascii="Arial" w:hAnsi="Arial"/>
          <w:i/>
          <w:sz w:val="20"/>
        </w:rPr>
        <w:t>American</w:t>
      </w:r>
      <w:r>
        <w:rPr>
          <w:rFonts w:ascii="Arial" w:hAnsi="Arial"/>
          <w:i/>
          <w:spacing w:val="26"/>
          <w:sz w:val="20"/>
        </w:rPr>
        <w:t> </w:t>
      </w:r>
      <w:r>
        <w:rPr>
          <w:rFonts w:ascii="Arial" w:hAnsi="Arial"/>
          <w:i/>
          <w:sz w:val="20"/>
        </w:rPr>
        <w:t>Motorists</w:t>
      </w:r>
      <w:r>
        <w:rPr>
          <w:rFonts w:ascii="Arial" w:hAnsi="Arial"/>
          <w:i/>
          <w:spacing w:val="26"/>
          <w:sz w:val="20"/>
        </w:rPr>
        <w:t> </w:t>
      </w:r>
      <w:r>
        <w:rPr>
          <w:rFonts w:ascii="Arial" w:hAnsi="Arial"/>
          <w:i/>
          <w:sz w:val="20"/>
        </w:rPr>
        <w:t>Insurance</w:t>
      </w:r>
      <w:r>
        <w:rPr>
          <w:rFonts w:ascii="Arial" w:hAnsi="Arial"/>
          <w:i/>
          <w:spacing w:val="26"/>
          <w:sz w:val="20"/>
        </w:rPr>
        <w:t> </w:t>
      </w:r>
      <w:r>
        <w:rPr>
          <w:rFonts w:ascii="Arial" w:hAnsi="Arial"/>
          <w:i/>
          <w:sz w:val="20"/>
        </w:rPr>
        <w:t>Co</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Cellstar</w:t>
      </w:r>
      <w:r>
        <w:rPr>
          <w:rFonts w:ascii="Arial" w:hAnsi="Arial"/>
          <w:i/>
          <w:spacing w:val="26"/>
          <w:sz w:val="20"/>
        </w:rPr>
        <w:t> </w:t>
      </w:r>
      <w:r>
        <w:rPr>
          <w:rFonts w:ascii="Arial" w:hAnsi="Arial"/>
          <w:i/>
          <w:sz w:val="20"/>
        </w:rPr>
        <w:t>Corp</w:t>
      </w:r>
      <w:r>
        <w:rPr>
          <w:rFonts w:ascii="Arial" w:hAnsi="Arial"/>
          <w:i/>
          <w:spacing w:val="26"/>
          <w:sz w:val="20"/>
        </w:rPr>
        <w:t> </w:t>
      </w:r>
      <w:r>
        <w:rPr>
          <w:rFonts w:ascii="Arial" w:hAnsi="Arial"/>
          <w:i/>
          <w:sz w:val="20"/>
        </w:rPr>
        <w:t>[2003]</w:t>
      </w:r>
      <w:r>
        <w:rPr>
          <w:rFonts w:ascii="Arial" w:hAnsi="Arial"/>
          <w:i/>
          <w:spacing w:val="26"/>
          <w:sz w:val="20"/>
        </w:rPr>
        <w:t> </w:t>
      </w:r>
      <w:r>
        <w:rPr>
          <w:rFonts w:ascii="Arial" w:hAnsi="Arial"/>
          <w:i/>
          <w:sz w:val="20"/>
        </w:rPr>
        <w:t>EWCA</w:t>
      </w:r>
      <w:r>
        <w:rPr>
          <w:rFonts w:ascii="Arial" w:hAnsi="Arial"/>
          <w:i/>
          <w:spacing w:val="26"/>
          <w:sz w:val="20"/>
        </w:rPr>
        <w:t> </w:t>
      </w:r>
      <w:r>
        <w:rPr>
          <w:rFonts w:ascii="Arial" w:hAnsi="Arial"/>
          <w:i/>
          <w:sz w:val="20"/>
        </w:rPr>
        <w:t>Civ.</w:t>
      </w:r>
      <w:r>
        <w:rPr>
          <w:rFonts w:ascii="Arial" w:hAnsi="Arial"/>
          <w:i/>
          <w:spacing w:val="26"/>
          <w:sz w:val="20"/>
        </w:rPr>
        <w:t> </w:t>
      </w:r>
      <w:r>
        <w:rPr>
          <w:rFonts w:ascii="Arial" w:hAnsi="Arial"/>
          <w:i/>
          <w:sz w:val="20"/>
        </w:rPr>
        <w:t>206,</w:t>
      </w:r>
      <w:r>
        <w:rPr>
          <w:rFonts w:ascii="Arial" w:hAnsi="Arial"/>
          <w:i/>
          <w:spacing w:val="26"/>
          <w:sz w:val="20"/>
        </w:rPr>
        <w:t> </w:t>
      </w:r>
      <w:r>
        <w:rPr>
          <w:rFonts w:ascii="Arial" w:hAnsi="Arial"/>
          <w:i/>
          <w:sz w:val="20"/>
        </w:rPr>
        <w:t>[2003]</w:t>
      </w:r>
      <w:r>
        <w:rPr>
          <w:rFonts w:ascii="Arial" w:hAnsi="Arial"/>
          <w:i/>
          <w:spacing w:val="26"/>
          <w:sz w:val="20"/>
        </w:rPr>
        <w:t> </w:t>
      </w:r>
      <w:r>
        <w:rPr>
          <w:rFonts w:ascii="Arial" w:hAnsi="Arial"/>
          <w:i/>
          <w:sz w:val="20"/>
        </w:rPr>
        <w:t>I.L.Pr.</w:t>
      </w:r>
      <w:r>
        <w:rPr>
          <w:rFonts w:ascii="Arial" w:hAnsi="Arial"/>
          <w:i/>
          <w:spacing w:val="26"/>
          <w:sz w:val="20"/>
        </w:rPr>
        <w:t> </w:t>
      </w:r>
      <w:r>
        <w:rPr>
          <w:rFonts w:ascii="Arial" w:hAnsi="Arial"/>
          <w:i/>
          <w:sz w:val="20"/>
        </w:rPr>
        <w:t>370</w:t>
      </w:r>
      <w:r>
        <w:rPr>
          <w:sz w:val="20"/>
        </w:rPr>
        <w:t>. See also </w:t>
      </w:r>
      <w:r>
        <w:rPr>
          <w:rFonts w:ascii="Arial" w:hAnsi="Arial"/>
          <w:i/>
          <w:sz w:val="20"/>
        </w:rPr>
        <w:t>Travelers Casualty and Surety Co of Canada v Sun Life Assurance Co of Canada</w:t>
      </w:r>
      <w:r>
        <w:rPr>
          <w:rFonts w:ascii="Arial" w:hAnsi="Arial"/>
          <w:i/>
          <w:spacing w:val="40"/>
          <w:sz w:val="20"/>
        </w:rPr>
        <w:t> </w:t>
      </w:r>
      <w:r>
        <w:rPr>
          <w:rFonts w:ascii="Arial" w:hAnsi="Arial"/>
          <w:i/>
          <w:sz w:val="20"/>
        </w:rPr>
        <w:t>(UK)</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[2006]</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2716</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[2007]</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I.R.</w:t>
      </w:r>
      <w:r>
        <w:rPr>
          <w:rFonts w:ascii="Arial" w:hAnsi="Arial"/>
          <w:i/>
          <w:spacing w:val="-3"/>
          <w:sz w:val="20"/>
        </w:rPr>
        <w:t> </w:t>
      </w:r>
      <w:r>
        <w:rPr>
          <w:rFonts w:ascii="Arial" w:hAnsi="Arial"/>
          <w:i/>
          <w:sz w:val="20"/>
        </w:rPr>
        <w:t>619</w:t>
      </w:r>
      <w:r>
        <w:rPr>
          <w:sz w:val="20"/>
        </w:rPr>
        <w:t>;</w:t>
      </w:r>
      <w:r>
        <w:rPr>
          <w:spacing w:val="-3"/>
          <w:sz w:val="20"/>
        </w:rPr>
        <w:t> </w:t>
      </w:r>
      <w:r>
        <w:rPr>
          <w:rFonts w:ascii="Arial" w:hAnsi="Arial"/>
          <w:i/>
          <w:sz w:val="20"/>
        </w:rPr>
        <w:t>Gard</w:t>
      </w:r>
      <w:r>
        <w:rPr>
          <w:rFonts w:ascii="Arial" w:hAnsi="Arial"/>
          <w:i/>
          <w:spacing w:val="-3"/>
          <w:sz w:val="20"/>
        </w:rPr>
        <w:t> </w:t>
      </w:r>
      <w:r>
        <w:rPr>
          <w:rFonts w:ascii="Arial" w:hAnsi="Arial"/>
          <w:i/>
          <w:sz w:val="20"/>
        </w:rPr>
        <w:t>Marine</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Energy</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 Tunnicliffe [2010] EWCA Civ 1052, [2011] I.L.Pr. 10</w:t>
      </w:r>
      <w:r>
        <w:rPr>
          <w:sz w:val="20"/>
        </w:rPr>
        <w:t>; </w:t>
      </w:r>
      <w:r>
        <w:rPr>
          <w:rFonts w:ascii="Arial" w:hAnsi="Arial"/>
          <w:i/>
          <w:sz w:val="20"/>
        </w:rPr>
        <w:t>British Arab Commercial Bank Plc v Bank of Communications [2011] EWHC 281 (Comm), [2011] 1 Lloyd’s Rep. 664</w:t>
      </w:r>
      <w:r>
        <w:rPr>
          <w:sz w:val="20"/>
        </w:rPr>
        <w:t>; </w:t>
      </w:r>
      <w:r>
        <w:rPr>
          <w:rFonts w:ascii="Arial" w:hAnsi="Arial"/>
          <w:i/>
          <w:sz w:val="20"/>
        </w:rPr>
        <w:t>Faraday Reinsurance Co Ltd v Howden North America Inc [2011] EWHC 2837 (Comm) [2012] EWCA Civ 980, [2012] 2 C.L.C. 956</w:t>
      </w:r>
      <w:r>
        <w:rPr>
          <w:sz w:val="20"/>
        </w:rPr>
        <w:t>.</w:t>
      </w:r>
    </w:p>
    <w:p>
      <w:pPr>
        <w:pStyle w:val="BodyText"/>
        <w:spacing w:before="3"/>
      </w:pPr>
    </w:p>
    <w:p>
      <w:pPr>
        <w:tabs>
          <w:tab w:pos="705" w:val="left" w:leader="none"/>
        </w:tabs>
        <w:spacing w:before="0"/>
        <w:ind w:left="165" w:right="0" w:firstLine="0"/>
        <w:jc w:val="left"/>
        <w:rPr>
          <w:sz w:val="20"/>
        </w:rPr>
      </w:pPr>
      <w:bookmarkStart w:name="_bookmark554" w:id="556"/>
      <w:bookmarkEnd w:id="556"/>
      <w:r>
        <w:rPr/>
      </w:r>
      <w:hyperlink w:history="true" w:anchor="_bookmark444">
        <w:r>
          <w:rPr>
            <w:color w:val="005DA1"/>
            <w:spacing w:val="-4"/>
            <w:position w:val="5"/>
            <w:sz w:val="14"/>
            <w:u w:val="single" w:color="005DA1"/>
          </w:rPr>
          <w:t>258</w:t>
        </w:r>
      </w:hyperlink>
      <w:r>
        <w:rPr>
          <w:spacing w:val="-4"/>
          <w:position w:val="5"/>
          <w:sz w:val="14"/>
        </w:rPr>
        <w:t>.</w:t>
      </w:r>
      <w:r>
        <w:rPr>
          <w:position w:val="5"/>
          <w:sz w:val="14"/>
        </w:rPr>
        <w:tab/>
      </w:r>
      <w:r>
        <w:rPr>
          <w:rFonts w:ascii="Arial"/>
          <w:i/>
          <w:sz w:val="20"/>
        </w:rPr>
        <w:t>James Miller and Partners Ltd v Whitworth Street Estates (Manchester) Ltd [1970] A.C. </w:t>
      </w:r>
      <w:r>
        <w:rPr>
          <w:rFonts w:ascii="Arial"/>
          <w:i/>
          <w:spacing w:val="-4"/>
          <w:sz w:val="20"/>
        </w:rPr>
        <w:t>583</w:t>
      </w:r>
      <w:r>
        <w:rPr>
          <w:spacing w:val="-4"/>
          <w:sz w:val="20"/>
        </w:rPr>
        <w:t>.</w:t>
      </w:r>
    </w:p>
    <w:p>
      <w:pPr>
        <w:pStyle w:val="BodyText"/>
        <w:spacing w:before="5"/>
      </w:pPr>
    </w:p>
    <w:p>
      <w:pPr>
        <w:pStyle w:val="BodyText"/>
        <w:tabs>
          <w:tab w:pos="705" w:val="left" w:leader="none"/>
        </w:tabs>
        <w:ind w:left="165"/>
      </w:pPr>
      <w:bookmarkStart w:name="_bookmark555" w:id="557"/>
      <w:bookmarkEnd w:id="557"/>
      <w:r>
        <w:rPr/>
      </w:r>
      <w:hyperlink w:history="true" w:anchor="_bookmark445">
        <w:r>
          <w:rPr>
            <w:color w:val="005DA1"/>
            <w:spacing w:val="-4"/>
            <w:position w:val="5"/>
            <w:sz w:val="14"/>
            <w:u w:val="single" w:color="005DA1"/>
          </w:rPr>
          <w:t>259</w:t>
        </w:r>
      </w:hyperlink>
      <w:r>
        <w:rPr>
          <w:spacing w:val="-4"/>
          <w:position w:val="5"/>
          <w:sz w:val="14"/>
        </w:rPr>
        <w:t>.</w:t>
      </w:r>
      <w:r>
        <w:rPr>
          <w:position w:val="5"/>
          <w:sz w:val="14"/>
        </w:rPr>
        <w:tab/>
      </w:r>
      <w:r>
        <w:rPr/>
        <w:t>Giuliano-Lagarde Report, </w:t>
      </w:r>
      <w:r>
        <w:rPr>
          <w:spacing w:val="-2"/>
        </w:rPr>
        <w:t>p.17.</w:t>
      </w:r>
    </w:p>
    <w:p>
      <w:pPr>
        <w:pStyle w:val="BodyText"/>
        <w:spacing w:before="5"/>
      </w:pPr>
    </w:p>
    <w:p>
      <w:pPr>
        <w:pStyle w:val="BodyText"/>
        <w:tabs>
          <w:tab w:pos="705" w:val="left" w:leader="none"/>
        </w:tabs>
        <w:ind w:left="165"/>
      </w:pPr>
      <w:bookmarkStart w:name="_bookmark556" w:id="558"/>
      <w:bookmarkEnd w:id="558"/>
      <w:r>
        <w:rPr/>
      </w:r>
      <w:hyperlink w:history="true" w:anchor="_bookmark446">
        <w:r>
          <w:rPr>
            <w:color w:val="005DA1"/>
            <w:spacing w:val="-4"/>
            <w:position w:val="5"/>
            <w:sz w:val="14"/>
            <w:u w:val="single" w:color="005DA1"/>
          </w:rPr>
          <w:t>260</w:t>
        </w:r>
      </w:hyperlink>
      <w:r>
        <w:rPr>
          <w:spacing w:val="-4"/>
          <w:position w:val="5"/>
          <w:sz w:val="14"/>
        </w:rPr>
        <w:t>.</w:t>
      </w:r>
      <w:r>
        <w:rPr>
          <w:position w:val="5"/>
          <w:sz w:val="14"/>
        </w:rPr>
        <w:tab/>
      </w:r>
      <w:r>
        <w:rPr/>
        <w:t>Below,</w:t>
      </w:r>
      <w:r>
        <w:rPr>
          <w:spacing w:val="-2"/>
        </w:rPr>
        <w:t> </w:t>
      </w:r>
      <w:r>
        <w:rPr/>
        <w:t>paras 30-070 et </w:t>
      </w:r>
      <w:r>
        <w:rPr>
          <w:spacing w:val="-4"/>
        </w:rPr>
        <w:t>seq.</w:t>
      </w:r>
    </w:p>
    <w:p>
      <w:pPr>
        <w:pStyle w:val="BodyText"/>
        <w:spacing w:before="5"/>
      </w:pPr>
    </w:p>
    <w:p>
      <w:pPr>
        <w:pStyle w:val="BodyText"/>
        <w:tabs>
          <w:tab w:pos="705" w:val="left" w:leader="none"/>
        </w:tabs>
        <w:spacing w:before="1"/>
        <w:ind w:left="165"/>
      </w:pPr>
      <w:bookmarkStart w:name="_bookmark557" w:id="559"/>
      <w:bookmarkEnd w:id="559"/>
      <w:r>
        <w:rPr/>
      </w:r>
      <w:hyperlink w:history="true" w:anchor="_bookmark447">
        <w:r>
          <w:rPr>
            <w:color w:val="005DA1"/>
            <w:spacing w:val="-4"/>
            <w:position w:val="5"/>
            <w:sz w:val="14"/>
            <w:u w:val="single" w:color="005DA1"/>
          </w:rPr>
          <w:t>261</w:t>
        </w:r>
      </w:hyperlink>
      <w:r>
        <w:rPr>
          <w:spacing w:val="-4"/>
          <w:position w:val="5"/>
          <w:sz w:val="14"/>
        </w:rPr>
        <w:t>.</w:t>
      </w:r>
      <w:r>
        <w:rPr>
          <w:position w:val="5"/>
          <w:sz w:val="14"/>
        </w:rPr>
        <w:tab/>
      </w:r>
      <w:r>
        <w:rPr/>
        <w:t>Giuliano-Lagarde Report, </w:t>
      </w:r>
      <w:r>
        <w:rPr>
          <w:spacing w:val="-2"/>
        </w:rPr>
        <w:t>p.20.</w:t>
      </w:r>
    </w:p>
    <w:p>
      <w:pPr>
        <w:pStyle w:val="BodyText"/>
        <w:spacing w:before="8"/>
      </w:pPr>
    </w:p>
    <w:p>
      <w:pPr>
        <w:tabs>
          <w:tab w:pos="705" w:val="left" w:leader="none"/>
        </w:tabs>
        <w:spacing w:line="235" w:lineRule="auto" w:before="0"/>
        <w:ind w:left="705" w:right="167" w:hanging="541"/>
        <w:jc w:val="left"/>
        <w:rPr>
          <w:rFonts w:ascii="Arial" w:hAnsi="Arial"/>
          <w:i/>
          <w:sz w:val="20"/>
        </w:rPr>
      </w:pPr>
      <w:bookmarkStart w:name="_bookmark558" w:id="560"/>
      <w:bookmarkEnd w:id="560"/>
      <w:r>
        <w:rPr/>
      </w:r>
      <w:hyperlink w:history="true" w:anchor="_bookmark448">
        <w:r>
          <w:rPr>
            <w:color w:val="005DA1"/>
            <w:spacing w:val="-4"/>
            <w:position w:val="5"/>
            <w:sz w:val="14"/>
            <w:u w:val="single" w:color="005DA1"/>
          </w:rPr>
          <w:t>262</w:t>
        </w:r>
      </w:hyperlink>
      <w:r>
        <w:rPr>
          <w:spacing w:val="-4"/>
          <w:position w:val="5"/>
          <w:sz w:val="14"/>
        </w:rPr>
        <w:t>.</w:t>
      </w:r>
      <w:r>
        <w:rPr>
          <w:position w:val="5"/>
          <w:sz w:val="14"/>
        </w:rPr>
        <w:tab/>
      </w:r>
      <w:r>
        <w:rPr>
          <w:sz w:val="20"/>
        </w:rPr>
        <w:t>Approved </w:t>
      </w:r>
      <w:r>
        <w:rPr>
          <w:rFonts w:ascii="Arial" w:hAnsi="Arial"/>
          <w:i/>
          <w:sz w:val="20"/>
        </w:rPr>
        <w:t>Lupofresh Ltd v Sapporo Breweries Ltd [2013] EWCA Civ 948, [2013] 2 Lloyd’s </w:t>
      </w:r>
      <w:r>
        <w:rPr>
          <w:rFonts w:ascii="Arial" w:hAnsi="Arial"/>
          <w:i/>
          <w:sz w:val="20"/>
        </w:rPr>
        <w:t>Rep. 444</w:t>
      </w:r>
      <w:r>
        <w:rPr>
          <w:rFonts w:ascii="Arial" w:hAnsi="Arial"/>
          <w:i/>
          <w:spacing w:val="6"/>
          <w:sz w:val="20"/>
        </w:rPr>
        <w:t> </w:t>
      </w:r>
      <w:r>
        <w:rPr>
          <w:sz w:val="20"/>
        </w:rPr>
        <w:t>cf.</w:t>
      </w:r>
      <w:r>
        <w:rPr>
          <w:spacing w:val="6"/>
          <w:sz w:val="20"/>
        </w:rPr>
        <w:t> </w:t>
      </w:r>
      <w:r>
        <w:rPr>
          <w:rFonts w:ascii="Arial" w:hAnsi="Arial"/>
          <w:i/>
          <w:sz w:val="20"/>
        </w:rPr>
        <w:t>FR</w:t>
      </w:r>
      <w:r>
        <w:rPr>
          <w:rFonts w:ascii="Arial" w:hAnsi="Arial"/>
          <w:i/>
          <w:spacing w:val="6"/>
          <w:sz w:val="20"/>
        </w:rPr>
        <w:t> </w:t>
      </w:r>
      <w:r>
        <w:rPr>
          <w:rFonts w:ascii="Arial" w:hAnsi="Arial"/>
          <w:i/>
          <w:sz w:val="20"/>
        </w:rPr>
        <w:t>Lurssen</w:t>
      </w:r>
      <w:r>
        <w:rPr>
          <w:rFonts w:ascii="Arial" w:hAnsi="Arial"/>
          <w:i/>
          <w:spacing w:val="6"/>
          <w:sz w:val="20"/>
        </w:rPr>
        <w:t> </w:t>
      </w:r>
      <w:r>
        <w:rPr>
          <w:rFonts w:ascii="Arial" w:hAnsi="Arial"/>
          <w:i/>
          <w:sz w:val="20"/>
        </w:rPr>
        <w:t>Werft</w:t>
      </w:r>
      <w:r>
        <w:rPr>
          <w:rFonts w:ascii="Arial" w:hAnsi="Arial"/>
          <w:i/>
          <w:spacing w:val="6"/>
          <w:sz w:val="20"/>
        </w:rPr>
        <w:t> </w:t>
      </w:r>
      <w:r>
        <w:rPr>
          <w:rFonts w:ascii="Arial" w:hAnsi="Arial"/>
          <w:i/>
          <w:sz w:val="20"/>
        </w:rPr>
        <w:t>GmbH</w:t>
      </w:r>
      <w:r>
        <w:rPr>
          <w:rFonts w:ascii="Arial" w:hAnsi="Arial"/>
          <w:i/>
          <w:spacing w:val="6"/>
          <w:sz w:val="20"/>
        </w:rPr>
        <w:t> </w:t>
      </w:r>
      <w:r>
        <w:rPr>
          <w:rFonts w:ascii="Arial" w:hAnsi="Arial"/>
          <w:i/>
          <w:sz w:val="20"/>
        </w:rPr>
        <w:t>&amp;</w:t>
      </w:r>
      <w:r>
        <w:rPr>
          <w:rFonts w:ascii="Arial" w:hAnsi="Arial"/>
          <w:i/>
          <w:spacing w:val="6"/>
          <w:sz w:val="20"/>
        </w:rPr>
        <w:t> </w:t>
      </w:r>
      <w:r>
        <w:rPr>
          <w:rFonts w:ascii="Arial" w:hAnsi="Arial"/>
          <w:i/>
          <w:sz w:val="20"/>
        </w:rPr>
        <w:t>Co</w:t>
      </w:r>
      <w:r>
        <w:rPr>
          <w:rFonts w:ascii="Arial" w:hAnsi="Arial"/>
          <w:i/>
          <w:spacing w:val="6"/>
          <w:sz w:val="20"/>
        </w:rPr>
        <w:t> </w:t>
      </w:r>
      <w:r>
        <w:rPr>
          <w:rFonts w:ascii="Arial" w:hAnsi="Arial"/>
          <w:i/>
          <w:sz w:val="20"/>
        </w:rPr>
        <w:t>KG</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Halle</w:t>
      </w:r>
      <w:r>
        <w:rPr>
          <w:rFonts w:ascii="Arial" w:hAnsi="Arial"/>
          <w:i/>
          <w:spacing w:val="6"/>
          <w:sz w:val="20"/>
        </w:rPr>
        <w:t> </w:t>
      </w:r>
      <w:r>
        <w:rPr>
          <w:rFonts w:ascii="Arial" w:hAnsi="Arial"/>
          <w:i/>
          <w:sz w:val="20"/>
        </w:rPr>
        <w:t>[2010]</w:t>
      </w:r>
      <w:r>
        <w:rPr>
          <w:rFonts w:ascii="Arial" w:hAnsi="Arial"/>
          <w:i/>
          <w:spacing w:val="6"/>
          <w:sz w:val="20"/>
        </w:rPr>
        <w:t> </w:t>
      </w:r>
      <w:r>
        <w:rPr>
          <w:rFonts w:ascii="Arial" w:hAnsi="Arial"/>
          <w:i/>
          <w:sz w:val="20"/>
        </w:rPr>
        <w:t>EWCA</w:t>
      </w:r>
      <w:r>
        <w:rPr>
          <w:rFonts w:ascii="Arial" w:hAnsi="Arial"/>
          <w:i/>
          <w:spacing w:val="6"/>
          <w:sz w:val="20"/>
        </w:rPr>
        <w:t> </w:t>
      </w:r>
      <w:r>
        <w:rPr>
          <w:rFonts w:ascii="Arial" w:hAnsi="Arial"/>
          <w:i/>
          <w:sz w:val="20"/>
        </w:rPr>
        <w:t>Civ</w:t>
      </w:r>
      <w:r>
        <w:rPr>
          <w:rFonts w:ascii="Arial" w:hAnsi="Arial"/>
          <w:i/>
          <w:spacing w:val="6"/>
          <w:sz w:val="20"/>
        </w:rPr>
        <w:t> </w:t>
      </w:r>
      <w:r>
        <w:rPr>
          <w:rFonts w:ascii="Arial" w:hAnsi="Arial"/>
          <w:i/>
          <w:sz w:val="20"/>
        </w:rPr>
        <w:t>587,</w:t>
      </w:r>
      <w:r>
        <w:rPr>
          <w:rFonts w:ascii="Arial" w:hAnsi="Arial"/>
          <w:i/>
          <w:spacing w:val="6"/>
          <w:sz w:val="20"/>
        </w:rPr>
        <w:t> </w:t>
      </w:r>
      <w:r>
        <w:rPr>
          <w:rFonts w:ascii="Arial" w:hAnsi="Arial"/>
          <w:i/>
          <w:sz w:val="20"/>
        </w:rPr>
        <w:t>[2011]</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pacing w:val="-4"/>
          <w:sz w:val="20"/>
        </w:rPr>
        <w:t>Rep.</w:t>
      </w:r>
    </w:p>
    <w:p>
      <w:pPr>
        <w:pStyle w:val="BodyText"/>
        <w:spacing w:line="235" w:lineRule="auto"/>
        <w:ind w:left="705" w:right="167"/>
        <w:jc w:val="both"/>
      </w:pPr>
      <w:r>
        <w:rPr>
          <w:rFonts w:ascii="Arial" w:hAnsi="Arial"/>
          <w:i/>
        </w:rPr>
        <w:t>265</w:t>
      </w:r>
      <w:r>
        <w:rPr/>
        <w:t>. See Dicey, Morris and Collins, para.32–091. This conclusion is supported by the fact </w:t>
      </w:r>
      <w:r>
        <w:rPr/>
        <w:t>that the</w:t>
      </w:r>
      <w:r>
        <w:rPr>
          <w:spacing w:val="12"/>
        </w:rPr>
        <w:t> </w:t>
      </w:r>
      <w:r>
        <w:rPr/>
        <w:t>common</w:t>
      </w:r>
      <w:r>
        <w:rPr>
          <w:spacing w:val="12"/>
        </w:rPr>
        <w:t> </w:t>
      </w:r>
      <w:r>
        <w:rPr/>
        <w:t>law</w:t>
      </w:r>
      <w:r>
        <w:rPr>
          <w:spacing w:val="12"/>
        </w:rPr>
        <w:t> </w:t>
      </w:r>
      <w:r>
        <w:rPr/>
        <w:t>approach</w:t>
      </w:r>
      <w:r>
        <w:rPr>
          <w:spacing w:val="12"/>
        </w:rPr>
        <w:t> </w:t>
      </w:r>
      <w:r>
        <w:rPr/>
        <w:t>is</w:t>
      </w:r>
      <w:r>
        <w:rPr>
          <w:spacing w:val="12"/>
        </w:rPr>
        <w:t> </w:t>
      </w:r>
      <w:r>
        <w:rPr/>
        <w:t>not</w:t>
      </w:r>
      <w:r>
        <w:rPr>
          <w:spacing w:val="12"/>
        </w:rPr>
        <w:t> </w:t>
      </w:r>
      <w:r>
        <w:rPr/>
        <w:t>accepted</w:t>
      </w:r>
      <w:r>
        <w:rPr>
          <w:spacing w:val="12"/>
        </w:rPr>
        <w:t> </w:t>
      </w:r>
      <w:r>
        <w:rPr/>
        <w:t>in</w:t>
      </w:r>
      <w:r>
        <w:rPr>
          <w:spacing w:val="12"/>
        </w:rPr>
        <w:t> </w:t>
      </w:r>
      <w:r>
        <w:rPr/>
        <w:t>other</w:t>
      </w:r>
      <w:r>
        <w:rPr>
          <w:spacing w:val="12"/>
        </w:rPr>
        <w:t> </w:t>
      </w:r>
      <w:r>
        <w:rPr/>
        <w:t>countries:</w:t>
      </w:r>
      <w:r>
        <w:rPr>
          <w:spacing w:val="12"/>
        </w:rPr>
        <w:t> </w:t>
      </w:r>
      <w:r>
        <w:rPr/>
        <w:t>see</w:t>
      </w:r>
      <w:r>
        <w:rPr>
          <w:spacing w:val="12"/>
        </w:rPr>
        <w:t> </w:t>
      </w:r>
      <w:r>
        <w:rPr/>
        <w:t>F.A.</w:t>
      </w:r>
      <w:r>
        <w:rPr>
          <w:spacing w:val="12"/>
        </w:rPr>
        <w:t> </w:t>
      </w:r>
      <w:r>
        <w:rPr/>
        <w:t>Mann</w:t>
      </w:r>
      <w:r>
        <w:rPr>
          <w:spacing w:val="12"/>
        </w:rPr>
        <w:t> </w:t>
      </w:r>
      <w:r>
        <w:rPr/>
        <w:t>(1973)</w:t>
      </w:r>
      <w:r>
        <w:rPr>
          <w:spacing w:val="12"/>
        </w:rPr>
        <w:t> </w:t>
      </w:r>
      <w:r>
        <w:rPr/>
        <w:t>89</w:t>
      </w:r>
      <w:r>
        <w:rPr>
          <w:spacing w:val="12"/>
        </w:rPr>
        <w:t> </w:t>
      </w:r>
      <w:r>
        <w:rPr>
          <w:spacing w:val="-2"/>
        </w:rPr>
        <w:t>L.Q.R</w:t>
      </w:r>
      <w:r>
        <w:rPr>
          <w:spacing w:val="-2"/>
        </w:rPr>
        <w:t>.</w:t>
      </w:r>
    </w:p>
    <w:p>
      <w:pPr>
        <w:spacing w:line="235" w:lineRule="auto" w:before="0"/>
        <w:ind w:left="705" w:right="167" w:firstLine="0"/>
        <w:jc w:val="both"/>
        <w:rPr>
          <w:sz w:val="20"/>
        </w:rPr>
      </w:pPr>
      <w:r>
        <w:rPr>
          <w:sz w:val="20"/>
        </w:rPr>
        <w:t>464. See also </w:t>
      </w:r>
      <w:r>
        <w:rPr>
          <w:rFonts w:ascii="Arial" w:hAnsi="Arial"/>
          <w:i/>
          <w:sz w:val="20"/>
        </w:rPr>
        <w:t>Egon Oldendorff v Libera Corp (No.2) [1996] 1 Lloyd’s Rep. 380, 382</w:t>
      </w:r>
      <w:r>
        <w:rPr>
          <w:sz w:val="20"/>
        </w:rPr>
        <w:t>. See too </w:t>
      </w:r>
      <w:r>
        <w:rPr>
          <w:rFonts w:ascii="Arial" w:hAnsi="Arial"/>
          <w:i/>
          <w:sz w:val="20"/>
        </w:rPr>
        <w:t>Intercontainer Interfrigo SC (ICF) v Balkenende Oosthuizen BV (C-133/08) [2010] Q.B. </w:t>
      </w:r>
      <w:r>
        <w:rPr>
          <w:rFonts w:ascii="Arial" w:hAnsi="Arial"/>
          <w:i/>
          <w:sz w:val="20"/>
        </w:rPr>
        <w:t>411</w:t>
      </w:r>
      <w:r>
        <w:rPr>
          <w:sz w:val="20"/>
        </w:rPr>
        <w:t>; </w:t>
      </w:r>
      <w:r>
        <w:rPr>
          <w:rFonts w:ascii="Arial" w:hAnsi="Arial"/>
          <w:i/>
          <w:sz w:val="20"/>
        </w:rPr>
        <w:t>British Arab Commercial Bank v Bank of Communications [2011] EWHC 281 (Comm)</w:t>
      </w:r>
      <w:r>
        <w:rPr>
          <w:sz w:val="20"/>
        </w:rPr>
        <w:t>; </w:t>
      </w:r>
      <w:r>
        <w:rPr>
          <w:rFonts w:ascii="Arial" w:hAnsi="Arial"/>
          <w:i/>
          <w:sz w:val="20"/>
        </w:rPr>
        <w:t>Lawlor v Sandvik Mining and Construction Mobile Crushers and Screens Ltd [2013] EWCA Civ 365, [2013] 1 Lloyd’s Rep. 98</w:t>
      </w:r>
      <w:r>
        <w:rPr>
          <w:sz w:val="20"/>
        </w:rPr>
        <w:t>.</w:t>
      </w:r>
    </w:p>
    <w:p>
      <w:pPr>
        <w:pStyle w:val="BodyText"/>
        <w:spacing w:before="7"/>
      </w:pPr>
    </w:p>
    <w:p>
      <w:pPr>
        <w:spacing w:line="235" w:lineRule="auto" w:before="0"/>
        <w:ind w:left="705" w:right="167" w:hanging="541"/>
        <w:jc w:val="both"/>
        <w:rPr>
          <w:sz w:val="20"/>
        </w:rPr>
      </w:pPr>
      <w:bookmarkStart w:name="_bookmark559" w:id="561"/>
      <w:bookmarkEnd w:id="561"/>
      <w:r>
        <w:rPr/>
      </w:r>
      <w:hyperlink w:history="true" w:anchor="_bookmark449">
        <w:r>
          <w:rPr>
            <w:color w:val="005DA1"/>
            <w:position w:val="5"/>
            <w:sz w:val="14"/>
            <w:u w:val="single" w:color="005DA1"/>
          </w:rPr>
          <w:t>263</w:t>
        </w:r>
      </w:hyperlink>
      <w:r>
        <w:rPr>
          <w:position w:val="5"/>
          <w:sz w:val="14"/>
        </w:rPr>
        <w:t>.</w:t>
      </w:r>
      <w:r>
        <w:rPr>
          <w:spacing w:val="80"/>
          <w:w w:val="150"/>
          <w:position w:val="5"/>
          <w:sz w:val="14"/>
        </w:rPr>
        <w:t> </w:t>
      </w:r>
      <w:r>
        <w:rPr>
          <w:sz w:val="20"/>
        </w:rPr>
        <w:t>See </w:t>
      </w:r>
      <w:r>
        <w:rPr>
          <w:rFonts w:ascii="Arial" w:hAnsi="Arial"/>
          <w:i/>
          <w:sz w:val="20"/>
        </w:rPr>
        <w:t>Tiernan v Magen Insurance Co Ltd [2000] I.L.Pr. 517</w:t>
      </w:r>
      <w:r>
        <w:rPr>
          <w:sz w:val="20"/>
        </w:rPr>
        <w:t>; </w:t>
      </w:r>
      <w:r>
        <w:rPr>
          <w:rFonts w:ascii="Arial" w:hAnsi="Arial"/>
          <w:i/>
          <w:sz w:val="20"/>
        </w:rPr>
        <w:t>American Motorists Insurance Co </w:t>
      </w:r>
      <w:r>
        <w:rPr>
          <w:rFonts w:ascii="Arial" w:hAnsi="Arial"/>
          <w:i/>
          <w:sz w:val="20"/>
        </w:rPr>
        <w:t>v Cellstar Corp [2003] EWCA Civ 206, [2003] I.L.Pr. 370</w:t>
      </w:r>
      <w:r>
        <w:rPr>
          <w:sz w:val="20"/>
        </w:rPr>
        <w:t>; </w:t>
      </w:r>
      <w:r>
        <w:rPr>
          <w:rFonts w:ascii="Arial" w:hAnsi="Arial"/>
          <w:i/>
          <w:sz w:val="20"/>
        </w:rPr>
        <w:t>Tryg Baltica International (UK) Ltd v Boston Compania De Seguros SA [2004] EWHC 1186 (Comm), [2005] Lloyd’s Rep. I.R. 40</w:t>
      </w:r>
      <w:r>
        <w:rPr>
          <w:sz w:val="20"/>
        </w:rPr>
        <w:t>; </w:t>
      </w:r>
      <w:r>
        <w:rPr>
          <w:rFonts w:ascii="Arial" w:hAnsi="Arial"/>
          <w:i/>
          <w:sz w:val="20"/>
        </w:rPr>
        <w:t>Cadre SA V Astra Asigurari [2005] EWHC 2504 (Comm)</w:t>
      </w:r>
      <w:r>
        <w:rPr>
          <w:sz w:val="20"/>
        </w:rPr>
        <w:t>; </w:t>
      </w:r>
      <w:r>
        <w:rPr>
          <w:rFonts w:ascii="Arial" w:hAnsi="Arial"/>
          <w:i/>
          <w:sz w:val="20"/>
        </w:rPr>
        <w:t>Travelers Casualty and Surety Co of Canada v Sun Life Assurance Co of Canada (UK) Ltd [2006] EWHC 2716 (Comm), [2007] Lloyd’s Rep. I.R. 619</w:t>
      </w:r>
      <w:r>
        <w:rPr>
          <w:sz w:val="20"/>
        </w:rPr>
        <w:t>; </w:t>
      </w:r>
      <w:r>
        <w:rPr>
          <w:rFonts w:ascii="Arial" w:hAnsi="Arial"/>
          <w:i/>
          <w:sz w:val="20"/>
        </w:rPr>
        <w:t>Dornoch Ltd v Mauritius Union Assurance Co Ltd [2006] EWCA Civ 389, [2006] 2 Lloyd’s Rep. 475</w:t>
      </w:r>
      <w:r>
        <w:rPr>
          <w:sz w:val="20"/>
        </w:rPr>
        <w:t>. For the difficulty in the common law compare the views of Lords Diplock and Wilberforce in</w:t>
      </w:r>
      <w:r>
        <w:rPr>
          <w:spacing w:val="-1"/>
          <w:sz w:val="20"/>
        </w:rPr>
        <w:t> </w:t>
      </w:r>
      <w:r>
        <w:rPr>
          <w:rFonts w:ascii="Arial" w:hAnsi="Arial"/>
          <w:i/>
          <w:sz w:val="20"/>
        </w:rPr>
        <w:t>Amin Rasheed Shipping Corp v Kuwait Insurance Co [1984] A.C. </w:t>
      </w:r>
      <w:r>
        <w:rPr>
          <w:rFonts w:ascii="Arial" w:hAnsi="Arial"/>
          <w:i/>
          <w:spacing w:val="-5"/>
          <w:sz w:val="20"/>
        </w:rPr>
        <w:t>50</w:t>
      </w:r>
      <w:r>
        <w:rPr>
          <w:spacing w:val="-5"/>
          <w:sz w:val="20"/>
        </w:rPr>
        <w:t>.</w:t>
      </w:r>
    </w:p>
    <w:p>
      <w:pPr>
        <w:pStyle w:val="BodyText"/>
        <w:spacing w:before="3"/>
      </w:pPr>
    </w:p>
    <w:p>
      <w:pPr>
        <w:pStyle w:val="BodyText"/>
        <w:tabs>
          <w:tab w:pos="705" w:val="left" w:leader="none"/>
        </w:tabs>
        <w:ind w:left="165"/>
      </w:pPr>
      <w:bookmarkStart w:name="_bookmark560" w:id="562"/>
      <w:bookmarkEnd w:id="562"/>
      <w:r>
        <w:rPr/>
      </w:r>
      <w:hyperlink w:history="true" w:anchor="_bookmark450">
        <w:r>
          <w:rPr>
            <w:color w:val="005DA1"/>
            <w:spacing w:val="-4"/>
            <w:position w:val="5"/>
            <w:sz w:val="14"/>
            <w:u w:val="single" w:color="005DA1"/>
          </w:rPr>
          <w:t>264</w:t>
        </w:r>
      </w:hyperlink>
      <w:r>
        <w:rPr>
          <w:spacing w:val="-4"/>
          <w:position w:val="5"/>
          <w:sz w:val="14"/>
        </w:rPr>
        <w:t>.</w:t>
      </w:r>
      <w:r>
        <w:rPr>
          <w:position w:val="5"/>
          <w:sz w:val="14"/>
        </w:rPr>
        <w:tab/>
      </w:r>
      <w:r>
        <w:rPr/>
        <w:t>Giuliano-Lagarde Report, </w:t>
      </w:r>
      <w:r>
        <w:rPr>
          <w:spacing w:val="-2"/>
        </w:rPr>
        <w:t>p.17.</w:t>
      </w:r>
    </w:p>
    <w:p>
      <w:pPr>
        <w:pStyle w:val="BodyText"/>
        <w:spacing w:before="9"/>
      </w:pPr>
    </w:p>
    <w:p>
      <w:pPr>
        <w:pStyle w:val="BodyText"/>
        <w:tabs>
          <w:tab w:pos="705" w:val="left" w:leader="none"/>
        </w:tabs>
        <w:spacing w:line="235" w:lineRule="auto"/>
        <w:ind w:left="705" w:right="168" w:hanging="541"/>
      </w:pPr>
      <w:bookmarkStart w:name="_bookmark561" w:id="563"/>
      <w:bookmarkEnd w:id="563"/>
      <w:r>
        <w:rPr/>
      </w:r>
      <w:hyperlink w:history="true" w:anchor="_bookmark451">
        <w:r>
          <w:rPr>
            <w:color w:val="005DA1"/>
            <w:spacing w:val="-4"/>
            <w:position w:val="5"/>
            <w:sz w:val="14"/>
            <w:u w:val="single" w:color="005DA1"/>
          </w:rPr>
          <w:t>265</w:t>
        </w:r>
      </w:hyperlink>
      <w:r>
        <w:rPr>
          <w:spacing w:val="-4"/>
          <w:position w:val="5"/>
          <w:sz w:val="14"/>
        </w:rPr>
        <w:t>.</w:t>
      </w:r>
      <w:r>
        <w:rPr>
          <w:position w:val="5"/>
          <w:sz w:val="14"/>
        </w:rPr>
        <w:tab/>
      </w:r>
      <w:r>
        <w:rPr/>
        <w:t>And</w:t>
      </w:r>
      <w:r>
        <w:rPr>
          <w:spacing w:val="25"/>
        </w:rPr>
        <w:t> </w:t>
      </w:r>
      <w:r>
        <w:rPr/>
        <w:t>compare</w:t>
      </w:r>
      <w:r>
        <w:rPr>
          <w:spacing w:val="25"/>
        </w:rPr>
        <w:t> </w:t>
      </w:r>
      <w:r>
        <w:rPr/>
        <w:t>the</w:t>
      </w:r>
      <w:r>
        <w:rPr>
          <w:spacing w:val="25"/>
        </w:rPr>
        <w:t> </w:t>
      </w:r>
      <w:r>
        <w:rPr/>
        <w:t>use</w:t>
      </w:r>
      <w:r>
        <w:rPr>
          <w:spacing w:val="25"/>
        </w:rPr>
        <w:t> </w:t>
      </w:r>
      <w:r>
        <w:rPr/>
        <w:t>of</w:t>
      </w:r>
      <w:r>
        <w:rPr>
          <w:spacing w:val="25"/>
        </w:rPr>
        <w:t> </w:t>
      </w:r>
      <w:r>
        <w:rPr/>
        <w:t>“reasonable</w:t>
      </w:r>
      <w:r>
        <w:rPr>
          <w:spacing w:val="25"/>
        </w:rPr>
        <w:t> </w:t>
      </w:r>
      <w:r>
        <w:rPr/>
        <w:t>certainty”</w:t>
      </w:r>
      <w:r>
        <w:rPr>
          <w:spacing w:val="25"/>
        </w:rPr>
        <w:t> </w:t>
      </w:r>
      <w:r>
        <w:rPr/>
        <w:t>in</w:t>
      </w:r>
      <w:r>
        <w:rPr>
          <w:spacing w:val="25"/>
        </w:rPr>
        <w:t> </w:t>
      </w:r>
      <w:r>
        <w:rPr/>
        <w:t>the</w:t>
      </w:r>
      <w:r>
        <w:rPr>
          <w:spacing w:val="25"/>
        </w:rPr>
        <w:t> </w:t>
      </w:r>
      <w:r>
        <w:rPr/>
        <w:t>English</w:t>
      </w:r>
      <w:r>
        <w:rPr>
          <w:spacing w:val="25"/>
        </w:rPr>
        <w:t> </w:t>
      </w:r>
      <w:r>
        <w:rPr/>
        <w:t>text</w:t>
      </w:r>
      <w:r>
        <w:rPr>
          <w:spacing w:val="25"/>
        </w:rPr>
        <w:t> </w:t>
      </w:r>
      <w:r>
        <w:rPr/>
        <w:t>with</w:t>
      </w:r>
      <w:r>
        <w:rPr>
          <w:spacing w:val="25"/>
        </w:rPr>
        <w:t> </w:t>
      </w:r>
      <w:r>
        <w:rPr/>
        <w:t>the</w:t>
      </w:r>
      <w:r>
        <w:rPr>
          <w:spacing w:val="25"/>
        </w:rPr>
        <w:t> </w:t>
      </w:r>
      <w:r>
        <w:rPr/>
        <w:t>phrase</w:t>
      </w:r>
      <w:r>
        <w:rPr>
          <w:spacing w:val="25"/>
        </w:rPr>
        <w:t> </w:t>
      </w:r>
      <w:r>
        <w:rPr/>
        <w:t>“de</w:t>
      </w:r>
      <w:r>
        <w:rPr>
          <w:spacing w:val="25"/>
        </w:rPr>
        <w:t> </w:t>
      </w:r>
      <w:r>
        <w:rPr/>
        <w:t>façon certaine” in the French text.</w:t>
      </w:r>
    </w:p>
    <w:p>
      <w:pPr>
        <w:pStyle w:val="BodyText"/>
        <w:spacing w:before="5"/>
      </w:pPr>
    </w:p>
    <w:p>
      <w:pPr>
        <w:tabs>
          <w:tab w:pos="705" w:val="left" w:leader="none"/>
        </w:tabs>
        <w:spacing w:before="0"/>
        <w:ind w:left="165" w:right="0" w:firstLine="0"/>
        <w:jc w:val="left"/>
        <w:rPr>
          <w:sz w:val="20"/>
        </w:rPr>
      </w:pPr>
      <w:bookmarkStart w:name="_bookmark562" w:id="564"/>
      <w:bookmarkEnd w:id="564"/>
      <w:r>
        <w:rPr/>
      </w:r>
      <w:hyperlink w:history="true" w:anchor="_bookmark452">
        <w:r>
          <w:rPr>
            <w:color w:val="005DA1"/>
            <w:spacing w:val="-4"/>
            <w:position w:val="5"/>
            <w:sz w:val="14"/>
            <w:u w:val="single" w:color="005DA1"/>
          </w:rPr>
          <w:t>266</w:t>
        </w:r>
      </w:hyperlink>
      <w:r>
        <w:rPr>
          <w:spacing w:val="-4"/>
          <w:position w:val="5"/>
          <w:sz w:val="14"/>
        </w:rPr>
        <w:t>.</w:t>
      </w:r>
      <w:r>
        <w:rPr>
          <w:position w:val="5"/>
          <w:sz w:val="14"/>
        </w:rPr>
        <w:tab/>
      </w:r>
      <w:r>
        <w:rPr>
          <w:sz w:val="20"/>
        </w:rPr>
        <w:t>cf.</w:t>
      </w:r>
      <w:r>
        <w:rPr>
          <w:spacing w:val="-1"/>
          <w:sz w:val="20"/>
        </w:rPr>
        <w:t> </w:t>
      </w:r>
      <w:r>
        <w:rPr>
          <w:rFonts w:ascii="Arial"/>
          <w:i/>
          <w:sz w:val="20"/>
        </w:rPr>
        <w:t>Kahler v Midland Bank [1950] A.C. 24, 42</w:t>
      </w:r>
      <w:r>
        <w:rPr>
          <w:sz w:val="20"/>
        </w:rPr>
        <w:t>, per Lord </w:t>
      </w:r>
      <w:r>
        <w:rPr>
          <w:spacing w:val="-2"/>
          <w:sz w:val="20"/>
        </w:rPr>
        <w:t>MacDermott.</w:t>
      </w:r>
    </w:p>
    <w:p>
      <w:pPr>
        <w:pStyle w:val="BodyText"/>
        <w:spacing w:before="9"/>
      </w:pPr>
    </w:p>
    <w:p>
      <w:pPr>
        <w:tabs>
          <w:tab w:pos="705" w:val="left" w:leader="none"/>
        </w:tabs>
        <w:spacing w:line="235" w:lineRule="auto" w:before="0"/>
        <w:ind w:left="705" w:right="168" w:hanging="541"/>
        <w:jc w:val="left"/>
        <w:rPr>
          <w:sz w:val="20"/>
        </w:rPr>
      </w:pPr>
      <w:bookmarkStart w:name="_bookmark563" w:id="565"/>
      <w:bookmarkEnd w:id="565"/>
      <w:r>
        <w:rPr/>
      </w:r>
      <w:hyperlink w:history="true" w:anchor="_bookmark453">
        <w:r>
          <w:rPr>
            <w:color w:val="005DA1"/>
            <w:spacing w:val="-4"/>
            <w:position w:val="5"/>
            <w:sz w:val="14"/>
            <w:u w:val="single" w:color="005DA1"/>
          </w:rPr>
          <w:t>267</w:t>
        </w:r>
      </w:hyperlink>
      <w:r>
        <w:rPr>
          <w:spacing w:val="-4"/>
          <w:position w:val="5"/>
          <w:sz w:val="14"/>
        </w:rPr>
        <w:t>.</w:t>
      </w:r>
      <w:r>
        <w:rPr>
          <w:position w:val="5"/>
          <w:sz w:val="14"/>
        </w:rPr>
        <w:tab/>
      </w:r>
      <w:r>
        <w:rPr>
          <w:sz w:val="20"/>
        </w:rPr>
        <w:t>Giuliano-Lagarde Report, p.17. See also </w:t>
      </w:r>
      <w:r>
        <w:rPr>
          <w:rFonts w:ascii="Arial" w:hAnsi="Arial"/>
          <w:i/>
          <w:sz w:val="20"/>
        </w:rPr>
        <w:t>XL Insurance Ltd v Owens Corning [2000] 2 Lloyd’s</w:t>
      </w:r>
      <w:r>
        <w:rPr>
          <w:rFonts w:ascii="Arial" w:hAnsi="Arial"/>
          <w:i/>
          <w:spacing w:val="80"/>
          <w:sz w:val="20"/>
        </w:rPr>
        <w:t> </w:t>
      </w:r>
      <w:r>
        <w:rPr>
          <w:rFonts w:ascii="Arial" w:hAnsi="Arial"/>
          <w:i/>
          <w:sz w:val="20"/>
        </w:rPr>
        <w:t>Rep. 500</w:t>
      </w:r>
      <w:r>
        <w:rPr>
          <w:sz w:val="20"/>
        </w:rPr>
        <w:t>.</w:t>
      </w:r>
    </w:p>
    <w:p>
      <w:pPr>
        <w:pStyle w:val="BodyText"/>
        <w:spacing w:before="9"/>
      </w:pPr>
    </w:p>
    <w:p>
      <w:pPr>
        <w:pStyle w:val="BodyText"/>
        <w:tabs>
          <w:tab w:pos="705" w:val="left" w:leader="none"/>
          <w:tab w:pos="2464" w:val="left" w:leader="none"/>
          <w:tab w:pos="3343" w:val="left" w:leader="none"/>
          <w:tab w:pos="4012" w:val="left" w:leader="none"/>
          <w:tab w:pos="4592" w:val="left" w:leader="none"/>
          <w:tab w:pos="5683" w:val="left" w:leader="none"/>
          <w:tab w:pos="6463" w:val="left" w:leader="none"/>
          <w:tab w:pos="7242" w:val="left" w:leader="none"/>
          <w:tab w:pos="7800" w:val="left" w:leader="none"/>
          <w:tab w:pos="8680" w:val="left" w:leader="none"/>
        </w:tabs>
        <w:spacing w:line="235" w:lineRule="auto"/>
        <w:ind w:left="705" w:right="167" w:hanging="541"/>
      </w:pPr>
      <w:bookmarkStart w:name="_bookmark564" w:id="566"/>
      <w:bookmarkEnd w:id="566"/>
      <w:r>
        <w:rPr/>
      </w:r>
      <w:hyperlink w:history="true" w:anchor="_bookmark453">
        <w:r>
          <w:rPr>
            <w:color w:val="005DA1"/>
            <w:spacing w:val="-4"/>
            <w:position w:val="5"/>
            <w:sz w:val="14"/>
            <w:u w:val="single" w:color="005DA1"/>
          </w:rPr>
          <w:t>268</w:t>
        </w:r>
      </w:hyperlink>
      <w:r>
        <w:rPr>
          <w:spacing w:val="-4"/>
          <w:position w:val="5"/>
          <w:sz w:val="14"/>
        </w:rPr>
        <w:t>.</w:t>
      </w:r>
      <w:r>
        <w:rPr>
          <w:position w:val="5"/>
          <w:sz w:val="14"/>
        </w:rPr>
        <w:tab/>
      </w:r>
      <w:r>
        <w:rPr>
          <w:spacing w:val="-2"/>
        </w:rPr>
        <w:t>Giuliano-Lagarde</w:t>
      </w:r>
      <w:r>
        <w:rPr/>
        <w:tab/>
      </w:r>
      <w:r>
        <w:rPr>
          <w:spacing w:val="-2"/>
        </w:rPr>
        <w:t>Report,</w:t>
      </w:r>
      <w:r>
        <w:rPr/>
        <w:tab/>
      </w:r>
      <w:r>
        <w:rPr>
          <w:spacing w:val="-2"/>
        </w:rPr>
        <w:t>p.17.</w:t>
      </w:r>
      <w:r>
        <w:rPr/>
        <w:tab/>
      </w:r>
      <w:r>
        <w:rPr>
          <w:spacing w:val="-4"/>
        </w:rPr>
        <w:t>See</w:t>
      </w:r>
      <w:r>
        <w:rPr/>
        <w:tab/>
      </w:r>
      <w:r>
        <w:rPr>
          <w:spacing w:val="-2"/>
        </w:rPr>
        <w:t>generally,</w:t>
      </w:r>
      <w:r>
        <w:rPr/>
        <w:tab/>
      </w:r>
      <w:r>
        <w:rPr>
          <w:spacing w:val="-2"/>
        </w:rPr>
        <w:t>Dicey,</w:t>
      </w:r>
      <w:r>
        <w:rPr/>
        <w:tab/>
      </w:r>
      <w:r>
        <w:rPr>
          <w:spacing w:val="-2"/>
        </w:rPr>
        <w:t>Morris</w:t>
      </w:r>
      <w:r>
        <w:rPr/>
        <w:tab/>
      </w:r>
      <w:r>
        <w:rPr>
          <w:spacing w:val="-4"/>
        </w:rPr>
        <w:t>and</w:t>
      </w:r>
      <w:r>
        <w:rPr/>
        <w:tab/>
      </w:r>
      <w:r>
        <w:rPr>
          <w:spacing w:val="-2"/>
        </w:rPr>
        <w:t>Collins,</w:t>
      </w:r>
      <w:r>
        <w:rPr/>
        <w:tab/>
      </w:r>
      <w:r>
        <w:rPr>
          <w:spacing w:val="-2"/>
        </w:rPr>
        <w:t>paras </w:t>
      </w:r>
      <w:r>
        <w:rPr/>
        <w:t>32–047—32–053; Cheshire, North and Fawcett, pp.690–692.</w:t>
      </w:r>
    </w:p>
    <w:p>
      <w:pPr>
        <w:pStyle w:val="BodyText"/>
        <w:spacing w:after="0" w:line="235" w:lineRule="auto"/>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454">
        <w:r>
          <w:rPr>
            <w:color w:val="005DA1"/>
            <w:spacing w:val="-4"/>
            <w:position w:val="5"/>
            <w:sz w:val="14"/>
            <w:u w:val="single" w:color="005DA1"/>
          </w:rPr>
          <w:t>269</w:t>
        </w:r>
      </w:hyperlink>
      <w:r>
        <w:rPr>
          <w:spacing w:val="-4"/>
          <w:position w:val="5"/>
          <w:sz w:val="14"/>
        </w:rPr>
        <w:t>.</w:t>
      </w:r>
      <w:r>
        <w:rPr>
          <w:position w:val="5"/>
          <w:sz w:val="14"/>
        </w:rPr>
        <w:tab/>
      </w:r>
      <w:r>
        <w:rPr>
          <w:sz w:val="20"/>
        </w:rPr>
        <w:t>Above, para.30-</w:t>
      </w:r>
      <w:r>
        <w:rPr>
          <w:spacing w:val="-4"/>
          <w:sz w:val="20"/>
        </w:rPr>
        <w:t>015.</w:t>
      </w:r>
    </w:p>
    <w:p>
      <w:pPr>
        <w:pStyle w:val="BodyText"/>
        <w:spacing w:before="5"/>
      </w:pPr>
    </w:p>
    <w:p>
      <w:pPr>
        <w:pStyle w:val="BodyText"/>
        <w:tabs>
          <w:tab w:pos="705" w:val="left" w:leader="none"/>
        </w:tabs>
        <w:spacing w:before="1"/>
        <w:ind w:left="165"/>
      </w:pPr>
      <w:bookmarkStart w:name="_bookmark565" w:id="567"/>
      <w:bookmarkEnd w:id="567"/>
      <w:r>
        <w:rPr/>
      </w:r>
      <w:hyperlink w:history="true" w:anchor="_bookmark455">
        <w:r>
          <w:rPr>
            <w:color w:val="005DA1"/>
            <w:spacing w:val="-4"/>
            <w:position w:val="5"/>
            <w:sz w:val="14"/>
            <w:u w:val="single" w:color="005DA1"/>
          </w:rPr>
          <w:t>270</w:t>
        </w:r>
      </w:hyperlink>
      <w:r>
        <w:rPr>
          <w:spacing w:val="-4"/>
          <w:position w:val="5"/>
          <w:sz w:val="14"/>
        </w:rPr>
        <w:t>.</w:t>
      </w:r>
      <w:r>
        <w:rPr>
          <w:position w:val="5"/>
          <w:sz w:val="14"/>
        </w:rPr>
        <w:tab/>
      </w:r>
      <w:r>
        <w:rPr/>
        <w:t>Giuliano-Lagarde Report, </w:t>
      </w:r>
      <w:r>
        <w:rPr>
          <w:spacing w:val="-2"/>
        </w:rPr>
        <w:t>p.17.</w:t>
      </w:r>
    </w:p>
    <w:p>
      <w:pPr>
        <w:pStyle w:val="BodyText"/>
        <w:spacing w:before="4"/>
      </w:pPr>
    </w:p>
    <w:p>
      <w:pPr>
        <w:pStyle w:val="BodyText"/>
        <w:tabs>
          <w:tab w:pos="705" w:val="left" w:leader="none"/>
        </w:tabs>
        <w:spacing w:before="1"/>
        <w:ind w:left="165"/>
      </w:pPr>
      <w:bookmarkStart w:name="_bookmark566" w:id="568"/>
      <w:bookmarkEnd w:id="568"/>
      <w:r>
        <w:rPr/>
      </w:r>
      <w:hyperlink w:history="true" w:anchor="_bookmark456">
        <w:r>
          <w:rPr>
            <w:color w:val="005DA1"/>
            <w:spacing w:val="-4"/>
            <w:position w:val="5"/>
            <w:sz w:val="14"/>
            <w:u w:val="single" w:color="005DA1"/>
          </w:rPr>
          <w:t>271</w:t>
        </w:r>
      </w:hyperlink>
      <w:r>
        <w:rPr>
          <w:spacing w:val="-4"/>
          <w:position w:val="5"/>
          <w:sz w:val="14"/>
        </w:rPr>
        <w:t>.</w:t>
      </w:r>
      <w:r>
        <w:rPr>
          <w:position w:val="5"/>
          <w:sz w:val="14"/>
        </w:rPr>
        <w:tab/>
      </w:r>
      <w:r>
        <w:rPr/>
        <w:t>Giuliano-Lagarde Report, pp.17, </w:t>
      </w:r>
      <w:r>
        <w:rPr>
          <w:spacing w:val="-5"/>
        </w:rPr>
        <w:t>20.</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567" w:id="569"/>
      <w:bookmarkEnd w:id="569"/>
      <w:r>
        <w:rPr/>
      </w:r>
      <w:hyperlink w:history="true" w:anchor="_bookmark457">
        <w:r>
          <w:rPr>
            <w:color w:val="005DA1"/>
            <w:spacing w:val="-4"/>
            <w:position w:val="5"/>
            <w:sz w:val="14"/>
            <w:u w:val="single" w:color="005DA1"/>
          </w:rPr>
          <w:t>272</w:t>
        </w:r>
      </w:hyperlink>
      <w:r>
        <w:rPr>
          <w:spacing w:val="-4"/>
          <w:position w:val="5"/>
          <w:sz w:val="14"/>
        </w:rPr>
        <w:t>.</w:t>
      </w:r>
      <w:r>
        <w:rPr>
          <w:position w:val="5"/>
          <w:sz w:val="14"/>
        </w:rPr>
        <w:tab/>
      </w:r>
      <w:r>
        <w:rPr>
          <w:sz w:val="20"/>
        </w:rPr>
        <w:t>Giuliano-Lagarde</w:t>
      </w:r>
      <w:r>
        <w:rPr>
          <w:spacing w:val="13"/>
          <w:sz w:val="20"/>
        </w:rPr>
        <w:t> </w:t>
      </w:r>
      <w:r>
        <w:rPr>
          <w:sz w:val="20"/>
        </w:rPr>
        <w:t>Report,</w:t>
      </w:r>
      <w:r>
        <w:rPr>
          <w:spacing w:val="13"/>
          <w:sz w:val="20"/>
        </w:rPr>
        <w:t> </w:t>
      </w:r>
      <w:r>
        <w:rPr>
          <w:sz w:val="20"/>
        </w:rPr>
        <w:t>p.17.</w:t>
      </w:r>
      <w:r>
        <w:rPr>
          <w:spacing w:val="13"/>
          <w:sz w:val="20"/>
        </w:rPr>
        <w:t> </w:t>
      </w:r>
      <w:r>
        <w:rPr>
          <w:sz w:val="20"/>
        </w:rPr>
        <w:t>Contrast</w:t>
      </w:r>
      <w:r>
        <w:rPr>
          <w:spacing w:val="12"/>
          <w:sz w:val="20"/>
        </w:rPr>
        <w:t> </w:t>
      </w:r>
      <w:r>
        <w:rPr>
          <w:rFonts w:ascii="Arial"/>
          <w:i/>
          <w:sz w:val="20"/>
        </w:rPr>
        <w:t>CGU</w:t>
      </w:r>
      <w:r>
        <w:rPr>
          <w:rFonts w:ascii="Arial"/>
          <w:i/>
          <w:spacing w:val="13"/>
          <w:sz w:val="20"/>
        </w:rPr>
        <w:t> </w:t>
      </w:r>
      <w:r>
        <w:rPr>
          <w:rFonts w:ascii="Arial"/>
          <w:i/>
          <w:sz w:val="20"/>
        </w:rPr>
        <w:t>International</w:t>
      </w:r>
      <w:r>
        <w:rPr>
          <w:rFonts w:ascii="Arial"/>
          <w:i/>
          <w:spacing w:val="13"/>
          <w:sz w:val="20"/>
        </w:rPr>
        <w:t> </w:t>
      </w:r>
      <w:r>
        <w:rPr>
          <w:rFonts w:ascii="Arial"/>
          <w:i/>
          <w:sz w:val="20"/>
        </w:rPr>
        <w:t>Insurance</w:t>
      </w:r>
      <w:r>
        <w:rPr>
          <w:rFonts w:ascii="Arial"/>
          <w:i/>
          <w:spacing w:val="13"/>
          <w:sz w:val="20"/>
        </w:rPr>
        <w:t> </w:t>
      </w:r>
      <w:r>
        <w:rPr>
          <w:rFonts w:ascii="Arial"/>
          <w:i/>
          <w:sz w:val="20"/>
        </w:rPr>
        <w:t>Plc</w:t>
      </w:r>
      <w:r>
        <w:rPr>
          <w:rFonts w:ascii="Arial"/>
          <w:i/>
          <w:spacing w:val="13"/>
          <w:sz w:val="20"/>
        </w:rPr>
        <w:t> </w:t>
      </w:r>
      <w:r>
        <w:rPr>
          <w:rFonts w:ascii="Arial"/>
          <w:i/>
          <w:sz w:val="20"/>
        </w:rPr>
        <w:t>v</w:t>
      </w:r>
      <w:r>
        <w:rPr>
          <w:rFonts w:ascii="Arial"/>
          <w:i/>
          <w:spacing w:val="13"/>
          <w:sz w:val="20"/>
        </w:rPr>
        <w:t> </w:t>
      </w:r>
      <w:r>
        <w:rPr>
          <w:rFonts w:ascii="Arial"/>
          <w:i/>
          <w:sz w:val="20"/>
        </w:rPr>
        <w:t>Szabo</w:t>
      </w:r>
      <w:r>
        <w:rPr>
          <w:rFonts w:ascii="Arial"/>
          <w:i/>
          <w:spacing w:val="13"/>
          <w:sz w:val="20"/>
        </w:rPr>
        <w:t> </w:t>
      </w:r>
      <w:r>
        <w:rPr>
          <w:rFonts w:ascii="Arial"/>
          <w:i/>
          <w:sz w:val="20"/>
        </w:rPr>
        <w:t>[2002]</w:t>
      </w:r>
      <w:r>
        <w:rPr>
          <w:rFonts w:ascii="Arial"/>
          <w:i/>
          <w:spacing w:val="13"/>
          <w:sz w:val="20"/>
        </w:rPr>
        <w:t> </w:t>
      </w:r>
      <w:r>
        <w:rPr>
          <w:rFonts w:ascii="Arial"/>
          <w:i/>
          <w:sz w:val="20"/>
        </w:rPr>
        <w:t>1</w:t>
      </w:r>
      <w:r>
        <w:rPr>
          <w:rFonts w:ascii="Arial"/>
          <w:i/>
          <w:spacing w:val="13"/>
          <w:sz w:val="20"/>
        </w:rPr>
        <w:t> </w:t>
      </w:r>
      <w:r>
        <w:rPr>
          <w:rFonts w:ascii="Arial"/>
          <w:i/>
          <w:spacing w:val="-5"/>
          <w:sz w:val="20"/>
        </w:rPr>
        <w:t>All</w:t>
      </w:r>
    </w:p>
    <w:p>
      <w:pPr>
        <w:spacing w:line="235" w:lineRule="auto" w:before="1"/>
        <w:ind w:left="705" w:right="167" w:firstLine="0"/>
        <w:jc w:val="both"/>
        <w:rPr>
          <w:sz w:val="20"/>
        </w:rPr>
      </w:pPr>
      <w:r>
        <w:rPr>
          <w:rFonts w:ascii="Arial" w:hAnsi="Arial"/>
          <w:i/>
          <w:sz w:val="20"/>
        </w:rPr>
        <w:t>E.R. (Comm) 83 </w:t>
      </w:r>
      <w:r>
        <w:rPr>
          <w:sz w:val="20"/>
        </w:rPr>
        <w:t>(no logical or commercially sensible basis on which words of an insurance policy defining the insured can be “severed” so as to be interpreted by different laws and given possibly different meanings); </w:t>
      </w:r>
      <w:r>
        <w:rPr>
          <w:rFonts w:ascii="Arial" w:hAnsi="Arial"/>
          <w:i/>
          <w:sz w:val="20"/>
        </w:rPr>
        <w:t>American Motorists Insurance Co v Cellstar Corp [2003] EWCA Civ 206, [2003] I.L.Pr. 370 </w:t>
      </w:r>
      <w:r>
        <w:rPr>
          <w:sz w:val="20"/>
        </w:rPr>
        <w:t>at [20] (“neither the parties nor the Rome Convention could sensibly be taken to have intended to scissor up” a composite but single and probably multipartite insurance policy and to subject different aspects of it to different governing laws); </w:t>
      </w:r>
      <w:r>
        <w:rPr>
          <w:rFonts w:ascii="Arial" w:hAnsi="Arial"/>
          <w:i/>
          <w:sz w:val="20"/>
        </w:rPr>
        <w:t>Travelers Casualty &amp; Surety Co of Europe Ltd v Sun Life Assurance Co of Canada (UK) Ltd [2004]</w:t>
      </w:r>
      <w:r>
        <w:rPr>
          <w:rFonts w:ascii="Arial" w:hAnsi="Arial"/>
          <w:i/>
          <w:spacing w:val="40"/>
          <w:sz w:val="20"/>
        </w:rPr>
        <w:t> </w:t>
      </w:r>
      <w:r>
        <w:rPr>
          <w:rFonts w:ascii="Arial" w:hAnsi="Arial"/>
          <w:i/>
          <w:sz w:val="20"/>
        </w:rPr>
        <w:t>EWHC 1704 (Comm), [2004] I.L.Pr. 793</w:t>
      </w:r>
      <w:r>
        <w:rPr>
          <w:sz w:val="20"/>
        </w:rPr>
        <w:t>; </w:t>
      </w:r>
      <w:r>
        <w:rPr>
          <w:rFonts w:ascii="Arial" w:hAnsi="Arial"/>
          <w:i/>
          <w:sz w:val="20"/>
        </w:rPr>
        <w:t>CGU International Insurance Plc v </w:t>
      </w:r>
      <w:r>
        <w:rPr>
          <w:rFonts w:ascii="Arial" w:hAnsi="Arial"/>
          <w:i/>
          <w:sz w:val="20"/>
        </w:rPr>
        <w:t>Astrazeneca Insurance Co Ltd [2005] EWHC 2755 (Comm), [2006] 1 C.L.C. 162</w:t>
      </w:r>
      <w:r>
        <w:rPr>
          <w:sz w:val="20"/>
        </w:rPr>
        <w:t>. For a sceptical view </w:t>
      </w:r>
      <w:r>
        <w:rPr>
          <w:sz w:val="20"/>
        </w:rPr>
        <w:t>of dépecage, see the majority view of the Court of Appeal in </w:t>
      </w:r>
      <w:r>
        <w:rPr>
          <w:rFonts w:ascii="Arial" w:hAnsi="Arial"/>
          <w:i/>
          <w:sz w:val="20"/>
        </w:rPr>
        <w:t>Centrax Ltd v Citibank NA [1999] 1</w:t>
      </w:r>
      <w:r>
        <w:rPr>
          <w:rFonts w:ascii="Arial" w:hAnsi="Arial"/>
          <w:i/>
          <w:spacing w:val="40"/>
          <w:sz w:val="20"/>
        </w:rPr>
        <w:t> </w:t>
      </w:r>
      <w:r>
        <w:rPr>
          <w:rFonts w:ascii="Arial" w:hAnsi="Arial"/>
          <w:i/>
          <w:sz w:val="20"/>
        </w:rPr>
        <w:t>All E.R. (Comm) 557 </w:t>
      </w:r>
      <w:r>
        <w:rPr>
          <w:sz w:val="20"/>
        </w:rPr>
        <w:t>and contrast the dissenting judgment of Waller L.J. cf. </w:t>
      </w:r>
      <w:r>
        <w:rPr>
          <w:rFonts w:ascii="Arial" w:hAnsi="Arial"/>
          <w:i/>
          <w:sz w:val="20"/>
        </w:rPr>
        <w:t>XL Insurance v Owens Corning [2000] 2 Lloyd’s Rep. 500</w:t>
      </w:r>
      <w:r>
        <w:rPr>
          <w:sz w:val="20"/>
        </w:rPr>
        <w:t>.</w:t>
      </w:r>
    </w:p>
    <w:p>
      <w:pPr>
        <w:pStyle w:val="BodyText"/>
        <w:spacing w:before="1"/>
      </w:pPr>
    </w:p>
    <w:p>
      <w:pPr>
        <w:pStyle w:val="BodyText"/>
        <w:tabs>
          <w:tab w:pos="705" w:val="left" w:leader="none"/>
        </w:tabs>
        <w:spacing w:before="1"/>
        <w:ind w:left="165"/>
      </w:pPr>
      <w:bookmarkStart w:name="_bookmark568" w:id="570"/>
      <w:bookmarkEnd w:id="570"/>
      <w:r>
        <w:rPr/>
      </w:r>
      <w:hyperlink w:history="true" w:anchor="_bookmark458">
        <w:r>
          <w:rPr>
            <w:color w:val="005DA1"/>
            <w:spacing w:val="-4"/>
            <w:position w:val="5"/>
            <w:sz w:val="14"/>
            <w:u w:val="single" w:color="005DA1"/>
          </w:rPr>
          <w:t>273</w:t>
        </w:r>
      </w:hyperlink>
      <w:r>
        <w:rPr>
          <w:spacing w:val="-4"/>
          <w:position w:val="5"/>
          <w:sz w:val="14"/>
        </w:rPr>
        <w:t>.</w:t>
      </w:r>
      <w:r>
        <w:rPr>
          <w:position w:val="5"/>
          <w:sz w:val="14"/>
        </w:rPr>
        <w:tab/>
      </w:r>
      <w:r>
        <w:rPr/>
        <w:t>Giuliano-Lagarde Report, </w:t>
      </w:r>
      <w:r>
        <w:rPr>
          <w:spacing w:val="-2"/>
        </w:rPr>
        <w:t>p.17.</w:t>
      </w:r>
    </w:p>
    <w:p>
      <w:pPr>
        <w:pStyle w:val="BodyText"/>
        <w:spacing w:before="4"/>
      </w:pPr>
    </w:p>
    <w:p>
      <w:pPr>
        <w:pStyle w:val="BodyText"/>
        <w:tabs>
          <w:tab w:pos="705" w:val="left" w:leader="none"/>
        </w:tabs>
        <w:spacing w:before="1"/>
        <w:ind w:left="165"/>
      </w:pPr>
      <w:bookmarkStart w:name="_bookmark569" w:id="571"/>
      <w:bookmarkEnd w:id="571"/>
      <w:r>
        <w:rPr/>
      </w:r>
      <w:hyperlink w:history="true" w:anchor="_bookmark459">
        <w:r>
          <w:rPr>
            <w:color w:val="005DA1"/>
            <w:spacing w:val="-4"/>
            <w:position w:val="5"/>
            <w:sz w:val="14"/>
            <w:u w:val="single" w:color="005DA1"/>
          </w:rPr>
          <w:t>274</w:t>
        </w:r>
      </w:hyperlink>
      <w:r>
        <w:rPr>
          <w:spacing w:val="-4"/>
          <w:position w:val="5"/>
          <w:sz w:val="14"/>
        </w:rPr>
        <w:t>.</w:t>
      </w:r>
      <w:r>
        <w:rPr>
          <w:position w:val="5"/>
          <w:sz w:val="14"/>
        </w:rPr>
        <w:tab/>
      </w:r>
      <w:r>
        <w:rPr/>
        <w:t>Giuliano-Lagarde Report, </w:t>
      </w:r>
      <w:r>
        <w:rPr>
          <w:spacing w:val="-2"/>
        </w:rPr>
        <w:t>p.17.</w:t>
      </w:r>
    </w:p>
    <w:p>
      <w:pPr>
        <w:pStyle w:val="BodyText"/>
        <w:spacing w:before="4"/>
      </w:pPr>
    </w:p>
    <w:p>
      <w:pPr>
        <w:pStyle w:val="BodyText"/>
        <w:tabs>
          <w:tab w:pos="705" w:val="left" w:leader="none"/>
        </w:tabs>
        <w:spacing w:before="1"/>
        <w:ind w:left="165"/>
      </w:pPr>
      <w:bookmarkStart w:name="_bookmark570" w:id="572"/>
      <w:bookmarkEnd w:id="572"/>
      <w:r>
        <w:rPr/>
      </w:r>
      <w:hyperlink w:history="true" w:anchor="_bookmark460">
        <w:r>
          <w:rPr>
            <w:color w:val="005DA1"/>
            <w:spacing w:val="-4"/>
            <w:position w:val="5"/>
            <w:sz w:val="14"/>
            <w:u w:val="single" w:color="005DA1"/>
          </w:rPr>
          <w:t>275</w:t>
        </w:r>
      </w:hyperlink>
      <w:r>
        <w:rPr>
          <w:spacing w:val="-4"/>
          <w:position w:val="5"/>
          <w:sz w:val="14"/>
        </w:rPr>
        <w:t>.</w:t>
      </w:r>
      <w:r>
        <w:rPr>
          <w:position w:val="5"/>
          <w:sz w:val="14"/>
        </w:rPr>
        <w:tab/>
      </w:r>
      <w:r>
        <w:rPr/>
        <w:t>Giuliano-Lagarde Report, </w:t>
      </w:r>
      <w:r>
        <w:rPr>
          <w:spacing w:val="-2"/>
        </w:rPr>
        <w:t>p.17.</w:t>
      </w:r>
    </w:p>
    <w:p>
      <w:pPr>
        <w:pStyle w:val="BodyText"/>
        <w:spacing w:before="4"/>
      </w:pPr>
    </w:p>
    <w:p>
      <w:pPr>
        <w:pStyle w:val="BodyText"/>
        <w:tabs>
          <w:tab w:pos="705" w:val="left" w:leader="none"/>
        </w:tabs>
        <w:spacing w:before="1"/>
        <w:ind w:left="165"/>
      </w:pPr>
      <w:bookmarkStart w:name="_bookmark571" w:id="573"/>
      <w:bookmarkEnd w:id="573"/>
      <w:r>
        <w:rPr/>
      </w:r>
      <w:hyperlink w:history="true" w:anchor="_bookmark461">
        <w:r>
          <w:rPr>
            <w:color w:val="005DA1"/>
            <w:spacing w:val="-4"/>
            <w:position w:val="5"/>
            <w:sz w:val="14"/>
            <w:u w:val="single" w:color="005DA1"/>
          </w:rPr>
          <w:t>276</w:t>
        </w:r>
      </w:hyperlink>
      <w:r>
        <w:rPr>
          <w:spacing w:val="-4"/>
          <w:position w:val="5"/>
          <w:sz w:val="14"/>
        </w:rPr>
        <w:t>.</w:t>
      </w:r>
      <w:r>
        <w:rPr>
          <w:position w:val="5"/>
          <w:sz w:val="14"/>
        </w:rPr>
        <w:tab/>
      </w:r>
      <w:r>
        <w:rPr/>
        <w:t>Giuliano-Lagarde Report, p.17 and </w:t>
      </w:r>
      <w:r>
        <w:rPr>
          <w:spacing w:val="-2"/>
        </w:rPr>
        <w:t>p.20.</w:t>
      </w:r>
    </w:p>
    <w:p>
      <w:pPr>
        <w:pStyle w:val="BodyText"/>
        <w:spacing w:before="5"/>
      </w:pPr>
    </w:p>
    <w:p>
      <w:pPr>
        <w:tabs>
          <w:tab w:pos="705" w:val="left" w:leader="none"/>
        </w:tabs>
        <w:spacing w:before="0"/>
        <w:ind w:left="165" w:right="0" w:firstLine="0"/>
        <w:jc w:val="left"/>
        <w:rPr>
          <w:sz w:val="20"/>
        </w:rPr>
      </w:pPr>
      <w:bookmarkStart w:name="_bookmark572" w:id="574"/>
      <w:bookmarkEnd w:id="574"/>
      <w:r>
        <w:rPr/>
      </w:r>
      <w:hyperlink w:history="true" w:anchor="_bookmark462">
        <w:r>
          <w:rPr>
            <w:color w:val="005DA1"/>
            <w:spacing w:val="-4"/>
            <w:position w:val="5"/>
            <w:sz w:val="14"/>
            <w:u w:val="single" w:color="005DA1"/>
          </w:rPr>
          <w:t>277</w:t>
        </w:r>
      </w:hyperlink>
      <w:r>
        <w:rPr>
          <w:spacing w:val="-4"/>
          <w:position w:val="5"/>
          <w:sz w:val="14"/>
        </w:rPr>
        <w:t>.</w:t>
      </w:r>
      <w:r>
        <w:rPr>
          <w:position w:val="5"/>
          <w:sz w:val="14"/>
        </w:rPr>
        <w:tab/>
      </w:r>
      <w:r>
        <w:rPr>
          <w:sz w:val="20"/>
        </w:rPr>
        <w:t>Above, para.30-</w:t>
      </w:r>
      <w:r>
        <w:rPr>
          <w:spacing w:val="-4"/>
          <w:sz w:val="20"/>
        </w:rPr>
        <w:t>006.</w:t>
      </w:r>
    </w:p>
    <w:p>
      <w:pPr>
        <w:pStyle w:val="BodyText"/>
        <w:spacing w:before="5"/>
      </w:pPr>
    </w:p>
    <w:p>
      <w:pPr>
        <w:tabs>
          <w:tab w:pos="705" w:val="left" w:leader="none"/>
        </w:tabs>
        <w:spacing w:before="0"/>
        <w:ind w:left="165" w:right="0" w:firstLine="0"/>
        <w:jc w:val="left"/>
        <w:rPr>
          <w:sz w:val="20"/>
        </w:rPr>
      </w:pPr>
      <w:bookmarkStart w:name="_bookmark573" w:id="575"/>
      <w:bookmarkEnd w:id="575"/>
      <w:r>
        <w:rPr/>
      </w:r>
      <w:hyperlink w:history="true" w:anchor="_bookmark462">
        <w:r>
          <w:rPr>
            <w:color w:val="005DA1"/>
            <w:spacing w:val="-4"/>
            <w:position w:val="5"/>
            <w:sz w:val="14"/>
            <w:u w:val="single" w:color="005DA1"/>
          </w:rPr>
          <w:t>278</w:t>
        </w:r>
      </w:hyperlink>
      <w:r>
        <w:rPr>
          <w:spacing w:val="-4"/>
          <w:position w:val="5"/>
          <w:sz w:val="14"/>
        </w:rPr>
        <w:t>.</w:t>
      </w:r>
      <w:r>
        <w:rPr>
          <w:position w:val="5"/>
          <w:sz w:val="14"/>
        </w:rPr>
        <w:tab/>
      </w:r>
      <w:r>
        <w:rPr>
          <w:sz w:val="20"/>
        </w:rPr>
        <w:t>Above, para.30-</w:t>
      </w:r>
      <w:r>
        <w:rPr>
          <w:spacing w:val="-4"/>
          <w:sz w:val="20"/>
        </w:rPr>
        <w:t>005.</w:t>
      </w:r>
    </w:p>
    <w:p>
      <w:pPr>
        <w:pStyle w:val="BodyText"/>
        <w:spacing w:before="5"/>
      </w:pPr>
    </w:p>
    <w:p>
      <w:pPr>
        <w:pStyle w:val="BodyText"/>
        <w:tabs>
          <w:tab w:pos="705" w:val="left" w:leader="none"/>
        </w:tabs>
        <w:ind w:left="165"/>
      </w:pPr>
      <w:bookmarkStart w:name="_bookmark574" w:id="576"/>
      <w:bookmarkEnd w:id="576"/>
      <w:r>
        <w:rPr/>
      </w:r>
      <w:hyperlink w:history="true" w:anchor="_bookmark463">
        <w:r>
          <w:rPr>
            <w:color w:val="005DA1"/>
            <w:spacing w:val="-4"/>
            <w:position w:val="5"/>
            <w:sz w:val="14"/>
            <w:u w:val="single" w:color="005DA1"/>
          </w:rPr>
          <w:t>279</w:t>
        </w:r>
      </w:hyperlink>
      <w:r>
        <w:rPr>
          <w:spacing w:val="-4"/>
          <w:position w:val="5"/>
          <w:sz w:val="14"/>
        </w:rPr>
        <w:t>.</w:t>
      </w:r>
      <w:r>
        <w:rPr>
          <w:position w:val="5"/>
          <w:sz w:val="14"/>
        </w:rPr>
        <w:tab/>
      </w:r>
      <w:r>
        <w:rPr/>
        <w:t>See Dicey, Morris and Collins, paras 32–084—</w:t>
      </w:r>
      <w:r>
        <w:rPr>
          <w:spacing w:val="-2"/>
        </w:rPr>
        <w:t>32–085.</w:t>
      </w:r>
    </w:p>
    <w:p>
      <w:pPr>
        <w:pStyle w:val="BodyText"/>
        <w:spacing w:before="5"/>
      </w:pPr>
    </w:p>
    <w:p>
      <w:pPr>
        <w:pStyle w:val="BodyText"/>
        <w:tabs>
          <w:tab w:pos="705" w:val="left" w:leader="none"/>
        </w:tabs>
        <w:ind w:left="165"/>
      </w:pPr>
      <w:bookmarkStart w:name="_bookmark575" w:id="577"/>
      <w:bookmarkEnd w:id="577"/>
      <w:r>
        <w:rPr/>
      </w:r>
      <w:hyperlink w:history="true" w:anchor="_bookmark464">
        <w:r>
          <w:rPr>
            <w:color w:val="005DA1"/>
            <w:spacing w:val="-4"/>
            <w:position w:val="5"/>
            <w:sz w:val="14"/>
            <w:u w:val="single" w:color="005DA1"/>
          </w:rPr>
          <w:t>280</w:t>
        </w:r>
      </w:hyperlink>
      <w:r>
        <w:rPr>
          <w:spacing w:val="-4"/>
          <w:position w:val="5"/>
          <w:sz w:val="14"/>
        </w:rPr>
        <w:t>.</w:t>
      </w:r>
      <w:r>
        <w:rPr>
          <w:position w:val="5"/>
          <w:sz w:val="14"/>
        </w:rPr>
        <w:tab/>
      </w:r>
      <w:r>
        <w:rPr/>
        <w:t>See below, paras 30-313 et </w:t>
      </w:r>
      <w:r>
        <w:rPr>
          <w:spacing w:val="-4"/>
        </w:rPr>
        <w:t>seq.</w:t>
      </w:r>
    </w:p>
    <w:p>
      <w:pPr>
        <w:pStyle w:val="BodyText"/>
        <w:spacing w:before="8"/>
      </w:pPr>
    </w:p>
    <w:p>
      <w:pPr>
        <w:pStyle w:val="BodyText"/>
        <w:spacing w:line="235" w:lineRule="auto" w:before="1"/>
        <w:ind w:left="705" w:right="167" w:hanging="541"/>
        <w:jc w:val="both"/>
      </w:pPr>
      <w:bookmarkStart w:name="_bookmark576" w:id="578"/>
      <w:bookmarkEnd w:id="578"/>
      <w:r>
        <w:rPr/>
      </w:r>
      <w:hyperlink w:history="true" w:anchor="_bookmark465">
        <w:r>
          <w:rPr>
            <w:color w:val="005DA1"/>
            <w:position w:val="5"/>
            <w:sz w:val="14"/>
            <w:u w:val="single" w:color="005DA1"/>
          </w:rPr>
          <w:t>281</w:t>
        </w:r>
      </w:hyperlink>
      <w:r>
        <w:rPr>
          <w:position w:val="5"/>
          <w:sz w:val="14"/>
        </w:rPr>
        <w:t>.</w:t>
      </w:r>
      <w:r>
        <w:rPr>
          <w:spacing w:val="40"/>
          <w:position w:val="5"/>
          <w:sz w:val="14"/>
        </w:rPr>
        <w:t>  </w:t>
      </w:r>
      <w:r>
        <w:rPr/>
        <w:t>“The preservation of third-party rights appears to be entirely justified. In certain legal systems, a third-party</w:t>
      </w:r>
      <w:r>
        <w:rPr>
          <w:spacing w:val="-2"/>
        </w:rPr>
        <w:t> </w:t>
      </w:r>
      <w:r>
        <w:rPr/>
        <w:t>may</w:t>
      </w:r>
      <w:r>
        <w:rPr>
          <w:spacing w:val="-2"/>
        </w:rPr>
        <w:t> </w:t>
      </w:r>
      <w:r>
        <w:rPr/>
        <w:t>have</w:t>
      </w:r>
      <w:r>
        <w:rPr>
          <w:spacing w:val="-2"/>
        </w:rPr>
        <w:t> </w:t>
      </w:r>
      <w:r>
        <w:rPr/>
        <w:t>acquired</w:t>
      </w:r>
      <w:r>
        <w:rPr>
          <w:spacing w:val="-2"/>
        </w:rPr>
        <w:t> </w:t>
      </w:r>
      <w:r>
        <w:rPr/>
        <w:t>rights</w:t>
      </w:r>
      <w:r>
        <w:rPr>
          <w:spacing w:val="-2"/>
        </w:rPr>
        <w:t> </w:t>
      </w:r>
      <w:r>
        <w:rPr/>
        <w:t>in</w:t>
      </w:r>
      <w:r>
        <w:rPr>
          <w:spacing w:val="-2"/>
        </w:rPr>
        <w:t> </w:t>
      </w:r>
      <w:r>
        <w:rPr/>
        <w:t>consequence</w:t>
      </w:r>
      <w:r>
        <w:rPr>
          <w:spacing w:val="-2"/>
        </w:rPr>
        <w:t> </w:t>
      </w:r>
      <w:r>
        <w:rPr/>
        <w:t>of</w:t>
      </w:r>
      <w:r>
        <w:rPr>
          <w:spacing w:val="-2"/>
        </w:rPr>
        <w:t> </w:t>
      </w:r>
      <w:r>
        <w:rPr/>
        <w:t>a</w:t>
      </w:r>
      <w:r>
        <w:rPr>
          <w:spacing w:val="-2"/>
        </w:rPr>
        <w:t> </w:t>
      </w:r>
      <w:r>
        <w:rPr/>
        <w:t>contract</w:t>
      </w:r>
      <w:r>
        <w:rPr>
          <w:spacing w:val="-2"/>
        </w:rPr>
        <w:t> </w:t>
      </w:r>
      <w:r>
        <w:rPr/>
        <w:t>concluded</w:t>
      </w:r>
      <w:r>
        <w:rPr>
          <w:spacing w:val="-2"/>
        </w:rPr>
        <w:t> </w:t>
      </w:r>
      <w:r>
        <w:rPr/>
        <w:t>between</w:t>
      </w:r>
      <w:r>
        <w:rPr>
          <w:spacing w:val="-2"/>
        </w:rPr>
        <w:t> </w:t>
      </w:r>
      <w:r>
        <w:rPr/>
        <w:t>two</w:t>
      </w:r>
      <w:r>
        <w:rPr>
          <w:spacing w:val="-2"/>
        </w:rPr>
        <w:t> </w:t>
      </w:r>
      <w:r>
        <w:rPr/>
        <w:t>other persons. These rights cannot be affected by a subsequent change in the choice of the applicable law”: Giuliano-Lagarde Report, p.18.</w:t>
      </w:r>
    </w:p>
    <w:p>
      <w:pPr>
        <w:pStyle w:val="BodyText"/>
        <w:spacing w:before="8"/>
      </w:pPr>
    </w:p>
    <w:p>
      <w:pPr>
        <w:tabs>
          <w:tab w:pos="705" w:val="left" w:leader="none"/>
        </w:tabs>
        <w:spacing w:line="235" w:lineRule="auto" w:before="0"/>
        <w:ind w:left="705" w:right="168" w:hanging="541"/>
        <w:jc w:val="left"/>
        <w:rPr>
          <w:sz w:val="20"/>
        </w:rPr>
      </w:pPr>
      <w:bookmarkStart w:name="_bookmark577" w:id="579"/>
      <w:bookmarkEnd w:id="579"/>
      <w:r>
        <w:rPr/>
      </w:r>
      <w:hyperlink w:history="true" w:anchor="_bookmark466">
        <w:r>
          <w:rPr>
            <w:color w:val="005DA1"/>
            <w:spacing w:val="-4"/>
            <w:position w:val="5"/>
            <w:sz w:val="14"/>
            <w:u w:val="single" w:color="005DA1"/>
          </w:rPr>
          <w:t>282</w:t>
        </w:r>
      </w:hyperlink>
      <w:r>
        <w:rPr>
          <w:spacing w:val="-4"/>
          <w:position w:val="5"/>
          <w:sz w:val="14"/>
        </w:rPr>
        <w:t>.</w:t>
      </w:r>
      <w:r>
        <w:rPr>
          <w:position w:val="5"/>
          <w:sz w:val="14"/>
        </w:rPr>
        <w:tab/>
      </w:r>
      <w:r>
        <w:rPr>
          <w:sz w:val="20"/>
        </w:rPr>
        <w:t>Giuliano-Lagarde</w:t>
      </w:r>
      <w:r>
        <w:rPr>
          <w:spacing w:val="40"/>
          <w:sz w:val="20"/>
        </w:rPr>
        <w:t> </w:t>
      </w:r>
      <w:r>
        <w:rPr>
          <w:sz w:val="20"/>
        </w:rPr>
        <w:t>Report,</w:t>
      </w:r>
      <w:r>
        <w:rPr>
          <w:spacing w:val="40"/>
          <w:sz w:val="20"/>
        </w:rPr>
        <w:t> </w:t>
      </w:r>
      <w:r>
        <w:rPr>
          <w:sz w:val="20"/>
        </w:rPr>
        <w:t>p.18.</w:t>
      </w:r>
      <w:r>
        <w:rPr>
          <w:spacing w:val="40"/>
          <w:sz w:val="20"/>
        </w:rPr>
        <w:t> </w:t>
      </w:r>
      <w:r>
        <w:rPr>
          <w:sz w:val="20"/>
        </w:rPr>
        <w:t>See</w:t>
      </w:r>
      <w:r>
        <w:rPr>
          <w:spacing w:val="40"/>
          <w:sz w:val="20"/>
        </w:rPr>
        <w:t> </w:t>
      </w:r>
      <w:r>
        <w:rPr>
          <w:rFonts w:ascii="Arial" w:hAnsi="Arial"/>
          <w:i/>
          <w:sz w:val="20"/>
        </w:rPr>
        <w:t>Mauritius</w:t>
      </w:r>
      <w:r>
        <w:rPr>
          <w:rFonts w:ascii="Arial" w:hAnsi="Arial"/>
          <w:i/>
          <w:spacing w:val="40"/>
          <w:sz w:val="20"/>
        </w:rPr>
        <w:t> </w:t>
      </w:r>
      <w:r>
        <w:rPr>
          <w:rFonts w:ascii="Arial" w:hAnsi="Arial"/>
          <w:i/>
          <w:sz w:val="20"/>
        </w:rPr>
        <w:t>Commercial</w:t>
      </w:r>
      <w:r>
        <w:rPr>
          <w:rFonts w:ascii="Arial" w:hAnsi="Arial"/>
          <w:i/>
          <w:spacing w:val="40"/>
          <w:sz w:val="20"/>
        </w:rPr>
        <w:t> </w:t>
      </w:r>
      <w:r>
        <w:rPr>
          <w:rFonts w:ascii="Arial" w:hAnsi="Arial"/>
          <w:i/>
          <w:sz w:val="20"/>
        </w:rPr>
        <w:t>Bank</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Hestia</w:t>
      </w:r>
      <w:r>
        <w:rPr>
          <w:rFonts w:ascii="Arial" w:hAnsi="Arial"/>
          <w:i/>
          <w:spacing w:val="40"/>
          <w:sz w:val="20"/>
        </w:rPr>
        <w:t> </w:t>
      </w:r>
      <w:r>
        <w:rPr>
          <w:rFonts w:ascii="Arial" w:hAnsi="Arial"/>
          <w:i/>
          <w:sz w:val="20"/>
        </w:rPr>
        <w:t>Holdings</w:t>
      </w:r>
      <w:r>
        <w:rPr>
          <w:rFonts w:ascii="Arial" w:hAnsi="Arial"/>
          <w:i/>
          <w:spacing w:val="40"/>
          <w:sz w:val="20"/>
        </w:rPr>
        <w:t> </w:t>
      </w:r>
      <w:r>
        <w:rPr>
          <w:rFonts w:ascii="Arial" w:hAnsi="Arial"/>
          <w:i/>
          <w:sz w:val="20"/>
        </w:rPr>
        <w:t>Ltd [2013] EWHC 1328 (Comm), [2013] 2 Lloyd’s Rep. 121</w:t>
      </w:r>
      <w:r>
        <w:rPr>
          <w:sz w:val="20"/>
        </w:rPr>
        <w:t>.</w:t>
      </w:r>
    </w:p>
    <w:p>
      <w:pPr>
        <w:pStyle w:val="BodyText"/>
        <w:spacing w:before="5"/>
      </w:pPr>
    </w:p>
    <w:p>
      <w:pPr>
        <w:pStyle w:val="BodyText"/>
        <w:tabs>
          <w:tab w:pos="705" w:val="left" w:leader="none"/>
        </w:tabs>
        <w:spacing w:before="1"/>
        <w:ind w:left="165"/>
      </w:pPr>
      <w:bookmarkStart w:name="_bookmark578" w:id="580"/>
      <w:bookmarkEnd w:id="580"/>
      <w:r>
        <w:rPr/>
      </w:r>
      <w:hyperlink w:history="true" w:anchor="_bookmark467">
        <w:r>
          <w:rPr>
            <w:color w:val="005DA1"/>
            <w:spacing w:val="-4"/>
            <w:position w:val="5"/>
            <w:sz w:val="14"/>
            <w:u w:val="single" w:color="005DA1"/>
          </w:rPr>
          <w:t>283</w:t>
        </w:r>
      </w:hyperlink>
      <w:r>
        <w:rPr>
          <w:spacing w:val="-4"/>
          <w:position w:val="5"/>
          <w:sz w:val="14"/>
        </w:rPr>
        <w:t>.</w:t>
      </w:r>
      <w:r>
        <w:rPr>
          <w:position w:val="5"/>
          <w:sz w:val="14"/>
        </w:rPr>
        <w:tab/>
      </w:r>
      <w:r>
        <w:rPr/>
        <w:t>Giuliano-Lagarde Report, </w:t>
      </w:r>
      <w:r>
        <w:rPr>
          <w:spacing w:val="-2"/>
        </w:rPr>
        <w:t>p.18.</w:t>
      </w:r>
    </w:p>
    <w:p>
      <w:pPr>
        <w:pStyle w:val="BodyText"/>
        <w:spacing w:before="8"/>
      </w:pPr>
    </w:p>
    <w:p>
      <w:pPr>
        <w:pStyle w:val="BodyText"/>
        <w:spacing w:line="235" w:lineRule="auto"/>
        <w:ind w:left="705" w:right="167" w:hanging="541"/>
        <w:jc w:val="both"/>
      </w:pPr>
      <w:bookmarkStart w:name="_bookmark579" w:id="581"/>
      <w:bookmarkEnd w:id="581"/>
      <w:r>
        <w:rPr/>
      </w:r>
      <w:hyperlink w:history="true" w:anchor="_bookmark468">
        <w:r>
          <w:rPr>
            <w:color w:val="005DA1"/>
            <w:position w:val="5"/>
            <w:sz w:val="14"/>
            <w:u w:val="single" w:color="005DA1"/>
          </w:rPr>
          <w:t>284</w:t>
        </w:r>
      </w:hyperlink>
      <w:r>
        <w:rPr>
          <w:position w:val="5"/>
          <w:sz w:val="14"/>
        </w:rPr>
        <w:t>.</w:t>
      </w:r>
      <w:r>
        <w:rPr>
          <w:spacing w:val="80"/>
          <w:w w:val="150"/>
          <w:position w:val="5"/>
          <w:sz w:val="14"/>
        </w:rPr>
        <w:t> </w:t>
      </w:r>
      <w:r>
        <w:rPr/>
        <w:t>Giuliano-Lagarde Report, p.18. See </w:t>
      </w:r>
      <w:r>
        <w:rPr>
          <w:rFonts w:ascii="Arial" w:hAnsi="Arial"/>
          <w:i/>
        </w:rPr>
        <w:t>Aeolian Shipping SA v ISS Machinery Services Ltd </w:t>
      </w:r>
      <w:r>
        <w:rPr>
          <w:rFonts w:ascii="Arial" w:hAnsi="Arial"/>
          <w:i/>
        </w:rPr>
        <w:t>[2001] EWCA</w:t>
      </w:r>
      <w:r>
        <w:rPr>
          <w:rFonts w:ascii="Arial" w:hAnsi="Arial"/>
          <w:i/>
          <w:spacing w:val="-1"/>
        </w:rPr>
        <w:t> </w:t>
      </w:r>
      <w:r>
        <w:rPr>
          <w:rFonts w:ascii="Arial" w:hAnsi="Arial"/>
          <w:i/>
        </w:rPr>
        <w:t>Civ</w:t>
      </w:r>
      <w:r>
        <w:rPr>
          <w:rFonts w:ascii="Arial" w:hAnsi="Arial"/>
          <w:i/>
          <w:spacing w:val="-1"/>
        </w:rPr>
        <w:t> </w:t>
      </w:r>
      <w:r>
        <w:rPr>
          <w:rFonts w:ascii="Arial" w:hAnsi="Arial"/>
          <w:i/>
        </w:rPr>
        <w:t>1162,</w:t>
      </w:r>
      <w:r>
        <w:rPr>
          <w:rFonts w:ascii="Arial" w:hAnsi="Arial"/>
          <w:i/>
          <w:spacing w:val="-1"/>
        </w:rPr>
        <w:t> </w:t>
      </w:r>
      <w:r>
        <w:rPr>
          <w:rFonts w:ascii="Arial" w:hAnsi="Arial"/>
          <w:i/>
        </w:rPr>
        <w:t>[2001]</w:t>
      </w:r>
      <w:r>
        <w:rPr>
          <w:rFonts w:ascii="Arial" w:hAnsi="Arial"/>
          <w:i/>
          <w:spacing w:val="-1"/>
        </w:rPr>
        <w:t> </w:t>
      </w:r>
      <w:r>
        <w:rPr>
          <w:rFonts w:ascii="Arial" w:hAnsi="Arial"/>
          <w:i/>
        </w:rPr>
        <w:t>2</w:t>
      </w:r>
      <w:r>
        <w:rPr>
          <w:rFonts w:ascii="Arial" w:hAnsi="Arial"/>
          <w:i/>
          <w:spacing w:val="-1"/>
        </w:rPr>
        <w:t> </w:t>
      </w:r>
      <w:r>
        <w:rPr>
          <w:rFonts w:ascii="Arial" w:hAnsi="Arial"/>
          <w:i/>
        </w:rPr>
        <w:t>Lloyd’s</w:t>
      </w:r>
      <w:r>
        <w:rPr>
          <w:rFonts w:ascii="Arial" w:hAnsi="Arial"/>
          <w:i/>
          <w:spacing w:val="-1"/>
        </w:rPr>
        <w:t> </w:t>
      </w:r>
      <w:r>
        <w:rPr>
          <w:rFonts w:ascii="Arial" w:hAnsi="Arial"/>
          <w:i/>
        </w:rPr>
        <w:t>Rep.</w:t>
      </w:r>
      <w:r>
        <w:rPr>
          <w:rFonts w:ascii="Arial" w:hAnsi="Arial"/>
          <w:i/>
          <w:spacing w:val="-1"/>
        </w:rPr>
        <w:t> </w:t>
      </w:r>
      <w:r>
        <w:rPr>
          <w:rFonts w:ascii="Arial" w:hAnsi="Arial"/>
          <w:i/>
        </w:rPr>
        <w:t>81</w:t>
      </w:r>
      <w:r>
        <w:rPr/>
        <w:t>.</w:t>
      </w:r>
      <w:r>
        <w:rPr>
          <w:spacing w:val="-1"/>
        </w:rPr>
        <w:t> </w:t>
      </w:r>
      <w:r>
        <w:rPr/>
        <w:t>The</w:t>
      </w:r>
      <w:r>
        <w:rPr>
          <w:spacing w:val="-1"/>
        </w:rPr>
        <w:t> </w:t>
      </w:r>
      <w:r>
        <w:rPr/>
        <w:t>power</w:t>
      </w:r>
      <w:r>
        <w:rPr>
          <w:spacing w:val="-1"/>
        </w:rPr>
        <w:t> </w:t>
      </w:r>
      <w:r>
        <w:rPr/>
        <w:t>to</w:t>
      </w:r>
      <w:r>
        <w:rPr>
          <w:spacing w:val="-1"/>
        </w:rPr>
        <w:t> </w:t>
      </w:r>
      <w:r>
        <w:rPr/>
        <w:t>change</w:t>
      </w:r>
      <w:r>
        <w:rPr>
          <w:spacing w:val="-1"/>
        </w:rPr>
        <w:t> </w:t>
      </w:r>
      <w:r>
        <w:rPr/>
        <w:t>the</w:t>
      </w:r>
      <w:r>
        <w:rPr>
          <w:spacing w:val="-1"/>
        </w:rPr>
        <w:t> </w:t>
      </w:r>
      <w:r>
        <w:rPr/>
        <w:t>governing</w:t>
      </w:r>
      <w:r>
        <w:rPr>
          <w:spacing w:val="-1"/>
        </w:rPr>
        <w:t> </w:t>
      </w:r>
      <w:r>
        <w:rPr/>
        <w:t>law,</w:t>
      </w:r>
      <w:r>
        <w:rPr>
          <w:spacing w:val="-1"/>
        </w:rPr>
        <w:t> </w:t>
      </w:r>
      <w:r>
        <w:rPr/>
        <w:t>pursuant</w:t>
      </w:r>
      <w:r>
        <w:rPr>
          <w:spacing w:val="-1"/>
        </w:rPr>
        <w:t> </w:t>
      </w:r>
      <w:r>
        <w:rPr/>
        <w:t>to Rome Convention art.3(2), would seem to be distinct from any power to change which may exist, as a matter of procedure, in national law. An example in English law would be a case where parties do not rely on an applicable foreign law in their statements of case, in which case English law will apply: see Giuliano-Lagarde Report, p.18.</w:t>
      </w:r>
    </w:p>
    <w:p>
      <w:pPr>
        <w:pStyle w:val="BodyText"/>
        <w:spacing w:before="4"/>
      </w:pPr>
    </w:p>
    <w:p>
      <w:pPr>
        <w:tabs>
          <w:tab w:pos="705" w:val="left" w:leader="none"/>
        </w:tabs>
        <w:spacing w:before="0"/>
        <w:ind w:left="165" w:right="0" w:firstLine="0"/>
        <w:jc w:val="left"/>
        <w:rPr>
          <w:sz w:val="20"/>
        </w:rPr>
      </w:pPr>
      <w:bookmarkStart w:name="_bookmark580" w:id="582"/>
      <w:bookmarkEnd w:id="582"/>
      <w:r>
        <w:rPr/>
      </w:r>
      <w:hyperlink w:history="true" w:anchor="_bookmark469">
        <w:r>
          <w:rPr>
            <w:color w:val="005DA1"/>
            <w:spacing w:val="-4"/>
            <w:position w:val="5"/>
            <w:sz w:val="14"/>
            <w:u w:val="single" w:color="005DA1"/>
          </w:rPr>
          <w:t>285</w:t>
        </w:r>
      </w:hyperlink>
      <w:r>
        <w:rPr>
          <w:spacing w:val="-4"/>
          <w:position w:val="5"/>
          <w:sz w:val="14"/>
        </w:rPr>
        <w:t>.</w:t>
      </w:r>
      <w:r>
        <w:rPr>
          <w:position w:val="5"/>
          <w:sz w:val="14"/>
        </w:rPr>
        <w:tab/>
      </w:r>
      <w:r>
        <w:rPr>
          <w:sz w:val="20"/>
        </w:rPr>
        <w:t>Above, para.30-</w:t>
      </w:r>
      <w:r>
        <w:rPr>
          <w:spacing w:val="-4"/>
          <w:sz w:val="20"/>
        </w:rPr>
        <w:t>005.</w:t>
      </w:r>
    </w:p>
    <w:p>
      <w:pPr>
        <w:pStyle w:val="BodyText"/>
        <w:spacing w:before="5"/>
      </w:pPr>
    </w:p>
    <w:p>
      <w:pPr>
        <w:tabs>
          <w:tab w:pos="705" w:val="left" w:leader="none"/>
        </w:tabs>
        <w:spacing w:before="0"/>
        <w:ind w:left="165" w:right="0" w:firstLine="0"/>
        <w:jc w:val="left"/>
        <w:rPr>
          <w:sz w:val="20"/>
        </w:rPr>
      </w:pPr>
      <w:bookmarkStart w:name="_bookmark581" w:id="583"/>
      <w:bookmarkEnd w:id="583"/>
      <w:r>
        <w:rPr/>
      </w:r>
      <w:hyperlink w:history="true" w:anchor="_bookmark470">
        <w:r>
          <w:rPr>
            <w:color w:val="005DA1"/>
            <w:spacing w:val="-4"/>
            <w:position w:val="5"/>
            <w:sz w:val="14"/>
            <w:u w:val="single" w:color="005DA1"/>
          </w:rPr>
          <w:t>286</w:t>
        </w:r>
      </w:hyperlink>
      <w:r>
        <w:rPr>
          <w:spacing w:val="-4"/>
          <w:position w:val="5"/>
          <w:sz w:val="14"/>
        </w:rPr>
        <w:t>.</w:t>
      </w:r>
      <w:r>
        <w:rPr>
          <w:position w:val="5"/>
          <w:sz w:val="14"/>
        </w:rPr>
        <w:tab/>
      </w:r>
      <w:r>
        <w:rPr>
          <w:sz w:val="20"/>
        </w:rPr>
        <w:t>Above, para.30-</w:t>
      </w:r>
      <w:r>
        <w:rPr>
          <w:spacing w:val="-4"/>
          <w:sz w:val="20"/>
        </w:rPr>
        <w:t>005.</w:t>
      </w:r>
    </w:p>
    <w:p>
      <w:pPr>
        <w:pStyle w:val="BodyText"/>
        <w:spacing w:before="5"/>
      </w:pPr>
    </w:p>
    <w:p>
      <w:pPr>
        <w:pStyle w:val="BodyText"/>
        <w:tabs>
          <w:tab w:pos="705" w:val="left" w:leader="none"/>
        </w:tabs>
        <w:ind w:left="165"/>
      </w:pPr>
      <w:bookmarkStart w:name="_bookmark582" w:id="584"/>
      <w:bookmarkEnd w:id="584"/>
      <w:r>
        <w:rPr/>
      </w:r>
      <w:hyperlink w:history="true" w:anchor="_bookmark471">
        <w:r>
          <w:rPr>
            <w:color w:val="005DA1"/>
            <w:spacing w:val="-4"/>
            <w:position w:val="5"/>
            <w:sz w:val="14"/>
            <w:u w:val="single" w:color="005DA1"/>
          </w:rPr>
          <w:t>287</w:t>
        </w:r>
      </w:hyperlink>
      <w:r>
        <w:rPr>
          <w:spacing w:val="-4"/>
          <w:position w:val="5"/>
          <w:sz w:val="14"/>
        </w:rPr>
        <w:t>.</w:t>
      </w:r>
      <w:r>
        <w:rPr>
          <w:position w:val="5"/>
          <w:sz w:val="14"/>
        </w:rPr>
        <w:tab/>
      </w:r>
      <w:r>
        <w:rPr/>
        <w:t>Dicey, Morris and Collins, paras 32–304 et </w:t>
      </w:r>
      <w:r>
        <w:rPr>
          <w:spacing w:val="-4"/>
        </w:rPr>
        <w:t>seq.</w:t>
      </w:r>
    </w:p>
    <w:p>
      <w:pPr>
        <w:pStyle w:val="BodyText"/>
        <w:spacing w:before="5"/>
      </w:pPr>
    </w:p>
    <w:p>
      <w:pPr>
        <w:tabs>
          <w:tab w:pos="705" w:val="left" w:leader="none"/>
        </w:tabs>
        <w:spacing w:before="1"/>
        <w:ind w:left="165" w:right="0" w:firstLine="0"/>
        <w:jc w:val="left"/>
        <w:rPr>
          <w:rFonts w:ascii="Arial" w:hAnsi="Arial"/>
          <w:i/>
          <w:sz w:val="20"/>
        </w:rPr>
      </w:pPr>
      <w:bookmarkStart w:name="_bookmark583" w:id="585"/>
      <w:bookmarkEnd w:id="585"/>
      <w:r>
        <w:rPr/>
      </w:r>
      <w:hyperlink w:history="true" w:anchor="_bookmark472">
        <w:r>
          <w:rPr>
            <w:color w:val="005DA1"/>
            <w:spacing w:val="-4"/>
            <w:position w:val="5"/>
            <w:sz w:val="14"/>
            <w:u w:val="single" w:color="005DA1"/>
          </w:rPr>
          <w:t>288</w:t>
        </w:r>
      </w:hyperlink>
      <w:r>
        <w:rPr>
          <w:spacing w:val="-4"/>
          <w:position w:val="5"/>
          <w:sz w:val="14"/>
        </w:rPr>
        <w:t>.</w:t>
      </w:r>
      <w:r>
        <w:rPr>
          <w:position w:val="5"/>
          <w:sz w:val="14"/>
        </w:rPr>
        <w:tab/>
      </w:r>
      <w:r>
        <w:rPr>
          <w:sz w:val="20"/>
        </w:rPr>
        <w:t>Rome</w:t>
      </w:r>
      <w:r>
        <w:rPr>
          <w:spacing w:val="21"/>
          <w:sz w:val="20"/>
        </w:rPr>
        <w:t> </w:t>
      </w:r>
      <w:r>
        <w:rPr>
          <w:sz w:val="20"/>
        </w:rPr>
        <w:t>Convention</w:t>
      </w:r>
      <w:r>
        <w:rPr>
          <w:spacing w:val="21"/>
          <w:sz w:val="20"/>
        </w:rPr>
        <w:t> </w:t>
      </w:r>
      <w:r>
        <w:rPr>
          <w:sz w:val="20"/>
        </w:rPr>
        <w:t>arts</w:t>
      </w:r>
      <w:r>
        <w:rPr>
          <w:spacing w:val="21"/>
          <w:sz w:val="20"/>
        </w:rPr>
        <w:t> </w:t>
      </w:r>
      <w:r>
        <w:rPr>
          <w:sz w:val="20"/>
        </w:rPr>
        <w:t>3(4),</w:t>
      </w:r>
      <w:r>
        <w:rPr>
          <w:spacing w:val="21"/>
          <w:sz w:val="20"/>
        </w:rPr>
        <w:t> </w:t>
      </w:r>
      <w:r>
        <w:rPr>
          <w:sz w:val="20"/>
        </w:rPr>
        <w:t>8(1).</w:t>
      </w:r>
      <w:r>
        <w:rPr>
          <w:spacing w:val="21"/>
          <w:sz w:val="20"/>
        </w:rPr>
        <w:t> </w:t>
      </w:r>
      <w:r>
        <w:rPr>
          <w:sz w:val="20"/>
        </w:rPr>
        <w:t>See</w:t>
      </w:r>
      <w:r>
        <w:rPr>
          <w:spacing w:val="21"/>
          <w:sz w:val="20"/>
        </w:rPr>
        <w:t> </w:t>
      </w:r>
      <w:r>
        <w:rPr>
          <w:rFonts w:ascii="Arial" w:hAnsi="Arial"/>
          <w:i/>
          <w:sz w:val="20"/>
        </w:rPr>
        <w:t>Egon</w:t>
      </w:r>
      <w:r>
        <w:rPr>
          <w:rFonts w:ascii="Arial" w:hAnsi="Arial"/>
          <w:i/>
          <w:spacing w:val="21"/>
          <w:sz w:val="20"/>
        </w:rPr>
        <w:t> </w:t>
      </w:r>
      <w:r>
        <w:rPr>
          <w:rFonts w:ascii="Arial" w:hAnsi="Arial"/>
          <w:i/>
          <w:sz w:val="20"/>
        </w:rPr>
        <w:t>Oldendorff</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Libera</w:t>
      </w:r>
      <w:r>
        <w:rPr>
          <w:rFonts w:ascii="Arial" w:hAnsi="Arial"/>
          <w:i/>
          <w:spacing w:val="21"/>
          <w:sz w:val="20"/>
        </w:rPr>
        <w:t> </w:t>
      </w:r>
      <w:r>
        <w:rPr>
          <w:rFonts w:ascii="Arial" w:hAnsi="Arial"/>
          <w:i/>
          <w:sz w:val="20"/>
        </w:rPr>
        <w:t>Corp</w:t>
      </w:r>
      <w:r>
        <w:rPr>
          <w:rFonts w:ascii="Arial" w:hAnsi="Arial"/>
          <w:i/>
          <w:spacing w:val="21"/>
          <w:sz w:val="20"/>
        </w:rPr>
        <w:t> </w:t>
      </w:r>
      <w:r>
        <w:rPr>
          <w:rFonts w:ascii="Arial" w:hAnsi="Arial"/>
          <w:i/>
          <w:sz w:val="20"/>
        </w:rPr>
        <w:t>(No.1)</w:t>
      </w:r>
      <w:r>
        <w:rPr>
          <w:rFonts w:ascii="Arial" w:hAnsi="Arial"/>
          <w:i/>
          <w:spacing w:val="21"/>
          <w:sz w:val="20"/>
        </w:rPr>
        <w:t> </w:t>
      </w:r>
      <w:r>
        <w:rPr>
          <w:rFonts w:ascii="Arial" w:hAnsi="Arial"/>
          <w:i/>
          <w:sz w:val="20"/>
        </w:rPr>
        <w:t>[1995]</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pacing w:val="-2"/>
          <w:sz w:val="20"/>
        </w:rPr>
        <w:t>Lloyd’s</w:t>
      </w:r>
    </w:p>
    <w:p>
      <w:pPr>
        <w:spacing w:after="0"/>
        <w:jc w:val="left"/>
        <w:rPr>
          <w:rFonts w:ascii="Arial" w:hAnsi="Arial"/>
          <w:i/>
          <w:sz w:val="20"/>
        </w:rPr>
        <w:sectPr>
          <w:pgSz w:w="11900" w:h="16840"/>
          <w:pgMar w:header="971" w:footer="0" w:top="1300" w:bottom="280" w:left="1275" w:right="1275"/>
        </w:sectPr>
      </w:pPr>
    </w:p>
    <w:p>
      <w:pPr>
        <w:spacing w:line="235" w:lineRule="auto" w:before="110"/>
        <w:ind w:left="705" w:right="167" w:firstLine="0"/>
        <w:jc w:val="both"/>
        <w:rPr>
          <w:sz w:val="20"/>
        </w:rPr>
      </w:pPr>
      <w:r>
        <w:rPr>
          <w:rFonts w:ascii="Arial" w:hAnsi="Arial"/>
          <w:i/>
          <w:sz w:val="20"/>
        </w:rPr>
        <w:t>Rep. 64</w:t>
      </w:r>
      <w:r>
        <w:rPr>
          <w:sz w:val="20"/>
        </w:rPr>
        <w:t>; </w:t>
      </w:r>
      <w:r>
        <w:rPr>
          <w:rFonts w:ascii="Arial" w:hAnsi="Arial"/>
          <w:i/>
          <w:sz w:val="20"/>
        </w:rPr>
        <w:t>Egon Oldendorff v Libera Corp (No.2) [1996] 1 Lloyd’s Rep. 380</w:t>
      </w:r>
      <w:r>
        <w:rPr>
          <w:sz w:val="20"/>
        </w:rPr>
        <w:t>; </w:t>
      </w:r>
      <w:r>
        <w:rPr>
          <w:rFonts w:ascii="Arial" w:hAnsi="Arial"/>
          <w:i/>
          <w:sz w:val="20"/>
        </w:rPr>
        <w:t>Kingspan Environmental Ltd v Borealis A/S [2012] EWHC 1147 (Comm)</w:t>
      </w:r>
      <w:r>
        <w:rPr>
          <w:sz w:val="20"/>
        </w:rPr>
        <w:t>, at [559]–[568]. cf. </w:t>
      </w:r>
      <w:r>
        <w:rPr>
          <w:rFonts w:ascii="Arial" w:hAnsi="Arial"/>
          <w:i/>
          <w:sz w:val="20"/>
        </w:rPr>
        <w:t>Lupofresh Ltd v Sapporo Breweries Ltd [2013] EWCA Civ 948, [2013] 2 Lloyd’s Rep. 444 </w:t>
      </w:r>
      <w:r>
        <w:rPr>
          <w:sz w:val="20"/>
        </w:rPr>
        <w:t>at [29]. On alleged excess of authority see </w:t>
      </w:r>
      <w:r>
        <w:rPr>
          <w:rFonts w:ascii="Arial" w:hAnsi="Arial"/>
          <w:i/>
          <w:sz w:val="20"/>
        </w:rPr>
        <w:t>Habas Sinai v VSC Steel Co Ltd [2013] EWHC 4701 (Comm), [2014] 1 Lloyd’s Rep. 479</w:t>
      </w:r>
      <w:r>
        <w:rPr>
          <w:sz w:val="20"/>
        </w:rPr>
        <w:t>.</w:t>
      </w:r>
    </w:p>
    <w:p>
      <w:pPr>
        <w:pStyle w:val="BodyText"/>
        <w:spacing w:before="8"/>
      </w:pPr>
    </w:p>
    <w:p>
      <w:pPr>
        <w:spacing w:line="235" w:lineRule="auto" w:before="0"/>
        <w:ind w:left="705" w:right="167" w:hanging="541"/>
        <w:jc w:val="both"/>
        <w:rPr>
          <w:sz w:val="20"/>
        </w:rPr>
      </w:pPr>
      <w:bookmarkStart w:name="_bookmark584" w:id="586"/>
      <w:bookmarkEnd w:id="586"/>
      <w:r>
        <w:rPr/>
      </w:r>
      <w:hyperlink w:history="true" w:anchor="_bookmark473">
        <w:r>
          <w:rPr>
            <w:color w:val="005DA1"/>
            <w:position w:val="5"/>
            <w:sz w:val="14"/>
            <w:u w:val="single" w:color="005DA1"/>
          </w:rPr>
          <w:t>289</w:t>
        </w:r>
      </w:hyperlink>
      <w:r>
        <w:rPr>
          <w:position w:val="5"/>
          <w:sz w:val="14"/>
        </w:rPr>
        <w:t>.</w:t>
      </w:r>
      <w:r>
        <w:rPr>
          <w:spacing w:val="40"/>
          <w:position w:val="5"/>
          <w:sz w:val="14"/>
        </w:rPr>
        <w:t>  </w:t>
      </w:r>
      <w:r>
        <w:rPr>
          <w:sz w:val="20"/>
        </w:rPr>
        <w:t>Dicey, Morris and Collins, para.32–103. For further consideration of the problems generated by conflicting standard terms, see </w:t>
      </w:r>
      <w:r>
        <w:rPr>
          <w:rFonts w:ascii="Arial" w:hAnsi="Arial"/>
          <w:i/>
          <w:sz w:val="20"/>
        </w:rPr>
        <w:t>Ferguson Shipbuilders Ltd v Voith Hydro GmbH (2000) S.L.T. 229</w:t>
      </w:r>
      <w:r>
        <w:rPr>
          <w:sz w:val="20"/>
        </w:rPr>
        <w:t>;</w:t>
      </w:r>
      <w:r>
        <w:rPr>
          <w:spacing w:val="-3"/>
          <w:sz w:val="20"/>
        </w:rPr>
        <w:t> </w:t>
      </w:r>
      <w:r>
        <w:rPr>
          <w:rFonts w:ascii="Arial" w:hAnsi="Arial"/>
          <w:i/>
          <w:sz w:val="20"/>
        </w:rPr>
        <w:t>SSL</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TTL</w:t>
      </w:r>
      <w:r>
        <w:rPr>
          <w:rFonts w:ascii="Arial" w:hAnsi="Arial"/>
          <w:i/>
          <w:spacing w:val="-3"/>
          <w:sz w:val="20"/>
        </w:rPr>
        <w:t> </w:t>
      </w:r>
      <w:r>
        <w:rPr>
          <w:rFonts w:ascii="Arial" w:hAnsi="Arial"/>
          <w:i/>
          <w:sz w:val="20"/>
        </w:rPr>
        <w:t>LIG</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1695</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affirmed</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1170</w:t>
      </w:r>
      <w:r>
        <w:rPr>
          <w:sz w:val="20"/>
        </w:rPr>
        <w:t>. Danneman, </w:t>
      </w:r>
      <w:r>
        <w:rPr>
          <w:rFonts w:ascii="Arial" w:hAnsi="Arial"/>
          <w:i/>
          <w:sz w:val="20"/>
        </w:rPr>
        <w:t>Lex Mercatoria: Essays in Honour of Francis Reynolds </w:t>
      </w:r>
      <w:r>
        <w:rPr>
          <w:sz w:val="20"/>
        </w:rPr>
        <w:t>(2000), p.199.</w:t>
      </w:r>
    </w:p>
    <w:p>
      <w:pPr>
        <w:pStyle w:val="BodyText"/>
        <w:spacing w:before="5"/>
      </w:pPr>
    </w:p>
    <w:p>
      <w:pPr>
        <w:pStyle w:val="BodyText"/>
        <w:tabs>
          <w:tab w:pos="705" w:val="left" w:leader="none"/>
        </w:tabs>
        <w:ind w:left="165"/>
      </w:pPr>
      <w:bookmarkStart w:name="_bookmark585" w:id="587"/>
      <w:bookmarkEnd w:id="587"/>
      <w:r>
        <w:rPr/>
      </w:r>
      <w:hyperlink w:history="true" w:anchor="_bookmark474">
        <w:r>
          <w:rPr>
            <w:color w:val="005DA1"/>
            <w:spacing w:val="-4"/>
            <w:position w:val="5"/>
            <w:sz w:val="14"/>
            <w:u w:val="single" w:color="005DA1"/>
          </w:rPr>
          <w:t>290</w:t>
        </w:r>
      </w:hyperlink>
      <w:r>
        <w:rPr>
          <w:spacing w:val="-4"/>
          <w:position w:val="5"/>
          <w:sz w:val="14"/>
        </w:rPr>
        <w:t>.</w:t>
      </w:r>
      <w:r>
        <w:rPr>
          <w:position w:val="5"/>
          <w:sz w:val="14"/>
        </w:rPr>
        <w:tab/>
      </w:r>
      <w:r>
        <w:rPr/>
        <w:t>Below,</w:t>
      </w:r>
      <w:r>
        <w:rPr>
          <w:spacing w:val="-2"/>
        </w:rPr>
        <w:t> </w:t>
      </w:r>
      <w:r>
        <w:rPr/>
        <w:t>paras 30-070 et </w:t>
      </w:r>
      <w:r>
        <w:rPr>
          <w:spacing w:val="-4"/>
        </w:rPr>
        <w:t>seq.</w:t>
      </w:r>
    </w:p>
    <w:p>
      <w:pPr>
        <w:pStyle w:val="BodyText"/>
        <w:spacing w:before="9"/>
      </w:pPr>
    </w:p>
    <w:p>
      <w:pPr>
        <w:pStyle w:val="BodyText"/>
        <w:tabs>
          <w:tab w:pos="705" w:val="left" w:leader="none"/>
        </w:tabs>
        <w:spacing w:line="235" w:lineRule="auto"/>
        <w:ind w:left="705" w:right="168" w:hanging="541"/>
      </w:pPr>
      <w:bookmarkStart w:name="_bookmark586" w:id="588"/>
      <w:bookmarkEnd w:id="588"/>
      <w:r>
        <w:rPr/>
      </w:r>
      <w:hyperlink w:history="true" w:anchor="_bookmark475">
        <w:r>
          <w:rPr>
            <w:color w:val="005DA1"/>
            <w:spacing w:val="-4"/>
            <w:position w:val="5"/>
            <w:sz w:val="14"/>
            <w:u w:val="single" w:color="005DA1"/>
          </w:rPr>
          <w:t>291</w:t>
        </w:r>
      </w:hyperlink>
      <w:r>
        <w:rPr>
          <w:spacing w:val="-4"/>
          <w:position w:val="5"/>
          <w:sz w:val="14"/>
        </w:rPr>
        <w:t>.</w:t>
      </w:r>
      <w:r>
        <w:rPr>
          <w:position w:val="5"/>
          <w:sz w:val="14"/>
        </w:rPr>
        <w:tab/>
      </w:r>
      <w:r>
        <w:rPr/>
        <w:t>For</w:t>
      </w:r>
      <w:r>
        <w:rPr>
          <w:spacing w:val="40"/>
        </w:rPr>
        <w:t> </w:t>
      </w:r>
      <w:r>
        <w:rPr/>
        <w:t>discussion</w:t>
      </w:r>
      <w:r>
        <w:rPr>
          <w:spacing w:val="40"/>
        </w:rPr>
        <w:t> </w:t>
      </w:r>
      <w:r>
        <w:rPr/>
        <w:t>of</w:t>
      </w:r>
      <w:r>
        <w:rPr>
          <w:spacing w:val="40"/>
        </w:rPr>
        <w:t> </w:t>
      </w:r>
      <w:r>
        <w:rPr/>
        <w:t>the</w:t>
      </w:r>
      <w:r>
        <w:rPr>
          <w:spacing w:val="40"/>
        </w:rPr>
        <w:t> </w:t>
      </w:r>
      <w:r>
        <w:rPr/>
        <w:t>more</w:t>
      </w:r>
      <w:r>
        <w:rPr>
          <w:spacing w:val="40"/>
        </w:rPr>
        <w:t> </w:t>
      </w:r>
      <w:r>
        <w:rPr/>
        <w:t>stringent</w:t>
      </w:r>
      <w:r>
        <w:rPr>
          <w:spacing w:val="40"/>
        </w:rPr>
        <w:t> </w:t>
      </w:r>
      <w:r>
        <w:rPr/>
        <w:t>rules</w:t>
      </w:r>
      <w:r>
        <w:rPr>
          <w:spacing w:val="40"/>
        </w:rPr>
        <w:t> </w:t>
      </w:r>
      <w:r>
        <w:rPr/>
        <w:t>in</w:t>
      </w:r>
      <w:r>
        <w:rPr>
          <w:spacing w:val="40"/>
        </w:rPr>
        <w:t> </w:t>
      </w:r>
      <w:r>
        <w:rPr/>
        <w:t>relation</w:t>
      </w:r>
      <w:r>
        <w:rPr>
          <w:spacing w:val="40"/>
        </w:rPr>
        <w:t> </w:t>
      </w:r>
      <w:r>
        <w:rPr/>
        <w:t>to</w:t>
      </w:r>
      <w:r>
        <w:rPr>
          <w:spacing w:val="40"/>
        </w:rPr>
        <w:t> </w:t>
      </w:r>
      <w:r>
        <w:rPr/>
        <w:t>“certain</w:t>
      </w:r>
      <w:r>
        <w:rPr>
          <w:spacing w:val="40"/>
        </w:rPr>
        <w:t> </w:t>
      </w:r>
      <w:r>
        <w:rPr/>
        <w:t>consumer</w:t>
      </w:r>
      <w:r>
        <w:rPr>
          <w:spacing w:val="40"/>
        </w:rPr>
        <w:t> </w:t>
      </w:r>
      <w:r>
        <w:rPr/>
        <w:t>contracts”</w:t>
      </w:r>
      <w:r>
        <w:rPr>
          <w:spacing w:val="40"/>
        </w:rPr>
        <w:t> </w:t>
      </w:r>
      <w:r>
        <w:rPr/>
        <w:t>and “individual employment contracts”, see below, paras 30-091 et seq.</w:t>
      </w:r>
    </w:p>
    <w:p>
      <w:pPr>
        <w:pStyle w:val="BodyText"/>
        <w:spacing w:before="9"/>
      </w:pPr>
    </w:p>
    <w:p>
      <w:pPr>
        <w:spacing w:line="235" w:lineRule="auto" w:before="0"/>
        <w:ind w:left="705" w:right="167" w:hanging="541"/>
        <w:jc w:val="both"/>
        <w:rPr>
          <w:sz w:val="20"/>
        </w:rPr>
      </w:pPr>
      <w:bookmarkStart w:name="_bookmark587" w:id="589"/>
      <w:bookmarkEnd w:id="589"/>
      <w:r>
        <w:rPr/>
      </w:r>
      <w:hyperlink w:history="true" w:anchor="_bookmark476">
        <w:r>
          <w:rPr>
            <w:color w:val="005DA1"/>
            <w:position w:val="5"/>
            <w:sz w:val="14"/>
            <w:u w:val="single" w:color="005DA1"/>
          </w:rPr>
          <w:t>292</w:t>
        </w:r>
      </w:hyperlink>
      <w:r>
        <w:rPr>
          <w:position w:val="5"/>
          <w:sz w:val="14"/>
        </w:rPr>
        <w:t>.</w:t>
      </w:r>
      <w:r>
        <w:rPr>
          <w:spacing w:val="80"/>
          <w:w w:val="150"/>
          <w:position w:val="5"/>
          <w:sz w:val="14"/>
        </w:rPr>
        <w:t> </w:t>
      </w:r>
      <w:r>
        <w:rPr>
          <w:sz w:val="20"/>
        </w:rPr>
        <w:t>A choice of law which is meaningless (cf. </w:t>
      </w:r>
      <w:r>
        <w:rPr>
          <w:rFonts w:ascii="Arial" w:hAnsi="Arial"/>
          <w:i/>
          <w:sz w:val="20"/>
        </w:rPr>
        <w:t>Compagnie D’Armement Maritime SA v Compagnie Tunisienne</w:t>
      </w:r>
      <w:r>
        <w:rPr>
          <w:rFonts w:ascii="Arial" w:hAnsi="Arial"/>
          <w:i/>
          <w:spacing w:val="-2"/>
          <w:sz w:val="20"/>
        </w:rPr>
        <w:t> </w:t>
      </w:r>
      <w:r>
        <w:rPr>
          <w:rFonts w:ascii="Arial" w:hAnsi="Arial"/>
          <w:i/>
          <w:sz w:val="20"/>
        </w:rPr>
        <w:t>de</w:t>
      </w:r>
      <w:r>
        <w:rPr>
          <w:rFonts w:ascii="Arial" w:hAnsi="Arial"/>
          <w:i/>
          <w:spacing w:val="-2"/>
          <w:sz w:val="20"/>
        </w:rPr>
        <w:t> </w:t>
      </w:r>
      <w:r>
        <w:rPr>
          <w:rFonts w:ascii="Arial" w:hAnsi="Arial"/>
          <w:i/>
          <w:sz w:val="20"/>
        </w:rPr>
        <w:t>Navigation</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[1970]</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572</w:t>
      </w:r>
      <w:r>
        <w:rPr>
          <w:sz w:val="20"/>
        </w:rPr>
        <w:t>)</w:t>
      </w:r>
      <w:r>
        <w:rPr>
          <w:spacing w:val="-2"/>
          <w:sz w:val="20"/>
        </w:rPr>
        <w:t> </w:t>
      </w:r>
      <w:r>
        <w:rPr>
          <w:sz w:val="20"/>
        </w:rPr>
        <w:t>must</w:t>
      </w:r>
      <w:r>
        <w:rPr>
          <w:spacing w:val="-2"/>
          <w:sz w:val="20"/>
        </w:rPr>
        <w:t> </w:t>
      </w:r>
      <w:r>
        <w:rPr>
          <w:sz w:val="20"/>
        </w:rPr>
        <w:t>be</w:t>
      </w:r>
      <w:r>
        <w:rPr>
          <w:spacing w:val="-2"/>
          <w:sz w:val="20"/>
        </w:rPr>
        <w:t> </w:t>
      </w:r>
      <w:r>
        <w:rPr>
          <w:sz w:val="20"/>
        </w:rPr>
        <w:t>regarded</w:t>
      </w:r>
      <w:r>
        <w:rPr>
          <w:spacing w:val="-2"/>
          <w:sz w:val="20"/>
        </w:rPr>
        <w:t> </w:t>
      </w:r>
      <w:r>
        <w:rPr>
          <w:sz w:val="20"/>
        </w:rPr>
        <w:t>as</w:t>
      </w:r>
      <w:r>
        <w:rPr>
          <w:spacing w:val="-2"/>
          <w:sz w:val="20"/>
        </w:rPr>
        <w:t> </w:t>
      </w:r>
      <w:r>
        <w:rPr>
          <w:sz w:val="20"/>
        </w:rPr>
        <w:t>invalid</w:t>
      </w:r>
      <w:r>
        <w:rPr>
          <w:spacing w:val="-2"/>
          <w:sz w:val="20"/>
        </w:rPr>
        <w:t> </w:t>
      </w:r>
      <w:r>
        <w:rPr>
          <w:sz w:val="20"/>
        </w:rPr>
        <w:t>(or</w:t>
      </w:r>
      <w:r>
        <w:rPr>
          <w:spacing w:val="-2"/>
          <w:sz w:val="20"/>
        </w:rPr>
        <w:t> </w:t>
      </w:r>
      <w:r>
        <w:rPr>
          <w:sz w:val="20"/>
        </w:rPr>
        <w:t>ineffective</w:t>
      </w:r>
      <w:r>
        <w:rPr>
          <w:spacing w:val="-2"/>
          <w:sz w:val="20"/>
        </w:rPr>
        <w:t> </w:t>
      </w:r>
      <w:r>
        <w:rPr>
          <w:sz w:val="20"/>
        </w:rPr>
        <w:t>at</w:t>
      </w:r>
      <w:r>
        <w:rPr>
          <w:spacing w:val="-2"/>
          <w:sz w:val="20"/>
        </w:rPr>
        <w:t> </w:t>
      </w:r>
      <w:r>
        <w:rPr>
          <w:sz w:val="20"/>
        </w:rPr>
        <w:t>any rate) under the Convention.</w:t>
      </w:r>
    </w:p>
    <w:p>
      <w:pPr>
        <w:pStyle w:val="BodyText"/>
        <w:spacing w:before="9"/>
      </w:pPr>
    </w:p>
    <w:p>
      <w:pPr>
        <w:pStyle w:val="BodyText"/>
        <w:spacing w:line="235" w:lineRule="auto"/>
        <w:ind w:left="705" w:right="167" w:hanging="541"/>
        <w:jc w:val="both"/>
      </w:pPr>
      <w:bookmarkStart w:name="_bookmark588" w:id="590"/>
      <w:bookmarkEnd w:id="590"/>
      <w:r>
        <w:rPr/>
      </w:r>
      <w:hyperlink w:history="true" w:anchor="_bookmark477">
        <w:r>
          <w:rPr>
            <w:color w:val="005DA1"/>
            <w:position w:val="5"/>
            <w:sz w:val="14"/>
            <w:u w:val="single" w:color="005DA1"/>
          </w:rPr>
          <w:t>293</w:t>
        </w:r>
      </w:hyperlink>
      <w:r>
        <w:rPr>
          <w:position w:val="5"/>
          <w:sz w:val="14"/>
        </w:rPr>
        <w:t>.</w:t>
      </w:r>
      <w:r>
        <w:rPr>
          <w:spacing w:val="40"/>
          <w:position w:val="5"/>
          <w:sz w:val="14"/>
        </w:rPr>
        <w:t>  </w:t>
      </w:r>
      <w:r>
        <w:rPr/>
        <w:t>See Rome Convention art.5 (below, paras 30-091 et seq.); art.6 (below, paras 30-107 et seq.); art.7(1) (below, para.30-062); art.7(2) (below, para.30-065). For the position under the Rome </w:t>
      </w:r>
      <w:r>
        <w:rPr/>
        <w:t>I Regulation, see below, paras 30-179 et seq.</w:t>
      </w:r>
    </w:p>
    <w:p>
      <w:pPr>
        <w:pStyle w:val="BodyText"/>
        <w:spacing w:before="9"/>
      </w:pPr>
    </w:p>
    <w:p>
      <w:pPr>
        <w:pStyle w:val="BodyText"/>
        <w:spacing w:line="235" w:lineRule="auto"/>
        <w:ind w:left="705" w:right="167" w:hanging="541"/>
        <w:jc w:val="both"/>
      </w:pPr>
      <w:bookmarkStart w:name="_bookmark589" w:id="591"/>
      <w:bookmarkEnd w:id="591"/>
      <w:r>
        <w:rPr/>
      </w:r>
      <w:hyperlink w:history="true" w:anchor="_bookmark478">
        <w:r>
          <w:rPr>
            <w:color w:val="005DA1"/>
            <w:position w:val="5"/>
            <w:sz w:val="14"/>
            <w:u w:val="single" w:color="005DA1"/>
          </w:rPr>
          <w:t>294</w:t>
        </w:r>
      </w:hyperlink>
      <w:r>
        <w:rPr>
          <w:position w:val="5"/>
          <w:sz w:val="14"/>
        </w:rPr>
        <w:t>.</w:t>
      </w:r>
      <w:r>
        <w:rPr>
          <w:spacing w:val="80"/>
          <w:w w:val="150"/>
          <w:position w:val="5"/>
          <w:sz w:val="14"/>
        </w:rPr>
        <w:t> </w:t>
      </w:r>
      <w:r>
        <w:rPr/>
        <w:t>See Dicey, Morris and Collins, paras 32–070—32–073, 32–132—32–134; Cheshire, North </w:t>
      </w:r>
      <w:r>
        <w:rPr/>
        <w:t>and Fawcett, pp.695–697; Kaye, pp.159–168; Philip, </w:t>
      </w:r>
      <w:r>
        <w:rPr>
          <w:rFonts w:ascii="Arial" w:hAnsi="Arial"/>
          <w:i/>
        </w:rPr>
        <w:t>Contract Conflicts </w:t>
      </w:r>
      <w:r>
        <w:rPr/>
        <w:t>(1982), p.81, at pp.95–97; Morse (1982) 2 Ybk. Eur. L. 107, 122–124.</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160213</wp:posOffset>
            </wp:positionV>
            <wp:extent cx="107988" cy="1079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90" w:id="592"/>
      <w:bookmarkEnd w:id="592"/>
      <w:r>
        <w:rPr/>
      </w:r>
      <w:hyperlink w:history="true" w:anchor="_bookmark479">
        <w:r>
          <w:rPr>
            <w:color w:val="005DA1"/>
            <w:spacing w:val="-4"/>
            <w:sz w:val="14"/>
            <w:u w:val="single" w:color="005DA1"/>
          </w:rPr>
          <w:t>295</w:t>
        </w:r>
      </w:hyperlink>
      <w:r>
        <w:rPr>
          <w:spacing w:val="-4"/>
          <w:sz w:val="14"/>
        </w:rPr>
        <w:t>.</w:t>
      </w:r>
    </w:p>
    <w:p>
      <w:pPr>
        <w:spacing w:line="235" w:lineRule="auto" w:before="212"/>
        <w:ind w:left="165" w:right="167" w:firstLine="170"/>
        <w:jc w:val="both"/>
        <w:rPr>
          <w:sz w:val="20"/>
        </w:rPr>
      </w:pPr>
      <w:r>
        <w:rPr/>
        <w:br w:type="column"/>
      </w:r>
      <w:r>
        <w:rPr>
          <w:sz w:val="20"/>
        </w:rPr>
        <w:t>See Giuliano-Lagarde Report, p.18. There is no need to show evasiveness or bad faith: </w:t>
      </w:r>
      <w:r>
        <w:rPr>
          <w:rFonts w:ascii="Arial"/>
          <w:i/>
          <w:sz w:val="20"/>
        </w:rPr>
        <w:t>Banco Santander Totta SA v Cia de Carris de Ferro de Lisboa SA [2016] EWHC 465 </w:t>
      </w:r>
      <w:r>
        <w:rPr>
          <w:rFonts w:ascii="Arial"/>
          <w:i/>
          <w:sz w:val="20"/>
        </w:rPr>
        <w:t>(Comm)</w:t>
      </w:r>
      <w:r>
        <w:rPr>
          <w:rFonts w:ascii="Arial"/>
          <w:i/>
          <w:spacing w:val="40"/>
          <w:sz w:val="20"/>
        </w:rPr>
        <w:t> </w:t>
      </w:r>
      <w:r>
        <w:rPr>
          <w:rFonts w:ascii="Arial"/>
          <w:i/>
          <w:sz w:val="20"/>
        </w:rPr>
        <w:t>at [373], affirmed [2016] EWCA Civ 1267</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591" w:id="593"/>
      <w:bookmarkEnd w:id="593"/>
      <w:r>
        <w:rPr/>
      </w:r>
      <w:hyperlink w:history="true" w:anchor="_bookmark480">
        <w:r>
          <w:rPr>
            <w:color w:val="005DA1"/>
            <w:spacing w:val="-4"/>
            <w:position w:val="5"/>
            <w:sz w:val="14"/>
            <w:u w:val="single" w:color="005DA1"/>
          </w:rPr>
          <w:t>296</w:t>
        </w:r>
      </w:hyperlink>
      <w:r>
        <w:rPr>
          <w:spacing w:val="-4"/>
          <w:position w:val="5"/>
          <w:sz w:val="14"/>
        </w:rPr>
        <w:t>.</w:t>
      </w:r>
      <w:r>
        <w:rPr>
          <w:position w:val="5"/>
          <w:sz w:val="14"/>
        </w:rPr>
        <w:tab/>
      </w:r>
      <w:r>
        <w:rPr>
          <w:sz w:val="20"/>
        </w:rPr>
        <w:t>Lasok and Stone,</w:t>
      </w:r>
      <w:r>
        <w:rPr>
          <w:spacing w:val="-1"/>
          <w:sz w:val="20"/>
        </w:rPr>
        <w:t> </w:t>
      </w:r>
      <w:r>
        <w:rPr>
          <w:rFonts w:ascii="Arial" w:hAnsi="Arial"/>
          <w:i/>
          <w:sz w:val="20"/>
        </w:rPr>
        <w:t>Conflict of Laws in the European Community</w:t>
      </w:r>
      <w:r>
        <w:rPr>
          <w:rFonts w:ascii="Arial" w:hAnsi="Arial"/>
          <w:i/>
          <w:spacing w:val="-1"/>
          <w:sz w:val="20"/>
        </w:rPr>
        <w:t> </w:t>
      </w:r>
      <w:r>
        <w:rPr>
          <w:sz w:val="20"/>
        </w:rPr>
        <w:t>(1987), </w:t>
      </w:r>
      <w:r>
        <w:rPr>
          <w:spacing w:val="-2"/>
          <w:sz w:val="20"/>
        </w:rPr>
        <w:t>pp.377–378.</w:t>
      </w:r>
    </w:p>
    <w:p>
      <w:pPr>
        <w:pStyle w:val="BodyText"/>
        <w:spacing w:before="5"/>
      </w:pPr>
    </w:p>
    <w:p>
      <w:pPr>
        <w:pStyle w:val="BodyText"/>
        <w:tabs>
          <w:tab w:pos="705" w:val="left" w:leader="none"/>
        </w:tabs>
        <w:ind w:left="165"/>
      </w:pPr>
      <w:bookmarkStart w:name="_bookmark592" w:id="594"/>
      <w:bookmarkEnd w:id="594"/>
      <w:r>
        <w:rPr/>
      </w:r>
      <w:hyperlink w:history="true" w:anchor="_bookmark481">
        <w:r>
          <w:rPr>
            <w:color w:val="005DA1"/>
            <w:spacing w:val="-4"/>
            <w:position w:val="5"/>
            <w:sz w:val="14"/>
            <w:u w:val="single" w:color="005DA1"/>
          </w:rPr>
          <w:t>297</w:t>
        </w:r>
      </w:hyperlink>
      <w:r>
        <w:rPr>
          <w:spacing w:val="-4"/>
          <w:position w:val="5"/>
          <w:sz w:val="14"/>
        </w:rPr>
        <w:t>.</w:t>
      </w:r>
      <w:r>
        <w:rPr>
          <w:position w:val="5"/>
          <w:sz w:val="14"/>
        </w:rPr>
        <w:tab/>
      </w:r>
      <w:r>
        <w:rPr/>
        <w:t>Giuliano-Lagarde Report, </w:t>
      </w:r>
      <w:r>
        <w:rPr>
          <w:spacing w:val="-2"/>
        </w:rPr>
        <w:t>p.18.</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160179</wp:posOffset>
            </wp:positionV>
            <wp:extent cx="107988" cy="107988"/>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93" w:id="595"/>
      <w:bookmarkEnd w:id="595"/>
      <w:r>
        <w:rPr/>
      </w:r>
      <w:hyperlink w:history="true" w:anchor="_bookmark482">
        <w:r>
          <w:rPr>
            <w:color w:val="005DA1"/>
            <w:spacing w:val="-4"/>
            <w:sz w:val="14"/>
            <w:u w:val="single" w:color="005DA1"/>
          </w:rPr>
          <w:t>298</w:t>
        </w:r>
      </w:hyperlink>
      <w:r>
        <w:rPr>
          <w:spacing w:val="-4"/>
          <w:sz w:val="14"/>
        </w:rPr>
        <w:t>.</w:t>
      </w:r>
    </w:p>
    <w:p>
      <w:pPr>
        <w:spacing w:line="235" w:lineRule="auto" w:before="212"/>
        <w:ind w:left="165" w:right="167" w:firstLine="170"/>
        <w:jc w:val="both"/>
        <w:rPr>
          <w:sz w:val="20"/>
        </w:rPr>
      </w:pPr>
      <w:r>
        <w:rPr/>
        <w:br w:type="column"/>
      </w:r>
      <w:r>
        <w:rPr>
          <w:sz w:val="20"/>
        </w:rPr>
        <w:t>Giuliano-Lagarde Report, p.18. The application of Rome Convention art.3(3) was </w:t>
      </w:r>
      <w:r>
        <w:rPr>
          <w:sz w:val="20"/>
        </w:rPr>
        <w:t>considered but rejected in </w:t>
      </w:r>
      <w:r>
        <w:rPr>
          <w:rFonts w:ascii="Arial" w:hAnsi="Arial"/>
          <w:i/>
          <w:sz w:val="20"/>
        </w:rPr>
        <w:t>Caterpillar Financial Services Corp v SNC Passion [2004] EWHC 569 (Comm), [2004] 2 Lloyd’s Rep. 99</w:t>
      </w:r>
      <w:r>
        <w:rPr>
          <w:sz w:val="20"/>
        </w:rPr>
        <w:t>; </w:t>
      </w:r>
      <w:r>
        <w:rPr>
          <w:rFonts w:ascii="Arial" w:hAnsi="Arial"/>
          <w:i/>
          <w:sz w:val="20"/>
        </w:rPr>
        <w:t>Emeraldian Ltd Partnership v Wellmix Shipping Ltd [2010] EWHC 1411 (Comm), [2010] 1 C.L.C. 993</w:t>
      </w:r>
      <w:r>
        <w:rPr>
          <w:sz w:val="20"/>
        </w:rPr>
        <w:t>. See also </w:t>
      </w:r>
      <w:r>
        <w:rPr>
          <w:rFonts w:ascii="Arial" w:hAnsi="Arial"/>
          <w:i/>
          <w:sz w:val="20"/>
        </w:rPr>
        <w:t>Tamil Nadu Electricity Board v ST-CMS Electric Co Private Ltd [2007] EWHC 1713, [2008] 1 Lloyd’s Rep. 93 </w:t>
      </w:r>
      <w:r>
        <w:rPr>
          <w:sz w:val="20"/>
        </w:rPr>
        <w:t>at [43]–[44]. In </w:t>
      </w:r>
      <w:r>
        <w:rPr>
          <w:rFonts w:ascii="Arial" w:hAnsi="Arial"/>
          <w:i/>
          <w:sz w:val="20"/>
        </w:rPr>
        <w:t>Banco Santander Totta</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Cia</w:t>
      </w:r>
      <w:r>
        <w:rPr>
          <w:rFonts w:ascii="Arial" w:hAnsi="Arial"/>
          <w:i/>
          <w:spacing w:val="-2"/>
          <w:sz w:val="20"/>
        </w:rPr>
        <w:t> </w:t>
      </w:r>
      <w:r>
        <w:rPr>
          <w:rFonts w:ascii="Arial" w:hAnsi="Arial"/>
          <w:i/>
          <w:sz w:val="20"/>
        </w:rPr>
        <w:t>de</w:t>
      </w:r>
      <w:r>
        <w:rPr>
          <w:rFonts w:ascii="Arial" w:hAnsi="Arial"/>
          <w:i/>
          <w:spacing w:val="-2"/>
          <w:sz w:val="20"/>
        </w:rPr>
        <w:t> </w:t>
      </w:r>
      <w:r>
        <w:rPr>
          <w:rFonts w:ascii="Arial" w:hAnsi="Arial"/>
          <w:i/>
          <w:sz w:val="20"/>
        </w:rPr>
        <w:t>Carris</w:t>
      </w:r>
      <w:r>
        <w:rPr>
          <w:rFonts w:ascii="Arial" w:hAnsi="Arial"/>
          <w:i/>
          <w:spacing w:val="-2"/>
          <w:sz w:val="20"/>
        </w:rPr>
        <w:t> </w:t>
      </w:r>
      <w:r>
        <w:rPr>
          <w:rFonts w:ascii="Arial" w:hAnsi="Arial"/>
          <w:i/>
          <w:sz w:val="20"/>
        </w:rPr>
        <w:t>de</w:t>
      </w:r>
      <w:r>
        <w:rPr>
          <w:rFonts w:ascii="Arial" w:hAnsi="Arial"/>
          <w:i/>
          <w:spacing w:val="-2"/>
          <w:sz w:val="20"/>
        </w:rPr>
        <w:t> </w:t>
      </w:r>
      <w:r>
        <w:rPr>
          <w:rFonts w:ascii="Arial" w:hAnsi="Arial"/>
          <w:i/>
          <w:sz w:val="20"/>
        </w:rPr>
        <w:t>Ferro</w:t>
      </w:r>
      <w:r>
        <w:rPr>
          <w:rFonts w:ascii="Arial" w:hAnsi="Arial"/>
          <w:i/>
          <w:spacing w:val="-2"/>
          <w:sz w:val="20"/>
        </w:rPr>
        <w:t> </w:t>
      </w:r>
      <w:r>
        <w:rPr>
          <w:rFonts w:ascii="Arial" w:hAnsi="Arial"/>
          <w:i/>
          <w:sz w:val="20"/>
        </w:rPr>
        <w:t>de</w:t>
      </w:r>
      <w:r>
        <w:rPr>
          <w:rFonts w:ascii="Arial" w:hAnsi="Arial"/>
          <w:i/>
          <w:spacing w:val="-2"/>
          <w:sz w:val="20"/>
        </w:rPr>
        <w:t> </w:t>
      </w:r>
      <w:r>
        <w:rPr>
          <w:rFonts w:ascii="Arial" w:hAnsi="Arial"/>
          <w:i/>
          <w:sz w:val="20"/>
        </w:rPr>
        <w:t>Lisboa</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[2016]</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465</w:t>
      </w:r>
      <w:r>
        <w:rPr>
          <w:rFonts w:ascii="Arial" w:hAnsi="Arial"/>
          <w:i/>
          <w:spacing w:val="-2"/>
          <w:sz w:val="20"/>
        </w:rPr>
        <w:t> </w:t>
      </w:r>
      <w:r>
        <w:rPr>
          <w:rFonts w:ascii="Arial" w:hAnsi="Arial"/>
          <w:i/>
          <w:sz w:val="20"/>
        </w:rPr>
        <w:t>(Comm)</w:t>
      </w:r>
      <w:r>
        <w:rPr>
          <w:rFonts w:ascii="Arial" w:hAnsi="Arial"/>
          <w:i/>
          <w:spacing w:val="-3"/>
          <w:sz w:val="20"/>
        </w:rPr>
        <w:t> </w:t>
      </w:r>
      <w:r>
        <w:rPr>
          <w:sz w:val="20"/>
        </w:rPr>
        <w:t>the</w:t>
      </w:r>
      <w:r>
        <w:rPr>
          <w:spacing w:val="-2"/>
          <w:sz w:val="20"/>
        </w:rPr>
        <w:t> </w:t>
      </w:r>
      <w:r>
        <w:rPr>
          <w:sz w:val="20"/>
        </w:rPr>
        <w:t>judge</w:t>
      </w:r>
      <w:r>
        <w:rPr>
          <w:spacing w:val="-2"/>
          <w:sz w:val="20"/>
        </w:rPr>
        <w:t> </w:t>
      </w:r>
      <w:r>
        <w:rPr>
          <w:sz w:val="20"/>
        </w:rPr>
        <w:t>confirmed that the test was “deliberately general” (at [390]) and that it was enough that the case involved “international elements” (at [411]). This decision was affirmed by the Court of Appeal </w:t>
      </w:r>
      <w:r>
        <w:rPr>
          <w:rFonts w:ascii="Arial" w:hAnsi="Arial"/>
          <w:i/>
          <w:sz w:val="20"/>
        </w:rPr>
        <w:t>[2016] EWCA Civ 1267</w:t>
      </w:r>
      <w:r>
        <w:rPr>
          <w:sz w:val="20"/>
        </w:rPr>
        <w:t>. The starting point must be that art.3(3) was an exception to party autonomy and so should be construed narrowly. The only question was whether the situation is “purely domestic”. The </w:t>
      </w:r>
      <w:r>
        <w:rPr>
          <w:rFonts w:ascii="Arial" w:hAnsi="Arial"/>
          <w:i/>
          <w:sz w:val="20"/>
        </w:rPr>
        <w:t>Banco Santander Totta </w:t>
      </w:r>
      <w:r>
        <w:rPr>
          <w:sz w:val="20"/>
        </w:rPr>
        <w:t>case was followed in </w:t>
      </w:r>
      <w:r>
        <w:rPr>
          <w:rFonts w:ascii="Arial" w:hAnsi="Arial"/>
          <w:i/>
          <w:sz w:val="20"/>
        </w:rPr>
        <w:t>Dexia Crediop SpA v Comune di Prato [2017] EWCA Civ 428</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1"/>
      </w:pPr>
    </w:p>
    <w:p>
      <w:pPr>
        <w:pStyle w:val="BodyText"/>
        <w:tabs>
          <w:tab w:pos="705" w:val="left" w:leader="none"/>
        </w:tabs>
        <w:ind w:left="165"/>
      </w:pPr>
      <w:bookmarkStart w:name="_bookmark594" w:id="596"/>
      <w:bookmarkEnd w:id="596"/>
      <w:r>
        <w:rPr/>
      </w:r>
      <w:hyperlink w:history="true" w:anchor="_bookmark483">
        <w:r>
          <w:rPr>
            <w:color w:val="005DA1"/>
            <w:spacing w:val="-4"/>
            <w:position w:val="5"/>
            <w:sz w:val="14"/>
            <w:u w:val="single" w:color="005DA1"/>
          </w:rPr>
          <w:t>299</w:t>
        </w:r>
      </w:hyperlink>
      <w:r>
        <w:rPr>
          <w:spacing w:val="-4"/>
          <w:position w:val="5"/>
          <w:sz w:val="14"/>
        </w:rPr>
        <w:t>.</w:t>
      </w:r>
      <w:r>
        <w:rPr>
          <w:position w:val="5"/>
          <w:sz w:val="14"/>
        </w:rPr>
        <w:tab/>
      </w:r>
      <w:r>
        <w:rPr/>
        <w:t>Lasok and Stone at pp.377–378; Dicey, Morris and Collins, </w:t>
      </w:r>
      <w:r>
        <w:rPr>
          <w:spacing w:val="-2"/>
        </w:rPr>
        <w:t>para.32–071.</w:t>
      </w:r>
    </w:p>
    <w:p>
      <w:pPr>
        <w:pStyle w:val="BodyText"/>
        <w:spacing w:before="9"/>
      </w:pPr>
    </w:p>
    <w:p>
      <w:pPr>
        <w:spacing w:line="235" w:lineRule="auto" w:before="0"/>
        <w:ind w:left="705" w:right="167" w:hanging="541"/>
        <w:jc w:val="both"/>
        <w:rPr>
          <w:sz w:val="20"/>
        </w:rPr>
      </w:pPr>
      <w:bookmarkStart w:name="_bookmark595" w:id="597"/>
      <w:bookmarkEnd w:id="597"/>
      <w:r>
        <w:rPr/>
      </w:r>
      <w:hyperlink w:history="true" w:anchor="_bookmark484">
        <w:r>
          <w:rPr>
            <w:color w:val="005DA1"/>
            <w:position w:val="5"/>
            <w:sz w:val="14"/>
            <w:u w:val="single" w:color="005DA1"/>
          </w:rPr>
          <w:t>300</w:t>
        </w:r>
      </w:hyperlink>
      <w:r>
        <w:rPr>
          <w:position w:val="5"/>
          <w:sz w:val="14"/>
        </w:rPr>
        <w:t>.</w:t>
      </w:r>
      <w:r>
        <w:rPr>
          <w:spacing w:val="80"/>
          <w:position w:val="5"/>
          <w:sz w:val="14"/>
        </w:rPr>
        <w:t> </w:t>
      </w:r>
      <w:r>
        <w:rPr>
          <w:sz w:val="20"/>
        </w:rPr>
        <w:t>cf. Directive 2000/31 on certain legal aspects of information society services, in particular electronic commerce in the Internal Market (“Directive on electronic commerce”) [2000] </w:t>
      </w:r>
      <w:r>
        <w:rPr>
          <w:sz w:val="20"/>
        </w:rPr>
        <w:t>O.J. L178/1, Recital 19, not reproduced in the United Kingdom implementing legislation, the Electronic Commerce (EC Directive) Regulations 2002 (SI 2002/2013). See </w:t>
      </w:r>
      <w:r>
        <w:rPr>
          <w:rFonts w:ascii="Arial" w:hAnsi="Arial"/>
          <w:i/>
          <w:sz w:val="20"/>
        </w:rPr>
        <w:t>Menashe Business Mercantile Ltd v William Hill Organisation Ltd [2002] EWCA Civ 1702, [2003] 1 W.L.R. 1462</w:t>
      </w:r>
      <w:r>
        <w:rPr>
          <w:sz w:val="20"/>
        </w:rPr>
        <w:t>.</w:t>
      </w:r>
    </w:p>
    <w:p>
      <w:pPr>
        <w:pStyle w:val="BodyText"/>
        <w:spacing w:before="8"/>
      </w:pPr>
    </w:p>
    <w:p>
      <w:pPr>
        <w:spacing w:line="235" w:lineRule="auto" w:before="0"/>
        <w:ind w:left="705" w:right="167" w:hanging="541"/>
        <w:jc w:val="both"/>
        <w:rPr>
          <w:sz w:val="20"/>
        </w:rPr>
      </w:pPr>
      <w:bookmarkStart w:name="_bookmark596" w:id="598"/>
      <w:bookmarkEnd w:id="598"/>
      <w:r>
        <w:rPr/>
      </w:r>
      <w:hyperlink w:history="true" w:anchor="_bookmark485">
        <w:r>
          <w:rPr>
            <w:color w:val="005DA1"/>
            <w:position w:val="5"/>
            <w:sz w:val="14"/>
            <w:u w:val="single" w:color="005DA1"/>
          </w:rPr>
          <w:t>301</w:t>
        </w:r>
      </w:hyperlink>
      <w:r>
        <w:rPr>
          <w:position w:val="5"/>
          <w:sz w:val="14"/>
        </w:rPr>
        <w:t>.</w:t>
      </w:r>
      <w:r>
        <w:rPr>
          <w:spacing w:val="80"/>
          <w:w w:val="150"/>
          <w:position w:val="5"/>
          <w:sz w:val="14"/>
        </w:rPr>
        <w:t> </w:t>
      </w:r>
      <w:r>
        <w:rPr>
          <w:sz w:val="20"/>
        </w:rPr>
        <w:t>See </w:t>
      </w:r>
      <w:r>
        <w:rPr>
          <w:rFonts w:ascii="Arial" w:hAnsi="Arial"/>
          <w:i/>
          <w:sz w:val="20"/>
        </w:rPr>
        <w:t>Caterpillar Financial Services Corp v SNC Passion [2004] EWHC 569 (Comm), [2004] 2 Lloyd’s Rep. 99</w:t>
      </w:r>
      <w:r>
        <w:rPr>
          <w:sz w:val="20"/>
        </w:rPr>
        <w:t>; </w:t>
      </w:r>
      <w:r>
        <w:rPr>
          <w:rFonts w:ascii="Arial" w:hAnsi="Arial"/>
          <w:i/>
          <w:sz w:val="20"/>
        </w:rPr>
        <w:t>Emeraldian Ltd Partnership v Wellmix Shipping Ltd [2010] EWHC </w:t>
      </w:r>
      <w:r>
        <w:rPr>
          <w:rFonts w:ascii="Arial" w:hAnsi="Arial"/>
          <w:i/>
          <w:sz w:val="20"/>
        </w:rPr>
        <w:t>1411 (Comm), [2010]</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C.L.C.</w:t>
      </w:r>
      <w:r>
        <w:rPr>
          <w:rFonts w:ascii="Arial" w:hAnsi="Arial"/>
          <w:i/>
          <w:spacing w:val="1"/>
          <w:sz w:val="20"/>
        </w:rPr>
        <w:t> </w:t>
      </w:r>
      <w:r>
        <w:rPr>
          <w:rFonts w:ascii="Arial" w:hAnsi="Arial"/>
          <w:i/>
          <w:sz w:val="20"/>
        </w:rPr>
        <w:t>993</w:t>
      </w:r>
      <w:r>
        <w:rPr>
          <w:sz w:val="20"/>
        </w:rPr>
        <w:t>.</w:t>
      </w:r>
      <w:r>
        <w:rPr>
          <w:spacing w:val="1"/>
          <w:sz w:val="20"/>
        </w:rPr>
        <w:t> </w:t>
      </w:r>
      <w:r>
        <w:rPr>
          <w:sz w:val="20"/>
        </w:rPr>
        <w:t>Presumably,</w:t>
      </w:r>
      <w:r>
        <w:rPr>
          <w:spacing w:val="1"/>
          <w:sz w:val="20"/>
        </w:rPr>
        <w:t> </w:t>
      </w:r>
      <w:r>
        <w:rPr>
          <w:sz w:val="20"/>
        </w:rPr>
        <w:t>the</w:t>
      </w:r>
      <w:r>
        <w:rPr>
          <w:spacing w:val="1"/>
          <w:sz w:val="20"/>
        </w:rPr>
        <w:t> </w:t>
      </w:r>
      <w:r>
        <w:rPr>
          <w:sz w:val="20"/>
        </w:rPr>
        <w:t>English</w:t>
      </w:r>
      <w:r>
        <w:rPr>
          <w:spacing w:val="1"/>
          <w:sz w:val="20"/>
        </w:rPr>
        <w:t> </w:t>
      </w:r>
      <w:r>
        <w:rPr>
          <w:sz w:val="20"/>
        </w:rPr>
        <w:t>court</w:t>
      </w:r>
      <w:r>
        <w:rPr>
          <w:spacing w:val="1"/>
          <w:sz w:val="20"/>
        </w:rPr>
        <w:t> </w:t>
      </w:r>
      <w:r>
        <w:rPr>
          <w:sz w:val="20"/>
        </w:rPr>
        <w:t>would</w:t>
      </w:r>
      <w:r>
        <w:rPr>
          <w:spacing w:val="1"/>
          <w:sz w:val="20"/>
        </w:rPr>
        <w:t> </w:t>
      </w:r>
      <w:r>
        <w:rPr>
          <w:sz w:val="20"/>
        </w:rPr>
        <w:t>not</w:t>
      </w:r>
      <w:r>
        <w:rPr>
          <w:spacing w:val="1"/>
          <w:sz w:val="20"/>
        </w:rPr>
        <w:t> </w:t>
      </w:r>
      <w:r>
        <w:rPr>
          <w:sz w:val="20"/>
        </w:rPr>
        <w:t>apply</w:t>
      </w:r>
      <w:r>
        <w:rPr>
          <w:spacing w:val="1"/>
          <w:sz w:val="20"/>
        </w:rPr>
        <w:t> </w:t>
      </w:r>
      <w:r>
        <w:rPr>
          <w:sz w:val="20"/>
        </w:rPr>
        <w:t>these</w:t>
      </w:r>
      <w:r>
        <w:rPr>
          <w:spacing w:val="1"/>
          <w:sz w:val="20"/>
        </w:rPr>
        <w:t> </w:t>
      </w:r>
      <w:r>
        <w:rPr>
          <w:sz w:val="20"/>
        </w:rPr>
        <w:t>rules</w:t>
      </w:r>
      <w:r>
        <w:rPr>
          <w:spacing w:val="1"/>
          <w:sz w:val="20"/>
        </w:rPr>
        <w:t> </w:t>
      </w:r>
      <w:r>
        <w:rPr>
          <w:spacing w:val="-2"/>
          <w:sz w:val="20"/>
        </w:rPr>
        <w:t>unless</w:t>
      </w:r>
    </w:p>
    <w:p>
      <w:pPr>
        <w:spacing w:after="0" w:line="235" w:lineRule="auto"/>
        <w:jc w:val="both"/>
        <w:rPr>
          <w:sz w:val="20"/>
        </w:rPr>
        <w:sectPr>
          <w:type w:val="continuous"/>
          <w:pgSz w:w="11900" w:h="16840"/>
          <w:pgMar w:header="971" w:footer="0" w:top="1300" w:bottom="280" w:left="1275" w:right="1275"/>
        </w:sectPr>
      </w:pPr>
    </w:p>
    <w:p>
      <w:pPr>
        <w:pStyle w:val="BodyText"/>
        <w:spacing w:before="106"/>
        <w:ind w:left="705"/>
      </w:pPr>
      <w:r>
        <w:rPr/>
        <w:t>they were pleaded and </w:t>
      </w:r>
      <w:r>
        <w:rPr>
          <w:spacing w:val="-2"/>
        </w:rPr>
        <w:t>proved.</w:t>
      </w:r>
    </w:p>
    <w:p>
      <w:pPr>
        <w:pStyle w:val="BodyText"/>
        <w:spacing w:before="5"/>
      </w:pPr>
    </w:p>
    <w:p>
      <w:pPr>
        <w:pStyle w:val="BodyText"/>
        <w:tabs>
          <w:tab w:pos="705" w:val="left" w:leader="none"/>
        </w:tabs>
        <w:spacing w:before="1"/>
        <w:ind w:left="165"/>
      </w:pPr>
      <w:bookmarkStart w:name="_bookmark597" w:id="599"/>
      <w:bookmarkEnd w:id="599"/>
      <w:r>
        <w:rPr/>
      </w:r>
      <w:hyperlink w:history="true" w:anchor="_bookmark486">
        <w:r>
          <w:rPr>
            <w:color w:val="005DA1"/>
            <w:spacing w:val="-4"/>
            <w:position w:val="5"/>
            <w:sz w:val="14"/>
            <w:u w:val="single" w:color="005DA1"/>
          </w:rPr>
          <w:t>302</w:t>
        </w:r>
      </w:hyperlink>
      <w:r>
        <w:rPr>
          <w:spacing w:val="-4"/>
          <w:position w:val="5"/>
          <w:sz w:val="14"/>
        </w:rPr>
        <w:t>.</w:t>
      </w:r>
      <w:r>
        <w:rPr>
          <w:position w:val="5"/>
          <w:sz w:val="14"/>
        </w:rPr>
        <w:tab/>
      </w:r>
      <w:r>
        <w:rPr/>
        <w:t>Below,</w:t>
      </w:r>
      <w:r>
        <w:rPr>
          <w:spacing w:val="-2"/>
        </w:rPr>
        <w:t> </w:t>
      </w:r>
      <w:r>
        <w:rPr/>
        <w:t>paras 30-092 et </w:t>
      </w:r>
      <w:r>
        <w:rPr>
          <w:spacing w:val="-4"/>
        </w:rPr>
        <w:t>seq.</w:t>
      </w:r>
    </w:p>
    <w:p>
      <w:pPr>
        <w:pStyle w:val="BodyText"/>
        <w:spacing w:before="4"/>
      </w:pPr>
    </w:p>
    <w:p>
      <w:pPr>
        <w:pStyle w:val="BodyText"/>
        <w:tabs>
          <w:tab w:pos="705" w:val="left" w:leader="none"/>
        </w:tabs>
        <w:spacing w:before="1"/>
        <w:ind w:left="165"/>
      </w:pPr>
      <w:bookmarkStart w:name="_bookmark598" w:id="600"/>
      <w:bookmarkEnd w:id="600"/>
      <w:r>
        <w:rPr/>
      </w:r>
      <w:hyperlink w:history="true" w:anchor="_bookmark487">
        <w:r>
          <w:rPr>
            <w:color w:val="005DA1"/>
            <w:spacing w:val="-4"/>
            <w:position w:val="5"/>
            <w:sz w:val="14"/>
            <w:u w:val="single" w:color="005DA1"/>
          </w:rPr>
          <w:t>303</w:t>
        </w:r>
      </w:hyperlink>
      <w:r>
        <w:rPr>
          <w:spacing w:val="-4"/>
          <w:position w:val="5"/>
          <w:sz w:val="14"/>
        </w:rPr>
        <w:t>.</w:t>
      </w:r>
      <w:r>
        <w:rPr>
          <w:position w:val="5"/>
          <w:sz w:val="14"/>
        </w:rPr>
        <w:tab/>
      </w:r>
      <w:r>
        <w:rPr/>
        <w:t>Below,</w:t>
      </w:r>
      <w:r>
        <w:rPr>
          <w:spacing w:val="-2"/>
        </w:rPr>
        <w:t> </w:t>
      </w:r>
      <w:r>
        <w:rPr/>
        <w:t>paras 30-107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599" w:id="601"/>
      <w:bookmarkEnd w:id="601"/>
      <w:r>
        <w:rPr/>
      </w:r>
      <w:hyperlink w:history="true" w:anchor="_bookmark488">
        <w:r>
          <w:rPr>
            <w:color w:val="005DA1"/>
            <w:spacing w:val="-4"/>
            <w:position w:val="5"/>
            <w:sz w:val="14"/>
            <w:u w:val="single" w:color="005DA1"/>
          </w:rPr>
          <w:t>304</w:t>
        </w:r>
      </w:hyperlink>
      <w:r>
        <w:rPr>
          <w:spacing w:val="-4"/>
          <w:position w:val="5"/>
          <w:sz w:val="14"/>
        </w:rPr>
        <w:t>.</w:t>
      </w:r>
      <w:r>
        <w:rPr>
          <w:position w:val="5"/>
          <w:sz w:val="14"/>
        </w:rPr>
        <w:tab/>
      </w:r>
      <w:r>
        <w:rPr>
          <w:sz w:val="20"/>
        </w:rPr>
        <w:t>Below, para.30-</w:t>
      </w:r>
      <w:r>
        <w:rPr>
          <w:spacing w:val="-4"/>
          <w:sz w:val="20"/>
        </w:rPr>
        <w:t>065.</w:t>
      </w:r>
    </w:p>
    <w:p>
      <w:pPr>
        <w:pStyle w:val="BodyText"/>
        <w:spacing w:before="8"/>
      </w:pPr>
    </w:p>
    <w:p>
      <w:pPr>
        <w:spacing w:line="235" w:lineRule="auto" w:before="0"/>
        <w:ind w:left="705" w:right="167" w:hanging="541"/>
        <w:jc w:val="both"/>
        <w:rPr>
          <w:sz w:val="20"/>
        </w:rPr>
      </w:pPr>
      <w:bookmarkStart w:name="_bookmark600" w:id="602"/>
      <w:bookmarkEnd w:id="602"/>
      <w:r>
        <w:rPr/>
      </w:r>
      <w:hyperlink w:history="true" w:anchor="_bookmark489">
        <w:r>
          <w:rPr>
            <w:color w:val="005DA1"/>
            <w:position w:val="5"/>
            <w:sz w:val="14"/>
            <w:u w:val="single" w:color="005DA1"/>
          </w:rPr>
          <w:t>305</w:t>
        </w:r>
      </w:hyperlink>
      <w:r>
        <w:rPr>
          <w:position w:val="5"/>
          <w:sz w:val="14"/>
        </w:rPr>
        <w:t>.</w:t>
      </w:r>
      <w:r>
        <w:rPr>
          <w:spacing w:val="40"/>
          <w:position w:val="5"/>
          <w:sz w:val="14"/>
        </w:rPr>
        <w:t>  </w:t>
      </w:r>
      <w:r>
        <w:rPr>
          <w:sz w:val="20"/>
        </w:rPr>
        <w:t>Contracts (Applicable Law) Act 1990 s.2(2). Article 22 of the Convention permits </w:t>
      </w:r>
      <w:r>
        <w:rPr>
          <w:sz w:val="20"/>
        </w:rPr>
        <w:t>contracting states to make a reservation to the application of this provision, which power the UK exercised on signing the Convention. See </w:t>
      </w:r>
      <w:r>
        <w:rPr>
          <w:rFonts w:ascii="Arial" w:hAnsi="Arial"/>
          <w:i/>
          <w:sz w:val="20"/>
        </w:rPr>
        <w:t>Akai Pty Ltd v People’s Insurance Co Ltd [1998] 1 Lloyd’s Rep. 90, 100</w:t>
      </w:r>
      <w:r>
        <w:rPr>
          <w:sz w:val="20"/>
        </w:rPr>
        <w:t>; cf. art.9 of the Rome I Regulation, below, paras 30-179 et seq.</w:t>
      </w:r>
    </w:p>
    <w:p>
      <w:pPr>
        <w:pStyle w:val="BodyText"/>
        <w:spacing w:before="9"/>
      </w:pPr>
    </w:p>
    <w:p>
      <w:pPr>
        <w:pStyle w:val="BodyText"/>
        <w:tabs>
          <w:tab w:pos="705" w:val="left" w:leader="none"/>
        </w:tabs>
        <w:spacing w:line="235" w:lineRule="auto"/>
        <w:ind w:left="705" w:right="167" w:hanging="541"/>
      </w:pPr>
      <w:bookmarkStart w:name="_bookmark601" w:id="603"/>
      <w:bookmarkEnd w:id="603"/>
      <w:r>
        <w:rPr/>
      </w:r>
      <w:hyperlink w:history="true" w:anchor="_bookmark490">
        <w:r>
          <w:rPr>
            <w:color w:val="005DA1"/>
            <w:spacing w:val="-4"/>
            <w:position w:val="5"/>
            <w:sz w:val="14"/>
            <w:u w:val="single" w:color="005DA1"/>
          </w:rPr>
          <w:t>306</w:t>
        </w:r>
      </w:hyperlink>
      <w:r>
        <w:rPr>
          <w:spacing w:val="-4"/>
          <w:position w:val="5"/>
          <w:sz w:val="14"/>
        </w:rPr>
        <w:t>.</w:t>
      </w:r>
      <w:r>
        <w:rPr>
          <w:position w:val="5"/>
          <w:sz w:val="14"/>
        </w:rPr>
        <w:tab/>
      </w:r>
      <w:r>
        <w:rPr/>
        <w:t>Dicey, Morris and Collins, paras 32–132—32–143; Cheshire, North and Fawcett, </w:t>
      </w:r>
      <w:r>
        <w:rPr/>
        <w:t>pp.695–697, 726–738;</w:t>
      </w:r>
      <w:r>
        <w:rPr>
          <w:spacing w:val="47"/>
        </w:rPr>
        <w:t> </w:t>
      </w:r>
      <w:r>
        <w:rPr/>
        <w:t>Kaye</w:t>
      </w:r>
      <w:r>
        <w:rPr>
          <w:spacing w:val="49"/>
        </w:rPr>
        <w:t> </w:t>
      </w:r>
      <w:r>
        <w:rPr/>
        <w:t>at</w:t>
      </w:r>
      <w:r>
        <w:rPr>
          <w:spacing w:val="49"/>
        </w:rPr>
        <w:t> </w:t>
      </w:r>
      <w:r>
        <w:rPr/>
        <w:t>pp.160–163,</w:t>
      </w:r>
      <w:r>
        <w:rPr>
          <w:spacing w:val="49"/>
        </w:rPr>
        <w:t> </w:t>
      </w:r>
      <w:r>
        <w:rPr/>
        <w:t>167–168,</w:t>
      </w:r>
      <w:r>
        <w:rPr>
          <w:spacing w:val="49"/>
        </w:rPr>
        <w:t> </w:t>
      </w:r>
      <w:r>
        <w:rPr/>
        <w:t>239–267;</w:t>
      </w:r>
      <w:r>
        <w:rPr>
          <w:spacing w:val="49"/>
        </w:rPr>
        <w:t> </w:t>
      </w:r>
      <w:r>
        <w:rPr/>
        <w:t>Philip,</w:t>
      </w:r>
      <w:r>
        <w:rPr>
          <w:spacing w:val="48"/>
        </w:rPr>
        <w:t> </w:t>
      </w:r>
      <w:r>
        <w:rPr>
          <w:rFonts w:ascii="Arial" w:hAnsi="Arial"/>
          <w:i/>
        </w:rPr>
        <w:t>Contract</w:t>
      </w:r>
      <w:r>
        <w:rPr>
          <w:rFonts w:ascii="Arial" w:hAnsi="Arial"/>
          <w:i/>
          <w:spacing w:val="49"/>
        </w:rPr>
        <w:t> </w:t>
      </w:r>
      <w:r>
        <w:rPr>
          <w:rFonts w:ascii="Arial" w:hAnsi="Arial"/>
          <w:i/>
        </w:rPr>
        <w:t>Conflicts</w:t>
      </w:r>
      <w:r>
        <w:rPr>
          <w:rFonts w:ascii="Arial" w:hAnsi="Arial"/>
          <w:i/>
          <w:spacing w:val="49"/>
        </w:rPr>
        <w:t> </w:t>
      </w:r>
      <w:r>
        <w:rPr/>
        <w:t>(1982),</w:t>
      </w:r>
      <w:r>
        <w:rPr>
          <w:spacing w:val="49"/>
        </w:rPr>
        <w:t> </w:t>
      </w:r>
      <w:r>
        <w:rPr>
          <w:spacing w:val="-2"/>
        </w:rPr>
        <w:t>Ch.5;</w:t>
      </w:r>
    </w:p>
    <w:p>
      <w:pPr>
        <w:spacing w:line="223" w:lineRule="exact" w:before="0"/>
        <w:ind w:left="705" w:right="0" w:firstLine="0"/>
        <w:jc w:val="left"/>
        <w:rPr>
          <w:sz w:val="20"/>
        </w:rPr>
      </w:pPr>
      <w:r>
        <w:rPr>
          <w:sz w:val="20"/>
        </w:rPr>
        <w:t>Jackson,</w:t>
      </w:r>
      <w:r>
        <w:rPr>
          <w:spacing w:val="46"/>
          <w:sz w:val="20"/>
        </w:rPr>
        <w:t> </w:t>
      </w:r>
      <w:r>
        <w:rPr>
          <w:rFonts w:ascii="Arial"/>
          <w:i/>
          <w:sz w:val="20"/>
        </w:rPr>
        <w:t>Contract</w:t>
      </w:r>
      <w:r>
        <w:rPr>
          <w:rFonts w:ascii="Arial"/>
          <w:i/>
          <w:spacing w:val="46"/>
          <w:sz w:val="20"/>
        </w:rPr>
        <w:t> </w:t>
      </w:r>
      <w:r>
        <w:rPr>
          <w:rFonts w:ascii="Arial"/>
          <w:i/>
          <w:sz w:val="20"/>
        </w:rPr>
        <w:t>Conflicts</w:t>
      </w:r>
      <w:r>
        <w:rPr>
          <w:rFonts w:ascii="Arial"/>
          <w:i/>
          <w:spacing w:val="46"/>
          <w:sz w:val="20"/>
        </w:rPr>
        <w:t> </w:t>
      </w:r>
      <w:r>
        <w:rPr>
          <w:sz w:val="20"/>
        </w:rPr>
        <w:t>(1982),</w:t>
      </w:r>
      <w:r>
        <w:rPr>
          <w:spacing w:val="46"/>
          <w:sz w:val="20"/>
        </w:rPr>
        <w:t> </w:t>
      </w:r>
      <w:r>
        <w:rPr>
          <w:sz w:val="20"/>
        </w:rPr>
        <w:t>Ch.4;</w:t>
      </w:r>
      <w:r>
        <w:rPr>
          <w:spacing w:val="46"/>
          <w:sz w:val="20"/>
        </w:rPr>
        <w:t> </w:t>
      </w:r>
      <w:r>
        <w:rPr>
          <w:sz w:val="20"/>
        </w:rPr>
        <w:t>Diamond</w:t>
      </w:r>
      <w:r>
        <w:rPr>
          <w:spacing w:val="46"/>
          <w:sz w:val="20"/>
        </w:rPr>
        <w:t> </w:t>
      </w:r>
      <w:r>
        <w:rPr>
          <w:sz w:val="20"/>
        </w:rPr>
        <w:t>(1986)</w:t>
      </w:r>
      <w:r>
        <w:rPr>
          <w:spacing w:val="46"/>
          <w:sz w:val="20"/>
        </w:rPr>
        <w:t> </w:t>
      </w:r>
      <w:r>
        <w:rPr>
          <w:sz w:val="20"/>
        </w:rPr>
        <w:t>216</w:t>
      </w:r>
      <w:r>
        <w:rPr>
          <w:spacing w:val="46"/>
          <w:sz w:val="20"/>
        </w:rPr>
        <w:t> </w:t>
      </w:r>
      <w:r>
        <w:rPr>
          <w:sz w:val="20"/>
        </w:rPr>
        <w:t>Recueil</w:t>
      </w:r>
      <w:r>
        <w:rPr>
          <w:spacing w:val="46"/>
          <w:sz w:val="20"/>
        </w:rPr>
        <w:t> </w:t>
      </w:r>
      <w:r>
        <w:rPr>
          <w:sz w:val="20"/>
        </w:rPr>
        <w:t>des</w:t>
      </w:r>
      <w:r>
        <w:rPr>
          <w:spacing w:val="46"/>
          <w:sz w:val="20"/>
        </w:rPr>
        <w:t> </w:t>
      </w:r>
      <w:r>
        <w:rPr>
          <w:sz w:val="20"/>
        </w:rPr>
        <w:t>Cours</w:t>
      </w:r>
      <w:r>
        <w:rPr>
          <w:spacing w:val="46"/>
          <w:sz w:val="20"/>
        </w:rPr>
        <w:t> </w:t>
      </w:r>
      <w:r>
        <w:rPr>
          <w:sz w:val="20"/>
        </w:rPr>
        <w:t>IV</w:t>
      </w:r>
      <w:r>
        <w:rPr>
          <w:spacing w:val="46"/>
          <w:sz w:val="20"/>
        </w:rPr>
        <w:t> </w:t>
      </w:r>
      <w:r>
        <w:rPr>
          <w:spacing w:val="-4"/>
          <w:sz w:val="20"/>
        </w:rPr>
        <w:t>233,</w:t>
      </w:r>
    </w:p>
    <w:p>
      <w:pPr>
        <w:pStyle w:val="BodyText"/>
        <w:spacing w:line="225" w:lineRule="exact"/>
        <w:ind w:left="705"/>
      </w:pPr>
      <w:r>
        <w:rPr/>
        <w:t>288–298;</w:t>
      </w:r>
      <w:r>
        <w:rPr>
          <w:spacing w:val="12"/>
        </w:rPr>
        <w:t> </w:t>
      </w:r>
      <w:r>
        <w:rPr/>
        <w:t>North</w:t>
      </w:r>
      <w:r>
        <w:rPr>
          <w:spacing w:val="12"/>
        </w:rPr>
        <w:t> </w:t>
      </w:r>
      <w:r>
        <w:rPr/>
        <w:t>(1990)</w:t>
      </w:r>
      <w:r>
        <w:rPr>
          <w:spacing w:val="12"/>
        </w:rPr>
        <w:t> </w:t>
      </w:r>
      <w:r>
        <w:rPr/>
        <w:t>220</w:t>
      </w:r>
      <w:r>
        <w:rPr>
          <w:spacing w:val="12"/>
        </w:rPr>
        <w:t> </w:t>
      </w:r>
      <w:r>
        <w:rPr/>
        <w:t>Recueil</w:t>
      </w:r>
      <w:r>
        <w:rPr>
          <w:spacing w:val="12"/>
        </w:rPr>
        <w:t> </w:t>
      </w:r>
      <w:r>
        <w:rPr/>
        <w:t>des</w:t>
      </w:r>
      <w:r>
        <w:rPr>
          <w:spacing w:val="12"/>
        </w:rPr>
        <w:t> </w:t>
      </w:r>
      <w:r>
        <w:rPr/>
        <w:t>Cours</w:t>
      </w:r>
      <w:r>
        <w:rPr>
          <w:spacing w:val="12"/>
        </w:rPr>
        <w:t> </w:t>
      </w:r>
      <w:r>
        <w:rPr/>
        <w:t>I</w:t>
      </w:r>
      <w:r>
        <w:rPr>
          <w:spacing w:val="12"/>
        </w:rPr>
        <w:t> </w:t>
      </w:r>
      <w:r>
        <w:rPr/>
        <w:t>3,</w:t>
      </w:r>
      <w:r>
        <w:rPr>
          <w:spacing w:val="12"/>
        </w:rPr>
        <w:t> </w:t>
      </w:r>
      <w:r>
        <w:rPr/>
        <w:t>191–194;</w:t>
      </w:r>
      <w:r>
        <w:rPr>
          <w:spacing w:val="12"/>
        </w:rPr>
        <w:t> </w:t>
      </w:r>
      <w:r>
        <w:rPr/>
        <w:t>Morse</w:t>
      </w:r>
      <w:r>
        <w:rPr>
          <w:spacing w:val="12"/>
        </w:rPr>
        <w:t> </w:t>
      </w:r>
      <w:r>
        <w:rPr/>
        <w:t>(1982)</w:t>
      </w:r>
      <w:r>
        <w:rPr>
          <w:spacing w:val="12"/>
        </w:rPr>
        <w:t> </w:t>
      </w:r>
      <w:r>
        <w:rPr/>
        <w:t>2</w:t>
      </w:r>
      <w:r>
        <w:rPr>
          <w:spacing w:val="12"/>
        </w:rPr>
        <w:t> </w:t>
      </w:r>
      <w:r>
        <w:rPr/>
        <w:t>Ybk.</w:t>
      </w:r>
      <w:r>
        <w:rPr>
          <w:spacing w:val="12"/>
        </w:rPr>
        <w:t> </w:t>
      </w:r>
      <w:r>
        <w:rPr/>
        <w:t>Eur.</w:t>
      </w:r>
      <w:r>
        <w:rPr>
          <w:spacing w:val="12"/>
        </w:rPr>
        <w:t> </w:t>
      </w:r>
      <w:r>
        <w:rPr/>
        <w:t>L.</w:t>
      </w:r>
      <w:r>
        <w:rPr>
          <w:spacing w:val="12"/>
        </w:rPr>
        <w:t> </w:t>
      </w:r>
      <w:r>
        <w:rPr>
          <w:spacing w:val="-4"/>
        </w:rPr>
        <w:t>107,</w:t>
      </w:r>
    </w:p>
    <w:p>
      <w:pPr>
        <w:pStyle w:val="BodyText"/>
        <w:spacing w:line="227" w:lineRule="exact"/>
        <w:ind w:left="705"/>
      </w:pPr>
      <w:r>
        <w:rPr/>
        <w:t>121–124, </w:t>
      </w:r>
      <w:r>
        <w:rPr>
          <w:spacing w:val="-2"/>
        </w:rPr>
        <w:t>142–147.</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6048">
            <wp:simplePos x="0" y="0"/>
            <wp:positionH relativeFrom="page">
              <wp:posOffset>1257846</wp:posOffset>
            </wp:positionH>
            <wp:positionV relativeFrom="paragraph">
              <wp:posOffset>160152</wp:posOffset>
            </wp:positionV>
            <wp:extent cx="107988" cy="107988"/>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02" w:id="604"/>
      <w:bookmarkEnd w:id="604"/>
      <w:r>
        <w:rPr/>
      </w:r>
      <w:hyperlink w:history="true" w:anchor="_bookmark491">
        <w:r>
          <w:rPr>
            <w:color w:val="005DA1"/>
            <w:spacing w:val="-4"/>
            <w:sz w:val="14"/>
            <w:u w:val="single" w:color="005DA1"/>
          </w:rPr>
          <w:t>307</w:t>
        </w:r>
      </w:hyperlink>
      <w:r>
        <w:rPr>
          <w:spacing w:val="-4"/>
          <w:sz w:val="14"/>
        </w:rPr>
        <w:t>.</w:t>
      </w:r>
    </w:p>
    <w:p>
      <w:pPr>
        <w:pStyle w:val="BodyText"/>
        <w:spacing w:line="235" w:lineRule="auto" w:before="212"/>
        <w:ind w:left="165" w:right="167" w:firstLine="170"/>
        <w:jc w:val="both"/>
      </w:pPr>
      <w:r>
        <w:rPr/>
        <w:br w:type="column"/>
      </w:r>
      <w:r>
        <w:rPr/>
        <w:t>This view is supported by reference to the French text of the Convention. Mandatory rules </w:t>
      </w:r>
      <w:r>
        <w:rPr/>
        <w:t>in art.3(3) are described in that text as “</w:t>
      </w:r>
      <w:r>
        <w:rPr>
          <w:rFonts w:ascii="Arial" w:hAnsi="Arial"/>
          <w:i/>
        </w:rPr>
        <w:t>dispositions imperatives</w:t>
      </w:r>
      <w:r>
        <w:rPr/>
        <w:t>”. Article 7 is, however, headed by the words “Lois de Police”. The change in terminology reflects a distinction drawn in some Continental legal systems between the former class of laws from which derogation may be permitted in international contracts, and the latter class from which no derogation is permitted even in such contracts. In </w:t>
      </w:r>
      <w:r>
        <w:rPr>
          <w:rFonts w:ascii="Arial" w:hAnsi="Arial"/>
          <w:i/>
        </w:rPr>
        <w:t>Banco Santander Totta SA v Cia de Carris de Ferro de Lisboa SA [2016] EWHC 465 (Comm) </w:t>
      </w:r>
      <w:r>
        <w:rPr/>
        <w:t>the judge said that in his view it was sufficient to take a rule outside the scope of art.3(3) if the rule could be disapplied by agreement between the parties whether ex ante or ex post (at [506]). Although the Court of Appeal upheld the decision of the judge that art.3(3) did not apply, so that any comments on this point were obiter, the majority disagreed and would have held that an ex post agreement not to rely on a provision did not mean that it was derogable and so outside art.3(3): </w:t>
      </w:r>
      <w:r>
        <w:rPr>
          <w:rFonts w:ascii="Arial" w:hAnsi="Arial"/>
          <w:i/>
        </w:rPr>
        <w:t>[2016] EWCA Civ 1267 </w:t>
      </w:r>
      <w:r>
        <w:rPr/>
        <w:t>(at [73]).</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spacing w:line="235" w:lineRule="auto" w:before="0"/>
        <w:ind w:left="705" w:right="167" w:hanging="541"/>
        <w:jc w:val="both"/>
        <w:rPr>
          <w:sz w:val="20"/>
        </w:rPr>
      </w:pPr>
      <w:bookmarkStart w:name="_bookmark603" w:id="605"/>
      <w:bookmarkEnd w:id="605"/>
      <w:r>
        <w:rPr/>
      </w:r>
      <w:hyperlink w:history="true" w:anchor="_bookmark492">
        <w:r>
          <w:rPr>
            <w:color w:val="005DA1"/>
            <w:position w:val="5"/>
            <w:sz w:val="14"/>
            <w:u w:val="single" w:color="005DA1"/>
          </w:rPr>
          <w:t>308</w:t>
        </w:r>
      </w:hyperlink>
      <w:r>
        <w:rPr>
          <w:position w:val="5"/>
          <w:sz w:val="14"/>
        </w:rPr>
        <w:t>.</w:t>
      </w:r>
      <w:r>
        <w:rPr>
          <w:spacing w:val="40"/>
          <w:position w:val="5"/>
          <w:sz w:val="14"/>
        </w:rPr>
        <w:t>  </w:t>
      </w:r>
      <w:r>
        <w:rPr>
          <w:sz w:val="20"/>
        </w:rPr>
        <w:t>For the historical origins of this provision, see F.A. Mann, </w:t>
      </w:r>
      <w:r>
        <w:rPr>
          <w:rFonts w:ascii="Arial" w:hAnsi="Arial"/>
          <w:i/>
          <w:sz w:val="20"/>
        </w:rPr>
        <w:t>Harmonisation of Private International Law by the EEC </w:t>
      </w:r>
      <w:r>
        <w:rPr>
          <w:sz w:val="20"/>
        </w:rPr>
        <w:t>(1978), pp.31–32; Dicey, Morris and Collins, para.32–141. cf. the definition in art.9(1) of the Rome I Regulation, below, paras 30-179. And see </w:t>
      </w:r>
      <w:r>
        <w:rPr>
          <w:rFonts w:ascii="Arial" w:hAnsi="Arial"/>
          <w:i/>
          <w:sz w:val="20"/>
        </w:rPr>
        <w:t>Arblade (C-396/96) </w:t>
      </w:r>
      <w:r>
        <w:rPr>
          <w:sz w:val="20"/>
        </w:rPr>
        <w:t>and</w:t>
      </w:r>
      <w:r>
        <w:rPr>
          <w:spacing w:val="40"/>
          <w:sz w:val="20"/>
        </w:rPr>
        <w:t> </w:t>
      </w:r>
      <w:r>
        <w:rPr>
          <w:rFonts w:ascii="Arial" w:hAnsi="Arial"/>
          <w:i/>
          <w:sz w:val="20"/>
        </w:rPr>
        <w:t>Leloup (C-376/96) [1999] E.C.R. I–8453</w:t>
      </w:r>
      <w:r>
        <w:rPr>
          <w:sz w:val="20"/>
        </w:rPr>
        <w:t>.</w:t>
      </w:r>
    </w:p>
    <w:p>
      <w:pPr>
        <w:pStyle w:val="BodyText"/>
        <w:spacing w:before="8"/>
      </w:pPr>
    </w:p>
    <w:p>
      <w:pPr>
        <w:pStyle w:val="BodyText"/>
        <w:tabs>
          <w:tab w:pos="705" w:val="left" w:leader="none"/>
        </w:tabs>
        <w:spacing w:line="235" w:lineRule="auto" w:before="1"/>
        <w:ind w:left="705" w:right="168" w:hanging="541"/>
      </w:pPr>
      <w:bookmarkStart w:name="_bookmark604" w:id="606"/>
      <w:bookmarkEnd w:id="606"/>
      <w:r>
        <w:rPr/>
      </w:r>
      <w:hyperlink w:history="true" w:anchor="_bookmark493">
        <w:r>
          <w:rPr>
            <w:color w:val="005DA1"/>
            <w:spacing w:val="-4"/>
            <w:position w:val="5"/>
            <w:sz w:val="14"/>
            <w:u w:val="single" w:color="005DA1"/>
          </w:rPr>
          <w:t>309</w:t>
        </w:r>
      </w:hyperlink>
      <w:r>
        <w:rPr>
          <w:spacing w:val="-4"/>
          <w:position w:val="5"/>
          <w:sz w:val="14"/>
        </w:rPr>
        <w:t>.</w:t>
      </w:r>
      <w:r>
        <w:rPr>
          <w:position w:val="5"/>
          <w:sz w:val="14"/>
        </w:rPr>
        <w:tab/>
      </w:r>
      <w:r>
        <w:rPr/>
        <w:t>Dicey,</w:t>
      </w:r>
      <w:r>
        <w:rPr>
          <w:spacing w:val="25"/>
        </w:rPr>
        <w:t> </w:t>
      </w:r>
      <w:r>
        <w:rPr/>
        <w:t>Morris</w:t>
      </w:r>
      <w:r>
        <w:rPr>
          <w:spacing w:val="25"/>
        </w:rPr>
        <w:t> </w:t>
      </w:r>
      <w:r>
        <w:rPr/>
        <w:t>and</w:t>
      </w:r>
      <w:r>
        <w:rPr>
          <w:spacing w:val="25"/>
        </w:rPr>
        <w:t> </w:t>
      </w:r>
      <w:r>
        <w:rPr/>
        <w:t>Collins,</w:t>
      </w:r>
      <w:r>
        <w:rPr>
          <w:spacing w:val="25"/>
        </w:rPr>
        <w:t> </w:t>
      </w:r>
      <w:r>
        <w:rPr/>
        <w:t>para.32–073;</w:t>
      </w:r>
      <w:r>
        <w:rPr>
          <w:spacing w:val="25"/>
        </w:rPr>
        <w:t> </w:t>
      </w:r>
      <w:r>
        <w:rPr/>
        <w:t>Morse</w:t>
      </w:r>
      <w:r>
        <w:rPr>
          <w:spacing w:val="25"/>
        </w:rPr>
        <w:t> </w:t>
      </w:r>
      <w:r>
        <w:rPr/>
        <w:t>(1982)</w:t>
      </w:r>
      <w:r>
        <w:rPr>
          <w:spacing w:val="25"/>
        </w:rPr>
        <w:t> </w:t>
      </w:r>
      <w:r>
        <w:rPr/>
        <w:t>2</w:t>
      </w:r>
      <w:r>
        <w:rPr>
          <w:spacing w:val="25"/>
        </w:rPr>
        <w:t> </w:t>
      </w:r>
      <w:r>
        <w:rPr/>
        <w:t>Ybk.</w:t>
      </w:r>
      <w:r>
        <w:rPr>
          <w:spacing w:val="25"/>
        </w:rPr>
        <w:t> </w:t>
      </w:r>
      <w:r>
        <w:rPr/>
        <w:t>Eur.</w:t>
      </w:r>
      <w:r>
        <w:rPr>
          <w:spacing w:val="25"/>
        </w:rPr>
        <w:t> </w:t>
      </w:r>
      <w:r>
        <w:rPr/>
        <w:t>L.</w:t>
      </w:r>
      <w:r>
        <w:rPr>
          <w:spacing w:val="25"/>
        </w:rPr>
        <w:t> </w:t>
      </w:r>
      <w:r>
        <w:rPr/>
        <w:t>107,</w:t>
      </w:r>
      <w:r>
        <w:rPr>
          <w:spacing w:val="25"/>
        </w:rPr>
        <w:t> </w:t>
      </w:r>
      <w:r>
        <w:rPr/>
        <w:t>123;</w:t>
      </w:r>
      <w:r>
        <w:rPr>
          <w:spacing w:val="25"/>
        </w:rPr>
        <w:t> </w:t>
      </w:r>
      <w:r>
        <w:rPr/>
        <w:t>cf.</w:t>
      </w:r>
      <w:r>
        <w:rPr>
          <w:spacing w:val="25"/>
        </w:rPr>
        <w:t> </w:t>
      </w:r>
      <w:r>
        <w:rPr/>
        <w:t>Cheshire, North and Fawcett, p.729.</w:t>
      </w:r>
    </w:p>
    <w:p>
      <w:pPr>
        <w:pStyle w:val="BodyText"/>
        <w:spacing w:before="9"/>
      </w:pPr>
    </w:p>
    <w:p>
      <w:pPr>
        <w:spacing w:line="235" w:lineRule="auto" w:before="0"/>
        <w:ind w:left="705" w:right="167" w:hanging="541"/>
        <w:jc w:val="both"/>
        <w:rPr>
          <w:sz w:val="20"/>
        </w:rPr>
      </w:pPr>
      <w:bookmarkStart w:name="_bookmark605" w:id="607"/>
      <w:bookmarkEnd w:id="607"/>
      <w:r>
        <w:rPr/>
      </w:r>
      <w:hyperlink w:history="true" w:anchor="_bookmark494">
        <w:r>
          <w:rPr>
            <w:color w:val="005DA1"/>
            <w:position w:val="5"/>
            <w:sz w:val="14"/>
            <w:u w:val="single" w:color="005DA1"/>
          </w:rPr>
          <w:t>310</w:t>
        </w:r>
      </w:hyperlink>
      <w:r>
        <w:rPr>
          <w:position w:val="5"/>
          <w:sz w:val="14"/>
        </w:rPr>
        <w:t>.</w:t>
      </w:r>
      <w:r>
        <w:rPr>
          <w:spacing w:val="80"/>
          <w:w w:val="150"/>
          <w:position w:val="5"/>
          <w:sz w:val="14"/>
        </w:rPr>
        <w:t> </w:t>
      </w:r>
      <w:r>
        <w:rPr>
          <w:sz w:val="20"/>
        </w:rPr>
        <w:t>See, e.g. Unfair Contract Terms Act 1977 s.27(2), above, para.30-008; see </w:t>
      </w:r>
      <w:r>
        <w:rPr>
          <w:rFonts w:ascii="Arial" w:hAnsi="Arial"/>
          <w:i/>
          <w:sz w:val="20"/>
        </w:rPr>
        <w:t>Deutsche Bank Suisse SA v Khan [2013] EWHC 482 (Comm)</w:t>
      </w:r>
      <w:r>
        <w:rPr>
          <w:sz w:val="20"/>
        </w:rPr>
        <w:t>. See now </w:t>
      </w:r>
      <w:r>
        <w:rPr>
          <w:rFonts w:ascii="Arial" w:hAnsi="Arial"/>
          <w:i/>
          <w:sz w:val="20"/>
        </w:rPr>
        <w:t>United Antwerp Maritime Agencies NV (Unamar) v Navigation Maritime Bulgare (C-184/12) [2014] 1 Lloyd’s Rep. 161 </w:t>
      </w:r>
      <w:r>
        <w:rPr>
          <w:sz w:val="20"/>
        </w:rPr>
        <w:t>(mandatory provisions in art.7(2) should be given a narrow meaning, having regard to art.9(1) and 9(2) of the Rome I Regulation); Unfair Terms in Consumer Contracts Regulations 1999 (above, para.30-008). Regulation 9 provides that the Regulations apply notwithstanding any contract term which applies or purports to apply the law of a non-Member State, if the contract has a close</w:t>
      </w:r>
      <w:r>
        <w:rPr>
          <w:spacing w:val="15"/>
          <w:sz w:val="20"/>
        </w:rPr>
        <w:t> </w:t>
      </w:r>
      <w:r>
        <w:rPr>
          <w:sz w:val="20"/>
        </w:rPr>
        <w:t>connection</w:t>
      </w:r>
      <w:r>
        <w:rPr>
          <w:spacing w:val="15"/>
          <w:sz w:val="20"/>
        </w:rPr>
        <w:t> </w:t>
      </w:r>
      <w:r>
        <w:rPr>
          <w:sz w:val="20"/>
        </w:rPr>
        <w:t>with</w:t>
      </w:r>
      <w:r>
        <w:rPr>
          <w:spacing w:val="15"/>
          <w:sz w:val="20"/>
        </w:rPr>
        <w:t> </w:t>
      </w:r>
      <w:r>
        <w:rPr>
          <w:sz w:val="20"/>
        </w:rPr>
        <w:t>the</w:t>
      </w:r>
      <w:r>
        <w:rPr>
          <w:spacing w:val="15"/>
          <w:sz w:val="20"/>
        </w:rPr>
        <w:t> </w:t>
      </w:r>
      <w:r>
        <w:rPr>
          <w:sz w:val="20"/>
        </w:rPr>
        <w:t>territories</w:t>
      </w:r>
      <w:r>
        <w:rPr>
          <w:spacing w:val="15"/>
          <w:sz w:val="20"/>
        </w:rPr>
        <w:t> </w:t>
      </w:r>
      <w:r>
        <w:rPr>
          <w:sz w:val="20"/>
        </w:rPr>
        <w:t>of</w:t>
      </w:r>
      <w:r>
        <w:rPr>
          <w:spacing w:val="15"/>
          <w:sz w:val="20"/>
        </w:rPr>
        <w:t> </w:t>
      </w:r>
      <w:r>
        <w:rPr>
          <w:sz w:val="20"/>
        </w:rPr>
        <w:t>the</w:t>
      </w:r>
      <w:r>
        <w:rPr>
          <w:spacing w:val="15"/>
          <w:sz w:val="20"/>
        </w:rPr>
        <w:t> </w:t>
      </w:r>
      <w:r>
        <w:rPr>
          <w:sz w:val="20"/>
        </w:rPr>
        <w:t>Member</w:t>
      </w:r>
      <w:r>
        <w:rPr>
          <w:spacing w:val="15"/>
          <w:sz w:val="20"/>
        </w:rPr>
        <w:t> </w:t>
      </w:r>
      <w:r>
        <w:rPr>
          <w:sz w:val="20"/>
        </w:rPr>
        <w:t>States</w:t>
      </w:r>
      <w:r>
        <w:rPr>
          <w:spacing w:val="15"/>
          <w:sz w:val="20"/>
        </w:rPr>
        <w:t> </w:t>
      </w:r>
      <w:r>
        <w:rPr>
          <w:sz w:val="20"/>
        </w:rPr>
        <w:t>(see</w:t>
      </w:r>
      <w:r>
        <w:rPr>
          <w:spacing w:val="15"/>
          <w:sz w:val="20"/>
        </w:rPr>
        <w:t> </w:t>
      </w:r>
      <w:r>
        <w:rPr>
          <w:sz w:val="20"/>
        </w:rPr>
        <w:t>below,</w:t>
      </w:r>
      <w:r>
        <w:rPr>
          <w:spacing w:val="15"/>
          <w:sz w:val="20"/>
        </w:rPr>
        <w:t> </w:t>
      </w:r>
      <w:r>
        <w:rPr>
          <w:sz w:val="20"/>
        </w:rPr>
        <w:t>para.38-322).</w:t>
      </w:r>
      <w:r>
        <w:rPr>
          <w:spacing w:val="15"/>
          <w:sz w:val="20"/>
        </w:rPr>
        <w:t> </w:t>
      </w:r>
      <w:r>
        <w:rPr>
          <w:spacing w:val="-2"/>
          <w:sz w:val="20"/>
        </w:rPr>
        <w:t>Similarly,</w:t>
      </w:r>
    </w:p>
    <w:p>
      <w:pPr>
        <w:pStyle w:val="BodyText"/>
        <w:spacing w:line="235" w:lineRule="auto"/>
        <w:ind w:left="705" w:right="167"/>
        <w:jc w:val="both"/>
      </w:pPr>
      <w:r>
        <w:rPr/>
        <w:t>s.74 of the Consumer Rights Act 2015 provides that where a consumer contract has a close connection with the UK, a choice of law of a country or territory other than an EEA State as </w:t>
      </w:r>
      <w:r>
        <w:rPr/>
        <w:t>the contract’s</w:t>
      </w:r>
      <w:r>
        <w:rPr>
          <w:spacing w:val="-1"/>
        </w:rPr>
        <w:t> </w:t>
      </w:r>
      <w:r>
        <w:rPr/>
        <w:t>applicable</w:t>
      </w:r>
      <w:r>
        <w:rPr>
          <w:spacing w:val="-1"/>
        </w:rPr>
        <w:t> </w:t>
      </w:r>
      <w:r>
        <w:rPr/>
        <w:t>law</w:t>
      </w:r>
      <w:r>
        <w:rPr>
          <w:spacing w:val="-1"/>
        </w:rPr>
        <w:t> </w:t>
      </w:r>
      <w:r>
        <w:rPr/>
        <w:t>does</w:t>
      </w:r>
      <w:r>
        <w:rPr>
          <w:spacing w:val="-1"/>
        </w:rPr>
        <w:t> </w:t>
      </w:r>
      <w:r>
        <w:rPr/>
        <w:t>not</w:t>
      </w:r>
      <w:r>
        <w:rPr>
          <w:spacing w:val="-1"/>
        </w:rPr>
        <w:t> </w:t>
      </w:r>
      <w:r>
        <w:rPr/>
        <w:t>affect</w:t>
      </w:r>
      <w:r>
        <w:rPr>
          <w:spacing w:val="-1"/>
        </w:rPr>
        <w:t> </w:t>
      </w:r>
      <w:r>
        <w:rPr/>
        <w:t>the</w:t>
      </w:r>
      <w:r>
        <w:rPr>
          <w:spacing w:val="-1"/>
        </w:rPr>
        <w:t> </w:t>
      </w:r>
      <w:r>
        <w:rPr/>
        <w:t>application</w:t>
      </w:r>
      <w:r>
        <w:rPr>
          <w:spacing w:val="-1"/>
        </w:rPr>
        <w:t> </w:t>
      </w:r>
      <w:r>
        <w:rPr/>
        <w:t>of</w:t>
      </w:r>
      <w:r>
        <w:rPr>
          <w:spacing w:val="-1"/>
        </w:rPr>
        <w:t> </w:t>
      </w:r>
      <w:r>
        <w:rPr/>
        <w:t>Pt</w:t>
      </w:r>
      <w:r>
        <w:rPr>
          <w:spacing w:val="-1"/>
        </w:rPr>
        <w:t> </w:t>
      </w:r>
      <w:r>
        <w:rPr/>
        <w:t>2</w:t>
      </w:r>
      <w:r>
        <w:rPr>
          <w:spacing w:val="-1"/>
        </w:rPr>
        <w:t> </w:t>
      </w:r>
      <w:r>
        <w:rPr/>
        <w:t>of</w:t>
      </w:r>
      <w:r>
        <w:rPr>
          <w:spacing w:val="-1"/>
        </w:rPr>
        <w:t> </w:t>
      </w:r>
      <w:r>
        <w:rPr/>
        <w:t>the</w:t>
      </w:r>
      <w:r>
        <w:rPr>
          <w:spacing w:val="-1"/>
        </w:rPr>
        <w:t> </w:t>
      </w:r>
      <w:r>
        <w:rPr/>
        <w:t>Act’s</w:t>
      </w:r>
      <w:r>
        <w:rPr>
          <w:spacing w:val="-1"/>
        </w:rPr>
        <w:t> </w:t>
      </w:r>
      <w:r>
        <w:rPr/>
        <w:t>provisions</w:t>
      </w:r>
      <w:r>
        <w:rPr>
          <w:spacing w:val="-1"/>
        </w:rPr>
        <w:t> </w:t>
      </w:r>
      <w:r>
        <w:rPr/>
        <w:t>governing unfair contact terms in consumer contracts (see para.38-386 below). A similar provision </w:t>
      </w:r>
      <w:r>
        <w:rPr/>
        <w:t>is</w:t>
      </w:r>
      <w:r>
        <w:rPr>
          <w:spacing w:val="40"/>
        </w:rPr>
        <w:t> </w:t>
      </w:r>
      <w:r>
        <w:rPr/>
        <w:t>found in s.32 of the 2015 Act rendering the terms of Ch.2 mandatory in similar </w:t>
      </w:r>
      <w:r>
        <w:rPr/>
        <w:t>circumstances (see para.38-494 below). A virtually identical formula is found in the Consumer Protection (Distance Selling) Regulations 2000 (SI 2000/2334, as amended by SI 2005/689) </w:t>
      </w:r>
      <w:r>
        <w:rPr/>
        <w:t>reg.25(5). These Regulations implement Directive 97/7 on the protection of consumers in respect of distance contracts [1997] O.J. L144/19. The same kind of provision is contained in Directive 1999/44</w:t>
      </w:r>
      <w:r>
        <w:rPr>
          <w:spacing w:val="20"/>
        </w:rPr>
        <w:t> </w:t>
      </w:r>
      <w:r>
        <w:rPr/>
        <w:t>on</w:t>
      </w:r>
      <w:r>
        <w:rPr>
          <w:spacing w:val="20"/>
        </w:rPr>
        <w:t> </w:t>
      </w:r>
      <w:r>
        <w:rPr/>
        <w:t>certain</w:t>
      </w:r>
      <w:r>
        <w:rPr>
          <w:spacing w:val="20"/>
        </w:rPr>
        <w:t> </w:t>
      </w:r>
      <w:r>
        <w:rPr/>
        <w:t>aspects</w:t>
      </w:r>
      <w:r>
        <w:rPr>
          <w:spacing w:val="20"/>
        </w:rPr>
        <w:t> </w:t>
      </w:r>
      <w:r>
        <w:rPr/>
        <w:t>of</w:t>
      </w:r>
      <w:r>
        <w:rPr>
          <w:spacing w:val="20"/>
        </w:rPr>
        <w:t> </w:t>
      </w:r>
      <w:r>
        <w:rPr/>
        <w:t>the</w:t>
      </w:r>
      <w:r>
        <w:rPr>
          <w:spacing w:val="20"/>
        </w:rPr>
        <w:t> </w:t>
      </w:r>
      <w:r>
        <w:rPr/>
        <w:t>sale</w:t>
      </w:r>
      <w:r>
        <w:rPr>
          <w:spacing w:val="20"/>
        </w:rPr>
        <w:t> </w:t>
      </w:r>
      <w:r>
        <w:rPr/>
        <w:t>of</w:t>
      </w:r>
      <w:r>
        <w:rPr>
          <w:spacing w:val="20"/>
        </w:rPr>
        <w:t> </w:t>
      </w:r>
      <w:r>
        <w:rPr/>
        <w:t>consumer</w:t>
      </w:r>
      <w:r>
        <w:rPr>
          <w:spacing w:val="20"/>
        </w:rPr>
        <w:t> </w:t>
      </w:r>
      <w:r>
        <w:rPr/>
        <w:t>goods</w:t>
      </w:r>
      <w:r>
        <w:rPr>
          <w:spacing w:val="20"/>
        </w:rPr>
        <w:t> </w:t>
      </w:r>
      <w:r>
        <w:rPr/>
        <w:t>and</w:t>
      </w:r>
      <w:r>
        <w:rPr>
          <w:spacing w:val="20"/>
        </w:rPr>
        <w:t> </w:t>
      </w:r>
      <w:r>
        <w:rPr/>
        <w:t>associated</w:t>
      </w:r>
      <w:r>
        <w:rPr>
          <w:spacing w:val="20"/>
        </w:rPr>
        <w:t> </w:t>
      </w:r>
      <w:r>
        <w:rPr/>
        <w:t>guarantees</w:t>
      </w:r>
      <w:r>
        <w:rPr>
          <w:spacing w:val="20"/>
        </w:rPr>
        <w:t> </w:t>
      </w:r>
      <w:r>
        <w:rPr>
          <w:spacing w:val="-2"/>
        </w:rPr>
        <w:t>[1999]</w:t>
      </w:r>
    </w:p>
    <w:p>
      <w:pPr>
        <w:pStyle w:val="BodyText"/>
        <w:spacing w:line="235" w:lineRule="auto"/>
        <w:ind w:left="705" w:right="167"/>
        <w:jc w:val="both"/>
      </w:pPr>
      <w:r>
        <w:rPr/>
        <w:t>O.J. L171/12 art.7(2). Article 7(2) is not reproduced in the United Kingdom </w:t>
      </w:r>
      <w:r>
        <w:rPr/>
        <w:t>implementing legislation</w:t>
      </w:r>
      <w:r>
        <w:rPr>
          <w:spacing w:val="38"/>
        </w:rPr>
        <w:t> </w:t>
      </w:r>
      <w:r>
        <w:rPr/>
        <w:t>contained</w:t>
      </w:r>
      <w:r>
        <w:rPr>
          <w:spacing w:val="38"/>
        </w:rPr>
        <w:t> </w:t>
      </w:r>
      <w:r>
        <w:rPr/>
        <w:t>in</w:t>
      </w:r>
      <w:r>
        <w:rPr>
          <w:spacing w:val="38"/>
        </w:rPr>
        <w:t> </w:t>
      </w:r>
      <w:r>
        <w:rPr/>
        <w:t>the</w:t>
      </w:r>
      <w:r>
        <w:rPr>
          <w:spacing w:val="38"/>
        </w:rPr>
        <w:t> </w:t>
      </w:r>
      <w:r>
        <w:rPr/>
        <w:t>Sale</w:t>
      </w:r>
      <w:r>
        <w:rPr>
          <w:spacing w:val="38"/>
        </w:rPr>
        <w:t> </w:t>
      </w:r>
      <w:r>
        <w:rPr/>
        <w:t>and</w:t>
      </w:r>
      <w:r>
        <w:rPr>
          <w:spacing w:val="38"/>
        </w:rPr>
        <w:t> </w:t>
      </w:r>
      <w:r>
        <w:rPr/>
        <w:t>Supply</w:t>
      </w:r>
      <w:r>
        <w:rPr>
          <w:spacing w:val="38"/>
        </w:rPr>
        <w:t> </w:t>
      </w:r>
      <w:r>
        <w:rPr/>
        <w:t>of</w:t>
      </w:r>
      <w:r>
        <w:rPr>
          <w:spacing w:val="38"/>
        </w:rPr>
        <w:t> </w:t>
      </w:r>
      <w:r>
        <w:rPr/>
        <w:t>Goods</w:t>
      </w:r>
      <w:r>
        <w:rPr>
          <w:spacing w:val="38"/>
        </w:rPr>
        <w:t> </w:t>
      </w:r>
      <w:r>
        <w:rPr/>
        <w:t>to</w:t>
      </w:r>
      <w:r>
        <w:rPr>
          <w:spacing w:val="38"/>
        </w:rPr>
        <w:t> </w:t>
      </w:r>
      <w:r>
        <w:rPr/>
        <w:t>Consumers</w:t>
      </w:r>
      <w:r>
        <w:rPr>
          <w:spacing w:val="38"/>
        </w:rPr>
        <w:t> </w:t>
      </w:r>
      <w:r>
        <w:rPr/>
        <w:t>Regulations</w:t>
      </w:r>
      <w:r>
        <w:rPr>
          <w:spacing w:val="38"/>
        </w:rPr>
        <w:t> </w:t>
      </w:r>
      <w:r>
        <w:rPr/>
        <w:t>2002</w:t>
      </w:r>
      <w:r>
        <w:rPr>
          <w:spacing w:val="38"/>
        </w:rPr>
        <w:t> </w:t>
      </w:r>
      <w:r>
        <w:rPr>
          <w:spacing w:val="-5"/>
        </w:rPr>
        <w:t>(SI</w:t>
      </w:r>
    </w:p>
    <w:p>
      <w:pPr>
        <w:pStyle w:val="BodyText"/>
        <w:spacing w:after="0" w:line="235" w:lineRule="auto"/>
        <w:jc w:val="both"/>
        <w:sectPr>
          <w:type w:val="continuous"/>
          <w:pgSz w:w="11900" w:h="16840"/>
          <w:pgMar w:header="971" w:footer="0" w:top="1300" w:bottom="280" w:left="1275" w:right="1275"/>
        </w:sectPr>
      </w:pPr>
    </w:p>
    <w:p>
      <w:pPr>
        <w:pStyle w:val="BodyText"/>
        <w:spacing w:line="235" w:lineRule="auto" w:before="110"/>
        <w:ind w:left="705" w:right="167"/>
        <w:jc w:val="both"/>
      </w:pPr>
      <w:r>
        <w:rPr/>
        <w:t>2002/3045). For the difficulties created by this omission, see below, para.30-102. For </w:t>
      </w:r>
      <w:r>
        <w:rPr/>
        <w:t>similar anti-avoidance</w:t>
      </w:r>
      <w:r>
        <w:rPr>
          <w:spacing w:val="-1"/>
        </w:rPr>
        <w:t> </w:t>
      </w:r>
      <w:r>
        <w:rPr/>
        <w:t>formulae,</w:t>
      </w:r>
      <w:r>
        <w:rPr>
          <w:spacing w:val="-1"/>
        </w:rPr>
        <w:t> </w:t>
      </w:r>
      <w:r>
        <w:rPr/>
        <w:t>see</w:t>
      </w:r>
      <w:r>
        <w:rPr>
          <w:spacing w:val="-1"/>
        </w:rPr>
        <w:t> </w:t>
      </w:r>
      <w:r>
        <w:rPr/>
        <w:t>Directive</w:t>
      </w:r>
      <w:r>
        <w:rPr>
          <w:spacing w:val="-1"/>
        </w:rPr>
        <w:t> </w:t>
      </w:r>
      <w:r>
        <w:rPr/>
        <w:t>2002/65</w:t>
      </w:r>
      <w:r>
        <w:rPr>
          <w:spacing w:val="-1"/>
        </w:rPr>
        <w:t> </w:t>
      </w:r>
      <w:r>
        <w:rPr/>
        <w:t>concerning</w:t>
      </w:r>
      <w:r>
        <w:rPr>
          <w:spacing w:val="-1"/>
        </w:rPr>
        <w:t> </w:t>
      </w:r>
      <w:r>
        <w:rPr/>
        <w:t>the</w:t>
      </w:r>
      <w:r>
        <w:rPr>
          <w:spacing w:val="-1"/>
        </w:rPr>
        <w:t> </w:t>
      </w:r>
      <w:r>
        <w:rPr/>
        <w:t>distance</w:t>
      </w:r>
      <w:r>
        <w:rPr>
          <w:spacing w:val="-1"/>
        </w:rPr>
        <w:t> </w:t>
      </w:r>
      <w:r>
        <w:rPr/>
        <w:t>marketing</w:t>
      </w:r>
      <w:r>
        <w:rPr>
          <w:spacing w:val="-1"/>
        </w:rPr>
        <w:t> </w:t>
      </w:r>
      <w:r>
        <w:rPr/>
        <w:t>of</w:t>
      </w:r>
      <w:r>
        <w:rPr>
          <w:spacing w:val="-1"/>
        </w:rPr>
        <w:t> </w:t>
      </w:r>
      <w:r>
        <w:rPr/>
        <w:t>consumer financial services [2002] O.J. L271/16 art.12(2), implemented in Financial Services (Distance Marketing) Regulations 2004 (SI 2004/2095) reg.16(3). For discussion, see Benjamin’s Sale of Goods,</w:t>
      </w:r>
      <w:r>
        <w:rPr>
          <w:spacing w:val="-1"/>
        </w:rPr>
        <w:t> </w:t>
      </w:r>
      <w:r>
        <w:rPr/>
        <w:t>9th</w:t>
      </w:r>
      <w:r>
        <w:rPr>
          <w:spacing w:val="-1"/>
        </w:rPr>
        <w:t> </w:t>
      </w:r>
      <w:r>
        <w:rPr/>
        <w:t>edn</w:t>
      </w:r>
      <w:r>
        <w:rPr>
          <w:spacing w:val="-1"/>
        </w:rPr>
        <w:t> </w:t>
      </w:r>
      <w:r>
        <w:rPr/>
        <w:t>(2014),</w:t>
      </w:r>
      <w:r>
        <w:rPr>
          <w:spacing w:val="-1"/>
        </w:rPr>
        <w:t> </w:t>
      </w:r>
      <w:r>
        <w:rPr/>
        <w:t>paras</w:t>
      </w:r>
      <w:r>
        <w:rPr>
          <w:spacing w:val="-1"/>
        </w:rPr>
        <w:t> </w:t>
      </w:r>
      <w:r>
        <w:rPr/>
        <w:t>26-101—26-128.</w:t>
      </w:r>
      <w:r>
        <w:rPr>
          <w:spacing w:val="-1"/>
        </w:rPr>
        <w:t> </w:t>
      </w:r>
      <w:r>
        <w:rPr/>
        <w:t>See</w:t>
      </w:r>
      <w:r>
        <w:rPr>
          <w:spacing w:val="-1"/>
        </w:rPr>
        <w:t> </w:t>
      </w:r>
      <w:r>
        <w:rPr/>
        <w:t>also</w:t>
      </w:r>
      <w:r>
        <w:rPr>
          <w:spacing w:val="-1"/>
        </w:rPr>
        <w:t> </w:t>
      </w:r>
      <w:r>
        <w:rPr/>
        <w:t>Knofel</w:t>
      </w:r>
      <w:r>
        <w:rPr>
          <w:spacing w:val="-1"/>
        </w:rPr>
        <w:t> </w:t>
      </w:r>
      <w:r>
        <w:rPr/>
        <w:t>(1998)</w:t>
      </w:r>
      <w:r>
        <w:rPr>
          <w:spacing w:val="-1"/>
        </w:rPr>
        <w:t> </w:t>
      </w:r>
      <w:r>
        <w:rPr/>
        <w:t>47</w:t>
      </w:r>
      <w:r>
        <w:rPr>
          <w:spacing w:val="-1"/>
        </w:rPr>
        <w:t> </w:t>
      </w:r>
      <w:r>
        <w:rPr/>
        <w:t>I.C.L.Q.</w:t>
      </w:r>
      <w:r>
        <w:rPr>
          <w:spacing w:val="-1"/>
        </w:rPr>
        <w:t> </w:t>
      </w:r>
      <w:r>
        <w:rPr/>
        <w:t>439.</w:t>
      </w:r>
      <w:r>
        <w:rPr>
          <w:spacing w:val="-1"/>
        </w:rPr>
        <w:t> </w:t>
      </w:r>
      <w:r>
        <w:rPr/>
        <w:t>cf.</w:t>
      </w:r>
      <w:r>
        <w:rPr>
          <w:spacing w:val="-1"/>
        </w:rPr>
        <w:t> </w:t>
      </w:r>
      <w:r>
        <w:rPr/>
        <w:t>Late Payment of Commercial Debts (Interest) Act 1998 s.12(2). Like the Directive which they implement (Council Directive on the co-ordination of the laws of the Member States relating to self-employed commercial agents [1986] O.J. L382/17) the Commercial Agents (Council Directive) Regulations 1993 (SI 1993/3053, as amended by SI 1993/3173 and SI 1998/2868) contain</w:t>
      </w:r>
      <w:r>
        <w:rPr>
          <w:spacing w:val="40"/>
        </w:rPr>
        <w:t> </w:t>
      </w:r>
      <w:r>
        <w:rPr/>
        <w:t>no</w:t>
      </w:r>
      <w:r>
        <w:rPr>
          <w:spacing w:val="40"/>
        </w:rPr>
        <w:t> </w:t>
      </w:r>
      <w:r>
        <w:rPr/>
        <w:t>anti-avoidance</w:t>
      </w:r>
      <w:r>
        <w:rPr>
          <w:spacing w:val="40"/>
        </w:rPr>
        <w:t> </w:t>
      </w:r>
      <w:r>
        <w:rPr/>
        <w:t>provision.</w:t>
      </w:r>
      <w:r>
        <w:rPr>
          <w:spacing w:val="40"/>
        </w:rPr>
        <w:t> </w:t>
      </w:r>
      <w:r>
        <w:rPr/>
        <w:t>In</w:t>
      </w:r>
      <w:r>
        <w:rPr>
          <w:spacing w:val="40"/>
        </w:rPr>
        <w:t> </w:t>
      </w:r>
      <w:r>
        <w:rPr>
          <w:rFonts w:ascii="Arial" w:hAnsi="Arial"/>
          <w:i/>
        </w:rPr>
        <w:t>Ingmar</w:t>
      </w:r>
      <w:r>
        <w:rPr>
          <w:rFonts w:ascii="Arial" w:hAnsi="Arial"/>
          <w:i/>
          <w:spacing w:val="40"/>
        </w:rPr>
        <w:t> </w:t>
      </w:r>
      <w:r>
        <w:rPr>
          <w:rFonts w:ascii="Arial" w:hAnsi="Arial"/>
          <w:i/>
        </w:rPr>
        <w:t>GB</w:t>
      </w:r>
      <w:r>
        <w:rPr>
          <w:rFonts w:ascii="Arial" w:hAnsi="Arial"/>
          <w:i/>
          <w:spacing w:val="40"/>
        </w:rPr>
        <w:t> </w:t>
      </w:r>
      <w:r>
        <w:rPr>
          <w:rFonts w:ascii="Arial" w:hAnsi="Arial"/>
          <w:i/>
        </w:rPr>
        <w:t>Ltd</w:t>
      </w:r>
      <w:r>
        <w:rPr>
          <w:rFonts w:ascii="Arial" w:hAnsi="Arial"/>
          <w:i/>
          <w:spacing w:val="40"/>
        </w:rPr>
        <w:t> </w:t>
      </w:r>
      <w:r>
        <w:rPr>
          <w:rFonts w:ascii="Arial" w:hAnsi="Arial"/>
          <w:i/>
        </w:rPr>
        <w:t>v</w:t>
      </w:r>
      <w:r>
        <w:rPr>
          <w:rFonts w:ascii="Arial" w:hAnsi="Arial"/>
          <w:i/>
          <w:spacing w:val="40"/>
        </w:rPr>
        <w:t> </w:t>
      </w:r>
      <w:r>
        <w:rPr>
          <w:rFonts w:ascii="Arial" w:hAnsi="Arial"/>
          <w:i/>
        </w:rPr>
        <w:t>Eaton</w:t>
      </w:r>
      <w:r>
        <w:rPr>
          <w:rFonts w:ascii="Arial" w:hAnsi="Arial"/>
          <w:i/>
          <w:spacing w:val="40"/>
        </w:rPr>
        <w:t> </w:t>
      </w:r>
      <w:r>
        <w:rPr>
          <w:rFonts w:ascii="Arial" w:hAnsi="Arial"/>
          <w:i/>
        </w:rPr>
        <w:t>Leonard</w:t>
      </w:r>
      <w:r>
        <w:rPr>
          <w:rFonts w:ascii="Arial" w:hAnsi="Arial"/>
          <w:i/>
          <w:spacing w:val="40"/>
        </w:rPr>
        <w:t> </w:t>
      </w:r>
      <w:r>
        <w:rPr>
          <w:rFonts w:ascii="Arial" w:hAnsi="Arial"/>
          <w:i/>
        </w:rPr>
        <w:t>Technologies</w:t>
      </w:r>
      <w:r>
        <w:rPr>
          <w:rFonts w:ascii="Arial" w:hAnsi="Arial"/>
          <w:i/>
          <w:spacing w:val="40"/>
        </w:rPr>
        <w:t> </w:t>
      </w:r>
      <w:r>
        <w:rPr>
          <w:rFonts w:ascii="Arial" w:hAnsi="Arial"/>
          <w:i/>
        </w:rPr>
        <w:t>Inc (C-381/98) [2002] E.C.R. I–9305 </w:t>
      </w:r>
      <w:r>
        <w:rPr/>
        <w:t>the European Court of Justice held that arts 17 and 18 of the Directive (implemented in regs 17 and 18 of the Regulations), which guarantee certain rights to commercial agents after the termination of the agency contract, must be applied, as mandatory rules, where the commercial agent carries out his activities in a Member State even though the principal is established in a non-Member State and a clause in the contract stipulates that the contract is to be governed by the law of that non-Member State. See Dicey, Morris and Collins, paras 33-416 et seq.; Verhagen [2002] 51 I.C.L.Q. 135; Vol.II, para.31-108; </w:t>
      </w:r>
      <w:r>
        <w:rPr>
          <w:rFonts w:ascii="Arial" w:hAnsi="Arial"/>
          <w:i/>
        </w:rPr>
        <w:t>Fern Computer Consultancy Ltd v Intergraph Cadworx &amp; Analysis Solutions Inc [2014] EWHC 2908 (Ch)</w:t>
      </w:r>
      <w:r>
        <w:rPr/>
        <w:t>.</w:t>
      </w:r>
    </w:p>
    <w:p>
      <w:pPr>
        <w:pStyle w:val="BodyText"/>
        <w:spacing w:before="3"/>
      </w:pPr>
    </w:p>
    <w:p>
      <w:pPr>
        <w:tabs>
          <w:tab w:pos="705" w:val="left" w:leader="none"/>
        </w:tabs>
        <w:spacing w:line="235" w:lineRule="auto" w:before="0"/>
        <w:ind w:left="705" w:right="168" w:hanging="541"/>
        <w:jc w:val="left"/>
        <w:rPr>
          <w:sz w:val="20"/>
        </w:rPr>
      </w:pPr>
      <w:bookmarkStart w:name="_bookmark606" w:id="608"/>
      <w:bookmarkEnd w:id="608"/>
      <w:r>
        <w:rPr/>
      </w:r>
      <w:hyperlink w:history="true" w:anchor="_bookmark494">
        <w:r>
          <w:rPr>
            <w:color w:val="005DA1"/>
            <w:spacing w:val="-4"/>
            <w:position w:val="5"/>
            <w:sz w:val="14"/>
            <w:u w:val="single" w:color="005DA1"/>
          </w:rPr>
          <w:t>311</w:t>
        </w:r>
      </w:hyperlink>
      <w:r>
        <w:rPr>
          <w:spacing w:val="-4"/>
          <w:position w:val="5"/>
          <w:sz w:val="14"/>
        </w:rPr>
        <w:t>.</w:t>
      </w:r>
      <w:r>
        <w:rPr>
          <w:position w:val="5"/>
          <w:sz w:val="14"/>
        </w:rPr>
        <w:tab/>
      </w:r>
      <w:r>
        <w:rPr>
          <w:sz w:val="20"/>
        </w:rPr>
        <w:t>See, e.g. Consumer Credit Act 1974 s.75(1), considered in </w:t>
      </w:r>
      <w:r>
        <w:rPr>
          <w:rFonts w:ascii="Arial"/>
          <w:i/>
          <w:sz w:val="20"/>
        </w:rPr>
        <w:t>Office of Fair Trading v Lloyds TSB Bank Plc [2007] UKHL 48, [2008] 1 A.C. 316</w:t>
      </w:r>
      <w:r>
        <w:rPr>
          <w:sz w:val="20"/>
        </w:rPr>
        <w:t>.</w:t>
      </w:r>
    </w:p>
    <w:p>
      <w:pPr>
        <w:pStyle w:val="BodyText"/>
        <w:spacing w:before="9"/>
      </w:pPr>
    </w:p>
    <w:p>
      <w:pPr>
        <w:tabs>
          <w:tab w:pos="705" w:val="left" w:leader="none"/>
        </w:tabs>
        <w:spacing w:line="235" w:lineRule="auto" w:before="1"/>
        <w:ind w:left="705" w:right="167" w:hanging="541"/>
        <w:jc w:val="left"/>
        <w:rPr>
          <w:rFonts w:ascii="Arial"/>
          <w:i/>
          <w:sz w:val="20"/>
        </w:rPr>
      </w:pPr>
      <w:bookmarkStart w:name="_bookmark607" w:id="609"/>
      <w:bookmarkEnd w:id="609"/>
      <w:r>
        <w:rPr/>
      </w:r>
      <w:hyperlink w:history="true" w:anchor="_bookmark495">
        <w:r>
          <w:rPr>
            <w:color w:val="005DA1"/>
            <w:spacing w:val="-4"/>
            <w:position w:val="5"/>
            <w:sz w:val="14"/>
            <w:u w:val="single" w:color="005DA1"/>
          </w:rPr>
          <w:t>312</w:t>
        </w:r>
      </w:hyperlink>
      <w:r>
        <w:rPr>
          <w:spacing w:val="-4"/>
          <w:position w:val="5"/>
          <w:sz w:val="14"/>
        </w:rPr>
        <w:t>.</w:t>
      </w:r>
      <w:r>
        <w:rPr>
          <w:position w:val="5"/>
          <w:sz w:val="14"/>
        </w:rPr>
        <w:tab/>
      </w:r>
      <w:r>
        <w:rPr>
          <w:sz w:val="20"/>
        </w:rPr>
        <w:t>cf. </w:t>
      </w:r>
      <w:r>
        <w:rPr>
          <w:rFonts w:ascii="Arial"/>
          <w:i/>
          <w:sz w:val="20"/>
        </w:rPr>
        <w:t>The Hollandia [1983] 1 A.C. 565</w:t>
      </w:r>
      <w:r>
        <w:rPr>
          <w:sz w:val="20"/>
        </w:rPr>
        <w:t>; </w:t>
      </w:r>
      <w:r>
        <w:rPr>
          <w:rFonts w:ascii="Arial"/>
          <w:i/>
          <w:sz w:val="20"/>
        </w:rPr>
        <w:t>Office of Fair Trading v Lloyds TSB Bank Plc [2007] UKHL 48</w:t>
      </w:r>
      <w:r>
        <w:rPr>
          <w:sz w:val="20"/>
        </w:rPr>
        <w:t>;</w:t>
      </w:r>
      <w:r>
        <w:rPr>
          <w:spacing w:val="35"/>
          <w:sz w:val="20"/>
        </w:rPr>
        <w:t> </w:t>
      </w:r>
      <w:r>
        <w:rPr>
          <w:rFonts w:ascii="Arial"/>
          <w:i/>
          <w:sz w:val="20"/>
        </w:rPr>
        <w:t>Trafigura</w:t>
      </w:r>
      <w:r>
        <w:rPr>
          <w:rFonts w:ascii="Arial"/>
          <w:i/>
          <w:spacing w:val="36"/>
          <w:sz w:val="20"/>
        </w:rPr>
        <w:t> </w:t>
      </w:r>
      <w:r>
        <w:rPr>
          <w:rFonts w:ascii="Arial"/>
          <w:i/>
          <w:sz w:val="20"/>
        </w:rPr>
        <w:t>Beheer</w:t>
      </w:r>
      <w:r>
        <w:rPr>
          <w:rFonts w:ascii="Arial"/>
          <w:i/>
          <w:spacing w:val="36"/>
          <w:sz w:val="20"/>
        </w:rPr>
        <w:t> </w:t>
      </w:r>
      <w:r>
        <w:rPr>
          <w:rFonts w:ascii="Arial"/>
          <w:i/>
          <w:sz w:val="20"/>
        </w:rPr>
        <w:t>BV</w:t>
      </w:r>
      <w:r>
        <w:rPr>
          <w:rFonts w:ascii="Arial"/>
          <w:i/>
          <w:spacing w:val="36"/>
          <w:sz w:val="20"/>
        </w:rPr>
        <w:t> </w:t>
      </w:r>
      <w:r>
        <w:rPr>
          <w:rFonts w:ascii="Arial"/>
          <w:i/>
          <w:sz w:val="20"/>
        </w:rPr>
        <w:t>v</w:t>
      </w:r>
      <w:r>
        <w:rPr>
          <w:rFonts w:ascii="Arial"/>
          <w:i/>
          <w:spacing w:val="36"/>
          <w:sz w:val="20"/>
        </w:rPr>
        <w:t> </w:t>
      </w:r>
      <w:r>
        <w:rPr>
          <w:rFonts w:ascii="Arial"/>
          <w:i/>
          <w:sz w:val="20"/>
        </w:rPr>
        <w:t>Mediterranean</w:t>
      </w:r>
      <w:r>
        <w:rPr>
          <w:rFonts w:ascii="Arial"/>
          <w:i/>
          <w:spacing w:val="36"/>
          <w:sz w:val="20"/>
        </w:rPr>
        <w:t> </w:t>
      </w:r>
      <w:r>
        <w:rPr>
          <w:rFonts w:ascii="Arial"/>
          <w:i/>
          <w:sz w:val="20"/>
        </w:rPr>
        <w:t>Shipping</w:t>
      </w:r>
      <w:r>
        <w:rPr>
          <w:rFonts w:ascii="Arial"/>
          <w:i/>
          <w:spacing w:val="36"/>
          <w:sz w:val="20"/>
        </w:rPr>
        <w:t> </w:t>
      </w:r>
      <w:r>
        <w:rPr>
          <w:rFonts w:ascii="Arial"/>
          <w:i/>
          <w:sz w:val="20"/>
        </w:rPr>
        <w:t>Co</w:t>
      </w:r>
      <w:r>
        <w:rPr>
          <w:rFonts w:ascii="Arial"/>
          <w:i/>
          <w:spacing w:val="36"/>
          <w:sz w:val="20"/>
        </w:rPr>
        <w:t> </w:t>
      </w:r>
      <w:r>
        <w:rPr>
          <w:rFonts w:ascii="Arial"/>
          <w:i/>
          <w:sz w:val="20"/>
        </w:rPr>
        <w:t>SA</w:t>
      </w:r>
      <w:r>
        <w:rPr>
          <w:rFonts w:ascii="Arial"/>
          <w:i/>
          <w:spacing w:val="36"/>
          <w:sz w:val="20"/>
        </w:rPr>
        <w:t> </w:t>
      </w:r>
      <w:r>
        <w:rPr>
          <w:rFonts w:ascii="Arial"/>
          <w:i/>
          <w:sz w:val="20"/>
        </w:rPr>
        <w:t>[2007]</w:t>
      </w:r>
      <w:r>
        <w:rPr>
          <w:rFonts w:ascii="Arial"/>
          <w:i/>
          <w:spacing w:val="36"/>
          <w:sz w:val="20"/>
        </w:rPr>
        <w:t> </w:t>
      </w:r>
      <w:r>
        <w:rPr>
          <w:rFonts w:ascii="Arial"/>
          <w:i/>
          <w:sz w:val="20"/>
        </w:rPr>
        <w:t>EWCA</w:t>
      </w:r>
      <w:r>
        <w:rPr>
          <w:rFonts w:ascii="Arial"/>
          <w:i/>
          <w:spacing w:val="36"/>
          <w:sz w:val="20"/>
        </w:rPr>
        <w:t> </w:t>
      </w:r>
      <w:r>
        <w:rPr>
          <w:rFonts w:ascii="Arial"/>
          <w:i/>
          <w:sz w:val="20"/>
        </w:rPr>
        <w:t>Civ</w:t>
      </w:r>
      <w:r>
        <w:rPr>
          <w:rFonts w:ascii="Arial"/>
          <w:i/>
          <w:spacing w:val="36"/>
          <w:sz w:val="20"/>
        </w:rPr>
        <w:t> </w:t>
      </w:r>
      <w:r>
        <w:rPr>
          <w:rFonts w:ascii="Arial"/>
          <w:i/>
          <w:sz w:val="20"/>
        </w:rPr>
        <w:t>794,</w:t>
      </w:r>
      <w:r>
        <w:rPr>
          <w:rFonts w:ascii="Arial"/>
          <w:i/>
          <w:spacing w:val="36"/>
          <w:sz w:val="20"/>
        </w:rPr>
        <w:t> </w:t>
      </w:r>
      <w:r>
        <w:rPr>
          <w:rFonts w:ascii="Arial"/>
          <w:i/>
          <w:sz w:val="20"/>
        </w:rPr>
        <w:t>[2007]</w:t>
      </w:r>
      <w:r>
        <w:rPr>
          <w:rFonts w:ascii="Arial"/>
          <w:i/>
          <w:spacing w:val="36"/>
          <w:sz w:val="20"/>
        </w:rPr>
        <w:t> </w:t>
      </w:r>
      <w:r>
        <w:rPr>
          <w:rFonts w:ascii="Arial"/>
          <w:i/>
          <w:spacing w:val="-10"/>
          <w:sz w:val="20"/>
        </w:rPr>
        <w:t>2</w:t>
      </w:r>
    </w:p>
    <w:p>
      <w:pPr>
        <w:spacing w:line="225" w:lineRule="exact" w:before="0"/>
        <w:ind w:left="705"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622</w:t>
      </w:r>
      <w:r>
        <w:rPr>
          <w:spacing w:val="-4"/>
          <w:sz w:val="20"/>
        </w:rPr>
        <w:t>.</w:t>
      </w:r>
    </w:p>
    <w:p>
      <w:pPr>
        <w:pStyle w:val="BodyText"/>
        <w:spacing w:before="8"/>
      </w:pPr>
    </w:p>
    <w:p>
      <w:pPr>
        <w:spacing w:line="235" w:lineRule="auto" w:before="0"/>
        <w:ind w:left="705" w:right="167" w:hanging="541"/>
        <w:jc w:val="both"/>
        <w:rPr>
          <w:sz w:val="20"/>
        </w:rPr>
      </w:pPr>
      <w:bookmarkStart w:name="_bookmark608" w:id="610"/>
      <w:bookmarkEnd w:id="610"/>
      <w:r>
        <w:rPr/>
      </w:r>
      <w:hyperlink w:history="true" w:anchor="_bookmark496">
        <w:r>
          <w:rPr>
            <w:color w:val="005DA1"/>
            <w:position w:val="5"/>
            <w:sz w:val="14"/>
            <w:u w:val="single" w:color="005DA1"/>
          </w:rPr>
          <w:t>313</w:t>
        </w:r>
      </w:hyperlink>
      <w:r>
        <w:rPr>
          <w:position w:val="5"/>
          <w:sz w:val="14"/>
        </w:rPr>
        <w:t>.</w:t>
      </w:r>
      <w:r>
        <w:rPr>
          <w:spacing w:val="40"/>
          <w:position w:val="5"/>
          <w:sz w:val="14"/>
        </w:rPr>
        <w:t>  </w:t>
      </w:r>
      <w:r>
        <w:rPr>
          <w:sz w:val="20"/>
        </w:rPr>
        <w:t>See </w:t>
      </w:r>
      <w:r>
        <w:rPr>
          <w:rFonts w:ascii="Arial" w:hAnsi="Arial"/>
          <w:i/>
          <w:sz w:val="20"/>
        </w:rPr>
        <w:t>Primetrade AG v Ythan Ltd [2005] EWHC 2399 (Comm), [2006] 1 All E.R. 367 </w:t>
      </w:r>
      <w:r>
        <w:rPr>
          <w:sz w:val="20"/>
        </w:rPr>
        <w:t>at </w:t>
      </w:r>
      <w:r>
        <w:rPr>
          <w:sz w:val="20"/>
        </w:rPr>
        <w:t>[14]–[15] (Carriage of Goods by Sea Act 1992 is not mandatory and only applies if the law applicable to the contract is English law); Cheshire, North and Fawcett, pp.728–738.</w:t>
      </w:r>
    </w:p>
    <w:p>
      <w:pPr>
        <w:pStyle w:val="BodyText"/>
        <w:spacing w:before="5"/>
      </w:pPr>
    </w:p>
    <w:p>
      <w:pPr>
        <w:tabs>
          <w:tab w:pos="705" w:val="left" w:leader="none"/>
        </w:tabs>
        <w:spacing w:before="1"/>
        <w:ind w:left="165" w:right="0" w:firstLine="0"/>
        <w:jc w:val="left"/>
        <w:rPr>
          <w:sz w:val="20"/>
        </w:rPr>
      </w:pPr>
      <w:bookmarkStart w:name="_bookmark609" w:id="611"/>
      <w:bookmarkEnd w:id="611"/>
      <w:r>
        <w:rPr/>
      </w:r>
      <w:hyperlink w:history="true" w:anchor="_bookmark497">
        <w:r>
          <w:rPr>
            <w:color w:val="005DA1"/>
            <w:spacing w:val="-4"/>
            <w:position w:val="5"/>
            <w:sz w:val="14"/>
            <w:u w:val="single" w:color="005DA1"/>
          </w:rPr>
          <w:t>314</w:t>
        </w:r>
      </w:hyperlink>
      <w:r>
        <w:rPr>
          <w:spacing w:val="-4"/>
          <w:position w:val="5"/>
          <w:sz w:val="14"/>
        </w:rPr>
        <w:t>.</w:t>
      </w:r>
      <w:r>
        <w:rPr>
          <w:position w:val="5"/>
          <w:sz w:val="14"/>
        </w:rPr>
        <w:tab/>
      </w:r>
      <w:r>
        <w:rPr>
          <w:sz w:val="20"/>
        </w:rPr>
        <w:t>cf. </w:t>
      </w:r>
      <w:r>
        <w:rPr>
          <w:rFonts w:ascii="Arial"/>
          <w:i/>
          <w:sz w:val="20"/>
        </w:rPr>
        <w:t>Re Bonacina [1912] 2 Ch. </w:t>
      </w:r>
      <w:r>
        <w:rPr>
          <w:rFonts w:ascii="Arial"/>
          <w:i/>
          <w:spacing w:val="-4"/>
          <w:sz w:val="20"/>
        </w:rPr>
        <w:t>394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10" w:id="612"/>
      <w:bookmarkEnd w:id="612"/>
      <w:r>
        <w:rPr/>
      </w:r>
      <w:hyperlink w:history="true" w:anchor="_bookmark498">
        <w:r>
          <w:rPr>
            <w:color w:val="005DA1"/>
            <w:spacing w:val="-4"/>
            <w:position w:val="5"/>
            <w:sz w:val="14"/>
            <w:u w:val="single" w:color="005DA1"/>
          </w:rPr>
          <w:t>315</w:t>
        </w:r>
      </w:hyperlink>
      <w:r>
        <w:rPr>
          <w:spacing w:val="-4"/>
          <w:position w:val="5"/>
          <w:sz w:val="14"/>
        </w:rPr>
        <w:t>.</w:t>
      </w:r>
      <w:r>
        <w:rPr>
          <w:position w:val="5"/>
          <w:sz w:val="14"/>
        </w:rPr>
        <w:tab/>
      </w:r>
      <w:r>
        <w:rPr>
          <w:sz w:val="20"/>
        </w:rPr>
        <w:t>cf.</w:t>
      </w:r>
      <w:r>
        <w:rPr>
          <w:spacing w:val="-1"/>
          <w:sz w:val="20"/>
        </w:rPr>
        <w:t> </w:t>
      </w:r>
      <w:r>
        <w:rPr>
          <w:rFonts w:ascii="Arial"/>
          <w:i/>
          <w:sz w:val="20"/>
        </w:rPr>
        <w:t>Godard v Gray (1870) L.R. 6 Q.B. 139</w:t>
      </w:r>
      <w:r>
        <w:rPr>
          <w:sz w:val="20"/>
        </w:rPr>
        <w:t>. See Dicey, Morris and Collins, para.32-</w:t>
      </w:r>
      <w:r>
        <w:rPr>
          <w:spacing w:val="-4"/>
          <w:sz w:val="20"/>
        </w:rPr>
        <w:t>134.</w:t>
      </w:r>
    </w:p>
    <w:p>
      <w:pPr>
        <w:pStyle w:val="BodyText"/>
        <w:spacing w:before="4"/>
      </w:pPr>
    </w:p>
    <w:p>
      <w:pPr>
        <w:pStyle w:val="BodyText"/>
        <w:tabs>
          <w:tab w:pos="705" w:val="left" w:leader="none"/>
        </w:tabs>
        <w:spacing w:before="1"/>
        <w:ind w:left="165"/>
      </w:pPr>
      <w:bookmarkStart w:name="_bookmark611" w:id="613"/>
      <w:bookmarkEnd w:id="613"/>
      <w:r>
        <w:rPr/>
      </w:r>
      <w:hyperlink w:history="true" w:anchor="_bookmark499">
        <w:r>
          <w:rPr>
            <w:color w:val="005DA1"/>
            <w:spacing w:val="-4"/>
            <w:position w:val="5"/>
            <w:sz w:val="14"/>
            <w:u w:val="single" w:color="005DA1"/>
          </w:rPr>
          <w:t>316</w:t>
        </w:r>
      </w:hyperlink>
      <w:r>
        <w:rPr>
          <w:spacing w:val="-4"/>
          <w:position w:val="5"/>
          <w:sz w:val="14"/>
        </w:rPr>
        <w:t>.</w:t>
      </w:r>
      <w:r>
        <w:rPr>
          <w:position w:val="5"/>
          <w:sz w:val="14"/>
        </w:rPr>
        <w:tab/>
      </w:r>
      <w:r>
        <w:rPr/>
        <w:t>See below, paras 30-092 et seq., 30-107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612" w:id="614"/>
      <w:bookmarkEnd w:id="614"/>
      <w:r>
        <w:rPr/>
      </w:r>
      <w:hyperlink w:history="true" w:anchor="_bookmark500">
        <w:r>
          <w:rPr>
            <w:color w:val="005DA1"/>
            <w:spacing w:val="-4"/>
            <w:position w:val="5"/>
            <w:sz w:val="14"/>
            <w:u w:val="single" w:color="005DA1"/>
          </w:rPr>
          <w:t>317</w:t>
        </w:r>
      </w:hyperlink>
      <w:r>
        <w:rPr>
          <w:spacing w:val="-4"/>
          <w:position w:val="5"/>
          <w:sz w:val="14"/>
        </w:rPr>
        <w:t>.</w:t>
      </w:r>
      <w:r>
        <w:rPr>
          <w:position w:val="5"/>
          <w:sz w:val="14"/>
        </w:rPr>
        <w:tab/>
      </w:r>
      <w:r>
        <w:rPr>
          <w:sz w:val="20"/>
        </w:rPr>
        <w:t>cf. </w:t>
      </w:r>
      <w:r>
        <w:rPr>
          <w:rFonts w:ascii="Arial"/>
          <w:i/>
          <w:sz w:val="20"/>
        </w:rPr>
        <w:t>The Hollandia [1983] 1 A.C. </w:t>
      </w:r>
      <w:r>
        <w:rPr>
          <w:rFonts w:ascii="Arial"/>
          <w:i/>
          <w:spacing w:val="-4"/>
          <w:sz w:val="20"/>
        </w:rPr>
        <w:t>565</w:t>
      </w:r>
      <w:r>
        <w:rPr>
          <w:spacing w:val="-4"/>
          <w:sz w:val="20"/>
        </w:rPr>
        <w:t>.</w:t>
      </w:r>
    </w:p>
    <w:p>
      <w:pPr>
        <w:pStyle w:val="BodyText"/>
        <w:spacing w:before="8"/>
      </w:pPr>
    </w:p>
    <w:p>
      <w:pPr>
        <w:spacing w:line="235" w:lineRule="auto" w:before="0"/>
        <w:ind w:left="705" w:right="167" w:hanging="541"/>
        <w:jc w:val="both"/>
        <w:rPr>
          <w:sz w:val="20"/>
        </w:rPr>
      </w:pPr>
      <w:bookmarkStart w:name="_bookmark613" w:id="615"/>
      <w:bookmarkEnd w:id="615"/>
      <w:r>
        <w:rPr/>
      </w:r>
      <w:hyperlink w:history="true" w:anchor="_bookmark501">
        <w:r>
          <w:rPr>
            <w:color w:val="005DA1"/>
            <w:position w:val="5"/>
            <w:sz w:val="14"/>
            <w:u w:val="single" w:color="005DA1"/>
          </w:rPr>
          <w:t>318</w:t>
        </w:r>
      </w:hyperlink>
      <w:r>
        <w:rPr>
          <w:position w:val="5"/>
          <w:sz w:val="14"/>
        </w:rPr>
        <w:t>.</w:t>
      </w:r>
      <w:r>
        <w:rPr>
          <w:spacing w:val="80"/>
          <w:position w:val="5"/>
          <w:sz w:val="14"/>
        </w:rPr>
        <w:t> </w:t>
      </w:r>
      <w:r>
        <w:rPr>
          <w:sz w:val="20"/>
        </w:rPr>
        <w:t>See Dicey, Morris and Collins, paras 32-135—32-137; Cheshire, North and </w:t>
      </w:r>
      <w:r>
        <w:rPr>
          <w:sz w:val="20"/>
        </w:rPr>
        <w:t>Fawcett,</w:t>
      </w:r>
      <w:r>
        <w:rPr>
          <w:spacing w:val="80"/>
          <w:sz w:val="20"/>
        </w:rPr>
        <w:t> </w:t>
      </w:r>
      <w:r>
        <w:rPr>
          <w:sz w:val="20"/>
        </w:rPr>
        <w:t>pp.728–738. See also </w:t>
      </w:r>
      <w:r>
        <w:rPr>
          <w:rFonts w:ascii="Arial" w:hAnsi="Arial"/>
          <w:i/>
          <w:sz w:val="20"/>
        </w:rPr>
        <w:t>United Antwerp Maritime Agencies NV (Unamar) v Navigation Maritime Bulgare (C-184/12) [2014] 1 Lloyd’s Rep. 161</w:t>
      </w:r>
      <w:r>
        <w:rPr>
          <w:sz w:val="20"/>
        </w:rPr>
        <w:t>.</w:t>
      </w:r>
    </w:p>
    <w:p>
      <w:pPr>
        <w:pStyle w:val="BodyText"/>
        <w:spacing w:before="9"/>
      </w:pPr>
    </w:p>
    <w:p>
      <w:pPr>
        <w:spacing w:line="235" w:lineRule="auto" w:before="0"/>
        <w:ind w:left="705" w:right="167" w:hanging="541"/>
        <w:jc w:val="both"/>
        <w:rPr>
          <w:rFonts w:ascii="Arial" w:hAnsi="Arial"/>
          <w:i/>
          <w:sz w:val="20"/>
        </w:rPr>
      </w:pPr>
      <w:bookmarkStart w:name="_bookmark614" w:id="616"/>
      <w:bookmarkEnd w:id="616"/>
      <w:r>
        <w:rPr/>
      </w:r>
      <w:hyperlink w:history="true" w:anchor="_bookmark502">
        <w:r>
          <w:rPr>
            <w:color w:val="005DA1"/>
            <w:position w:val="5"/>
            <w:sz w:val="14"/>
            <w:u w:val="single" w:color="005DA1"/>
          </w:rPr>
          <w:t>319</w:t>
        </w:r>
      </w:hyperlink>
      <w:r>
        <w:rPr>
          <w:position w:val="5"/>
          <w:sz w:val="14"/>
        </w:rPr>
        <w:t>.</w:t>
      </w:r>
      <w:r>
        <w:rPr>
          <w:spacing w:val="80"/>
          <w:position w:val="5"/>
          <w:sz w:val="14"/>
        </w:rPr>
        <w:t> </w:t>
      </w:r>
      <w:r>
        <w:rPr>
          <w:sz w:val="20"/>
        </w:rPr>
        <w:t>Some</w:t>
      </w:r>
      <w:r>
        <w:rPr>
          <w:spacing w:val="40"/>
          <w:sz w:val="20"/>
        </w:rPr>
        <w:t> </w:t>
      </w:r>
      <w:r>
        <w:rPr>
          <w:sz w:val="20"/>
        </w:rPr>
        <w:t>such</w:t>
      </w:r>
      <w:r>
        <w:rPr>
          <w:spacing w:val="40"/>
          <w:sz w:val="20"/>
        </w:rPr>
        <w:t> </w:t>
      </w:r>
      <w:r>
        <w:rPr>
          <w:sz w:val="20"/>
        </w:rPr>
        <w:t>rules</w:t>
      </w:r>
      <w:r>
        <w:rPr>
          <w:spacing w:val="40"/>
          <w:sz w:val="20"/>
        </w:rPr>
        <w:t> </w:t>
      </w:r>
      <w:r>
        <w:rPr>
          <w:sz w:val="20"/>
        </w:rPr>
        <w:t>may</w:t>
      </w:r>
      <w:r>
        <w:rPr>
          <w:spacing w:val="40"/>
          <w:sz w:val="20"/>
        </w:rPr>
        <w:t> </w:t>
      </w:r>
      <w:r>
        <w:rPr>
          <w:sz w:val="20"/>
        </w:rPr>
        <w:t>completely</w:t>
      </w:r>
      <w:r>
        <w:rPr>
          <w:spacing w:val="40"/>
          <w:sz w:val="20"/>
        </w:rPr>
        <w:t> </w:t>
      </w:r>
      <w:r>
        <w:rPr>
          <w:sz w:val="20"/>
        </w:rPr>
        <w:t>override</w:t>
      </w:r>
      <w:r>
        <w:rPr>
          <w:spacing w:val="40"/>
          <w:sz w:val="20"/>
        </w:rPr>
        <w:t> </w:t>
      </w:r>
      <w:r>
        <w:rPr>
          <w:sz w:val="20"/>
        </w:rPr>
        <w:t>the</w:t>
      </w:r>
      <w:r>
        <w:rPr>
          <w:spacing w:val="40"/>
          <w:sz w:val="20"/>
        </w:rPr>
        <w:t> </w:t>
      </w:r>
      <w:r>
        <w:rPr>
          <w:sz w:val="20"/>
        </w:rPr>
        <w:t>choice</w:t>
      </w:r>
      <w:r>
        <w:rPr>
          <w:spacing w:val="40"/>
          <w:sz w:val="20"/>
        </w:rPr>
        <w:t> </w:t>
      </w:r>
      <w:r>
        <w:rPr>
          <w:sz w:val="20"/>
        </w:rPr>
        <w:t>of</w:t>
      </w:r>
      <w:r>
        <w:rPr>
          <w:spacing w:val="40"/>
          <w:sz w:val="20"/>
        </w:rPr>
        <w:t> </w:t>
      </w:r>
      <w:r>
        <w:rPr>
          <w:sz w:val="20"/>
        </w:rPr>
        <w:t>law</w:t>
      </w:r>
      <w:r>
        <w:rPr>
          <w:spacing w:val="40"/>
          <w:sz w:val="20"/>
        </w:rPr>
        <w:t> </w:t>
      </w:r>
      <w:r>
        <w:rPr>
          <w:sz w:val="20"/>
        </w:rPr>
        <w:t>by</w:t>
      </w:r>
      <w:r>
        <w:rPr>
          <w:spacing w:val="40"/>
          <w:sz w:val="20"/>
        </w:rPr>
        <w:t> </w:t>
      </w:r>
      <w:r>
        <w:rPr>
          <w:sz w:val="20"/>
        </w:rPr>
        <w:t>the</w:t>
      </w:r>
      <w:r>
        <w:rPr>
          <w:spacing w:val="40"/>
          <w:sz w:val="20"/>
        </w:rPr>
        <w:t> </w:t>
      </w:r>
      <w:r>
        <w:rPr>
          <w:sz w:val="20"/>
        </w:rPr>
        <w:t>parties:</w:t>
      </w:r>
      <w:r>
        <w:rPr>
          <w:spacing w:val="40"/>
          <w:sz w:val="20"/>
        </w:rPr>
        <w:t> </w:t>
      </w:r>
      <w:r>
        <w:rPr>
          <w:sz w:val="20"/>
        </w:rPr>
        <w:t>see,</w:t>
      </w:r>
      <w:r>
        <w:rPr>
          <w:spacing w:val="40"/>
          <w:sz w:val="20"/>
        </w:rPr>
        <w:t> </w:t>
      </w:r>
      <w:r>
        <w:rPr>
          <w:sz w:val="20"/>
        </w:rPr>
        <w:t>e.g. Employment</w:t>
      </w:r>
      <w:r>
        <w:rPr>
          <w:spacing w:val="-1"/>
          <w:sz w:val="20"/>
        </w:rPr>
        <w:t> </w:t>
      </w:r>
      <w:r>
        <w:rPr>
          <w:sz w:val="20"/>
        </w:rPr>
        <w:t>Rights</w:t>
      </w:r>
      <w:r>
        <w:rPr>
          <w:spacing w:val="-1"/>
          <w:sz w:val="20"/>
        </w:rPr>
        <w:t> </w:t>
      </w:r>
      <w:r>
        <w:rPr>
          <w:sz w:val="20"/>
        </w:rPr>
        <w:t>Act</w:t>
      </w:r>
      <w:r>
        <w:rPr>
          <w:spacing w:val="-1"/>
          <w:sz w:val="20"/>
        </w:rPr>
        <w:t> </w:t>
      </w:r>
      <w:r>
        <w:rPr>
          <w:sz w:val="20"/>
        </w:rPr>
        <w:t>1996</w:t>
      </w:r>
      <w:r>
        <w:rPr>
          <w:spacing w:val="-1"/>
          <w:sz w:val="20"/>
        </w:rPr>
        <w:t> </w:t>
      </w:r>
      <w:r>
        <w:rPr>
          <w:sz w:val="20"/>
        </w:rPr>
        <w:t>s.204(1),</w:t>
      </w:r>
      <w:r>
        <w:rPr>
          <w:spacing w:val="-1"/>
          <w:sz w:val="20"/>
        </w:rPr>
        <w:t> </w:t>
      </w:r>
      <w:r>
        <w:rPr>
          <w:sz w:val="20"/>
        </w:rPr>
        <w:t>below,</w:t>
      </w:r>
      <w:r>
        <w:rPr>
          <w:spacing w:val="-1"/>
          <w:sz w:val="20"/>
        </w:rPr>
        <w:t> </w:t>
      </w:r>
      <w:r>
        <w:rPr>
          <w:sz w:val="20"/>
        </w:rPr>
        <w:t>paras</w:t>
      </w:r>
      <w:r>
        <w:rPr>
          <w:spacing w:val="-1"/>
          <w:sz w:val="20"/>
        </w:rPr>
        <w:t> </w:t>
      </w:r>
      <w:r>
        <w:rPr>
          <w:sz w:val="20"/>
        </w:rPr>
        <w:t>30-113</w:t>
      </w:r>
      <w:r>
        <w:rPr>
          <w:spacing w:val="-1"/>
          <w:sz w:val="20"/>
        </w:rPr>
        <w:t> </w:t>
      </w:r>
      <w:r>
        <w:rPr>
          <w:sz w:val="20"/>
        </w:rPr>
        <w:t>et</w:t>
      </w:r>
      <w:r>
        <w:rPr>
          <w:spacing w:val="-1"/>
          <w:sz w:val="20"/>
        </w:rPr>
        <w:t> </w:t>
      </w:r>
      <w:r>
        <w:rPr>
          <w:sz w:val="20"/>
        </w:rPr>
        <w:t>seq.</w:t>
      </w:r>
      <w:r>
        <w:rPr>
          <w:spacing w:val="-1"/>
          <w:sz w:val="20"/>
        </w:rPr>
        <w:t> </w:t>
      </w:r>
      <w:r>
        <w:rPr>
          <w:sz w:val="20"/>
        </w:rPr>
        <w:t>Others</w:t>
      </w:r>
      <w:r>
        <w:rPr>
          <w:spacing w:val="-1"/>
          <w:sz w:val="20"/>
        </w:rPr>
        <w:t> </w:t>
      </w:r>
      <w:r>
        <w:rPr>
          <w:sz w:val="20"/>
        </w:rPr>
        <w:t>may</w:t>
      </w:r>
      <w:r>
        <w:rPr>
          <w:spacing w:val="-1"/>
          <w:sz w:val="20"/>
        </w:rPr>
        <w:t> </w:t>
      </w:r>
      <w:r>
        <w:rPr>
          <w:sz w:val="20"/>
        </w:rPr>
        <w:t>only</w:t>
      </w:r>
      <w:r>
        <w:rPr>
          <w:spacing w:val="-1"/>
          <w:sz w:val="20"/>
        </w:rPr>
        <w:t> </w:t>
      </w:r>
      <w:r>
        <w:rPr>
          <w:sz w:val="20"/>
        </w:rPr>
        <w:t>restrict</w:t>
      </w:r>
      <w:r>
        <w:rPr>
          <w:spacing w:val="-1"/>
          <w:sz w:val="20"/>
        </w:rPr>
        <w:t> </w:t>
      </w:r>
      <w:r>
        <w:rPr>
          <w:sz w:val="20"/>
        </w:rPr>
        <w:t>the power of the parties to avoid the relevant rules by a mere choice of law where English law</w:t>
      </w:r>
      <w:r>
        <w:rPr>
          <w:spacing w:val="40"/>
          <w:sz w:val="20"/>
        </w:rPr>
        <w:t> </w:t>
      </w:r>
      <w:r>
        <w:rPr>
          <w:sz w:val="20"/>
        </w:rPr>
        <w:t>would be applicable if there were no such choice: see, e.g. Unfair Contract Terms Act 1977 s.27(2), above, para.30-008. Contrast Unfair Contract Terms Act 1977 s.27(1), which </w:t>
      </w:r>
      <w:r>
        <w:rPr>
          <w:sz w:val="20"/>
        </w:rPr>
        <w:t>provides that the controls on exemption clauses contained in the Act do not apply where the law applicable to the contract is the law of any part of the United Kingdom only by choice of the parties and apart from that choice would be the law of some country outside the United Kingdom;</w:t>
      </w:r>
      <w:r>
        <w:rPr>
          <w:spacing w:val="-3"/>
          <w:sz w:val="20"/>
        </w:rPr>
        <w:t> </w:t>
      </w:r>
      <w:r>
        <w:rPr>
          <w:sz w:val="20"/>
        </w:rPr>
        <w:t>see</w:t>
      </w:r>
      <w:r>
        <w:rPr>
          <w:spacing w:val="-3"/>
          <w:sz w:val="20"/>
        </w:rPr>
        <w:t> </w:t>
      </w:r>
      <w:r>
        <w:rPr>
          <w:rFonts w:ascii="Arial" w:hAnsi="Arial"/>
          <w:i/>
          <w:sz w:val="20"/>
        </w:rPr>
        <w:t>Deutsche</w:t>
      </w:r>
      <w:r>
        <w:rPr>
          <w:rFonts w:ascii="Arial" w:hAnsi="Arial"/>
          <w:i/>
          <w:spacing w:val="-3"/>
          <w:sz w:val="20"/>
        </w:rPr>
        <w:t> </w:t>
      </w:r>
      <w:r>
        <w:rPr>
          <w:rFonts w:ascii="Arial" w:hAnsi="Arial"/>
          <w:i/>
          <w:sz w:val="20"/>
        </w:rPr>
        <w:t>Bank</w:t>
      </w:r>
      <w:r>
        <w:rPr>
          <w:rFonts w:ascii="Arial" w:hAnsi="Arial"/>
          <w:i/>
          <w:spacing w:val="-3"/>
          <w:sz w:val="20"/>
        </w:rPr>
        <w:t> </w:t>
      </w:r>
      <w:r>
        <w:rPr>
          <w:rFonts w:ascii="Arial" w:hAnsi="Arial"/>
          <w:i/>
          <w:sz w:val="20"/>
        </w:rPr>
        <w:t>Suisse</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Khan</w:t>
      </w:r>
      <w:r>
        <w:rPr>
          <w:rFonts w:ascii="Arial" w:hAnsi="Arial"/>
          <w:i/>
          <w:spacing w:val="-3"/>
          <w:sz w:val="20"/>
        </w:rPr>
        <w:t> </w:t>
      </w:r>
      <w:r>
        <w:rPr>
          <w:rFonts w:ascii="Arial" w:hAnsi="Arial"/>
          <w:i/>
          <w:sz w:val="20"/>
        </w:rPr>
        <w:t>[2013]</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482</w:t>
      </w:r>
      <w:r>
        <w:rPr>
          <w:rFonts w:ascii="Arial" w:hAnsi="Arial"/>
          <w:i/>
          <w:spacing w:val="-3"/>
          <w:sz w:val="20"/>
        </w:rPr>
        <w:t> </w:t>
      </w:r>
      <w:r>
        <w:rPr>
          <w:rFonts w:ascii="Arial" w:hAnsi="Arial"/>
          <w:i/>
          <w:sz w:val="20"/>
        </w:rPr>
        <w:t>(Comm)</w:t>
      </w:r>
      <w:r>
        <w:rPr>
          <w:sz w:val="20"/>
        </w:rPr>
        <w:t>.</w:t>
      </w:r>
      <w:r>
        <w:rPr>
          <w:spacing w:val="-3"/>
          <w:sz w:val="20"/>
        </w:rPr>
        <w:t> </w:t>
      </w:r>
      <w:r>
        <w:rPr>
          <w:sz w:val="20"/>
        </w:rPr>
        <w:t>If</w:t>
      </w:r>
      <w:r>
        <w:rPr>
          <w:spacing w:val="-3"/>
          <w:sz w:val="20"/>
        </w:rPr>
        <w:t> </w:t>
      </w:r>
      <w:r>
        <w:rPr>
          <w:sz w:val="20"/>
        </w:rPr>
        <w:t>a</w:t>
      </w:r>
      <w:r>
        <w:rPr>
          <w:spacing w:val="-3"/>
          <w:sz w:val="20"/>
        </w:rPr>
        <w:t> </w:t>
      </w:r>
      <w:r>
        <w:rPr>
          <w:sz w:val="20"/>
        </w:rPr>
        <w:t>contract</w:t>
      </w:r>
      <w:r>
        <w:rPr>
          <w:spacing w:val="-3"/>
          <w:sz w:val="20"/>
        </w:rPr>
        <w:t> </w:t>
      </w:r>
      <w:r>
        <w:rPr>
          <w:sz w:val="20"/>
        </w:rPr>
        <w:t>(other than one excluded from the 1977 Act by s.26, as to which see </w:t>
      </w:r>
      <w:r>
        <w:rPr>
          <w:rFonts w:ascii="Arial" w:hAnsi="Arial"/>
          <w:i/>
          <w:sz w:val="20"/>
        </w:rPr>
        <w:t>Ocean Chemical Transport Inc v Exnor Craggs [2001] 1 All E.R. (Comm) 519</w:t>
      </w:r>
      <w:r>
        <w:rPr>
          <w:sz w:val="20"/>
        </w:rPr>
        <w:t>; </w:t>
      </w:r>
      <w:r>
        <w:rPr>
          <w:rFonts w:ascii="Arial" w:hAnsi="Arial"/>
          <w:i/>
          <w:sz w:val="20"/>
        </w:rPr>
        <w:t>Amiri Flight Authority v B.A.E. Systems Plc [2002] EWHC 2481 (Comm), [2003] 1 All E.R. (Comm) 1</w:t>
      </w:r>
      <w:r>
        <w:rPr>
          <w:sz w:val="20"/>
        </w:rPr>
        <w:t>; </w:t>
      </w:r>
      <w:r>
        <w:rPr>
          <w:rFonts w:ascii="Arial" w:hAnsi="Arial"/>
          <w:i/>
          <w:sz w:val="20"/>
        </w:rPr>
        <w:t>Balmoral Group Ltd v Borealis (UK) Ltd [2006]</w:t>
      </w:r>
      <w:r>
        <w:rPr>
          <w:rFonts w:ascii="Arial" w:hAnsi="Arial"/>
          <w:i/>
          <w:spacing w:val="10"/>
          <w:sz w:val="20"/>
        </w:rPr>
        <w:t> </w:t>
      </w:r>
      <w:r>
        <w:rPr>
          <w:rFonts w:ascii="Arial" w:hAnsi="Arial"/>
          <w:i/>
          <w:sz w:val="20"/>
        </w:rPr>
        <w:t>EWHC</w:t>
      </w:r>
      <w:r>
        <w:rPr>
          <w:rFonts w:ascii="Arial" w:hAnsi="Arial"/>
          <w:i/>
          <w:spacing w:val="13"/>
          <w:sz w:val="20"/>
        </w:rPr>
        <w:t> </w:t>
      </w:r>
      <w:r>
        <w:rPr>
          <w:rFonts w:ascii="Arial" w:hAnsi="Arial"/>
          <w:i/>
          <w:sz w:val="20"/>
        </w:rPr>
        <w:t>1900</w:t>
      </w:r>
      <w:r>
        <w:rPr>
          <w:rFonts w:ascii="Arial" w:hAnsi="Arial"/>
          <w:i/>
          <w:spacing w:val="13"/>
          <w:sz w:val="20"/>
        </w:rPr>
        <w:t> </w:t>
      </w:r>
      <w:r>
        <w:rPr>
          <w:rFonts w:ascii="Arial" w:hAnsi="Arial"/>
          <w:i/>
          <w:sz w:val="20"/>
        </w:rPr>
        <w:t>(Comm),</w:t>
      </w:r>
      <w:r>
        <w:rPr>
          <w:rFonts w:ascii="Arial" w:hAnsi="Arial"/>
          <w:i/>
          <w:spacing w:val="13"/>
          <w:sz w:val="20"/>
        </w:rPr>
        <w:t> </w:t>
      </w:r>
      <w:r>
        <w:rPr>
          <w:rFonts w:ascii="Arial" w:hAnsi="Arial"/>
          <w:i/>
          <w:sz w:val="20"/>
        </w:rPr>
        <w:t>[2006]</w:t>
      </w:r>
      <w:r>
        <w:rPr>
          <w:rFonts w:ascii="Arial" w:hAnsi="Arial"/>
          <w:i/>
          <w:spacing w:val="13"/>
          <w:sz w:val="20"/>
        </w:rPr>
        <w:t> </w:t>
      </w:r>
      <w:r>
        <w:rPr>
          <w:rFonts w:ascii="Arial" w:hAnsi="Arial"/>
          <w:i/>
          <w:sz w:val="20"/>
        </w:rPr>
        <w:t>2</w:t>
      </w:r>
      <w:r>
        <w:rPr>
          <w:rFonts w:ascii="Arial" w:hAnsi="Arial"/>
          <w:i/>
          <w:spacing w:val="13"/>
          <w:sz w:val="20"/>
        </w:rPr>
        <w:t> </w:t>
      </w:r>
      <w:r>
        <w:rPr>
          <w:rFonts w:ascii="Arial" w:hAnsi="Arial"/>
          <w:i/>
          <w:sz w:val="20"/>
        </w:rPr>
        <w:t>Lloyd’s</w:t>
      </w:r>
      <w:r>
        <w:rPr>
          <w:rFonts w:ascii="Arial" w:hAnsi="Arial"/>
          <w:i/>
          <w:spacing w:val="13"/>
          <w:sz w:val="20"/>
        </w:rPr>
        <w:t> </w:t>
      </w:r>
      <w:r>
        <w:rPr>
          <w:rFonts w:ascii="Arial" w:hAnsi="Arial"/>
          <w:i/>
          <w:sz w:val="20"/>
        </w:rPr>
        <w:t>Rep.</w:t>
      </w:r>
      <w:r>
        <w:rPr>
          <w:rFonts w:ascii="Arial" w:hAnsi="Arial"/>
          <w:i/>
          <w:spacing w:val="13"/>
          <w:sz w:val="20"/>
        </w:rPr>
        <w:t> </w:t>
      </w:r>
      <w:r>
        <w:rPr>
          <w:rFonts w:ascii="Arial" w:hAnsi="Arial"/>
          <w:i/>
          <w:sz w:val="20"/>
        </w:rPr>
        <w:t>629</w:t>
      </w:r>
      <w:r>
        <w:rPr>
          <w:sz w:val="20"/>
        </w:rPr>
        <w:t>;</w:t>
      </w:r>
      <w:r>
        <w:rPr>
          <w:spacing w:val="13"/>
          <w:sz w:val="20"/>
        </w:rPr>
        <w:t> </w:t>
      </w:r>
      <w:r>
        <w:rPr>
          <w:rFonts w:ascii="Arial" w:hAnsi="Arial"/>
          <w:i/>
          <w:sz w:val="20"/>
        </w:rPr>
        <w:t>Trident</w:t>
      </w:r>
      <w:r>
        <w:rPr>
          <w:rFonts w:ascii="Arial" w:hAnsi="Arial"/>
          <w:i/>
          <w:spacing w:val="13"/>
          <w:sz w:val="20"/>
        </w:rPr>
        <w:t> </w:t>
      </w:r>
      <w:r>
        <w:rPr>
          <w:rFonts w:ascii="Arial" w:hAnsi="Arial"/>
          <w:i/>
          <w:sz w:val="20"/>
        </w:rPr>
        <w:t>Turboprop</w:t>
      </w:r>
      <w:r>
        <w:rPr>
          <w:rFonts w:ascii="Arial" w:hAnsi="Arial"/>
          <w:i/>
          <w:spacing w:val="13"/>
          <w:sz w:val="20"/>
        </w:rPr>
        <w:t> </w:t>
      </w:r>
      <w:r>
        <w:rPr>
          <w:rFonts w:ascii="Arial" w:hAnsi="Arial"/>
          <w:i/>
          <w:sz w:val="20"/>
        </w:rPr>
        <w:t>(Dublin)</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pacing w:val="-2"/>
          <w:sz w:val="20"/>
        </w:rPr>
        <w:t>First</w:t>
      </w:r>
    </w:p>
    <w:p>
      <w:pPr>
        <w:spacing w:line="235" w:lineRule="auto" w:before="0"/>
        <w:ind w:left="705" w:right="167" w:firstLine="0"/>
        <w:jc w:val="both"/>
        <w:rPr>
          <w:sz w:val="20"/>
        </w:rPr>
      </w:pPr>
      <w:r>
        <w:rPr>
          <w:rFonts w:ascii="Arial" w:hAnsi="Arial"/>
          <w:i/>
          <w:sz w:val="20"/>
        </w:rPr>
        <w:t>Flight Couriers Ltd [2009] EWCA Civ 290, [2009] 1 Lloyd’s Rep. 702 </w:t>
      </w:r>
      <w:r>
        <w:rPr>
          <w:sz w:val="20"/>
        </w:rPr>
        <w:t>contains a choice of English law, but the contract would be governed by a foreign law were the rules contained </w:t>
      </w:r>
      <w:r>
        <w:rPr>
          <w:sz w:val="20"/>
        </w:rPr>
        <w:t>in art.4 of the Convention (below, paras 30-070 et seq.) to be applied, the controls contained in</w:t>
      </w:r>
      <w:r>
        <w:rPr>
          <w:spacing w:val="40"/>
          <w:sz w:val="20"/>
        </w:rPr>
        <w:t> </w:t>
      </w:r>
      <w:r>
        <w:rPr>
          <w:sz w:val="20"/>
        </w:rPr>
        <w:t>the Act will not form part of the applicable law:</w:t>
      </w:r>
      <w:r>
        <w:rPr>
          <w:spacing w:val="-1"/>
          <w:sz w:val="20"/>
        </w:rPr>
        <w:t> </w:t>
      </w:r>
      <w:r>
        <w:rPr>
          <w:rFonts w:ascii="Arial" w:hAnsi="Arial"/>
          <w:i/>
          <w:sz w:val="20"/>
        </w:rPr>
        <w:t>Surzur Overseas Ltd v Ocean Reliance Shipping Co Ltd [1997] C.L. 318</w:t>
      </w:r>
      <w:r>
        <w:rPr>
          <w:sz w:val="20"/>
        </w:rPr>
        <w:t>. And see Late Payment of Commercial Debts (Interest) Act 1998</w:t>
      </w:r>
      <w:r>
        <w:rPr>
          <w:spacing w:val="40"/>
          <w:sz w:val="20"/>
        </w:rPr>
        <w:t> </w:t>
      </w:r>
      <w:r>
        <w:rPr>
          <w:sz w:val="20"/>
        </w:rPr>
        <w:t>s.12(1), discussed below, paras 30-342 et seq.</w:t>
      </w:r>
    </w:p>
    <w:p>
      <w:pPr>
        <w:spacing w:after="0" w:line="235" w:lineRule="auto"/>
        <w:jc w:val="both"/>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503">
        <w:r>
          <w:rPr>
            <w:color w:val="005DA1"/>
            <w:position w:val="5"/>
            <w:sz w:val="14"/>
            <w:u w:val="single" w:color="005DA1"/>
          </w:rPr>
          <w:t>320</w:t>
        </w:r>
      </w:hyperlink>
      <w:r>
        <w:rPr>
          <w:position w:val="5"/>
          <w:sz w:val="14"/>
        </w:rPr>
        <w:t>.</w:t>
      </w:r>
      <w:r>
        <w:rPr>
          <w:spacing w:val="80"/>
          <w:position w:val="5"/>
          <w:sz w:val="14"/>
        </w:rPr>
        <w:t> </w:t>
      </w:r>
      <w:r>
        <w:rPr>
          <w:sz w:val="20"/>
        </w:rPr>
        <w:t>Giuliano-Lagarde Report, p.38. For a discussion of potentially mandatory rules contained </w:t>
      </w:r>
      <w:r>
        <w:rPr>
          <w:sz w:val="20"/>
        </w:rPr>
        <w:t>in European Union legislation, see Knofel (1998) 47 I.C.L.Q. 439; Fallon and Francq, </w:t>
      </w:r>
      <w:r>
        <w:rPr>
          <w:rFonts w:ascii="Arial"/>
          <w:i/>
          <w:sz w:val="20"/>
        </w:rPr>
        <w:t>Private Law in the International Arena: Liber Amicorum Kurt Siehr </w:t>
      </w:r>
      <w:r>
        <w:rPr>
          <w:sz w:val="20"/>
        </w:rPr>
        <w:t>(2000), p.155.</w:t>
      </w:r>
    </w:p>
    <w:p>
      <w:pPr>
        <w:pStyle w:val="BodyText"/>
        <w:spacing w:before="9"/>
      </w:pPr>
    </w:p>
    <w:p>
      <w:pPr>
        <w:pStyle w:val="BodyText"/>
        <w:tabs>
          <w:tab w:pos="705" w:val="left" w:leader="none"/>
        </w:tabs>
        <w:spacing w:line="235" w:lineRule="auto"/>
        <w:ind w:left="705" w:right="168" w:hanging="541"/>
      </w:pPr>
      <w:bookmarkStart w:name="_bookmark615" w:id="617"/>
      <w:bookmarkEnd w:id="617"/>
      <w:r>
        <w:rPr/>
      </w:r>
      <w:hyperlink w:history="true" w:anchor="_bookmark504">
        <w:r>
          <w:rPr>
            <w:color w:val="005DA1"/>
            <w:spacing w:val="-4"/>
            <w:position w:val="5"/>
            <w:sz w:val="14"/>
            <w:u w:val="single" w:color="005DA1"/>
          </w:rPr>
          <w:t>321</w:t>
        </w:r>
      </w:hyperlink>
      <w:r>
        <w:rPr>
          <w:spacing w:val="-4"/>
          <w:position w:val="5"/>
          <w:sz w:val="14"/>
        </w:rPr>
        <w:t>.</w:t>
      </w:r>
      <w:r>
        <w:rPr>
          <w:position w:val="5"/>
          <w:sz w:val="14"/>
        </w:rPr>
        <w:tab/>
      </w:r>
      <w:r>
        <w:rPr/>
        <w:t>See above, paras 30-063 et seq. cf. Rome Convention art.7(1), which does not have the </w:t>
      </w:r>
      <w:r>
        <w:rPr/>
        <w:t>force</w:t>
      </w:r>
      <w:r>
        <w:rPr>
          <w:spacing w:val="40"/>
        </w:rPr>
        <w:t> </w:t>
      </w:r>
      <w:r>
        <w:rPr/>
        <w:t>of law in the UK: above, para.30-062.</w:t>
      </w:r>
    </w:p>
    <w:p>
      <w:pPr>
        <w:pStyle w:val="BodyText"/>
        <w:spacing w:before="5"/>
      </w:pPr>
    </w:p>
    <w:p>
      <w:pPr>
        <w:pStyle w:val="BodyText"/>
        <w:tabs>
          <w:tab w:pos="705" w:val="left" w:leader="none"/>
        </w:tabs>
        <w:spacing w:before="1"/>
        <w:ind w:left="165"/>
      </w:pPr>
      <w:bookmarkStart w:name="_bookmark616" w:id="618"/>
      <w:bookmarkEnd w:id="618"/>
      <w:r>
        <w:rPr/>
      </w:r>
      <w:hyperlink w:history="true" w:anchor="_bookmark505">
        <w:r>
          <w:rPr>
            <w:color w:val="005DA1"/>
            <w:spacing w:val="-4"/>
            <w:position w:val="5"/>
            <w:sz w:val="14"/>
            <w:u w:val="single" w:color="005DA1"/>
          </w:rPr>
          <w:t>322</w:t>
        </w:r>
      </w:hyperlink>
      <w:r>
        <w:rPr>
          <w:spacing w:val="-4"/>
          <w:position w:val="5"/>
          <w:sz w:val="14"/>
        </w:rPr>
        <w:t>.</w:t>
      </w:r>
      <w:r>
        <w:rPr>
          <w:position w:val="5"/>
          <w:sz w:val="14"/>
        </w:rPr>
        <w:tab/>
      </w:r>
      <w:r>
        <w:rPr/>
        <w:t>See Dicey, Morris and Collins, paras 1-053—1-</w:t>
      </w:r>
      <w:r>
        <w:rPr>
          <w:spacing w:val="-4"/>
        </w:rPr>
        <w:t>061.</w:t>
      </w:r>
    </w:p>
    <w:p>
      <w:pPr>
        <w:pStyle w:val="BodyText"/>
        <w:spacing w:before="8"/>
      </w:pPr>
    </w:p>
    <w:p>
      <w:pPr>
        <w:pStyle w:val="BodyText"/>
        <w:spacing w:line="235" w:lineRule="auto"/>
        <w:ind w:left="705" w:right="167" w:hanging="541"/>
        <w:jc w:val="both"/>
      </w:pPr>
      <w:bookmarkStart w:name="_bookmark617" w:id="619"/>
      <w:bookmarkEnd w:id="619"/>
      <w:r>
        <w:rPr/>
      </w:r>
      <w:hyperlink w:history="true" w:anchor="_bookmark505">
        <w:r>
          <w:rPr>
            <w:color w:val="005DA1"/>
            <w:position w:val="5"/>
            <w:sz w:val="14"/>
            <w:u w:val="single" w:color="005DA1"/>
          </w:rPr>
          <w:t>323</w:t>
        </w:r>
      </w:hyperlink>
      <w:r>
        <w:rPr>
          <w:position w:val="5"/>
          <w:sz w:val="14"/>
        </w:rPr>
        <w:t>.</w:t>
      </w:r>
      <w:r>
        <w:rPr>
          <w:spacing w:val="40"/>
          <w:position w:val="5"/>
          <w:sz w:val="14"/>
        </w:rPr>
        <w:t>  </w:t>
      </w:r>
      <w:r>
        <w:rPr/>
        <w:t>Employment Rights Act 1996 s.204(1); Unfair Contract Terms Act 1977 s.27(2); Unfair Terms </w:t>
      </w:r>
      <w:r>
        <w:rPr/>
        <w:t>in Consumer Contracts Regulations 1994 reg.7; Consumer Protection (Distance Selling) Regulations 2000 reg.25(5). cf. Sale and Supply of Goods to Consumers Regulations 2002.</w:t>
      </w:r>
    </w:p>
    <w:p>
      <w:pPr>
        <w:pStyle w:val="BodyText"/>
        <w:spacing w:before="9"/>
      </w:pPr>
    </w:p>
    <w:p>
      <w:pPr>
        <w:spacing w:line="235" w:lineRule="auto" w:before="0"/>
        <w:ind w:left="705" w:right="167" w:hanging="541"/>
        <w:jc w:val="both"/>
        <w:rPr>
          <w:sz w:val="20"/>
        </w:rPr>
      </w:pPr>
      <w:bookmarkStart w:name="_bookmark618" w:id="620"/>
      <w:bookmarkEnd w:id="620"/>
      <w:r>
        <w:rPr/>
      </w:r>
      <w:hyperlink w:history="true" w:anchor="_bookmark506">
        <w:r>
          <w:rPr>
            <w:color w:val="005DA1"/>
            <w:position w:val="5"/>
            <w:sz w:val="14"/>
            <w:u w:val="single" w:color="005DA1"/>
          </w:rPr>
          <w:t>324</w:t>
        </w:r>
      </w:hyperlink>
      <w:r>
        <w:rPr>
          <w:position w:val="5"/>
          <w:sz w:val="14"/>
        </w:rPr>
        <w:t>.</w:t>
      </w:r>
      <w:r>
        <w:rPr>
          <w:spacing w:val="80"/>
          <w:w w:val="150"/>
          <w:position w:val="5"/>
          <w:sz w:val="14"/>
        </w:rPr>
        <w:t> </w:t>
      </w:r>
      <w:r>
        <w:rPr>
          <w:sz w:val="20"/>
        </w:rPr>
        <w:t>See </w:t>
      </w:r>
      <w:r>
        <w:rPr>
          <w:rFonts w:ascii="Arial" w:hAnsi="Arial"/>
          <w:i/>
          <w:sz w:val="20"/>
        </w:rPr>
        <w:t>Ingmar GB Ltd v Eaton Leonard Technologies Inc (C-381/98) [2000] E.C.R. I–9305</w:t>
      </w:r>
      <w:r>
        <w:rPr>
          <w:sz w:val="20"/>
        </w:rPr>
        <w:t>; </w:t>
      </w:r>
      <w:r>
        <w:rPr>
          <w:rFonts w:ascii="Arial" w:hAnsi="Arial"/>
          <w:i/>
          <w:sz w:val="20"/>
        </w:rPr>
        <w:t>Fern Computer Consultancy Ltd v Intergraph Cadworx &amp; Analysis Solutions Inc [2014] EWHC </w:t>
      </w:r>
      <w:r>
        <w:rPr>
          <w:rFonts w:ascii="Arial" w:hAnsi="Arial"/>
          <w:i/>
          <w:sz w:val="20"/>
        </w:rPr>
        <w:t>2908 (Ch)</w:t>
      </w:r>
      <w:r>
        <w:rPr>
          <w:sz w:val="20"/>
        </w:rPr>
        <w:t>;</w:t>
      </w:r>
      <w:r>
        <w:rPr>
          <w:spacing w:val="-2"/>
          <w:sz w:val="20"/>
        </w:rPr>
        <w:t> </w:t>
      </w:r>
      <w:r>
        <w:rPr>
          <w:rFonts w:ascii="Arial" w:hAnsi="Arial"/>
          <w:i/>
          <w:sz w:val="20"/>
        </w:rPr>
        <w:t>Office</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Fair</w:t>
      </w:r>
      <w:r>
        <w:rPr>
          <w:rFonts w:ascii="Arial" w:hAnsi="Arial"/>
          <w:i/>
          <w:spacing w:val="-2"/>
          <w:sz w:val="20"/>
        </w:rPr>
        <w:t> </w:t>
      </w:r>
      <w:r>
        <w:rPr>
          <w:rFonts w:ascii="Arial" w:hAnsi="Arial"/>
          <w:i/>
          <w:sz w:val="20"/>
        </w:rPr>
        <w:t>Trading</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TSB</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[2007]</w:t>
      </w:r>
      <w:r>
        <w:rPr>
          <w:rFonts w:ascii="Arial" w:hAnsi="Arial"/>
          <w:i/>
          <w:spacing w:val="-2"/>
          <w:sz w:val="20"/>
        </w:rPr>
        <w:t> </w:t>
      </w:r>
      <w:r>
        <w:rPr>
          <w:rFonts w:ascii="Arial" w:hAnsi="Arial"/>
          <w:i/>
          <w:sz w:val="20"/>
        </w:rPr>
        <w:t>UKHL</w:t>
      </w:r>
      <w:r>
        <w:rPr>
          <w:rFonts w:ascii="Arial" w:hAnsi="Arial"/>
          <w:i/>
          <w:spacing w:val="-2"/>
          <w:sz w:val="20"/>
        </w:rPr>
        <w:t> </w:t>
      </w:r>
      <w:r>
        <w:rPr>
          <w:rFonts w:ascii="Arial" w:hAnsi="Arial"/>
          <w:i/>
          <w:sz w:val="20"/>
        </w:rPr>
        <w:t>48,</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316</w:t>
      </w:r>
      <w:r>
        <w:rPr>
          <w:sz w:val="20"/>
        </w:rPr>
        <w:t>;</w:t>
      </w:r>
      <w:r>
        <w:rPr>
          <w:spacing w:val="-2"/>
          <w:sz w:val="20"/>
        </w:rPr>
        <w:t> </w:t>
      </w:r>
      <w:r>
        <w:rPr>
          <w:rFonts w:ascii="Arial" w:hAnsi="Arial"/>
          <w:i/>
          <w:sz w:val="20"/>
        </w:rPr>
        <w:t>Duarte</w:t>
      </w:r>
      <w:r>
        <w:rPr>
          <w:rFonts w:ascii="Arial" w:hAnsi="Arial"/>
          <w:i/>
          <w:spacing w:val="-2"/>
          <w:sz w:val="20"/>
        </w:rPr>
        <w:t> </w:t>
      </w:r>
      <w:r>
        <w:rPr>
          <w:rFonts w:ascii="Arial" w:hAnsi="Arial"/>
          <w:i/>
          <w:sz w:val="20"/>
        </w:rPr>
        <w:t>v Black</w:t>
      </w:r>
      <w:r>
        <w:rPr>
          <w:rFonts w:ascii="Arial" w:hAnsi="Arial"/>
          <w:i/>
          <w:spacing w:val="49"/>
          <w:sz w:val="20"/>
        </w:rPr>
        <w:t> </w:t>
      </w:r>
      <w:r>
        <w:rPr>
          <w:rFonts w:ascii="Arial" w:hAnsi="Arial"/>
          <w:i/>
          <w:sz w:val="20"/>
        </w:rPr>
        <w:t>&amp;</w:t>
      </w:r>
      <w:r>
        <w:rPr>
          <w:rFonts w:ascii="Arial" w:hAnsi="Arial"/>
          <w:i/>
          <w:spacing w:val="50"/>
          <w:sz w:val="20"/>
        </w:rPr>
        <w:t> </w:t>
      </w:r>
      <w:r>
        <w:rPr>
          <w:rFonts w:ascii="Arial" w:hAnsi="Arial"/>
          <w:i/>
          <w:sz w:val="20"/>
        </w:rPr>
        <w:t>Decker</w:t>
      </w:r>
      <w:r>
        <w:rPr>
          <w:rFonts w:ascii="Arial" w:hAnsi="Arial"/>
          <w:i/>
          <w:spacing w:val="50"/>
          <w:sz w:val="20"/>
        </w:rPr>
        <w:t> </w:t>
      </w:r>
      <w:r>
        <w:rPr>
          <w:rFonts w:ascii="Arial" w:hAnsi="Arial"/>
          <w:i/>
          <w:sz w:val="20"/>
        </w:rPr>
        <w:t>Corp</w:t>
      </w:r>
      <w:r>
        <w:rPr>
          <w:rFonts w:ascii="Arial" w:hAnsi="Arial"/>
          <w:i/>
          <w:spacing w:val="50"/>
          <w:sz w:val="20"/>
        </w:rPr>
        <w:t> </w:t>
      </w:r>
      <w:r>
        <w:rPr>
          <w:rFonts w:ascii="Arial" w:hAnsi="Arial"/>
          <w:i/>
          <w:sz w:val="20"/>
        </w:rPr>
        <w:t>[2007]</w:t>
      </w:r>
      <w:r>
        <w:rPr>
          <w:rFonts w:ascii="Arial" w:hAnsi="Arial"/>
          <w:i/>
          <w:spacing w:val="50"/>
          <w:sz w:val="20"/>
        </w:rPr>
        <w:t> </w:t>
      </w:r>
      <w:r>
        <w:rPr>
          <w:rFonts w:ascii="Arial" w:hAnsi="Arial"/>
          <w:i/>
          <w:sz w:val="20"/>
        </w:rPr>
        <w:t>EWHC</w:t>
      </w:r>
      <w:r>
        <w:rPr>
          <w:rFonts w:ascii="Arial" w:hAnsi="Arial"/>
          <w:i/>
          <w:spacing w:val="50"/>
          <w:sz w:val="20"/>
        </w:rPr>
        <w:t> </w:t>
      </w:r>
      <w:r>
        <w:rPr>
          <w:rFonts w:ascii="Arial" w:hAnsi="Arial"/>
          <w:i/>
          <w:sz w:val="20"/>
        </w:rPr>
        <w:t>2720</w:t>
      </w:r>
      <w:r>
        <w:rPr>
          <w:rFonts w:ascii="Arial" w:hAnsi="Arial"/>
          <w:i/>
          <w:spacing w:val="50"/>
          <w:sz w:val="20"/>
        </w:rPr>
        <w:t> </w:t>
      </w:r>
      <w:r>
        <w:rPr>
          <w:rFonts w:ascii="Arial" w:hAnsi="Arial"/>
          <w:i/>
          <w:sz w:val="20"/>
        </w:rPr>
        <w:t>(QB)</w:t>
      </w:r>
      <w:r>
        <w:rPr>
          <w:sz w:val="20"/>
        </w:rPr>
        <w:t>.</w:t>
      </w:r>
      <w:r>
        <w:rPr>
          <w:spacing w:val="50"/>
          <w:sz w:val="20"/>
        </w:rPr>
        <w:t> </w:t>
      </w:r>
      <w:r>
        <w:rPr>
          <w:sz w:val="20"/>
        </w:rPr>
        <w:t>cf.</w:t>
      </w:r>
      <w:r>
        <w:rPr>
          <w:spacing w:val="50"/>
          <w:sz w:val="20"/>
        </w:rPr>
        <w:t> </w:t>
      </w:r>
      <w:r>
        <w:rPr>
          <w:rFonts w:ascii="Arial" w:hAnsi="Arial"/>
          <w:i/>
          <w:sz w:val="20"/>
        </w:rPr>
        <w:t>Boissevain</w:t>
      </w:r>
      <w:r>
        <w:rPr>
          <w:rFonts w:ascii="Arial" w:hAnsi="Arial"/>
          <w:i/>
          <w:spacing w:val="50"/>
          <w:sz w:val="20"/>
        </w:rPr>
        <w:t> </w:t>
      </w:r>
      <w:r>
        <w:rPr>
          <w:rFonts w:ascii="Arial" w:hAnsi="Arial"/>
          <w:i/>
          <w:sz w:val="20"/>
        </w:rPr>
        <w:t>v</w:t>
      </w:r>
      <w:r>
        <w:rPr>
          <w:rFonts w:ascii="Arial" w:hAnsi="Arial"/>
          <w:i/>
          <w:spacing w:val="50"/>
          <w:sz w:val="20"/>
        </w:rPr>
        <w:t> </w:t>
      </w:r>
      <w:r>
        <w:rPr>
          <w:rFonts w:ascii="Arial" w:hAnsi="Arial"/>
          <w:i/>
          <w:sz w:val="20"/>
        </w:rPr>
        <w:t>Weil</w:t>
      </w:r>
      <w:r>
        <w:rPr>
          <w:rFonts w:ascii="Arial" w:hAnsi="Arial"/>
          <w:i/>
          <w:spacing w:val="50"/>
          <w:sz w:val="20"/>
        </w:rPr>
        <w:t> </w:t>
      </w:r>
      <w:r>
        <w:rPr>
          <w:rFonts w:ascii="Arial" w:hAnsi="Arial"/>
          <w:i/>
          <w:sz w:val="20"/>
        </w:rPr>
        <w:t>[1949]</w:t>
      </w:r>
      <w:r>
        <w:rPr>
          <w:rFonts w:ascii="Arial" w:hAnsi="Arial"/>
          <w:i/>
          <w:spacing w:val="50"/>
          <w:sz w:val="20"/>
        </w:rPr>
        <w:t> </w:t>
      </w:r>
      <w:r>
        <w:rPr>
          <w:rFonts w:ascii="Arial" w:hAnsi="Arial"/>
          <w:i/>
          <w:sz w:val="20"/>
        </w:rPr>
        <w:t>1</w:t>
      </w:r>
      <w:r>
        <w:rPr>
          <w:rFonts w:ascii="Arial" w:hAnsi="Arial"/>
          <w:i/>
          <w:spacing w:val="50"/>
          <w:sz w:val="20"/>
        </w:rPr>
        <w:t> </w:t>
      </w:r>
      <w:r>
        <w:rPr>
          <w:rFonts w:ascii="Arial" w:hAnsi="Arial"/>
          <w:i/>
          <w:sz w:val="20"/>
        </w:rPr>
        <w:t>K.B.</w:t>
      </w:r>
      <w:r>
        <w:rPr>
          <w:rFonts w:ascii="Arial" w:hAnsi="Arial"/>
          <w:i/>
          <w:spacing w:val="50"/>
          <w:sz w:val="20"/>
        </w:rPr>
        <w:t> </w:t>
      </w:r>
      <w:r>
        <w:rPr>
          <w:rFonts w:ascii="Arial" w:hAnsi="Arial"/>
          <w:i/>
          <w:spacing w:val="-4"/>
          <w:sz w:val="20"/>
        </w:rPr>
        <w:t>482</w:t>
      </w:r>
      <w:r>
        <w:rPr>
          <w:spacing w:val="-4"/>
          <w:sz w:val="20"/>
        </w:rPr>
        <w:t>;</w:t>
      </w:r>
    </w:p>
    <w:p>
      <w:pPr>
        <w:spacing w:line="222" w:lineRule="exact" w:before="0"/>
        <w:ind w:left="705" w:right="0" w:firstLine="0"/>
        <w:jc w:val="both"/>
        <w:rPr>
          <w:rFonts w:ascii="Arial"/>
          <w:i/>
          <w:sz w:val="20"/>
        </w:rPr>
      </w:pPr>
      <w:r>
        <w:rPr>
          <w:rFonts w:ascii="Arial"/>
          <w:i/>
          <w:sz w:val="20"/>
        </w:rPr>
        <w:t>Corocraft</w:t>
      </w:r>
      <w:r>
        <w:rPr>
          <w:rFonts w:ascii="Arial"/>
          <w:i/>
          <w:spacing w:val="20"/>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Pan</w:t>
      </w:r>
      <w:r>
        <w:rPr>
          <w:rFonts w:ascii="Arial"/>
          <w:i/>
          <w:spacing w:val="23"/>
          <w:sz w:val="20"/>
        </w:rPr>
        <w:t> </w:t>
      </w:r>
      <w:r>
        <w:rPr>
          <w:rFonts w:ascii="Arial"/>
          <w:i/>
          <w:sz w:val="20"/>
        </w:rPr>
        <w:t>American</w:t>
      </w:r>
      <w:r>
        <w:rPr>
          <w:rFonts w:ascii="Arial"/>
          <w:i/>
          <w:spacing w:val="23"/>
          <w:sz w:val="20"/>
        </w:rPr>
        <w:t> </w:t>
      </w:r>
      <w:r>
        <w:rPr>
          <w:rFonts w:ascii="Arial"/>
          <w:i/>
          <w:sz w:val="20"/>
        </w:rPr>
        <w:t>Airways</w:t>
      </w:r>
      <w:r>
        <w:rPr>
          <w:rFonts w:ascii="Arial"/>
          <w:i/>
          <w:spacing w:val="23"/>
          <w:sz w:val="20"/>
        </w:rPr>
        <w:t> </w:t>
      </w:r>
      <w:r>
        <w:rPr>
          <w:rFonts w:ascii="Arial"/>
          <w:i/>
          <w:sz w:val="20"/>
        </w:rPr>
        <w:t>Inc</w:t>
      </w:r>
      <w:r>
        <w:rPr>
          <w:rFonts w:ascii="Arial"/>
          <w:i/>
          <w:spacing w:val="23"/>
          <w:sz w:val="20"/>
        </w:rPr>
        <w:t> </w:t>
      </w:r>
      <w:r>
        <w:rPr>
          <w:rFonts w:ascii="Arial"/>
          <w:i/>
          <w:sz w:val="20"/>
        </w:rPr>
        <w:t>[1969]</w:t>
      </w:r>
      <w:r>
        <w:rPr>
          <w:rFonts w:ascii="Arial"/>
          <w:i/>
          <w:spacing w:val="23"/>
          <w:sz w:val="20"/>
        </w:rPr>
        <w:t> </w:t>
      </w:r>
      <w:r>
        <w:rPr>
          <w:rFonts w:ascii="Arial"/>
          <w:i/>
          <w:sz w:val="20"/>
        </w:rPr>
        <w:t>1</w:t>
      </w:r>
      <w:r>
        <w:rPr>
          <w:rFonts w:ascii="Arial"/>
          <w:i/>
          <w:spacing w:val="23"/>
          <w:sz w:val="20"/>
        </w:rPr>
        <w:t> </w:t>
      </w:r>
      <w:r>
        <w:rPr>
          <w:rFonts w:ascii="Arial"/>
          <w:i/>
          <w:sz w:val="20"/>
        </w:rPr>
        <w:t>Q.B.</w:t>
      </w:r>
      <w:r>
        <w:rPr>
          <w:rFonts w:ascii="Arial"/>
          <w:i/>
          <w:spacing w:val="23"/>
          <w:sz w:val="20"/>
        </w:rPr>
        <w:t> </w:t>
      </w:r>
      <w:r>
        <w:rPr>
          <w:rFonts w:ascii="Arial"/>
          <w:i/>
          <w:sz w:val="20"/>
        </w:rPr>
        <w:t>616</w:t>
      </w:r>
      <w:r>
        <w:rPr>
          <w:sz w:val="20"/>
        </w:rPr>
        <w:t>;</w:t>
      </w:r>
      <w:r>
        <w:rPr>
          <w:spacing w:val="23"/>
          <w:sz w:val="20"/>
        </w:rPr>
        <w:t> </w:t>
      </w:r>
      <w:r>
        <w:rPr>
          <w:rFonts w:ascii="Arial"/>
          <w:i/>
          <w:sz w:val="20"/>
        </w:rPr>
        <w:t>The</w:t>
      </w:r>
      <w:r>
        <w:rPr>
          <w:rFonts w:ascii="Arial"/>
          <w:i/>
          <w:spacing w:val="23"/>
          <w:sz w:val="20"/>
        </w:rPr>
        <w:t> </w:t>
      </w:r>
      <w:r>
        <w:rPr>
          <w:rFonts w:ascii="Arial"/>
          <w:i/>
          <w:sz w:val="20"/>
        </w:rPr>
        <w:t>Hollandia</w:t>
      </w:r>
      <w:r>
        <w:rPr>
          <w:rFonts w:ascii="Arial"/>
          <w:i/>
          <w:spacing w:val="23"/>
          <w:sz w:val="20"/>
        </w:rPr>
        <w:t> </w:t>
      </w:r>
      <w:r>
        <w:rPr>
          <w:rFonts w:ascii="Arial"/>
          <w:i/>
          <w:sz w:val="20"/>
        </w:rPr>
        <w:t>[1982]</w:t>
      </w:r>
      <w:r>
        <w:rPr>
          <w:rFonts w:ascii="Arial"/>
          <w:i/>
          <w:spacing w:val="23"/>
          <w:sz w:val="20"/>
        </w:rPr>
        <w:t> </w:t>
      </w:r>
      <w:r>
        <w:rPr>
          <w:rFonts w:ascii="Arial"/>
          <w:i/>
          <w:sz w:val="20"/>
        </w:rPr>
        <w:t>Q.B.</w:t>
      </w:r>
      <w:r>
        <w:rPr>
          <w:rFonts w:ascii="Arial"/>
          <w:i/>
          <w:spacing w:val="23"/>
          <w:sz w:val="20"/>
        </w:rPr>
        <w:t> </w:t>
      </w:r>
      <w:r>
        <w:rPr>
          <w:rFonts w:ascii="Arial"/>
          <w:i/>
          <w:spacing w:val="-5"/>
          <w:sz w:val="20"/>
        </w:rPr>
        <w:t>872</w:t>
      </w:r>
    </w:p>
    <w:p>
      <w:pPr>
        <w:spacing w:line="235" w:lineRule="auto" w:before="2"/>
        <w:ind w:left="705" w:right="168" w:firstLine="0"/>
        <w:jc w:val="both"/>
        <w:rPr>
          <w:sz w:val="20"/>
        </w:rPr>
      </w:pPr>
      <w:r>
        <w:rPr>
          <w:rFonts w:ascii="Arial" w:hAnsi="Arial"/>
          <w:i/>
          <w:sz w:val="20"/>
        </w:rPr>
        <w:t>(affirmed [1983] 1 A.C. 565)</w:t>
      </w:r>
      <w:r>
        <w:rPr>
          <w:sz w:val="20"/>
        </w:rPr>
        <w:t>; </w:t>
      </w:r>
      <w:r>
        <w:rPr>
          <w:rFonts w:ascii="Arial" w:hAnsi="Arial"/>
          <w:i/>
          <w:sz w:val="20"/>
        </w:rPr>
        <w:t>English v Donnelly (1958) S.C. 494</w:t>
      </w:r>
      <w:r>
        <w:rPr>
          <w:sz w:val="20"/>
        </w:rPr>
        <w:t>, not followed in </w:t>
      </w:r>
      <w:r>
        <w:rPr>
          <w:rFonts w:ascii="Arial" w:hAnsi="Arial"/>
          <w:i/>
          <w:sz w:val="20"/>
        </w:rPr>
        <w:t>Hong Kong Shanghai (Shipping) Ltd v The Cavalry [1987] H.K.L.R. 287</w:t>
      </w:r>
      <w:r>
        <w:rPr>
          <w:sz w:val="20"/>
        </w:rPr>
        <w:t>; </w:t>
      </w:r>
      <w:r>
        <w:rPr>
          <w:rFonts w:ascii="Arial" w:hAnsi="Arial"/>
          <w:i/>
          <w:sz w:val="20"/>
        </w:rPr>
        <w:t>Chiron Corp v Organon </w:t>
      </w:r>
      <w:r>
        <w:rPr>
          <w:rFonts w:ascii="Arial" w:hAnsi="Arial"/>
          <w:i/>
          <w:sz w:val="20"/>
        </w:rPr>
        <w:t>Teknika (No.2)</w:t>
      </w:r>
      <w:r>
        <w:rPr>
          <w:rFonts w:ascii="Arial" w:hAnsi="Arial"/>
          <w:i/>
          <w:spacing w:val="40"/>
          <w:sz w:val="20"/>
        </w:rPr>
        <w:t> </w:t>
      </w:r>
      <w:r>
        <w:rPr>
          <w:rFonts w:ascii="Arial" w:hAnsi="Arial"/>
          <w:i/>
          <w:sz w:val="20"/>
        </w:rPr>
        <w:t>[1993]</w:t>
      </w:r>
      <w:r>
        <w:rPr>
          <w:rFonts w:ascii="Arial" w:hAnsi="Arial"/>
          <w:i/>
          <w:spacing w:val="40"/>
          <w:sz w:val="20"/>
        </w:rPr>
        <w:t> </w:t>
      </w:r>
      <w:r>
        <w:rPr>
          <w:rFonts w:ascii="Arial" w:hAnsi="Arial"/>
          <w:i/>
          <w:sz w:val="20"/>
        </w:rPr>
        <w:t>F.S.R.</w:t>
      </w:r>
      <w:r>
        <w:rPr>
          <w:rFonts w:ascii="Arial" w:hAnsi="Arial"/>
          <w:i/>
          <w:spacing w:val="40"/>
          <w:sz w:val="20"/>
        </w:rPr>
        <w:t> </w:t>
      </w:r>
      <w:r>
        <w:rPr>
          <w:rFonts w:ascii="Arial" w:hAnsi="Arial"/>
          <w:i/>
          <w:sz w:val="20"/>
        </w:rPr>
        <w:t>567</w:t>
      </w:r>
      <w:r>
        <w:rPr>
          <w:sz w:val="20"/>
        </w:rPr>
        <w:t>;</w:t>
      </w:r>
      <w:r>
        <w:rPr>
          <w:spacing w:val="40"/>
          <w:sz w:val="20"/>
        </w:rPr>
        <w:t> </w:t>
      </w:r>
      <w:r>
        <w:rPr>
          <w:rFonts w:ascii="Arial" w:hAnsi="Arial"/>
          <w:i/>
          <w:sz w:val="20"/>
        </w:rPr>
        <w:t>Kaye’s</w:t>
      </w:r>
      <w:r>
        <w:rPr>
          <w:rFonts w:ascii="Arial" w:hAnsi="Arial"/>
          <w:i/>
          <w:spacing w:val="40"/>
          <w:sz w:val="20"/>
        </w:rPr>
        <w:t> </w:t>
      </w:r>
      <w:r>
        <w:rPr>
          <w:rFonts w:ascii="Arial" w:hAnsi="Arial"/>
          <w:i/>
          <w:sz w:val="20"/>
        </w:rPr>
        <w:t>Leasing</w:t>
      </w:r>
      <w:r>
        <w:rPr>
          <w:rFonts w:ascii="Arial" w:hAnsi="Arial"/>
          <w:i/>
          <w:spacing w:val="40"/>
          <w:sz w:val="20"/>
        </w:rPr>
        <w:t> </w:t>
      </w:r>
      <w:r>
        <w:rPr>
          <w:rFonts w:ascii="Arial" w:hAnsi="Arial"/>
          <w:i/>
          <w:sz w:val="20"/>
        </w:rPr>
        <w:t>Corp</w:t>
      </w:r>
      <w:r>
        <w:rPr>
          <w:rFonts w:ascii="Arial" w:hAnsi="Arial"/>
          <w:i/>
          <w:spacing w:val="40"/>
          <w:sz w:val="20"/>
        </w:rPr>
        <w:t> </w:t>
      </w:r>
      <w:r>
        <w:rPr>
          <w:rFonts w:ascii="Arial" w:hAnsi="Arial"/>
          <w:i/>
          <w:sz w:val="20"/>
        </w:rPr>
        <w:t>Pty</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Fletcher</w:t>
      </w:r>
      <w:r>
        <w:rPr>
          <w:rFonts w:ascii="Arial" w:hAnsi="Arial"/>
          <w:i/>
          <w:spacing w:val="40"/>
          <w:sz w:val="20"/>
        </w:rPr>
        <w:t> </w:t>
      </w:r>
      <w:r>
        <w:rPr>
          <w:rFonts w:ascii="Arial" w:hAnsi="Arial"/>
          <w:i/>
          <w:sz w:val="20"/>
        </w:rPr>
        <w:t>(1964)</w:t>
      </w:r>
      <w:r>
        <w:rPr>
          <w:rFonts w:ascii="Arial" w:hAnsi="Arial"/>
          <w:i/>
          <w:spacing w:val="40"/>
          <w:sz w:val="20"/>
        </w:rPr>
        <w:t> </w:t>
      </w:r>
      <w:r>
        <w:rPr>
          <w:rFonts w:ascii="Arial" w:hAnsi="Arial"/>
          <w:i/>
          <w:sz w:val="20"/>
        </w:rPr>
        <w:t>116</w:t>
      </w:r>
      <w:r>
        <w:rPr>
          <w:rFonts w:ascii="Arial" w:hAnsi="Arial"/>
          <w:i/>
          <w:spacing w:val="40"/>
          <w:sz w:val="20"/>
        </w:rPr>
        <w:t> </w:t>
      </w:r>
      <w:r>
        <w:rPr>
          <w:rFonts w:ascii="Arial" w:hAnsi="Arial"/>
          <w:i/>
          <w:sz w:val="20"/>
        </w:rPr>
        <w:t>C.L.R.</w:t>
      </w:r>
      <w:r>
        <w:rPr>
          <w:rFonts w:ascii="Arial" w:hAnsi="Arial"/>
          <w:i/>
          <w:spacing w:val="40"/>
          <w:sz w:val="20"/>
        </w:rPr>
        <w:t> </w:t>
      </w:r>
      <w:r>
        <w:rPr>
          <w:rFonts w:ascii="Arial" w:hAnsi="Arial"/>
          <w:i/>
          <w:sz w:val="20"/>
        </w:rPr>
        <w:t>124</w:t>
      </w:r>
      <w:r>
        <w:rPr>
          <w:sz w:val="20"/>
        </w:rPr>
        <w:t>; </w:t>
      </w:r>
      <w:r>
        <w:rPr>
          <w:rFonts w:ascii="Arial" w:hAnsi="Arial"/>
          <w:i/>
          <w:sz w:val="20"/>
        </w:rPr>
        <w:t>Att-Gen’s Reference No.1 of 1987 (1987) 47 SAS.R. 152</w:t>
      </w:r>
      <w:r>
        <w:rPr>
          <w:sz w:val="20"/>
        </w:rPr>
        <w:t>; </w:t>
      </w:r>
      <w:r>
        <w:rPr>
          <w:rFonts w:ascii="Arial" w:hAnsi="Arial"/>
          <w:i/>
          <w:sz w:val="20"/>
        </w:rPr>
        <w:t>DR Insurance Co v Central National Insurance Co [1996] 1 Lloyd’s Rep. 74</w:t>
      </w:r>
      <w:r>
        <w:rPr>
          <w:sz w:val="20"/>
        </w:rPr>
        <w:t>. See also </w:t>
      </w:r>
      <w:r>
        <w:rPr>
          <w:rFonts w:ascii="Arial" w:hAnsi="Arial"/>
          <w:i/>
          <w:sz w:val="20"/>
        </w:rPr>
        <w:t>Akai Pty Ltd v The People’s Insurance Co Ltd (1996) 188 C.L.R. 418</w:t>
      </w:r>
      <w:r>
        <w:rPr>
          <w:sz w:val="20"/>
        </w:rPr>
        <w:t>; cf. </w:t>
      </w:r>
      <w:r>
        <w:rPr>
          <w:rFonts w:ascii="Arial" w:hAnsi="Arial"/>
          <w:i/>
          <w:sz w:val="20"/>
        </w:rPr>
        <w:t>Akai Pty Ltd v People’s Insurance Co Ltd [1998] 1 Lloyd’s Rep. 80</w:t>
      </w:r>
      <w:r>
        <w:rPr>
          <w:sz w:val="20"/>
        </w:rPr>
        <w:t>. And</w:t>
      </w:r>
      <w:r>
        <w:rPr>
          <w:spacing w:val="40"/>
          <w:sz w:val="20"/>
        </w:rPr>
        <w:t> </w:t>
      </w:r>
      <w:r>
        <w:rPr>
          <w:sz w:val="20"/>
        </w:rPr>
        <w:t>see</w:t>
      </w:r>
      <w:r>
        <w:rPr>
          <w:spacing w:val="40"/>
          <w:sz w:val="20"/>
        </w:rPr>
        <w:t> </w:t>
      </w:r>
      <w:r>
        <w:rPr>
          <w:rFonts w:ascii="Arial" w:hAnsi="Arial"/>
          <w:i/>
          <w:sz w:val="20"/>
        </w:rPr>
        <w:t>Duncan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Motherwell</w:t>
      </w:r>
      <w:r>
        <w:rPr>
          <w:rFonts w:ascii="Arial" w:hAnsi="Arial"/>
          <w:i/>
          <w:spacing w:val="40"/>
          <w:sz w:val="20"/>
        </w:rPr>
        <w:t> </w:t>
      </w:r>
      <w:r>
        <w:rPr>
          <w:rFonts w:ascii="Arial" w:hAnsi="Arial"/>
          <w:i/>
          <w:sz w:val="20"/>
        </w:rPr>
        <w:t>Bridge</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Engineering</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(1952)</w:t>
      </w:r>
      <w:r>
        <w:rPr>
          <w:rFonts w:ascii="Arial" w:hAnsi="Arial"/>
          <w:i/>
          <w:spacing w:val="40"/>
          <w:sz w:val="20"/>
        </w:rPr>
        <w:t> </w:t>
      </w:r>
      <w:r>
        <w:rPr>
          <w:rFonts w:ascii="Arial" w:hAnsi="Arial"/>
          <w:i/>
          <w:sz w:val="20"/>
        </w:rPr>
        <w:t>S.C.</w:t>
      </w:r>
      <w:r>
        <w:rPr>
          <w:rFonts w:ascii="Arial" w:hAnsi="Arial"/>
          <w:i/>
          <w:spacing w:val="40"/>
          <w:sz w:val="20"/>
        </w:rPr>
        <w:t> </w:t>
      </w:r>
      <w:r>
        <w:rPr>
          <w:rFonts w:ascii="Arial" w:hAnsi="Arial"/>
          <w:i/>
          <w:sz w:val="20"/>
        </w:rPr>
        <w:t>131</w:t>
      </w:r>
      <w:r>
        <w:rPr>
          <w:sz w:val="20"/>
        </w:rPr>
        <w:t>,</w:t>
      </w:r>
      <w:r>
        <w:rPr>
          <w:spacing w:val="40"/>
          <w:sz w:val="20"/>
        </w:rPr>
        <w:t> </w:t>
      </w:r>
      <w:r>
        <w:rPr>
          <w:sz w:val="20"/>
        </w:rPr>
        <w:t>below, </w:t>
      </w:r>
      <w:r>
        <w:rPr>
          <w:spacing w:val="-2"/>
          <w:sz w:val="20"/>
        </w:rPr>
        <w:t>para.30-102.</w:t>
      </w:r>
    </w:p>
    <w:p>
      <w:pPr>
        <w:pStyle w:val="BodyText"/>
        <w:spacing w:before="6"/>
      </w:pPr>
    </w:p>
    <w:p>
      <w:pPr>
        <w:pStyle w:val="BodyText"/>
        <w:tabs>
          <w:tab w:pos="705" w:val="left" w:leader="none"/>
        </w:tabs>
        <w:spacing w:line="235" w:lineRule="auto" w:before="1"/>
        <w:ind w:left="705" w:right="168" w:hanging="541"/>
      </w:pPr>
      <w:bookmarkStart w:name="_bookmark619" w:id="621"/>
      <w:bookmarkEnd w:id="621"/>
      <w:r>
        <w:rPr/>
      </w:r>
      <w:hyperlink w:history="true" w:anchor="_bookmark507">
        <w:r>
          <w:rPr>
            <w:color w:val="005DA1"/>
            <w:spacing w:val="-4"/>
            <w:position w:val="5"/>
            <w:sz w:val="14"/>
            <w:u w:val="single" w:color="005DA1"/>
          </w:rPr>
          <w:t>325</w:t>
        </w:r>
      </w:hyperlink>
      <w:r>
        <w:rPr>
          <w:spacing w:val="-4"/>
          <w:position w:val="5"/>
          <w:sz w:val="14"/>
        </w:rPr>
        <w:t>.</w:t>
      </w:r>
      <w:r>
        <w:rPr>
          <w:position w:val="5"/>
          <w:sz w:val="14"/>
        </w:rPr>
        <w:tab/>
      </w:r>
      <w:r>
        <w:rPr/>
        <w:t>Dicey, Morris and Collins, paras 32-230—32-241; Cheshire, North and Fawcett, </w:t>
      </w:r>
      <w:r>
        <w:rPr/>
        <w:t>pp.741–743;</w:t>
      </w:r>
      <w:r>
        <w:rPr>
          <w:spacing w:val="40"/>
        </w:rPr>
        <w:t> </w:t>
      </w:r>
      <w:r>
        <w:rPr/>
        <w:t>Kaye, pp.345–350.</w:t>
      </w:r>
    </w:p>
    <w:p>
      <w:pPr>
        <w:pStyle w:val="BodyText"/>
        <w:spacing w:before="5"/>
      </w:pPr>
    </w:p>
    <w:p>
      <w:pPr>
        <w:tabs>
          <w:tab w:pos="705" w:val="left" w:leader="none"/>
        </w:tabs>
        <w:spacing w:before="0"/>
        <w:ind w:left="165" w:right="0" w:firstLine="0"/>
        <w:jc w:val="left"/>
        <w:rPr>
          <w:sz w:val="20"/>
        </w:rPr>
      </w:pPr>
      <w:bookmarkStart w:name="_bookmark620" w:id="622"/>
      <w:bookmarkEnd w:id="622"/>
      <w:r>
        <w:rPr/>
      </w:r>
      <w:hyperlink w:history="true" w:anchor="_bookmark508">
        <w:r>
          <w:rPr>
            <w:color w:val="005DA1"/>
            <w:spacing w:val="-4"/>
            <w:position w:val="5"/>
            <w:sz w:val="14"/>
            <w:u w:val="single" w:color="005DA1"/>
          </w:rPr>
          <w:t>326</w:t>
        </w:r>
      </w:hyperlink>
      <w:r>
        <w:rPr>
          <w:spacing w:val="-4"/>
          <w:position w:val="5"/>
          <w:sz w:val="14"/>
        </w:rPr>
        <w:t>.</w:t>
      </w:r>
      <w:r>
        <w:rPr>
          <w:position w:val="5"/>
          <w:sz w:val="14"/>
        </w:rPr>
        <w:tab/>
      </w:r>
      <w:r>
        <w:rPr>
          <w:sz w:val="20"/>
        </w:rPr>
        <w:t>See</w:t>
      </w:r>
      <w:r>
        <w:rPr>
          <w:spacing w:val="-3"/>
          <w:sz w:val="20"/>
        </w:rPr>
        <w:t> </w:t>
      </w:r>
      <w:r>
        <w:rPr>
          <w:rFonts w:ascii="Arial"/>
          <w:i/>
          <w:sz w:val="20"/>
        </w:rPr>
        <w:t>Duarte v Black &amp; Decker Corp [2007] EWHC 2720 </w:t>
      </w:r>
      <w:r>
        <w:rPr>
          <w:rFonts w:ascii="Arial"/>
          <w:i/>
          <w:spacing w:val="-2"/>
          <w:sz w:val="20"/>
        </w:rPr>
        <w:t>(QB)</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621" w:id="623"/>
      <w:bookmarkEnd w:id="623"/>
      <w:r>
        <w:rPr/>
      </w:r>
      <w:hyperlink w:history="true" w:anchor="_bookmark509">
        <w:r>
          <w:rPr>
            <w:color w:val="005DA1"/>
            <w:spacing w:val="-4"/>
            <w:position w:val="5"/>
            <w:sz w:val="14"/>
            <w:u w:val="single" w:color="005DA1"/>
          </w:rPr>
          <w:t>327</w:t>
        </w:r>
      </w:hyperlink>
      <w:r>
        <w:rPr>
          <w:spacing w:val="-4"/>
          <w:position w:val="5"/>
          <w:sz w:val="14"/>
        </w:rPr>
        <w:t>.</w:t>
      </w:r>
      <w:r>
        <w:rPr>
          <w:position w:val="5"/>
          <w:sz w:val="14"/>
        </w:rPr>
        <w:tab/>
      </w:r>
      <w:r>
        <w:rPr>
          <w:rFonts w:ascii="Arial"/>
          <w:i/>
          <w:sz w:val="20"/>
        </w:rPr>
        <w:t>Duarte</w:t>
      </w:r>
      <w:r>
        <w:rPr>
          <w:rFonts w:ascii="Arial"/>
          <w:i/>
          <w:spacing w:val="-1"/>
          <w:sz w:val="20"/>
        </w:rPr>
        <w:t> </w:t>
      </w:r>
      <w:r>
        <w:rPr>
          <w:rFonts w:ascii="Arial"/>
          <w:i/>
          <w:sz w:val="20"/>
        </w:rPr>
        <w:t>v Black &amp; Decker Corp [2007] EWHC 2720 (QB)</w:t>
      </w:r>
      <w:r>
        <w:rPr>
          <w:sz w:val="20"/>
        </w:rPr>
        <w:t>; Giuliano-Lagarde Report, </w:t>
      </w:r>
      <w:r>
        <w:rPr>
          <w:spacing w:val="-2"/>
          <w:sz w:val="20"/>
        </w:rPr>
        <w:t>p.38.</w:t>
      </w:r>
    </w:p>
    <w:p>
      <w:pPr>
        <w:pStyle w:val="BodyText"/>
        <w:spacing w:before="5"/>
      </w:pPr>
    </w:p>
    <w:p>
      <w:pPr>
        <w:pStyle w:val="BodyText"/>
        <w:tabs>
          <w:tab w:pos="705" w:val="left" w:leader="none"/>
        </w:tabs>
        <w:ind w:left="165"/>
      </w:pPr>
      <w:bookmarkStart w:name="_bookmark622" w:id="624"/>
      <w:bookmarkEnd w:id="624"/>
      <w:r>
        <w:rPr/>
      </w:r>
      <w:hyperlink w:history="true" w:anchor="_bookmark510">
        <w:r>
          <w:rPr>
            <w:color w:val="005DA1"/>
            <w:spacing w:val="-4"/>
            <w:position w:val="5"/>
            <w:sz w:val="14"/>
            <w:u w:val="single" w:color="005DA1"/>
          </w:rPr>
          <w:t>328</w:t>
        </w:r>
      </w:hyperlink>
      <w:r>
        <w:rPr>
          <w:spacing w:val="-4"/>
          <w:position w:val="5"/>
          <w:sz w:val="14"/>
        </w:rPr>
        <w:t>.</w:t>
      </w:r>
      <w:r>
        <w:rPr>
          <w:position w:val="5"/>
          <w:sz w:val="14"/>
        </w:rPr>
        <w:tab/>
      </w:r>
      <w:r>
        <w:rPr/>
        <w:t>Giuliano-Lagarde Report, </w:t>
      </w:r>
      <w:r>
        <w:rPr>
          <w:spacing w:val="-2"/>
        </w:rPr>
        <w:t>p.38.</w:t>
      </w:r>
    </w:p>
    <w:p>
      <w:pPr>
        <w:pStyle w:val="BodyText"/>
        <w:spacing w:before="9"/>
      </w:pPr>
    </w:p>
    <w:p>
      <w:pPr>
        <w:spacing w:line="235" w:lineRule="auto" w:before="0"/>
        <w:ind w:left="705" w:right="168" w:hanging="541"/>
        <w:jc w:val="both"/>
        <w:rPr>
          <w:sz w:val="20"/>
        </w:rPr>
      </w:pPr>
      <w:bookmarkStart w:name="_bookmark623" w:id="625"/>
      <w:bookmarkEnd w:id="625"/>
      <w:r>
        <w:rPr/>
      </w:r>
      <w:hyperlink w:history="true" w:anchor="_bookmark510">
        <w:r>
          <w:rPr>
            <w:color w:val="005DA1"/>
            <w:position w:val="5"/>
            <w:sz w:val="14"/>
            <w:u w:val="single" w:color="005DA1"/>
          </w:rPr>
          <w:t>329</w:t>
        </w:r>
      </w:hyperlink>
      <w:r>
        <w:rPr>
          <w:position w:val="5"/>
          <w:sz w:val="14"/>
        </w:rPr>
        <w:t>.</w:t>
      </w:r>
      <w:r>
        <w:rPr>
          <w:spacing w:val="80"/>
          <w:position w:val="5"/>
          <w:sz w:val="14"/>
        </w:rPr>
        <w:t>  </w:t>
      </w:r>
      <w:r>
        <w:rPr>
          <w:sz w:val="20"/>
        </w:rPr>
        <w:t>Giuliano-Lagarde</w:t>
      </w:r>
      <w:r>
        <w:rPr>
          <w:spacing w:val="34"/>
          <w:sz w:val="20"/>
        </w:rPr>
        <w:t> </w:t>
      </w:r>
      <w:r>
        <w:rPr>
          <w:sz w:val="20"/>
        </w:rPr>
        <w:t>Report,</w:t>
      </w:r>
      <w:r>
        <w:rPr>
          <w:spacing w:val="34"/>
          <w:sz w:val="20"/>
        </w:rPr>
        <w:t> </w:t>
      </w:r>
      <w:r>
        <w:rPr>
          <w:sz w:val="20"/>
        </w:rPr>
        <w:t>p.38.</w:t>
      </w:r>
      <w:r>
        <w:rPr>
          <w:spacing w:val="34"/>
          <w:sz w:val="20"/>
        </w:rPr>
        <w:t> </w:t>
      </w:r>
      <w:r>
        <w:rPr>
          <w:sz w:val="20"/>
        </w:rPr>
        <w:t>See</w:t>
      </w:r>
      <w:r>
        <w:rPr>
          <w:spacing w:val="34"/>
          <w:sz w:val="20"/>
        </w:rPr>
        <w:t> </w:t>
      </w:r>
      <w:r>
        <w:rPr>
          <w:sz w:val="20"/>
        </w:rPr>
        <w:t>also</w:t>
      </w:r>
      <w:r>
        <w:rPr>
          <w:spacing w:val="34"/>
          <w:sz w:val="20"/>
        </w:rPr>
        <w:t> </w:t>
      </w:r>
      <w:r>
        <w:rPr>
          <w:rFonts w:ascii="Arial" w:hAnsi="Arial"/>
          <w:i/>
          <w:sz w:val="20"/>
        </w:rPr>
        <w:t>Re</w:t>
      </w:r>
      <w:r>
        <w:rPr>
          <w:rFonts w:ascii="Arial" w:hAnsi="Arial"/>
          <w:i/>
          <w:spacing w:val="34"/>
          <w:sz w:val="20"/>
        </w:rPr>
        <w:t> </w:t>
      </w:r>
      <w:r>
        <w:rPr>
          <w:rFonts w:ascii="Arial" w:hAnsi="Arial"/>
          <w:i/>
          <w:sz w:val="20"/>
        </w:rPr>
        <w:t>COLT</w:t>
      </w:r>
      <w:r>
        <w:rPr>
          <w:rFonts w:ascii="Arial" w:hAnsi="Arial"/>
          <w:i/>
          <w:spacing w:val="34"/>
          <w:sz w:val="20"/>
        </w:rPr>
        <w:t> </w:t>
      </w:r>
      <w:r>
        <w:rPr>
          <w:rFonts w:ascii="Arial" w:hAnsi="Arial"/>
          <w:i/>
          <w:sz w:val="20"/>
        </w:rPr>
        <w:t>Telecom</w:t>
      </w:r>
      <w:r>
        <w:rPr>
          <w:rFonts w:ascii="Arial" w:hAnsi="Arial"/>
          <w:i/>
          <w:spacing w:val="34"/>
          <w:sz w:val="20"/>
        </w:rPr>
        <w:t> </w:t>
      </w:r>
      <w:r>
        <w:rPr>
          <w:rFonts w:ascii="Arial" w:hAnsi="Arial"/>
          <w:i/>
          <w:sz w:val="20"/>
        </w:rPr>
        <w:t>Group</w:t>
      </w:r>
      <w:r>
        <w:rPr>
          <w:rFonts w:ascii="Arial" w:hAnsi="Arial"/>
          <w:i/>
          <w:spacing w:val="34"/>
          <w:sz w:val="20"/>
        </w:rPr>
        <w:t> </w:t>
      </w:r>
      <w:r>
        <w:rPr>
          <w:rFonts w:ascii="Arial" w:hAnsi="Arial"/>
          <w:i/>
          <w:sz w:val="20"/>
        </w:rPr>
        <w:t>Plc</w:t>
      </w:r>
      <w:r>
        <w:rPr>
          <w:rFonts w:ascii="Arial" w:hAnsi="Arial"/>
          <w:i/>
          <w:spacing w:val="34"/>
          <w:sz w:val="20"/>
        </w:rPr>
        <w:t> </w:t>
      </w:r>
      <w:r>
        <w:rPr>
          <w:rFonts w:ascii="Arial" w:hAnsi="Arial"/>
          <w:i/>
          <w:sz w:val="20"/>
        </w:rPr>
        <w:t>[2002]</w:t>
      </w:r>
      <w:r>
        <w:rPr>
          <w:rFonts w:ascii="Arial" w:hAnsi="Arial"/>
          <w:i/>
          <w:spacing w:val="34"/>
          <w:sz w:val="20"/>
        </w:rPr>
        <w:t> </w:t>
      </w:r>
      <w:r>
        <w:rPr>
          <w:rFonts w:ascii="Arial" w:hAnsi="Arial"/>
          <w:i/>
          <w:sz w:val="20"/>
        </w:rPr>
        <w:t>EWHC</w:t>
      </w:r>
      <w:r>
        <w:rPr>
          <w:rFonts w:ascii="Arial" w:hAnsi="Arial"/>
          <w:i/>
          <w:spacing w:val="34"/>
          <w:sz w:val="20"/>
        </w:rPr>
        <w:t> </w:t>
      </w:r>
      <w:r>
        <w:rPr>
          <w:rFonts w:ascii="Arial" w:hAnsi="Arial"/>
          <w:i/>
          <w:sz w:val="20"/>
        </w:rPr>
        <w:t>2815 (Ch), [2003] B.P.I.R. 324</w:t>
      </w:r>
      <w:r>
        <w:rPr>
          <w:sz w:val="20"/>
        </w:rPr>
        <w:t>; </w:t>
      </w:r>
      <w:r>
        <w:rPr>
          <w:rFonts w:ascii="Arial" w:hAnsi="Arial"/>
          <w:i/>
          <w:sz w:val="20"/>
        </w:rPr>
        <w:t>Tekron Resources Ltd v Guinea Investment Co Ltd [2003] EWHC 2577 (Comm), [2004] 2 Lloyd’s Rep. 26</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24" w:id="626"/>
      <w:bookmarkEnd w:id="626"/>
      <w:r>
        <w:rPr/>
      </w:r>
      <w:hyperlink w:history="true" w:anchor="_bookmark511">
        <w:r>
          <w:rPr>
            <w:color w:val="005DA1"/>
            <w:spacing w:val="-4"/>
            <w:position w:val="5"/>
            <w:sz w:val="14"/>
            <w:u w:val="single" w:color="005DA1"/>
          </w:rPr>
          <w:t>330</w:t>
        </w:r>
      </w:hyperlink>
      <w:r>
        <w:rPr>
          <w:spacing w:val="-4"/>
          <w:position w:val="5"/>
          <w:sz w:val="14"/>
        </w:rPr>
        <w:t>.</w:t>
      </w:r>
      <w:r>
        <w:rPr>
          <w:position w:val="5"/>
          <w:sz w:val="14"/>
        </w:rPr>
        <w:tab/>
      </w:r>
      <w:r>
        <w:rPr>
          <w:sz w:val="20"/>
        </w:rPr>
        <w:t>Giuliano-Lagarde</w:t>
      </w:r>
      <w:r>
        <w:rPr>
          <w:spacing w:val="35"/>
          <w:sz w:val="20"/>
        </w:rPr>
        <w:t> </w:t>
      </w:r>
      <w:r>
        <w:rPr>
          <w:sz w:val="20"/>
        </w:rPr>
        <w:t>Report,</w:t>
      </w:r>
      <w:r>
        <w:rPr>
          <w:spacing w:val="35"/>
          <w:sz w:val="20"/>
        </w:rPr>
        <w:t> </w:t>
      </w:r>
      <w:r>
        <w:rPr>
          <w:sz w:val="20"/>
        </w:rPr>
        <w:t>p.38.</w:t>
      </w:r>
      <w:r>
        <w:rPr>
          <w:spacing w:val="35"/>
          <w:sz w:val="20"/>
        </w:rPr>
        <w:t> </w:t>
      </w:r>
      <w:r>
        <w:rPr>
          <w:sz w:val="20"/>
        </w:rPr>
        <w:t>See</w:t>
      </w:r>
      <w:r>
        <w:rPr>
          <w:spacing w:val="35"/>
          <w:sz w:val="20"/>
        </w:rPr>
        <w:t> </w:t>
      </w:r>
      <w:r>
        <w:rPr>
          <w:sz w:val="20"/>
        </w:rPr>
        <w:t>generally,</w:t>
      </w:r>
      <w:r>
        <w:rPr>
          <w:spacing w:val="35"/>
          <w:sz w:val="20"/>
        </w:rPr>
        <w:t> </w:t>
      </w:r>
      <w:r>
        <w:rPr>
          <w:sz w:val="20"/>
        </w:rPr>
        <w:t>Peruzzetto,</w:t>
      </w:r>
      <w:r>
        <w:rPr>
          <w:spacing w:val="34"/>
          <w:sz w:val="20"/>
        </w:rPr>
        <w:t> </w:t>
      </w:r>
      <w:r>
        <w:rPr>
          <w:rFonts w:ascii="Arial" w:hAnsi="Arial"/>
          <w:i/>
          <w:sz w:val="20"/>
        </w:rPr>
        <w:t>The</w:t>
      </w:r>
      <w:r>
        <w:rPr>
          <w:rFonts w:ascii="Arial" w:hAnsi="Arial"/>
          <w:i/>
          <w:spacing w:val="35"/>
          <w:sz w:val="20"/>
        </w:rPr>
        <w:t> </w:t>
      </w:r>
      <w:r>
        <w:rPr>
          <w:rFonts w:ascii="Arial" w:hAnsi="Arial"/>
          <w:i/>
          <w:sz w:val="20"/>
        </w:rPr>
        <w:t>Enforcement</w:t>
      </w:r>
      <w:r>
        <w:rPr>
          <w:rFonts w:ascii="Arial" w:hAnsi="Arial"/>
          <w:i/>
          <w:spacing w:val="35"/>
          <w:sz w:val="20"/>
        </w:rPr>
        <w:t> </w:t>
      </w:r>
      <w:r>
        <w:rPr>
          <w:rFonts w:ascii="Arial" w:hAnsi="Arial"/>
          <w:i/>
          <w:sz w:val="20"/>
        </w:rPr>
        <w:t>of</w:t>
      </w:r>
      <w:r>
        <w:rPr>
          <w:rFonts w:ascii="Arial" w:hAnsi="Arial"/>
          <w:i/>
          <w:spacing w:val="35"/>
          <w:sz w:val="20"/>
        </w:rPr>
        <w:t> </w:t>
      </w:r>
      <w:r>
        <w:rPr>
          <w:rFonts w:ascii="Arial" w:hAnsi="Arial"/>
          <w:i/>
          <w:sz w:val="20"/>
        </w:rPr>
        <w:t>International Contracts in the European Union </w:t>
      </w:r>
      <w:r>
        <w:rPr>
          <w:sz w:val="20"/>
        </w:rPr>
        <w:t>(2004), pp.343–361; Meidanis (2005) E.L.Rev. 95.</w:t>
      </w:r>
    </w:p>
    <w:p>
      <w:pPr>
        <w:pStyle w:val="BodyText"/>
        <w:spacing w:before="9"/>
      </w:pPr>
    </w:p>
    <w:p>
      <w:pPr>
        <w:pStyle w:val="BodyText"/>
        <w:spacing w:line="235" w:lineRule="auto"/>
        <w:ind w:left="705" w:right="167" w:hanging="541"/>
        <w:jc w:val="both"/>
      </w:pPr>
      <w:bookmarkStart w:name="_bookmark625" w:id="627"/>
      <w:bookmarkEnd w:id="627"/>
      <w:r>
        <w:rPr/>
      </w:r>
      <w:hyperlink w:history="true" w:anchor="_bookmark512">
        <w:r>
          <w:rPr>
            <w:color w:val="005DA1"/>
            <w:position w:val="5"/>
            <w:sz w:val="14"/>
            <w:u w:val="single" w:color="005DA1"/>
          </w:rPr>
          <w:t>331</w:t>
        </w:r>
      </w:hyperlink>
      <w:r>
        <w:rPr>
          <w:position w:val="5"/>
          <w:sz w:val="14"/>
        </w:rPr>
        <w:t>.</w:t>
      </w:r>
      <w:r>
        <w:rPr>
          <w:spacing w:val="80"/>
          <w:position w:val="5"/>
          <w:sz w:val="14"/>
        </w:rPr>
        <w:t> </w:t>
      </w:r>
      <w:r>
        <w:rPr/>
        <w:t>Brussels Convention art.27(1). See Council Regulation 44/2001 on jurisdiction and the</w:t>
      </w:r>
      <w:r>
        <w:rPr>
          <w:spacing w:val="40"/>
        </w:rPr>
        <w:t> </w:t>
      </w:r>
      <w:r>
        <w:rPr/>
        <w:t>recognition and enforcement of judgments in civil and commercial matters art.34(1) </w:t>
      </w:r>
      <w:r>
        <w:rPr/>
        <w:t>and Regulation 1215/2012 on jurisdiction and the recognition and enforcement of judgments in civil and commercial matters (recast) art.45(1)(a).</w:t>
      </w:r>
    </w:p>
    <w:p>
      <w:pPr>
        <w:pStyle w:val="BodyText"/>
        <w:spacing w:before="8"/>
      </w:pPr>
    </w:p>
    <w:p>
      <w:pPr>
        <w:spacing w:line="235" w:lineRule="auto" w:before="1"/>
        <w:ind w:left="705" w:right="168" w:hanging="541"/>
        <w:jc w:val="both"/>
        <w:rPr>
          <w:sz w:val="20"/>
        </w:rPr>
      </w:pPr>
      <w:bookmarkStart w:name="_bookmark626" w:id="628"/>
      <w:bookmarkEnd w:id="628"/>
      <w:r>
        <w:rPr/>
      </w:r>
      <w:hyperlink w:history="true" w:anchor="_bookmark513">
        <w:r>
          <w:rPr>
            <w:color w:val="005DA1"/>
            <w:position w:val="5"/>
            <w:sz w:val="14"/>
            <w:u w:val="single" w:color="005DA1"/>
          </w:rPr>
          <w:t>332</w:t>
        </w:r>
      </w:hyperlink>
      <w:r>
        <w:rPr>
          <w:position w:val="5"/>
          <w:sz w:val="14"/>
        </w:rPr>
        <w:t>.</w:t>
      </w:r>
      <w:r>
        <w:rPr>
          <w:spacing w:val="80"/>
          <w:w w:val="150"/>
          <w:position w:val="5"/>
          <w:sz w:val="14"/>
        </w:rPr>
        <w:t> </w:t>
      </w:r>
      <w:r>
        <w:rPr>
          <w:rFonts w:ascii="Arial" w:hAnsi="Arial"/>
          <w:i/>
          <w:sz w:val="20"/>
        </w:rPr>
        <w:t>Krombach v Bamberski (C-7/98) [2000] E.C.R. I–1935, [2001] Q.B. 709</w:t>
      </w:r>
      <w:r>
        <w:rPr>
          <w:sz w:val="20"/>
        </w:rPr>
        <w:t>; </w:t>
      </w:r>
      <w:r>
        <w:rPr>
          <w:rFonts w:ascii="Arial" w:hAnsi="Arial"/>
          <w:i/>
          <w:sz w:val="20"/>
        </w:rPr>
        <w:t>Regie National </w:t>
      </w:r>
      <w:r>
        <w:rPr>
          <w:rFonts w:ascii="Arial" w:hAnsi="Arial"/>
          <w:i/>
          <w:sz w:val="20"/>
        </w:rPr>
        <w:t>des Usines</w:t>
      </w:r>
      <w:r>
        <w:rPr>
          <w:rFonts w:ascii="Arial" w:hAnsi="Arial"/>
          <w:i/>
          <w:spacing w:val="-1"/>
          <w:sz w:val="20"/>
        </w:rPr>
        <w:t> </w:t>
      </w:r>
      <w:r>
        <w:rPr>
          <w:rFonts w:ascii="Arial" w:hAnsi="Arial"/>
          <w:i/>
          <w:sz w:val="20"/>
        </w:rPr>
        <w:t>Renault</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Maxicar</w:t>
      </w:r>
      <w:r>
        <w:rPr>
          <w:rFonts w:ascii="Arial" w:hAnsi="Arial"/>
          <w:i/>
          <w:spacing w:val="-1"/>
          <w:sz w:val="20"/>
        </w:rPr>
        <w:t> </w:t>
      </w:r>
      <w:r>
        <w:rPr>
          <w:rFonts w:ascii="Arial" w:hAnsi="Arial"/>
          <w:i/>
          <w:sz w:val="20"/>
        </w:rPr>
        <w:t>SpA</w:t>
      </w:r>
      <w:r>
        <w:rPr>
          <w:rFonts w:ascii="Arial" w:hAnsi="Arial"/>
          <w:i/>
          <w:spacing w:val="-1"/>
          <w:sz w:val="20"/>
        </w:rPr>
        <w:t> </w:t>
      </w:r>
      <w:r>
        <w:rPr>
          <w:rFonts w:ascii="Arial" w:hAnsi="Arial"/>
          <w:i/>
          <w:sz w:val="20"/>
        </w:rPr>
        <w:t>(C-38/98)</w:t>
      </w:r>
      <w:r>
        <w:rPr>
          <w:rFonts w:ascii="Arial" w:hAnsi="Arial"/>
          <w:i/>
          <w:spacing w:val="-1"/>
          <w:sz w:val="20"/>
        </w:rPr>
        <w:t> </w:t>
      </w:r>
      <w:r>
        <w:rPr>
          <w:rFonts w:ascii="Arial" w:hAnsi="Arial"/>
          <w:i/>
          <w:sz w:val="20"/>
        </w:rPr>
        <w:t>[2000]</w:t>
      </w:r>
      <w:r>
        <w:rPr>
          <w:rFonts w:ascii="Arial" w:hAnsi="Arial"/>
          <w:i/>
          <w:spacing w:val="-1"/>
          <w:sz w:val="20"/>
        </w:rPr>
        <w:t> </w:t>
      </w:r>
      <w:r>
        <w:rPr>
          <w:rFonts w:ascii="Arial" w:hAnsi="Arial"/>
          <w:i/>
          <w:sz w:val="20"/>
        </w:rPr>
        <w:t>E.C.R.</w:t>
      </w:r>
      <w:r>
        <w:rPr>
          <w:rFonts w:ascii="Arial" w:hAnsi="Arial"/>
          <w:i/>
          <w:spacing w:val="-1"/>
          <w:sz w:val="20"/>
        </w:rPr>
        <w:t> </w:t>
      </w:r>
      <w:r>
        <w:rPr>
          <w:rFonts w:ascii="Arial" w:hAnsi="Arial"/>
          <w:i/>
          <w:sz w:val="20"/>
        </w:rPr>
        <w:t>I–2973</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Eurofood</w:t>
      </w:r>
      <w:r>
        <w:rPr>
          <w:rFonts w:ascii="Arial" w:hAnsi="Arial"/>
          <w:i/>
          <w:spacing w:val="-1"/>
          <w:sz w:val="20"/>
        </w:rPr>
        <w:t> </w:t>
      </w:r>
      <w:r>
        <w:rPr>
          <w:rFonts w:ascii="Arial" w:hAnsi="Arial"/>
          <w:i/>
          <w:sz w:val="20"/>
        </w:rPr>
        <w:t>IFSC</w:t>
      </w:r>
      <w:r>
        <w:rPr>
          <w:rFonts w:ascii="Arial" w:hAnsi="Arial"/>
          <w:i/>
          <w:spacing w:val="-1"/>
          <w:sz w:val="20"/>
        </w:rPr>
        <w:t> </w:t>
      </w:r>
      <w:r>
        <w:rPr>
          <w:rFonts w:ascii="Arial" w:hAnsi="Arial"/>
          <w:i/>
          <w:sz w:val="20"/>
        </w:rPr>
        <w:t>Ltd (C-341/04)</w:t>
      </w:r>
      <w:r>
        <w:rPr>
          <w:rFonts w:ascii="Arial" w:hAnsi="Arial"/>
          <w:i/>
          <w:spacing w:val="40"/>
          <w:sz w:val="20"/>
        </w:rPr>
        <w:t> </w:t>
      </w:r>
      <w:r>
        <w:rPr>
          <w:rFonts w:ascii="Arial" w:hAnsi="Arial"/>
          <w:i/>
          <w:sz w:val="20"/>
        </w:rPr>
        <w:t>[2006]</w:t>
      </w:r>
      <w:r>
        <w:rPr>
          <w:rFonts w:ascii="Arial" w:hAnsi="Arial"/>
          <w:i/>
          <w:spacing w:val="40"/>
          <w:sz w:val="20"/>
        </w:rPr>
        <w:t> </w:t>
      </w:r>
      <w:r>
        <w:rPr>
          <w:rFonts w:ascii="Arial" w:hAnsi="Arial"/>
          <w:i/>
          <w:sz w:val="20"/>
        </w:rPr>
        <w:t>E.C.R.</w:t>
      </w:r>
      <w:r>
        <w:rPr>
          <w:rFonts w:ascii="Arial" w:hAnsi="Arial"/>
          <w:i/>
          <w:spacing w:val="40"/>
          <w:sz w:val="20"/>
        </w:rPr>
        <w:t> </w:t>
      </w:r>
      <w:r>
        <w:rPr>
          <w:rFonts w:ascii="Arial" w:hAnsi="Arial"/>
          <w:i/>
          <w:sz w:val="20"/>
        </w:rPr>
        <w:t>I–3813,</w:t>
      </w:r>
      <w:r>
        <w:rPr>
          <w:rFonts w:ascii="Arial" w:hAnsi="Arial"/>
          <w:i/>
          <w:spacing w:val="40"/>
          <w:sz w:val="20"/>
        </w:rPr>
        <w:t> </w:t>
      </w:r>
      <w:r>
        <w:rPr>
          <w:rFonts w:ascii="Arial" w:hAnsi="Arial"/>
          <w:i/>
          <w:sz w:val="20"/>
        </w:rPr>
        <w:t>[2006]</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508</w:t>
      </w:r>
      <w:r>
        <w:rPr>
          <w:sz w:val="20"/>
        </w:rPr>
        <w:t>;</w:t>
      </w:r>
      <w:r>
        <w:rPr>
          <w:spacing w:val="40"/>
          <w:sz w:val="20"/>
        </w:rPr>
        <w:t> </w:t>
      </w:r>
      <w:r>
        <w:rPr>
          <w:rFonts w:ascii="Arial" w:hAnsi="Arial"/>
          <w:i/>
          <w:sz w:val="20"/>
        </w:rPr>
        <w:t>Gambazzi</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Daimlerchrysler</w:t>
      </w:r>
      <w:r>
        <w:rPr>
          <w:rFonts w:ascii="Arial" w:hAnsi="Arial"/>
          <w:i/>
          <w:spacing w:val="40"/>
          <w:sz w:val="20"/>
        </w:rPr>
        <w:t> </w:t>
      </w:r>
      <w:r>
        <w:rPr>
          <w:rFonts w:ascii="Arial" w:hAnsi="Arial"/>
          <w:i/>
          <w:sz w:val="20"/>
        </w:rPr>
        <w:t>Canada</w:t>
      </w:r>
      <w:r>
        <w:rPr>
          <w:rFonts w:ascii="Arial" w:hAnsi="Arial"/>
          <w:i/>
          <w:spacing w:val="40"/>
          <w:sz w:val="20"/>
        </w:rPr>
        <w:t> </w:t>
      </w:r>
      <w:r>
        <w:rPr>
          <w:rFonts w:ascii="Arial" w:hAnsi="Arial"/>
          <w:i/>
          <w:sz w:val="20"/>
        </w:rPr>
        <w:t>Inc (C-394/07) [2010] Q.B. 388</w:t>
      </w:r>
      <w:r>
        <w:rPr>
          <w:sz w:val="20"/>
        </w:rPr>
        <w:t>.</w:t>
      </w:r>
    </w:p>
    <w:p>
      <w:pPr>
        <w:pStyle w:val="BodyText"/>
        <w:spacing w:before="4"/>
      </w:pPr>
    </w:p>
    <w:p>
      <w:pPr>
        <w:tabs>
          <w:tab w:pos="540" w:val="left" w:leader="none"/>
        </w:tabs>
        <w:spacing w:line="227" w:lineRule="exact" w:before="0"/>
        <w:ind w:left="0" w:right="168" w:firstLine="0"/>
        <w:jc w:val="right"/>
        <w:rPr>
          <w:rFonts w:ascii="Arial"/>
          <w:i/>
          <w:sz w:val="20"/>
        </w:rPr>
      </w:pPr>
      <w:bookmarkStart w:name="_bookmark627" w:id="629"/>
      <w:bookmarkEnd w:id="629"/>
      <w:r>
        <w:rPr/>
      </w:r>
      <w:hyperlink w:history="true" w:anchor="_bookmark514">
        <w:r>
          <w:rPr>
            <w:color w:val="005DA1"/>
            <w:spacing w:val="-4"/>
            <w:position w:val="5"/>
            <w:sz w:val="14"/>
            <w:u w:val="single" w:color="005DA1"/>
          </w:rPr>
          <w:t>333</w:t>
        </w:r>
      </w:hyperlink>
      <w:r>
        <w:rPr>
          <w:spacing w:val="-4"/>
          <w:position w:val="5"/>
          <w:sz w:val="14"/>
        </w:rPr>
        <w:t>.</w:t>
      </w:r>
      <w:r>
        <w:rPr>
          <w:position w:val="5"/>
          <w:sz w:val="14"/>
        </w:rPr>
        <w:tab/>
      </w:r>
      <w:r>
        <w:rPr>
          <w:rFonts w:ascii="Arial"/>
          <w:i/>
          <w:sz w:val="20"/>
        </w:rPr>
        <w:t>Maronier</w:t>
      </w:r>
      <w:r>
        <w:rPr>
          <w:rFonts w:ascii="Arial"/>
          <w:i/>
          <w:spacing w:val="40"/>
          <w:sz w:val="20"/>
        </w:rPr>
        <w:t> </w:t>
      </w:r>
      <w:r>
        <w:rPr>
          <w:rFonts w:ascii="Arial"/>
          <w:i/>
          <w:sz w:val="20"/>
        </w:rPr>
        <w:t>v</w:t>
      </w:r>
      <w:r>
        <w:rPr>
          <w:rFonts w:ascii="Arial"/>
          <w:i/>
          <w:spacing w:val="41"/>
          <w:sz w:val="20"/>
        </w:rPr>
        <w:t> </w:t>
      </w:r>
      <w:r>
        <w:rPr>
          <w:rFonts w:ascii="Arial"/>
          <w:i/>
          <w:sz w:val="20"/>
        </w:rPr>
        <w:t>Larmer</w:t>
      </w:r>
      <w:r>
        <w:rPr>
          <w:rFonts w:ascii="Arial"/>
          <w:i/>
          <w:spacing w:val="41"/>
          <w:sz w:val="20"/>
        </w:rPr>
        <w:t> </w:t>
      </w:r>
      <w:r>
        <w:rPr>
          <w:rFonts w:ascii="Arial"/>
          <w:i/>
          <w:sz w:val="20"/>
        </w:rPr>
        <w:t>[2002]</w:t>
      </w:r>
      <w:r>
        <w:rPr>
          <w:rFonts w:ascii="Arial"/>
          <w:i/>
          <w:spacing w:val="41"/>
          <w:sz w:val="20"/>
        </w:rPr>
        <w:t> </w:t>
      </w:r>
      <w:r>
        <w:rPr>
          <w:rFonts w:ascii="Arial"/>
          <w:i/>
          <w:sz w:val="20"/>
        </w:rPr>
        <w:t>EWCA</w:t>
      </w:r>
      <w:r>
        <w:rPr>
          <w:rFonts w:ascii="Arial"/>
          <w:i/>
          <w:spacing w:val="41"/>
          <w:sz w:val="20"/>
        </w:rPr>
        <w:t> </w:t>
      </w:r>
      <w:r>
        <w:rPr>
          <w:rFonts w:ascii="Arial"/>
          <w:i/>
          <w:sz w:val="20"/>
        </w:rPr>
        <w:t>Civ</w:t>
      </w:r>
      <w:r>
        <w:rPr>
          <w:rFonts w:ascii="Arial"/>
          <w:i/>
          <w:spacing w:val="41"/>
          <w:sz w:val="20"/>
        </w:rPr>
        <w:t> </w:t>
      </w:r>
      <w:r>
        <w:rPr>
          <w:rFonts w:ascii="Arial"/>
          <w:i/>
          <w:sz w:val="20"/>
        </w:rPr>
        <w:t>774,</w:t>
      </w:r>
      <w:r>
        <w:rPr>
          <w:rFonts w:ascii="Arial"/>
          <w:i/>
          <w:spacing w:val="41"/>
          <w:sz w:val="20"/>
        </w:rPr>
        <w:t> </w:t>
      </w:r>
      <w:r>
        <w:rPr>
          <w:rFonts w:ascii="Arial"/>
          <w:i/>
          <w:sz w:val="20"/>
        </w:rPr>
        <w:t>[2003]</w:t>
      </w:r>
      <w:r>
        <w:rPr>
          <w:rFonts w:ascii="Arial"/>
          <w:i/>
          <w:spacing w:val="41"/>
          <w:sz w:val="20"/>
        </w:rPr>
        <w:t> </w:t>
      </w:r>
      <w:r>
        <w:rPr>
          <w:rFonts w:ascii="Arial"/>
          <w:i/>
          <w:sz w:val="20"/>
        </w:rPr>
        <w:t>Q.B.</w:t>
      </w:r>
      <w:r>
        <w:rPr>
          <w:rFonts w:ascii="Arial"/>
          <w:i/>
          <w:spacing w:val="41"/>
          <w:sz w:val="20"/>
        </w:rPr>
        <w:t> </w:t>
      </w:r>
      <w:r>
        <w:rPr>
          <w:rFonts w:ascii="Arial"/>
          <w:i/>
          <w:sz w:val="20"/>
        </w:rPr>
        <w:t>620</w:t>
      </w:r>
      <w:r>
        <w:rPr>
          <w:sz w:val="20"/>
        </w:rPr>
        <w:t>.</w:t>
      </w:r>
      <w:r>
        <w:rPr>
          <w:spacing w:val="41"/>
          <w:sz w:val="20"/>
        </w:rPr>
        <w:t> </w:t>
      </w:r>
      <w:r>
        <w:rPr>
          <w:sz w:val="20"/>
        </w:rPr>
        <w:t>cf.</w:t>
      </w:r>
      <w:r>
        <w:rPr>
          <w:spacing w:val="41"/>
          <w:sz w:val="20"/>
        </w:rPr>
        <w:t> </w:t>
      </w:r>
      <w:r>
        <w:rPr>
          <w:rFonts w:ascii="Arial"/>
          <w:i/>
          <w:sz w:val="20"/>
        </w:rPr>
        <w:t>Oppenheimer</w:t>
      </w:r>
      <w:r>
        <w:rPr>
          <w:rFonts w:ascii="Arial"/>
          <w:i/>
          <w:spacing w:val="41"/>
          <w:sz w:val="20"/>
        </w:rPr>
        <w:t> </w:t>
      </w:r>
      <w:r>
        <w:rPr>
          <w:rFonts w:ascii="Arial"/>
          <w:i/>
          <w:sz w:val="20"/>
        </w:rPr>
        <w:t>v</w:t>
      </w:r>
      <w:r>
        <w:rPr>
          <w:rFonts w:ascii="Arial"/>
          <w:i/>
          <w:spacing w:val="41"/>
          <w:sz w:val="20"/>
        </w:rPr>
        <w:t> </w:t>
      </w:r>
      <w:r>
        <w:rPr>
          <w:rFonts w:ascii="Arial"/>
          <w:i/>
          <w:spacing w:val="-2"/>
          <w:sz w:val="20"/>
        </w:rPr>
        <w:t>Cattermole</w:t>
      </w:r>
    </w:p>
    <w:p>
      <w:pPr>
        <w:spacing w:line="225" w:lineRule="exact" w:before="0"/>
        <w:ind w:left="0" w:right="167" w:firstLine="0"/>
        <w:jc w:val="right"/>
        <w:rPr>
          <w:rFonts w:ascii="Arial"/>
          <w:i/>
          <w:sz w:val="20"/>
        </w:rPr>
      </w:pPr>
      <w:r>
        <w:rPr>
          <w:rFonts w:ascii="Arial"/>
          <w:i/>
          <w:sz w:val="20"/>
        </w:rPr>
        <w:t>[1976]</w:t>
      </w:r>
      <w:r>
        <w:rPr>
          <w:rFonts w:ascii="Arial"/>
          <w:i/>
          <w:spacing w:val="1"/>
          <w:sz w:val="20"/>
        </w:rPr>
        <w:t> </w:t>
      </w:r>
      <w:r>
        <w:rPr>
          <w:rFonts w:ascii="Arial"/>
          <w:i/>
          <w:sz w:val="20"/>
        </w:rPr>
        <w:t>A.C.</w:t>
      </w:r>
      <w:r>
        <w:rPr>
          <w:rFonts w:ascii="Arial"/>
          <w:i/>
          <w:spacing w:val="2"/>
          <w:sz w:val="20"/>
        </w:rPr>
        <w:t> </w:t>
      </w:r>
      <w:r>
        <w:rPr>
          <w:rFonts w:ascii="Arial"/>
          <w:i/>
          <w:sz w:val="20"/>
        </w:rPr>
        <w:t>249</w:t>
      </w:r>
      <w:r>
        <w:rPr>
          <w:sz w:val="20"/>
        </w:rPr>
        <w:t>;</w:t>
      </w:r>
      <w:r>
        <w:rPr>
          <w:spacing w:val="2"/>
          <w:sz w:val="20"/>
        </w:rPr>
        <w:t> </w:t>
      </w:r>
      <w:r>
        <w:rPr>
          <w:rFonts w:ascii="Arial"/>
          <w:i/>
          <w:sz w:val="20"/>
        </w:rPr>
        <w:t>Kuwait</w:t>
      </w:r>
      <w:r>
        <w:rPr>
          <w:rFonts w:ascii="Arial"/>
          <w:i/>
          <w:spacing w:val="2"/>
          <w:sz w:val="20"/>
        </w:rPr>
        <w:t> </w:t>
      </w:r>
      <w:r>
        <w:rPr>
          <w:rFonts w:ascii="Arial"/>
          <w:i/>
          <w:sz w:val="20"/>
        </w:rPr>
        <w:t>Airways</w:t>
      </w:r>
      <w:r>
        <w:rPr>
          <w:rFonts w:ascii="Arial"/>
          <w:i/>
          <w:spacing w:val="2"/>
          <w:sz w:val="20"/>
        </w:rPr>
        <w:t> </w:t>
      </w:r>
      <w:r>
        <w:rPr>
          <w:rFonts w:ascii="Arial"/>
          <w:i/>
          <w:sz w:val="20"/>
        </w:rPr>
        <w:t>Corp</w:t>
      </w:r>
      <w:r>
        <w:rPr>
          <w:rFonts w:ascii="Arial"/>
          <w:i/>
          <w:spacing w:val="2"/>
          <w:sz w:val="20"/>
        </w:rPr>
        <w:t> </w:t>
      </w:r>
      <w:r>
        <w:rPr>
          <w:rFonts w:ascii="Arial"/>
          <w:i/>
          <w:sz w:val="20"/>
        </w:rPr>
        <w:t>v</w:t>
      </w:r>
      <w:r>
        <w:rPr>
          <w:rFonts w:ascii="Arial"/>
          <w:i/>
          <w:spacing w:val="2"/>
          <w:sz w:val="20"/>
        </w:rPr>
        <w:t> </w:t>
      </w:r>
      <w:r>
        <w:rPr>
          <w:rFonts w:ascii="Arial"/>
          <w:i/>
          <w:sz w:val="20"/>
        </w:rPr>
        <w:t>Iraqi</w:t>
      </w:r>
      <w:r>
        <w:rPr>
          <w:rFonts w:ascii="Arial"/>
          <w:i/>
          <w:spacing w:val="2"/>
          <w:sz w:val="20"/>
        </w:rPr>
        <w:t> </w:t>
      </w:r>
      <w:r>
        <w:rPr>
          <w:rFonts w:ascii="Arial"/>
          <w:i/>
          <w:sz w:val="20"/>
        </w:rPr>
        <w:t>Airways</w:t>
      </w:r>
      <w:r>
        <w:rPr>
          <w:rFonts w:ascii="Arial"/>
          <w:i/>
          <w:spacing w:val="2"/>
          <w:sz w:val="20"/>
        </w:rPr>
        <w:t> </w:t>
      </w:r>
      <w:r>
        <w:rPr>
          <w:rFonts w:ascii="Arial"/>
          <w:i/>
          <w:sz w:val="20"/>
        </w:rPr>
        <w:t>Co</w:t>
      </w:r>
      <w:r>
        <w:rPr>
          <w:rFonts w:ascii="Arial"/>
          <w:i/>
          <w:spacing w:val="2"/>
          <w:sz w:val="20"/>
        </w:rPr>
        <w:t> </w:t>
      </w:r>
      <w:r>
        <w:rPr>
          <w:rFonts w:ascii="Arial"/>
          <w:i/>
          <w:sz w:val="20"/>
        </w:rPr>
        <w:t>(Nos</w:t>
      </w:r>
      <w:r>
        <w:rPr>
          <w:rFonts w:ascii="Arial"/>
          <w:i/>
          <w:spacing w:val="2"/>
          <w:sz w:val="20"/>
        </w:rPr>
        <w:t> </w:t>
      </w:r>
      <w:r>
        <w:rPr>
          <w:rFonts w:ascii="Arial"/>
          <w:i/>
          <w:sz w:val="20"/>
        </w:rPr>
        <w:t>4</w:t>
      </w:r>
      <w:r>
        <w:rPr>
          <w:rFonts w:ascii="Arial"/>
          <w:i/>
          <w:spacing w:val="2"/>
          <w:sz w:val="20"/>
        </w:rPr>
        <w:t> </w:t>
      </w:r>
      <w:r>
        <w:rPr>
          <w:rFonts w:ascii="Arial"/>
          <w:i/>
          <w:sz w:val="20"/>
        </w:rPr>
        <w:t>and</w:t>
      </w:r>
      <w:r>
        <w:rPr>
          <w:rFonts w:ascii="Arial"/>
          <w:i/>
          <w:spacing w:val="2"/>
          <w:sz w:val="20"/>
        </w:rPr>
        <w:t> </w:t>
      </w:r>
      <w:r>
        <w:rPr>
          <w:rFonts w:ascii="Arial"/>
          <w:i/>
          <w:sz w:val="20"/>
        </w:rPr>
        <w:t>5)</w:t>
      </w:r>
      <w:r>
        <w:rPr>
          <w:rFonts w:ascii="Arial"/>
          <w:i/>
          <w:spacing w:val="2"/>
          <w:sz w:val="20"/>
        </w:rPr>
        <w:t> </w:t>
      </w:r>
      <w:r>
        <w:rPr>
          <w:rFonts w:ascii="Arial"/>
          <w:i/>
          <w:sz w:val="20"/>
        </w:rPr>
        <w:t>[2002]</w:t>
      </w:r>
      <w:r>
        <w:rPr>
          <w:rFonts w:ascii="Arial"/>
          <w:i/>
          <w:spacing w:val="2"/>
          <w:sz w:val="20"/>
        </w:rPr>
        <w:t> </w:t>
      </w:r>
      <w:r>
        <w:rPr>
          <w:rFonts w:ascii="Arial"/>
          <w:i/>
          <w:sz w:val="20"/>
        </w:rPr>
        <w:t>UKHL</w:t>
      </w:r>
      <w:r>
        <w:rPr>
          <w:rFonts w:ascii="Arial"/>
          <w:i/>
          <w:spacing w:val="2"/>
          <w:sz w:val="20"/>
        </w:rPr>
        <w:t> </w:t>
      </w:r>
      <w:r>
        <w:rPr>
          <w:rFonts w:ascii="Arial"/>
          <w:i/>
          <w:sz w:val="20"/>
        </w:rPr>
        <w:t>19,</w:t>
      </w:r>
      <w:r>
        <w:rPr>
          <w:rFonts w:ascii="Arial"/>
          <w:i/>
          <w:spacing w:val="2"/>
          <w:sz w:val="20"/>
        </w:rPr>
        <w:t> </w:t>
      </w:r>
      <w:r>
        <w:rPr>
          <w:rFonts w:ascii="Arial"/>
          <w:i/>
          <w:spacing w:val="-2"/>
          <w:sz w:val="20"/>
        </w:rPr>
        <w:t>[2002]</w:t>
      </w:r>
    </w:p>
    <w:p>
      <w:pPr>
        <w:spacing w:line="227" w:lineRule="exact" w:before="0"/>
        <w:ind w:left="705" w:right="0" w:firstLine="0"/>
        <w:jc w:val="left"/>
        <w:rPr>
          <w:sz w:val="20"/>
        </w:rPr>
      </w:pPr>
      <w:r>
        <w:rPr>
          <w:rFonts w:ascii="Arial" w:hAnsi="Arial"/>
          <w:i/>
          <w:sz w:val="20"/>
        </w:rPr>
        <w:t>2 A.C. 883</w:t>
      </w:r>
      <w:r>
        <w:rPr>
          <w:rFonts w:ascii="Arial" w:hAnsi="Arial"/>
          <w:i/>
          <w:spacing w:val="-1"/>
          <w:sz w:val="20"/>
        </w:rPr>
        <w:t> </w:t>
      </w:r>
      <w:r>
        <w:rPr>
          <w:sz w:val="20"/>
        </w:rPr>
        <w:t>at [15]–[29], [111]–[118], </w:t>
      </w:r>
      <w:r>
        <w:rPr>
          <w:spacing w:val="-2"/>
          <w:sz w:val="20"/>
        </w:rPr>
        <w:t>[135]–[149].</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628" w:id="630"/>
      <w:bookmarkEnd w:id="630"/>
      <w:r>
        <w:rPr/>
      </w:r>
      <w:hyperlink w:history="true" w:anchor="_bookmark515">
        <w:r>
          <w:rPr>
            <w:color w:val="005DA1"/>
            <w:spacing w:val="-4"/>
            <w:position w:val="5"/>
            <w:sz w:val="14"/>
            <w:u w:val="single" w:color="005DA1"/>
          </w:rPr>
          <w:t>334</w:t>
        </w:r>
      </w:hyperlink>
      <w:r>
        <w:rPr>
          <w:spacing w:val="-4"/>
          <w:position w:val="5"/>
          <w:sz w:val="14"/>
        </w:rPr>
        <w:t>.</w:t>
      </w:r>
      <w:r>
        <w:rPr>
          <w:position w:val="5"/>
          <w:sz w:val="14"/>
        </w:rPr>
        <w:tab/>
      </w:r>
      <w:r>
        <w:rPr>
          <w:rFonts w:ascii="Arial" w:hAnsi="Arial"/>
          <w:i/>
          <w:sz w:val="20"/>
        </w:rPr>
        <w:t>Krombach</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Bamberski</w:t>
      </w:r>
      <w:r>
        <w:rPr>
          <w:rFonts w:ascii="Arial" w:hAnsi="Arial"/>
          <w:i/>
          <w:spacing w:val="-3"/>
          <w:sz w:val="20"/>
        </w:rPr>
        <w:t> </w:t>
      </w:r>
      <w:r>
        <w:rPr>
          <w:rFonts w:ascii="Arial" w:hAnsi="Arial"/>
          <w:i/>
          <w:sz w:val="20"/>
        </w:rPr>
        <w:t>(C-7/98)</w:t>
      </w:r>
      <w:r>
        <w:rPr>
          <w:rFonts w:ascii="Arial" w:hAnsi="Arial"/>
          <w:i/>
          <w:spacing w:val="-3"/>
          <w:sz w:val="20"/>
        </w:rPr>
        <w:t> </w:t>
      </w:r>
      <w:r>
        <w:rPr>
          <w:rFonts w:ascii="Arial" w:hAnsi="Arial"/>
          <w:i/>
          <w:sz w:val="20"/>
        </w:rPr>
        <w:t>[2000]</w:t>
      </w:r>
      <w:r>
        <w:rPr>
          <w:rFonts w:ascii="Arial" w:hAnsi="Arial"/>
          <w:i/>
          <w:spacing w:val="-3"/>
          <w:sz w:val="20"/>
        </w:rPr>
        <w:t> </w:t>
      </w:r>
      <w:r>
        <w:rPr>
          <w:rFonts w:ascii="Arial" w:hAnsi="Arial"/>
          <w:i/>
          <w:sz w:val="20"/>
        </w:rPr>
        <w:t>E.C.R.</w:t>
      </w:r>
      <w:r>
        <w:rPr>
          <w:rFonts w:ascii="Arial" w:hAnsi="Arial"/>
          <w:i/>
          <w:spacing w:val="-3"/>
          <w:sz w:val="20"/>
        </w:rPr>
        <w:t> </w:t>
      </w:r>
      <w:r>
        <w:rPr>
          <w:rFonts w:ascii="Arial" w:hAnsi="Arial"/>
          <w:i/>
          <w:sz w:val="20"/>
        </w:rPr>
        <w:t>I–1935</w:t>
      </w:r>
      <w:r>
        <w:rPr>
          <w:sz w:val="20"/>
        </w:rPr>
        <w:t>;</w:t>
      </w:r>
      <w:r>
        <w:rPr>
          <w:spacing w:val="-3"/>
          <w:sz w:val="20"/>
        </w:rPr>
        <w:t> </w:t>
      </w:r>
      <w:r>
        <w:rPr>
          <w:rFonts w:ascii="Arial" w:hAnsi="Arial"/>
          <w:i/>
          <w:sz w:val="20"/>
        </w:rPr>
        <w:t>Regie</w:t>
      </w:r>
      <w:r>
        <w:rPr>
          <w:rFonts w:ascii="Arial" w:hAnsi="Arial"/>
          <w:i/>
          <w:spacing w:val="-3"/>
          <w:sz w:val="20"/>
        </w:rPr>
        <w:t> </w:t>
      </w:r>
      <w:r>
        <w:rPr>
          <w:rFonts w:ascii="Arial" w:hAnsi="Arial"/>
          <w:i/>
          <w:sz w:val="20"/>
        </w:rPr>
        <w:t>National</w:t>
      </w:r>
      <w:r>
        <w:rPr>
          <w:rFonts w:ascii="Arial" w:hAnsi="Arial"/>
          <w:i/>
          <w:spacing w:val="-3"/>
          <w:sz w:val="20"/>
        </w:rPr>
        <w:t> </w:t>
      </w:r>
      <w:r>
        <w:rPr>
          <w:rFonts w:ascii="Arial" w:hAnsi="Arial"/>
          <w:i/>
          <w:sz w:val="20"/>
        </w:rPr>
        <w:t>des</w:t>
      </w:r>
      <w:r>
        <w:rPr>
          <w:rFonts w:ascii="Arial" w:hAnsi="Arial"/>
          <w:i/>
          <w:spacing w:val="-3"/>
          <w:sz w:val="20"/>
        </w:rPr>
        <w:t> </w:t>
      </w:r>
      <w:r>
        <w:rPr>
          <w:rFonts w:ascii="Arial" w:hAnsi="Arial"/>
          <w:i/>
          <w:sz w:val="20"/>
        </w:rPr>
        <w:t>Usines</w:t>
      </w:r>
      <w:r>
        <w:rPr>
          <w:rFonts w:ascii="Arial" w:hAnsi="Arial"/>
          <w:i/>
          <w:spacing w:val="-3"/>
          <w:sz w:val="20"/>
        </w:rPr>
        <w:t> </w:t>
      </w:r>
      <w:r>
        <w:rPr>
          <w:rFonts w:ascii="Arial" w:hAnsi="Arial"/>
          <w:i/>
          <w:sz w:val="20"/>
        </w:rPr>
        <w:t>Renault</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v Maxicar</w:t>
      </w:r>
      <w:r>
        <w:rPr>
          <w:rFonts w:ascii="Arial" w:hAnsi="Arial"/>
          <w:i/>
          <w:spacing w:val="21"/>
          <w:sz w:val="20"/>
        </w:rPr>
        <w:t> </w:t>
      </w:r>
      <w:r>
        <w:rPr>
          <w:rFonts w:ascii="Arial" w:hAnsi="Arial"/>
          <w:i/>
          <w:sz w:val="20"/>
        </w:rPr>
        <w:t>SpA</w:t>
      </w:r>
      <w:r>
        <w:rPr>
          <w:rFonts w:ascii="Arial" w:hAnsi="Arial"/>
          <w:i/>
          <w:spacing w:val="24"/>
          <w:sz w:val="20"/>
        </w:rPr>
        <w:t> </w:t>
      </w:r>
      <w:r>
        <w:rPr>
          <w:rFonts w:ascii="Arial" w:hAnsi="Arial"/>
          <w:i/>
          <w:sz w:val="20"/>
        </w:rPr>
        <w:t>(C-36/98)</w:t>
      </w:r>
      <w:r>
        <w:rPr>
          <w:rFonts w:ascii="Arial" w:hAnsi="Arial"/>
          <w:i/>
          <w:spacing w:val="24"/>
          <w:sz w:val="20"/>
        </w:rPr>
        <w:t> </w:t>
      </w:r>
      <w:r>
        <w:rPr>
          <w:rFonts w:ascii="Arial" w:hAnsi="Arial"/>
          <w:i/>
          <w:sz w:val="20"/>
        </w:rPr>
        <w:t>[2000]</w:t>
      </w:r>
      <w:r>
        <w:rPr>
          <w:rFonts w:ascii="Arial" w:hAnsi="Arial"/>
          <w:i/>
          <w:spacing w:val="24"/>
          <w:sz w:val="20"/>
        </w:rPr>
        <w:t> </w:t>
      </w:r>
      <w:r>
        <w:rPr>
          <w:rFonts w:ascii="Arial" w:hAnsi="Arial"/>
          <w:i/>
          <w:sz w:val="20"/>
        </w:rPr>
        <w:t>E.C.R.</w:t>
      </w:r>
      <w:r>
        <w:rPr>
          <w:rFonts w:ascii="Arial" w:hAnsi="Arial"/>
          <w:i/>
          <w:spacing w:val="24"/>
          <w:sz w:val="20"/>
        </w:rPr>
        <w:t> </w:t>
      </w:r>
      <w:r>
        <w:rPr>
          <w:rFonts w:ascii="Arial" w:hAnsi="Arial"/>
          <w:i/>
          <w:sz w:val="20"/>
        </w:rPr>
        <w:t>I–2973</w:t>
      </w:r>
      <w:r>
        <w:rPr>
          <w:sz w:val="20"/>
        </w:rPr>
        <w:t>.</w:t>
      </w:r>
      <w:r>
        <w:rPr>
          <w:spacing w:val="24"/>
          <w:sz w:val="20"/>
        </w:rPr>
        <w:t> </w:t>
      </w:r>
      <w:r>
        <w:rPr>
          <w:sz w:val="20"/>
        </w:rPr>
        <w:t>See</w:t>
      </w:r>
      <w:r>
        <w:rPr>
          <w:spacing w:val="24"/>
          <w:sz w:val="20"/>
        </w:rPr>
        <w:t> </w:t>
      </w:r>
      <w:r>
        <w:rPr>
          <w:sz w:val="20"/>
        </w:rPr>
        <w:t>also</w:t>
      </w:r>
      <w:r>
        <w:rPr>
          <w:spacing w:val="24"/>
          <w:sz w:val="20"/>
        </w:rPr>
        <w:t> </w:t>
      </w:r>
      <w:r>
        <w:rPr>
          <w:rFonts w:ascii="Arial" w:hAnsi="Arial"/>
          <w:i/>
          <w:sz w:val="20"/>
        </w:rPr>
        <w:t>Eurofood</w:t>
      </w:r>
      <w:r>
        <w:rPr>
          <w:rFonts w:ascii="Arial" w:hAnsi="Arial"/>
          <w:i/>
          <w:spacing w:val="24"/>
          <w:sz w:val="20"/>
        </w:rPr>
        <w:t> </w:t>
      </w:r>
      <w:r>
        <w:rPr>
          <w:rFonts w:ascii="Arial" w:hAnsi="Arial"/>
          <w:i/>
          <w:sz w:val="20"/>
        </w:rPr>
        <w:t>IFSC</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(C-341/04)</w:t>
      </w:r>
      <w:r>
        <w:rPr>
          <w:rFonts w:ascii="Arial" w:hAnsi="Arial"/>
          <w:i/>
          <w:spacing w:val="24"/>
          <w:sz w:val="20"/>
        </w:rPr>
        <w:t> </w:t>
      </w:r>
      <w:r>
        <w:rPr>
          <w:rFonts w:ascii="Arial" w:hAnsi="Arial"/>
          <w:i/>
          <w:spacing w:val="-2"/>
          <w:sz w:val="20"/>
        </w:rPr>
        <w:t>[2006]</w:t>
      </w:r>
    </w:p>
    <w:p>
      <w:pPr>
        <w:spacing w:line="225" w:lineRule="exact" w:before="0"/>
        <w:ind w:left="705" w:right="0" w:firstLine="0"/>
        <w:jc w:val="left"/>
        <w:rPr>
          <w:sz w:val="20"/>
        </w:rPr>
      </w:pPr>
      <w:r>
        <w:rPr>
          <w:rFonts w:ascii="Arial" w:hAnsi="Arial"/>
          <w:i/>
          <w:sz w:val="20"/>
        </w:rPr>
        <w:t>E.C.R.</w:t>
      </w:r>
      <w:r>
        <w:rPr>
          <w:rFonts w:ascii="Arial" w:hAnsi="Arial"/>
          <w:i/>
          <w:spacing w:val="-1"/>
          <w:sz w:val="20"/>
        </w:rPr>
        <w:t> </w:t>
      </w:r>
      <w:r>
        <w:rPr>
          <w:rFonts w:ascii="Arial" w:hAnsi="Arial"/>
          <w:i/>
          <w:sz w:val="20"/>
        </w:rPr>
        <w:t>I–3813</w:t>
      </w:r>
      <w:r>
        <w:rPr>
          <w:sz w:val="20"/>
        </w:rPr>
        <w:t>; </w:t>
      </w:r>
      <w:r>
        <w:rPr>
          <w:rFonts w:ascii="Arial" w:hAnsi="Arial"/>
          <w:i/>
          <w:sz w:val="20"/>
        </w:rPr>
        <w:t>Gambazzi v Daimlerchrysler Canada Inc (C-394/07) [2010] Q.B. </w:t>
      </w:r>
      <w:r>
        <w:rPr>
          <w:rFonts w:ascii="Arial" w:hAnsi="Arial"/>
          <w:i/>
          <w:spacing w:val="-4"/>
          <w:sz w:val="20"/>
        </w:rPr>
        <w:t>388</w:t>
      </w:r>
      <w:r>
        <w:rPr>
          <w:spacing w:val="-4"/>
          <w:sz w:val="20"/>
        </w:rPr>
        <w:t>.</w:t>
      </w:r>
    </w:p>
    <w:p>
      <w:pPr>
        <w:spacing w:after="0" w:line="225" w:lineRule="exact"/>
        <w:jc w:val="left"/>
        <w:rPr>
          <w:sz w:val="20"/>
        </w:rPr>
        <w:sectPr>
          <w:pgSz w:w="11900" w:h="16840"/>
          <w:pgMar w:header="971" w:footer="0" w:top="1300" w:bottom="280" w:left="1275" w:right="1275"/>
        </w:sectPr>
      </w:pPr>
    </w:p>
    <w:p>
      <w:pPr>
        <w:pStyle w:val="BodyText"/>
        <w:spacing w:before="7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position w:val="11"/>
          <w:sz w:val="12"/>
        </w:rPr>
      </w:pPr>
      <w:r>
        <w:rPr>
          <w:rFonts w:ascii="Arial"/>
          <w:b/>
          <w:sz w:val="24"/>
        </w:rPr>
        <w:t>Section 3. - The Rome Convention </w:t>
      </w:r>
      <w:r>
        <w:rPr>
          <w:rFonts w:ascii="Arial"/>
          <w:b/>
          <w:color w:val="005DA1"/>
          <w:spacing w:val="-5"/>
          <w:position w:val="11"/>
          <w:sz w:val="12"/>
          <w:u w:val="single" w:color="005DA1"/>
        </w:rPr>
        <w:t>96</w:t>
      </w:r>
    </w:p>
    <w:p>
      <w:pPr>
        <w:pStyle w:val="ListParagraph"/>
        <w:numPr>
          <w:ilvl w:val="0"/>
          <w:numId w:val="1"/>
        </w:numPr>
        <w:tabs>
          <w:tab w:pos="1457" w:val="left" w:leader="none"/>
        </w:tabs>
        <w:spacing w:line="240" w:lineRule="auto" w:before="194" w:after="0"/>
        <w:ind w:left="1457" w:right="0" w:hanging="373"/>
        <w:jc w:val="left"/>
        <w:rPr>
          <w:b/>
          <w:position w:val="11"/>
          <w:sz w:val="12"/>
        </w:rPr>
      </w:pPr>
      <w:bookmarkStart w:name="_bookmark629" w:id="631"/>
      <w:bookmarkEnd w:id="631"/>
      <w:r>
        <w:rPr/>
      </w:r>
      <w:r>
        <w:rPr>
          <w:b/>
          <w:sz w:val="24"/>
        </w:rPr>
        <w:t>- Applicable Law in the Absence of Choice by the Parties </w:t>
      </w:r>
      <w:r>
        <w:rPr>
          <w:b/>
          <w:color w:val="005DA1"/>
          <w:spacing w:val="-5"/>
          <w:position w:val="11"/>
          <w:sz w:val="12"/>
          <w:u w:val="single" w:color="005DA1"/>
        </w:rPr>
        <w:t>335</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General </w:t>
      </w:r>
      <w:r>
        <w:rPr>
          <w:rFonts w:ascii="Arial"/>
          <w:b/>
          <w:spacing w:val="-2"/>
          <w:sz w:val="18"/>
        </w:rPr>
        <w:t>principle</w:t>
      </w:r>
    </w:p>
    <w:p>
      <w:pPr>
        <w:pStyle w:val="BodyText"/>
        <w:spacing w:before="42"/>
        <w:rPr>
          <w:rFonts w:ascii="Arial"/>
          <w:b/>
          <w:sz w:val="18"/>
        </w:rPr>
      </w:pPr>
    </w:p>
    <w:p>
      <w:pPr>
        <w:pStyle w:val="Heading2"/>
      </w:pPr>
      <w:r>
        <w:rPr/>
        <w:t>30-</w:t>
      </w:r>
      <w:r>
        <w:rPr>
          <w:spacing w:val="-5"/>
        </w:rPr>
        <w:t>070</w:t>
      </w:r>
    </w:p>
    <w:p>
      <w:pPr>
        <w:pStyle w:val="BodyText"/>
        <w:spacing w:before="199"/>
        <w:ind w:left="165"/>
        <w:jc w:val="both"/>
      </w:pPr>
      <w:r>
        <w:rPr/>
        <w:t>Article 4(1) of the Rome Convention provides as </w:t>
      </w:r>
      <w:r>
        <w:rPr>
          <w:spacing w:val="-2"/>
        </w:rPr>
        <w:t>follows:</w:t>
      </w:r>
    </w:p>
    <w:p>
      <w:pPr>
        <w:pStyle w:val="BodyText"/>
      </w:pPr>
    </w:p>
    <w:p>
      <w:pPr>
        <w:pStyle w:val="BodyText"/>
        <w:spacing w:before="125"/>
      </w:pPr>
    </w:p>
    <w:p>
      <w:pPr>
        <w:pStyle w:val="BodyText"/>
        <w:spacing w:line="235" w:lineRule="auto"/>
        <w:ind w:left="1245" w:right="167"/>
        <w:jc w:val="both"/>
      </w:pPr>
      <w:r>
        <w:rPr/>
        <w:t>“To the extent that the law applicable to the contract has not been chosen in accordance </w:t>
      </w:r>
      <w:bookmarkStart w:name="_bookmark630" w:id="632"/>
      <w:bookmarkEnd w:id="632"/>
      <w:r>
        <w:rPr/>
        <w:t>with</w:t>
      </w:r>
      <w:r>
        <w:rPr/>
        <w:t> Art.3, the contract shall be governed by the law of the country with which it is most closely connected.” </w:t>
      </w:r>
      <w:r>
        <w:rPr>
          <w:color w:val="005DA1"/>
          <w:u w:val="single" w:color="005DA1"/>
          <w:vertAlign w:val="superscript"/>
        </w:rPr>
        <w:t>336</w:t>
      </w:r>
    </w:p>
    <w:p>
      <w:pPr>
        <w:pStyle w:val="BodyText"/>
        <w:spacing w:before="116"/>
      </w:pPr>
    </w:p>
    <w:p>
      <w:pPr>
        <w:pStyle w:val="BodyText"/>
        <w:spacing w:line="235" w:lineRule="auto"/>
        <w:ind w:left="164" w:right="167"/>
        <w:jc w:val="both"/>
      </w:pPr>
      <w:r>
        <w:rPr/>
        <w:t>This proposition has a familiar ring to a common lawyer, since it reflects the general principle of </w:t>
      </w:r>
      <w:r>
        <w:rPr/>
        <w:t>the </w:t>
      </w:r>
      <w:bookmarkStart w:name="_bookmark631" w:id="633"/>
      <w:bookmarkEnd w:id="633"/>
      <w:r>
        <w:rPr/>
        <w:t>common</w:t>
      </w:r>
      <w:r>
        <w:rPr/>
        <w:t> law which was developed to deal with cases where the parties had made no choice of law in the contract itself. </w:t>
      </w:r>
      <w:r>
        <w:rPr>
          <w:color w:val="005DA1"/>
          <w:u w:val="single" w:color="005DA1"/>
          <w:vertAlign w:val="superscript"/>
        </w:rPr>
        <w:t>337</w:t>
      </w:r>
      <w:r>
        <w:rPr>
          <w:color w:val="005DA1"/>
          <w:vertAlign w:val="baseline"/>
        </w:rPr>
        <w:t> </w:t>
      </w:r>
      <w:r>
        <w:rPr>
          <w:vertAlign w:val="baseline"/>
        </w:rPr>
        <w:t>The first general point to note is that art.4 envisages the possibility of a contract being governed in part by a law chosen by the parties and as to another part, by the law applicable </w:t>
      </w:r>
      <w:bookmarkStart w:name="_bookmark632" w:id="634"/>
      <w:bookmarkEnd w:id="634"/>
      <w:r>
        <w:rPr>
          <w:vertAlign w:val="baseline"/>
        </w:rPr>
        <w:t>through</w:t>
      </w:r>
      <w:r>
        <w:rPr>
          <w:vertAlign w:val="baseline"/>
        </w:rPr>
        <w:t> art.4, since art.4 operates to “the extent that” the parties have made no choice of law in the contract</w:t>
      </w:r>
      <w:r>
        <w:rPr>
          <w:spacing w:val="-1"/>
          <w:vertAlign w:val="baseline"/>
        </w:rPr>
        <w:t> </w:t>
      </w:r>
      <w:r>
        <w:rPr>
          <w:vertAlign w:val="baseline"/>
        </w:rPr>
        <w:t>itself.</w:t>
      </w:r>
      <w:r>
        <w:rPr>
          <w:spacing w:val="-1"/>
          <w:vertAlign w:val="baseline"/>
        </w:rPr>
        <w:t> </w:t>
      </w:r>
      <w:r>
        <w:rPr>
          <w:color w:val="005DA1"/>
          <w:u w:val="single" w:color="005DA1"/>
          <w:vertAlign w:val="superscript"/>
        </w:rPr>
        <w:t>338</w:t>
      </w:r>
      <w:r>
        <w:rPr>
          <w:color w:val="005DA1"/>
          <w:spacing w:val="-1"/>
          <w:vertAlign w:val="baseline"/>
        </w:rPr>
        <w:t> </w:t>
      </w:r>
      <w:r>
        <w:rPr>
          <w:vertAlign w:val="baseline"/>
        </w:rPr>
        <w:t>This</w:t>
      </w:r>
      <w:r>
        <w:rPr>
          <w:spacing w:val="-1"/>
          <w:vertAlign w:val="baseline"/>
        </w:rPr>
        <w:t> </w:t>
      </w:r>
      <w:r>
        <w:rPr>
          <w:vertAlign w:val="baseline"/>
        </w:rPr>
        <w:t>concept</w:t>
      </w:r>
      <w:r>
        <w:rPr>
          <w:spacing w:val="-1"/>
          <w:vertAlign w:val="baseline"/>
        </w:rPr>
        <w:t> </w:t>
      </w:r>
      <w:r>
        <w:rPr>
          <w:vertAlign w:val="baseline"/>
        </w:rPr>
        <w:t>of</w:t>
      </w:r>
      <w:r>
        <w:rPr>
          <w:spacing w:val="-1"/>
          <w:vertAlign w:val="baseline"/>
        </w:rPr>
        <w:t> </w:t>
      </w:r>
      <w:r>
        <w:rPr>
          <w:vertAlign w:val="baseline"/>
        </w:rPr>
        <w:t>dépeçage</w:t>
      </w:r>
      <w:r>
        <w:rPr>
          <w:spacing w:val="-2"/>
          <w:vertAlign w:val="baseline"/>
        </w:rPr>
        <w:t> </w:t>
      </w:r>
      <w:r>
        <w:rPr>
          <w:color w:val="005DA1"/>
          <w:u w:val="single" w:color="005DA1"/>
          <w:vertAlign w:val="superscript"/>
        </w:rPr>
        <w:t>339</w:t>
      </w:r>
      <w:r>
        <w:rPr>
          <w:color w:val="005DA1"/>
          <w:spacing w:val="-1"/>
          <w:vertAlign w:val="baseline"/>
        </w:rPr>
        <w:t> </w:t>
      </w:r>
      <w:r>
        <w:rPr>
          <w:vertAlign w:val="baseline"/>
        </w:rPr>
        <w:t>is</w:t>
      </w:r>
      <w:r>
        <w:rPr>
          <w:spacing w:val="-1"/>
          <w:vertAlign w:val="baseline"/>
        </w:rPr>
        <w:t> </w:t>
      </w:r>
      <w:r>
        <w:rPr>
          <w:vertAlign w:val="baseline"/>
        </w:rPr>
        <w:t>extended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second</w:t>
      </w:r>
      <w:r>
        <w:rPr>
          <w:spacing w:val="-1"/>
          <w:vertAlign w:val="baseline"/>
        </w:rPr>
        <w:t> </w:t>
      </w:r>
      <w:r>
        <w:rPr>
          <w:vertAlign w:val="baseline"/>
        </w:rPr>
        <w:t>sentence</w:t>
      </w:r>
      <w:r>
        <w:rPr>
          <w:spacing w:val="-1"/>
          <w:vertAlign w:val="baseline"/>
        </w:rPr>
        <w:t> </w:t>
      </w:r>
      <w:r>
        <w:rPr>
          <w:vertAlign w:val="baseline"/>
        </w:rPr>
        <w:t>of</w:t>
      </w:r>
      <w:r>
        <w:rPr>
          <w:spacing w:val="-1"/>
          <w:vertAlign w:val="baseline"/>
        </w:rPr>
        <w:t> </w:t>
      </w:r>
      <w:r>
        <w:rPr>
          <w:vertAlign w:val="baseline"/>
        </w:rPr>
        <w:t>art.4(1)</w:t>
      </w:r>
      <w:r>
        <w:rPr>
          <w:spacing w:val="-1"/>
          <w:vertAlign w:val="baseline"/>
        </w:rPr>
        <w:t> </w:t>
      </w:r>
      <w:r>
        <w:rPr>
          <w:vertAlign w:val="baseline"/>
        </w:rPr>
        <w:t>where</w:t>
      </w:r>
      <w:r>
        <w:rPr>
          <w:spacing w:val="-1"/>
          <w:vertAlign w:val="baseline"/>
        </w:rPr>
        <w:t> </w:t>
      </w:r>
      <w:r>
        <w:rPr>
          <w:vertAlign w:val="baseline"/>
        </w:rPr>
        <w:t>it is stated that a “severable part of the contract” which has a closer connection with another country may, “by way of exception”, be governed by the law of that country though the remaining part or parts of the contract will be governed by the law of the country with which it is, or they are, most closely </w:t>
      </w:r>
      <w:bookmarkStart w:name="_bookmark633" w:id="635"/>
      <w:bookmarkEnd w:id="635"/>
      <w:r>
        <w:rPr>
          <w:vertAlign w:val="baseline"/>
        </w:rPr>
        <w:t>connected.</w:t>
      </w:r>
      <w:r>
        <w:rPr>
          <w:vertAlign w:val="baseline"/>
        </w:rPr>
        <w:t> The Giuliano-Lagarde Report emphasises that the words “by way of exception” are to be </w:t>
      </w:r>
      <w:bookmarkStart w:name="_bookmark634" w:id="636"/>
      <w:bookmarkEnd w:id="636"/>
      <w:r>
        <w:rPr>
          <w:vertAlign w:val="baseline"/>
        </w:rPr>
        <w:t>interpreted</w:t>
      </w:r>
      <w:r>
        <w:rPr>
          <w:vertAlign w:val="baseline"/>
        </w:rPr>
        <w:t> in the sense that the courts must have regard to severability as seldom as possible. </w:t>
      </w:r>
      <w:r>
        <w:rPr>
          <w:color w:val="005DA1"/>
          <w:u w:val="single" w:color="005DA1"/>
          <w:vertAlign w:val="superscript"/>
        </w:rPr>
        <w:t>340</w:t>
      </w:r>
      <w:r>
        <w:rPr>
          <w:color w:val="005DA1"/>
          <w:vertAlign w:val="baseline"/>
        </w:rPr>
        <w:t> </w:t>
      </w:r>
      <w:r>
        <w:rPr>
          <w:vertAlign w:val="baseline"/>
        </w:rPr>
        <w:t>Further, in </w:t>
      </w:r>
      <w:r>
        <w:rPr>
          <w:rFonts w:ascii="Arial" w:hAnsi="Arial"/>
          <w:i/>
          <w:vertAlign w:val="baseline"/>
        </w:rPr>
        <w:t>Intercontainer Interfrigo SC (ICF) v Balkenende Oosthuizen BV (C-133/08) </w:t>
      </w:r>
      <w:r>
        <w:rPr>
          <w:color w:val="005DA1"/>
          <w:u w:val="single" w:color="005DA1"/>
          <w:vertAlign w:val="superscript"/>
        </w:rPr>
        <w:t>341</w:t>
      </w:r>
      <w:r>
        <w:rPr>
          <w:color w:val="005DA1"/>
          <w:vertAlign w:val="baseline"/>
        </w:rPr>
        <w:t> </w:t>
      </w:r>
      <w:r>
        <w:rPr>
          <w:vertAlign w:val="baseline"/>
        </w:rPr>
        <w:t>the European Court held that the rule providing for severance was exceptional in nature and could only</w:t>
      </w:r>
      <w:r>
        <w:rPr>
          <w:spacing w:val="40"/>
          <w:vertAlign w:val="baseline"/>
        </w:rPr>
        <w:t> </w:t>
      </w:r>
      <w:r>
        <w:rPr>
          <w:vertAlign w:val="baseline"/>
        </w:rPr>
        <w:t>be allowed where there were a number of parts of the contract which could be regarded as independent of each other, so that it was necessary to determine whether the object of a particular part was independent in relation to the rest of the contract. Accordingly, it is likely that the second sentence of art.4(1) will be of limited importance in practice. The second general point to note is the opinion expressed in the Giuliano-Lagarde Report that in order to determine the law of the country </w:t>
      </w:r>
      <w:bookmarkStart w:name="_bookmark635" w:id="637"/>
      <w:bookmarkEnd w:id="637"/>
      <w:r>
        <w:rPr>
          <w:vertAlign w:val="baseline"/>
        </w:rPr>
        <w:t>with</w:t>
      </w:r>
      <w:r>
        <w:rPr>
          <w:vertAlign w:val="baseline"/>
        </w:rPr>
        <w:t> which the contract is most closely connected, it is possible to take account of factors which appear after the conclusion of the contract. </w:t>
      </w:r>
      <w:r>
        <w:rPr>
          <w:color w:val="005DA1"/>
          <w:u w:val="single" w:color="005DA1"/>
          <w:vertAlign w:val="superscript"/>
        </w:rPr>
        <w:t>342</w:t>
      </w:r>
      <w:r>
        <w:rPr>
          <w:color w:val="005DA1"/>
          <w:vertAlign w:val="baseline"/>
        </w:rPr>
        <w:t> </w:t>
      </w:r>
      <w:r>
        <w:rPr>
          <w:vertAlign w:val="baseline"/>
        </w:rPr>
        <w:t>The third general point to emphasise is that the law </w:t>
      </w:r>
      <w:bookmarkStart w:name="_bookmark636" w:id="638"/>
      <w:bookmarkEnd w:id="638"/>
      <w:r>
        <w:rPr>
          <w:vertAlign w:val="baseline"/>
        </w:rPr>
        <w:t>applicable</w:t>
      </w:r>
      <w:r>
        <w:rPr>
          <w:spacing w:val="40"/>
          <w:vertAlign w:val="baseline"/>
        </w:rPr>
        <w:t> </w:t>
      </w:r>
      <w:r>
        <w:rPr>
          <w:vertAlign w:val="baseline"/>
        </w:rPr>
        <w:t>under</w:t>
      </w:r>
      <w:r>
        <w:rPr>
          <w:spacing w:val="40"/>
          <w:vertAlign w:val="baseline"/>
        </w:rPr>
        <w:t> </w:t>
      </w:r>
      <w:r>
        <w:rPr>
          <w:vertAlign w:val="baseline"/>
        </w:rPr>
        <w:t>art.4</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Convention</w:t>
      </w:r>
      <w:r>
        <w:rPr>
          <w:spacing w:val="40"/>
          <w:vertAlign w:val="baseline"/>
        </w:rPr>
        <w:t> </w:t>
      </w:r>
      <w:r>
        <w:rPr>
          <w:vertAlign w:val="baseline"/>
        </w:rPr>
        <w:t>must</w:t>
      </w:r>
      <w:r>
        <w:rPr>
          <w:spacing w:val="40"/>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law</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country</w:t>
      </w:r>
      <w:r>
        <w:rPr>
          <w:spacing w:val="40"/>
          <w:vertAlign w:val="baseline"/>
        </w:rPr>
        <w:t> </w:t>
      </w:r>
      <w:r>
        <w:rPr>
          <w:vertAlign w:val="baseline"/>
        </w:rPr>
        <w:t>and</w:t>
      </w:r>
      <w:r>
        <w:rPr>
          <w:spacing w:val="40"/>
          <w:vertAlign w:val="baseline"/>
        </w:rPr>
        <w:t> </w:t>
      </w:r>
      <w:r>
        <w:rPr>
          <w:vertAlign w:val="baseline"/>
        </w:rPr>
        <w:t>cannot,</w:t>
      </w:r>
      <w:r>
        <w:rPr>
          <w:spacing w:val="40"/>
          <w:vertAlign w:val="baseline"/>
        </w:rPr>
        <w:t> </w:t>
      </w:r>
      <w:r>
        <w:rPr>
          <w:vertAlign w:val="baseline"/>
        </w:rPr>
        <w:t>say,</w:t>
      </w:r>
      <w:r>
        <w:rPr>
          <w:spacing w:val="40"/>
          <w:vertAlign w:val="baseline"/>
        </w:rPr>
        <w:t> </w:t>
      </w:r>
      <w:r>
        <w:rPr>
          <w:vertAlign w:val="baseline"/>
        </w:rPr>
        <w:t>be</w:t>
      </w:r>
      <w:r>
        <w:rPr>
          <w:spacing w:val="40"/>
          <w:vertAlign w:val="baseline"/>
        </w:rPr>
        <w:t> </w:t>
      </w:r>
      <w:r>
        <w:rPr>
          <w:vertAlign w:val="baseline"/>
        </w:rPr>
        <w:t>a non-national body of rules or a system of religious law. </w:t>
      </w:r>
      <w:r>
        <w:rPr>
          <w:color w:val="005DA1"/>
          <w:u w:val="single" w:color="005DA1"/>
          <w:vertAlign w:val="superscript"/>
        </w:rPr>
        <w:t>343</w:t>
      </w:r>
    </w:p>
    <w:p>
      <w:pPr>
        <w:pStyle w:val="BodyText"/>
      </w:pPr>
    </w:p>
    <w:p>
      <w:pPr>
        <w:pStyle w:val="BodyText"/>
        <w:spacing w:before="30"/>
      </w:pPr>
    </w:p>
    <w:p>
      <w:pPr>
        <w:spacing w:before="0"/>
        <w:ind w:left="165" w:right="0" w:firstLine="0"/>
        <w:jc w:val="left"/>
        <w:rPr>
          <w:rFonts w:ascii="Arial"/>
          <w:b/>
          <w:sz w:val="18"/>
        </w:rPr>
      </w:pPr>
      <w:r>
        <w:rPr>
          <w:rFonts w:ascii="Arial"/>
          <w:b/>
          <w:spacing w:val="-2"/>
          <w:sz w:val="18"/>
        </w:rPr>
        <w:t>Presumptions</w:t>
      </w:r>
    </w:p>
    <w:p>
      <w:pPr>
        <w:pStyle w:val="BodyText"/>
        <w:spacing w:before="41"/>
        <w:rPr>
          <w:rFonts w:ascii="Arial"/>
          <w:b/>
          <w:sz w:val="18"/>
        </w:rPr>
      </w:pPr>
    </w:p>
    <w:p>
      <w:pPr>
        <w:pStyle w:val="Heading2"/>
      </w:pPr>
      <w:r>
        <w:rPr/>
        <w:t>30-</w:t>
      </w:r>
      <w:r>
        <w:rPr>
          <w:spacing w:val="-5"/>
        </w:rPr>
        <w:t>071</w:t>
      </w:r>
    </w:p>
    <w:p>
      <w:pPr>
        <w:pStyle w:val="BodyText"/>
        <w:spacing w:line="235" w:lineRule="auto" w:before="203"/>
        <w:ind w:left="165" w:right="167"/>
        <w:jc w:val="both"/>
      </w:pPr>
      <w:bookmarkStart w:name="_bookmark637" w:id="639"/>
      <w:bookmarkEnd w:id="639"/>
      <w:r>
        <w:rPr/>
      </w:r>
      <w:r>
        <w:rPr/>
        <w:t>Article 4 departs from the common law in establishing in art.4(2)–(4) a series of presumptions </w:t>
      </w:r>
      <w:r>
        <w:rPr/>
        <w:t>which </w:t>
      </w:r>
      <w:bookmarkStart w:name="_bookmark638" w:id="640"/>
      <w:bookmarkEnd w:id="640"/>
      <w:r>
        <w:rPr/>
        <w:t>are</w:t>
      </w:r>
      <w:r>
        <w:rPr/>
        <w:t> to be used to identify the law of the country with which the contract is most closely connected. </w:t>
      </w:r>
      <w:r>
        <w:rPr>
          <w:color w:val="005DA1"/>
          <w:u w:val="single" w:color="005DA1"/>
          <w:vertAlign w:val="superscript"/>
        </w:rPr>
        <w:t>344</w:t>
      </w:r>
      <w:r>
        <w:rPr>
          <w:color w:val="005DA1"/>
          <w:vertAlign w:val="baseline"/>
        </w:rPr>
        <w:t> </w:t>
      </w:r>
      <w:r>
        <w:rPr>
          <w:vertAlign w:val="baseline"/>
        </w:rPr>
        <w:t>Specific</w:t>
      </w:r>
      <w:r>
        <w:rPr>
          <w:spacing w:val="-2"/>
          <w:vertAlign w:val="baseline"/>
        </w:rPr>
        <w:t> </w:t>
      </w:r>
      <w:r>
        <w:rPr>
          <w:vertAlign w:val="baseline"/>
        </w:rPr>
        <w:t>presumptions</w:t>
      </w:r>
      <w:r>
        <w:rPr>
          <w:spacing w:val="-1"/>
          <w:vertAlign w:val="baseline"/>
        </w:rPr>
        <w:t> </w:t>
      </w:r>
      <w:r>
        <w:rPr>
          <w:vertAlign w:val="baseline"/>
        </w:rPr>
        <w:t>are</w:t>
      </w:r>
      <w:r>
        <w:rPr>
          <w:spacing w:val="-2"/>
          <w:vertAlign w:val="baseline"/>
        </w:rPr>
        <w:t> </w:t>
      </w:r>
      <w:r>
        <w:rPr>
          <w:vertAlign w:val="baseline"/>
        </w:rPr>
        <w:t>established</w:t>
      </w:r>
      <w:r>
        <w:rPr>
          <w:spacing w:val="-1"/>
          <w:vertAlign w:val="baseline"/>
        </w:rPr>
        <w:t> </w:t>
      </w:r>
      <w:r>
        <w:rPr>
          <w:vertAlign w:val="baseline"/>
        </w:rPr>
        <w:t>for</w:t>
      </w:r>
      <w:r>
        <w:rPr>
          <w:spacing w:val="-2"/>
          <w:vertAlign w:val="baseline"/>
        </w:rPr>
        <w:t> </w:t>
      </w:r>
      <w:r>
        <w:rPr>
          <w:vertAlign w:val="baseline"/>
        </w:rPr>
        <w:t>certain</w:t>
      </w:r>
      <w:r>
        <w:rPr>
          <w:spacing w:val="-1"/>
          <w:vertAlign w:val="baseline"/>
        </w:rPr>
        <w:t> </w:t>
      </w:r>
      <w:r>
        <w:rPr>
          <w:vertAlign w:val="baseline"/>
        </w:rPr>
        <w:t>contracts</w:t>
      </w:r>
      <w:r>
        <w:rPr>
          <w:spacing w:val="-2"/>
          <w:vertAlign w:val="baseline"/>
        </w:rPr>
        <w:t> </w:t>
      </w:r>
      <w:r>
        <w:rPr>
          <w:vertAlign w:val="baseline"/>
        </w:rPr>
        <w:t>regarding</w:t>
      </w:r>
      <w:r>
        <w:rPr>
          <w:spacing w:val="-1"/>
          <w:vertAlign w:val="baseline"/>
        </w:rPr>
        <w:t> </w:t>
      </w:r>
      <w:r>
        <w:rPr>
          <w:vertAlign w:val="baseline"/>
        </w:rPr>
        <w:t>immovables</w:t>
      </w:r>
      <w:r>
        <w:rPr>
          <w:spacing w:val="-2"/>
          <w:vertAlign w:val="baseline"/>
        </w:rPr>
        <w:t> </w:t>
      </w:r>
      <w:r>
        <w:rPr>
          <w:color w:val="005DA1"/>
          <w:u w:val="single" w:color="005DA1"/>
          <w:vertAlign w:val="superscript"/>
        </w:rPr>
        <w:t>345</w:t>
      </w:r>
      <w:r>
        <w:rPr>
          <w:color w:val="005DA1"/>
          <w:spacing w:val="-2"/>
          <w:vertAlign w:val="baseline"/>
        </w:rPr>
        <w:t> </w:t>
      </w:r>
      <w:r>
        <w:rPr>
          <w:vertAlign w:val="baseline"/>
        </w:rPr>
        <w:t>and</w:t>
      </w:r>
      <w:r>
        <w:rPr>
          <w:spacing w:val="-1"/>
          <w:vertAlign w:val="baseline"/>
        </w:rPr>
        <w:t> </w:t>
      </w:r>
      <w:r>
        <w:rPr>
          <w:vertAlign w:val="baseline"/>
        </w:rPr>
        <w:t>contracts</w:t>
      </w:r>
      <w:r>
        <w:rPr>
          <w:spacing w:val="-2"/>
          <w:vertAlign w:val="baseline"/>
        </w:rPr>
        <w:t> </w:t>
      </w:r>
      <w:r>
        <w:rPr>
          <w:spacing w:val="-5"/>
          <w:vertAlign w:val="baseline"/>
        </w:rPr>
        <w:t>for</w:t>
      </w:r>
    </w:p>
    <w:p>
      <w:pPr>
        <w:pStyle w:val="BodyText"/>
        <w:spacing w:after="0" w:line="235" w:lineRule="auto"/>
        <w:jc w:val="both"/>
        <w:sectPr>
          <w:headerReference w:type="default" r:id="rId11"/>
          <w:pgSz w:w="11900" w:h="16840"/>
          <w:pgMar w:header="971" w:footer="0" w:top="1300" w:bottom="280" w:left="1275" w:right="1275"/>
          <w:pgNumType w:start="1"/>
        </w:sectPr>
      </w:pPr>
    </w:p>
    <w:p>
      <w:pPr>
        <w:pStyle w:val="BodyText"/>
        <w:spacing w:line="235" w:lineRule="auto" w:before="110"/>
        <w:ind w:left="165" w:right="167"/>
        <w:jc w:val="both"/>
      </w:pPr>
      <w:bookmarkStart w:name="_bookmark639" w:id="641"/>
      <w:bookmarkEnd w:id="641"/>
      <w:r>
        <w:rPr/>
      </w:r>
      <w:bookmarkStart w:name="_bookmark640" w:id="642"/>
      <w:bookmarkEnd w:id="642"/>
      <w:r>
        <w:rPr/>
      </w:r>
      <w:r>
        <w:rPr/>
        <w:t>the carriage of goods. </w:t>
      </w:r>
      <w:r>
        <w:rPr>
          <w:color w:val="005DA1"/>
          <w:u w:val="single" w:color="005DA1"/>
          <w:vertAlign w:val="superscript"/>
        </w:rPr>
        <w:t>346</w:t>
      </w:r>
      <w:r>
        <w:rPr>
          <w:color w:val="005DA1"/>
          <w:vertAlign w:val="baseline"/>
        </w:rPr>
        <w:t> </w:t>
      </w:r>
      <w:r>
        <w:rPr>
          <w:vertAlign w:val="baseline"/>
        </w:rPr>
        <w:t>Article 4(2) establishes a controversial general presumption which will be applicable in cases involving most other types of contract. </w:t>
      </w:r>
      <w:r>
        <w:rPr>
          <w:color w:val="005DA1"/>
          <w:u w:val="single" w:color="005DA1"/>
          <w:vertAlign w:val="superscript"/>
        </w:rPr>
        <w:t>347</w:t>
      </w:r>
      <w:r>
        <w:rPr>
          <w:color w:val="005DA1"/>
          <w:vertAlign w:val="baseline"/>
        </w:rPr>
        <w:t> </w:t>
      </w:r>
      <w:r>
        <w:rPr>
          <w:vertAlign w:val="baseline"/>
        </w:rPr>
        <w:t>However, these presumptions, </w:t>
      </w:r>
      <w:r>
        <w:rPr>
          <w:vertAlign w:val="baseline"/>
        </w:rPr>
        <w:t>where applicable, are to be disregarded if it appears from the circumstances as a whole that the contract is more closely connected with another country than it is with the country whose law is indicated by </w:t>
      </w:r>
      <w:bookmarkStart w:name="_bookmark641" w:id="643"/>
      <w:bookmarkEnd w:id="643"/>
      <w:r>
        <w:rPr>
          <w:vertAlign w:val="baseline"/>
        </w:rPr>
        <w:t>application</w:t>
      </w:r>
      <w:r>
        <w:rPr>
          <w:vertAlign w:val="baseline"/>
        </w:rPr>
        <w:t> of the presumption, in which case the law applicable to the contract will be the law of the former country. </w:t>
      </w:r>
      <w:r>
        <w:rPr>
          <w:color w:val="005DA1"/>
          <w:u w:val="single" w:color="005DA1"/>
          <w:vertAlign w:val="superscript"/>
        </w:rPr>
        <w:t>348</w:t>
      </w:r>
      <w:r>
        <w:rPr>
          <w:color w:val="005DA1"/>
          <w:vertAlign w:val="baseline"/>
        </w:rPr>
        <w:t> </w:t>
      </w:r>
      <w:r>
        <w:rPr>
          <w:vertAlign w:val="baseline"/>
        </w:rPr>
        <w:t>These various elements of art.4 are discussed in the following paragraphs.</w:t>
      </w:r>
    </w:p>
    <w:p>
      <w:pPr>
        <w:pStyle w:val="BodyText"/>
      </w:pPr>
    </w:p>
    <w:p>
      <w:pPr>
        <w:pStyle w:val="BodyText"/>
        <w:spacing w:before="36"/>
      </w:pPr>
    </w:p>
    <w:p>
      <w:pPr>
        <w:spacing w:before="1"/>
        <w:ind w:left="165" w:right="0" w:firstLine="0"/>
        <w:jc w:val="both"/>
        <w:rPr>
          <w:rFonts w:ascii="Arial"/>
          <w:b/>
          <w:sz w:val="18"/>
        </w:rPr>
      </w:pPr>
      <w:r>
        <w:rPr>
          <w:rFonts w:ascii="Arial"/>
          <w:b/>
          <w:sz w:val="18"/>
        </w:rPr>
        <w:t>The general </w:t>
      </w:r>
      <w:r>
        <w:rPr>
          <w:rFonts w:ascii="Arial"/>
          <w:b/>
          <w:spacing w:val="-2"/>
          <w:sz w:val="18"/>
        </w:rPr>
        <w:t>presumption</w:t>
      </w:r>
    </w:p>
    <w:p>
      <w:pPr>
        <w:pStyle w:val="BodyText"/>
        <w:spacing w:before="41"/>
        <w:rPr>
          <w:rFonts w:ascii="Arial"/>
          <w:b/>
          <w:sz w:val="18"/>
        </w:rPr>
      </w:pPr>
    </w:p>
    <w:p>
      <w:pPr>
        <w:pStyle w:val="Heading2"/>
      </w:pPr>
      <w:r>
        <w:rPr/>
        <w:t>30-</w:t>
      </w:r>
      <w:r>
        <w:rPr>
          <w:spacing w:val="-5"/>
        </w:rPr>
        <w:t>072</w:t>
      </w:r>
    </w:p>
    <w:p>
      <w:pPr>
        <w:pStyle w:val="BodyText"/>
        <w:spacing w:before="199"/>
        <w:ind w:left="165"/>
        <w:jc w:val="both"/>
      </w:pPr>
      <w:r>
        <w:rPr/>
        <w:t>Article 4(2) provides as </w:t>
      </w:r>
      <w:r>
        <w:rPr>
          <w:spacing w:val="-2"/>
        </w:rPr>
        <w:t>follows:</w:t>
      </w:r>
    </w:p>
    <w:p>
      <w:pPr>
        <w:pStyle w:val="BodyText"/>
      </w:pPr>
    </w:p>
    <w:p>
      <w:pPr>
        <w:pStyle w:val="BodyText"/>
        <w:spacing w:before="125"/>
      </w:pPr>
    </w:p>
    <w:p>
      <w:pPr>
        <w:pStyle w:val="BodyText"/>
        <w:spacing w:line="235" w:lineRule="auto"/>
        <w:ind w:left="1245" w:right="167"/>
        <w:jc w:val="both"/>
      </w:pPr>
      <w:r>
        <w:rPr/>
        <w:t>“Subject to the provisions of paragraph 5 of this Article, it shall be presumed that </w:t>
      </w:r>
      <w:r>
        <w:rPr/>
        <w:t>the contract is most closely connected with the country where the party who is to effect the performance which is characteristic of the contract has, at the time of the conclusion of the contract, his habitual residence, or, in the case of a body corporate or unincorporate, its central administration. However, if the contract is entered into in the course of that party’s</w:t>
      </w:r>
      <w:r>
        <w:rPr>
          <w:spacing w:val="-2"/>
        </w:rPr>
        <w:t> </w:t>
      </w:r>
      <w:r>
        <w:rPr/>
        <w:t>trade</w:t>
      </w:r>
      <w:r>
        <w:rPr>
          <w:spacing w:val="-2"/>
        </w:rPr>
        <w:t> </w:t>
      </w:r>
      <w:r>
        <w:rPr/>
        <w:t>or</w:t>
      </w:r>
      <w:r>
        <w:rPr>
          <w:spacing w:val="-2"/>
        </w:rPr>
        <w:t> </w:t>
      </w:r>
      <w:r>
        <w:rPr/>
        <w:t>profession,</w:t>
      </w:r>
      <w:r>
        <w:rPr>
          <w:spacing w:val="-2"/>
        </w:rPr>
        <w:t> </w:t>
      </w:r>
      <w:r>
        <w:rPr/>
        <w:t>that</w:t>
      </w:r>
      <w:r>
        <w:rPr>
          <w:spacing w:val="-2"/>
        </w:rPr>
        <w:t> </w:t>
      </w:r>
      <w:r>
        <w:rPr/>
        <w:t>country</w:t>
      </w:r>
      <w:r>
        <w:rPr>
          <w:spacing w:val="-2"/>
        </w:rPr>
        <w:t> </w:t>
      </w:r>
      <w:r>
        <w:rPr/>
        <w:t>shall</w:t>
      </w:r>
      <w:r>
        <w:rPr>
          <w:spacing w:val="-2"/>
        </w:rPr>
        <w:t> </w:t>
      </w:r>
      <w:r>
        <w:rPr/>
        <w:t>be</w:t>
      </w:r>
      <w:r>
        <w:rPr>
          <w:spacing w:val="-2"/>
        </w:rPr>
        <w:t> </w:t>
      </w:r>
      <w:r>
        <w:rPr/>
        <w:t>the</w:t>
      </w:r>
      <w:r>
        <w:rPr>
          <w:spacing w:val="-2"/>
        </w:rPr>
        <w:t> </w:t>
      </w:r>
      <w:r>
        <w:rPr/>
        <w:t>country</w:t>
      </w:r>
      <w:r>
        <w:rPr>
          <w:spacing w:val="-2"/>
        </w:rPr>
        <w:t> </w:t>
      </w:r>
      <w:r>
        <w:rPr/>
        <w:t>in</w:t>
      </w:r>
      <w:r>
        <w:rPr>
          <w:spacing w:val="-2"/>
        </w:rPr>
        <w:t> </w:t>
      </w:r>
      <w:r>
        <w:rPr/>
        <w:t>which</w:t>
      </w:r>
      <w:r>
        <w:rPr>
          <w:spacing w:val="-2"/>
        </w:rPr>
        <w:t> </w:t>
      </w:r>
      <w:r>
        <w:rPr/>
        <w:t>the</w:t>
      </w:r>
      <w:r>
        <w:rPr>
          <w:spacing w:val="-2"/>
        </w:rPr>
        <w:t> </w:t>
      </w:r>
      <w:r>
        <w:rPr/>
        <w:t>principal</w:t>
      </w:r>
      <w:r>
        <w:rPr>
          <w:spacing w:val="-2"/>
        </w:rPr>
        <w:t> </w:t>
      </w:r>
      <w:r>
        <w:rPr/>
        <w:t>place</w:t>
      </w:r>
      <w:r>
        <w:rPr>
          <w:spacing w:val="-2"/>
        </w:rPr>
        <w:t> </w:t>
      </w:r>
      <w:r>
        <w:rPr/>
        <w:t>of business is situated or, where under the terms of the contract the performance is to be effected through a place of business other than the principal place of business, the country in which that other place of business is situated.”</w:t>
      </w:r>
    </w:p>
    <w:p>
      <w:pPr>
        <w:pStyle w:val="BodyText"/>
        <w:spacing w:before="114"/>
      </w:pPr>
    </w:p>
    <w:p>
      <w:pPr>
        <w:pStyle w:val="BodyText"/>
        <w:spacing w:line="235" w:lineRule="auto"/>
        <w:ind w:left="165" w:right="167"/>
        <w:jc w:val="both"/>
      </w:pPr>
      <w:r>
        <w:rPr/>
        <w:t>It can be seen that application of this rule involves, first, the identification of the “characteristic performance” of the contract in question. The law applicable to the contract will then, </w:t>
      </w:r>
      <w:r>
        <w:rPr/>
        <w:t>presumptively, be the law of the habitual residence or central administration (as the case may be) of the party who is to effect that characteristic performance. Secondly, however, if the contract is entered into in the course of the “characteristic performer’s” trade or profession, then the applicable law will, presumptively, be the law of the characteristic performer’s principal place of business. But where, thirdly, under the terms of the contract performance is to be effected through a place of business</w:t>
      </w:r>
      <w:r>
        <w:rPr>
          <w:spacing w:val="40"/>
        </w:rPr>
        <w:t> </w:t>
      </w:r>
      <w:r>
        <w:rPr/>
        <w:t>other than the characteristic performer’s principal place of business, the applicable law will be, presumptively, the law of the country in which that other place of business is situated.</w:t>
      </w:r>
    </w:p>
    <w:p>
      <w:pPr>
        <w:pStyle w:val="BodyText"/>
      </w:pPr>
    </w:p>
    <w:p>
      <w:pPr>
        <w:pStyle w:val="BodyText"/>
        <w:spacing w:before="35"/>
      </w:pPr>
    </w:p>
    <w:p>
      <w:pPr>
        <w:spacing w:before="0"/>
        <w:ind w:left="165" w:right="0" w:firstLine="0"/>
        <w:jc w:val="left"/>
        <w:rPr>
          <w:rFonts w:ascii="Arial"/>
          <w:b/>
          <w:sz w:val="18"/>
        </w:rPr>
      </w:pPr>
      <w:bookmarkStart w:name="_bookmark642" w:id="644"/>
      <w:bookmarkEnd w:id="644"/>
      <w:r>
        <w:rPr/>
      </w:r>
      <w:r>
        <w:rPr>
          <w:rFonts w:ascii="Arial"/>
          <w:b/>
          <w:sz w:val="18"/>
        </w:rPr>
        <w:t>Characteristic performance</w:t>
      </w:r>
      <w:r>
        <w:rPr>
          <w:rFonts w:ascii="Arial"/>
          <w:b/>
          <w:spacing w:val="-1"/>
          <w:sz w:val="18"/>
        </w:rPr>
        <w:t> </w:t>
      </w:r>
      <w:r>
        <w:rPr>
          <w:rFonts w:ascii="Arial"/>
          <w:b/>
          <w:color w:val="005DA1"/>
          <w:spacing w:val="-5"/>
          <w:sz w:val="18"/>
          <w:u w:val="single" w:color="005DA1"/>
          <w:vertAlign w:val="superscript"/>
        </w:rPr>
        <w:t>349</w:t>
      </w:r>
    </w:p>
    <w:p>
      <w:pPr>
        <w:pStyle w:val="BodyText"/>
        <w:spacing w:before="41"/>
        <w:rPr>
          <w:rFonts w:ascii="Arial"/>
          <w:b/>
          <w:sz w:val="18"/>
        </w:rPr>
      </w:pPr>
    </w:p>
    <w:p>
      <w:pPr>
        <w:pStyle w:val="Heading2"/>
      </w:pPr>
      <w:r>
        <w:rPr/>
        <w:t>30-</w:t>
      </w:r>
      <w:r>
        <w:rPr>
          <w:spacing w:val="-5"/>
        </w:rPr>
        <w:t>073</w:t>
      </w:r>
    </w:p>
    <w:p>
      <w:pPr>
        <w:pStyle w:val="BodyText"/>
        <w:spacing w:line="235" w:lineRule="auto" w:before="203"/>
        <w:ind w:left="164" w:right="167"/>
        <w:jc w:val="both"/>
      </w:pPr>
      <w:bookmarkStart w:name="_bookmark643" w:id="645"/>
      <w:bookmarkEnd w:id="645"/>
      <w:r>
        <w:rPr/>
      </w:r>
      <w:r>
        <w:rPr/>
        <w:t>The</w:t>
      </w:r>
      <w:r>
        <w:rPr>
          <w:spacing w:val="-2"/>
        </w:rPr>
        <w:t> </w:t>
      </w:r>
      <w:r>
        <w:rPr/>
        <w:t>central</w:t>
      </w:r>
      <w:r>
        <w:rPr>
          <w:spacing w:val="-2"/>
        </w:rPr>
        <w:t> </w:t>
      </w:r>
      <w:r>
        <w:rPr/>
        <w:t>concept</w:t>
      </w:r>
      <w:r>
        <w:rPr>
          <w:spacing w:val="-2"/>
        </w:rPr>
        <w:t> </w:t>
      </w:r>
      <w:r>
        <w:rPr/>
        <w:t>of</w:t>
      </w:r>
      <w:r>
        <w:rPr>
          <w:spacing w:val="-2"/>
        </w:rPr>
        <w:t> </w:t>
      </w:r>
      <w:r>
        <w:rPr/>
        <w:t>art.4(2)</w:t>
      </w:r>
      <w:r>
        <w:rPr>
          <w:spacing w:val="-2"/>
        </w:rPr>
        <w:t> </w:t>
      </w:r>
      <w:r>
        <w:rPr/>
        <w:t>is</w:t>
      </w:r>
      <w:r>
        <w:rPr>
          <w:spacing w:val="-2"/>
        </w:rPr>
        <w:t> </w:t>
      </w:r>
      <w:r>
        <w:rPr/>
        <w:t>that</w:t>
      </w:r>
      <w:r>
        <w:rPr>
          <w:spacing w:val="-2"/>
        </w:rPr>
        <w:t> </w:t>
      </w:r>
      <w:r>
        <w:rPr/>
        <w:t>of</w:t>
      </w:r>
      <w:r>
        <w:rPr>
          <w:spacing w:val="-2"/>
        </w:rPr>
        <w:t> </w:t>
      </w:r>
      <w:r>
        <w:rPr/>
        <w:t>the</w:t>
      </w:r>
      <w:r>
        <w:rPr>
          <w:spacing w:val="-2"/>
        </w:rPr>
        <w:t> </w:t>
      </w:r>
      <w:r>
        <w:rPr/>
        <w:t>“characteristic</w:t>
      </w:r>
      <w:r>
        <w:rPr>
          <w:spacing w:val="-2"/>
        </w:rPr>
        <w:t> </w:t>
      </w:r>
      <w:r>
        <w:rPr/>
        <w:t>performance”</w:t>
      </w:r>
      <w:r>
        <w:rPr>
          <w:spacing w:val="-2"/>
        </w:rPr>
        <w:t> </w:t>
      </w:r>
      <w:r>
        <w:rPr/>
        <w:t>of</w:t>
      </w:r>
      <w:r>
        <w:rPr>
          <w:spacing w:val="-2"/>
        </w:rPr>
        <w:t> </w:t>
      </w:r>
      <w:r>
        <w:rPr/>
        <w:t>a</w:t>
      </w:r>
      <w:r>
        <w:rPr>
          <w:spacing w:val="-2"/>
        </w:rPr>
        <w:t> </w:t>
      </w:r>
      <w:r>
        <w:rPr/>
        <w:t>contract.</w:t>
      </w:r>
      <w:r>
        <w:rPr>
          <w:spacing w:val="-2"/>
        </w:rPr>
        <w:t> </w:t>
      </w:r>
      <w:r>
        <w:rPr/>
        <w:t>The</w:t>
      </w:r>
      <w:r>
        <w:rPr>
          <w:spacing w:val="-2"/>
        </w:rPr>
        <w:t> </w:t>
      </w:r>
      <w:r>
        <w:rPr/>
        <w:t>expression </w:t>
      </w:r>
      <w:bookmarkStart w:name="_bookmark644" w:id="646"/>
      <w:bookmarkEnd w:id="646"/>
      <w:r>
        <w:rPr/>
        <w:t>is</w:t>
      </w:r>
      <w:r>
        <w:rPr/>
        <w:t> not defined in the Convention itself and is a novel one for contracting states, </w:t>
      </w:r>
      <w:r>
        <w:rPr>
          <w:color w:val="005DA1"/>
          <w:u w:val="single" w:color="005DA1"/>
          <w:vertAlign w:val="superscript"/>
        </w:rPr>
        <w:t>350</w:t>
      </w:r>
      <w:r>
        <w:rPr>
          <w:color w:val="005DA1"/>
          <w:vertAlign w:val="baseline"/>
        </w:rPr>
        <w:t> </w:t>
      </w:r>
      <w:r>
        <w:rPr>
          <w:vertAlign w:val="baseline"/>
        </w:rPr>
        <w:t>owing its origin to Swiss law. </w:t>
      </w:r>
      <w:r>
        <w:rPr>
          <w:color w:val="005DA1"/>
          <w:u w:val="single" w:color="005DA1"/>
          <w:vertAlign w:val="superscript"/>
        </w:rPr>
        <w:t>351</w:t>
      </w:r>
      <w:r>
        <w:rPr>
          <w:color w:val="005DA1"/>
          <w:vertAlign w:val="baseline"/>
        </w:rPr>
        <w:t> </w:t>
      </w:r>
      <w:r>
        <w:rPr>
          <w:vertAlign w:val="baseline"/>
        </w:rPr>
        <w:t>Elucidation of the concept involves identifying specific contracts and then identifying </w:t>
      </w:r>
      <w:r>
        <w:rPr>
          <w:vertAlign w:val="baseline"/>
        </w:rPr>
        <w:t>in </w:t>
      </w:r>
      <w:bookmarkStart w:name="_bookmark645" w:id="647"/>
      <w:bookmarkEnd w:id="647"/>
      <w:r>
        <w:rPr>
          <w:vertAlign w:val="baseline"/>
        </w:rPr>
        <w:t>relation</w:t>
      </w:r>
      <w:r>
        <w:rPr>
          <w:spacing w:val="-1"/>
          <w:vertAlign w:val="baseline"/>
        </w:rPr>
        <w:t> </w:t>
      </w:r>
      <w:r>
        <w:rPr>
          <w:vertAlign w:val="baseline"/>
        </w:rPr>
        <w:t>to</w:t>
      </w:r>
      <w:r>
        <w:rPr>
          <w:spacing w:val="-1"/>
          <w:vertAlign w:val="baseline"/>
        </w:rPr>
        <w:t> </w:t>
      </w:r>
      <w:r>
        <w:rPr>
          <w:vertAlign w:val="baseline"/>
        </w:rPr>
        <w:t>each</w:t>
      </w:r>
      <w:r>
        <w:rPr>
          <w:spacing w:val="-1"/>
          <w:vertAlign w:val="baseline"/>
        </w:rPr>
        <w:t> </w:t>
      </w:r>
      <w:r>
        <w:rPr>
          <w:vertAlign w:val="baseline"/>
        </w:rPr>
        <w:t>such</w:t>
      </w:r>
      <w:r>
        <w:rPr>
          <w:spacing w:val="-1"/>
          <w:vertAlign w:val="baseline"/>
        </w:rPr>
        <w:t> </w:t>
      </w:r>
      <w:r>
        <w:rPr>
          <w:vertAlign w:val="baseline"/>
        </w:rPr>
        <w:t>contract</w:t>
      </w:r>
      <w:r>
        <w:rPr>
          <w:spacing w:val="-1"/>
          <w:vertAlign w:val="baseline"/>
        </w:rPr>
        <w:t> </w:t>
      </w:r>
      <w:r>
        <w:rPr>
          <w:vertAlign w:val="baseline"/>
        </w:rPr>
        <w:t>the</w:t>
      </w:r>
      <w:r>
        <w:rPr>
          <w:spacing w:val="-1"/>
          <w:vertAlign w:val="baseline"/>
        </w:rPr>
        <w:t> </w:t>
      </w:r>
      <w:r>
        <w:rPr>
          <w:vertAlign w:val="baseline"/>
        </w:rPr>
        <w:t>performance</w:t>
      </w:r>
      <w:r>
        <w:rPr>
          <w:spacing w:val="-1"/>
          <w:vertAlign w:val="baseline"/>
        </w:rPr>
        <w:t> </w:t>
      </w:r>
      <w:r>
        <w:rPr>
          <w:vertAlign w:val="baseline"/>
        </w:rPr>
        <w:t>which</w:t>
      </w:r>
      <w:r>
        <w:rPr>
          <w:spacing w:val="-1"/>
          <w:vertAlign w:val="baseline"/>
        </w:rPr>
        <w:t> </w:t>
      </w:r>
      <w:r>
        <w:rPr>
          <w:vertAlign w:val="baseline"/>
        </w:rPr>
        <w:t>characterises</w:t>
      </w:r>
      <w:r>
        <w:rPr>
          <w:spacing w:val="-1"/>
          <w:vertAlign w:val="baseline"/>
        </w:rPr>
        <w:t> </w:t>
      </w:r>
      <w:r>
        <w:rPr>
          <w:vertAlign w:val="baseline"/>
        </w:rPr>
        <w:t>or</w:t>
      </w:r>
      <w:r>
        <w:rPr>
          <w:spacing w:val="-1"/>
          <w:vertAlign w:val="baseline"/>
        </w:rPr>
        <w:t> </w:t>
      </w:r>
      <w:r>
        <w:rPr>
          <w:vertAlign w:val="baseline"/>
        </w:rPr>
        <w:t>typifies</w:t>
      </w:r>
      <w:r>
        <w:rPr>
          <w:spacing w:val="-1"/>
          <w:vertAlign w:val="baseline"/>
        </w:rPr>
        <w:t> </w:t>
      </w:r>
      <w:r>
        <w:rPr>
          <w:vertAlign w:val="baseline"/>
        </w:rPr>
        <w:t>the</w:t>
      </w:r>
      <w:r>
        <w:rPr>
          <w:spacing w:val="-1"/>
          <w:vertAlign w:val="baseline"/>
        </w:rPr>
        <w:t> </w:t>
      </w:r>
      <w:r>
        <w:rPr>
          <w:vertAlign w:val="baseline"/>
        </w:rPr>
        <w:t>relevant</w:t>
      </w:r>
      <w:r>
        <w:rPr>
          <w:spacing w:val="-1"/>
          <w:vertAlign w:val="baseline"/>
        </w:rPr>
        <w:t> </w:t>
      </w:r>
      <w:r>
        <w:rPr>
          <w:vertAlign w:val="baseline"/>
        </w:rPr>
        <w:t>contract,</w:t>
      </w:r>
      <w:r>
        <w:rPr>
          <w:spacing w:val="-1"/>
          <w:vertAlign w:val="baseline"/>
        </w:rPr>
        <w:t> </w:t>
      </w:r>
      <w:r>
        <w:rPr>
          <w:vertAlign w:val="baseline"/>
        </w:rPr>
        <w:t>in </w:t>
      </w:r>
      <w:bookmarkStart w:name="_bookmark646" w:id="648"/>
      <w:bookmarkEnd w:id="648"/>
      <w:r>
        <w:rPr>
          <w:vertAlign w:val="baseline"/>
        </w:rPr>
        <w:t>reality</w:t>
      </w:r>
      <w:r>
        <w:rPr>
          <w:vertAlign w:val="baseline"/>
        </w:rPr>
        <w:t> identifying the obligation which is peculiar to the contract under consideration. </w:t>
      </w:r>
      <w:r>
        <w:rPr>
          <w:color w:val="005DA1"/>
          <w:u w:val="single" w:color="005DA1"/>
          <w:vertAlign w:val="superscript"/>
        </w:rPr>
        <w:t>352</w:t>
      </w:r>
      <w:r>
        <w:rPr>
          <w:color w:val="005DA1"/>
          <w:vertAlign w:val="baseline"/>
        </w:rPr>
        <w:t> </w:t>
      </w:r>
      <w:r>
        <w:rPr>
          <w:vertAlign w:val="baseline"/>
        </w:rPr>
        <w:t>The concept has been much criticised, </w:t>
      </w:r>
      <w:r>
        <w:rPr>
          <w:color w:val="005DA1"/>
          <w:u w:val="single" w:color="005DA1"/>
          <w:vertAlign w:val="superscript"/>
        </w:rPr>
        <w:t>353</w:t>
      </w:r>
      <w:r>
        <w:rPr>
          <w:color w:val="005DA1"/>
          <w:vertAlign w:val="baseline"/>
        </w:rPr>
        <w:t> </w:t>
      </w:r>
      <w:r>
        <w:rPr>
          <w:vertAlign w:val="baseline"/>
        </w:rPr>
        <w:t>but is greeted with effusion in the Giuliano-Lagarde Report:</w:t>
      </w:r>
    </w:p>
    <w:p>
      <w:pPr>
        <w:pStyle w:val="BodyText"/>
      </w:pPr>
    </w:p>
    <w:p>
      <w:pPr>
        <w:pStyle w:val="BodyText"/>
        <w:spacing w:before="124"/>
      </w:pPr>
    </w:p>
    <w:p>
      <w:pPr>
        <w:pStyle w:val="BodyText"/>
        <w:spacing w:line="235" w:lineRule="auto"/>
        <w:ind w:left="1245" w:right="167"/>
        <w:jc w:val="both"/>
      </w:pPr>
      <w:r>
        <w:rPr/>
        <w:t>“… this performance refers to the function which the legal relationship involved fulfils </w:t>
      </w:r>
      <w:r>
        <w:rPr/>
        <w:t>in the economic and social life of any country. The concept of characteristic performance </w:t>
      </w:r>
      <w:bookmarkStart w:name="_bookmark647" w:id="649"/>
      <w:bookmarkEnd w:id="649"/>
      <w:r>
        <w:rPr/>
        <w:t>essentially</w:t>
      </w:r>
      <w:r>
        <w:rPr/>
        <w:t> links the contract to the social and economic environment of which it forms part.” </w:t>
      </w:r>
      <w:r>
        <w:rPr>
          <w:color w:val="005DA1"/>
          <w:u w:val="single" w:color="005DA1"/>
          <w:vertAlign w:val="superscript"/>
        </w:rPr>
        <w:t>354</w:t>
      </w:r>
    </w:p>
    <w:p>
      <w:pPr>
        <w:pStyle w:val="BodyText"/>
      </w:pPr>
    </w:p>
    <w:p>
      <w:pPr>
        <w:pStyle w:val="BodyText"/>
      </w:pPr>
    </w:p>
    <w:p>
      <w:pPr>
        <w:pStyle w:val="BodyText"/>
        <w:spacing w:before="154"/>
      </w:pPr>
    </w:p>
    <w:p>
      <w:pPr>
        <w:spacing w:before="0"/>
        <w:ind w:left="165" w:right="0" w:firstLine="0"/>
        <w:jc w:val="left"/>
        <w:rPr>
          <w:rFonts w:ascii="Arial" w:hAnsi="Arial"/>
          <w:b/>
          <w:sz w:val="18"/>
        </w:rPr>
      </w:pPr>
      <w:r>
        <w:rPr>
          <w:rFonts w:ascii="Arial" w:hAnsi="Arial"/>
          <w:b/>
          <w:sz w:val="18"/>
        </w:rPr>
        <w:t>Performance for which payment due </w:t>
      </w:r>
      <w:r>
        <w:rPr>
          <w:rFonts w:ascii="Arial" w:hAnsi="Arial"/>
          <w:b/>
          <w:spacing w:val="-2"/>
          <w:sz w:val="18"/>
        </w:rPr>
        <w:t>“characteristic”</w:t>
      </w:r>
    </w:p>
    <w:p>
      <w:pPr>
        <w:pStyle w:val="BodyText"/>
        <w:spacing w:before="41"/>
        <w:rPr>
          <w:rFonts w:ascii="Arial"/>
          <w:b/>
          <w:sz w:val="18"/>
        </w:rPr>
      </w:pPr>
    </w:p>
    <w:p>
      <w:pPr>
        <w:pStyle w:val="Heading2"/>
        <w:spacing w:before="1"/>
      </w:pPr>
      <w:r>
        <w:rPr/>
        <w:t>30-</w:t>
      </w:r>
      <w:r>
        <w:rPr>
          <w:spacing w:val="-5"/>
        </w:rPr>
        <w:t>074</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r>
        <w:rPr/>
        <w:t>According to the Giuliano-Lagarde Report, which purports to provide guidance to the application of</w:t>
      </w:r>
      <w:r>
        <w:rPr>
          <w:spacing w:val="40"/>
        </w:rPr>
        <w:t> </w:t>
      </w:r>
      <w:bookmarkStart w:name="_bookmark648" w:id="650"/>
      <w:bookmarkEnd w:id="650"/>
      <w:r>
        <w:rPr/>
        <w:t>the</w:t>
      </w:r>
      <w:r>
        <w:rPr/>
        <w:t> doctrine, identifying characteristic performance causes no difficulty in the case of unilateral </w:t>
      </w:r>
      <w:bookmarkStart w:name="_bookmark649" w:id="651"/>
      <w:bookmarkEnd w:id="651"/>
      <w:r>
        <w:rPr/>
        <w:t>contracts.</w:t>
      </w:r>
      <w:r>
        <w:rPr/>
        <w:t> </w:t>
      </w:r>
      <w:r>
        <w:rPr>
          <w:color w:val="005DA1"/>
          <w:u w:val="single" w:color="005DA1"/>
          <w:vertAlign w:val="superscript"/>
        </w:rPr>
        <w:t>355</w:t>
      </w:r>
      <w:r>
        <w:rPr>
          <w:color w:val="005DA1"/>
          <w:vertAlign w:val="baseline"/>
        </w:rPr>
        <w:t> </w:t>
      </w:r>
      <w:r>
        <w:rPr>
          <w:vertAlign w:val="baseline"/>
        </w:rPr>
        <w:t>Since in such contracts only one party agrees to confer a benefit on another, the characteristic</w:t>
      </w:r>
      <w:r>
        <w:rPr>
          <w:spacing w:val="-2"/>
          <w:vertAlign w:val="baseline"/>
        </w:rPr>
        <w:t> </w:t>
      </w:r>
      <w:r>
        <w:rPr>
          <w:vertAlign w:val="baseline"/>
        </w:rPr>
        <w:t>performance</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that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party</w:t>
      </w:r>
      <w:r>
        <w:rPr>
          <w:spacing w:val="-2"/>
          <w:vertAlign w:val="baseline"/>
        </w:rPr>
        <w:t> </w:t>
      </w:r>
      <w:r>
        <w:rPr>
          <w:vertAlign w:val="baseline"/>
        </w:rPr>
        <w:t>agreeing</w:t>
      </w:r>
      <w:r>
        <w:rPr>
          <w:spacing w:val="-2"/>
          <w:vertAlign w:val="baseline"/>
        </w:rPr>
        <w:t> </w:t>
      </w:r>
      <w:r>
        <w:rPr>
          <w:vertAlign w:val="baseline"/>
        </w:rPr>
        <w:t>to</w:t>
      </w:r>
      <w:r>
        <w:rPr>
          <w:spacing w:val="-2"/>
          <w:vertAlign w:val="baseline"/>
        </w:rPr>
        <w:t> </w:t>
      </w:r>
      <w:r>
        <w:rPr>
          <w:vertAlign w:val="baseline"/>
        </w:rPr>
        <w:t>confer</w:t>
      </w:r>
      <w:r>
        <w:rPr>
          <w:spacing w:val="-2"/>
          <w:vertAlign w:val="baseline"/>
        </w:rPr>
        <w:t> </w:t>
      </w:r>
      <w:r>
        <w:rPr>
          <w:vertAlign w:val="baseline"/>
        </w:rPr>
        <w:t>the</w:t>
      </w:r>
      <w:r>
        <w:rPr>
          <w:spacing w:val="-2"/>
          <w:vertAlign w:val="baseline"/>
        </w:rPr>
        <w:t> </w:t>
      </w:r>
      <w:r>
        <w:rPr>
          <w:vertAlign w:val="baseline"/>
        </w:rPr>
        <w:t>benefit.</w:t>
      </w:r>
      <w:r>
        <w:rPr>
          <w:spacing w:val="-3"/>
          <w:vertAlign w:val="baseline"/>
        </w:rPr>
        <w:t> </w:t>
      </w:r>
      <w:r>
        <w:rPr>
          <w:color w:val="005DA1"/>
          <w:u w:val="single" w:color="005DA1"/>
          <w:vertAlign w:val="superscript"/>
        </w:rPr>
        <w:t>356</w:t>
      </w:r>
      <w:r>
        <w:rPr>
          <w:color w:val="005DA1"/>
          <w:spacing w:val="-2"/>
          <w:vertAlign w:val="baseline"/>
        </w:rPr>
        <w:t> </w:t>
      </w:r>
      <w:r>
        <w:rPr>
          <w:vertAlign w:val="baseline"/>
        </w:rPr>
        <w:t>More</w:t>
      </w:r>
      <w:r>
        <w:rPr>
          <w:spacing w:val="-2"/>
          <w:vertAlign w:val="baseline"/>
        </w:rPr>
        <w:t> </w:t>
      </w:r>
      <w:r>
        <w:rPr>
          <w:vertAlign w:val="baseline"/>
        </w:rPr>
        <w:t>controversy surrounds the analysis of reciprocal or bilateral contracts in which each party has to perform obligations. The Report points out that the performance of:</w:t>
      </w:r>
    </w:p>
    <w:p>
      <w:pPr>
        <w:pStyle w:val="BodyText"/>
      </w:pPr>
    </w:p>
    <w:p>
      <w:pPr>
        <w:pStyle w:val="BodyText"/>
        <w:spacing w:before="125"/>
      </w:pPr>
    </w:p>
    <w:p>
      <w:pPr>
        <w:pStyle w:val="BodyText"/>
        <w:spacing w:line="235" w:lineRule="auto"/>
        <w:ind w:left="1245" w:right="167"/>
        <w:jc w:val="both"/>
      </w:pPr>
      <w:r>
        <w:rPr/>
        <w:t>“… one of the parties in a modern economy usually takes the form of the payment of money. This is not, of course, the characteristic performance of the contract. It is </w:t>
      </w:r>
      <w:r>
        <w:rPr/>
        <w:t>the performance</w:t>
      </w:r>
      <w:r>
        <w:rPr>
          <w:spacing w:val="-3"/>
        </w:rPr>
        <w:t> </w:t>
      </w:r>
      <w:r>
        <w:rPr/>
        <w:t>for</w:t>
      </w:r>
      <w:r>
        <w:rPr>
          <w:spacing w:val="-3"/>
        </w:rPr>
        <w:t> </w:t>
      </w:r>
      <w:r>
        <w:rPr/>
        <w:t>which</w:t>
      </w:r>
      <w:r>
        <w:rPr>
          <w:spacing w:val="-3"/>
        </w:rPr>
        <w:t> </w:t>
      </w:r>
      <w:r>
        <w:rPr/>
        <w:t>payment</w:t>
      </w:r>
      <w:r>
        <w:rPr>
          <w:spacing w:val="-3"/>
        </w:rPr>
        <w:t> </w:t>
      </w:r>
      <w:r>
        <w:rPr/>
        <w:t>is</w:t>
      </w:r>
      <w:r>
        <w:rPr>
          <w:spacing w:val="-3"/>
        </w:rPr>
        <w:t> </w:t>
      </w:r>
      <w:r>
        <w:rPr/>
        <w:t>due,</w:t>
      </w:r>
      <w:r>
        <w:rPr>
          <w:spacing w:val="-3"/>
        </w:rPr>
        <w:t> </w:t>
      </w:r>
      <w:r>
        <w:rPr/>
        <w:t>i.e.</w:t>
      </w:r>
      <w:r>
        <w:rPr>
          <w:spacing w:val="-3"/>
        </w:rPr>
        <w:t> </w:t>
      </w:r>
      <w:r>
        <w:rPr/>
        <w:t>depending</w:t>
      </w:r>
      <w:r>
        <w:rPr>
          <w:spacing w:val="-3"/>
        </w:rPr>
        <w:t> </w:t>
      </w:r>
      <w:r>
        <w:rPr/>
        <w:t>on</w:t>
      </w:r>
      <w:r>
        <w:rPr>
          <w:spacing w:val="-3"/>
        </w:rPr>
        <w:t> </w:t>
      </w:r>
      <w:r>
        <w:rPr/>
        <w:t>the</w:t>
      </w:r>
      <w:r>
        <w:rPr>
          <w:spacing w:val="-3"/>
        </w:rPr>
        <w:t> </w:t>
      </w:r>
      <w:r>
        <w:rPr/>
        <w:t>type</w:t>
      </w:r>
      <w:r>
        <w:rPr>
          <w:spacing w:val="-3"/>
        </w:rPr>
        <w:t> </w:t>
      </w:r>
      <w:r>
        <w:rPr/>
        <w:t>of</w:t>
      </w:r>
      <w:r>
        <w:rPr>
          <w:spacing w:val="-3"/>
        </w:rPr>
        <w:t> </w:t>
      </w:r>
      <w:r>
        <w:rPr/>
        <w:t>contract,</w:t>
      </w:r>
      <w:r>
        <w:rPr>
          <w:spacing w:val="-3"/>
        </w:rPr>
        <w:t> </w:t>
      </w:r>
      <w:r>
        <w:rPr/>
        <w:t>the</w:t>
      </w:r>
      <w:r>
        <w:rPr>
          <w:spacing w:val="-3"/>
        </w:rPr>
        <w:t> </w:t>
      </w:r>
      <w:r>
        <w:rPr/>
        <w:t>delivery of goods, the granting of the right to make use of an item of property, the provision of a </w:t>
      </w:r>
      <w:bookmarkStart w:name="_bookmark650" w:id="652"/>
      <w:bookmarkEnd w:id="652"/>
      <w:r>
        <w:rPr/>
        <w:t>service,</w:t>
      </w:r>
      <w:r>
        <w:rPr/>
        <w:t> transport, insurance, banking operations, security etc, which usually constitutes the centre of gravity and the socio-economic function of the contractual transaction.” </w:t>
      </w:r>
      <w:r>
        <w:rPr>
          <w:color w:val="005DA1"/>
          <w:u w:val="single" w:color="005DA1"/>
          <w:vertAlign w:val="superscript"/>
        </w:rPr>
        <w:t>357</w:t>
      </w:r>
    </w:p>
    <w:p>
      <w:pPr>
        <w:pStyle w:val="BodyText"/>
        <w:spacing w:before="114"/>
      </w:pPr>
    </w:p>
    <w:p>
      <w:pPr>
        <w:pStyle w:val="BodyText"/>
        <w:spacing w:line="235" w:lineRule="auto"/>
        <w:ind w:left="165" w:right="167"/>
        <w:jc w:val="both"/>
      </w:pPr>
      <w:r>
        <w:rPr/>
        <w:t>This passage suggests that characteristic performance is a somewhat abstract notion: it is not the payment of money but performance for which such payment is due.</w:t>
      </w:r>
    </w:p>
    <w:p>
      <w:pPr>
        <w:pStyle w:val="BodyText"/>
      </w:pPr>
    </w:p>
    <w:p>
      <w:pPr>
        <w:pStyle w:val="BodyText"/>
        <w:spacing w:before="38"/>
      </w:pPr>
    </w:p>
    <w:p>
      <w:pPr>
        <w:spacing w:before="0"/>
        <w:ind w:left="165" w:right="0" w:firstLine="0"/>
        <w:jc w:val="both"/>
        <w:rPr>
          <w:rFonts w:ascii="Arial" w:hAnsi="Arial"/>
          <w:b/>
          <w:sz w:val="18"/>
        </w:rPr>
      </w:pPr>
      <w:r>
        <w:rPr>
          <w:rFonts w:ascii="Arial" w:hAnsi="Arial"/>
          <w:b/>
          <w:sz w:val="18"/>
        </w:rPr>
        <w:t>“Characteristic” performance not </w:t>
      </w:r>
      <w:r>
        <w:rPr>
          <w:rFonts w:ascii="Arial" w:hAnsi="Arial"/>
          <w:b/>
          <w:spacing w:val="-2"/>
          <w:sz w:val="18"/>
        </w:rPr>
        <w:t>determinable</w:t>
      </w:r>
    </w:p>
    <w:p>
      <w:pPr>
        <w:pStyle w:val="BodyText"/>
        <w:spacing w:before="41"/>
        <w:rPr>
          <w:rFonts w:ascii="Arial"/>
          <w:b/>
          <w:sz w:val="18"/>
        </w:rPr>
      </w:pPr>
    </w:p>
    <w:p>
      <w:pPr>
        <w:pStyle w:val="Heading2"/>
      </w:pPr>
      <w:r>
        <w:rPr/>
        <w:t>30-</w:t>
      </w:r>
      <w:r>
        <w:rPr>
          <w:spacing w:val="-5"/>
        </w:rPr>
        <w:t>075</w:t>
      </w:r>
    </w:p>
    <w:p>
      <w:pPr>
        <w:pStyle w:val="BodyText"/>
        <w:spacing w:line="235" w:lineRule="auto" w:before="203"/>
        <w:ind w:left="164" w:right="167"/>
        <w:jc w:val="both"/>
      </w:pPr>
      <w:r>
        <w:rPr/>
        <w:t>It does not follow from this that every contract not specifically dealt with in art.4(3) and (4) must have</w:t>
      </w:r>
      <w:r>
        <w:rPr>
          <w:spacing w:val="40"/>
        </w:rPr>
        <w:t> </w:t>
      </w:r>
      <w:bookmarkStart w:name="_bookmark651" w:id="653"/>
      <w:bookmarkEnd w:id="653"/>
      <w:r>
        <w:rPr/>
        <w:t>a</w:t>
      </w:r>
      <w:r>
        <w:rPr/>
        <w:t> characteristic performance. This is recognised in art.4(5) which provides that art.4(2) shall not </w:t>
      </w:r>
      <w:r>
        <w:rPr/>
        <w:t>apply </w:t>
      </w:r>
      <w:bookmarkStart w:name="_bookmark652" w:id="654"/>
      <w:bookmarkEnd w:id="654"/>
      <w:r>
        <w:rPr/>
        <w:t>if</w:t>
      </w:r>
      <w:r>
        <w:rPr/>
        <w:t> the characteristic performance cannot be determined. </w:t>
      </w:r>
      <w:r>
        <w:rPr>
          <w:color w:val="005DA1"/>
          <w:u w:val="single" w:color="005DA1"/>
          <w:vertAlign w:val="superscript"/>
        </w:rPr>
        <w:t>358</w:t>
      </w:r>
      <w:r>
        <w:rPr>
          <w:color w:val="005DA1"/>
          <w:vertAlign w:val="baseline"/>
        </w:rPr>
        <w:t> </w:t>
      </w:r>
      <w:r>
        <w:rPr>
          <w:vertAlign w:val="baseline"/>
        </w:rPr>
        <w:t>One obvious example is that of a contract </w:t>
      </w:r>
      <w:bookmarkStart w:name="_bookmark653" w:id="655"/>
      <w:bookmarkEnd w:id="655"/>
      <w:r>
        <w:rPr>
          <w:vertAlign w:val="baseline"/>
        </w:rPr>
        <w:t>of</w:t>
      </w:r>
      <w:r>
        <w:rPr>
          <w:vertAlign w:val="baseline"/>
        </w:rPr>
        <w:t> barter or exchange. </w:t>
      </w:r>
      <w:r>
        <w:rPr>
          <w:color w:val="005DA1"/>
          <w:u w:val="single" w:color="005DA1"/>
          <w:vertAlign w:val="superscript"/>
        </w:rPr>
        <w:t>359</w:t>
      </w:r>
      <w:r>
        <w:rPr>
          <w:color w:val="005DA1"/>
          <w:vertAlign w:val="baseline"/>
        </w:rPr>
        <w:t> </w:t>
      </w:r>
      <w:r>
        <w:rPr>
          <w:vertAlign w:val="baseline"/>
        </w:rPr>
        <w:t>It has been held that the characteristic performance of an agreement </w:t>
      </w:r>
      <w:bookmarkStart w:name="_bookmark654" w:id="656"/>
      <w:bookmarkEnd w:id="656"/>
      <w:r>
        <w:rPr>
          <w:vertAlign w:val="baseline"/>
        </w:rPr>
        <w:t>between</w:t>
      </w:r>
      <w:r>
        <w:rPr>
          <w:vertAlign w:val="baseline"/>
        </w:rPr>
        <w:t> two companies regulating the use of their respective trademarks cannot be determined. </w:t>
      </w:r>
      <w:r>
        <w:rPr>
          <w:color w:val="005DA1"/>
          <w:u w:val="single" w:color="005DA1"/>
          <w:vertAlign w:val="superscript"/>
        </w:rPr>
        <w:t>360</w:t>
      </w:r>
      <w:r>
        <w:rPr>
          <w:color w:val="005DA1"/>
          <w:vertAlign w:val="baseline"/>
        </w:rPr>
        <w:t> </w:t>
      </w:r>
      <w:bookmarkStart w:name="_bookmark655" w:id="657"/>
      <w:bookmarkEnd w:id="657"/>
      <w:r>
        <w:rPr>
          <w:color w:val="005DA1"/>
          <w:w w:val="92"/>
          <w:vertAlign w:val="baseline"/>
        </w:rPr>
      </w:r>
      <w:r>
        <w:rPr>
          <w:vertAlign w:val="baseline"/>
        </w:rPr>
        <w:t>And the same conclusion has been reached in the case of a contract for the warranty of authority. </w:t>
      </w:r>
      <w:r>
        <w:rPr>
          <w:color w:val="005DA1"/>
          <w:u w:val="single" w:color="005DA1"/>
          <w:vertAlign w:val="superscript"/>
        </w:rPr>
        <w:t>361</w:t>
      </w:r>
      <w:r>
        <w:rPr>
          <w:color w:val="005DA1"/>
          <w:spacing w:val="40"/>
          <w:vertAlign w:val="baseline"/>
        </w:rPr>
        <w:t> </w:t>
      </w:r>
      <w:bookmarkStart w:name="_bookmark656" w:id="658"/>
      <w:bookmarkEnd w:id="658"/>
      <w:r>
        <w:rPr>
          <w:color w:val="005DA1"/>
          <w:w w:val="92"/>
          <w:vertAlign w:val="baseline"/>
        </w:rPr>
      </w:r>
      <w:r>
        <w:rPr>
          <w:vertAlign w:val="baseline"/>
        </w:rPr>
        <w:t>It has also been suggested that certain kinds of joint venture agreements, </w:t>
      </w:r>
      <w:r>
        <w:rPr>
          <w:color w:val="005DA1"/>
          <w:u w:val="single" w:color="005DA1"/>
          <w:vertAlign w:val="superscript"/>
        </w:rPr>
        <w:t>362</w:t>
      </w:r>
      <w:r>
        <w:rPr>
          <w:color w:val="005DA1"/>
          <w:vertAlign w:val="baseline"/>
        </w:rPr>
        <w:t> </w:t>
      </w:r>
      <w:r>
        <w:rPr>
          <w:vertAlign w:val="baseline"/>
        </w:rPr>
        <w:t>certain types of distributorship agreements, </w:t>
      </w:r>
      <w:r>
        <w:rPr>
          <w:color w:val="005DA1"/>
          <w:u w:val="single" w:color="005DA1"/>
          <w:vertAlign w:val="superscript"/>
        </w:rPr>
        <w:t>363</w:t>
      </w:r>
      <w:r>
        <w:rPr>
          <w:color w:val="005DA1"/>
          <w:vertAlign w:val="baseline"/>
        </w:rPr>
        <w:t> </w:t>
      </w:r>
      <w:r>
        <w:rPr>
          <w:vertAlign w:val="baseline"/>
        </w:rPr>
        <w:t>and contracts between publisher and author </w:t>
      </w:r>
      <w:r>
        <w:rPr>
          <w:color w:val="005DA1"/>
          <w:u w:val="single" w:color="005DA1"/>
          <w:vertAlign w:val="superscript"/>
        </w:rPr>
        <w:t>364</w:t>
      </w:r>
      <w:r>
        <w:rPr>
          <w:color w:val="005DA1"/>
          <w:vertAlign w:val="baseline"/>
        </w:rPr>
        <w:t> </w:t>
      </w:r>
      <w:r>
        <w:rPr>
          <w:vertAlign w:val="baseline"/>
        </w:rPr>
        <w:t>may similarly not have a particular performance which can be said to characterise them. Further, on occasion, the particular </w:t>
      </w:r>
      <w:bookmarkStart w:name="_bookmark657" w:id="659"/>
      <w:bookmarkEnd w:id="659"/>
      <w:r>
        <w:rPr>
          <w:vertAlign w:val="baseline"/>
        </w:rPr>
        <w:t>circumstances</w:t>
      </w:r>
      <w:r>
        <w:rPr>
          <w:vertAlign w:val="baseline"/>
        </w:rPr>
        <w:t> involved in a transaction may be such that it is not possible to determine the </w:t>
      </w:r>
      <w:bookmarkStart w:name="_bookmark658" w:id="660"/>
      <w:bookmarkEnd w:id="660"/>
      <w:r>
        <w:rPr>
          <w:vertAlign w:val="baseline"/>
        </w:rPr>
        <w:t>characteristic</w:t>
      </w:r>
      <w:r>
        <w:rPr>
          <w:vertAlign w:val="baseline"/>
        </w:rPr>
        <w:t> performance of the contract which is at the root of it. </w:t>
      </w:r>
      <w:r>
        <w:rPr>
          <w:color w:val="005DA1"/>
          <w:u w:val="single" w:color="005DA1"/>
          <w:vertAlign w:val="superscript"/>
        </w:rPr>
        <w:t>365</w:t>
      </w:r>
      <w:r>
        <w:rPr>
          <w:color w:val="005DA1"/>
          <w:vertAlign w:val="baseline"/>
        </w:rPr>
        <w:t> </w:t>
      </w:r>
      <w:r>
        <w:rPr>
          <w:vertAlign w:val="baseline"/>
        </w:rPr>
        <w:t>In such cases the most closely connected law will have to be determined without the aid of any presumption. </w:t>
      </w:r>
      <w:r>
        <w:rPr>
          <w:color w:val="005DA1"/>
          <w:u w:val="single" w:color="005DA1"/>
          <w:vertAlign w:val="superscript"/>
        </w:rPr>
        <w:t>366</w:t>
      </w:r>
    </w:p>
    <w:p>
      <w:pPr>
        <w:pStyle w:val="BodyText"/>
      </w:pPr>
    </w:p>
    <w:p>
      <w:pPr>
        <w:pStyle w:val="BodyText"/>
        <w:spacing w:before="34"/>
      </w:pPr>
    </w:p>
    <w:p>
      <w:pPr>
        <w:spacing w:before="0"/>
        <w:ind w:left="165" w:right="0" w:firstLine="0"/>
        <w:jc w:val="left"/>
        <w:rPr>
          <w:rFonts w:ascii="Arial"/>
          <w:b/>
          <w:sz w:val="18"/>
        </w:rPr>
      </w:pPr>
      <w:r>
        <w:rPr>
          <w:rFonts w:ascii="Arial"/>
          <w:b/>
          <w:sz w:val="18"/>
        </w:rPr>
        <w:t>Specific </w:t>
      </w:r>
      <w:r>
        <w:rPr>
          <w:rFonts w:ascii="Arial"/>
          <w:b/>
          <w:spacing w:val="-2"/>
          <w:sz w:val="18"/>
        </w:rPr>
        <w:t>applications</w:t>
      </w:r>
    </w:p>
    <w:p>
      <w:pPr>
        <w:pStyle w:val="BodyText"/>
        <w:spacing w:before="41"/>
        <w:rPr>
          <w:rFonts w:ascii="Arial"/>
          <w:b/>
          <w:sz w:val="18"/>
        </w:rPr>
      </w:pPr>
    </w:p>
    <w:p>
      <w:pPr>
        <w:pStyle w:val="Heading2"/>
        <w:spacing w:before="1"/>
      </w:pPr>
      <w:r>
        <w:rPr/>
        <w:t>30-</w:t>
      </w:r>
      <w:r>
        <w:rPr>
          <w:spacing w:val="-5"/>
        </w:rPr>
        <w:t>076</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English courts have had some opportunities to consider the meaning of characteristic </w:t>
      </w:r>
      <w:r>
        <w:rPr/>
        <w:t>performance in the context of particular types of contracts. Drawing on the decisions and the passage from the </w:t>
      </w:r>
      <w:bookmarkStart w:name="_bookmark659" w:id="661"/>
      <w:bookmarkEnd w:id="661"/>
      <w:r>
        <w:rPr/>
        <w:t>Giuliano</w:t>
      </w:r>
      <w:r>
        <w:rPr/>
        <w:t>-Lagarde</w:t>
      </w:r>
      <w:r>
        <w:rPr>
          <w:spacing w:val="23"/>
        </w:rPr>
        <w:t> </w:t>
      </w:r>
      <w:r>
        <w:rPr/>
        <w:t>Report</w:t>
      </w:r>
      <w:r>
        <w:rPr>
          <w:spacing w:val="23"/>
        </w:rPr>
        <w:t> </w:t>
      </w:r>
      <w:r>
        <w:rPr/>
        <w:t>quoted</w:t>
      </w:r>
      <w:r>
        <w:rPr>
          <w:spacing w:val="23"/>
        </w:rPr>
        <w:t> </w:t>
      </w:r>
      <w:r>
        <w:rPr/>
        <w:t>above,</w:t>
      </w:r>
      <w:r>
        <w:rPr>
          <w:spacing w:val="23"/>
        </w:rPr>
        <w:t> </w:t>
      </w:r>
      <w:r>
        <w:rPr/>
        <w:t>the</w:t>
      </w:r>
      <w:r>
        <w:rPr>
          <w:spacing w:val="23"/>
        </w:rPr>
        <w:t> </w:t>
      </w:r>
      <w:r>
        <w:rPr/>
        <w:t>following</w:t>
      </w:r>
      <w:r>
        <w:rPr>
          <w:spacing w:val="23"/>
        </w:rPr>
        <w:t> </w:t>
      </w:r>
      <w:r>
        <w:rPr/>
        <w:t>conclusions</w:t>
      </w:r>
      <w:r>
        <w:rPr>
          <w:spacing w:val="23"/>
        </w:rPr>
        <w:t> </w:t>
      </w:r>
      <w:r>
        <w:rPr/>
        <w:t>may</w:t>
      </w:r>
      <w:r>
        <w:rPr>
          <w:spacing w:val="23"/>
        </w:rPr>
        <w:t> </w:t>
      </w:r>
      <w:r>
        <w:rPr/>
        <w:t>be</w:t>
      </w:r>
      <w:r>
        <w:rPr>
          <w:spacing w:val="23"/>
        </w:rPr>
        <w:t> </w:t>
      </w:r>
      <w:r>
        <w:rPr/>
        <w:t>reached.</w:t>
      </w:r>
      <w:r>
        <w:rPr>
          <w:spacing w:val="23"/>
        </w:rPr>
        <w:t> </w:t>
      </w:r>
      <w:r>
        <w:rPr/>
        <w:t>In</w:t>
      </w:r>
      <w:r>
        <w:rPr>
          <w:spacing w:val="23"/>
        </w:rPr>
        <w:t> </w:t>
      </w:r>
      <w:r>
        <w:rPr/>
        <w:t>a</w:t>
      </w:r>
      <w:r>
        <w:rPr>
          <w:spacing w:val="23"/>
        </w:rPr>
        <w:t> </w:t>
      </w:r>
      <w:r>
        <w:rPr/>
        <w:t>contract</w:t>
      </w:r>
      <w:r>
        <w:rPr>
          <w:spacing w:val="23"/>
        </w:rPr>
        <w:t> </w:t>
      </w:r>
      <w:r>
        <w:rPr>
          <w:spacing w:val="-5"/>
        </w:rPr>
        <w:t>of</w:t>
      </w:r>
    </w:p>
    <w:p>
      <w:pPr>
        <w:pStyle w:val="BodyText"/>
        <w:spacing w:line="235" w:lineRule="auto" w:before="119"/>
        <w:ind w:left="164" w:right="167"/>
        <w:jc w:val="both"/>
      </w:pPr>
      <w:r>
        <w:rPr/>
        <w:t>sale, the characteristic performance is that of the seller </w:t>
      </w:r>
      <w:r>
        <w:rPr>
          <w:color w:val="005DA1"/>
          <w:u w:val="single" w:color="005DA1"/>
          <w:vertAlign w:val="superscript"/>
        </w:rPr>
        <w:t>367</w:t>
      </w:r>
      <w:r>
        <w:rPr>
          <w:color w:val="005DA1"/>
          <w:spacing w:val="80"/>
          <w:w w:val="150"/>
          <w:vertAlign w:val="baseline"/>
        </w:rPr>
        <w:t> </w:t>
      </w:r>
      <w:r>
        <w:rPr>
          <w:color w:val="005DA1"/>
          <w:spacing w:val="-3"/>
          <w:position w:val="-2"/>
          <w:vertAlign w:val="baseline"/>
        </w:rPr>
        <w:drawing>
          <wp:inline distT="0" distB="0" distL="0" distR="0">
            <wp:extent cx="107988" cy="10798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vertAlign w:val="baseline"/>
        </w:rPr>
        <w:t>; in a contract which is in part for the </w:t>
      </w:r>
      <w:bookmarkStart w:name="_bookmark660" w:id="662"/>
      <w:bookmarkEnd w:id="662"/>
      <w:r>
        <w:rPr>
          <w:vertAlign w:val="baseline"/>
        </w:rPr>
        <w:t>sale</w:t>
      </w:r>
      <w:r>
        <w:rPr>
          <w:vertAlign w:val="baseline"/>
        </w:rPr>
        <w:t> of goods and in part for the supply of services, the characteristic performance is that of </w:t>
      </w:r>
      <w:r>
        <w:rPr>
          <w:vertAlign w:val="baseline"/>
        </w:rPr>
        <w:t>the </w:t>
      </w:r>
      <w:bookmarkStart w:name="_bookmark661" w:id="663"/>
      <w:bookmarkEnd w:id="663"/>
      <w:r>
        <w:rPr>
          <w:vertAlign w:val="baseline"/>
        </w:rPr>
        <w:t>seller/supplier</w:t>
      </w:r>
      <w:r>
        <w:rPr>
          <w:vertAlign w:val="baseline"/>
        </w:rPr>
        <w:t> </w:t>
      </w:r>
      <w:r>
        <w:rPr>
          <w:color w:val="005DA1"/>
          <w:u w:val="single" w:color="005DA1"/>
          <w:vertAlign w:val="superscript"/>
        </w:rPr>
        <w:t>368</w:t>
      </w:r>
      <w:r>
        <w:rPr>
          <w:vertAlign w:val="baseline"/>
        </w:rPr>
        <w:t>; in a contract for the supply of services, the characteristic performance is that of the </w:t>
      </w:r>
      <w:bookmarkStart w:name="_bookmark662" w:id="664"/>
      <w:bookmarkEnd w:id="664"/>
      <w:r>
        <w:rPr>
          <w:vertAlign w:val="baseline"/>
        </w:rPr>
        <w:t>supplier</w:t>
      </w:r>
      <w:r>
        <w:rPr>
          <w:vertAlign w:val="baseline"/>
        </w:rPr>
        <w:t> </w:t>
      </w:r>
      <w:r>
        <w:rPr>
          <w:color w:val="005DA1"/>
          <w:u w:val="single" w:color="005DA1"/>
          <w:vertAlign w:val="superscript"/>
        </w:rPr>
        <w:t>369</w:t>
      </w:r>
      <w:r>
        <w:rPr>
          <w:vertAlign w:val="baseline"/>
        </w:rPr>
        <w:t>; in a contract of hire, the characteristic performance will be that of the party who makes</w:t>
      </w:r>
      <w:r>
        <w:rPr>
          <w:spacing w:val="40"/>
          <w:vertAlign w:val="baseline"/>
        </w:rPr>
        <w:t> </w:t>
      </w:r>
      <w:bookmarkStart w:name="_bookmark663" w:id="665"/>
      <w:bookmarkEnd w:id="665"/>
      <w:r>
        <w:rPr>
          <w:vertAlign w:val="baseline"/>
        </w:rPr>
        <w:t>the</w:t>
      </w:r>
      <w:r>
        <w:rPr>
          <w:vertAlign w:val="baseline"/>
        </w:rPr>
        <w:t> item available for hire </w:t>
      </w:r>
      <w:r>
        <w:rPr>
          <w:color w:val="005DA1"/>
          <w:u w:val="single" w:color="005DA1"/>
          <w:vertAlign w:val="superscript"/>
        </w:rPr>
        <w:t>370</w:t>
      </w:r>
      <w:r>
        <w:rPr>
          <w:vertAlign w:val="baseline"/>
        </w:rPr>
        <w:t>; in a contract of insurance, </w:t>
      </w:r>
      <w:r>
        <w:rPr>
          <w:color w:val="005DA1"/>
          <w:u w:val="single" w:color="005DA1"/>
          <w:vertAlign w:val="superscript"/>
        </w:rPr>
        <w:t>371</w:t>
      </w:r>
      <w:r>
        <w:rPr>
          <w:color w:val="005DA1"/>
          <w:vertAlign w:val="baseline"/>
        </w:rPr>
        <w:t> </w:t>
      </w:r>
      <w:r>
        <w:rPr>
          <w:vertAlign w:val="baseline"/>
        </w:rPr>
        <w:t>the characteristic performance is that of </w:t>
      </w:r>
      <w:bookmarkStart w:name="_bookmark664" w:id="666"/>
      <w:bookmarkEnd w:id="666"/>
      <w:r>
        <w:rPr>
          <w:vertAlign w:val="baseline"/>
        </w:rPr>
        <w:t>the</w:t>
      </w:r>
      <w:r>
        <w:rPr>
          <w:vertAlign w:val="baseline"/>
        </w:rPr>
        <w:t> insurer since he provides the service (cover) for which the insured pays his premium </w:t>
      </w:r>
      <w:r>
        <w:rPr>
          <w:color w:val="005DA1"/>
          <w:u w:val="single" w:color="005DA1"/>
          <w:vertAlign w:val="superscript"/>
        </w:rPr>
        <w:t>372</w:t>
      </w:r>
      <w:r>
        <w:rPr>
          <w:vertAlign w:val="baseline"/>
        </w:rPr>
        <w:t>; in a contract of reinsurance, the characteristic performance is that of the reinsurer </w:t>
      </w:r>
      <w:r>
        <w:rPr>
          <w:color w:val="005DA1"/>
          <w:u w:val="single" w:color="005DA1"/>
          <w:vertAlign w:val="superscript"/>
        </w:rPr>
        <w:t>373</w:t>
      </w:r>
      <w:r>
        <w:rPr>
          <w:vertAlign w:val="baseline"/>
        </w:rPr>
        <w:t>; in a contract </w:t>
      </w:r>
      <w:bookmarkStart w:name="_bookmark665" w:id="667"/>
      <w:bookmarkEnd w:id="667"/>
      <w:r>
        <w:rPr>
          <w:vertAlign w:val="baseline"/>
        </w:rPr>
        <w:t>between</w:t>
      </w:r>
      <w:r>
        <w:rPr>
          <w:vertAlign w:val="baseline"/>
        </w:rPr>
        <w:t> an insurance broker and an insurance company seeking reinsurance, the characteristic performance is that of the broker</w:t>
      </w:r>
      <w:r>
        <w:rPr>
          <w:spacing w:val="-1"/>
          <w:vertAlign w:val="baseline"/>
        </w:rPr>
        <w:t> </w:t>
      </w:r>
      <w:r>
        <w:rPr>
          <w:color w:val="005DA1"/>
          <w:u w:val="single" w:color="005DA1"/>
          <w:vertAlign w:val="superscript"/>
        </w:rPr>
        <w:t>374</w:t>
      </w:r>
      <w:r>
        <w:rPr>
          <w:vertAlign w:val="baseline"/>
        </w:rPr>
        <w:t>; in a “bank to bank” contract under which one bank undertakes to make payment due under a separate agreement to another bank and to warrant that there has been </w:t>
      </w:r>
      <w:bookmarkStart w:name="_bookmark666" w:id="668"/>
      <w:bookmarkEnd w:id="668"/>
      <w:r>
        <w:rPr>
          <w:vertAlign w:val="baseline"/>
        </w:rPr>
        <w:t>no</w:t>
      </w:r>
      <w:r>
        <w:rPr>
          <w:vertAlign w:val="baseline"/>
        </w:rPr>
        <w:t> default under the loan agreement, the characteristic performance is that of the bank which makes </w:t>
      </w:r>
      <w:bookmarkStart w:name="_bookmark667" w:id="669"/>
      <w:bookmarkEnd w:id="669"/>
      <w:r>
        <w:rPr>
          <w:vertAlign w:val="baseline"/>
        </w:rPr>
        <w:t>the</w:t>
      </w:r>
      <w:r>
        <w:rPr>
          <w:vertAlign w:val="baseline"/>
        </w:rPr>
        <w:t> payment and provides the warranty </w:t>
      </w:r>
      <w:r>
        <w:rPr>
          <w:color w:val="005DA1"/>
          <w:u w:val="single" w:color="005DA1"/>
          <w:vertAlign w:val="superscript"/>
        </w:rPr>
        <w:t>375</w:t>
      </w:r>
      <w:r>
        <w:rPr>
          <w:vertAlign w:val="baseline"/>
        </w:rPr>
        <w:t>; in a contract between banker and customer, the characteristic performance is that of the bank </w:t>
      </w:r>
      <w:r>
        <w:rPr>
          <w:color w:val="005DA1"/>
          <w:u w:val="single" w:color="005DA1"/>
          <w:vertAlign w:val="superscript"/>
        </w:rPr>
        <w:t>376</w:t>
      </w:r>
      <w:r>
        <w:rPr>
          <w:vertAlign w:val="baseline"/>
        </w:rPr>
        <w:t>; in a letter of credit transaction, </w:t>
      </w:r>
      <w:r>
        <w:rPr>
          <w:color w:val="005DA1"/>
          <w:u w:val="single" w:color="005DA1"/>
          <w:vertAlign w:val="superscript"/>
        </w:rPr>
        <w:t>377</w:t>
      </w:r>
      <w:r>
        <w:rPr>
          <w:color w:val="005DA1"/>
          <w:vertAlign w:val="baseline"/>
        </w:rPr>
        <w:t> </w:t>
      </w:r>
      <w:r>
        <w:rPr>
          <w:vertAlign w:val="baseline"/>
        </w:rPr>
        <w:t>separation of the various</w:t>
      </w:r>
      <w:r>
        <w:rPr>
          <w:spacing w:val="34"/>
          <w:vertAlign w:val="baseline"/>
        </w:rPr>
        <w:t> </w:t>
      </w:r>
      <w:r>
        <w:rPr>
          <w:vertAlign w:val="baseline"/>
        </w:rPr>
        <w:t>contracts</w:t>
      </w:r>
      <w:r>
        <w:rPr>
          <w:spacing w:val="34"/>
          <w:vertAlign w:val="baseline"/>
        </w:rPr>
        <w:t> </w:t>
      </w:r>
      <w:r>
        <w:rPr>
          <w:vertAlign w:val="baseline"/>
        </w:rPr>
        <w:t>involved</w:t>
      </w:r>
      <w:r>
        <w:rPr>
          <w:spacing w:val="34"/>
          <w:vertAlign w:val="baseline"/>
        </w:rPr>
        <w:t> </w:t>
      </w:r>
      <w:r>
        <w:rPr>
          <w:vertAlign w:val="baseline"/>
        </w:rPr>
        <w:t>reveals</w:t>
      </w:r>
      <w:r>
        <w:rPr>
          <w:spacing w:val="34"/>
          <w:vertAlign w:val="baseline"/>
        </w:rPr>
        <w:t> </w:t>
      </w:r>
      <w:r>
        <w:rPr>
          <w:vertAlign w:val="baseline"/>
        </w:rPr>
        <w:t>that</w:t>
      </w:r>
      <w:r>
        <w:rPr>
          <w:spacing w:val="34"/>
          <w:vertAlign w:val="baseline"/>
        </w:rPr>
        <w:t> </w:t>
      </w:r>
      <w:r>
        <w:rPr>
          <w:vertAlign w:val="baseline"/>
        </w:rPr>
        <w:t>the</w:t>
      </w:r>
      <w:r>
        <w:rPr>
          <w:spacing w:val="34"/>
          <w:vertAlign w:val="baseline"/>
        </w:rPr>
        <w:t> </w:t>
      </w:r>
      <w:r>
        <w:rPr>
          <w:vertAlign w:val="baseline"/>
        </w:rPr>
        <w:t>characteristic</w:t>
      </w:r>
      <w:r>
        <w:rPr>
          <w:spacing w:val="34"/>
          <w:vertAlign w:val="baseline"/>
        </w:rPr>
        <w:t> </w:t>
      </w:r>
      <w:r>
        <w:rPr>
          <w:vertAlign w:val="baseline"/>
        </w:rPr>
        <w:t>performance</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contract</w:t>
      </w:r>
      <w:r>
        <w:rPr>
          <w:spacing w:val="34"/>
          <w:vertAlign w:val="baseline"/>
        </w:rPr>
        <w:t> </w:t>
      </w:r>
      <w:r>
        <w:rPr>
          <w:vertAlign w:val="baseline"/>
        </w:rPr>
        <w:t>between</w:t>
      </w:r>
      <w:r>
        <w:rPr>
          <w:spacing w:val="34"/>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668" w:id="670"/>
      <w:bookmarkEnd w:id="670"/>
      <w:r>
        <w:rPr/>
      </w:r>
      <w:bookmarkStart w:name="_bookmark669" w:id="671"/>
      <w:bookmarkEnd w:id="671"/>
      <w:r>
        <w:rPr/>
      </w:r>
      <w:r>
        <w:rPr/>
        <w:t>issuing bank and the buyer is that of the bank, </w:t>
      </w:r>
      <w:r>
        <w:rPr>
          <w:color w:val="005DA1"/>
          <w:u w:val="single" w:color="005DA1"/>
          <w:vertAlign w:val="superscript"/>
        </w:rPr>
        <w:t>378</w:t>
      </w:r>
      <w:r>
        <w:rPr>
          <w:color w:val="005DA1"/>
          <w:vertAlign w:val="baseline"/>
        </w:rPr>
        <w:t> </w:t>
      </w:r>
      <w:r>
        <w:rPr>
          <w:vertAlign w:val="baseline"/>
        </w:rPr>
        <w:t>the characteristic performance in the </w:t>
      </w:r>
      <w:r>
        <w:rPr>
          <w:vertAlign w:val="baseline"/>
        </w:rPr>
        <w:t>contract between the issuing bank and the confirming bank is that of the confirming bank, </w:t>
      </w:r>
      <w:r>
        <w:rPr>
          <w:color w:val="005DA1"/>
          <w:u w:val="single" w:color="005DA1"/>
          <w:vertAlign w:val="superscript"/>
        </w:rPr>
        <w:t>379</w:t>
      </w:r>
      <w:r>
        <w:rPr>
          <w:color w:val="005DA1"/>
          <w:vertAlign w:val="baseline"/>
        </w:rPr>
        <w:t> </w:t>
      </w:r>
      <w:r>
        <w:rPr>
          <w:vertAlign w:val="baseline"/>
        </w:rPr>
        <w:t>the characteristic </w:t>
      </w:r>
      <w:bookmarkStart w:name="_bookmark670" w:id="672"/>
      <w:bookmarkEnd w:id="672"/>
      <w:r>
        <w:rPr>
          <w:vertAlign w:val="baseline"/>
        </w:rPr>
        <w:t>performance</w:t>
      </w:r>
      <w:r>
        <w:rPr>
          <w:vertAlign w:val="baseline"/>
        </w:rPr>
        <w:t> in the contract between the confirming bank and the beneficiary is that of the confirming </w:t>
      </w:r>
      <w:bookmarkStart w:name="_bookmark671" w:id="673"/>
      <w:bookmarkEnd w:id="673"/>
      <w:r>
        <w:rPr>
          <w:vertAlign w:val="baseline"/>
        </w:rPr>
        <w:t>bank,</w:t>
      </w:r>
      <w:r>
        <w:rPr>
          <w:vertAlign w:val="baseline"/>
        </w:rPr>
        <w:t> </w:t>
      </w:r>
      <w:r>
        <w:rPr>
          <w:color w:val="005DA1"/>
          <w:u w:val="single" w:color="005DA1"/>
          <w:vertAlign w:val="superscript"/>
        </w:rPr>
        <w:t>380</w:t>
      </w:r>
      <w:r>
        <w:rPr>
          <w:color w:val="005DA1"/>
          <w:vertAlign w:val="baseline"/>
        </w:rPr>
        <w:t> </w:t>
      </w:r>
      <w:r>
        <w:rPr>
          <w:vertAlign w:val="baseline"/>
        </w:rPr>
        <w:t>while the characteristic performance in the contract between the issuing bank and the </w:t>
      </w:r>
      <w:bookmarkStart w:name="_bookmark672" w:id="674"/>
      <w:bookmarkEnd w:id="674"/>
      <w:r>
        <w:rPr>
          <w:vertAlign w:val="baseline"/>
        </w:rPr>
        <w:t>beneficiary</w:t>
      </w:r>
      <w:r>
        <w:rPr>
          <w:spacing w:val="-3"/>
          <w:vertAlign w:val="baseline"/>
        </w:rPr>
        <w:t> </w:t>
      </w:r>
      <w:r>
        <w:rPr>
          <w:vertAlign w:val="baseline"/>
        </w:rPr>
        <w:t>is</w:t>
      </w:r>
      <w:r>
        <w:rPr>
          <w:spacing w:val="-3"/>
          <w:vertAlign w:val="baseline"/>
        </w:rPr>
        <w:t> </w:t>
      </w:r>
      <w:r>
        <w:rPr>
          <w:vertAlign w:val="baseline"/>
        </w:rPr>
        <w:t>that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issuing</w:t>
      </w:r>
      <w:r>
        <w:rPr>
          <w:spacing w:val="-3"/>
          <w:vertAlign w:val="baseline"/>
        </w:rPr>
        <w:t> </w:t>
      </w:r>
      <w:r>
        <w:rPr>
          <w:vertAlign w:val="baseline"/>
        </w:rPr>
        <w:t>bank</w:t>
      </w:r>
      <w:r>
        <w:rPr>
          <w:spacing w:val="-3"/>
          <w:vertAlign w:val="baseline"/>
        </w:rPr>
        <w:t> </w:t>
      </w:r>
      <w:r>
        <w:rPr>
          <w:color w:val="005DA1"/>
          <w:u w:val="single" w:color="005DA1"/>
          <w:vertAlign w:val="superscript"/>
        </w:rPr>
        <w:t>381</w:t>
      </w:r>
      <w:r>
        <w:rPr>
          <w:vertAlign w:val="baseline"/>
        </w:rPr>
        <w:t>;</w:t>
      </w:r>
      <w:r>
        <w:rPr>
          <w:spacing w:val="-3"/>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of</w:t>
      </w:r>
      <w:r>
        <w:rPr>
          <w:spacing w:val="-3"/>
          <w:vertAlign w:val="baseline"/>
        </w:rPr>
        <w:t> </w:t>
      </w:r>
      <w:r>
        <w:rPr>
          <w:vertAlign w:val="baseline"/>
        </w:rPr>
        <w:t>loan,</w:t>
      </w:r>
      <w:r>
        <w:rPr>
          <w:spacing w:val="-3"/>
          <w:vertAlign w:val="baseline"/>
        </w:rPr>
        <w:t> </w:t>
      </w:r>
      <w:r>
        <w:rPr>
          <w:vertAlign w:val="baseline"/>
        </w:rPr>
        <w:t>the</w:t>
      </w:r>
      <w:r>
        <w:rPr>
          <w:spacing w:val="-3"/>
          <w:vertAlign w:val="baseline"/>
        </w:rPr>
        <w:t> </w:t>
      </w:r>
      <w:r>
        <w:rPr>
          <w:vertAlign w:val="baseline"/>
        </w:rPr>
        <w:t>characteristic</w:t>
      </w:r>
      <w:r>
        <w:rPr>
          <w:spacing w:val="-3"/>
          <w:vertAlign w:val="baseline"/>
        </w:rPr>
        <w:t> </w:t>
      </w:r>
      <w:r>
        <w:rPr>
          <w:vertAlign w:val="baseline"/>
        </w:rPr>
        <w:t>performance</w:t>
      </w:r>
      <w:r>
        <w:rPr>
          <w:spacing w:val="-3"/>
          <w:vertAlign w:val="baseline"/>
        </w:rPr>
        <w:t> </w:t>
      </w:r>
      <w:r>
        <w:rPr>
          <w:vertAlign w:val="baseline"/>
        </w:rPr>
        <w:t>is</w:t>
      </w:r>
      <w:r>
        <w:rPr>
          <w:spacing w:val="-3"/>
          <w:vertAlign w:val="baseline"/>
        </w:rPr>
        <w:t> </w:t>
      </w:r>
      <w:r>
        <w:rPr>
          <w:vertAlign w:val="baseline"/>
        </w:rPr>
        <w:t>that</w:t>
      </w:r>
      <w:r>
        <w:rPr>
          <w:spacing w:val="-3"/>
          <w:vertAlign w:val="baseline"/>
        </w:rPr>
        <w:t> </w:t>
      </w:r>
      <w:r>
        <w:rPr>
          <w:vertAlign w:val="baseline"/>
        </w:rPr>
        <w:t>of </w:t>
      </w:r>
      <w:bookmarkStart w:name="_bookmark673" w:id="675"/>
      <w:bookmarkEnd w:id="675"/>
      <w:r>
        <w:rPr>
          <w:vertAlign w:val="baseline"/>
        </w:rPr>
        <w:t>the</w:t>
      </w:r>
      <w:r>
        <w:rPr>
          <w:vertAlign w:val="baseline"/>
        </w:rPr>
        <w:t> lender (since he provides the “service” for which repayment is due) </w:t>
      </w:r>
      <w:r>
        <w:rPr>
          <w:color w:val="005DA1"/>
          <w:u w:val="single" w:color="005DA1"/>
          <w:vertAlign w:val="superscript"/>
        </w:rPr>
        <w:t>382</w:t>
      </w:r>
      <w:r>
        <w:rPr>
          <w:vertAlign w:val="baseline"/>
        </w:rPr>
        <w:t>; in a contract between </w:t>
      </w:r>
      <w:bookmarkStart w:name="_bookmark674" w:id="676"/>
      <w:bookmarkEnd w:id="676"/>
      <w:r>
        <w:rPr>
          <w:vertAlign w:val="baseline"/>
        </w:rPr>
        <w:t>lawyer</w:t>
      </w:r>
      <w:r>
        <w:rPr>
          <w:vertAlign w:val="baseline"/>
        </w:rPr>
        <w:t> and client, the characteristic performance is that of the lawyer </w:t>
      </w:r>
      <w:r>
        <w:rPr>
          <w:color w:val="005DA1"/>
          <w:u w:val="single" w:color="005DA1"/>
          <w:vertAlign w:val="superscript"/>
        </w:rPr>
        <w:t>383</w:t>
      </w:r>
      <w:r>
        <w:rPr>
          <w:vertAlign w:val="baseline"/>
        </w:rPr>
        <w:t>; in a contract between principal and agent, the characteristic performance is that of the agent</w:t>
      </w:r>
      <w:r>
        <w:rPr>
          <w:spacing w:val="-1"/>
          <w:vertAlign w:val="baseline"/>
        </w:rPr>
        <w:t> </w:t>
      </w:r>
      <w:r>
        <w:rPr>
          <w:color w:val="005DA1"/>
          <w:u w:val="single" w:color="005DA1"/>
          <w:vertAlign w:val="superscript"/>
        </w:rPr>
        <w:t>384</w:t>
      </w:r>
      <w:r>
        <w:rPr>
          <w:vertAlign w:val="baseline"/>
        </w:rPr>
        <w:t>; in a distributorship contract </w:t>
      </w:r>
      <w:bookmarkStart w:name="_bookmark675" w:id="677"/>
      <w:bookmarkEnd w:id="677"/>
      <w:r>
        <w:rPr>
          <w:vertAlign w:val="baseline"/>
        </w:rPr>
        <w:t>intended</w:t>
      </w:r>
      <w:r>
        <w:rPr>
          <w:vertAlign w:val="baseline"/>
        </w:rPr>
        <w:t> to be fulfilled by individual contracts of sale and purchase, the characteristic performance is </w:t>
      </w:r>
      <w:bookmarkStart w:name="_bookmark676" w:id="678"/>
      <w:bookmarkEnd w:id="678"/>
      <w:r>
        <w:rPr>
          <w:vertAlign w:val="baseline"/>
        </w:rPr>
        <w:t>that</w:t>
      </w:r>
      <w:r>
        <w:rPr>
          <w:vertAlign w:val="baseline"/>
        </w:rPr>
        <w:t> of the vendor </w:t>
      </w:r>
      <w:r>
        <w:rPr>
          <w:color w:val="005DA1"/>
          <w:u w:val="single" w:color="005DA1"/>
          <w:vertAlign w:val="superscript"/>
        </w:rPr>
        <w:t>385</w:t>
      </w:r>
      <w:r>
        <w:rPr>
          <w:vertAlign w:val="baseline"/>
        </w:rPr>
        <w:t>; in a contract of guarantee, the characteristic performance is that of the </w:t>
      </w:r>
      <w:bookmarkStart w:name="_bookmark677" w:id="679"/>
      <w:bookmarkEnd w:id="679"/>
      <w:r>
        <w:rPr>
          <w:vertAlign w:val="baseline"/>
        </w:rPr>
        <w:t>guarantor</w:t>
      </w:r>
      <w:r>
        <w:rPr>
          <w:vertAlign w:val="baseline"/>
        </w:rPr>
        <w:t> </w:t>
      </w:r>
      <w:r>
        <w:rPr>
          <w:color w:val="005DA1"/>
          <w:u w:val="single" w:color="005DA1"/>
          <w:vertAlign w:val="superscript"/>
        </w:rPr>
        <w:t>386</w:t>
      </w:r>
      <w:r>
        <w:rPr>
          <w:vertAlign w:val="baseline"/>
        </w:rPr>
        <w:t>; in a contract of pledge, the characteristic performance is that of the pledgor (since he </w:t>
      </w:r>
      <w:bookmarkStart w:name="_bookmark678" w:id="680"/>
      <w:bookmarkEnd w:id="680"/>
      <w:r>
        <w:rPr>
          <w:vertAlign w:val="baseline"/>
        </w:rPr>
        <w:t>provides</w:t>
      </w:r>
      <w:r>
        <w:rPr>
          <w:vertAlign w:val="baseline"/>
        </w:rPr>
        <w:t> the relevant security) </w:t>
      </w:r>
      <w:r>
        <w:rPr>
          <w:color w:val="005DA1"/>
          <w:u w:val="single" w:color="005DA1"/>
          <w:vertAlign w:val="superscript"/>
        </w:rPr>
        <w:t>387</w:t>
      </w:r>
      <w:r>
        <w:rPr>
          <w:vertAlign w:val="baseline"/>
        </w:rPr>
        <w:t>; in a contract for storage (a bailment), the characteristic </w:t>
      </w:r>
      <w:bookmarkStart w:name="_bookmark679" w:id="681"/>
      <w:bookmarkEnd w:id="681"/>
      <w:r>
        <w:rPr>
          <w:vertAlign w:val="baseline"/>
        </w:rPr>
        <w:t>performance</w:t>
      </w:r>
      <w:r>
        <w:rPr>
          <w:spacing w:val="-3"/>
          <w:vertAlign w:val="baseline"/>
        </w:rPr>
        <w:t> </w:t>
      </w:r>
      <w:r>
        <w:rPr>
          <w:vertAlign w:val="baseline"/>
        </w:rPr>
        <w:t>is</w:t>
      </w:r>
      <w:r>
        <w:rPr>
          <w:spacing w:val="-3"/>
          <w:vertAlign w:val="baseline"/>
        </w:rPr>
        <w:t> </w:t>
      </w:r>
      <w:r>
        <w:rPr>
          <w:vertAlign w:val="baseline"/>
        </w:rPr>
        <w:t>that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bailee</w:t>
      </w:r>
      <w:r>
        <w:rPr>
          <w:spacing w:val="-3"/>
          <w:vertAlign w:val="baseline"/>
        </w:rPr>
        <w:t> </w:t>
      </w:r>
      <w:r>
        <w:rPr>
          <w:color w:val="005DA1"/>
          <w:u w:val="single" w:color="005DA1"/>
          <w:vertAlign w:val="superscript"/>
        </w:rPr>
        <w:t>388</w:t>
      </w:r>
      <w:r>
        <w:rPr>
          <w:vertAlign w:val="baseline"/>
        </w:rPr>
        <w:t>;</w:t>
      </w:r>
      <w:r>
        <w:rPr>
          <w:spacing w:val="-3"/>
          <w:vertAlign w:val="baseline"/>
        </w:rPr>
        <w:t> </w:t>
      </w:r>
      <w:r>
        <w:rPr>
          <w:vertAlign w:val="baseline"/>
        </w:rPr>
        <w:t>in</w:t>
      </w:r>
      <w:r>
        <w:rPr>
          <w:spacing w:val="-3"/>
          <w:vertAlign w:val="baseline"/>
        </w:rPr>
        <w:t> </w:t>
      </w:r>
      <w:r>
        <w:rPr>
          <w:vertAlign w:val="baseline"/>
        </w:rPr>
        <w:t>construction</w:t>
      </w:r>
      <w:r>
        <w:rPr>
          <w:spacing w:val="-3"/>
          <w:vertAlign w:val="baseline"/>
        </w:rPr>
        <w:t> </w:t>
      </w:r>
      <w:r>
        <w:rPr>
          <w:vertAlign w:val="baseline"/>
        </w:rPr>
        <w:t>contracts,</w:t>
      </w:r>
      <w:r>
        <w:rPr>
          <w:spacing w:val="-3"/>
          <w:vertAlign w:val="baseline"/>
        </w:rPr>
        <w:t> </w:t>
      </w:r>
      <w:r>
        <w:rPr>
          <w:vertAlign w:val="baseline"/>
        </w:rPr>
        <w:t>the</w:t>
      </w:r>
      <w:r>
        <w:rPr>
          <w:spacing w:val="-3"/>
          <w:vertAlign w:val="baseline"/>
        </w:rPr>
        <w:t> </w:t>
      </w:r>
      <w:r>
        <w:rPr>
          <w:vertAlign w:val="baseline"/>
        </w:rPr>
        <w:t>characteristic</w:t>
      </w:r>
      <w:r>
        <w:rPr>
          <w:spacing w:val="-3"/>
          <w:vertAlign w:val="baseline"/>
        </w:rPr>
        <w:t> </w:t>
      </w:r>
      <w:r>
        <w:rPr>
          <w:vertAlign w:val="baseline"/>
        </w:rPr>
        <w:t>performance</w:t>
      </w:r>
      <w:r>
        <w:rPr>
          <w:spacing w:val="-3"/>
          <w:vertAlign w:val="baseline"/>
        </w:rPr>
        <w:t> </w:t>
      </w:r>
      <w:r>
        <w:rPr>
          <w:vertAlign w:val="baseline"/>
        </w:rPr>
        <w:t>is</w:t>
      </w:r>
      <w:r>
        <w:rPr>
          <w:spacing w:val="-3"/>
          <w:vertAlign w:val="baseline"/>
        </w:rPr>
        <w:t> </w:t>
      </w:r>
      <w:r>
        <w:rPr>
          <w:vertAlign w:val="baseline"/>
        </w:rPr>
        <w:t>that</w:t>
      </w:r>
      <w:r>
        <w:rPr>
          <w:spacing w:val="-3"/>
          <w:vertAlign w:val="baseline"/>
        </w:rPr>
        <w:t> </w:t>
      </w:r>
      <w:r>
        <w:rPr>
          <w:vertAlign w:val="baseline"/>
        </w:rPr>
        <w:t>of </w:t>
      </w:r>
      <w:bookmarkStart w:name="_bookmark680" w:id="682"/>
      <w:bookmarkEnd w:id="682"/>
      <w:r>
        <w:rPr>
          <w:vertAlign w:val="baseline"/>
        </w:rPr>
        <w:t>the</w:t>
      </w:r>
      <w:r>
        <w:rPr>
          <w:vertAlign w:val="baseline"/>
        </w:rPr>
        <w:t> builder</w:t>
      </w:r>
      <w:r>
        <w:rPr>
          <w:spacing w:val="-1"/>
          <w:vertAlign w:val="baseline"/>
        </w:rPr>
        <w:t> </w:t>
      </w:r>
      <w:r>
        <w:rPr>
          <w:color w:val="005DA1"/>
          <w:u w:val="single" w:color="005DA1"/>
          <w:vertAlign w:val="superscript"/>
        </w:rPr>
        <w:t>389</w:t>
      </w:r>
      <w:r>
        <w:rPr>
          <w:vertAlign w:val="baseline"/>
        </w:rPr>
        <w:t>; in wagering contracts, the characteristic performance is that of the party who offers the facility for the placing of the wager </w:t>
      </w:r>
      <w:r>
        <w:rPr>
          <w:color w:val="005DA1"/>
          <w:u w:val="single" w:color="005DA1"/>
          <w:vertAlign w:val="superscript"/>
        </w:rPr>
        <w:t>390</w:t>
      </w:r>
      <w:r>
        <w:rPr>
          <w:vertAlign w:val="baseline"/>
        </w:rPr>
        <w:t>; in a contract whereby a person undertakes not to make or</w:t>
      </w:r>
      <w:r>
        <w:rPr>
          <w:spacing w:val="40"/>
          <w:vertAlign w:val="baseline"/>
        </w:rPr>
        <w:t> </w:t>
      </w:r>
      <w:bookmarkStart w:name="_bookmark681" w:id="683"/>
      <w:bookmarkEnd w:id="683"/>
      <w:r>
        <w:rPr>
          <w:vertAlign w:val="baseline"/>
        </w:rPr>
        <w:t>allow</w:t>
      </w:r>
      <w:r>
        <w:rPr>
          <w:vertAlign w:val="baseline"/>
        </w:rPr>
        <w:t> to be made any communication to any individual or company in the United Kingdom, the </w:t>
      </w:r>
      <w:bookmarkStart w:name="_bookmark682" w:id="684"/>
      <w:bookmarkEnd w:id="684"/>
      <w:r>
        <w:rPr>
          <w:vertAlign w:val="baseline"/>
        </w:rPr>
        <w:t>characteristic</w:t>
      </w:r>
      <w:r>
        <w:rPr>
          <w:vertAlign w:val="baseline"/>
        </w:rPr>
        <w:t> performance is that of the party who gives the undertaking </w:t>
      </w:r>
      <w:r>
        <w:rPr>
          <w:color w:val="005DA1"/>
          <w:u w:val="single" w:color="005DA1"/>
          <w:vertAlign w:val="superscript"/>
        </w:rPr>
        <w:t>391</w:t>
      </w:r>
      <w:r>
        <w:rPr>
          <w:vertAlign w:val="baseline"/>
        </w:rPr>
        <w:t>; in a contract of gift, the </w:t>
      </w:r>
      <w:bookmarkStart w:name="_bookmark683" w:id="685"/>
      <w:bookmarkEnd w:id="685"/>
      <w:r>
        <w:rPr>
          <w:vertAlign w:val="baseline"/>
        </w:rPr>
        <w:t>characteristic</w:t>
      </w:r>
      <w:r>
        <w:rPr>
          <w:vertAlign w:val="baseline"/>
        </w:rPr>
        <w:t> performance is that of the donor </w:t>
      </w:r>
      <w:r>
        <w:rPr>
          <w:color w:val="005DA1"/>
          <w:u w:val="single" w:color="005DA1"/>
          <w:vertAlign w:val="superscript"/>
        </w:rPr>
        <w:t>392</w:t>
      </w:r>
      <w:r>
        <w:rPr>
          <w:vertAlign w:val="baseline"/>
        </w:rPr>
        <w:t>; in a contract to provide an indemnity, the </w:t>
      </w:r>
      <w:bookmarkStart w:name="_bookmark684" w:id="686"/>
      <w:bookmarkEnd w:id="686"/>
      <w:r>
        <w:rPr>
          <w:vertAlign w:val="baseline"/>
        </w:rPr>
        <w:t>characteristic</w:t>
      </w:r>
      <w:r>
        <w:rPr>
          <w:vertAlign w:val="baseline"/>
        </w:rPr>
        <w:t> performance is that of the party who is to provide the indemnity </w:t>
      </w:r>
      <w:r>
        <w:rPr>
          <w:color w:val="005DA1"/>
          <w:u w:val="single" w:color="005DA1"/>
          <w:vertAlign w:val="superscript"/>
        </w:rPr>
        <w:t>393</w:t>
      </w:r>
      <w:r>
        <w:rPr>
          <w:vertAlign w:val="baseline"/>
        </w:rPr>
        <w:t>; in a compromise agreement, the characteristic performance is that of the party required to transfer assets </w:t>
      </w:r>
      <w:r>
        <w:rPr>
          <w:color w:val="005DA1"/>
          <w:u w:val="single" w:color="005DA1"/>
          <w:vertAlign w:val="superscript"/>
        </w:rPr>
        <w:t>394</w:t>
      </w:r>
      <w:r>
        <w:rPr>
          <w:vertAlign w:val="baseline"/>
        </w:rPr>
        <w:t>; in a contract whereby a bank grants an option to purchase promissory notes, the characteristic </w:t>
      </w:r>
      <w:bookmarkStart w:name="_bookmark685" w:id="687"/>
      <w:bookmarkEnd w:id="687"/>
      <w:r>
        <w:rPr>
          <w:vertAlign w:val="baseline"/>
        </w:rPr>
        <w:t>performance</w:t>
      </w:r>
      <w:r>
        <w:rPr>
          <w:vertAlign w:val="baseline"/>
        </w:rPr>
        <w:t> is that of the bank which is under an obligation to deliver the notes upon exercise of the option. </w:t>
      </w:r>
      <w:r>
        <w:rPr>
          <w:color w:val="005DA1"/>
          <w:u w:val="single" w:color="005DA1"/>
          <w:vertAlign w:val="superscript"/>
        </w:rPr>
        <w:t>395</w:t>
      </w:r>
    </w:p>
    <w:p>
      <w:pPr>
        <w:pStyle w:val="BodyText"/>
      </w:pPr>
    </w:p>
    <w:p>
      <w:pPr>
        <w:pStyle w:val="BodyText"/>
        <w:spacing w:before="30"/>
      </w:pPr>
    </w:p>
    <w:p>
      <w:pPr>
        <w:spacing w:before="0"/>
        <w:ind w:left="165" w:right="0" w:firstLine="0"/>
        <w:jc w:val="both"/>
        <w:rPr>
          <w:rFonts w:ascii="Arial"/>
          <w:b/>
          <w:sz w:val="18"/>
        </w:rPr>
      </w:pPr>
      <w:r>
        <w:rPr>
          <w:rFonts w:ascii="Arial"/>
          <w:b/>
          <w:sz w:val="18"/>
        </w:rPr>
        <w:t>Applicable </w:t>
      </w:r>
      <w:r>
        <w:rPr>
          <w:rFonts w:ascii="Arial"/>
          <w:b/>
          <w:spacing w:val="-5"/>
          <w:sz w:val="18"/>
        </w:rPr>
        <w:t>law</w:t>
      </w:r>
    </w:p>
    <w:p>
      <w:pPr>
        <w:pStyle w:val="BodyText"/>
        <w:spacing w:before="41"/>
        <w:rPr>
          <w:rFonts w:ascii="Arial"/>
          <w:b/>
          <w:sz w:val="18"/>
        </w:rPr>
      </w:pPr>
    </w:p>
    <w:p>
      <w:pPr>
        <w:pStyle w:val="Heading2"/>
      </w:pPr>
      <w:r>
        <w:rPr/>
        <w:t>30-</w:t>
      </w:r>
      <w:r>
        <w:rPr>
          <w:spacing w:val="-5"/>
        </w:rPr>
        <w:t>077</w:t>
      </w:r>
    </w:p>
    <w:p>
      <w:pPr>
        <w:pStyle w:val="BodyText"/>
        <w:spacing w:line="235" w:lineRule="auto" w:before="203"/>
        <w:ind w:left="164" w:right="167"/>
        <w:jc w:val="both"/>
      </w:pPr>
      <w:r>
        <w:rPr/>
        <w:t>Despite the central importance of characteristic performance, it is not the </w:t>
      </w:r>
      <w:r>
        <w:rPr>
          <w:rFonts w:ascii="Arial" w:hAnsi="Arial"/>
          <w:i/>
        </w:rPr>
        <w:t>place </w:t>
      </w:r>
      <w:r>
        <w:rPr/>
        <w:t>of such performance which supplies the applicable law. Rather it is either the law of the country where the </w:t>
      </w:r>
      <w:r>
        <w:rPr/>
        <w:t>characteristic performer is habitually resident or, where the performer is a body corporate or unincorporate, its central administration. If the contract is, however, entered into in the course of the characteristic performer’s trade or profession, then a different set of connecting factors becomes relevant: in such circumstances, the applicable law will be the law of the country where the characteristic performer’s principal place of business is situated or where under the terms of the contract the (characteristic) </w:t>
      </w:r>
      <w:bookmarkStart w:name="_bookmark686" w:id="688"/>
      <w:bookmarkEnd w:id="688"/>
      <w:r>
        <w:rPr/>
        <w:t>performance</w:t>
      </w:r>
      <w:r>
        <w:rPr/>
        <w:t> is to be effected through a place of business other than the principal place of business, the applicable law will be that of the country in which that other place of business is situated. </w:t>
      </w:r>
      <w:r>
        <w:rPr>
          <w:color w:val="005DA1"/>
          <w:u w:val="single" w:color="005DA1"/>
          <w:vertAlign w:val="superscript"/>
        </w:rPr>
        <w:t>396</w:t>
      </w:r>
      <w:r>
        <w:rPr>
          <w:color w:val="005DA1"/>
          <w:spacing w:val="40"/>
          <w:vertAlign w:val="baseline"/>
        </w:rPr>
        <w:t> </w:t>
      </w:r>
      <w:bookmarkStart w:name="_bookmark687" w:id="689"/>
      <w:bookmarkEnd w:id="689"/>
      <w:r>
        <w:rPr>
          <w:color w:val="005DA1"/>
          <w:w w:val="92"/>
          <w:vertAlign w:val="baseline"/>
        </w:rPr>
      </w:r>
      <w:r>
        <w:rPr>
          <w:vertAlign w:val="baseline"/>
        </w:rPr>
        <w:t>These various connecting factors are not defined in the Convention. It is likely, however, that they will receive an autonomous interpretation so as to achieve uniformity in the application of art.4(2). </w:t>
      </w:r>
      <w:r>
        <w:rPr>
          <w:color w:val="005DA1"/>
          <w:u w:val="single" w:color="005DA1"/>
          <w:vertAlign w:val="superscript"/>
        </w:rPr>
        <w:t>397</w:t>
      </w:r>
      <w:r>
        <w:rPr>
          <w:color w:val="005DA1"/>
          <w:vertAlign w:val="baseline"/>
        </w:rPr>
        <w:t> </w:t>
      </w:r>
      <w:r>
        <w:rPr>
          <w:vertAlign w:val="baseline"/>
        </w:rPr>
        <w:t>The </w:t>
      </w:r>
      <w:bookmarkStart w:name="_bookmark688" w:id="690"/>
      <w:bookmarkEnd w:id="690"/>
      <w:r>
        <w:rPr>
          <w:vertAlign w:val="baseline"/>
        </w:rPr>
        <w:t>meaning</w:t>
      </w:r>
      <w:r>
        <w:rPr>
          <w:vertAlign w:val="baseline"/>
        </w:rPr>
        <w:t> given to analogous expressions in English case law, discussed below, is, thus, not conclusive as to their meaning under the Convention. </w:t>
      </w:r>
      <w:r>
        <w:rPr>
          <w:color w:val="005DA1"/>
          <w:u w:val="single" w:color="005DA1"/>
          <w:vertAlign w:val="superscript"/>
        </w:rPr>
        <w:t>398</w:t>
      </w:r>
      <w:r>
        <w:rPr>
          <w:color w:val="005DA1"/>
          <w:vertAlign w:val="baseline"/>
        </w:rPr>
        <w:t> </w:t>
      </w:r>
      <w:r>
        <w:rPr>
          <w:vertAlign w:val="baseline"/>
        </w:rPr>
        <w:t>The relevant time for identifying each of the relevant connecting factors is the time at which the contract is concluded.</w:t>
      </w:r>
    </w:p>
    <w:p>
      <w:pPr>
        <w:pStyle w:val="BodyText"/>
      </w:pPr>
    </w:p>
    <w:p>
      <w:pPr>
        <w:pStyle w:val="BodyText"/>
        <w:spacing w:before="33"/>
      </w:pPr>
    </w:p>
    <w:p>
      <w:pPr>
        <w:spacing w:before="0"/>
        <w:ind w:left="164" w:right="0" w:firstLine="0"/>
        <w:jc w:val="left"/>
        <w:rPr>
          <w:rFonts w:ascii="Arial"/>
          <w:b/>
          <w:sz w:val="18"/>
        </w:rPr>
      </w:pPr>
      <w:r>
        <w:rPr>
          <w:rFonts w:ascii="Arial"/>
          <w:b/>
          <w:sz w:val="18"/>
        </w:rPr>
        <w:t>Habitual </w:t>
      </w:r>
      <w:r>
        <w:rPr>
          <w:rFonts w:ascii="Arial"/>
          <w:b/>
          <w:spacing w:val="-2"/>
          <w:sz w:val="18"/>
        </w:rPr>
        <w:t>residence</w:t>
      </w:r>
    </w:p>
    <w:p>
      <w:pPr>
        <w:pStyle w:val="BodyText"/>
        <w:spacing w:before="42"/>
        <w:rPr>
          <w:rFonts w:ascii="Arial"/>
          <w:b/>
          <w:sz w:val="18"/>
        </w:rPr>
      </w:pPr>
    </w:p>
    <w:p>
      <w:pPr>
        <w:pStyle w:val="Heading2"/>
        <w:ind w:left="164"/>
      </w:pPr>
      <w:r>
        <w:rPr/>
        <w:t>30-</w:t>
      </w:r>
      <w:r>
        <w:rPr>
          <w:spacing w:val="-5"/>
        </w:rPr>
        <w:t>078</w:t>
      </w:r>
    </w:p>
    <w:p>
      <w:pPr>
        <w:pStyle w:val="BodyText"/>
        <w:spacing w:line="235" w:lineRule="auto" w:before="202"/>
        <w:ind w:left="164" w:right="167"/>
        <w:jc w:val="both"/>
      </w:pPr>
      <w:bookmarkStart w:name="_bookmark689" w:id="691"/>
      <w:bookmarkEnd w:id="691"/>
      <w:r>
        <w:rPr/>
      </w:r>
      <w:r>
        <w:rPr/>
        <w:t>English case law has not attributed a consistent meaning to this concept. </w:t>
      </w:r>
      <w:r>
        <w:rPr>
          <w:color w:val="005DA1"/>
          <w:u w:val="single" w:color="005DA1"/>
          <w:vertAlign w:val="superscript"/>
        </w:rPr>
        <w:t>399</w:t>
      </w:r>
      <w:r>
        <w:rPr>
          <w:color w:val="005DA1"/>
          <w:vertAlign w:val="baseline"/>
        </w:rPr>
        <w:t> </w:t>
      </w:r>
      <w:r>
        <w:rPr>
          <w:vertAlign w:val="baseline"/>
        </w:rPr>
        <w:t>Outside the context </w:t>
      </w:r>
      <w:r>
        <w:rPr>
          <w:vertAlign w:val="baseline"/>
        </w:rPr>
        <w:t>of commercial law, it has been said that habitual residence refers to a person’s abode in a particular </w:t>
      </w:r>
      <w:bookmarkStart w:name="_bookmark690" w:id="692"/>
      <w:bookmarkEnd w:id="692"/>
      <w:r>
        <w:rPr>
          <w:vertAlign w:val="baseline"/>
        </w:rPr>
        <w:t>country</w:t>
      </w:r>
      <w:r>
        <w:rPr>
          <w:vertAlign w:val="baseline"/>
        </w:rPr>
        <w:t> which he has adopted voluntarily and for settled purposes as part of the regular order of his </w:t>
      </w:r>
      <w:bookmarkStart w:name="_bookmark691" w:id="693"/>
      <w:bookmarkEnd w:id="693"/>
      <w:r>
        <w:rPr>
          <w:vertAlign w:val="baseline"/>
        </w:rPr>
        <w:t>life</w:t>
      </w:r>
      <w:r>
        <w:rPr>
          <w:vertAlign w:val="baseline"/>
        </w:rPr>
        <w:t> for the time being whether of short or long duration. </w:t>
      </w:r>
      <w:r>
        <w:rPr>
          <w:color w:val="005DA1"/>
          <w:u w:val="single" w:color="005DA1"/>
          <w:vertAlign w:val="superscript"/>
        </w:rPr>
        <w:t>400</w:t>
      </w:r>
      <w:r>
        <w:rPr>
          <w:color w:val="005DA1"/>
          <w:vertAlign w:val="baseline"/>
        </w:rPr>
        <w:t> </w:t>
      </w:r>
      <w:r>
        <w:rPr>
          <w:vertAlign w:val="baseline"/>
        </w:rPr>
        <w:t>It seems possible that, on this basis, a person may have more than one habitual residence, </w:t>
      </w:r>
      <w:r>
        <w:rPr>
          <w:color w:val="005DA1"/>
          <w:u w:val="single" w:color="005DA1"/>
          <w:vertAlign w:val="superscript"/>
        </w:rPr>
        <w:t>401</w:t>
      </w:r>
      <w:r>
        <w:rPr>
          <w:color w:val="005DA1"/>
          <w:vertAlign w:val="baseline"/>
        </w:rPr>
        <w:t> </w:t>
      </w:r>
      <w:r>
        <w:rPr>
          <w:vertAlign w:val="baseline"/>
        </w:rPr>
        <w:t>in which case, it has been suggested, the relevant habitual residence should be that of the place having the closest relationship to the contract </w:t>
      </w:r>
      <w:bookmarkStart w:name="_bookmark692" w:id="694"/>
      <w:bookmarkEnd w:id="694"/>
      <w:r>
        <w:rPr>
          <w:vertAlign w:val="baseline"/>
        </w:rPr>
        <w:t>and</w:t>
      </w:r>
      <w:r>
        <w:rPr>
          <w:vertAlign w:val="baseline"/>
        </w:rPr>
        <w:t> its performance, having regard to the circumstances known to, or contemplated by, the parties at </w:t>
      </w:r>
      <w:bookmarkStart w:name="_bookmark693" w:id="695"/>
      <w:bookmarkEnd w:id="695"/>
      <w:r>
        <w:rPr>
          <w:vertAlign w:val="baseline"/>
        </w:rPr>
        <w:t>any</w:t>
      </w:r>
      <w:r>
        <w:rPr>
          <w:vertAlign w:val="baseline"/>
        </w:rPr>
        <w:t> time before or at the conclusion of the contract. </w:t>
      </w:r>
      <w:r>
        <w:rPr>
          <w:color w:val="005DA1"/>
          <w:u w:val="single" w:color="005DA1"/>
          <w:vertAlign w:val="superscript"/>
        </w:rPr>
        <w:t>402</w:t>
      </w:r>
      <w:r>
        <w:rPr>
          <w:color w:val="005DA1"/>
          <w:vertAlign w:val="baseline"/>
        </w:rPr>
        <w:t> </w:t>
      </w:r>
      <w:r>
        <w:rPr>
          <w:vertAlign w:val="baseline"/>
        </w:rPr>
        <w:t>It is conceivable, also, that a person may be without any habitual residence. </w:t>
      </w:r>
      <w:r>
        <w:rPr>
          <w:color w:val="005DA1"/>
          <w:u w:val="single" w:color="005DA1"/>
          <w:vertAlign w:val="superscript"/>
        </w:rPr>
        <w:t>403</w:t>
      </w:r>
      <w:r>
        <w:rPr>
          <w:color w:val="005DA1"/>
          <w:vertAlign w:val="baseline"/>
        </w:rPr>
        <w:t> </w:t>
      </w:r>
      <w:r>
        <w:rPr>
          <w:vertAlign w:val="baseline"/>
        </w:rPr>
        <w:t>In such circumstances it would seem that the applicable law will have to be determined without reference to the presumption in art.4(2). It is, however, possible that if the matter should ever reach the European Court, that the concept of habitual residence will be given an</w:t>
      </w:r>
      <w:r>
        <w:rPr>
          <w:spacing w:val="6"/>
          <w:vertAlign w:val="baseline"/>
        </w:rPr>
        <w:t> </w:t>
      </w:r>
      <w:r>
        <w:rPr>
          <w:vertAlign w:val="baseline"/>
        </w:rPr>
        <w:t>autonomous</w:t>
      </w:r>
      <w:r>
        <w:rPr>
          <w:spacing w:val="6"/>
          <w:vertAlign w:val="baseline"/>
        </w:rPr>
        <w:t> </w:t>
      </w:r>
      <w:r>
        <w:rPr>
          <w:vertAlign w:val="baseline"/>
        </w:rPr>
        <w:t>meaning</w:t>
      </w:r>
      <w:r>
        <w:rPr>
          <w:spacing w:val="6"/>
          <w:vertAlign w:val="baseline"/>
        </w:rPr>
        <w:t> </w:t>
      </w:r>
      <w:r>
        <w:rPr>
          <w:vertAlign w:val="baseline"/>
        </w:rPr>
        <w:t>derived</w:t>
      </w:r>
      <w:r>
        <w:rPr>
          <w:spacing w:val="6"/>
          <w:vertAlign w:val="baseline"/>
        </w:rPr>
        <w:t> </w:t>
      </w:r>
      <w:r>
        <w:rPr>
          <w:vertAlign w:val="baseline"/>
        </w:rPr>
        <w:t>from</w:t>
      </w:r>
      <w:r>
        <w:rPr>
          <w:spacing w:val="6"/>
          <w:vertAlign w:val="baseline"/>
        </w:rPr>
        <w:t> </w:t>
      </w:r>
      <w:r>
        <w:rPr>
          <w:vertAlign w:val="baseline"/>
        </w:rPr>
        <w:t>relevant</w:t>
      </w:r>
      <w:r>
        <w:rPr>
          <w:spacing w:val="6"/>
          <w:vertAlign w:val="baseline"/>
        </w:rPr>
        <w:t> </w:t>
      </w:r>
      <w:r>
        <w:rPr>
          <w:vertAlign w:val="baseline"/>
        </w:rPr>
        <w:t>areas</w:t>
      </w:r>
      <w:r>
        <w:rPr>
          <w:spacing w:val="6"/>
          <w:vertAlign w:val="baseline"/>
        </w:rPr>
        <w:t> </w:t>
      </w:r>
      <w:r>
        <w:rPr>
          <w:vertAlign w:val="baseline"/>
        </w:rPr>
        <w:t>of</w:t>
      </w:r>
      <w:r>
        <w:rPr>
          <w:spacing w:val="6"/>
          <w:vertAlign w:val="baseline"/>
        </w:rPr>
        <w:t> </w:t>
      </w:r>
      <w:r>
        <w:rPr>
          <w:vertAlign w:val="baseline"/>
        </w:rPr>
        <w:t>Community</w:t>
      </w:r>
      <w:r>
        <w:rPr>
          <w:spacing w:val="6"/>
          <w:vertAlign w:val="baseline"/>
        </w:rPr>
        <w:t> </w:t>
      </w:r>
      <w:r>
        <w:rPr>
          <w:vertAlign w:val="baseline"/>
        </w:rPr>
        <w:t>law</w:t>
      </w:r>
      <w:r>
        <w:rPr>
          <w:spacing w:val="6"/>
          <w:vertAlign w:val="baseline"/>
        </w:rPr>
        <w:t> </w:t>
      </w:r>
      <w:r>
        <w:rPr>
          <w:vertAlign w:val="baseline"/>
        </w:rPr>
        <w:t>and,</w:t>
      </w:r>
      <w:r>
        <w:rPr>
          <w:spacing w:val="6"/>
          <w:vertAlign w:val="baseline"/>
        </w:rPr>
        <w:t> </w:t>
      </w:r>
      <w:r>
        <w:rPr>
          <w:vertAlign w:val="baseline"/>
        </w:rPr>
        <w:t>perhaps,</w:t>
      </w:r>
      <w:r>
        <w:rPr>
          <w:spacing w:val="6"/>
          <w:vertAlign w:val="baseline"/>
        </w:rPr>
        <w:t> </w:t>
      </w:r>
      <w:r>
        <w:rPr>
          <w:spacing w:val="-2"/>
          <w:vertAlign w:val="baseline"/>
        </w:rPr>
        <w:t>corresponding</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bookmarkStart w:name="_bookmark694" w:id="696"/>
      <w:bookmarkEnd w:id="696"/>
      <w:r>
        <w:rPr/>
      </w:r>
      <w:r>
        <w:rPr/>
        <w:t>principles referred to in this paragraph.</w:t>
      </w:r>
      <w:r>
        <w:rPr>
          <w:spacing w:val="-1"/>
        </w:rPr>
        <w:t> </w:t>
      </w:r>
      <w:r>
        <w:rPr>
          <w:color w:val="005DA1"/>
          <w:spacing w:val="-5"/>
          <w:u w:val="single" w:color="005DA1"/>
          <w:vertAlign w:val="superscript"/>
        </w:rPr>
        <w:t>404</w:t>
      </w:r>
    </w:p>
    <w:p>
      <w:pPr>
        <w:pStyle w:val="BodyText"/>
      </w:pPr>
    </w:p>
    <w:p>
      <w:pPr>
        <w:pStyle w:val="BodyText"/>
        <w:spacing w:before="38"/>
      </w:pPr>
    </w:p>
    <w:p>
      <w:pPr>
        <w:spacing w:before="0"/>
        <w:ind w:left="165" w:right="0" w:firstLine="0"/>
        <w:jc w:val="both"/>
        <w:rPr>
          <w:rFonts w:ascii="Arial"/>
          <w:b/>
          <w:sz w:val="18"/>
        </w:rPr>
      </w:pPr>
      <w:r>
        <w:rPr>
          <w:rFonts w:ascii="Arial"/>
          <w:b/>
          <w:sz w:val="18"/>
        </w:rPr>
        <w:t>Central </w:t>
      </w:r>
      <w:r>
        <w:rPr>
          <w:rFonts w:ascii="Arial"/>
          <w:b/>
          <w:spacing w:val="-2"/>
          <w:sz w:val="18"/>
        </w:rPr>
        <w:t>administration</w:t>
      </w:r>
    </w:p>
    <w:p>
      <w:pPr>
        <w:pStyle w:val="BodyText"/>
        <w:spacing w:before="41"/>
        <w:rPr>
          <w:rFonts w:ascii="Arial"/>
          <w:b/>
          <w:sz w:val="18"/>
        </w:rPr>
      </w:pPr>
    </w:p>
    <w:p>
      <w:pPr>
        <w:pStyle w:val="Heading2"/>
      </w:pPr>
      <w:r>
        <w:rPr/>
        <w:t>30-</w:t>
      </w:r>
      <w:r>
        <w:rPr>
          <w:spacing w:val="-5"/>
        </w:rPr>
        <w:t>079</w:t>
      </w:r>
    </w:p>
    <w:p>
      <w:pPr>
        <w:pStyle w:val="BodyText"/>
        <w:spacing w:line="235" w:lineRule="auto" w:before="203"/>
        <w:ind w:left="164" w:right="167"/>
        <w:jc w:val="both"/>
      </w:pPr>
      <w:r>
        <w:rPr/>
        <w:t>Where the characteristic performer is a body corporate or unincorporate, the law of the country where </w:t>
      </w:r>
      <w:bookmarkStart w:name="_bookmark695" w:id="697"/>
      <w:bookmarkEnd w:id="697"/>
      <w:r>
        <w:rPr/>
        <w:t>that</w:t>
      </w:r>
      <w:r>
        <w:rPr/>
        <w:t> party’s “central administration” is situated may apply. This expression is not defined in </w:t>
      </w:r>
      <w:r>
        <w:rPr/>
        <w:t>the Convention, but, presumably, it will be given an autonomous meaning. </w:t>
      </w:r>
      <w:r>
        <w:rPr>
          <w:color w:val="005DA1"/>
          <w:u w:val="single" w:color="005DA1"/>
          <w:vertAlign w:val="superscript"/>
        </w:rPr>
        <w:t>405</w:t>
      </w:r>
      <w:r>
        <w:rPr>
          <w:color w:val="005DA1"/>
          <w:vertAlign w:val="baseline"/>
        </w:rPr>
        <w:t> </w:t>
      </w:r>
      <w:r>
        <w:rPr>
          <w:vertAlign w:val="baseline"/>
        </w:rPr>
        <w:t>The nearest analogy in </w:t>
      </w:r>
      <w:bookmarkStart w:name="_bookmark696" w:id="698"/>
      <w:bookmarkEnd w:id="698"/>
      <w:r>
        <w:rPr>
          <w:vertAlign w:val="baseline"/>
        </w:rPr>
        <w:t>English</w:t>
      </w:r>
      <w:r>
        <w:rPr>
          <w:vertAlign w:val="baseline"/>
        </w:rPr>
        <w:t> law is the concept of “central management and control”, as used, for example, in the Civil Jurisdiction and Judgments Act 1982, </w:t>
      </w:r>
      <w:r>
        <w:rPr>
          <w:color w:val="005DA1"/>
          <w:u w:val="single" w:color="005DA1"/>
          <w:vertAlign w:val="superscript"/>
        </w:rPr>
        <w:t>406</w:t>
      </w:r>
      <w:r>
        <w:rPr>
          <w:color w:val="005DA1"/>
          <w:vertAlign w:val="baseline"/>
        </w:rPr>
        <w:t> </w:t>
      </w:r>
      <w:r>
        <w:rPr>
          <w:vertAlign w:val="baseline"/>
        </w:rPr>
        <w:t>but that Act also fails to supply a definition. Case law suggests that the question is one of fact, to be answered by an examination of the course of business or trading, reference to the place where the principal office is, to the place (or places) where the </w:t>
      </w:r>
      <w:bookmarkStart w:name="_bookmark697" w:id="699"/>
      <w:bookmarkEnd w:id="699"/>
      <w:r>
        <w:rPr>
          <w:vertAlign w:val="baseline"/>
        </w:rPr>
        <w:t>directors</w:t>
      </w:r>
      <w:r>
        <w:rPr>
          <w:vertAlign w:val="baseline"/>
        </w:rPr>
        <w:t> and shareholders reside (or meet) and where control over major policy decisions and business operations is actually exercised. </w:t>
      </w:r>
      <w:r>
        <w:rPr>
          <w:color w:val="005DA1"/>
          <w:u w:val="single" w:color="005DA1"/>
          <w:vertAlign w:val="superscript"/>
        </w:rPr>
        <w:t>407</w:t>
      </w:r>
    </w:p>
    <w:p>
      <w:pPr>
        <w:pStyle w:val="BodyText"/>
      </w:pPr>
    </w:p>
    <w:p>
      <w:pPr>
        <w:pStyle w:val="BodyText"/>
        <w:spacing w:before="35"/>
      </w:pPr>
    </w:p>
    <w:p>
      <w:pPr>
        <w:spacing w:before="0"/>
        <w:ind w:left="165" w:right="0" w:firstLine="0"/>
        <w:jc w:val="both"/>
        <w:rPr>
          <w:rFonts w:ascii="Arial"/>
          <w:b/>
          <w:sz w:val="18"/>
        </w:rPr>
      </w:pPr>
      <w:r>
        <w:rPr>
          <w:rFonts w:ascii="Arial"/>
          <w:b/>
          <w:sz w:val="18"/>
        </w:rPr>
        <w:t>Principal place of business and place of </w:t>
      </w:r>
      <w:r>
        <w:rPr>
          <w:rFonts w:ascii="Arial"/>
          <w:b/>
          <w:spacing w:val="-2"/>
          <w:sz w:val="18"/>
        </w:rPr>
        <w:t>business</w:t>
      </w:r>
    </w:p>
    <w:p>
      <w:pPr>
        <w:pStyle w:val="BodyText"/>
        <w:spacing w:before="41"/>
        <w:rPr>
          <w:rFonts w:ascii="Arial"/>
          <w:b/>
          <w:sz w:val="18"/>
        </w:rPr>
      </w:pPr>
    </w:p>
    <w:p>
      <w:pPr>
        <w:pStyle w:val="Heading2"/>
      </w:pPr>
      <w:r>
        <w:rPr/>
        <w:t>30-</w:t>
      </w:r>
      <w:r>
        <w:rPr>
          <w:spacing w:val="-5"/>
        </w:rPr>
        <w:t>080</w:t>
      </w:r>
    </w:p>
    <w:p>
      <w:pPr>
        <w:pStyle w:val="BodyText"/>
        <w:spacing w:line="235" w:lineRule="auto" w:before="203"/>
        <w:ind w:left="164" w:right="167"/>
        <w:jc w:val="both"/>
      </w:pPr>
      <w:r>
        <w:rPr/>
        <w:t>In the more likely situation where a body corporate or unincorporate, as characteristic performer, enters into a contract in the course of its trade or profession, the law of the place of central administration will be substituted by either the law of that party’s principal place of business at the</w:t>
      </w:r>
      <w:r>
        <w:rPr>
          <w:spacing w:val="40"/>
        </w:rPr>
        <w:t> </w:t>
      </w:r>
      <w:r>
        <w:rPr/>
        <w:t>time of conclusion of the contract, or if that party’s performance is to be effected through a place </w:t>
      </w:r>
      <w:r>
        <w:rPr/>
        <w:t>of business other than the principal place of business, the law of the country in which that other place of business is situated. “Principal place of business” and “place of business” are not defined in the Convention. While it is likely that each expression will be given an autonomous meaning, an analogy </w:t>
      </w:r>
      <w:bookmarkStart w:name="_bookmark698" w:id="700"/>
      <w:bookmarkEnd w:id="700"/>
      <w:r>
        <w:rPr/>
        <w:t>suggested</w:t>
      </w:r>
      <w:r>
        <w:rPr/>
        <w:t> by English law is with cases dealing with whether a corporation is present in England for </w:t>
      </w:r>
      <w:bookmarkStart w:name="_bookmark699" w:id="701"/>
      <w:bookmarkEnd w:id="701"/>
      <w:r>
        <w:rPr/>
        <w:t>the</w:t>
      </w:r>
      <w:r>
        <w:rPr/>
        <w:t> purpose of being subject to the in personam jurisdiction of the English courts. </w:t>
      </w:r>
      <w:r>
        <w:rPr>
          <w:color w:val="005DA1"/>
          <w:u w:val="single" w:color="005DA1"/>
          <w:vertAlign w:val="superscript"/>
        </w:rPr>
        <w:t>408</w:t>
      </w:r>
      <w:r>
        <w:rPr>
          <w:color w:val="005DA1"/>
          <w:vertAlign w:val="baseline"/>
        </w:rPr>
        <w:t> </w:t>
      </w:r>
      <w:r>
        <w:rPr>
          <w:vertAlign w:val="baseline"/>
        </w:rPr>
        <w:t>These cases </w:t>
      </w:r>
      <w:bookmarkStart w:name="_bookmark700" w:id="702"/>
      <w:bookmarkEnd w:id="702"/>
      <w:r>
        <w:rPr>
          <w:vertAlign w:val="baseline"/>
        </w:rPr>
        <w:t>established</w:t>
      </w:r>
      <w:r>
        <w:rPr>
          <w:vertAlign w:val="baseline"/>
        </w:rPr>
        <w:t> that a place of business constitutes a place that is fixed and definite </w:t>
      </w:r>
      <w:r>
        <w:rPr>
          <w:color w:val="005DA1"/>
          <w:u w:val="single" w:color="005DA1"/>
          <w:vertAlign w:val="superscript"/>
        </w:rPr>
        <w:t>409</w:t>
      </w:r>
      <w:r>
        <w:rPr>
          <w:color w:val="005DA1"/>
          <w:vertAlign w:val="baseline"/>
        </w:rPr>
        <w:t> </w:t>
      </w:r>
      <w:r>
        <w:rPr>
          <w:vertAlign w:val="baseline"/>
        </w:rPr>
        <w:t>and that the </w:t>
      </w:r>
      <w:bookmarkStart w:name="_bookmark701" w:id="703"/>
      <w:bookmarkEnd w:id="703"/>
      <w:r>
        <w:rPr>
          <w:vertAlign w:val="baseline"/>
        </w:rPr>
        <w:t>activity</w:t>
      </w:r>
      <w:r>
        <w:rPr>
          <w:vertAlign w:val="baseline"/>
        </w:rPr>
        <w:t> carried on at that place (which must be the business activity </w:t>
      </w:r>
      <w:r>
        <w:rPr>
          <w:color w:val="005DA1"/>
          <w:u w:val="single" w:color="005DA1"/>
          <w:vertAlign w:val="superscript"/>
        </w:rPr>
        <w:t>410</w:t>
      </w:r>
      <w:r>
        <w:rPr>
          <w:color w:val="005DA1"/>
          <w:vertAlign w:val="baseline"/>
        </w:rPr>
        <w:t> </w:t>
      </w:r>
      <w:r>
        <w:rPr>
          <w:vertAlign w:val="baseline"/>
        </w:rPr>
        <w:t>of the corporation) must be carried on for a sufficient period of time for it to be characterised as a business. </w:t>
      </w:r>
      <w:r>
        <w:rPr>
          <w:color w:val="005DA1"/>
          <w:u w:val="single" w:color="005DA1"/>
          <w:vertAlign w:val="superscript"/>
        </w:rPr>
        <w:t>411</w:t>
      </w:r>
      <w:r>
        <w:rPr>
          <w:color w:val="005DA1"/>
          <w:vertAlign w:val="baseline"/>
        </w:rPr>
        <w:t> </w:t>
      </w:r>
      <w:r>
        <w:rPr>
          <w:vertAlign w:val="baseline"/>
        </w:rPr>
        <w:t>Whether a particular place of business will be regarded as the “principal” such place will be a question of fact</w:t>
      </w:r>
      <w:r>
        <w:rPr>
          <w:spacing w:val="80"/>
          <w:vertAlign w:val="baseline"/>
        </w:rPr>
        <w:t> </w:t>
      </w:r>
      <w:r>
        <w:rPr>
          <w:vertAlign w:val="baseline"/>
        </w:rPr>
        <w:t>and degree.</w:t>
      </w:r>
    </w:p>
    <w:p>
      <w:pPr>
        <w:pStyle w:val="BodyText"/>
      </w:pPr>
    </w:p>
    <w:p>
      <w:pPr>
        <w:pStyle w:val="BodyText"/>
        <w:spacing w:before="33"/>
      </w:pPr>
    </w:p>
    <w:p>
      <w:pPr>
        <w:spacing w:before="0"/>
        <w:ind w:left="165" w:right="0" w:firstLine="0"/>
        <w:jc w:val="left"/>
        <w:rPr>
          <w:rFonts w:ascii="Arial"/>
          <w:b/>
          <w:sz w:val="18"/>
        </w:rPr>
      </w:pPr>
      <w:bookmarkStart w:name="_bookmark702" w:id="704"/>
      <w:bookmarkEnd w:id="704"/>
      <w:r>
        <w:rPr/>
      </w:r>
      <w:r>
        <w:rPr>
          <w:rFonts w:ascii="Arial"/>
          <w:b/>
          <w:sz w:val="18"/>
        </w:rPr>
        <w:t>Immovables</w:t>
      </w:r>
      <w:r>
        <w:rPr>
          <w:rFonts w:ascii="Arial"/>
          <w:b/>
          <w:spacing w:val="-1"/>
          <w:sz w:val="18"/>
        </w:rPr>
        <w:t> </w:t>
      </w:r>
      <w:r>
        <w:rPr>
          <w:rFonts w:ascii="Arial"/>
          <w:b/>
          <w:color w:val="005DA1"/>
          <w:spacing w:val="-5"/>
          <w:sz w:val="18"/>
          <w:u w:val="single" w:color="005DA1"/>
          <w:vertAlign w:val="superscript"/>
        </w:rPr>
        <w:t>412</w:t>
      </w:r>
    </w:p>
    <w:p>
      <w:pPr>
        <w:pStyle w:val="BodyText"/>
        <w:spacing w:before="42"/>
        <w:rPr>
          <w:rFonts w:ascii="Arial"/>
          <w:b/>
          <w:sz w:val="18"/>
        </w:rPr>
      </w:pPr>
    </w:p>
    <w:p>
      <w:pPr>
        <w:pStyle w:val="Heading2"/>
      </w:pPr>
      <w:r>
        <w:rPr/>
        <w:t>30-</w:t>
      </w:r>
      <w:r>
        <w:rPr>
          <w:spacing w:val="-5"/>
        </w:rPr>
        <w:t>081</w:t>
      </w:r>
    </w:p>
    <w:p>
      <w:pPr>
        <w:pStyle w:val="BodyText"/>
        <w:spacing w:line="235" w:lineRule="auto" w:before="202"/>
        <w:ind w:left="165" w:right="167"/>
        <w:jc w:val="both"/>
      </w:pPr>
      <w:r>
        <w:rPr/>
        <w:t>Article 4(3) of the Rome Convention establishes a special presumption with regard to </w:t>
      </w:r>
      <w:r>
        <w:rPr/>
        <w:t>certain</w:t>
      </w:r>
      <w:r>
        <w:rPr>
          <w:spacing w:val="40"/>
        </w:rPr>
        <w:t> </w:t>
      </w:r>
      <w:r>
        <w:rPr/>
        <w:t>contracts concerning immovable property in the following terms:</w:t>
      </w:r>
    </w:p>
    <w:p>
      <w:pPr>
        <w:pStyle w:val="BodyText"/>
      </w:pPr>
    </w:p>
    <w:p>
      <w:pPr>
        <w:pStyle w:val="BodyText"/>
        <w:spacing w:before="126"/>
      </w:pPr>
    </w:p>
    <w:p>
      <w:pPr>
        <w:pStyle w:val="BodyText"/>
        <w:spacing w:line="235" w:lineRule="auto"/>
        <w:ind w:left="1245" w:right="167"/>
        <w:jc w:val="both"/>
      </w:pPr>
      <w:r>
        <w:rPr/>
        <w:t>“Notwithstanding the provisions of paragraph 2 of this Article, to the extent that </w:t>
      </w:r>
      <w:r>
        <w:rPr/>
        <w:t>the</w:t>
      </w:r>
      <w:r>
        <w:rPr>
          <w:spacing w:val="40"/>
        </w:rPr>
        <w:t> </w:t>
      </w:r>
      <w:r>
        <w:rPr/>
        <w:t>subject matter of the contract is a right in immovable property or a right to use immovable property it shall be presumed that the contract is most closely connected with the country where the immovable property is situated.”</w:t>
      </w:r>
    </w:p>
    <w:p>
      <w:pPr>
        <w:pStyle w:val="BodyText"/>
        <w:spacing w:before="115"/>
      </w:pPr>
    </w:p>
    <w:p>
      <w:pPr>
        <w:pStyle w:val="BodyText"/>
        <w:spacing w:line="235" w:lineRule="auto" w:before="1"/>
        <w:ind w:left="165" w:right="167"/>
        <w:jc w:val="both"/>
      </w:pPr>
      <w:r>
        <w:rPr/>
        <w:t>It</w:t>
      </w:r>
      <w:r>
        <w:rPr>
          <w:spacing w:val="-2"/>
        </w:rPr>
        <w:t> </w:t>
      </w:r>
      <w:r>
        <w:rPr/>
        <w:t>is</w:t>
      </w:r>
      <w:r>
        <w:rPr>
          <w:spacing w:val="-2"/>
        </w:rPr>
        <w:t> </w:t>
      </w:r>
      <w:r>
        <w:rPr/>
        <w:t>important</w:t>
      </w:r>
      <w:r>
        <w:rPr>
          <w:spacing w:val="-2"/>
        </w:rPr>
        <w:t> </w:t>
      </w:r>
      <w:r>
        <w:rPr/>
        <w:t>to</w:t>
      </w:r>
      <w:r>
        <w:rPr>
          <w:spacing w:val="-2"/>
        </w:rPr>
        <w:t> </w:t>
      </w:r>
      <w:r>
        <w:rPr/>
        <w:t>delimit</w:t>
      </w:r>
      <w:r>
        <w:rPr>
          <w:spacing w:val="-2"/>
        </w:rPr>
        <w:t> </w:t>
      </w:r>
      <w:r>
        <w:rPr/>
        <w:t>the</w:t>
      </w:r>
      <w:r>
        <w:rPr>
          <w:spacing w:val="-2"/>
        </w:rPr>
        <w:t> </w:t>
      </w:r>
      <w:r>
        <w:rPr/>
        <w:t>scope</w:t>
      </w:r>
      <w:r>
        <w:rPr>
          <w:spacing w:val="-2"/>
        </w:rPr>
        <w:t> </w:t>
      </w:r>
      <w:r>
        <w:rPr/>
        <w:t>of</w:t>
      </w:r>
      <w:r>
        <w:rPr>
          <w:spacing w:val="-2"/>
        </w:rPr>
        <w:t> </w:t>
      </w:r>
      <w:r>
        <w:rPr/>
        <w:t>this</w:t>
      </w:r>
      <w:r>
        <w:rPr>
          <w:spacing w:val="-2"/>
        </w:rPr>
        <w:t> </w:t>
      </w:r>
      <w:r>
        <w:rPr/>
        <w:t>provision.</w:t>
      </w:r>
      <w:r>
        <w:rPr>
          <w:spacing w:val="-2"/>
        </w:rPr>
        <w:t> </w:t>
      </w:r>
      <w:r>
        <w:rPr/>
        <w:t>It</w:t>
      </w:r>
      <w:r>
        <w:rPr>
          <w:spacing w:val="-2"/>
        </w:rPr>
        <w:t> </w:t>
      </w:r>
      <w:r>
        <w:rPr/>
        <w:t>is,</w:t>
      </w:r>
      <w:r>
        <w:rPr>
          <w:spacing w:val="-2"/>
        </w:rPr>
        <w:t> </w:t>
      </w:r>
      <w:r>
        <w:rPr/>
        <w:t>first,</w:t>
      </w:r>
      <w:r>
        <w:rPr>
          <w:spacing w:val="-2"/>
        </w:rPr>
        <w:t> </w:t>
      </w:r>
      <w:r>
        <w:rPr/>
        <w:t>confined</w:t>
      </w:r>
      <w:r>
        <w:rPr>
          <w:spacing w:val="-2"/>
        </w:rPr>
        <w:t> </w:t>
      </w:r>
      <w:r>
        <w:rPr/>
        <w:t>to</w:t>
      </w:r>
      <w:r>
        <w:rPr>
          <w:spacing w:val="-2"/>
        </w:rPr>
        <w:t> </w:t>
      </w:r>
      <w:r>
        <w:rPr/>
        <w:t>contracts</w:t>
      </w:r>
      <w:r>
        <w:rPr>
          <w:spacing w:val="-2"/>
        </w:rPr>
        <w:t> </w:t>
      </w:r>
      <w:r>
        <w:rPr/>
        <w:t>which</w:t>
      </w:r>
      <w:r>
        <w:rPr>
          <w:spacing w:val="-2"/>
        </w:rPr>
        <w:t> </w:t>
      </w:r>
      <w:r>
        <w:rPr/>
        <w:t>have</w:t>
      </w:r>
      <w:r>
        <w:rPr>
          <w:spacing w:val="-2"/>
        </w:rPr>
        <w:t> </w:t>
      </w:r>
      <w:r>
        <w:rPr/>
        <w:t>as</w:t>
      </w:r>
      <w:r>
        <w:rPr>
          <w:spacing w:val="-2"/>
        </w:rPr>
        <w:t> </w:t>
      </w:r>
      <w:r>
        <w:rPr/>
        <w:t>their subject matter rights in, or rights to use, immovable property. Thus, for example, it will not apply to </w:t>
      </w:r>
      <w:bookmarkStart w:name="_bookmark703" w:id="705"/>
      <w:bookmarkEnd w:id="705"/>
      <w:r>
        <w:rPr/>
        <w:t>contracts</w:t>
      </w:r>
      <w:r>
        <w:rPr/>
        <w:t> for the construction or repair of immovable property since “the main purpose of </w:t>
      </w:r>
      <w:r>
        <w:rPr/>
        <w:t>these </w:t>
      </w:r>
      <w:bookmarkStart w:name="_bookmark704" w:id="706"/>
      <w:bookmarkEnd w:id="706"/>
      <w:r>
        <w:rPr/>
        <w:t>contracts</w:t>
      </w:r>
      <w:r>
        <w:rPr/>
        <w:t> is the construction or repair rather than the immovable property itself”. </w:t>
      </w:r>
      <w:r>
        <w:rPr>
          <w:color w:val="005DA1"/>
          <w:u w:val="single" w:color="005DA1"/>
          <w:vertAlign w:val="superscript"/>
        </w:rPr>
        <w:t>413</w:t>
      </w:r>
      <w:r>
        <w:rPr>
          <w:color w:val="005DA1"/>
          <w:vertAlign w:val="baseline"/>
        </w:rPr>
        <w:t> </w:t>
      </w:r>
      <w:r>
        <w:rPr>
          <w:vertAlign w:val="baseline"/>
        </w:rPr>
        <w:t>A contract for the construction</w:t>
      </w:r>
      <w:r>
        <w:rPr>
          <w:spacing w:val="-3"/>
          <w:vertAlign w:val="baseline"/>
        </w:rPr>
        <w:t> </w:t>
      </w:r>
      <w:r>
        <w:rPr>
          <w:vertAlign w:val="baseline"/>
        </w:rPr>
        <w:t>or</w:t>
      </w:r>
      <w:r>
        <w:rPr>
          <w:spacing w:val="-3"/>
          <w:vertAlign w:val="baseline"/>
        </w:rPr>
        <w:t> </w:t>
      </w:r>
      <w:r>
        <w:rPr>
          <w:vertAlign w:val="baseline"/>
        </w:rPr>
        <w:t>repair</w:t>
      </w:r>
      <w:r>
        <w:rPr>
          <w:spacing w:val="-3"/>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immovable</w:t>
      </w:r>
      <w:r>
        <w:rPr>
          <w:spacing w:val="-3"/>
          <w:vertAlign w:val="baseline"/>
        </w:rPr>
        <w:t> </w:t>
      </w:r>
      <w:r>
        <w:rPr>
          <w:vertAlign w:val="baseline"/>
        </w:rPr>
        <w:t>will</w:t>
      </w:r>
      <w:r>
        <w:rPr>
          <w:spacing w:val="-3"/>
          <w:vertAlign w:val="baseline"/>
        </w:rPr>
        <w:t> </w:t>
      </w:r>
      <w:r>
        <w:rPr>
          <w:vertAlign w:val="baseline"/>
        </w:rPr>
        <w:t>thus</w:t>
      </w:r>
      <w:r>
        <w:rPr>
          <w:spacing w:val="-3"/>
          <w:vertAlign w:val="baseline"/>
        </w:rPr>
        <w:t> </w:t>
      </w:r>
      <w:r>
        <w:rPr>
          <w:vertAlign w:val="baseline"/>
        </w:rPr>
        <w:t>be</w:t>
      </w:r>
      <w:r>
        <w:rPr>
          <w:spacing w:val="-3"/>
          <w:vertAlign w:val="baseline"/>
        </w:rPr>
        <w:t> </w:t>
      </w:r>
      <w:r>
        <w:rPr>
          <w:vertAlign w:val="baseline"/>
        </w:rPr>
        <w:t>subject</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presumption</w:t>
      </w:r>
      <w:r>
        <w:rPr>
          <w:spacing w:val="-3"/>
          <w:vertAlign w:val="baseline"/>
        </w:rPr>
        <w:t> </w:t>
      </w:r>
      <w:r>
        <w:rPr>
          <w:vertAlign w:val="baseline"/>
        </w:rPr>
        <w:t>in</w:t>
      </w:r>
      <w:r>
        <w:rPr>
          <w:spacing w:val="-3"/>
          <w:vertAlign w:val="baseline"/>
        </w:rPr>
        <w:t> </w:t>
      </w:r>
      <w:r>
        <w:rPr>
          <w:vertAlign w:val="baseline"/>
        </w:rPr>
        <w:t>art.4(2).</w:t>
      </w:r>
      <w:r>
        <w:rPr>
          <w:spacing w:val="-4"/>
          <w:vertAlign w:val="baseline"/>
        </w:rPr>
        <w:t> </w:t>
      </w:r>
      <w:r>
        <w:rPr>
          <w:color w:val="005DA1"/>
          <w:u w:val="single" w:color="005DA1"/>
          <w:vertAlign w:val="superscript"/>
        </w:rPr>
        <w:t>414</w:t>
      </w:r>
      <w:r>
        <w:rPr>
          <w:color w:val="005DA1"/>
          <w:spacing w:val="-3"/>
          <w:vertAlign w:val="baseline"/>
        </w:rPr>
        <w:t> </w:t>
      </w:r>
      <w:r>
        <w:rPr>
          <w:vertAlign w:val="baseline"/>
        </w:rPr>
        <w:t>Secondly, art.4(3) is concerned only with the contractual aspects of a transaction relating to immovables. The </w:t>
      </w:r>
      <w:bookmarkStart w:name="_bookmark705" w:id="707"/>
      <w:bookmarkEnd w:id="707"/>
      <w:r>
        <w:rPr>
          <w:vertAlign w:val="baseline"/>
        </w:rPr>
        <w:t>proprietary</w:t>
      </w:r>
      <w:r>
        <w:rPr>
          <w:vertAlign w:val="baseline"/>
        </w:rPr>
        <w:t> aspects will be subject to common law rules, since the Convention does not apply to proprietary matters. </w:t>
      </w:r>
      <w:r>
        <w:rPr>
          <w:color w:val="005DA1"/>
          <w:u w:val="single" w:color="005DA1"/>
          <w:vertAlign w:val="superscript"/>
        </w:rPr>
        <w:t>415</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pacing w:val="-2"/>
          <w:sz w:val="18"/>
        </w:rPr>
        <w:t>Severance</w:t>
      </w:r>
    </w:p>
    <w:p>
      <w:pPr>
        <w:pStyle w:val="BodyText"/>
        <w:spacing w:before="41"/>
        <w:rPr>
          <w:rFonts w:ascii="Arial"/>
          <w:b/>
          <w:sz w:val="18"/>
        </w:rPr>
      </w:pPr>
    </w:p>
    <w:p>
      <w:pPr>
        <w:pStyle w:val="Heading2"/>
      </w:pPr>
      <w:r>
        <w:rPr/>
        <w:t>30-</w:t>
      </w:r>
      <w:r>
        <w:rPr>
          <w:spacing w:val="-5"/>
        </w:rPr>
        <w:t>082</w:t>
      </w:r>
    </w:p>
    <w:p>
      <w:pPr>
        <w:pStyle w:val="BodyText"/>
        <w:spacing w:line="235" w:lineRule="auto" w:before="203"/>
        <w:ind w:left="165" w:right="167"/>
        <w:jc w:val="both"/>
      </w:pPr>
      <w:r>
        <w:rPr/>
        <w:t>Since the presumption in favour of the lex situs applies “to the extent that” the contract has as its subject matter a right in or a right to use immovable property, a severable part of the contract which has that as its subject matter may be governed by art.4(3), whereas the remaining part or parts of </w:t>
      </w:r>
      <w:r>
        <w:rPr/>
        <w:t>the </w:t>
      </w:r>
      <w:bookmarkStart w:name="_bookmark706" w:id="708"/>
      <w:bookmarkEnd w:id="708"/>
      <w:r>
        <w:rPr/>
        <w:t>contract</w:t>
      </w:r>
      <w:r>
        <w:rPr>
          <w:spacing w:val="80"/>
        </w:rPr>
        <w:t> </w:t>
      </w:r>
      <w:r>
        <w:rPr/>
        <w:t>may</w:t>
      </w:r>
      <w:r>
        <w:rPr>
          <w:spacing w:val="80"/>
        </w:rPr>
        <w:t> </w:t>
      </w:r>
      <w:r>
        <w:rPr/>
        <w:t>be</w:t>
      </w:r>
      <w:r>
        <w:rPr>
          <w:spacing w:val="80"/>
        </w:rPr>
        <w:t> </w:t>
      </w:r>
      <w:r>
        <w:rPr/>
        <w:t>governed</w:t>
      </w:r>
      <w:r>
        <w:rPr>
          <w:spacing w:val="80"/>
        </w:rPr>
        <w:t> </w:t>
      </w:r>
      <w:r>
        <w:rPr/>
        <w:t>by</w:t>
      </w:r>
      <w:r>
        <w:rPr>
          <w:spacing w:val="80"/>
        </w:rPr>
        <w:t> </w:t>
      </w:r>
      <w:r>
        <w:rPr/>
        <w:t>art.4(2).</w:t>
      </w:r>
      <w:r>
        <w:rPr>
          <w:spacing w:val="80"/>
        </w:rPr>
        <w:t> </w:t>
      </w:r>
      <w:r>
        <w:rPr/>
        <w:t>In</w:t>
      </w:r>
      <w:r>
        <w:rPr>
          <w:spacing w:val="80"/>
        </w:rPr>
        <w:t> </w:t>
      </w:r>
      <w:r>
        <w:rPr/>
        <w:t>view,</w:t>
      </w:r>
      <w:r>
        <w:rPr>
          <w:spacing w:val="80"/>
        </w:rPr>
        <w:t> </w:t>
      </w:r>
      <w:r>
        <w:rPr/>
        <w:t>however,</w:t>
      </w:r>
      <w:r>
        <w:rPr>
          <w:spacing w:val="80"/>
        </w:rPr>
        <w:t> </w:t>
      </w:r>
      <w:r>
        <w:rPr/>
        <w:t>of</w:t>
      </w:r>
      <w:r>
        <w:rPr>
          <w:spacing w:val="80"/>
        </w:rPr>
        <w:t> </w:t>
      </w:r>
      <w:r>
        <w:rPr/>
        <w:t>the</w:t>
      </w:r>
      <w:r>
        <w:rPr>
          <w:spacing w:val="80"/>
        </w:rPr>
        <w:t> </w:t>
      </w:r>
      <w:r>
        <w:rPr/>
        <w:t>view</w:t>
      </w:r>
      <w:r>
        <w:rPr>
          <w:spacing w:val="80"/>
        </w:rPr>
        <w:t> </w:t>
      </w:r>
      <w:r>
        <w:rPr/>
        <w:t>expressed</w:t>
      </w:r>
      <w:r>
        <w:rPr>
          <w:spacing w:val="80"/>
        </w:rPr>
        <w:t> </w:t>
      </w:r>
      <w:r>
        <w:rPr/>
        <w:t>in</w:t>
      </w:r>
      <w:r>
        <w:rPr>
          <w:spacing w:val="80"/>
        </w:rPr>
        <w:t> </w:t>
      </w:r>
      <w:r>
        <w:rPr/>
        <w:t>the Giuliano-Lagarde Report that severance should be resorted to on only the rarest of occasions, </w:t>
      </w:r>
      <w:r>
        <w:rPr>
          <w:color w:val="005DA1"/>
          <w:u w:val="single" w:color="005DA1"/>
          <w:vertAlign w:val="superscript"/>
        </w:rPr>
        <w:t>416</w:t>
      </w:r>
      <w:r>
        <w:rPr>
          <w:color w:val="005DA1"/>
          <w:vertAlign w:val="baseline"/>
        </w:rPr>
        <w:t> </w:t>
      </w:r>
      <w:r>
        <w:rPr>
          <w:vertAlign w:val="baseline"/>
        </w:rPr>
        <w:t>cases of this kind are likely to be rare and may, in any event where appropriate, be the kind of cases in which a court will conclude that the presumption is rebutted, pursuant to art.4(5).</w:t>
      </w:r>
    </w:p>
    <w:p>
      <w:pPr>
        <w:pStyle w:val="BodyText"/>
      </w:pPr>
    </w:p>
    <w:p>
      <w:pPr>
        <w:pStyle w:val="BodyText"/>
        <w:spacing w:before="36"/>
      </w:pPr>
    </w:p>
    <w:p>
      <w:pPr>
        <w:spacing w:before="0"/>
        <w:ind w:left="165" w:right="0" w:firstLine="0"/>
        <w:jc w:val="left"/>
        <w:rPr>
          <w:rFonts w:ascii="Arial"/>
          <w:b/>
          <w:sz w:val="18"/>
        </w:rPr>
      </w:pPr>
      <w:r>
        <w:rPr>
          <w:rFonts w:ascii="Arial"/>
          <w:b/>
          <w:sz w:val="18"/>
        </w:rPr>
        <w:t>Types of contracts for </w:t>
      </w:r>
      <w:r>
        <w:rPr>
          <w:rFonts w:ascii="Arial"/>
          <w:b/>
          <w:spacing w:val="-2"/>
          <w:sz w:val="18"/>
        </w:rPr>
        <w:t>immovable</w:t>
      </w:r>
    </w:p>
    <w:p>
      <w:pPr>
        <w:pStyle w:val="BodyText"/>
        <w:spacing w:before="41"/>
        <w:rPr>
          <w:rFonts w:ascii="Arial"/>
          <w:b/>
          <w:sz w:val="18"/>
        </w:rPr>
      </w:pPr>
    </w:p>
    <w:p>
      <w:pPr>
        <w:pStyle w:val="Heading2"/>
      </w:pPr>
      <w:r>
        <w:rPr/>
        <w:t>30-</w:t>
      </w:r>
      <w:r>
        <w:rPr>
          <w:spacing w:val="-5"/>
        </w:rPr>
        <w:t>083</w:t>
      </w:r>
    </w:p>
    <w:p>
      <w:pPr>
        <w:pStyle w:val="BodyText"/>
        <w:spacing w:line="235" w:lineRule="auto" w:before="203"/>
        <w:ind w:left="165" w:right="168"/>
        <w:jc w:val="both"/>
      </w:pPr>
      <w:bookmarkStart w:name="_bookmark707" w:id="709"/>
      <w:bookmarkEnd w:id="709"/>
      <w:r>
        <w:rPr/>
      </w:r>
      <w:bookmarkStart w:name="_bookmark708" w:id="710"/>
      <w:bookmarkEnd w:id="710"/>
      <w:r>
        <w:rPr/>
      </w:r>
      <w:r>
        <w:rPr/>
        <w:t>Article 4(3) clearly applies, inter alios, to contracts to sell land </w:t>
      </w:r>
      <w:r>
        <w:rPr>
          <w:color w:val="005DA1"/>
          <w:u w:val="single" w:color="005DA1"/>
          <w:vertAlign w:val="superscript"/>
        </w:rPr>
        <w:t>417</w:t>
      </w:r>
      <w:r>
        <w:rPr>
          <w:vertAlign w:val="baseline"/>
        </w:rPr>
        <w:t>; agreements to rent premises </w:t>
      </w:r>
      <w:r>
        <w:rPr>
          <w:color w:val="005DA1"/>
          <w:u w:val="single" w:color="005DA1"/>
          <w:vertAlign w:val="superscript"/>
        </w:rPr>
        <w:t>418</w:t>
      </w:r>
      <w:r>
        <w:rPr>
          <w:vertAlign w:val="baseline"/>
        </w:rPr>
        <w:t>; </w:t>
      </w:r>
      <w:bookmarkStart w:name="_bookmark709" w:id="711"/>
      <w:bookmarkEnd w:id="711"/>
      <w:r>
        <w:rPr>
          <w:vertAlign w:val="baseline"/>
        </w:rPr>
        <w:t>and</w:t>
      </w:r>
      <w:r>
        <w:rPr>
          <w:vertAlign w:val="baseline"/>
        </w:rPr>
        <w:t> some timeshare arrangements. </w:t>
      </w:r>
      <w:r>
        <w:rPr>
          <w:color w:val="005DA1"/>
          <w:u w:val="single" w:color="005DA1"/>
          <w:vertAlign w:val="superscript"/>
        </w:rPr>
        <w:t>419</w:t>
      </w:r>
      <w:r>
        <w:rPr>
          <w:color w:val="005DA1"/>
          <w:vertAlign w:val="baseline"/>
        </w:rPr>
        <w:t> </w:t>
      </w:r>
      <w:r>
        <w:rPr>
          <w:vertAlign w:val="baseline"/>
        </w:rPr>
        <w:t>It also seems to apply to short term tenancies and </w:t>
      </w:r>
      <w:r>
        <w:rPr>
          <w:vertAlign w:val="baseline"/>
        </w:rPr>
        <w:t>holiday lettings of apartments. </w:t>
      </w:r>
      <w:r>
        <w:rPr>
          <w:color w:val="005DA1"/>
          <w:u w:val="single" w:color="005DA1"/>
          <w:vertAlign w:val="superscript"/>
        </w:rPr>
        <w:t>420</w:t>
      </w:r>
    </w:p>
    <w:p>
      <w:pPr>
        <w:pStyle w:val="BodyText"/>
      </w:pPr>
    </w:p>
    <w:p>
      <w:pPr>
        <w:pStyle w:val="BodyText"/>
        <w:spacing w:before="37"/>
      </w:pPr>
    </w:p>
    <w:p>
      <w:pPr>
        <w:spacing w:before="0"/>
        <w:ind w:left="165" w:right="0" w:firstLine="0"/>
        <w:jc w:val="left"/>
        <w:rPr>
          <w:rFonts w:ascii="Arial"/>
          <w:b/>
          <w:sz w:val="18"/>
        </w:rPr>
      </w:pPr>
      <w:bookmarkStart w:name="_bookmark710" w:id="712"/>
      <w:bookmarkEnd w:id="712"/>
      <w:r>
        <w:rPr/>
      </w:r>
      <w:r>
        <w:rPr>
          <w:rFonts w:ascii="Arial"/>
          <w:b/>
          <w:sz w:val="18"/>
        </w:rPr>
        <w:t>Contracts for the carriage of goods</w:t>
      </w:r>
      <w:r>
        <w:rPr>
          <w:rFonts w:ascii="Arial"/>
          <w:b/>
          <w:spacing w:val="-1"/>
          <w:sz w:val="18"/>
        </w:rPr>
        <w:t> </w:t>
      </w:r>
      <w:r>
        <w:rPr>
          <w:rFonts w:ascii="Arial"/>
          <w:b/>
          <w:color w:val="005DA1"/>
          <w:spacing w:val="-5"/>
          <w:sz w:val="18"/>
          <w:u w:val="single" w:color="005DA1"/>
          <w:vertAlign w:val="superscript"/>
        </w:rPr>
        <w:t>421</w:t>
      </w:r>
    </w:p>
    <w:p>
      <w:pPr>
        <w:pStyle w:val="BodyText"/>
        <w:spacing w:before="41"/>
        <w:rPr>
          <w:rFonts w:ascii="Arial"/>
          <w:b/>
          <w:sz w:val="18"/>
        </w:rPr>
      </w:pPr>
    </w:p>
    <w:p>
      <w:pPr>
        <w:pStyle w:val="Heading2"/>
        <w:spacing w:before="1"/>
      </w:pPr>
      <w:r>
        <w:rPr/>
        <w:t>30-</w:t>
      </w:r>
      <w:r>
        <w:rPr>
          <w:spacing w:val="-5"/>
        </w:rPr>
        <w:t>084</w:t>
      </w:r>
    </w:p>
    <w:p>
      <w:pPr>
        <w:pStyle w:val="BodyText"/>
        <w:rPr>
          <w:rFonts w:ascii="Arial"/>
          <w:b/>
          <w:sz w:val="24"/>
        </w:rPr>
      </w:pPr>
    </w:p>
    <w:p>
      <w:pPr>
        <w:pStyle w:val="BodyText"/>
        <w:spacing w:before="233"/>
        <w:rPr>
          <w:rFonts w:ascii="Arial"/>
          <w:b/>
          <w:sz w:val="24"/>
        </w:rPr>
      </w:pPr>
    </w:p>
    <w:p>
      <w:pPr>
        <w:pStyle w:val="BodyText"/>
        <w:spacing w:line="227" w:lineRule="exact"/>
        <w:ind w:left="1245"/>
        <w:jc w:val="both"/>
      </w:pPr>
      <w:r>
        <w:rPr/>
        <w:t>“A</w:t>
      </w:r>
      <w:r>
        <w:rPr>
          <w:spacing w:val="5"/>
        </w:rPr>
        <w:t> </w:t>
      </w:r>
      <w:r>
        <w:rPr/>
        <w:t>contract</w:t>
      </w:r>
      <w:r>
        <w:rPr>
          <w:spacing w:val="5"/>
        </w:rPr>
        <w:t> </w:t>
      </w:r>
      <w:r>
        <w:rPr/>
        <w:t>for</w:t>
      </w:r>
      <w:r>
        <w:rPr>
          <w:spacing w:val="5"/>
        </w:rPr>
        <w:t> </w:t>
      </w:r>
      <w:r>
        <w:rPr/>
        <w:t>the</w:t>
      </w:r>
      <w:r>
        <w:rPr>
          <w:spacing w:val="5"/>
        </w:rPr>
        <w:t> </w:t>
      </w:r>
      <w:r>
        <w:rPr/>
        <w:t>carriage</w:t>
      </w:r>
      <w:r>
        <w:rPr>
          <w:spacing w:val="5"/>
        </w:rPr>
        <w:t> </w:t>
      </w:r>
      <w:r>
        <w:rPr/>
        <w:t>of</w:t>
      </w:r>
      <w:r>
        <w:rPr>
          <w:spacing w:val="5"/>
        </w:rPr>
        <w:t> </w:t>
      </w:r>
      <w:r>
        <w:rPr/>
        <w:t>goods</w:t>
      </w:r>
      <w:r>
        <w:rPr>
          <w:spacing w:val="5"/>
        </w:rPr>
        <w:t> </w:t>
      </w:r>
      <w:r>
        <w:rPr/>
        <w:t>shall</w:t>
      </w:r>
      <w:r>
        <w:rPr>
          <w:spacing w:val="5"/>
        </w:rPr>
        <w:t> </w:t>
      </w:r>
      <w:r>
        <w:rPr/>
        <w:t>not</w:t>
      </w:r>
      <w:r>
        <w:rPr>
          <w:spacing w:val="5"/>
        </w:rPr>
        <w:t> </w:t>
      </w:r>
      <w:r>
        <w:rPr/>
        <w:t>be</w:t>
      </w:r>
      <w:r>
        <w:rPr>
          <w:spacing w:val="5"/>
        </w:rPr>
        <w:t> </w:t>
      </w:r>
      <w:r>
        <w:rPr/>
        <w:t>subject</w:t>
      </w:r>
      <w:r>
        <w:rPr>
          <w:spacing w:val="5"/>
        </w:rPr>
        <w:t> </w:t>
      </w:r>
      <w:r>
        <w:rPr/>
        <w:t>to</w:t>
      </w:r>
      <w:r>
        <w:rPr>
          <w:spacing w:val="5"/>
        </w:rPr>
        <w:t> </w:t>
      </w:r>
      <w:r>
        <w:rPr/>
        <w:t>the</w:t>
      </w:r>
      <w:r>
        <w:rPr>
          <w:spacing w:val="5"/>
        </w:rPr>
        <w:t> </w:t>
      </w:r>
      <w:r>
        <w:rPr/>
        <w:t>presumption</w:t>
      </w:r>
      <w:r>
        <w:rPr>
          <w:spacing w:val="5"/>
        </w:rPr>
        <w:t> </w:t>
      </w:r>
      <w:r>
        <w:rPr/>
        <w:t>in</w:t>
      </w:r>
      <w:r>
        <w:rPr>
          <w:spacing w:val="5"/>
        </w:rPr>
        <w:t> </w:t>
      </w:r>
      <w:r>
        <w:rPr>
          <w:spacing w:val="-2"/>
        </w:rPr>
        <w:t>paragraph</w:t>
      </w:r>
    </w:p>
    <w:p>
      <w:pPr>
        <w:pStyle w:val="BodyText"/>
        <w:spacing w:line="235" w:lineRule="auto" w:before="2"/>
        <w:ind w:left="1245" w:right="167"/>
        <w:jc w:val="both"/>
      </w:pPr>
      <w:r>
        <w:rPr/>
        <w:t>2. In such a contract if the country in which, at the time the contract is concluded, the carrier has his principal place of business is also the country in which the place of loading or the place of discharge or the principal place of business of the consignor is situated, </w:t>
      </w:r>
      <w:r>
        <w:rPr/>
        <w:t>it shall be presumed that the contract is most closely connected with that country. In applying this paragraph single voyage charter-parties and other contracts the main </w:t>
      </w:r>
      <w:bookmarkStart w:name="_bookmark711" w:id="713"/>
      <w:bookmarkEnd w:id="713"/>
      <w:r>
        <w:rPr/>
        <w:t>purpose</w:t>
      </w:r>
      <w:r>
        <w:rPr/>
        <w:t> of which is the carriage of goods shall be treated as contracts for the carriage of goods.” </w:t>
      </w:r>
      <w:r>
        <w:rPr>
          <w:color w:val="005DA1"/>
          <w:u w:val="single" w:color="005DA1"/>
          <w:vertAlign w:val="superscript"/>
        </w:rPr>
        <w:t>422</w:t>
      </w:r>
    </w:p>
    <w:p>
      <w:pPr>
        <w:pStyle w:val="BodyText"/>
        <w:spacing w:before="113"/>
      </w:pPr>
    </w:p>
    <w:p>
      <w:pPr>
        <w:pStyle w:val="BodyText"/>
        <w:spacing w:line="235" w:lineRule="auto" w:before="1"/>
        <w:ind w:left="165" w:right="167"/>
        <w:jc w:val="both"/>
      </w:pPr>
      <w:r>
        <w:rPr/>
        <w:t>The effect of this provision is that a contract for the carriage of goods (by whatever mode of transport) </w:t>
      </w:r>
      <w:bookmarkStart w:name="_bookmark712" w:id="714"/>
      <w:bookmarkEnd w:id="714"/>
      <w:r>
        <w:rPr/>
        <w:t>will</w:t>
      </w:r>
      <w:r>
        <w:rPr/>
        <w:t> be presumed to be most closely connected with the country in which the principal place of </w:t>
      </w:r>
      <w:bookmarkStart w:name="_bookmark713" w:id="715"/>
      <w:bookmarkEnd w:id="715"/>
      <w:r>
        <w:rPr/>
        <w:t>business</w:t>
      </w:r>
      <w:r>
        <w:rPr/>
        <w:t> of the carrier, </w:t>
      </w:r>
      <w:r>
        <w:rPr>
          <w:color w:val="005DA1"/>
          <w:u w:val="single" w:color="005DA1"/>
          <w:vertAlign w:val="superscript"/>
        </w:rPr>
        <w:t>423</w:t>
      </w:r>
      <w:r>
        <w:rPr>
          <w:color w:val="005DA1"/>
          <w:vertAlign w:val="baseline"/>
        </w:rPr>
        <w:t> </w:t>
      </w:r>
      <w:r>
        <w:rPr>
          <w:vertAlign w:val="baseline"/>
        </w:rPr>
        <w:t>at the time of the conclusion of the contract, is situated, if that country </w:t>
      </w:r>
      <w:r>
        <w:rPr>
          <w:vertAlign w:val="baseline"/>
        </w:rPr>
        <w:t>is </w:t>
      </w:r>
      <w:bookmarkStart w:name="_bookmark714" w:id="716"/>
      <w:bookmarkEnd w:id="716"/>
      <w:r>
        <w:rPr>
          <w:vertAlign w:val="baseline"/>
        </w:rPr>
        <w:t>also</w:t>
      </w:r>
      <w:r>
        <w:rPr>
          <w:vertAlign w:val="baseline"/>
        </w:rPr>
        <w:t> the country in which either the place of loading, </w:t>
      </w:r>
      <w:r>
        <w:rPr>
          <w:color w:val="005DA1"/>
          <w:u w:val="single" w:color="005DA1"/>
          <w:vertAlign w:val="superscript"/>
        </w:rPr>
        <w:t>424</w:t>
      </w:r>
      <w:r>
        <w:rPr>
          <w:color w:val="005DA1"/>
          <w:vertAlign w:val="baseline"/>
        </w:rPr>
        <w:t> </w:t>
      </w:r>
      <w:r>
        <w:rPr>
          <w:vertAlign w:val="baseline"/>
        </w:rPr>
        <w:t>or the place of discharge, </w:t>
      </w:r>
      <w:r>
        <w:rPr>
          <w:color w:val="005DA1"/>
          <w:u w:val="single" w:color="005DA1"/>
          <w:vertAlign w:val="superscript"/>
        </w:rPr>
        <w:t>425</w:t>
      </w:r>
      <w:r>
        <w:rPr>
          <w:color w:val="005DA1"/>
          <w:vertAlign w:val="baseline"/>
        </w:rPr>
        <w:t> </w:t>
      </w:r>
      <w:r>
        <w:rPr>
          <w:vertAlign w:val="baseline"/>
        </w:rPr>
        <w:t>or the principal place of business of the consignor </w:t>
      </w:r>
      <w:r>
        <w:rPr>
          <w:color w:val="005DA1"/>
          <w:u w:val="single" w:color="005DA1"/>
          <w:vertAlign w:val="superscript"/>
        </w:rPr>
        <w:t>426</w:t>
      </w:r>
      <w:r>
        <w:rPr>
          <w:color w:val="005DA1"/>
          <w:vertAlign w:val="baseline"/>
        </w:rPr>
        <w:t> </w:t>
      </w:r>
      <w:r>
        <w:rPr>
          <w:vertAlign w:val="baseline"/>
        </w:rPr>
        <w:t>is situated. Since the provision explicitly excludes the</w:t>
      </w:r>
      <w:r>
        <w:rPr>
          <w:spacing w:val="40"/>
          <w:vertAlign w:val="baseline"/>
        </w:rPr>
        <w:t> </w:t>
      </w:r>
      <w:r>
        <w:rPr>
          <w:vertAlign w:val="baseline"/>
        </w:rPr>
        <w:t>application</w:t>
      </w:r>
      <w:r>
        <w:rPr>
          <w:spacing w:val="-1"/>
          <w:vertAlign w:val="baseline"/>
        </w:rPr>
        <w:t> </w:t>
      </w:r>
      <w:r>
        <w:rPr>
          <w:vertAlign w:val="baseline"/>
        </w:rPr>
        <w:t>of</w:t>
      </w:r>
      <w:r>
        <w:rPr>
          <w:spacing w:val="-1"/>
          <w:vertAlign w:val="baseline"/>
        </w:rPr>
        <w:t> </w:t>
      </w:r>
      <w:r>
        <w:rPr>
          <w:vertAlign w:val="baseline"/>
        </w:rPr>
        <w:t>art.4(2)</w:t>
      </w:r>
      <w:r>
        <w:rPr>
          <w:spacing w:val="-1"/>
          <w:vertAlign w:val="baseline"/>
        </w:rPr>
        <w:t> </w:t>
      </w:r>
      <w:r>
        <w:rPr>
          <w:vertAlign w:val="baseline"/>
        </w:rPr>
        <w:t>to</w:t>
      </w:r>
      <w:r>
        <w:rPr>
          <w:spacing w:val="-1"/>
          <w:vertAlign w:val="baseline"/>
        </w:rPr>
        <w:t> </w:t>
      </w:r>
      <w:r>
        <w:rPr>
          <w:vertAlign w:val="baseline"/>
        </w:rPr>
        <w:t>contracts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carriage</w:t>
      </w:r>
      <w:r>
        <w:rPr>
          <w:spacing w:val="-1"/>
          <w:vertAlign w:val="baseline"/>
        </w:rPr>
        <w:t> </w:t>
      </w:r>
      <w:r>
        <w:rPr>
          <w:vertAlign w:val="baseline"/>
        </w:rPr>
        <w:t>of</w:t>
      </w:r>
      <w:r>
        <w:rPr>
          <w:spacing w:val="-1"/>
          <w:vertAlign w:val="baseline"/>
        </w:rPr>
        <w:t> </w:t>
      </w:r>
      <w:r>
        <w:rPr>
          <w:vertAlign w:val="baseline"/>
        </w:rPr>
        <w:t>goods,</w:t>
      </w:r>
      <w:r>
        <w:rPr>
          <w:spacing w:val="-1"/>
          <w:vertAlign w:val="baseline"/>
        </w:rPr>
        <w:t> </w:t>
      </w:r>
      <w:r>
        <w:rPr>
          <w:vertAlign w:val="baseline"/>
        </w:rPr>
        <w:t>where</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no</w:t>
      </w:r>
      <w:r>
        <w:rPr>
          <w:spacing w:val="-1"/>
          <w:vertAlign w:val="baseline"/>
        </w:rPr>
        <w:t> </w:t>
      </w:r>
      <w:r>
        <w:rPr>
          <w:vertAlign w:val="baseline"/>
        </w:rPr>
        <w:t>relevant</w:t>
      </w:r>
      <w:r>
        <w:rPr>
          <w:spacing w:val="-1"/>
          <w:vertAlign w:val="baseline"/>
        </w:rPr>
        <w:t> </w:t>
      </w:r>
      <w:r>
        <w:rPr>
          <w:vertAlign w:val="baseline"/>
        </w:rPr>
        <w:t>grouping</w:t>
      </w:r>
      <w:r>
        <w:rPr>
          <w:spacing w:val="-1"/>
          <w:vertAlign w:val="baseline"/>
        </w:rPr>
        <w:t> </w:t>
      </w:r>
      <w:r>
        <w:rPr>
          <w:vertAlign w:val="baseline"/>
        </w:rPr>
        <w:t>of</w:t>
      </w:r>
      <w:r>
        <w:rPr>
          <w:spacing w:val="-1"/>
          <w:vertAlign w:val="baseline"/>
        </w:rPr>
        <w:t> </w:t>
      </w:r>
      <w:r>
        <w:rPr>
          <w:vertAlign w:val="baseline"/>
        </w:rPr>
        <w:t>the </w:t>
      </w:r>
      <w:bookmarkStart w:name="_bookmark715" w:id="717"/>
      <w:bookmarkEnd w:id="717"/>
      <w:r>
        <w:rPr>
          <w:vertAlign w:val="baseline"/>
        </w:rPr>
        <w:t>factors</w:t>
      </w:r>
      <w:r>
        <w:rPr>
          <w:vertAlign w:val="baseline"/>
        </w:rPr>
        <w:t> identified in art.4(4) the applicable law will have to be determined without the aid of any </w:t>
      </w:r>
      <w:bookmarkStart w:name="_bookmark716" w:id="718"/>
      <w:bookmarkEnd w:id="718"/>
      <w:r>
        <w:rPr>
          <w:vertAlign w:val="baseline"/>
        </w:rPr>
        <w:t>presumption.</w:t>
      </w:r>
      <w:r>
        <w:rPr>
          <w:vertAlign w:val="baseline"/>
        </w:rPr>
        <w:t> </w:t>
      </w:r>
      <w:r>
        <w:rPr>
          <w:color w:val="005DA1"/>
          <w:u w:val="single" w:color="005DA1"/>
          <w:vertAlign w:val="superscript"/>
        </w:rPr>
        <w:t>427</w:t>
      </w:r>
      <w:r>
        <w:rPr>
          <w:color w:val="005DA1"/>
          <w:vertAlign w:val="baseline"/>
        </w:rPr>
        <w:t> </w:t>
      </w:r>
      <w:r>
        <w:rPr>
          <w:vertAlign w:val="baseline"/>
        </w:rPr>
        <w:t>A contract for the carriage of persons will, however, be subject to the presumption in </w:t>
      </w:r>
      <w:bookmarkStart w:name="_bookmark717" w:id="719"/>
      <w:bookmarkEnd w:id="719"/>
      <w:r>
        <w:rPr>
          <w:vertAlign w:val="baseline"/>
        </w:rPr>
        <w:t>art.4(2)</w:t>
      </w:r>
      <w:r>
        <w:rPr>
          <w:vertAlign w:val="baseline"/>
        </w:rPr>
        <w:t> </w:t>
      </w:r>
      <w:r>
        <w:rPr>
          <w:color w:val="005DA1"/>
          <w:u w:val="single" w:color="005DA1"/>
          <w:vertAlign w:val="superscript"/>
        </w:rPr>
        <w:t>428</w:t>
      </w:r>
      <w:r>
        <w:rPr>
          <w:color w:val="005DA1"/>
          <w:vertAlign w:val="baseline"/>
        </w:rPr>
        <w:t> </w:t>
      </w:r>
      <w:r>
        <w:rPr>
          <w:vertAlign w:val="baseline"/>
        </w:rPr>
        <w:t>and, thus, it is conceivable that where there is a mixed contract for the carriage of goods and persons, the contract may have two different applicable laws. </w:t>
      </w:r>
      <w:r>
        <w:rPr>
          <w:color w:val="005DA1"/>
          <w:u w:val="single" w:color="005DA1"/>
          <w:vertAlign w:val="superscript"/>
        </w:rPr>
        <w:t>429</w:t>
      </w:r>
      <w:r>
        <w:rPr>
          <w:color w:val="005DA1"/>
          <w:vertAlign w:val="baseline"/>
        </w:rPr>
        <w:t> </w:t>
      </w:r>
      <w:r>
        <w:rPr>
          <w:vertAlign w:val="baseline"/>
        </w:rPr>
        <w:t>If the contract is “severed”, so </w:t>
      </w:r>
      <w:bookmarkStart w:name="_bookmark718" w:id="720"/>
      <w:bookmarkEnd w:id="720"/>
      <w:r>
        <w:rPr>
          <w:vertAlign w:val="baseline"/>
        </w:rPr>
        <w:t>that</w:t>
      </w:r>
      <w:r>
        <w:rPr>
          <w:vertAlign w:val="baseline"/>
        </w:rPr>
        <w:t> a part covers carriage of goods and a different part relates to different (independent) obligations, only the former part will be subject to art.4(4). </w:t>
      </w:r>
      <w:r>
        <w:rPr>
          <w:color w:val="005DA1"/>
          <w:u w:val="single" w:color="005DA1"/>
          <w:vertAlign w:val="superscript"/>
        </w:rPr>
        <w:t>430</w:t>
      </w:r>
    </w:p>
    <w:p>
      <w:pPr>
        <w:pStyle w:val="BodyText"/>
      </w:pPr>
    </w:p>
    <w:p>
      <w:pPr>
        <w:pStyle w:val="BodyText"/>
        <w:spacing w:before="34"/>
      </w:pPr>
    </w:p>
    <w:p>
      <w:pPr>
        <w:spacing w:before="0"/>
        <w:ind w:left="165" w:right="0" w:firstLine="0"/>
        <w:jc w:val="left"/>
        <w:rPr>
          <w:rFonts w:ascii="Arial" w:hAnsi="Arial"/>
          <w:b/>
          <w:sz w:val="18"/>
        </w:rPr>
      </w:pPr>
      <w:r>
        <w:rPr>
          <w:rFonts w:ascii="Arial" w:hAnsi="Arial"/>
          <w:b/>
          <w:sz w:val="18"/>
        </w:rPr>
        <w:t>“Other contracts” involving carriage of </w:t>
      </w:r>
      <w:r>
        <w:rPr>
          <w:rFonts w:ascii="Arial" w:hAnsi="Arial"/>
          <w:b/>
          <w:spacing w:val="-2"/>
          <w:sz w:val="18"/>
        </w:rPr>
        <w:t>goods</w:t>
      </w:r>
    </w:p>
    <w:p>
      <w:pPr>
        <w:pStyle w:val="BodyText"/>
        <w:spacing w:before="41"/>
        <w:rPr>
          <w:rFonts w:ascii="Arial"/>
          <w:b/>
          <w:sz w:val="18"/>
        </w:rPr>
      </w:pPr>
    </w:p>
    <w:p>
      <w:pPr>
        <w:pStyle w:val="Heading2"/>
      </w:pPr>
      <w:r>
        <w:rPr/>
        <w:t>30-</w:t>
      </w:r>
      <w:r>
        <w:rPr>
          <w:spacing w:val="-5"/>
        </w:rPr>
        <w:t>085</w:t>
      </w:r>
    </w:p>
    <w:p>
      <w:pPr>
        <w:pStyle w:val="BodyText"/>
        <w:spacing w:before="92"/>
        <w:rPr>
          <w:rFonts w:ascii="Arial"/>
          <w:b/>
        </w:rPr>
      </w:pPr>
    </w:p>
    <w:p>
      <w:pPr>
        <w:pStyle w:val="BodyText"/>
        <w:spacing w:line="235" w:lineRule="auto" w:before="1"/>
        <w:ind w:left="165"/>
      </w:pPr>
      <w:r>
        <w:rPr>
          <w:position w:val="-2"/>
        </w:rPr>
        <w:drawing>
          <wp:inline distT="0" distB="0" distL="0" distR="0">
            <wp:extent cx="107988" cy="10798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w:t>
      </w:r>
      <w:r>
        <w:rPr>
          <w:spacing w:val="-2"/>
        </w:rPr>
        <w:t> </w:t>
      </w:r>
      <w:r>
        <w:rPr/>
        <w:t>is</w:t>
      </w:r>
      <w:r>
        <w:rPr>
          <w:spacing w:val="-2"/>
        </w:rPr>
        <w:t> </w:t>
      </w:r>
      <w:r>
        <w:rPr/>
        <w:t>not</w:t>
      </w:r>
      <w:r>
        <w:rPr>
          <w:spacing w:val="-2"/>
        </w:rPr>
        <w:t> </w:t>
      </w:r>
      <w:r>
        <w:rPr/>
        <w:t>clear,</w:t>
      </w:r>
      <w:r>
        <w:rPr>
          <w:spacing w:val="-2"/>
        </w:rPr>
        <w:t> </w:t>
      </w:r>
      <w:r>
        <w:rPr/>
        <w:t>however,</w:t>
      </w:r>
      <w:r>
        <w:rPr>
          <w:spacing w:val="-2"/>
        </w:rPr>
        <w:t> </w:t>
      </w:r>
      <w:r>
        <w:rPr/>
        <w:t>what</w:t>
      </w:r>
      <w:r>
        <w:rPr>
          <w:spacing w:val="-2"/>
        </w:rPr>
        <w:t> </w:t>
      </w:r>
      <w:r>
        <w:rPr/>
        <w:t>is</w:t>
      </w:r>
      <w:r>
        <w:rPr>
          <w:spacing w:val="-2"/>
        </w:rPr>
        <w:t> </w:t>
      </w:r>
      <w:r>
        <w:rPr/>
        <w:t>to</w:t>
      </w:r>
      <w:r>
        <w:rPr>
          <w:spacing w:val="-2"/>
        </w:rPr>
        <w:t> </w:t>
      </w:r>
      <w:r>
        <w:rPr/>
        <w:t>be</w:t>
      </w:r>
      <w:r>
        <w:rPr>
          <w:spacing w:val="-2"/>
        </w:rPr>
        <w:t> </w:t>
      </w:r>
      <w:r>
        <w:rPr/>
        <w:t>included</w:t>
      </w:r>
      <w:r>
        <w:rPr>
          <w:spacing w:val="-2"/>
        </w:rPr>
        <w:t> </w:t>
      </w:r>
      <w:r>
        <w:rPr/>
        <w:t>in</w:t>
      </w:r>
      <w:r>
        <w:rPr>
          <w:spacing w:val="-2"/>
        </w:rPr>
        <w:t> </w:t>
      </w:r>
      <w:r>
        <w:rPr/>
        <w:t>the</w:t>
      </w:r>
      <w:r>
        <w:rPr>
          <w:spacing w:val="-2"/>
        </w:rPr>
        <w:t> </w:t>
      </w:r>
      <w:r>
        <w:rPr/>
        <w:t>expression</w:t>
      </w:r>
      <w:r>
        <w:rPr>
          <w:spacing w:val="-2"/>
        </w:rPr>
        <w:t> </w:t>
      </w:r>
      <w:r>
        <w:rPr/>
        <w:t>“contract</w:t>
      </w:r>
      <w:r>
        <w:rPr>
          <w:spacing w:val="-2"/>
        </w:rPr>
        <w:t> </w:t>
      </w:r>
      <w:r>
        <w:rPr/>
        <w:t>for</w:t>
      </w:r>
      <w:r>
        <w:rPr>
          <w:spacing w:val="-2"/>
        </w:rPr>
        <w:t> </w:t>
      </w:r>
      <w:r>
        <w:rPr/>
        <w:t>the</w:t>
      </w:r>
      <w:r>
        <w:rPr>
          <w:spacing w:val="-2"/>
        </w:rPr>
        <w:t> </w:t>
      </w:r>
      <w:r>
        <w:rPr/>
        <w:t>carriage</w:t>
      </w:r>
      <w:r>
        <w:rPr>
          <w:spacing w:val="-2"/>
        </w:rPr>
        <w:t> </w:t>
      </w:r>
      <w:r>
        <w:rPr/>
        <w:t>of</w:t>
      </w:r>
      <w:r>
        <w:rPr>
          <w:spacing w:val="-2"/>
        </w:rPr>
        <w:t> </w:t>
      </w:r>
      <w:r>
        <w:rPr/>
        <w:t>goods”. While</w:t>
      </w:r>
      <w:r>
        <w:rPr>
          <w:spacing w:val="2"/>
        </w:rPr>
        <w:t> </w:t>
      </w:r>
      <w:r>
        <w:rPr/>
        <w:t>art.4(4)</w:t>
      </w:r>
      <w:r>
        <w:rPr>
          <w:spacing w:val="2"/>
        </w:rPr>
        <w:t> </w:t>
      </w:r>
      <w:r>
        <w:rPr/>
        <w:t>clearly</w:t>
      </w:r>
      <w:r>
        <w:rPr>
          <w:spacing w:val="2"/>
        </w:rPr>
        <w:t> </w:t>
      </w:r>
      <w:r>
        <w:rPr/>
        <w:t>states</w:t>
      </w:r>
      <w:r>
        <w:rPr>
          <w:spacing w:val="2"/>
        </w:rPr>
        <w:t> </w:t>
      </w:r>
      <w:r>
        <w:rPr/>
        <w:t>that</w:t>
      </w:r>
      <w:r>
        <w:rPr>
          <w:spacing w:val="2"/>
        </w:rPr>
        <w:t> </w:t>
      </w:r>
      <w:r>
        <w:rPr/>
        <w:t>a</w:t>
      </w:r>
      <w:r>
        <w:rPr>
          <w:spacing w:val="2"/>
        </w:rPr>
        <w:t> </w:t>
      </w:r>
      <w:r>
        <w:rPr/>
        <w:t>single</w:t>
      </w:r>
      <w:r>
        <w:rPr>
          <w:spacing w:val="2"/>
        </w:rPr>
        <w:t> </w:t>
      </w:r>
      <w:r>
        <w:rPr/>
        <w:t>voyage</w:t>
      </w:r>
      <w:r>
        <w:rPr>
          <w:spacing w:val="2"/>
        </w:rPr>
        <w:t> </w:t>
      </w:r>
      <w:r>
        <w:rPr/>
        <w:t>charter-party</w:t>
      </w:r>
      <w:r>
        <w:rPr>
          <w:spacing w:val="2"/>
        </w:rPr>
        <w:t> </w:t>
      </w:r>
      <w:r>
        <w:rPr/>
        <w:t>is</w:t>
      </w:r>
      <w:r>
        <w:rPr>
          <w:spacing w:val="2"/>
        </w:rPr>
        <w:t> </w:t>
      </w:r>
      <w:r>
        <w:rPr/>
        <w:t>to</w:t>
      </w:r>
      <w:r>
        <w:rPr>
          <w:spacing w:val="2"/>
        </w:rPr>
        <w:t> </w:t>
      </w:r>
      <w:r>
        <w:rPr/>
        <w:t>be</w:t>
      </w:r>
      <w:r>
        <w:rPr>
          <w:spacing w:val="2"/>
        </w:rPr>
        <w:t> </w:t>
      </w:r>
      <w:r>
        <w:rPr/>
        <w:t>treated</w:t>
      </w:r>
      <w:r>
        <w:rPr>
          <w:spacing w:val="2"/>
        </w:rPr>
        <w:t> </w:t>
      </w:r>
      <w:r>
        <w:rPr/>
        <w:t>as</w:t>
      </w:r>
      <w:r>
        <w:rPr>
          <w:spacing w:val="2"/>
        </w:rPr>
        <w:t> </w:t>
      </w:r>
      <w:r>
        <w:rPr/>
        <w:t>such</w:t>
      </w:r>
      <w:r>
        <w:rPr>
          <w:spacing w:val="2"/>
        </w:rPr>
        <w:t> </w:t>
      </w:r>
      <w:r>
        <w:rPr/>
        <w:t>a</w:t>
      </w:r>
      <w:r>
        <w:rPr>
          <w:spacing w:val="2"/>
        </w:rPr>
        <w:t> </w:t>
      </w:r>
      <w:r>
        <w:rPr/>
        <w:t>contract,</w:t>
      </w:r>
      <w:r>
        <w:rPr>
          <w:spacing w:val="2"/>
        </w:rPr>
        <w:t> </w:t>
      </w:r>
      <w:r>
        <w:rPr>
          <w:spacing w:val="-4"/>
        </w:rPr>
        <w:t>less</w:t>
      </w:r>
    </w:p>
    <w:p>
      <w:pPr>
        <w:pStyle w:val="BodyText"/>
        <w:spacing w:after="0" w:line="235" w:lineRule="auto"/>
        <w:sectPr>
          <w:pgSz w:w="11900" w:h="16840"/>
          <w:pgMar w:header="971" w:footer="0" w:top="1300" w:bottom="280" w:left="1275" w:right="1275"/>
        </w:sectPr>
      </w:pPr>
    </w:p>
    <w:p>
      <w:pPr>
        <w:pStyle w:val="BodyText"/>
        <w:spacing w:line="235" w:lineRule="auto" w:before="110"/>
        <w:ind w:left="165" w:right="167"/>
        <w:jc w:val="both"/>
      </w:pPr>
      <w:r>
        <w:rPr/>
        <w:t>clarity surrounds the “other contracts the main purpose of which is the carriage of goods”. It is </w:t>
      </w:r>
      <w:r>
        <w:rPr/>
        <w:t>likely </w:t>
      </w:r>
      <w:bookmarkStart w:name="_bookmark719" w:id="721"/>
      <w:bookmarkEnd w:id="721"/>
      <w:r>
        <w:rPr/>
        <w:t>(though</w:t>
      </w:r>
      <w:r>
        <w:rPr/>
        <w:t> the matter is controversial) that consecutive voyage charter-parties will fall within the </w:t>
      </w:r>
      <w:bookmarkStart w:name="_bookmark720" w:id="722"/>
      <w:bookmarkEnd w:id="722"/>
      <w:r>
        <w:rPr/>
        <w:t>provision,</w:t>
      </w:r>
      <w:r>
        <w:rPr>
          <w:spacing w:val="7"/>
        </w:rPr>
        <w:t> </w:t>
      </w:r>
      <w:r>
        <w:rPr>
          <w:color w:val="005DA1"/>
          <w:u w:val="single" w:color="005DA1"/>
          <w:vertAlign w:val="superscript"/>
        </w:rPr>
        <w:t>431</w:t>
      </w:r>
      <w:r>
        <w:rPr>
          <w:color w:val="005DA1"/>
          <w:spacing w:val="9"/>
          <w:vertAlign w:val="baseline"/>
        </w:rPr>
        <w:t> </w:t>
      </w:r>
      <w:r>
        <w:rPr>
          <w:vertAlign w:val="baseline"/>
        </w:rPr>
        <w:t>as</w:t>
      </w:r>
      <w:r>
        <w:rPr>
          <w:spacing w:val="9"/>
          <w:vertAlign w:val="baseline"/>
        </w:rPr>
        <w:t> </w:t>
      </w:r>
      <w:r>
        <w:rPr>
          <w:vertAlign w:val="baseline"/>
        </w:rPr>
        <w:t>will</w:t>
      </w:r>
      <w:r>
        <w:rPr>
          <w:spacing w:val="9"/>
          <w:vertAlign w:val="baseline"/>
        </w:rPr>
        <w:t> </w:t>
      </w:r>
      <w:r>
        <w:rPr>
          <w:vertAlign w:val="baseline"/>
        </w:rPr>
        <w:t>contracts</w:t>
      </w:r>
      <w:r>
        <w:rPr>
          <w:spacing w:val="9"/>
          <w:vertAlign w:val="baseline"/>
        </w:rPr>
        <w:t> </w:t>
      </w:r>
      <w:r>
        <w:rPr>
          <w:vertAlign w:val="baseline"/>
        </w:rPr>
        <w:t>of</w:t>
      </w:r>
      <w:r>
        <w:rPr>
          <w:spacing w:val="9"/>
          <w:vertAlign w:val="baseline"/>
        </w:rPr>
        <w:t> </w:t>
      </w:r>
      <w:r>
        <w:rPr>
          <w:vertAlign w:val="baseline"/>
        </w:rPr>
        <w:t>carriage</w:t>
      </w:r>
      <w:r>
        <w:rPr>
          <w:spacing w:val="9"/>
          <w:vertAlign w:val="baseline"/>
        </w:rPr>
        <w:t> </w:t>
      </w:r>
      <w:r>
        <w:rPr>
          <w:vertAlign w:val="baseline"/>
        </w:rPr>
        <w:t>evidenced</w:t>
      </w:r>
      <w:r>
        <w:rPr>
          <w:spacing w:val="9"/>
          <w:vertAlign w:val="baseline"/>
        </w:rPr>
        <w:t> </w:t>
      </w:r>
      <w:r>
        <w:rPr>
          <w:vertAlign w:val="baseline"/>
        </w:rPr>
        <w:t>in</w:t>
      </w:r>
      <w:r>
        <w:rPr>
          <w:spacing w:val="9"/>
          <w:vertAlign w:val="baseline"/>
        </w:rPr>
        <w:t> </w:t>
      </w:r>
      <w:r>
        <w:rPr>
          <w:vertAlign w:val="baseline"/>
        </w:rPr>
        <w:t>a</w:t>
      </w:r>
      <w:r>
        <w:rPr>
          <w:spacing w:val="9"/>
          <w:vertAlign w:val="baseline"/>
        </w:rPr>
        <w:t> </w:t>
      </w:r>
      <w:r>
        <w:rPr>
          <w:vertAlign w:val="baseline"/>
        </w:rPr>
        <w:t>bill</w:t>
      </w:r>
      <w:r>
        <w:rPr>
          <w:spacing w:val="9"/>
          <w:vertAlign w:val="baseline"/>
        </w:rPr>
        <w:t> </w:t>
      </w:r>
      <w:r>
        <w:rPr>
          <w:vertAlign w:val="baseline"/>
        </w:rPr>
        <w:t>of</w:t>
      </w:r>
      <w:r>
        <w:rPr>
          <w:spacing w:val="9"/>
          <w:vertAlign w:val="baseline"/>
        </w:rPr>
        <w:t> </w:t>
      </w:r>
      <w:r>
        <w:rPr>
          <w:vertAlign w:val="baseline"/>
        </w:rPr>
        <w:t>lading,</w:t>
      </w:r>
      <w:r>
        <w:rPr>
          <w:spacing w:val="8"/>
          <w:vertAlign w:val="baseline"/>
        </w:rPr>
        <w:t> </w:t>
      </w:r>
      <w:r>
        <w:rPr>
          <w:color w:val="005DA1"/>
          <w:u w:val="single" w:color="005DA1"/>
          <w:vertAlign w:val="superscript"/>
        </w:rPr>
        <w:t>432</w:t>
      </w:r>
      <w:r>
        <w:rPr>
          <w:color w:val="005DA1"/>
          <w:spacing w:val="9"/>
          <w:vertAlign w:val="baseline"/>
        </w:rPr>
        <w:t> </w:t>
      </w:r>
      <w:r>
        <w:rPr>
          <w:vertAlign w:val="baseline"/>
        </w:rPr>
        <w:t>though</w:t>
      </w:r>
      <w:r>
        <w:rPr>
          <w:spacing w:val="9"/>
          <w:vertAlign w:val="baseline"/>
        </w:rPr>
        <w:t> </w:t>
      </w:r>
      <w:r>
        <w:rPr>
          <w:vertAlign w:val="baseline"/>
        </w:rPr>
        <w:t>demise</w:t>
      </w:r>
      <w:r>
        <w:rPr>
          <w:spacing w:val="9"/>
          <w:vertAlign w:val="baseline"/>
        </w:rPr>
        <w:t> </w:t>
      </w:r>
      <w:r>
        <w:rPr>
          <w:vertAlign w:val="baseline"/>
        </w:rPr>
        <w:t>charters</w:t>
      </w:r>
      <w:r>
        <w:rPr>
          <w:spacing w:val="9"/>
          <w:vertAlign w:val="baseline"/>
        </w:rPr>
        <w:t> </w:t>
      </w:r>
      <w:r>
        <w:rPr>
          <w:spacing w:val="-4"/>
          <w:vertAlign w:val="baseline"/>
        </w:rPr>
        <w:t>will</w:t>
      </w:r>
    </w:p>
    <w:p>
      <w:pPr>
        <w:pStyle w:val="BodyText"/>
        <w:spacing w:line="235" w:lineRule="auto" w:before="119"/>
        <w:ind w:left="165" w:right="167"/>
        <w:jc w:val="both"/>
      </w:pPr>
      <w:r>
        <w:rPr/>
        <w:t>not. </w:t>
      </w:r>
      <w:r>
        <w:rPr>
          <w:color w:val="005DA1"/>
          <w:u w:val="single" w:color="005DA1"/>
          <w:vertAlign w:val="superscript"/>
        </w:rPr>
        <w:t>433</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7"/>
          <w:vertAlign w:val="baseline"/>
        </w:rPr>
        <w:t> </w:t>
      </w:r>
      <w:r>
        <w:rPr>
          <w:vertAlign w:val="baseline"/>
        </w:rPr>
        <w:t>The principle seems to be that art.4(4) will apply to contracts the main purpose of which is the carriage of goods. Thus, where the owner of a ship’s obligations relate not merely to </w:t>
      </w:r>
      <w:r>
        <w:rPr>
          <w:vertAlign w:val="baseline"/>
        </w:rPr>
        <w:t>making </w:t>
      </w:r>
      <w:bookmarkStart w:name="_bookmark721" w:id="723"/>
      <w:bookmarkEnd w:id="723"/>
      <w:r>
        <w:rPr>
          <w:vertAlign w:val="baseline"/>
        </w:rPr>
        <w:t>available</w:t>
      </w:r>
      <w:r>
        <w:rPr>
          <w:vertAlign w:val="baseline"/>
        </w:rPr>
        <w:t> the means of transport, but also the carriage of goods proper, the contract in question falls within art.4(4), where its main purpose is the carriage of goods. </w:t>
      </w:r>
      <w:r>
        <w:rPr>
          <w:color w:val="005DA1"/>
          <w:u w:val="single" w:color="005DA1"/>
          <w:vertAlign w:val="superscript"/>
        </w:rPr>
        <w:t>434</w:t>
      </w:r>
    </w:p>
    <w:p>
      <w:pPr>
        <w:pStyle w:val="BodyText"/>
      </w:pPr>
    </w:p>
    <w:p>
      <w:pPr>
        <w:pStyle w:val="BodyText"/>
        <w:spacing w:before="37"/>
      </w:pPr>
    </w:p>
    <w:p>
      <w:pPr>
        <w:spacing w:before="0"/>
        <w:ind w:left="165" w:right="0" w:firstLine="0"/>
        <w:jc w:val="left"/>
        <w:rPr>
          <w:rFonts w:ascii="Arial"/>
          <w:b/>
          <w:sz w:val="18"/>
        </w:rPr>
      </w:pPr>
      <w:r>
        <w:rPr>
          <w:rFonts w:ascii="Arial"/>
          <w:b/>
          <w:sz w:val="18"/>
        </w:rPr>
        <w:t>International </w:t>
      </w:r>
      <w:r>
        <w:rPr>
          <w:rFonts w:ascii="Arial"/>
          <w:b/>
          <w:spacing w:val="-2"/>
          <w:sz w:val="18"/>
        </w:rPr>
        <w:t>conventions</w:t>
      </w:r>
    </w:p>
    <w:p>
      <w:pPr>
        <w:pStyle w:val="BodyText"/>
        <w:spacing w:before="41"/>
        <w:rPr>
          <w:rFonts w:ascii="Arial"/>
          <w:b/>
          <w:sz w:val="18"/>
        </w:rPr>
      </w:pPr>
    </w:p>
    <w:p>
      <w:pPr>
        <w:pStyle w:val="Heading2"/>
        <w:spacing w:before="1"/>
      </w:pPr>
      <w:r>
        <w:rPr/>
        <w:t>30-</w:t>
      </w:r>
      <w:r>
        <w:rPr>
          <w:spacing w:val="-5"/>
        </w:rPr>
        <w:t>086</w:t>
      </w:r>
    </w:p>
    <w:p>
      <w:pPr>
        <w:pStyle w:val="BodyText"/>
        <w:spacing w:line="235" w:lineRule="auto" w:before="202"/>
        <w:ind w:left="165" w:right="167"/>
        <w:jc w:val="both"/>
      </w:pPr>
      <w:bookmarkStart w:name="_bookmark722" w:id="724"/>
      <w:bookmarkEnd w:id="724"/>
      <w:r>
        <w:rPr/>
      </w:r>
      <w:r>
        <w:rPr/>
        <w:t>It is important to remember that many aspects of international transport are governed by </w:t>
      </w:r>
      <w:r>
        <w:rPr/>
        <w:t>international </w:t>
      </w:r>
      <w:bookmarkStart w:name="_bookmark723" w:id="725"/>
      <w:bookmarkEnd w:id="725"/>
      <w:r>
        <w:rPr/>
        <w:t>conventions,</w:t>
      </w:r>
      <w:r>
        <w:rPr/>
        <w:t> </w:t>
      </w:r>
      <w:r>
        <w:rPr>
          <w:color w:val="005DA1"/>
          <w:u w:val="single" w:color="005DA1"/>
          <w:vertAlign w:val="superscript"/>
        </w:rPr>
        <w:t>435</w:t>
      </w:r>
      <w:r>
        <w:rPr>
          <w:color w:val="005DA1"/>
          <w:vertAlign w:val="baseline"/>
        </w:rPr>
        <w:t> </w:t>
      </w:r>
      <w:r>
        <w:rPr>
          <w:vertAlign w:val="baseline"/>
        </w:rPr>
        <w:t>which will take precedence over the provisions of the Rome Convention when they are applicable. </w:t>
      </w:r>
      <w:r>
        <w:rPr>
          <w:color w:val="005DA1"/>
          <w:u w:val="single" w:color="005DA1"/>
          <w:vertAlign w:val="superscript"/>
        </w:rPr>
        <w:t>436</w:t>
      </w:r>
    </w:p>
    <w:p>
      <w:pPr>
        <w:pStyle w:val="BodyText"/>
      </w:pPr>
    </w:p>
    <w:p>
      <w:pPr>
        <w:pStyle w:val="BodyText"/>
        <w:spacing w:before="38"/>
      </w:pPr>
    </w:p>
    <w:p>
      <w:pPr>
        <w:spacing w:before="0"/>
        <w:ind w:left="165" w:right="0" w:firstLine="0"/>
        <w:jc w:val="left"/>
        <w:rPr>
          <w:rFonts w:ascii="Arial"/>
          <w:b/>
          <w:sz w:val="18"/>
        </w:rPr>
      </w:pPr>
      <w:r>
        <w:rPr>
          <w:rFonts w:ascii="Arial"/>
          <w:b/>
          <w:sz w:val="18"/>
        </w:rPr>
        <w:t>Non-application of the </w:t>
      </w:r>
      <w:r>
        <w:rPr>
          <w:rFonts w:ascii="Arial"/>
          <w:b/>
          <w:spacing w:val="-2"/>
          <w:sz w:val="18"/>
        </w:rPr>
        <w:t>presumptions</w:t>
      </w:r>
    </w:p>
    <w:p>
      <w:pPr>
        <w:pStyle w:val="BodyText"/>
        <w:spacing w:before="41"/>
        <w:rPr>
          <w:rFonts w:ascii="Arial"/>
          <w:b/>
          <w:sz w:val="18"/>
        </w:rPr>
      </w:pPr>
    </w:p>
    <w:p>
      <w:pPr>
        <w:pStyle w:val="Heading2"/>
      </w:pPr>
      <w:r>
        <w:rPr/>
        <w:t>30-</w:t>
      </w:r>
      <w:r>
        <w:rPr>
          <w:spacing w:val="-5"/>
        </w:rPr>
        <w:t>087</w:t>
      </w:r>
    </w:p>
    <w:p>
      <w:pPr>
        <w:pStyle w:val="BodyText"/>
        <w:spacing w:line="235" w:lineRule="auto" w:before="203"/>
        <w:ind w:left="165" w:right="167"/>
        <w:jc w:val="both"/>
      </w:pPr>
      <w:r>
        <w:rPr/>
        <w:t>Article 4(5) of the Rome Convention provides that the presumption in art.4(2) shall not apply if the characteristic performance cannot be determined and that each of the three presumptions shall be disregarded if it appears from the circumstances as a whole that the contract is more </w:t>
      </w:r>
      <w:r>
        <w:rPr/>
        <w:t>closely connected with another country than it is with the country indicated by the presumption.</w:t>
      </w:r>
    </w:p>
    <w:p>
      <w:pPr>
        <w:pStyle w:val="BodyText"/>
      </w:pPr>
    </w:p>
    <w:p>
      <w:pPr>
        <w:pStyle w:val="BodyText"/>
        <w:spacing w:before="37"/>
      </w:pPr>
    </w:p>
    <w:p>
      <w:pPr>
        <w:spacing w:before="0"/>
        <w:ind w:left="165" w:right="0" w:firstLine="0"/>
        <w:jc w:val="left"/>
        <w:rPr>
          <w:rFonts w:ascii="Arial"/>
          <w:b/>
          <w:sz w:val="18"/>
        </w:rPr>
      </w:pPr>
      <w:r>
        <w:rPr>
          <w:rFonts w:ascii="Arial"/>
          <w:b/>
          <w:sz w:val="18"/>
        </w:rPr>
        <w:t>Characteristic performance cannot be </w:t>
      </w:r>
      <w:r>
        <w:rPr>
          <w:rFonts w:ascii="Arial"/>
          <w:b/>
          <w:spacing w:val="-2"/>
          <w:sz w:val="18"/>
        </w:rPr>
        <w:t>determined</w:t>
      </w:r>
    </w:p>
    <w:p>
      <w:pPr>
        <w:pStyle w:val="BodyText"/>
        <w:spacing w:before="41"/>
        <w:rPr>
          <w:rFonts w:ascii="Arial"/>
          <w:b/>
          <w:sz w:val="18"/>
        </w:rPr>
      </w:pPr>
    </w:p>
    <w:p>
      <w:pPr>
        <w:pStyle w:val="Heading2"/>
      </w:pPr>
      <w:r>
        <w:rPr/>
        <w:t>30-</w:t>
      </w:r>
      <w:r>
        <w:rPr>
          <w:spacing w:val="-5"/>
        </w:rPr>
        <w:t>088</w:t>
      </w:r>
    </w:p>
    <w:p>
      <w:pPr>
        <w:pStyle w:val="BodyText"/>
        <w:spacing w:line="235" w:lineRule="auto" w:before="203"/>
        <w:ind w:left="165" w:right="167"/>
        <w:jc w:val="both"/>
      </w:pPr>
      <w:bookmarkStart w:name="_bookmark724" w:id="726"/>
      <w:bookmarkEnd w:id="726"/>
      <w:r>
        <w:rPr/>
      </w:r>
      <w:r>
        <w:rPr/>
        <w:t>Where it is concluded that the contract is one for which the characteristic performance cannot </w:t>
      </w:r>
      <w:r>
        <w:rPr/>
        <w:t>be determined, </w:t>
      </w:r>
      <w:r>
        <w:rPr>
          <w:color w:val="005DA1"/>
          <w:u w:val="single" w:color="005DA1"/>
          <w:vertAlign w:val="superscript"/>
        </w:rPr>
        <w:t>437</w:t>
      </w:r>
      <w:r>
        <w:rPr>
          <w:color w:val="005DA1"/>
          <w:vertAlign w:val="baseline"/>
        </w:rPr>
        <w:t> </w:t>
      </w:r>
      <w:r>
        <w:rPr>
          <w:vertAlign w:val="baseline"/>
        </w:rPr>
        <w:t>then the law of the country with which the contract is most closely connected will have to be determined without resort to any presumption. In such circumstances, the court will have regard </w:t>
      </w:r>
      <w:bookmarkStart w:name="_bookmark725" w:id="727"/>
      <w:bookmarkEnd w:id="727"/>
      <w:r>
        <w:rPr>
          <w:vertAlign w:val="baseline"/>
        </w:rPr>
        <w:t>to</w:t>
      </w:r>
      <w:r>
        <w:rPr>
          <w:vertAlign w:val="baseline"/>
        </w:rPr>
        <w:t> all the facts and circumstances surrounding the contract and its making: relevant facts and circumstances will be those treated as relevant in cases decided at common law. </w:t>
      </w:r>
      <w:r>
        <w:rPr>
          <w:color w:val="005DA1"/>
          <w:u w:val="single" w:color="005DA1"/>
          <w:vertAlign w:val="superscript"/>
        </w:rPr>
        <w:t>438</w:t>
      </w:r>
    </w:p>
    <w:p>
      <w:pPr>
        <w:pStyle w:val="BodyText"/>
      </w:pPr>
    </w:p>
    <w:p>
      <w:pPr>
        <w:pStyle w:val="BodyText"/>
        <w:spacing w:before="36"/>
      </w:pPr>
    </w:p>
    <w:p>
      <w:pPr>
        <w:spacing w:before="0"/>
        <w:ind w:left="165" w:right="0" w:firstLine="0"/>
        <w:jc w:val="left"/>
        <w:rPr>
          <w:rFonts w:ascii="Arial"/>
          <w:b/>
          <w:sz w:val="18"/>
        </w:rPr>
      </w:pPr>
      <w:bookmarkStart w:name="_bookmark726" w:id="728"/>
      <w:bookmarkEnd w:id="728"/>
      <w:r>
        <w:rPr/>
      </w:r>
      <w:r>
        <w:rPr>
          <w:rFonts w:ascii="Arial"/>
          <w:b/>
          <w:sz w:val="18"/>
        </w:rPr>
        <w:t>Rebutting the presumptions </w:t>
      </w:r>
      <w:r>
        <w:rPr>
          <w:rFonts w:ascii="Arial"/>
          <w:b/>
          <w:color w:val="005DA1"/>
          <w:spacing w:val="-5"/>
          <w:sz w:val="18"/>
          <w:u w:val="single" w:color="005DA1"/>
          <w:vertAlign w:val="superscript"/>
        </w:rPr>
        <w:t>439</w:t>
      </w:r>
    </w:p>
    <w:p>
      <w:pPr>
        <w:pStyle w:val="BodyText"/>
        <w:spacing w:before="42"/>
        <w:rPr>
          <w:rFonts w:ascii="Arial"/>
          <w:b/>
          <w:sz w:val="18"/>
        </w:rPr>
      </w:pPr>
    </w:p>
    <w:p>
      <w:pPr>
        <w:pStyle w:val="Heading2"/>
      </w:pPr>
      <w:r>
        <w:rPr/>
        <w:t>30-</w:t>
      </w:r>
      <w:r>
        <w:rPr>
          <w:spacing w:val="-5"/>
        </w:rPr>
        <w:t>089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Each presumption set out in art.4 may be rebutted if it appears from the circumstances as a </w:t>
      </w:r>
      <w:r>
        <w:rPr/>
        <w:t>whole </w:t>
      </w:r>
      <w:bookmarkStart w:name="_bookmark727" w:id="729"/>
      <w:bookmarkEnd w:id="729"/>
      <w:r>
        <w:rPr/>
        <w:t>that</w:t>
      </w:r>
      <w:r>
        <w:rPr/>
        <w:t> the contract is more closely connected with another country than it is with the country whose law is indicated as applicable by virtue of the presumption. </w:t>
      </w:r>
      <w:r>
        <w:rPr>
          <w:color w:val="005DA1"/>
          <w:u w:val="single" w:color="005DA1"/>
          <w:vertAlign w:val="superscript"/>
        </w:rPr>
        <w:t>440</w:t>
      </w:r>
      <w:r>
        <w:rPr>
          <w:color w:val="005DA1"/>
          <w:vertAlign w:val="baseline"/>
        </w:rPr>
        <w:t> </w:t>
      </w:r>
      <w:r>
        <w:rPr>
          <w:vertAlign w:val="baseline"/>
        </w:rPr>
        <w:t>The critical question, however, is as to the </w:t>
      </w:r>
      <w:bookmarkStart w:name="_bookmark728" w:id="730"/>
      <w:bookmarkEnd w:id="730"/>
      <w:r>
        <w:rPr>
          <w:vertAlign w:val="baseline"/>
        </w:rPr>
        <w:t>strength</w:t>
      </w:r>
      <w:r>
        <w:rPr>
          <w:spacing w:val="27"/>
          <w:vertAlign w:val="baseline"/>
        </w:rPr>
        <w:t> </w:t>
      </w:r>
      <w:r>
        <w:rPr>
          <w:vertAlign w:val="baseline"/>
        </w:rPr>
        <w:t>that</w:t>
      </w:r>
      <w:r>
        <w:rPr>
          <w:spacing w:val="27"/>
          <w:vertAlign w:val="baseline"/>
        </w:rPr>
        <w:t> </w:t>
      </w:r>
      <w:r>
        <w:rPr>
          <w:vertAlign w:val="baseline"/>
        </w:rPr>
        <w:t>will</w:t>
      </w:r>
      <w:r>
        <w:rPr>
          <w:spacing w:val="27"/>
          <w:vertAlign w:val="baseline"/>
        </w:rPr>
        <w:t> </w:t>
      </w:r>
      <w:r>
        <w:rPr>
          <w:vertAlign w:val="baseline"/>
        </w:rPr>
        <w:t>be</w:t>
      </w:r>
      <w:r>
        <w:rPr>
          <w:spacing w:val="27"/>
          <w:vertAlign w:val="baseline"/>
        </w:rPr>
        <w:t> </w:t>
      </w:r>
      <w:r>
        <w:rPr>
          <w:vertAlign w:val="baseline"/>
        </w:rPr>
        <w:t>attributed</w:t>
      </w:r>
      <w:r>
        <w:rPr>
          <w:spacing w:val="27"/>
          <w:vertAlign w:val="baseline"/>
        </w:rPr>
        <w:t> </w:t>
      </w:r>
      <w:r>
        <w:rPr>
          <w:vertAlign w:val="baseline"/>
        </w:rPr>
        <w:t>to</w:t>
      </w:r>
      <w:r>
        <w:rPr>
          <w:spacing w:val="27"/>
          <w:vertAlign w:val="baseline"/>
        </w:rPr>
        <w:t> </w:t>
      </w:r>
      <w:r>
        <w:rPr>
          <w:vertAlign w:val="baseline"/>
        </w:rPr>
        <w:t>the</w:t>
      </w:r>
      <w:r>
        <w:rPr>
          <w:spacing w:val="27"/>
          <w:vertAlign w:val="baseline"/>
        </w:rPr>
        <w:t> </w:t>
      </w:r>
      <w:r>
        <w:rPr>
          <w:vertAlign w:val="baseline"/>
        </w:rPr>
        <w:t>presumptions.</w:t>
      </w:r>
      <w:r>
        <w:rPr>
          <w:spacing w:val="27"/>
          <w:vertAlign w:val="baseline"/>
        </w:rPr>
        <w:t> </w:t>
      </w:r>
      <w:r>
        <w:rPr>
          <w:vertAlign w:val="baseline"/>
        </w:rPr>
        <w:t>The</w:t>
      </w:r>
      <w:r>
        <w:rPr>
          <w:spacing w:val="27"/>
          <w:vertAlign w:val="baseline"/>
        </w:rPr>
        <w:t> </w:t>
      </w:r>
      <w:r>
        <w:rPr>
          <w:vertAlign w:val="baseline"/>
        </w:rPr>
        <w:t>Giuliano-Lagarde</w:t>
      </w:r>
      <w:r>
        <w:rPr>
          <w:spacing w:val="27"/>
          <w:vertAlign w:val="baseline"/>
        </w:rPr>
        <w:t> </w:t>
      </w:r>
      <w:r>
        <w:rPr>
          <w:vertAlign w:val="baseline"/>
        </w:rPr>
        <w:t>Report</w:t>
      </w:r>
      <w:r>
        <w:rPr>
          <w:spacing w:val="27"/>
          <w:vertAlign w:val="baseline"/>
        </w:rPr>
        <w:t> </w:t>
      </w:r>
      <w:r>
        <w:rPr>
          <w:vertAlign w:val="baseline"/>
        </w:rPr>
        <w:t>states</w:t>
      </w:r>
      <w:r>
        <w:rPr>
          <w:spacing w:val="27"/>
          <w:vertAlign w:val="baseline"/>
        </w:rPr>
        <w:t> </w:t>
      </w:r>
      <w:r>
        <w:rPr>
          <w:vertAlign w:val="baseline"/>
        </w:rPr>
        <w:t>that</w:t>
      </w:r>
      <w:r>
        <w:rPr>
          <w:spacing w:val="27"/>
          <w:vertAlign w:val="baseline"/>
        </w:rPr>
        <w:t> </w:t>
      </w:r>
      <w:r>
        <w:rPr>
          <w:spacing w:val="-2"/>
          <w:vertAlign w:val="baseline"/>
        </w:rPr>
        <w:t>paras</w:t>
      </w:r>
    </w:p>
    <w:p>
      <w:pPr>
        <w:pStyle w:val="BodyText"/>
        <w:spacing w:line="235" w:lineRule="auto"/>
        <w:ind w:left="164" w:right="167"/>
        <w:jc w:val="both"/>
      </w:pPr>
      <w:r>
        <w:rPr/>
        <w:t>(2)–(4) of art.4 are “only rebuttable presumptions” </w:t>
      </w:r>
      <w:r>
        <w:rPr>
          <w:color w:val="005DA1"/>
          <w:u w:val="single" w:color="005DA1"/>
          <w:vertAlign w:val="superscript"/>
        </w:rPr>
        <w:t>441</w:t>
      </w:r>
      <w:r>
        <w:rPr>
          <w:color w:val="005DA1"/>
          <w:vertAlign w:val="baseline"/>
        </w:rPr>
        <w:t> </w:t>
      </w:r>
      <w:r>
        <w:rPr>
          <w:vertAlign w:val="baseline"/>
        </w:rPr>
        <w:t>and that art.4(5) “obviously leaves the judge a </w:t>
      </w:r>
      <w:bookmarkStart w:name="_bookmark729" w:id="731"/>
      <w:bookmarkEnd w:id="731"/>
      <w:r>
        <w:rPr>
          <w:vertAlign w:val="baseline"/>
        </w:rPr>
        <w:t>margin</w:t>
      </w:r>
      <w:r>
        <w:rPr>
          <w:vertAlign w:val="baseline"/>
        </w:rPr>
        <w:t> of discretion as to whether a set of circumstances exists in each specific case justifying the </w:t>
      </w:r>
      <w:bookmarkStart w:name="_bookmark730" w:id="732"/>
      <w:bookmarkEnd w:id="732"/>
      <w:r>
        <w:rPr>
          <w:vertAlign w:val="baseline"/>
        </w:rPr>
        <w:t>non</w:t>
      </w:r>
      <w:r>
        <w:rPr>
          <w:vertAlign w:val="baseline"/>
        </w:rPr>
        <w:t>-application of the presumption”, </w:t>
      </w:r>
      <w:r>
        <w:rPr>
          <w:color w:val="005DA1"/>
          <w:u w:val="single" w:color="005DA1"/>
          <w:vertAlign w:val="superscript"/>
        </w:rPr>
        <w:t>442</w:t>
      </w:r>
      <w:r>
        <w:rPr>
          <w:color w:val="005DA1"/>
          <w:vertAlign w:val="baseline"/>
        </w:rPr>
        <w:t> </w:t>
      </w:r>
      <w:r>
        <w:rPr>
          <w:vertAlign w:val="baseline"/>
        </w:rPr>
        <w:t>this being “the inevitable counterpart of a general conflict rule intended</w:t>
      </w:r>
      <w:r>
        <w:rPr>
          <w:spacing w:val="-1"/>
          <w:vertAlign w:val="baseline"/>
        </w:rPr>
        <w:t> </w:t>
      </w:r>
      <w:r>
        <w:rPr>
          <w:vertAlign w:val="baseline"/>
        </w:rPr>
        <w:t>to</w:t>
      </w:r>
      <w:r>
        <w:rPr>
          <w:spacing w:val="-1"/>
          <w:vertAlign w:val="baseline"/>
        </w:rPr>
        <w:t> </w:t>
      </w:r>
      <w:r>
        <w:rPr>
          <w:vertAlign w:val="baseline"/>
        </w:rPr>
        <w:t>apply</w:t>
      </w:r>
      <w:r>
        <w:rPr>
          <w:spacing w:val="-1"/>
          <w:vertAlign w:val="baseline"/>
        </w:rPr>
        <w:t> </w:t>
      </w:r>
      <w:r>
        <w:rPr>
          <w:vertAlign w:val="baseline"/>
        </w:rPr>
        <w:t>to</w:t>
      </w:r>
      <w:r>
        <w:rPr>
          <w:spacing w:val="-1"/>
          <w:vertAlign w:val="baseline"/>
        </w:rPr>
        <w:t> </w:t>
      </w:r>
      <w:r>
        <w:rPr>
          <w:vertAlign w:val="baseline"/>
        </w:rPr>
        <w:t>almost</w:t>
      </w:r>
      <w:r>
        <w:rPr>
          <w:spacing w:val="-1"/>
          <w:vertAlign w:val="baseline"/>
        </w:rPr>
        <w:t> </w:t>
      </w:r>
      <w:r>
        <w:rPr>
          <w:vertAlign w:val="baseline"/>
        </w:rPr>
        <w:t>all</w:t>
      </w:r>
      <w:r>
        <w:rPr>
          <w:spacing w:val="-1"/>
          <w:vertAlign w:val="baseline"/>
        </w:rPr>
        <w:t> </w:t>
      </w:r>
      <w:r>
        <w:rPr>
          <w:vertAlign w:val="baseline"/>
        </w:rPr>
        <w:t>types</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color w:val="005DA1"/>
          <w:u w:val="single" w:color="005DA1"/>
          <w:vertAlign w:val="superscript"/>
        </w:rPr>
        <w:t>443</w:t>
      </w:r>
      <w:r>
        <w:rPr>
          <w:color w:val="005DA1"/>
          <w:spacing w:val="-1"/>
          <w:vertAlign w:val="baseline"/>
        </w:rPr>
        <w:t> </w:t>
      </w:r>
      <w:r>
        <w:rPr>
          <w:vertAlign w:val="baseline"/>
        </w:rPr>
        <w:t>but</w:t>
      </w:r>
      <w:r>
        <w:rPr>
          <w:spacing w:val="-1"/>
          <w:vertAlign w:val="baseline"/>
        </w:rPr>
        <w:t> </w:t>
      </w:r>
      <w:r>
        <w:rPr>
          <w:vertAlign w:val="baseline"/>
        </w:rPr>
        <w:t>such</w:t>
      </w:r>
      <w:r>
        <w:rPr>
          <w:spacing w:val="-1"/>
          <w:vertAlign w:val="baseline"/>
        </w:rPr>
        <w:t> </w:t>
      </w:r>
      <w:r>
        <w:rPr>
          <w:vertAlign w:val="baseline"/>
        </w:rPr>
        <w:t>remarks</w:t>
      </w:r>
      <w:r>
        <w:rPr>
          <w:spacing w:val="-1"/>
          <w:vertAlign w:val="baseline"/>
        </w:rPr>
        <w:t> </w:t>
      </w:r>
      <w:r>
        <w:rPr>
          <w:vertAlign w:val="baseline"/>
        </w:rPr>
        <w:t>are</w:t>
      </w:r>
      <w:r>
        <w:rPr>
          <w:spacing w:val="-1"/>
          <w:vertAlign w:val="baseline"/>
        </w:rPr>
        <w:t> </w:t>
      </w:r>
      <w:r>
        <w:rPr>
          <w:vertAlign w:val="baseline"/>
        </w:rPr>
        <w:t>not</w:t>
      </w:r>
      <w:r>
        <w:rPr>
          <w:spacing w:val="-1"/>
          <w:vertAlign w:val="baseline"/>
        </w:rPr>
        <w:t> </w:t>
      </w:r>
      <w:r>
        <w:rPr>
          <w:vertAlign w:val="baseline"/>
        </w:rPr>
        <w:t>particularly</w:t>
      </w:r>
      <w:r>
        <w:rPr>
          <w:spacing w:val="-1"/>
          <w:vertAlign w:val="baseline"/>
        </w:rPr>
        <w:t> </w:t>
      </w:r>
      <w:r>
        <w:rPr>
          <w:vertAlign w:val="baseline"/>
        </w:rPr>
        <w:t>revealing</w:t>
      </w:r>
      <w:r>
        <w:rPr>
          <w:spacing w:val="-1"/>
          <w:vertAlign w:val="baseline"/>
        </w:rPr>
        <w:t> </w:t>
      </w:r>
      <w:r>
        <w:rPr>
          <w:vertAlign w:val="baseline"/>
        </w:rPr>
        <w:t>as </w:t>
      </w:r>
      <w:bookmarkStart w:name="_bookmark731" w:id="733"/>
      <w:bookmarkEnd w:id="733"/>
      <w:r>
        <w:rPr>
          <w:vertAlign w:val="baseline"/>
        </w:rPr>
        <w:t>to</w:t>
      </w:r>
      <w:r>
        <w:rPr>
          <w:vertAlign w:val="baseline"/>
        </w:rPr>
        <w:t> the weight to be attributed to the presumptions. The relationship between para.(2) and para.(5) </w:t>
      </w:r>
      <w:r>
        <w:rPr>
          <w:vertAlign w:val="baseline"/>
        </w:rPr>
        <w:t>of art.4 has proved to be controversial and has given rise to difficulty. </w:t>
      </w:r>
      <w:r>
        <w:rPr>
          <w:color w:val="005DA1"/>
          <w:u w:val="single" w:color="005DA1"/>
          <w:vertAlign w:val="superscript"/>
        </w:rPr>
        <w:t>444</w:t>
      </w:r>
      <w:r>
        <w:rPr>
          <w:color w:val="005DA1"/>
          <w:vertAlign w:val="baseline"/>
        </w:rPr>
        <w:t> </w:t>
      </w:r>
      <w:r>
        <w:rPr>
          <w:vertAlign w:val="baseline"/>
        </w:rPr>
        <w:t>Early decisions expressed different and polarised views. Thus in England it was said, obiter, that art.4(5) means that the </w:t>
      </w:r>
      <w:bookmarkStart w:name="_bookmark732" w:id="734"/>
      <w:bookmarkEnd w:id="734"/>
      <w:r>
        <w:rPr>
          <w:vertAlign w:val="baseline"/>
        </w:rPr>
        <w:t>presumption</w:t>
      </w:r>
      <w:r>
        <w:rPr>
          <w:vertAlign w:val="baseline"/>
        </w:rPr>
        <w:t> is “displaced if the court concludes that it is not appropriate in the circumstances of any given case. This, formally, makes the presumption very weak”. </w:t>
      </w:r>
      <w:r>
        <w:rPr>
          <w:color w:val="005DA1"/>
          <w:u w:val="single" w:color="005DA1"/>
          <w:vertAlign w:val="superscript"/>
        </w:rPr>
        <w:t>445</w:t>
      </w:r>
      <w:r>
        <w:rPr>
          <w:color w:val="005DA1"/>
          <w:vertAlign w:val="baseline"/>
        </w:rPr>
        <w:t> </w:t>
      </w:r>
      <w:r>
        <w:rPr>
          <w:vertAlign w:val="baseline"/>
        </w:rPr>
        <w:t>Conversely, the Dutch Hoge Raad decided that art.4(5) of the Rome Convention should be applied restrictively. On this view, the presumption in art.4(2) is the “main rule” which rule should only be disregarded if, in the special circumstances</w:t>
      </w:r>
      <w:r>
        <w:rPr>
          <w:spacing w:val="43"/>
          <w:vertAlign w:val="baseline"/>
        </w:rPr>
        <w:t> </w:t>
      </w:r>
      <w:r>
        <w:rPr>
          <w:vertAlign w:val="baseline"/>
        </w:rPr>
        <w:t>of</w:t>
      </w:r>
      <w:r>
        <w:rPr>
          <w:spacing w:val="43"/>
          <w:vertAlign w:val="baseline"/>
        </w:rPr>
        <w:t> </w:t>
      </w:r>
      <w:r>
        <w:rPr>
          <w:vertAlign w:val="baseline"/>
        </w:rPr>
        <w:t>the</w:t>
      </w:r>
      <w:r>
        <w:rPr>
          <w:spacing w:val="43"/>
          <w:vertAlign w:val="baseline"/>
        </w:rPr>
        <w:t> </w:t>
      </w:r>
      <w:r>
        <w:rPr>
          <w:vertAlign w:val="baseline"/>
        </w:rPr>
        <w:t>case,</w:t>
      </w:r>
      <w:r>
        <w:rPr>
          <w:spacing w:val="43"/>
          <w:vertAlign w:val="baseline"/>
        </w:rPr>
        <w:t> </w:t>
      </w:r>
      <w:r>
        <w:rPr>
          <w:vertAlign w:val="baseline"/>
        </w:rPr>
        <w:t>the</w:t>
      </w:r>
      <w:r>
        <w:rPr>
          <w:spacing w:val="43"/>
          <w:vertAlign w:val="baseline"/>
        </w:rPr>
        <w:t> </w:t>
      </w:r>
      <w:r>
        <w:rPr>
          <w:vertAlign w:val="baseline"/>
        </w:rPr>
        <w:t>place</w:t>
      </w:r>
      <w:r>
        <w:rPr>
          <w:spacing w:val="43"/>
          <w:vertAlign w:val="baseline"/>
        </w:rPr>
        <w:t> </w:t>
      </w:r>
      <w:r>
        <w:rPr>
          <w:vertAlign w:val="baseline"/>
        </w:rPr>
        <w:t>of</w:t>
      </w:r>
      <w:r>
        <w:rPr>
          <w:spacing w:val="43"/>
          <w:vertAlign w:val="baseline"/>
        </w:rPr>
        <w:t> </w:t>
      </w:r>
      <w:r>
        <w:rPr>
          <w:vertAlign w:val="baseline"/>
        </w:rPr>
        <w:t>business</w:t>
      </w:r>
      <w:r>
        <w:rPr>
          <w:spacing w:val="43"/>
          <w:vertAlign w:val="baseline"/>
        </w:rPr>
        <w:t> </w:t>
      </w:r>
      <w:r>
        <w:rPr>
          <w:vertAlign w:val="baseline"/>
        </w:rPr>
        <w:t>of</w:t>
      </w:r>
      <w:r>
        <w:rPr>
          <w:spacing w:val="43"/>
          <w:vertAlign w:val="baseline"/>
        </w:rPr>
        <w:t> </w:t>
      </w:r>
      <w:r>
        <w:rPr>
          <w:vertAlign w:val="baseline"/>
        </w:rPr>
        <w:t>the</w:t>
      </w:r>
      <w:r>
        <w:rPr>
          <w:spacing w:val="43"/>
          <w:vertAlign w:val="baseline"/>
        </w:rPr>
        <w:t> </w:t>
      </w:r>
      <w:r>
        <w:rPr>
          <w:vertAlign w:val="baseline"/>
        </w:rPr>
        <w:t>party</w:t>
      </w:r>
      <w:r>
        <w:rPr>
          <w:spacing w:val="43"/>
          <w:vertAlign w:val="baseline"/>
        </w:rPr>
        <w:t> </w:t>
      </w:r>
      <w:r>
        <w:rPr>
          <w:vertAlign w:val="baseline"/>
        </w:rPr>
        <w:t>who</w:t>
      </w:r>
      <w:r>
        <w:rPr>
          <w:spacing w:val="43"/>
          <w:vertAlign w:val="baseline"/>
        </w:rPr>
        <w:t> </w:t>
      </w:r>
      <w:r>
        <w:rPr>
          <w:vertAlign w:val="baseline"/>
        </w:rPr>
        <w:t>is</w:t>
      </w:r>
      <w:r>
        <w:rPr>
          <w:spacing w:val="43"/>
          <w:vertAlign w:val="baseline"/>
        </w:rPr>
        <w:t> </w:t>
      </w:r>
      <w:r>
        <w:rPr>
          <w:vertAlign w:val="baseline"/>
        </w:rPr>
        <w:t>to</w:t>
      </w:r>
      <w:r>
        <w:rPr>
          <w:spacing w:val="43"/>
          <w:vertAlign w:val="baseline"/>
        </w:rPr>
        <w:t> </w:t>
      </w:r>
      <w:r>
        <w:rPr>
          <w:vertAlign w:val="baseline"/>
        </w:rPr>
        <w:t>effect</w:t>
      </w:r>
      <w:r>
        <w:rPr>
          <w:spacing w:val="43"/>
          <w:vertAlign w:val="baseline"/>
        </w:rPr>
        <w:t> </w:t>
      </w:r>
      <w:r>
        <w:rPr>
          <w:vertAlign w:val="baseline"/>
        </w:rPr>
        <w:t>the</w:t>
      </w:r>
      <w:r>
        <w:rPr>
          <w:spacing w:val="43"/>
          <w:vertAlign w:val="baseline"/>
        </w:rPr>
        <w:t> </w:t>
      </w:r>
      <w:r>
        <w:rPr>
          <w:spacing w:val="-2"/>
          <w:vertAlign w:val="baseline"/>
        </w:rPr>
        <w:t>characteristic</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733" w:id="735"/>
      <w:bookmarkEnd w:id="735"/>
      <w:r>
        <w:rPr/>
      </w:r>
      <w:r>
        <w:rPr/>
        <w:t>performance “has no real significance as a connecting factor”. </w:t>
      </w:r>
      <w:r>
        <w:rPr>
          <w:color w:val="005DA1"/>
          <w:u w:val="single" w:color="005DA1"/>
          <w:vertAlign w:val="superscript"/>
        </w:rPr>
        <w:t>446</w:t>
      </w:r>
      <w:r>
        <w:rPr>
          <w:color w:val="005DA1"/>
          <w:vertAlign w:val="baseline"/>
        </w:rPr>
        <w:t> </w:t>
      </w:r>
      <w:r>
        <w:rPr>
          <w:vertAlign w:val="baseline"/>
        </w:rPr>
        <w:t>Further examination in </w:t>
      </w:r>
      <w:r>
        <w:rPr>
          <w:vertAlign w:val="baseline"/>
        </w:rPr>
        <w:t>English </w:t>
      </w:r>
      <w:bookmarkStart w:name="_bookmark734" w:id="736"/>
      <w:bookmarkEnd w:id="736"/>
      <w:r>
        <w:rPr>
          <w:vertAlign w:val="baseline"/>
        </w:rPr>
        <w:t>decisions</w:t>
      </w:r>
      <w:r>
        <w:rPr>
          <w:vertAlign w:val="baseline"/>
        </w:rPr>
        <w:t> reveals, however, support for the following propositions. First, the presumption in art.4(2) must be given “due weight”. </w:t>
      </w:r>
      <w:r>
        <w:rPr>
          <w:color w:val="005DA1"/>
          <w:u w:val="single" w:color="005DA1"/>
          <w:vertAlign w:val="superscript"/>
        </w:rPr>
        <w:t>447</w:t>
      </w:r>
      <w:r>
        <w:rPr>
          <w:color w:val="005DA1"/>
          <w:vertAlign w:val="baseline"/>
        </w:rPr>
        <w:t> </w:t>
      </w:r>
      <w:r>
        <w:rPr>
          <w:vertAlign w:val="baseline"/>
        </w:rPr>
        <w:t>Secondly:</w:t>
      </w:r>
    </w:p>
    <w:p>
      <w:pPr>
        <w:pStyle w:val="BodyText"/>
      </w:pPr>
    </w:p>
    <w:p>
      <w:pPr>
        <w:pStyle w:val="BodyText"/>
        <w:spacing w:before="126"/>
      </w:pPr>
    </w:p>
    <w:p>
      <w:pPr>
        <w:pStyle w:val="BodyText"/>
        <w:spacing w:line="235" w:lineRule="auto"/>
        <w:ind w:left="1245" w:right="167"/>
        <w:jc w:val="both"/>
      </w:pPr>
      <w:r>
        <w:rPr/>
        <w:t>“… unless Art.4(2) is regarded as a rule of thumb which requires a preponderance of </w:t>
      </w:r>
      <w:bookmarkStart w:name="_bookmark735" w:id="737"/>
      <w:bookmarkEnd w:id="737"/>
      <w:r>
        <w:rPr/>
        <w:t>connecting</w:t>
      </w:r>
      <w:r>
        <w:rPr/>
        <w:t> factors to be established before the presumption can be disregarded, </w:t>
      </w:r>
      <w:r>
        <w:rPr/>
        <w:t>the intention of the Convention is likely to be subverted.” </w:t>
      </w:r>
      <w:r>
        <w:rPr>
          <w:color w:val="005DA1"/>
          <w:u w:val="single" w:color="005DA1"/>
          <w:vertAlign w:val="superscript"/>
        </w:rPr>
        <w:t>448</w:t>
      </w:r>
    </w:p>
    <w:p>
      <w:pPr>
        <w:pStyle w:val="BodyText"/>
        <w:spacing w:before="115"/>
      </w:pPr>
    </w:p>
    <w:p>
      <w:pPr>
        <w:pStyle w:val="BodyText"/>
        <w:spacing w:line="235" w:lineRule="auto" w:before="1"/>
        <w:ind w:left="164" w:right="167"/>
        <w:jc w:val="both"/>
        <w:rPr>
          <w:rFonts w:ascii="Arial" w:hAnsi="Arial"/>
          <w:i/>
        </w:rPr>
      </w:pPr>
      <w:r>
        <w:rPr/>
        <w:t>This is because the presumptions were introduced into the Convention with a view to injecting </w:t>
      </w:r>
      <w:r>
        <w:rPr/>
        <w:t>a </w:t>
      </w:r>
      <w:bookmarkStart w:name="_bookmark736" w:id="738"/>
      <w:bookmarkEnd w:id="738"/>
      <w:r>
        <w:rPr/>
        <w:t>degree</w:t>
      </w:r>
      <w:r>
        <w:rPr/>
        <w:t> of certainty into the search for the law of the country with which the contract is most closely </w:t>
      </w:r>
      <w:bookmarkStart w:name="_bookmark737" w:id="739"/>
      <w:bookmarkEnd w:id="739"/>
      <w:r>
        <w:rPr/>
        <w:t>connected,</w:t>
      </w:r>
      <w:r>
        <w:rPr/>
        <w:t> </w:t>
      </w:r>
      <w:r>
        <w:rPr>
          <w:color w:val="005DA1"/>
          <w:u w:val="single" w:color="005DA1"/>
          <w:vertAlign w:val="superscript"/>
        </w:rPr>
        <w:t>449</w:t>
      </w:r>
      <w:r>
        <w:rPr>
          <w:color w:val="005DA1"/>
          <w:vertAlign w:val="baseline"/>
        </w:rPr>
        <w:t> </w:t>
      </w:r>
      <w:r>
        <w:rPr>
          <w:vertAlign w:val="baseline"/>
        </w:rPr>
        <w:t>and it also therefore follows that the presumptions are not limited in effect to cases where all the other factors in the case point to an equal balance between two or more countries. </w:t>
      </w:r>
      <w:r>
        <w:rPr>
          <w:color w:val="005DA1"/>
          <w:u w:val="single" w:color="005DA1"/>
          <w:vertAlign w:val="superscript"/>
        </w:rPr>
        <w:t>450</w:t>
      </w:r>
      <w:r>
        <w:rPr>
          <w:color w:val="005DA1"/>
          <w:vertAlign w:val="baseline"/>
        </w:rPr>
        <w:t> </w:t>
      </w:r>
      <w:r>
        <w:rPr>
          <w:vertAlign w:val="baseline"/>
        </w:rPr>
        <w:t>Thirdly, it is thus possible to state that the court will apply the presumptively applicable law unless </w:t>
      </w:r>
      <w:bookmarkStart w:name="_bookmark738" w:id="740"/>
      <w:bookmarkEnd w:id="740"/>
      <w:r>
        <w:rPr>
          <w:vertAlign w:val="baseline"/>
        </w:rPr>
        <w:t>satisfied</w:t>
      </w:r>
      <w:r>
        <w:rPr>
          <w:vertAlign w:val="baseline"/>
        </w:rPr>
        <w:t> on a balance of probabilities that the contract, having regard to the circumstances as a </w:t>
      </w:r>
      <w:bookmarkStart w:name="_bookmark739" w:id="741"/>
      <w:bookmarkEnd w:id="741"/>
      <w:r>
        <w:rPr>
          <w:vertAlign w:val="baseline"/>
        </w:rPr>
        <w:t>whole,</w:t>
      </w:r>
      <w:r>
        <w:rPr>
          <w:vertAlign w:val="baseline"/>
        </w:rPr>
        <w:t> is clearly more closely connected with another country </w:t>
      </w:r>
      <w:r>
        <w:rPr>
          <w:color w:val="005DA1"/>
          <w:u w:val="single" w:color="005DA1"/>
          <w:vertAlign w:val="superscript"/>
        </w:rPr>
        <w:t>451</w:t>
      </w:r>
      <w:r>
        <w:rPr>
          <w:color w:val="005DA1"/>
          <w:vertAlign w:val="baseline"/>
        </w:rPr>
        <w:t> </w:t>
      </w:r>
      <w:r>
        <w:rPr>
          <w:vertAlign w:val="baseline"/>
        </w:rPr>
        <w:t>and that the burden of proving this </w:t>
      </w:r>
      <w:bookmarkStart w:name="_bookmark740" w:id="742"/>
      <w:bookmarkEnd w:id="742"/>
      <w:r>
        <w:rPr>
          <w:vertAlign w:val="baseline"/>
        </w:rPr>
        <w:t>lies</w:t>
      </w:r>
      <w:r>
        <w:rPr>
          <w:vertAlign w:val="baseline"/>
        </w:rPr>
        <w:t> on the party who asserts it. </w:t>
      </w:r>
      <w:r>
        <w:rPr>
          <w:color w:val="005DA1"/>
          <w:u w:val="single" w:color="005DA1"/>
          <w:vertAlign w:val="superscript"/>
        </w:rPr>
        <w:t>452</w:t>
      </w:r>
      <w:r>
        <w:rPr>
          <w:color w:val="005DA1"/>
          <w:vertAlign w:val="baseline"/>
        </w:rPr>
        <w:t> </w:t>
      </w:r>
      <w:r>
        <w:rPr>
          <w:vertAlign w:val="baseline"/>
        </w:rPr>
        <w:t>Relevant circumstances are likely to include those treated as </w:t>
      </w:r>
      <w:bookmarkStart w:name="_bookmark741" w:id="743"/>
      <w:bookmarkEnd w:id="743"/>
      <w:r>
        <w:rPr>
          <w:vertAlign w:val="baseline"/>
        </w:rPr>
        <w:t>pointing</w:t>
      </w:r>
      <w:r>
        <w:rPr>
          <w:vertAlign w:val="baseline"/>
        </w:rPr>
        <w:t> to a close connection in cases decided at common law </w:t>
      </w:r>
      <w:r>
        <w:rPr>
          <w:color w:val="005DA1"/>
          <w:u w:val="single" w:color="005DA1"/>
          <w:vertAlign w:val="superscript"/>
        </w:rPr>
        <w:t>453</w:t>
      </w:r>
      <w:r>
        <w:rPr>
          <w:color w:val="005DA1"/>
          <w:vertAlign w:val="baseline"/>
        </w:rPr>
        <w:t> </w:t>
      </w:r>
      <w:r>
        <w:rPr>
          <w:vertAlign w:val="baseline"/>
        </w:rPr>
        <w:t>and, additionally, factors which supervene after the conclusion of the contract. </w:t>
      </w:r>
      <w:r>
        <w:rPr>
          <w:color w:val="005DA1"/>
          <w:u w:val="single" w:color="005DA1"/>
          <w:vertAlign w:val="superscript"/>
        </w:rPr>
        <w:t>454</w:t>
      </w:r>
      <w:r>
        <w:rPr>
          <w:color w:val="005DA1"/>
          <w:vertAlign w:val="baseline"/>
        </w:rPr>
        <w:t> </w:t>
      </w:r>
      <w:r>
        <w:rPr>
          <w:vertAlign w:val="baseline"/>
        </w:rPr>
        <w:t>Fourthly, however, the application of art.4(5) will be </w:t>
      </w:r>
      <w:bookmarkStart w:name="_bookmark742" w:id="744"/>
      <w:bookmarkEnd w:id="744"/>
      <w:r>
        <w:rPr>
          <w:vertAlign w:val="baseline"/>
        </w:rPr>
        <w:t>very</w:t>
      </w:r>
      <w:r>
        <w:rPr>
          <w:vertAlign w:val="baseline"/>
        </w:rPr>
        <w:t> much conditioned by the circumstances of particular cases and general statements are of limited value. </w:t>
      </w:r>
      <w:r>
        <w:rPr>
          <w:color w:val="005DA1"/>
          <w:u w:val="single" w:color="005DA1"/>
          <w:vertAlign w:val="superscript"/>
        </w:rPr>
        <w:t>455</w:t>
      </w:r>
      <w:r>
        <w:rPr>
          <w:color w:val="005DA1"/>
          <w:vertAlign w:val="baseline"/>
        </w:rPr>
        <w:t> </w:t>
      </w:r>
      <w:r>
        <w:rPr>
          <w:vertAlign w:val="baseline"/>
        </w:rPr>
        <w:t>There may, in some cases, be a tendency to regard the presumption as most easily</w:t>
      </w:r>
      <w:r>
        <w:rPr>
          <w:spacing w:val="40"/>
          <w:vertAlign w:val="baseline"/>
        </w:rPr>
        <w:t> </w:t>
      </w:r>
      <w:bookmarkStart w:name="_bookmark743" w:id="745"/>
      <w:bookmarkEnd w:id="745"/>
      <w:r>
        <w:rPr>
          <w:vertAlign w:val="baseline"/>
        </w:rPr>
        <w:t>rebutted</w:t>
      </w:r>
      <w:r>
        <w:rPr>
          <w:vertAlign w:val="baseline"/>
        </w:rPr>
        <w:t> in a case where the characteristic performance is to be effected in a country other than the </w:t>
      </w:r>
      <w:bookmarkStart w:name="_bookmark744" w:id="746"/>
      <w:bookmarkEnd w:id="746"/>
      <w:r>
        <w:rPr>
          <w:vertAlign w:val="baseline"/>
        </w:rPr>
        <w:t>country</w:t>
      </w:r>
      <w:r>
        <w:rPr>
          <w:vertAlign w:val="baseline"/>
        </w:rPr>
        <w:t> whose law is indicated by the presumption. </w:t>
      </w:r>
      <w:r>
        <w:rPr>
          <w:color w:val="005DA1"/>
          <w:u w:val="single" w:color="005DA1"/>
          <w:vertAlign w:val="superscript"/>
        </w:rPr>
        <w:t>456</w:t>
      </w:r>
      <w:r>
        <w:rPr>
          <w:color w:val="005DA1"/>
          <w:vertAlign w:val="baseline"/>
        </w:rPr>
        <w:t> </w:t>
      </w:r>
      <w:r>
        <w:rPr>
          <w:vertAlign w:val="baseline"/>
        </w:rPr>
        <w:t>In </w:t>
      </w:r>
      <w:r>
        <w:rPr>
          <w:rFonts w:ascii="Arial" w:hAnsi="Arial"/>
          <w:i/>
          <w:vertAlign w:val="baseline"/>
        </w:rPr>
        <w:t>Intercontainer Interfrigo SC (ICF) v Balkenende</w:t>
      </w:r>
      <w:r>
        <w:rPr>
          <w:rFonts w:ascii="Arial" w:hAnsi="Arial"/>
          <w:i/>
          <w:spacing w:val="-2"/>
          <w:vertAlign w:val="baseline"/>
        </w:rPr>
        <w:t> </w:t>
      </w:r>
      <w:r>
        <w:rPr>
          <w:rFonts w:ascii="Arial" w:hAnsi="Arial"/>
          <w:i/>
          <w:vertAlign w:val="baseline"/>
        </w:rPr>
        <w:t>Oosthuizen</w:t>
      </w:r>
      <w:r>
        <w:rPr>
          <w:rFonts w:ascii="Arial" w:hAnsi="Arial"/>
          <w:i/>
          <w:spacing w:val="-2"/>
          <w:vertAlign w:val="baseline"/>
        </w:rPr>
        <w:t> </w:t>
      </w:r>
      <w:r>
        <w:rPr>
          <w:rFonts w:ascii="Arial" w:hAnsi="Arial"/>
          <w:i/>
          <w:vertAlign w:val="baseline"/>
        </w:rPr>
        <w:t>BV</w:t>
      </w:r>
      <w:r>
        <w:rPr>
          <w:rFonts w:ascii="Arial" w:hAnsi="Arial"/>
          <w:i/>
          <w:spacing w:val="-2"/>
          <w:vertAlign w:val="baseline"/>
        </w:rPr>
        <w:t> </w:t>
      </w:r>
      <w:r>
        <w:rPr>
          <w:rFonts w:ascii="Arial" w:hAnsi="Arial"/>
          <w:i/>
          <w:vertAlign w:val="baseline"/>
        </w:rPr>
        <w:t>(C-133/08)</w:t>
      </w:r>
      <w:r>
        <w:rPr>
          <w:vertAlign w:val="baseline"/>
        </w:rPr>
        <w:t>,</w:t>
      </w:r>
      <w:r>
        <w:rPr>
          <w:spacing w:val="-2"/>
          <w:vertAlign w:val="baseline"/>
        </w:rPr>
        <w:t> </w:t>
      </w:r>
      <w:r>
        <w:rPr>
          <w:color w:val="005DA1"/>
          <w:u w:val="single" w:color="005DA1"/>
          <w:vertAlign w:val="superscript"/>
        </w:rPr>
        <w:t>457</w:t>
      </w:r>
      <w:r>
        <w:rPr>
          <w:color w:val="005DA1"/>
          <w:spacing w:val="-2"/>
          <w:vertAlign w:val="baseline"/>
        </w:rPr>
        <w:t> </w:t>
      </w:r>
      <w:r>
        <w:rPr>
          <w:vertAlign w:val="baseline"/>
        </w:rPr>
        <w:t>the</w:t>
      </w:r>
      <w:r>
        <w:rPr>
          <w:spacing w:val="-2"/>
          <w:vertAlign w:val="baseline"/>
        </w:rPr>
        <w:t> </w:t>
      </w:r>
      <w:r>
        <w:rPr>
          <w:vertAlign w:val="baseline"/>
        </w:rPr>
        <w:t>European</w:t>
      </w:r>
      <w:r>
        <w:rPr>
          <w:spacing w:val="-2"/>
          <w:vertAlign w:val="baseline"/>
        </w:rPr>
        <w:t> </w:t>
      </w:r>
      <w:r>
        <w:rPr>
          <w:vertAlign w:val="baseline"/>
        </w:rPr>
        <w:t>Court</w:t>
      </w:r>
      <w:r>
        <w:rPr>
          <w:spacing w:val="-2"/>
          <w:vertAlign w:val="baseline"/>
        </w:rPr>
        <w:t> </w:t>
      </w:r>
      <w:r>
        <w:rPr>
          <w:vertAlign w:val="baseline"/>
        </w:rPr>
        <w:t>decided,</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somewhat</w:t>
      </w:r>
      <w:r>
        <w:rPr>
          <w:spacing w:val="-2"/>
          <w:vertAlign w:val="baseline"/>
        </w:rPr>
        <w:t> </w:t>
      </w:r>
      <w:r>
        <w:rPr>
          <w:vertAlign w:val="baseline"/>
        </w:rPr>
        <w:t>literal</w:t>
      </w:r>
      <w:r>
        <w:rPr>
          <w:spacing w:val="-2"/>
          <w:vertAlign w:val="baseline"/>
        </w:rPr>
        <w:t> </w:t>
      </w:r>
      <w:r>
        <w:rPr>
          <w:vertAlign w:val="baseline"/>
        </w:rPr>
        <w:t>and</w:t>
      </w:r>
      <w:r>
        <w:rPr>
          <w:spacing w:val="-2"/>
          <w:vertAlign w:val="baseline"/>
        </w:rPr>
        <w:t> </w:t>
      </w:r>
      <w:r>
        <w:rPr>
          <w:vertAlign w:val="baseline"/>
        </w:rPr>
        <w:t>not entirely helpful interpretation, that “where it is clear from the circumstances as a whole that the contract is more closely connected with a country other than that determined on the basis of one of </w:t>
      </w:r>
      <w:bookmarkStart w:name="_bookmark745" w:id="747"/>
      <w:bookmarkEnd w:id="747"/>
      <w:r>
        <w:rPr>
          <w:vertAlign w:val="baseline"/>
        </w:rPr>
        <w:t>the</w:t>
      </w:r>
      <w:r>
        <w:rPr>
          <w:vertAlign w:val="baseline"/>
        </w:rPr>
        <w:t> criteria set out in art.4(2)–4(4) of the Convention it is for the court to disregard those criteria and </w:t>
      </w:r>
      <w:bookmarkStart w:name="_bookmark746" w:id="748"/>
      <w:bookmarkEnd w:id="748"/>
      <w:r>
        <w:rPr>
          <w:vertAlign w:val="baseline"/>
        </w:rPr>
        <w:t>apply</w:t>
      </w:r>
      <w:r>
        <w:rPr>
          <w:spacing w:val="36"/>
          <w:vertAlign w:val="baseline"/>
        </w:rPr>
        <w:t> </w:t>
      </w:r>
      <w:r>
        <w:rPr>
          <w:vertAlign w:val="baseline"/>
        </w:rPr>
        <w:t>the</w:t>
      </w:r>
      <w:r>
        <w:rPr>
          <w:spacing w:val="37"/>
          <w:vertAlign w:val="baseline"/>
        </w:rPr>
        <w:t> </w:t>
      </w:r>
      <w:r>
        <w:rPr>
          <w:vertAlign w:val="baseline"/>
        </w:rPr>
        <w:t>law</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country</w:t>
      </w:r>
      <w:r>
        <w:rPr>
          <w:spacing w:val="37"/>
          <w:vertAlign w:val="baseline"/>
        </w:rPr>
        <w:t> </w:t>
      </w:r>
      <w:r>
        <w:rPr>
          <w:vertAlign w:val="baseline"/>
        </w:rPr>
        <w:t>with</w:t>
      </w:r>
      <w:r>
        <w:rPr>
          <w:spacing w:val="37"/>
          <w:vertAlign w:val="baseline"/>
        </w:rPr>
        <w:t> </w:t>
      </w:r>
      <w:r>
        <w:rPr>
          <w:vertAlign w:val="baseline"/>
        </w:rPr>
        <w:t>which</w:t>
      </w:r>
      <w:r>
        <w:rPr>
          <w:spacing w:val="37"/>
          <w:vertAlign w:val="baseline"/>
        </w:rPr>
        <w:t> </w:t>
      </w:r>
      <w:r>
        <w:rPr>
          <w:vertAlign w:val="baseline"/>
        </w:rPr>
        <w:t>the</w:t>
      </w:r>
      <w:r>
        <w:rPr>
          <w:spacing w:val="37"/>
          <w:vertAlign w:val="baseline"/>
        </w:rPr>
        <w:t> </w:t>
      </w:r>
      <w:r>
        <w:rPr>
          <w:vertAlign w:val="baseline"/>
        </w:rPr>
        <w:t>contract</w:t>
      </w:r>
      <w:r>
        <w:rPr>
          <w:spacing w:val="37"/>
          <w:vertAlign w:val="baseline"/>
        </w:rPr>
        <w:t> </w:t>
      </w:r>
      <w:r>
        <w:rPr>
          <w:vertAlign w:val="baseline"/>
        </w:rPr>
        <w:t>is</w:t>
      </w:r>
      <w:r>
        <w:rPr>
          <w:spacing w:val="37"/>
          <w:vertAlign w:val="baseline"/>
        </w:rPr>
        <w:t> </w:t>
      </w:r>
      <w:r>
        <w:rPr>
          <w:vertAlign w:val="baseline"/>
        </w:rPr>
        <w:t>most</w:t>
      </w:r>
      <w:r>
        <w:rPr>
          <w:spacing w:val="37"/>
          <w:vertAlign w:val="baseline"/>
        </w:rPr>
        <w:t> </w:t>
      </w:r>
      <w:r>
        <w:rPr>
          <w:vertAlign w:val="baseline"/>
        </w:rPr>
        <w:t>closely</w:t>
      </w:r>
      <w:r>
        <w:rPr>
          <w:spacing w:val="37"/>
          <w:vertAlign w:val="baseline"/>
        </w:rPr>
        <w:t> </w:t>
      </w:r>
      <w:r>
        <w:rPr>
          <w:vertAlign w:val="baseline"/>
        </w:rPr>
        <w:t>connected”.</w:t>
      </w:r>
      <w:r>
        <w:rPr>
          <w:spacing w:val="36"/>
          <w:vertAlign w:val="baseline"/>
        </w:rPr>
        <w:t> </w:t>
      </w:r>
      <w:r>
        <w:rPr>
          <w:color w:val="005DA1"/>
          <w:u w:val="single" w:color="005DA1"/>
          <w:vertAlign w:val="superscript"/>
        </w:rPr>
        <w:t>458</w:t>
      </w:r>
      <w:r>
        <w:rPr>
          <w:color w:val="005DA1"/>
          <w:spacing w:val="37"/>
          <w:vertAlign w:val="baseline"/>
        </w:rPr>
        <w:t> </w:t>
      </w:r>
      <w:r>
        <w:rPr>
          <w:vertAlign w:val="baseline"/>
        </w:rPr>
        <w:t>In</w:t>
      </w:r>
      <w:r>
        <w:rPr>
          <w:spacing w:val="37"/>
          <w:vertAlign w:val="baseline"/>
        </w:rPr>
        <w:t> </w:t>
      </w:r>
      <w:r>
        <w:rPr>
          <w:rFonts w:ascii="Arial" w:hAnsi="Arial"/>
          <w:i/>
          <w:vertAlign w:val="baseline"/>
        </w:rPr>
        <w:t>Haeger</w:t>
      </w:r>
      <w:r>
        <w:rPr>
          <w:rFonts w:ascii="Arial" w:hAnsi="Arial"/>
          <w:i/>
          <w:spacing w:val="37"/>
          <w:vertAlign w:val="baseline"/>
        </w:rPr>
        <w:t> </w:t>
      </w:r>
      <w:r>
        <w:rPr>
          <w:rFonts w:ascii="Arial" w:hAnsi="Arial"/>
          <w:i/>
          <w:spacing w:val="-10"/>
          <w:vertAlign w:val="baseline"/>
        </w:rPr>
        <w:t>&amp;</w:t>
      </w:r>
    </w:p>
    <w:p>
      <w:pPr>
        <w:pStyle w:val="BodyText"/>
        <w:spacing w:line="235" w:lineRule="auto" w:before="112"/>
        <w:ind w:left="165" w:right="167"/>
        <w:jc w:val="both"/>
      </w:pPr>
      <w:r>
        <w:rPr>
          <w:rFonts w:ascii="Arial"/>
          <w:i/>
        </w:rPr>
        <w:t>Schmidt GmbH v MMA IARD </w:t>
      </w:r>
      <w:r>
        <w:rPr>
          <w:color w:val="005DA1"/>
          <w:u w:val="single" w:color="005DA1"/>
          <w:vertAlign w:val="superscript"/>
        </w:rPr>
        <w:t>459</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12"/>
          <w:vertAlign w:val="baseline"/>
        </w:rPr>
        <w:t> </w:t>
      </w:r>
      <w:r>
        <w:rPr>
          <w:vertAlign w:val="baseline"/>
        </w:rPr>
        <w:t>the CJEU provided further guidance and held that in order to decide whether to apply art.4(5) the national court must compare the connections existing </w:t>
      </w:r>
      <w:r>
        <w:rPr>
          <w:vertAlign w:val="baseline"/>
        </w:rPr>
        <w:t>between the contract and, on the one hand, the country in which the party who effects the characteristic performance has his or its habitual residence at the time of the conclusion of the contract, and, on the other hand, another country with which the contract is closely connected. The CJEU continued by stating that the court:</w:t>
      </w:r>
    </w:p>
    <w:p>
      <w:pPr>
        <w:pStyle w:val="BodyText"/>
      </w:pPr>
    </w:p>
    <w:p>
      <w:pPr>
        <w:pStyle w:val="BodyText"/>
        <w:spacing w:before="125"/>
      </w:pPr>
    </w:p>
    <w:p>
      <w:pPr>
        <w:pStyle w:val="BodyText"/>
        <w:spacing w:line="235" w:lineRule="auto"/>
        <w:ind w:left="1245" w:right="167"/>
        <w:jc w:val="both"/>
      </w:pPr>
      <w:r>
        <w:rPr/>
        <w:t>“… must conduct an overall assessment of all the objective factors characterising </w:t>
      </w:r>
      <w:r>
        <w:rPr/>
        <w:t>the contractual relationship and determine which of these factors are, in its view, most significant … Significant connecting factors to be taken into account include the presence of a close connection between the contract in question with another contract or contracts </w:t>
      </w:r>
      <w:bookmarkStart w:name="_bookmark747" w:id="749"/>
      <w:bookmarkEnd w:id="749"/>
      <w:r>
        <w:rPr/>
        <w:t>which</w:t>
      </w:r>
      <w:r>
        <w:rPr>
          <w:spacing w:val="30"/>
        </w:rPr>
        <w:t> </w:t>
      </w:r>
      <w:r>
        <w:rPr/>
        <w:t>are,</w:t>
      </w:r>
      <w:r>
        <w:rPr>
          <w:spacing w:val="30"/>
        </w:rPr>
        <w:t> </w:t>
      </w:r>
      <w:r>
        <w:rPr/>
        <w:t>as</w:t>
      </w:r>
      <w:r>
        <w:rPr>
          <w:spacing w:val="30"/>
        </w:rPr>
        <w:t> </w:t>
      </w:r>
      <w:r>
        <w:rPr/>
        <w:t>the</w:t>
      </w:r>
      <w:r>
        <w:rPr>
          <w:spacing w:val="30"/>
        </w:rPr>
        <w:t> </w:t>
      </w:r>
      <w:r>
        <w:rPr/>
        <w:t>case</w:t>
      </w:r>
      <w:r>
        <w:rPr>
          <w:spacing w:val="30"/>
        </w:rPr>
        <w:t> </w:t>
      </w:r>
      <w:r>
        <w:rPr/>
        <w:t>may</w:t>
      </w:r>
      <w:r>
        <w:rPr>
          <w:spacing w:val="30"/>
        </w:rPr>
        <w:t> </w:t>
      </w:r>
      <w:r>
        <w:rPr/>
        <w:t>be,</w:t>
      </w:r>
      <w:r>
        <w:rPr>
          <w:spacing w:val="30"/>
        </w:rPr>
        <w:t> </w:t>
      </w:r>
      <w:r>
        <w:rPr/>
        <w:t>part</w:t>
      </w:r>
      <w:r>
        <w:rPr>
          <w:spacing w:val="30"/>
        </w:rPr>
        <w:t> </w:t>
      </w:r>
      <w:r>
        <w:rPr/>
        <w:t>of</w:t>
      </w:r>
      <w:r>
        <w:rPr>
          <w:spacing w:val="30"/>
        </w:rPr>
        <w:t> </w:t>
      </w:r>
      <w:r>
        <w:rPr/>
        <w:t>the</w:t>
      </w:r>
      <w:r>
        <w:rPr>
          <w:spacing w:val="30"/>
        </w:rPr>
        <w:t> </w:t>
      </w:r>
      <w:r>
        <w:rPr/>
        <w:t>same</w:t>
      </w:r>
      <w:r>
        <w:rPr>
          <w:spacing w:val="30"/>
        </w:rPr>
        <w:t> </w:t>
      </w:r>
      <w:r>
        <w:rPr/>
        <w:t>chain</w:t>
      </w:r>
      <w:r>
        <w:rPr>
          <w:spacing w:val="30"/>
        </w:rPr>
        <w:t> </w:t>
      </w:r>
      <w:r>
        <w:rPr/>
        <w:t>of</w:t>
      </w:r>
      <w:r>
        <w:rPr>
          <w:spacing w:val="30"/>
        </w:rPr>
        <w:t> </w:t>
      </w:r>
      <w:r>
        <w:rPr/>
        <w:t>contracts,</w:t>
      </w:r>
      <w:r>
        <w:rPr>
          <w:spacing w:val="30"/>
        </w:rPr>
        <w:t> </w:t>
      </w:r>
      <w:r>
        <w:rPr/>
        <w:t>and</w:t>
      </w:r>
      <w:r>
        <w:rPr>
          <w:spacing w:val="30"/>
        </w:rPr>
        <w:t> </w:t>
      </w:r>
      <w:r>
        <w:rPr/>
        <w:t>the</w:t>
      </w:r>
      <w:r>
        <w:rPr>
          <w:spacing w:val="30"/>
        </w:rPr>
        <w:t> </w:t>
      </w:r>
      <w:r>
        <w:rPr/>
        <w:t>place</w:t>
      </w:r>
      <w:r>
        <w:rPr>
          <w:spacing w:val="30"/>
        </w:rPr>
        <w:t> </w:t>
      </w:r>
      <w:r>
        <w:rPr>
          <w:spacing w:val="-5"/>
        </w:rPr>
        <w:t>of</w:t>
      </w:r>
    </w:p>
    <w:p>
      <w:pPr>
        <w:pStyle w:val="BodyText"/>
        <w:spacing w:before="114"/>
        <w:ind w:left="1245"/>
        <w:jc w:val="both"/>
        <w:rPr>
          <w:position w:val="-2"/>
        </w:rPr>
      </w:pPr>
      <w:r>
        <w:rPr/>
        <w:t>delivery of the goods.” </w:t>
      </w:r>
      <w:r>
        <w:rPr>
          <w:color w:val="005DA1"/>
          <w:u w:val="single" w:color="005DA1"/>
          <w:vertAlign w:val="superscript"/>
        </w:rPr>
        <w:t>460</w:t>
      </w:r>
      <w:r>
        <w:rPr>
          <w:color w:val="005DA1"/>
          <w:spacing w:val="80"/>
          <w:w w:val="150"/>
          <w:vertAlign w:val="baseline"/>
        </w:rPr>
        <w:t> </w:t>
      </w:r>
      <w:r>
        <w:rPr>
          <w:color w:val="005DA1"/>
          <w:position w:val="-2"/>
          <w:vertAlign w:val="baseline"/>
        </w:rPr>
        <w:drawing>
          <wp:inline distT="0" distB="0" distL="0" distR="0">
            <wp:extent cx="107988" cy="10798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2"/>
      </w:pPr>
    </w:p>
    <w:p>
      <w:pPr>
        <w:spacing w:before="0"/>
        <w:ind w:left="165" w:right="0" w:firstLine="0"/>
        <w:jc w:val="left"/>
        <w:rPr>
          <w:sz w:val="20"/>
        </w:rPr>
      </w:pPr>
      <w:r>
        <w:rPr>
          <w:spacing w:val="-10"/>
          <w:sz w:val="20"/>
        </w:rPr>
        <w:t>.</w:t>
      </w:r>
    </w:p>
    <w:p>
      <w:pPr>
        <w:pStyle w:val="BodyText"/>
        <w:spacing w:before="80"/>
      </w:pPr>
    </w:p>
    <w:p>
      <w:pPr>
        <w:pStyle w:val="Heading2"/>
      </w:pPr>
      <w:r>
        <w:rPr/>
        <w:t>30-</w:t>
      </w:r>
      <w:r>
        <w:rPr>
          <w:spacing w:val="-5"/>
        </w:rPr>
        <w:t>090</w:t>
      </w:r>
    </w:p>
    <w:p>
      <w:pPr>
        <w:pStyle w:val="BodyText"/>
        <w:spacing w:line="235" w:lineRule="auto" w:before="203"/>
        <w:ind w:left="165" w:right="167"/>
        <w:jc w:val="both"/>
      </w:pPr>
      <w:r>
        <w:rPr/>
        <w:t>The interpretation of the European Court, as described above, leaves much 30–090 scope to national courts in the interpretation of the relationship between art.4(2) and 4(5) of the Convention. Such, in some circumstances, may include a tendency to regard the presumption as most easily rebutted in a </w:t>
      </w:r>
      <w:bookmarkStart w:name="_bookmark748" w:id="750"/>
      <w:bookmarkEnd w:id="750"/>
      <w:r>
        <w:rPr/>
        <w:t>case</w:t>
      </w:r>
      <w:r>
        <w:rPr/>
        <w:t> where the characteristic performance is to be effected in a country other than the country </w:t>
      </w:r>
      <w:r>
        <w:rPr/>
        <w:t>whose law is indicated by the presumption, particularly in the context of a letter of credit transaction. </w:t>
      </w:r>
      <w:r>
        <w:rPr>
          <w:color w:val="005DA1"/>
          <w:u w:val="single" w:color="005DA1"/>
          <w:vertAlign w:val="superscript"/>
        </w:rPr>
        <w:t>461</w:t>
      </w:r>
      <w:r>
        <w:rPr>
          <w:color w:val="005DA1"/>
          <w:vertAlign w:val="baseline"/>
        </w:rPr>
        <w:t> </w:t>
      </w:r>
      <w:r>
        <w:rPr>
          <w:vertAlign w:val="baseline"/>
        </w:rPr>
        <w:t>Here the operation of the presumption in art.4(2) will almost invariably mean that the contract between the issuing bank and the correspondent bank and that between the correspondent bank and the </w:t>
      </w:r>
      <w:bookmarkStart w:name="_bookmark749" w:id="751"/>
      <w:bookmarkEnd w:id="751"/>
      <w:r>
        <w:rPr>
          <w:vertAlign w:val="baseline"/>
        </w:rPr>
        <w:t>beneficiary</w:t>
      </w:r>
      <w:r>
        <w:rPr>
          <w:vertAlign w:val="baseline"/>
        </w:rPr>
        <w:t> will be governed by the law of the country in which the correspondent bank’s principal place</w:t>
      </w:r>
      <w:r>
        <w:rPr>
          <w:spacing w:val="-2"/>
          <w:vertAlign w:val="baseline"/>
        </w:rPr>
        <w:t> </w:t>
      </w:r>
      <w:r>
        <w:rPr>
          <w:vertAlign w:val="baseline"/>
        </w:rPr>
        <w:t>of</w:t>
      </w:r>
      <w:r>
        <w:rPr>
          <w:spacing w:val="-2"/>
          <w:vertAlign w:val="baseline"/>
        </w:rPr>
        <w:t> </w:t>
      </w:r>
      <w:r>
        <w:rPr>
          <w:vertAlign w:val="baseline"/>
        </w:rPr>
        <w:t>business,</w:t>
      </w:r>
      <w:r>
        <w:rPr>
          <w:spacing w:val="-2"/>
          <w:vertAlign w:val="baseline"/>
        </w:rPr>
        <w:t> </w:t>
      </w:r>
      <w:r>
        <w:rPr>
          <w:vertAlign w:val="baseline"/>
        </w:rPr>
        <w:t>or</w:t>
      </w:r>
      <w:r>
        <w:rPr>
          <w:spacing w:val="-2"/>
          <w:vertAlign w:val="baseline"/>
        </w:rPr>
        <w:t> </w:t>
      </w:r>
      <w:r>
        <w:rPr>
          <w:vertAlign w:val="baseline"/>
        </w:rPr>
        <w:t>place</w:t>
      </w:r>
      <w:r>
        <w:rPr>
          <w:spacing w:val="-2"/>
          <w:vertAlign w:val="baseline"/>
        </w:rPr>
        <w:t> </w:t>
      </w:r>
      <w:r>
        <w:rPr>
          <w:vertAlign w:val="baseline"/>
        </w:rPr>
        <w:t>of</w:t>
      </w:r>
      <w:r>
        <w:rPr>
          <w:spacing w:val="-2"/>
          <w:vertAlign w:val="baseline"/>
        </w:rPr>
        <w:t> </w:t>
      </w:r>
      <w:r>
        <w:rPr>
          <w:vertAlign w:val="baseline"/>
        </w:rPr>
        <w:t>business,</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is</w:t>
      </w:r>
      <w:r>
        <w:rPr>
          <w:spacing w:val="-2"/>
          <w:vertAlign w:val="baseline"/>
        </w:rPr>
        <w:t> </w:t>
      </w:r>
      <w:r>
        <w:rPr>
          <w:vertAlign w:val="baseline"/>
        </w:rPr>
        <w:t>situated.</w:t>
      </w:r>
      <w:r>
        <w:rPr>
          <w:spacing w:val="-3"/>
          <w:vertAlign w:val="baseline"/>
        </w:rPr>
        <w:t> </w:t>
      </w:r>
      <w:r>
        <w:rPr>
          <w:color w:val="005DA1"/>
          <w:u w:val="single" w:color="005DA1"/>
          <w:vertAlign w:val="superscript"/>
        </w:rPr>
        <w:t>462</w:t>
      </w:r>
      <w:r>
        <w:rPr>
          <w:color w:val="005DA1"/>
          <w:spacing w:val="-2"/>
          <w:vertAlign w:val="baseline"/>
        </w:rPr>
        <w:t> </w:t>
      </w:r>
      <w:r>
        <w:rPr>
          <w:vertAlign w:val="baseline"/>
        </w:rPr>
        <w:t>However,</w:t>
      </w:r>
      <w:r>
        <w:rPr>
          <w:spacing w:val="-2"/>
          <w:vertAlign w:val="baseline"/>
        </w:rPr>
        <w:t> </w:t>
      </w:r>
      <w:r>
        <w:rPr>
          <w:vertAlign w:val="baseline"/>
        </w:rPr>
        <w:t>in</w:t>
      </w:r>
      <w:r>
        <w:rPr>
          <w:spacing w:val="-2"/>
          <w:vertAlign w:val="baseline"/>
        </w:rPr>
        <w:t> </w:t>
      </w:r>
      <w:r>
        <w:rPr>
          <w:vertAlign w:val="baseline"/>
        </w:rPr>
        <w:t>relation</w:t>
      </w:r>
      <w:r>
        <w:rPr>
          <w:spacing w:val="-2"/>
          <w:vertAlign w:val="baseline"/>
        </w:rPr>
        <w:t> </w:t>
      </w:r>
      <w:r>
        <w:rPr>
          <w:vertAlign w:val="baseline"/>
        </w:rPr>
        <w:t>to</w:t>
      </w:r>
      <w:r>
        <w:rPr>
          <w:spacing w:val="-2"/>
          <w:vertAlign w:val="baseline"/>
        </w:rPr>
        <w:t> </w:t>
      </w:r>
      <w:r>
        <w:rPr>
          <w:vertAlign w:val="baseline"/>
        </w:rPr>
        <w:t>the contract</w:t>
      </w:r>
      <w:r>
        <w:rPr>
          <w:spacing w:val="-2"/>
          <w:vertAlign w:val="baseline"/>
        </w:rPr>
        <w:t> </w:t>
      </w:r>
      <w:r>
        <w:rPr>
          <w:vertAlign w:val="baseline"/>
        </w:rPr>
        <w:t>between</w:t>
      </w:r>
      <w:r>
        <w:rPr>
          <w:spacing w:val="-2"/>
          <w:vertAlign w:val="baseline"/>
        </w:rPr>
        <w:t> </w:t>
      </w:r>
      <w:r>
        <w:rPr>
          <w:vertAlign w:val="baseline"/>
        </w:rPr>
        <w:t>the</w:t>
      </w:r>
      <w:r>
        <w:rPr>
          <w:spacing w:val="-2"/>
          <w:vertAlign w:val="baseline"/>
        </w:rPr>
        <w:t> </w:t>
      </w:r>
      <w:r>
        <w:rPr>
          <w:vertAlign w:val="baseline"/>
        </w:rPr>
        <w:t>issuing</w:t>
      </w:r>
      <w:r>
        <w:rPr>
          <w:spacing w:val="-2"/>
          <w:vertAlign w:val="baseline"/>
        </w:rPr>
        <w:t> </w:t>
      </w:r>
      <w:r>
        <w:rPr>
          <w:vertAlign w:val="baseline"/>
        </w:rPr>
        <w:t>bank</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beneficiary,</w:t>
      </w:r>
      <w:r>
        <w:rPr>
          <w:spacing w:val="-2"/>
          <w:vertAlign w:val="baseline"/>
        </w:rPr>
        <w:t> </w:t>
      </w:r>
      <w:r>
        <w:rPr>
          <w:vertAlign w:val="baseline"/>
        </w:rPr>
        <w:t>the</w:t>
      </w:r>
      <w:r>
        <w:rPr>
          <w:spacing w:val="-2"/>
          <w:vertAlign w:val="baseline"/>
        </w:rPr>
        <w:t> </w:t>
      </w:r>
      <w:r>
        <w:rPr>
          <w:vertAlign w:val="baseline"/>
        </w:rPr>
        <w:t>operation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presumption</w:t>
      </w:r>
      <w:r>
        <w:rPr>
          <w:spacing w:val="-2"/>
          <w:vertAlign w:val="baseline"/>
        </w:rPr>
        <w:t> </w:t>
      </w:r>
      <w:r>
        <w:rPr>
          <w:vertAlign w:val="baseline"/>
        </w:rPr>
        <w:t>would</w:t>
      </w:r>
      <w:r>
        <w:rPr>
          <w:spacing w:val="-2"/>
          <w:vertAlign w:val="baseline"/>
        </w:rPr>
        <w:t> </w:t>
      </w:r>
      <w:r>
        <w:rPr>
          <w:vertAlign w:val="baseline"/>
        </w:rPr>
        <w:t>lead</w:t>
      </w:r>
      <w:r>
        <w:rPr>
          <w:spacing w:val="-2"/>
          <w:vertAlign w:val="baseline"/>
        </w:rPr>
        <w:t> </w:t>
      </w:r>
      <w:r>
        <w:rPr>
          <w:vertAlign w:val="baseline"/>
        </w:rPr>
        <w:t>to application of the law of the country in which the issuing bank’s principal place of business, or place </w:t>
      </w:r>
      <w:r>
        <w:rPr>
          <w:spacing w:val="-5"/>
          <w:vertAlign w:val="baseline"/>
        </w:rPr>
        <w:t>of</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750" w:id="752"/>
      <w:bookmarkEnd w:id="752"/>
      <w:r>
        <w:rPr/>
      </w:r>
      <w:r>
        <w:rPr/>
        <w:t>business, as the case may be, is situated, which places will not coincide with those of the correspondent bank. </w:t>
      </w:r>
      <w:r>
        <w:rPr>
          <w:color w:val="005DA1"/>
          <w:u w:val="single" w:color="005DA1"/>
          <w:vertAlign w:val="superscript"/>
        </w:rPr>
        <w:t>463</w:t>
      </w:r>
      <w:r>
        <w:rPr>
          <w:color w:val="005DA1"/>
          <w:vertAlign w:val="baseline"/>
        </w:rPr>
        <w:t> </w:t>
      </w:r>
      <w:r>
        <w:rPr>
          <w:vertAlign w:val="baseline"/>
        </w:rPr>
        <w:t>In such a case:</w:t>
      </w:r>
    </w:p>
    <w:p>
      <w:pPr>
        <w:pStyle w:val="BodyText"/>
      </w:pPr>
    </w:p>
    <w:p>
      <w:pPr>
        <w:pStyle w:val="BodyText"/>
        <w:spacing w:before="126"/>
      </w:pPr>
    </w:p>
    <w:p>
      <w:pPr>
        <w:pStyle w:val="BodyText"/>
        <w:spacing w:line="235" w:lineRule="auto"/>
        <w:ind w:left="1245" w:right="167"/>
        <w:jc w:val="both"/>
      </w:pPr>
      <w:r>
        <w:rPr/>
        <w:t>“… application of Art.4(2) would lead to an irregular and subjective position where </w:t>
      </w:r>
      <w:r>
        <w:rPr/>
        <w:t>the governing law of a letter of credit would vary according to whether one was looking at the position of the confirming bank or the issuing bank. It is of great importance to both </w:t>
      </w:r>
      <w:bookmarkStart w:name="_bookmark751" w:id="753"/>
      <w:bookmarkEnd w:id="753"/>
      <w:r>
        <w:rPr/>
        <w:t>beneficiaries</w:t>
      </w:r>
      <w:r>
        <w:rPr>
          <w:spacing w:val="-3"/>
        </w:rPr>
        <w:t> </w:t>
      </w:r>
      <w:r>
        <w:rPr/>
        <w:t>and</w:t>
      </w:r>
      <w:r>
        <w:rPr>
          <w:spacing w:val="-3"/>
        </w:rPr>
        <w:t> </w:t>
      </w:r>
      <w:r>
        <w:rPr/>
        <w:t>banks</w:t>
      </w:r>
      <w:r>
        <w:rPr>
          <w:spacing w:val="-3"/>
        </w:rPr>
        <w:t> </w:t>
      </w:r>
      <w:r>
        <w:rPr/>
        <w:t>concerned</w:t>
      </w:r>
      <w:r>
        <w:rPr>
          <w:spacing w:val="-3"/>
        </w:rPr>
        <w:t> </w:t>
      </w:r>
      <w:r>
        <w:rPr/>
        <w:t>in</w:t>
      </w:r>
      <w:r>
        <w:rPr>
          <w:spacing w:val="-3"/>
        </w:rPr>
        <w:t> </w:t>
      </w:r>
      <w:r>
        <w:rPr/>
        <w:t>the</w:t>
      </w:r>
      <w:r>
        <w:rPr>
          <w:spacing w:val="-3"/>
        </w:rPr>
        <w:t> </w:t>
      </w:r>
      <w:r>
        <w:rPr/>
        <w:t>issue</w:t>
      </w:r>
      <w:r>
        <w:rPr>
          <w:spacing w:val="-3"/>
        </w:rPr>
        <w:t> </w:t>
      </w:r>
      <w:r>
        <w:rPr/>
        <w:t>and</w:t>
      </w:r>
      <w:r>
        <w:rPr>
          <w:spacing w:val="-3"/>
        </w:rPr>
        <w:t> </w:t>
      </w:r>
      <w:r>
        <w:rPr/>
        <w:t>operation</w:t>
      </w:r>
      <w:r>
        <w:rPr>
          <w:spacing w:val="-3"/>
        </w:rPr>
        <w:t> </w:t>
      </w:r>
      <w:r>
        <w:rPr/>
        <w:t>of</w:t>
      </w:r>
      <w:r>
        <w:rPr>
          <w:spacing w:val="-3"/>
        </w:rPr>
        <w:t> </w:t>
      </w:r>
      <w:r>
        <w:rPr/>
        <w:t>letters</w:t>
      </w:r>
      <w:r>
        <w:rPr>
          <w:spacing w:val="-3"/>
        </w:rPr>
        <w:t> </w:t>
      </w:r>
      <w:r>
        <w:rPr/>
        <w:t>of</w:t>
      </w:r>
      <w:r>
        <w:rPr>
          <w:spacing w:val="-3"/>
        </w:rPr>
        <w:t> </w:t>
      </w:r>
      <w:r>
        <w:rPr/>
        <w:t>credit</w:t>
      </w:r>
      <w:r>
        <w:rPr>
          <w:spacing w:val="-3"/>
        </w:rPr>
        <w:t> </w:t>
      </w:r>
      <w:r>
        <w:rPr/>
        <w:t>that</w:t>
      </w:r>
      <w:r>
        <w:rPr>
          <w:spacing w:val="-3"/>
        </w:rPr>
        <w:t> </w:t>
      </w:r>
      <w:r>
        <w:rPr/>
        <w:t>there should be clarity and simplicity in such matters,” </w:t>
      </w:r>
      <w:r>
        <w:rPr>
          <w:color w:val="005DA1"/>
          <w:u w:val="single" w:color="005DA1"/>
          <w:vertAlign w:val="superscript"/>
        </w:rPr>
        <w:t>464</w:t>
      </w:r>
    </w:p>
    <w:p>
      <w:pPr>
        <w:pStyle w:val="BodyText"/>
        <w:spacing w:before="115"/>
      </w:pPr>
    </w:p>
    <w:p>
      <w:pPr>
        <w:pStyle w:val="BodyText"/>
        <w:spacing w:line="235" w:lineRule="auto"/>
        <w:ind w:left="165" w:right="167"/>
        <w:jc w:val="both"/>
      </w:pPr>
      <w:r>
        <w:rPr/>
        <w:t>which clarity and simplicity could be achieved by invoking art.4(5) to secure application of the law of </w:t>
      </w:r>
      <w:bookmarkStart w:name="_bookmark752" w:id="754"/>
      <w:bookmarkEnd w:id="754"/>
      <w:r>
        <w:rPr/>
        <w:t>the</w:t>
      </w:r>
      <w:r>
        <w:rPr/>
        <w:t> country where the obligation to pay against presentation of conforming documents was to be performed. </w:t>
      </w:r>
      <w:r>
        <w:rPr>
          <w:color w:val="005DA1"/>
          <w:u w:val="single" w:color="005DA1"/>
          <w:vertAlign w:val="superscript"/>
        </w:rPr>
        <w:t>465</w:t>
      </w:r>
      <w:r>
        <w:rPr>
          <w:color w:val="005DA1"/>
          <w:vertAlign w:val="baseline"/>
        </w:rPr>
        <w:t> </w:t>
      </w:r>
      <w:r>
        <w:rPr>
          <w:vertAlign w:val="baseline"/>
        </w:rPr>
        <w:t>This may not, of course, be an inevitable outcome in every type of case in view of </w:t>
      </w:r>
      <w:r>
        <w:rPr>
          <w:vertAlign w:val="baseline"/>
        </w:rPr>
        <w:t>the </w:t>
      </w:r>
      <w:bookmarkStart w:name="_bookmark753" w:id="755"/>
      <w:bookmarkEnd w:id="755"/>
      <w:r>
        <w:rPr>
          <w:vertAlign w:val="baseline"/>
        </w:rPr>
        <w:t>fact</w:t>
      </w:r>
      <w:r>
        <w:rPr>
          <w:vertAlign w:val="baseline"/>
        </w:rPr>
        <w:t> that the presumption focuses on the </w:t>
      </w:r>
      <w:r>
        <w:rPr>
          <w:rFonts w:ascii="Arial"/>
          <w:i/>
          <w:vertAlign w:val="baseline"/>
        </w:rPr>
        <w:t>place of business</w:t>
      </w:r>
      <w:r>
        <w:rPr>
          <w:vertAlign w:val="baseline"/>
        </w:rPr>
        <w:t>, etc., of the characteristic performer rather than on </w:t>
      </w:r>
      <w:r>
        <w:rPr>
          <w:rFonts w:ascii="Arial"/>
          <w:i/>
          <w:vertAlign w:val="baseline"/>
        </w:rPr>
        <w:t>the place of </w:t>
      </w:r>
      <w:r>
        <w:rPr>
          <w:vertAlign w:val="baseline"/>
        </w:rPr>
        <w:t>the characteristic performance. </w:t>
      </w:r>
      <w:r>
        <w:rPr>
          <w:color w:val="005DA1"/>
          <w:u w:val="single" w:color="005DA1"/>
          <w:vertAlign w:val="superscript"/>
        </w:rPr>
        <w:t>466</w:t>
      </w:r>
    </w:p>
    <w:p>
      <w:pPr>
        <w:pStyle w:val="BodyText"/>
      </w:pPr>
    </w:p>
    <w:p>
      <w:pPr>
        <w:pStyle w:val="BodyText"/>
        <w:spacing w:before="38"/>
      </w:pP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185674</wp:posOffset>
                </wp:positionV>
                <wp:extent cx="572452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0031pt;width:450.75pt;height:.1pt;mso-position-horizontal-relative:page;mso-position-vertical-relative:paragraph;z-index:-15710720;mso-wrap-distance-left:0;mso-wrap-distance-right:0" id="docshape14"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hyperlink w:history="true" w:anchor="_bookmark1132">
        <w:r>
          <w:rPr>
            <w:color w:val="005DA1"/>
            <w:position w:val="5"/>
            <w:sz w:val="14"/>
            <w:u w:val="single" w:color="005DA1"/>
          </w:rPr>
          <w:t>96</w:t>
        </w:r>
      </w:hyperlink>
      <w:r>
        <w:rPr>
          <w:position w:val="5"/>
          <w:sz w:val="14"/>
        </w:rPr>
        <w:t>.</w:t>
      </w:r>
      <w:r>
        <w:rPr>
          <w:spacing w:val="80"/>
          <w:position w:val="5"/>
          <w:sz w:val="14"/>
        </w:rPr>
        <w:t>  </w:t>
      </w:r>
      <w:r>
        <w:rPr>
          <w:sz w:val="20"/>
        </w:rPr>
        <w:t>Dicey, Morris and Collins on the Conflict of Laws, 14th edn (2006), Chs 32 and 33; Cheshire, North and Fawcett, </w:t>
      </w:r>
      <w:r>
        <w:rPr>
          <w:rFonts w:ascii="Arial"/>
          <w:i/>
          <w:sz w:val="20"/>
        </w:rPr>
        <w:t>Private International Law</w:t>
      </w:r>
      <w:r>
        <w:rPr>
          <w:sz w:val="20"/>
        </w:rPr>
        <w:t>, 14th edn (2008), Ch.18; Fawcett, Harris </w:t>
      </w:r>
      <w:r>
        <w:rPr>
          <w:sz w:val="20"/>
        </w:rPr>
        <w:t>and Bridge, </w:t>
      </w:r>
      <w:r>
        <w:rPr>
          <w:rFonts w:ascii="Arial"/>
          <w:i/>
          <w:sz w:val="20"/>
        </w:rPr>
        <w:t>International Sale of Goods in the Conflict of Laws </w:t>
      </w:r>
      <w:r>
        <w:rPr>
          <w:sz w:val="20"/>
        </w:rPr>
        <w:t>(2005), Ch.13; Meeusen, Pertegas and Straetmans, </w:t>
      </w:r>
      <w:r>
        <w:rPr>
          <w:rFonts w:ascii="Arial"/>
          <w:i/>
          <w:sz w:val="20"/>
        </w:rPr>
        <w:t>The Enforcement of International Contracts in the European Union </w:t>
      </w:r>
      <w:r>
        <w:rPr>
          <w:sz w:val="20"/>
        </w:rPr>
        <w:t>(2004); Plender and Wilderspin, </w:t>
      </w:r>
      <w:r>
        <w:rPr>
          <w:rFonts w:ascii="Arial"/>
          <w:i/>
          <w:sz w:val="20"/>
        </w:rPr>
        <w:t>The European Private International Law of Obligations </w:t>
      </w:r>
      <w:r>
        <w:rPr>
          <w:sz w:val="20"/>
        </w:rPr>
        <w:t>4th edn (2014), Chs 4-15; Fentiman, </w:t>
      </w:r>
      <w:r>
        <w:rPr>
          <w:rFonts w:ascii="Arial"/>
          <w:i/>
          <w:sz w:val="20"/>
        </w:rPr>
        <w:t>International Commercial Litigation </w:t>
      </w:r>
      <w:r>
        <w:rPr>
          <w:sz w:val="20"/>
        </w:rPr>
        <w:t>2nd edn (2015), Chs 3-6; Nygh, </w:t>
      </w:r>
      <w:r>
        <w:rPr>
          <w:rFonts w:ascii="Arial"/>
          <w:i/>
          <w:sz w:val="20"/>
        </w:rPr>
        <w:t>Autonomy in International Contracts </w:t>
      </w:r>
      <w:r>
        <w:rPr>
          <w:sz w:val="20"/>
        </w:rPr>
        <w:t>(1999); Kaye, </w:t>
      </w:r>
      <w:r>
        <w:rPr>
          <w:rFonts w:ascii="Arial"/>
          <w:i/>
          <w:sz w:val="20"/>
        </w:rPr>
        <w:t>The New Private International Law of Contract of the European Community </w:t>
      </w:r>
      <w:r>
        <w:rPr>
          <w:sz w:val="20"/>
        </w:rPr>
        <w:t>(1993); Lasok and Stone, </w:t>
      </w:r>
      <w:r>
        <w:rPr>
          <w:rFonts w:ascii="Arial"/>
          <w:i/>
          <w:sz w:val="20"/>
        </w:rPr>
        <w:t>Conflict of Laws in the European Community </w:t>
      </w:r>
      <w:r>
        <w:rPr>
          <w:sz w:val="20"/>
        </w:rPr>
        <w:t>(1987), Ch.9; North, </w:t>
      </w:r>
      <w:r>
        <w:rPr>
          <w:rFonts w:ascii="Arial"/>
          <w:i/>
          <w:sz w:val="20"/>
        </w:rPr>
        <w:t>Contract Conflicts </w:t>
      </w:r>
      <w:r>
        <w:rPr>
          <w:sz w:val="20"/>
        </w:rPr>
        <w:t>(1982); Fletcher, </w:t>
      </w:r>
      <w:r>
        <w:rPr>
          <w:rFonts w:ascii="Arial"/>
          <w:i/>
          <w:sz w:val="20"/>
        </w:rPr>
        <w:t>Conflict of Laws and European Community Law </w:t>
      </w:r>
      <w:r>
        <w:rPr>
          <w:sz w:val="20"/>
        </w:rPr>
        <w:t>(1982), Ch.5; Anton, </w:t>
      </w:r>
      <w:r>
        <w:rPr>
          <w:rFonts w:ascii="Arial"/>
          <w:i/>
          <w:sz w:val="20"/>
        </w:rPr>
        <w:t>Private International Law</w:t>
      </w:r>
      <w:r>
        <w:rPr>
          <w:sz w:val="20"/>
        </w:rPr>
        <w:t>, 2nd edn (1990), Ch.11;</w:t>
      </w:r>
      <w:r>
        <w:rPr>
          <w:spacing w:val="7"/>
          <w:sz w:val="20"/>
        </w:rPr>
        <w:t> </w:t>
      </w:r>
      <w:r>
        <w:rPr>
          <w:sz w:val="20"/>
        </w:rPr>
        <w:t>Diamond</w:t>
      </w:r>
      <w:r>
        <w:rPr>
          <w:spacing w:val="9"/>
          <w:sz w:val="20"/>
        </w:rPr>
        <w:t> </w:t>
      </w:r>
      <w:r>
        <w:rPr>
          <w:sz w:val="20"/>
        </w:rPr>
        <w:t>(1986)</w:t>
      </w:r>
      <w:r>
        <w:rPr>
          <w:spacing w:val="9"/>
          <w:sz w:val="20"/>
        </w:rPr>
        <w:t> </w:t>
      </w:r>
      <w:r>
        <w:rPr>
          <w:sz w:val="20"/>
        </w:rPr>
        <w:t>216</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z w:val="20"/>
        </w:rPr>
        <w:t>IV,</w:t>
      </w:r>
      <w:r>
        <w:rPr>
          <w:spacing w:val="9"/>
          <w:sz w:val="20"/>
        </w:rPr>
        <w:t> </w:t>
      </w:r>
      <w:r>
        <w:rPr>
          <w:sz w:val="20"/>
        </w:rPr>
        <w:t>233;</w:t>
      </w:r>
      <w:r>
        <w:rPr>
          <w:spacing w:val="9"/>
          <w:sz w:val="20"/>
        </w:rPr>
        <w:t> </w:t>
      </w:r>
      <w:r>
        <w:rPr>
          <w:sz w:val="20"/>
        </w:rPr>
        <w:t>North</w:t>
      </w:r>
      <w:r>
        <w:rPr>
          <w:spacing w:val="9"/>
          <w:sz w:val="20"/>
        </w:rPr>
        <w:t> </w:t>
      </w:r>
      <w:r>
        <w:rPr>
          <w:sz w:val="20"/>
        </w:rPr>
        <w:t>(1990)</w:t>
      </w:r>
      <w:r>
        <w:rPr>
          <w:spacing w:val="9"/>
          <w:sz w:val="20"/>
        </w:rPr>
        <w:t> </w:t>
      </w:r>
      <w:r>
        <w:rPr>
          <w:sz w:val="20"/>
        </w:rPr>
        <w:t>220</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pacing w:val="-5"/>
          <w:sz w:val="20"/>
        </w:rPr>
        <w:t>I,</w:t>
      </w:r>
    </w:p>
    <w:p>
      <w:pPr>
        <w:pStyle w:val="BodyText"/>
        <w:spacing w:line="220" w:lineRule="exact"/>
        <w:ind w:left="705"/>
        <w:jc w:val="both"/>
      </w:pPr>
      <w:r>
        <w:rPr/>
        <w:t>3,</w:t>
      </w:r>
      <w:r>
        <w:rPr>
          <w:spacing w:val="11"/>
        </w:rPr>
        <w:t> </w:t>
      </w:r>
      <w:r>
        <w:rPr/>
        <w:t>176-205;</w:t>
      </w:r>
      <w:r>
        <w:rPr>
          <w:spacing w:val="11"/>
        </w:rPr>
        <w:t> </w:t>
      </w:r>
      <w:r>
        <w:rPr/>
        <w:t>North</w:t>
      </w:r>
      <w:r>
        <w:rPr>
          <w:spacing w:val="11"/>
        </w:rPr>
        <w:t> </w:t>
      </w:r>
      <w:r>
        <w:rPr/>
        <w:t>[1980]</w:t>
      </w:r>
      <w:r>
        <w:rPr>
          <w:spacing w:val="11"/>
        </w:rPr>
        <w:t> </w:t>
      </w:r>
      <w:r>
        <w:rPr/>
        <w:t>J.B.L.</w:t>
      </w:r>
      <w:r>
        <w:rPr>
          <w:spacing w:val="11"/>
        </w:rPr>
        <w:t> </w:t>
      </w:r>
      <w:r>
        <w:rPr/>
        <w:t>392;</w:t>
      </w:r>
      <w:r>
        <w:rPr>
          <w:spacing w:val="11"/>
        </w:rPr>
        <w:t> </w:t>
      </w:r>
      <w:r>
        <w:rPr/>
        <w:t>Morse</w:t>
      </w:r>
      <w:r>
        <w:rPr>
          <w:spacing w:val="11"/>
        </w:rPr>
        <w:t> </w:t>
      </w:r>
      <w:r>
        <w:rPr/>
        <w:t>(1982)</w:t>
      </w:r>
      <w:r>
        <w:rPr>
          <w:spacing w:val="11"/>
        </w:rPr>
        <w:t> </w:t>
      </w:r>
      <w:r>
        <w:rPr/>
        <w:t>2</w:t>
      </w:r>
      <w:r>
        <w:rPr>
          <w:spacing w:val="11"/>
        </w:rPr>
        <w:t> </w:t>
      </w:r>
      <w:r>
        <w:rPr/>
        <w:t>Yb.</w:t>
      </w:r>
      <w:r>
        <w:rPr>
          <w:spacing w:val="11"/>
        </w:rPr>
        <w:t> </w:t>
      </w:r>
      <w:r>
        <w:rPr/>
        <w:t>Eur.</w:t>
      </w:r>
      <w:r>
        <w:rPr>
          <w:spacing w:val="11"/>
        </w:rPr>
        <w:t> </w:t>
      </w:r>
      <w:r>
        <w:rPr/>
        <w:t>L.</w:t>
      </w:r>
      <w:r>
        <w:rPr>
          <w:spacing w:val="11"/>
        </w:rPr>
        <w:t> </w:t>
      </w:r>
      <w:r>
        <w:rPr/>
        <w:t>107;</w:t>
      </w:r>
      <w:r>
        <w:rPr>
          <w:spacing w:val="11"/>
        </w:rPr>
        <w:t> </w:t>
      </w:r>
      <w:r>
        <w:rPr/>
        <w:t>Jaffey</w:t>
      </w:r>
      <w:r>
        <w:rPr>
          <w:spacing w:val="11"/>
        </w:rPr>
        <w:t> </w:t>
      </w:r>
      <w:r>
        <w:rPr/>
        <w:t>(1984)</w:t>
      </w:r>
      <w:r>
        <w:rPr>
          <w:spacing w:val="11"/>
        </w:rPr>
        <w:t> </w:t>
      </w:r>
      <w:r>
        <w:rPr/>
        <w:t>33</w:t>
      </w:r>
      <w:r>
        <w:rPr>
          <w:spacing w:val="11"/>
        </w:rPr>
        <w:t> </w:t>
      </w:r>
      <w:r>
        <w:rPr>
          <w:spacing w:val="-2"/>
        </w:rPr>
        <w:t>I.C.L.Q.</w:t>
      </w:r>
    </w:p>
    <w:p>
      <w:pPr>
        <w:pStyle w:val="BodyText"/>
        <w:spacing w:line="227" w:lineRule="exact"/>
        <w:ind w:left="705"/>
        <w:jc w:val="both"/>
      </w:pPr>
      <w:r>
        <w:rPr/>
        <w:t>531; Williams (1986) 35 I.C.L.Q. </w:t>
      </w:r>
      <w:r>
        <w:rPr>
          <w:spacing w:val="-5"/>
        </w:rPr>
        <w:t>1.</w:t>
      </w:r>
    </w:p>
    <w:p>
      <w:pPr>
        <w:pStyle w:val="BodyText"/>
        <w:spacing w:before="8"/>
      </w:pPr>
    </w:p>
    <w:p>
      <w:pPr>
        <w:spacing w:line="235" w:lineRule="auto" w:before="1"/>
        <w:ind w:left="705" w:right="167" w:hanging="541"/>
        <w:jc w:val="both"/>
        <w:rPr>
          <w:sz w:val="20"/>
        </w:rPr>
      </w:pPr>
      <w:bookmarkStart w:name="_bookmark754" w:id="756"/>
      <w:bookmarkEnd w:id="756"/>
      <w:r>
        <w:rPr/>
      </w:r>
      <w:hyperlink w:history="true" w:anchor="_bookmark629">
        <w:r>
          <w:rPr>
            <w:color w:val="005DA1"/>
            <w:position w:val="5"/>
            <w:sz w:val="14"/>
            <w:u w:val="single" w:color="005DA1"/>
          </w:rPr>
          <w:t>335</w:t>
        </w:r>
      </w:hyperlink>
      <w:r>
        <w:rPr>
          <w:position w:val="5"/>
          <w:sz w:val="14"/>
        </w:rPr>
        <w:t>.</w:t>
      </w:r>
      <w:r>
        <w:rPr>
          <w:spacing w:val="80"/>
          <w:position w:val="5"/>
          <w:sz w:val="14"/>
        </w:rPr>
        <w:t>  </w:t>
      </w:r>
      <w:r>
        <w:rPr>
          <w:sz w:val="20"/>
        </w:rPr>
        <w:t>Dicey,</w:t>
      </w:r>
      <w:r>
        <w:rPr>
          <w:spacing w:val="40"/>
          <w:sz w:val="20"/>
        </w:rPr>
        <w:t> </w:t>
      </w:r>
      <w:r>
        <w:rPr>
          <w:sz w:val="20"/>
        </w:rPr>
        <w:t>Morris</w:t>
      </w:r>
      <w:r>
        <w:rPr>
          <w:spacing w:val="40"/>
          <w:sz w:val="20"/>
        </w:rPr>
        <w:t> </w:t>
      </w:r>
      <w:r>
        <w:rPr>
          <w:sz w:val="20"/>
        </w:rPr>
        <w:t>and</w:t>
      </w:r>
      <w:r>
        <w:rPr>
          <w:spacing w:val="40"/>
          <w:sz w:val="20"/>
        </w:rPr>
        <w:t> </w:t>
      </w:r>
      <w:r>
        <w:rPr>
          <w:sz w:val="20"/>
        </w:rPr>
        <w:t>Collins</w:t>
      </w:r>
      <w:r>
        <w:rPr>
          <w:spacing w:val="40"/>
          <w:sz w:val="20"/>
        </w:rPr>
        <w:t> </w:t>
      </w:r>
      <w:r>
        <w:rPr>
          <w:sz w:val="20"/>
        </w:rPr>
        <w:t>on</w:t>
      </w:r>
      <w:r>
        <w:rPr>
          <w:spacing w:val="40"/>
          <w:sz w:val="20"/>
        </w:rPr>
        <w:t> </w:t>
      </w:r>
      <w:r>
        <w:rPr>
          <w:sz w:val="20"/>
        </w:rPr>
        <w:t>the</w:t>
      </w:r>
      <w:r>
        <w:rPr>
          <w:spacing w:val="40"/>
          <w:sz w:val="20"/>
        </w:rPr>
        <w:t> </w:t>
      </w:r>
      <w:r>
        <w:rPr>
          <w:sz w:val="20"/>
        </w:rPr>
        <w:t>Conflict</w:t>
      </w:r>
      <w:r>
        <w:rPr>
          <w:spacing w:val="40"/>
          <w:sz w:val="20"/>
        </w:rPr>
        <w:t> </w:t>
      </w:r>
      <w:r>
        <w:rPr>
          <w:sz w:val="20"/>
        </w:rPr>
        <w:t>of</w:t>
      </w:r>
      <w:r>
        <w:rPr>
          <w:spacing w:val="40"/>
          <w:sz w:val="20"/>
        </w:rPr>
        <w:t> </w:t>
      </w:r>
      <w:r>
        <w:rPr>
          <w:sz w:val="20"/>
        </w:rPr>
        <w:t>Laws,</w:t>
      </w:r>
      <w:r>
        <w:rPr>
          <w:spacing w:val="40"/>
          <w:sz w:val="20"/>
        </w:rPr>
        <w:t> </w:t>
      </w:r>
      <w:r>
        <w:rPr>
          <w:sz w:val="20"/>
        </w:rPr>
        <w:t>14th</w:t>
      </w:r>
      <w:r>
        <w:rPr>
          <w:spacing w:val="40"/>
          <w:sz w:val="20"/>
        </w:rPr>
        <w:t> </w:t>
      </w:r>
      <w:r>
        <w:rPr>
          <w:sz w:val="20"/>
        </w:rPr>
        <w:t>edn</w:t>
      </w:r>
      <w:r>
        <w:rPr>
          <w:spacing w:val="40"/>
          <w:sz w:val="20"/>
        </w:rPr>
        <w:t> </w:t>
      </w:r>
      <w:r>
        <w:rPr>
          <w:sz w:val="20"/>
        </w:rPr>
        <w:t>(2006),</w:t>
      </w:r>
      <w:r>
        <w:rPr>
          <w:spacing w:val="40"/>
          <w:sz w:val="20"/>
        </w:rPr>
        <w:t> </w:t>
      </w:r>
      <w:r>
        <w:rPr>
          <w:sz w:val="20"/>
        </w:rPr>
        <w:t>paras</w:t>
      </w:r>
      <w:r>
        <w:rPr>
          <w:spacing w:val="40"/>
          <w:sz w:val="20"/>
        </w:rPr>
        <w:t> </w:t>
      </w:r>
      <w:r>
        <w:rPr>
          <w:sz w:val="20"/>
        </w:rPr>
        <w:t>32-108</w:t>
      </w:r>
      <w:r>
        <w:rPr>
          <w:spacing w:val="40"/>
          <w:sz w:val="20"/>
        </w:rPr>
        <w:t> </w:t>
      </w:r>
      <w:r>
        <w:rPr>
          <w:sz w:val="20"/>
        </w:rPr>
        <w:t>et</w:t>
      </w:r>
      <w:r>
        <w:rPr>
          <w:spacing w:val="40"/>
          <w:sz w:val="20"/>
        </w:rPr>
        <w:t> </w:t>
      </w:r>
      <w:r>
        <w:rPr>
          <w:sz w:val="20"/>
        </w:rPr>
        <w:t>seq., 33-113 et seq., 33–150 et seq., 33–217 et seq., 33–229 et seq.; Cheshire, North and </w:t>
      </w:r>
      <w:r>
        <w:rPr>
          <w:sz w:val="20"/>
        </w:rPr>
        <w:t>Fawcett, </w:t>
      </w:r>
      <w:r>
        <w:rPr>
          <w:rFonts w:ascii="Arial" w:hAnsi="Arial"/>
          <w:i/>
          <w:sz w:val="20"/>
        </w:rPr>
        <w:t>Private International Law</w:t>
      </w:r>
      <w:r>
        <w:rPr>
          <w:sz w:val="20"/>
        </w:rPr>
        <w:t>, 14th edn (2008), pp.707–722; Kaye, </w:t>
      </w:r>
      <w:r>
        <w:rPr>
          <w:rFonts w:ascii="Arial" w:hAnsi="Arial"/>
          <w:i/>
          <w:sz w:val="20"/>
        </w:rPr>
        <w:t>The New Private International Law of Contract of the European Community </w:t>
      </w:r>
      <w:r>
        <w:rPr>
          <w:sz w:val="20"/>
        </w:rPr>
        <w:t>(1993), pp.171–202; Fentiman, </w:t>
      </w:r>
      <w:r>
        <w:rPr>
          <w:rFonts w:ascii="Arial" w:hAnsi="Arial"/>
          <w:i/>
          <w:sz w:val="20"/>
        </w:rPr>
        <w:t>International Litigation </w:t>
      </w:r>
      <w:r>
        <w:rPr>
          <w:sz w:val="20"/>
        </w:rPr>
        <w:t>2nd edn (2015), pp.207 et seq.; Hill (2004) 53 I.C.L.Q. 325; Atrill (2004) I.C.L.Q. 549. As</w:t>
      </w:r>
      <w:r>
        <w:rPr>
          <w:spacing w:val="-2"/>
          <w:sz w:val="20"/>
        </w:rPr>
        <w:t> </w:t>
      </w:r>
      <w:r>
        <w:rPr>
          <w:sz w:val="20"/>
        </w:rPr>
        <w:t>to</w:t>
      </w:r>
      <w:r>
        <w:rPr>
          <w:spacing w:val="-2"/>
          <w:sz w:val="20"/>
        </w:rPr>
        <w:t> </w:t>
      </w:r>
      <w:r>
        <w:rPr>
          <w:sz w:val="20"/>
        </w:rPr>
        <w:t>consumer</w:t>
      </w:r>
      <w:r>
        <w:rPr>
          <w:spacing w:val="-2"/>
          <w:sz w:val="20"/>
        </w:rPr>
        <w:t> </w:t>
      </w:r>
      <w:r>
        <w:rPr>
          <w:sz w:val="20"/>
        </w:rPr>
        <w:t>contracts</w:t>
      </w:r>
      <w:r>
        <w:rPr>
          <w:spacing w:val="-2"/>
          <w:sz w:val="20"/>
        </w:rPr>
        <w:t> </w:t>
      </w:r>
      <w:r>
        <w:rPr>
          <w:sz w:val="20"/>
        </w:rPr>
        <w:t>and</w:t>
      </w:r>
      <w:r>
        <w:rPr>
          <w:spacing w:val="-2"/>
          <w:sz w:val="20"/>
        </w:rPr>
        <w:t> </w:t>
      </w:r>
      <w:r>
        <w:rPr>
          <w:sz w:val="20"/>
        </w:rPr>
        <w:t>employment</w:t>
      </w:r>
      <w:r>
        <w:rPr>
          <w:spacing w:val="-2"/>
          <w:sz w:val="20"/>
        </w:rPr>
        <w:t> </w:t>
      </w:r>
      <w:r>
        <w:rPr>
          <w:sz w:val="20"/>
        </w:rPr>
        <w:t>contracts,</w:t>
      </w:r>
      <w:r>
        <w:rPr>
          <w:spacing w:val="-2"/>
          <w:sz w:val="20"/>
        </w:rPr>
        <w:t> </w:t>
      </w:r>
      <w:r>
        <w:rPr>
          <w:sz w:val="20"/>
        </w:rPr>
        <w:t>see</w:t>
      </w:r>
      <w:r>
        <w:rPr>
          <w:spacing w:val="-2"/>
          <w:sz w:val="20"/>
        </w:rPr>
        <w:t> </w:t>
      </w:r>
      <w:r>
        <w:rPr>
          <w:sz w:val="20"/>
        </w:rPr>
        <w:t>below,</w:t>
      </w:r>
      <w:r>
        <w:rPr>
          <w:spacing w:val="-2"/>
          <w:sz w:val="20"/>
        </w:rPr>
        <w:t> </w:t>
      </w:r>
      <w:r>
        <w:rPr>
          <w:sz w:val="20"/>
        </w:rPr>
        <w:t>paras</w:t>
      </w:r>
      <w:r>
        <w:rPr>
          <w:spacing w:val="-2"/>
          <w:sz w:val="20"/>
        </w:rPr>
        <w:t> </w:t>
      </w:r>
      <w:r>
        <w:rPr>
          <w:sz w:val="20"/>
        </w:rPr>
        <w:t>30-092</w:t>
      </w:r>
      <w:r>
        <w:rPr>
          <w:spacing w:val="-2"/>
          <w:sz w:val="20"/>
        </w:rPr>
        <w:t> </w:t>
      </w:r>
      <w:r>
        <w:rPr>
          <w:sz w:val="20"/>
        </w:rPr>
        <w:t>et</w:t>
      </w:r>
      <w:r>
        <w:rPr>
          <w:spacing w:val="-2"/>
          <w:sz w:val="20"/>
        </w:rPr>
        <w:t> </w:t>
      </w:r>
      <w:r>
        <w:rPr>
          <w:sz w:val="20"/>
        </w:rPr>
        <w:t>seq.</w:t>
      </w:r>
      <w:r>
        <w:rPr>
          <w:spacing w:val="-2"/>
          <w:sz w:val="20"/>
        </w:rPr>
        <w:t> </w:t>
      </w:r>
      <w:r>
        <w:rPr>
          <w:sz w:val="20"/>
        </w:rPr>
        <w:t>As</w:t>
      </w:r>
      <w:r>
        <w:rPr>
          <w:spacing w:val="-2"/>
          <w:sz w:val="20"/>
        </w:rPr>
        <w:t> </w:t>
      </w:r>
      <w:r>
        <w:rPr>
          <w:sz w:val="20"/>
        </w:rPr>
        <w:t>to</w:t>
      </w:r>
      <w:r>
        <w:rPr>
          <w:spacing w:val="-2"/>
          <w:sz w:val="20"/>
        </w:rPr>
        <w:t> </w:t>
      </w:r>
      <w:r>
        <w:rPr>
          <w:sz w:val="20"/>
        </w:rPr>
        <w:t>the position under the Rome I Regulation, see below, paras 30-169 et seq.</w:t>
      </w:r>
    </w:p>
    <w:p>
      <w:pPr>
        <w:pStyle w:val="BodyText"/>
        <w:spacing w:before="3"/>
      </w:pPr>
    </w:p>
    <w:p>
      <w:pPr>
        <w:pStyle w:val="BodyText"/>
        <w:tabs>
          <w:tab w:pos="705" w:val="left" w:leader="none"/>
        </w:tabs>
        <w:ind w:left="165"/>
      </w:pPr>
      <w:bookmarkStart w:name="_bookmark755" w:id="757"/>
      <w:bookmarkEnd w:id="757"/>
      <w:r>
        <w:rPr/>
      </w:r>
      <w:hyperlink w:history="true" w:anchor="_bookmark630">
        <w:r>
          <w:rPr>
            <w:color w:val="005DA1"/>
            <w:spacing w:val="-4"/>
            <w:position w:val="5"/>
            <w:sz w:val="14"/>
            <w:u w:val="single" w:color="005DA1"/>
          </w:rPr>
          <w:t>336</w:t>
        </w:r>
      </w:hyperlink>
      <w:r>
        <w:rPr>
          <w:spacing w:val="-4"/>
          <w:position w:val="5"/>
          <w:sz w:val="14"/>
        </w:rPr>
        <w:t>.</w:t>
      </w:r>
      <w:r>
        <w:rPr>
          <w:position w:val="5"/>
          <w:sz w:val="14"/>
        </w:rPr>
        <w:tab/>
      </w:r>
      <w:r>
        <w:rPr/>
        <w:t>For the meaning of “law of a country”, see </w:t>
      </w:r>
      <w:r>
        <w:rPr>
          <w:spacing w:val="-2"/>
        </w:rPr>
        <w:t>below.</w:t>
      </w:r>
    </w:p>
    <w:p>
      <w:pPr>
        <w:pStyle w:val="BodyText"/>
        <w:spacing w:before="5"/>
      </w:pPr>
    </w:p>
    <w:p>
      <w:pPr>
        <w:pStyle w:val="BodyText"/>
        <w:tabs>
          <w:tab w:pos="705" w:val="left" w:leader="none"/>
        </w:tabs>
        <w:ind w:left="165"/>
      </w:pPr>
      <w:bookmarkStart w:name="_bookmark756" w:id="758"/>
      <w:bookmarkEnd w:id="758"/>
      <w:r>
        <w:rPr/>
      </w:r>
      <w:hyperlink w:history="true" w:anchor="_bookmark631">
        <w:r>
          <w:rPr>
            <w:color w:val="005DA1"/>
            <w:spacing w:val="-4"/>
            <w:position w:val="5"/>
            <w:sz w:val="14"/>
            <w:u w:val="single" w:color="005DA1"/>
          </w:rPr>
          <w:t>337</w:t>
        </w:r>
      </w:hyperlink>
      <w:r>
        <w:rPr>
          <w:spacing w:val="-4"/>
          <w:position w:val="5"/>
          <w:sz w:val="14"/>
        </w:rPr>
        <w:t>.</w:t>
      </w:r>
      <w:r>
        <w:rPr>
          <w:position w:val="5"/>
          <w:sz w:val="14"/>
        </w:rPr>
        <w:tab/>
      </w:r>
      <w:r>
        <w:rPr/>
        <w:t>See</w:t>
      </w:r>
      <w:r>
        <w:rPr>
          <w:spacing w:val="-2"/>
        </w:rPr>
        <w:t> </w:t>
      </w:r>
      <w:r>
        <w:rPr/>
        <w:t>above, para.30-</w:t>
      </w:r>
      <w:r>
        <w:rPr>
          <w:spacing w:val="-4"/>
        </w:rPr>
        <w:t>012.</w:t>
      </w:r>
    </w:p>
    <w:p>
      <w:pPr>
        <w:pStyle w:val="BodyText"/>
        <w:spacing w:before="5"/>
      </w:pPr>
    </w:p>
    <w:p>
      <w:pPr>
        <w:pStyle w:val="BodyText"/>
        <w:tabs>
          <w:tab w:pos="705" w:val="left" w:leader="none"/>
        </w:tabs>
        <w:ind w:left="165"/>
      </w:pPr>
      <w:bookmarkStart w:name="_bookmark757" w:id="759"/>
      <w:bookmarkEnd w:id="759"/>
      <w:r>
        <w:rPr/>
      </w:r>
      <w:hyperlink w:history="true" w:anchor="_bookmark632">
        <w:r>
          <w:rPr>
            <w:color w:val="005DA1"/>
            <w:spacing w:val="-4"/>
            <w:position w:val="5"/>
            <w:sz w:val="14"/>
            <w:u w:val="single" w:color="005DA1"/>
          </w:rPr>
          <w:t>338</w:t>
        </w:r>
      </w:hyperlink>
      <w:r>
        <w:rPr>
          <w:spacing w:val="-4"/>
          <w:position w:val="5"/>
          <w:sz w:val="14"/>
        </w:rPr>
        <w:t>.</w:t>
      </w:r>
      <w:r>
        <w:rPr>
          <w:position w:val="5"/>
          <w:sz w:val="14"/>
        </w:rPr>
        <w:tab/>
      </w:r>
      <w:r>
        <w:rPr/>
        <w:t>Giuliano-Lagarde Report, </w:t>
      </w:r>
      <w:r>
        <w:rPr>
          <w:spacing w:val="-2"/>
        </w:rPr>
        <w:t>p.20.</w:t>
      </w:r>
    </w:p>
    <w:p>
      <w:pPr>
        <w:pStyle w:val="BodyText"/>
        <w:spacing w:before="5"/>
      </w:pPr>
    </w:p>
    <w:p>
      <w:pPr>
        <w:pStyle w:val="BodyText"/>
        <w:tabs>
          <w:tab w:pos="705" w:val="left" w:leader="none"/>
        </w:tabs>
        <w:ind w:left="165"/>
      </w:pPr>
      <w:bookmarkStart w:name="_bookmark758" w:id="760"/>
      <w:bookmarkEnd w:id="760"/>
      <w:r>
        <w:rPr/>
      </w:r>
      <w:hyperlink w:history="true" w:anchor="_bookmark632">
        <w:r>
          <w:rPr>
            <w:color w:val="005DA1"/>
            <w:spacing w:val="-4"/>
            <w:position w:val="5"/>
            <w:sz w:val="14"/>
            <w:u w:val="single" w:color="005DA1"/>
          </w:rPr>
          <w:t>339</w:t>
        </w:r>
      </w:hyperlink>
      <w:r>
        <w:rPr>
          <w:spacing w:val="-4"/>
          <w:position w:val="5"/>
          <w:sz w:val="14"/>
        </w:rPr>
        <w:t>.</w:t>
      </w:r>
      <w:r>
        <w:rPr>
          <w:position w:val="5"/>
          <w:sz w:val="14"/>
        </w:rPr>
        <w:tab/>
      </w:r>
      <w:r>
        <w:rPr/>
        <w:t>cf.</w:t>
      </w:r>
      <w:r>
        <w:rPr>
          <w:spacing w:val="-2"/>
        </w:rPr>
        <w:t> </w:t>
      </w:r>
      <w:r>
        <w:rPr/>
        <w:t>above, para.30-</w:t>
      </w:r>
      <w:r>
        <w:rPr>
          <w:spacing w:val="-4"/>
        </w:rPr>
        <w:t>015.</w:t>
      </w:r>
    </w:p>
    <w:p>
      <w:pPr>
        <w:pStyle w:val="BodyText"/>
        <w:spacing w:before="9"/>
      </w:pPr>
    </w:p>
    <w:p>
      <w:pPr>
        <w:spacing w:line="235" w:lineRule="auto" w:before="0"/>
        <w:ind w:left="705" w:right="167" w:hanging="541"/>
        <w:jc w:val="both"/>
        <w:rPr>
          <w:sz w:val="20"/>
        </w:rPr>
      </w:pPr>
      <w:bookmarkStart w:name="_bookmark759" w:id="761"/>
      <w:bookmarkEnd w:id="761"/>
      <w:r>
        <w:rPr/>
      </w:r>
      <w:hyperlink w:history="true" w:anchor="_bookmark633">
        <w:r>
          <w:rPr>
            <w:color w:val="005DA1"/>
            <w:position w:val="5"/>
            <w:sz w:val="14"/>
            <w:u w:val="single" w:color="005DA1"/>
          </w:rPr>
          <w:t>340</w:t>
        </w:r>
      </w:hyperlink>
      <w:r>
        <w:rPr>
          <w:position w:val="5"/>
          <w:sz w:val="14"/>
        </w:rPr>
        <w:t>.</w:t>
      </w:r>
      <w:r>
        <w:rPr>
          <w:spacing w:val="40"/>
          <w:position w:val="5"/>
          <w:sz w:val="14"/>
        </w:rPr>
        <w:t>  </w:t>
      </w:r>
      <w:r>
        <w:rPr>
          <w:sz w:val="20"/>
        </w:rPr>
        <w:t>Giuliano-Lagarde Report, p.23. See also </w:t>
      </w:r>
      <w:r>
        <w:rPr>
          <w:rFonts w:ascii="Arial" w:hAnsi="Arial"/>
          <w:i/>
          <w:sz w:val="20"/>
        </w:rPr>
        <w:t>Governor &amp; Company of Bank of Scotland of the</w:t>
      </w:r>
      <w:r>
        <w:rPr>
          <w:rFonts w:ascii="Arial" w:hAnsi="Arial"/>
          <w:i/>
          <w:spacing w:val="80"/>
          <w:sz w:val="20"/>
        </w:rPr>
        <w:t> </w:t>
      </w:r>
      <w:r>
        <w:rPr>
          <w:rFonts w:ascii="Arial" w:hAnsi="Arial"/>
          <w:i/>
          <w:sz w:val="20"/>
        </w:rPr>
        <w:t>Mound v Butcher Unreported July 28, 1998 CA</w:t>
      </w:r>
      <w:r>
        <w:rPr>
          <w:sz w:val="20"/>
        </w:rPr>
        <w:t>; </w:t>
      </w:r>
      <w:r>
        <w:rPr>
          <w:rFonts w:ascii="Arial" w:hAnsi="Arial"/>
          <w:i/>
          <w:sz w:val="20"/>
        </w:rPr>
        <w:t>Centrax Ltd v Citibank NA [1999] 1 All E.R. (Comm) 557</w:t>
      </w:r>
      <w:r>
        <w:rPr>
          <w:sz w:val="20"/>
        </w:rPr>
        <w:t>; </w:t>
      </w:r>
      <w:r>
        <w:rPr>
          <w:rFonts w:ascii="Arial" w:hAnsi="Arial"/>
          <w:i/>
          <w:sz w:val="20"/>
        </w:rPr>
        <w:t>XL Insurance Ltd v Owens Corning [2000] 2 Lloyd’s Rep. 500</w:t>
      </w:r>
      <w:r>
        <w:rPr>
          <w:sz w:val="20"/>
        </w:rPr>
        <w:t>; </w:t>
      </w:r>
      <w:r>
        <w:rPr>
          <w:rFonts w:ascii="Arial" w:hAnsi="Arial"/>
          <w:i/>
          <w:sz w:val="20"/>
        </w:rPr>
        <w:t>CGU </w:t>
      </w:r>
      <w:r>
        <w:rPr>
          <w:rFonts w:ascii="Arial" w:hAnsi="Arial"/>
          <w:i/>
          <w:sz w:val="20"/>
        </w:rPr>
        <w:t>International Plc v Szabo [2002] 1 All E.R. (Comm) 83</w:t>
      </w:r>
      <w:r>
        <w:rPr>
          <w:sz w:val="20"/>
        </w:rPr>
        <w:t>; </w:t>
      </w:r>
      <w:r>
        <w:rPr>
          <w:rFonts w:ascii="Arial" w:hAnsi="Arial"/>
          <w:i/>
          <w:sz w:val="20"/>
        </w:rPr>
        <w:t>American Motorists Insurance Co v Cellstar Corp [2003] EWCA Civ 206, [2003] I.LPr. 370</w:t>
      </w:r>
      <w:r>
        <w:rPr>
          <w:sz w:val="20"/>
        </w:rPr>
        <w:t>; </w:t>
      </w:r>
      <w:r>
        <w:rPr>
          <w:rFonts w:ascii="Arial" w:hAnsi="Arial"/>
          <w:i/>
          <w:sz w:val="20"/>
        </w:rPr>
        <w:t>Travelers Casualty &amp; Surety Co of Europe Ltd v Sun Life Assurance Co of Canada (UK) Ltd [2004] EWHC 1704 (Comm), [2004] I.L.Pr. 793</w:t>
      </w:r>
      <w:r>
        <w:rPr>
          <w:sz w:val="20"/>
        </w:rPr>
        <w:t>; </w:t>
      </w:r>
      <w:r>
        <w:rPr>
          <w:rFonts w:ascii="Arial" w:hAnsi="Arial"/>
          <w:i/>
          <w:sz w:val="20"/>
        </w:rPr>
        <w:t>CGU International Insurance Plc v Astrazeneca Insurance Co Ltd [2005] EWHC 2755 (Comm),</w:t>
      </w:r>
      <w:r>
        <w:rPr>
          <w:rFonts w:ascii="Arial" w:hAnsi="Arial"/>
          <w:i/>
          <w:spacing w:val="40"/>
          <w:sz w:val="20"/>
        </w:rPr>
        <w:t> </w:t>
      </w:r>
      <w:r>
        <w:rPr>
          <w:rFonts w:ascii="Arial" w:hAnsi="Arial"/>
          <w:i/>
          <w:sz w:val="20"/>
        </w:rPr>
        <w:t>[2006] 1 C.L.C. 162</w:t>
      </w:r>
      <w:r>
        <w:rPr>
          <w:sz w:val="20"/>
        </w:rPr>
        <w:t>.</w:t>
      </w:r>
    </w:p>
    <w:p>
      <w:pPr>
        <w:pStyle w:val="BodyText"/>
        <w:spacing w:before="3"/>
      </w:pPr>
    </w:p>
    <w:p>
      <w:pPr>
        <w:tabs>
          <w:tab w:pos="705" w:val="left" w:leader="none"/>
        </w:tabs>
        <w:spacing w:before="0"/>
        <w:ind w:left="165" w:right="0" w:firstLine="0"/>
        <w:jc w:val="left"/>
        <w:rPr>
          <w:sz w:val="20"/>
        </w:rPr>
      </w:pPr>
      <w:bookmarkStart w:name="_bookmark760" w:id="762"/>
      <w:bookmarkEnd w:id="762"/>
      <w:r>
        <w:rPr/>
      </w:r>
      <w:hyperlink w:history="true" w:anchor="_bookmark634">
        <w:r>
          <w:rPr>
            <w:color w:val="005DA1"/>
            <w:spacing w:val="-4"/>
            <w:position w:val="5"/>
            <w:sz w:val="14"/>
            <w:u w:val="single" w:color="005DA1"/>
          </w:rPr>
          <w:t>341</w:t>
        </w:r>
      </w:hyperlink>
      <w:r>
        <w:rPr>
          <w:spacing w:val="-4"/>
          <w:position w:val="5"/>
          <w:sz w:val="14"/>
        </w:rPr>
        <w:t>.</w:t>
      </w:r>
      <w:r>
        <w:rPr>
          <w:position w:val="5"/>
          <w:sz w:val="14"/>
        </w:rPr>
        <w:tab/>
      </w:r>
      <w:r>
        <w:rPr>
          <w:rFonts w:ascii="Arial" w:hAnsi="Arial"/>
          <w:i/>
          <w:sz w:val="20"/>
        </w:rPr>
        <w:t>[2010] Q.B. 411</w:t>
      </w:r>
      <w:r>
        <w:rPr>
          <w:rFonts w:ascii="Arial" w:hAnsi="Arial"/>
          <w:i/>
          <w:spacing w:val="-1"/>
          <w:sz w:val="20"/>
        </w:rPr>
        <w:t> </w:t>
      </w:r>
      <w:r>
        <w:rPr>
          <w:sz w:val="20"/>
        </w:rPr>
        <w:t>at </w:t>
      </w:r>
      <w:r>
        <w:rPr>
          <w:spacing w:val="-2"/>
          <w:sz w:val="20"/>
        </w:rPr>
        <w:t>[41]–[48].</w:t>
      </w:r>
    </w:p>
    <w:p>
      <w:pPr>
        <w:spacing w:after="0"/>
        <w:jc w:val="left"/>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635">
        <w:r>
          <w:rPr>
            <w:color w:val="005DA1"/>
            <w:spacing w:val="-4"/>
            <w:position w:val="5"/>
            <w:sz w:val="14"/>
            <w:u w:val="single" w:color="005DA1"/>
          </w:rPr>
          <w:t>342</w:t>
        </w:r>
      </w:hyperlink>
      <w:r>
        <w:rPr>
          <w:spacing w:val="-4"/>
          <w:position w:val="5"/>
          <w:sz w:val="14"/>
        </w:rPr>
        <w:t>.</w:t>
      </w:r>
      <w:r>
        <w:rPr>
          <w:position w:val="5"/>
          <w:sz w:val="14"/>
        </w:rPr>
        <w:tab/>
      </w:r>
      <w:r>
        <w:rPr>
          <w:sz w:val="20"/>
        </w:rPr>
        <w:t>Giuliano-Lagarde</w:t>
      </w:r>
      <w:r>
        <w:rPr>
          <w:spacing w:val="-3"/>
          <w:sz w:val="20"/>
        </w:rPr>
        <w:t> </w:t>
      </w:r>
      <w:r>
        <w:rPr>
          <w:sz w:val="20"/>
        </w:rPr>
        <w:t>Report,</w:t>
      </w:r>
      <w:r>
        <w:rPr>
          <w:spacing w:val="-3"/>
          <w:sz w:val="20"/>
        </w:rPr>
        <w:t> </w:t>
      </w:r>
      <w:r>
        <w:rPr>
          <w:sz w:val="20"/>
        </w:rPr>
        <w:t>p.23.</w:t>
      </w:r>
      <w:r>
        <w:rPr>
          <w:spacing w:val="-3"/>
          <w:sz w:val="20"/>
        </w:rPr>
        <w:t> </w:t>
      </w:r>
      <w:r>
        <w:rPr>
          <w:sz w:val="20"/>
        </w:rPr>
        <w:t>See</w:t>
      </w:r>
      <w:r>
        <w:rPr>
          <w:spacing w:val="-4"/>
          <w:sz w:val="20"/>
        </w:rPr>
        <w:t> </w:t>
      </w:r>
      <w:r>
        <w:rPr>
          <w:rFonts w:ascii="Arial"/>
          <w:i/>
          <w:sz w:val="20"/>
        </w:rPr>
        <w:t>Intercontainer</w:t>
      </w:r>
      <w:r>
        <w:rPr>
          <w:rFonts w:ascii="Arial"/>
          <w:i/>
          <w:spacing w:val="-3"/>
          <w:sz w:val="20"/>
        </w:rPr>
        <w:t> </w:t>
      </w:r>
      <w:r>
        <w:rPr>
          <w:rFonts w:ascii="Arial"/>
          <w:i/>
          <w:sz w:val="20"/>
        </w:rPr>
        <w:t>Interfrigo</w:t>
      </w:r>
      <w:r>
        <w:rPr>
          <w:rFonts w:ascii="Arial"/>
          <w:i/>
          <w:spacing w:val="-3"/>
          <w:sz w:val="20"/>
        </w:rPr>
        <w:t> </w:t>
      </w:r>
      <w:r>
        <w:rPr>
          <w:rFonts w:ascii="Arial"/>
          <w:i/>
          <w:sz w:val="20"/>
        </w:rPr>
        <w:t>SC</w:t>
      </w:r>
      <w:r>
        <w:rPr>
          <w:rFonts w:ascii="Arial"/>
          <w:i/>
          <w:spacing w:val="-3"/>
          <w:sz w:val="20"/>
        </w:rPr>
        <w:t> </w:t>
      </w:r>
      <w:r>
        <w:rPr>
          <w:rFonts w:ascii="Arial"/>
          <w:i/>
          <w:sz w:val="20"/>
        </w:rPr>
        <w:t>(ICF)</w:t>
      </w:r>
      <w:r>
        <w:rPr>
          <w:rFonts w:ascii="Arial"/>
          <w:i/>
          <w:spacing w:val="-3"/>
          <w:sz w:val="20"/>
        </w:rPr>
        <w:t> </w:t>
      </w:r>
      <w:r>
        <w:rPr>
          <w:rFonts w:ascii="Arial"/>
          <w:i/>
          <w:sz w:val="20"/>
        </w:rPr>
        <w:t>v</w:t>
      </w:r>
      <w:r>
        <w:rPr>
          <w:rFonts w:ascii="Arial"/>
          <w:i/>
          <w:spacing w:val="-3"/>
          <w:sz w:val="20"/>
        </w:rPr>
        <w:t> </w:t>
      </w:r>
      <w:r>
        <w:rPr>
          <w:rFonts w:ascii="Arial"/>
          <w:i/>
          <w:sz w:val="20"/>
        </w:rPr>
        <w:t>Balkenende</w:t>
      </w:r>
      <w:r>
        <w:rPr>
          <w:rFonts w:ascii="Arial"/>
          <w:i/>
          <w:spacing w:val="-3"/>
          <w:sz w:val="20"/>
        </w:rPr>
        <w:t> </w:t>
      </w:r>
      <w:r>
        <w:rPr>
          <w:rFonts w:ascii="Arial"/>
          <w:i/>
          <w:sz w:val="20"/>
        </w:rPr>
        <w:t>Oosthuizen BV (C-133/08) [2010] Q.B. 411</w:t>
      </w:r>
      <w:r>
        <w:rPr>
          <w:sz w:val="20"/>
        </w:rPr>
        <w:t>.</w:t>
      </w:r>
    </w:p>
    <w:p>
      <w:pPr>
        <w:pStyle w:val="BodyText"/>
        <w:spacing w:before="6"/>
      </w:pPr>
    </w:p>
    <w:p>
      <w:pPr>
        <w:tabs>
          <w:tab w:pos="705" w:val="left" w:leader="none"/>
        </w:tabs>
        <w:spacing w:before="0"/>
        <w:ind w:left="165" w:right="0" w:firstLine="0"/>
        <w:jc w:val="left"/>
        <w:rPr>
          <w:sz w:val="20"/>
        </w:rPr>
      </w:pPr>
      <w:bookmarkStart w:name="_bookmark761" w:id="763"/>
      <w:bookmarkEnd w:id="763"/>
      <w:r>
        <w:rPr/>
      </w:r>
      <w:hyperlink w:history="true" w:anchor="_bookmark636">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Halpern v Halpern (Nos 1 and 2) [2007] EWCA Civ 291, [2008] Q.B. </w:t>
      </w:r>
      <w:r>
        <w:rPr>
          <w:rFonts w:ascii="Arial"/>
          <w:i/>
          <w:spacing w:val="-4"/>
          <w:sz w:val="20"/>
        </w:rPr>
        <w:t>195</w:t>
      </w:r>
      <w:r>
        <w:rPr>
          <w:spacing w:val="-4"/>
          <w:sz w:val="20"/>
        </w:rPr>
        <w:t>.</w:t>
      </w:r>
    </w:p>
    <w:p>
      <w:pPr>
        <w:pStyle w:val="BodyText"/>
        <w:spacing w:before="8"/>
      </w:pPr>
    </w:p>
    <w:p>
      <w:pPr>
        <w:spacing w:line="235" w:lineRule="auto" w:before="1"/>
        <w:ind w:left="705" w:right="167" w:hanging="541"/>
        <w:jc w:val="both"/>
        <w:rPr>
          <w:sz w:val="20"/>
        </w:rPr>
      </w:pPr>
      <w:bookmarkStart w:name="_bookmark762" w:id="764"/>
      <w:bookmarkEnd w:id="764"/>
      <w:r>
        <w:rPr/>
      </w:r>
      <w:hyperlink w:history="true" w:anchor="_bookmark637">
        <w:r>
          <w:rPr>
            <w:color w:val="005DA1"/>
            <w:position w:val="5"/>
            <w:sz w:val="14"/>
            <w:u w:val="single" w:color="005DA1"/>
          </w:rPr>
          <w:t>344</w:t>
        </w:r>
      </w:hyperlink>
      <w:r>
        <w:rPr>
          <w:position w:val="5"/>
          <w:sz w:val="14"/>
        </w:rPr>
        <w:t>.</w:t>
      </w:r>
      <w:r>
        <w:rPr>
          <w:spacing w:val="80"/>
          <w:position w:val="5"/>
          <w:sz w:val="14"/>
        </w:rPr>
        <w:t>  </w:t>
      </w:r>
      <w:r>
        <w:rPr>
          <w:sz w:val="20"/>
        </w:rPr>
        <w:t>See</w:t>
      </w:r>
      <w:r>
        <w:rPr>
          <w:spacing w:val="78"/>
          <w:sz w:val="20"/>
        </w:rPr>
        <w:t> </w:t>
      </w:r>
      <w:r>
        <w:rPr>
          <w:sz w:val="20"/>
        </w:rPr>
        <w:t>generally</w:t>
      </w:r>
      <w:r>
        <w:rPr>
          <w:spacing w:val="78"/>
          <w:sz w:val="20"/>
        </w:rPr>
        <w:t> </w:t>
      </w:r>
      <w:r>
        <w:rPr>
          <w:sz w:val="20"/>
        </w:rPr>
        <w:t>on</w:t>
      </w:r>
      <w:r>
        <w:rPr>
          <w:spacing w:val="78"/>
          <w:sz w:val="20"/>
        </w:rPr>
        <w:t> </w:t>
      </w:r>
      <w:r>
        <w:rPr>
          <w:sz w:val="20"/>
        </w:rPr>
        <w:t>art.4</w:t>
      </w:r>
      <w:r>
        <w:rPr>
          <w:spacing w:val="78"/>
          <w:sz w:val="20"/>
        </w:rPr>
        <w:t> </w:t>
      </w:r>
      <w:r>
        <w:rPr>
          <w:rFonts w:ascii="Arial"/>
          <w:i/>
          <w:sz w:val="20"/>
        </w:rPr>
        <w:t>Intercontainer</w:t>
      </w:r>
      <w:r>
        <w:rPr>
          <w:rFonts w:ascii="Arial"/>
          <w:i/>
          <w:spacing w:val="78"/>
          <w:sz w:val="20"/>
        </w:rPr>
        <w:t> </w:t>
      </w:r>
      <w:r>
        <w:rPr>
          <w:rFonts w:ascii="Arial"/>
          <w:i/>
          <w:sz w:val="20"/>
        </w:rPr>
        <w:t>Interfrigo</w:t>
      </w:r>
      <w:r>
        <w:rPr>
          <w:rFonts w:ascii="Arial"/>
          <w:i/>
          <w:spacing w:val="78"/>
          <w:sz w:val="20"/>
        </w:rPr>
        <w:t> </w:t>
      </w:r>
      <w:r>
        <w:rPr>
          <w:rFonts w:ascii="Arial"/>
          <w:i/>
          <w:sz w:val="20"/>
        </w:rPr>
        <w:t>SC</w:t>
      </w:r>
      <w:r>
        <w:rPr>
          <w:rFonts w:ascii="Arial"/>
          <w:i/>
          <w:spacing w:val="78"/>
          <w:sz w:val="20"/>
        </w:rPr>
        <w:t> </w:t>
      </w:r>
      <w:r>
        <w:rPr>
          <w:rFonts w:ascii="Arial"/>
          <w:i/>
          <w:sz w:val="20"/>
        </w:rPr>
        <w:t>(ICF)</w:t>
      </w:r>
      <w:r>
        <w:rPr>
          <w:rFonts w:ascii="Arial"/>
          <w:i/>
          <w:spacing w:val="78"/>
          <w:sz w:val="20"/>
        </w:rPr>
        <w:t> </w:t>
      </w:r>
      <w:r>
        <w:rPr>
          <w:rFonts w:ascii="Arial"/>
          <w:i/>
          <w:sz w:val="20"/>
        </w:rPr>
        <w:t>v</w:t>
      </w:r>
      <w:r>
        <w:rPr>
          <w:rFonts w:ascii="Arial"/>
          <w:i/>
          <w:spacing w:val="78"/>
          <w:sz w:val="20"/>
        </w:rPr>
        <w:t> </w:t>
      </w:r>
      <w:r>
        <w:rPr>
          <w:rFonts w:ascii="Arial"/>
          <w:i/>
          <w:sz w:val="20"/>
        </w:rPr>
        <w:t>Balkenende</w:t>
      </w:r>
      <w:r>
        <w:rPr>
          <w:rFonts w:ascii="Arial"/>
          <w:i/>
          <w:spacing w:val="78"/>
          <w:sz w:val="20"/>
        </w:rPr>
        <w:t> </w:t>
      </w:r>
      <w:r>
        <w:rPr>
          <w:rFonts w:ascii="Arial"/>
          <w:i/>
          <w:sz w:val="20"/>
        </w:rPr>
        <w:t>Oosthuizen</w:t>
      </w:r>
      <w:r>
        <w:rPr>
          <w:rFonts w:ascii="Arial"/>
          <w:i/>
          <w:spacing w:val="78"/>
          <w:sz w:val="20"/>
        </w:rPr>
        <w:t> </w:t>
      </w:r>
      <w:r>
        <w:rPr>
          <w:rFonts w:ascii="Arial"/>
          <w:i/>
          <w:sz w:val="20"/>
        </w:rPr>
        <w:t>BV (C-133/08) [2010] Q.B. 411</w:t>
      </w:r>
      <w:r>
        <w:rPr>
          <w:sz w:val="20"/>
        </w:rPr>
        <w:t>. Presumptions, once fashionable in English law, were </w:t>
      </w:r>
      <w:r>
        <w:rPr>
          <w:sz w:val="20"/>
        </w:rPr>
        <w:t>eventually abandoned: </w:t>
      </w:r>
      <w:r>
        <w:rPr>
          <w:rFonts w:ascii="Arial"/>
          <w:i/>
          <w:sz w:val="20"/>
        </w:rPr>
        <w:t>Coast Lines Ltd v Hudig &amp; Veder Chartering NV [1972] 2 Q.B. 34</w:t>
      </w:r>
      <w:r>
        <w:rPr>
          <w:sz w:val="20"/>
        </w:rPr>
        <w:t>.</w:t>
      </w:r>
    </w:p>
    <w:p>
      <w:pPr>
        <w:pStyle w:val="BodyText"/>
        <w:spacing w:before="4"/>
      </w:pPr>
    </w:p>
    <w:p>
      <w:pPr>
        <w:pStyle w:val="BodyText"/>
        <w:tabs>
          <w:tab w:pos="705" w:val="left" w:leader="none"/>
        </w:tabs>
        <w:spacing w:before="1"/>
        <w:ind w:left="165"/>
      </w:pPr>
      <w:bookmarkStart w:name="_bookmark763" w:id="765"/>
      <w:bookmarkEnd w:id="765"/>
      <w:r>
        <w:rPr/>
      </w:r>
      <w:hyperlink w:history="true" w:anchor="_bookmark638">
        <w:r>
          <w:rPr>
            <w:color w:val="005DA1"/>
            <w:spacing w:val="-4"/>
            <w:position w:val="5"/>
            <w:sz w:val="14"/>
            <w:u w:val="single" w:color="005DA1"/>
          </w:rPr>
          <w:t>345</w:t>
        </w:r>
      </w:hyperlink>
      <w:r>
        <w:rPr>
          <w:spacing w:val="-4"/>
          <w:position w:val="5"/>
          <w:sz w:val="14"/>
        </w:rPr>
        <w:t>.</w:t>
      </w:r>
      <w:r>
        <w:rPr>
          <w:position w:val="5"/>
          <w:sz w:val="14"/>
        </w:rPr>
        <w:tab/>
      </w:r>
      <w:r>
        <w:rPr/>
        <w:t>Rome Convention art.4(3). See below, paras 30-081 et </w:t>
      </w:r>
      <w:r>
        <w:rPr>
          <w:spacing w:val="-4"/>
        </w:rPr>
        <w:t>seq.</w:t>
      </w:r>
    </w:p>
    <w:p>
      <w:pPr>
        <w:pStyle w:val="BodyText"/>
        <w:spacing w:before="4"/>
      </w:pPr>
    </w:p>
    <w:p>
      <w:pPr>
        <w:pStyle w:val="BodyText"/>
        <w:tabs>
          <w:tab w:pos="705" w:val="left" w:leader="none"/>
        </w:tabs>
        <w:spacing w:before="1"/>
        <w:ind w:left="165"/>
      </w:pPr>
      <w:bookmarkStart w:name="_bookmark764" w:id="766"/>
      <w:bookmarkEnd w:id="766"/>
      <w:r>
        <w:rPr/>
      </w:r>
      <w:hyperlink w:history="true" w:anchor="_bookmark639">
        <w:r>
          <w:rPr>
            <w:color w:val="005DA1"/>
            <w:spacing w:val="-4"/>
            <w:position w:val="5"/>
            <w:sz w:val="14"/>
            <w:u w:val="single" w:color="005DA1"/>
          </w:rPr>
          <w:t>346</w:t>
        </w:r>
      </w:hyperlink>
      <w:r>
        <w:rPr>
          <w:spacing w:val="-4"/>
          <w:position w:val="5"/>
          <w:sz w:val="14"/>
        </w:rPr>
        <w:t>.</w:t>
      </w:r>
      <w:r>
        <w:rPr>
          <w:position w:val="5"/>
          <w:sz w:val="14"/>
        </w:rPr>
        <w:tab/>
      </w:r>
      <w:r>
        <w:rPr/>
        <w:t>Rome Convention art.4(4). See below, paras 30-084 et </w:t>
      </w:r>
      <w:r>
        <w:rPr>
          <w:spacing w:val="-4"/>
        </w:rPr>
        <w:t>seq.</w:t>
      </w:r>
    </w:p>
    <w:p>
      <w:pPr>
        <w:pStyle w:val="BodyText"/>
        <w:spacing w:before="5"/>
      </w:pPr>
    </w:p>
    <w:p>
      <w:pPr>
        <w:pStyle w:val="BodyText"/>
        <w:tabs>
          <w:tab w:pos="705" w:val="left" w:leader="none"/>
        </w:tabs>
        <w:ind w:left="165"/>
      </w:pPr>
      <w:bookmarkStart w:name="_bookmark765" w:id="767"/>
      <w:bookmarkEnd w:id="767"/>
      <w:r>
        <w:rPr/>
      </w:r>
      <w:hyperlink w:history="true" w:anchor="_bookmark640">
        <w:r>
          <w:rPr>
            <w:color w:val="005DA1"/>
            <w:spacing w:val="-4"/>
            <w:position w:val="5"/>
            <w:sz w:val="14"/>
            <w:u w:val="single" w:color="005DA1"/>
          </w:rPr>
          <w:t>347</w:t>
        </w:r>
      </w:hyperlink>
      <w:r>
        <w:rPr>
          <w:spacing w:val="-4"/>
          <w:position w:val="5"/>
          <w:sz w:val="14"/>
        </w:rPr>
        <w:t>.</w:t>
      </w:r>
      <w:r>
        <w:rPr>
          <w:position w:val="5"/>
          <w:sz w:val="14"/>
        </w:rPr>
        <w:tab/>
      </w:r>
      <w:r>
        <w:rPr/>
        <w:t>See below, paras 30-072 et </w:t>
      </w:r>
      <w:r>
        <w:rPr>
          <w:spacing w:val="-4"/>
        </w:rPr>
        <w:t>seq.</w:t>
      </w:r>
    </w:p>
    <w:p>
      <w:pPr>
        <w:pStyle w:val="BodyText"/>
        <w:spacing w:before="5"/>
      </w:pPr>
    </w:p>
    <w:p>
      <w:pPr>
        <w:pStyle w:val="BodyText"/>
        <w:tabs>
          <w:tab w:pos="705" w:val="left" w:leader="none"/>
        </w:tabs>
        <w:ind w:left="165"/>
      </w:pPr>
      <w:bookmarkStart w:name="_bookmark766" w:id="768"/>
      <w:bookmarkEnd w:id="768"/>
      <w:r>
        <w:rPr/>
      </w:r>
      <w:hyperlink w:history="true" w:anchor="_bookmark641">
        <w:r>
          <w:rPr>
            <w:color w:val="005DA1"/>
            <w:spacing w:val="-4"/>
            <w:position w:val="5"/>
            <w:sz w:val="14"/>
            <w:u w:val="single" w:color="005DA1"/>
          </w:rPr>
          <w:t>348</w:t>
        </w:r>
      </w:hyperlink>
      <w:r>
        <w:rPr>
          <w:spacing w:val="-4"/>
          <w:position w:val="5"/>
          <w:sz w:val="14"/>
        </w:rPr>
        <w:t>.</w:t>
      </w:r>
      <w:r>
        <w:rPr>
          <w:position w:val="5"/>
          <w:sz w:val="14"/>
        </w:rPr>
        <w:tab/>
      </w:r>
      <w:r>
        <w:rPr/>
        <w:t>Rome Convention art.4(5). See below, paras 30-089 et </w:t>
      </w:r>
      <w:r>
        <w:rPr>
          <w:spacing w:val="-4"/>
        </w:rPr>
        <w:t>seq.</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67" w:id="769"/>
      <w:bookmarkEnd w:id="769"/>
      <w:r>
        <w:rPr/>
      </w:r>
      <w:hyperlink w:history="true" w:anchor="_bookmark642">
        <w:r>
          <w:rPr>
            <w:color w:val="005DA1"/>
            <w:spacing w:val="-4"/>
            <w:position w:val="5"/>
            <w:sz w:val="14"/>
            <w:u w:val="single" w:color="005DA1"/>
          </w:rPr>
          <w:t>349</w:t>
        </w:r>
      </w:hyperlink>
      <w:r>
        <w:rPr>
          <w:spacing w:val="-4"/>
          <w:position w:val="5"/>
          <w:sz w:val="14"/>
        </w:rPr>
        <w:t>.</w:t>
      </w:r>
      <w:r>
        <w:rPr>
          <w:position w:val="5"/>
          <w:sz w:val="14"/>
        </w:rPr>
        <w:tab/>
      </w:r>
      <w:r>
        <w:rPr>
          <w:sz w:val="20"/>
        </w:rPr>
        <w:t>See generally </w:t>
      </w:r>
      <w:r>
        <w:rPr>
          <w:rFonts w:ascii="Arial"/>
          <w:i/>
          <w:sz w:val="20"/>
        </w:rPr>
        <w:t>Intercontainer Interfrigo SC (ICF) v Balkenende Oosthuizen BV (C-133/08) </w:t>
      </w:r>
      <w:r>
        <w:rPr>
          <w:rFonts w:ascii="Arial"/>
          <w:i/>
          <w:spacing w:val="-2"/>
          <w:sz w:val="20"/>
        </w:rPr>
        <w:t>[2010]</w:t>
      </w:r>
    </w:p>
    <w:p>
      <w:pPr>
        <w:pStyle w:val="BodyText"/>
        <w:spacing w:line="235" w:lineRule="auto" w:before="1"/>
        <w:ind w:left="705" w:right="167"/>
        <w:jc w:val="both"/>
      </w:pPr>
      <w:r>
        <w:rPr>
          <w:rFonts w:ascii="Arial" w:hAnsi="Arial"/>
          <w:i/>
        </w:rPr>
        <w:t>Q.B. 411</w:t>
      </w:r>
      <w:r>
        <w:rPr/>
        <w:t>. Dicey, Morris and Collins, paras 32-113—32-117; Cheshire, North and </w:t>
      </w:r>
      <w:r>
        <w:rPr/>
        <w:t>Fawcett, pp.711–716;</w:t>
      </w:r>
      <w:r>
        <w:rPr>
          <w:spacing w:val="57"/>
        </w:rPr>
        <w:t> </w:t>
      </w:r>
      <w:r>
        <w:rPr/>
        <w:t>Kaye,</w:t>
      </w:r>
      <w:r>
        <w:rPr>
          <w:spacing w:val="57"/>
        </w:rPr>
        <w:t> </w:t>
      </w:r>
      <w:r>
        <w:rPr/>
        <w:t>pp.178–183;</w:t>
      </w:r>
      <w:r>
        <w:rPr>
          <w:spacing w:val="57"/>
        </w:rPr>
        <w:t> </w:t>
      </w:r>
      <w:r>
        <w:rPr/>
        <w:t>Schultsz,</w:t>
      </w:r>
      <w:r>
        <w:rPr>
          <w:spacing w:val="57"/>
        </w:rPr>
        <w:t> </w:t>
      </w:r>
      <w:r>
        <w:rPr>
          <w:rFonts w:ascii="Arial" w:hAnsi="Arial"/>
          <w:i/>
        </w:rPr>
        <w:t>Contract</w:t>
      </w:r>
      <w:r>
        <w:rPr>
          <w:rFonts w:ascii="Arial" w:hAnsi="Arial"/>
          <w:i/>
          <w:spacing w:val="57"/>
        </w:rPr>
        <w:t> </w:t>
      </w:r>
      <w:r>
        <w:rPr>
          <w:rFonts w:ascii="Arial" w:hAnsi="Arial"/>
          <w:i/>
        </w:rPr>
        <w:t>Conflicts</w:t>
      </w:r>
      <w:r>
        <w:rPr>
          <w:rFonts w:ascii="Arial" w:hAnsi="Arial"/>
          <w:i/>
          <w:spacing w:val="57"/>
        </w:rPr>
        <w:t> </w:t>
      </w:r>
      <w:r>
        <w:rPr/>
        <w:t>(1982),</w:t>
      </w:r>
      <w:r>
        <w:rPr>
          <w:spacing w:val="57"/>
        </w:rPr>
        <w:t> </w:t>
      </w:r>
      <w:r>
        <w:rPr/>
        <w:t>p.185;</w:t>
      </w:r>
      <w:r>
        <w:rPr>
          <w:spacing w:val="57"/>
        </w:rPr>
        <w:t> </w:t>
      </w:r>
      <w:r>
        <w:rPr/>
        <w:t>Hill</w:t>
      </w:r>
      <w:r>
        <w:rPr>
          <w:spacing w:val="57"/>
        </w:rPr>
        <w:t> </w:t>
      </w:r>
      <w:r>
        <w:rPr/>
        <w:t>(2004)</w:t>
      </w:r>
      <w:r>
        <w:rPr>
          <w:spacing w:val="57"/>
        </w:rPr>
        <w:t> </w:t>
      </w:r>
      <w:r>
        <w:rPr>
          <w:spacing w:val="-5"/>
        </w:rPr>
        <w:t>5</w:t>
      </w:r>
      <w:r>
        <w:rPr>
          <w:spacing w:val="-5"/>
        </w:rPr>
        <w:t>3</w:t>
      </w:r>
    </w:p>
    <w:p>
      <w:pPr>
        <w:pStyle w:val="BodyText"/>
        <w:spacing w:line="235" w:lineRule="auto"/>
        <w:ind w:left="705" w:right="167"/>
        <w:jc w:val="both"/>
      </w:pPr>
      <w:r>
        <w:rPr/>
        <w:t>I.C.L.Q. 325; Atrill (2004) 53 I.C.L.Q. 349; Diamond (1986) 216 Recueil des Cours IV 233, 273–276; Lasok and Stone, </w:t>
      </w:r>
      <w:r>
        <w:rPr>
          <w:rFonts w:ascii="Arial" w:hAnsi="Arial"/>
          <w:i/>
        </w:rPr>
        <w:t>Conflict of Laws in the European Community </w:t>
      </w:r>
      <w:r>
        <w:rPr/>
        <w:t>(1987), </w:t>
      </w:r>
      <w:r>
        <w:rPr/>
        <w:t>pp.361–364; Morse</w:t>
      </w:r>
      <w:r>
        <w:rPr>
          <w:spacing w:val="23"/>
        </w:rPr>
        <w:t> </w:t>
      </w:r>
      <w:r>
        <w:rPr/>
        <w:t>(1982)</w:t>
      </w:r>
      <w:r>
        <w:rPr>
          <w:spacing w:val="23"/>
        </w:rPr>
        <w:t> </w:t>
      </w:r>
      <w:r>
        <w:rPr/>
        <w:t>2</w:t>
      </w:r>
      <w:r>
        <w:rPr>
          <w:spacing w:val="23"/>
        </w:rPr>
        <w:t> </w:t>
      </w:r>
      <w:r>
        <w:rPr/>
        <w:t>Ybk.</w:t>
      </w:r>
      <w:r>
        <w:rPr>
          <w:spacing w:val="23"/>
        </w:rPr>
        <w:t> </w:t>
      </w:r>
      <w:r>
        <w:rPr/>
        <w:t>Eur.</w:t>
      </w:r>
      <w:r>
        <w:rPr>
          <w:spacing w:val="23"/>
        </w:rPr>
        <w:t> </w:t>
      </w:r>
      <w:r>
        <w:rPr/>
        <w:t>L.</w:t>
      </w:r>
      <w:r>
        <w:rPr>
          <w:spacing w:val="23"/>
        </w:rPr>
        <w:t> </w:t>
      </w:r>
      <w:r>
        <w:rPr/>
        <w:t>107,</w:t>
      </w:r>
      <w:r>
        <w:rPr>
          <w:spacing w:val="23"/>
        </w:rPr>
        <w:t> </w:t>
      </w:r>
      <w:r>
        <w:rPr/>
        <w:t>126–131;</w:t>
      </w:r>
      <w:r>
        <w:rPr>
          <w:spacing w:val="23"/>
        </w:rPr>
        <w:t> </w:t>
      </w:r>
      <w:r>
        <w:rPr/>
        <w:t>Lipstein</w:t>
      </w:r>
      <w:r>
        <w:rPr>
          <w:spacing w:val="23"/>
        </w:rPr>
        <w:t> </w:t>
      </w:r>
      <w:r>
        <w:rPr/>
        <w:t>(1981)</w:t>
      </w:r>
      <w:r>
        <w:rPr>
          <w:spacing w:val="23"/>
        </w:rPr>
        <w:t> </w:t>
      </w:r>
      <w:r>
        <w:rPr/>
        <w:t>3</w:t>
      </w:r>
      <w:r>
        <w:rPr>
          <w:spacing w:val="23"/>
        </w:rPr>
        <w:t> </w:t>
      </w:r>
      <w:r>
        <w:rPr/>
        <w:t>Northwestern</w:t>
      </w:r>
      <w:r>
        <w:rPr>
          <w:spacing w:val="23"/>
        </w:rPr>
        <w:t> </w:t>
      </w:r>
      <w:r>
        <w:rPr/>
        <w:t>Journal</w:t>
      </w:r>
      <w:r>
        <w:rPr>
          <w:spacing w:val="23"/>
        </w:rPr>
        <w:t> </w:t>
      </w:r>
      <w:r>
        <w:rPr/>
        <w:t>Int’l.</w:t>
      </w:r>
      <w:r>
        <w:rPr>
          <w:spacing w:val="23"/>
        </w:rPr>
        <w:t> </w:t>
      </w:r>
      <w:r>
        <w:rPr/>
        <w:t>L.</w:t>
      </w:r>
      <w:r>
        <w:rPr>
          <w:spacing w:val="23"/>
        </w:rPr>
        <w:t> </w:t>
      </w:r>
      <w:r>
        <w:rPr>
          <w:spacing w:val="-10"/>
        </w:rPr>
        <w:t>&amp;</w:t>
      </w:r>
    </w:p>
    <w:p>
      <w:pPr>
        <w:pStyle w:val="BodyText"/>
        <w:spacing w:line="225" w:lineRule="exact"/>
        <w:ind w:left="705"/>
        <w:jc w:val="both"/>
      </w:pPr>
      <w:r>
        <w:rPr/>
        <w:t>Bus. 402; Jessurun d’Oliveira (1977) 25 Am. J. Comp. L. </w:t>
      </w:r>
      <w:r>
        <w:rPr>
          <w:spacing w:val="-4"/>
        </w:rPr>
        <w:t>303.</w:t>
      </w:r>
    </w:p>
    <w:p>
      <w:pPr>
        <w:pStyle w:val="BodyText"/>
        <w:spacing w:before="4"/>
      </w:pPr>
    </w:p>
    <w:p>
      <w:pPr>
        <w:pStyle w:val="BodyText"/>
        <w:tabs>
          <w:tab w:pos="705" w:val="left" w:leader="none"/>
        </w:tabs>
        <w:ind w:left="165"/>
      </w:pPr>
      <w:bookmarkStart w:name="_bookmark768" w:id="770"/>
      <w:bookmarkEnd w:id="770"/>
      <w:r>
        <w:rPr/>
      </w:r>
      <w:hyperlink w:history="true" w:anchor="_bookmark643">
        <w:r>
          <w:rPr>
            <w:color w:val="005DA1"/>
            <w:spacing w:val="-4"/>
            <w:position w:val="5"/>
            <w:sz w:val="14"/>
            <w:u w:val="single" w:color="005DA1"/>
          </w:rPr>
          <w:t>350</w:t>
        </w:r>
      </w:hyperlink>
      <w:r>
        <w:rPr>
          <w:spacing w:val="-4"/>
          <w:position w:val="5"/>
          <w:sz w:val="14"/>
        </w:rPr>
        <w:t>.</w:t>
      </w:r>
      <w:r>
        <w:rPr>
          <w:position w:val="5"/>
          <w:sz w:val="14"/>
        </w:rPr>
        <w:tab/>
      </w:r>
      <w:r>
        <w:rPr/>
        <w:t>cf. Giuliano-Lagarde Report, </w:t>
      </w:r>
      <w:r>
        <w:rPr>
          <w:spacing w:val="-2"/>
        </w:rPr>
        <w:t>p.20.</w:t>
      </w:r>
    </w:p>
    <w:p>
      <w:pPr>
        <w:pStyle w:val="BodyText"/>
        <w:spacing w:before="9"/>
      </w:pPr>
    </w:p>
    <w:p>
      <w:pPr>
        <w:pStyle w:val="BodyText"/>
        <w:tabs>
          <w:tab w:pos="705" w:val="left" w:leader="none"/>
        </w:tabs>
        <w:spacing w:line="235" w:lineRule="auto"/>
        <w:ind w:left="705" w:right="167" w:hanging="541"/>
      </w:pPr>
      <w:bookmarkStart w:name="_bookmark769" w:id="771"/>
      <w:bookmarkEnd w:id="771"/>
      <w:r>
        <w:rPr/>
      </w:r>
      <w:hyperlink w:history="true" w:anchor="_bookmark644">
        <w:r>
          <w:rPr>
            <w:color w:val="005DA1"/>
            <w:spacing w:val="-4"/>
            <w:position w:val="5"/>
            <w:sz w:val="14"/>
            <w:u w:val="single" w:color="005DA1"/>
          </w:rPr>
          <w:t>351</w:t>
        </w:r>
      </w:hyperlink>
      <w:r>
        <w:rPr>
          <w:spacing w:val="-4"/>
          <w:position w:val="5"/>
          <w:sz w:val="14"/>
        </w:rPr>
        <w:t>.</w:t>
      </w:r>
      <w:r>
        <w:rPr>
          <w:position w:val="5"/>
          <w:sz w:val="14"/>
        </w:rPr>
        <w:tab/>
      </w:r>
      <w:r>
        <w:rPr/>
        <w:t>See</w:t>
      </w:r>
      <w:r>
        <w:rPr>
          <w:spacing w:val="40"/>
        </w:rPr>
        <w:t> </w:t>
      </w:r>
      <w:r>
        <w:rPr/>
        <w:t>Lipstein</w:t>
      </w:r>
      <w:r>
        <w:rPr>
          <w:spacing w:val="40"/>
        </w:rPr>
        <w:t> </w:t>
      </w:r>
      <w:r>
        <w:rPr/>
        <w:t>(1981)</w:t>
      </w:r>
      <w:r>
        <w:rPr>
          <w:spacing w:val="40"/>
        </w:rPr>
        <w:t> </w:t>
      </w:r>
      <w:r>
        <w:rPr/>
        <w:t>3</w:t>
      </w:r>
      <w:r>
        <w:rPr>
          <w:spacing w:val="40"/>
        </w:rPr>
        <w:t> </w:t>
      </w:r>
      <w:r>
        <w:rPr/>
        <w:t>Northwestern</w:t>
      </w:r>
      <w:r>
        <w:rPr>
          <w:spacing w:val="40"/>
        </w:rPr>
        <w:t> </w:t>
      </w:r>
      <w:r>
        <w:rPr/>
        <w:t>Journal</w:t>
      </w:r>
      <w:r>
        <w:rPr>
          <w:spacing w:val="40"/>
        </w:rPr>
        <w:t> </w:t>
      </w:r>
      <w:r>
        <w:rPr/>
        <w:t>Int’l</w:t>
      </w:r>
      <w:r>
        <w:rPr>
          <w:spacing w:val="40"/>
        </w:rPr>
        <w:t> </w:t>
      </w:r>
      <w:r>
        <w:rPr/>
        <w:t>L.</w:t>
      </w:r>
      <w:r>
        <w:rPr>
          <w:spacing w:val="40"/>
        </w:rPr>
        <w:t> </w:t>
      </w:r>
      <w:r>
        <w:rPr/>
        <w:t>&amp;</w:t>
      </w:r>
      <w:r>
        <w:rPr>
          <w:spacing w:val="40"/>
        </w:rPr>
        <w:t> </w:t>
      </w:r>
      <w:r>
        <w:rPr/>
        <w:t>Bus.</w:t>
      </w:r>
      <w:r>
        <w:rPr>
          <w:spacing w:val="40"/>
        </w:rPr>
        <w:t> </w:t>
      </w:r>
      <w:r>
        <w:rPr/>
        <w:t>402;</w:t>
      </w:r>
      <w:r>
        <w:rPr>
          <w:spacing w:val="40"/>
        </w:rPr>
        <w:t> </w:t>
      </w:r>
      <w:r>
        <w:rPr/>
        <w:t>Dicey,</w:t>
      </w:r>
      <w:r>
        <w:rPr>
          <w:spacing w:val="40"/>
        </w:rPr>
        <w:t> </w:t>
      </w:r>
      <w:r>
        <w:rPr/>
        <w:t>Morris</w:t>
      </w:r>
      <w:r>
        <w:rPr>
          <w:spacing w:val="40"/>
        </w:rPr>
        <w:t> </w:t>
      </w:r>
      <w:r>
        <w:rPr/>
        <w:t>and</w:t>
      </w:r>
      <w:r>
        <w:rPr>
          <w:spacing w:val="40"/>
        </w:rPr>
        <w:t> </w:t>
      </w:r>
      <w:r>
        <w:rPr/>
        <w:t>Collins, </w:t>
      </w:r>
      <w:r>
        <w:rPr>
          <w:spacing w:val="-2"/>
        </w:rPr>
        <w:t>para.32-124.</w:t>
      </w:r>
    </w:p>
    <w:p>
      <w:pPr>
        <w:pStyle w:val="BodyText"/>
        <w:spacing w:before="5"/>
      </w:pPr>
    </w:p>
    <w:p>
      <w:pPr>
        <w:pStyle w:val="BodyText"/>
        <w:tabs>
          <w:tab w:pos="705" w:val="left" w:leader="none"/>
        </w:tabs>
        <w:spacing w:before="1"/>
        <w:ind w:left="165"/>
      </w:pPr>
      <w:bookmarkStart w:name="_bookmark770" w:id="772"/>
      <w:bookmarkEnd w:id="772"/>
      <w:r>
        <w:rPr/>
      </w:r>
      <w:hyperlink w:history="true" w:anchor="_bookmark645">
        <w:r>
          <w:rPr>
            <w:color w:val="005DA1"/>
            <w:spacing w:val="-4"/>
            <w:position w:val="5"/>
            <w:sz w:val="14"/>
            <w:u w:val="single" w:color="005DA1"/>
          </w:rPr>
          <w:t>352</w:t>
        </w:r>
      </w:hyperlink>
      <w:r>
        <w:rPr>
          <w:spacing w:val="-4"/>
          <w:position w:val="5"/>
          <w:sz w:val="14"/>
        </w:rPr>
        <w:t>.</w:t>
      </w:r>
      <w:r>
        <w:rPr>
          <w:position w:val="5"/>
          <w:sz w:val="14"/>
        </w:rPr>
        <w:tab/>
      </w:r>
      <w:r>
        <w:rPr/>
        <w:t>Giuliano-Lagarde Report, </w:t>
      </w:r>
      <w:r>
        <w:rPr>
          <w:spacing w:val="-2"/>
        </w:rPr>
        <w:t>p.20.</w:t>
      </w:r>
    </w:p>
    <w:p>
      <w:pPr>
        <w:pStyle w:val="BodyText"/>
        <w:spacing w:before="4"/>
      </w:pPr>
    </w:p>
    <w:p>
      <w:pPr>
        <w:pStyle w:val="BodyText"/>
        <w:tabs>
          <w:tab w:pos="705" w:val="left" w:leader="none"/>
        </w:tabs>
        <w:spacing w:line="227" w:lineRule="exact" w:before="1"/>
        <w:ind w:left="165"/>
      </w:pPr>
      <w:bookmarkStart w:name="_bookmark771" w:id="773"/>
      <w:bookmarkEnd w:id="773"/>
      <w:r>
        <w:rPr/>
      </w:r>
      <w:hyperlink w:history="true" w:anchor="_bookmark646">
        <w:r>
          <w:rPr>
            <w:color w:val="005DA1"/>
            <w:spacing w:val="-4"/>
            <w:position w:val="5"/>
            <w:sz w:val="14"/>
            <w:u w:val="single" w:color="005DA1"/>
          </w:rPr>
          <w:t>353</w:t>
        </w:r>
      </w:hyperlink>
      <w:r>
        <w:rPr>
          <w:spacing w:val="-4"/>
          <w:position w:val="5"/>
          <w:sz w:val="14"/>
        </w:rPr>
        <w:t>.</w:t>
      </w:r>
      <w:r>
        <w:rPr>
          <w:position w:val="5"/>
          <w:sz w:val="14"/>
        </w:rPr>
        <w:tab/>
      </w:r>
      <w:r>
        <w:rPr/>
        <w:t>e.g.</w:t>
      </w:r>
      <w:r>
        <w:rPr>
          <w:spacing w:val="17"/>
        </w:rPr>
        <w:t> </w:t>
      </w:r>
      <w:r>
        <w:rPr/>
        <w:t>Lasok</w:t>
      </w:r>
      <w:r>
        <w:rPr>
          <w:spacing w:val="17"/>
        </w:rPr>
        <w:t> </w:t>
      </w:r>
      <w:r>
        <w:rPr/>
        <w:t>and</w:t>
      </w:r>
      <w:r>
        <w:rPr>
          <w:spacing w:val="17"/>
        </w:rPr>
        <w:t> </w:t>
      </w:r>
      <w:r>
        <w:rPr/>
        <w:t>Stone;</w:t>
      </w:r>
      <w:r>
        <w:rPr>
          <w:spacing w:val="17"/>
        </w:rPr>
        <w:t> </w:t>
      </w:r>
      <w:r>
        <w:rPr/>
        <w:t>Morse</w:t>
      </w:r>
      <w:r>
        <w:rPr>
          <w:spacing w:val="17"/>
        </w:rPr>
        <w:t> </w:t>
      </w:r>
      <w:r>
        <w:rPr/>
        <w:t>(1982)</w:t>
      </w:r>
      <w:r>
        <w:rPr>
          <w:spacing w:val="17"/>
        </w:rPr>
        <w:t> </w:t>
      </w:r>
      <w:r>
        <w:rPr/>
        <w:t>2</w:t>
      </w:r>
      <w:r>
        <w:rPr>
          <w:spacing w:val="17"/>
        </w:rPr>
        <w:t> </w:t>
      </w:r>
      <w:r>
        <w:rPr/>
        <w:t>Ybk.</w:t>
      </w:r>
      <w:r>
        <w:rPr>
          <w:spacing w:val="17"/>
        </w:rPr>
        <w:t> </w:t>
      </w:r>
      <w:r>
        <w:rPr/>
        <w:t>Eur.</w:t>
      </w:r>
      <w:r>
        <w:rPr>
          <w:spacing w:val="17"/>
        </w:rPr>
        <w:t> </w:t>
      </w:r>
      <w:r>
        <w:rPr/>
        <w:t>L.</w:t>
      </w:r>
      <w:r>
        <w:rPr>
          <w:spacing w:val="17"/>
        </w:rPr>
        <w:t> </w:t>
      </w:r>
      <w:r>
        <w:rPr/>
        <w:t>107;</w:t>
      </w:r>
      <w:r>
        <w:rPr>
          <w:spacing w:val="17"/>
        </w:rPr>
        <w:t> </w:t>
      </w:r>
      <w:r>
        <w:rPr/>
        <w:t>Jessurun</w:t>
      </w:r>
      <w:r>
        <w:rPr>
          <w:spacing w:val="17"/>
        </w:rPr>
        <w:t> </w:t>
      </w:r>
      <w:r>
        <w:rPr/>
        <w:t>d’Oliveira</w:t>
      </w:r>
      <w:r>
        <w:rPr>
          <w:spacing w:val="17"/>
        </w:rPr>
        <w:t> </w:t>
      </w:r>
      <w:r>
        <w:rPr/>
        <w:t>(1977)</w:t>
      </w:r>
      <w:r>
        <w:rPr>
          <w:spacing w:val="17"/>
        </w:rPr>
        <w:t> </w:t>
      </w:r>
      <w:r>
        <w:rPr/>
        <w:t>25</w:t>
      </w:r>
      <w:r>
        <w:rPr>
          <w:spacing w:val="17"/>
        </w:rPr>
        <w:t> </w:t>
      </w:r>
      <w:r>
        <w:rPr/>
        <w:t>Am.</w:t>
      </w:r>
      <w:r>
        <w:rPr>
          <w:spacing w:val="17"/>
        </w:rPr>
        <w:t> </w:t>
      </w:r>
      <w:r>
        <w:rPr>
          <w:spacing w:val="-5"/>
        </w:rPr>
        <w:t>J.</w:t>
      </w:r>
    </w:p>
    <w:p>
      <w:pPr>
        <w:pStyle w:val="BodyText"/>
        <w:spacing w:line="227" w:lineRule="exact"/>
        <w:ind w:left="705"/>
      </w:pPr>
      <w:r>
        <w:rPr/>
        <w:t>Comp. L. </w:t>
      </w:r>
      <w:r>
        <w:rPr>
          <w:spacing w:val="-4"/>
        </w:rPr>
        <w:t>303.</w:t>
      </w:r>
    </w:p>
    <w:p>
      <w:pPr>
        <w:pStyle w:val="BodyText"/>
        <w:spacing w:before="8"/>
      </w:pPr>
    </w:p>
    <w:p>
      <w:pPr>
        <w:tabs>
          <w:tab w:pos="705" w:val="left" w:leader="none"/>
        </w:tabs>
        <w:spacing w:line="235" w:lineRule="auto" w:before="0"/>
        <w:ind w:left="705" w:right="168" w:hanging="541"/>
        <w:jc w:val="left"/>
        <w:rPr>
          <w:sz w:val="20"/>
        </w:rPr>
      </w:pPr>
      <w:bookmarkStart w:name="_bookmark772" w:id="774"/>
      <w:bookmarkEnd w:id="774"/>
      <w:r>
        <w:rPr/>
      </w:r>
      <w:hyperlink w:history="true" w:anchor="_bookmark647">
        <w:r>
          <w:rPr>
            <w:color w:val="005DA1"/>
            <w:spacing w:val="-4"/>
            <w:position w:val="5"/>
            <w:sz w:val="14"/>
            <w:u w:val="single" w:color="005DA1"/>
          </w:rPr>
          <w:t>354</w:t>
        </w:r>
      </w:hyperlink>
      <w:r>
        <w:rPr>
          <w:spacing w:val="-4"/>
          <w:position w:val="5"/>
          <w:sz w:val="14"/>
        </w:rPr>
        <w:t>.</w:t>
      </w:r>
      <w:r>
        <w:rPr>
          <w:position w:val="5"/>
          <w:sz w:val="14"/>
        </w:rPr>
        <w:tab/>
      </w:r>
      <w:r>
        <w:rPr>
          <w:sz w:val="20"/>
        </w:rPr>
        <w:t>Giuliano-Lagarde</w:t>
      </w:r>
      <w:r>
        <w:rPr>
          <w:spacing w:val="40"/>
          <w:sz w:val="20"/>
        </w:rPr>
        <w:t> </w:t>
      </w:r>
      <w:r>
        <w:rPr>
          <w:sz w:val="20"/>
        </w:rPr>
        <w:t>Report,</w:t>
      </w:r>
      <w:r>
        <w:rPr>
          <w:spacing w:val="40"/>
          <w:sz w:val="20"/>
        </w:rPr>
        <w:t> </w:t>
      </w:r>
      <w:r>
        <w:rPr>
          <w:sz w:val="20"/>
        </w:rPr>
        <w:t>p.20.</w:t>
      </w:r>
      <w:r>
        <w:rPr>
          <w:spacing w:val="40"/>
          <w:sz w:val="20"/>
        </w:rPr>
        <w:t> </w:t>
      </w:r>
      <w:r>
        <w:rPr>
          <w:sz w:val="20"/>
        </w:rPr>
        <w:t>See</w:t>
      </w:r>
      <w:r>
        <w:rPr>
          <w:spacing w:val="40"/>
          <w:sz w:val="20"/>
        </w:rPr>
        <w:t> </w:t>
      </w:r>
      <w:r>
        <w:rPr>
          <w:sz w:val="20"/>
        </w:rPr>
        <w:t>also</w:t>
      </w:r>
      <w:r>
        <w:rPr>
          <w:spacing w:val="40"/>
          <w:sz w:val="20"/>
        </w:rPr>
        <w:t> </w:t>
      </w:r>
      <w:r>
        <w:rPr>
          <w:rFonts w:ascii="Arial"/>
          <w:i/>
          <w:sz w:val="20"/>
        </w:rPr>
        <w:t>Intercontainer</w:t>
      </w:r>
      <w:r>
        <w:rPr>
          <w:rFonts w:ascii="Arial"/>
          <w:i/>
          <w:spacing w:val="40"/>
          <w:sz w:val="20"/>
        </w:rPr>
        <w:t> </w:t>
      </w:r>
      <w:r>
        <w:rPr>
          <w:rFonts w:ascii="Arial"/>
          <w:i/>
          <w:sz w:val="20"/>
        </w:rPr>
        <w:t>Interfrigo</w:t>
      </w:r>
      <w:r>
        <w:rPr>
          <w:rFonts w:ascii="Arial"/>
          <w:i/>
          <w:spacing w:val="40"/>
          <w:sz w:val="20"/>
        </w:rPr>
        <w:t> </w:t>
      </w:r>
      <w:r>
        <w:rPr>
          <w:rFonts w:ascii="Arial"/>
          <w:i/>
          <w:sz w:val="20"/>
        </w:rPr>
        <w:t>SC</w:t>
      </w:r>
      <w:r>
        <w:rPr>
          <w:rFonts w:ascii="Arial"/>
          <w:i/>
          <w:spacing w:val="40"/>
          <w:sz w:val="20"/>
        </w:rPr>
        <w:t> </w:t>
      </w:r>
      <w:r>
        <w:rPr>
          <w:rFonts w:ascii="Arial"/>
          <w:i/>
          <w:sz w:val="20"/>
        </w:rPr>
        <w:t>(ICF)</w:t>
      </w:r>
      <w:r>
        <w:rPr>
          <w:rFonts w:ascii="Arial"/>
          <w:i/>
          <w:spacing w:val="40"/>
          <w:sz w:val="20"/>
        </w:rPr>
        <w:t> </w:t>
      </w:r>
      <w:r>
        <w:rPr>
          <w:rFonts w:ascii="Arial"/>
          <w:i/>
          <w:sz w:val="20"/>
        </w:rPr>
        <w:t>v</w:t>
      </w:r>
      <w:r>
        <w:rPr>
          <w:rFonts w:ascii="Arial"/>
          <w:i/>
          <w:spacing w:val="40"/>
          <w:sz w:val="20"/>
        </w:rPr>
        <w:t> </w:t>
      </w:r>
      <w:r>
        <w:rPr>
          <w:rFonts w:ascii="Arial"/>
          <w:i/>
          <w:sz w:val="20"/>
        </w:rPr>
        <w:t>Balkenende</w:t>
      </w:r>
      <w:r>
        <w:rPr>
          <w:rFonts w:ascii="Arial"/>
          <w:i/>
          <w:spacing w:val="40"/>
          <w:sz w:val="20"/>
        </w:rPr>
        <w:t> </w:t>
      </w:r>
      <w:r>
        <w:rPr>
          <w:rFonts w:ascii="Arial"/>
          <w:i/>
          <w:sz w:val="20"/>
        </w:rPr>
        <w:t>Oosthuizen BV (C-133/08) [2010] Q.B. 411</w:t>
      </w:r>
      <w:r>
        <w:rPr>
          <w:sz w:val="20"/>
        </w:rPr>
        <w:t>, per Bot A.G. at [44] of the Opinion.</w:t>
      </w:r>
    </w:p>
    <w:p>
      <w:pPr>
        <w:pStyle w:val="BodyText"/>
        <w:spacing w:before="6"/>
      </w:pPr>
    </w:p>
    <w:p>
      <w:pPr>
        <w:pStyle w:val="BodyText"/>
        <w:tabs>
          <w:tab w:pos="705" w:val="left" w:leader="none"/>
        </w:tabs>
        <w:ind w:left="165"/>
      </w:pPr>
      <w:bookmarkStart w:name="_bookmark773" w:id="775"/>
      <w:bookmarkEnd w:id="775"/>
      <w:r>
        <w:rPr/>
      </w:r>
      <w:hyperlink w:history="true" w:anchor="_bookmark648">
        <w:r>
          <w:rPr>
            <w:color w:val="005DA1"/>
            <w:spacing w:val="-4"/>
            <w:position w:val="5"/>
            <w:sz w:val="14"/>
            <w:u w:val="single" w:color="005DA1"/>
          </w:rPr>
          <w:t>355</w:t>
        </w:r>
      </w:hyperlink>
      <w:r>
        <w:rPr>
          <w:spacing w:val="-4"/>
          <w:position w:val="5"/>
          <w:sz w:val="14"/>
        </w:rPr>
        <w:t>.</w:t>
      </w:r>
      <w:r>
        <w:rPr>
          <w:position w:val="5"/>
          <w:sz w:val="14"/>
        </w:rPr>
        <w:tab/>
      </w:r>
      <w:r>
        <w:rPr/>
        <w:t>Giuliano-Lagarde Report, p.20. See Maher (2002) Jur. Rev. </w:t>
      </w:r>
      <w:r>
        <w:rPr>
          <w:spacing w:val="-4"/>
        </w:rPr>
        <w:t>317.</w:t>
      </w:r>
    </w:p>
    <w:p>
      <w:pPr>
        <w:pStyle w:val="BodyText"/>
        <w:spacing w:before="9"/>
      </w:pPr>
    </w:p>
    <w:p>
      <w:pPr>
        <w:spacing w:line="235" w:lineRule="auto" w:before="0"/>
        <w:ind w:left="705" w:right="167" w:hanging="541"/>
        <w:jc w:val="both"/>
        <w:rPr>
          <w:sz w:val="20"/>
        </w:rPr>
      </w:pPr>
      <w:bookmarkStart w:name="_bookmark774" w:id="776"/>
      <w:bookmarkEnd w:id="776"/>
      <w:r>
        <w:rPr/>
      </w:r>
      <w:hyperlink w:history="true" w:anchor="_bookmark649">
        <w:r>
          <w:rPr>
            <w:color w:val="005DA1"/>
            <w:position w:val="5"/>
            <w:sz w:val="14"/>
            <w:u w:val="single" w:color="005DA1"/>
          </w:rPr>
          <w:t>356</w:t>
        </w:r>
      </w:hyperlink>
      <w:r>
        <w:rPr>
          <w:position w:val="5"/>
          <w:sz w:val="14"/>
        </w:rPr>
        <w:t>.</w:t>
      </w:r>
      <w:r>
        <w:rPr>
          <w:spacing w:val="80"/>
          <w:position w:val="5"/>
          <w:sz w:val="14"/>
        </w:rPr>
        <w:t> </w:t>
      </w:r>
      <w:r>
        <w:rPr>
          <w:sz w:val="20"/>
        </w:rPr>
        <w:t>See </w:t>
      </w:r>
      <w:r>
        <w:rPr>
          <w:rFonts w:ascii="Arial"/>
          <w:i/>
          <w:sz w:val="20"/>
        </w:rPr>
        <w:t>Waldweise Stiftung v Lewis [2004] EWHC 2589 (Ch) </w:t>
      </w:r>
      <w:r>
        <w:rPr>
          <w:sz w:val="20"/>
        </w:rPr>
        <w:t>(gift); </w:t>
      </w:r>
      <w:r>
        <w:rPr>
          <w:rFonts w:ascii="Arial"/>
          <w:i/>
          <w:sz w:val="20"/>
        </w:rPr>
        <w:t>Ophthalmic Innovations International (United Kingdom) Ltd v Ophthalmic Innovations International Inc [2004] </w:t>
      </w:r>
      <w:r>
        <w:rPr>
          <w:rFonts w:ascii="Arial"/>
          <w:i/>
          <w:sz w:val="20"/>
        </w:rPr>
        <w:t>EWHC 2948 (Ch), [2005] I.L.Pr. 109 </w:t>
      </w:r>
      <w:r>
        <w:rPr>
          <w:sz w:val="20"/>
        </w:rPr>
        <w:t>(indemnification agreement); </w:t>
      </w:r>
      <w:r>
        <w:rPr>
          <w:rFonts w:ascii="Arial"/>
          <w:i/>
          <w:sz w:val="20"/>
        </w:rPr>
        <w:t>Ark Therapeutics Plc v True North Capital</w:t>
      </w:r>
      <w:r>
        <w:rPr>
          <w:rFonts w:ascii="Arial"/>
          <w:i/>
          <w:spacing w:val="31"/>
          <w:sz w:val="20"/>
        </w:rPr>
        <w:t> </w:t>
      </w:r>
      <w:r>
        <w:rPr>
          <w:rFonts w:ascii="Arial"/>
          <w:i/>
          <w:sz w:val="20"/>
        </w:rPr>
        <w:t>Ltd</w:t>
      </w:r>
      <w:r>
        <w:rPr>
          <w:rFonts w:ascii="Arial"/>
          <w:i/>
          <w:spacing w:val="33"/>
          <w:sz w:val="20"/>
        </w:rPr>
        <w:t> </w:t>
      </w:r>
      <w:r>
        <w:rPr>
          <w:rFonts w:ascii="Arial"/>
          <w:i/>
          <w:sz w:val="20"/>
        </w:rPr>
        <w:t>[2005]</w:t>
      </w:r>
      <w:r>
        <w:rPr>
          <w:rFonts w:ascii="Arial"/>
          <w:i/>
          <w:spacing w:val="33"/>
          <w:sz w:val="20"/>
        </w:rPr>
        <w:t> </w:t>
      </w:r>
      <w:r>
        <w:rPr>
          <w:rFonts w:ascii="Arial"/>
          <w:i/>
          <w:sz w:val="20"/>
        </w:rPr>
        <w:t>EWHC</w:t>
      </w:r>
      <w:r>
        <w:rPr>
          <w:rFonts w:ascii="Arial"/>
          <w:i/>
          <w:spacing w:val="33"/>
          <w:sz w:val="20"/>
        </w:rPr>
        <w:t> </w:t>
      </w:r>
      <w:r>
        <w:rPr>
          <w:rFonts w:ascii="Arial"/>
          <w:i/>
          <w:sz w:val="20"/>
        </w:rPr>
        <w:t>1585</w:t>
      </w:r>
      <w:r>
        <w:rPr>
          <w:rFonts w:ascii="Arial"/>
          <w:i/>
          <w:spacing w:val="33"/>
          <w:sz w:val="20"/>
        </w:rPr>
        <w:t> </w:t>
      </w:r>
      <w:r>
        <w:rPr>
          <w:rFonts w:ascii="Arial"/>
          <w:i/>
          <w:sz w:val="20"/>
        </w:rPr>
        <w:t>(Comm),</w:t>
      </w:r>
      <w:r>
        <w:rPr>
          <w:rFonts w:ascii="Arial"/>
          <w:i/>
          <w:spacing w:val="33"/>
          <w:sz w:val="20"/>
        </w:rPr>
        <w:t> </w:t>
      </w:r>
      <w:r>
        <w:rPr>
          <w:rFonts w:ascii="Arial"/>
          <w:i/>
          <w:sz w:val="20"/>
        </w:rPr>
        <w:t>[2006]</w:t>
      </w:r>
      <w:r>
        <w:rPr>
          <w:rFonts w:ascii="Arial"/>
          <w:i/>
          <w:spacing w:val="33"/>
          <w:sz w:val="20"/>
        </w:rPr>
        <w:t> </w:t>
      </w:r>
      <w:r>
        <w:rPr>
          <w:rFonts w:ascii="Arial"/>
          <w:i/>
          <w:sz w:val="20"/>
        </w:rPr>
        <w:t>1</w:t>
      </w:r>
      <w:r>
        <w:rPr>
          <w:rFonts w:ascii="Arial"/>
          <w:i/>
          <w:spacing w:val="33"/>
          <w:sz w:val="20"/>
        </w:rPr>
        <w:t> </w:t>
      </w:r>
      <w:r>
        <w:rPr>
          <w:rFonts w:ascii="Arial"/>
          <w:i/>
          <w:sz w:val="20"/>
        </w:rPr>
        <w:t>All</w:t>
      </w:r>
      <w:r>
        <w:rPr>
          <w:rFonts w:ascii="Arial"/>
          <w:i/>
          <w:spacing w:val="33"/>
          <w:sz w:val="20"/>
        </w:rPr>
        <w:t> </w:t>
      </w:r>
      <w:r>
        <w:rPr>
          <w:rFonts w:ascii="Arial"/>
          <w:i/>
          <w:sz w:val="20"/>
        </w:rPr>
        <w:t>E.R.</w:t>
      </w:r>
      <w:r>
        <w:rPr>
          <w:rFonts w:ascii="Arial"/>
          <w:i/>
          <w:spacing w:val="33"/>
          <w:sz w:val="20"/>
        </w:rPr>
        <w:t> </w:t>
      </w:r>
      <w:r>
        <w:rPr>
          <w:rFonts w:ascii="Arial"/>
          <w:i/>
          <w:sz w:val="20"/>
        </w:rPr>
        <w:t>(Comm)</w:t>
      </w:r>
      <w:r>
        <w:rPr>
          <w:rFonts w:ascii="Arial"/>
          <w:i/>
          <w:spacing w:val="33"/>
          <w:sz w:val="20"/>
        </w:rPr>
        <w:t> </w:t>
      </w:r>
      <w:r>
        <w:rPr>
          <w:rFonts w:ascii="Arial"/>
          <w:i/>
          <w:sz w:val="20"/>
        </w:rPr>
        <w:t>138</w:t>
      </w:r>
      <w:r>
        <w:rPr>
          <w:rFonts w:ascii="Arial"/>
          <w:i/>
          <w:spacing w:val="33"/>
          <w:sz w:val="20"/>
        </w:rPr>
        <w:t> </w:t>
      </w:r>
      <w:r>
        <w:rPr>
          <w:sz w:val="20"/>
        </w:rPr>
        <w:t>(letter</w:t>
      </w:r>
      <w:r>
        <w:rPr>
          <w:spacing w:val="33"/>
          <w:sz w:val="20"/>
        </w:rPr>
        <w:t> </w:t>
      </w:r>
      <w:r>
        <w:rPr>
          <w:sz w:val="20"/>
        </w:rPr>
        <w:t>of</w:t>
      </w:r>
      <w:r>
        <w:rPr>
          <w:spacing w:val="33"/>
          <w:sz w:val="20"/>
        </w:rPr>
        <w:t> </w:t>
      </w:r>
      <w:r>
        <w:rPr>
          <w:sz w:val="20"/>
        </w:rPr>
        <w:t>intent).</w:t>
      </w:r>
      <w:r>
        <w:rPr>
          <w:spacing w:val="33"/>
          <w:sz w:val="20"/>
        </w:rPr>
        <w:t> </w:t>
      </w:r>
      <w:r>
        <w:rPr>
          <w:spacing w:val="-5"/>
          <w:sz w:val="20"/>
        </w:rPr>
        <w:t>cf.</w:t>
      </w:r>
    </w:p>
    <w:p>
      <w:pPr>
        <w:spacing w:line="235" w:lineRule="auto" w:before="0"/>
        <w:ind w:left="705" w:right="169" w:firstLine="0"/>
        <w:jc w:val="both"/>
        <w:rPr>
          <w:sz w:val="20"/>
        </w:rPr>
      </w:pPr>
      <w:r>
        <w:rPr>
          <w:rFonts w:ascii="Arial" w:hAnsi="Arial"/>
          <w:i/>
          <w:sz w:val="20"/>
        </w:rPr>
        <w:t>Halpern v Halpern (Nos 1 and 2) [2007] EWCA Civ 291, [2008] Q.B. 195 </w:t>
      </w:r>
      <w:r>
        <w:rPr>
          <w:sz w:val="20"/>
        </w:rPr>
        <w:t>(compromise agreement); </w:t>
      </w:r>
      <w:r>
        <w:rPr>
          <w:rFonts w:ascii="Arial" w:hAnsi="Arial"/>
          <w:i/>
          <w:sz w:val="20"/>
        </w:rPr>
        <w:t>Standard Bank Plc v Agrinvest International Inc [2007] EWHC 2595 </w:t>
      </w:r>
      <w:r>
        <w:rPr>
          <w:rFonts w:ascii="Arial" w:hAnsi="Arial"/>
          <w:i/>
          <w:sz w:val="20"/>
        </w:rPr>
        <w:t>(Comm), [2008] 1 Lloyd’s Rep. 532 </w:t>
      </w:r>
      <w:r>
        <w:rPr>
          <w:sz w:val="20"/>
        </w:rPr>
        <w:t>(option agreement). See Maher (2002) Jur. Rev. 317; Kaye at p.181.</w:t>
      </w:r>
    </w:p>
    <w:p>
      <w:pPr>
        <w:pStyle w:val="BodyText"/>
        <w:spacing w:before="7"/>
      </w:pPr>
    </w:p>
    <w:p>
      <w:pPr>
        <w:tabs>
          <w:tab w:pos="705" w:val="left" w:leader="none"/>
        </w:tabs>
        <w:spacing w:line="235" w:lineRule="auto" w:before="0"/>
        <w:ind w:left="705" w:right="168" w:hanging="541"/>
        <w:jc w:val="left"/>
        <w:rPr>
          <w:sz w:val="20"/>
        </w:rPr>
      </w:pPr>
      <w:bookmarkStart w:name="_bookmark775" w:id="777"/>
      <w:bookmarkEnd w:id="777"/>
      <w:r>
        <w:rPr/>
      </w:r>
      <w:hyperlink w:history="true" w:anchor="_bookmark650">
        <w:r>
          <w:rPr>
            <w:color w:val="005DA1"/>
            <w:spacing w:val="-4"/>
            <w:position w:val="5"/>
            <w:sz w:val="14"/>
            <w:u w:val="single" w:color="005DA1"/>
          </w:rPr>
          <w:t>357</w:t>
        </w:r>
      </w:hyperlink>
      <w:r>
        <w:rPr>
          <w:spacing w:val="-4"/>
          <w:position w:val="5"/>
          <w:sz w:val="14"/>
        </w:rPr>
        <w:t>.</w:t>
      </w:r>
      <w:r>
        <w:rPr>
          <w:position w:val="5"/>
          <w:sz w:val="14"/>
        </w:rPr>
        <w:tab/>
      </w:r>
      <w:r>
        <w:rPr>
          <w:sz w:val="20"/>
        </w:rPr>
        <w:t>Giuliano-Lagarde</w:t>
      </w:r>
      <w:r>
        <w:rPr>
          <w:spacing w:val="40"/>
          <w:sz w:val="20"/>
        </w:rPr>
        <w:t> </w:t>
      </w:r>
      <w:r>
        <w:rPr>
          <w:sz w:val="20"/>
        </w:rPr>
        <w:t>Report,</w:t>
      </w:r>
      <w:r>
        <w:rPr>
          <w:spacing w:val="40"/>
          <w:sz w:val="20"/>
        </w:rPr>
        <w:t> </w:t>
      </w:r>
      <w:r>
        <w:rPr>
          <w:sz w:val="20"/>
        </w:rPr>
        <w:t>p.20.</w:t>
      </w:r>
      <w:r>
        <w:rPr>
          <w:spacing w:val="40"/>
          <w:sz w:val="20"/>
        </w:rPr>
        <w:t> </w:t>
      </w:r>
      <w:r>
        <w:rPr>
          <w:sz w:val="20"/>
        </w:rPr>
        <w:t>See</w:t>
      </w:r>
      <w:r>
        <w:rPr>
          <w:spacing w:val="40"/>
          <w:sz w:val="20"/>
        </w:rPr>
        <w:t> </w:t>
      </w:r>
      <w:r>
        <w:rPr>
          <w:sz w:val="20"/>
        </w:rPr>
        <w:t>also</w:t>
      </w:r>
      <w:r>
        <w:rPr>
          <w:spacing w:val="40"/>
          <w:sz w:val="20"/>
        </w:rPr>
        <w:t> </w:t>
      </w:r>
      <w:r>
        <w:rPr>
          <w:rFonts w:ascii="Arial" w:hAnsi="Arial"/>
          <w:i/>
          <w:sz w:val="20"/>
        </w:rPr>
        <w:t>Intercontainer</w:t>
      </w:r>
      <w:r>
        <w:rPr>
          <w:rFonts w:ascii="Arial" w:hAnsi="Arial"/>
          <w:i/>
          <w:spacing w:val="40"/>
          <w:sz w:val="20"/>
        </w:rPr>
        <w:t> </w:t>
      </w:r>
      <w:r>
        <w:rPr>
          <w:rFonts w:ascii="Arial" w:hAnsi="Arial"/>
          <w:i/>
          <w:sz w:val="20"/>
        </w:rPr>
        <w:t>Interfrigo</w:t>
      </w:r>
      <w:r>
        <w:rPr>
          <w:rFonts w:ascii="Arial" w:hAnsi="Arial"/>
          <w:i/>
          <w:spacing w:val="40"/>
          <w:sz w:val="20"/>
        </w:rPr>
        <w:t> </w:t>
      </w:r>
      <w:r>
        <w:rPr>
          <w:rFonts w:ascii="Arial" w:hAnsi="Arial"/>
          <w:i/>
          <w:sz w:val="20"/>
        </w:rPr>
        <w:t>SC</w:t>
      </w:r>
      <w:r>
        <w:rPr>
          <w:rFonts w:ascii="Arial" w:hAnsi="Arial"/>
          <w:i/>
          <w:spacing w:val="40"/>
          <w:sz w:val="20"/>
        </w:rPr>
        <w:t> </w:t>
      </w:r>
      <w:r>
        <w:rPr>
          <w:rFonts w:ascii="Arial" w:hAnsi="Arial"/>
          <w:i/>
          <w:sz w:val="20"/>
        </w:rPr>
        <w:t>(ICF)</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Balkenende</w:t>
      </w:r>
      <w:r>
        <w:rPr>
          <w:rFonts w:ascii="Arial" w:hAnsi="Arial"/>
          <w:i/>
          <w:spacing w:val="40"/>
          <w:sz w:val="20"/>
        </w:rPr>
        <w:t> </w:t>
      </w:r>
      <w:r>
        <w:rPr>
          <w:rFonts w:ascii="Arial" w:hAnsi="Arial"/>
          <w:i/>
          <w:sz w:val="20"/>
        </w:rPr>
        <w:t>Oosthuizen BV (C-133/08) [2010] Q.B. 411</w:t>
      </w:r>
      <w:r>
        <w:rPr>
          <w:sz w:val="20"/>
        </w:rPr>
        <w:t>, per Bot A.G. at [45]–[46] of the Opinion.</w:t>
      </w:r>
    </w:p>
    <w:p>
      <w:pPr>
        <w:pStyle w:val="BodyText"/>
        <w:spacing w:before="5"/>
      </w:pPr>
    </w:p>
    <w:p>
      <w:pPr>
        <w:pStyle w:val="BodyText"/>
        <w:tabs>
          <w:tab w:pos="705" w:val="left" w:leader="none"/>
        </w:tabs>
        <w:spacing w:before="1"/>
        <w:ind w:left="165"/>
      </w:pPr>
      <w:bookmarkStart w:name="_bookmark776" w:id="778"/>
      <w:bookmarkEnd w:id="778"/>
      <w:r>
        <w:rPr/>
      </w:r>
      <w:hyperlink w:history="true" w:anchor="_bookmark651">
        <w:r>
          <w:rPr>
            <w:color w:val="005DA1"/>
            <w:spacing w:val="-4"/>
            <w:position w:val="5"/>
            <w:sz w:val="14"/>
            <w:u w:val="single" w:color="005DA1"/>
          </w:rPr>
          <w:t>358</w:t>
        </w:r>
      </w:hyperlink>
      <w:r>
        <w:rPr>
          <w:spacing w:val="-4"/>
          <w:position w:val="5"/>
          <w:sz w:val="14"/>
        </w:rPr>
        <w:t>.</w:t>
      </w:r>
      <w:r>
        <w:rPr>
          <w:position w:val="5"/>
          <w:sz w:val="14"/>
        </w:rPr>
        <w:tab/>
      </w:r>
      <w:r>
        <w:rPr/>
        <w:t>See, further, below, paras 30-088 et </w:t>
      </w:r>
      <w:r>
        <w:rPr>
          <w:spacing w:val="-4"/>
        </w:rPr>
        <w:t>seq.</w:t>
      </w:r>
    </w:p>
    <w:p>
      <w:pPr>
        <w:pStyle w:val="BodyText"/>
        <w:spacing w:before="4"/>
      </w:pPr>
    </w:p>
    <w:p>
      <w:pPr>
        <w:pStyle w:val="BodyText"/>
        <w:tabs>
          <w:tab w:pos="705" w:val="left" w:leader="none"/>
        </w:tabs>
        <w:spacing w:before="1"/>
        <w:ind w:left="165"/>
      </w:pPr>
      <w:bookmarkStart w:name="_bookmark777" w:id="779"/>
      <w:bookmarkEnd w:id="779"/>
      <w:r>
        <w:rPr/>
      </w:r>
      <w:hyperlink w:history="true" w:anchor="_bookmark652">
        <w:r>
          <w:rPr>
            <w:color w:val="005DA1"/>
            <w:spacing w:val="-4"/>
            <w:position w:val="5"/>
            <w:sz w:val="14"/>
            <w:u w:val="single" w:color="005DA1"/>
          </w:rPr>
          <w:t>359</w:t>
        </w:r>
      </w:hyperlink>
      <w:r>
        <w:rPr>
          <w:spacing w:val="-4"/>
          <w:position w:val="5"/>
          <w:sz w:val="14"/>
        </w:rPr>
        <w:t>.</w:t>
      </w:r>
      <w:r>
        <w:rPr>
          <w:position w:val="5"/>
          <w:sz w:val="14"/>
        </w:rPr>
        <w:tab/>
      </w:r>
      <w:r>
        <w:rPr/>
        <w:t>See, e.g. Dicey, Morris and Collins, </w:t>
      </w:r>
      <w:r>
        <w:rPr>
          <w:spacing w:val="-2"/>
        </w:rPr>
        <w:t>para.32–124.</w:t>
      </w:r>
    </w:p>
    <w:p>
      <w:pPr>
        <w:pStyle w:val="BodyText"/>
        <w:spacing w:before="5"/>
      </w:pPr>
    </w:p>
    <w:p>
      <w:pPr>
        <w:tabs>
          <w:tab w:pos="705" w:val="left" w:leader="none"/>
        </w:tabs>
        <w:spacing w:before="0"/>
        <w:ind w:left="165" w:right="0" w:firstLine="0"/>
        <w:jc w:val="left"/>
        <w:rPr>
          <w:sz w:val="20"/>
        </w:rPr>
      </w:pPr>
      <w:bookmarkStart w:name="_bookmark778" w:id="780"/>
      <w:bookmarkEnd w:id="780"/>
      <w:r>
        <w:rPr/>
      </w:r>
      <w:hyperlink w:history="true" w:anchor="_bookmark653">
        <w:r>
          <w:rPr>
            <w:color w:val="005DA1"/>
            <w:spacing w:val="-4"/>
            <w:position w:val="5"/>
            <w:sz w:val="14"/>
            <w:u w:val="single" w:color="005DA1"/>
          </w:rPr>
          <w:t>360</w:t>
        </w:r>
      </w:hyperlink>
      <w:r>
        <w:rPr>
          <w:spacing w:val="-4"/>
          <w:position w:val="5"/>
          <w:sz w:val="14"/>
        </w:rPr>
        <w:t>.</w:t>
      </w:r>
      <w:r>
        <w:rPr>
          <w:position w:val="5"/>
          <w:sz w:val="14"/>
        </w:rPr>
        <w:tab/>
      </w:r>
      <w:r>
        <w:rPr>
          <w:rFonts w:ascii="Arial"/>
          <w:i/>
          <w:sz w:val="20"/>
        </w:rPr>
        <w:t>Apple Corps Ltd v Apple Computer Inc [2004] EWHC 768 (Ch), [2004] I.L.Pr. </w:t>
      </w:r>
      <w:r>
        <w:rPr>
          <w:rFonts w:ascii="Arial"/>
          <w:i/>
          <w:spacing w:val="-4"/>
          <w:sz w:val="20"/>
        </w:rPr>
        <w:t>597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79" w:id="781"/>
      <w:bookmarkEnd w:id="781"/>
      <w:r>
        <w:rPr/>
      </w:r>
      <w:hyperlink w:history="true" w:anchor="_bookmark654">
        <w:r>
          <w:rPr>
            <w:color w:val="005DA1"/>
            <w:spacing w:val="-4"/>
            <w:position w:val="5"/>
            <w:sz w:val="14"/>
            <w:u w:val="single" w:color="005DA1"/>
          </w:rPr>
          <w:t>361</w:t>
        </w:r>
      </w:hyperlink>
      <w:r>
        <w:rPr>
          <w:spacing w:val="-4"/>
          <w:position w:val="5"/>
          <w:sz w:val="14"/>
        </w:rPr>
        <w:t>.</w:t>
      </w:r>
      <w:r>
        <w:rPr>
          <w:position w:val="5"/>
          <w:sz w:val="14"/>
        </w:rPr>
        <w:tab/>
      </w:r>
      <w:r>
        <w:rPr>
          <w:rFonts w:ascii="Arial"/>
          <w:i/>
          <w:sz w:val="20"/>
        </w:rPr>
        <w:t>Golden Ocean Group Ltd v Salgaocar Mining Industries Pvt Ltd [2012] EWCA Civ </w:t>
      </w:r>
      <w:r>
        <w:rPr>
          <w:rFonts w:ascii="Arial"/>
          <w:i/>
          <w:spacing w:val="-4"/>
          <w:sz w:val="20"/>
        </w:rPr>
        <w:t>265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80" w:id="782"/>
      <w:bookmarkEnd w:id="782"/>
      <w:r>
        <w:rPr/>
      </w:r>
      <w:hyperlink w:history="true" w:anchor="_bookmark655">
        <w:r>
          <w:rPr>
            <w:color w:val="005DA1"/>
            <w:spacing w:val="-4"/>
            <w:position w:val="5"/>
            <w:sz w:val="14"/>
            <w:u w:val="single" w:color="005DA1"/>
          </w:rPr>
          <w:t>362</w:t>
        </w:r>
      </w:hyperlink>
      <w:r>
        <w:rPr>
          <w:spacing w:val="-4"/>
          <w:position w:val="5"/>
          <w:sz w:val="14"/>
        </w:rPr>
        <w:t>.</w:t>
      </w:r>
      <w:r>
        <w:rPr>
          <w:position w:val="5"/>
          <w:sz w:val="14"/>
        </w:rPr>
        <w:tab/>
      </w:r>
      <w:r>
        <w:rPr>
          <w:sz w:val="20"/>
        </w:rPr>
        <w:t>Kaye, </w:t>
      </w:r>
      <w:r>
        <w:rPr>
          <w:spacing w:val="-2"/>
          <w:sz w:val="20"/>
        </w:rPr>
        <w:t>p.182.</w:t>
      </w:r>
    </w:p>
    <w:p>
      <w:pPr>
        <w:spacing w:after="0"/>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656">
        <w:r>
          <w:rPr>
            <w:color w:val="005DA1"/>
            <w:position w:val="5"/>
            <w:sz w:val="14"/>
            <w:u w:val="single" w:color="005DA1"/>
          </w:rPr>
          <w:t>363</w:t>
        </w:r>
      </w:hyperlink>
      <w:r>
        <w:rPr>
          <w:position w:val="5"/>
          <w:sz w:val="14"/>
        </w:rPr>
        <w:t>.</w:t>
      </w:r>
      <w:r>
        <w:rPr>
          <w:spacing w:val="80"/>
          <w:w w:val="150"/>
          <w:position w:val="5"/>
          <w:sz w:val="14"/>
        </w:rPr>
        <w:t> </w:t>
      </w:r>
      <w:r>
        <w:rPr>
          <w:sz w:val="20"/>
        </w:rPr>
        <w:t>See Collins, </w:t>
      </w:r>
      <w:r>
        <w:rPr>
          <w:rFonts w:ascii="Arial" w:hAnsi="Arial"/>
          <w:i/>
          <w:sz w:val="20"/>
        </w:rPr>
        <w:t>Contract Conflicts </w:t>
      </w:r>
      <w:r>
        <w:rPr>
          <w:sz w:val="20"/>
        </w:rPr>
        <w:t>(1982), pp.206–210; Dicey, Morris and Collins, para.32–117. </w:t>
      </w:r>
      <w:r>
        <w:rPr>
          <w:sz w:val="20"/>
        </w:rPr>
        <w:t>cf. </w:t>
      </w:r>
      <w:r>
        <w:rPr>
          <w:rFonts w:ascii="Arial" w:hAnsi="Arial"/>
          <w:i/>
          <w:sz w:val="20"/>
        </w:rPr>
        <w:t>Print Concept GmbH v GEW (EC) Ltd [2001] EWCA Civ 352, [2002] C.L.C. 352 </w:t>
      </w:r>
      <w:r>
        <w:rPr>
          <w:sz w:val="20"/>
        </w:rPr>
        <w:t>(characteristic performance of a distributorship agreement intended to be fulfilled by individual contracts of</w:t>
      </w:r>
      <w:r>
        <w:rPr>
          <w:spacing w:val="40"/>
          <w:sz w:val="20"/>
        </w:rPr>
        <w:t> </w:t>
      </w:r>
      <w:r>
        <w:rPr>
          <w:sz w:val="20"/>
        </w:rPr>
        <w:t>sale and purchase is that of the vendor).</w:t>
      </w:r>
    </w:p>
    <w:p>
      <w:pPr>
        <w:pStyle w:val="BodyText"/>
        <w:spacing w:before="5"/>
      </w:pPr>
    </w:p>
    <w:p>
      <w:pPr>
        <w:tabs>
          <w:tab w:pos="705" w:val="left" w:leader="none"/>
        </w:tabs>
        <w:spacing w:before="0"/>
        <w:ind w:left="165" w:right="0" w:firstLine="0"/>
        <w:jc w:val="left"/>
        <w:rPr>
          <w:sz w:val="20"/>
        </w:rPr>
      </w:pPr>
      <w:bookmarkStart w:name="_bookmark781" w:id="783"/>
      <w:bookmarkEnd w:id="783"/>
      <w:r>
        <w:rPr/>
      </w:r>
      <w:hyperlink w:history="true" w:anchor="_bookmark656">
        <w:r>
          <w:rPr>
            <w:color w:val="005DA1"/>
            <w:spacing w:val="-4"/>
            <w:position w:val="5"/>
            <w:sz w:val="14"/>
            <w:u w:val="single" w:color="005DA1"/>
          </w:rPr>
          <w:t>364</w:t>
        </w:r>
      </w:hyperlink>
      <w:r>
        <w:rPr>
          <w:spacing w:val="-4"/>
          <w:position w:val="5"/>
          <w:sz w:val="14"/>
        </w:rPr>
        <w:t>.</w:t>
      </w:r>
      <w:r>
        <w:rPr>
          <w:position w:val="5"/>
          <w:sz w:val="14"/>
        </w:rPr>
        <w:tab/>
      </w:r>
      <w:r>
        <w:rPr>
          <w:sz w:val="20"/>
        </w:rPr>
        <w:t>Kaye, </w:t>
      </w:r>
      <w:r>
        <w:rPr>
          <w:spacing w:val="-2"/>
          <w:sz w:val="20"/>
        </w:rPr>
        <w:t>p.182.</w:t>
      </w:r>
    </w:p>
    <w:p>
      <w:pPr>
        <w:pStyle w:val="BodyText"/>
        <w:spacing w:before="9"/>
      </w:pPr>
    </w:p>
    <w:p>
      <w:pPr>
        <w:spacing w:line="235" w:lineRule="auto" w:before="0"/>
        <w:ind w:left="705" w:right="167" w:hanging="541"/>
        <w:jc w:val="both"/>
        <w:rPr>
          <w:rFonts w:ascii="Arial"/>
          <w:i/>
          <w:sz w:val="20"/>
        </w:rPr>
      </w:pPr>
      <w:bookmarkStart w:name="_bookmark782" w:id="784"/>
      <w:bookmarkEnd w:id="784"/>
      <w:r>
        <w:rPr/>
      </w:r>
      <w:hyperlink w:history="true" w:anchor="_bookmark657">
        <w:r>
          <w:rPr>
            <w:color w:val="005DA1"/>
            <w:position w:val="5"/>
            <w:sz w:val="14"/>
            <w:u w:val="single" w:color="005DA1"/>
          </w:rPr>
          <w:t>365</w:t>
        </w:r>
      </w:hyperlink>
      <w:r>
        <w:rPr>
          <w:position w:val="5"/>
          <w:sz w:val="14"/>
        </w:rPr>
        <w:t>.</w:t>
      </w:r>
      <w:r>
        <w:rPr>
          <w:spacing w:val="80"/>
          <w:position w:val="5"/>
          <w:sz w:val="14"/>
        </w:rPr>
        <w:t>  </w:t>
      </w:r>
      <w:r>
        <w:rPr>
          <w:sz w:val="20"/>
        </w:rPr>
        <w:t>See </w:t>
      </w:r>
      <w:r>
        <w:rPr>
          <w:rFonts w:ascii="Arial"/>
          <w:i/>
          <w:sz w:val="20"/>
        </w:rPr>
        <w:t>Governor and Company of the Bank of Scotland of the Mound v Butcher Unreported </w:t>
      </w:r>
      <w:r>
        <w:rPr>
          <w:rFonts w:ascii="Arial"/>
          <w:i/>
          <w:sz w:val="20"/>
        </w:rPr>
        <w:t>July 28, 1998 CA </w:t>
      </w:r>
      <w:r>
        <w:rPr>
          <w:sz w:val="20"/>
        </w:rPr>
        <w:t>(impossible to determine characteristic performance of a personal guarantee signed by two guarantors, one of whom was resident in Scotland and the other in England). Normally the characteristic performance of a guarantee will be that of the guarantor: see </w:t>
      </w:r>
      <w:r>
        <w:rPr>
          <w:rFonts w:ascii="Arial"/>
          <w:i/>
          <w:sz w:val="20"/>
        </w:rPr>
        <w:t>Samcrete Egypt Engineers and Contractors SAE v Land Rover Exports Ltd [2001] EWCA Civ 2019,</w:t>
      </w:r>
      <w:r>
        <w:rPr>
          <w:rFonts w:ascii="Arial"/>
          <w:i/>
          <w:spacing w:val="6"/>
          <w:sz w:val="20"/>
        </w:rPr>
        <w:t> </w:t>
      </w:r>
      <w:r>
        <w:rPr>
          <w:rFonts w:ascii="Arial"/>
          <w:i/>
          <w:sz w:val="20"/>
        </w:rPr>
        <w:t>[2002]</w:t>
      </w:r>
      <w:r>
        <w:rPr>
          <w:rFonts w:ascii="Arial"/>
          <w:i/>
          <w:spacing w:val="9"/>
          <w:sz w:val="20"/>
        </w:rPr>
        <w:t> </w:t>
      </w:r>
      <w:r>
        <w:rPr>
          <w:rFonts w:ascii="Arial"/>
          <w:i/>
          <w:sz w:val="20"/>
        </w:rPr>
        <w:t>C.L.C.</w:t>
      </w:r>
      <w:r>
        <w:rPr>
          <w:rFonts w:ascii="Arial"/>
          <w:i/>
          <w:spacing w:val="9"/>
          <w:sz w:val="20"/>
        </w:rPr>
        <w:t> </w:t>
      </w:r>
      <w:r>
        <w:rPr>
          <w:rFonts w:ascii="Arial"/>
          <w:i/>
          <w:sz w:val="20"/>
        </w:rPr>
        <w:t>533</w:t>
      </w:r>
      <w:r>
        <w:rPr>
          <w:sz w:val="20"/>
        </w:rPr>
        <w:t>;</w:t>
      </w:r>
      <w:r>
        <w:rPr>
          <w:spacing w:val="9"/>
          <w:sz w:val="20"/>
        </w:rPr>
        <w:t> </w:t>
      </w:r>
      <w:r>
        <w:rPr>
          <w:rFonts w:ascii="Arial"/>
          <w:i/>
          <w:sz w:val="20"/>
        </w:rPr>
        <w:t>Intercontainer</w:t>
      </w:r>
      <w:r>
        <w:rPr>
          <w:rFonts w:ascii="Arial"/>
          <w:i/>
          <w:spacing w:val="9"/>
          <w:sz w:val="20"/>
        </w:rPr>
        <w:t> </w:t>
      </w:r>
      <w:r>
        <w:rPr>
          <w:rFonts w:ascii="Arial"/>
          <w:i/>
          <w:sz w:val="20"/>
        </w:rPr>
        <w:t>Interfrigo</w:t>
      </w:r>
      <w:r>
        <w:rPr>
          <w:rFonts w:ascii="Arial"/>
          <w:i/>
          <w:spacing w:val="9"/>
          <w:sz w:val="20"/>
        </w:rPr>
        <w:t> </w:t>
      </w:r>
      <w:r>
        <w:rPr>
          <w:rFonts w:ascii="Arial"/>
          <w:i/>
          <w:sz w:val="20"/>
        </w:rPr>
        <w:t>SC</w:t>
      </w:r>
      <w:r>
        <w:rPr>
          <w:rFonts w:ascii="Arial"/>
          <w:i/>
          <w:spacing w:val="9"/>
          <w:sz w:val="20"/>
        </w:rPr>
        <w:t> </w:t>
      </w:r>
      <w:r>
        <w:rPr>
          <w:rFonts w:ascii="Arial"/>
          <w:i/>
          <w:sz w:val="20"/>
        </w:rPr>
        <w:t>(ICF)</w:t>
      </w:r>
      <w:r>
        <w:rPr>
          <w:rFonts w:ascii="Arial"/>
          <w:i/>
          <w:spacing w:val="9"/>
          <w:sz w:val="20"/>
        </w:rPr>
        <w:t> </w:t>
      </w:r>
      <w:r>
        <w:rPr>
          <w:rFonts w:ascii="Arial"/>
          <w:i/>
          <w:sz w:val="20"/>
        </w:rPr>
        <w:t>v</w:t>
      </w:r>
      <w:r>
        <w:rPr>
          <w:rFonts w:ascii="Arial"/>
          <w:i/>
          <w:spacing w:val="9"/>
          <w:sz w:val="20"/>
        </w:rPr>
        <w:t> </w:t>
      </w:r>
      <w:r>
        <w:rPr>
          <w:rFonts w:ascii="Arial"/>
          <w:i/>
          <w:sz w:val="20"/>
        </w:rPr>
        <w:t>Balkenende</w:t>
      </w:r>
      <w:r>
        <w:rPr>
          <w:rFonts w:ascii="Arial"/>
          <w:i/>
          <w:spacing w:val="9"/>
          <w:sz w:val="20"/>
        </w:rPr>
        <w:t> </w:t>
      </w:r>
      <w:r>
        <w:rPr>
          <w:rFonts w:ascii="Arial"/>
          <w:i/>
          <w:sz w:val="20"/>
        </w:rPr>
        <w:t>BV</w:t>
      </w:r>
      <w:r>
        <w:rPr>
          <w:rFonts w:ascii="Arial"/>
          <w:i/>
          <w:spacing w:val="9"/>
          <w:sz w:val="20"/>
        </w:rPr>
        <w:t> </w:t>
      </w:r>
      <w:r>
        <w:rPr>
          <w:rFonts w:ascii="Arial"/>
          <w:i/>
          <w:sz w:val="20"/>
        </w:rPr>
        <w:t>(C-133/08)</w:t>
      </w:r>
      <w:r>
        <w:rPr>
          <w:rFonts w:ascii="Arial"/>
          <w:i/>
          <w:spacing w:val="9"/>
          <w:sz w:val="20"/>
        </w:rPr>
        <w:t> </w:t>
      </w:r>
      <w:r>
        <w:rPr>
          <w:rFonts w:ascii="Arial"/>
          <w:i/>
          <w:spacing w:val="-2"/>
          <w:sz w:val="20"/>
        </w:rPr>
        <w:t>[2010]</w:t>
      </w:r>
    </w:p>
    <w:p>
      <w:pPr>
        <w:pStyle w:val="BodyText"/>
        <w:spacing w:line="224" w:lineRule="exact"/>
        <w:ind w:left="705"/>
      </w:pPr>
      <w:r>
        <w:rPr>
          <w:rFonts w:ascii="Arial"/>
          <w:i/>
        </w:rPr>
        <w:t>Q.B. 411</w:t>
      </w:r>
      <w:r>
        <w:rPr/>
        <w:t>, per Bot A.G. at [68] of the </w:t>
      </w:r>
      <w:r>
        <w:rPr>
          <w:spacing w:val="-2"/>
        </w:rPr>
        <w:t>Opinion.</w:t>
      </w:r>
    </w:p>
    <w:p>
      <w:pPr>
        <w:pStyle w:val="BodyText"/>
        <w:spacing w:before="5"/>
      </w:pPr>
    </w:p>
    <w:p>
      <w:pPr>
        <w:tabs>
          <w:tab w:pos="705" w:val="left" w:leader="none"/>
        </w:tabs>
        <w:spacing w:line="227" w:lineRule="exact" w:before="0"/>
        <w:ind w:left="165" w:right="0" w:firstLine="0"/>
        <w:jc w:val="left"/>
        <w:rPr>
          <w:sz w:val="20"/>
        </w:rPr>
      </w:pPr>
      <w:bookmarkStart w:name="_bookmark783" w:id="785"/>
      <w:bookmarkEnd w:id="785"/>
      <w:r>
        <w:rPr/>
      </w:r>
      <w:hyperlink w:history="true" w:anchor="_bookmark658">
        <w:r>
          <w:rPr>
            <w:color w:val="005DA1"/>
            <w:spacing w:val="-4"/>
            <w:position w:val="5"/>
            <w:sz w:val="14"/>
            <w:u w:val="single" w:color="005DA1"/>
          </w:rPr>
          <w:t>366</w:t>
        </w:r>
      </w:hyperlink>
      <w:r>
        <w:rPr>
          <w:spacing w:val="-4"/>
          <w:position w:val="5"/>
          <w:sz w:val="14"/>
        </w:rPr>
        <w:t>.</w:t>
      </w:r>
      <w:r>
        <w:rPr>
          <w:position w:val="5"/>
          <w:sz w:val="14"/>
        </w:rPr>
        <w:tab/>
      </w:r>
      <w:r>
        <w:rPr>
          <w:sz w:val="20"/>
        </w:rPr>
        <w:t>See</w:t>
      </w:r>
      <w:r>
        <w:rPr>
          <w:spacing w:val="24"/>
          <w:sz w:val="20"/>
        </w:rPr>
        <w:t> </w:t>
      </w:r>
      <w:r>
        <w:rPr>
          <w:rFonts w:ascii="Arial"/>
          <w:i/>
          <w:sz w:val="20"/>
        </w:rPr>
        <w:t>Intercontainer</w:t>
      </w:r>
      <w:r>
        <w:rPr>
          <w:rFonts w:ascii="Arial"/>
          <w:i/>
          <w:spacing w:val="25"/>
          <w:sz w:val="20"/>
        </w:rPr>
        <w:t> </w:t>
      </w:r>
      <w:r>
        <w:rPr>
          <w:rFonts w:ascii="Arial"/>
          <w:i/>
          <w:sz w:val="20"/>
        </w:rPr>
        <w:t>Interfrigo</w:t>
      </w:r>
      <w:r>
        <w:rPr>
          <w:rFonts w:ascii="Arial"/>
          <w:i/>
          <w:spacing w:val="25"/>
          <w:sz w:val="20"/>
        </w:rPr>
        <w:t> </w:t>
      </w:r>
      <w:r>
        <w:rPr>
          <w:rFonts w:ascii="Arial"/>
          <w:i/>
          <w:sz w:val="20"/>
        </w:rPr>
        <w:t>SC</w:t>
      </w:r>
      <w:r>
        <w:rPr>
          <w:rFonts w:ascii="Arial"/>
          <w:i/>
          <w:spacing w:val="25"/>
          <w:sz w:val="20"/>
        </w:rPr>
        <w:t> </w:t>
      </w:r>
      <w:r>
        <w:rPr>
          <w:rFonts w:ascii="Arial"/>
          <w:i/>
          <w:sz w:val="20"/>
        </w:rPr>
        <w:t>(ICF)</w:t>
      </w:r>
      <w:r>
        <w:rPr>
          <w:rFonts w:ascii="Arial"/>
          <w:i/>
          <w:spacing w:val="25"/>
          <w:sz w:val="20"/>
        </w:rPr>
        <w:t> </w:t>
      </w:r>
      <w:r>
        <w:rPr>
          <w:rFonts w:ascii="Arial"/>
          <w:i/>
          <w:sz w:val="20"/>
        </w:rPr>
        <w:t>v</w:t>
      </w:r>
      <w:r>
        <w:rPr>
          <w:rFonts w:ascii="Arial"/>
          <w:i/>
          <w:spacing w:val="25"/>
          <w:sz w:val="20"/>
        </w:rPr>
        <w:t> </w:t>
      </w:r>
      <w:r>
        <w:rPr>
          <w:rFonts w:ascii="Arial"/>
          <w:i/>
          <w:sz w:val="20"/>
        </w:rPr>
        <w:t>Balkenende</w:t>
      </w:r>
      <w:r>
        <w:rPr>
          <w:rFonts w:ascii="Arial"/>
          <w:i/>
          <w:spacing w:val="25"/>
          <w:sz w:val="20"/>
        </w:rPr>
        <w:t> </w:t>
      </w:r>
      <w:r>
        <w:rPr>
          <w:rFonts w:ascii="Arial"/>
          <w:i/>
          <w:sz w:val="20"/>
        </w:rPr>
        <w:t>BV</w:t>
      </w:r>
      <w:r>
        <w:rPr>
          <w:rFonts w:ascii="Arial"/>
          <w:i/>
          <w:spacing w:val="25"/>
          <w:sz w:val="20"/>
        </w:rPr>
        <w:t> </w:t>
      </w:r>
      <w:r>
        <w:rPr>
          <w:rFonts w:ascii="Arial"/>
          <w:i/>
          <w:sz w:val="20"/>
        </w:rPr>
        <w:t>(C-133/08)</w:t>
      </w:r>
      <w:r>
        <w:rPr>
          <w:rFonts w:ascii="Arial"/>
          <w:i/>
          <w:spacing w:val="25"/>
          <w:sz w:val="20"/>
        </w:rPr>
        <w:t> </w:t>
      </w:r>
      <w:r>
        <w:rPr>
          <w:rFonts w:ascii="Arial"/>
          <w:i/>
          <w:sz w:val="20"/>
        </w:rPr>
        <w:t>[2010]</w:t>
      </w:r>
      <w:r>
        <w:rPr>
          <w:rFonts w:ascii="Arial"/>
          <w:i/>
          <w:spacing w:val="25"/>
          <w:sz w:val="20"/>
        </w:rPr>
        <w:t> </w:t>
      </w:r>
      <w:r>
        <w:rPr>
          <w:rFonts w:ascii="Arial"/>
          <w:i/>
          <w:sz w:val="20"/>
        </w:rPr>
        <w:t>Q.B.</w:t>
      </w:r>
      <w:r>
        <w:rPr>
          <w:rFonts w:ascii="Arial"/>
          <w:i/>
          <w:spacing w:val="25"/>
          <w:sz w:val="20"/>
        </w:rPr>
        <w:t> </w:t>
      </w:r>
      <w:r>
        <w:rPr>
          <w:rFonts w:ascii="Arial"/>
          <w:i/>
          <w:sz w:val="20"/>
        </w:rPr>
        <w:t>411</w:t>
      </w:r>
      <w:r>
        <w:rPr>
          <w:sz w:val="20"/>
        </w:rPr>
        <w:t>,</w:t>
      </w:r>
      <w:r>
        <w:rPr>
          <w:spacing w:val="25"/>
          <w:sz w:val="20"/>
        </w:rPr>
        <w:t> </w:t>
      </w:r>
      <w:r>
        <w:rPr>
          <w:sz w:val="20"/>
        </w:rPr>
        <w:t>per</w:t>
      </w:r>
      <w:r>
        <w:rPr>
          <w:spacing w:val="25"/>
          <w:sz w:val="20"/>
        </w:rPr>
        <w:t> </w:t>
      </w:r>
      <w:r>
        <w:rPr>
          <w:spacing w:val="-5"/>
          <w:sz w:val="20"/>
        </w:rPr>
        <w:t>Bot</w:t>
      </w:r>
    </w:p>
    <w:p>
      <w:pPr>
        <w:pStyle w:val="BodyText"/>
        <w:spacing w:line="227" w:lineRule="exact"/>
        <w:ind w:left="705"/>
      </w:pPr>
      <w:r>
        <w:rPr/>
        <w:t>A.G. at [68] of the </w:t>
      </w:r>
      <w:r>
        <w:rPr>
          <w:spacing w:val="-2"/>
        </w:rPr>
        <w:t>Opinion.</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7072">
            <wp:simplePos x="0" y="0"/>
            <wp:positionH relativeFrom="page">
              <wp:posOffset>1257846</wp:posOffset>
            </wp:positionH>
            <wp:positionV relativeFrom="paragraph">
              <wp:posOffset>160737</wp:posOffset>
            </wp:positionV>
            <wp:extent cx="107988" cy="107988"/>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84" w:id="786"/>
      <w:bookmarkEnd w:id="786"/>
      <w:r>
        <w:rPr/>
      </w:r>
      <w:hyperlink w:history="true" w:anchor="_bookmark659">
        <w:r>
          <w:rPr>
            <w:color w:val="005DA1"/>
            <w:spacing w:val="-4"/>
            <w:sz w:val="14"/>
            <w:u w:val="single" w:color="005DA1"/>
          </w:rPr>
          <w:t>367</w:t>
        </w:r>
      </w:hyperlink>
      <w:r>
        <w:rPr>
          <w:spacing w:val="-4"/>
          <w:sz w:val="14"/>
        </w:rPr>
        <w:t>.</w:t>
      </w:r>
    </w:p>
    <w:p>
      <w:pPr>
        <w:spacing w:line="235" w:lineRule="auto" w:before="213"/>
        <w:ind w:left="165" w:right="167" w:firstLine="170"/>
        <w:jc w:val="both"/>
        <w:rPr>
          <w:sz w:val="20"/>
        </w:rPr>
      </w:pPr>
      <w:r>
        <w:rPr/>
        <w:br w:type="column"/>
      </w:r>
      <w:r>
        <w:rPr>
          <w:sz w:val="20"/>
        </w:rPr>
        <w:t>See </w:t>
      </w:r>
      <w:r>
        <w:rPr>
          <w:rFonts w:ascii="Arial" w:hAnsi="Arial"/>
          <w:i/>
          <w:sz w:val="20"/>
        </w:rPr>
        <w:t>W. H. Martin Ltd v Feldbinder Spezialefahrzeugwerke GmbH [1998] I.L.Pr. 794</w:t>
      </w:r>
      <w:r>
        <w:rPr>
          <w:sz w:val="20"/>
        </w:rPr>
        <w:t>; </w:t>
      </w:r>
      <w:r>
        <w:rPr>
          <w:rFonts w:ascii="Arial" w:hAnsi="Arial"/>
          <w:i/>
          <w:sz w:val="20"/>
        </w:rPr>
        <w:t>Print Concept GmbH v GEW (EC) Ltd [2001] EWCA Civ 352, [2002] C.L.C. 352</w:t>
      </w:r>
      <w:r>
        <w:rPr>
          <w:sz w:val="20"/>
        </w:rPr>
        <w:t>; </w:t>
      </w:r>
      <w:r>
        <w:rPr>
          <w:rFonts w:ascii="Arial" w:hAnsi="Arial"/>
          <w:i/>
          <w:sz w:val="20"/>
        </w:rPr>
        <w:t>ISS </w:t>
      </w:r>
      <w:r>
        <w:rPr>
          <w:rFonts w:ascii="Arial" w:hAnsi="Arial"/>
          <w:i/>
          <w:sz w:val="20"/>
        </w:rPr>
        <w:t>Machinery Services Ltd v Aeolian Shipping SA [2001] EWCA Civ 1162, [2001] 2 Lloyd’s Rep. 641</w:t>
      </w:r>
      <w:r>
        <w:rPr>
          <w:sz w:val="20"/>
        </w:rPr>
        <w:t>; </w:t>
      </w:r>
      <w:r>
        <w:rPr>
          <w:rFonts w:ascii="Arial" w:hAnsi="Arial"/>
          <w:i/>
          <w:sz w:val="20"/>
        </w:rPr>
        <w:t>Iran Continental Shelf Oil Co v IRI International Oil Corp [2002] EWCA Civ 1024, [2004] 2 C.L.C. 696</w:t>
      </w:r>
      <w:r>
        <w:rPr>
          <w:sz w:val="20"/>
        </w:rPr>
        <w:t>; </w:t>
      </w:r>
      <w:r>
        <w:rPr>
          <w:rFonts w:ascii="Arial" w:hAnsi="Arial"/>
          <w:i/>
          <w:sz w:val="20"/>
        </w:rPr>
        <w:t>Ferguson Shipbuilders Ltd v Voith Hydro GmbH (2000) S.L.T. 229</w:t>
      </w:r>
      <w:r>
        <w:rPr>
          <w:sz w:val="20"/>
        </w:rPr>
        <w:t>; </w:t>
      </w:r>
      <w:r>
        <w:rPr>
          <w:rFonts w:ascii="Arial" w:hAnsi="Arial"/>
          <w:i/>
          <w:sz w:val="20"/>
        </w:rPr>
        <w:t>Societe Nouvelle des Papeteries de l’Aa SA v BV Machinefabriek BOA (1992) NJ 750 </w:t>
      </w:r>
      <w:r>
        <w:rPr>
          <w:sz w:val="20"/>
        </w:rPr>
        <w:t>(Dutch Hoge Raad), discussed by Struycken [1996] LMCLQ 18; Dicey, Morris and Collins, para.32-116; Benjamin’s Sale of Goods, 9th edn (2014), para.26-065. By analogy, the supplier of bunkers in the type of sui generis supply contract identified by the Supreme Court in </w:t>
      </w:r>
      <w:r>
        <w:rPr>
          <w:rFonts w:ascii="Arial" w:hAnsi="Arial"/>
          <w:i/>
          <w:sz w:val="20"/>
        </w:rPr>
        <w:t>PST Energy 7 Shipping LLC v OW Bunker Malta Ltd (The Res Cogitans) [2016] UKSC 23 </w:t>
      </w:r>
      <w:r>
        <w:rPr>
          <w:sz w:val="20"/>
        </w:rPr>
        <w:t>(see para.44-174A) will also be the characteristic performer.</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1"/>
      </w:pPr>
    </w:p>
    <w:p>
      <w:pPr>
        <w:tabs>
          <w:tab w:pos="705" w:val="left" w:leader="none"/>
        </w:tabs>
        <w:spacing w:before="1"/>
        <w:ind w:left="165" w:right="0" w:firstLine="0"/>
        <w:jc w:val="left"/>
        <w:rPr>
          <w:sz w:val="20"/>
        </w:rPr>
      </w:pPr>
      <w:bookmarkStart w:name="_bookmark785" w:id="787"/>
      <w:bookmarkEnd w:id="787"/>
      <w:r>
        <w:rPr/>
      </w:r>
      <w:hyperlink w:history="true" w:anchor="_bookmark660">
        <w:r>
          <w:rPr>
            <w:color w:val="005DA1"/>
            <w:spacing w:val="-4"/>
            <w:position w:val="5"/>
            <w:sz w:val="14"/>
            <w:u w:val="single" w:color="005DA1"/>
          </w:rPr>
          <w:t>368</w:t>
        </w:r>
      </w:hyperlink>
      <w:r>
        <w:rPr>
          <w:spacing w:val="-4"/>
          <w:position w:val="5"/>
          <w:sz w:val="14"/>
        </w:rPr>
        <w:t>.</w:t>
      </w:r>
      <w:r>
        <w:rPr>
          <w:position w:val="5"/>
          <w:sz w:val="14"/>
        </w:rPr>
        <w:tab/>
      </w:r>
      <w:r>
        <w:rPr>
          <w:rFonts w:ascii="Arial"/>
          <w:i/>
          <w:sz w:val="20"/>
        </w:rPr>
        <w:t>Iran</w:t>
      </w:r>
      <w:r>
        <w:rPr>
          <w:rFonts w:ascii="Arial"/>
          <w:i/>
          <w:spacing w:val="-2"/>
          <w:sz w:val="20"/>
        </w:rPr>
        <w:t> </w:t>
      </w:r>
      <w:r>
        <w:rPr>
          <w:rFonts w:ascii="Arial"/>
          <w:i/>
          <w:sz w:val="20"/>
        </w:rPr>
        <w:t>Continental Shelf Oil Co v IRI International Corp [2002] EWCA Civ </w:t>
      </w:r>
      <w:r>
        <w:rPr>
          <w:rFonts w:ascii="Arial"/>
          <w:i/>
          <w:spacing w:val="-2"/>
          <w:sz w:val="20"/>
        </w:rPr>
        <w:t>1024</w:t>
      </w:r>
      <w:r>
        <w:rPr>
          <w:spacing w:val="-2"/>
          <w:sz w:val="20"/>
        </w:rPr>
        <w:t>.</w:t>
      </w:r>
    </w:p>
    <w:p>
      <w:pPr>
        <w:pStyle w:val="BodyText"/>
        <w:spacing w:before="5"/>
      </w:pPr>
    </w:p>
    <w:p>
      <w:pPr>
        <w:spacing w:line="227" w:lineRule="exact" w:before="0"/>
        <w:ind w:left="165" w:right="0" w:firstLine="0"/>
        <w:jc w:val="both"/>
        <w:rPr>
          <w:rFonts w:ascii="Arial"/>
          <w:i/>
          <w:sz w:val="20"/>
        </w:rPr>
      </w:pPr>
      <w:bookmarkStart w:name="_bookmark786" w:id="788"/>
      <w:bookmarkEnd w:id="788"/>
      <w:r>
        <w:rPr/>
      </w:r>
      <w:hyperlink w:history="true" w:anchor="_bookmark661">
        <w:r>
          <w:rPr>
            <w:color w:val="005DA1"/>
            <w:position w:val="5"/>
            <w:sz w:val="14"/>
            <w:u w:val="single" w:color="005DA1"/>
          </w:rPr>
          <w:t>369</w:t>
        </w:r>
      </w:hyperlink>
      <w:r>
        <w:rPr>
          <w:position w:val="5"/>
          <w:sz w:val="14"/>
        </w:rPr>
        <w:t>.</w:t>
      </w:r>
      <w:r>
        <w:rPr>
          <w:spacing w:val="75"/>
          <w:w w:val="150"/>
          <w:position w:val="5"/>
          <w:sz w:val="14"/>
        </w:rPr>
        <w:t>  </w:t>
      </w:r>
      <w:r>
        <w:rPr>
          <w:rFonts w:ascii="Arial"/>
          <w:i/>
          <w:sz w:val="20"/>
        </w:rPr>
        <w:t>Definitely</w:t>
      </w:r>
      <w:r>
        <w:rPr>
          <w:rFonts w:ascii="Arial"/>
          <w:i/>
          <w:spacing w:val="1"/>
          <w:sz w:val="20"/>
        </w:rPr>
        <w:t> </w:t>
      </w:r>
      <w:r>
        <w:rPr>
          <w:rFonts w:ascii="Arial"/>
          <w:i/>
          <w:sz w:val="20"/>
        </w:rPr>
        <w:t>Maybe</w:t>
      </w:r>
      <w:r>
        <w:rPr>
          <w:rFonts w:ascii="Arial"/>
          <w:i/>
          <w:spacing w:val="1"/>
          <w:sz w:val="20"/>
        </w:rPr>
        <w:t> </w:t>
      </w:r>
      <w:r>
        <w:rPr>
          <w:rFonts w:ascii="Arial"/>
          <w:i/>
          <w:sz w:val="20"/>
        </w:rPr>
        <w:t>(Touring)</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Marek</w:t>
      </w:r>
      <w:r>
        <w:rPr>
          <w:rFonts w:ascii="Arial"/>
          <w:i/>
          <w:spacing w:val="1"/>
          <w:sz w:val="20"/>
        </w:rPr>
        <w:t> </w:t>
      </w:r>
      <w:r>
        <w:rPr>
          <w:rFonts w:ascii="Arial"/>
          <w:i/>
          <w:sz w:val="20"/>
        </w:rPr>
        <w:t>Lieberberg</w:t>
      </w:r>
      <w:r>
        <w:rPr>
          <w:rFonts w:ascii="Arial"/>
          <w:i/>
          <w:spacing w:val="1"/>
          <w:sz w:val="20"/>
        </w:rPr>
        <w:t> </w:t>
      </w:r>
      <w:r>
        <w:rPr>
          <w:rFonts w:ascii="Arial"/>
          <w:i/>
          <w:sz w:val="20"/>
        </w:rPr>
        <w:t>Konzertagentur</w:t>
      </w:r>
      <w:r>
        <w:rPr>
          <w:rFonts w:ascii="Arial"/>
          <w:i/>
          <w:spacing w:val="1"/>
          <w:sz w:val="20"/>
        </w:rPr>
        <w:t> </w:t>
      </w:r>
      <w:r>
        <w:rPr>
          <w:rFonts w:ascii="Arial"/>
          <w:i/>
          <w:sz w:val="20"/>
        </w:rPr>
        <w:t>GmbH</w:t>
      </w:r>
      <w:r>
        <w:rPr>
          <w:rFonts w:ascii="Arial"/>
          <w:i/>
          <w:spacing w:val="1"/>
          <w:sz w:val="20"/>
        </w:rPr>
        <w:t> </w:t>
      </w:r>
      <w:r>
        <w:rPr>
          <w:rFonts w:ascii="Arial"/>
          <w:i/>
          <w:sz w:val="20"/>
        </w:rPr>
        <w:t>[2001]</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pacing w:val="-4"/>
          <w:sz w:val="20"/>
        </w:rPr>
        <w:t>1754</w:t>
      </w:r>
    </w:p>
    <w:p>
      <w:pPr>
        <w:spacing w:line="235" w:lineRule="auto" w:before="1"/>
        <w:ind w:left="705" w:right="167" w:firstLine="0"/>
        <w:jc w:val="both"/>
        <w:rPr>
          <w:sz w:val="20"/>
        </w:rPr>
      </w:pPr>
      <w:r>
        <w:rPr>
          <w:sz w:val="20"/>
        </w:rPr>
        <w:t>; </w:t>
      </w:r>
      <w:r>
        <w:rPr>
          <w:rFonts w:ascii="Arial"/>
          <w:i/>
          <w:sz w:val="20"/>
        </w:rPr>
        <w:t>Ennstone Building Products Ltd v Stanger Ltd [2002] EWCA Civ 916, [2002] 1 WLR 3059</w:t>
      </w:r>
      <w:r>
        <w:rPr>
          <w:sz w:val="20"/>
        </w:rPr>
        <w:t>; </w:t>
      </w:r>
      <w:r>
        <w:rPr>
          <w:rFonts w:ascii="Arial"/>
          <w:i/>
          <w:sz w:val="20"/>
        </w:rPr>
        <w:t>Pablo Star Ltd v Emirates Integrated Telecommunications Co PJSC [2009] EWCA Civ </w:t>
      </w:r>
      <w:r>
        <w:rPr>
          <w:rFonts w:ascii="Arial"/>
          <w:i/>
          <w:sz w:val="20"/>
        </w:rPr>
        <w:t>1044</w:t>
      </w:r>
      <w:r>
        <w:rPr>
          <w:sz w:val="20"/>
        </w:rPr>
        <w:t>; </w:t>
      </w:r>
      <w:r>
        <w:rPr>
          <w:rFonts w:ascii="Arial"/>
          <w:i/>
          <w:sz w:val="20"/>
        </w:rPr>
        <w:t>Chalbury McCouat International Ltd v PG Foils Ltd [2010] EWHC 2050 (TCC), [2010] 2 C.L.C. 181</w:t>
      </w:r>
      <w:r>
        <w:rPr>
          <w:sz w:val="20"/>
        </w:rPr>
        <w:t>; </w:t>
      </w:r>
      <w:r>
        <w:rPr>
          <w:rFonts w:ascii="Arial"/>
          <w:i/>
          <w:sz w:val="20"/>
        </w:rPr>
        <w:t>SSL International Plc v TTK LIG Ltd [2011] EWHC 1695 (Ch) affirmed [2011] EWCA Civ 1170</w:t>
      </w:r>
      <w:r>
        <w:rPr>
          <w:sz w:val="20"/>
        </w:rPr>
        <w:t>. </w:t>
      </w:r>
      <w:r>
        <w:rPr>
          <w:rFonts w:ascii="Arial"/>
          <w:i/>
          <w:sz w:val="20"/>
        </w:rPr>
        <w:t>Caledonia Subsea Ltd v Microperi Srl (2002) S.L.T. 1022</w:t>
      </w:r>
      <w:r>
        <w:rPr>
          <w:sz w:val="20"/>
        </w:rPr>
        <w:t>.</w:t>
      </w:r>
    </w:p>
    <w:p>
      <w:pPr>
        <w:pStyle w:val="BodyText"/>
        <w:spacing w:before="4"/>
      </w:pPr>
    </w:p>
    <w:p>
      <w:pPr>
        <w:pStyle w:val="BodyText"/>
        <w:tabs>
          <w:tab w:pos="705" w:val="left" w:leader="none"/>
        </w:tabs>
        <w:ind w:left="165"/>
      </w:pPr>
      <w:bookmarkStart w:name="_bookmark787" w:id="789"/>
      <w:bookmarkEnd w:id="789"/>
      <w:r>
        <w:rPr/>
      </w:r>
      <w:hyperlink w:history="true" w:anchor="_bookmark662">
        <w:r>
          <w:rPr>
            <w:color w:val="005DA1"/>
            <w:spacing w:val="-4"/>
            <w:position w:val="5"/>
            <w:sz w:val="14"/>
            <w:u w:val="single" w:color="005DA1"/>
          </w:rPr>
          <w:t>370</w:t>
        </w:r>
      </w:hyperlink>
      <w:r>
        <w:rPr>
          <w:spacing w:val="-4"/>
          <w:position w:val="5"/>
          <w:sz w:val="14"/>
        </w:rPr>
        <w:t>.</w:t>
      </w:r>
      <w:r>
        <w:rPr>
          <w:position w:val="5"/>
          <w:sz w:val="14"/>
        </w:rPr>
        <w:tab/>
      </w:r>
      <w:r>
        <w:rPr/>
        <w:t>Dicey, Morris and Collins, para.33-</w:t>
      </w:r>
      <w:r>
        <w:rPr>
          <w:spacing w:val="-4"/>
        </w:rPr>
        <w:t>114.</w:t>
      </w:r>
    </w:p>
    <w:p>
      <w:pPr>
        <w:pStyle w:val="BodyText"/>
        <w:spacing w:before="5"/>
      </w:pPr>
    </w:p>
    <w:p>
      <w:pPr>
        <w:pStyle w:val="BodyText"/>
        <w:tabs>
          <w:tab w:pos="705" w:val="left" w:leader="none"/>
        </w:tabs>
        <w:ind w:left="165"/>
      </w:pPr>
      <w:bookmarkStart w:name="_bookmark788" w:id="790"/>
      <w:bookmarkEnd w:id="790"/>
      <w:r>
        <w:rPr/>
      </w:r>
      <w:hyperlink w:history="true" w:anchor="_bookmark662">
        <w:r>
          <w:rPr>
            <w:color w:val="005DA1"/>
            <w:spacing w:val="-4"/>
            <w:position w:val="5"/>
            <w:sz w:val="14"/>
            <w:u w:val="single" w:color="005DA1"/>
          </w:rPr>
          <w:t>371</w:t>
        </w:r>
      </w:hyperlink>
      <w:r>
        <w:rPr>
          <w:spacing w:val="-4"/>
          <w:position w:val="5"/>
          <w:sz w:val="14"/>
        </w:rPr>
        <w:t>.</w:t>
      </w:r>
      <w:r>
        <w:rPr>
          <w:position w:val="5"/>
          <w:sz w:val="14"/>
        </w:rPr>
        <w:tab/>
      </w:r>
      <w:r>
        <w:rPr/>
        <w:t>But</w:t>
      </w:r>
      <w:r>
        <w:rPr>
          <w:spacing w:val="-2"/>
        </w:rPr>
        <w:t> </w:t>
      </w:r>
      <w:r>
        <w:rPr/>
        <w:t>see above, para.30-</w:t>
      </w:r>
      <w:r>
        <w:rPr>
          <w:spacing w:val="-4"/>
        </w:rPr>
        <w:t>044.</w:t>
      </w:r>
    </w:p>
    <w:p>
      <w:pPr>
        <w:pStyle w:val="BodyText"/>
        <w:spacing w:before="9"/>
      </w:pPr>
    </w:p>
    <w:p>
      <w:pPr>
        <w:spacing w:line="235" w:lineRule="auto" w:before="0"/>
        <w:ind w:left="705" w:right="167" w:hanging="541"/>
        <w:jc w:val="both"/>
        <w:rPr>
          <w:sz w:val="20"/>
        </w:rPr>
      </w:pPr>
      <w:bookmarkStart w:name="_bookmark789" w:id="791"/>
      <w:bookmarkEnd w:id="791"/>
      <w:r>
        <w:rPr/>
      </w:r>
      <w:hyperlink w:history="true" w:anchor="_bookmark663">
        <w:r>
          <w:rPr>
            <w:color w:val="005DA1"/>
            <w:position w:val="5"/>
            <w:sz w:val="14"/>
            <w:u w:val="single" w:color="005DA1"/>
          </w:rPr>
          <w:t>372</w:t>
        </w:r>
      </w:hyperlink>
      <w:r>
        <w:rPr>
          <w:position w:val="5"/>
          <w:sz w:val="14"/>
        </w:rPr>
        <w:t>.</w:t>
      </w:r>
      <w:r>
        <w:rPr>
          <w:spacing w:val="80"/>
          <w:w w:val="150"/>
          <w:position w:val="5"/>
          <w:sz w:val="14"/>
        </w:rPr>
        <w:t> </w:t>
      </w:r>
      <w:r>
        <w:rPr>
          <w:rFonts w:ascii="Arial" w:hAnsi="Arial"/>
          <w:i/>
          <w:sz w:val="20"/>
        </w:rPr>
        <w:t>Crédit Lyonnais v New Hampshire Insurance Co [1997] 2 Lloyd’s Rep. 1</w:t>
      </w:r>
      <w:r>
        <w:rPr>
          <w:sz w:val="20"/>
        </w:rPr>
        <w:t>; </w:t>
      </w:r>
      <w:r>
        <w:rPr>
          <w:rFonts w:ascii="Arial" w:hAnsi="Arial"/>
          <w:i/>
          <w:sz w:val="20"/>
        </w:rPr>
        <w:t>American Motorists Insurance Co v Cellstar Corp [2003] EWCA Civ 206, [2003] I.L.Pr. 370</w:t>
      </w:r>
      <w:r>
        <w:rPr>
          <w:sz w:val="20"/>
        </w:rPr>
        <w:t>; Giuliano-Lagarde Report,</w:t>
      </w:r>
      <w:r>
        <w:rPr>
          <w:spacing w:val="-3"/>
          <w:sz w:val="20"/>
        </w:rPr>
        <w:t> </w:t>
      </w:r>
      <w:r>
        <w:rPr>
          <w:sz w:val="20"/>
        </w:rPr>
        <w:t>p.20;</w:t>
      </w:r>
      <w:r>
        <w:rPr>
          <w:spacing w:val="-3"/>
          <w:sz w:val="20"/>
        </w:rPr>
        <w:t> </w:t>
      </w:r>
      <w:r>
        <w:rPr>
          <w:sz w:val="20"/>
        </w:rPr>
        <w:t>Dicey,</w:t>
      </w:r>
      <w:r>
        <w:rPr>
          <w:spacing w:val="-3"/>
          <w:sz w:val="20"/>
        </w:rPr>
        <w:t> </w:t>
      </w:r>
      <w:r>
        <w:rPr>
          <w:sz w:val="20"/>
        </w:rPr>
        <w:t>Morris</w:t>
      </w:r>
      <w:r>
        <w:rPr>
          <w:spacing w:val="-3"/>
          <w:sz w:val="20"/>
        </w:rPr>
        <w:t> </w:t>
      </w:r>
      <w:r>
        <w:rPr>
          <w:sz w:val="20"/>
        </w:rPr>
        <w:t>and</w:t>
      </w:r>
      <w:r>
        <w:rPr>
          <w:spacing w:val="-3"/>
          <w:sz w:val="20"/>
        </w:rPr>
        <w:t> </w:t>
      </w:r>
      <w:r>
        <w:rPr>
          <w:sz w:val="20"/>
        </w:rPr>
        <w:t>Collins,</w:t>
      </w:r>
      <w:r>
        <w:rPr>
          <w:spacing w:val="-3"/>
          <w:sz w:val="20"/>
        </w:rPr>
        <w:t> </w:t>
      </w:r>
      <w:r>
        <w:rPr>
          <w:sz w:val="20"/>
        </w:rPr>
        <w:t>para.33-150.</w:t>
      </w:r>
      <w:r>
        <w:rPr>
          <w:spacing w:val="-3"/>
          <w:sz w:val="20"/>
        </w:rPr>
        <w:t> </w:t>
      </w:r>
      <w:r>
        <w:rPr>
          <w:sz w:val="20"/>
        </w:rPr>
        <w:t>An</w:t>
      </w:r>
      <w:r>
        <w:rPr>
          <w:spacing w:val="-3"/>
          <w:sz w:val="20"/>
        </w:rPr>
        <w:t> </w:t>
      </w:r>
      <w:r>
        <w:rPr>
          <w:sz w:val="20"/>
        </w:rPr>
        <w:t>insurance</w:t>
      </w:r>
      <w:r>
        <w:rPr>
          <w:spacing w:val="-3"/>
          <w:sz w:val="20"/>
        </w:rPr>
        <w:t> </w:t>
      </w:r>
      <w:r>
        <w:rPr>
          <w:sz w:val="20"/>
        </w:rPr>
        <w:t>contract</w:t>
      </w:r>
      <w:r>
        <w:rPr>
          <w:spacing w:val="-3"/>
          <w:sz w:val="20"/>
        </w:rPr>
        <w:t> </w:t>
      </w:r>
      <w:r>
        <w:rPr>
          <w:sz w:val="20"/>
        </w:rPr>
        <w:t>may</w:t>
      </w:r>
      <w:r>
        <w:rPr>
          <w:spacing w:val="-3"/>
          <w:sz w:val="20"/>
        </w:rPr>
        <w:t> </w:t>
      </w:r>
      <w:r>
        <w:rPr>
          <w:sz w:val="20"/>
        </w:rPr>
        <w:t>be</w:t>
      </w:r>
      <w:r>
        <w:rPr>
          <w:spacing w:val="-3"/>
          <w:sz w:val="20"/>
        </w:rPr>
        <w:t> </w:t>
      </w:r>
      <w:r>
        <w:rPr>
          <w:sz w:val="20"/>
        </w:rPr>
        <w:t>a</w:t>
      </w:r>
      <w:r>
        <w:rPr>
          <w:spacing w:val="-3"/>
          <w:sz w:val="20"/>
        </w:rPr>
        <w:t> </w:t>
      </w:r>
      <w:r>
        <w:rPr>
          <w:sz w:val="20"/>
        </w:rPr>
        <w:t>consumer contract: see below, paras 30-092 et seq.</w:t>
      </w:r>
    </w:p>
    <w:p>
      <w:pPr>
        <w:pStyle w:val="BodyText"/>
        <w:spacing w:before="8"/>
      </w:pPr>
    </w:p>
    <w:p>
      <w:pPr>
        <w:spacing w:line="235" w:lineRule="auto" w:before="1"/>
        <w:ind w:left="705" w:right="167" w:hanging="541"/>
        <w:jc w:val="both"/>
        <w:rPr>
          <w:sz w:val="20"/>
        </w:rPr>
      </w:pPr>
      <w:bookmarkStart w:name="_bookmark790" w:id="792"/>
      <w:bookmarkEnd w:id="792"/>
      <w:r>
        <w:rPr/>
      </w:r>
      <w:hyperlink w:history="true" w:anchor="_bookmark664">
        <w:r>
          <w:rPr>
            <w:color w:val="005DA1"/>
            <w:position w:val="5"/>
            <w:sz w:val="14"/>
            <w:u w:val="single" w:color="005DA1"/>
          </w:rPr>
          <w:t>373</w:t>
        </w:r>
      </w:hyperlink>
      <w:r>
        <w:rPr>
          <w:position w:val="5"/>
          <w:sz w:val="14"/>
        </w:rPr>
        <w:t>.</w:t>
      </w:r>
      <w:r>
        <w:rPr>
          <w:spacing w:val="40"/>
          <w:position w:val="5"/>
          <w:sz w:val="14"/>
        </w:rPr>
        <w:t>  </w:t>
      </w:r>
      <w:r>
        <w:rPr>
          <w:rFonts w:ascii="Arial" w:hAnsi="Arial"/>
          <w:i/>
          <w:sz w:val="20"/>
        </w:rPr>
        <w:t>Tiernan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Magen</w:t>
      </w:r>
      <w:r>
        <w:rPr>
          <w:rFonts w:ascii="Arial" w:hAnsi="Arial"/>
          <w:i/>
          <w:spacing w:val="40"/>
          <w:sz w:val="20"/>
        </w:rPr>
        <w:t> </w:t>
      </w:r>
      <w:r>
        <w:rPr>
          <w:rFonts w:ascii="Arial" w:hAnsi="Arial"/>
          <w:i/>
          <w:sz w:val="20"/>
        </w:rPr>
        <w:t>Insurance</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Tonicstar</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American</w:t>
      </w:r>
      <w:r>
        <w:rPr>
          <w:rFonts w:ascii="Arial" w:hAnsi="Arial"/>
          <w:i/>
          <w:spacing w:val="40"/>
          <w:sz w:val="20"/>
        </w:rPr>
        <w:t> </w:t>
      </w:r>
      <w:r>
        <w:rPr>
          <w:rFonts w:ascii="Arial" w:hAnsi="Arial"/>
          <w:i/>
          <w:sz w:val="20"/>
        </w:rPr>
        <w:t>Home</w:t>
      </w:r>
      <w:r>
        <w:rPr>
          <w:rFonts w:ascii="Arial" w:hAnsi="Arial"/>
          <w:i/>
          <w:spacing w:val="40"/>
          <w:sz w:val="20"/>
        </w:rPr>
        <w:t> </w:t>
      </w:r>
      <w:r>
        <w:rPr>
          <w:rFonts w:ascii="Arial" w:hAnsi="Arial"/>
          <w:i/>
          <w:sz w:val="20"/>
        </w:rPr>
        <w:t>Insurance</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[2004] EWHC</w:t>
      </w:r>
      <w:r>
        <w:rPr>
          <w:rFonts w:ascii="Arial" w:hAnsi="Arial"/>
          <w:i/>
          <w:spacing w:val="-3"/>
          <w:sz w:val="20"/>
        </w:rPr>
        <w:t> </w:t>
      </w:r>
      <w:r>
        <w:rPr>
          <w:rFonts w:ascii="Arial" w:hAnsi="Arial"/>
          <w:i/>
          <w:sz w:val="20"/>
        </w:rPr>
        <w:t>1234</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[2005]</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I.R.</w:t>
      </w:r>
      <w:r>
        <w:rPr>
          <w:rFonts w:ascii="Arial" w:hAnsi="Arial"/>
          <w:i/>
          <w:spacing w:val="-3"/>
          <w:sz w:val="20"/>
        </w:rPr>
        <w:t> </w:t>
      </w:r>
      <w:r>
        <w:rPr>
          <w:rFonts w:ascii="Arial" w:hAnsi="Arial"/>
          <w:i/>
          <w:sz w:val="20"/>
        </w:rPr>
        <w:t>32</w:t>
      </w:r>
      <w:r>
        <w:rPr>
          <w:sz w:val="20"/>
        </w:rPr>
        <w:t>;</w:t>
      </w:r>
      <w:r>
        <w:rPr>
          <w:spacing w:val="-3"/>
          <w:sz w:val="20"/>
        </w:rPr>
        <w:t> </w:t>
      </w:r>
      <w:r>
        <w:rPr>
          <w:rFonts w:ascii="Arial" w:hAnsi="Arial"/>
          <w:i/>
          <w:sz w:val="20"/>
        </w:rPr>
        <w:t>Dornoch</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Mauritius</w:t>
      </w:r>
      <w:r>
        <w:rPr>
          <w:rFonts w:ascii="Arial" w:hAnsi="Arial"/>
          <w:i/>
          <w:spacing w:val="-3"/>
          <w:sz w:val="20"/>
        </w:rPr>
        <w:t> </w:t>
      </w:r>
      <w:r>
        <w:rPr>
          <w:rFonts w:ascii="Arial" w:hAnsi="Arial"/>
          <w:i/>
          <w:sz w:val="20"/>
        </w:rPr>
        <w:t>Union</w:t>
      </w:r>
      <w:r>
        <w:rPr>
          <w:rFonts w:ascii="Arial" w:hAnsi="Arial"/>
          <w:i/>
          <w:spacing w:val="-3"/>
          <w:sz w:val="20"/>
        </w:rPr>
        <w:t> </w:t>
      </w:r>
      <w:r>
        <w:rPr>
          <w:rFonts w:ascii="Arial" w:hAnsi="Arial"/>
          <w:i/>
          <w:sz w:val="20"/>
        </w:rPr>
        <w:t>Assurance</w:t>
      </w:r>
      <w:r>
        <w:rPr>
          <w:rFonts w:ascii="Arial" w:hAnsi="Arial"/>
          <w:i/>
          <w:spacing w:val="-3"/>
          <w:sz w:val="20"/>
        </w:rPr>
        <w:t> </w:t>
      </w:r>
      <w:r>
        <w:rPr>
          <w:rFonts w:ascii="Arial" w:hAnsi="Arial"/>
          <w:i/>
          <w:sz w:val="20"/>
        </w:rPr>
        <w:t>Co Ltd [2006] EWCA Civ 389, [2006] 2 Lloyd’s Rep. 475</w:t>
      </w:r>
      <w:r>
        <w:rPr>
          <w:sz w:val="20"/>
        </w:rPr>
        <w:t>.</w:t>
      </w:r>
    </w:p>
    <w:p>
      <w:pPr>
        <w:pStyle w:val="BodyText"/>
        <w:spacing w:before="5"/>
      </w:pPr>
    </w:p>
    <w:p>
      <w:pPr>
        <w:tabs>
          <w:tab w:pos="705" w:val="left" w:leader="none"/>
        </w:tabs>
        <w:spacing w:before="0"/>
        <w:ind w:left="165" w:right="0" w:firstLine="0"/>
        <w:jc w:val="left"/>
        <w:rPr>
          <w:sz w:val="20"/>
        </w:rPr>
      </w:pPr>
      <w:bookmarkStart w:name="_bookmark791" w:id="793"/>
      <w:bookmarkEnd w:id="793"/>
      <w:r>
        <w:rPr/>
      </w:r>
      <w:hyperlink w:history="true" w:anchor="_bookmark665">
        <w:r>
          <w:rPr>
            <w:color w:val="005DA1"/>
            <w:spacing w:val="-4"/>
            <w:position w:val="5"/>
            <w:sz w:val="14"/>
            <w:u w:val="single" w:color="005DA1"/>
          </w:rPr>
          <w:t>374</w:t>
        </w:r>
      </w:hyperlink>
      <w:r>
        <w:rPr>
          <w:spacing w:val="-4"/>
          <w:position w:val="5"/>
          <w:sz w:val="14"/>
        </w:rPr>
        <w:t>.</w:t>
      </w:r>
      <w:r>
        <w:rPr>
          <w:position w:val="5"/>
          <w:sz w:val="14"/>
        </w:rPr>
        <w:tab/>
      </w:r>
      <w:r>
        <w:rPr>
          <w:rFonts w:ascii="Arial" w:hAnsi="Arial"/>
          <w:i/>
          <w:sz w:val="20"/>
        </w:rPr>
        <w:t>HIB Ltd v Guardian Insurance Co Ltd [1997] 1 Lloyd’s Rep. </w:t>
      </w:r>
      <w:r>
        <w:rPr>
          <w:rFonts w:ascii="Arial" w:hAnsi="Arial"/>
          <w:i/>
          <w:spacing w:val="-4"/>
          <w:sz w:val="20"/>
        </w:rPr>
        <w:t>412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92" w:id="794"/>
      <w:bookmarkEnd w:id="794"/>
      <w:r>
        <w:rPr/>
      </w:r>
      <w:hyperlink w:history="true" w:anchor="_bookmark666">
        <w:r>
          <w:rPr>
            <w:color w:val="005DA1"/>
            <w:spacing w:val="-4"/>
            <w:position w:val="5"/>
            <w:sz w:val="14"/>
            <w:u w:val="single" w:color="005DA1"/>
          </w:rPr>
          <w:t>375</w:t>
        </w:r>
      </w:hyperlink>
      <w:r>
        <w:rPr>
          <w:spacing w:val="-4"/>
          <w:position w:val="5"/>
          <w:sz w:val="14"/>
        </w:rPr>
        <w:t>.</w:t>
      </w:r>
      <w:r>
        <w:rPr>
          <w:position w:val="5"/>
          <w:sz w:val="14"/>
        </w:rPr>
        <w:tab/>
      </w:r>
      <w:r>
        <w:rPr>
          <w:rFonts w:ascii="Arial" w:hAnsi="Arial"/>
          <w:i/>
          <w:sz w:val="20"/>
        </w:rPr>
        <w:t>Raiffeisen Zentralbank Osterreich AG v National Bank of Greece SA [1999] 1 Lloyd’s Rep. </w:t>
      </w:r>
      <w:r>
        <w:rPr>
          <w:rFonts w:ascii="Arial" w:hAnsi="Arial"/>
          <w:i/>
          <w:spacing w:val="-4"/>
          <w:sz w:val="20"/>
        </w:rPr>
        <w:t>408</w:t>
      </w:r>
      <w:r>
        <w:rPr>
          <w:spacing w:val="-4"/>
          <w:sz w:val="20"/>
        </w:rPr>
        <w:t>.</w:t>
      </w:r>
    </w:p>
    <w:p>
      <w:pPr>
        <w:pStyle w:val="BodyText"/>
        <w:spacing w:before="8"/>
      </w:pPr>
    </w:p>
    <w:p>
      <w:pPr>
        <w:spacing w:line="235" w:lineRule="auto" w:before="1"/>
        <w:ind w:left="705" w:right="167" w:hanging="541"/>
        <w:jc w:val="both"/>
        <w:rPr>
          <w:sz w:val="20"/>
        </w:rPr>
      </w:pPr>
      <w:bookmarkStart w:name="_bookmark793" w:id="795"/>
      <w:bookmarkEnd w:id="795"/>
      <w:r>
        <w:rPr/>
      </w:r>
      <w:hyperlink w:history="true" w:anchor="_bookmark667">
        <w:r>
          <w:rPr>
            <w:color w:val="005DA1"/>
            <w:position w:val="5"/>
            <w:sz w:val="14"/>
            <w:u w:val="single" w:color="005DA1"/>
          </w:rPr>
          <w:t>376</w:t>
        </w:r>
      </w:hyperlink>
      <w:r>
        <w:rPr>
          <w:position w:val="5"/>
          <w:sz w:val="14"/>
        </w:rPr>
        <w:t>.</w:t>
      </w:r>
      <w:r>
        <w:rPr>
          <w:spacing w:val="40"/>
          <w:position w:val="5"/>
          <w:sz w:val="14"/>
        </w:rPr>
        <w:t>  </w:t>
      </w:r>
      <w:r>
        <w:rPr>
          <w:rFonts w:ascii="Arial"/>
          <w:i/>
          <w:sz w:val="20"/>
        </w:rPr>
        <w:t>Sierra</w:t>
      </w:r>
      <w:r>
        <w:rPr>
          <w:rFonts w:ascii="Arial"/>
          <w:i/>
          <w:spacing w:val="40"/>
          <w:sz w:val="20"/>
        </w:rPr>
        <w:t> </w:t>
      </w:r>
      <w:r>
        <w:rPr>
          <w:rFonts w:ascii="Arial"/>
          <w:i/>
          <w:sz w:val="20"/>
        </w:rPr>
        <w:t>Leone</w:t>
      </w:r>
      <w:r>
        <w:rPr>
          <w:rFonts w:ascii="Arial"/>
          <w:i/>
          <w:spacing w:val="40"/>
          <w:sz w:val="20"/>
        </w:rPr>
        <w:t> </w:t>
      </w:r>
      <w:r>
        <w:rPr>
          <w:rFonts w:ascii="Arial"/>
          <w:i/>
          <w:sz w:val="20"/>
        </w:rPr>
        <w:t>Telecommunications</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Barclays</w:t>
      </w:r>
      <w:r>
        <w:rPr>
          <w:rFonts w:ascii="Arial"/>
          <w:i/>
          <w:spacing w:val="40"/>
          <w:sz w:val="20"/>
        </w:rPr>
        <w:t> </w:t>
      </w:r>
      <w:r>
        <w:rPr>
          <w:rFonts w:ascii="Arial"/>
          <w:i/>
          <w:sz w:val="20"/>
        </w:rPr>
        <w:t>Bank</w:t>
      </w:r>
      <w:r>
        <w:rPr>
          <w:rFonts w:ascii="Arial"/>
          <w:i/>
          <w:spacing w:val="40"/>
          <w:sz w:val="20"/>
        </w:rPr>
        <w:t> </w:t>
      </w:r>
      <w:r>
        <w:rPr>
          <w:rFonts w:ascii="Arial"/>
          <w:i/>
          <w:sz w:val="20"/>
        </w:rPr>
        <w:t>Plc</w:t>
      </w:r>
      <w:r>
        <w:rPr>
          <w:rFonts w:ascii="Arial"/>
          <w:i/>
          <w:spacing w:val="40"/>
          <w:sz w:val="20"/>
        </w:rPr>
        <w:t> </w:t>
      </w:r>
      <w:r>
        <w:rPr>
          <w:rFonts w:ascii="Arial"/>
          <w:i/>
          <w:sz w:val="20"/>
        </w:rPr>
        <w:t>[1998]</w:t>
      </w:r>
      <w:r>
        <w:rPr>
          <w:rFonts w:ascii="Arial"/>
          <w:i/>
          <w:spacing w:val="40"/>
          <w:sz w:val="20"/>
        </w:rPr>
        <w:t> </w:t>
      </w:r>
      <w:r>
        <w:rPr>
          <w:rFonts w:ascii="Arial"/>
          <w:i/>
          <w:sz w:val="20"/>
        </w:rPr>
        <w:t>2</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821</w:t>
      </w:r>
      <w:r>
        <w:rPr>
          <w:sz w:val="20"/>
        </w:rPr>
        <w:t>; Giuliano-Lagarde Report, p.20; Dicey, Morris and Collins, para.33-305, with a full discussion of contracts between banker and customer, paras 33-298 et seq. A contract between a bank </w:t>
      </w:r>
      <w:r>
        <w:rPr>
          <w:sz w:val="20"/>
        </w:rPr>
        <w:t>and</w:t>
      </w:r>
      <w:r>
        <w:rPr>
          <w:spacing w:val="40"/>
          <w:sz w:val="20"/>
        </w:rPr>
        <w:t> </w:t>
      </w:r>
      <w:r>
        <w:rPr>
          <w:sz w:val="20"/>
        </w:rPr>
        <w:t>a customer may be a consumer contract.</w:t>
      </w:r>
    </w:p>
    <w:p>
      <w:pPr>
        <w:spacing w:after="0" w:line="235" w:lineRule="auto"/>
        <w:jc w:val="both"/>
        <w:rPr>
          <w:sz w:val="20"/>
        </w:rPr>
        <w:sectPr>
          <w:type w:val="continuous"/>
          <w:pgSz w:w="11900" w:h="16840"/>
          <w:pgMar w:header="971" w:footer="0" w:top="1300" w:bottom="280" w:left="1275" w:right="1275"/>
        </w:sectPr>
      </w:pPr>
    </w:p>
    <w:p>
      <w:pPr>
        <w:pStyle w:val="BodyText"/>
        <w:tabs>
          <w:tab w:pos="705" w:val="left" w:leader="none"/>
        </w:tabs>
        <w:spacing w:line="235" w:lineRule="auto" w:before="170"/>
        <w:ind w:left="705" w:right="168" w:hanging="541"/>
      </w:pPr>
      <w:hyperlink w:history="true" w:anchor="_bookmark667">
        <w:r>
          <w:rPr>
            <w:color w:val="005DA1"/>
            <w:spacing w:val="-4"/>
            <w:position w:val="5"/>
            <w:sz w:val="14"/>
            <w:u w:val="single" w:color="005DA1"/>
          </w:rPr>
          <w:t>377</w:t>
        </w:r>
      </w:hyperlink>
      <w:r>
        <w:rPr>
          <w:spacing w:val="-4"/>
          <w:position w:val="5"/>
          <w:sz w:val="14"/>
        </w:rPr>
        <w:t>.</w:t>
      </w:r>
      <w:r>
        <w:rPr>
          <w:position w:val="5"/>
          <w:sz w:val="14"/>
        </w:rPr>
        <w:tab/>
      </w:r>
      <w:r>
        <w:rPr/>
        <w:t>See</w:t>
      </w:r>
      <w:r>
        <w:rPr>
          <w:spacing w:val="40"/>
        </w:rPr>
        <w:t> </w:t>
      </w:r>
      <w:r>
        <w:rPr/>
        <w:t>Morse</w:t>
      </w:r>
      <w:r>
        <w:rPr>
          <w:spacing w:val="40"/>
        </w:rPr>
        <w:t> </w:t>
      </w:r>
      <w:r>
        <w:rPr/>
        <w:t>[1994]</w:t>
      </w:r>
      <w:r>
        <w:rPr>
          <w:spacing w:val="40"/>
        </w:rPr>
        <w:t> </w:t>
      </w:r>
      <w:r>
        <w:rPr/>
        <w:t>L.M.C.L.Q.</w:t>
      </w:r>
      <w:r>
        <w:rPr>
          <w:spacing w:val="40"/>
        </w:rPr>
        <w:t> </w:t>
      </w:r>
      <w:r>
        <w:rPr/>
        <w:t>560;</w:t>
      </w:r>
      <w:r>
        <w:rPr>
          <w:spacing w:val="40"/>
        </w:rPr>
        <w:t> </w:t>
      </w:r>
      <w:r>
        <w:rPr/>
        <w:t>Davenport</w:t>
      </w:r>
      <w:r>
        <w:rPr>
          <w:spacing w:val="40"/>
        </w:rPr>
        <w:t> </w:t>
      </w:r>
      <w:r>
        <w:rPr/>
        <w:t>and</w:t>
      </w:r>
      <w:r>
        <w:rPr>
          <w:spacing w:val="40"/>
        </w:rPr>
        <w:t> </w:t>
      </w:r>
      <w:r>
        <w:rPr/>
        <w:t>Smith</w:t>
      </w:r>
      <w:r>
        <w:rPr>
          <w:spacing w:val="40"/>
        </w:rPr>
        <w:t> </w:t>
      </w:r>
      <w:r>
        <w:rPr/>
        <w:t>[1994]</w:t>
      </w:r>
      <w:r>
        <w:rPr>
          <w:spacing w:val="40"/>
        </w:rPr>
        <w:t> </w:t>
      </w:r>
      <w:r>
        <w:rPr/>
        <w:t>9</w:t>
      </w:r>
      <w:r>
        <w:rPr>
          <w:spacing w:val="40"/>
        </w:rPr>
        <w:t> </w:t>
      </w:r>
      <w:r>
        <w:rPr/>
        <w:t>Butterworths</w:t>
      </w:r>
      <w:r>
        <w:rPr>
          <w:spacing w:val="40"/>
        </w:rPr>
        <w:t> </w:t>
      </w:r>
      <w:r>
        <w:rPr/>
        <w:t>Journal</w:t>
      </w:r>
      <w:r>
        <w:rPr>
          <w:spacing w:val="40"/>
        </w:rPr>
        <w:t> </w:t>
      </w:r>
      <w:r>
        <w:rPr/>
        <w:t>of International Banking and Financial Law 3.</w:t>
      </w:r>
    </w:p>
    <w:p>
      <w:pPr>
        <w:pStyle w:val="BodyText"/>
        <w:spacing w:before="9"/>
      </w:pPr>
    </w:p>
    <w:p>
      <w:pPr>
        <w:spacing w:line="235" w:lineRule="auto" w:before="0"/>
        <w:ind w:left="705" w:right="167" w:hanging="541"/>
        <w:jc w:val="both"/>
        <w:rPr>
          <w:sz w:val="20"/>
        </w:rPr>
      </w:pPr>
      <w:bookmarkStart w:name="_bookmark794" w:id="796"/>
      <w:bookmarkEnd w:id="796"/>
      <w:r>
        <w:rPr/>
      </w:r>
      <w:hyperlink w:history="true" w:anchor="_bookmark668">
        <w:r>
          <w:rPr>
            <w:color w:val="005DA1"/>
            <w:position w:val="5"/>
            <w:sz w:val="14"/>
            <w:u w:val="single" w:color="005DA1"/>
          </w:rPr>
          <w:t>378</w:t>
        </w:r>
      </w:hyperlink>
      <w:r>
        <w:rPr>
          <w:position w:val="5"/>
          <w:sz w:val="14"/>
        </w:rPr>
        <w:t>.</w:t>
      </w:r>
      <w:r>
        <w:rPr>
          <w:spacing w:val="80"/>
          <w:position w:val="5"/>
          <w:sz w:val="14"/>
        </w:rPr>
        <w:t>  </w:t>
      </w:r>
      <w:r>
        <w:rPr>
          <w:sz w:val="20"/>
        </w:rPr>
        <w:t>This</w:t>
      </w:r>
      <w:r>
        <w:rPr>
          <w:spacing w:val="40"/>
          <w:sz w:val="20"/>
        </w:rPr>
        <w:t> </w:t>
      </w:r>
      <w:r>
        <w:rPr>
          <w:sz w:val="20"/>
        </w:rPr>
        <w:t>follows</w:t>
      </w:r>
      <w:r>
        <w:rPr>
          <w:spacing w:val="40"/>
          <w:sz w:val="20"/>
        </w:rPr>
        <w:t> </w:t>
      </w:r>
      <w:r>
        <w:rPr>
          <w:sz w:val="20"/>
        </w:rPr>
        <w:t>from</w:t>
      </w:r>
      <w:r>
        <w:rPr>
          <w:spacing w:val="40"/>
          <w:sz w:val="20"/>
        </w:rPr>
        <w:t> </w:t>
      </w:r>
      <w:r>
        <w:rPr>
          <w:sz w:val="20"/>
        </w:rPr>
        <w:t>the</w:t>
      </w:r>
      <w:r>
        <w:rPr>
          <w:spacing w:val="40"/>
          <w:sz w:val="20"/>
        </w:rPr>
        <w:t> </w:t>
      </w:r>
      <w:r>
        <w:rPr>
          <w:sz w:val="20"/>
        </w:rPr>
        <w:t>authority</w:t>
      </w:r>
      <w:r>
        <w:rPr>
          <w:spacing w:val="40"/>
          <w:sz w:val="20"/>
        </w:rPr>
        <w:t> </w:t>
      </w:r>
      <w:r>
        <w:rPr>
          <w:sz w:val="20"/>
        </w:rPr>
        <w:t>cited</w:t>
      </w:r>
      <w:r>
        <w:rPr>
          <w:spacing w:val="40"/>
          <w:sz w:val="20"/>
        </w:rPr>
        <w:t> </w:t>
      </w:r>
      <w:r>
        <w:rPr>
          <w:sz w:val="20"/>
        </w:rPr>
        <w:t>in</w:t>
      </w:r>
      <w:r>
        <w:rPr>
          <w:spacing w:val="40"/>
          <w:sz w:val="20"/>
        </w:rPr>
        <w:t> </w:t>
      </w:r>
      <w:r>
        <w:rPr>
          <w:sz w:val="20"/>
        </w:rPr>
        <w:t>n.377,</w:t>
      </w:r>
      <w:r>
        <w:rPr>
          <w:spacing w:val="40"/>
          <w:sz w:val="20"/>
        </w:rPr>
        <w:t> </w:t>
      </w:r>
      <w:r>
        <w:rPr>
          <w:sz w:val="20"/>
        </w:rPr>
        <w:t>above,</w:t>
      </w:r>
      <w:r>
        <w:rPr>
          <w:spacing w:val="40"/>
          <w:sz w:val="20"/>
        </w:rPr>
        <w:t> </w:t>
      </w:r>
      <w:r>
        <w:rPr>
          <w:sz w:val="20"/>
        </w:rPr>
        <w:t>since</w:t>
      </w:r>
      <w:r>
        <w:rPr>
          <w:spacing w:val="40"/>
          <w:sz w:val="20"/>
        </w:rPr>
        <w:t> </w:t>
      </w:r>
      <w:r>
        <w:rPr>
          <w:sz w:val="20"/>
        </w:rPr>
        <w:t>the</w:t>
      </w:r>
      <w:r>
        <w:rPr>
          <w:spacing w:val="40"/>
          <w:sz w:val="20"/>
        </w:rPr>
        <w:t> </w:t>
      </w:r>
      <w:r>
        <w:rPr>
          <w:sz w:val="20"/>
        </w:rPr>
        <w:t>provision</w:t>
      </w:r>
      <w:r>
        <w:rPr>
          <w:spacing w:val="40"/>
          <w:sz w:val="20"/>
        </w:rPr>
        <w:t> </w:t>
      </w:r>
      <w:r>
        <w:rPr>
          <w:sz w:val="20"/>
        </w:rPr>
        <w:t>of</w:t>
      </w:r>
      <w:r>
        <w:rPr>
          <w:spacing w:val="40"/>
          <w:sz w:val="20"/>
        </w:rPr>
        <w:t> </w:t>
      </w:r>
      <w:r>
        <w:rPr>
          <w:sz w:val="20"/>
        </w:rPr>
        <w:t>the</w:t>
      </w:r>
      <w:r>
        <w:rPr>
          <w:spacing w:val="40"/>
          <w:sz w:val="20"/>
        </w:rPr>
        <w:t> </w:t>
      </w:r>
      <w:r>
        <w:rPr>
          <w:sz w:val="20"/>
        </w:rPr>
        <w:t>credit</w:t>
      </w:r>
      <w:r>
        <w:rPr>
          <w:spacing w:val="40"/>
          <w:sz w:val="20"/>
        </w:rPr>
        <w:t> </w:t>
      </w:r>
      <w:r>
        <w:rPr>
          <w:sz w:val="20"/>
        </w:rPr>
        <w:t>is</w:t>
      </w:r>
      <w:r>
        <w:rPr>
          <w:spacing w:val="40"/>
          <w:sz w:val="20"/>
        </w:rPr>
        <w:t> </w:t>
      </w:r>
      <w:r>
        <w:rPr>
          <w:sz w:val="20"/>
        </w:rPr>
        <w:t>a service for the customer (buyer). See also </w:t>
      </w:r>
      <w:r>
        <w:rPr>
          <w:rFonts w:ascii="Arial" w:hAnsi="Arial"/>
          <w:i/>
          <w:sz w:val="20"/>
        </w:rPr>
        <w:t>Bank of Baroda v Vysya Bank Ltd [1994] 2 Lloyd’s Rep. 87, 92</w:t>
      </w:r>
      <w:r>
        <w:rPr>
          <w:sz w:val="20"/>
        </w:rPr>
        <w:t>.</w:t>
      </w:r>
    </w:p>
    <w:p>
      <w:pPr>
        <w:pStyle w:val="BodyText"/>
        <w:spacing w:before="9"/>
      </w:pPr>
    </w:p>
    <w:p>
      <w:pPr>
        <w:spacing w:line="235" w:lineRule="auto" w:before="0"/>
        <w:ind w:left="705" w:right="167" w:hanging="541"/>
        <w:jc w:val="both"/>
        <w:rPr>
          <w:rFonts w:ascii="Arial" w:hAnsi="Arial"/>
          <w:i/>
          <w:sz w:val="20"/>
        </w:rPr>
      </w:pPr>
      <w:bookmarkStart w:name="_bookmark795" w:id="797"/>
      <w:bookmarkEnd w:id="797"/>
      <w:r>
        <w:rPr/>
      </w:r>
      <w:hyperlink w:history="true" w:anchor="_bookmark669">
        <w:r>
          <w:rPr>
            <w:color w:val="005DA1"/>
            <w:position w:val="5"/>
            <w:sz w:val="14"/>
            <w:u w:val="single" w:color="005DA1"/>
          </w:rPr>
          <w:t>379</w:t>
        </w:r>
      </w:hyperlink>
      <w:r>
        <w:rPr>
          <w:position w:val="5"/>
          <w:sz w:val="14"/>
        </w:rPr>
        <w:t>.</w:t>
      </w:r>
      <w:r>
        <w:rPr>
          <w:spacing w:val="40"/>
          <w:position w:val="5"/>
          <w:sz w:val="14"/>
        </w:rPr>
        <w:t>  </w:t>
      </w:r>
      <w:r>
        <w:rPr>
          <w:rFonts w:ascii="Arial" w:hAnsi="Arial"/>
          <w:i/>
          <w:sz w:val="20"/>
        </w:rPr>
        <w:t>Bank of Baroda v Vysya Bank Ltd [1994] 2 Lloyd’s Rep. 87</w:t>
      </w:r>
      <w:r>
        <w:rPr>
          <w:sz w:val="20"/>
        </w:rPr>
        <w:t>, treating the contract as one of agency in which the characteristic performance was the adding of the confirmation to the </w:t>
      </w:r>
      <w:r>
        <w:rPr>
          <w:sz w:val="20"/>
        </w:rPr>
        <w:t>credit. The</w:t>
      </w:r>
      <w:r>
        <w:rPr>
          <w:spacing w:val="-1"/>
          <w:sz w:val="20"/>
        </w:rPr>
        <w:t> </w:t>
      </w:r>
      <w:r>
        <w:rPr>
          <w:sz w:val="20"/>
        </w:rPr>
        <w:t>same</w:t>
      </w:r>
      <w:r>
        <w:rPr>
          <w:spacing w:val="-1"/>
          <w:sz w:val="20"/>
        </w:rPr>
        <w:t> </w:t>
      </w:r>
      <w:r>
        <w:rPr>
          <w:sz w:val="20"/>
        </w:rPr>
        <w:t>result</w:t>
      </w:r>
      <w:r>
        <w:rPr>
          <w:spacing w:val="-1"/>
          <w:sz w:val="20"/>
        </w:rPr>
        <w:t> </w:t>
      </w:r>
      <w:r>
        <w:rPr>
          <w:sz w:val="20"/>
        </w:rPr>
        <w:t>is</w:t>
      </w:r>
      <w:r>
        <w:rPr>
          <w:spacing w:val="-1"/>
          <w:sz w:val="20"/>
        </w:rPr>
        <w:t> </w:t>
      </w:r>
      <w:r>
        <w:rPr>
          <w:sz w:val="20"/>
        </w:rPr>
        <w:t>likely</w:t>
      </w:r>
      <w:r>
        <w:rPr>
          <w:spacing w:val="-1"/>
          <w:sz w:val="20"/>
        </w:rPr>
        <w:t> </w:t>
      </w:r>
      <w:r>
        <w:rPr>
          <w:sz w:val="20"/>
        </w:rPr>
        <w:t>to</w:t>
      </w:r>
      <w:r>
        <w:rPr>
          <w:spacing w:val="-1"/>
          <w:sz w:val="20"/>
        </w:rPr>
        <w:t> </w:t>
      </w:r>
      <w:r>
        <w:rPr>
          <w:sz w:val="20"/>
        </w:rPr>
        <w:t>ensue</w:t>
      </w:r>
      <w:r>
        <w:rPr>
          <w:spacing w:val="-1"/>
          <w:sz w:val="20"/>
        </w:rPr>
        <w:t> </w:t>
      </w:r>
      <w:r>
        <w:rPr>
          <w:sz w:val="20"/>
        </w:rPr>
        <w:t>if</w:t>
      </w:r>
      <w:r>
        <w:rPr>
          <w:spacing w:val="-1"/>
          <w:sz w:val="20"/>
        </w:rPr>
        <w:t> </w:t>
      </w:r>
      <w:r>
        <w:rPr>
          <w:sz w:val="20"/>
        </w:rPr>
        <w:t>the</w:t>
      </w:r>
      <w:r>
        <w:rPr>
          <w:spacing w:val="-1"/>
          <w:sz w:val="20"/>
        </w:rPr>
        <w:t> </w:t>
      </w:r>
      <w:r>
        <w:rPr>
          <w:sz w:val="20"/>
        </w:rPr>
        <w:t>correspondent</w:t>
      </w:r>
      <w:r>
        <w:rPr>
          <w:spacing w:val="-1"/>
          <w:sz w:val="20"/>
        </w:rPr>
        <w:t> </w:t>
      </w:r>
      <w:r>
        <w:rPr>
          <w:sz w:val="20"/>
        </w:rPr>
        <w:t>bank</w:t>
      </w:r>
      <w:r>
        <w:rPr>
          <w:spacing w:val="-1"/>
          <w:sz w:val="20"/>
        </w:rPr>
        <w:t> </w:t>
      </w:r>
      <w:r>
        <w:rPr>
          <w:sz w:val="20"/>
        </w:rPr>
        <w:t>does</w:t>
      </w:r>
      <w:r>
        <w:rPr>
          <w:spacing w:val="-1"/>
          <w:sz w:val="20"/>
        </w:rPr>
        <w:t> </w:t>
      </w:r>
      <w:r>
        <w:rPr>
          <w:sz w:val="20"/>
        </w:rPr>
        <w:t>not</w:t>
      </w:r>
      <w:r>
        <w:rPr>
          <w:spacing w:val="-1"/>
          <w:sz w:val="20"/>
        </w:rPr>
        <w:t> </w:t>
      </w:r>
      <w:r>
        <w:rPr>
          <w:sz w:val="20"/>
        </w:rPr>
        <w:t>add</w:t>
      </w:r>
      <w:r>
        <w:rPr>
          <w:spacing w:val="-1"/>
          <w:sz w:val="20"/>
        </w:rPr>
        <w:t> </w:t>
      </w:r>
      <w:r>
        <w:rPr>
          <w:sz w:val="20"/>
        </w:rPr>
        <w:t>its</w:t>
      </w:r>
      <w:r>
        <w:rPr>
          <w:spacing w:val="-1"/>
          <w:sz w:val="20"/>
        </w:rPr>
        <w:t> </w:t>
      </w:r>
      <w:r>
        <w:rPr>
          <w:sz w:val="20"/>
        </w:rPr>
        <w:t>confirmation</w:t>
      </w:r>
      <w:r>
        <w:rPr>
          <w:spacing w:val="-1"/>
          <w:sz w:val="20"/>
        </w:rPr>
        <w:t> </w:t>
      </w:r>
      <w:r>
        <w:rPr>
          <w:sz w:val="20"/>
        </w:rPr>
        <w:t>to</w:t>
      </w:r>
      <w:r>
        <w:rPr>
          <w:spacing w:val="-1"/>
          <w:sz w:val="20"/>
        </w:rPr>
        <w:t> </w:t>
      </w:r>
      <w:r>
        <w:rPr>
          <w:sz w:val="20"/>
        </w:rPr>
        <w:t>the credit, since the contract is one of agency and the characteristic performance in such a contract is that of the agent: </w:t>
      </w:r>
      <w:r>
        <w:rPr>
          <w:rFonts w:ascii="Arial" w:hAnsi="Arial"/>
          <w:i/>
          <w:sz w:val="20"/>
        </w:rPr>
        <w:t>[1994] 2 Lloyd’s Rep. 87, 93</w:t>
      </w:r>
      <w:r>
        <w:rPr>
          <w:sz w:val="20"/>
        </w:rPr>
        <w:t>; </w:t>
      </w:r>
      <w:r>
        <w:rPr>
          <w:rFonts w:ascii="Arial" w:hAnsi="Arial"/>
          <w:i/>
          <w:sz w:val="20"/>
        </w:rPr>
        <w:t>PT Pan Indonesia Bank Ltd Tbk v Marconi Communications</w:t>
      </w:r>
      <w:r>
        <w:rPr>
          <w:rFonts w:ascii="Arial" w:hAnsi="Arial"/>
          <w:i/>
          <w:spacing w:val="40"/>
          <w:sz w:val="20"/>
        </w:rPr>
        <w:t> </w:t>
      </w:r>
      <w:r>
        <w:rPr>
          <w:rFonts w:ascii="Arial" w:hAnsi="Arial"/>
          <w:i/>
          <w:sz w:val="20"/>
        </w:rPr>
        <w:t>International</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[2005]</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235,</w:t>
      </w:r>
      <w:r>
        <w:rPr>
          <w:rFonts w:ascii="Arial" w:hAnsi="Arial"/>
          <w:i/>
          <w:spacing w:val="40"/>
          <w:sz w:val="20"/>
        </w:rPr>
        <w:t> </w:t>
      </w:r>
      <w:r>
        <w:rPr>
          <w:rFonts w:ascii="Arial" w:hAnsi="Arial"/>
          <w:i/>
          <w:sz w:val="20"/>
        </w:rPr>
        <w:t>[2007]</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72</w:t>
      </w:r>
      <w:r>
        <w:rPr>
          <w:sz w:val="20"/>
        </w:rPr>
        <w:t>; Giuliano-Lagarde Report, p.20. See also </w:t>
      </w:r>
      <w:r>
        <w:rPr>
          <w:rFonts w:ascii="Arial" w:hAnsi="Arial"/>
          <w:i/>
          <w:sz w:val="20"/>
        </w:rPr>
        <w:t>Bank of Credit and Commerce Hong Kong Ltd v</w:t>
      </w:r>
      <w:r>
        <w:rPr>
          <w:rFonts w:ascii="Arial" w:hAnsi="Arial"/>
          <w:i/>
          <w:spacing w:val="40"/>
          <w:sz w:val="20"/>
        </w:rPr>
        <w:t> </w:t>
      </w:r>
      <w:r>
        <w:rPr>
          <w:rFonts w:ascii="Arial" w:hAnsi="Arial"/>
          <w:i/>
          <w:sz w:val="20"/>
        </w:rPr>
        <w:t>Sonali Bank [1995] 1 Lloyd’s Rep. 223</w:t>
      </w:r>
      <w:r>
        <w:rPr>
          <w:sz w:val="20"/>
        </w:rPr>
        <w:t>; </w:t>
      </w:r>
      <w:r>
        <w:rPr>
          <w:rFonts w:ascii="Arial" w:hAnsi="Arial"/>
          <w:i/>
          <w:sz w:val="20"/>
        </w:rPr>
        <w:t>Batstone &amp; Firminger Ltd v Nasima Enterprises</w:t>
      </w:r>
      <w:r>
        <w:rPr>
          <w:rFonts w:ascii="Arial" w:hAnsi="Arial"/>
          <w:i/>
          <w:spacing w:val="40"/>
          <w:sz w:val="20"/>
        </w:rPr>
        <w:t> </w:t>
      </w:r>
      <w:r>
        <w:rPr>
          <w:rFonts w:ascii="Arial" w:hAnsi="Arial"/>
          <w:i/>
          <w:sz w:val="20"/>
        </w:rPr>
        <w:t>(Nigeria) Ltd [1996] C.L.C. 1902, 1910</w:t>
      </w:r>
      <w:r>
        <w:rPr>
          <w:sz w:val="20"/>
        </w:rPr>
        <w:t>. cf. </w:t>
      </w:r>
      <w:r>
        <w:rPr>
          <w:rFonts w:ascii="Arial" w:hAnsi="Arial"/>
          <w:i/>
          <w:sz w:val="20"/>
        </w:rPr>
        <w:t>European Asian Bank AG v Punjab and Sind Bank [1981]</w:t>
      </w:r>
      <w:r>
        <w:rPr>
          <w:rFonts w:ascii="Arial" w:hAnsi="Arial"/>
          <w:i/>
          <w:spacing w:val="46"/>
          <w:sz w:val="20"/>
        </w:rPr>
        <w:t> </w:t>
      </w:r>
      <w:r>
        <w:rPr>
          <w:rFonts w:ascii="Arial" w:hAnsi="Arial"/>
          <w:i/>
          <w:sz w:val="20"/>
        </w:rPr>
        <w:t>2</w:t>
      </w:r>
      <w:r>
        <w:rPr>
          <w:rFonts w:ascii="Arial" w:hAnsi="Arial"/>
          <w:i/>
          <w:spacing w:val="47"/>
          <w:sz w:val="20"/>
        </w:rPr>
        <w:t> </w:t>
      </w:r>
      <w:r>
        <w:rPr>
          <w:rFonts w:ascii="Arial" w:hAnsi="Arial"/>
          <w:i/>
          <w:sz w:val="20"/>
        </w:rPr>
        <w:t>Lloyd’s</w:t>
      </w:r>
      <w:r>
        <w:rPr>
          <w:rFonts w:ascii="Arial" w:hAnsi="Arial"/>
          <w:i/>
          <w:spacing w:val="47"/>
          <w:sz w:val="20"/>
        </w:rPr>
        <w:t> </w:t>
      </w:r>
      <w:r>
        <w:rPr>
          <w:rFonts w:ascii="Arial" w:hAnsi="Arial"/>
          <w:i/>
          <w:sz w:val="20"/>
        </w:rPr>
        <w:t>Rep.</w:t>
      </w:r>
      <w:r>
        <w:rPr>
          <w:rFonts w:ascii="Arial" w:hAnsi="Arial"/>
          <w:i/>
          <w:spacing w:val="47"/>
          <w:sz w:val="20"/>
        </w:rPr>
        <w:t> </w:t>
      </w:r>
      <w:r>
        <w:rPr>
          <w:rFonts w:ascii="Arial" w:hAnsi="Arial"/>
          <w:i/>
          <w:sz w:val="20"/>
        </w:rPr>
        <w:t>651</w:t>
      </w:r>
      <w:r>
        <w:rPr>
          <w:sz w:val="20"/>
        </w:rPr>
        <w:t>;</w:t>
      </w:r>
      <w:r>
        <w:rPr>
          <w:spacing w:val="47"/>
          <w:sz w:val="20"/>
        </w:rPr>
        <w:t> </w:t>
      </w:r>
      <w:r>
        <w:rPr>
          <w:rFonts w:ascii="Arial" w:hAnsi="Arial"/>
          <w:i/>
          <w:sz w:val="20"/>
        </w:rPr>
        <w:t>Habib</w:t>
      </w:r>
      <w:r>
        <w:rPr>
          <w:rFonts w:ascii="Arial" w:hAnsi="Arial"/>
          <w:i/>
          <w:spacing w:val="47"/>
          <w:sz w:val="20"/>
        </w:rPr>
        <w:t> </w:t>
      </w:r>
      <w:r>
        <w:rPr>
          <w:rFonts w:ascii="Arial" w:hAnsi="Arial"/>
          <w:i/>
          <w:sz w:val="20"/>
        </w:rPr>
        <w:t>Bank</w:t>
      </w:r>
      <w:r>
        <w:rPr>
          <w:rFonts w:ascii="Arial" w:hAnsi="Arial"/>
          <w:i/>
          <w:spacing w:val="47"/>
          <w:sz w:val="20"/>
        </w:rPr>
        <w:t> </w:t>
      </w:r>
      <w:r>
        <w:rPr>
          <w:rFonts w:ascii="Arial" w:hAnsi="Arial"/>
          <w:i/>
          <w:sz w:val="20"/>
        </w:rPr>
        <w:t>Ltd</w:t>
      </w:r>
      <w:r>
        <w:rPr>
          <w:rFonts w:ascii="Arial" w:hAnsi="Arial"/>
          <w:i/>
          <w:spacing w:val="47"/>
          <w:sz w:val="20"/>
        </w:rPr>
        <w:t> </w:t>
      </w:r>
      <w:r>
        <w:rPr>
          <w:rFonts w:ascii="Arial" w:hAnsi="Arial"/>
          <w:i/>
          <w:sz w:val="20"/>
        </w:rPr>
        <w:t>v</w:t>
      </w:r>
      <w:r>
        <w:rPr>
          <w:rFonts w:ascii="Arial" w:hAnsi="Arial"/>
          <w:i/>
          <w:spacing w:val="47"/>
          <w:sz w:val="20"/>
        </w:rPr>
        <w:t> </w:t>
      </w:r>
      <w:r>
        <w:rPr>
          <w:rFonts w:ascii="Arial" w:hAnsi="Arial"/>
          <w:i/>
          <w:sz w:val="20"/>
        </w:rPr>
        <w:t>Central</w:t>
      </w:r>
      <w:r>
        <w:rPr>
          <w:rFonts w:ascii="Arial" w:hAnsi="Arial"/>
          <w:i/>
          <w:spacing w:val="47"/>
          <w:sz w:val="20"/>
        </w:rPr>
        <w:t> </w:t>
      </w:r>
      <w:r>
        <w:rPr>
          <w:rFonts w:ascii="Arial" w:hAnsi="Arial"/>
          <w:i/>
          <w:sz w:val="20"/>
        </w:rPr>
        <w:t>Bank</w:t>
      </w:r>
      <w:r>
        <w:rPr>
          <w:rFonts w:ascii="Arial" w:hAnsi="Arial"/>
          <w:i/>
          <w:spacing w:val="47"/>
          <w:sz w:val="20"/>
        </w:rPr>
        <w:t> </w:t>
      </w:r>
      <w:r>
        <w:rPr>
          <w:rFonts w:ascii="Arial" w:hAnsi="Arial"/>
          <w:i/>
          <w:sz w:val="20"/>
        </w:rPr>
        <w:t>of</w:t>
      </w:r>
      <w:r>
        <w:rPr>
          <w:rFonts w:ascii="Arial" w:hAnsi="Arial"/>
          <w:i/>
          <w:spacing w:val="47"/>
          <w:sz w:val="20"/>
        </w:rPr>
        <w:t> </w:t>
      </w:r>
      <w:r>
        <w:rPr>
          <w:rFonts w:ascii="Arial" w:hAnsi="Arial"/>
          <w:i/>
          <w:sz w:val="20"/>
        </w:rPr>
        <w:t>Sudan</w:t>
      </w:r>
      <w:r>
        <w:rPr>
          <w:rFonts w:ascii="Arial" w:hAnsi="Arial"/>
          <w:i/>
          <w:spacing w:val="47"/>
          <w:sz w:val="20"/>
        </w:rPr>
        <w:t> </w:t>
      </w:r>
      <w:r>
        <w:rPr>
          <w:rFonts w:ascii="Arial" w:hAnsi="Arial"/>
          <w:i/>
          <w:sz w:val="20"/>
        </w:rPr>
        <w:t>[2006]</w:t>
      </w:r>
      <w:r>
        <w:rPr>
          <w:rFonts w:ascii="Arial" w:hAnsi="Arial"/>
          <w:i/>
          <w:spacing w:val="47"/>
          <w:sz w:val="20"/>
        </w:rPr>
        <w:t> </w:t>
      </w:r>
      <w:r>
        <w:rPr>
          <w:rFonts w:ascii="Arial" w:hAnsi="Arial"/>
          <w:i/>
          <w:sz w:val="20"/>
        </w:rPr>
        <w:t>EWHC</w:t>
      </w:r>
      <w:r>
        <w:rPr>
          <w:rFonts w:ascii="Arial" w:hAnsi="Arial"/>
          <w:i/>
          <w:spacing w:val="47"/>
          <w:sz w:val="20"/>
        </w:rPr>
        <w:t> </w:t>
      </w:r>
      <w:r>
        <w:rPr>
          <w:rFonts w:ascii="Arial" w:hAnsi="Arial"/>
          <w:i/>
          <w:spacing w:val="-4"/>
          <w:sz w:val="20"/>
        </w:rPr>
        <w:t>1767</w:t>
      </w:r>
    </w:p>
    <w:p>
      <w:pPr>
        <w:spacing w:line="222" w:lineRule="exact" w:before="0"/>
        <w:ind w:left="705" w:right="0" w:firstLine="0"/>
        <w:jc w:val="both"/>
        <w:rPr>
          <w:sz w:val="20"/>
        </w:rPr>
      </w:pPr>
      <w:r>
        <w:rPr>
          <w:rFonts w:ascii="Arial" w:hAnsi="Arial"/>
          <w:i/>
          <w:sz w:val="20"/>
        </w:rPr>
        <w:t>(Comm), [2006] 2 Lloyd’s Rep. </w:t>
      </w:r>
      <w:r>
        <w:rPr>
          <w:rFonts w:ascii="Arial" w:hAnsi="Arial"/>
          <w:i/>
          <w:spacing w:val="-5"/>
          <w:sz w:val="20"/>
        </w:rPr>
        <w:t>44</w:t>
      </w:r>
      <w:r>
        <w:rPr>
          <w:spacing w:val="-5"/>
          <w:sz w:val="20"/>
        </w:rPr>
        <w:t>.</w:t>
      </w:r>
    </w:p>
    <w:p>
      <w:pPr>
        <w:pStyle w:val="BodyText"/>
        <w:spacing w:before="9"/>
      </w:pPr>
    </w:p>
    <w:p>
      <w:pPr>
        <w:spacing w:line="235" w:lineRule="auto" w:before="0"/>
        <w:ind w:left="705" w:right="167" w:hanging="541"/>
        <w:jc w:val="both"/>
        <w:rPr>
          <w:sz w:val="20"/>
        </w:rPr>
      </w:pPr>
      <w:bookmarkStart w:name="_bookmark796" w:id="798"/>
      <w:bookmarkEnd w:id="798"/>
      <w:r>
        <w:rPr/>
      </w:r>
      <w:hyperlink w:history="true" w:anchor="_bookmark670">
        <w:r>
          <w:rPr>
            <w:color w:val="005DA1"/>
            <w:position w:val="5"/>
            <w:sz w:val="14"/>
            <w:u w:val="single" w:color="005DA1"/>
          </w:rPr>
          <w:t>380</w:t>
        </w:r>
      </w:hyperlink>
      <w:r>
        <w:rPr>
          <w:position w:val="5"/>
          <w:sz w:val="14"/>
        </w:rPr>
        <w:t>.</w:t>
      </w:r>
      <w:r>
        <w:rPr>
          <w:spacing w:val="40"/>
          <w:position w:val="5"/>
          <w:sz w:val="14"/>
        </w:rPr>
        <w:t>  </w:t>
      </w:r>
      <w:r>
        <w:rPr>
          <w:rFonts w:ascii="Arial" w:hAnsi="Arial"/>
          <w:i/>
          <w:sz w:val="20"/>
        </w:rPr>
        <w:t>Bank of Baroda v Vysya Bank Ltd [1994] 2 Lloyd’s Rep. 87</w:t>
      </w:r>
      <w:r>
        <w:rPr>
          <w:sz w:val="20"/>
        </w:rPr>
        <w:t>; </w:t>
      </w:r>
      <w:r>
        <w:rPr>
          <w:rFonts w:ascii="Arial" w:hAnsi="Arial"/>
          <w:i/>
          <w:sz w:val="20"/>
        </w:rPr>
        <w:t>PT Pan Indonesia Bank Ltd Tbk v Marconi Communications International Ltd [2005] EWCA Civ 235, [2007] 2 Lloyd’s Rep. </w:t>
      </w:r>
      <w:r>
        <w:rPr>
          <w:rFonts w:ascii="Arial" w:hAnsi="Arial"/>
          <w:i/>
          <w:sz w:val="20"/>
        </w:rPr>
        <w:t>72</w:t>
      </w:r>
      <w:r>
        <w:rPr>
          <w:sz w:val="20"/>
        </w:rPr>
        <w:t>; </w:t>
      </w:r>
      <w:r>
        <w:rPr>
          <w:rFonts w:ascii="Arial" w:hAnsi="Arial"/>
          <w:i/>
          <w:sz w:val="20"/>
        </w:rPr>
        <w:t>Trafigura Beheer BV v Kookmin Bank Co [2005] EWHC 2350 (Comm), [2006] EWHC 1450 (Comm), [2006] 2 Lloyd’s Rep. 455</w:t>
      </w:r>
      <w:r>
        <w:rPr>
          <w:sz w:val="20"/>
        </w:rPr>
        <w:t>. This is because either the bank is providing a banking service (Giuliano-Lagarde Report, p.20) or because it is of the essence of a letter of credit that the confirming bank undertakes to pay the beneficiary (seller) on presentation of conforming documents (</w:t>
      </w:r>
      <w:r>
        <w:rPr>
          <w:rFonts w:ascii="Arial" w:hAnsi="Arial"/>
          <w:i/>
          <w:sz w:val="20"/>
        </w:rPr>
        <w:t>[1994] 2 Lloyd’s Rep. 87, 92</w:t>
      </w:r>
      <w:r>
        <w:rPr>
          <w:sz w:val="20"/>
        </w:rPr>
        <w:t>). See also </w:t>
      </w:r>
      <w:r>
        <w:rPr>
          <w:rFonts w:ascii="Arial" w:hAnsi="Arial"/>
          <w:i/>
          <w:sz w:val="20"/>
        </w:rPr>
        <w:t>Bank of Credit and Commerce Hong Kong Ltd v Sonali Bank [1995] 1 Lloyd’s Rep. 223</w:t>
      </w:r>
      <w:r>
        <w:rPr>
          <w:sz w:val="20"/>
        </w:rPr>
        <w:t>; </w:t>
      </w:r>
      <w:r>
        <w:rPr>
          <w:rFonts w:ascii="Arial" w:hAnsi="Arial"/>
          <w:i/>
          <w:sz w:val="20"/>
        </w:rPr>
        <w:t>Batstone &amp; Firminger Ltd v Nasima Enterprises (Nigeria) Ltd [1996] C.L.C. 1902, 1910</w:t>
      </w:r>
      <w:r>
        <w:rPr>
          <w:sz w:val="20"/>
        </w:rPr>
        <w:t>.</w:t>
      </w:r>
    </w:p>
    <w:p>
      <w:pPr>
        <w:pStyle w:val="BodyText"/>
        <w:spacing w:before="7"/>
      </w:pPr>
    </w:p>
    <w:p>
      <w:pPr>
        <w:tabs>
          <w:tab w:pos="705" w:val="left" w:leader="none"/>
        </w:tabs>
        <w:spacing w:line="235" w:lineRule="auto" w:before="0"/>
        <w:ind w:left="705" w:right="168" w:hanging="541"/>
        <w:jc w:val="left"/>
        <w:rPr>
          <w:sz w:val="20"/>
        </w:rPr>
      </w:pPr>
      <w:bookmarkStart w:name="_bookmark797" w:id="799"/>
      <w:bookmarkEnd w:id="799"/>
      <w:r>
        <w:rPr/>
      </w:r>
      <w:hyperlink w:history="true" w:anchor="_bookmark671">
        <w:r>
          <w:rPr>
            <w:color w:val="005DA1"/>
            <w:spacing w:val="-4"/>
            <w:position w:val="5"/>
            <w:sz w:val="14"/>
            <w:u w:val="single" w:color="005DA1"/>
          </w:rPr>
          <w:t>381</w:t>
        </w:r>
      </w:hyperlink>
      <w:r>
        <w:rPr>
          <w:spacing w:val="-4"/>
          <w:position w:val="5"/>
          <w:sz w:val="14"/>
        </w:rPr>
        <w:t>.</w:t>
      </w:r>
      <w:r>
        <w:rPr>
          <w:position w:val="5"/>
          <w:sz w:val="14"/>
        </w:rPr>
        <w:tab/>
      </w:r>
      <w:r>
        <w:rPr>
          <w:rFonts w:ascii="Arial" w:hAnsi="Arial"/>
          <w:i/>
          <w:sz w:val="20"/>
        </w:rPr>
        <w:t>Bank</w:t>
      </w:r>
      <w:r>
        <w:rPr>
          <w:rFonts w:ascii="Arial" w:hAnsi="Arial"/>
          <w:i/>
          <w:spacing w:val="20"/>
          <w:sz w:val="20"/>
        </w:rPr>
        <w:t> </w:t>
      </w:r>
      <w:r>
        <w:rPr>
          <w:rFonts w:ascii="Arial" w:hAnsi="Arial"/>
          <w:i/>
          <w:sz w:val="20"/>
        </w:rPr>
        <w:t>of</w:t>
      </w:r>
      <w:r>
        <w:rPr>
          <w:rFonts w:ascii="Arial" w:hAnsi="Arial"/>
          <w:i/>
          <w:spacing w:val="20"/>
          <w:sz w:val="20"/>
        </w:rPr>
        <w:t> </w:t>
      </w:r>
      <w:r>
        <w:rPr>
          <w:rFonts w:ascii="Arial" w:hAnsi="Arial"/>
          <w:i/>
          <w:sz w:val="20"/>
        </w:rPr>
        <w:t>Baroda</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Vysya</w:t>
      </w:r>
      <w:r>
        <w:rPr>
          <w:rFonts w:ascii="Arial" w:hAnsi="Arial"/>
          <w:i/>
          <w:spacing w:val="20"/>
          <w:sz w:val="20"/>
        </w:rPr>
        <w:t> </w:t>
      </w:r>
      <w:r>
        <w:rPr>
          <w:rFonts w:ascii="Arial" w:hAnsi="Arial"/>
          <w:i/>
          <w:sz w:val="20"/>
        </w:rPr>
        <w:t>Bank</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[1994]</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87</w:t>
      </w:r>
      <w:r>
        <w:rPr>
          <w:sz w:val="20"/>
        </w:rPr>
        <w:t>;</w:t>
      </w:r>
      <w:r>
        <w:rPr>
          <w:spacing w:val="20"/>
          <w:sz w:val="20"/>
        </w:rPr>
        <w:t> </w:t>
      </w:r>
      <w:r>
        <w:rPr>
          <w:rFonts w:ascii="Arial" w:hAnsi="Arial"/>
          <w:i/>
          <w:sz w:val="20"/>
        </w:rPr>
        <w:t>Trafigura</w:t>
      </w:r>
      <w:r>
        <w:rPr>
          <w:rFonts w:ascii="Arial" w:hAnsi="Arial"/>
          <w:i/>
          <w:spacing w:val="20"/>
          <w:sz w:val="20"/>
        </w:rPr>
        <w:t> </w:t>
      </w:r>
      <w:r>
        <w:rPr>
          <w:rFonts w:ascii="Arial" w:hAnsi="Arial"/>
          <w:i/>
          <w:sz w:val="20"/>
        </w:rPr>
        <w:t>Beheer</w:t>
      </w:r>
      <w:r>
        <w:rPr>
          <w:rFonts w:ascii="Arial" w:hAnsi="Arial"/>
          <w:i/>
          <w:spacing w:val="20"/>
          <w:sz w:val="20"/>
        </w:rPr>
        <w:t> </w:t>
      </w:r>
      <w:r>
        <w:rPr>
          <w:rFonts w:ascii="Arial" w:hAnsi="Arial"/>
          <w:i/>
          <w:sz w:val="20"/>
        </w:rPr>
        <w:t>BV</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Kookmin Bank</w:t>
      </w:r>
      <w:r>
        <w:rPr>
          <w:rFonts w:ascii="Arial" w:hAnsi="Arial"/>
          <w:i/>
          <w:spacing w:val="7"/>
          <w:sz w:val="20"/>
        </w:rPr>
        <w:t> </w:t>
      </w:r>
      <w:r>
        <w:rPr>
          <w:rFonts w:ascii="Arial" w:hAnsi="Arial"/>
          <w:i/>
          <w:sz w:val="20"/>
        </w:rPr>
        <w:t>Co</w:t>
      </w:r>
      <w:r>
        <w:rPr>
          <w:rFonts w:ascii="Arial" w:hAnsi="Arial"/>
          <w:i/>
          <w:spacing w:val="7"/>
          <w:sz w:val="20"/>
        </w:rPr>
        <w:t> </w:t>
      </w:r>
      <w:r>
        <w:rPr>
          <w:rFonts w:ascii="Arial" w:hAnsi="Arial"/>
          <w:i/>
          <w:sz w:val="20"/>
        </w:rPr>
        <w:t>[2005]</w:t>
      </w:r>
      <w:r>
        <w:rPr>
          <w:rFonts w:ascii="Arial" w:hAnsi="Arial"/>
          <w:i/>
          <w:spacing w:val="7"/>
          <w:sz w:val="20"/>
        </w:rPr>
        <w:t> </w:t>
      </w:r>
      <w:r>
        <w:rPr>
          <w:rFonts w:ascii="Arial" w:hAnsi="Arial"/>
          <w:i/>
          <w:sz w:val="20"/>
        </w:rPr>
        <w:t>EWHC</w:t>
      </w:r>
      <w:r>
        <w:rPr>
          <w:rFonts w:ascii="Arial" w:hAnsi="Arial"/>
          <w:i/>
          <w:spacing w:val="7"/>
          <w:sz w:val="20"/>
        </w:rPr>
        <w:t> </w:t>
      </w:r>
      <w:r>
        <w:rPr>
          <w:rFonts w:ascii="Arial" w:hAnsi="Arial"/>
          <w:i/>
          <w:sz w:val="20"/>
        </w:rPr>
        <w:t>2350</w:t>
      </w:r>
      <w:r>
        <w:rPr>
          <w:rFonts w:ascii="Arial" w:hAnsi="Arial"/>
          <w:i/>
          <w:spacing w:val="7"/>
          <w:sz w:val="20"/>
        </w:rPr>
        <w:t> </w:t>
      </w:r>
      <w:r>
        <w:rPr>
          <w:rFonts w:ascii="Arial" w:hAnsi="Arial"/>
          <w:i/>
          <w:sz w:val="20"/>
        </w:rPr>
        <w:t>(Comm),</w:t>
      </w:r>
      <w:r>
        <w:rPr>
          <w:rFonts w:ascii="Arial" w:hAnsi="Arial"/>
          <w:i/>
          <w:spacing w:val="7"/>
          <w:sz w:val="20"/>
        </w:rPr>
        <w:t> </w:t>
      </w:r>
      <w:r>
        <w:rPr>
          <w:rFonts w:ascii="Arial" w:hAnsi="Arial"/>
          <w:i/>
          <w:sz w:val="20"/>
        </w:rPr>
        <w:t>[2006]</w:t>
      </w:r>
      <w:r>
        <w:rPr>
          <w:rFonts w:ascii="Arial" w:hAnsi="Arial"/>
          <w:i/>
          <w:spacing w:val="7"/>
          <w:sz w:val="20"/>
        </w:rPr>
        <w:t> </w:t>
      </w:r>
      <w:r>
        <w:rPr>
          <w:rFonts w:ascii="Arial" w:hAnsi="Arial"/>
          <w:i/>
          <w:sz w:val="20"/>
        </w:rPr>
        <w:t>EWHC</w:t>
      </w:r>
      <w:r>
        <w:rPr>
          <w:rFonts w:ascii="Arial" w:hAnsi="Arial"/>
          <w:i/>
          <w:spacing w:val="7"/>
          <w:sz w:val="20"/>
        </w:rPr>
        <w:t> </w:t>
      </w:r>
      <w:r>
        <w:rPr>
          <w:rFonts w:ascii="Arial" w:hAnsi="Arial"/>
          <w:i/>
          <w:sz w:val="20"/>
        </w:rPr>
        <w:t>1450</w:t>
      </w:r>
      <w:r>
        <w:rPr>
          <w:rFonts w:ascii="Arial" w:hAnsi="Arial"/>
          <w:i/>
          <w:spacing w:val="7"/>
          <w:sz w:val="20"/>
        </w:rPr>
        <w:t> </w:t>
      </w:r>
      <w:r>
        <w:rPr>
          <w:rFonts w:ascii="Arial" w:hAnsi="Arial"/>
          <w:i/>
          <w:sz w:val="20"/>
        </w:rPr>
        <w:t>(Comm),</w:t>
      </w:r>
      <w:r>
        <w:rPr>
          <w:rFonts w:ascii="Arial" w:hAnsi="Arial"/>
          <w:i/>
          <w:spacing w:val="7"/>
          <w:sz w:val="20"/>
        </w:rPr>
        <w:t> </w:t>
      </w:r>
      <w:r>
        <w:rPr>
          <w:rFonts w:ascii="Arial" w:hAnsi="Arial"/>
          <w:i/>
          <w:sz w:val="20"/>
        </w:rPr>
        <w:t>[2006]</w:t>
      </w:r>
      <w:r>
        <w:rPr>
          <w:rFonts w:ascii="Arial" w:hAnsi="Arial"/>
          <w:i/>
          <w:spacing w:val="7"/>
          <w:sz w:val="20"/>
        </w:rPr>
        <w:t> </w:t>
      </w:r>
      <w:r>
        <w:rPr>
          <w:rFonts w:ascii="Arial" w:hAnsi="Arial"/>
          <w:i/>
          <w:sz w:val="20"/>
        </w:rPr>
        <w:t>2</w:t>
      </w:r>
      <w:r>
        <w:rPr>
          <w:rFonts w:ascii="Arial" w:hAnsi="Arial"/>
          <w:i/>
          <w:spacing w:val="7"/>
          <w:sz w:val="20"/>
        </w:rPr>
        <w:t> </w:t>
      </w:r>
      <w:r>
        <w:rPr>
          <w:rFonts w:ascii="Arial" w:hAnsi="Arial"/>
          <w:i/>
          <w:sz w:val="20"/>
        </w:rPr>
        <w:t>Lloyd’s</w:t>
      </w:r>
      <w:r>
        <w:rPr>
          <w:rFonts w:ascii="Arial" w:hAnsi="Arial"/>
          <w:i/>
          <w:spacing w:val="7"/>
          <w:sz w:val="20"/>
        </w:rPr>
        <w:t> </w:t>
      </w:r>
      <w:r>
        <w:rPr>
          <w:rFonts w:ascii="Arial" w:hAnsi="Arial"/>
          <w:i/>
          <w:sz w:val="20"/>
        </w:rPr>
        <w:t>Rep.</w:t>
      </w:r>
      <w:r>
        <w:rPr>
          <w:rFonts w:ascii="Arial" w:hAnsi="Arial"/>
          <w:i/>
          <w:spacing w:val="7"/>
          <w:sz w:val="20"/>
        </w:rPr>
        <w:t> </w:t>
      </w:r>
      <w:r>
        <w:rPr>
          <w:rFonts w:ascii="Arial" w:hAnsi="Arial"/>
          <w:i/>
          <w:spacing w:val="-4"/>
          <w:sz w:val="20"/>
        </w:rPr>
        <w:t>455</w:t>
      </w:r>
      <w:r>
        <w:rPr>
          <w:spacing w:val="-4"/>
          <w:sz w:val="20"/>
        </w:rPr>
        <w:t>;</w:t>
      </w:r>
    </w:p>
    <w:p>
      <w:pPr>
        <w:pStyle w:val="BodyText"/>
        <w:spacing w:line="235" w:lineRule="auto"/>
        <w:ind w:left="705" w:right="167"/>
        <w:jc w:val="both"/>
      </w:pPr>
      <w:r>
        <w:rPr>
          <w:rFonts w:ascii="Arial" w:hAnsi="Arial"/>
          <w:i/>
        </w:rPr>
        <w:t>Sax v Tchernoy [2014] EWHC 795 (Comm)</w:t>
      </w:r>
      <w:r>
        <w:rPr/>
        <w:t>. It is highly likely that the presumptively </w:t>
      </w:r>
      <w:r>
        <w:rPr/>
        <w:t>applicable law (that of the country in which the issuing bank’s principal place of business is situated) will</w:t>
      </w:r>
      <w:r>
        <w:rPr>
          <w:spacing w:val="40"/>
        </w:rPr>
        <w:t> </w:t>
      </w:r>
      <w:r>
        <w:rPr/>
        <w:t>be displaced, pursuant to art.4(5), in favour of the law of the country where payment is to be made against presentation of documents, since this is the country where the obligations of the issuing bank towards the beneficiary under the credit are to be performed; see below, paras</w:t>
      </w:r>
      <w:r>
        <w:rPr>
          <w:spacing w:val="80"/>
        </w:rPr>
        <w:t> </w:t>
      </w:r>
      <w:r>
        <w:rPr/>
        <w:t>30-089 et seq.</w:t>
      </w:r>
    </w:p>
    <w:p>
      <w:pPr>
        <w:pStyle w:val="BodyText"/>
        <w:spacing w:before="7"/>
      </w:pPr>
    </w:p>
    <w:p>
      <w:pPr>
        <w:spacing w:line="235" w:lineRule="auto" w:before="0"/>
        <w:ind w:left="705" w:right="167" w:hanging="541"/>
        <w:jc w:val="both"/>
        <w:rPr>
          <w:sz w:val="20"/>
        </w:rPr>
      </w:pPr>
      <w:bookmarkStart w:name="_bookmark798" w:id="800"/>
      <w:bookmarkEnd w:id="800"/>
      <w:r>
        <w:rPr/>
      </w:r>
      <w:hyperlink w:history="true" w:anchor="_bookmark672">
        <w:r>
          <w:rPr>
            <w:color w:val="005DA1"/>
            <w:position w:val="5"/>
            <w:sz w:val="14"/>
            <w:u w:val="single" w:color="005DA1"/>
          </w:rPr>
          <w:t>382</w:t>
        </w:r>
      </w:hyperlink>
      <w:r>
        <w:rPr>
          <w:position w:val="5"/>
          <w:sz w:val="14"/>
        </w:rPr>
        <w:t>.</w:t>
      </w:r>
      <w:r>
        <w:rPr>
          <w:spacing w:val="80"/>
          <w:w w:val="150"/>
          <w:position w:val="5"/>
          <w:sz w:val="14"/>
        </w:rPr>
        <w:t> </w:t>
      </w:r>
      <w:r>
        <w:rPr>
          <w:rFonts w:ascii="Arial"/>
          <w:i/>
          <w:sz w:val="20"/>
        </w:rPr>
        <w:t>Surzur Overseas Ltd v Ocean Reliance Shipping Co Ltd [1997] C.L. 318 </w:t>
      </w:r>
      <w:r>
        <w:rPr>
          <w:sz w:val="20"/>
        </w:rPr>
        <w:t>(bank loan); </w:t>
      </w:r>
      <w:r>
        <w:rPr>
          <w:rFonts w:ascii="Arial"/>
          <w:i/>
          <w:sz w:val="20"/>
        </w:rPr>
        <w:t>Atlantic Telecom GmbH, Noter (2004) S.L.T. 1031</w:t>
      </w:r>
      <w:r>
        <w:rPr>
          <w:sz w:val="20"/>
        </w:rPr>
        <w:t>; Kaye, p.182. This conclusion may be questionable: Morse (1982) 2 Ybk. Eur. L. 107, 128. A loan may be a consumer contract: see below, paras</w:t>
      </w:r>
      <w:r>
        <w:rPr>
          <w:spacing w:val="40"/>
          <w:sz w:val="20"/>
        </w:rPr>
        <w:t> </w:t>
      </w:r>
      <w:r>
        <w:rPr>
          <w:sz w:val="20"/>
        </w:rPr>
        <w:t>30-092 et seq.</w:t>
      </w:r>
    </w:p>
    <w:p>
      <w:pPr>
        <w:pStyle w:val="BodyText"/>
        <w:spacing w:before="4"/>
      </w:pPr>
    </w:p>
    <w:p>
      <w:pPr>
        <w:pStyle w:val="BodyText"/>
        <w:tabs>
          <w:tab w:pos="705" w:val="left" w:leader="none"/>
        </w:tabs>
        <w:spacing w:line="227" w:lineRule="exact"/>
        <w:ind w:left="165"/>
      </w:pPr>
      <w:bookmarkStart w:name="_bookmark799" w:id="801"/>
      <w:bookmarkEnd w:id="801"/>
      <w:r>
        <w:rPr/>
      </w:r>
      <w:hyperlink w:history="true" w:anchor="_bookmark673">
        <w:r>
          <w:rPr>
            <w:color w:val="005DA1"/>
            <w:spacing w:val="-4"/>
            <w:position w:val="5"/>
            <w:sz w:val="14"/>
            <w:u w:val="single" w:color="005DA1"/>
          </w:rPr>
          <w:t>383</w:t>
        </w:r>
      </w:hyperlink>
      <w:r>
        <w:rPr>
          <w:spacing w:val="-4"/>
          <w:position w:val="5"/>
          <w:sz w:val="14"/>
        </w:rPr>
        <w:t>.</w:t>
      </w:r>
      <w:r>
        <w:rPr>
          <w:position w:val="5"/>
          <w:sz w:val="14"/>
        </w:rPr>
        <w:tab/>
      </w:r>
      <w:r>
        <w:rPr/>
        <w:t>Dicey,</w:t>
      </w:r>
      <w:r>
        <w:rPr>
          <w:spacing w:val="47"/>
        </w:rPr>
        <w:t> </w:t>
      </w:r>
      <w:r>
        <w:rPr/>
        <w:t>Morris</w:t>
      </w:r>
      <w:r>
        <w:rPr>
          <w:spacing w:val="47"/>
        </w:rPr>
        <w:t> </w:t>
      </w:r>
      <w:r>
        <w:rPr/>
        <w:t>and</w:t>
      </w:r>
      <w:r>
        <w:rPr>
          <w:spacing w:val="47"/>
        </w:rPr>
        <w:t> </w:t>
      </w:r>
      <w:r>
        <w:rPr/>
        <w:t>Collins,</w:t>
      </w:r>
      <w:r>
        <w:rPr>
          <w:spacing w:val="47"/>
        </w:rPr>
        <w:t> </w:t>
      </w:r>
      <w:r>
        <w:rPr/>
        <w:t>para.32-117,</w:t>
      </w:r>
      <w:r>
        <w:rPr>
          <w:spacing w:val="47"/>
        </w:rPr>
        <w:t> </w:t>
      </w:r>
      <w:r>
        <w:rPr/>
        <w:t>citing</w:t>
      </w:r>
      <w:r>
        <w:rPr>
          <w:spacing w:val="47"/>
        </w:rPr>
        <w:t> </w:t>
      </w:r>
      <w:r>
        <w:rPr/>
        <w:t>a</w:t>
      </w:r>
      <w:r>
        <w:rPr>
          <w:spacing w:val="47"/>
        </w:rPr>
        <w:t> </w:t>
      </w:r>
      <w:r>
        <w:rPr/>
        <w:t>French</w:t>
      </w:r>
      <w:r>
        <w:rPr>
          <w:spacing w:val="47"/>
        </w:rPr>
        <w:t> </w:t>
      </w:r>
      <w:r>
        <w:rPr/>
        <w:t>decision</w:t>
      </w:r>
      <w:r>
        <w:rPr>
          <w:spacing w:val="47"/>
        </w:rPr>
        <w:t> </w:t>
      </w:r>
      <w:r>
        <w:rPr/>
        <w:t>reported</w:t>
      </w:r>
      <w:r>
        <w:rPr>
          <w:spacing w:val="47"/>
        </w:rPr>
        <w:t> </w:t>
      </w:r>
      <w:r>
        <w:rPr/>
        <w:t>in</w:t>
      </w:r>
      <w:r>
        <w:rPr>
          <w:spacing w:val="47"/>
        </w:rPr>
        <w:t> </w:t>
      </w:r>
      <w:r>
        <w:rPr/>
        <w:t>Clunet</w:t>
      </w:r>
      <w:r>
        <w:rPr>
          <w:spacing w:val="47"/>
        </w:rPr>
        <w:t> </w:t>
      </w:r>
      <w:r>
        <w:rPr>
          <w:spacing w:val="-2"/>
        </w:rPr>
        <w:t>(1984)</w:t>
      </w:r>
    </w:p>
    <w:p>
      <w:pPr>
        <w:pStyle w:val="BodyText"/>
        <w:spacing w:line="227" w:lineRule="exact"/>
        <w:ind w:left="705"/>
      </w:pPr>
      <w:r>
        <w:rPr/>
        <w:t>p.583. Such a contract may be a consumer contract: see below, paras 30-092 et </w:t>
      </w:r>
      <w:r>
        <w:rPr>
          <w:spacing w:val="-4"/>
        </w:rPr>
        <w:t>seq.</w:t>
      </w:r>
    </w:p>
    <w:p>
      <w:pPr>
        <w:pStyle w:val="BodyText"/>
        <w:spacing w:before="9"/>
      </w:pPr>
    </w:p>
    <w:p>
      <w:pPr>
        <w:spacing w:line="235" w:lineRule="auto" w:before="0"/>
        <w:ind w:left="705" w:right="167" w:hanging="541"/>
        <w:jc w:val="both"/>
        <w:rPr>
          <w:sz w:val="20"/>
        </w:rPr>
      </w:pPr>
      <w:bookmarkStart w:name="_bookmark800" w:id="802"/>
      <w:bookmarkEnd w:id="802"/>
      <w:r>
        <w:rPr/>
      </w:r>
      <w:hyperlink w:history="true" w:anchor="_bookmark674">
        <w:r>
          <w:rPr>
            <w:color w:val="005DA1"/>
            <w:position w:val="5"/>
            <w:sz w:val="14"/>
            <w:u w:val="single" w:color="005DA1"/>
          </w:rPr>
          <w:t>384</w:t>
        </w:r>
      </w:hyperlink>
      <w:r>
        <w:rPr>
          <w:position w:val="5"/>
          <w:sz w:val="14"/>
        </w:rPr>
        <w:t>.</w:t>
      </w:r>
      <w:r>
        <w:rPr>
          <w:spacing w:val="80"/>
          <w:w w:val="150"/>
          <w:position w:val="5"/>
          <w:sz w:val="14"/>
        </w:rPr>
        <w:t> </w:t>
      </w:r>
      <w:r>
        <w:rPr>
          <w:rFonts w:ascii="Arial"/>
          <w:i/>
          <w:sz w:val="20"/>
        </w:rPr>
        <w:t>Albon v Naza Motor Trading Sdn Bhd [1007] EWHC 9 (Ch), [2007] 1 W.L.R. 2489</w:t>
      </w:r>
      <w:r>
        <w:rPr>
          <w:sz w:val="20"/>
        </w:rPr>
        <w:t>; </w:t>
      </w:r>
      <w:r>
        <w:rPr>
          <w:rFonts w:ascii="Arial"/>
          <w:i/>
          <w:sz w:val="20"/>
        </w:rPr>
        <w:t>Lawlor v Sandvik Mining and Construction Mobile Crushers and Screens Ltd [2013] EWCA Civ 365</w:t>
      </w:r>
      <w:r>
        <w:rPr>
          <w:sz w:val="20"/>
        </w:rPr>
        <w:t>; Giuliano-Lagarde Report, p.209; Dicey, Morris and Collins, para.33-410. But cf. </w:t>
      </w:r>
      <w:r>
        <w:rPr>
          <w:sz w:val="20"/>
        </w:rPr>
        <w:t>above, distributorship</w:t>
      </w:r>
      <w:r>
        <w:rPr>
          <w:spacing w:val="40"/>
          <w:sz w:val="20"/>
        </w:rPr>
        <w:t> </w:t>
      </w:r>
      <w:r>
        <w:rPr>
          <w:sz w:val="20"/>
        </w:rPr>
        <w:t>agreements.</w:t>
      </w:r>
      <w:r>
        <w:rPr>
          <w:spacing w:val="40"/>
          <w:sz w:val="20"/>
        </w:rPr>
        <w:t> </w:t>
      </w:r>
      <w:r>
        <w:rPr>
          <w:sz w:val="20"/>
        </w:rPr>
        <w:t>Such</w:t>
      </w:r>
      <w:r>
        <w:rPr>
          <w:spacing w:val="40"/>
          <w:sz w:val="20"/>
        </w:rPr>
        <w:t> </w:t>
      </w:r>
      <w:r>
        <w:rPr>
          <w:sz w:val="20"/>
        </w:rPr>
        <w:t>contracts</w:t>
      </w:r>
      <w:r>
        <w:rPr>
          <w:spacing w:val="40"/>
          <w:sz w:val="20"/>
        </w:rPr>
        <w:t> </w:t>
      </w:r>
      <w:r>
        <w:rPr>
          <w:sz w:val="20"/>
        </w:rPr>
        <w:t>may</w:t>
      </w:r>
      <w:r>
        <w:rPr>
          <w:spacing w:val="40"/>
          <w:sz w:val="20"/>
        </w:rPr>
        <w:t> </w:t>
      </w:r>
      <w:r>
        <w:rPr>
          <w:sz w:val="20"/>
        </w:rPr>
        <w:t>be</w:t>
      </w:r>
      <w:r>
        <w:rPr>
          <w:spacing w:val="40"/>
          <w:sz w:val="20"/>
        </w:rPr>
        <w:t> </w:t>
      </w:r>
      <w:r>
        <w:rPr>
          <w:sz w:val="20"/>
        </w:rPr>
        <w:t>consumer</w:t>
      </w:r>
      <w:r>
        <w:rPr>
          <w:spacing w:val="40"/>
          <w:sz w:val="20"/>
        </w:rPr>
        <w:t> </w:t>
      </w:r>
      <w:r>
        <w:rPr>
          <w:sz w:val="20"/>
        </w:rPr>
        <w:t>contracts:</w:t>
      </w:r>
      <w:r>
        <w:rPr>
          <w:spacing w:val="40"/>
          <w:sz w:val="20"/>
        </w:rPr>
        <w:t> </w:t>
      </w:r>
      <w:r>
        <w:rPr>
          <w:sz w:val="20"/>
        </w:rPr>
        <w:t>see</w:t>
      </w:r>
      <w:r>
        <w:rPr>
          <w:spacing w:val="40"/>
          <w:sz w:val="20"/>
        </w:rPr>
        <w:t> </w:t>
      </w:r>
      <w:r>
        <w:rPr>
          <w:sz w:val="20"/>
        </w:rPr>
        <w:t>below,</w:t>
      </w:r>
      <w:r>
        <w:rPr>
          <w:spacing w:val="40"/>
          <w:sz w:val="20"/>
        </w:rPr>
        <w:t> </w:t>
      </w:r>
      <w:r>
        <w:rPr>
          <w:sz w:val="20"/>
        </w:rPr>
        <w:t>paras 30-092 et seq.</w:t>
      </w:r>
    </w:p>
    <w:p>
      <w:pPr>
        <w:pStyle w:val="BodyText"/>
        <w:spacing w:before="4"/>
      </w:pPr>
    </w:p>
    <w:p>
      <w:pPr>
        <w:tabs>
          <w:tab w:pos="705" w:val="left" w:leader="none"/>
        </w:tabs>
        <w:spacing w:before="1"/>
        <w:ind w:left="165" w:right="0" w:firstLine="0"/>
        <w:jc w:val="left"/>
        <w:rPr>
          <w:sz w:val="20"/>
        </w:rPr>
      </w:pPr>
      <w:bookmarkStart w:name="_bookmark801" w:id="803"/>
      <w:bookmarkEnd w:id="803"/>
      <w:r>
        <w:rPr/>
      </w:r>
      <w:hyperlink w:history="true" w:anchor="_bookmark675">
        <w:r>
          <w:rPr>
            <w:color w:val="005DA1"/>
            <w:spacing w:val="-4"/>
            <w:position w:val="5"/>
            <w:sz w:val="14"/>
            <w:u w:val="single" w:color="005DA1"/>
          </w:rPr>
          <w:t>385</w:t>
        </w:r>
      </w:hyperlink>
      <w:r>
        <w:rPr>
          <w:spacing w:val="-4"/>
          <w:position w:val="5"/>
          <w:sz w:val="14"/>
        </w:rPr>
        <w:t>.</w:t>
      </w:r>
      <w:r>
        <w:rPr>
          <w:position w:val="5"/>
          <w:sz w:val="14"/>
        </w:rPr>
        <w:tab/>
      </w:r>
      <w:r>
        <w:rPr>
          <w:rFonts w:ascii="Arial"/>
          <w:i/>
          <w:sz w:val="20"/>
        </w:rPr>
        <w:t>Print Concept GmbH v GEW (EC) Ltd [2001] EWCA Civ 352, [2002] C.L.C. </w:t>
      </w:r>
      <w:r>
        <w:rPr>
          <w:rFonts w:ascii="Arial"/>
          <w:i/>
          <w:spacing w:val="-4"/>
          <w:sz w:val="20"/>
        </w:rPr>
        <w:t>352</w:t>
      </w:r>
      <w:r>
        <w:rPr>
          <w:spacing w:val="-4"/>
          <w:sz w:val="20"/>
        </w:rPr>
        <w:t>.</w:t>
      </w:r>
    </w:p>
    <w:p>
      <w:pPr>
        <w:pStyle w:val="BodyText"/>
        <w:spacing w:before="8"/>
      </w:pPr>
    </w:p>
    <w:p>
      <w:pPr>
        <w:spacing w:line="235" w:lineRule="auto" w:before="0"/>
        <w:ind w:left="705" w:right="167" w:hanging="541"/>
        <w:jc w:val="both"/>
        <w:rPr>
          <w:rFonts w:ascii="Arial" w:hAnsi="Arial"/>
          <w:i/>
          <w:sz w:val="20"/>
        </w:rPr>
      </w:pPr>
      <w:bookmarkStart w:name="_bookmark802" w:id="804"/>
      <w:bookmarkEnd w:id="804"/>
      <w:r>
        <w:rPr/>
      </w:r>
      <w:hyperlink w:history="true" w:anchor="_bookmark676">
        <w:r>
          <w:rPr>
            <w:color w:val="005DA1"/>
            <w:position w:val="5"/>
            <w:sz w:val="14"/>
            <w:u w:val="single" w:color="005DA1"/>
          </w:rPr>
          <w:t>386</w:t>
        </w:r>
      </w:hyperlink>
      <w:r>
        <w:rPr>
          <w:position w:val="5"/>
          <w:sz w:val="14"/>
        </w:rPr>
        <w:t>.</w:t>
      </w:r>
      <w:r>
        <w:rPr>
          <w:spacing w:val="80"/>
          <w:w w:val="150"/>
          <w:position w:val="5"/>
          <w:sz w:val="14"/>
        </w:rPr>
        <w:t> </w:t>
      </w:r>
      <w:r>
        <w:rPr>
          <w:rFonts w:ascii="Arial" w:hAnsi="Arial"/>
          <w:i/>
          <w:sz w:val="20"/>
        </w:rPr>
        <w:t>Samcrete Egypt Engineers and Contractors SAE v Land Rover Exports Ltd [2001] EWCA </w:t>
      </w:r>
      <w:r>
        <w:rPr>
          <w:rFonts w:ascii="Arial" w:hAnsi="Arial"/>
          <w:i/>
          <w:sz w:val="20"/>
        </w:rPr>
        <w:t>Civ 2019, [2002] C.L.C. 533</w:t>
      </w:r>
      <w:r>
        <w:rPr>
          <w:sz w:val="20"/>
        </w:rPr>
        <w:t>; </w:t>
      </w:r>
      <w:r>
        <w:rPr>
          <w:rFonts w:ascii="Arial" w:hAnsi="Arial"/>
          <w:i/>
          <w:sz w:val="20"/>
        </w:rPr>
        <w:t>Commercial Marine Piling Ltd v Pierse Contracting Ltd [2009] EWHC 2241 (TCC), [2009] 2 Lloyd’s Rep. 659</w:t>
      </w:r>
      <w:r>
        <w:rPr>
          <w:sz w:val="20"/>
        </w:rPr>
        <w:t>; </w:t>
      </w:r>
      <w:r>
        <w:rPr>
          <w:rFonts w:ascii="Arial" w:hAnsi="Arial"/>
          <w:i/>
          <w:sz w:val="20"/>
        </w:rPr>
        <w:t>Emeraldian Ltd Partnership v Wellmix Shipping Ltd [2010]</w:t>
      </w:r>
      <w:r>
        <w:rPr>
          <w:rFonts w:ascii="Arial" w:hAnsi="Arial"/>
          <w:i/>
          <w:spacing w:val="7"/>
          <w:sz w:val="20"/>
        </w:rPr>
        <w:t> </w:t>
      </w:r>
      <w:r>
        <w:rPr>
          <w:rFonts w:ascii="Arial" w:hAnsi="Arial"/>
          <w:i/>
          <w:sz w:val="20"/>
        </w:rPr>
        <w:t>EWHC</w:t>
      </w:r>
      <w:r>
        <w:rPr>
          <w:rFonts w:ascii="Arial" w:hAnsi="Arial"/>
          <w:i/>
          <w:spacing w:val="8"/>
          <w:sz w:val="20"/>
        </w:rPr>
        <w:t> </w:t>
      </w:r>
      <w:r>
        <w:rPr>
          <w:rFonts w:ascii="Arial" w:hAnsi="Arial"/>
          <w:i/>
          <w:sz w:val="20"/>
        </w:rPr>
        <w:t>1411</w:t>
      </w:r>
      <w:r>
        <w:rPr>
          <w:rFonts w:ascii="Arial" w:hAnsi="Arial"/>
          <w:i/>
          <w:spacing w:val="8"/>
          <w:sz w:val="20"/>
        </w:rPr>
        <w:t> </w:t>
      </w:r>
      <w:r>
        <w:rPr>
          <w:rFonts w:ascii="Arial" w:hAnsi="Arial"/>
          <w:i/>
          <w:sz w:val="20"/>
        </w:rPr>
        <w:t>(Comm),</w:t>
      </w:r>
      <w:r>
        <w:rPr>
          <w:rFonts w:ascii="Arial" w:hAnsi="Arial"/>
          <w:i/>
          <w:spacing w:val="8"/>
          <w:sz w:val="20"/>
        </w:rPr>
        <w:t> </w:t>
      </w:r>
      <w:r>
        <w:rPr>
          <w:rFonts w:ascii="Arial" w:hAnsi="Arial"/>
          <w:i/>
          <w:sz w:val="20"/>
        </w:rPr>
        <w:t>[2010]</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C.L.C.</w:t>
      </w:r>
      <w:r>
        <w:rPr>
          <w:rFonts w:ascii="Arial" w:hAnsi="Arial"/>
          <w:i/>
          <w:spacing w:val="8"/>
          <w:sz w:val="20"/>
        </w:rPr>
        <w:t> </w:t>
      </w:r>
      <w:r>
        <w:rPr>
          <w:rFonts w:ascii="Arial" w:hAnsi="Arial"/>
          <w:i/>
          <w:sz w:val="20"/>
        </w:rPr>
        <w:t>993</w:t>
      </w:r>
      <w:r>
        <w:rPr>
          <w:sz w:val="20"/>
        </w:rPr>
        <w:t>;</w:t>
      </w:r>
      <w:r>
        <w:rPr>
          <w:spacing w:val="8"/>
          <w:sz w:val="20"/>
        </w:rPr>
        <w:t> </w:t>
      </w:r>
      <w:r>
        <w:rPr>
          <w:rFonts w:ascii="Arial" w:hAnsi="Arial"/>
          <w:i/>
          <w:sz w:val="20"/>
        </w:rPr>
        <w:t>British</w:t>
      </w:r>
      <w:r>
        <w:rPr>
          <w:rFonts w:ascii="Arial" w:hAnsi="Arial"/>
          <w:i/>
          <w:spacing w:val="8"/>
          <w:sz w:val="20"/>
        </w:rPr>
        <w:t> </w:t>
      </w:r>
      <w:r>
        <w:rPr>
          <w:rFonts w:ascii="Arial" w:hAnsi="Arial"/>
          <w:i/>
          <w:sz w:val="20"/>
        </w:rPr>
        <w:t>Arab</w:t>
      </w:r>
      <w:r>
        <w:rPr>
          <w:rFonts w:ascii="Arial" w:hAnsi="Arial"/>
          <w:i/>
          <w:spacing w:val="8"/>
          <w:sz w:val="20"/>
        </w:rPr>
        <w:t> </w:t>
      </w:r>
      <w:r>
        <w:rPr>
          <w:rFonts w:ascii="Arial" w:hAnsi="Arial"/>
          <w:i/>
          <w:sz w:val="20"/>
        </w:rPr>
        <w:t>Commercial</w:t>
      </w:r>
      <w:r>
        <w:rPr>
          <w:rFonts w:ascii="Arial" w:hAnsi="Arial"/>
          <w:i/>
          <w:spacing w:val="8"/>
          <w:sz w:val="20"/>
        </w:rPr>
        <w:t> </w:t>
      </w:r>
      <w:r>
        <w:rPr>
          <w:rFonts w:ascii="Arial" w:hAnsi="Arial"/>
          <w:i/>
          <w:sz w:val="20"/>
        </w:rPr>
        <w:t>Bank</w:t>
      </w:r>
      <w:r>
        <w:rPr>
          <w:rFonts w:ascii="Arial" w:hAnsi="Arial"/>
          <w:i/>
          <w:spacing w:val="8"/>
          <w:sz w:val="20"/>
        </w:rPr>
        <w:t> </w:t>
      </w:r>
      <w:r>
        <w:rPr>
          <w:rFonts w:ascii="Arial" w:hAnsi="Arial"/>
          <w:i/>
          <w:sz w:val="20"/>
        </w:rPr>
        <w:t>Plc</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Bank</w:t>
      </w:r>
      <w:r>
        <w:rPr>
          <w:rFonts w:ascii="Arial" w:hAnsi="Arial"/>
          <w:i/>
          <w:spacing w:val="8"/>
          <w:sz w:val="20"/>
        </w:rPr>
        <w:t> </w:t>
      </w:r>
      <w:r>
        <w:rPr>
          <w:rFonts w:ascii="Arial" w:hAnsi="Arial"/>
          <w:i/>
          <w:spacing w:val="-5"/>
          <w:sz w:val="20"/>
        </w:rPr>
        <w:t>of</w:t>
      </w:r>
    </w:p>
    <w:p>
      <w:pPr>
        <w:spacing w:line="235" w:lineRule="auto" w:before="0"/>
        <w:ind w:left="705" w:right="168" w:firstLine="0"/>
        <w:jc w:val="both"/>
        <w:rPr>
          <w:sz w:val="20"/>
        </w:rPr>
      </w:pPr>
      <w:r>
        <w:rPr>
          <w:rFonts w:ascii="Arial" w:hAnsi="Arial"/>
          <w:i/>
          <w:sz w:val="20"/>
        </w:rPr>
        <w:t>Communications [2011] EWHC 281, [2011] 1 Lloyd’s Rep. 664</w:t>
      </w:r>
      <w:r>
        <w:rPr>
          <w:sz w:val="20"/>
        </w:rPr>
        <w:t>. See also </w:t>
      </w:r>
      <w:r>
        <w:rPr>
          <w:rFonts w:ascii="Arial" w:hAnsi="Arial"/>
          <w:i/>
          <w:sz w:val="20"/>
        </w:rPr>
        <w:t>Golden Ocean </w:t>
      </w:r>
      <w:r>
        <w:rPr>
          <w:rFonts w:ascii="Arial" w:hAnsi="Arial"/>
          <w:i/>
          <w:sz w:val="20"/>
        </w:rPr>
        <w:t>Group Ltd</w:t>
      </w:r>
      <w:r>
        <w:rPr>
          <w:rFonts w:ascii="Arial" w:hAnsi="Arial"/>
          <w:i/>
          <w:spacing w:val="38"/>
          <w:sz w:val="20"/>
        </w:rPr>
        <w:t> </w:t>
      </w:r>
      <w:r>
        <w:rPr>
          <w:rFonts w:ascii="Arial" w:hAnsi="Arial"/>
          <w:i/>
          <w:sz w:val="20"/>
        </w:rPr>
        <w:t>v</w:t>
      </w:r>
      <w:r>
        <w:rPr>
          <w:rFonts w:ascii="Arial" w:hAnsi="Arial"/>
          <w:i/>
          <w:spacing w:val="39"/>
          <w:sz w:val="20"/>
        </w:rPr>
        <w:t> </w:t>
      </w:r>
      <w:r>
        <w:rPr>
          <w:rFonts w:ascii="Arial" w:hAnsi="Arial"/>
          <w:i/>
          <w:sz w:val="20"/>
        </w:rPr>
        <w:t>Salgaocar</w:t>
      </w:r>
      <w:r>
        <w:rPr>
          <w:rFonts w:ascii="Arial" w:hAnsi="Arial"/>
          <w:i/>
          <w:spacing w:val="39"/>
          <w:sz w:val="20"/>
        </w:rPr>
        <w:t> </w:t>
      </w:r>
      <w:r>
        <w:rPr>
          <w:rFonts w:ascii="Arial" w:hAnsi="Arial"/>
          <w:i/>
          <w:sz w:val="20"/>
        </w:rPr>
        <w:t>Mining</w:t>
      </w:r>
      <w:r>
        <w:rPr>
          <w:rFonts w:ascii="Arial" w:hAnsi="Arial"/>
          <w:i/>
          <w:spacing w:val="39"/>
          <w:sz w:val="20"/>
        </w:rPr>
        <w:t> </w:t>
      </w:r>
      <w:r>
        <w:rPr>
          <w:rFonts w:ascii="Arial" w:hAnsi="Arial"/>
          <w:i/>
          <w:sz w:val="20"/>
        </w:rPr>
        <w:t>Industries</w:t>
      </w:r>
      <w:r>
        <w:rPr>
          <w:rFonts w:ascii="Arial" w:hAnsi="Arial"/>
          <w:i/>
          <w:spacing w:val="39"/>
          <w:sz w:val="20"/>
        </w:rPr>
        <w:t> </w:t>
      </w:r>
      <w:r>
        <w:rPr>
          <w:rFonts w:ascii="Arial" w:hAnsi="Arial"/>
          <w:i/>
          <w:sz w:val="20"/>
        </w:rPr>
        <w:t>Pvt</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[2012]</w:t>
      </w:r>
      <w:r>
        <w:rPr>
          <w:rFonts w:ascii="Arial" w:hAnsi="Arial"/>
          <w:i/>
          <w:spacing w:val="39"/>
          <w:sz w:val="20"/>
        </w:rPr>
        <w:t> </w:t>
      </w:r>
      <w:r>
        <w:rPr>
          <w:rFonts w:ascii="Arial" w:hAnsi="Arial"/>
          <w:i/>
          <w:sz w:val="20"/>
        </w:rPr>
        <w:t>EWCA</w:t>
      </w:r>
      <w:r>
        <w:rPr>
          <w:rFonts w:ascii="Arial" w:hAnsi="Arial"/>
          <w:i/>
          <w:spacing w:val="39"/>
          <w:sz w:val="20"/>
        </w:rPr>
        <w:t> </w:t>
      </w:r>
      <w:r>
        <w:rPr>
          <w:rFonts w:ascii="Arial" w:hAnsi="Arial"/>
          <w:i/>
          <w:sz w:val="20"/>
        </w:rPr>
        <w:t>Civ</w:t>
      </w:r>
      <w:r>
        <w:rPr>
          <w:rFonts w:ascii="Arial" w:hAnsi="Arial"/>
          <w:i/>
          <w:spacing w:val="39"/>
          <w:sz w:val="20"/>
        </w:rPr>
        <w:t> </w:t>
      </w:r>
      <w:r>
        <w:rPr>
          <w:rFonts w:ascii="Arial" w:hAnsi="Arial"/>
          <w:i/>
          <w:sz w:val="20"/>
        </w:rPr>
        <w:t>265</w:t>
      </w:r>
      <w:r>
        <w:rPr>
          <w:sz w:val="20"/>
        </w:rPr>
        <w:t>.</w:t>
      </w:r>
      <w:r>
        <w:rPr>
          <w:spacing w:val="39"/>
          <w:sz w:val="20"/>
        </w:rPr>
        <w:t> </w:t>
      </w:r>
      <w:r>
        <w:rPr>
          <w:sz w:val="20"/>
        </w:rPr>
        <w:t>Giuliano-Lagarde</w:t>
      </w:r>
      <w:r>
        <w:rPr>
          <w:spacing w:val="39"/>
          <w:sz w:val="20"/>
        </w:rPr>
        <w:t> </w:t>
      </w:r>
      <w:r>
        <w:rPr>
          <w:spacing w:val="-2"/>
          <w:sz w:val="20"/>
        </w:rPr>
        <w:t>Report,</w:t>
      </w:r>
    </w:p>
    <w:p>
      <w:pPr>
        <w:pStyle w:val="BodyText"/>
        <w:spacing w:line="225" w:lineRule="exact"/>
        <w:ind w:left="705"/>
      </w:pPr>
      <w:r>
        <w:rPr/>
        <w:t>p.20. Such a contract may be a consumer contract: see below, paras 30-092 et </w:t>
      </w:r>
      <w:r>
        <w:rPr>
          <w:spacing w:val="-4"/>
        </w:rPr>
        <w:t>seq.</w:t>
      </w:r>
    </w:p>
    <w:p>
      <w:pPr>
        <w:pStyle w:val="BodyText"/>
        <w:spacing w:after="0" w:line="225" w:lineRule="exact"/>
        <w:sectPr>
          <w:pgSz w:w="11900" w:h="16840"/>
          <w:pgMar w:header="971" w:footer="0" w:top="1300" w:bottom="280" w:left="1275" w:right="1275"/>
        </w:sectPr>
      </w:pPr>
    </w:p>
    <w:p>
      <w:pPr>
        <w:pStyle w:val="BodyText"/>
        <w:tabs>
          <w:tab w:pos="705" w:val="left" w:leader="none"/>
        </w:tabs>
        <w:spacing w:line="235" w:lineRule="auto" w:before="170"/>
        <w:ind w:left="705" w:right="168" w:hanging="541"/>
      </w:pPr>
      <w:hyperlink w:history="true" w:anchor="_bookmark677">
        <w:r>
          <w:rPr>
            <w:color w:val="005DA1"/>
            <w:spacing w:val="-4"/>
            <w:position w:val="5"/>
            <w:sz w:val="14"/>
            <w:u w:val="single" w:color="005DA1"/>
          </w:rPr>
          <w:t>387</w:t>
        </w:r>
      </w:hyperlink>
      <w:r>
        <w:rPr>
          <w:spacing w:val="-4"/>
          <w:position w:val="5"/>
          <w:sz w:val="14"/>
        </w:rPr>
        <w:t>.</w:t>
      </w:r>
      <w:r>
        <w:rPr>
          <w:position w:val="5"/>
          <w:sz w:val="14"/>
        </w:rPr>
        <w:tab/>
      </w:r>
      <w:r>
        <w:rPr/>
        <w:t>Dicey,</w:t>
      </w:r>
      <w:r>
        <w:rPr>
          <w:spacing w:val="40"/>
        </w:rPr>
        <w:t> </w:t>
      </w:r>
      <w:r>
        <w:rPr/>
        <w:t>Morris</w:t>
      </w:r>
      <w:r>
        <w:rPr>
          <w:spacing w:val="40"/>
        </w:rPr>
        <w:t> </w:t>
      </w:r>
      <w:r>
        <w:rPr/>
        <w:t>and</w:t>
      </w:r>
      <w:r>
        <w:rPr>
          <w:spacing w:val="40"/>
        </w:rPr>
        <w:t> </w:t>
      </w:r>
      <w:r>
        <w:rPr/>
        <w:t>Collins,</w:t>
      </w:r>
      <w:r>
        <w:rPr>
          <w:spacing w:val="40"/>
        </w:rPr>
        <w:t> </w:t>
      </w:r>
      <w:r>
        <w:rPr/>
        <w:t>para.33-115,</w:t>
      </w:r>
      <w:r>
        <w:rPr>
          <w:spacing w:val="40"/>
        </w:rPr>
        <w:t> </w:t>
      </w:r>
      <w:r>
        <w:rPr/>
        <w:t>where</w:t>
      </w:r>
      <w:r>
        <w:rPr>
          <w:spacing w:val="40"/>
        </w:rPr>
        <w:t> </w:t>
      </w:r>
      <w:r>
        <w:rPr/>
        <w:t>it</w:t>
      </w:r>
      <w:r>
        <w:rPr>
          <w:spacing w:val="40"/>
        </w:rPr>
        <w:t> </w:t>
      </w:r>
      <w:r>
        <w:rPr/>
        <w:t>is</w:t>
      </w:r>
      <w:r>
        <w:rPr>
          <w:spacing w:val="40"/>
        </w:rPr>
        <w:t> </w:t>
      </w:r>
      <w:r>
        <w:rPr/>
        <w:t>pointed</w:t>
      </w:r>
      <w:r>
        <w:rPr>
          <w:spacing w:val="40"/>
        </w:rPr>
        <w:t> </w:t>
      </w:r>
      <w:r>
        <w:rPr/>
        <w:t>out</w:t>
      </w:r>
      <w:r>
        <w:rPr>
          <w:spacing w:val="40"/>
        </w:rPr>
        <w:t> </w:t>
      </w:r>
      <w:r>
        <w:rPr/>
        <w:t>that</w:t>
      </w:r>
      <w:r>
        <w:rPr>
          <w:spacing w:val="40"/>
        </w:rPr>
        <w:t> </w:t>
      </w:r>
      <w:r>
        <w:rPr/>
        <w:t>this</w:t>
      </w:r>
      <w:r>
        <w:rPr>
          <w:spacing w:val="40"/>
        </w:rPr>
        <w:t> </w:t>
      </w:r>
      <w:r>
        <w:rPr/>
        <w:t>conclusion</w:t>
      </w:r>
      <w:r>
        <w:rPr>
          <w:spacing w:val="40"/>
        </w:rPr>
        <w:t> </w:t>
      </w:r>
      <w:r>
        <w:rPr/>
        <w:t>is</w:t>
      </w:r>
      <w:r>
        <w:rPr>
          <w:spacing w:val="40"/>
        </w:rPr>
        <w:t> </w:t>
      </w:r>
      <w:r>
        <w:rPr/>
        <w:t>not uncontroversial. Such a contract may be a consumer contract: see below, paras 30-092 et seq.</w:t>
      </w:r>
    </w:p>
    <w:p>
      <w:pPr>
        <w:pStyle w:val="BodyText"/>
        <w:spacing w:before="9"/>
      </w:pPr>
    </w:p>
    <w:p>
      <w:pPr>
        <w:pStyle w:val="BodyText"/>
        <w:tabs>
          <w:tab w:pos="705" w:val="left" w:leader="none"/>
        </w:tabs>
        <w:spacing w:line="235" w:lineRule="auto"/>
        <w:ind w:left="705" w:right="168" w:hanging="541"/>
      </w:pPr>
      <w:bookmarkStart w:name="_bookmark803" w:id="805"/>
      <w:bookmarkEnd w:id="805"/>
      <w:r>
        <w:rPr/>
      </w:r>
      <w:hyperlink w:history="true" w:anchor="_bookmark678">
        <w:r>
          <w:rPr>
            <w:color w:val="005DA1"/>
            <w:spacing w:val="-4"/>
            <w:position w:val="5"/>
            <w:sz w:val="14"/>
            <w:u w:val="single" w:color="005DA1"/>
          </w:rPr>
          <w:t>388</w:t>
        </w:r>
      </w:hyperlink>
      <w:r>
        <w:rPr>
          <w:spacing w:val="-4"/>
          <w:position w:val="5"/>
          <w:sz w:val="14"/>
        </w:rPr>
        <w:t>.</w:t>
      </w:r>
      <w:r>
        <w:rPr>
          <w:position w:val="5"/>
          <w:sz w:val="14"/>
        </w:rPr>
        <w:tab/>
      </w:r>
      <w:r>
        <w:rPr/>
        <w:t>cf. Swiss Private International Law Act 1987 art.117(3)(d). Such a contract may be a </w:t>
      </w:r>
      <w:r>
        <w:rPr/>
        <w:t>consumer contract: see below, paras 30-092 et seq.</w:t>
      </w:r>
    </w:p>
    <w:p>
      <w:pPr>
        <w:pStyle w:val="BodyText"/>
        <w:spacing w:before="10"/>
      </w:pPr>
    </w:p>
    <w:p>
      <w:pPr>
        <w:spacing w:line="235" w:lineRule="auto" w:before="0"/>
        <w:ind w:left="705" w:right="168" w:hanging="541"/>
        <w:jc w:val="both"/>
        <w:rPr>
          <w:sz w:val="20"/>
        </w:rPr>
      </w:pPr>
      <w:bookmarkStart w:name="_bookmark804" w:id="806"/>
      <w:bookmarkEnd w:id="806"/>
      <w:r>
        <w:rPr/>
      </w:r>
      <w:hyperlink w:history="true" w:anchor="_bookmark679">
        <w:r>
          <w:rPr>
            <w:color w:val="005DA1"/>
            <w:position w:val="5"/>
            <w:sz w:val="14"/>
            <w:u w:val="single" w:color="005DA1"/>
          </w:rPr>
          <w:t>389</w:t>
        </w:r>
      </w:hyperlink>
      <w:r>
        <w:rPr>
          <w:position w:val="5"/>
          <w:sz w:val="14"/>
        </w:rPr>
        <w:t>.</w:t>
      </w:r>
      <w:r>
        <w:rPr>
          <w:spacing w:val="40"/>
          <w:position w:val="5"/>
          <w:sz w:val="14"/>
        </w:rPr>
        <w:t>  </w:t>
      </w:r>
      <w:r>
        <w:rPr>
          <w:sz w:val="20"/>
        </w:rPr>
        <w:t>Dicey, Morris and Collins, para.33-228. See </w:t>
      </w:r>
      <w:r>
        <w:rPr>
          <w:rFonts w:ascii="Arial" w:hAnsi="Arial"/>
          <w:i/>
          <w:sz w:val="20"/>
        </w:rPr>
        <w:t>Ennstone Building Products Ltd v Stanger </w:t>
      </w:r>
      <w:r>
        <w:rPr>
          <w:rFonts w:ascii="Arial" w:hAnsi="Arial"/>
          <w:i/>
          <w:sz w:val="20"/>
        </w:rPr>
        <w:t>Ltd</w:t>
      </w:r>
      <w:r>
        <w:rPr>
          <w:rFonts w:ascii="Arial" w:hAnsi="Arial"/>
          <w:i/>
          <w:spacing w:val="80"/>
          <w:sz w:val="20"/>
        </w:rPr>
        <w:t> </w:t>
      </w:r>
      <w:r>
        <w:rPr>
          <w:rFonts w:ascii="Arial" w:hAnsi="Arial"/>
          <w:i/>
          <w:sz w:val="20"/>
        </w:rPr>
        <w:t>[2002] EWCA Civ 916, [2002] 1 W.L.R. 3059</w:t>
      </w:r>
      <w:r>
        <w:rPr>
          <w:sz w:val="20"/>
        </w:rPr>
        <w:t>; </w:t>
      </w:r>
      <w:r>
        <w:rPr>
          <w:rFonts w:ascii="Arial" w:hAnsi="Arial"/>
          <w:i/>
          <w:sz w:val="20"/>
        </w:rPr>
        <w:t>Chalbury McCouat International Ltd v PG Foils</w:t>
      </w:r>
      <w:r>
        <w:rPr>
          <w:rFonts w:ascii="Arial" w:hAnsi="Arial"/>
          <w:i/>
          <w:spacing w:val="40"/>
          <w:sz w:val="20"/>
        </w:rPr>
        <w:t> </w:t>
      </w:r>
      <w:r>
        <w:rPr>
          <w:rFonts w:ascii="Arial" w:hAnsi="Arial"/>
          <w:i/>
          <w:sz w:val="20"/>
        </w:rPr>
        <w:t>Ltd [2010] EWHC 2050 (TCC), [2011] 1 Lloyd’s Rep. 23</w:t>
      </w:r>
      <w:r>
        <w:rPr>
          <w:sz w:val="20"/>
        </w:rPr>
        <w:t>. Such a contract may be a consumer contract: see below, paras 30-092 et seq.</w:t>
      </w:r>
    </w:p>
    <w:p>
      <w:pPr>
        <w:pStyle w:val="BodyText"/>
        <w:spacing w:before="8"/>
      </w:pPr>
    </w:p>
    <w:p>
      <w:pPr>
        <w:spacing w:line="235" w:lineRule="auto" w:before="0"/>
        <w:ind w:left="705" w:right="167" w:hanging="541"/>
        <w:jc w:val="both"/>
        <w:rPr>
          <w:sz w:val="20"/>
        </w:rPr>
      </w:pPr>
      <w:bookmarkStart w:name="_bookmark805" w:id="807"/>
      <w:bookmarkEnd w:id="807"/>
      <w:r>
        <w:rPr/>
      </w:r>
      <w:hyperlink w:history="true" w:anchor="_bookmark680">
        <w:r>
          <w:rPr>
            <w:color w:val="005DA1"/>
            <w:position w:val="5"/>
            <w:sz w:val="14"/>
            <w:u w:val="single" w:color="005DA1"/>
          </w:rPr>
          <w:t>390</w:t>
        </w:r>
      </w:hyperlink>
      <w:r>
        <w:rPr>
          <w:position w:val="5"/>
          <w:sz w:val="14"/>
        </w:rPr>
        <w:t>.</w:t>
      </w:r>
      <w:r>
        <w:rPr>
          <w:spacing w:val="80"/>
          <w:position w:val="5"/>
          <w:sz w:val="14"/>
        </w:rPr>
        <w:t>  </w:t>
      </w:r>
      <w:r>
        <w:rPr>
          <w:rFonts w:ascii="Arial"/>
          <w:i/>
          <w:sz w:val="20"/>
        </w:rPr>
        <w:t>Hillside</w:t>
      </w:r>
      <w:r>
        <w:rPr>
          <w:rFonts w:ascii="Arial"/>
          <w:i/>
          <w:spacing w:val="23"/>
          <w:sz w:val="20"/>
        </w:rPr>
        <w:t> </w:t>
      </w:r>
      <w:r>
        <w:rPr>
          <w:rFonts w:ascii="Arial"/>
          <w:i/>
          <w:sz w:val="20"/>
        </w:rPr>
        <w:t>(New</w:t>
      </w:r>
      <w:r>
        <w:rPr>
          <w:rFonts w:ascii="Arial"/>
          <w:i/>
          <w:spacing w:val="23"/>
          <w:sz w:val="20"/>
        </w:rPr>
        <w:t> </w:t>
      </w:r>
      <w:r>
        <w:rPr>
          <w:rFonts w:ascii="Arial"/>
          <w:i/>
          <w:sz w:val="20"/>
        </w:rPr>
        <w:t>Media)</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Baasland</w:t>
      </w:r>
      <w:r>
        <w:rPr>
          <w:rFonts w:ascii="Arial"/>
          <w:i/>
          <w:spacing w:val="23"/>
          <w:sz w:val="20"/>
        </w:rPr>
        <w:t> </w:t>
      </w:r>
      <w:r>
        <w:rPr>
          <w:rFonts w:ascii="Arial"/>
          <w:i/>
          <w:sz w:val="20"/>
        </w:rPr>
        <w:t>[2010]</w:t>
      </w:r>
      <w:r>
        <w:rPr>
          <w:rFonts w:ascii="Arial"/>
          <w:i/>
          <w:spacing w:val="23"/>
          <w:sz w:val="20"/>
        </w:rPr>
        <w:t> </w:t>
      </w:r>
      <w:r>
        <w:rPr>
          <w:rFonts w:ascii="Arial"/>
          <w:i/>
          <w:sz w:val="20"/>
        </w:rPr>
        <w:t>EWHC</w:t>
      </w:r>
      <w:r>
        <w:rPr>
          <w:rFonts w:ascii="Arial"/>
          <w:i/>
          <w:spacing w:val="23"/>
          <w:sz w:val="20"/>
        </w:rPr>
        <w:t> </w:t>
      </w:r>
      <w:r>
        <w:rPr>
          <w:rFonts w:ascii="Arial"/>
          <w:i/>
          <w:sz w:val="20"/>
        </w:rPr>
        <w:t>3336,</w:t>
      </w:r>
      <w:r>
        <w:rPr>
          <w:rFonts w:ascii="Arial"/>
          <w:i/>
          <w:spacing w:val="23"/>
          <w:sz w:val="20"/>
        </w:rPr>
        <w:t> </w:t>
      </w:r>
      <w:r>
        <w:rPr>
          <w:rFonts w:ascii="Arial"/>
          <w:i/>
          <w:sz w:val="20"/>
        </w:rPr>
        <w:t>[2010]</w:t>
      </w:r>
      <w:r>
        <w:rPr>
          <w:rFonts w:ascii="Arial"/>
          <w:i/>
          <w:spacing w:val="23"/>
          <w:sz w:val="20"/>
        </w:rPr>
        <w:t> </w:t>
      </w:r>
      <w:r>
        <w:rPr>
          <w:rFonts w:ascii="Arial"/>
          <w:i/>
          <w:sz w:val="20"/>
        </w:rPr>
        <w:t>2</w:t>
      </w:r>
      <w:r>
        <w:rPr>
          <w:rFonts w:ascii="Arial"/>
          <w:i/>
          <w:spacing w:val="23"/>
          <w:sz w:val="20"/>
        </w:rPr>
        <w:t> </w:t>
      </w:r>
      <w:r>
        <w:rPr>
          <w:rFonts w:ascii="Arial"/>
          <w:i/>
          <w:sz w:val="20"/>
        </w:rPr>
        <w:t>C.L.C.</w:t>
      </w:r>
      <w:r>
        <w:rPr>
          <w:rFonts w:ascii="Arial"/>
          <w:i/>
          <w:spacing w:val="23"/>
          <w:sz w:val="20"/>
        </w:rPr>
        <w:t> </w:t>
      </w:r>
      <w:r>
        <w:rPr>
          <w:rFonts w:ascii="Arial"/>
          <w:i/>
          <w:sz w:val="20"/>
        </w:rPr>
        <w:t>986</w:t>
      </w:r>
      <w:r>
        <w:rPr>
          <w:sz w:val="20"/>
        </w:rPr>
        <w:t>.</w:t>
      </w:r>
      <w:r>
        <w:rPr>
          <w:spacing w:val="23"/>
          <w:sz w:val="20"/>
        </w:rPr>
        <w:t> </w:t>
      </w:r>
      <w:r>
        <w:rPr>
          <w:sz w:val="20"/>
        </w:rPr>
        <w:t>Dicey,</w:t>
      </w:r>
      <w:r>
        <w:rPr>
          <w:spacing w:val="23"/>
          <w:sz w:val="20"/>
        </w:rPr>
        <w:t> </w:t>
      </w:r>
      <w:r>
        <w:rPr>
          <w:sz w:val="20"/>
        </w:rPr>
        <w:t>Morris and</w:t>
      </w:r>
      <w:r>
        <w:rPr>
          <w:spacing w:val="40"/>
          <w:sz w:val="20"/>
        </w:rPr>
        <w:t> </w:t>
      </w:r>
      <w:r>
        <w:rPr>
          <w:sz w:val="20"/>
        </w:rPr>
        <w:t>Collins,</w:t>
      </w:r>
      <w:r>
        <w:rPr>
          <w:spacing w:val="40"/>
          <w:sz w:val="20"/>
        </w:rPr>
        <w:t> </w:t>
      </w:r>
      <w:r>
        <w:rPr>
          <w:sz w:val="20"/>
        </w:rPr>
        <w:t>para.33-454.</w:t>
      </w:r>
      <w:r>
        <w:rPr>
          <w:spacing w:val="40"/>
          <w:sz w:val="20"/>
        </w:rPr>
        <w:t> </w:t>
      </w:r>
      <w:r>
        <w:rPr>
          <w:sz w:val="20"/>
        </w:rPr>
        <w:t>Such</w:t>
      </w:r>
      <w:r>
        <w:rPr>
          <w:spacing w:val="40"/>
          <w:sz w:val="20"/>
        </w:rPr>
        <w:t> </w:t>
      </w:r>
      <w:r>
        <w:rPr>
          <w:sz w:val="20"/>
        </w:rPr>
        <w:t>a</w:t>
      </w:r>
      <w:r>
        <w:rPr>
          <w:spacing w:val="40"/>
          <w:sz w:val="20"/>
        </w:rPr>
        <w:t> </w:t>
      </w:r>
      <w:r>
        <w:rPr>
          <w:sz w:val="20"/>
        </w:rPr>
        <w:t>contract</w:t>
      </w:r>
      <w:r>
        <w:rPr>
          <w:spacing w:val="40"/>
          <w:sz w:val="20"/>
        </w:rPr>
        <w:t> </w:t>
      </w:r>
      <w:r>
        <w:rPr>
          <w:sz w:val="20"/>
        </w:rPr>
        <w:t>may</w:t>
      </w:r>
      <w:r>
        <w:rPr>
          <w:spacing w:val="40"/>
          <w:sz w:val="20"/>
        </w:rPr>
        <w:t> </w:t>
      </w:r>
      <w:r>
        <w:rPr>
          <w:sz w:val="20"/>
        </w:rPr>
        <w:t>be</w:t>
      </w:r>
      <w:r>
        <w:rPr>
          <w:spacing w:val="40"/>
          <w:sz w:val="20"/>
        </w:rPr>
        <w:t> </w:t>
      </w:r>
      <w:r>
        <w:rPr>
          <w:sz w:val="20"/>
        </w:rPr>
        <w:t>a</w:t>
      </w:r>
      <w:r>
        <w:rPr>
          <w:spacing w:val="40"/>
          <w:sz w:val="20"/>
        </w:rPr>
        <w:t> </w:t>
      </w:r>
      <w:r>
        <w:rPr>
          <w:sz w:val="20"/>
        </w:rPr>
        <w:t>consumer</w:t>
      </w:r>
      <w:r>
        <w:rPr>
          <w:spacing w:val="40"/>
          <w:sz w:val="20"/>
        </w:rPr>
        <w:t> </w:t>
      </w:r>
      <w:r>
        <w:rPr>
          <w:sz w:val="20"/>
        </w:rPr>
        <w:t>contract:</w:t>
      </w:r>
      <w:r>
        <w:rPr>
          <w:spacing w:val="40"/>
          <w:sz w:val="20"/>
        </w:rPr>
        <w:t> </w:t>
      </w:r>
      <w:r>
        <w:rPr>
          <w:sz w:val="20"/>
        </w:rPr>
        <w:t>see</w:t>
      </w:r>
      <w:r>
        <w:rPr>
          <w:spacing w:val="40"/>
          <w:sz w:val="20"/>
        </w:rPr>
        <w:t> </w:t>
      </w:r>
      <w:r>
        <w:rPr>
          <w:sz w:val="20"/>
        </w:rPr>
        <w:t>below,</w:t>
      </w:r>
      <w:r>
        <w:rPr>
          <w:spacing w:val="40"/>
          <w:sz w:val="20"/>
        </w:rPr>
        <w:t> </w:t>
      </w:r>
      <w:r>
        <w:rPr>
          <w:sz w:val="20"/>
        </w:rPr>
        <w:t>paras 30-092 et seq.</w:t>
      </w:r>
    </w:p>
    <w:p>
      <w:pPr>
        <w:pStyle w:val="BodyText"/>
        <w:spacing w:before="5"/>
      </w:pPr>
    </w:p>
    <w:p>
      <w:pPr>
        <w:tabs>
          <w:tab w:pos="705" w:val="left" w:leader="none"/>
        </w:tabs>
        <w:spacing w:before="0"/>
        <w:ind w:left="165" w:right="0" w:firstLine="0"/>
        <w:jc w:val="left"/>
        <w:rPr>
          <w:sz w:val="20"/>
        </w:rPr>
      </w:pPr>
      <w:bookmarkStart w:name="_bookmark806" w:id="808"/>
      <w:bookmarkEnd w:id="808"/>
      <w:r>
        <w:rPr/>
      </w:r>
      <w:hyperlink w:history="true" w:anchor="_bookmark681">
        <w:r>
          <w:rPr>
            <w:color w:val="005DA1"/>
            <w:spacing w:val="-4"/>
            <w:position w:val="5"/>
            <w:sz w:val="14"/>
            <w:u w:val="single" w:color="005DA1"/>
          </w:rPr>
          <w:t>391</w:t>
        </w:r>
      </w:hyperlink>
      <w:r>
        <w:rPr>
          <w:spacing w:val="-4"/>
          <w:position w:val="5"/>
          <w:sz w:val="14"/>
        </w:rPr>
        <w:t>.</w:t>
      </w:r>
      <w:r>
        <w:rPr>
          <w:position w:val="5"/>
          <w:sz w:val="14"/>
        </w:rPr>
        <w:tab/>
      </w:r>
      <w:r>
        <w:rPr>
          <w:rFonts w:ascii="Arial"/>
          <w:i/>
          <w:sz w:val="20"/>
        </w:rPr>
        <w:t>Bergmann v Kenburn Waste Management Ltd [2002] EWCA Civ 98, [2002] F.S.R. </w:t>
      </w:r>
      <w:r>
        <w:rPr>
          <w:rFonts w:ascii="Arial"/>
          <w:i/>
          <w:spacing w:val="-5"/>
          <w:sz w:val="20"/>
        </w:rPr>
        <w:t>45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807" w:id="809"/>
      <w:bookmarkEnd w:id="809"/>
      <w:r>
        <w:rPr/>
      </w:r>
      <w:hyperlink w:history="true" w:anchor="_bookmark682">
        <w:r>
          <w:rPr>
            <w:color w:val="005DA1"/>
            <w:spacing w:val="-4"/>
            <w:position w:val="5"/>
            <w:sz w:val="14"/>
            <w:u w:val="single" w:color="005DA1"/>
          </w:rPr>
          <w:t>392</w:t>
        </w:r>
      </w:hyperlink>
      <w:r>
        <w:rPr>
          <w:spacing w:val="-4"/>
          <w:position w:val="5"/>
          <w:sz w:val="14"/>
        </w:rPr>
        <w:t>.</w:t>
      </w:r>
      <w:r>
        <w:rPr>
          <w:position w:val="5"/>
          <w:sz w:val="14"/>
        </w:rPr>
        <w:tab/>
      </w:r>
      <w:r>
        <w:rPr>
          <w:rFonts w:ascii="Arial"/>
          <w:i/>
          <w:sz w:val="20"/>
        </w:rPr>
        <w:t>Waldweise</w:t>
      </w:r>
      <w:r>
        <w:rPr>
          <w:rFonts w:ascii="Arial"/>
          <w:i/>
          <w:spacing w:val="-3"/>
          <w:sz w:val="20"/>
        </w:rPr>
        <w:t> </w:t>
      </w:r>
      <w:r>
        <w:rPr>
          <w:rFonts w:ascii="Arial"/>
          <w:i/>
          <w:sz w:val="20"/>
        </w:rPr>
        <w:t>Stiftung v Lewis [2004] EWHC 2589 (Ch)</w:t>
      </w:r>
      <w:r>
        <w:rPr>
          <w:sz w:val="20"/>
        </w:rPr>
        <w:t>; </w:t>
      </w:r>
      <w:r>
        <w:rPr>
          <w:rFonts w:ascii="Arial"/>
          <w:i/>
          <w:sz w:val="20"/>
        </w:rPr>
        <w:t>Gorjat v Gorjat [2010] EWHC 1537 </w:t>
      </w:r>
      <w:r>
        <w:rPr>
          <w:rFonts w:ascii="Arial"/>
          <w:i/>
          <w:spacing w:val="-2"/>
          <w:sz w:val="20"/>
        </w:rPr>
        <w:t>(Ch)</w:t>
      </w:r>
      <w:r>
        <w:rPr>
          <w:spacing w:val="-2"/>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08" w:id="810"/>
      <w:bookmarkEnd w:id="810"/>
      <w:r>
        <w:rPr/>
      </w:r>
      <w:hyperlink w:history="true" w:anchor="_bookmark683">
        <w:r>
          <w:rPr>
            <w:color w:val="005DA1"/>
            <w:spacing w:val="-4"/>
            <w:position w:val="5"/>
            <w:sz w:val="14"/>
            <w:u w:val="single" w:color="005DA1"/>
          </w:rPr>
          <w:t>393</w:t>
        </w:r>
      </w:hyperlink>
      <w:r>
        <w:rPr>
          <w:spacing w:val="-4"/>
          <w:position w:val="5"/>
          <w:sz w:val="14"/>
        </w:rPr>
        <w:t>.</w:t>
      </w:r>
      <w:r>
        <w:rPr>
          <w:position w:val="5"/>
          <w:sz w:val="14"/>
        </w:rPr>
        <w:tab/>
      </w:r>
      <w:r>
        <w:rPr>
          <w:rFonts w:ascii="Arial"/>
          <w:i/>
          <w:sz w:val="20"/>
        </w:rPr>
        <w:t>Ophthalmic</w:t>
      </w:r>
      <w:r>
        <w:rPr>
          <w:rFonts w:ascii="Arial"/>
          <w:i/>
          <w:spacing w:val="80"/>
          <w:w w:val="150"/>
          <w:sz w:val="20"/>
        </w:rPr>
        <w:t> </w:t>
      </w:r>
      <w:r>
        <w:rPr>
          <w:rFonts w:ascii="Arial"/>
          <w:i/>
          <w:sz w:val="20"/>
        </w:rPr>
        <w:t>Innovations</w:t>
      </w:r>
      <w:r>
        <w:rPr>
          <w:rFonts w:ascii="Arial"/>
          <w:i/>
          <w:spacing w:val="80"/>
          <w:w w:val="150"/>
          <w:sz w:val="20"/>
        </w:rPr>
        <w:t> </w:t>
      </w:r>
      <w:r>
        <w:rPr>
          <w:rFonts w:ascii="Arial"/>
          <w:i/>
          <w:sz w:val="20"/>
        </w:rPr>
        <w:t>International</w:t>
      </w:r>
      <w:r>
        <w:rPr>
          <w:rFonts w:ascii="Arial"/>
          <w:i/>
          <w:spacing w:val="80"/>
          <w:w w:val="150"/>
          <w:sz w:val="20"/>
        </w:rPr>
        <w:t> </w:t>
      </w:r>
      <w:r>
        <w:rPr>
          <w:rFonts w:ascii="Arial"/>
          <w:i/>
          <w:sz w:val="20"/>
        </w:rPr>
        <w:t>(United</w:t>
      </w:r>
      <w:r>
        <w:rPr>
          <w:rFonts w:ascii="Arial"/>
          <w:i/>
          <w:spacing w:val="80"/>
          <w:w w:val="150"/>
          <w:sz w:val="20"/>
        </w:rPr>
        <w:t> </w:t>
      </w:r>
      <w:r>
        <w:rPr>
          <w:rFonts w:ascii="Arial"/>
          <w:i/>
          <w:sz w:val="20"/>
        </w:rPr>
        <w:t>Kingdom)</w:t>
      </w:r>
      <w:r>
        <w:rPr>
          <w:rFonts w:ascii="Arial"/>
          <w:i/>
          <w:spacing w:val="80"/>
          <w:w w:val="150"/>
          <w:sz w:val="20"/>
        </w:rPr>
        <w:t> </w:t>
      </w:r>
      <w:r>
        <w:rPr>
          <w:rFonts w:ascii="Arial"/>
          <w:i/>
          <w:sz w:val="20"/>
        </w:rPr>
        <w:t>Ltd</w:t>
      </w:r>
      <w:r>
        <w:rPr>
          <w:rFonts w:ascii="Arial"/>
          <w:i/>
          <w:spacing w:val="80"/>
          <w:w w:val="150"/>
          <w:sz w:val="20"/>
        </w:rPr>
        <w:t> </w:t>
      </w:r>
      <w:r>
        <w:rPr>
          <w:rFonts w:ascii="Arial"/>
          <w:i/>
          <w:sz w:val="20"/>
        </w:rPr>
        <w:t>v</w:t>
      </w:r>
      <w:r>
        <w:rPr>
          <w:rFonts w:ascii="Arial"/>
          <w:i/>
          <w:spacing w:val="80"/>
          <w:w w:val="150"/>
          <w:sz w:val="20"/>
        </w:rPr>
        <w:t> </w:t>
      </w:r>
      <w:r>
        <w:rPr>
          <w:rFonts w:ascii="Arial"/>
          <w:i/>
          <w:sz w:val="20"/>
        </w:rPr>
        <w:t>Ophthalmic</w:t>
      </w:r>
      <w:r>
        <w:rPr>
          <w:rFonts w:ascii="Arial"/>
          <w:i/>
          <w:spacing w:val="80"/>
          <w:w w:val="150"/>
          <w:sz w:val="20"/>
        </w:rPr>
        <w:t> </w:t>
      </w:r>
      <w:r>
        <w:rPr>
          <w:rFonts w:ascii="Arial"/>
          <w:i/>
          <w:sz w:val="20"/>
        </w:rPr>
        <w:t>Innovations International Inc [2004] EWHC 2948 (Ch), [2005] I.L.Pr. 109</w:t>
      </w:r>
      <w:r>
        <w:rPr>
          <w:sz w:val="20"/>
        </w:rPr>
        <w:t>.</w:t>
      </w:r>
    </w:p>
    <w:p>
      <w:pPr>
        <w:pStyle w:val="BodyText"/>
        <w:spacing w:before="9"/>
      </w:pPr>
    </w:p>
    <w:p>
      <w:pPr>
        <w:spacing w:line="235" w:lineRule="auto" w:before="0"/>
        <w:ind w:left="705" w:right="169" w:hanging="541"/>
        <w:jc w:val="both"/>
        <w:rPr>
          <w:sz w:val="20"/>
        </w:rPr>
      </w:pPr>
      <w:bookmarkStart w:name="_bookmark809" w:id="811"/>
      <w:bookmarkEnd w:id="811"/>
      <w:r>
        <w:rPr/>
      </w:r>
      <w:hyperlink w:history="true" w:anchor="_bookmark684">
        <w:r>
          <w:rPr>
            <w:color w:val="005DA1"/>
            <w:position w:val="5"/>
            <w:sz w:val="14"/>
            <w:u w:val="single" w:color="005DA1"/>
          </w:rPr>
          <w:t>394</w:t>
        </w:r>
      </w:hyperlink>
      <w:r>
        <w:rPr>
          <w:position w:val="5"/>
          <w:sz w:val="14"/>
        </w:rPr>
        <w:t>.</w:t>
      </w:r>
      <w:r>
        <w:rPr>
          <w:spacing w:val="80"/>
          <w:position w:val="5"/>
          <w:sz w:val="14"/>
        </w:rPr>
        <w:t> </w:t>
      </w:r>
      <w:r>
        <w:rPr>
          <w:rFonts w:ascii="Arial"/>
          <w:i/>
          <w:sz w:val="20"/>
        </w:rPr>
        <w:t>Halpern v Halpern (Nos 1 and 2) [2007] EWCA Civ 291, [2008] Q.B. 195</w:t>
      </w:r>
      <w:r>
        <w:rPr>
          <w:sz w:val="20"/>
        </w:rPr>
        <w:t>. See also </w:t>
      </w:r>
      <w:r>
        <w:rPr>
          <w:rFonts w:ascii="Arial"/>
          <w:i/>
          <w:sz w:val="20"/>
        </w:rPr>
        <w:t>Ark Therapeutics Plc v True North Capital Ltd [2005] EWHC 1585 (Comm), [2006] 1 All E.R. (Comm) 138 </w:t>
      </w:r>
      <w:r>
        <w:rPr>
          <w:sz w:val="20"/>
        </w:rPr>
        <w:t>(letter of intent).</w:t>
      </w:r>
    </w:p>
    <w:p>
      <w:pPr>
        <w:pStyle w:val="BodyText"/>
        <w:spacing w:before="5"/>
      </w:pPr>
    </w:p>
    <w:p>
      <w:pPr>
        <w:tabs>
          <w:tab w:pos="705" w:val="left" w:leader="none"/>
        </w:tabs>
        <w:spacing w:line="227" w:lineRule="exact" w:before="1"/>
        <w:ind w:left="165" w:right="0" w:firstLine="0"/>
        <w:jc w:val="left"/>
        <w:rPr>
          <w:rFonts w:ascii="Arial" w:hAnsi="Arial"/>
          <w:i/>
          <w:sz w:val="20"/>
        </w:rPr>
      </w:pPr>
      <w:bookmarkStart w:name="_bookmark810" w:id="812"/>
      <w:bookmarkEnd w:id="812"/>
      <w:r>
        <w:rPr/>
      </w:r>
      <w:hyperlink w:history="true" w:anchor="_bookmark685">
        <w:r>
          <w:rPr>
            <w:color w:val="005DA1"/>
            <w:spacing w:val="-4"/>
            <w:position w:val="5"/>
            <w:sz w:val="14"/>
            <w:u w:val="single" w:color="005DA1"/>
          </w:rPr>
          <w:t>395</w:t>
        </w:r>
      </w:hyperlink>
      <w:r>
        <w:rPr>
          <w:spacing w:val="-4"/>
          <w:position w:val="5"/>
          <w:sz w:val="14"/>
        </w:rPr>
        <w:t>.</w:t>
      </w:r>
      <w:r>
        <w:rPr>
          <w:position w:val="5"/>
          <w:sz w:val="14"/>
        </w:rPr>
        <w:tab/>
      </w:r>
      <w:r>
        <w:rPr>
          <w:rFonts w:ascii="Arial" w:hAnsi="Arial"/>
          <w:i/>
          <w:sz w:val="20"/>
        </w:rPr>
        <w:t>Standard</w:t>
      </w:r>
      <w:r>
        <w:rPr>
          <w:rFonts w:ascii="Arial" w:hAnsi="Arial"/>
          <w:i/>
          <w:spacing w:val="17"/>
          <w:sz w:val="20"/>
        </w:rPr>
        <w:t> </w:t>
      </w:r>
      <w:r>
        <w:rPr>
          <w:rFonts w:ascii="Arial" w:hAnsi="Arial"/>
          <w:i/>
          <w:sz w:val="20"/>
        </w:rPr>
        <w:t>Bank</w:t>
      </w:r>
      <w:r>
        <w:rPr>
          <w:rFonts w:ascii="Arial" w:hAnsi="Arial"/>
          <w:i/>
          <w:spacing w:val="17"/>
          <w:sz w:val="20"/>
        </w:rPr>
        <w:t> </w:t>
      </w:r>
      <w:r>
        <w:rPr>
          <w:rFonts w:ascii="Arial" w:hAnsi="Arial"/>
          <w:i/>
          <w:sz w:val="20"/>
        </w:rPr>
        <w:t>Plc</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Agrinvest</w:t>
      </w:r>
      <w:r>
        <w:rPr>
          <w:rFonts w:ascii="Arial" w:hAnsi="Arial"/>
          <w:i/>
          <w:spacing w:val="17"/>
          <w:sz w:val="20"/>
        </w:rPr>
        <w:t> </w:t>
      </w:r>
      <w:r>
        <w:rPr>
          <w:rFonts w:ascii="Arial" w:hAnsi="Arial"/>
          <w:i/>
          <w:sz w:val="20"/>
        </w:rPr>
        <w:t>International</w:t>
      </w:r>
      <w:r>
        <w:rPr>
          <w:rFonts w:ascii="Arial" w:hAnsi="Arial"/>
          <w:i/>
          <w:spacing w:val="17"/>
          <w:sz w:val="20"/>
        </w:rPr>
        <w:t> </w:t>
      </w:r>
      <w:r>
        <w:rPr>
          <w:rFonts w:ascii="Arial" w:hAnsi="Arial"/>
          <w:i/>
          <w:sz w:val="20"/>
        </w:rPr>
        <w:t>Inc</w:t>
      </w:r>
      <w:r>
        <w:rPr>
          <w:rFonts w:ascii="Arial" w:hAnsi="Arial"/>
          <w:i/>
          <w:spacing w:val="17"/>
          <w:sz w:val="20"/>
        </w:rPr>
        <w:t> </w:t>
      </w:r>
      <w:r>
        <w:rPr>
          <w:rFonts w:ascii="Arial" w:hAnsi="Arial"/>
          <w:i/>
          <w:sz w:val="20"/>
        </w:rPr>
        <w:t>[2007]</w:t>
      </w:r>
      <w:r>
        <w:rPr>
          <w:rFonts w:ascii="Arial" w:hAnsi="Arial"/>
          <w:i/>
          <w:spacing w:val="17"/>
          <w:sz w:val="20"/>
        </w:rPr>
        <w:t> </w:t>
      </w:r>
      <w:r>
        <w:rPr>
          <w:rFonts w:ascii="Arial" w:hAnsi="Arial"/>
          <w:i/>
          <w:sz w:val="20"/>
        </w:rPr>
        <w:t>EWHC</w:t>
      </w:r>
      <w:r>
        <w:rPr>
          <w:rFonts w:ascii="Arial" w:hAnsi="Arial"/>
          <w:i/>
          <w:spacing w:val="17"/>
          <w:sz w:val="20"/>
        </w:rPr>
        <w:t> </w:t>
      </w:r>
      <w:r>
        <w:rPr>
          <w:rFonts w:ascii="Arial" w:hAnsi="Arial"/>
          <w:i/>
          <w:sz w:val="20"/>
        </w:rPr>
        <w:t>2595</w:t>
      </w:r>
      <w:r>
        <w:rPr>
          <w:rFonts w:ascii="Arial" w:hAnsi="Arial"/>
          <w:i/>
          <w:spacing w:val="17"/>
          <w:sz w:val="20"/>
        </w:rPr>
        <w:t> </w:t>
      </w:r>
      <w:r>
        <w:rPr>
          <w:rFonts w:ascii="Arial" w:hAnsi="Arial"/>
          <w:i/>
          <w:sz w:val="20"/>
        </w:rPr>
        <w:t>(Comm),</w:t>
      </w:r>
      <w:r>
        <w:rPr>
          <w:rFonts w:ascii="Arial" w:hAnsi="Arial"/>
          <w:i/>
          <w:spacing w:val="17"/>
          <w:sz w:val="20"/>
        </w:rPr>
        <w:t> </w:t>
      </w:r>
      <w:r>
        <w:rPr>
          <w:rFonts w:ascii="Arial" w:hAnsi="Arial"/>
          <w:i/>
          <w:sz w:val="20"/>
        </w:rPr>
        <w:t>[2008]</w:t>
      </w:r>
      <w:r>
        <w:rPr>
          <w:rFonts w:ascii="Arial" w:hAnsi="Arial"/>
          <w:i/>
          <w:spacing w:val="17"/>
          <w:sz w:val="20"/>
        </w:rPr>
        <w:t> </w:t>
      </w:r>
      <w:r>
        <w:rPr>
          <w:rFonts w:ascii="Arial" w:hAnsi="Arial"/>
          <w:i/>
          <w:sz w:val="20"/>
        </w:rPr>
        <w:t>1</w:t>
      </w:r>
      <w:r>
        <w:rPr>
          <w:rFonts w:ascii="Arial" w:hAnsi="Arial"/>
          <w:i/>
          <w:spacing w:val="17"/>
          <w:sz w:val="20"/>
        </w:rPr>
        <w:t> </w:t>
      </w:r>
      <w:r>
        <w:rPr>
          <w:rFonts w:ascii="Arial" w:hAnsi="Arial"/>
          <w:i/>
          <w:spacing w:val="-2"/>
          <w:sz w:val="20"/>
        </w:rPr>
        <w:t>Lloyd’s</w:t>
      </w:r>
    </w:p>
    <w:p>
      <w:pPr>
        <w:spacing w:line="227" w:lineRule="exact" w:before="0"/>
        <w:ind w:left="705" w:right="0" w:firstLine="0"/>
        <w:jc w:val="left"/>
        <w:rPr>
          <w:sz w:val="20"/>
        </w:rPr>
      </w:pPr>
      <w:r>
        <w:rPr>
          <w:rFonts w:ascii="Arial"/>
          <w:i/>
          <w:sz w:val="20"/>
        </w:rPr>
        <w:t>Rep.</w:t>
      </w:r>
      <w:r>
        <w:rPr>
          <w:rFonts w:ascii="Arial"/>
          <w:i/>
          <w:spacing w:val="-2"/>
          <w:sz w:val="20"/>
        </w:rPr>
        <w:t> </w:t>
      </w:r>
      <w:r>
        <w:rPr>
          <w:rFonts w:ascii="Arial"/>
          <w:i/>
          <w:spacing w:val="-4"/>
          <w:sz w:val="20"/>
        </w:rPr>
        <w:t>532</w:t>
      </w:r>
      <w:r>
        <w:rPr>
          <w:spacing w:val="-4"/>
          <w:sz w:val="20"/>
        </w:rPr>
        <w:t>.</w:t>
      </w:r>
    </w:p>
    <w:p>
      <w:pPr>
        <w:pStyle w:val="BodyText"/>
        <w:spacing w:before="8"/>
      </w:pPr>
    </w:p>
    <w:p>
      <w:pPr>
        <w:spacing w:line="235" w:lineRule="auto" w:before="0"/>
        <w:ind w:left="705" w:right="167" w:hanging="541"/>
        <w:jc w:val="both"/>
        <w:rPr>
          <w:rFonts w:ascii="Arial" w:hAnsi="Arial"/>
          <w:i/>
          <w:sz w:val="20"/>
        </w:rPr>
      </w:pPr>
      <w:bookmarkStart w:name="_bookmark811" w:id="813"/>
      <w:bookmarkEnd w:id="813"/>
      <w:r>
        <w:rPr/>
      </w:r>
      <w:hyperlink w:history="true" w:anchor="_bookmark686">
        <w:r>
          <w:rPr>
            <w:color w:val="005DA1"/>
            <w:position w:val="5"/>
            <w:sz w:val="14"/>
            <w:u w:val="single" w:color="005DA1"/>
          </w:rPr>
          <w:t>396</w:t>
        </w:r>
      </w:hyperlink>
      <w:r>
        <w:rPr>
          <w:position w:val="5"/>
          <w:sz w:val="14"/>
        </w:rPr>
        <w:t>.</w:t>
      </w:r>
      <w:r>
        <w:rPr>
          <w:spacing w:val="80"/>
          <w:w w:val="150"/>
          <w:position w:val="5"/>
          <w:sz w:val="14"/>
        </w:rPr>
        <w:t> </w:t>
      </w:r>
      <w:r>
        <w:rPr>
          <w:sz w:val="20"/>
        </w:rPr>
        <w:t>Application of the presumption would point to the law of the characteristic performer’s </w:t>
      </w:r>
      <w:r>
        <w:rPr>
          <w:sz w:val="20"/>
        </w:rPr>
        <w:t>principal place of business unless </w:t>
      </w:r>
      <w:r>
        <w:rPr>
          <w:rFonts w:ascii="Arial" w:hAnsi="Arial"/>
          <w:i/>
          <w:sz w:val="20"/>
        </w:rPr>
        <w:t>under the terms of the contract </w:t>
      </w:r>
      <w:r>
        <w:rPr>
          <w:sz w:val="20"/>
        </w:rPr>
        <w:t>performance must be effected through a</w:t>
      </w:r>
      <w:r>
        <w:rPr>
          <w:spacing w:val="-2"/>
          <w:sz w:val="20"/>
        </w:rPr>
        <w:t> </w:t>
      </w:r>
      <w:r>
        <w:rPr>
          <w:sz w:val="20"/>
        </w:rPr>
        <w:t>place</w:t>
      </w:r>
      <w:r>
        <w:rPr>
          <w:spacing w:val="-2"/>
          <w:sz w:val="20"/>
        </w:rPr>
        <w:t> </w:t>
      </w:r>
      <w:r>
        <w:rPr>
          <w:sz w:val="20"/>
        </w:rPr>
        <w:t>of</w:t>
      </w:r>
      <w:r>
        <w:rPr>
          <w:spacing w:val="-2"/>
          <w:sz w:val="20"/>
        </w:rPr>
        <w:t> </w:t>
      </w:r>
      <w:r>
        <w:rPr>
          <w:sz w:val="20"/>
        </w:rPr>
        <w:t>business</w:t>
      </w:r>
      <w:r>
        <w:rPr>
          <w:spacing w:val="-2"/>
          <w:sz w:val="20"/>
        </w:rPr>
        <w:t> </w:t>
      </w:r>
      <w:r>
        <w:rPr>
          <w:sz w:val="20"/>
        </w:rPr>
        <w:t>other</w:t>
      </w:r>
      <w:r>
        <w:rPr>
          <w:spacing w:val="-2"/>
          <w:sz w:val="20"/>
        </w:rPr>
        <w:t> </w:t>
      </w:r>
      <w:r>
        <w:rPr>
          <w:sz w:val="20"/>
        </w:rPr>
        <w:t>than</w:t>
      </w:r>
      <w:r>
        <w:rPr>
          <w:spacing w:val="-2"/>
          <w:sz w:val="20"/>
        </w:rPr>
        <w:t> </w:t>
      </w:r>
      <w:r>
        <w:rPr>
          <w:sz w:val="20"/>
        </w:rPr>
        <w:t>the</w:t>
      </w:r>
      <w:r>
        <w:rPr>
          <w:spacing w:val="-2"/>
          <w:sz w:val="20"/>
        </w:rPr>
        <w:t> </w:t>
      </w:r>
      <w:r>
        <w:rPr>
          <w:sz w:val="20"/>
        </w:rPr>
        <w:t>principal</w:t>
      </w:r>
      <w:r>
        <w:rPr>
          <w:spacing w:val="-2"/>
          <w:sz w:val="20"/>
        </w:rPr>
        <w:t> </w:t>
      </w:r>
      <w:r>
        <w:rPr>
          <w:sz w:val="20"/>
        </w:rPr>
        <w:t>place</w:t>
      </w:r>
      <w:r>
        <w:rPr>
          <w:spacing w:val="-2"/>
          <w:sz w:val="20"/>
        </w:rPr>
        <w:t> </w:t>
      </w:r>
      <w:r>
        <w:rPr>
          <w:sz w:val="20"/>
        </w:rPr>
        <w:t>of</w:t>
      </w:r>
      <w:r>
        <w:rPr>
          <w:spacing w:val="-2"/>
          <w:sz w:val="20"/>
        </w:rPr>
        <w:t> </w:t>
      </w:r>
      <w:r>
        <w:rPr>
          <w:sz w:val="20"/>
        </w:rPr>
        <w:t>business:</w:t>
      </w:r>
      <w:r>
        <w:rPr>
          <w:spacing w:val="-2"/>
          <w:sz w:val="20"/>
        </w:rPr>
        <w:t> </w:t>
      </w:r>
      <w:r>
        <w:rPr>
          <w:rFonts w:ascii="Arial" w:hAnsi="Arial"/>
          <w:i/>
          <w:sz w:val="20"/>
        </w:rPr>
        <w:t>Ennstone</w:t>
      </w:r>
      <w:r>
        <w:rPr>
          <w:rFonts w:ascii="Arial" w:hAnsi="Arial"/>
          <w:i/>
          <w:spacing w:val="-2"/>
          <w:sz w:val="20"/>
        </w:rPr>
        <w:t> </w:t>
      </w:r>
      <w:r>
        <w:rPr>
          <w:rFonts w:ascii="Arial" w:hAnsi="Arial"/>
          <w:i/>
          <w:sz w:val="20"/>
        </w:rPr>
        <w:t>Building</w:t>
      </w:r>
      <w:r>
        <w:rPr>
          <w:rFonts w:ascii="Arial" w:hAnsi="Arial"/>
          <w:i/>
          <w:spacing w:val="-2"/>
          <w:sz w:val="20"/>
        </w:rPr>
        <w:t> </w:t>
      </w:r>
      <w:r>
        <w:rPr>
          <w:rFonts w:ascii="Arial" w:hAnsi="Arial"/>
          <w:i/>
          <w:sz w:val="20"/>
        </w:rPr>
        <w:t>Products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 Stanger Ltd [2002] EWCA Civ 916, [2002] 1 W.L.R. 3059</w:t>
      </w:r>
      <w:r>
        <w:rPr>
          <w:sz w:val="20"/>
        </w:rPr>
        <w:t>. cf. </w:t>
      </w:r>
      <w:r>
        <w:rPr>
          <w:rFonts w:ascii="Arial" w:hAnsi="Arial"/>
          <w:i/>
          <w:sz w:val="20"/>
        </w:rPr>
        <w:t>Iran Continental Shelf Oil Co v IRI International</w:t>
      </w:r>
      <w:r>
        <w:rPr>
          <w:rFonts w:ascii="Arial" w:hAnsi="Arial"/>
          <w:i/>
          <w:spacing w:val="-3"/>
          <w:sz w:val="20"/>
        </w:rPr>
        <w:t> </w:t>
      </w:r>
      <w:r>
        <w:rPr>
          <w:rFonts w:ascii="Arial" w:hAnsi="Arial"/>
          <w:i/>
          <w:sz w:val="20"/>
        </w:rPr>
        <w:t>Corp [2002] EWCA Civ 1024, [2004] 2 C.L.C. 696</w:t>
      </w:r>
      <w:r>
        <w:rPr>
          <w:sz w:val="20"/>
        </w:rPr>
        <w:t>; </w:t>
      </w:r>
      <w:r>
        <w:rPr>
          <w:rFonts w:ascii="Arial" w:hAnsi="Arial"/>
          <w:i/>
          <w:sz w:val="20"/>
        </w:rPr>
        <w:t>Trafigura Beheer BV v </w:t>
      </w:r>
      <w:r>
        <w:rPr>
          <w:rFonts w:ascii="Arial" w:hAnsi="Arial"/>
          <w:i/>
          <w:spacing w:val="-2"/>
          <w:sz w:val="20"/>
        </w:rPr>
        <w:t>Kookmin</w:t>
      </w:r>
    </w:p>
    <w:p>
      <w:pPr>
        <w:spacing w:line="224" w:lineRule="exact" w:before="0"/>
        <w:ind w:left="705" w:right="0" w:firstLine="0"/>
        <w:jc w:val="both"/>
        <w:rPr>
          <w:sz w:val="20"/>
        </w:rPr>
      </w:pPr>
      <w:r>
        <w:rPr>
          <w:rFonts w:ascii="Arial" w:hAnsi="Arial"/>
          <w:i/>
          <w:sz w:val="20"/>
        </w:rPr>
        <w:t>Bank Co [2005] EWHC 2350 (Comm), [2006] EWHC 1450 (Comm), [2006] 2 Lloyd’s Rep. </w:t>
      </w:r>
      <w:r>
        <w:rPr>
          <w:rFonts w:ascii="Arial" w:hAnsi="Arial"/>
          <w:i/>
          <w:spacing w:val="-4"/>
          <w:sz w:val="20"/>
        </w:rPr>
        <w:t>455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12" w:id="814"/>
      <w:bookmarkEnd w:id="814"/>
      <w:r>
        <w:rPr/>
      </w:r>
      <w:hyperlink w:history="true" w:anchor="_bookmark687">
        <w:r>
          <w:rPr>
            <w:color w:val="005DA1"/>
            <w:spacing w:val="-4"/>
            <w:position w:val="5"/>
            <w:sz w:val="14"/>
            <w:u w:val="single" w:color="005DA1"/>
          </w:rPr>
          <w:t>397</w:t>
        </w:r>
      </w:hyperlink>
      <w:r>
        <w:rPr>
          <w:spacing w:val="-4"/>
          <w:position w:val="5"/>
          <w:sz w:val="14"/>
        </w:rPr>
        <w:t>.</w:t>
      </w:r>
      <w:r>
        <w:rPr>
          <w:position w:val="5"/>
          <w:sz w:val="14"/>
        </w:rPr>
        <w:tab/>
      </w:r>
      <w:r>
        <w:rPr>
          <w:sz w:val="20"/>
        </w:rPr>
        <w:t>See </w:t>
      </w:r>
      <w:r>
        <w:rPr>
          <w:rFonts w:ascii="Arial" w:hAnsi="Arial"/>
          <w:i/>
          <w:sz w:val="20"/>
        </w:rPr>
        <w:t>Raiffeisen Zentralbank Osterreich AG v National Bank of Greece SA [1999] 1 Lloyd’s Rep. </w:t>
      </w:r>
      <w:r>
        <w:rPr>
          <w:rFonts w:ascii="Arial" w:hAnsi="Arial"/>
          <w:i/>
          <w:spacing w:val="-4"/>
          <w:sz w:val="20"/>
        </w:rPr>
        <w:t>408</w:t>
      </w:r>
      <w:r>
        <w:rPr>
          <w:spacing w:val="-4"/>
          <w:sz w:val="20"/>
        </w:rPr>
        <w:t>.</w:t>
      </w:r>
    </w:p>
    <w:p>
      <w:pPr>
        <w:pStyle w:val="BodyText"/>
        <w:spacing w:before="9"/>
      </w:pPr>
    </w:p>
    <w:p>
      <w:pPr>
        <w:pStyle w:val="BodyText"/>
        <w:spacing w:line="235" w:lineRule="auto"/>
        <w:ind w:left="705" w:right="167" w:hanging="541"/>
        <w:jc w:val="both"/>
      </w:pPr>
      <w:bookmarkStart w:name="_bookmark813" w:id="815"/>
      <w:bookmarkEnd w:id="815"/>
      <w:r>
        <w:rPr/>
      </w:r>
      <w:hyperlink w:history="true" w:anchor="_bookmark688">
        <w:r>
          <w:rPr>
            <w:color w:val="005DA1"/>
            <w:position w:val="5"/>
            <w:sz w:val="14"/>
            <w:u w:val="single" w:color="005DA1"/>
          </w:rPr>
          <w:t>398</w:t>
        </w:r>
      </w:hyperlink>
      <w:r>
        <w:rPr>
          <w:position w:val="5"/>
          <w:sz w:val="14"/>
        </w:rPr>
        <w:t>.</w:t>
      </w:r>
      <w:r>
        <w:rPr>
          <w:spacing w:val="80"/>
          <w:w w:val="150"/>
          <w:position w:val="5"/>
          <w:sz w:val="14"/>
        </w:rPr>
        <w:t> </w:t>
      </w:r>
      <w:r>
        <w:rPr/>
        <w:t>Dicey, Morris and Collins, para.32-120. And see </w:t>
      </w:r>
      <w:r>
        <w:rPr>
          <w:rFonts w:ascii="Arial" w:hAnsi="Arial"/>
          <w:i/>
        </w:rPr>
        <w:t>Swaddling v Administration Officer (C-90/97) [1999] E.C.R. I–1075 </w:t>
      </w:r>
      <w:r>
        <w:rPr/>
        <w:t>(consideration of meaning of habitual residence in the context of </w:t>
      </w:r>
      <w:r>
        <w:rPr/>
        <w:t>Council Regulation 1408/71 on the application of social security schemes to employed persons, to selfemployed</w:t>
      </w:r>
      <w:r>
        <w:rPr>
          <w:spacing w:val="26"/>
        </w:rPr>
        <w:t> </w:t>
      </w:r>
      <w:r>
        <w:rPr/>
        <w:t>persons</w:t>
      </w:r>
      <w:r>
        <w:rPr>
          <w:spacing w:val="28"/>
        </w:rPr>
        <w:t> </w:t>
      </w:r>
      <w:r>
        <w:rPr/>
        <w:t>and</w:t>
      </w:r>
      <w:r>
        <w:rPr>
          <w:spacing w:val="28"/>
        </w:rPr>
        <w:t> </w:t>
      </w:r>
      <w:r>
        <w:rPr/>
        <w:t>to</w:t>
      </w:r>
      <w:r>
        <w:rPr>
          <w:spacing w:val="28"/>
        </w:rPr>
        <w:t> </w:t>
      </w:r>
      <w:r>
        <w:rPr/>
        <w:t>members</w:t>
      </w:r>
      <w:r>
        <w:rPr>
          <w:spacing w:val="28"/>
        </w:rPr>
        <w:t> </w:t>
      </w:r>
      <w:r>
        <w:rPr/>
        <w:t>of</w:t>
      </w:r>
      <w:r>
        <w:rPr>
          <w:spacing w:val="28"/>
        </w:rPr>
        <w:t> </w:t>
      </w:r>
      <w:r>
        <w:rPr/>
        <w:t>their</w:t>
      </w:r>
      <w:r>
        <w:rPr>
          <w:spacing w:val="28"/>
        </w:rPr>
        <w:t> </w:t>
      </w:r>
      <w:r>
        <w:rPr/>
        <w:t>families</w:t>
      </w:r>
      <w:r>
        <w:rPr>
          <w:spacing w:val="28"/>
        </w:rPr>
        <w:t> </w:t>
      </w:r>
      <w:r>
        <w:rPr/>
        <w:t>moving</w:t>
      </w:r>
      <w:r>
        <w:rPr>
          <w:spacing w:val="28"/>
        </w:rPr>
        <w:t> </w:t>
      </w:r>
      <w:r>
        <w:rPr/>
        <w:t>within</w:t>
      </w:r>
      <w:r>
        <w:rPr>
          <w:spacing w:val="28"/>
        </w:rPr>
        <w:t> </w:t>
      </w:r>
      <w:r>
        <w:rPr/>
        <w:t>the</w:t>
      </w:r>
      <w:r>
        <w:rPr>
          <w:spacing w:val="28"/>
        </w:rPr>
        <w:t> </w:t>
      </w:r>
      <w:r>
        <w:rPr/>
        <w:t>Community</w:t>
      </w:r>
      <w:r>
        <w:rPr>
          <w:spacing w:val="28"/>
        </w:rPr>
        <w:t> </w:t>
      </w:r>
      <w:r>
        <w:rPr>
          <w:spacing w:val="-2"/>
        </w:rPr>
        <w:t>[1971]</w:t>
      </w:r>
    </w:p>
    <w:p>
      <w:pPr>
        <w:pStyle w:val="BodyText"/>
        <w:spacing w:line="225" w:lineRule="exact"/>
        <w:ind w:left="705"/>
        <w:jc w:val="both"/>
      </w:pPr>
      <w:r>
        <w:rPr/>
        <w:t>O.J. L149/366, as </w:t>
      </w:r>
      <w:r>
        <w:rPr>
          <w:spacing w:val="-2"/>
        </w:rPr>
        <w:t>amended).</w:t>
      </w:r>
    </w:p>
    <w:p>
      <w:pPr>
        <w:pStyle w:val="BodyText"/>
        <w:spacing w:before="9"/>
      </w:pPr>
    </w:p>
    <w:p>
      <w:pPr>
        <w:pStyle w:val="BodyText"/>
        <w:tabs>
          <w:tab w:pos="705" w:val="left" w:leader="none"/>
        </w:tabs>
        <w:spacing w:line="235" w:lineRule="auto"/>
        <w:ind w:left="705" w:right="168" w:hanging="541"/>
      </w:pPr>
      <w:bookmarkStart w:name="_bookmark814" w:id="816"/>
      <w:bookmarkEnd w:id="816"/>
      <w:r>
        <w:rPr/>
      </w:r>
      <w:hyperlink w:history="true" w:anchor="_bookmark689">
        <w:r>
          <w:rPr>
            <w:color w:val="005DA1"/>
            <w:spacing w:val="-4"/>
            <w:position w:val="5"/>
            <w:sz w:val="14"/>
            <w:u w:val="single" w:color="005DA1"/>
          </w:rPr>
          <w:t>399</w:t>
        </w:r>
      </w:hyperlink>
      <w:r>
        <w:rPr>
          <w:spacing w:val="-4"/>
          <w:position w:val="5"/>
          <w:sz w:val="14"/>
        </w:rPr>
        <w:t>.</w:t>
      </w:r>
      <w:r>
        <w:rPr>
          <w:position w:val="5"/>
          <w:sz w:val="14"/>
        </w:rPr>
        <w:tab/>
      </w:r>
      <w:r>
        <w:rPr/>
        <w:t>Dicey</w:t>
      </w:r>
      <w:r>
        <w:rPr>
          <w:spacing w:val="36"/>
        </w:rPr>
        <w:t> </w:t>
      </w:r>
      <w:r>
        <w:rPr/>
        <w:t>Morris,</w:t>
      </w:r>
      <w:r>
        <w:rPr>
          <w:spacing w:val="36"/>
        </w:rPr>
        <w:t> </w:t>
      </w:r>
      <w:r>
        <w:rPr/>
        <w:t>and</w:t>
      </w:r>
      <w:r>
        <w:rPr>
          <w:spacing w:val="36"/>
        </w:rPr>
        <w:t> </w:t>
      </w:r>
      <w:r>
        <w:rPr/>
        <w:t>Collins,</w:t>
      </w:r>
      <w:r>
        <w:rPr>
          <w:spacing w:val="36"/>
        </w:rPr>
        <w:t> </w:t>
      </w:r>
      <w:r>
        <w:rPr/>
        <w:t>paras</w:t>
      </w:r>
      <w:r>
        <w:rPr>
          <w:spacing w:val="36"/>
        </w:rPr>
        <w:t> </w:t>
      </w:r>
      <w:r>
        <w:rPr/>
        <w:t>6-125—6-130.</w:t>
      </w:r>
      <w:r>
        <w:rPr>
          <w:spacing w:val="36"/>
        </w:rPr>
        <w:t> </w:t>
      </w:r>
      <w:r>
        <w:rPr/>
        <w:t>As</w:t>
      </w:r>
      <w:r>
        <w:rPr>
          <w:spacing w:val="36"/>
        </w:rPr>
        <w:t> </w:t>
      </w:r>
      <w:r>
        <w:rPr/>
        <w:t>to</w:t>
      </w:r>
      <w:r>
        <w:rPr>
          <w:spacing w:val="36"/>
        </w:rPr>
        <w:t> </w:t>
      </w:r>
      <w:r>
        <w:rPr/>
        <w:t>the</w:t>
      </w:r>
      <w:r>
        <w:rPr>
          <w:spacing w:val="36"/>
        </w:rPr>
        <w:t> </w:t>
      </w:r>
      <w:r>
        <w:rPr/>
        <w:t>definition</w:t>
      </w:r>
      <w:r>
        <w:rPr>
          <w:spacing w:val="36"/>
        </w:rPr>
        <w:t> </w:t>
      </w:r>
      <w:r>
        <w:rPr/>
        <w:t>in</w:t>
      </w:r>
      <w:r>
        <w:rPr>
          <w:spacing w:val="36"/>
        </w:rPr>
        <w:t> </w:t>
      </w:r>
      <w:r>
        <w:rPr/>
        <w:t>art.19</w:t>
      </w:r>
      <w:r>
        <w:rPr>
          <w:spacing w:val="36"/>
        </w:rPr>
        <w:t> </w:t>
      </w:r>
      <w:r>
        <w:rPr/>
        <w:t>of</w:t>
      </w:r>
      <w:r>
        <w:rPr>
          <w:spacing w:val="36"/>
        </w:rPr>
        <w:t> </w:t>
      </w:r>
      <w:r>
        <w:rPr/>
        <w:t>the</w:t>
      </w:r>
      <w:r>
        <w:rPr>
          <w:spacing w:val="36"/>
        </w:rPr>
        <w:t> </w:t>
      </w:r>
      <w:r>
        <w:rPr/>
        <w:t>Rome</w:t>
      </w:r>
      <w:r>
        <w:rPr>
          <w:spacing w:val="36"/>
        </w:rPr>
        <w:t> </w:t>
      </w:r>
      <w:r>
        <w:rPr/>
        <w:t>I Regulation, see below, paras 30-163 et seq.</w:t>
      </w:r>
    </w:p>
    <w:p>
      <w:pPr>
        <w:pStyle w:val="BodyText"/>
        <w:spacing w:before="9"/>
      </w:pPr>
    </w:p>
    <w:p>
      <w:pPr>
        <w:spacing w:line="235" w:lineRule="auto" w:before="0"/>
        <w:ind w:left="705" w:right="168" w:hanging="541"/>
        <w:jc w:val="both"/>
        <w:rPr>
          <w:rFonts w:ascii="Arial"/>
          <w:i/>
          <w:sz w:val="20"/>
        </w:rPr>
      </w:pPr>
      <w:bookmarkStart w:name="_bookmark815" w:id="817"/>
      <w:bookmarkEnd w:id="817"/>
      <w:r>
        <w:rPr/>
      </w:r>
      <w:hyperlink w:history="true" w:anchor="_bookmark690">
        <w:r>
          <w:rPr>
            <w:color w:val="005DA1"/>
            <w:position w:val="5"/>
            <w:sz w:val="14"/>
            <w:u w:val="single" w:color="005DA1"/>
          </w:rPr>
          <w:t>400</w:t>
        </w:r>
      </w:hyperlink>
      <w:r>
        <w:rPr>
          <w:position w:val="5"/>
          <w:sz w:val="14"/>
        </w:rPr>
        <w:t>.</w:t>
      </w:r>
      <w:r>
        <w:rPr>
          <w:spacing w:val="80"/>
          <w:position w:val="5"/>
          <w:sz w:val="14"/>
        </w:rPr>
        <w:t>  </w:t>
      </w:r>
      <w:r>
        <w:rPr>
          <w:rFonts w:ascii="Arial"/>
          <w:i/>
          <w:sz w:val="20"/>
        </w:rPr>
        <w:t>Kapur v Kapur [1984] F.L.R. 920</w:t>
      </w:r>
      <w:r>
        <w:rPr>
          <w:sz w:val="20"/>
        </w:rPr>
        <w:t>; </w:t>
      </w:r>
      <w:r>
        <w:rPr>
          <w:rFonts w:ascii="Arial"/>
          <w:i/>
          <w:sz w:val="20"/>
        </w:rPr>
        <w:t>R. v Barnet LBC Ex p Nilish Shah [1984] 2 A.C. 309</w:t>
      </w:r>
      <w:r>
        <w:rPr>
          <w:sz w:val="20"/>
        </w:rPr>
        <w:t>; </w:t>
      </w:r>
      <w:r>
        <w:rPr>
          <w:rFonts w:ascii="Arial"/>
          <w:i/>
          <w:sz w:val="20"/>
        </w:rPr>
        <w:t>Mark </w:t>
      </w:r>
      <w:r>
        <w:rPr>
          <w:rFonts w:ascii="Arial"/>
          <w:i/>
          <w:sz w:val="20"/>
        </w:rPr>
        <w:t>v Mark</w:t>
      </w:r>
      <w:r>
        <w:rPr>
          <w:rFonts w:ascii="Arial"/>
          <w:i/>
          <w:spacing w:val="70"/>
          <w:sz w:val="20"/>
        </w:rPr>
        <w:t> </w:t>
      </w:r>
      <w:r>
        <w:rPr>
          <w:rFonts w:ascii="Arial"/>
          <w:i/>
          <w:sz w:val="20"/>
        </w:rPr>
        <w:t>[2005]</w:t>
      </w:r>
      <w:r>
        <w:rPr>
          <w:rFonts w:ascii="Arial"/>
          <w:i/>
          <w:spacing w:val="73"/>
          <w:sz w:val="20"/>
        </w:rPr>
        <w:t> </w:t>
      </w:r>
      <w:r>
        <w:rPr>
          <w:rFonts w:ascii="Arial"/>
          <w:i/>
          <w:sz w:val="20"/>
        </w:rPr>
        <w:t>UKHL</w:t>
      </w:r>
      <w:r>
        <w:rPr>
          <w:rFonts w:ascii="Arial"/>
          <w:i/>
          <w:spacing w:val="73"/>
          <w:sz w:val="20"/>
        </w:rPr>
        <w:t> </w:t>
      </w:r>
      <w:r>
        <w:rPr>
          <w:rFonts w:ascii="Arial"/>
          <w:i/>
          <w:sz w:val="20"/>
        </w:rPr>
        <w:t>42,</w:t>
      </w:r>
      <w:r>
        <w:rPr>
          <w:rFonts w:ascii="Arial"/>
          <w:i/>
          <w:spacing w:val="73"/>
          <w:sz w:val="20"/>
        </w:rPr>
        <w:t> </w:t>
      </w:r>
      <w:r>
        <w:rPr>
          <w:rFonts w:ascii="Arial"/>
          <w:i/>
          <w:sz w:val="20"/>
        </w:rPr>
        <w:t>[2006]</w:t>
      </w:r>
      <w:r>
        <w:rPr>
          <w:rFonts w:ascii="Arial"/>
          <w:i/>
          <w:spacing w:val="73"/>
          <w:sz w:val="20"/>
        </w:rPr>
        <w:t> </w:t>
      </w:r>
      <w:r>
        <w:rPr>
          <w:rFonts w:ascii="Arial"/>
          <w:i/>
          <w:sz w:val="20"/>
        </w:rPr>
        <w:t>1</w:t>
      </w:r>
      <w:r>
        <w:rPr>
          <w:rFonts w:ascii="Arial"/>
          <w:i/>
          <w:spacing w:val="73"/>
          <w:sz w:val="20"/>
        </w:rPr>
        <w:t> </w:t>
      </w:r>
      <w:r>
        <w:rPr>
          <w:rFonts w:ascii="Arial"/>
          <w:i/>
          <w:sz w:val="20"/>
        </w:rPr>
        <w:t>A.C.</w:t>
      </w:r>
      <w:r>
        <w:rPr>
          <w:rFonts w:ascii="Arial"/>
          <w:i/>
          <w:spacing w:val="73"/>
          <w:sz w:val="20"/>
        </w:rPr>
        <w:t> </w:t>
      </w:r>
      <w:r>
        <w:rPr>
          <w:rFonts w:ascii="Arial"/>
          <w:i/>
          <w:sz w:val="20"/>
        </w:rPr>
        <w:t>98</w:t>
      </w:r>
      <w:r>
        <w:rPr>
          <w:sz w:val="20"/>
        </w:rPr>
        <w:t>.</w:t>
      </w:r>
      <w:r>
        <w:rPr>
          <w:spacing w:val="73"/>
          <w:sz w:val="20"/>
        </w:rPr>
        <w:t> </w:t>
      </w:r>
      <w:r>
        <w:rPr>
          <w:sz w:val="20"/>
        </w:rPr>
        <w:t>See</w:t>
      </w:r>
      <w:r>
        <w:rPr>
          <w:spacing w:val="73"/>
          <w:sz w:val="20"/>
        </w:rPr>
        <w:t> </w:t>
      </w:r>
      <w:r>
        <w:rPr>
          <w:sz w:val="20"/>
        </w:rPr>
        <w:t>also</w:t>
      </w:r>
      <w:r>
        <w:rPr>
          <w:spacing w:val="73"/>
          <w:sz w:val="20"/>
        </w:rPr>
        <w:t> </w:t>
      </w:r>
      <w:r>
        <w:rPr>
          <w:rFonts w:ascii="Arial"/>
          <w:i/>
          <w:sz w:val="20"/>
        </w:rPr>
        <w:t>Re</w:t>
      </w:r>
      <w:r>
        <w:rPr>
          <w:rFonts w:ascii="Arial"/>
          <w:i/>
          <w:spacing w:val="73"/>
          <w:sz w:val="20"/>
        </w:rPr>
        <w:t> </w:t>
      </w:r>
      <w:r>
        <w:rPr>
          <w:rFonts w:ascii="Arial"/>
          <w:i/>
          <w:sz w:val="20"/>
        </w:rPr>
        <w:t>M.</w:t>
      </w:r>
      <w:r>
        <w:rPr>
          <w:rFonts w:ascii="Arial"/>
          <w:i/>
          <w:spacing w:val="73"/>
          <w:sz w:val="20"/>
        </w:rPr>
        <w:t> </w:t>
      </w:r>
      <w:r>
        <w:rPr>
          <w:rFonts w:ascii="Arial"/>
          <w:i/>
          <w:sz w:val="20"/>
        </w:rPr>
        <w:t>(Minors)</w:t>
      </w:r>
      <w:r>
        <w:rPr>
          <w:rFonts w:ascii="Arial"/>
          <w:i/>
          <w:spacing w:val="73"/>
          <w:sz w:val="20"/>
        </w:rPr>
        <w:t> </w:t>
      </w:r>
      <w:r>
        <w:rPr>
          <w:rFonts w:ascii="Arial"/>
          <w:i/>
          <w:sz w:val="20"/>
        </w:rPr>
        <w:t>(Residence</w:t>
      </w:r>
      <w:r>
        <w:rPr>
          <w:rFonts w:ascii="Arial"/>
          <w:i/>
          <w:spacing w:val="73"/>
          <w:sz w:val="20"/>
        </w:rPr>
        <w:t> </w:t>
      </w:r>
      <w:r>
        <w:rPr>
          <w:rFonts w:ascii="Arial"/>
          <w:i/>
          <w:spacing w:val="-2"/>
          <w:sz w:val="20"/>
        </w:rPr>
        <w:t>Order:</w:t>
      </w:r>
    </w:p>
    <w:p>
      <w:pPr>
        <w:spacing w:line="235" w:lineRule="auto" w:before="0"/>
        <w:ind w:left="705" w:right="168" w:firstLine="0"/>
        <w:jc w:val="both"/>
        <w:rPr>
          <w:sz w:val="20"/>
        </w:rPr>
      </w:pPr>
      <w:r>
        <w:rPr>
          <w:rFonts w:ascii="Arial"/>
          <w:i/>
          <w:sz w:val="20"/>
        </w:rPr>
        <w:t>Jurisdiction) [1993] 1 F.L.R. 495</w:t>
      </w:r>
      <w:r>
        <w:rPr>
          <w:sz w:val="20"/>
        </w:rPr>
        <w:t>; </w:t>
      </w:r>
      <w:r>
        <w:rPr>
          <w:rFonts w:ascii="Arial"/>
          <w:i/>
          <w:sz w:val="20"/>
        </w:rPr>
        <w:t>A v A (Child Abduction) [1993] 2 F.L.R. 225</w:t>
      </w:r>
      <w:r>
        <w:rPr>
          <w:sz w:val="20"/>
        </w:rPr>
        <w:t>; </w:t>
      </w:r>
      <w:r>
        <w:rPr>
          <w:rFonts w:ascii="Arial"/>
          <w:i/>
          <w:sz w:val="20"/>
        </w:rPr>
        <w:t>D. v D. (Custody: Jurisdiction) [1996] 1 F.L.R. 574</w:t>
      </w:r>
      <w:r>
        <w:rPr>
          <w:sz w:val="20"/>
        </w:rPr>
        <w:t>; </w:t>
      </w:r>
      <w:r>
        <w:rPr>
          <w:rFonts w:ascii="Arial"/>
          <w:i/>
          <w:sz w:val="20"/>
        </w:rPr>
        <w:t>Re S. (A Minor) (Custody: Habitual Residence) [1998] </w:t>
      </w:r>
      <w:r>
        <w:rPr>
          <w:rFonts w:ascii="Arial"/>
          <w:i/>
          <w:sz w:val="20"/>
        </w:rPr>
        <w:t>A.C. 750</w:t>
      </w:r>
      <w:r>
        <w:rPr>
          <w:sz w:val="20"/>
        </w:rPr>
        <w:t>; </w:t>
      </w:r>
      <w:r>
        <w:rPr>
          <w:rFonts w:ascii="Arial"/>
          <w:i/>
          <w:sz w:val="20"/>
        </w:rPr>
        <w:t>Nessa v Chief Adjudication Officer [1999] 1 W.L.R. 1937</w:t>
      </w:r>
      <w:r>
        <w:rPr>
          <w:sz w:val="20"/>
        </w:rPr>
        <w:t>.</w:t>
      </w:r>
    </w:p>
    <w:p>
      <w:pPr>
        <w:pStyle w:val="BodyText"/>
        <w:spacing w:before="8"/>
      </w:pPr>
    </w:p>
    <w:p>
      <w:pPr>
        <w:spacing w:line="235" w:lineRule="auto" w:before="1"/>
        <w:ind w:left="705" w:right="167" w:hanging="541"/>
        <w:jc w:val="both"/>
        <w:rPr>
          <w:rFonts w:ascii="Arial"/>
          <w:i/>
          <w:sz w:val="20"/>
        </w:rPr>
      </w:pPr>
      <w:bookmarkStart w:name="_bookmark816" w:id="818"/>
      <w:bookmarkEnd w:id="818"/>
      <w:r>
        <w:rPr/>
      </w:r>
      <w:hyperlink w:history="true" w:anchor="_bookmark691">
        <w:r>
          <w:rPr>
            <w:color w:val="005DA1"/>
            <w:position w:val="5"/>
            <w:sz w:val="14"/>
            <w:u w:val="single" w:color="005DA1"/>
          </w:rPr>
          <w:t>401</w:t>
        </w:r>
      </w:hyperlink>
      <w:r>
        <w:rPr>
          <w:position w:val="5"/>
          <w:sz w:val="14"/>
        </w:rPr>
        <w:t>.</w:t>
      </w:r>
      <w:r>
        <w:rPr>
          <w:spacing w:val="80"/>
          <w:position w:val="5"/>
          <w:sz w:val="14"/>
        </w:rPr>
        <w:t> </w:t>
      </w:r>
      <w:r>
        <w:rPr>
          <w:sz w:val="20"/>
        </w:rPr>
        <w:t>See </w:t>
      </w:r>
      <w:r>
        <w:rPr>
          <w:rFonts w:ascii="Arial"/>
          <w:i/>
          <w:sz w:val="20"/>
        </w:rPr>
        <w:t>Ikimi v Ikimi [2001] EWCA Civ 873, [2002] Fam. 72 </w:t>
      </w:r>
      <w:r>
        <w:rPr>
          <w:sz w:val="20"/>
        </w:rPr>
        <w:t>(where spouses had consistently maintained two matrimonial homes in different jurisdictions, they could be habitually resident in both jurisdictions at the same time for the purposes of jurisdiction to grant a divorce under Domicile</w:t>
      </w:r>
      <w:r>
        <w:rPr>
          <w:spacing w:val="-3"/>
          <w:sz w:val="20"/>
        </w:rPr>
        <w:t> </w:t>
      </w:r>
      <w:r>
        <w:rPr>
          <w:sz w:val="20"/>
        </w:rPr>
        <w:t>and</w:t>
      </w:r>
      <w:r>
        <w:rPr>
          <w:spacing w:val="-3"/>
          <w:sz w:val="20"/>
        </w:rPr>
        <w:t> </w:t>
      </w:r>
      <w:r>
        <w:rPr>
          <w:sz w:val="20"/>
        </w:rPr>
        <w:t>Matrimonial</w:t>
      </w:r>
      <w:r>
        <w:rPr>
          <w:spacing w:val="-3"/>
          <w:sz w:val="20"/>
        </w:rPr>
        <w:t> </w:t>
      </w:r>
      <w:r>
        <w:rPr>
          <w:sz w:val="20"/>
        </w:rPr>
        <w:t>Proceedings</w:t>
      </w:r>
      <w:r>
        <w:rPr>
          <w:spacing w:val="-3"/>
          <w:sz w:val="20"/>
        </w:rPr>
        <w:t> </w:t>
      </w:r>
      <w:r>
        <w:rPr>
          <w:sz w:val="20"/>
        </w:rPr>
        <w:t>Act</w:t>
      </w:r>
      <w:r>
        <w:rPr>
          <w:spacing w:val="-3"/>
          <w:sz w:val="20"/>
        </w:rPr>
        <w:t> </w:t>
      </w:r>
      <w:r>
        <w:rPr>
          <w:sz w:val="20"/>
        </w:rPr>
        <w:t>1973</w:t>
      </w:r>
      <w:r>
        <w:rPr>
          <w:spacing w:val="-3"/>
          <w:sz w:val="20"/>
        </w:rPr>
        <w:t> </w:t>
      </w:r>
      <w:r>
        <w:rPr>
          <w:sz w:val="20"/>
        </w:rPr>
        <w:t>s.5(2));</w:t>
      </w:r>
      <w:r>
        <w:rPr>
          <w:spacing w:val="-4"/>
          <w:sz w:val="20"/>
        </w:rPr>
        <w:t> </w:t>
      </w:r>
      <w:r>
        <w:rPr>
          <w:rFonts w:ascii="Arial"/>
          <w:i/>
          <w:sz w:val="20"/>
        </w:rPr>
        <w:t>Mark</w:t>
      </w:r>
      <w:r>
        <w:rPr>
          <w:rFonts w:ascii="Arial"/>
          <w:i/>
          <w:spacing w:val="-3"/>
          <w:sz w:val="20"/>
        </w:rPr>
        <w:t> </w:t>
      </w:r>
      <w:r>
        <w:rPr>
          <w:rFonts w:ascii="Arial"/>
          <w:i/>
          <w:sz w:val="20"/>
        </w:rPr>
        <w:t>v</w:t>
      </w:r>
      <w:r>
        <w:rPr>
          <w:rFonts w:ascii="Arial"/>
          <w:i/>
          <w:spacing w:val="-3"/>
          <w:sz w:val="20"/>
        </w:rPr>
        <w:t> </w:t>
      </w:r>
      <w:r>
        <w:rPr>
          <w:rFonts w:ascii="Arial"/>
          <w:i/>
          <w:sz w:val="20"/>
        </w:rPr>
        <w:t>Mark</w:t>
      </w:r>
      <w:r>
        <w:rPr>
          <w:rFonts w:ascii="Arial"/>
          <w:i/>
          <w:spacing w:val="-3"/>
          <w:sz w:val="20"/>
        </w:rPr>
        <w:t> </w:t>
      </w:r>
      <w:r>
        <w:rPr>
          <w:rFonts w:ascii="Arial"/>
          <w:i/>
          <w:sz w:val="20"/>
        </w:rPr>
        <w:t>[2005]</w:t>
      </w:r>
      <w:r>
        <w:rPr>
          <w:rFonts w:ascii="Arial"/>
          <w:i/>
          <w:spacing w:val="-3"/>
          <w:sz w:val="20"/>
        </w:rPr>
        <w:t> </w:t>
      </w:r>
      <w:r>
        <w:rPr>
          <w:rFonts w:ascii="Arial"/>
          <w:i/>
          <w:sz w:val="20"/>
        </w:rPr>
        <w:t>UKHL</w:t>
      </w:r>
      <w:r>
        <w:rPr>
          <w:rFonts w:ascii="Arial"/>
          <w:i/>
          <w:spacing w:val="-3"/>
          <w:sz w:val="20"/>
        </w:rPr>
        <w:t> </w:t>
      </w:r>
      <w:r>
        <w:rPr>
          <w:rFonts w:ascii="Arial"/>
          <w:i/>
          <w:sz w:val="20"/>
        </w:rPr>
        <w:t>42</w:t>
      </w:r>
      <w:r>
        <w:rPr>
          <w:sz w:val="20"/>
        </w:rPr>
        <w:t>.</w:t>
      </w:r>
      <w:r>
        <w:rPr>
          <w:spacing w:val="-3"/>
          <w:sz w:val="20"/>
        </w:rPr>
        <w:t> </w:t>
      </w:r>
      <w:r>
        <w:rPr>
          <w:sz w:val="20"/>
        </w:rPr>
        <w:t>See</w:t>
      </w:r>
      <w:r>
        <w:rPr>
          <w:spacing w:val="-3"/>
          <w:sz w:val="20"/>
        </w:rPr>
        <w:t> </w:t>
      </w:r>
      <w:r>
        <w:rPr>
          <w:sz w:val="20"/>
        </w:rPr>
        <w:t>also </w:t>
      </w:r>
      <w:r>
        <w:rPr>
          <w:rFonts w:ascii="Arial"/>
          <w:i/>
          <w:sz w:val="20"/>
        </w:rPr>
        <w:t>Leyvand v Barasch, The Times, March 23, 2000 </w:t>
      </w:r>
      <w:r>
        <w:rPr>
          <w:sz w:val="20"/>
        </w:rPr>
        <w:t>(possibility of ordinary residence in two countries,</w:t>
      </w:r>
      <w:r>
        <w:rPr>
          <w:spacing w:val="45"/>
          <w:sz w:val="20"/>
        </w:rPr>
        <w:t> </w:t>
      </w:r>
      <w:r>
        <w:rPr>
          <w:sz w:val="20"/>
        </w:rPr>
        <w:t>in</w:t>
      </w:r>
      <w:r>
        <w:rPr>
          <w:spacing w:val="47"/>
          <w:sz w:val="20"/>
        </w:rPr>
        <w:t> </w:t>
      </w:r>
      <w:r>
        <w:rPr>
          <w:sz w:val="20"/>
        </w:rPr>
        <w:t>the</w:t>
      </w:r>
      <w:r>
        <w:rPr>
          <w:spacing w:val="47"/>
          <w:sz w:val="20"/>
        </w:rPr>
        <w:t> </w:t>
      </w:r>
      <w:r>
        <w:rPr>
          <w:sz w:val="20"/>
        </w:rPr>
        <w:t>context</w:t>
      </w:r>
      <w:r>
        <w:rPr>
          <w:spacing w:val="47"/>
          <w:sz w:val="20"/>
        </w:rPr>
        <w:t> </w:t>
      </w:r>
      <w:r>
        <w:rPr>
          <w:sz w:val="20"/>
        </w:rPr>
        <w:t>of</w:t>
      </w:r>
      <w:r>
        <w:rPr>
          <w:spacing w:val="47"/>
          <w:sz w:val="20"/>
        </w:rPr>
        <w:t> </w:t>
      </w:r>
      <w:r>
        <w:rPr>
          <w:sz w:val="20"/>
        </w:rPr>
        <w:t>security</w:t>
      </w:r>
      <w:r>
        <w:rPr>
          <w:spacing w:val="47"/>
          <w:sz w:val="20"/>
        </w:rPr>
        <w:t> </w:t>
      </w:r>
      <w:r>
        <w:rPr>
          <w:sz w:val="20"/>
        </w:rPr>
        <w:t>for</w:t>
      </w:r>
      <w:r>
        <w:rPr>
          <w:spacing w:val="47"/>
          <w:sz w:val="20"/>
        </w:rPr>
        <w:t> </w:t>
      </w:r>
      <w:r>
        <w:rPr>
          <w:sz w:val="20"/>
        </w:rPr>
        <w:t>costs).</w:t>
      </w:r>
      <w:r>
        <w:rPr>
          <w:spacing w:val="47"/>
          <w:sz w:val="20"/>
        </w:rPr>
        <w:t> </w:t>
      </w:r>
      <w:r>
        <w:rPr>
          <w:sz w:val="20"/>
        </w:rPr>
        <w:t>cf.</w:t>
      </w:r>
      <w:r>
        <w:rPr>
          <w:spacing w:val="47"/>
          <w:sz w:val="20"/>
        </w:rPr>
        <w:t> </w:t>
      </w:r>
      <w:r>
        <w:rPr>
          <w:rFonts w:ascii="Arial"/>
          <w:i/>
          <w:sz w:val="20"/>
        </w:rPr>
        <w:t>Cameron</w:t>
      </w:r>
      <w:r>
        <w:rPr>
          <w:rFonts w:ascii="Arial"/>
          <w:i/>
          <w:spacing w:val="47"/>
          <w:sz w:val="20"/>
        </w:rPr>
        <w:t> </w:t>
      </w:r>
      <w:r>
        <w:rPr>
          <w:rFonts w:ascii="Arial"/>
          <w:i/>
          <w:sz w:val="20"/>
        </w:rPr>
        <w:t>v</w:t>
      </w:r>
      <w:r>
        <w:rPr>
          <w:rFonts w:ascii="Arial"/>
          <w:i/>
          <w:spacing w:val="47"/>
          <w:sz w:val="20"/>
        </w:rPr>
        <w:t> </w:t>
      </w:r>
      <w:r>
        <w:rPr>
          <w:rFonts w:ascii="Arial"/>
          <w:i/>
          <w:sz w:val="20"/>
        </w:rPr>
        <w:t>Cameron</w:t>
      </w:r>
      <w:r>
        <w:rPr>
          <w:rFonts w:ascii="Arial"/>
          <w:i/>
          <w:spacing w:val="47"/>
          <w:sz w:val="20"/>
        </w:rPr>
        <w:t> </w:t>
      </w:r>
      <w:r>
        <w:rPr>
          <w:rFonts w:ascii="Arial"/>
          <w:i/>
          <w:sz w:val="20"/>
        </w:rPr>
        <w:t>(1996)</w:t>
      </w:r>
      <w:r>
        <w:rPr>
          <w:rFonts w:ascii="Arial"/>
          <w:i/>
          <w:spacing w:val="47"/>
          <w:sz w:val="20"/>
        </w:rPr>
        <w:t> </w:t>
      </w:r>
      <w:r>
        <w:rPr>
          <w:rFonts w:ascii="Arial"/>
          <w:i/>
          <w:sz w:val="20"/>
        </w:rPr>
        <w:t>S.L.T.</w:t>
      </w:r>
      <w:r>
        <w:rPr>
          <w:rFonts w:ascii="Arial"/>
          <w:i/>
          <w:spacing w:val="47"/>
          <w:sz w:val="20"/>
        </w:rPr>
        <w:t> </w:t>
      </w:r>
      <w:r>
        <w:rPr>
          <w:rFonts w:ascii="Arial"/>
          <w:i/>
          <w:spacing w:val="-5"/>
          <w:sz w:val="20"/>
        </w:rPr>
        <w:t>306</w:t>
      </w:r>
    </w:p>
    <w:p>
      <w:pPr>
        <w:spacing w:after="0" w:line="235" w:lineRule="auto"/>
        <w:jc w:val="both"/>
        <w:rPr>
          <w:rFonts w:ascii="Arial"/>
          <w:i/>
          <w:sz w:val="20"/>
        </w:rPr>
        <w:sectPr>
          <w:pgSz w:w="11900" w:h="16840"/>
          <w:pgMar w:header="971" w:footer="0" w:top="1300" w:bottom="280" w:left="1275" w:right="1275"/>
        </w:sectPr>
      </w:pPr>
    </w:p>
    <w:p>
      <w:pPr>
        <w:pStyle w:val="BodyText"/>
        <w:spacing w:line="235" w:lineRule="auto" w:before="110"/>
        <w:ind w:left="705" w:right="167"/>
        <w:jc w:val="both"/>
      </w:pPr>
      <w:r>
        <w:rPr/>
        <w:t>(person can only have one habitual residence, a view which is probably confined to the context of the Hague Convention on the Civil Aspects of Child Abduction 1980, implemented in Child Abduction and Custody Act 1985 Pt I: see Dicey, Morris and Collins, para.6-129).</w:t>
      </w:r>
    </w:p>
    <w:p>
      <w:pPr>
        <w:pStyle w:val="BodyText"/>
        <w:spacing w:before="5"/>
      </w:pPr>
    </w:p>
    <w:p>
      <w:pPr>
        <w:pStyle w:val="BodyText"/>
        <w:tabs>
          <w:tab w:pos="705" w:val="left" w:leader="none"/>
        </w:tabs>
        <w:ind w:left="165"/>
      </w:pPr>
      <w:bookmarkStart w:name="_bookmark817" w:id="819"/>
      <w:bookmarkEnd w:id="819"/>
      <w:r>
        <w:rPr/>
      </w:r>
      <w:hyperlink w:history="true" w:anchor="_bookmark692">
        <w:r>
          <w:rPr>
            <w:color w:val="005DA1"/>
            <w:spacing w:val="-4"/>
            <w:position w:val="5"/>
            <w:sz w:val="14"/>
            <w:u w:val="single" w:color="005DA1"/>
          </w:rPr>
          <w:t>402</w:t>
        </w:r>
      </w:hyperlink>
      <w:r>
        <w:rPr>
          <w:spacing w:val="-4"/>
          <w:position w:val="5"/>
          <w:sz w:val="14"/>
        </w:rPr>
        <w:t>.</w:t>
      </w:r>
      <w:r>
        <w:rPr>
          <w:position w:val="5"/>
          <w:sz w:val="14"/>
        </w:rPr>
        <w:tab/>
      </w:r>
      <w:r>
        <w:rPr/>
        <w:t>cf. art.10(a) of the United Nations Convention on the International Sale of Goods </w:t>
      </w:r>
      <w:r>
        <w:rPr>
          <w:spacing w:val="-2"/>
        </w:rPr>
        <w:t>1980.</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18" w:id="820"/>
      <w:bookmarkEnd w:id="820"/>
      <w:r>
        <w:rPr/>
      </w:r>
      <w:hyperlink w:history="true" w:anchor="_bookmark693">
        <w:r>
          <w:rPr>
            <w:color w:val="005DA1"/>
            <w:spacing w:val="-4"/>
            <w:position w:val="5"/>
            <w:sz w:val="14"/>
            <w:u w:val="single" w:color="005DA1"/>
          </w:rPr>
          <w:t>403</w:t>
        </w:r>
      </w:hyperlink>
      <w:r>
        <w:rPr>
          <w:spacing w:val="-4"/>
          <w:position w:val="5"/>
          <w:sz w:val="14"/>
        </w:rPr>
        <w:t>.</w:t>
      </w:r>
      <w:r>
        <w:rPr>
          <w:position w:val="5"/>
          <w:sz w:val="14"/>
        </w:rPr>
        <w:tab/>
      </w:r>
      <w:r>
        <w:rPr>
          <w:rFonts w:ascii="Arial"/>
          <w:i/>
          <w:sz w:val="20"/>
        </w:rPr>
        <w:t>Hack</w:t>
      </w:r>
      <w:r>
        <w:rPr>
          <w:rFonts w:ascii="Arial"/>
          <w:i/>
          <w:spacing w:val="-1"/>
          <w:sz w:val="20"/>
        </w:rPr>
        <w:t> </w:t>
      </w:r>
      <w:r>
        <w:rPr>
          <w:rFonts w:ascii="Arial"/>
          <w:i/>
          <w:sz w:val="20"/>
        </w:rPr>
        <w:t>v Hack (1976) 6 Fam. Law 177</w:t>
      </w:r>
      <w:r>
        <w:rPr>
          <w:sz w:val="20"/>
        </w:rPr>
        <w:t>; </w:t>
      </w:r>
      <w:r>
        <w:rPr>
          <w:rFonts w:ascii="Arial"/>
          <w:i/>
          <w:sz w:val="20"/>
        </w:rPr>
        <w:t>Mark v Mark</w:t>
      </w:r>
      <w:r>
        <w:rPr>
          <w:rFonts w:ascii="Arial"/>
          <w:i/>
          <w:spacing w:val="-1"/>
          <w:sz w:val="20"/>
        </w:rPr>
        <w:t> </w:t>
      </w:r>
      <w:r>
        <w:rPr>
          <w:rFonts w:ascii="Arial"/>
          <w:i/>
          <w:sz w:val="20"/>
        </w:rPr>
        <w:t>[2005] UKHL 42, [2006] 1 A.C. 98</w:t>
      </w:r>
      <w:r>
        <w:rPr>
          <w:sz w:val="20"/>
        </w:rPr>
        <w:t>; but cf. </w:t>
      </w:r>
      <w:r>
        <w:rPr>
          <w:rFonts w:ascii="Arial"/>
          <w:i/>
          <w:spacing w:val="-5"/>
          <w:sz w:val="20"/>
        </w:rPr>
        <w:t>Re</w:t>
      </w:r>
    </w:p>
    <w:p>
      <w:pPr>
        <w:spacing w:line="227" w:lineRule="exact" w:before="0"/>
        <w:ind w:left="705" w:right="0" w:firstLine="0"/>
        <w:jc w:val="left"/>
        <w:rPr>
          <w:sz w:val="20"/>
        </w:rPr>
      </w:pPr>
      <w:r>
        <w:rPr>
          <w:rFonts w:ascii="Arial"/>
          <w:i/>
          <w:sz w:val="20"/>
        </w:rPr>
        <w:t>J. (A Minor)(Abduction) [1990] 2 A.C. </w:t>
      </w:r>
      <w:r>
        <w:rPr>
          <w:rFonts w:ascii="Arial"/>
          <w:i/>
          <w:spacing w:val="-4"/>
          <w:sz w:val="20"/>
        </w:rPr>
        <w:t>562</w:t>
      </w:r>
      <w:r>
        <w:rPr>
          <w:spacing w:val="-4"/>
          <w:sz w:val="20"/>
        </w:rPr>
        <w:t>.</w:t>
      </w:r>
    </w:p>
    <w:p>
      <w:pPr>
        <w:pStyle w:val="BodyText"/>
        <w:spacing w:before="5"/>
      </w:pPr>
    </w:p>
    <w:p>
      <w:pPr>
        <w:pStyle w:val="BodyText"/>
        <w:tabs>
          <w:tab w:pos="705" w:val="left" w:leader="none"/>
        </w:tabs>
        <w:ind w:left="165"/>
      </w:pPr>
      <w:bookmarkStart w:name="_bookmark819" w:id="821"/>
      <w:bookmarkEnd w:id="821"/>
      <w:r>
        <w:rPr/>
      </w:r>
      <w:hyperlink w:history="true" w:anchor="_bookmark694">
        <w:r>
          <w:rPr>
            <w:color w:val="005DA1"/>
            <w:spacing w:val="-4"/>
            <w:position w:val="5"/>
            <w:sz w:val="14"/>
            <w:u w:val="single" w:color="005DA1"/>
          </w:rPr>
          <w:t>404</w:t>
        </w:r>
      </w:hyperlink>
      <w:r>
        <w:rPr>
          <w:spacing w:val="-4"/>
          <w:position w:val="5"/>
          <w:sz w:val="14"/>
        </w:rPr>
        <w:t>.</w:t>
      </w:r>
      <w:r>
        <w:rPr>
          <w:position w:val="5"/>
          <w:sz w:val="14"/>
        </w:rPr>
        <w:tab/>
      </w:r>
      <w:r>
        <w:rPr/>
        <w:t>See below, paras 30-163 et </w:t>
      </w:r>
      <w:r>
        <w:rPr>
          <w:spacing w:val="-4"/>
        </w:rPr>
        <w:t>seq.</w:t>
      </w:r>
    </w:p>
    <w:p>
      <w:pPr>
        <w:pStyle w:val="BodyText"/>
        <w:spacing w:before="9"/>
      </w:pPr>
    </w:p>
    <w:p>
      <w:pPr>
        <w:pStyle w:val="BodyText"/>
        <w:spacing w:line="235" w:lineRule="auto"/>
        <w:ind w:left="705" w:right="167" w:hanging="541"/>
        <w:jc w:val="both"/>
      </w:pPr>
      <w:bookmarkStart w:name="_bookmark820" w:id="822"/>
      <w:bookmarkEnd w:id="822"/>
      <w:r>
        <w:rPr/>
      </w:r>
      <w:hyperlink w:history="true" w:anchor="_bookmark695">
        <w:r>
          <w:rPr>
            <w:color w:val="005DA1"/>
            <w:position w:val="5"/>
            <w:sz w:val="14"/>
            <w:u w:val="single" w:color="005DA1"/>
          </w:rPr>
          <w:t>405</w:t>
        </w:r>
      </w:hyperlink>
      <w:r>
        <w:rPr>
          <w:position w:val="5"/>
          <w:sz w:val="14"/>
        </w:rPr>
        <w:t>.</w:t>
      </w:r>
      <w:r>
        <w:rPr>
          <w:spacing w:val="80"/>
          <w:position w:val="5"/>
          <w:sz w:val="14"/>
        </w:rPr>
        <w:t>  </w:t>
      </w:r>
      <w:r>
        <w:rPr/>
        <w:t>cf. Cheshire, North and Fawcett, p.716. The concept of “central administration” is adopted as one of the definitions of “domicile” in Council Regulation 44/2001 on jurisdiction and the recognition of judgments in civil and commercial matters art.60(1)(b), but the Regulation does not elaborate on its meaning. See also art.19(1) of the Rome I Regulation, below, para.30-164.</w:t>
      </w:r>
    </w:p>
    <w:p>
      <w:pPr>
        <w:pStyle w:val="BodyText"/>
        <w:spacing w:before="5"/>
      </w:pPr>
    </w:p>
    <w:p>
      <w:pPr>
        <w:tabs>
          <w:tab w:pos="705" w:val="left" w:leader="none"/>
        </w:tabs>
        <w:spacing w:before="0"/>
        <w:ind w:left="165" w:right="0" w:firstLine="0"/>
        <w:jc w:val="left"/>
        <w:rPr>
          <w:sz w:val="20"/>
        </w:rPr>
      </w:pPr>
      <w:bookmarkStart w:name="_bookmark821" w:id="823"/>
      <w:bookmarkEnd w:id="823"/>
      <w:r>
        <w:rPr/>
      </w:r>
      <w:hyperlink w:history="true" w:anchor="_bookmark696">
        <w:r>
          <w:rPr>
            <w:color w:val="005DA1"/>
            <w:spacing w:val="-4"/>
            <w:position w:val="5"/>
            <w:sz w:val="14"/>
            <w:u w:val="single" w:color="005DA1"/>
          </w:rPr>
          <w:t>406</w:t>
        </w:r>
      </w:hyperlink>
      <w:r>
        <w:rPr>
          <w:spacing w:val="-4"/>
          <w:position w:val="5"/>
          <w:sz w:val="14"/>
        </w:rPr>
        <w:t>.</w:t>
      </w:r>
      <w:r>
        <w:rPr>
          <w:position w:val="5"/>
          <w:sz w:val="14"/>
        </w:rPr>
        <w:tab/>
      </w:r>
      <w:r>
        <w:rPr>
          <w:spacing w:val="-2"/>
          <w:sz w:val="20"/>
        </w:rPr>
        <w:t>s.42.</w:t>
      </w:r>
    </w:p>
    <w:p>
      <w:pPr>
        <w:pStyle w:val="BodyText"/>
        <w:spacing w:before="9"/>
      </w:pPr>
    </w:p>
    <w:p>
      <w:pPr>
        <w:spacing w:line="235" w:lineRule="auto" w:before="0"/>
        <w:ind w:left="705" w:right="167" w:hanging="541"/>
        <w:jc w:val="both"/>
        <w:rPr>
          <w:sz w:val="20"/>
        </w:rPr>
      </w:pPr>
      <w:bookmarkStart w:name="_bookmark822" w:id="824"/>
      <w:bookmarkEnd w:id="824"/>
      <w:r>
        <w:rPr/>
      </w:r>
      <w:hyperlink w:history="true" w:anchor="_bookmark697">
        <w:r>
          <w:rPr>
            <w:color w:val="005DA1"/>
            <w:position w:val="5"/>
            <w:sz w:val="14"/>
            <w:u w:val="single" w:color="005DA1"/>
          </w:rPr>
          <w:t>407</w:t>
        </w:r>
      </w:hyperlink>
      <w:r>
        <w:rPr>
          <w:position w:val="5"/>
          <w:sz w:val="14"/>
        </w:rPr>
        <w:t>.</w:t>
      </w:r>
      <w:r>
        <w:rPr>
          <w:spacing w:val="40"/>
          <w:position w:val="5"/>
          <w:sz w:val="14"/>
        </w:rPr>
        <w:t>  </w:t>
      </w:r>
      <w:r>
        <w:rPr>
          <w:sz w:val="20"/>
        </w:rPr>
        <w:t>cf. </w:t>
      </w:r>
      <w:r>
        <w:rPr>
          <w:rFonts w:ascii="Arial" w:hAnsi="Arial"/>
          <w:i/>
          <w:sz w:val="20"/>
        </w:rPr>
        <w:t>The Rewia [1991] 2 Lloyd’s Rep. 325</w:t>
      </w:r>
      <w:r>
        <w:rPr>
          <w:sz w:val="20"/>
        </w:rPr>
        <w:t>; </w:t>
      </w:r>
      <w:r>
        <w:rPr>
          <w:rFonts w:ascii="Arial" w:hAnsi="Arial"/>
          <w:i/>
          <w:sz w:val="20"/>
        </w:rPr>
        <w:t>Alberta Inc v Katanga Mining Ltd [2008] EWHC </w:t>
      </w:r>
      <w:r>
        <w:rPr>
          <w:rFonts w:ascii="Arial" w:hAnsi="Arial"/>
          <w:i/>
          <w:sz w:val="20"/>
        </w:rPr>
        <w:t>2679 (Comm), [2009] I.L.Pr. 175</w:t>
      </w:r>
      <w:r>
        <w:rPr>
          <w:sz w:val="20"/>
        </w:rPr>
        <w:t>. See also </w:t>
      </w:r>
      <w:r>
        <w:rPr>
          <w:rFonts w:ascii="Arial" w:hAnsi="Arial"/>
          <w:i/>
          <w:sz w:val="20"/>
        </w:rPr>
        <w:t>The Deichland [1990] Q.B. 361</w:t>
      </w:r>
      <w:r>
        <w:rPr>
          <w:sz w:val="20"/>
        </w:rPr>
        <w:t>; </w:t>
      </w:r>
      <w:r>
        <w:rPr>
          <w:rFonts w:ascii="Arial" w:hAnsi="Arial"/>
          <w:i/>
          <w:sz w:val="20"/>
        </w:rPr>
        <w:t>Re Little Olympian Each Ways Ltd [1995] 1 W.L.R. 560</w:t>
      </w:r>
      <w:r>
        <w:rPr>
          <w:sz w:val="20"/>
        </w:rPr>
        <w:t>; Dicey, Morris and Collins, paras 30-005—30-006. The “central administration” of a company for the purposes of art.60(1)(b), which was part of a group of companies, was the place where, through its relevant organs according to its own constitutional provisions, it took the essential decisions of its entrepreneurial management, not the place of business of the parent company of the group: </w:t>
      </w:r>
      <w:r>
        <w:rPr>
          <w:rFonts w:ascii="Arial" w:hAnsi="Arial"/>
          <w:i/>
          <w:sz w:val="20"/>
        </w:rPr>
        <w:t>Young v Anglo Amercian South Africa Ltd [2014] EWCA Civ 1130, [2014] 2 Lloyd’s Rep. 606</w:t>
      </w:r>
      <w:r>
        <w:rPr>
          <w:sz w:val="20"/>
        </w:rPr>
        <w:t>.</w:t>
      </w:r>
    </w:p>
    <w:p>
      <w:pPr>
        <w:pStyle w:val="BodyText"/>
        <w:spacing w:before="7"/>
      </w:pPr>
    </w:p>
    <w:p>
      <w:pPr>
        <w:tabs>
          <w:tab w:pos="705" w:val="left" w:leader="none"/>
        </w:tabs>
        <w:spacing w:line="235" w:lineRule="auto" w:before="0"/>
        <w:ind w:left="705" w:right="168" w:hanging="541"/>
        <w:jc w:val="left"/>
        <w:rPr>
          <w:sz w:val="20"/>
        </w:rPr>
      </w:pPr>
      <w:bookmarkStart w:name="_bookmark823" w:id="825"/>
      <w:bookmarkEnd w:id="825"/>
      <w:r>
        <w:rPr/>
      </w:r>
      <w:hyperlink w:history="true" w:anchor="_bookmark698">
        <w:r>
          <w:rPr>
            <w:color w:val="005DA1"/>
            <w:spacing w:val="-4"/>
            <w:position w:val="5"/>
            <w:sz w:val="14"/>
            <w:u w:val="single" w:color="005DA1"/>
          </w:rPr>
          <w:t>408</w:t>
        </w:r>
      </w:hyperlink>
      <w:r>
        <w:rPr>
          <w:spacing w:val="-4"/>
          <w:position w:val="5"/>
          <w:sz w:val="14"/>
        </w:rPr>
        <w:t>.</w:t>
      </w:r>
      <w:r>
        <w:rPr>
          <w:position w:val="5"/>
          <w:sz w:val="14"/>
        </w:rPr>
        <w:tab/>
      </w:r>
      <w:r>
        <w:rPr>
          <w:sz w:val="20"/>
        </w:rPr>
        <w:t>Dicey, Morris and Collins, paras 11-115—11-125. See </w:t>
      </w:r>
      <w:r>
        <w:rPr>
          <w:rFonts w:ascii="Arial" w:hAnsi="Arial"/>
          <w:i/>
          <w:sz w:val="20"/>
        </w:rPr>
        <w:t>Adams v Cape Industries Plc [1990] </w:t>
      </w:r>
      <w:r>
        <w:rPr>
          <w:rFonts w:ascii="Arial" w:hAnsi="Arial"/>
          <w:i/>
          <w:sz w:val="20"/>
        </w:rPr>
        <w:t>Ch. 433, 523–531</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24" w:id="826"/>
      <w:bookmarkEnd w:id="826"/>
      <w:r>
        <w:rPr/>
      </w:r>
      <w:hyperlink w:history="true" w:anchor="_bookmark699">
        <w:r>
          <w:rPr>
            <w:color w:val="005DA1"/>
            <w:spacing w:val="-4"/>
            <w:position w:val="5"/>
            <w:sz w:val="14"/>
            <w:u w:val="single" w:color="005DA1"/>
          </w:rPr>
          <w:t>409</w:t>
        </w:r>
      </w:hyperlink>
      <w:r>
        <w:rPr>
          <w:spacing w:val="-4"/>
          <w:position w:val="5"/>
          <w:sz w:val="14"/>
        </w:rPr>
        <w:t>.</w:t>
      </w:r>
      <w:r>
        <w:rPr>
          <w:position w:val="5"/>
          <w:sz w:val="14"/>
        </w:rPr>
        <w:tab/>
      </w:r>
      <w:r>
        <w:rPr>
          <w:rFonts w:ascii="Arial"/>
          <w:i/>
          <w:sz w:val="20"/>
        </w:rPr>
        <w:t>Saccharin</w:t>
      </w:r>
      <w:r>
        <w:rPr>
          <w:rFonts w:ascii="Arial"/>
          <w:i/>
          <w:spacing w:val="44"/>
          <w:sz w:val="20"/>
        </w:rPr>
        <w:t> </w:t>
      </w:r>
      <w:r>
        <w:rPr>
          <w:rFonts w:ascii="Arial"/>
          <w:i/>
          <w:sz w:val="20"/>
        </w:rPr>
        <w:t>Corp</w:t>
      </w:r>
      <w:r>
        <w:rPr>
          <w:rFonts w:ascii="Arial"/>
          <w:i/>
          <w:spacing w:val="45"/>
          <w:sz w:val="20"/>
        </w:rPr>
        <w:t> </w:t>
      </w:r>
      <w:r>
        <w:rPr>
          <w:rFonts w:ascii="Arial"/>
          <w:i/>
          <w:sz w:val="20"/>
        </w:rPr>
        <w:t>Ltd</w:t>
      </w:r>
      <w:r>
        <w:rPr>
          <w:rFonts w:ascii="Arial"/>
          <w:i/>
          <w:spacing w:val="45"/>
          <w:sz w:val="20"/>
        </w:rPr>
        <w:t> </w:t>
      </w:r>
      <w:r>
        <w:rPr>
          <w:rFonts w:ascii="Arial"/>
          <w:i/>
          <w:sz w:val="20"/>
        </w:rPr>
        <w:t>v</w:t>
      </w:r>
      <w:r>
        <w:rPr>
          <w:rFonts w:ascii="Arial"/>
          <w:i/>
          <w:spacing w:val="45"/>
          <w:sz w:val="20"/>
        </w:rPr>
        <w:t> </w:t>
      </w:r>
      <w:r>
        <w:rPr>
          <w:rFonts w:ascii="Arial"/>
          <w:i/>
          <w:sz w:val="20"/>
        </w:rPr>
        <w:t>Chemische</w:t>
      </w:r>
      <w:r>
        <w:rPr>
          <w:rFonts w:ascii="Arial"/>
          <w:i/>
          <w:spacing w:val="45"/>
          <w:sz w:val="20"/>
        </w:rPr>
        <w:t> </w:t>
      </w:r>
      <w:r>
        <w:rPr>
          <w:rFonts w:ascii="Arial"/>
          <w:i/>
          <w:sz w:val="20"/>
        </w:rPr>
        <w:t>Fabrik</w:t>
      </w:r>
      <w:r>
        <w:rPr>
          <w:rFonts w:ascii="Arial"/>
          <w:i/>
          <w:spacing w:val="45"/>
          <w:sz w:val="20"/>
        </w:rPr>
        <w:t> </w:t>
      </w:r>
      <w:r>
        <w:rPr>
          <w:rFonts w:ascii="Arial"/>
          <w:i/>
          <w:sz w:val="20"/>
        </w:rPr>
        <w:t>AG</w:t>
      </w:r>
      <w:r>
        <w:rPr>
          <w:rFonts w:ascii="Arial"/>
          <w:i/>
          <w:spacing w:val="45"/>
          <w:sz w:val="20"/>
        </w:rPr>
        <w:t> </w:t>
      </w:r>
      <w:r>
        <w:rPr>
          <w:rFonts w:ascii="Arial"/>
          <w:i/>
          <w:sz w:val="20"/>
        </w:rPr>
        <w:t>[1911]</w:t>
      </w:r>
      <w:r>
        <w:rPr>
          <w:rFonts w:ascii="Arial"/>
          <w:i/>
          <w:spacing w:val="45"/>
          <w:sz w:val="20"/>
        </w:rPr>
        <w:t> </w:t>
      </w:r>
      <w:r>
        <w:rPr>
          <w:rFonts w:ascii="Arial"/>
          <w:i/>
          <w:sz w:val="20"/>
        </w:rPr>
        <w:t>2</w:t>
      </w:r>
      <w:r>
        <w:rPr>
          <w:rFonts w:ascii="Arial"/>
          <w:i/>
          <w:spacing w:val="45"/>
          <w:sz w:val="20"/>
        </w:rPr>
        <w:t> </w:t>
      </w:r>
      <w:r>
        <w:rPr>
          <w:rFonts w:ascii="Arial"/>
          <w:i/>
          <w:sz w:val="20"/>
        </w:rPr>
        <w:t>K.B.</w:t>
      </w:r>
      <w:r>
        <w:rPr>
          <w:rFonts w:ascii="Arial"/>
          <w:i/>
          <w:spacing w:val="45"/>
          <w:sz w:val="20"/>
        </w:rPr>
        <w:t> </w:t>
      </w:r>
      <w:r>
        <w:rPr>
          <w:rFonts w:ascii="Arial"/>
          <w:i/>
          <w:sz w:val="20"/>
        </w:rPr>
        <w:t>516</w:t>
      </w:r>
      <w:r>
        <w:rPr>
          <w:sz w:val="20"/>
        </w:rPr>
        <w:t>;</w:t>
      </w:r>
      <w:r>
        <w:rPr>
          <w:spacing w:val="45"/>
          <w:sz w:val="20"/>
        </w:rPr>
        <w:t> </w:t>
      </w:r>
      <w:r>
        <w:rPr>
          <w:rFonts w:ascii="Arial"/>
          <w:i/>
          <w:sz w:val="20"/>
        </w:rPr>
        <w:t>The</w:t>
      </w:r>
      <w:r>
        <w:rPr>
          <w:rFonts w:ascii="Arial"/>
          <w:i/>
          <w:spacing w:val="45"/>
          <w:sz w:val="20"/>
        </w:rPr>
        <w:t> </w:t>
      </w:r>
      <w:r>
        <w:rPr>
          <w:rFonts w:ascii="Arial"/>
          <w:i/>
          <w:sz w:val="20"/>
        </w:rPr>
        <w:t>Theodothos</w:t>
      </w:r>
      <w:r>
        <w:rPr>
          <w:rFonts w:ascii="Arial"/>
          <w:i/>
          <w:spacing w:val="45"/>
          <w:sz w:val="20"/>
        </w:rPr>
        <w:t> </w:t>
      </w:r>
      <w:r>
        <w:rPr>
          <w:rFonts w:ascii="Arial"/>
          <w:i/>
          <w:sz w:val="20"/>
        </w:rPr>
        <w:t>[1977]</w:t>
      </w:r>
      <w:r>
        <w:rPr>
          <w:rFonts w:ascii="Arial"/>
          <w:i/>
          <w:spacing w:val="45"/>
          <w:sz w:val="20"/>
        </w:rPr>
        <w:t> </w:t>
      </w:r>
      <w:r>
        <w:rPr>
          <w:rFonts w:ascii="Arial"/>
          <w:i/>
          <w:spacing w:val="-10"/>
          <w:sz w:val="20"/>
        </w:rPr>
        <w:t>2</w:t>
      </w:r>
    </w:p>
    <w:p>
      <w:pPr>
        <w:spacing w:line="227" w:lineRule="exact" w:before="0"/>
        <w:ind w:left="705"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428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25" w:id="827"/>
      <w:bookmarkEnd w:id="827"/>
      <w:r>
        <w:rPr/>
      </w:r>
      <w:hyperlink w:history="true" w:anchor="_bookmark700">
        <w:r>
          <w:rPr>
            <w:color w:val="005DA1"/>
            <w:spacing w:val="-4"/>
            <w:position w:val="5"/>
            <w:sz w:val="14"/>
            <w:u w:val="single" w:color="005DA1"/>
          </w:rPr>
          <w:t>410</w:t>
        </w:r>
      </w:hyperlink>
      <w:r>
        <w:rPr>
          <w:spacing w:val="-4"/>
          <w:position w:val="5"/>
          <w:sz w:val="14"/>
        </w:rPr>
        <w:t>.</w:t>
      </w:r>
      <w:r>
        <w:rPr>
          <w:position w:val="5"/>
          <w:sz w:val="14"/>
        </w:rPr>
        <w:tab/>
      </w:r>
      <w:r>
        <w:rPr>
          <w:sz w:val="20"/>
        </w:rPr>
        <w:t>See</w:t>
      </w:r>
      <w:r>
        <w:rPr>
          <w:spacing w:val="-1"/>
          <w:sz w:val="20"/>
        </w:rPr>
        <w:t> </w:t>
      </w:r>
      <w:r>
        <w:rPr>
          <w:rFonts w:ascii="Arial"/>
          <w:i/>
          <w:sz w:val="20"/>
        </w:rPr>
        <w:t>South India Shipping Corp Ltd v Export-Import Bank of Korea [1985] 1 W.L.R. </w:t>
      </w:r>
      <w:r>
        <w:rPr>
          <w:rFonts w:ascii="Arial"/>
          <w:i/>
          <w:spacing w:val="-4"/>
          <w:sz w:val="20"/>
        </w:rPr>
        <w:t>585</w:t>
      </w:r>
      <w:r>
        <w:rPr>
          <w:spacing w:val="-4"/>
          <w:sz w:val="20"/>
        </w:rPr>
        <w:t>.</w:t>
      </w:r>
    </w:p>
    <w:p>
      <w:pPr>
        <w:pStyle w:val="BodyText"/>
        <w:spacing w:before="9"/>
      </w:pPr>
    </w:p>
    <w:p>
      <w:pPr>
        <w:spacing w:line="235" w:lineRule="auto" w:before="0"/>
        <w:ind w:left="705" w:right="167" w:hanging="541"/>
        <w:jc w:val="both"/>
        <w:rPr>
          <w:sz w:val="20"/>
        </w:rPr>
      </w:pPr>
      <w:bookmarkStart w:name="_bookmark826" w:id="828"/>
      <w:bookmarkEnd w:id="828"/>
      <w:r>
        <w:rPr/>
      </w:r>
      <w:hyperlink w:history="true" w:anchor="_bookmark701">
        <w:r>
          <w:rPr>
            <w:color w:val="005DA1"/>
            <w:position w:val="5"/>
            <w:sz w:val="14"/>
            <w:u w:val="single" w:color="005DA1"/>
          </w:rPr>
          <w:t>411</w:t>
        </w:r>
      </w:hyperlink>
      <w:r>
        <w:rPr>
          <w:position w:val="5"/>
          <w:sz w:val="14"/>
        </w:rPr>
        <w:t>.</w:t>
      </w:r>
      <w:r>
        <w:rPr>
          <w:spacing w:val="40"/>
          <w:position w:val="5"/>
          <w:sz w:val="14"/>
        </w:rPr>
        <w:t>  </w:t>
      </w:r>
      <w:r>
        <w:rPr>
          <w:rFonts w:ascii="Arial" w:hAnsi="Arial"/>
          <w:i/>
          <w:sz w:val="20"/>
        </w:rPr>
        <w:t>Saccharin Corp Ltd v Chemische Fabrik AG [1911] 2 K.B. 516</w:t>
      </w:r>
      <w:r>
        <w:rPr>
          <w:sz w:val="20"/>
        </w:rPr>
        <w:t>; </w:t>
      </w:r>
      <w:r>
        <w:rPr>
          <w:rFonts w:ascii="Arial" w:hAnsi="Arial"/>
          <w:i/>
          <w:sz w:val="20"/>
        </w:rPr>
        <w:t>South India Shipping Corp Ltd v Export-Import Bank of Korea [1985] 1 W.L.R. 585</w:t>
      </w:r>
      <w:r>
        <w:rPr>
          <w:sz w:val="20"/>
        </w:rPr>
        <w:t>; </w:t>
      </w:r>
      <w:r>
        <w:rPr>
          <w:rFonts w:ascii="Arial" w:hAnsi="Arial"/>
          <w:i/>
          <w:sz w:val="20"/>
        </w:rPr>
        <w:t>Okura &amp; Co Ltd v Forsbacka Jernverks A/B [1914] 1 K.B. 715</w:t>
      </w:r>
      <w:r>
        <w:rPr>
          <w:sz w:val="20"/>
        </w:rPr>
        <w:t>; </w:t>
      </w:r>
      <w:r>
        <w:rPr>
          <w:rFonts w:ascii="Arial" w:hAnsi="Arial"/>
          <w:i/>
          <w:sz w:val="20"/>
        </w:rPr>
        <w:t>Domansa v Derin Shipping and Trading Co Inc [2001] 1 Lloyd’s Rep. 362</w:t>
      </w:r>
      <w:r>
        <w:rPr>
          <w:sz w:val="20"/>
        </w:rPr>
        <w:t>. In the</w:t>
      </w:r>
      <w:r>
        <w:rPr>
          <w:spacing w:val="-1"/>
          <w:sz w:val="20"/>
        </w:rPr>
        <w:t> </w:t>
      </w:r>
      <w:r>
        <w:rPr>
          <w:sz w:val="20"/>
        </w:rPr>
        <w:t>case</w:t>
      </w:r>
      <w:r>
        <w:rPr>
          <w:spacing w:val="-1"/>
          <w:sz w:val="20"/>
        </w:rPr>
        <w:t> </w:t>
      </w:r>
      <w:r>
        <w:rPr>
          <w:sz w:val="20"/>
        </w:rPr>
        <w:t>of</w:t>
      </w:r>
      <w:r>
        <w:rPr>
          <w:spacing w:val="-1"/>
          <w:sz w:val="20"/>
        </w:rPr>
        <w:t> </w:t>
      </w:r>
      <w:r>
        <w:rPr>
          <w:sz w:val="20"/>
        </w:rPr>
        <w:t>a</w:t>
      </w:r>
      <w:r>
        <w:rPr>
          <w:spacing w:val="-1"/>
          <w:sz w:val="20"/>
        </w:rPr>
        <w:t> </w:t>
      </w:r>
      <w:r>
        <w:rPr>
          <w:sz w:val="20"/>
        </w:rPr>
        <w:t>bank</w:t>
      </w:r>
      <w:r>
        <w:rPr>
          <w:spacing w:val="-1"/>
          <w:sz w:val="20"/>
        </w:rPr>
        <w:t> </w:t>
      </w:r>
      <w:r>
        <w:rPr>
          <w:sz w:val="20"/>
        </w:rPr>
        <w:t>account,</w:t>
      </w:r>
      <w:r>
        <w:rPr>
          <w:spacing w:val="-1"/>
          <w:sz w:val="20"/>
        </w:rPr>
        <w:t> </w:t>
      </w:r>
      <w:r>
        <w:rPr>
          <w:sz w:val="20"/>
        </w:rPr>
        <w:t>performance,</w:t>
      </w:r>
      <w:r>
        <w:rPr>
          <w:spacing w:val="-1"/>
          <w:sz w:val="20"/>
        </w:rPr>
        <w:t> </w:t>
      </w:r>
      <w:r>
        <w:rPr>
          <w:sz w:val="20"/>
        </w:rPr>
        <w:t>i.e.</w:t>
      </w:r>
      <w:r>
        <w:rPr>
          <w:spacing w:val="-1"/>
          <w:sz w:val="20"/>
        </w:rPr>
        <w:t> </w:t>
      </w:r>
      <w:r>
        <w:rPr>
          <w:sz w:val="20"/>
        </w:rPr>
        <w:t>repayment</w:t>
      </w:r>
      <w:r>
        <w:rPr>
          <w:spacing w:val="-1"/>
          <w:sz w:val="20"/>
        </w:rPr>
        <w:t> </w:t>
      </w:r>
      <w:r>
        <w:rPr>
          <w:sz w:val="20"/>
        </w:rPr>
        <w:t>of</w:t>
      </w:r>
      <w:r>
        <w:rPr>
          <w:spacing w:val="-1"/>
          <w:sz w:val="20"/>
        </w:rPr>
        <w:t> </w:t>
      </w:r>
      <w:r>
        <w:rPr>
          <w:sz w:val="20"/>
        </w:rPr>
        <w:t>the</w:t>
      </w:r>
      <w:r>
        <w:rPr>
          <w:spacing w:val="-1"/>
          <w:sz w:val="20"/>
        </w:rPr>
        <w:t> </w:t>
      </w:r>
      <w:r>
        <w:rPr>
          <w:sz w:val="20"/>
        </w:rPr>
        <w:t>sum</w:t>
      </w:r>
      <w:r>
        <w:rPr>
          <w:spacing w:val="-1"/>
          <w:sz w:val="20"/>
        </w:rPr>
        <w:t> </w:t>
      </w:r>
      <w:r>
        <w:rPr>
          <w:sz w:val="20"/>
        </w:rPr>
        <w:t>deposited,</w:t>
      </w:r>
      <w:r>
        <w:rPr>
          <w:spacing w:val="-1"/>
          <w:sz w:val="20"/>
        </w:rPr>
        <w:t> </w:t>
      </w:r>
      <w:r>
        <w:rPr>
          <w:sz w:val="20"/>
        </w:rPr>
        <w:t>is</w:t>
      </w:r>
      <w:r>
        <w:rPr>
          <w:spacing w:val="-1"/>
          <w:sz w:val="20"/>
        </w:rPr>
        <w:t> </w:t>
      </w:r>
      <w:r>
        <w:rPr>
          <w:sz w:val="20"/>
        </w:rPr>
        <w:t>to</w:t>
      </w:r>
      <w:r>
        <w:rPr>
          <w:spacing w:val="-1"/>
          <w:sz w:val="20"/>
        </w:rPr>
        <w:t> </w:t>
      </w:r>
      <w:r>
        <w:rPr>
          <w:sz w:val="20"/>
        </w:rPr>
        <w:t>be</w:t>
      </w:r>
      <w:r>
        <w:rPr>
          <w:spacing w:val="-1"/>
          <w:sz w:val="20"/>
        </w:rPr>
        <w:t> </w:t>
      </w:r>
      <w:r>
        <w:rPr>
          <w:sz w:val="20"/>
        </w:rPr>
        <w:t>effected through the branch where the relevant account is kept and the country in which the branch is situated will be the relevant place of business: </w:t>
      </w:r>
      <w:r>
        <w:rPr>
          <w:rFonts w:ascii="Arial" w:hAnsi="Arial"/>
          <w:i/>
          <w:sz w:val="20"/>
        </w:rPr>
        <w:t>Sierra Leone Telecommunications Co Ltd v Barclays Bank Plc [1998] 2 All E.R. 821</w:t>
      </w:r>
      <w:r>
        <w:rPr>
          <w:sz w:val="20"/>
        </w:rPr>
        <w:t>.</w:t>
      </w:r>
    </w:p>
    <w:p>
      <w:pPr>
        <w:pStyle w:val="BodyText"/>
        <w:spacing w:before="7"/>
      </w:pPr>
    </w:p>
    <w:p>
      <w:pPr>
        <w:pStyle w:val="BodyText"/>
        <w:tabs>
          <w:tab w:pos="705" w:val="left" w:leader="none"/>
        </w:tabs>
        <w:spacing w:line="235" w:lineRule="auto"/>
        <w:ind w:left="705" w:right="167" w:hanging="541"/>
      </w:pPr>
      <w:bookmarkStart w:name="_bookmark827" w:id="829"/>
      <w:bookmarkEnd w:id="829"/>
      <w:r>
        <w:rPr/>
      </w:r>
      <w:hyperlink w:history="true" w:anchor="_bookmark702">
        <w:r>
          <w:rPr>
            <w:color w:val="005DA1"/>
            <w:spacing w:val="-4"/>
            <w:position w:val="5"/>
            <w:sz w:val="14"/>
            <w:u w:val="single" w:color="005DA1"/>
          </w:rPr>
          <w:t>412</w:t>
        </w:r>
      </w:hyperlink>
      <w:r>
        <w:rPr>
          <w:spacing w:val="-4"/>
          <w:position w:val="5"/>
          <w:sz w:val="14"/>
        </w:rPr>
        <w:t>.</w:t>
      </w:r>
      <w:r>
        <w:rPr>
          <w:position w:val="5"/>
          <w:sz w:val="14"/>
        </w:rPr>
        <w:tab/>
      </w:r>
      <w:r>
        <w:rPr/>
        <w:t>Dicey,</w:t>
      </w:r>
      <w:r>
        <w:rPr>
          <w:spacing w:val="33"/>
        </w:rPr>
        <w:t> </w:t>
      </w:r>
      <w:r>
        <w:rPr/>
        <w:t>Morris</w:t>
      </w:r>
      <w:r>
        <w:rPr>
          <w:spacing w:val="33"/>
        </w:rPr>
        <w:t> </w:t>
      </w:r>
      <w:r>
        <w:rPr/>
        <w:t>and</w:t>
      </w:r>
      <w:r>
        <w:rPr>
          <w:spacing w:val="33"/>
        </w:rPr>
        <w:t> </w:t>
      </w:r>
      <w:r>
        <w:rPr/>
        <w:t>Collins,</w:t>
      </w:r>
      <w:r>
        <w:rPr>
          <w:spacing w:val="33"/>
        </w:rPr>
        <w:t> </w:t>
      </w:r>
      <w:r>
        <w:rPr/>
        <w:t>paras</w:t>
      </w:r>
      <w:r>
        <w:rPr>
          <w:spacing w:val="33"/>
        </w:rPr>
        <w:t> </w:t>
      </w:r>
      <w:r>
        <w:rPr/>
        <w:t>33-224—33-247.</w:t>
      </w:r>
      <w:r>
        <w:rPr>
          <w:spacing w:val="33"/>
        </w:rPr>
        <w:t> </w:t>
      </w:r>
      <w:r>
        <w:rPr/>
        <w:t>As</w:t>
      </w:r>
      <w:r>
        <w:rPr>
          <w:spacing w:val="33"/>
        </w:rPr>
        <w:t> </w:t>
      </w:r>
      <w:r>
        <w:rPr/>
        <w:t>to</w:t>
      </w:r>
      <w:r>
        <w:rPr>
          <w:spacing w:val="33"/>
        </w:rPr>
        <w:t> </w:t>
      </w:r>
      <w:r>
        <w:rPr/>
        <w:t>the</w:t>
      </w:r>
      <w:r>
        <w:rPr>
          <w:spacing w:val="33"/>
        </w:rPr>
        <w:t> </w:t>
      </w:r>
      <w:r>
        <w:rPr/>
        <w:t>Rome</w:t>
      </w:r>
      <w:r>
        <w:rPr>
          <w:spacing w:val="33"/>
        </w:rPr>
        <w:t> </w:t>
      </w:r>
      <w:r>
        <w:rPr/>
        <w:t>I</w:t>
      </w:r>
      <w:r>
        <w:rPr>
          <w:spacing w:val="33"/>
        </w:rPr>
        <w:t> </w:t>
      </w:r>
      <w:r>
        <w:rPr/>
        <w:t>Regulation,</w:t>
      </w:r>
      <w:r>
        <w:rPr>
          <w:spacing w:val="33"/>
        </w:rPr>
        <w:t> </w:t>
      </w:r>
      <w:r>
        <w:rPr/>
        <w:t>see</w:t>
      </w:r>
      <w:r>
        <w:rPr>
          <w:spacing w:val="33"/>
        </w:rPr>
        <w:t> </w:t>
      </w:r>
      <w:r>
        <w:rPr/>
        <w:t>below, </w:t>
      </w:r>
      <w:r>
        <w:rPr>
          <w:spacing w:val="-2"/>
        </w:rPr>
        <w:t>para.30-192.</w:t>
      </w:r>
    </w:p>
    <w:p>
      <w:pPr>
        <w:pStyle w:val="BodyText"/>
        <w:spacing w:before="9"/>
      </w:pPr>
    </w:p>
    <w:p>
      <w:pPr>
        <w:tabs>
          <w:tab w:pos="705" w:val="left" w:leader="none"/>
        </w:tabs>
        <w:spacing w:line="235" w:lineRule="auto" w:before="1"/>
        <w:ind w:left="705" w:right="168" w:hanging="541"/>
        <w:jc w:val="left"/>
        <w:rPr>
          <w:sz w:val="20"/>
        </w:rPr>
      </w:pPr>
      <w:bookmarkStart w:name="_bookmark828" w:id="830"/>
      <w:bookmarkEnd w:id="830"/>
      <w:r>
        <w:rPr/>
      </w:r>
      <w:hyperlink w:history="true" w:anchor="_bookmark703">
        <w:r>
          <w:rPr>
            <w:color w:val="005DA1"/>
            <w:spacing w:val="-4"/>
            <w:position w:val="5"/>
            <w:sz w:val="14"/>
            <w:u w:val="single" w:color="005DA1"/>
          </w:rPr>
          <w:t>413</w:t>
        </w:r>
      </w:hyperlink>
      <w:r>
        <w:rPr>
          <w:spacing w:val="-4"/>
          <w:position w:val="5"/>
          <w:sz w:val="14"/>
        </w:rPr>
        <w:t>.</w:t>
      </w:r>
      <w:r>
        <w:rPr>
          <w:position w:val="5"/>
          <w:sz w:val="14"/>
        </w:rPr>
        <w:tab/>
      </w:r>
      <w:r>
        <w:rPr>
          <w:sz w:val="20"/>
        </w:rPr>
        <w:t>Giuliano-Lagarde</w:t>
      </w:r>
      <w:r>
        <w:rPr>
          <w:spacing w:val="-3"/>
          <w:sz w:val="20"/>
        </w:rPr>
        <w:t> </w:t>
      </w:r>
      <w:r>
        <w:rPr>
          <w:sz w:val="20"/>
        </w:rPr>
        <w:t>Report,</w:t>
      </w:r>
      <w:r>
        <w:rPr>
          <w:spacing w:val="-3"/>
          <w:sz w:val="20"/>
        </w:rPr>
        <w:t> </w:t>
      </w:r>
      <w:r>
        <w:rPr>
          <w:sz w:val="20"/>
        </w:rPr>
        <w:t>p.21.</w:t>
      </w:r>
      <w:r>
        <w:rPr>
          <w:spacing w:val="-3"/>
          <w:sz w:val="20"/>
        </w:rPr>
        <w:t> </w:t>
      </w:r>
      <w:r>
        <w:rPr>
          <w:sz w:val="20"/>
        </w:rPr>
        <w:t>See</w:t>
      </w:r>
      <w:r>
        <w:rPr>
          <w:spacing w:val="-4"/>
          <w:sz w:val="20"/>
        </w:rPr>
        <w:t> </w:t>
      </w:r>
      <w:r>
        <w:rPr>
          <w:rFonts w:ascii="Arial" w:hAnsi="Arial"/>
          <w:i/>
          <w:sz w:val="20"/>
        </w:rPr>
        <w:t>Intercontainer</w:t>
      </w:r>
      <w:r>
        <w:rPr>
          <w:rFonts w:ascii="Arial" w:hAnsi="Arial"/>
          <w:i/>
          <w:spacing w:val="-3"/>
          <w:sz w:val="20"/>
        </w:rPr>
        <w:t> </w:t>
      </w:r>
      <w:r>
        <w:rPr>
          <w:rFonts w:ascii="Arial" w:hAnsi="Arial"/>
          <w:i/>
          <w:sz w:val="20"/>
        </w:rPr>
        <w:t>Interfrigo</w:t>
      </w:r>
      <w:r>
        <w:rPr>
          <w:rFonts w:ascii="Arial" w:hAnsi="Arial"/>
          <w:i/>
          <w:spacing w:val="-3"/>
          <w:sz w:val="20"/>
        </w:rPr>
        <w:t> </w:t>
      </w:r>
      <w:r>
        <w:rPr>
          <w:rFonts w:ascii="Arial" w:hAnsi="Arial"/>
          <w:i/>
          <w:sz w:val="20"/>
        </w:rPr>
        <w:t>SC</w:t>
      </w:r>
      <w:r>
        <w:rPr>
          <w:rFonts w:ascii="Arial" w:hAnsi="Arial"/>
          <w:i/>
          <w:spacing w:val="-3"/>
          <w:sz w:val="20"/>
        </w:rPr>
        <w:t> </w:t>
      </w:r>
      <w:r>
        <w:rPr>
          <w:rFonts w:ascii="Arial" w:hAnsi="Arial"/>
          <w:i/>
          <w:sz w:val="20"/>
        </w:rPr>
        <w:t>(ICF)</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Balkenende</w:t>
      </w:r>
      <w:r>
        <w:rPr>
          <w:rFonts w:ascii="Arial" w:hAnsi="Arial"/>
          <w:i/>
          <w:spacing w:val="-3"/>
          <w:sz w:val="20"/>
        </w:rPr>
        <w:t> </w:t>
      </w:r>
      <w:r>
        <w:rPr>
          <w:rFonts w:ascii="Arial" w:hAnsi="Arial"/>
          <w:i/>
          <w:sz w:val="20"/>
        </w:rPr>
        <w:t>Oosthuizen BV (C-133/08) [2010] Q.B. 411</w:t>
      </w:r>
      <w:r>
        <w:rPr>
          <w:sz w:val="20"/>
        </w:rPr>
        <w:t>, per Bot A.G. at [49]–[51] of the Opinion.</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29" w:id="831"/>
      <w:bookmarkEnd w:id="831"/>
      <w:r>
        <w:rPr/>
      </w:r>
      <w:hyperlink w:history="true" w:anchor="_bookmark704">
        <w:r>
          <w:rPr>
            <w:color w:val="005DA1"/>
            <w:spacing w:val="-4"/>
            <w:position w:val="5"/>
            <w:sz w:val="14"/>
            <w:u w:val="single" w:color="005DA1"/>
          </w:rPr>
          <w:t>414</w:t>
        </w:r>
      </w:hyperlink>
      <w:r>
        <w:rPr>
          <w:spacing w:val="-4"/>
          <w:position w:val="5"/>
          <w:sz w:val="14"/>
        </w:rPr>
        <w:t>.</w:t>
      </w:r>
      <w:r>
        <w:rPr>
          <w:position w:val="5"/>
          <w:sz w:val="14"/>
        </w:rPr>
        <w:tab/>
      </w:r>
      <w:r>
        <w:rPr>
          <w:sz w:val="20"/>
        </w:rPr>
        <w:t>See</w:t>
      </w:r>
      <w:r>
        <w:rPr>
          <w:spacing w:val="1"/>
          <w:sz w:val="20"/>
        </w:rPr>
        <w:t> </w:t>
      </w:r>
      <w:r>
        <w:rPr>
          <w:rFonts w:ascii="Arial"/>
          <w:i/>
          <w:sz w:val="20"/>
        </w:rPr>
        <w:t>Ennstone</w:t>
      </w:r>
      <w:r>
        <w:rPr>
          <w:rFonts w:ascii="Arial"/>
          <w:i/>
          <w:spacing w:val="1"/>
          <w:sz w:val="20"/>
        </w:rPr>
        <w:t> </w:t>
      </w:r>
      <w:r>
        <w:rPr>
          <w:rFonts w:ascii="Arial"/>
          <w:i/>
          <w:sz w:val="20"/>
        </w:rPr>
        <w:t>Building</w:t>
      </w:r>
      <w:r>
        <w:rPr>
          <w:rFonts w:ascii="Arial"/>
          <w:i/>
          <w:spacing w:val="1"/>
          <w:sz w:val="20"/>
        </w:rPr>
        <w:t> </w:t>
      </w:r>
      <w:r>
        <w:rPr>
          <w:rFonts w:ascii="Arial"/>
          <w:i/>
          <w:sz w:val="20"/>
        </w:rPr>
        <w:t>Products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Stanger</w:t>
      </w:r>
      <w:r>
        <w:rPr>
          <w:rFonts w:ascii="Arial"/>
          <w:i/>
          <w:spacing w:val="1"/>
          <w:sz w:val="20"/>
        </w:rPr>
        <w:t> </w:t>
      </w:r>
      <w:r>
        <w:rPr>
          <w:rFonts w:ascii="Arial"/>
          <w:i/>
          <w:sz w:val="20"/>
        </w:rPr>
        <w:t>Ltd</w:t>
      </w:r>
      <w:r>
        <w:rPr>
          <w:rFonts w:ascii="Arial"/>
          <w:i/>
          <w:spacing w:val="1"/>
          <w:sz w:val="20"/>
        </w:rPr>
        <w:t> </w:t>
      </w:r>
      <w:r>
        <w:rPr>
          <w:rFonts w:ascii="Arial"/>
          <w:i/>
          <w:sz w:val="20"/>
        </w:rPr>
        <w:t>[2002]</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916,</w:t>
      </w:r>
      <w:r>
        <w:rPr>
          <w:rFonts w:ascii="Arial"/>
          <w:i/>
          <w:spacing w:val="1"/>
          <w:sz w:val="20"/>
        </w:rPr>
        <w:t> </w:t>
      </w:r>
      <w:r>
        <w:rPr>
          <w:rFonts w:ascii="Arial"/>
          <w:i/>
          <w:sz w:val="20"/>
        </w:rPr>
        <w:t>[2002]</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pacing w:val="-4"/>
          <w:sz w:val="20"/>
        </w:rPr>
        <w:t>3059</w:t>
      </w:r>
    </w:p>
    <w:p>
      <w:pPr>
        <w:spacing w:line="227" w:lineRule="exact" w:before="0"/>
        <w:ind w:left="705" w:right="0" w:firstLine="0"/>
        <w:jc w:val="left"/>
        <w:rPr>
          <w:sz w:val="20"/>
        </w:rPr>
      </w:pPr>
      <w:r>
        <w:rPr>
          <w:spacing w:val="-10"/>
          <w:sz w:val="20"/>
        </w:rPr>
        <w:t>.</w:t>
      </w:r>
    </w:p>
    <w:p>
      <w:pPr>
        <w:pStyle w:val="BodyText"/>
        <w:spacing w:before="9"/>
      </w:pPr>
    </w:p>
    <w:p>
      <w:pPr>
        <w:spacing w:line="235" w:lineRule="auto" w:before="0"/>
        <w:ind w:left="705" w:right="167" w:hanging="541"/>
        <w:jc w:val="both"/>
        <w:rPr>
          <w:rFonts w:ascii="Arial" w:hAnsi="Arial"/>
          <w:i/>
          <w:sz w:val="20"/>
        </w:rPr>
      </w:pPr>
      <w:bookmarkStart w:name="_bookmark830" w:id="832"/>
      <w:bookmarkEnd w:id="832"/>
      <w:r>
        <w:rPr/>
      </w:r>
      <w:hyperlink w:history="true" w:anchor="_bookmark705">
        <w:r>
          <w:rPr>
            <w:color w:val="005DA1"/>
            <w:position w:val="5"/>
            <w:sz w:val="14"/>
            <w:u w:val="single" w:color="005DA1"/>
          </w:rPr>
          <w:t>415</w:t>
        </w:r>
      </w:hyperlink>
      <w:r>
        <w:rPr>
          <w:position w:val="5"/>
          <w:sz w:val="14"/>
        </w:rPr>
        <w:t>.</w:t>
      </w:r>
      <w:r>
        <w:rPr>
          <w:spacing w:val="80"/>
          <w:position w:val="5"/>
          <w:sz w:val="14"/>
        </w:rPr>
        <w:t>  </w:t>
      </w:r>
      <w:r>
        <w:rPr>
          <w:sz w:val="20"/>
        </w:rPr>
        <w:t>Giuliano-Lagarde</w:t>
      </w:r>
      <w:r>
        <w:rPr>
          <w:spacing w:val="40"/>
          <w:sz w:val="20"/>
        </w:rPr>
        <w:t> </w:t>
      </w:r>
      <w:r>
        <w:rPr>
          <w:sz w:val="20"/>
        </w:rPr>
        <w:t>Report,</w:t>
      </w:r>
      <w:r>
        <w:rPr>
          <w:spacing w:val="40"/>
          <w:sz w:val="20"/>
        </w:rPr>
        <w:t> </w:t>
      </w:r>
      <w:r>
        <w:rPr>
          <w:sz w:val="20"/>
        </w:rPr>
        <w:t>p.10.</w:t>
      </w:r>
      <w:r>
        <w:rPr>
          <w:spacing w:val="40"/>
          <w:sz w:val="20"/>
        </w:rPr>
        <w:t> </w:t>
      </w:r>
      <w:r>
        <w:rPr>
          <w:sz w:val="20"/>
        </w:rPr>
        <w:t>The</w:t>
      </w:r>
      <w:r>
        <w:rPr>
          <w:spacing w:val="40"/>
          <w:sz w:val="20"/>
        </w:rPr>
        <w:t> </w:t>
      </w:r>
      <w:r>
        <w:rPr>
          <w:sz w:val="20"/>
        </w:rPr>
        <w:t>distinction</w:t>
      </w:r>
      <w:r>
        <w:rPr>
          <w:spacing w:val="40"/>
          <w:sz w:val="20"/>
        </w:rPr>
        <w:t> </w:t>
      </w:r>
      <w:r>
        <w:rPr>
          <w:sz w:val="20"/>
        </w:rPr>
        <w:t>between</w:t>
      </w:r>
      <w:r>
        <w:rPr>
          <w:spacing w:val="40"/>
          <w:sz w:val="20"/>
        </w:rPr>
        <w:t> </w:t>
      </w:r>
      <w:r>
        <w:rPr>
          <w:sz w:val="20"/>
        </w:rPr>
        <w:t>a</w:t>
      </w:r>
      <w:r>
        <w:rPr>
          <w:spacing w:val="40"/>
          <w:sz w:val="20"/>
        </w:rPr>
        <w:t> </w:t>
      </w:r>
      <w:r>
        <w:rPr>
          <w:sz w:val="20"/>
        </w:rPr>
        <w:t>contract</w:t>
      </w:r>
      <w:r>
        <w:rPr>
          <w:spacing w:val="40"/>
          <w:sz w:val="20"/>
        </w:rPr>
        <w:t> </w:t>
      </w:r>
      <w:r>
        <w:rPr>
          <w:sz w:val="20"/>
        </w:rPr>
        <w:t>to</w:t>
      </w:r>
      <w:r>
        <w:rPr>
          <w:spacing w:val="40"/>
          <w:sz w:val="20"/>
        </w:rPr>
        <w:t> </w:t>
      </w:r>
      <w:r>
        <w:rPr>
          <w:sz w:val="20"/>
        </w:rPr>
        <w:t>transfer</w:t>
      </w:r>
      <w:r>
        <w:rPr>
          <w:spacing w:val="40"/>
          <w:sz w:val="20"/>
        </w:rPr>
        <w:t> </w:t>
      </w:r>
      <w:r>
        <w:rPr>
          <w:sz w:val="20"/>
        </w:rPr>
        <w:t>land</w:t>
      </w:r>
      <w:r>
        <w:rPr>
          <w:spacing w:val="40"/>
          <w:sz w:val="20"/>
        </w:rPr>
        <w:t> </w:t>
      </w:r>
      <w:r>
        <w:rPr>
          <w:sz w:val="20"/>
        </w:rPr>
        <w:t>and</w:t>
      </w:r>
      <w:r>
        <w:rPr>
          <w:spacing w:val="40"/>
          <w:sz w:val="20"/>
        </w:rPr>
        <w:t> </w:t>
      </w:r>
      <w:r>
        <w:rPr>
          <w:sz w:val="20"/>
        </w:rPr>
        <w:t>an actual transfer of land, may, however, become blurred: see </w:t>
      </w:r>
      <w:r>
        <w:rPr>
          <w:rFonts w:ascii="Arial" w:hAnsi="Arial"/>
          <w:i/>
          <w:sz w:val="20"/>
        </w:rPr>
        <w:t>British South Africa Co v De Beers Consolidated</w:t>
      </w:r>
      <w:r>
        <w:rPr>
          <w:rFonts w:ascii="Arial" w:hAnsi="Arial"/>
          <w:i/>
          <w:spacing w:val="62"/>
          <w:sz w:val="20"/>
        </w:rPr>
        <w:t> </w:t>
      </w:r>
      <w:r>
        <w:rPr>
          <w:rFonts w:ascii="Arial" w:hAnsi="Arial"/>
          <w:i/>
          <w:sz w:val="20"/>
        </w:rPr>
        <w:t>Mines</w:t>
      </w:r>
      <w:r>
        <w:rPr>
          <w:rFonts w:ascii="Arial" w:hAnsi="Arial"/>
          <w:i/>
          <w:spacing w:val="63"/>
          <w:sz w:val="20"/>
        </w:rPr>
        <w:t> </w:t>
      </w:r>
      <w:r>
        <w:rPr>
          <w:rFonts w:ascii="Arial" w:hAnsi="Arial"/>
          <w:i/>
          <w:sz w:val="20"/>
        </w:rPr>
        <w:t>Ltd</w:t>
      </w:r>
      <w:r>
        <w:rPr>
          <w:rFonts w:ascii="Arial" w:hAnsi="Arial"/>
          <w:i/>
          <w:spacing w:val="63"/>
          <w:sz w:val="20"/>
        </w:rPr>
        <w:t> </w:t>
      </w:r>
      <w:r>
        <w:rPr>
          <w:rFonts w:ascii="Arial" w:hAnsi="Arial"/>
          <w:i/>
          <w:sz w:val="20"/>
        </w:rPr>
        <w:t>[1910]</w:t>
      </w:r>
      <w:r>
        <w:rPr>
          <w:rFonts w:ascii="Arial" w:hAnsi="Arial"/>
          <w:i/>
          <w:spacing w:val="63"/>
          <w:sz w:val="20"/>
        </w:rPr>
        <w:t> </w:t>
      </w:r>
      <w:r>
        <w:rPr>
          <w:rFonts w:ascii="Arial" w:hAnsi="Arial"/>
          <w:i/>
          <w:sz w:val="20"/>
        </w:rPr>
        <w:t>2</w:t>
      </w:r>
      <w:r>
        <w:rPr>
          <w:rFonts w:ascii="Arial" w:hAnsi="Arial"/>
          <w:i/>
          <w:spacing w:val="63"/>
          <w:sz w:val="20"/>
        </w:rPr>
        <w:t> </w:t>
      </w:r>
      <w:r>
        <w:rPr>
          <w:rFonts w:ascii="Arial" w:hAnsi="Arial"/>
          <w:i/>
          <w:sz w:val="20"/>
        </w:rPr>
        <w:t>Ch.</w:t>
      </w:r>
      <w:r>
        <w:rPr>
          <w:rFonts w:ascii="Arial" w:hAnsi="Arial"/>
          <w:i/>
          <w:spacing w:val="63"/>
          <w:sz w:val="20"/>
        </w:rPr>
        <w:t> </w:t>
      </w:r>
      <w:r>
        <w:rPr>
          <w:rFonts w:ascii="Arial" w:hAnsi="Arial"/>
          <w:i/>
          <w:sz w:val="20"/>
        </w:rPr>
        <w:t>502,</w:t>
      </w:r>
      <w:r>
        <w:rPr>
          <w:rFonts w:ascii="Arial" w:hAnsi="Arial"/>
          <w:i/>
          <w:spacing w:val="63"/>
          <w:sz w:val="20"/>
        </w:rPr>
        <w:t> </w:t>
      </w:r>
      <w:r>
        <w:rPr>
          <w:rFonts w:ascii="Arial" w:hAnsi="Arial"/>
          <w:i/>
          <w:sz w:val="20"/>
        </w:rPr>
        <w:t>512,</w:t>
      </w:r>
      <w:r>
        <w:rPr>
          <w:rFonts w:ascii="Arial" w:hAnsi="Arial"/>
          <w:i/>
          <w:spacing w:val="63"/>
          <w:sz w:val="20"/>
        </w:rPr>
        <w:t> </w:t>
      </w:r>
      <w:r>
        <w:rPr>
          <w:rFonts w:ascii="Arial" w:hAnsi="Arial"/>
          <w:i/>
          <w:sz w:val="20"/>
        </w:rPr>
        <w:t>515,</w:t>
      </w:r>
      <w:r>
        <w:rPr>
          <w:rFonts w:ascii="Arial" w:hAnsi="Arial"/>
          <w:i/>
          <w:spacing w:val="63"/>
          <w:sz w:val="20"/>
        </w:rPr>
        <w:t> </w:t>
      </w:r>
      <w:r>
        <w:rPr>
          <w:rFonts w:ascii="Arial" w:hAnsi="Arial"/>
          <w:i/>
          <w:sz w:val="20"/>
        </w:rPr>
        <w:t>522–524</w:t>
      </w:r>
      <w:r>
        <w:rPr>
          <w:sz w:val="20"/>
        </w:rPr>
        <w:t>;</w:t>
      </w:r>
      <w:r>
        <w:rPr>
          <w:spacing w:val="63"/>
          <w:sz w:val="20"/>
        </w:rPr>
        <w:t> </w:t>
      </w:r>
      <w:r>
        <w:rPr>
          <w:sz w:val="20"/>
        </w:rPr>
        <w:t>see</w:t>
      </w:r>
      <w:r>
        <w:rPr>
          <w:spacing w:val="63"/>
          <w:sz w:val="20"/>
        </w:rPr>
        <w:t> </w:t>
      </w:r>
      <w:r>
        <w:rPr>
          <w:sz w:val="20"/>
        </w:rPr>
        <w:t>also</w:t>
      </w:r>
      <w:r>
        <w:rPr>
          <w:spacing w:val="63"/>
          <w:sz w:val="20"/>
        </w:rPr>
        <w:t> </w:t>
      </w:r>
      <w:r>
        <w:rPr>
          <w:rFonts w:ascii="Arial" w:hAnsi="Arial"/>
          <w:i/>
          <w:sz w:val="20"/>
        </w:rPr>
        <w:t>Webb</w:t>
      </w:r>
      <w:r>
        <w:rPr>
          <w:rFonts w:ascii="Arial" w:hAnsi="Arial"/>
          <w:i/>
          <w:spacing w:val="63"/>
          <w:sz w:val="20"/>
        </w:rPr>
        <w:t> </w:t>
      </w:r>
      <w:r>
        <w:rPr>
          <w:rFonts w:ascii="Arial" w:hAnsi="Arial"/>
          <w:i/>
          <w:sz w:val="20"/>
        </w:rPr>
        <w:t>v</w:t>
      </w:r>
      <w:r>
        <w:rPr>
          <w:rFonts w:ascii="Arial" w:hAnsi="Arial"/>
          <w:i/>
          <w:spacing w:val="63"/>
          <w:sz w:val="20"/>
        </w:rPr>
        <w:t> </w:t>
      </w:r>
      <w:r>
        <w:rPr>
          <w:rFonts w:ascii="Arial" w:hAnsi="Arial"/>
          <w:i/>
          <w:spacing w:val="-4"/>
          <w:sz w:val="20"/>
        </w:rPr>
        <w:t>Webb</w:t>
      </w:r>
    </w:p>
    <w:p>
      <w:pPr>
        <w:spacing w:line="223" w:lineRule="exact" w:before="0"/>
        <w:ind w:left="705" w:right="0" w:firstLine="0"/>
        <w:jc w:val="both"/>
        <w:rPr>
          <w:rFonts w:ascii="Arial" w:hAnsi="Arial"/>
          <w:i/>
          <w:sz w:val="20"/>
        </w:rPr>
      </w:pPr>
      <w:r>
        <w:rPr>
          <w:rFonts w:ascii="Arial" w:hAnsi="Arial"/>
          <w:i/>
          <w:sz w:val="20"/>
        </w:rPr>
        <w:t>(C-294/92)</w:t>
      </w:r>
      <w:r>
        <w:rPr>
          <w:rFonts w:ascii="Arial" w:hAnsi="Arial"/>
          <w:i/>
          <w:spacing w:val="13"/>
          <w:sz w:val="20"/>
        </w:rPr>
        <w:t> </w:t>
      </w:r>
      <w:r>
        <w:rPr>
          <w:rFonts w:ascii="Arial" w:hAnsi="Arial"/>
          <w:i/>
          <w:sz w:val="20"/>
        </w:rPr>
        <w:t>[1994]</w:t>
      </w:r>
      <w:r>
        <w:rPr>
          <w:rFonts w:ascii="Arial" w:hAnsi="Arial"/>
          <w:i/>
          <w:spacing w:val="16"/>
          <w:sz w:val="20"/>
        </w:rPr>
        <w:t> </w:t>
      </w:r>
      <w:r>
        <w:rPr>
          <w:rFonts w:ascii="Arial" w:hAnsi="Arial"/>
          <w:i/>
          <w:sz w:val="20"/>
        </w:rPr>
        <w:t>E.C.R.</w:t>
      </w:r>
      <w:r>
        <w:rPr>
          <w:rFonts w:ascii="Arial" w:hAnsi="Arial"/>
          <w:i/>
          <w:spacing w:val="16"/>
          <w:sz w:val="20"/>
        </w:rPr>
        <w:t> </w:t>
      </w:r>
      <w:r>
        <w:rPr>
          <w:rFonts w:ascii="Arial" w:hAnsi="Arial"/>
          <w:i/>
          <w:sz w:val="20"/>
        </w:rPr>
        <w:t>I–1717,</w:t>
      </w:r>
      <w:r>
        <w:rPr>
          <w:rFonts w:ascii="Arial" w:hAnsi="Arial"/>
          <w:i/>
          <w:spacing w:val="16"/>
          <w:sz w:val="20"/>
        </w:rPr>
        <w:t> </w:t>
      </w:r>
      <w:r>
        <w:rPr>
          <w:rFonts w:ascii="Arial" w:hAnsi="Arial"/>
          <w:i/>
          <w:sz w:val="20"/>
        </w:rPr>
        <w:t>[1994]</w:t>
      </w:r>
      <w:r>
        <w:rPr>
          <w:rFonts w:ascii="Arial" w:hAnsi="Arial"/>
          <w:i/>
          <w:spacing w:val="16"/>
          <w:sz w:val="20"/>
        </w:rPr>
        <w:t> </w:t>
      </w:r>
      <w:r>
        <w:rPr>
          <w:rFonts w:ascii="Arial" w:hAnsi="Arial"/>
          <w:i/>
          <w:sz w:val="20"/>
        </w:rPr>
        <w:t>Q.B.</w:t>
      </w:r>
      <w:r>
        <w:rPr>
          <w:rFonts w:ascii="Arial" w:hAnsi="Arial"/>
          <w:i/>
          <w:spacing w:val="16"/>
          <w:sz w:val="20"/>
        </w:rPr>
        <w:t> </w:t>
      </w:r>
      <w:r>
        <w:rPr>
          <w:rFonts w:ascii="Arial" w:hAnsi="Arial"/>
          <w:i/>
          <w:sz w:val="20"/>
        </w:rPr>
        <w:t>696</w:t>
      </w:r>
      <w:r>
        <w:rPr>
          <w:sz w:val="20"/>
        </w:rPr>
        <w:t>;</w:t>
      </w:r>
      <w:r>
        <w:rPr>
          <w:spacing w:val="16"/>
          <w:sz w:val="20"/>
        </w:rPr>
        <w:t> </w:t>
      </w:r>
      <w:r>
        <w:rPr>
          <w:rFonts w:ascii="Arial" w:hAnsi="Arial"/>
          <w:i/>
          <w:sz w:val="20"/>
        </w:rPr>
        <w:t>Gaillard</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Chekili</w:t>
      </w:r>
      <w:r>
        <w:rPr>
          <w:rFonts w:ascii="Arial" w:hAnsi="Arial"/>
          <w:i/>
          <w:spacing w:val="16"/>
          <w:sz w:val="20"/>
        </w:rPr>
        <w:t> </w:t>
      </w:r>
      <w:r>
        <w:rPr>
          <w:rFonts w:ascii="Arial" w:hAnsi="Arial"/>
          <w:i/>
          <w:sz w:val="20"/>
        </w:rPr>
        <w:t>(C-518/99)</w:t>
      </w:r>
      <w:r>
        <w:rPr>
          <w:rFonts w:ascii="Arial" w:hAnsi="Arial"/>
          <w:i/>
          <w:spacing w:val="16"/>
          <w:sz w:val="20"/>
        </w:rPr>
        <w:t> </w:t>
      </w:r>
      <w:r>
        <w:rPr>
          <w:rFonts w:ascii="Arial" w:hAnsi="Arial"/>
          <w:i/>
          <w:sz w:val="20"/>
        </w:rPr>
        <w:t>[2001]</w:t>
      </w:r>
      <w:r>
        <w:rPr>
          <w:rFonts w:ascii="Arial" w:hAnsi="Arial"/>
          <w:i/>
          <w:spacing w:val="16"/>
          <w:sz w:val="20"/>
        </w:rPr>
        <w:t> </w:t>
      </w:r>
      <w:r>
        <w:rPr>
          <w:rFonts w:ascii="Arial" w:hAnsi="Arial"/>
          <w:i/>
          <w:spacing w:val="-2"/>
          <w:sz w:val="20"/>
        </w:rPr>
        <w:t>E.C.R.</w:t>
      </w:r>
    </w:p>
    <w:p>
      <w:pPr>
        <w:spacing w:line="235" w:lineRule="auto" w:before="1"/>
        <w:ind w:left="705" w:right="167" w:firstLine="0"/>
        <w:jc w:val="both"/>
        <w:rPr>
          <w:sz w:val="20"/>
        </w:rPr>
      </w:pPr>
      <w:r>
        <w:rPr>
          <w:rFonts w:ascii="Arial" w:hAnsi="Arial"/>
          <w:i/>
          <w:sz w:val="20"/>
        </w:rPr>
        <w:t>I–2771</w:t>
      </w:r>
      <w:r>
        <w:rPr>
          <w:sz w:val="20"/>
        </w:rPr>
        <w:t>; </w:t>
      </w:r>
      <w:r>
        <w:rPr>
          <w:rFonts w:ascii="Arial" w:hAnsi="Arial"/>
          <w:i/>
          <w:sz w:val="20"/>
        </w:rPr>
        <w:t>Prazic v Prazic [2006] EWCA Civ 497, [2006] 2 F.L.R. 1128</w:t>
      </w:r>
      <w:r>
        <w:rPr>
          <w:sz w:val="20"/>
        </w:rPr>
        <w:t>; cf. </w:t>
      </w:r>
      <w:r>
        <w:rPr>
          <w:rFonts w:ascii="Arial" w:hAnsi="Arial"/>
          <w:i/>
          <w:sz w:val="20"/>
        </w:rPr>
        <w:t>Re Hayward [1997] Ch. 45</w:t>
      </w:r>
      <w:r>
        <w:rPr>
          <w:sz w:val="20"/>
        </w:rPr>
        <w:t>; </w:t>
      </w:r>
      <w:r>
        <w:rPr>
          <w:rFonts w:ascii="Arial" w:hAnsi="Arial"/>
          <w:i/>
          <w:sz w:val="20"/>
        </w:rPr>
        <w:t>Ashurst v Pollard [2001] Ch. 595</w:t>
      </w:r>
      <w:r>
        <w:rPr>
          <w:sz w:val="20"/>
        </w:rPr>
        <w:t>. As to the common law rules relating to the transfer of immovables, see Dicey, Morris and Collins, paras 23-062—23-074. Article 4(3) will not </w:t>
      </w:r>
      <w:r>
        <w:rPr>
          <w:sz w:val="20"/>
        </w:rPr>
        <w:t>apply where the contractual obligation relating to immovables is excluded from the Convention by virtue of art.1. Such cases will be governed by common law rules. At common law the system </w:t>
      </w:r>
      <w:r>
        <w:rPr>
          <w:spacing w:val="-5"/>
          <w:sz w:val="20"/>
        </w:rPr>
        <w:t>of</w:t>
      </w:r>
    </w:p>
    <w:p>
      <w:pPr>
        <w:spacing w:after="0" w:line="235" w:lineRule="auto"/>
        <w:jc w:val="both"/>
        <w:rPr>
          <w:sz w:val="20"/>
        </w:rPr>
        <w:sectPr>
          <w:pgSz w:w="11900" w:h="16840"/>
          <w:pgMar w:header="971" w:footer="0" w:top="1300" w:bottom="280" w:left="1275" w:right="1275"/>
        </w:sectPr>
      </w:pPr>
    </w:p>
    <w:p>
      <w:pPr>
        <w:spacing w:line="235" w:lineRule="auto" w:before="110"/>
        <w:ind w:left="705" w:right="167" w:firstLine="0"/>
        <w:jc w:val="both"/>
        <w:rPr>
          <w:sz w:val="20"/>
        </w:rPr>
      </w:pPr>
      <w:r>
        <w:rPr>
          <w:sz w:val="20"/>
        </w:rPr>
        <w:t>law with which a contract with regard to an immovable was most closely connected </w:t>
      </w:r>
      <w:r>
        <w:rPr>
          <w:sz w:val="20"/>
        </w:rPr>
        <w:t>was sometimes said to be the lex situs: see, e.g. </w:t>
      </w:r>
      <w:r>
        <w:rPr>
          <w:rFonts w:ascii="Arial"/>
          <w:i/>
          <w:sz w:val="20"/>
        </w:rPr>
        <w:t>British South Africa Co v De Beers Consolidated Mines Ltd, 523</w:t>
      </w:r>
      <w:r>
        <w:rPr>
          <w:sz w:val="20"/>
        </w:rPr>
        <w:t>. But, as is shown by that case, this was not an invariable rule.</w:t>
      </w:r>
    </w:p>
    <w:p>
      <w:pPr>
        <w:pStyle w:val="BodyText"/>
        <w:spacing w:before="9"/>
      </w:pPr>
    </w:p>
    <w:p>
      <w:pPr>
        <w:tabs>
          <w:tab w:pos="705" w:val="left" w:leader="none"/>
        </w:tabs>
        <w:spacing w:line="235" w:lineRule="auto" w:before="0"/>
        <w:ind w:left="705" w:right="168" w:hanging="541"/>
        <w:jc w:val="left"/>
        <w:rPr>
          <w:sz w:val="20"/>
        </w:rPr>
      </w:pPr>
      <w:bookmarkStart w:name="_bookmark831" w:id="833"/>
      <w:bookmarkEnd w:id="833"/>
      <w:r>
        <w:rPr/>
      </w:r>
      <w:hyperlink w:history="true" w:anchor="_bookmark706">
        <w:r>
          <w:rPr>
            <w:color w:val="005DA1"/>
            <w:spacing w:val="-4"/>
            <w:position w:val="5"/>
            <w:sz w:val="14"/>
            <w:u w:val="single" w:color="005DA1"/>
          </w:rPr>
          <w:t>416</w:t>
        </w:r>
      </w:hyperlink>
      <w:r>
        <w:rPr>
          <w:spacing w:val="-4"/>
          <w:position w:val="5"/>
          <w:sz w:val="14"/>
        </w:rPr>
        <w:t>.</w:t>
      </w:r>
      <w:r>
        <w:rPr>
          <w:position w:val="5"/>
          <w:sz w:val="14"/>
        </w:rPr>
        <w:tab/>
      </w:r>
      <w:r>
        <w:rPr>
          <w:sz w:val="20"/>
        </w:rPr>
        <w:t>Giuliano-Lagarde</w:t>
      </w:r>
      <w:r>
        <w:rPr>
          <w:spacing w:val="-3"/>
          <w:sz w:val="20"/>
        </w:rPr>
        <w:t> </w:t>
      </w:r>
      <w:r>
        <w:rPr>
          <w:sz w:val="20"/>
        </w:rPr>
        <w:t>Report,</w:t>
      </w:r>
      <w:r>
        <w:rPr>
          <w:spacing w:val="-3"/>
          <w:sz w:val="20"/>
        </w:rPr>
        <w:t> </w:t>
      </w:r>
      <w:r>
        <w:rPr>
          <w:sz w:val="20"/>
        </w:rPr>
        <w:t>p.23.</w:t>
      </w:r>
      <w:r>
        <w:rPr>
          <w:spacing w:val="-3"/>
          <w:sz w:val="20"/>
        </w:rPr>
        <w:t> </w:t>
      </w:r>
      <w:r>
        <w:rPr>
          <w:sz w:val="20"/>
        </w:rPr>
        <w:t>See</w:t>
      </w:r>
      <w:r>
        <w:rPr>
          <w:spacing w:val="-4"/>
          <w:sz w:val="20"/>
        </w:rPr>
        <w:t> </w:t>
      </w:r>
      <w:r>
        <w:rPr>
          <w:rFonts w:ascii="Arial" w:hAnsi="Arial"/>
          <w:i/>
          <w:sz w:val="20"/>
        </w:rPr>
        <w:t>Intercontainer</w:t>
      </w:r>
      <w:r>
        <w:rPr>
          <w:rFonts w:ascii="Arial" w:hAnsi="Arial"/>
          <w:i/>
          <w:spacing w:val="-3"/>
          <w:sz w:val="20"/>
        </w:rPr>
        <w:t> </w:t>
      </w:r>
      <w:r>
        <w:rPr>
          <w:rFonts w:ascii="Arial" w:hAnsi="Arial"/>
          <w:i/>
          <w:sz w:val="20"/>
        </w:rPr>
        <w:t>Interfrigo</w:t>
      </w:r>
      <w:r>
        <w:rPr>
          <w:rFonts w:ascii="Arial" w:hAnsi="Arial"/>
          <w:i/>
          <w:spacing w:val="-3"/>
          <w:sz w:val="20"/>
        </w:rPr>
        <w:t> </w:t>
      </w:r>
      <w:r>
        <w:rPr>
          <w:rFonts w:ascii="Arial" w:hAnsi="Arial"/>
          <w:i/>
          <w:sz w:val="20"/>
        </w:rPr>
        <w:t>SC</w:t>
      </w:r>
      <w:r>
        <w:rPr>
          <w:rFonts w:ascii="Arial" w:hAnsi="Arial"/>
          <w:i/>
          <w:spacing w:val="-3"/>
          <w:sz w:val="20"/>
        </w:rPr>
        <w:t> </w:t>
      </w:r>
      <w:r>
        <w:rPr>
          <w:rFonts w:ascii="Arial" w:hAnsi="Arial"/>
          <w:i/>
          <w:sz w:val="20"/>
        </w:rPr>
        <w:t>(ICF)</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Balkenende</w:t>
      </w:r>
      <w:r>
        <w:rPr>
          <w:rFonts w:ascii="Arial" w:hAnsi="Arial"/>
          <w:i/>
          <w:spacing w:val="-3"/>
          <w:sz w:val="20"/>
        </w:rPr>
        <w:t> </w:t>
      </w:r>
      <w:r>
        <w:rPr>
          <w:rFonts w:ascii="Arial" w:hAnsi="Arial"/>
          <w:i/>
          <w:sz w:val="20"/>
        </w:rPr>
        <w:t>Oosthuizen BV (C-133/08) [2010] Q.B. 411 </w:t>
      </w:r>
      <w:r>
        <w:rPr>
          <w:sz w:val="20"/>
        </w:rPr>
        <w:t>at [41]–[48].</w:t>
      </w:r>
    </w:p>
    <w:p>
      <w:pPr>
        <w:pStyle w:val="BodyText"/>
        <w:spacing w:before="5"/>
      </w:pPr>
    </w:p>
    <w:p>
      <w:pPr>
        <w:tabs>
          <w:tab w:pos="705" w:val="left" w:leader="none"/>
        </w:tabs>
        <w:spacing w:before="1"/>
        <w:ind w:left="165" w:right="0" w:firstLine="0"/>
        <w:jc w:val="left"/>
        <w:rPr>
          <w:sz w:val="20"/>
        </w:rPr>
      </w:pPr>
      <w:bookmarkStart w:name="_bookmark832" w:id="834"/>
      <w:bookmarkEnd w:id="834"/>
      <w:r>
        <w:rPr/>
      </w:r>
      <w:hyperlink w:history="true" w:anchor="_bookmark707">
        <w:r>
          <w:rPr>
            <w:color w:val="005DA1"/>
            <w:spacing w:val="-4"/>
            <w:position w:val="5"/>
            <w:sz w:val="14"/>
            <w:u w:val="single" w:color="005DA1"/>
          </w:rPr>
          <w:t>417</w:t>
        </w:r>
      </w:hyperlink>
      <w:r>
        <w:rPr>
          <w:spacing w:val="-4"/>
          <w:position w:val="5"/>
          <w:sz w:val="14"/>
        </w:rPr>
        <w:t>.</w:t>
      </w:r>
      <w:r>
        <w:rPr>
          <w:position w:val="5"/>
          <w:sz w:val="14"/>
        </w:rPr>
        <w:tab/>
      </w:r>
      <w:r>
        <w:rPr>
          <w:sz w:val="20"/>
        </w:rPr>
        <w:t>cf. </w:t>
      </w:r>
      <w:r>
        <w:rPr>
          <w:rFonts w:ascii="Arial"/>
          <w:i/>
          <w:sz w:val="20"/>
        </w:rPr>
        <w:t>Merwin Pastoral Co Pty Ltd v Moolpa Pastoral Co Pty Ltd (1932) 48 C.L.R. </w:t>
      </w:r>
      <w:r>
        <w:rPr>
          <w:rFonts w:ascii="Arial"/>
          <w:i/>
          <w:spacing w:val="-4"/>
          <w:sz w:val="20"/>
        </w:rPr>
        <w:t>565</w:t>
      </w:r>
      <w:r>
        <w:rPr>
          <w:spacing w:val="-4"/>
          <w:sz w:val="20"/>
        </w:rPr>
        <w:t>.</w:t>
      </w:r>
    </w:p>
    <w:p>
      <w:pPr>
        <w:pStyle w:val="BodyText"/>
        <w:spacing w:before="8"/>
      </w:pPr>
    </w:p>
    <w:p>
      <w:pPr>
        <w:spacing w:line="235" w:lineRule="auto" w:before="0"/>
        <w:ind w:left="705" w:right="168" w:hanging="541"/>
        <w:jc w:val="both"/>
        <w:rPr>
          <w:sz w:val="20"/>
        </w:rPr>
      </w:pPr>
      <w:bookmarkStart w:name="_bookmark833" w:id="835"/>
      <w:bookmarkEnd w:id="835"/>
      <w:r>
        <w:rPr/>
      </w:r>
      <w:hyperlink w:history="true" w:anchor="_bookmark707">
        <w:r>
          <w:rPr>
            <w:color w:val="005DA1"/>
            <w:position w:val="5"/>
            <w:sz w:val="14"/>
            <w:u w:val="single" w:color="005DA1"/>
          </w:rPr>
          <w:t>418</w:t>
        </w:r>
      </w:hyperlink>
      <w:r>
        <w:rPr>
          <w:position w:val="5"/>
          <w:sz w:val="14"/>
        </w:rPr>
        <w:t>.</w:t>
      </w:r>
      <w:r>
        <w:rPr>
          <w:spacing w:val="80"/>
          <w:position w:val="5"/>
          <w:sz w:val="14"/>
        </w:rPr>
        <w:t>  </w:t>
      </w:r>
      <w:r>
        <w:rPr>
          <w:sz w:val="20"/>
        </w:rPr>
        <w:t>cf.</w:t>
      </w:r>
      <w:r>
        <w:rPr>
          <w:spacing w:val="39"/>
          <w:sz w:val="20"/>
        </w:rPr>
        <w:t> </w:t>
      </w:r>
      <w:r>
        <w:rPr>
          <w:rFonts w:ascii="Arial" w:hAnsi="Arial"/>
          <w:i/>
          <w:sz w:val="20"/>
        </w:rPr>
        <w:t>Sanders</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Van</w:t>
      </w:r>
      <w:r>
        <w:rPr>
          <w:rFonts w:ascii="Arial" w:hAnsi="Arial"/>
          <w:i/>
          <w:spacing w:val="38"/>
          <w:sz w:val="20"/>
        </w:rPr>
        <w:t> </w:t>
      </w:r>
      <w:r>
        <w:rPr>
          <w:rFonts w:ascii="Arial" w:hAnsi="Arial"/>
          <w:i/>
          <w:sz w:val="20"/>
        </w:rPr>
        <w:t>der</w:t>
      </w:r>
      <w:r>
        <w:rPr>
          <w:rFonts w:ascii="Arial" w:hAnsi="Arial"/>
          <w:i/>
          <w:spacing w:val="38"/>
          <w:sz w:val="20"/>
        </w:rPr>
        <w:t> </w:t>
      </w:r>
      <w:r>
        <w:rPr>
          <w:rFonts w:ascii="Arial" w:hAnsi="Arial"/>
          <w:i/>
          <w:sz w:val="20"/>
        </w:rPr>
        <w:t>Putte</w:t>
      </w:r>
      <w:r>
        <w:rPr>
          <w:rFonts w:ascii="Arial" w:hAnsi="Arial"/>
          <w:i/>
          <w:spacing w:val="38"/>
          <w:sz w:val="20"/>
        </w:rPr>
        <w:t> </w:t>
      </w:r>
      <w:r>
        <w:rPr>
          <w:rFonts w:ascii="Arial" w:hAnsi="Arial"/>
          <w:i/>
          <w:sz w:val="20"/>
        </w:rPr>
        <w:t>(73/77)</w:t>
      </w:r>
      <w:r>
        <w:rPr>
          <w:rFonts w:ascii="Arial" w:hAnsi="Arial"/>
          <w:i/>
          <w:spacing w:val="38"/>
          <w:sz w:val="20"/>
        </w:rPr>
        <w:t> </w:t>
      </w:r>
      <w:r>
        <w:rPr>
          <w:rFonts w:ascii="Arial" w:hAnsi="Arial"/>
          <w:i/>
          <w:sz w:val="20"/>
        </w:rPr>
        <w:t>[1977]</w:t>
      </w:r>
      <w:r>
        <w:rPr>
          <w:rFonts w:ascii="Arial" w:hAnsi="Arial"/>
          <w:i/>
          <w:spacing w:val="38"/>
          <w:sz w:val="20"/>
        </w:rPr>
        <w:t> </w:t>
      </w:r>
      <w:r>
        <w:rPr>
          <w:rFonts w:ascii="Arial" w:hAnsi="Arial"/>
          <w:i/>
          <w:sz w:val="20"/>
        </w:rPr>
        <w:t>E.C.R.</w:t>
      </w:r>
      <w:r>
        <w:rPr>
          <w:rFonts w:ascii="Arial" w:hAnsi="Arial"/>
          <w:i/>
          <w:spacing w:val="38"/>
          <w:sz w:val="20"/>
        </w:rPr>
        <w:t> </w:t>
      </w:r>
      <w:r>
        <w:rPr>
          <w:rFonts w:ascii="Arial" w:hAnsi="Arial"/>
          <w:i/>
          <w:sz w:val="20"/>
        </w:rPr>
        <w:t>2383</w:t>
      </w:r>
      <w:r>
        <w:rPr>
          <w:sz w:val="20"/>
        </w:rPr>
        <w:t>;</w:t>
      </w:r>
      <w:r>
        <w:rPr>
          <w:spacing w:val="39"/>
          <w:sz w:val="20"/>
        </w:rPr>
        <w:t> </w:t>
      </w:r>
      <w:r>
        <w:rPr>
          <w:rFonts w:ascii="Arial" w:hAnsi="Arial"/>
          <w:i/>
          <w:sz w:val="20"/>
        </w:rPr>
        <w:t>Dansommer</w:t>
      </w:r>
      <w:r>
        <w:rPr>
          <w:rFonts w:ascii="Arial" w:hAnsi="Arial"/>
          <w:i/>
          <w:spacing w:val="38"/>
          <w:sz w:val="20"/>
        </w:rPr>
        <w:t> </w:t>
      </w:r>
      <w:r>
        <w:rPr>
          <w:rFonts w:ascii="Arial" w:hAnsi="Arial"/>
          <w:i/>
          <w:sz w:val="20"/>
        </w:rPr>
        <w:t>A/S</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Gotz</w:t>
      </w:r>
      <w:r>
        <w:rPr>
          <w:rFonts w:ascii="Arial" w:hAnsi="Arial"/>
          <w:i/>
          <w:spacing w:val="38"/>
          <w:sz w:val="20"/>
        </w:rPr>
        <w:t> </w:t>
      </w:r>
      <w:r>
        <w:rPr>
          <w:rFonts w:ascii="Arial" w:hAnsi="Arial"/>
          <w:i/>
          <w:sz w:val="20"/>
        </w:rPr>
        <w:t>(C-8/98) [2000]</w:t>
      </w:r>
      <w:r>
        <w:rPr>
          <w:rFonts w:ascii="Arial" w:hAnsi="Arial"/>
          <w:i/>
          <w:spacing w:val="-2"/>
          <w:sz w:val="20"/>
        </w:rPr>
        <w:t> </w:t>
      </w:r>
      <w:r>
        <w:rPr>
          <w:rFonts w:ascii="Arial" w:hAnsi="Arial"/>
          <w:i/>
          <w:sz w:val="20"/>
        </w:rPr>
        <w:t>E.C.R.</w:t>
      </w:r>
      <w:r>
        <w:rPr>
          <w:rFonts w:ascii="Arial" w:hAnsi="Arial"/>
          <w:i/>
          <w:spacing w:val="-2"/>
          <w:sz w:val="20"/>
        </w:rPr>
        <w:t> </w:t>
      </w:r>
      <w:r>
        <w:rPr>
          <w:rFonts w:ascii="Arial" w:hAnsi="Arial"/>
          <w:i/>
          <w:sz w:val="20"/>
        </w:rPr>
        <w:t>I–393,</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1069</w:t>
      </w:r>
      <w:r>
        <w:rPr>
          <w:sz w:val="20"/>
        </w:rPr>
        <w:t>.</w:t>
      </w:r>
      <w:r>
        <w:rPr>
          <w:spacing w:val="-2"/>
          <w:sz w:val="20"/>
        </w:rPr>
        <w:t> </w:t>
      </w:r>
      <w:r>
        <w:rPr>
          <w:sz w:val="20"/>
        </w:rPr>
        <w:t>See</w:t>
      </w:r>
      <w:r>
        <w:rPr>
          <w:spacing w:val="-2"/>
          <w:sz w:val="20"/>
        </w:rPr>
        <w:t> </w:t>
      </w:r>
      <w:r>
        <w:rPr>
          <w:rFonts w:ascii="Arial" w:hAnsi="Arial"/>
          <w:i/>
          <w:sz w:val="20"/>
        </w:rPr>
        <w:t>Intercontainer</w:t>
      </w:r>
      <w:r>
        <w:rPr>
          <w:rFonts w:ascii="Arial" w:hAnsi="Arial"/>
          <w:i/>
          <w:spacing w:val="-2"/>
          <w:sz w:val="20"/>
        </w:rPr>
        <w:t> </w:t>
      </w:r>
      <w:r>
        <w:rPr>
          <w:rFonts w:ascii="Arial" w:hAnsi="Arial"/>
          <w:i/>
          <w:sz w:val="20"/>
        </w:rPr>
        <w:t>Interfrigo</w:t>
      </w:r>
      <w:r>
        <w:rPr>
          <w:rFonts w:ascii="Arial" w:hAnsi="Arial"/>
          <w:i/>
          <w:spacing w:val="-2"/>
          <w:sz w:val="20"/>
        </w:rPr>
        <w:t> </w:t>
      </w:r>
      <w:r>
        <w:rPr>
          <w:rFonts w:ascii="Arial" w:hAnsi="Arial"/>
          <w:i/>
          <w:sz w:val="20"/>
        </w:rPr>
        <w:t>SC</w:t>
      </w:r>
      <w:r>
        <w:rPr>
          <w:rFonts w:ascii="Arial" w:hAnsi="Arial"/>
          <w:i/>
          <w:spacing w:val="-2"/>
          <w:sz w:val="20"/>
        </w:rPr>
        <w:t> </w:t>
      </w:r>
      <w:r>
        <w:rPr>
          <w:rFonts w:ascii="Arial" w:hAnsi="Arial"/>
          <w:i/>
          <w:sz w:val="20"/>
        </w:rPr>
        <w:t>(ICF)</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Balkenende Oosthuizen BV (C-133/08) [2010] Q.B. 411</w:t>
      </w:r>
      <w:r>
        <w:rPr>
          <w:sz w:val="20"/>
        </w:rPr>
        <w:t>, per Bot A.G. at [49]–[51] (lease).</w:t>
      </w:r>
    </w:p>
    <w:p>
      <w:pPr>
        <w:pStyle w:val="BodyText"/>
        <w:spacing w:before="9"/>
      </w:pPr>
    </w:p>
    <w:p>
      <w:pPr>
        <w:pStyle w:val="BodyText"/>
        <w:spacing w:line="235" w:lineRule="auto"/>
        <w:ind w:left="705" w:right="167" w:hanging="541"/>
        <w:jc w:val="both"/>
      </w:pPr>
      <w:bookmarkStart w:name="_bookmark834" w:id="836"/>
      <w:bookmarkEnd w:id="836"/>
      <w:r>
        <w:rPr/>
      </w:r>
      <w:hyperlink w:history="true" w:anchor="_bookmark708">
        <w:r>
          <w:rPr>
            <w:color w:val="005DA1"/>
            <w:position w:val="5"/>
            <w:sz w:val="14"/>
            <w:u w:val="single" w:color="005DA1"/>
          </w:rPr>
          <w:t>419</w:t>
        </w:r>
      </w:hyperlink>
      <w:r>
        <w:rPr>
          <w:position w:val="5"/>
          <w:sz w:val="14"/>
        </w:rPr>
        <w:t>.</w:t>
      </w:r>
      <w:r>
        <w:rPr>
          <w:spacing w:val="80"/>
          <w:w w:val="150"/>
          <w:position w:val="5"/>
          <w:sz w:val="14"/>
        </w:rPr>
        <w:t> </w:t>
      </w:r>
      <w:r>
        <w:rPr/>
        <w:t>Dicey, Morris and Collins, paras 33-233, 33–244–33-247; Plender and Wilderspin, 4th </w:t>
      </w:r>
      <w:r>
        <w:rPr/>
        <w:t>edn (2014), para.7-016; see Timeshare Act 1992, as amended by Timeshare Regulations 1997 (SI 1997/1081) which implement in the United Kingdom EU Directive 94/97 [1994] O.J. L280/83 on the protection of purchasers in respect of certain aspects of contracts relating to the purchase</w:t>
      </w:r>
      <w:r>
        <w:rPr>
          <w:spacing w:val="40"/>
        </w:rPr>
        <w:t> </w:t>
      </w:r>
      <w:r>
        <w:rPr/>
        <w:t>of the right to use immovable properties on a timeshare basis. See also on timeshares,</w:t>
      </w:r>
      <w:r>
        <w:rPr>
          <w:spacing w:val="40"/>
        </w:rPr>
        <w:t> </w:t>
      </w:r>
      <w:r>
        <w:rPr/>
        <w:t>Directive 2008/122/EC of the European Parliament and of the Council of January 14, 2009 on the protection of consumers in respect of certain aspects of timeshare, long-term holiday product, resale and exchange contracts [2009] O.J. L33/10, implemented in the UK by SI 2010/2960, as amended by SI 2011/1065 and repealing and replacing Timeshare Act 1992. Where the timeshare property is situated in a contracting state to the Brussels or Lugano Conventions on Jurisdiction and the Enforcement of Judgments in Civil and Commercial Matters, other than the United Kingdom, an English court may have no jurisdiction over a claim for misrepresentation or breach of contract brought by a timeshare purchaser against a timeshare owner since the claim may be one the object of which is a tenancy of immovable property, and such claims are subject to the exclusive jurisdiction of the situs of the immovable according to art.16(1) of each Convention: see </w:t>
      </w:r>
      <w:r>
        <w:rPr>
          <w:rFonts w:ascii="Arial" w:hAnsi="Arial"/>
          <w:i/>
        </w:rPr>
        <w:t>Klein v Rhodos Management Ltd (C-73/04) [2005] E.C.R. I–867</w:t>
      </w:r>
      <w:r>
        <w:rPr/>
        <w:t>. Where however the timeshare purchaser has financed the purchase with money lent by a bank, art.16(1) does not impose this jurisdictional bar on a claim against the bank pursuant to the provisions of ss.56(2) and 75 of the Consumer Credit Act 1974 (“connected lender” liability, discussed Vol.II); </w:t>
      </w:r>
      <w:r>
        <w:rPr>
          <w:rFonts w:ascii="Arial" w:hAnsi="Arial"/>
          <w:i/>
        </w:rPr>
        <w:t>Jarrett v Barclays Bank [1999] Q.B. 1</w:t>
      </w:r>
      <w:r>
        <w:rPr/>
        <w:t>, overruling </w:t>
      </w:r>
      <w:r>
        <w:rPr>
          <w:rFonts w:ascii="Arial" w:hAnsi="Arial"/>
          <w:i/>
        </w:rPr>
        <w:t>Lynch v Halifax Building Society and Royal Bank of Scotland Plc [1995] C.C.L.R. 42</w:t>
      </w:r>
      <w:r>
        <w:rPr/>
        <w:t>; and see </w:t>
      </w:r>
      <w:r>
        <w:rPr>
          <w:rFonts w:ascii="Arial" w:hAnsi="Arial"/>
          <w:i/>
        </w:rPr>
        <w:t>Office of Fair Trading v Lloyds TSB Bank Plc [2007] UKHL 48, [2008] 1 A.C. 316</w:t>
      </w:r>
      <w:r>
        <w:rPr/>
        <w:t>. The position would appear to be the same under Council Regulation 44/2001 art.22(1) and Council Regulation 1215/2012 art.24(1). The Consumer Protection (Distance Selling) Regulations 2000 regs 7–20 do not apply to a contract which is a “timeshare agreement” within the meaning of</w:t>
      </w:r>
      <w:r>
        <w:rPr>
          <w:spacing w:val="40"/>
        </w:rPr>
        <w:t> </w:t>
      </w:r>
      <w:r>
        <w:rPr/>
        <w:t>the Timeshare Act 1992 and to which that Act applies: Consumer Protection (Distance Selling) Regulations 2000 reg.6(1).</w:t>
      </w:r>
    </w:p>
    <w:p>
      <w:pPr>
        <w:pStyle w:val="BodyText"/>
      </w:pPr>
    </w:p>
    <w:p>
      <w:pPr>
        <w:pStyle w:val="BodyText"/>
        <w:spacing w:line="235" w:lineRule="auto"/>
        <w:ind w:left="705" w:right="167" w:hanging="541"/>
        <w:jc w:val="both"/>
      </w:pPr>
      <w:bookmarkStart w:name="_bookmark835" w:id="837"/>
      <w:bookmarkEnd w:id="837"/>
      <w:r>
        <w:rPr/>
      </w:r>
      <w:hyperlink w:history="true" w:anchor="_bookmark709">
        <w:r>
          <w:rPr>
            <w:color w:val="005DA1"/>
            <w:position w:val="5"/>
            <w:sz w:val="14"/>
            <w:u w:val="single" w:color="005DA1"/>
          </w:rPr>
          <w:t>420</w:t>
        </w:r>
      </w:hyperlink>
      <w:r>
        <w:rPr>
          <w:position w:val="5"/>
          <w:sz w:val="14"/>
        </w:rPr>
        <w:t>.</w:t>
      </w:r>
      <w:r>
        <w:rPr>
          <w:spacing w:val="80"/>
          <w:position w:val="5"/>
          <w:sz w:val="14"/>
        </w:rPr>
        <w:t>  </w:t>
      </w:r>
      <w:r>
        <w:rPr/>
        <w:t>Dicey, Morris and Collins, para.33-233. Contrast art.4(1)(c) and (d) of the Rome I </w:t>
      </w:r>
      <w:r>
        <w:rPr/>
        <w:t>Regulation</w:t>
      </w:r>
      <w:r>
        <w:rPr>
          <w:spacing w:val="40"/>
        </w:rPr>
        <w:t> </w:t>
      </w:r>
      <w:r>
        <w:rPr/>
        <w:t>and on timeshare arrangements, art.6(4)(c). See on timeshares, Directive 2008/122/EC of the European Parliament and of the Council of January 14, 2009 on the protection of consumers in respect of certain aspects of timeshare, long-term holiday product, resale and exchange contracts [2009] O.J. L33/10, implemented in the UK by SI 2010/2960, as amended by SI 2011/1065 and repealing and replacing Timeshare Act 1992. And see n.420, above.</w:t>
      </w:r>
    </w:p>
    <w:p>
      <w:pPr>
        <w:pStyle w:val="BodyText"/>
        <w:spacing w:before="4"/>
      </w:pPr>
    </w:p>
    <w:p>
      <w:pPr>
        <w:pStyle w:val="BodyText"/>
        <w:tabs>
          <w:tab w:pos="705" w:val="left" w:leader="none"/>
        </w:tabs>
        <w:ind w:left="165"/>
      </w:pPr>
      <w:bookmarkStart w:name="_bookmark836" w:id="838"/>
      <w:bookmarkEnd w:id="838"/>
      <w:r>
        <w:rPr/>
      </w:r>
      <w:hyperlink w:history="true" w:anchor="_bookmark710">
        <w:r>
          <w:rPr>
            <w:color w:val="005DA1"/>
            <w:spacing w:val="-4"/>
            <w:position w:val="5"/>
            <w:sz w:val="14"/>
            <w:u w:val="single" w:color="005DA1"/>
          </w:rPr>
          <w:t>421</w:t>
        </w:r>
      </w:hyperlink>
      <w:r>
        <w:rPr>
          <w:spacing w:val="-4"/>
          <w:position w:val="5"/>
          <w:sz w:val="14"/>
        </w:rPr>
        <w:t>.</w:t>
      </w:r>
      <w:r>
        <w:rPr>
          <w:position w:val="5"/>
          <w:sz w:val="14"/>
        </w:rPr>
        <w:tab/>
      </w:r>
      <w:r>
        <w:rPr/>
        <w:t>Dicey, Morris and Collins, paras 33-264—33-</w:t>
      </w:r>
      <w:r>
        <w:rPr>
          <w:spacing w:val="-4"/>
        </w:rPr>
        <w:t>292.</w:t>
      </w:r>
    </w:p>
    <w:p>
      <w:pPr>
        <w:pStyle w:val="BodyText"/>
        <w:spacing w:before="9"/>
      </w:pPr>
    </w:p>
    <w:p>
      <w:pPr>
        <w:spacing w:line="235" w:lineRule="auto" w:before="0"/>
        <w:ind w:left="705" w:right="167" w:hanging="541"/>
        <w:jc w:val="both"/>
        <w:rPr>
          <w:sz w:val="20"/>
        </w:rPr>
      </w:pPr>
      <w:bookmarkStart w:name="_bookmark837" w:id="839"/>
      <w:bookmarkEnd w:id="839"/>
      <w:r>
        <w:rPr/>
      </w:r>
      <w:hyperlink w:history="true" w:anchor="_bookmark711">
        <w:r>
          <w:rPr>
            <w:color w:val="005DA1"/>
            <w:position w:val="5"/>
            <w:sz w:val="14"/>
            <w:u w:val="single" w:color="005DA1"/>
          </w:rPr>
          <w:t>422</w:t>
        </w:r>
      </w:hyperlink>
      <w:r>
        <w:rPr>
          <w:position w:val="5"/>
          <w:sz w:val="14"/>
        </w:rPr>
        <w:t>.</w:t>
      </w:r>
      <w:r>
        <w:rPr>
          <w:spacing w:val="40"/>
          <w:position w:val="5"/>
          <w:sz w:val="14"/>
        </w:rPr>
        <w:t>  </w:t>
      </w:r>
      <w:r>
        <w:rPr>
          <w:sz w:val="20"/>
        </w:rPr>
        <w:t>Rome Convention art.4(4). For the position under art.5 of the Rome I Regulation, see </w:t>
      </w:r>
      <w:r>
        <w:rPr>
          <w:sz w:val="20"/>
        </w:rPr>
        <w:t>below, paras</w:t>
      </w:r>
      <w:r>
        <w:rPr>
          <w:spacing w:val="40"/>
          <w:sz w:val="20"/>
        </w:rPr>
        <w:t> </w:t>
      </w:r>
      <w:r>
        <w:rPr>
          <w:sz w:val="20"/>
        </w:rPr>
        <w:t>30-209</w:t>
      </w:r>
      <w:r>
        <w:rPr>
          <w:spacing w:val="40"/>
          <w:sz w:val="20"/>
        </w:rPr>
        <w:t> </w:t>
      </w:r>
      <w:r>
        <w:rPr>
          <w:sz w:val="20"/>
        </w:rPr>
        <w:t>et</w:t>
      </w:r>
      <w:r>
        <w:rPr>
          <w:spacing w:val="40"/>
          <w:sz w:val="20"/>
        </w:rPr>
        <w:t> </w:t>
      </w:r>
      <w:r>
        <w:rPr>
          <w:sz w:val="20"/>
        </w:rPr>
        <w:t>seq.</w:t>
      </w:r>
      <w:r>
        <w:rPr>
          <w:spacing w:val="40"/>
          <w:sz w:val="20"/>
        </w:rPr>
        <w:t> </w:t>
      </w:r>
      <w:r>
        <w:rPr>
          <w:sz w:val="20"/>
        </w:rPr>
        <w:t>See</w:t>
      </w:r>
      <w:r>
        <w:rPr>
          <w:spacing w:val="40"/>
          <w:sz w:val="20"/>
        </w:rPr>
        <w:t> </w:t>
      </w:r>
      <w:r>
        <w:rPr>
          <w:rFonts w:ascii="Arial"/>
          <w:i/>
          <w:sz w:val="20"/>
        </w:rPr>
        <w:t>Intercontainer</w:t>
      </w:r>
      <w:r>
        <w:rPr>
          <w:rFonts w:ascii="Arial"/>
          <w:i/>
          <w:spacing w:val="40"/>
          <w:sz w:val="20"/>
        </w:rPr>
        <w:t> </w:t>
      </w:r>
      <w:r>
        <w:rPr>
          <w:rFonts w:ascii="Arial"/>
          <w:i/>
          <w:sz w:val="20"/>
        </w:rPr>
        <w:t>Interfrigo</w:t>
      </w:r>
      <w:r>
        <w:rPr>
          <w:rFonts w:ascii="Arial"/>
          <w:i/>
          <w:spacing w:val="40"/>
          <w:sz w:val="20"/>
        </w:rPr>
        <w:t> </w:t>
      </w:r>
      <w:r>
        <w:rPr>
          <w:rFonts w:ascii="Arial"/>
          <w:i/>
          <w:sz w:val="20"/>
        </w:rPr>
        <w:t>SC</w:t>
      </w:r>
      <w:r>
        <w:rPr>
          <w:rFonts w:ascii="Arial"/>
          <w:i/>
          <w:spacing w:val="40"/>
          <w:sz w:val="20"/>
        </w:rPr>
        <w:t> </w:t>
      </w:r>
      <w:r>
        <w:rPr>
          <w:rFonts w:ascii="Arial"/>
          <w:i/>
          <w:sz w:val="20"/>
        </w:rPr>
        <w:t>(ICF)</w:t>
      </w:r>
      <w:r>
        <w:rPr>
          <w:rFonts w:ascii="Arial"/>
          <w:i/>
          <w:spacing w:val="40"/>
          <w:sz w:val="20"/>
        </w:rPr>
        <w:t> </w:t>
      </w:r>
      <w:r>
        <w:rPr>
          <w:rFonts w:ascii="Arial"/>
          <w:i/>
          <w:sz w:val="20"/>
        </w:rPr>
        <w:t>v</w:t>
      </w:r>
      <w:r>
        <w:rPr>
          <w:rFonts w:ascii="Arial"/>
          <w:i/>
          <w:spacing w:val="40"/>
          <w:sz w:val="20"/>
        </w:rPr>
        <w:t> </w:t>
      </w:r>
      <w:r>
        <w:rPr>
          <w:rFonts w:ascii="Arial"/>
          <w:i/>
          <w:sz w:val="20"/>
        </w:rPr>
        <w:t>Balkenende</w:t>
      </w:r>
      <w:r>
        <w:rPr>
          <w:rFonts w:ascii="Arial"/>
          <w:i/>
          <w:spacing w:val="40"/>
          <w:sz w:val="20"/>
        </w:rPr>
        <w:t> </w:t>
      </w:r>
      <w:r>
        <w:rPr>
          <w:rFonts w:ascii="Arial"/>
          <w:i/>
          <w:sz w:val="20"/>
        </w:rPr>
        <w:t>Oosthuizen</w:t>
      </w:r>
      <w:r>
        <w:rPr>
          <w:rFonts w:ascii="Arial"/>
          <w:i/>
          <w:spacing w:val="40"/>
          <w:sz w:val="20"/>
        </w:rPr>
        <w:t> </w:t>
      </w:r>
      <w:r>
        <w:rPr>
          <w:rFonts w:ascii="Arial"/>
          <w:i/>
          <w:sz w:val="20"/>
        </w:rPr>
        <w:t>BV (C-133/08) [2010] Q.B. 411 </w:t>
      </w:r>
      <w:r>
        <w:rPr>
          <w:sz w:val="20"/>
        </w:rPr>
        <w:t>(a case on carriage by rail).</w:t>
      </w:r>
    </w:p>
    <w:p>
      <w:pPr>
        <w:pStyle w:val="BodyText"/>
        <w:spacing w:before="8"/>
      </w:pPr>
    </w:p>
    <w:p>
      <w:pPr>
        <w:pStyle w:val="BodyText"/>
        <w:spacing w:line="235" w:lineRule="auto" w:before="1"/>
        <w:ind w:left="705" w:right="167" w:hanging="541"/>
        <w:jc w:val="both"/>
      </w:pPr>
      <w:bookmarkStart w:name="_bookmark838" w:id="840"/>
      <w:bookmarkEnd w:id="840"/>
      <w:r>
        <w:rPr/>
      </w:r>
      <w:hyperlink w:history="true" w:anchor="_bookmark712">
        <w:r>
          <w:rPr>
            <w:color w:val="005DA1"/>
            <w:position w:val="5"/>
            <w:sz w:val="14"/>
            <w:u w:val="single" w:color="005DA1"/>
          </w:rPr>
          <w:t>423</w:t>
        </w:r>
      </w:hyperlink>
      <w:r>
        <w:rPr>
          <w:position w:val="5"/>
          <w:sz w:val="14"/>
        </w:rPr>
        <w:t>.</w:t>
      </w:r>
      <w:r>
        <w:rPr>
          <w:spacing w:val="40"/>
          <w:position w:val="5"/>
          <w:sz w:val="14"/>
        </w:rPr>
        <w:t>  </w:t>
      </w:r>
      <w:r>
        <w:rPr/>
        <w:t>Where a party who contracts to carry goods for another does not carry them himself but</w:t>
      </w:r>
      <w:r>
        <w:rPr>
          <w:spacing w:val="80"/>
        </w:rPr>
        <w:t> </w:t>
      </w:r>
      <w:r>
        <w:rPr/>
        <w:t>arranges for a third party to do so, art.4(4) will apparently apply, since the term </w:t>
      </w:r>
      <w:r>
        <w:rPr>
          <w:rFonts w:ascii="Arial" w:hAnsi="Arial"/>
          <w:i/>
        </w:rPr>
        <w:t>"carrier"</w:t>
      </w:r>
      <w:r>
        <w:rPr>
          <w:rFonts w:ascii="Arial" w:hAnsi="Arial"/>
          <w:i/>
          <w:spacing w:val="40"/>
        </w:rPr>
        <w:t> </w:t>
      </w:r>
      <w:r>
        <w:rPr/>
        <w:t>means the party who undertakes to carry the goods whether or not he performs the carriage </w:t>
      </w:r>
      <w:r>
        <w:rPr/>
        <w:t>himself: Giuliano-Lagarde Report, p.22; see Dicey, Morris and Collins, para.33–271. As to the meaning of “principal place of business”, see Dicey, Morris and Collins, para.33–272; </w:t>
      </w:r>
      <w:r>
        <w:rPr>
          <w:rFonts w:ascii="Arial" w:hAnsi="Arial"/>
          <w:i/>
        </w:rPr>
        <w:t>Intercontainer Interfrigo SC (ICF) v Balkenende Oosthuizen BV (C-133/08) [2010] Q.B. 411</w:t>
      </w:r>
      <w:r>
        <w:rPr/>
        <w:t>.</w:t>
      </w:r>
    </w:p>
    <w:p>
      <w:pPr>
        <w:pStyle w:val="BodyText"/>
        <w:spacing w:after="0" w:line="235" w:lineRule="auto"/>
        <w:jc w:val="both"/>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713">
        <w:r>
          <w:rPr>
            <w:color w:val="005DA1"/>
            <w:position w:val="5"/>
            <w:sz w:val="14"/>
            <w:u w:val="single" w:color="005DA1"/>
          </w:rPr>
          <w:t>424</w:t>
        </w:r>
      </w:hyperlink>
      <w:r>
        <w:rPr>
          <w:position w:val="5"/>
          <w:sz w:val="14"/>
        </w:rPr>
        <w:t>.</w:t>
      </w:r>
      <w:r>
        <w:rPr>
          <w:spacing w:val="80"/>
          <w:position w:val="5"/>
          <w:sz w:val="14"/>
        </w:rPr>
        <w:t>  </w:t>
      </w:r>
      <w:r>
        <w:rPr>
          <w:sz w:val="20"/>
        </w:rPr>
        <w:t>The</w:t>
      </w:r>
      <w:r>
        <w:rPr>
          <w:spacing w:val="80"/>
          <w:sz w:val="20"/>
        </w:rPr>
        <w:t> </w:t>
      </w:r>
      <w:r>
        <w:rPr>
          <w:sz w:val="20"/>
        </w:rPr>
        <w:t>place</w:t>
      </w:r>
      <w:r>
        <w:rPr>
          <w:spacing w:val="80"/>
          <w:sz w:val="20"/>
        </w:rPr>
        <w:t> </w:t>
      </w:r>
      <w:r>
        <w:rPr>
          <w:sz w:val="20"/>
        </w:rPr>
        <w:t>of</w:t>
      </w:r>
      <w:r>
        <w:rPr>
          <w:spacing w:val="80"/>
          <w:sz w:val="20"/>
        </w:rPr>
        <w:t> </w:t>
      </w:r>
      <w:r>
        <w:rPr>
          <w:sz w:val="20"/>
        </w:rPr>
        <w:t>loading</w:t>
      </w:r>
      <w:r>
        <w:rPr>
          <w:spacing w:val="80"/>
          <w:sz w:val="20"/>
        </w:rPr>
        <w:t> </w:t>
      </w:r>
      <w:r>
        <w:rPr>
          <w:sz w:val="20"/>
        </w:rPr>
        <w:t>is</w:t>
      </w:r>
      <w:r>
        <w:rPr>
          <w:spacing w:val="80"/>
          <w:sz w:val="20"/>
        </w:rPr>
        <w:t> </w:t>
      </w:r>
      <w:r>
        <w:rPr>
          <w:sz w:val="20"/>
        </w:rPr>
        <w:t>that</w:t>
      </w:r>
      <w:r>
        <w:rPr>
          <w:spacing w:val="80"/>
          <w:sz w:val="20"/>
        </w:rPr>
        <w:t> </w:t>
      </w:r>
      <w:r>
        <w:rPr>
          <w:sz w:val="20"/>
        </w:rPr>
        <w:t>agreed</w:t>
      </w:r>
      <w:r>
        <w:rPr>
          <w:spacing w:val="80"/>
          <w:sz w:val="20"/>
        </w:rPr>
        <w:t> </w:t>
      </w:r>
      <w:r>
        <w:rPr>
          <w:sz w:val="20"/>
        </w:rPr>
        <w:t>at</w:t>
      </w:r>
      <w:r>
        <w:rPr>
          <w:spacing w:val="80"/>
          <w:sz w:val="20"/>
        </w:rPr>
        <w:t> </w:t>
      </w:r>
      <w:r>
        <w:rPr>
          <w:sz w:val="20"/>
        </w:rPr>
        <w:t>the</w:t>
      </w:r>
      <w:r>
        <w:rPr>
          <w:spacing w:val="80"/>
          <w:sz w:val="20"/>
        </w:rPr>
        <w:t> </w:t>
      </w:r>
      <w:r>
        <w:rPr>
          <w:sz w:val="20"/>
        </w:rPr>
        <w:t>time</w:t>
      </w:r>
      <w:r>
        <w:rPr>
          <w:spacing w:val="80"/>
          <w:sz w:val="20"/>
        </w:rPr>
        <w:t> </w:t>
      </w:r>
      <w:r>
        <w:rPr>
          <w:sz w:val="20"/>
        </w:rPr>
        <w:t>of</w:t>
      </w:r>
      <w:r>
        <w:rPr>
          <w:spacing w:val="80"/>
          <w:sz w:val="20"/>
        </w:rPr>
        <w:t> </w:t>
      </w:r>
      <w:r>
        <w:rPr>
          <w:sz w:val="20"/>
        </w:rPr>
        <w:t>the</w:t>
      </w:r>
      <w:r>
        <w:rPr>
          <w:spacing w:val="80"/>
          <w:sz w:val="20"/>
        </w:rPr>
        <w:t> </w:t>
      </w:r>
      <w:r>
        <w:rPr>
          <w:sz w:val="20"/>
        </w:rPr>
        <w:t>conclusion</w:t>
      </w:r>
      <w:r>
        <w:rPr>
          <w:spacing w:val="80"/>
          <w:sz w:val="20"/>
        </w:rPr>
        <w:t> </w:t>
      </w:r>
      <w:r>
        <w:rPr>
          <w:sz w:val="20"/>
        </w:rPr>
        <w:t>of</w:t>
      </w:r>
      <w:r>
        <w:rPr>
          <w:spacing w:val="80"/>
          <w:sz w:val="20"/>
        </w:rPr>
        <w:t> </w:t>
      </w:r>
      <w:r>
        <w:rPr>
          <w:sz w:val="20"/>
        </w:rPr>
        <w:t>the</w:t>
      </w:r>
      <w:r>
        <w:rPr>
          <w:spacing w:val="80"/>
          <w:sz w:val="20"/>
        </w:rPr>
        <w:t> </w:t>
      </w:r>
      <w:r>
        <w:rPr>
          <w:sz w:val="20"/>
        </w:rPr>
        <w:t>contract: Giuliano-Lagarde Report, p.22; Dicey, Morris and Collins, para.33–273; </w:t>
      </w:r>
      <w:r>
        <w:rPr>
          <w:rFonts w:ascii="Arial" w:hAnsi="Arial"/>
          <w:i/>
          <w:sz w:val="20"/>
        </w:rPr>
        <w:t>Intercontainer </w:t>
      </w:r>
      <w:r>
        <w:rPr>
          <w:rFonts w:ascii="Arial" w:hAnsi="Arial"/>
          <w:i/>
          <w:sz w:val="20"/>
        </w:rPr>
        <w:t>Interfrigo SC (ICF) v Balkenende Oosthuizen BV (C-133/08) [2010] Q.B. 411</w:t>
      </w:r>
      <w:r>
        <w:rPr>
          <w:sz w:val="20"/>
        </w:rPr>
        <w:t>.</w:t>
      </w:r>
    </w:p>
    <w:p>
      <w:pPr>
        <w:pStyle w:val="BodyText"/>
        <w:spacing w:before="9"/>
      </w:pPr>
    </w:p>
    <w:p>
      <w:pPr>
        <w:pStyle w:val="BodyText"/>
        <w:tabs>
          <w:tab w:pos="705" w:val="left" w:leader="none"/>
        </w:tabs>
        <w:spacing w:line="235" w:lineRule="auto"/>
        <w:ind w:left="705" w:right="168" w:hanging="541"/>
      </w:pPr>
      <w:bookmarkStart w:name="_bookmark839" w:id="841"/>
      <w:bookmarkEnd w:id="841"/>
      <w:r>
        <w:rPr/>
      </w:r>
      <w:hyperlink w:history="true" w:anchor="_bookmark713">
        <w:r>
          <w:rPr>
            <w:color w:val="005DA1"/>
            <w:spacing w:val="-4"/>
            <w:position w:val="5"/>
            <w:sz w:val="14"/>
            <w:u w:val="single" w:color="005DA1"/>
          </w:rPr>
          <w:t>425</w:t>
        </w:r>
      </w:hyperlink>
      <w:r>
        <w:rPr>
          <w:spacing w:val="-4"/>
          <w:position w:val="5"/>
          <w:sz w:val="14"/>
        </w:rPr>
        <w:t>.</w:t>
      </w:r>
      <w:r>
        <w:rPr>
          <w:position w:val="5"/>
          <w:sz w:val="14"/>
        </w:rPr>
        <w:tab/>
      </w:r>
      <w:r>
        <w:rPr/>
        <w:t>The</w:t>
      </w:r>
      <w:r>
        <w:rPr>
          <w:spacing w:val="40"/>
        </w:rPr>
        <w:t> </w:t>
      </w:r>
      <w:r>
        <w:rPr/>
        <w:t>place</w:t>
      </w:r>
      <w:r>
        <w:rPr>
          <w:spacing w:val="40"/>
        </w:rPr>
        <w:t> </w:t>
      </w:r>
      <w:r>
        <w:rPr/>
        <w:t>of</w:t>
      </w:r>
      <w:r>
        <w:rPr>
          <w:spacing w:val="40"/>
        </w:rPr>
        <w:t> </w:t>
      </w:r>
      <w:r>
        <w:rPr/>
        <w:t>discharge</w:t>
      </w:r>
      <w:r>
        <w:rPr>
          <w:spacing w:val="40"/>
        </w:rPr>
        <w:t> </w:t>
      </w:r>
      <w:r>
        <w:rPr/>
        <w:t>is</w:t>
      </w:r>
      <w:r>
        <w:rPr>
          <w:spacing w:val="40"/>
        </w:rPr>
        <w:t> </w:t>
      </w:r>
      <w:r>
        <w:rPr/>
        <w:t>that</w:t>
      </w:r>
      <w:r>
        <w:rPr>
          <w:spacing w:val="40"/>
        </w:rPr>
        <w:t> </w:t>
      </w:r>
      <w:r>
        <w:rPr/>
        <w:t>agreed</w:t>
      </w:r>
      <w:r>
        <w:rPr>
          <w:spacing w:val="40"/>
        </w:rPr>
        <w:t> </w:t>
      </w:r>
      <w:r>
        <w:rPr/>
        <w:t>at</w:t>
      </w:r>
      <w:r>
        <w:rPr>
          <w:spacing w:val="40"/>
        </w:rPr>
        <w:t> </w:t>
      </w:r>
      <w:r>
        <w:rPr/>
        <w:t>the</w:t>
      </w:r>
      <w:r>
        <w:rPr>
          <w:spacing w:val="40"/>
        </w:rPr>
        <w:t> </w:t>
      </w:r>
      <w:r>
        <w:rPr/>
        <w:t>time</w:t>
      </w:r>
      <w:r>
        <w:rPr>
          <w:spacing w:val="40"/>
        </w:rPr>
        <w:t> </w:t>
      </w:r>
      <w:r>
        <w:rPr/>
        <w:t>of</w:t>
      </w:r>
      <w:r>
        <w:rPr>
          <w:spacing w:val="40"/>
        </w:rPr>
        <w:t> </w:t>
      </w:r>
      <w:r>
        <w:rPr/>
        <w:t>the</w:t>
      </w:r>
      <w:r>
        <w:rPr>
          <w:spacing w:val="40"/>
        </w:rPr>
        <w:t> </w:t>
      </w:r>
      <w:r>
        <w:rPr/>
        <w:t>conclusion</w:t>
      </w:r>
      <w:r>
        <w:rPr>
          <w:spacing w:val="40"/>
        </w:rPr>
        <w:t> </w:t>
      </w:r>
      <w:r>
        <w:rPr/>
        <w:t>of</w:t>
      </w:r>
      <w:r>
        <w:rPr>
          <w:spacing w:val="40"/>
        </w:rPr>
        <w:t> </w:t>
      </w:r>
      <w:r>
        <w:rPr/>
        <w:t>the</w:t>
      </w:r>
      <w:r>
        <w:rPr>
          <w:spacing w:val="40"/>
        </w:rPr>
        <w:t> </w:t>
      </w:r>
      <w:r>
        <w:rPr/>
        <w:t>contract:</w:t>
      </w:r>
      <w:r>
        <w:rPr>
          <w:spacing w:val="40"/>
        </w:rPr>
        <w:t> </w:t>
      </w:r>
      <w:r>
        <w:rPr/>
        <w:t>see</w:t>
      </w:r>
      <w:r>
        <w:rPr>
          <w:spacing w:val="40"/>
        </w:rPr>
        <w:t> </w:t>
      </w:r>
      <w:r>
        <w:rPr/>
        <w:t>authorities in preceding note.</w:t>
      </w:r>
    </w:p>
    <w:p>
      <w:pPr>
        <w:pStyle w:val="BodyText"/>
        <w:spacing w:before="9"/>
      </w:pPr>
    </w:p>
    <w:p>
      <w:pPr>
        <w:spacing w:line="235" w:lineRule="auto" w:before="0"/>
        <w:ind w:left="705" w:right="167" w:hanging="541"/>
        <w:jc w:val="both"/>
        <w:rPr>
          <w:sz w:val="20"/>
        </w:rPr>
      </w:pPr>
      <w:bookmarkStart w:name="_bookmark840" w:id="842"/>
      <w:bookmarkEnd w:id="842"/>
      <w:r>
        <w:rPr/>
      </w:r>
      <w:hyperlink w:history="true" w:anchor="_bookmark714">
        <w:r>
          <w:rPr>
            <w:color w:val="005DA1"/>
            <w:position w:val="5"/>
            <w:sz w:val="14"/>
            <w:u w:val="single" w:color="005DA1"/>
          </w:rPr>
          <w:t>426</w:t>
        </w:r>
      </w:hyperlink>
      <w:r>
        <w:rPr>
          <w:position w:val="5"/>
          <w:sz w:val="14"/>
        </w:rPr>
        <w:t>.</w:t>
      </w:r>
      <w:r>
        <w:rPr>
          <w:spacing w:val="80"/>
          <w:position w:val="5"/>
          <w:sz w:val="14"/>
        </w:rPr>
        <w:t>  </w:t>
      </w:r>
      <w:r>
        <w:rPr>
          <w:rFonts w:ascii="Arial" w:hAnsi="Arial"/>
          <w:i/>
          <w:sz w:val="20"/>
        </w:rPr>
        <w:t>"Consignor"</w:t>
      </w:r>
      <w:r>
        <w:rPr>
          <w:rFonts w:ascii="Arial" w:hAnsi="Arial"/>
          <w:i/>
          <w:spacing w:val="80"/>
          <w:sz w:val="20"/>
        </w:rPr>
        <w:t>  </w:t>
      </w:r>
      <w:r>
        <w:rPr>
          <w:sz w:val="20"/>
        </w:rPr>
        <w:t>apparently</w:t>
      </w:r>
      <w:r>
        <w:rPr>
          <w:spacing w:val="40"/>
          <w:sz w:val="20"/>
        </w:rPr>
        <w:t> </w:t>
      </w:r>
      <w:r>
        <w:rPr>
          <w:sz w:val="20"/>
        </w:rPr>
        <w:t>refers</w:t>
      </w:r>
      <w:r>
        <w:rPr>
          <w:spacing w:val="40"/>
          <w:sz w:val="20"/>
        </w:rPr>
        <w:t> </w:t>
      </w:r>
      <w:r>
        <w:rPr>
          <w:sz w:val="20"/>
        </w:rPr>
        <w:t>to</w:t>
      </w:r>
      <w:r>
        <w:rPr>
          <w:spacing w:val="40"/>
          <w:sz w:val="20"/>
        </w:rPr>
        <w:t> </w:t>
      </w:r>
      <w:r>
        <w:rPr>
          <w:sz w:val="20"/>
        </w:rPr>
        <w:t>“any</w:t>
      </w:r>
      <w:r>
        <w:rPr>
          <w:spacing w:val="40"/>
          <w:sz w:val="20"/>
        </w:rPr>
        <w:t> </w:t>
      </w:r>
      <w:r>
        <w:rPr>
          <w:sz w:val="20"/>
        </w:rPr>
        <w:t>person</w:t>
      </w:r>
      <w:r>
        <w:rPr>
          <w:spacing w:val="40"/>
          <w:sz w:val="20"/>
        </w:rPr>
        <w:t> </w:t>
      </w:r>
      <w:r>
        <w:rPr>
          <w:sz w:val="20"/>
        </w:rPr>
        <w:t>who</w:t>
      </w:r>
      <w:r>
        <w:rPr>
          <w:spacing w:val="40"/>
          <w:sz w:val="20"/>
        </w:rPr>
        <w:t> </w:t>
      </w:r>
      <w:r>
        <w:rPr>
          <w:sz w:val="20"/>
        </w:rPr>
        <w:t>consigns</w:t>
      </w:r>
      <w:r>
        <w:rPr>
          <w:spacing w:val="40"/>
          <w:sz w:val="20"/>
        </w:rPr>
        <w:t> </w:t>
      </w:r>
      <w:r>
        <w:rPr>
          <w:sz w:val="20"/>
        </w:rPr>
        <w:t>goods</w:t>
      </w:r>
      <w:r>
        <w:rPr>
          <w:spacing w:val="40"/>
          <w:sz w:val="20"/>
        </w:rPr>
        <w:t> </w:t>
      </w:r>
      <w:r>
        <w:rPr>
          <w:sz w:val="20"/>
        </w:rPr>
        <w:t>to</w:t>
      </w:r>
      <w:r>
        <w:rPr>
          <w:spacing w:val="40"/>
          <w:sz w:val="20"/>
        </w:rPr>
        <w:t> </w:t>
      </w:r>
      <w:r>
        <w:rPr>
          <w:sz w:val="20"/>
        </w:rPr>
        <w:t>the</w:t>
      </w:r>
      <w:r>
        <w:rPr>
          <w:spacing w:val="40"/>
          <w:sz w:val="20"/>
        </w:rPr>
        <w:t> </w:t>
      </w:r>
      <w:r>
        <w:rPr>
          <w:sz w:val="20"/>
        </w:rPr>
        <w:t>carrier”: Giuliano-Lagarde Report, p.21; </w:t>
      </w:r>
      <w:r>
        <w:rPr>
          <w:rFonts w:ascii="Arial" w:hAnsi="Arial"/>
          <w:i/>
          <w:sz w:val="20"/>
        </w:rPr>
        <w:t>Intercontainer Interfrigo SC (ICF) v Balkenende Oosthuizen BV (C-133/08) [2010] Q.B. 411</w:t>
      </w:r>
      <w:r>
        <w:rPr>
          <w:sz w:val="20"/>
        </w:rPr>
        <w:t>. See Dicey, Morris and Collins, para.33–275. As to the meaning of “principal</w:t>
      </w:r>
      <w:r>
        <w:rPr>
          <w:spacing w:val="40"/>
          <w:sz w:val="20"/>
        </w:rPr>
        <w:t> </w:t>
      </w:r>
      <w:r>
        <w:rPr>
          <w:sz w:val="20"/>
        </w:rPr>
        <w:t>place</w:t>
      </w:r>
      <w:r>
        <w:rPr>
          <w:spacing w:val="40"/>
          <w:sz w:val="20"/>
        </w:rPr>
        <w:t> </w:t>
      </w:r>
      <w:r>
        <w:rPr>
          <w:sz w:val="20"/>
        </w:rPr>
        <w:t>of</w:t>
      </w:r>
      <w:r>
        <w:rPr>
          <w:spacing w:val="40"/>
          <w:sz w:val="20"/>
        </w:rPr>
        <w:t> </w:t>
      </w:r>
      <w:r>
        <w:rPr>
          <w:sz w:val="20"/>
        </w:rPr>
        <w:t>business”,</w:t>
      </w:r>
      <w:r>
        <w:rPr>
          <w:spacing w:val="40"/>
          <w:sz w:val="20"/>
        </w:rPr>
        <w:t> </w:t>
      </w:r>
      <w:r>
        <w:rPr>
          <w:sz w:val="20"/>
        </w:rPr>
        <w:t>see</w:t>
      </w:r>
      <w:r>
        <w:rPr>
          <w:spacing w:val="40"/>
          <w:sz w:val="20"/>
        </w:rPr>
        <w:t> </w:t>
      </w:r>
      <w:r>
        <w:rPr>
          <w:sz w:val="20"/>
        </w:rPr>
        <w:t>Dicey,</w:t>
      </w:r>
      <w:r>
        <w:rPr>
          <w:spacing w:val="40"/>
          <w:sz w:val="20"/>
        </w:rPr>
        <w:t> </w:t>
      </w:r>
      <w:r>
        <w:rPr>
          <w:sz w:val="20"/>
        </w:rPr>
        <w:t>Morris</w:t>
      </w:r>
      <w:r>
        <w:rPr>
          <w:spacing w:val="40"/>
          <w:sz w:val="20"/>
        </w:rPr>
        <w:t> </w:t>
      </w:r>
      <w:r>
        <w:rPr>
          <w:sz w:val="20"/>
        </w:rPr>
        <w:t>and</w:t>
      </w:r>
      <w:r>
        <w:rPr>
          <w:spacing w:val="40"/>
          <w:sz w:val="20"/>
        </w:rPr>
        <w:t> </w:t>
      </w:r>
      <w:r>
        <w:rPr>
          <w:sz w:val="20"/>
        </w:rPr>
        <w:t>Collins,</w:t>
      </w:r>
      <w:r>
        <w:rPr>
          <w:spacing w:val="40"/>
          <w:sz w:val="20"/>
        </w:rPr>
        <w:t> </w:t>
      </w:r>
      <w:r>
        <w:rPr>
          <w:sz w:val="20"/>
        </w:rPr>
        <w:t>para.33–274</w:t>
      </w:r>
      <w:r>
        <w:rPr>
          <w:spacing w:val="40"/>
          <w:sz w:val="20"/>
        </w:rPr>
        <w:t> </w:t>
      </w:r>
      <w:r>
        <w:rPr>
          <w:sz w:val="20"/>
        </w:rPr>
        <w:t>and</w:t>
      </w:r>
      <w:r>
        <w:rPr>
          <w:spacing w:val="40"/>
          <w:sz w:val="20"/>
        </w:rPr>
        <w:t> </w:t>
      </w:r>
      <w:r>
        <w:rPr>
          <w:sz w:val="20"/>
        </w:rPr>
        <w:t>above, </w:t>
      </w:r>
      <w:r>
        <w:rPr>
          <w:spacing w:val="-2"/>
          <w:sz w:val="20"/>
        </w:rPr>
        <w:t>para.30-011.</w:t>
      </w:r>
    </w:p>
    <w:p>
      <w:pPr>
        <w:pStyle w:val="BodyText"/>
        <w:spacing w:before="5"/>
      </w:pPr>
    </w:p>
    <w:p>
      <w:pPr>
        <w:tabs>
          <w:tab w:pos="705" w:val="left" w:leader="none"/>
        </w:tabs>
        <w:spacing w:before="0"/>
        <w:ind w:left="165" w:right="0" w:firstLine="0"/>
        <w:jc w:val="left"/>
        <w:rPr>
          <w:sz w:val="20"/>
        </w:rPr>
      </w:pPr>
      <w:bookmarkStart w:name="_bookmark841" w:id="843"/>
      <w:bookmarkEnd w:id="843"/>
      <w:r>
        <w:rPr/>
      </w:r>
      <w:hyperlink w:history="true" w:anchor="_bookmark715">
        <w:r>
          <w:rPr>
            <w:color w:val="005DA1"/>
            <w:spacing w:val="-4"/>
            <w:position w:val="5"/>
            <w:sz w:val="14"/>
            <w:u w:val="single" w:color="005DA1"/>
          </w:rPr>
          <w:t>427</w:t>
        </w:r>
      </w:hyperlink>
      <w:r>
        <w:rPr>
          <w:spacing w:val="-4"/>
          <w:position w:val="5"/>
          <w:sz w:val="14"/>
        </w:rPr>
        <w:t>.</w:t>
      </w:r>
      <w:r>
        <w:rPr>
          <w:position w:val="5"/>
          <w:sz w:val="14"/>
        </w:rPr>
        <w:tab/>
      </w:r>
      <w:r>
        <w:rPr>
          <w:rFonts w:ascii="Arial"/>
          <w:i/>
          <w:sz w:val="20"/>
        </w:rPr>
        <w:t>Intercontainer Interfrigo SC (ICF) v Balkenende Oosthuizen BV (C-133/08) [2010] Q.B. </w:t>
      </w:r>
      <w:r>
        <w:rPr>
          <w:rFonts w:ascii="Arial"/>
          <w:i/>
          <w:spacing w:val="-4"/>
          <w:sz w:val="20"/>
        </w:rPr>
        <w:t>411</w:t>
      </w:r>
      <w:r>
        <w:rPr>
          <w:spacing w:val="-4"/>
          <w:sz w:val="20"/>
        </w:rPr>
        <w:t>.</w:t>
      </w:r>
    </w:p>
    <w:p>
      <w:pPr>
        <w:pStyle w:val="BodyText"/>
        <w:spacing w:before="8"/>
      </w:pPr>
    </w:p>
    <w:p>
      <w:pPr>
        <w:spacing w:line="235" w:lineRule="auto" w:before="1"/>
        <w:ind w:left="705" w:right="167" w:hanging="541"/>
        <w:jc w:val="both"/>
        <w:rPr>
          <w:sz w:val="20"/>
        </w:rPr>
      </w:pPr>
      <w:bookmarkStart w:name="_bookmark842" w:id="844"/>
      <w:bookmarkEnd w:id="844"/>
      <w:r>
        <w:rPr/>
      </w:r>
      <w:hyperlink w:history="true" w:anchor="_bookmark716">
        <w:r>
          <w:rPr>
            <w:color w:val="005DA1"/>
            <w:position w:val="5"/>
            <w:sz w:val="14"/>
            <w:u w:val="single" w:color="005DA1"/>
          </w:rPr>
          <w:t>428</w:t>
        </w:r>
      </w:hyperlink>
      <w:r>
        <w:rPr>
          <w:position w:val="5"/>
          <w:sz w:val="14"/>
        </w:rPr>
        <w:t>.</w:t>
      </w:r>
      <w:r>
        <w:rPr>
          <w:spacing w:val="80"/>
          <w:w w:val="150"/>
          <w:position w:val="5"/>
          <w:sz w:val="14"/>
        </w:rPr>
        <w:t> </w:t>
      </w:r>
      <w:r>
        <w:rPr>
          <w:rFonts w:ascii="Arial" w:hAnsi="Arial"/>
          <w:i/>
          <w:sz w:val="20"/>
        </w:rPr>
        <w:t>Intercontainer Interfrigo SC (ICF) v Balkenende Oosthuizen BV (C-133/08) [2010] Q.B. </w:t>
      </w:r>
      <w:r>
        <w:rPr>
          <w:rFonts w:ascii="Arial" w:hAnsi="Arial"/>
          <w:i/>
          <w:sz w:val="20"/>
        </w:rPr>
        <w:t>411</w:t>
      </w:r>
      <w:r>
        <w:rPr>
          <w:sz w:val="20"/>
        </w:rPr>
        <w:t>. Dicey,</w:t>
      </w:r>
      <w:r>
        <w:rPr>
          <w:spacing w:val="-1"/>
          <w:sz w:val="20"/>
        </w:rPr>
        <w:t> </w:t>
      </w:r>
      <w:r>
        <w:rPr>
          <w:sz w:val="20"/>
        </w:rPr>
        <w:t>Morris</w:t>
      </w:r>
      <w:r>
        <w:rPr>
          <w:spacing w:val="-1"/>
          <w:sz w:val="20"/>
        </w:rPr>
        <w:t> </w:t>
      </w:r>
      <w:r>
        <w:rPr>
          <w:sz w:val="20"/>
        </w:rPr>
        <w:t>and</w:t>
      </w:r>
      <w:r>
        <w:rPr>
          <w:spacing w:val="-1"/>
          <w:sz w:val="20"/>
        </w:rPr>
        <w:t> </w:t>
      </w:r>
      <w:r>
        <w:rPr>
          <w:sz w:val="20"/>
        </w:rPr>
        <w:t>Collins,</w:t>
      </w:r>
      <w:r>
        <w:rPr>
          <w:spacing w:val="-1"/>
          <w:sz w:val="20"/>
        </w:rPr>
        <w:t> </w:t>
      </w:r>
      <w:r>
        <w:rPr>
          <w:sz w:val="20"/>
        </w:rPr>
        <w:t>para.33–252.</w:t>
      </w:r>
      <w:r>
        <w:rPr>
          <w:spacing w:val="-1"/>
          <w:sz w:val="20"/>
        </w:rPr>
        <w:t> </w:t>
      </w:r>
      <w:r>
        <w:rPr>
          <w:sz w:val="20"/>
        </w:rPr>
        <w:t>As</w:t>
      </w:r>
      <w:r>
        <w:rPr>
          <w:spacing w:val="-1"/>
          <w:sz w:val="20"/>
        </w:rPr>
        <w:t> </w:t>
      </w:r>
      <w:r>
        <w:rPr>
          <w:sz w:val="20"/>
        </w:rPr>
        <w:t>to</w:t>
      </w:r>
      <w:r>
        <w:rPr>
          <w:spacing w:val="-1"/>
          <w:sz w:val="20"/>
        </w:rPr>
        <w:t> </w:t>
      </w:r>
      <w:r>
        <w:rPr>
          <w:sz w:val="20"/>
        </w:rPr>
        <w:t>carriage</w:t>
      </w:r>
      <w:r>
        <w:rPr>
          <w:spacing w:val="-1"/>
          <w:sz w:val="20"/>
        </w:rPr>
        <w:t> </w:t>
      </w:r>
      <w:r>
        <w:rPr>
          <w:sz w:val="20"/>
        </w:rPr>
        <w:t>of</w:t>
      </w:r>
      <w:r>
        <w:rPr>
          <w:spacing w:val="-1"/>
          <w:sz w:val="20"/>
        </w:rPr>
        <w:t> </w:t>
      </w:r>
      <w:r>
        <w:rPr>
          <w:sz w:val="20"/>
        </w:rPr>
        <w:t>persons</w:t>
      </w:r>
      <w:r>
        <w:rPr>
          <w:spacing w:val="-1"/>
          <w:sz w:val="20"/>
        </w:rPr>
        <w:t> </w:t>
      </w:r>
      <w:r>
        <w:rPr>
          <w:sz w:val="20"/>
        </w:rPr>
        <w:t>under</w:t>
      </w:r>
      <w:r>
        <w:rPr>
          <w:spacing w:val="-1"/>
          <w:sz w:val="20"/>
        </w:rPr>
        <w:t> </w:t>
      </w:r>
      <w:r>
        <w:rPr>
          <w:sz w:val="20"/>
        </w:rPr>
        <w:t>the</w:t>
      </w:r>
      <w:r>
        <w:rPr>
          <w:spacing w:val="-1"/>
          <w:sz w:val="20"/>
        </w:rPr>
        <w:t> </w:t>
      </w:r>
      <w:r>
        <w:rPr>
          <w:sz w:val="20"/>
        </w:rPr>
        <w:t>Rome</w:t>
      </w:r>
      <w:r>
        <w:rPr>
          <w:spacing w:val="-1"/>
          <w:sz w:val="20"/>
        </w:rPr>
        <w:t> </w:t>
      </w:r>
      <w:r>
        <w:rPr>
          <w:sz w:val="20"/>
        </w:rPr>
        <w:t>I</w:t>
      </w:r>
      <w:r>
        <w:rPr>
          <w:spacing w:val="-1"/>
          <w:sz w:val="20"/>
        </w:rPr>
        <w:t> </w:t>
      </w:r>
      <w:r>
        <w:rPr>
          <w:sz w:val="20"/>
        </w:rPr>
        <w:t>Regulation, see below, paras 30-210 et seq.</w:t>
      </w:r>
    </w:p>
    <w:p>
      <w:pPr>
        <w:pStyle w:val="BodyText"/>
        <w:spacing w:before="4"/>
      </w:pPr>
    </w:p>
    <w:p>
      <w:pPr>
        <w:pStyle w:val="BodyText"/>
        <w:tabs>
          <w:tab w:pos="705" w:val="left" w:leader="none"/>
        </w:tabs>
        <w:spacing w:before="1"/>
        <w:ind w:left="165"/>
      </w:pPr>
      <w:bookmarkStart w:name="_bookmark843" w:id="845"/>
      <w:bookmarkEnd w:id="845"/>
      <w:r>
        <w:rPr/>
      </w:r>
      <w:hyperlink w:history="true" w:anchor="_bookmark717">
        <w:r>
          <w:rPr>
            <w:color w:val="005DA1"/>
            <w:spacing w:val="-4"/>
            <w:position w:val="5"/>
            <w:sz w:val="14"/>
            <w:u w:val="single" w:color="005DA1"/>
          </w:rPr>
          <w:t>429</w:t>
        </w:r>
      </w:hyperlink>
      <w:r>
        <w:rPr>
          <w:spacing w:val="-4"/>
          <w:position w:val="5"/>
          <w:sz w:val="14"/>
        </w:rPr>
        <w:t>.</w:t>
      </w:r>
      <w:r>
        <w:rPr>
          <w:position w:val="5"/>
          <w:sz w:val="14"/>
        </w:rPr>
        <w:tab/>
      </w:r>
      <w:r>
        <w:rPr/>
        <w:t>Cheshire, North and Fawcett, </w:t>
      </w:r>
      <w:r>
        <w:rPr>
          <w:spacing w:val="-2"/>
        </w:rPr>
        <w:t>p.717.</w:t>
      </w:r>
    </w:p>
    <w:p>
      <w:pPr>
        <w:pStyle w:val="BodyText"/>
        <w:spacing w:before="4"/>
      </w:pPr>
    </w:p>
    <w:p>
      <w:pPr>
        <w:tabs>
          <w:tab w:pos="705" w:val="left" w:leader="none"/>
        </w:tabs>
        <w:spacing w:before="1"/>
        <w:ind w:left="165" w:right="0" w:firstLine="0"/>
        <w:jc w:val="left"/>
        <w:rPr>
          <w:sz w:val="20"/>
        </w:rPr>
      </w:pPr>
      <w:bookmarkStart w:name="_bookmark844" w:id="846"/>
      <w:bookmarkEnd w:id="846"/>
      <w:r>
        <w:rPr/>
      </w:r>
      <w:hyperlink w:history="true" w:anchor="_bookmark718">
        <w:r>
          <w:rPr>
            <w:color w:val="005DA1"/>
            <w:spacing w:val="-4"/>
            <w:position w:val="5"/>
            <w:sz w:val="14"/>
            <w:u w:val="single" w:color="005DA1"/>
          </w:rPr>
          <w:t>430</w:t>
        </w:r>
      </w:hyperlink>
      <w:r>
        <w:rPr>
          <w:spacing w:val="-4"/>
          <w:position w:val="5"/>
          <w:sz w:val="14"/>
        </w:rPr>
        <w:t>.</w:t>
      </w:r>
      <w:r>
        <w:rPr>
          <w:position w:val="5"/>
          <w:sz w:val="14"/>
        </w:rPr>
        <w:tab/>
      </w:r>
      <w:r>
        <w:rPr>
          <w:rFonts w:ascii="Arial"/>
          <w:i/>
          <w:sz w:val="20"/>
        </w:rPr>
        <w:t>Intercontainer Interfrigo SC (ICF) v Balkenende Oosthuizen BV (C-133/08) [2010] Q.B. </w:t>
      </w:r>
      <w:r>
        <w:rPr>
          <w:rFonts w:ascii="Arial"/>
          <w:i/>
          <w:spacing w:val="-4"/>
          <w:sz w:val="20"/>
        </w:rPr>
        <w:t>411</w:t>
      </w:r>
      <w:r>
        <w:rPr>
          <w:spacing w:val="-4"/>
          <w:sz w:val="20"/>
        </w:rPr>
        <w:t>.</w:t>
      </w:r>
    </w:p>
    <w:p>
      <w:pPr>
        <w:pStyle w:val="BodyText"/>
        <w:spacing w:before="8"/>
      </w:pPr>
    </w:p>
    <w:p>
      <w:pPr>
        <w:spacing w:line="235" w:lineRule="auto" w:before="0"/>
        <w:ind w:left="705" w:right="168" w:hanging="541"/>
        <w:jc w:val="both"/>
        <w:rPr>
          <w:sz w:val="20"/>
        </w:rPr>
      </w:pPr>
      <w:bookmarkStart w:name="_bookmark845" w:id="847"/>
      <w:bookmarkEnd w:id="847"/>
      <w:r>
        <w:rPr/>
      </w:r>
      <w:hyperlink w:history="true" w:anchor="_bookmark719">
        <w:r>
          <w:rPr>
            <w:color w:val="005DA1"/>
            <w:position w:val="5"/>
            <w:sz w:val="14"/>
            <w:u w:val="single" w:color="005DA1"/>
          </w:rPr>
          <w:t>431</w:t>
        </w:r>
      </w:hyperlink>
      <w:r>
        <w:rPr>
          <w:position w:val="5"/>
          <w:sz w:val="14"/>
        </w:rPr>
        <w:t>.</w:t>
      </w:r>
      <w:r>
        <w:rPr>
          <w:spacing w:val="80"/>
          <w:position w:val="5"/>
          <w:sz w:val="14"/>
        </w:rPr>
        <w:t>  </w:t>
      </w:r>
      <w:r>
        <w:rPr>
          <w:rFonts w:ascii="Arial" w:hAnsi="Arial"/>
          <w:i/>
          <w:sz w:val="20"/>
        </w:rPr>
        <w:t>Intercontainer</w:t>
      </w:r>
      <w:r>
        <w:rPr>
          <w:rFonts w:ascii="Arial" w:hAnsi="Arial"/>
          <w:i/>
          <w:spacing w:val="31"/>
          <w:sz w:val="20"/>
        </w:rPr>
        <w:t> </w:t>
      </w:r>
      <w:r>
        <w:rPr>
          <w:rFonts w:ascii="Arial" w:hAnsi="Arial"/>
          <w:i/>
          <w:sz w:val="20"/>
        </w:rPr>
        <w:t>Interfrigo</w:t>
      </w:r>
      <w:r>
        <w:rPr>
          <w:rFonts w:ascii="Arial" w:hAnsi="Arial"/>
          <w:i/>
          <w:spacing w:val="31"/>
          <w:sz w:val="20"/>
        </w:rPr>
        <w:t> </w:t>
      </w:r>
      <w:r>
        <w:rPr>
          <w:rFonts w:ascii="Arial" w:hAnsi="Arial"/>
          <w:i/>
          <w:sz w:val="20"/>
        </w:rPr>
        <w:t>SC</w:t>
      </w:r>
      <w:r>
        <w:rPr>
          <w:rFonts w:ascii="Arial" w:hAnsi="Arial"/>
          <w:i/>
          <w:spacing w:val="31"/>
          <w:sz w:val="20"/>
        </w:rPr>
        <w:t> </w:t>
      </w:r>
      <w:r>
        <w:rPr>
          <w:rFonts w:ascii="Arial" w:hAnsi="Arial"/>
          <w:i/>
          <w:sz w:val="20"/>
        </w:rPr>
        <w:t>(ICF)</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Balkenende</w:t>
      </w:r>
      <w:r>
        <w:rPr>
          <w:rFonts w:ascii="Arial" w:hAnsi="Arial"/>
          <w:i/>
          <w:spacing w:val="31"/>
          <w:sz w:val="20"/>
        </w:rPr>
        <w:t> </w:t>
      </w:r>
      <w:r>
        <w:rPr>
          <w:rFonts w:ascii="Arial" w:hAnsi="Arial"/>
          <w:i/>
          <w:sz w:val="20"/>
        </w:rPr>
        <w:t>Oosthuizen</w:t>
      </w:r>
      <w:r>
        <w:rPr>
          <w:rFonts w:ascii="Arial" w:hAnsi="Arial"/>
          <w:i/>
          <w:spacing w:val="31"/>
          <w:sz w:val="20"/>
        </w:rPr>
        <w:t> </w:t>
      </w:r>
      <w:r>
        <w:rPr>
          <w:rFonts w:ascii="Arial" w:hAnsi="Arial"/>
          <w:i/>
          <w:sz w:val="20"/>
        </w:rPr>
        <w:t>BV</w:t>
      </w:r>
      <w:r>
        <w:rPr>
          <w:rFonts w:ascii="Arial" w:hAnsi="Arial"/>
          <w:i/>
          <w:spacing w:val="31"/>
          <w:sz w:val="20"/>
        </w:rPr>
        <w:t> </w:t>
      </w:r>
      <w:r>
        <w:rPr>
          <w:rFonts w:ascii="Arial" w:hAnsi="Arial"/>
          <w:i/>
          <w:sz w:val="20"/>
        </w:rPr>
        <w:t>(C-133/08)</w:t>
      </w:r>
      <w:r>
        <w:rPr>
          <w:rFonts w:ascii="Arial" w:hAnsi="Arial"/>
          <w:i/>
          <w:spacing w:val="31"/>
          <w:sz w:val="20"/>
        </w:rPr>
        <w:t> </w:t>
      </w:r>
      <w:r>
        <w:rPr>
          <w:rFonts w:ascii="Arial" w:hAnsi="Arial"/>
          <w:i/>
          <w:sz w:val="20"/>
        </w:rPr>
        <w:t>[2010]</w:t>
      </w:r>
      <w:r>
        <w:rPr>
          <w:rFonts w:ascii="Arial" w:hAnsi="Arial"/>
          <w:i/>
          <w:spacing w:val="31"/>
          <w:sz w:val="20"/>
        </w:rPr>
        <w:t> </w:t>
      </w:r>
      <w:r>
        <w:rPr>
          <w:rFonts w:ascii="Arial" w:hAnsi="Arial"/>
          <w:i/>
          <w:sz w:val="20"/>
        </w:rPr>
        <w:t>Q.B.</w:t>
      </w:r>
      <w:r>
        <w:rPr>
          <w:rFonts w:ascii="Arial" w:hAnsi="Arial"/>
          <w:i/>
          <w:spacing w:val="31"/>
          <w:sz w:val="20"/>
        </w:rPr>
        <w:t> </w:t>
      </w:r>
      <w:r>
        <w:rPr>
          <w:rFonts w:ascii="Arial" w:hAnsi="Arial"/>
          <w:i/>
          <w:sz w:val="20"/>
        </w:rPr>
        <w:t>411</w:t>
      </w:r>
      <w:r>
        <w:rPr>
          <w:sz w:val="20"/>
        </w:rPr>
        <w:t>. See Dicey, Morris and Collins, para.33–266; cf. Schultsz, </w:t>
      </w:r>
      <w:r>
        <w:rPr>
          <w:rFonts w:ascii="Arial" w:hAnsi="Arial"/>
          <w:i/>
          <w:sz w:val="20"/>
        </w:rPr>
        <w:t>Contract Conflicts </w:t>
      </w:r>
      <w:r>
        <w:rPr>
          <w:sz w:val="20"/>
        </w:rPr>
        <w:t>(1982), pp.185, 192, 198.</w:t>
      </w:r>
    </w:p>
    <w:p>
      <w:pPr>
        <w:pStyle w:val="BodyText"/>
        <w:spacing w:before="5"/>
      </w:pPr>
    </w:p>
    <w:p>
      <w:pPr>
        <w:pStyle w:val="BodyText"/>
        <w:tabs>
          <w:tab w:pos="705" w:val="left" w:leader="none"/>
        </w:tabs>
        <w:spacing w:before="1"/>
        <w:ind w:left="165"/>
      </w:pPr>
      <w:bookmarkStart w:name="_bookmark846" w:id="848"/>
      <w:bookmarkEnd w:id="848"/>
      <w:r>
        <w:rPr/>
      </w:r>
      <w:hyperlink w:history="true" w:anchor="_bookmark719">
        <w:r>
          <w:rPr>
            <w:color w:val="005DA1"/>
            <w:spacing w:val="-4"/>
            <w:position w:val="5"/>
            <w:sz w:val="14"/>
            <w:u w:val="single" w:color="005DA1"/>
          </w:rPr>
          <w:t>432</w:t>
        </w:r>
      </w:hyperlink>
      <w:r>
        <w:rPr>
          <w:spacing w:val="-4"/>
          <w:position w:val="5"/>
          <w:sz w:val="14"/>
        </w:rPr>
        <w:t>.</w:t>
      </w:r>
      <w:r>
        <w:rPr>
          <w:position w:val="5"/>
          <w:sz w:val="14"/>
        </w:rPr>
        <w:tab/>
      </w:r>
      <w:r>
        <w:rPr/>
        <w:t>Dicey, Morris and Collins, </w:t>
      </w:r>
      <w:r>
        <w:rPr>
          <w:spacing w:val="-2"/>
        </w:rPr>
        <w:t>para.33–267.</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160607</wp:posOffset>
            </wp:positionV>
            <wp:extent cx="107988" cy="107988"/>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47" w:id="849"/>
      <w:bookmarkEnd w:id="849"/>
      <w:r>
        <w:rPr/>
      </w:r>
      <w:hyperlink w:history="true" w:anchor="_bookmark720">
        <w:r>
          <w:rPr>
            <w:color w:val="005DA1"/>
            <w:spacing w:val="-4"/>
            <w:sz w:val="14"/>
            <w:u w:val="single" w:color="005DA1"/>
          </w:rPr>
          <w:t>433</w:t>
        </w:r>
      </w:hyperlink>
      <w:r>
        <w:rPr>
          <w:spacing w:val="-4"/>
          <w:sz w:val="14"/>
        </w:rPr>
        <w:t>.</w:t>
      </w:r>
    </w:p>
    <w:p>
      <w:pPr>
        <w:spacing w:line="235" w:lineRule="auto" w:before="212"/>
        <w:ind w:left="165" w:right="167" w:firstLine="170"/>
        <w:jc w:val="both"/>
        <w:rPr>
          <w:sz w:val="20"/>
        </w:rPr>
      </w:pPr>
      <w:r>
        <w:rPr/>
        <w:br w:type="column"/>
      </w:r>
      <w:r>
        <w:rPr>
          <w:sz w:val="20"/>
        </w:rPr>
        <w:t>Giuliano-Lagarde Report, p.21; Scrutton on Charterparties, 23rd edition (2015), paras 1.013</w:t>
      </w:r>
      <w:r>
        <w:rPr>
          <w:spacing w:val="40"/>
          <w:sz w:val="20"/>
        </w:rPr>
        <w:t> </w:t>
      </w:r>
      <w:r>
        <w:rPr>
          <w:sz w:val="20"/>
        </w:rPr>
        <w:t>et seq.. Article 4(2) will apply to such charters: Dicey, Morris and Collins, para.33–266;</w:t>
      </w:r>
      <w:r>
        <w:rPr>
          <w:spacing w:val="40"/>
          <w:sz w:val="20"/>
        </w:rPr>
        <w:t> </w:t>
      </w:r>
      <w:r>
        <w:rPr>
          <w:rFonts w:ascii="Arial" w:hAnsi="Arial"/>
          <w:i/>
          <w:sz w:val="20"/>
        </w:rPr>
        <w:t>Martrade Shipping &amp; Transport GmbH v United Enterprise Corp [2014] EWHC 1884 (Comm), [2014] 2 Lloyd’s Rep. 198</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848" w:id="850"/>
      <w:bookmarkEnd w:id="850"/>
      <w:r>
        <w:rPr/>
      </w:r>
      <w:hyperlink w:history="true" w:anchor="_bookmark721">
        <w:r>
          <w:rPr>
            <w:color w:val="005DA1"/>
            <w:position w:val="5"/>
            <w:sz w:val="14"/>
            <w:u w:val="single" w:color="005DA1"/>
          </w:rPr>
          <w:t>434</w:t>
        </w:r>
      </w:hyperlink>
      <w:r>
        <w:rPr>
          <w:position w:val="5"/>
          <w:sz w:val="14"/>
        </w:rPr>
        <w:t>.</w:t>
      </w:r>
      <w:r>
        <w:rPr>
          <w:spacing w:val="80"/>
          <w:position w:val="5"/>
          <w:sz w:val="14"/>
        </w:rPr>
        <w:t> </w:t>
      </w:r>
      <w:r>
        <w:rPr>
          <w:rFonts w:ascii="Arial" w:hAnsi="Arial"/>
          <w:i/>
          <w:sz w:val="20"/>
        </w:rPr>
        <w:t>Intercontainer Interfrigo SC (ICF) v Balkenende Oosthuizen BV (C-133/08) [2010] Q.B. </w:t>
      </w:r>
      <w:r>
        <w:rPr>
          <w:rFonts w:ascii="Arial" w:hAnsi="Arial"/>
          <w:i/>
          <w:sz w:val="20"/>
        </w:rPr>
        <w:t>411</w:t>
      </w:r>
      <w:r>
        <w:rPr>
          <w:sz w:val="20"/>
        </w:rPr>
        <w:t>; </w:t>
      </w:r>
      <w:r>
        <w:rPr>
          <w:rFonts w:ascii="Arial" w:hAnsi="Arial"/>
          <w:i/>
          <w:sz w:val="20"/>
        </w:rPr>
        <w:t>Martrade Shipping &amp; Transport GmbH v United Enterprise Corp [2014] EWHC 1884 (Comm), [2014] 2 Lloyd’s Rep. 198</w:t>
      </w:r>
      <w:r>
        <w:rPr>
          <w:sz w:val="20"/>
        </w:rPr>
        <w:t>.</w:t>
      </w:r>
    </w:p>
    <w:p>
      <w:pPr>
        <w:pStyle w:val="BodyText"/>
        <w:spacing w:before="5"/>
      </w:pPr>
    </w:p>
    <w:p>
      <w:pPr>
        <w:pStyle w:val="BodyText"/>
        <w:tabs>
          <w:tab w:pos="705" w:val="left" w:leader="none"/>
        </w:tabs>
        <w:ind w:left="165"/>
      </w:pPr>
      <w:bookmarkStart w:name="_bookmark849" w:id="851"/>
      <w:bookmarkEnd w:id="851"/>
      <w:r>
        <w:rPr/>
      </w:r>
      <w:hyperlink w:history="true" w:anchor="_bookmark722">
        <w:r>
          <w:rPr>
            <w:color w:val="005DA1"/>
            <w:spacing w:val="-4"/>
            <w:position w:val="5"/>
            <w:sz w:val="14"/>
            <w:u w:val="single" w:color="005DA1"/>
          </w:rPr>
          <w:t>435</w:t>
        </w:r>
      </w:hyperlink>
      <w:r>
        <w:rPr>
          <w:spacing w:val="-4"/>
          <w:position w:val="5"/>
          <w:sz w:val="14"/>
        </w:rPr>
        <w:t>.</w:t>
      </w:r>
      <w:r>
        <w:rPr>
          <w:position w:val="5"/>
          <w:sz w:val="14"/>
        </w:rPr>
        <w:tab/>
      </w:r>
      <w:r>
        <w:rPr/>
        <w:t>See Vol.II, paras 35-002 et seq., 36-003 et </w:t>
      </w:r>
      <w:r>
        <w:rPr>
          <w:spacing w:val="-4"/>
        </w:rPr>
        <w:t>seq.</w:t>
      </w:r>
    </w:p>
    <w:p>
      <w:pPr>
        <w:pStyle w:val="BodyText"/>
        <w:spacing w:before="9"/>
      </w:pPr>
    </w:p>
    <w:p>
      <w:pPr>
        <w:spacing w:line="235" w:lineRule="auto" w:before="0"/>
        <w:ind w:left="705" w:right="167" w:hanging="541"/>
        <w:jc w:val="both"/>
        <w:rPr>
          <w:sz w:val="20"/>
        </w:rPr>
      </w:pPr>
      <w:bookmarkStart w:name="_bookmark850" w:id="852"/>
      <w:bookmarkEnd w:id="852"/>
      <w:r>
        <w:rPr/>
      </w:r>
      <w:hyperlink w:history="true" w:anchor="_bookmark723">
        <w:r>
          <w:rPr>
            <w:color w:val="005DA1"/>
            <w:position w:val="5"/>
            <w:sz w:val="14"/>
            <w:u w:val="single" w:color="005DA1"/>
          </w:rPr>
          <w:t>436</w:t>
        </w:r>
      </w:hyperlink>
      <w:r>
        <w:rPr>
          <w:position w:val="5"/>
          <w:sz w:val="14"/>
        </w:rPr>
        <w:t>.</w:t>
      </w:r>
      <w:r>
        <w:rPr>
          <w:spacing w:val="80"/>
          <w:w w:val="150"/>
          <w:position w:val="5"/>
          <w:sz w:val="14"/>
        </w:rPr>
        <w:t> </w:t>
      </w:r>
      <w:r>
        <w:rPr>
          <w:sz w:val="20"/>
        </w:rPr>
        <w:t>Rome</w:t>
      </w:r>
      <w:r>
        <w:rPr>
          <w:spacing w:val="40"/>
          <w:sz w:val="20"/>
        </w:rPr>
        <w:t> </w:t>
      </w:r>
      <w:r>
        <w:rPr>
          <w:sz w:val="20"/>
        </w:rPr>
        <w:t>Convention</w:t>
      </w:r>
      <w:r>
        <w:rPr>
          <w:spacing w:val="40"/>
          <w:sz w:val="20"/>
        </w:rPr>
        <w:t> </w:t>
      </w:r>
      <w:r>
        <w:rPr>
          <w:sz w:val="20"/>
        </w:rPr>
        <w:t>art.21.</w:t>
      </w:r>
      <w:r>
        <w:rPr>
          <w:spacing w:val="40"/>
          <w:sz w:val="20"/>
        </w:rPr>
        <w:t> </w:t>
      </w:r>
      <w:r>
        <w:rPr>
          <w:sz w:val="20"/>
        </w:rPr>
        <w:t>See</w:t>
      </w:r>
      <w:r>
        <w:rPr>
          <w:spacing w:val="40"/>
          <w:sz w:val="20"/>
        </w:rPr>
        <w:t> </w:t>
      </w:r>
      <w:r>
        <w:rPr>
          <w:sz w:val="20"/>
        </w:rPr>
        <w:t>above,</w:t>
      </w:r>
      <w:r>
        <w:rPr>
          <w:spacing w:val="40"/>
          <w:sz w:val="20"/>
        </w:rPr>
        <w:t> </w:t>
      </w:r>
      <w:r>
        <w:rPr>
          <w:sz w:val="20"/>
        </w:rPr>
        <w:t>para.30-027;</w:t>
      </w:r>
      <w:r>
        <w:rPr>
          <w:spacing w:val="40"/>
          <w:sz w:val="20"/>
        </w:rPr>
        <w:t> </w:t>
      </w:r>
      <w:r>
        <w:rPr>
          <w:sz w:val="20"/>
        </w:rPr>
        <w:t>cf.</w:t>
      </w:r>
      <w:r>
        <w:rPr>
          <w:spacing w:val="40"/>
          <w:sz w:val="20"/>
        </w:rPr>
        <w:t> </w:t>
      </w:r>
      <w:r>
        <w:rPr>
          <w:rFonts w:ascii="Arial" w:hAnsi="Arial"/>
          <w:i/>
          <w:sz w:val="20"/>
        </w:rPr>
        <w:t>The</w:t>
      </w:r>
      <w:r>
        <w:rPr>
          <w:rFonts w:ascii="Arial" w:hAnsi="Arial"/>
          <w:i/>
          <w:spacing w:val="40"/>
          <w:sz w:val="20"/>
        </w:rPr>
        <w:t> </w:t>
      </w:r>
      <w:r>
        <w:rPr>
          <w:rFonts w:ascii="Arial" w:hAnsi="Arial"/>
          <w:i/>
          <w:sz w:val="20"/>
        </w:rPr>
        <w:t>Hollandia</w:t>
      </w:r>
      <w:r>
        <w:rPr>
          <w:rFonts w:ascii="Arial" w:hAnsi="Arial"/>
          <w:i/>
          <w:spacing w:val="40"/>
          <w:sz w:val="20"/>
        </w:rPr>
        <w:t> </w:t>
      </w:r>
      <w:r>
        <w:rPr>
          <w:rFonts w:ascii="Arial" w:hAnsi="Arial"/>
          <w:i/>
          <w:sz w:val="20"/>
        </w:rPr>
        <w:t>[1983]</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565</w:t>
      </w:r>
      <w:r>
        <w:rPr>
          <w:sz w:val="20"/>
        </w:rPr>
        <w:t>; </w:t>
      </w:r>
      <w:r>
        <w:rPr>
          <w:rFonts w:ascii="Arial" w:hAnsi="Arial"/>
          <w:i/>
          <w:sz w:val="20"/>
        </w:rPr>
        <w:t>Trafigura Beheer BV v Mediterranean Shipping Co SA [2007] EWCA Civ 794, [2007] 2 Lloyd’s Rep. 622</w:t>
      </w:r>
      <w:r>
        <w:rPr>
          <w:sz w:val="20"/>
        </w:rPr>
        <w:t>.</w:t>
      </w:r>
    </w:p>
    <w:p>
      <w:pPr>
        <w:pStyle w:val="BodyText"/>
        <w:spacing w:before="5"/>
      </w:pPr>
    </w:p>
    <w:p>
      <w:pPr>
        <w:tabs>
          <w:tab w:pos="705" w:val="left" w:leader="none"/>
        </w:tabs>
        <w:spacing w:before="0"/>
        <w:ind w:left="165" w:right="0" w:firstLine="0"/>
        <w:jc w:val="left"/>
        <w:rPr>
          <w:sz w:val="20"/>
        </w:rPr>
      </w:pPr>
      <w:bookmarkStart w:name="_bookmark851" w:id="853"/>
      <w:bookmarkEnd w:id="853"/>
      <w:r>
        <w:rPr/>
      </w:r>
      <w:hyperlink w:history="true" w:anchor="_bookmark724">
        <w:r>
          <w:rPr>
            <w:color w:val="005DA1"/>
            <w:spacing w:val="-4"/>
            <w:position w:val="5"/>
            <w:sz w:val="14"/>
            <w:u w:val="single" w:color="005DA1"/>
          </w:rPr>
          <w:t>437</w:t>
        </w:r>
      </w:hyperlink>
      <w:r>
        <w:rPr>
          <w:spacing w:val="-4"/>
          <w:position w:val="5"/>
          <w:sz w:val="14"/>
        </w:rPr>
        <w:t>.</w:t>
      </w:r>
      <w:r>
        <w:rPr>
          <w:position w:val="5"/>
          <w:sz w:val="14"/>
        </w:rPr>
        <w:tab/>
      </w:r>
      <w:r>
        <w:rPr>
          <w:rFonts w:ascii="Arial"/>
          <w:i/>
          <w:sz w:val="20"/>
        </w:rPr>
        <w:t>Apple Corps Ltd v Apple Computer Inc [2004] EWHC 768 (Ch), [2004] I.L.Pr. </w:t>
      </w:r>
      <w:r>
        <w:rPr>
          <w:rFonts w:ascii="Arial"/>
          <w:i/>
          <w:spacing w:val="-4"/>
          <w:sz w:val="20"/>
        </w:rPr>
        <w:t>597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52" w:id="854"/>
      <w:bookmarkEnd w:id="854"/>
      <w:r>
        <w:rPr/>
      </w:r>
      <w:hyperlink w:history="true" w:anchor="_bookmark725">
        <w:r>
          <w:rPr>
            <w:color w:val="005DA1"/>
            <w:spacing w:val="-4"/>
            <w:position w:val="5"/>
            <w:sz w:val="14"/>
            <w:u w:val="single" w:color="005DA1"/>
          </w:rPr>
          <w:t>438</w:t>
        </w:r>
      </w:hyperlink>
      <w:r>
        <w:rPr>
          <w:spacing w:val="-4"/>
          <w:position w:val="5"/>
          <w:sz w:val="14"/>
        </w:rPr>
        <w:t>.</w:t>
      </w:r>
      <w:r>
        <w:rPr>
          <w:position w:val="5"/>
          <w:sz w:val="14"/>
        </w:rPr>
        <w:tab/>
      </w:r>
      <w:r>
        <w:rPr>
          <w:rFonts w:ascii="Arial"/>
          <w:i/>
          <w:sz w:val="20"/>
        </w:rPr>
        <w:t>Apple</w:t>
      </w:r>
      <w:r>
        <w:rPr>
          <w:rFonts w:ascii="Arial"/>
          <w:i/>
          <w:spacing w:val="-2"/>
          <w:sz w:val="20"/>
        </w:rPr>
        <w:t> </w:t>
      </w:r>
      <w:r>
        <w:rPr>
          <w:rFonts w:ascii="Arial"/>
          <w:i/>
          <w:sz w:val="20"/>
        </w:rPr>
        <w:t>Corps Ltd v Apple Computer Inc [2004] EWHC 768 </w:t>
      </w:r>
      <w:r>
        <w:rPr>
          <w:rFonts w:ascii="Arial"/>
          <w:i/>
          <w:spacing w:val="-2"/>
          <w:sz w:val="20"/>
        </w:rPr>
        <w:t>(Ch)</w:t>
      </w:r>
      <w:r>
        <w:rPr>
          <w:spacing w:val="-2"/>
          <w:sz w:val="20"/>
        </w:rPr>
        <w:t>.</w:t>
      </w:r>
    </w:p>
    <w:p>
      <w:pPr>
        <w:pStyle w:val="BodyText"/>
        <w:spacing w:before="5"/>
      </w:pPr>
    </w:p>
    <w:p>
      <w:pPr>
        <w:pStyle w:val="BodyText"/>
        <w:tabs>
          <w:tab w:pos="705" w:val="left" w:leader="none"/>
        </w:tabs>
        <w:spacing w:line="227" w:lineRule="exact"/>
        <w:ind w:left="165"/>
      </w:pPr>
      <w:bookmarkStart w:name="_bookmark853" w:id="855"/>
      <w:bookmarkEnd w:id="855"/>
      <w:r>
        <w:rPr/>
      </w:r>
      <w:hyperlink w:history="true" w:anchor="_bookmark726">
        <w:r>
          <w:rPr>
            <w:color w:val="005DA1"/>
            <w:spacing w:val="-4"/>
            <w:position w:val="5"/>
            <w:sz w:val="14"/>
            <w:u w:val="single" w:color="005DA1"/>
          </w:rPr>
          <w:t>439</w:t>
        </w:r>
      </w:hyperlink>
      <w:r>
        <w:rPr>
          <w:spacing w:val="-4"/>
          <w:position w:val="5"/>
          <w:sz w:val="14"/>
        </w:rPr>
        <w:t>.</w:t>
      </w:r>
      <w:r>
        <w:rPr>
          <w:position w:val="5"/>
          <w:sz w:val="14"/>
        </w:rPr>
        <w:tab/>
      </w:r>
      <w:r>
        <w:rPr/>
        <w:t>Dicey,</w:t>
      </w:r>
      <w:r>
        <w:rPr>
          <w:spacing w:val="29"/>
        </w:rPr>
        <w:t> </w:t>
      </w:r>
      <w:r>
        <w:rPr/>
        <w:t>Morris</w:t>
      </w:r>
      <w:r>
        <w:rPr>
          <w:spacing w:val="29"/>
        </w:rPr>
        <w:t> </w:t>
      </w:r>
      <w:r>
        <w:rPr/>
        <w:t>and</w:t>
      </w:r>
      <w:r>
        <w:rPr>
          <w:spacing w:val="29"/>
        </w:rPr>
        <w:t> </w:t>
      </w:r>
      <w:r>
        <w:rPr/>
        <w:t>Collins,</w:t>
      </w:r>
      <w:r>
        <w:rPr>
          <w:spacing w:val="29"/>
        </w:rPr>
        <w:t> </w:t>
      </w:r>
      <w:r>
        <w:rPr/>
        <w:t>paras</w:t>
      </w:r>
      <w:r>
        <w:rPr>
          <w:spacing w:val="29"/>
        </w:rPr>
        <w:t> </w:t>
      </w:r>
      <w:r>
        <w:rPr/>
        <w:t>32–124</w:t>
      </w:r>
      <w:r>
        <w:rPr>
          <w:spacing w:val="29"/>
        </w:rPr>
        <w:t> </w:t>
      </w:r>
      <w:r>
        <w:rPr/>
        <w:t>et</w:t>
      </w:r>
      <w:r>
        <w:rPr>
          <w:spacing w:val="29"/>
        </w:rPr>
        <w:t> </w:t>
      </w:r>
      <w:r>
        <w:rPr/>
        <w:t>seq.,</w:t>
      </w:r>
      <w:r>
        <w:rPr>
          <w:spacing w:val="29"/>
        </w:rPr>
        <w:t> </w:t>
      </w:r>
      <w:r>
        <w:rPr/>
        <w:t>33–117</w:t>
      </w:r>
      <w:r>
        <w:rPr>
          <w:spacing w:val="29"/>
        </w:rPr>
        <w:t> </w:t>
      </w:r>
      <w:r>
        <w:rPr/>
        <w:t>et</w:t>
      </w:r>
      <w:r>
        <w:rPr>
          <w:spacing w:val="29"/>
        </w:rPr>
        <w:t> </w:t>
      </w:r>
      <w:r>
        <w:rPr/>
        <w:t>seq.,</w:t>
      </w:r>
      <w:r>
        <w:rPr>
          <w:spacing w:val="29"/>
        </w:rPr>
        <w:t> </w:t>
      </w:r>
      <w:r>
        <w:rPr/>
        <w:t>33–154—33–155,</w:t>
      </w:r>
      <w:r>
        <w:rPr>
          <w:spacing w:val="29"/>
        </w:rPr>
        <w:t> </w:t>
      </w:r>
      <w:r>
        <w:rPr>
          <w:spacing w:val="-2"/>
        </w:rPr>
        <w:t>33–220,</w:t>
      </w:r>
    </w:p>
    <w:p>
      <w:pPr>
        <w:pStyle w:val="BodyText"/>
        <w:spacing w:line="225" w:lineRule="exact"/>
        <w:ind w:left="705"/>
      </w:pPr>
      <w:r>
        <w:rPr/>
        <w:t>33–235—33–236,</w:t>
      </w:r>
      <w:r>
        <w:rPr>
          <w:spacing w:val="19"/>
        </w:rPr>
        <w:t> </w:t>
      </w:r>
      <w:r>
        <w:rPr/>
        <w:t>33–277—33–278,</w:t>
      </w:r>
      <w:r>
        <w:rPr>
          <w:spacing w:val="19"/>
        </w:rPr>
        <w:t> </w:t>
      </w:r>
      <w:r>
        <w:rPr/>
        <w:t>33–303</w:t>
      </w:r>
      <w:r>
        <w:rPr>
          <w:spacing w:val="19"/>
        </w:rPr>
        <w:t> </w:t>
      </w:r>
      <w:r>
        <w:rPr/>
        <w:t>et</w:t>
      </w:r>
      <w:r>
        <w:rPr>
          <w:spacing w:val="19"/>
        </w:rPr>
        <w:t> </w:t>
      </w:r>
      <w:r>
        <w:rPr/>
        <w:t>seq.,</w:t>
      </w:r>
      <w:r>
        <w:rPr>
          <w:spacing w:val="19"/>
        </w:rPr>
        <w:t> </w:t>
      </w:r>
      <w:r>
        <w:rPr/>
        <w:t>33–412,</w:t>
      </w:r>
      <w:r>
        <w:rPr>
          <w:spacing w:val="19"/>
        </w:rPr>
        <w:t> </w:t>
      </w:r>
      <w:r>
        <w:rPr/>
        <w:t>33–454;</w:t>
      </w:r>
      <w:r>
        <w:rPr>
          <w:spacing w:val="19"/>
        </w:rPr>
        <w:t> </w:t>
      </w:r>
      <w:r>
        <w:rPr/>
        <w:t>Kaye,</w:t>
      </w:r>
      <w:r>
        <w:rPr>
          <w:spacing w:val="19"/>
        </w:rPr>
        <w:t> </w:t>
      </w:r>
      <w:r>
        <w:rPr/>
        <w:t>pp.186–191;</w:t>
      </w:r>
      <w:r>
        <w:rPr>
          <w:spacing w:val="19"/>
        </w:rPr>
        <w:t> </w:t>
      </w:r>
      <w:r>
        <w:rPr>
          <w:spacing w:val="-4"/>
        </w:rPr>
        <w:t>Hill</w:t>
      </w:r>
    </w:p>
    <w:p>
      <w:pPr>
        <w:pStyle w:val="BodyText"/>
        <w:spacing w:line="225" w:lineRule="exact"/>
        <w:ind w:left="705"/>
      </w:pPr>
      <w:r>
        <w:rPr/>
        <w:t>(2004)</w:t>
      </w:r>
      <w:r>
        <w:rPr>
          <w:spacing w:val="21"/>
        </w:rPr>
        <w:t> </w:t>
      </w:r>
      <w:r>
        <w:rPr/>
        <w:t>53</w:t>
      </w:r>
      <w:r>
        <w:rPr>
          <w:spacing w:val="21"/>
        </w:rPr>
        <w:t> </w:t>
      </w:r>
      <w:r>
        <w:rPr/>
        <w:t>I.C.L.Q.</w:t>
      </w:r>
      <w:r>
        <w:rPr>
          <w:spacing w:val="21"/>
        </w:rPr>
        <w:t> </w:t>
      </w:r>
      <w:r>
        <w:rPr/>
        <w:t>325;</w:t>
      </w:r>
      <w:r>
        <w:rPr>
          <w:spacing w:val="21"/>
        </w:rPr>
        <w:t> </w:t>
      </w:r>
      <w:r>
        <w:rPr/>
        <w:t>Atrill</w:t>
      </w:r>
      <w:r>
        <w:rPr>
          <w:spacing w:val="21"/>
        </w:rPr>
        <w:t> </w:t>
      </w:r>
      <w:r>
        <w:rPr/>
        <w:t>(2004)</w:t>
      </w:r>
      <w:r>
        <w:rPr>
          <w:spacing w:val="21"/>
        </w:rPr>
        <w:t> </w:t>
      </w:r>
      <w:r>
        <w:rPr/>
        <w:t>53</w:t>
      </w:r>
      <w:r>
        <w:rPr>
          <w:spacing w:val="21"/>
        </w:rPr>
        <w:t> </w:t>
      </w:r>
      <w:r>
        <w:rPr/>
        <w:t>I.C.L.Q.</w:t>
      </w:r>
      <w:r>
        <w:rPr>
          <w:spacing w:val="21"/>
        </w:rPr>
        <w:t> </w:t>
      </w:r>
      <w:r>
        <w:rPr/>
        <w:t>549;</w:t>
      </w:r>
      <w:r>
        <w:rPr>
          <w:spacing w:val="21"/>
        </w:rPr>
        <w:t> </w:t>
      </w:r>
      <w:r>
        <w:rPr/>
        <w:t>Briggs</w:t>
      </w:r>
      <w:r>
        <w:rPr>
          <w:spacing w:val="21"/>
        </w:rPr>
        <w:t> </w:t>
      </w:r>
      <w:r>
        <w:rPr/>
        <w:t>(2001)</w:t>
      </w:r>
      <w:r>
        <w:rPr>
          <w:spacing w:val="21"/>
        </w:rPr>
        <w:t> </w:t>
      </w:r>
      <w:r>
        <w:rPr/>
        <w:t>72</w:t>
      </w:r>
      <w:r>
        <w:rPr>
          <w:spacing w:val="21"/>
        </w:rPr>
        <w:t> </w:t>
      </w:r>
      <w:r>
        <w:rPr/>
        <w:t>B.Y.I.L.</w:t>
      </w:r>
      <w:r>
        <w:rPr>
          <w:spacing w:val="21"/>
        </w:rPr>
        <w:t> </w:t>
      </w:r>
      <w:r>
        <w:rPr/>
        <w:t>437,</w:t>
      </w:r>
      <w:r>
        <w:rPr>
          <w:spacing w:val="21"/>
        </w:rPr>
        <w:t> </w:t>
      </w:r>
      <w:r>
        <w:rPr>
          <w:spacing w:val="-2"/>
        </w:rPr>
        <w:t>465–470;</w:t>
      </w:r>
    </w:p>
    <w:p>
      <w:pPr>
        <w:pStyle w:val="BodyText"/>
        <w:spacing w:line="227" w:lineRule="exact"/>
        <w:ind w:left="705"/>
      </w:pPr>
      <w:r>
        <w:rPr/>
        <w:t>Lagarde (1981) 22 Virginia J.Int.L. </w:t>
      </w:r>
      <w:r>
        <w:rPr>
          <w:spacing w:val="-5"/>
        </w:rPr>
        <w:t>91.</w:t>
      </w:r>
    </w:p>
    <w:p>
      <w:pPr>
        <w:pStyle w:val="BodyText"/>
        <w:spacing w:before="5"/>
      </w:pPr>
    </w:p>
    <w:p>
      <w:pPr>
        <w:pStyle w:val="BodyText"/>
        <w:tabs>
          <w:tab w:pos="705" w:val="left" w:leader="none"/>
        </w:tabs>
        <w:ind w:left="165"/>
      </w:pPr>
      <w:bookmarkStart w:name="_bookmark854" w:id="856"/>
      <w:bookmarkEnd w:id="856"/>
      <w:r>
        <w:rPr/>
      </w:r>
      <w:hyperlink w:history="true" w:anchor="_bookmark727">
        <w:r>
          <w:rPr>
            <w:color w:val="005DA1"/>
            <w:spacing w:val="-4"/>
            <w:position w:val="5"/>
            <w:sz w:val="14"/>
            <w:u w:val="single" w:color="005DA1"/>
          </w:rPr>
          <w:t>440</w:t>
        </w:r>
      </w:hyperlink>
      <w:r>
        <w:rPr>
          <w:spacing w:val="-4"/>
          <w:position w:val="5"/>
          <w:sz w:val="14"/>
        </w:rPr>
        <w:t>.</w:t>
      </w:r>
      <w:r>
        <w:rPr>
          <w:position w:val="5"/>
          <w:sz w:val="14"/>
        </w:rPr>
        <w:tab/>
      </w:r>
      <w:r>
        <w:rPr/>
        <w:t>Rome Convention </w:t>
      </w:r>
      <w:r>
        <w:rPr>
          <w:spacing w:val="-2"/>
        </w:rPr>
        <w:t>art.4(5).</w:t>
      </w:r>
    </w:p>
    <w:p>
      <w:pPr>
        <w:pStyle w:val="BodyText"/>
        <w:spacing w:before="5"/>
      </w:pPr>
    </w:p>
    <w:p>
      <w:pPr>
        <w:pStyle w:val="BodyText"/>
        <w:tabs>
          <w:tab w:pos="705" w:val="left" w:leader="none"/>
        </w:tabs>
        <w:ind w:left="165"/>
      </w:pPr>
      <w:bookmarkStart w:name="_bookmark855" w:id="857"/>
      <w:bookmarkEnd w:id="857"/>
      <w:r>
        <w:rPr/>
      </w:r>
      <w:hyperlink w:history="true" w:anchor="_bookmark728">
        <w:r>
          <w:rPr>
            <w:color w:val="005DA1"/>
            <w:spacing w:val="-4"/>
            <w:position w:val="5"/>
            <w:sz w:val="14"/>
            <w:u w:val="single" w:color="005DA1"/>
          </w:rPr>
          <w:t>441</w:t>
        </w:r>
      </w:hyperlink>
      <w:r>
        <w:rPr>
          <w:spacing w:val="-4"/>
          <w:position w:val="5"/>
          <w:sz w:val="14"/>
        </w:rPr>
        <w:t>.</w:t>
      </w:r>
      <w:r>
        <w:rPr>
          <w:position w:val="5"/>
          <w:sz w:val="14"/>
        </w:rPr>
        <w:tab/>
      </w:r>
      <w:r>
        <w:rPr/>
        <w:t>Giuliano-Lagarde Report, </w:t>
      </w:r>
      <w:r>
        <w:rPr>
          <w:spacing w:val="-2"/>
        </w:rPr>
        <w:t>p.23.</w:t>
      </w:r>
    </w:p>
    <w:p>
      <w:pPr>
        <w:pStyle w:val="BodyText"/>
        <w:spacing w:before="5"/>
      </w:pPr>
    </w:p>
    <w:p>
      <w:pPr>
        <w:pStyle w:val="BodyText"/>
        <w:tabs>
          <w:tab w:pos="705" w:val="left" w:leader="none"/>
        </w:tabs>
        <w:ind w:left="165"/>
      </w:pPr>
      <w:bookmarkStart w:name="_bookmark856" w:id="858"/>
      <w:bookmarkEnd w:id="858"/>
      <w:r>
        <w:rPr/>
      </w:r>
      <w:hyperlink w:history="true" w:anchor="_bookmark729">
        <w:r>
          <w:rPr>
            <w:color w:val="005DA1"/>
            <w:spacing w:val="-4"/>
            <w:position w:val="5"/>
            <w:sz w:val="14"/>
            <w:u w:val="single" w:color="005DA1"/>
          </w:rPr>
          <w:t>442</w:t>
        </w:r>
      </w:hyperlink>
      <w:r>
        <w:rPr>
          <w:spacing w:val="-4"/>
          <w:position w:val="5"/>
          <w:sz w:val="14"/>
        </w:rPr>
        <w:t>.</w:t>
      </w:r>
      <w:r>
        <w:rPr>
          <w:position w:val="5"/>
          <w:sz w:val="14"/>
        </w:rPr>
        <w:tab/>
      </w:r>
      <w:r>
        <w:rPr/>
        <w:t>Giuliano-Lagarde Report, </w:t>
      </w:r>
      <w:r>
        <w:rPr>
          <w:spacing w:val="-2"/>
        </w:rPr>
        <w:t>p.22.</w:t>
      </w:r>
    </w:p>
    <w:p>
      <w:pPr>
        <w:pStyle w:val="BodyText"/>
        <w:spacing w:after="0"/>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730">
        <w:r>
          <w:rPr>
            <w:color w:val="005DA1"/>
            <w:spacing w:val="-4"/>
            <w:position w:val="5"/>
            <w:sz w:val="14"/>
            <w:u w:val="single" w:color="005DA1"/>
          </w:rPr>
          <w:t>443</w:t>
        </w:r>
      </w:hyperlink>
      <w:r>
        <w:rPr>
          <w:spacing w:val="-4"/>
          <w:position w:val="5"/>
          <w:sz w:val="14"/>
        </w:rPr>
        <w:t>.</w:t>
      </w:r>
      <w:r>
        <w:rPr>
          <w:position w:val="5"/>
          <w:sz w:val="14"/>
        </w:rPr>
        <w:tab/>
      </w:r>
      <w:r>
        <w:rPr/>
        <w:t>Giuliano-Lagarde Report, </w:t>
      </w:r>
      <w:r>
        <w:rPr>
          <w:spacing w:val="-2"/>
        </w:rPr>
        <w:t>p.22.</w:t>
      </w:r>
    </w:p>
    <w:p>
      <w:pPr>
        <w:pStyle w:val="BodyText"/>
        <w:spacing w:before="5"/>
      </w:pPr>
    </w:p>
    <w:p>
      <w:pPr>
        <w:pStyle w:val="BodyText"/>
        <w:tabs>
          <w:tab w:pos="705" w:val="left" w:leader="none"/>
        </w:tabs>
        <w:spacing w:line="227" w:lineRule="exact" w:before="1"/>
        <w:ind w:left="165"/>
      </w:pPr>
      <w:bookmarkStart w:name="_bookmark857" w:id="859"/>
      <w:bookmarkEnd w:id="859"/>
      <w:r>
        <w:rPr/>
      </w:r>
      <w:hyperlink w:history="true" w:anchor="_bookmark731">
        <w:r>
          <w:rPr>
            <w:color w:val="005DA1"/>
            <w:spacing w:val="-4"/>
            <w:position w:val="5"/>
            <w:sz w:val="14"/>
            <w:u w:val="single" w:color="005DA1"/>
          </w:rPr>
          <w:t>444</w:t>
        </w:r>
      </w:hyperlink>
      <w:r>
        <w:rPr>
          <w:spacing w:val="-4"/>
          <w:position w:val="5"/>
          <w:sz w:val="14"/>
        </w:rPr>
        <w:t>.</w:t>
      </w:r>
      <w:r>
        <w:rPr>
          <w:position w:val="5"/>
          <w:sz w:val="14"/>
        </w:rPr>
        <w:tab/>
      </w:r>
      <w:r>
        <w:rPr/>
        <w:t>For cases where Rome Convention, art.4(2), has been applied without reference to art.4(5), </w:t>
      </w:r>
      <w:r>
        <w:rPr>
          <w:spacing w:val="-5"/>
        </w:rPr>
        <w:t>see</w:t>
      </w:r>
    </w:p>
    <w:p>
      <w:pPr>
        <w:spacing w:line="235" w:lineRule="auto" w:before="1"/>
        <w:ind w:left="705" w:right="167" w:firstLine="0"/>
        <w:jc w:val="both"/>
        <w:rPr>
          <w:sz w:val="20"/>
        </w:rPr>
      </w:pPr>
      <w:r>
        <w:rPr>
          <w:rFonts w:ascii="Arial" w:hAnsi="Arial"/>
          <w:i/>
          <w:sz w:val="20"/>
        </w:rPr>
        <w:t>W. H. Martin Ltd v Feldbinder Spezialfahrzeugwerke GmbH [1998] I.L.Pr. 794</w:t>
      </w:r>
      <w:r>
        <w:rPr>
          <w:sz w:val="20"/>
        </w:rPr>
        <w:t>; </w:t>
      </w:r>
      <w:r>
        <w:rPr>
          <w:rFonts w:ascii="Arial" w:hAnsi="Arial"/>
          <w:i/>
          <w:sz w:val="20"/>
        </w:rPr>
        <w:t>Raiffeisen Zentralbank Osterreich AG v National Bank of Greece SA [1999] 1 Lloyd’s Rep. 408</w:t>
      </w:r>
      <w:r>
        <w:rPr>
          <w:sz w:val="20"/>
        </w:rPr>
        <w:t>; </w:t>
      </w:r>
      <w:r>
        <w:rPr>
          <w:rFonts w:ascii="Arial" w:hAnsi="Arial"/>
          <w:i/>
          <w:sz w:val="20"/>
        </w:rPr>
        <w:t>Dinka Latchin v General Mediterranean Holdings SA [2002] C.L.C. 330</w:t>
      </w:r>
      <w:r>
        <w:rPr>
          <w:sz w:val="20"/>
        </w:rPr>
        <w:t>; </w:t>
      </w:r>
      <w:r>
        <w:rPr>
          <w:rFonts w:ascii="Arial" w:hAnsi="Arial"/>
          <w:i/>
          <w:sz w:val="20"/>
        </w:rPr>
        <w:t>Print Concept GmbH v GEW (EC) Ltd [2001] EWCA Civ 352, [2002] C.L.C. 352</w:t>
      </w:r>
      <w:r>
        <w:rPr>
          <w:sz w:val="20"/>
        </w:rPr>
        <w:t>; </w:t>
      </w:r>
      <w:r>
        <w:rPr>
          <w:rFonts w:ascii="Arial" w:hAnsi="Arial"/>
          <w:i/>
          <w:sz w:val="20"/>
        </w:rPr>
        <w:t>Ferguson Shipbuilders Ltd v Voith Hydro GmbH (2000) S.L.T. 229</w:t>
      </w:r>
      <w:r>
        <w:rPr>
          <w:sz w:val="20"/>
        </w:rPr>
        <w:t>. In </w:t>
      </w:r>
      <w:r>
        <w:rPr>
          <w:rFonts w:ascii="Arial" w:hAnsi="Arial"/>
          <w:i/>
          <w:sz w:val="20"/>
        </w:rPr>
        <w:t>ISS Machinery Services Ltd v Aeolian Shipping SA [2001] EWCA Civ 1162, [2001] 2 Lloyd’s Rep. 641</w:t>
      </w:r>
      <w:r>
        <w:rPr>
          <w:sz w:val="20"/>
        </w:rPr>
        <w:t>, the court determined the law of the country with which the contract was most closely connected without reference to art.4(2).</w:t>
      </w:r>
    </w:p>
    <w:p>
      <w:pPr>
        <w:pStyle w:val="BodyText"/>
        <w:spacing w:before="3"/>
      </w:pPr>
    </w:p>
    <w:p>
      <w:pPr>
        <w:tabs>
          <w:tab w:pos="705" w:val="left" w:leader="none"/>
        </w:tabs>
        <w:spacing w:before="0"/>
        <w:ind w:left="165" w:right="0" w:firstLine="0"/>
        <w:jc w:val="left"/>
        <w:rPr>
          <w:sz w:val="20"/>
        </w:rPr>
      </w:pPr>
      <w:bookmarkStart w:name="_bookmark858" w:id="860"/>
      <w:bookmarkEnd w:id="860"/>
      <w:r>
        <w:rPr/>
      </w:r>
      <w:hyperlink w:history="true" w:anchor="_bookmark732">
        <w:r>
          <w:rPr>
            <w:color w:val="005DA1"/>
            <w:spacing w:val="-4"/>
            <w:position w:val="5"/>
            <w:sz w:val="14"/>
            <w:u w:val="single" w:color="005DA1"/>
          </w:rPr>
          <w:t>445</w:t>
        </w:r>
      </w:hyperlink>
      <w:r>
        <w:rPr>
          <w:spacing w:val="-4"/>
          <w:position w:val="5"/>
          <w:sz w:val="14"/>
        </w:rPr>
        <w:t>.</w:t>
      </w:r>
      <w:r>
        <w:rPr>
          <w:position w:val="5"/>
          <w:sz w:val="14"/>
        </w:rPr>
        <w:tab/>
      </w:r>
      <w:r>
        <w:rPr>
          <w:rFonts w:ascii="Arial" w:hAnsi="Arial"/>
          <w:i/>
          <w:sz w:val="20"/>
        </w:rPr>
        <w:t>Credit</w:t>
      </w:r>
      <w:r>
        <w:rPr>
          <w:rFonts w:ascii="Arial" w:hAnsi="Arial"/>
          <w:i/>
          <w:spacing w:val="-1"/>
          <w:sz w:val="20"/>
        </w:rPr>
        <w:t> </w:t>
      </w:r>
      <w:r>
        <w:rPr>
          <w:rFonts w:ascii="Arial" w:hAnsi="Arial"/>
          <w:i/>
          <w:sz w:val="20"/>
        </w:rPr>
        <w:t>Lyonnais v New Hampshire Insurance Co [1997]</w:t>
      </w:r>
      <w:r>
        <w:rPr>
          <w:rFonts w:ascii="Arial" w:hAnsi="Arial"/>
          <w:i/>
          <w:spacing w:val="-1"/>
          <w:sz w:val="20"/>
        </w:rPr>
        <w:t> </w:t>
      </w:r>
      <w:r>
        <w:rPr>
          <w:rFonts w:ascii="Arial" w:hAnsi="Arial"/>
          <w:i/>
          <w:sz w:val="20"/>
        </w:rPr>
        <w:t>2 Lloyd’s Rep. 1, 5</w:t>
      </w:r>
      <w:r>
        <w:rPr>
          <w:sz w:val="20"/>
        </w:rPr>
        <w:t>, per Hobhouse </w:t>
      </w:r>
      <w:r>
        <w:rPr>
          <w:spacing w:val="-4"/>
          <w:sz w:val="20"/>
        </w:rPr>
        <w:t>L.J.</w:t>
      </w:r>
    </w:p>
    <w:p>
      <w:pPr>
        <w:pStyle w:val="BodyText"/>
        <w:spacing w:before="9"/>
      </w:pPr>
    </w:p>
    <w:p>
      <w:pPr>
        <w:spacing w:line="235" w:lineRule="auto" w:before="0"/>
        <w:ind w:left="705" w:right="167" w:hanging="541"/>
        <w:jc w:val="both"/>
        <w:rPr>
          <w:sz w:val="20"/>
        </w:rPr>
      </w:pPr>
      <w:bookmarkStart w:name="_bookmark859" w:id="861"/>
      <w:bookmarkEnd w:id="861"/>
      <w:r>
        <w:rPr/>
      </w:r>
      <w:hyperlink w:history="true" w:anchor="_bookmark733">
        <w:r>
          <w:rPr>
            <w:color w:val="005DA1"/>
            <w:position w:val="5"/>
            <w:sz w:val="14"/>
            <w:u w:val="single" w:color="005DA1"/>
          </w:rPr>
          <w:t>446</w:t>
        </w:r>
      </w:hyperlink>
      <w:r>
        <w:rPr>
          <w:position w:val="5"/>
          <w:sz w:val="14"/>
        </w:rPr>
        <w:t>.</w:t>
      </w:r>
      <w:r>
        <w:rPr>
          <w:spacing w:val="80"/>
          <w:position w:val="5"/>
          <w:sz w:val="14"/>
        </w:rPr>
        <w:t>  </w:t>
      </w:r>
      <w:r>
        <w:rPr>
          <w:rFonts w:ascii="Arial" w:hAnsi="Arial"/>
          <w:i/>
          <w:sz w:val="20"/>
        </w:rPr>
        <w:t>Societe</w:t>
      </w:r>
      <w:r>
        <w:rPr>
          <w:rFonts w:ascii="Arial" w:hAnsi="Arial"/>
          <w:i/>
          <w:spacing w:val="-2"/>
          <w:sz w:val="20"/>
        </w:rPr>
        <w:t> </w:t>
      </w:r>
      <w:r>
        <w:rPr>
          <w:rFonts w:ascii="Arial" w:hAnsi="Arial"/>
          <w:i/>
          <w:sz w:val="20"/>
        </w:rPr>
        <w:t>Nouvelle</w:t>
      </w:r>
      <w:r>
        <w:rPr>
          <w:rFonts w:ascii="Arial" w:hAnsi="Arial"/>
          <w:i/>
          <w:spacing w:val="-2"/>
          <w:sz w:val="20"/>
        </w:rPr>
        <w:t> </w:t>
      </w:r>
      <w:r>
        <w:rPr>
          <w:rFonts w:ascii="Arial" w:hAnsi="Arial"/>
          <w:i/>
          <w:sz w:val="20"/>
        </w:rPr>
        <w:t>des</w:t>
      </w:r>
      <w:r>
        <w:rPr>
          <w:rFonts w:ascii="Arial" w:hAnsi="Arial"/>
          <w:i/>
          <w:spacing w:val="-2"/>
          <w:sz w:val="20"/>
        </w:rPr>
        <w:t> </w:t>
      </w:r>
      <w:r>
        <w:rPr>
          <w:rFonts w:ascii="Arial" w:hAnsi="Arial"/>
          <w:i/>
          <w:sz w:val="20"/>
        </w:rPr>
        <w:t>Papeteries</w:t>
      </w:r>
      <w:r>
        <w:rPr>
          <w:rFonts w:ascii="Arial" w:hAnsi="Arial"/>
          <w:i/>
          <w:spacing w:val="-2"/>
          <w:sz w:val="20"/>
        </w:rPr>
        <w:t> </w:t>
      </w:r>
      <w:r>
        <w:rPr>
          <w:rFonts w:ascii="Arial" w:hAnsi="Arial"/>
          <w:i/>
          <w:sz w:val="20"/>
        </w:rPr>
        <w:t>de</w:t>
      </w:r>
      <w:r>
        <w:rPr>
          <w:rFonts w:ascii="Arial" w:hAnsi="Arial"/>
          <w:i/>
          <w:spacing w:val="-2"/>
          <w:sz w:val="20"/>
        </w:rPr>
        <w:t> </w:t>
      </w:r>
      <w:r>
        <w:rPr>
          <w:rFonts w:ascii="Arial" w:hAnsi="Arial"/>
          <w:i/>
          <w:sz w:val="20"/>
        </w:rPr>
        <w:t>l’Aa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BV</w:t>
      </w:r>
      <w:r>
        <w:rPr>
          <w:rFonts w:ascii="Arial" w:hAnsi="Arial"/>
          <w:i/>
          <w:spacing w:val="-2"/>
          <w:sz w:val="20"/>
        </w:rPr>
        <w:t> </w:t>
      </w:r>
      <w:r>
        <w:rPr>
          <w:rFonts w:ascii="Arial" w:hAnsi="Arial"/>
          <w:i/>
          <w:sz w:val="20"/>
        </w:rPr>
        <w:t>Machinefabriek</w:t>
      </w:r>
      <w:r>
        <w:rPr>
          <w:rFonts w:ascii="Arial" w:hAnsi="Arial"/>
          <w:i/>
          <w:spacing w:val="-2"/>
          <w:sz w:val="20"/>
        </w:rPr>
        <w:t> </w:t>
      </w:r>
      <w:r>
        <w:rPr>
          <w:rFonts w:ascii="Arial" w:hAnsi="Arial"/>
          <w:i/>
          <w:sz w:val="20"/>
        </w:rPr>
        <w:t>BOA</w:t>
      </w:r>
      <w:r>
        <w:rPr>
          <w:rFonts w:ascii="Arial" w:hAnsi="Arial"/>
          <w:i/>
          <w:spacing w:val="-2"/>
          <w:sz w:val="20"/>
        </w:rPr>
        <w:t> </w:t>
      </w:r>
      <w:r>
        <w:rPr>
          <w:rFonts w:ascii="Arial" w:hAnsi="Arial"/>
          <w:i/>
          <w:sz w:val="20"/>
        </w:rPr>
        <w:t>(1992)</w:t>
      </w:r>
      <w:r>
        <w:rPr>
          <w:rFonts w:ascii="Arial" w:hAnsi="Arial"/>
          <w:i/>
          <w:spacing w:val="-2"/>
          <w:sz w:val="20"/>
        </w:rPr>
        <w:t> </w:t>
      </w:r>
      <w:r>
        <w:rPr>
          <w:rFonts w:ascii="Arial" w:hAnsi="Arial"/>
          <w:i/>
          <w:sz w:val="20"/>
        </w:rPr>
        <w:t>N.J.</w:t>
      </w:r>
      <w:r>
        <w:rPr>
          <w:rFonts w:ascii="Arial" w:hAnsi="Arial"/>
          <w:i/>
          <w:spacing w:val="-2"/>
          <w:sz w:val="20"/>
        </w:rPr>
        <w:t> </w:t>
      </w:r>
      <w:r>
        <w:rPr>
          <w:rFonts w:ascii="Arial" w:hAnsi="Arial"/>
          <w:i/>
          <w:sz w:val="20"/>
        </w:rPr>
        <w:t>750</w:t>
      </w:r>
      <w:r>
        <w:rPr>
          <w:sz w:val="20"/>
        </w:rPr>
        <w:t>.</w:t>
      </w:r>
      <w:r>
        <w:rPr>
          <w:spacing w:val="-2"/>
          <w:sz w:val="20"/>
        </w:rPr>
        <w:t> </w:t>
      </w:r>
      <w:r>
        <w:rPr>
          <w:sz w:val="20"/>
        </w:rPr>
        <w:t>See</w:t>
      </w:r>
      <w:r>
        <w:rPr>
          <w:spacing w:val="-2"/>
          <w:sz w:val="20"/>
        </w:rPr>
        <w:t> </w:t>
      </w:r>
      <w:r>
        <w:rPr>
          <w:sz w:val="20"/>
        </w:rPr>
        <w:t>on</w:t>
      </w:r>
      <w:r>
        <w:rPr>
          <w:spacing w:val="-2"/>
          <w:sz w:val="20"/>
        </w:rPr>
        <w:t> </w:t>
      </w:r>
      <w:r>
        <w:rPr>
          <w:sz w:val="20"/>
        </w:rPr>
        <w:t>this case</w:t>
      </w:r>
      <w:r>
        <w:rPr>
          <w:spacing w:val="40"/>
          <w:sz w:val="20"/>
        </w:rPr>
        <w:t> </w:t>
      </w:r>
      <w:r>
        <w:rPr>
          <w:sz w:val="20"/>
        </w:rPr>
        <w:t>Struycken</w:t>
      </w:r>
      <w:r>
        <w:rPr>
          <w:spacing w:val="40"/>
          <w:sz w:val="20"/>
        </w:rPr>
        <w:t> </w:t>
      </w:r>
      <w:r>
        <w:rPr>
          <w:sz w:val="20"/>
        </w:rPr>
        <w:t>[1996]</w:t>
      </w:r>
      <w:r>
        <w:rPr>
          <w:spacing w:val="40"/>
          <w:sz w:val="20"/>
        </w:rPr>
        <w:t> </w:t>
      </w:r>
      <w:r>
        <w:rPr>
          <w:sz w:val="20"/>
        </w:rPr>
        <w:t>LMCLQ</w:t>
      </w:r>
      <w:r>
        <w:rPr>
          <w:spacing w:val="40"/>
          <w:sz w:val="20"/>
        </w:rPr>
        <w:t> </w:t>
      </w:r>
      <w:r>
        <w:rPr>
          <w:sz w:val="20"/>
        </w:rPr>
        <w:t>18;</w:t>
      </w:r>
      <w:r>
        <w:rPr>
          <w:spacing w:val="40"/>
          <w:sz w:val="20"/>
        </w:rPr>
        <w:t> </w:t>
      </w:r>
      <w:r>
        <w:rPr>
          <w:sz w:val="20"/>
        </w:rPr>
        <w:t>Plender</w:t>
      </w:r>
      <w:r>
        <w:rPr>
          <w:spacing w:val="40"/>
          <w:sz w:val="20"/>
        </w:rPr>
        <w:t> </w:t>
      </w:r>
      <w:r>
        <w:rPr>
          <w:sz w:val="20"/>
        </w:rPr>
        <w:t>and</w:t>
      </w:r>
      <w:r>
        <w:rPr>
          <w:spacing w:val="40"/>
          <w:sz w:val="20"/>
        </w:rPr>
        <w:t> </w:t>
      </w:r>
      <w:r>
        <w:rPr>
          <w:sz w:val="20"/>
        </w:rPr>
        <w:t>Wilderspin,</w:t>
      </w:r>
      <w:r>
        <w:rPr>
          <w:spacing w:val="40"/>
          <w:sz w:val="20"/>
        </w:rPr>
        <w:t> </w:t>
      </w:r>
      <w:r>
        <w:rPr>
          <w:sz w:val="20"/>
        </w:rPr>
        <w:t>4th</w:t>
      </w:r>
      <w:r>
        <w:rPr>
          <w:spacing w:val="40"/>
          <w:sz w:val="20"/>
        </w:rPr>
        <w:t> </w:t>
      </w:r>
      <w:r>
        <w:rPr>
          <w:sz w:val="20"/>
        </w:rPr>
        <w:t>edn</w:t>
      </w:r>
      <w:r>
        <w:rPr>
          <w:spacing w:val="40"/>
          <w:sz w:val="20"/>
        </w:rPr>
        <w:t> </w:t>
      </w:r>
      <w:r>
        <w:rPr>
          <w:sz w:val="20"/>
        </w:rPr>
        <w:t>(2014),</w:t>
      </w:r>
      <w:r>
        <w:rPr>
          <w:spacing w:val="40"/>
          <w:sz w:val="20"/>
        </w:rPr>
        <w:t> </w:t>
      </w:r>
      <w:r>
        <w:rPr>
          <w:sz w:val="20"/>
        </w:rPr>
        <w:t>paras</w:t>
      </w:r>
      <w:r>
        <w:rPr>
          <w:spacing w:val="80"/>
          <w:sz w:val="20"/>
        </w:rPr>
        <w:t> </w:t>
      </w:r>
      <w:r>
        <w:rPr>
          <w:sz w:val="20"/>
        </w:rPr>
        <w:t>7–024—7–025. And see </w:t>
      </w:r>
      <w:r>
        <w:rPr>
          <w:rFonts w:ascii="Arial" w:hAnsi="Arial"/>
          <w:i/>
          <w:sz w:val="20"/>
        </w:rPr>
        <w:t>Caledonia Subsea Ltd v Microperi Srl (2002) S.L.T. 1022</w:t>
      </w:r>
      <w:r>
        <w:rPr>
          <w:sz w:val="20"/>
        </w:rPr>
        <w:t>.</w:t>
      </w:r>
    </w:p>
    <w:p>
      <w:pPr>
        <w:pStyle w:val="BodyText"/>
        <w:spacing w:before="9"/>
      </w:pPr>
    </w:p>
    <w:p>
      <w:pPr>
        <w:spacing w:line="235" w:lineRule="auto" w:before="0"/>
        <w:ind w:left="705" w:right="168" w:hanging="541"/>
        <w:jc w:val="both"/>
        <w:rPr>
          <w:sz w:val="20"/>
        </w:rPr>
      </w:pPr>
      <w:bookmarkStart w:name="_bookmark860" w:id="862"/>
      <w:bookmarkEnd w:id="862"/>
      <w:r>
        <w:rPr/>
      </w:r>
      <w:hyperlink w:history="true" w:anchor="_bookmark734">
        <w:r>
          <w:rPr>
            <w:color w:val="005DA1"/>
            <w:position w:val="5"/>
            <w:sz w:val="14"/>
            <w:u w:val="single" w:color="005DA1"/>
          </w:rPr>
          <w:t>447</w:t>
        </w:r>
      </w:hyperlink>
      <w:r>
        <w:rPr>
          <w:position w:val="5"/>
          <w:sz w:val="14"/>
        </w:rPr>
        <w:t>.</w:t>
      </w:r>
      <w:r>
        <w:rPr>
          <w:spacing w:val="40"/>
          <w:position w:val="5"/>
          <w:sz w:val="14"/>
        </w:rPr>
        <w:t>  </w:t>
      </w:r>
      <w:r>
        <w:rPr>
          <w:sz w:val="20"/>
        </w:rPr>
        <w:t>This summary was approved in </w:t>
      </w:r>
      <w:r>
        <w:rPr>
          <w:rFonts w:ascii="Arial"/>
          <w:i/>
          <w:sz w:val="20"/>
        </w:rPr>
        <w:t>Sax v Tchernoy [2014] EWHC 795 (Comm)</w:t>
      </w:r>
      <w:r>
        <w:rPr>
          <w:sz w:val="20"/>
        </w:rPr>
        <w:t>. See also </w:t>
      </w:r>
      <w:r>
        <w:rPr>
          <w:rFonts w:ascii="Arial"/>
          <w:i/>
          <w:sz w:val="20"/>
        </w:rPr>
        <w:t>Definitely Maybe</w:t>
      </w:r>
      <w:r>
        <w:rPr>
          <w:rFonts w:ascii="Arial"/>
          <w:i/>
          <w:spacing w:val="-2"/>
          <w:sz w:val="20"/>
        </w:rPr>
        <w:t> </w:t>
      </w:r>
      <w:r>
        <w:rPr>
          <w:rFonts w:ascii="Arial"/>
          <w:i/>
          <w:sz w:val="20"/>
        </w:rPr>
        <w:t>(Touring)</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Marek</w:t>
      </w:r>
      <w:r>
        <w:rPr>
          <w:rFonts w:ascii="Arial"/>
          <w:i/>
          <w:spacing w:val="-2"/>
          <w:sz w:val="20"/>
        </w:rPr>
        <w:t> </w:t>
      </w:r>
      <w:r>
        <w:rPr>
          <w:rFonts w:ascii="Arial"/>
          <w:i/>
          <w:sz w:val="20"/>
        </w:rPr>
        <w:t>Lieberberg</w:t>
      </w:r>
      <w:r>
        <w:rPr>
          <w:rFonts w:ascii="Arial"/>
          <w:i/>
          <w:spacing w:val="-2"/>
          <w:sz w:val="20"/>
        </w:rPr>
        <w:t> </w:t>
      </w:r>
      <w:r>
        <w:rPr>
          <w:rFonts w:ascii="Arial"/>
          <w:i/>
          <w:sz w:val="20"/>
        </w:rPr>
        <w:t>Konzertagentur</w:t>
      </w:r>
      <w:r>
        <w:rPr>
          <w:rFonts w:ascii="Arial"/>
          <w:i/>
          <w:spacing w:val="-2"/>
          <w:sz w:val="20"/>
        </w:rPr>
        <w:t> </w:t>
      </w:r>
      <w:r>
        <w:rPr>
          <w:rFonts w:ascii="Arial"/>
          <w:i/>
          <w:sz w:val="20"/>
        </w:rPr>
        <w:t>GmbH</w:t>
      </w:r>
      <w:r>
        <w:rPr>
          <w:rFonts w:ascii="Arial"/>
          <w:i/>
          <w:spacing w:val="-2"/>
          <w:sz w:val="20"/>
        </w:rPr>
        <w:t> </w:t>
      </w:r>
      <w:r>
        <w:rPr>
          <w:rFonts w:ascii="Arial"/>
          <w:i/>
          <w:sz w:val="20"/>
        </w:rPr>
        <w:t>[2001]</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1745,</w:t>
      </w:r>
      <w:r>
        <w:rPr>
          <w:rFonts w:ascii="Arial"/>
          <w:i/>
          <w:spacing w:val="-2"/>
          <w:sz w:val="20"/>
        </w:rPr>
        <w:t> </w:t>
      </w:r>
      <w:r>
        <w:rPr>
          <w:rFonts w:ascii="Arial"/>
          <w:i/>
          <w:sz w:val="20"/>
        </w:rPr>
        <w:t>1750</w:t>
      </w:r>
      <w:r>
        <w:rPr>
          <w:sz w:val="20"/>
        </w:rPr>
        <w:t>.</w:t>
      </w:r>
      <w:r>
        <w:rPr>
          <w:spacing w:val="-2"/>
          <w:sz w:val="20"/>
        </w:rPr>
        <w:t> </w:t>
      </w:r>
      <w:r>
        <w:rPr>
          <w:sz w:val="20"/>
        </w:rPr>
        <w:t>cf. </w:t>
      </w:r>
      <w:r>
        <w:rPr>
          <w:rFonts w:ascii="Arial"/>
          <w:i/>
          <w:sz w:val="20"/>
        </w:rPr>
        <w:t>Caledonia Subsea Ltd v Microperi Srl (2002) S.L.R. 1022</w:t>
      </w:r>
      <w:r>
        <w:rPr>
          <w:sz w:val="20"/>
        </w:rPr>
        <w:t>.</w:t>
      </w:r>
    </w:p>
    <w:p>
      <w:pPr>
        <w:pStyle w:val="BodyText"/>
        <w:spacing w:before="9"/>
      </w:pPr>
    </w:p>
    <w:p>
      <w:pPr>
        <w:spacing w:line="235" w:lineRule="auto" w:before="0"/>
        <w:ind w:left="705" w:right="167" w:hanging="541"/>
        <w:jc w:val="both"/>
        <w:rPr>
          <w:rFonts w:ascii="Arial"/>
          <w:i/>
          <w:sz w:val="20"/>
        </w:rPr>
      </w:pPr>
      <w:bookmarkStart w:name="_bookmark861" w:id="863"/>
      <w:bookmarkEnd w:id="863"/>
      <w:r>
        <w:rPr/>
      </w:r>
      <w:hyperlink w:history="true" w:anchor="_bookmark735">
        <w:r>
          <w:rPr>
            <w:color w:val="005DA1"/>
            <w:position w:val="5"/>
            <w:sz w:val="14"/>
            <w:u w:val="single" w:color="005DA1"/>
          </w:rPr>
          <w:t>448</w:t>
        </w:r>
      </w:hyperlink>
      <w:r>
        <w:rPr>
          <w:position w:val="5"/>
          <w:sz w:val="14"/>
        </w:rPr>
        <w:t>.</w:t>
      </w:r>
      <w:r>
        <w:rPr>
          <w:spacing w:val="80"/>
          <w:w w:val="150"/>
          <w:position w:val="5"/>
          <w:sz w:val="14"/>
        </w:rPr>
        <w:t> </w:t>
      </w:r>
      <w:r>
        <w:rPr>
          <w:rFonts w:ascii="Arial"/>
          <w:i/>
          <w:sz w:val="20"/>
        </w:rPr>
        <w:t>Samcrete Egypt Engineers and Contractors SAE v Land Rover Exports Ltd [2001] EWCA </w:t>
      </w:r>
      <w:r>
        <w:rPr>
          <w:rFonts w:ascii="Arial"/>
          <w:i/>
          <w:sz w:val="20"/>
        </w:rPr>
        <w:t>Civ 2019,</w:t>
      </w:r>
      <w:r>
        <w:rPr>
          <w:rFonts w:ascii="Arial"/>
          <w:i/>
          <w:spacing w:val="23"/>
          <w:sz w:val="20"/>
        </w:rPr>
        <w:t> </w:t>
      </w:r>
      <w:r>
        <w:rPr>
          <w:rFonts w:ascii="Arial"/>
          <w:i/>
          <w:sz w:val="20"/>
        </w:rPr>
        <w:t>[2002]</w:t>
      </w:r>
      <w:r>
        <w:rPr>
          <w:rFonts w:ascii="Arial"/>
          <w:i/>
          <w:spacing w:val="23"/>
          <w:sz w:val="20"/>
        </w:rPr>
        <w:t> </w:t>
      </w:r>
      <w:r>
        <w:rPr>
          <w:rFonts w:ascii="Arial"/>
          <w:i/>
          <w:sz w:val="20"/>
        </w:rPr>
        <w:t>C.L.C.</w:t>
      </w:r>
      <w:r>
        <w:rPr>
          <w:rFonts w:ascii="Arial"/>
          <w:i/>
          <w:spacing w:val="23"/>
          <w:sz w:val="20"/>
        </w:rPr>
        <w:t> </w:t>
      </w:r>
      <w:r>
        <w:rPr>
          <w:rFonts w:ascii="Arial"/>
          <w:i/>
          <w:sz w:val="20"/>
        </w:rPr>
        <w:t>533</w:t>
      </w:r>
      <w:r>
        <w:rPr>
          <w:rFonts w:ascii="Arial"/>
          <w:i/>
          <w:spacing w:val="22"/>
          <w:sz w:val="20"/>
        </w:rPr>
        <w:t> </w:t>
      </w:r>
      <w:r>
        <w:rPr>
          <w:sz w:val="20"/>
        </w:rPr>
        <w:t>at</w:t>
      </w:r>
      <w:r>
        <w:rPr>
          <w:spacing w:val="23"/>
          <w:sz w:val="20"/>
        </w:rPr>
        <w:t> </w:t>
      </w:r>
      <w:r>
        <w:rPr>
          <w:sz w:val="20"/>
        </w:rPr>
        <w:t>[41];</w:t>
      </w:r>
      <w:r>
        <w:rPr>
          <w:spacing w:val="23"/>
          <w:sz w:val="20"/>
        </w:rPr>
        <w:t> </w:t>
      </w:r>
      <w:r>
        <w:rPr>
          <w:rFonts w:ascii="Arial"/>
          <w:i/>
          <w:sz w:val="20"/>
        </w:rPr>
        <w:t>Ennstone</w:t>
      </w:r>
      <w:r>
        <w:rPr>
          <w:rFonts w:ascii="Arial"/>
          <w:i/>
          <w:spacing w:val="23"/>
          <w:sz w:val="20"/>
        </w:rPr>
        <w:t> </w:t>
      </w:r>
      <w:r>
        <w:rPr>
          <w:rFonts w:ascii="Arial"/>
          <w:i/>
          <w:sz w:val="20"/>
        </w:rPr>
        <w:t>Building</w:t>
      </w:r>
      <w:r>
        <w:rPr>
          <w:rFonts w:ascii="Arial"/>
          <w:i/>
          <w:spacing w:val="23"/>
          <w:sz w:val="20"/>
        </w:rPr>
        <w:t> </w:t>
      </w:r>
      <w:r>
        <w:rPr>
          <w:rFonts w:ascii="Arial"/>
          <w:i/>
          <w:sz w:val="20"/>
        </w:rPr>
        <w:t>Products</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Stanger</w:t>
      </w:r>
      <w:r>
        <w:rPr>
          <w:rFonts w:ascii="Arial"/>
          <w:i/>
          <w:spacing w:val="23"/>
          <w:sz w:val="20"/>
        </w:rPr>
        <w:t> </w:t>
      </w:r>
      <w:r>
        <w:rPr>
          <w:rFonts w:ascii="Arial"/>
          <w:i/>
          <w:sz w:val="20"/>
        </w:rPr>
        <w:t>Ltd</w:t>
      </w:r>
      <w:r>
        <w:rPr>
          <w:rFonts w:ascii="Arial"/>
          <w:i/>
          <w:spacing w:val="23"/>
          <w:sz w:val="20"/>
        </w:rPr>
        <w:t> </w:t>
      </w:r>
      <w:r>
        <w:rPr>
          <w:rFonts w:ascii="Arial"/>
          <w:i/>
          <w:sz w:val="20"/>
        </w:rPr>
        <w:t>[2002]</w:t>
      </w:r>
      <w:r>
        <w:rPr>
          <w:rFonts w:ascii="Arial"/>
          <w:i/>
          <w:spacing w:val="23"/>
          <w:sz w:val="20"/>
        </w:rPr>
        <w:t> </w:t>
      </w:r>
      <w:r>
        <w:rPr>
          <w:rFonts w:ascii="Arial"/>
          <w:i/>
          <w:spacing w:val="-4"/>
          <w:sz w:val="20"/>
        </w:rPr>
        <w:t>EWCA</w:t>
      </w:r>
    </w:p>
    <w:p>
      <w:pPr>
        <w:spacing w:line="223" w:lineRule="exact" w:before="0"/>
        <w:ind w:left="705" w:right="0" w:firstLine="0"/>
        <w:jc w:val="both"/>
        <w:rPr>
          <w:rFonts w:ascii="Arial" w:hAnsi="Arial"/>
          <w:i/>
          <w:sz w:val="20"/>
        </w:rPr>
      </w:pPr>
      <w:r>
        <w:rPr>
          <w:rFonts w:ascii="Arial" w:hAnsi="Arial"/>
          <w:i/>
          <w:sz w:val="20"/>
        </w:rPr>
        <w:t>Civ</w:t>
      </w:r>
      <w:r>
        <w:rPr>
          <w:rFonts w:ascii="Arial" w:hAnsi="Arial"/>
          <w:i/>
          <w:spacing w:val="30"/>
          <w:sz w:val="20"/>
        </w:rPr>
        <w:t> </w:t>
      </w:r>
      <w:r>
        <w:rPr>
          <w:rFonts w:ascii="Arial" w:hAnsi="Arial"/>
          <w:i/>
          <w:sz w:val="20"/>
        </w:rPr>
        <w:t>916,</w:t>
      </w:r>
      <w:r>
        <w:rPr>
          <w:rFonts w:ascii="Arial" w:hAnsi="Arial"/>
          <w:i/>
          <w:spacing w:val="30"/>
          <w:sz w:val="20"/>
        </w:rPr>
        <w:t> </w:t>
      </w:r>
      <w:r>
        <w:rPr>
          <w:rFonts w:ascii="Arial" w:hAnsi="Arial"/>
          <w:i/>
          <w:sz w:val="20"/>
        </w:rPr>
        <w:t>[2002]</w:t>
      </w:r>
      <w:r>
        <w:rPr>
          <w:rFonts w:ascii="Arial" w:hAnsi="Arial"/>
          <w:i/>
          <w:spacing w:val="30"/>
          <w:sz w:val="20"/>
        </w:rPr>
        <w:t> </w:t>
      </w:r>
      <w:r>
        <w:rPr>
          <w:rFonts w:ascii="Arial" w:hAnsi="Arial"/>
          <w:i/>
          <w:sz w:val="20"/>
        </w:rPr>
        <w:t>1</w:t>
      </w:r>
      <w:r>
        <w:rPr>
          <w:rFonts w:ascii="Arial" w:hAnsi="Arial"/>
          <w:i/>
          <w:spacing w:val="30"/>
          <w:sz w:val="20"/>
        </w:rPr>
        <w:t> </w:t>
      </w:r>
      <w:r>
        <w:rPr>
          <w:rFonts w:ascii="Arial" w:hAnsi="Arial"/>
          <w:i/>
          <w:sz w:val="20"/>
        </w:rPr>
        <w:t>W.L.R.</w:t>
      </w:r>
      <w:r>
        <w:rPr>
          <w:rFonts w:ascii="Arial" w:hAnsi="Arial"/>
          <w:i/>
          <w:spacing w:val="30"/>
          <w:sz w:val="20"/>
        </w:rPr>
        <w:t> </w:t>
      </w:r>
      <w:r>
        <w:rPr>
          <w:rFonts w:ascii="Arial" w:hAnsi="Arial"/>
          <w:i/>
          <w:sz w:val="20"/>
        </w:rPr>
        <w:t>3059</w:t>
      </w:r>
      <w:r>
        <w:rPr>
          <w:rFonts w:ascii="Arial" w:hAnsi="Arial"/>
          <w:i/>
          <w:spacing w:val="30"/>
          <w:sz w:val="20"/>
        </w:rPr>
        <w:t> </w:t>
      </w:r>
      <w:r>
        <w:rPr>
          <w:sz w:val="20"/>
        </w:rPr>
        <w:t>at</w:t>
      </w:r>
      <w:r>
        <w:rPr>
          <w:spacing w:val="30"/>
          <w:sz w:val="20"/>
        </w:rPr>
        <w:t> </w:t>
      </w:r>
      <w:r>
        <w:rPr>
          <w:sz w:val="20"/>
        </w:rPr>
        <w:t>[10]–[12];</w:t>
      </w:r>
      <w:r>
        <w:rPr>
          <w:spacing w:val="30"/>
          <w:sz w:val="20"/>
        </w:rPr>
        <w:t> </w:t>
      </w:r>
      <w:r>
        <w:rPr>
          <w:rFonts w:ascii="Arial" w:hAnsi="Arial"/>
          <w:i/>
          <w:sz w:val="20"/>
        </w:rPr>
        <w:t>Iran</w:t>
      </w:r>
      <w:r>
        <w:rPr>
          <w:rFonts w:ascii="Arial" w:hAnsi="Arial"/>
          <w:i/>
          <w:spacing w:val="30"/>
          <w:sz w:val="20"/>
        </w:rPr>
        <w:t> </w:t>
      </w:r>
      <w:r>
        <w:rPr>
          <w:rFonts w:ascii="Arial" w:hAnsi="Arial"/>
          <w:i/>
          <w:sz w:val="20"/>
        </w:rPr>
        <w:t>Continental</w:t>
      </w:r>
      <w:r>
        <w:rPr>
          <w:rFonts w:ascii="Arial" w:hAnsi="Arial"/>
          <w:i/>
          <w:spacing w:val="30"/>
          <w:sz w:val="20"/>
        </w:rPr>
        <w:t> </w:t>
      </w:r>
      <w:r>
        <w:rPr>
          <w:rFonts w:ascii="Arial" w:hAnsi="Arial"/>
          <w:i/>
          <w:sz w:val="20"/>
        </w:rPr>
        <w:t>Shelf</w:t>
      </w:r>
      <w:r>
        <w:rPr>
          <w:rFonts w:ascii="Arial" w:hAnsi="Arial"/>
          <w:i/>
          <w:spacing w:val="30"/>
          <w:sz w:val="20"/>
        </w:rPr>
        <w:t> </w:t>
      </w:r>
      <w:r>
        <w:rPr>
          <w:rFonts w:ascii="Arial" w:hAnsi="Arial"/>
          <w:i/>
          <w:sz w:val="20"/>
        </w:rPr>
        <w:t>Oil</w:t>
      </w:r>
      <w:r>
        <w:rPr>
          <w:rFonts w:ascii="Arial" w:hAnsi="Arial"/>
          <w:i/>
          <w:spacing w:val="30"/>
          <w:sz w:val="20"/>
        </w:rPr>
        <w:t> </w:t>
      </w:r>
      <w:r>
        <w:rPr>
          <w:rFonts w:ascii="Arial" w:hAnsi="Arial"/>
          <w:i/>
          <w:sz w:val="20"/>
        </w:rPr>
        <w:t>Co</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IRI</w:t>
      </w:r>
      <w:r>
        <w:rPr>
          <w:rFonts w:ascii="Arial" w:hAnsi="Arial"/>
          <w:i/>
          <w:spacing w:val="30"/>
          <w:sz w:val="20"/>
        </w:rPr>
        <w:t> </w:t>
      </w:r>
      <w:r>
        <w:rPr>
          <w:rFonts w:ascii="Arial" w:hAnsi="Arial"/>
          <w:i/>
          <w:spacing w:val="-2"/>
          <w:sz w:val="20"/>
        </w:rPr>
        <w:t>International</w:t>
      </w:r>
    </w:p>
    <w:p>
      <w:pPr>
        <w:spacing w:line="235" w:lineRule="auto" w:before="1"/>
        <w:ind w:left="705" w:right="167" w:firstLine="0"/>
        <w:jc w:val="both"/>
        <w:rPr>
          <w:rFonts w:ascii="Arial" w:hAnsi="Arial"/>
          <w:i/>
          <w:sz w:val="20"/>
        </w:rPr>
      </w:pPr>
      <w:r>
        <w:rPr>
          <w:rFonts w:ascii="Arial" w:hAnsi="Arial"/>
          <w:i/>
          <w:sz w:val="20"/>
        </w:rPr>
        <w:t>Corp [2002] EWCA Civ 1024, [2004] 2 C.L.C. 696</w:t>
      </w:r>
      <w:r>
        <w:rPr>
          <w:sz w:val="20"/>
        </w:rPr>
        <w:t>, [77]–[91]; </w:t>
      </w:r>
      <w:r>
        <w:rPr>
          <w:rFonts w:ascii="Arial" w:hAnsi="Arial"/>
          <w:i/>
          <w:sz w:val="20"/>
        </w:rPr>
        <w:t>Waldweise Stiftung v Lewis [2004] EWHC 2589 (Ch)</w:t>
      </w:r>
      <w:r>
        <w:rPr>
          <w:sz w:val="20"/>
        </w:rPr>
        <w:t>; </w:t>
      </w:r>
      <w:r>
        <w:rPr>
          <w:rFonts w:ascii="Arial" w:hAnsi="Arial"/>
          <w:i/>
          <w:sz w:val="20"/>
        </w:rPr>
        <w:t>Ophthalmic Innovations International (United Kingdom) Ltd v Ophthalmic Innovations International Inc [2004] EWHC 2948 (Ch), [2005] I.L.Pr. 109</w:t>
      </w:r>
      <w:r>
        <w:rPr>
          <w:sz w:val="20"/>
        </w:rPr>
        <w:t>; see also </w:t>
      </w:r>
      <w:r>
        <w:rPr>
          <w:rFonts w:ascii="Arial" w:hAnsi="Arial"/>
          <w:i/>
          <w:sz w:val="20"/>
        </w:rPr>
        <w:t>Bergmann v Kenburn</w:t>
      </w:r>
      <w:r>
        <w:rPr>
          <w:rFonts w:ascii="Arial" w:hAnsi="Arial"/>
          <w:i/>
          <w:spacing w:val="16"/>
          <w:sz w:val="20"/>
        </w:rPr>
        <w:t> </w:t>
      </w:r>
      <w:r>
        <w:rPr>
          <w:rFonts w:ascii="Arial" w:hAnsi="Arial"/>
          <w:i/>
          <w:sz w:val="20"/>
        </w:rPr>
        <w:t>Waste</w:t>
      </w:r>
      <w:r>
        <w:rPr>
          <w:rFonts w:ascii="Arial" w:hAnsi="Arial"/>
          <w:i/>
          <w:spacing w:val="19"/>
          <w:sz w:val="20"/>
        </w:rPr>
        <w:t> </w:t>
      </w:r>
      <w:r>
        <w:rPr>
          <w:rFonts w:ascii="Arial" w:hAnsi="Arial"/>
          <w:i/>
          <w:sz w:val="20"/>
        </w:rPr>
        <w:t>Management</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[2002]</w:t>
      </w:r>
      <w:r>
        <w:rPr>
          <w:rFonts w:ascii="Arial" w:hAnsi="Arial"/>
          <w:i/>
          <w:spacing w:val="19"/>
          <w:sz w:val="20"/>
        </w:rPr>
        <w:t> </w:t>
      </w:r>
      <w:r>
        <w:rPr>
          <w:rFonts w:ascii="Arial" w:hAnsi="Arial"/>
          <w:i/>
          <w:sz w:val="20"/>
        </w:rPr>
        <w:t>EWCA</w:t>
      </w:r>
      <w:r>
        <w:rPr>
          <w:rFonts w:ascii="Arial" w:hAnsi="Arial"/>
          <w:i/>
          <w:spacing w:val="19"/>
          <w:sz w:val="20"/>
        </w:rPr>
        <w:t> </w:t>
      </w:r>
      <w:r>
        <w:rPr>
          <w:rFonts w:ascii="Arial" w:hAnsi="Arial"/>
          <w:i/>
          <w:sz w:val="20"/>
        </w:rPr>
        <w:t>Civ</w:t>
      </w:r>
      <w:r>
        <w:rPr>
          <w:rFonts w:ascii="Arial" w:hAnsi="Arial"/>
          <w:i/>
          <w:spacing w:val="19"/>
          <w:sz w:val="20"/>
        </w:rPr>
        <w:t> </w:t>
      </w:r>
      <w:r>
        <w:rPr>
          <w:rFonts w:ascii="Arial" w:hAnsi="Arial"/>
          <w:i/>
          <w:sz w:val="20"/>
        </w:rPr>
        <w:t>98,</w:t>
      </w:r>
      <w:r>
        <w:rPr>
          <w:rFonts w:ascii="Arial" w:hAnsi="Arial"/>
          <w:i/>
          <w:spacing w:val="19"/>
          <w:sz w:val="20"/>
        </w:rPr>
        <w:t> </w:t>
      </w:r>
      <w:r>
        <w:rPr>
          <w:rFonts w:ascii="Arial" w:hAnsi="Arial"/>
          <w:i/>
          <w:sz w:val="20"/>
        </w:rPr>
        <w:t>[2002]</w:t>
      </w:r>
      <w:r>
        <w:rPr>
          <w:rFonts w:ascii="Arial" w:hAnsi="Arial"/>
          <w:i/>
          <w:spacing w:val="19"/>
          <w:sz w:val="20"/>
        </w:rPr>
        <w:t> </w:t>
      </w:r>
      <w:r>
        <w:rPr>
          <w:rFonts w:ascii="Arial" w:hAnsi="Arial"/>
          <w:i/>
          <w:sz w:val="20"/>
        </w:rPr>
        <w:t>F.S.R.</w:t>
      </w:r>
      <w:r>
        <w:rPr>
          <w:rFonts w:ascii="Arial" w:hAnsi="Arial"/>
          <w:i/>
          <w:spacing w:val="19"/>
          <w:sz w:val="20"/>
        </w:rPr>
        <w:t> </w:t>
      </w:r>
      <w:r>
        <w:rPr>
          <w:rFonts w:ascii="Arial" w:hAnsi="Arial"/>
          <w:i/>
          <w:sz w:val="20"/>
        </w:rPr>
        <w:t>45</w:t>
      </w:r>
      <w:r>
        <w:rPr>
          <w:sz w:val="20"/>
        </w:rPr>
        <w:t>;</w:t>
      </w:r>
      <w:r>
        <w:rPr>
          <w:spacing w:val="19"/>
          <w:sz w:val="20"/>
        </w:rPr>
        <w:t> </w:t>
      </w:r>
      <w:r>
        <w:rPr>
          <w:rFonts w:ascii="Arial" w:hAnsi="Arial"/>
          <w:i/>
          <w:sz w:val="20"/>
        </w:rPr>
        <w:t>Commercial</w:t>
      </w:r>
      <w:r>
        <w:rPr>
          <w:rFonts w:ascii="Arial" w:hAnsi="Arial"/>
          <w:i/>
          <w:spacing w:val="19"/>
          <w:sz w:val="20"/>
        </w:rPr>
        <w:t> </w:t>
      </w:r>
      <w:r>
        <w:rPr>
          <w:rFonts w:ascii="Arial" w:hAnsi="Arial"/>
          <w:i/>
          <w:spacing w:val="-2"/>
          <w:sz w:val="20"/>
        </w:rPr>
        <w:t>Marine</w:t>
      </w:r>
    </w:p>
    <w:p>
      <w:pPr>
        <w:spacing w:line="235" w:lineRule="auto" w:before="0"/>
        <w:ind w:left="705" w:right="168" w:firstLine="0"/>
        <w:jc w:val="both"/>
        <w:rPr>
          <w:sz w:val="20"/>
        </w:rPr>
      </w:pPr>
      <w:r>
        <w:rPr>
          <w:rFonts w:ascii="Arial" w:hAnsi="Arial"/>
          <w:i/>
          <w:sz w:val="20"/>
        </w:rPr>
        <w:t>Piling Ltd v Pierse Contracting Ltd [2009] EWHC 2241 (TCC), [2009] 2 Lloyd’s Rep. 659</w:t>
      </w:r>
      <w:r>
        <w:rPr>
          <w:sz w:val="20"/>
        </w:rPr>
        <w:t>; </w:t>
      </w:r>
      <w:r>
        <w:rPr>
          <w:rFonts w:ascii="Arial" w:hAnsi="Arial"/>
          <w:i/>
          <w:sz w:val="20"/>
        </w:rPr>
        <w:t>Pablo Star v Emirates Integrated Telecommunications Co PJSC [2009] EWCA Civ 1044</w:t>
      </w:r>
      <w:r>
        <w:rPr>
          <w:sz w:val="20"/>
        </w:rPr>
        <w:t>; </w:t>
      </w:r>
      <w:r>
        <w:rPr>
          <w:rFonts w:ascii="Arial" w:hAnsi="Arial"/>
          <w:i/>
          <w:sz w:val="20"/>
        </w:rPr>
        <w:t>Gard </w:t>
      </w:r>
      <w:r>
        <w:rPr>
          <w:rFonts w:ascii="Arial" w:hAnsi="Arial"/>
          <w:i/>
          <w:sz w:val="20"/>
        </w:rPr>
        <w:t>Marine &amp; Energy Ltd v Tunnicliffe [2010] EWCA Civ 1052, [2011] I.L.Pr. 10</w:t>
      </w:r>
      <w:r>
        <w:rPr>
          <w:sz w:val="20"/>
        </w:rPr>
        <w:t>; </w:t>
      </w:r>
      <w:r>
        <w:rPr>
          <w:rFonts w:ascii="Arial" w:hAnsi="Arial"/>
          <w:i/>
          <w:sz w:val="20"/>
        </w:rPr>
        <w:t>British Arab Commercial Bank Plc v Bank of Communications [2011] EWHC 281 (Comm), [2011] 1 Lloyd’s Rep. 664</w:t>
      </w:r>
      <w:r>
        <w:rPr>
          <w:sz w:val="20"/>
        </w:rPr>
        <w:t>. cf. </w:t>
      </w:r>
      <w:r>
        <w:rPr>
          <w:rFonts w:ascii="Arial" w:hAnsi="Arial"/>
          <w:i/>
          <w:sz w:val="20"/>
        </w:rPr>
        <w:t>Caledonia Subsea Ltd v Microperi Srl (2002) S.L.T. 1022</w:t>
      </w:r>
      <w:r>
        <w:rPr>
          <w:sz w:val="20"/>
        </w:rPr>
        <w:t>; </w:t>
      </w:r>
      <w:r>
        <w:rPr>
          <w:rFonts w:ascii="Arial" w:hAnsi="Arial"/>
          <w:i/>
          <w:sz w:val="20"/>
        </w:rPr>
        <w:t>Deutsche Bank Suisse SA v Khan [2013] EWHC 482 (Comm)</w:t>
      </w:r>
      <w:r>
        <w:rPr>
          <w:sz w:val="20"/>
        </w:rPr>
        <w:t>; </w:t>
      </w:r>
      <w:r>
        <w:rPr>
          <w:rFonts w:ascii="Arial" w:hAnsi="Arial"/>
          <w:i/>
          <w:sz w:val="20"/>
        </w:rPr>
        <w:t>Surrey (UK) Ltd v Mazandaran Wood &amp; Paper Industries [2014] EWHC 3165 (Comm)</w:t>
      </w:r>
      <w:r>
        <w:rPr>
          <w:sz w:val="20"/>
        </w:rPr>
        <w:t>.</w:t>
      </w:r>
    </w:p>
    <w:p>
      <w:pPr>
        <w:pStyle w:val="BodyText"/>
        <w:spacing w:before="6"/>
      </w:pPr>
    </w:p>
    <w:p>
      <w:pPr>
        <w:pStyle w:val="BodyText"/>
        <w:tabs>
          <w:tab w:pos="705" w:val="left" w:leader="none"/>
        </w:tabs>
        <w:spacing w:line="235" w:lineRule="auto"/>
        <w:ind w:left="705" w:right="168" w:hanging="541"/>
      </w:pPr>
      <w:bookmarkStart w:name="_bookmark862" w:id="864"/>
      <w:bookmarkEnd w:id="864"/>
      <w:r>
        <w:rPr/>
      </w:r>
      <w:hyperlink w:history="true" w:anchor="_bookmark736">
        <w:r>
          <w:rPr>
            <w:color w:val="005DA1"/>
            <w:spacing w:val="-4"/>
            <w:position w:val="5"/>
            <w:sz w:val="14"/>
            <w:u w:val="single" w:color="005DA1"/>
          </w:rPr>
          <w:t>449</w:t>
        </w:r>
      </w:hyperlink>
      <w:r>
        <w:rPr>
          <w:spacing w:val="-4"/>
          <w:position w:val="5"/>
          <w:sz w:val="14"/>
        </w:rPr>
        <w:t>.</w:t>
      </w:r>
      <w:r>
        <w:rPr>
          <w:position w:val="5"/>
          <w:sz w:val="14"/>
        </w:rPr>
        <w:tab/>
      </w:r>
      <w:r>
        <w:rPr/>
        <w:t>Giuliano-Lagarde</w:t>
      </w:r>
      <w:r>
        <w:rPr>
          <w:spacing w:val="-3"/>
        </w:rPr>
        <w:t> </w:t>
      </w:r>
      <w:r>
        <w:rPr/>
        <w:t>Report,</w:t>
      </w:r>
      <w:r>
        <w:rPr>
          <w:spacing w:val="-3"/>
        </w:rPr>
        <w:t> </w:t>
      </w:r>
      <w:r>
        <w:rPr/>
        <w:t>p.20;</w:t>
      </w:r>
      <w:r>
        <w:rPr>
          <w:spacing w:val="-3"/>
        </w:rPr>
        <w:t> </w:t>
      </w:r>
      <w:r>
        <w:rPr/>
        <w:t>North,</w:t>
      </w:r>
      <w:r>
        <w:rPr>
          <w:spacing w:val="-4"/>
        </w:rPr>
        <w:t> </w:t>
      </w:r>
      <w:r>
        <w:rPr>
          <w:rFonts w:ascii="Arial"/>
          <w:i/>
        </w:rPr>
        <w:t>Contract</w:t>
      </w:r>
      <w:r>
        <w:rPr>
          <w:rFonts w:ascii="Arial"/>
          <w:i/>
          <w:spacing w:val="-3"/>
        </w:rPr>
        <w:t> </w:t>
      </w:r>
      <w:r>
        <w:rPr>
          <w:rFonts w:ascii="Arial"/>
          <w:i/>
        </w:rPr>
        <w:t>Conflicts</w:t>
      </w:r>
      <w:r>
        <w:rPr>
          <w:rFonts w:ascii="Arial"/>
          <w:i/>
          <w:spacing w:val="-3"/>
        </w:rPr>
        <w:t> </w:t>
      </w:r>
      <w:r>
        <w:rPr/>
        <w:t>(1982),</w:t>
      </w:r>
      <w:r>
        <w:rPr>
          <w:spacing w:val="-3"/>
        </w:rPr>
        <w:t> </w:t>
      </w:r>
      <w:r>
        <w:rPr/>
        <w:t>pp.3,</w:t>
      </w:r>
      <w:r>
        <w:rPr>
          <w:spacing w:val="-3"/>
        </w:rPr>
        <w:t> </w:t>
      </w:r>
      <w:r>
        <w:rPr/>
        <w:t>15,</w:t>
      </w:r>
      <w:r>
        <w:rPr>
          <w:spacing w:val="-3"/>
        </w:rPr>
        <w:t> </w:t>
      </w:r>
      <w:r>
        <w:rPr/>
        <w:t>reprinted</w:t>
      </w:r>
      <w:r>
        <w:rPr>
          <w:spacing w:val="-3"/>
        </w:rPr>
        <w:t> </w:t>
      </w:r>
      <w:r>
        <w:rPr/>
        <w:t>in</w:t>
      </w:r>
      <w:r>
        <w:rPr>
          <w:spacing w:val="-3"/>
        </w:rPr>
        <w:t> </w:t>
      </w:r>
      <w:r>
        <w:rPr/>
        <w:t>Essays</w:t>
      </w:r>
      <w:r>
        <w:rPr>
          <w:spacing w:val="-3"/>
        </w:rPr>
        <w:t> </w:t>
      </w:r>
      <w:r>
        <w:rPr/>
        <w:t>in Private International Law (1993), p.23.</w:t>
      </w:r>
    </w:p>
    <w:p>
      <w:pPr>
        <w:pStyle w:val="BodyText"/>
        <w:spacing w:before="5"/>
      </w:pPr>
    </w:p>
    <w:p>
      <w:pPr>
        <w:tabs>
          <w:tab w:pos="705" w:val="left" w:leader="none"/>
        </w:tabs>
        <w:spacing w:line="227" w:lineRule="exact" w:before="1"/>
        <w:ind w:left="165" w:right="0" w:firstLine="0"/>
        <w:jc w:val="left"/>
        <w:rPr>
          <w:rFonts w:ascii="Arial" w:hAnsi="Arial"/>
          <w:i/>
          <w:sz w:val="20"/>
        </w:rPr>
      </w:pPr>
      <w:bookmarkStart w:name="_bookmark863" w:id="865"/>
      <w:bookmarkEnd w:id="865"/>
      <w:r>
        <w:rPr/>
      </w:r>
      <w:hyperlink w:history="true" w:anchor="_bookmark737">
        <w:r>
          <w:rPr>
            <w:color w:val="005DA1"/>
            <w:spacing w:val="-4"/>
            <w:position w:val="5"/>
            <w:sz w:val="14"/>
            <w:u w:val="single" w:color="005DA1"/>
          </w:rPr>
          <w:t>450</w:t>
        </w:r>
      </w:hyperlink>
      <w:r>
        <w:rPr>
          <w:spacing w:val="-4"/>
          <w:position w:val="5"/>
          <w:sz w:val="14"/>
        </w:rPr>
        <w:t>.</w:t>
      </w:r>
      <w:r>
        <w:rPr>
          <w:position w:val="5"/>
          <w:sz w:val="14"/>
        </w:rPr>
        <w:tab/>
      </w:r>
      <w:r>
        <w:rPr>
          <w:sz w:val="20"/>
        </w:rPr>
        <w:t>Dicey,</w:t>
      </w:r>
      <w:r>
        <w:rPr>
          <w:spacing w:val="14"/>
          <w:sz w:val="20"/>
        </w:rPr>
        <w:t> </w:t>
      </w:r>
      <w:r>
        <w:rPr>
          <w:sz w:val="20"/>
        </w:rPr>
        <w:t>Morris</w:t>
      </w:r>
      <w:r>
        <w:rPr>
          <w:spacing w:val="14"/>
          <w:sz w:val="20"/>
        </w:rPr>
        <w:t> </w:t>
      </w:r>
      <w:r>
        <w:rPr>
          <w:sz w:val="20"/>
        </w:rPr>
        <w:t>and</w:t>
      </w:r>
      <w:r>
        <w:rPr>
          <w:spacing w:val="14"/>
          <w:sz w:val="20"/>
        </w:rPr>
        <w:t> </w:t>
      </w:r>
      <w:r>
        <w:rPr>
          <w:sz w:val="20"/>
        </w:rPr>
        <w:t>Collins,</w:t>
      </w:r>
      <w:r>
        <w:rPr>
          <w:spacing w:val="14"/>
          <w:sz w:val="20"/>
        </w:rPr>
        <w:t> </w:t>
      </w:r>
      <w:r>
        <w:rPr>
          <w:sz w:val="20"/>
        </w:rPr>
        <w:t>para.33–125.</w:t>
      </w:r>
      <w:r>
        <w:rPr>
          <w:spacing w:val="14"/>
          <w:sz w:val="20"/>
        </w:rPr>
        <w:t> </w:t>
      </w:r>
      <w:r>
        <w:rPr>
          <w:sz w:val="20"/>
        </w:rPr>
        <w:t>And</w:t>
      </w:r>
      <w:r>
        <w:rPr>
          <w:spacing w:val="14"/>
          <w:sz w:val="20"/>
        </w:rPr>
        <w:t> </w:t>
      </w:r>
      <w:r>
        <w:rPr>
          <w:sz w:val="20"/>
        </w:rPr>
        <w:t>see</w:t>
      </w:r>
      <w:r>
        <w:rPr>
          <w:spacing w:val="14"/>
          <w:sz w:val="20"/>
        </w:rPr>
        <w:t> </w:t>
      </w:r>
      <w:r>
        <w:rPr>
          <w:rFonts w:ascii="Arial" w:hAnsi="Arial"/>
          <w:i/>
          <w:sz w:val="20"/>
        </w:rPr>
        <w:t>Caledonia</w:t>
      </w:r>
      <w:r>
        <w:rPr>
          <w:rFonts w:ascii="Arial" w:hAnsi="Arial"/>
          <w:i/>
          <w:spacing w:val="14"/>
          <w:sz w:val="20"/>
        </w:rPr>
        <w:t> </w:t>
      </w:r>
      <w:r>
        <w:rPr>
          <w:rFonts w:ascii="Arial" w:hAnsi="Arial"/>
          <w:i/>
          <w:sz w:val="20"/>
        </w:rPr>
        <w:t>Subsea</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Microperi</w:t>
      </w:r>
      <w:r>
        <w:rPr>
          <w:rFonts w:ascii="Arial" w:hAnsi="Arial"/>
          <w:i/>
          <w:spacing w:val="14"/>
          <w:sz w:val="20"/>
        </w:rPr>
        <w:t> </w:t>
      </w:r>
      <w:r>
        <w:rPr>
          <w:rFonts w:ascii="Arial" w:hAnsi="Arial"/>
          <w:i/>
          <w:sz w:val="20"/>
        </w:rPr>
        <w:t>Srl</w:t>
      </w:r>
      <w:r>
        <w:rPr>
          <w:rFonts w:ascii="Arial" w:hAnsi="Arial"/>
          <w:i/>
          <w:spacing w:val="14"/>
          <w:sz w:val="20"/>
        </w:rPr>
        <w:t> </w:t>
      </w:r>
      <w:r>
        <w:rPr>
          <w:rFonts w:ascii="Arial" w:hAnsi="Arial"/>
          <w:i/>
          <w:spacing w:val="-2"/>
          <w:sz w:val="20"/>
        </w:rPr>
        <w:t>(2002)</w:t>
      </w:r>
    </w:p>
    <w:p>
      <w:pPr>
        <w:spacing w:line="227" w:lineRule="exact" w:before="0"/>
        <w:ind w:left="705" w:right="0" w:firstLine="0"/>
        <w:jc w:val="left"/>
        <w:rPr>
          <w:sz w:val="20"/>
        </w:rPr>
      </w:pPr>
      <w:r>
        <w:rPr>
          <w:rFonts w:ascii="Arial"/>
          <w:i/>
          <w:sz w:val="20"/>
        </w:rPr>
        <w:t>S.L.T. </w:t>
      </w:r>
      <w:r>
        <w:rPr>
          <w:rFonts w:ascii="Arial"/>
          <w:i/>
          <w:spacing w:val="-2"/>
          <w:sz w:val="20"/>
        </w:rPr>
        <w:t>1022</w:t>
      </w:r>
      <w:r>
        <w:rPr>
          <w:spacing w:val="-2"/>
          <w:sz w:val="20"/>
        </w:rPr>
        <w:t>.</w:t>
      </w:r>
    </w:p>
    <w:p>
      <w:pPr>
        <w:pStyle w:val="BodyText"/>
        <w:spacing w:before="4"/>
      </w:pPr>
    </w:p>
    <w:p>
      <w:pPr>
        <w:pStyle w:val="BodyText"/>
        <w:tabs>
          <w:tab w:pos="705" w:val="left" w:leader="none"/>
        </w:tabs>
        <w:spacing w:before="1"/>
        <w:ind w:left="165"/>
      </w:pPr>
      <w:bookmarkStart w:name="_bookmark864" w:id="866"/>
      <w:bookmarkEnd w:id="866"/>
      <w:r>
        <w:rPr/>
      </w:r>
      <w:hyperlink w:history="true" w:anchor="_bookmark738">
        <w:r>
          <w:rPr>
            <w:color w:val="005DA1"/>
            <w:spacing w:val="-4"/>
            <w:position w:val="5"/>
            <w:sz w:val="14"/>
            <w:u w:val="single" w:color="005DA1"/>
          </w:rPr>
          <w:t>451</w:t>
        </w:r>
      </w:hyperlink>
      <w:r>
        <w:rPr>
          <w:spacing w:val="-4"/>
          <w:position w:val="5"/>
          <w:sz w:val="14"/>
        </w:rPr>
        <w:t>.</w:t>
      </w:r>
      <w:r>
        <w:rPr>
          <w:position w:val="5"/>
          <w:sz w:val="14"/>
        </w:rPr>
        <w:tab/>
      </w:r>
      <w:r>
        <w:rPr/>
        <w:t>See cases cited in n.449, </w:t>
      </w:r>
      <w:r>
        <w:rPr>
          <w:spacing w:val="-2"/>
        </w:rPr>
        <w:t>above.</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865" w:id="867"/>
      <w:bookmarkEnd w:id="867"/>
      <w:r>
        <w:rPr/>
      </w:r>
      <w:hyperlink w:history="true" w:anchor="_bookmark739">
        <w:r>
          <w:rPr>
            <w:color w:val="005DA1"/>
            <w:spacing w:val="-4"/>
            <w:position w:val="5"/>
            <w:sz w:val="14"/>
            <w:u w:val="single" w:color="005DA1"/>
          </w:rPr>
          <w:t>452</w:t>
        </w:r>
      </w:hyperlink>
      <w:r>
        <w:rPr>
          <w:spacing w:val="-4"/>
          <w:position w:val="5"/>
          <w:sz w:val="14"/>
        </w:rPr>
        <w:t>.</w:t>
      </w:r>
      <w:r>
        <w:rPr>
          <w:position w:val="5"/>
          <w:sz w:val="14"/>
        </w:rPr>
        <w:tab/>
      </w:r>
      <w:r>
        <w:rPr>
          <w:rFonts w:ascii="Arial"/>
          <w:i/>
          <w:sz w:val="20"/>
        </w:rPr>
        <w:t>Definitely</w:t>
      </w:r>
      <w:r>
        <w:rPr>
          <w:rFonts w:ascii="Arial"/>
          <w:i/>
          <w:spacing w:val="1"/>
          <w:sz w:val="20"/>
        </w:rPr>
        <w:t> </w:t>
      </w:r>
      <w:r>
        <w:rPr>
          <w:rFonts w:ascii="Arial"/>
          <w:i/>
          <w:sz w:val="20"/>
        </w:rPr>
        <w:t>Maybe</w:t>
      </w:r>
      <w:r>
        <w:rPr>
          <w:rFonts w:ascii="Arial"/>
          <w:i/>
          <w:spacing w:val="1"/>
          <w:sz w:val="20"/>
        </w:rPr>
        <w:t> </w:t>
      </w:r>
      <w:r>
        <w:rPr>
          <w:rFonts w:ascii="Arial"/>
          <w:i/>
          <w:sz w:val="20"/>
        </w:rPr>
        <w:t>(Touring)</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Marek</w:t>
      </w:r>
      <w:r>
        <w:rPr>
          <w:rFonts w:ascii="Arial"/>
          <w:i/>
          <w:spacing w:val="1"/>
          <w:sz w:val="20"/>
        </w:rPr>
        <w:t> </w:t>
      </w:r>
      <w:r>
        <w:rPr>
          <w:rFonts w:ascii="Arial"/>
          <w:i/>
          <w:sz w:val="20"/>
        </w:rPr>
        <w:t>Lieberberg</w:t>
      </w:r>
      <w:r>
        <w:rPr>
          <w:rFonts w:ascii="Arial"/>
          <w:i/>
          <w:spacing w:val="1"/>
          <w:sz w:val="20"/>
        </w:rPr>
        <w:t> </w:t>
      </w:r>
      <w:r>
        <w:rPr>
          <w:rFonts w:ascii="Arial"/>
          <w:i/>
          <w:sz w:val="20"/>
        </w:rPr>
        <w:t>Konzertagentur</w:t>
      </w:r>
      <w:r>
        <w:rPr>
          <w:rFonts w:ascii="Arial"/>
          <w:i/>
          <w:spacing w:val="1"/>
          <w:sz w:val="20"/>
        </w:rPr>
        <w:t> </w:t>
      </w:r>
      <w:r>
        <w:rPr>
          <w:rFonts w:ascii="Arial"/>
          <w:i/>
          <w:sz w:val="20"/>
        </w:rPr>
        <w:t>GmbH</w:t>
      </w:r>
      <w:r>
        <w:rPr>
          <w:rFonts w:ascii="Arial"/>
          <w:i/>
          <w:spacing w:val="1"/>
          <w:sz w:val="20"/>
        </w:rPr>
        <w:t> </w:t>
      </w:r>
      <w:r>
        <w:rPr>
          <w:rFonts w:ascii="Arial"/>
          <w:i/>
          <w:sz w:val="20"/>
        </w:rPr>
        <w:t>[2001]</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pacing w:val="-4"/>
          <w:sz w:val="20"/>
        </w:rPr>
        <w:t>1745</w:t>
      </w:r>
    </w:p>
    <w:p>
      <w:pPr>
        <w:spacing w:line="235" w:lineRule="auto" w:before="1"/>
        <w:ind w:left="705" w:right="0" w:firstLine="0"/>
        <w:jc w:val="left"/>
        <w:rPr>
          <w:sz w:val="20"/>
        </w:rPr>
      </w:pPr>
      <w:r>
        <w:rPr>
          <w:sz w:val="20"/>
        </w:rPr>
        <w:t>; </w:t>
      </w:r>
      <w:r>
        <w:rPr>
          <w:rFonts w:ascii="Arial"/>
          <w:i/>
          <w:sz w:val="20"/>
        </w:rPr>
        <w:t>Samcrete Egypt Engineers and Contractors SAE v Land Rover Exports Ltd [2001] EWCA </w:t>
      </w:r>
      <w:r>
        <w:rPr>
          <w:rFonts w:ascii="Arial"/>
          <w:i/>
          <w:sz w:val="20"/>
        </w:rPr>
        <w:t>Civ </w:t>
      </w:r>
      <w:r>
        <w:rPr>
          <w:rFonts w:ascii="Arial"/>
          <w:i/>
          <w:spacing w:val="-2"/>
          <w:sz w:val="20"/>
        </w:rPr>
        <w:t>2019</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866" w:id="868"/>
      <w:bookmarkEnd w:id="868"/>
      <w:r>
        <w:rPr/>
      </w:r>
      <w:hyperlink w:history="true" w:anchor="_bookmark740">
        <w:r>
          <w:rPr>
            <w:color w:val="005DA1"/>
            <w:spacing w:val="-4"/>
            <w:position w:val="5"/>
            <w:sz w:val="14"/>
            <w:u w:val="single" w:color="005DA1"/>
          </w:rPr>
          <w:t>453</w:t>
        </w:r>
      </w:hyperlink>
      <w:r>
        <w:rPr>
          <w:spacing w:val="-4"/>
          <w:position w:val="5"/>
          <w:sz w:val="14"/>
        </w:rPr>
        <w:t>.</w:t>
      </w:r>
      <w:r>
        <w:rPr>
          <w:position w:val="5"/>
          <w:sz w:val="14"/>
        </w:rPr>
        <w:tab/>
      </w:r>
      <w:r>
        <w:rPr>
          <w:sz w:val="20"/>
        </w:rPr>
        <w:t>Above, para.30-</w:t>
      </w:r>
      <w:r>
        <w:rPr>
          <w:spacing w:val="-4"/>
          <w:sz w:val="20"/>
        </w:rPr>
        <w:t>011.</w:t>
      </w:r>
    </w:p>
    <w:p>
      <w:pPr>
        <w:pStyle w:val="BodyText"/>
        <w:spacing w:before="5"/>
      </w:pPr>
    </w:p>
    <w:p>
      <w:pPr>
        <w:pStyle w:val="BodyText"/>
        <w:tabs>
          <w:tab w:pos="705" w:val="left" w:leader="none"/>
        </w:tabs>
        <w:ind w:left="165"/>
      </w:pPr>
      <w:bookmarkStart w:name="_bookmark867" w:id="869"/>
      <w:bookmarkEnd w:id="869"/>
      <w:r>
        <w:rPr/>
      </w:r>
      <w:hyperlink w:history="true" w:anchor="_bookmark741">
        <w:r>
          <w:rPr>
            <w:color w:val="005DA1"/>
            <w:spacing w:val="-4"/>
            <w:position w:val="5"/>
            <w:sz w:val="14"/>
            <w:u w:val="single" w:color="005DA1"/>
          </w:rPr>
          <w:t>454</w:t>
        </w:r>
      </w:hyperlink>
      <w:r>
        <w:rPr>
          <w:spacing w:val="-4"/>
          <w:position w:val="5"/>
          <w:sz w:val="14"/>
        </w:rPr>
        <w:t>.</w:t>
      </w:r>
      <w:r>
        <w:rPr>
          <w:position w:val="5"/>
          <w:sz w:val="14"/>
        </w:rPr>
        <w:tab/>
      </w:r>
      <w:r>
        <w:rPr/>
        <w:t>Giuliano-Lagarde Report, </w:t>
      </w:r>
      <w:r>
        <w:rPr>
          <w:spacing w:val="-2"/>
        </w:rPr>
        <w:t>p.20.</w:t>
      </w:r>
    </w:p>
    <w:p>
      <w:pPr>
        <w:pStyle w:val="BodyText"/>
        <w:spacing w:before="5"/>
      </w:pPr>
    </w:p>
    <w:p>
      <w:pPr>
        <w:spacing w:line="227" w:lineRule="exact" w:before="0"/>
        <w:ind w:left="165" w:right="0" w:firstLine="0"/>
        <w:jc w:val="both"/>
        <w:rPr>
          <w:rFonts w:ascii="Arial"/>
          <w:i/>
          <w:sz w:val="20"/>
        </w:rPr>
      </w:pPr>
      <w:bookmarkStart w:name="_bookmark868" w:id="870"/>
      <w:bookmarkEnd w:id="870"/>
      <w:r>
        <w:rPr/>
      </w:r>
      <w:hyperlink w:history="true" w:anchor="_bookmark742">
        <w:r>
          <w:rPr>
            <w:color w:val="005DA1"/>
            <w:position w:val="5"/>
            <w:sz w:val="14"/>
            <w:u w:val="single" w:color="005DA1"/>
          </w:rPr>
          <w:t>455</w:t>
        </w:r>
      </w:hyperlink>
      <w:r>
        <w:rPr>
          <w:position w:val="5"/>
          <w:sz w:val="14"/>
        </w:rPr>
        <w:t>.</w:t>
      </w:r>
      <w:r>
        <w:rPr>
          <w:spacing w:val="75"/>
          <w:w w:val="150"/>
          <w:position w:val="5"/>
          <w:sz w:val="14"/>
        </w:rPr>
        <w:t>  </w:t>
      </w:r>
      <w:r>
        <w:rPr>
          <w:rFonts w:ascii="Arial"/>
          <w:i/>
          <w:sz w:val="20"/>
        </w:rPr>
        <w:t>Definitely</w:t>
      </w:r>
      <w:r>
        <w:rPr>
          <w:rFonts w:ascii="Arial"/>
          <w:i/>
          <w:spacing w:val="1"/>
          <w:sz w:val="20"/>
        </w:rPr>
        <w:t> </w:t>
      </w:r>
      <w:r>
        <w:rPr>
          <w:rFonts w:ascii="Arial"/>
          <w:i/>
          <w:sz w:val="20"/>
        </w:rPr>
        <w:t>Maybe</w:t>
      </w:r>
      <w:r>
        <w:rPr>
          <w:rFonts w:ascii="Arial"/>
          <w:i/>
          <w:spacing w:val="1"/>
          <w:sz w:val="20"/>
        </w:rPr>
        <w:t> </w:t>
      </w:r>
      <w:r>
        <w:rPr>
          <w:rFonts w:ascii="Arial"/>
          <w:i/>
          <w:sz w:val="20"/>
        </w:rPr>
        <w:t>(Touring)</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Marek</w:t>
      </w:r>
      <w:r>
        <w:rPr>
          <w:rFonts w:ascii="Arial"/>
          <w:i/>
          <w:spacing w:val="1"/>
          <w:sz w:val="20"/>
        </w:rPr>
        <w:t> </w:t>
      </w:r>
      <w:r>
        <w:rPr>
          <w:rFonts w:ascii="Arial"/>
          <w:i/>
          <w:sz w:val="20"/>
        </w:rPr>
        <w:t>Lieberberg</w:t>
      </w:r>
      <w:r>
        <w:rPr>
          <w:rFonts w:ascii="Arial"/>
          <w:i/>
          <w:spacing w:val="1"/>
          <w:sz w:val="20"/>
        </w:rPr>
        <w:t> </w:t>
      </w:r>
      <w:r>
        <w:rPr>
          <w:rFonts w:ascii="Arial"/>
          <w:i/>
          <w:sz w:val="20"/>
        </w:rPr>
        <w:t>Konzertagentur</w:t>
      </w:r>
      <w:r>
        <w:rPr>
          <w:rFonts w:ascii="Arial"/>
          <w:i/>
          <w:spacing w:val="1"/>
          <w:sz w:val="20"/>
        </w:rPr>
        <w:t> </w:t>
      </w:r>
      <w:r>
        <w:rPr>
          <w:rFonts w:ascii="Arial"/>
          <w:i/>
          <w:sz w:val="20"/>
        </w:rPr>
        <w:t>GmbH</w:t>
      </w:r>
      <w:r>
        <w:rPr>
          <w:rFonts w:ascii="Arial"/>
          <w:i/>
          <w:spacing w:val="1"/>
          <w:sz w:val="20"/>
        </w:rPr>
        <w:t> </w:t>
      </w:r>
      <w:r>
        <w:rPr>
          <w:rFonts w:ascii="Arial"/>
          <w:i/>
          <w:sz w:val="20"/>
        </w:rPr>
        <w:t>[2001]</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pacing w:val="-4"/>
          <w:sz w:val="20"/>
        </w:rPr>
        <w:t>1745</w:t>
      </w:r>
    </w:p>
    <w:p>
      <w:pPr>
        <w:spacing w:line="235" w:lineRule="auto" w:before="2"/>
        <w:ind w:left="705" w:right="167" w:firstLine="0"/>
        <w:jc w:val="both"/>
        <w:rPr>
          <w:sz w:val="20"/>
        </w:rPr>
      </w:pPr>
      <w:r>
        <w:rPr>
          <w:sz w:val="20"/>
        </w:rPr>
        <w:t>; </w:t>
      </w:r>
      <w:r>
        <w:rPr>
          <w:rFonts w:ascii="Arial" w:hAnsi="Arial"/>
          <w:i/>
          <w:sz w:val="20"/>
        </w:rPr>
        <w:t>Samcrete Egypt Engineers and Contractors SAE v Land Rover Exports Ltd [2001] EWCA </w:t>
      </w:r>
      <w:r>
        <w:rPr>
          <w:rFonts w:ascii="Arial" w:hAnsi="Arial"/>
          <w:i/>
          <w:sz w:val="20"/>
        </w:rPr>
        <w:t>Civ 2019</w:t>
      </w:r>
      <w:r>
        <w:rPr>
          <w:sz w:val="20"/>
        </w:rPr>
        <w:t>; </w:t>
      </w:r>
      <w:r>
        <w:rPr>
          <w:rFonts w:ascii="Arial" w:hAnsi="Arial"/>
          <w:i/>
          <w:sz w:val="20"/>
        </w:rPr>
        <w:t>Bergmann v Kenburn Waste Management Ltd [2002] EWCA Civ 98</w:t>
      </w:r>
      <w:r>
        <w:rPr>
          <w:sz w:val="20"/>
        </w:rPr>
        <w:t>; </w:t>
      </w:r>
      <w:r>
        <w:rPr>
          <w:rFonts w:ascii="Arial" w:hAnsi="Arial"/>
          <w:i/>
          <w:sz w:val="20"/>
        </w:rPr>
        <w:t>Ennstone Building Products Ltd v Stanger Ltd [2002] EWCA Civ 916</w:t>
      </w:r>
      <w:r>
        <w:rPr>
          <w:sz w:val="20"/>
        </w:rPr>
        <w:t>. cf. </w:t>
      </w:r>
      <w:r>
        <w:rPr>
          <w:rFonts w:ascii="Arial" w:hAnsi="Arial"/>
          <w:i/>
          <w:sz w:val="20"/>
        </w:rPr>
        <w:t>Caledonia Subsea Ltd v Microperi Srl (2002) S.L.T. 1022</w:t>
      </w:r>
      <w:r>
        <w:rPr>
          <w:sz w:val="20"/>
        </w:rPr>
        <w:t>. For circumstances in which the presumptions in art.4(3) and 4(4) may be rebutted, see Dicey, Morris and Collins, paras 33–235—33–236, 33–277—33–278. See also </w:t>
      </w:r>
      <w:r>
        <w:rPr>
          <w:rFonts w:ascii="Arial" w:hAnsi="Arial"/>
          <w:i/>
          <w:sz w:val="20"/>
        </w:rPr>
        <w:t>Surrey (UK) Ltd v Mazandaran Wood &amp; Paper Industries [2014] EWHC 3165 (Comm)</w:t>
      </w:r>
      <w:r>
        <w:rPr>
          <w:sz w:val="20"/>
        </w:rPr>
        <w:t>.</w:t>
      </w:r>
    </w:p>
    <w:p>
      <w:pPr>
        <w:spacing w:after="0" w:line="235" w:lineRule="auto"/>
        <w:jc w:val="both"/>
        <w:rPr>
          <w:sz w:val="20"/>
        </w:rPr>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743">
        <w:r>
          <w:rPr>
            <w:color w:val="005DA1"/>
            <w:position w:val="5"/>
            <w:sz w:val="14"/>
            <w:u w:val="single" w:color="005DA1"/>
          </w:rPr>
          <w:t>456</w:t>
        </w:r>
      </w:hyperlink>
      <w:r>
        <w:rPr>
          <w:position w:val="5"/>
          <w:sz w:val="14"/>
        </w:rPr>
        <w:t>.</w:t>
      </w:r>
      <w:r>
        <w:rPr>
          <w:spacing w:val="80"/>
          <w:position w:val="5"/>
          <w:sz w:val="14"/>
        </w:rPr>
        <w:t>  </w:t>
      </w:r>
      <w:r>
        <w:rPr>
          <w:rFonts w:ascii="Arial" w:hAnsi="Arial"/>
          <w:i/>
          <w:sz w:val="20"/>
        </w:rPr>
        <w:t>Bank of Baroda v Vysya Bank Ltd [1994] 2 Lloyd’s Rep. 87</w:t>
      </w:r>
      <w:r>
        <w:rPr>
          <w:sz w:val="20"/>
        </w:rPr>
        <w:t>; cases cited in preceding </w:t>
      </w:r>
      <w:r>
        <w:rPr>
          <w:sz w:val="20"/>
        </w:rPr>
        <w:t>note; Dicey, Morris and Collins, para.32–127. And see </w:t>
      </w:r>
      <w:r>
        <w:rPr>
          <w:rFonts w:ascii="Arial" w:hAnsi="Arial"/>
          <w:i/>
          <w:sz w:val="20"/>
        </w:rPr>
        <w:t>Ferguson Shipbuilders Ltd v Voith Hydro GmbH (2000) S.L.T. 229</w:t>
      </w:r>
      <w:r>
        <w:rPr>
          <w:sz w:val="20"/>
        </w:rPr>
        <w:t>.</w:t>
      </w:r>
    </w:p>
    <w:p>
      <w:pPr>
        <w:pStyle w:val="BodyText"/>
        <w:spacing w:before="5"/>
      </w:pPr>
    </w:p>
    <w:p>
      <w:pPr>
        <w:tabs>
          <w:tab w:pos="705" w:val="left" w:leader="none"/>
        </w:tabs>
        <w:spacing w:before="0"/>
        <w:ind w:left="165" w:right="0" w:firstLine="0"/>
        <w:jc w:val="left"/>
        <w:rPr>
          <w:sz w:val="20"/>
        </w:rPr>
      </w:pPr>
      <w:bookmarkStart w:name="_bookmark869" w:id="871"/>
      <w:bookmarkEnd w:id="871"/>
      <w:r>
        <w:rPr/>
      </w:r>
      <w:hyperlink w:history="true" w:anchor="_bookmark744">
        <w:r>
          <w:rPr>
            <w:color w:val="005DA1"/>
            <w:spacing w:val="-4"/>
            <w:position w:val="5"/>
            <w:sz w:val="14"/>
            <w:u w:val="single" w:color="005DA1"/>
          </w:rPr>
          <w:t>457</w:t>
        </w:r>
      </w:hyperlink>
      <w:r>
        <w:rPr>
          <w:spacing w:val="-4"/>
          <w:position w:val="5"/>
          <w:sz w:val="14"/>
        </w:rPr>
        <w:t>.</w:t>
      </w:r>
      <w:r>
        <w:rPr>
          <w:position w:val="5"/>
          <w:sz w:val="14"/>
        </w:rPr>
        <w:tab/>
      </w:r>
      <w:r>
        <w:rPr>
          <w:rFonts w:ascii="Arial"/>
          <w:i/>
          <w:sz w:val="20"/>
        </w:rPr>
        <w:t>[2010]</w:t>
      </w:r>
      <w:r>
        <w:rPr>
          <w:rFonts w:ascii="Arial"/>
          <w:i/>
          <w:spacing w:val="-2"/>
          <w:sz w:val="20"/>
        </w:rPr>
        <w:t> </w:t>
      </w:r>
      <w:r>
        <w:rPr>
          <w:rFonts w:ascii="Arial"/>
          <w:i/>
          <w:sz w:val="20"/>
        </w:rPr>
        <w:t>Q.B. </w:t>
      </w:r>
      <w:r>
        <w:rPr>
          <w:rFonts w:ascii="Arial"/>
          <w:i/>
          <w:spacing w:val="-4"/>
          <w:sz w:val="20"/>
        </w:rPr>
        <w:t>411</w:t>
      </w:r>
      <w:r>
        <w:rPr>
          <w:spacing w:val="-4"/>
          <w:sz w:val="20"/>
        </w:rPr>
        <w:t>.</w:t>
      </w:r>
    </w:p>
    <w:p>
      <w:pPr>
        <w:pStyle w:val="BodyText"/>
        <w:spacing w:before="9"/>
      </w:pPr>
    </w:p>
    <w:p>
      <w:pPr>
        <w:spacing w:line="235" w:lineRule="auto" w:before="0"/>
        <w:ind w:left="705" w:right="167" w:hanging="541"/>
        <w:jc w:val="both"/>
        <w:rPr>
          <w:sz w:val="20"/>
        </w:rPr>
      </w:pPr>
      <w:bookmarkStart w:name="_bookmark870" w:id="872"/>
      <w:bookmarkEnd w:id="872"/>
      <w:r>
        <w:rPr/>
      </w:r>
      <w:hyperlink w:history="true" w:anchor="_bookmark745">
        <w:r>
          <w:rPr>
            <w:color w:val="005DA1"/>
            <w:position w:val="5"/>
            <w:sz w:val="14"/>
            <w:u w:val="single" w:color="005DA1"/>
          </w:rPr>
          <w:t>458</w:t>
        </w:r>
      </w:hyperlink>
      <w:r>
        <w:rPr>
          <w:position w:val="5"/>
          <w:sz w:val="14"/>
        </w:rPr>
        <w:t>.</w:t>
      </w:r>
      <w:r>
        <w:rPr>
          <w:spacing w:val="80"/>
          <w:w w:val="150"/>
          <w:position w:val="5"/>
          <w:sz w:val="14"/>
        </w:rPr>
        <w:t> </w:t>
      </w:r>
      <w:r>
        <w:rPr>
          <w:rFonts w:ascii="Arial" w:hAnsi="Arial"/>
          <w:i/>
          <w:sz w:val="20"/>
        </w:rPr>
        <w:t>[2010] Q.B. 411 </w:t>
      </w:r>
      <w:r>
        <w:rPr>
          <w:sz w:val="20"/>
        </w:rPr>
        <w:t>at [53]–[64]; see </w:t>
      </w:r>
      <w:r>
        <w:rPr>
          <w:rFonts w:ascii="Arial" w:hAnsi="Arial"/>
          <w:i/>
          <w:sz w:val="20"/>
        </w:rPr>
        <w:t>Gard Marine &amp; Energy Ltd v Tunnicliffe</w:t>
      </w:r>
      <w:r>
        <w:rPr>
          <w:sz w:val="20"/>
        </w:rPr>
        <w:t>, above; </w:t>
      </w:r>
      <w:r>
        <w:rPr>
          <w:rFonts w:ascii="Arial" w:hAnsi="Arial"/>
          <w:i/>
          <w:sz w:val="20"/>
        </w:rPr>
        <w:t>British Arab Commercial Bank Plc v Bank of Communications [2011] EWHC 281 (Comm), [2011] 1 </w:t>
      </w:r>
      <w:r>
        <w:rPr>
          <w:rFonts w:ascii="Arial" w:hAnsi="Arial"/>
          <w:i/>
          <w:sz w:val="20"/>
        </w:rPr>
        <w:t>Lloyd’s Rep. 664</w:t>
      </w:r>
      <w:r>
        <w:rPr>
          <w:sz w:val="20"/>
        </w:rPr>
        <w:t>; </w:t>
      </w:r>
      <w:r>
        <w:rPr>
          <w:rFonts w:ascii="Arial" w:hAnsi="Arial"/>
          <w:i/>
          <w:sz w:val="20"/>
        </w:rPr>
        <w:t>Sapporo Breweries Ltd v Lupofresh Ltd [2012] EWHC 2013 (QB)</w:t>
      </w:r>
      <w:r>
        <w:rPr>
          <w:sz w:val="20"/>
        </w:rPr>
        <w:t>; </w:t>
      </w:r>
      <w:r>
        <w:rPr>
          <w:rFonts w:ascii="Arial" w:hAnsi="Arial"/>
          <w:i/>
          <w:sz w:val="20"/>
        </w:rPr>
        <w:t>Lawlor v Sandvik Mining and Construction Mobile Crushers and Screens Ltd [2013] EWCA Civ 365 </w:t>
      </w:r>
      <w:r>
        <w:rPr>
          <w:sz w:val="20"/>
        </w:rPr>
        <w:t>(agency contract); see </w:t>
      </w:r>
      <w:r>
        <w:rPr>
          <w:rFonts w:ascii="Arial" w:hAnsi="Arial"/>
          <w:i/>
          <w:sz w:val="20"/>
        </w:rPr>
        <w:t>BNP Paribas SA v Anchorage Capital Europe LLP [2013] EWHC 3073 (Comm)</w:t>
      </w:r>
      <w:r>
        <w:rPr>
          <w:sz w:val="20"/>
        </w:rPr>
        <w:t>; </w:t>
      </w:r>
      <w:r>
        <w:rPr>
          <w:rFonts w:ascii="Arial" w:hAnsi="Arial"/>
          <w:i/>
          <w:sz w:val="20"/>
        </w:rPr>
        <w:t>Schlecker v Boedeker (C-64/12) [2014] Q.B. 320</w:t>
      </w:r>
      <w:r>
        <w:rPr>
          <w:sz w:val="20"/>
        </w:rPr>
        <w:t>; Okoli and Arishe 8 J. Priv. Int. L. 513.</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160283</wp:posOffset>
            </wp:positionV>
            <wp:extent cx="107988" cy="107988"/>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71" w:id="873"/>
      <w:bookmarkEnd w:id="873"/>
      <w:r>
        <w:rPr/>
      </w:r>
      <w:hyperlink w:history="true" w:anchor="_bookmark746">
        <w:r>
          <w:rPr>
            <w:color w:val="005DA1"/>
            <w:spacing w:val="-4"/>
            <w:sz w:val="14"/>
            <w:u w:val="single" w:color="005DA1"/>
          </w:rPr>
          <w:t>459</w:t>
        </w:r>
      </w:hyperlink>
      <w:r>
        <w:rPr>
          <w:spacing w:val="-4"/>
          <w:sz w:val="14"/>
        </w:rPr>
        <w:t>.</w:t>
      </w:r>
    </w:p>
    <w:p>
      <w:pPr>
        <w:pStyle w:val="BodyText"/>
        <w:spacing w:line="235" w:lineRule="auto" w:before="212"/>
        <w:ind w:left="165" w:right="167" w:firstLine="170"/>
        <w:jc w:val="both"/>
      </w:pPr>
      <w:r>
        <w:rPr/>
        <w:br w:type="column"/>
      </w:r>
      <w:r>
        <w:rPr>
          <w:rFonts w:ascii="Arial"/>
          <w:i/>
        </w:rPr>
        <w:t>C-305/13, [2015] Q.B. 319</w:t>
      </w:r>
      <w:r>
        <w:rPr/>
        <w:t>. Like the </w:t>
      </w:r>
      <w:r>
        <w:rPr>
          <w:rFonts w:ascii="Arial"/>
          <w:i/>
        </w:rPr>
        <w:t>ICF </w:t>
      </w:r>
      <w:r>
        <w:rPr/>
        <w:t>case, this case also concerned art.4(4) but again </w:t>
      </w:r>
      <w:r>
        <w:rPr/>
        <w:t>the same</w:t>
      </w:r>
      <w:r>
        <w:rPr>
          <w:spacing w:val="-2"/>
        </w:rPr>
        <w:t> </w:t>
      </w:r>
      <w:r>
        <w:rPr/>
        <w:t>principles</w:t>
      </w:r>
      <w:r>
        <w:rPr>
          <w:spacing w:val="-2"/>
        </w:rPr>
        <w:t> </w:t>
      </w:r>
      <w:r>
        <w:rPr/>
        <w:t>apply</w:t>
      </w:r>
      <w:r>
        <w:rPr>
          <w:spacing w:val="-2"/>
        </w:rPr>
        <w:t> </w:t>
      </w:r>
      <w:r>
        <w:rPr/>
        <w:t>when</w:t>
      </w:r>
      <w:r>
        <w:rPr>
          <w:spacing w:val="-2"/>
        </w:rPr>
        <w:t> </w:t>
      </w:r>
      <w:r>
        <w:rPr/>
        <w:t>the</w:t>
      </w:r>
      <w:r>
        <w:rPr>
          <w:spacing w:val="-2"/>
        </w:rPr>
        <w:t> </w:t>
      </w:r>
      <w:r>
        <w:rPr/>
        <w:t>question</w:t>
      </w:r>
      <w:r>
        <w:rPr>
          <w:spacing w:val="-2"/>
        </w:rPr>
        <w:t> </w:t>
      </w:r>
      <w:r>
        <w:rPr/>
        <w:t>relates</w:t>
      </w:r>
      <w:r>
        <w:rPr>
          <w:spacing w:val="-2"/>
        </w:rPr>
        <w:t> </w:t>
      </w:r>
      <w:r>
        <w:rPr/>
        <w:t>to</w:t>
      </w:r>
      <w:r>
        <w:rPr>
          <w:spacing w:val="-2"/>
        </w:rPr>
        <w:t> </w:t>
      </w:r>
      <w:r>
        <w:rPr/>
        <w:t>rebutting</w:t>
      </w:r>
      <w:r>
        <w:rPr>
          <w:spacing w:val="-2"/>
        </w:rPr>
        <w:t> </w:t>
      </w:r>
      <w:r>
        <w:rPr/>
        <w:t>the</w:t>
      </w:r>
      <w:r>
        <w:rPr>
          <w:spacing w:val="-2"/>
        </w:rPr>
        <w:t> </w:t>
      </w:r>
      <w:r>
        <w:rPr/>
        <w:t>otherwise</w:t>
      </w:r>
      <w:r>
        <w:rPr>
          <w:spacing w:val="-2"/>
        </w:rPr>
        <w:t> </w:t>
      </w:r>
      <w:r>
        <w:rPr/>
        <w:t>presumed</w:t>
      </w:r>
      <w:r>
        <w:rPr>
          <w:spacing w:val="-2"/>
        </w:rPr>
        <w:t> </w:t>
      </w:r>
      <w:r>
        <w:rPr/>
        <w:t>applicable </w:t>
      </w:r>
      <w:r>
        <w:rPr>
          <w:spacing w:val="-4"/>
        </w:rPr>
        <w:t>law.</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872" w:id="874"/>
      <w:bookmarkEnd w:id="874"/>
      <w:r>
        <w:rPr/>
      </w:r>
      <w:hyperlink w:history="true" w:anchor="_bookmark747">
        <w:r>
          <w:rPr>
            <w:color w:val="005DA1"/>
            <w:spacing w:val="-4"/>
            <w:sz w:val="14"/>
            <w:u w:val="single" w:color="005DA1"/>
          </w:rPr>
          <w:t>460</w:t>
        </w:r>
      </w:hyperlink>
      <w:r>
        <w:rPr>
          <w:spacing w:val="-4"/>
          <w:sz w:val="14"/>
        </w:rPr>
        <w:t>.</w:t>
      </w:r>
    </w:p>
    <w:p>
      <w:pPr>
        <w:spacing w:before="208"/>
        <w:ind w:left="335" w:right="0" w:firstLine="0"/>
        <w:jc w:val="left"/>
        <w:rPr>
          <w:sz w:val="20"/>
        </w:rPr>
      </w:pPr>
      <w:r>
        <w:rPr/>
        <w:br w:type="column"/>
      </w:r>
      <w:r>
        <w:rPr>
          <w:rFonts w:ascii="Arial"/>
          <w:i/>
          <w:sz w:val="20"/>
        </w:rPr>
        <w:t>C-305/13 [2015] Q.B. 319</w:t>
      </w:r>
      <w:r>
        <w:rPr>
          <w:rFonts w:ascii="Arial"/>
          <w:i/>
          <w:spacing w:val="-1"/>
          <w:sz w:val="20"/>
        </w:rPr>
        <w:t> </w:t>
      </w:r>
      <w:r>
        <w:rPr>
          <w:sz w:val="20"/>
        </w:rPr>
        <w:t>at </w:t>
      </w:r>
      <w:r>
        <w:rPr>
          <w:spacing w:val="-2"/>
          <w:sz w:val="20"/>
        </w:rPr>
        <w:t>[49].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48608">
            <wp:simplePos x="0" y="0"/>
            <wp:positionH relativeFrom="page">
              <wp:posOffset>1257846</wp:posOffset>
            </wp:positionH>
            <wp:positionV relativeFrom="paragraph">
              <wp:posOffset>-267129</wp:posOffset>
            </wp:positionV>
            <wp:extent cx="107988" cy="107988"/>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73" w:id="875"/>
      <w:bookmarkEnd w:id="875"/>
      <w:r>
        <w:rPr/>
      </w:r>
      <w:hyperlink w:history="true" w:anchor="_bookmark748">
        <w:r>
          <w:rPr>
            <w:color w:val="005DA1"/>
            <w:spacing w:val="-4"/>
            <w:position w:val="5"/>
            <w:sz w:val="14"/>
            <w:u w:val="single" w:color="005DA1"/>
          </w:rPr>
          <w:t>461</w:t>
        </w:r>
      </w:hyperlink>
      <w:r>
        <w:rPr>
          <w:spacing w:val="-4"/>
          <w:position w:val="5"/>
          <w:sz w:val="14"/>
        </w:rPr>
        <w:t>.</w:t>
      </w:r>
      <w:r>
        <w:rPr>
          <w:position w:val="5"/>
          <w:sz w:val="14"/>
        </w:rPr>
        <w:tab/>
      </w:r>
      <w:r>
        <w:rPr>
          <w:sz w:val="20"/>
        </w:rPr>
        <w:t>See n.457, </w:t>
      </w:r>
      <w:r>
        <w:rPr>
          <w:spacing w:val="-2"/>
          <w:sz w:val="20"/>
        </w:rPr>
        <w:t>above.</w:t>
      </w:r>
    </w:p>
    <w:p>
      <w:pPr>
        <w:pStyle w:val="BodyText"/>
        <w:spacing w:before="9"/>
      </w:pPr>
    </w:p>
    <w:p>
      <w:pPr>
        <w:spacing w:line="235" w:lineRule="auto" w:before="0"/>
        <w:ind w:left="705" w:right="167" w:hanging="541"/>
        <w:jc w:val="both"/>
        <w:rPr>
          <w:rFonts w:ascii="Arial" w:hAnsi="Arial"/>
          <w:i/>
          <w:sz w:val="20"/>
        </w:rPr>
      </w:pPr>
      <w:bookmarkStart w:name="_bookmark874" w:id="876"/>
      <w:bookmarkEnd w:id="876"/>
      <w:r>
        <w:rPr/>
      </w:r>
      <w:hyperlink w:history="true" w:anchor="_bookmark749">
        <w:r>
          <w:rPr>
            <w:color w:val="005DA1"/>
            <w:position w:val="5"/>
            <w:sz w:val="14"/>
            <w:u w:val="single" w:color="005DA1"/>
          </w:rPr>
          <w:t>462</w:t>
        </w:r>
      </w:hyperlink>
      <w:r>
        <w:rPr>
          <w:position w:val="5"/>
          <w:sz w:val="14"/>
        </w:rPr>
        <w:t>.</w:t>
      </w:r>
      <w:r>
        <w:rPr>
          <w:spacing w:val="80"/>
          <w:w w:val="150"/>
          <w:position w:val="5"/>
          <w:sz w:val="14"/>
        </w:rPr>
        <w:t> </w:t>
      </w:r>
      <w:r>
        <w:rPr>
          <w:rFonts w:ascii="Arial" w:hAnsi="Arial"/>
          <w:i/>
          <w:sz w:val="20"/>
        </w:rPr>
        <w:t>Bank of Baroda v Vysya Bank Ltd [1994] 2 Lloyd’s Rep. 87</w:t>
      </w:r>
      <w:r>
        <w:rPr>
          <w:sz w:val="20"/>
        </w:rPr>
        <w:t>; above, para.30-077; </w:t>
      </w:r>
      <w:r>
        <w:rPr>
          <w:rFonts w:ascii="Arial" w:hAnsi="Arial"/>
          <w:i/>
          <w:sz w:val="20"/>
        </w:rPr>
        <w:t>PT Pan Indonesia Bank Ltd Tbk v Marconi Communications International Ltd [2005] EWCA Civ </w:t>
      </w:r>
      <w:r>
        <w:rPr>
          <w:rFonts w:ascii="Arial" w:hAnsi="Arial"/>
          <w:i/>
          <w:sz w:val="20"/>
        </w:rPr>
        <w:t>422, [2007] 2 Lloyd’s Rep. 72 </w:t>
      </w:r>
      <w:r>
        <w:rPr>
          <w:sz w:val="20"/>
        </w:rPr>
        <w:t>(letter of credit issued by Indonesian bank which became insolvent, confirmed by another Indonesian bank with no place of business in England, the credit to be advised</w:t>
      </w:r>
      <w:r>
        <w:rPr>
          <w:spacing w:val="-2"/>
          <w:sz w:val="20"/>
        </w:rPr>
        <w:t> </w:t>
      </w:r>
      <w:r>
        <w:rPr>
          <w:sz w:val="20"/>
        </w:rPr>
        <w:t>through</w:t>
      </w:r>
      <w:r>
        <w:rPr>
          <w:spacing w:val="-2"/>
          <w:sz w:val="20"/>
        </w:rPr>
        <w:t> </w:t>
      </w:r>
      <w:r>
        <w:rPr>
          <w:sz w:val="20"/>
        </w:rPr>
        <w:t>an</w:t>
      </w:r>
      <w:r>
        <w:rPr>
          <w:spacing w:val="-2"/>
          <w:sz w:val="20"/>
        </w:rPr>
        <w:t> </w:t>
      </w:r>
      <w:r>
        <w:rPr>
          <w:sz w:val="20"/>
        </w:rPr>
        <w:t>English</w:t>
      </w:r>
      <w:r>
        <w:rPr>
          <w:spacing w:val="-2"/>
          <w:sz w:val="20"/>
        </w:rPr>
        <w:t> </w:t>
      </w:r>
      <w:r>
        <w:rPr>
          <w:sz w:val="20"/>
        </w:rPr>
        <w:t>bank</w:t>
      </w:r>
      <w:r>
        <w:rPr>
          <w:spacing w:val="-2"/>
          <w:sz w:val="20"/>
        </w:rPr>
        <w:t> </w:t>
      </w:r>
      <w:r>
        <w:rPr>
          <w:sz w:val="20"/>
        </w:rPr>
        <w:t>which</w:t>
      </w:r>
      <w:r>
        <w:rPr>
          <w:spacing w:val="-2"/>
          <w:sz w:val="20"/>
        </w:rPr>
        <w:t> </w:t>
      </w:r>
      <w:r>
        <w:rPr>
          <w:sz w:val="20"/>
        </w:rPr>
        <w:t>did</w:t>
      </w:r>
      <w:r>
        <w:rPr>
          <w:spacing w:val="-2"/>
          <w:sz w:val="20"/>
        </w:rPr>
        <w:t> </w:t>
      </w:r>
      <w:r>
        <w:rPr>
          <w:sz w:val="20"/>
        </w:rPr>
        <w:t>not</w:t>
      </w:r>
      <w:r>
        <w:rPr>
          <w:spacing w:val="-2"/>
          <w:sz w:val="20"/>
        </w:rPr>
        <w:t> </w:t>
      </w:r>
      <w:r>
        <w:rPr>
          <w:sz w:val="20"/>
        </w:rPr>
        <w:t>confirm</w:t>
      </w:r>
      <w:r>
        <w:rPr>
          <w:spacing w:val="-2"/>
          <w:sz w:val="20"/>
        </w:rPr>
        <w:t> </w:t>
      </w:r>
      <w:r>
        <w:rPr>
          <w:sz w:val="20"/>
        </w:rPr>
        <w:t>the</w:t>
      </w:r>
      <w:r>
        <w:rPr>
          <w:spacing w:val="-2"/>
          <w:sz w:val="20"/>
        </w:rPr>
        <w:t> </w:t>
      </w:r>
      <w:r>
        <w:rPr>
          <w:sz w:val="20"/>
        </w:rPr>
        <w:t>credit,</w:t>
      </w:r>
      <w:r>
        <w:rPr>
          <w:spacing w:val="-2"/>
          <w:sz w:val="20"/>
        </w:rPr>
        <w:t> </w:t>
      </w:r>
      <w:r>
        <w:rPr>
          <w:sz w:val="20"/>
        </w:rPr>
        <w:t>documents</w:t>
      </w:r>
      <w:r>
        <w:rPr>
          <w:spacing w:val="-2"/>
          <w:sz w:val="20"/>
        </w:rPr>
        <w:t> </w:t>
      </w:r>
      <w:r>
        <w:rPr>
          <w:sz w:val="20"/>
        </w:rPr>
        <w:t>to</w:t>
      </w:r>
      <w:r>
        <w:rPr>
          <w:spacing w:val="-2"/>
          <w:sz w:val="20"/>
        </w:rPr>
        <w:t> </w:t>
      </w:r>
      <w:r>
        <w:rPr>
          <w:sz w:val="20"/>
        </w:rPr>
        <w:t>be</w:t>
      </w:r>
      <w:r>
        <w:rPr>
          <w:spacing w:val="-2"/>
          <w:sz w:val="20"/>
        </w:rPr>
        <w:t> </w:t>
      </w:r>
      <w:r>
        <w:rPr>
          <w:sz w:val="20"/>
        </w:rPr>
        <w:t>presented</w:t>
      </w:r>
      <w:r>
        <w:rPr>
          <w:spacing w:val="-2"/>
          <w:sz w:val="20"/>
        </w:rPr>
        <w:t> </w:t>
      </w:r>
      <w:r>
        <w:rPr>
          <w:sz w:val="20"/>
        </w:rPr>
        <w:t>in England and payment to be made there, led to conclusion that although presumptively the contract between the beneficiary and the confirming bank was governed by Indonesian law, pursuant to art.4(2) of the Rome Convention, the above connections with England justified disregarding the presumption, pursuant to art.4(5). But (at [67]) there were no circumstances justifying displacement of the presumption in relation to the contract between the issuing bank and the confirming bank). See also </w:t>
      </w:r>
      <w:r>
        <w:rPr>
          <w:rFonts w:ascii="Arial" w:hAnsi="Arial"/>
          <w:i/>
          <w:sz w:val="20"/>
        </w:rPr>
        <w:t>Bank of Credit and Commerce Hong Kong Ltd v Sonali</w:t>
      </w:r>
      <w:r>
        <w:rPr>
          <w:rFonts w:ascii="Arial" w:hAnsi="Arial"/>
          <w:i/>
          <w:spacing w:val="40"/>
          <w:sz w:val="20"/>
        </w:rPr>
        <w:t> </w:t>
      </w:r>
      <w:r>
        <w:rPr>
          <w:rFonts w:ascii="Arial" w:hAnsi="Arial"/>
          <w:i/>
          <w:sz w:val="20"/>
        </w:rPr>
        <w:t>Bank [1995] 1 Lloyd’s Rep. 227</w:t>
      </w:r>
      <w:r>
        <w:rPr>
          <w:sz w:val="20"/>
        </w:rPr>
        <w:t>; </w:t>
      </w:r>
      <w:r>
        <w:rPr>
          <w:rFonts w:ascii="Arial" w:hAnsi="Arial"/>
          <w:i/>
          <w:sz w:val="20"/>
        </w:rPr>
        <w:t>Batstone &amp; Firminger Ltd v Nasima Enterprises (Nigeria) Ltd [1996]</w:t>
      </w:r>
      <w:r>
        <w:rPr>
          <w:rFonts w:ascii="Arial" w:hAnsi="Arial"/>
          <w:i/>
          <w:spacing w:val="50"/>
          <w:sz w:val="20"/>
        </w:rPr>
        <w:t> </w:t>
      </w:r>
      <w:r>
        <w:rPr>
          <w:rFonts w:ascii="Arial" w:hAnsi="Arial"/>
          <w:i/>
          <w:sz w:val="20"/>
        </w:rPr>
        <w:t>C.L.C.</w:t>
      </w:r>
      <w:r>
        <w:rPr>
          <w:rFonts w:ascii="Arial" w:hAnsi="Arial"/>
          <w:i/>
          <w:spacing w:val="53"/>
          <w:sz w:val="20"/>
        </w:rPr>
        <w:t> </w:t>
      </w:r>
      <w:r>
        <w:rPr>
          <w:rFonts w:ascii="Arial" w:hAnsi="Arial"/>
          <w:i/>
          <w:sz w:val="20"/>
        </w:rPr>
        <w:t>1902,</w:t>
      </w:r>
      <w:r>
        <w:rPr>
          <w:rFonts w:ascii="Arial" w:hAnsi="Arial"/>
          <w:i/>
          <w:spacing w:val="53"/>
          <w:sz w:val="20"/>
        </w:rPr>
        <w:t> </w:t>
      </w:r>
      <w:r>
        <w:rPr>
          <w:rFonts w:ascii="Arial" w:hAnsi="Arial"/>
          <w:i/>
          <w:sz w:val="20"/>
        </w:rPr>
        <w:t>1910</w:t>
      </w:r>
      <w:r>
        <w:rPr>
          <w:sz w:val="20"/>
        </w:rPr>
        <w:t>;</w:t>
      </w:r>
      <w:r>
        <w:rPr>
          <w:spacing w:val="53"/>
          <w:sz w:val="20"/>
        </w:rPr>
        <w:t> </w:t>
      </w:r>
      <w:r>
        <w:rPr>
          <w:rFonts w:ascii="Arial" w:hAnsi="Arial"/>
          <w:i/>
          <w:sz w:val="20"/>
        </w:rPr>
        <w:t>Habib</w:t>
      </w:r>
      <w:r>
        <w:rPr>
          <w:rFonts w:ascii="Arial" w:hAnsi="Arial"/>
          <w:i/>
          <w:spacing w:val="53"/>
          <w:sz w:val="20"/>
        </w:rPr>
        <w:t> </w:t>
      </w:r>
      <w:r>
        <w:rPr>
          <w:rFonts w:ascii="Arial" w:hAnsi="Arial"/>
          <w:i/>
          <w:sz w:val="20"/>
        </w:rPr>
        <w:t>Bank</w:t>
      </w:r>
      <w:r>
        <w:rPr>
          <w:rFonts w:ascii="Arial" w:hAnsi="Arial"/>
          <w:i/>
          <w:spacing w:val="53"/>
          <w:sz w:val="20"/>
        </w:rPr>
        <w:t> </w:t>
      </w:r>
      <w:r>
        <w:rPr>
          <w:rFonts w:ascii="Arial" w:hAnsi="Arial"/>
          <w:i/>
          <w:sz w:val="20"/>
        </w:rPr>
        <w:t>Ltd</w:t>
      </w:r>
      <w:r>
        <w:rPr>
          <w:rFonts w:ascii="Arial" w:hAnsi="Arial"/>
          <w:i/>
          <w:spacing w:val="53"/>
          <w:sz w:val="20"/>
        </w:rPr>
        <w:t> </w:t>
      </w:r>
      <w:r>
        <w:rPr>
          <w:rFonts w:ascii="Arial" w:hAnsi="Arial"/>
          <w:i/>
          <w:sz w:val="20"/>
        </w:rPr>
        <w:t>v</w:t>
      </w:r>
      <w:r>
        <w:rPr>
          <w:rFonts w:ascii="Arial" w:hAnsi="Arial"/>
          <w:i/>
          <w:spacing w:val="53"/>
          <w:sz w:val="20"/>
        </w:rPr>
        <w:t> </w:t>
      </w:r>
      <w:r>
        <w:rPr>
          <w:rFonts w:ascii="Arial" w:hAnsi="Arial"/>
          <w:i/>
          <w:sz w:val="20"/>
        </w:rPr>
        <w:t>Central</w:t>
      </w:r>
      <w:r>
        <w:rPr>
          <w:rFonts w:ascii="Arial" w:hAnsi="Arial"/>
          <w:i/>
          <w:spacing w:val="53"/>
          <w:sz w:val="20"/>
        </w:rPr>
        <w:t> </w:t>
      </w:r>
      <w:r>
        <w:rPr>
          <w:rFonts w:ascii="Arial" w:hAnsi="Arial"/>
          <w:i/>
          <w:sz w:val="20"/>
        </w:rPr>
        <w:t>Bank</w:t>
      </w:r>
      <w:r>
        <w:rPr>
          <w:rFonts w:ascii="Arial" w:hAnsi="Arial"/>
          <w:i/>
          <w:spacing w:val="53"/>
          <w:sz w:val="20"/>
        </w:rPr>
        <w:t> </w:t>
      </w:r>
      <w:r>
        <w:rPr>
          <w:rFonts w:ascii="Arial" w:hAnsi="Arial"/>
          <w:i/>
          <w:sz w:val="20"/>
        </w:rPr>
        <w:t>of</w:t>
      </w:r>
      <w:r>
        <w:rPr>
          <w:rFonts w:ascii="Arial" w:hAnsi="Arial"/>
          <w:i/>
          <w:spacing w:val="53"/>
          <w:sz w:val="20"/>
        </w:rPr>
        <w:t> </w:t>
      </w:r>
      <w:r>
        <w:rPr>
          <w:rFonts w:ascii="Arial" w:hAnsi="Arial"/>
          <w:i/>
          <w:sz w:val="20"/>
        </w:rPr>
        <w:t>Sudan</w:t>
      </w:r>
      <w:r>
        <w:rPr>
          <w:rFonts w:ascii="Arial" w:hAnsi="Arial"/>
          <w:i/>
          <w:spacing w:val="53"/>
          <w:sz w:val="20"/>
        </w:rPr>
        <w:t> </w:t>
      </w:r>
      <w:r>
        <w:rPr>
          <w:rFonts w:ascii="Arial" w:hAnsi="Arial"/>
          <w:i/>
          <w:sz w:val="20"/>
        </w:rPr>
        <w:t>[2006]</w:t>
      </w:r>
      <w:r>
        <w:rPr>
          <w:rFonts w:ascii="Arial" w:hAnsi="Arial"/>
          <w:i/>
          <w:spacing w:val="53"/>
          <w:sz w:val="20"/>
        </w:rPr>
        <w:t> </w:t>
      </w:r>
      <w:r>
        <w:rPr>
          <w:rFonts w:ascii="Arial" w:hAnsi="Arial"/>
          <w:i/>
          <w:sz w:val="20"/>
        </w:rPr>
        <w:t>EWHC</w:t>
      </w:r>
      <w:r>
        <w:rPr>
          <w:rFonts w:ascii="Arial" w:hAnsi="Arial"/>
          <w:i/>
          <w:spacing w:val="53"/>
          <w:sz w:val="20"/>
        </w:rPr>
        <w:t> </w:t>
      </w:r>
      <w:r>
        <w:rPr>
          <w:rFonts w:ascii="Arial" w:hAnsi="Arial"/>
          <w:i/>
          <w:spacing w:val="-4"/>
          <w:sz w:val="20"/>
        </w:rPr>
        <w:t>1767</w:t>
      </w:r>
    </w:p>
    <w:p>
      <w:pPr>
        <w:spacing w:line="221" w:lineRule="exact" w:before="0"/>
        <w:ind w:left="705" w:right="0" w:firstLine="0"/>
        <w:jc w:val="left"/>
        <w:rPr>
          <w:sz w:val="20"/>
        </w:rPr>
      </w:pPr>
      <w:r>
        <w:rPr>
          <w:rFonts w:ascii="Arial" w:hAnsi="Arial"/>
          <w:i/>
          <w:sz w:val="20"/>
        </w:rPr>
        <w:t>(Comm), [2006] 2 Lloyd’s Rep. </w:t>
      </w:r>
      <w:r>
        <w:rPr>
          <w:rFonts w:ascii="Arial" w:hAnsi="Arial"/>
          <w:i/>
          <w:spacing w:val="-4"/>
          <w:sz w:val="20"/>
        </w:rPr>
        <w:t>412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75" w:id="877"/>
      <w:bookmarkEnd w:id="877"/>
      <w:r>
        <w:rPr/>
      </w:r>
      <w:hyperlink w:history="true" w:anchor="_bookmark750">
        <w:r>
          <w:rPr>
            <w:color w:val="005DA1"/>
            <w:spacing w:val="-4"/>
            <w:position w:val="5"/>
            <w:sz w:val="14"/>
            <w:u w:val="single" w:color="005DA1"/>
          </w:rPr>
          <w:t>463</w:t>
        </w:r>
      </w:hyperlink>
      <w:r>
        <w:rPr>
          <w:spacing w:val="-4"/>
          <w:position w:val="5"/>
          <w:sz w:val="14"/>
        </w:rPr>
        <w:t>.</w:t>
      </w:r>
      <w:r>
        <w:rPr>
          <w:position w:val="5"/>
          <w:sz w:val="14"/>
        </w:rPr>
        <w:tab/>
      </w:r>
      <w:r>
        <w:rPr>
          <w:rFonts w:ascii="Arial" w:hAnsi="Arial"/>
          <w:i/>
          <w:sz w:val="20"/>
        </w:rPr>
        <w:t>Bank of Baroda v Vysya Bank Ltd [1994] 2 Lloyd’s Rep. </w:t>
      </w:r>
      <w:r>
        <w:rPr>
          <w:rFonts w:ascii="Arial" w:hAnsi="Arial"/>
          <w:i/>
          <w:spacing w:val="-5"/>
          <w:sz w:val="20"/>
        </w:rPr>
        <w:t>87</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876" w:id="878"/>
      <w:bookmarkEnd w:id="878"/>
      <w:r>
        <w:rPr/>
      </w:r>
      <w:hyperlink w:history="true" w:anchor="_bookmark751">
        <w:r>
          <w:rPr>
            <w:color w:val="005DA1"/>
            <w:spacing w:val="-4"/>
            <w:position w:val="5"/>
            <w:sz w:val="14"/>
            <w:u w:val="single" w:color="005DA1"/>
          </w:rPr>
          <w:t>464</w:t>
        </w:r>
      </w:hyperlink>
      <w:r>
        <w:rPr>
          <w:spacing w:val="-4"/>
          <w:position w:val="5"/>
          <w:sz w:val="14"/>
        </w:rPr>
        <w:t>.</w:t>
      </w:r>
      <w:r>
        <w:rPr>
          <w:position w:val="5"/>
          <w:sz w:val="14"/>
        </w:rPr>
        <w:tab/>
      </w:r>
      <w:r>
        <w:rPr>
          <w:rFonts w:ascii="Arial" w:hAnsi="Arial"/>
          <w:i/>
          <w:sz w:val="20"/>
        </w:rPr>
        <w:t>[1994]</w:t>
      </w:r>
      <w:r>
        <w:rPr>
          <w:rFonts w:ascii="Arial" w:hAnsi="Arial"/>
          <w:i/>
          <w:spacing w:val="-1"/>
          <w:sz w:val="20"/>
        </w:rPr>
        <w:t> </w:t>
      </w:r>
      <w:r>
        <w:rPr>
          <w:rFonts w:ascii="Arial" w:hAnsi="Arial"/>
          <w:i/>
          <w:sz w:val="20"/>
        </w:rPr>
        <w:t>2 Lloyd’s Rep. 87, 93</w:t>
      </w:r>
      <w:r>
        <w:rPr>
          <w:sz w:val="20"/>
        </w:rPr>
        <w:t>, per Mance </w:t>
      </w:r>
      <w:r>
        <w:rPr>
          <w:spacing w:val="-5"/>
          <w:sz w:val="20"/>
        </w:rPr>
        <w:t>J.</w:t>
      </w:r>
    </w:p>
    <w:p>
      <w:pPr>
        <w:pStyle w:val="BodyText"/>
        <w:spacing w:before="8"/>
      </w:pPr>
    </w:p>
    <w:p>
      <w:pPr>
        <w:spacing w:line="235" w:lineRule="auto" w:before="1"/>
        <w:ind w:left="705" w:right="168" w:hanging="541"/>
        <w:jc w:val="both"/>
        <w:rPr>
          <w:sz w:val="20"/>
        </w:rPr>
      </w:pPr>
      <w:bookmarkStart w:name="_bookmark877" w:id="879"/>
      <w:bookmarkEnd w:id="879"/>
      <w:r>
        <w:rPr/>
      </w:r>
      <w:hyperlink w:history="true" w:anchor="_bookmark752">
        <w:r>
          <w:rPr>
            <w:color w:val="005DA1"/>
            <w:position w:val="5"/>
            <w:sz w:val="14"/>
            <w:u w:val="single" w:color="005DA1"/>
          </w:rPr>
          <w:t>465</w:t>
        </w:r>
      </w:hyperlink>
      <w:r>
        <w:rPr>
          <w:position w:val="5"/>
          <w:sz w:val="14"/>
        </w:rPr>
        <w:t>.</w:t>
      </w:r>
      <w:r>
        <w:rPr>
          <w:spacing w:val="80"/>
          <w:position w:val="5"/>
          <w:sz w:val="14"/>
        </w:rPr>
        <w:t>  </w:t>
      </w:r>
      <w:r>
        <w:rPr>
          <w:rFonts w:ascii="Arial" w:hAnsi="Arial"/>
          <w:i/>
          <w:sz w:val="20"/>
        </w:rPr>
        <w:t>Bank of Baroda v Vysya Bank Ltd [1994] 2 Lloyd’s Rep. 87</w:t>
      </w:r>
      <w:r>
        <w:rPr>
          <w:sz w:val="20"/>
        </w:rPr>
        <w:t>; cf. </w:t>
      </w:r>
      <w:r>
        <w:rPr>
          <w:rFonts w:ascii="Arial" w:hAnsi="Arial"/>
          <w:i/>
          <w:sz w:val="20"/>
        </w:rPr>
        <w:t>Offshore International SA v Banco Central SA [1977] 1 W.L.R. 399</w:t>
      </w:r>
      <w:r>
        <w:rPr>
          <w:sz w:val="20"/>
        </w:rPr>
        <w:t>. See also </w:t>
      </w:r>
      <w:r>
        <w:rPr>
          <w:rFonts w:ascii="Arial" w:hAnsi="Arial"/>
          <w:i/>
          <w:sz w:val="20"/>
        </w:rPr>
        <w:t>PT Pan Indonesia Bank Ltd Tbk v Marconi Communications International Ltd [2005] EWCA Civ 422</w:t>
      </w:r>
      <w:r>
        <w:rPr>
          <w:sz w:val="20"/>
        </w:rPr>
        <w:t>; </w:t>
      </w:r>
      <w:r>
        <w:rPr>
          <w:rFonts w:ascii="Arial" w:hAnsi="Arial"/>
          <w:i/>
          <w:sz w:val="20"/>
        </w:rPr>
        <w:t>Governor &amp; Co of the Bank of Ireland v State Bank of India [2011] NIQB 22</w:t>
      </w:r>
      <w:r>
        <w:rPr>
          <w:sz w:val="20"/>
        </w:rPr>
        <w:t>.</w:t>
      </w:r>
    </w:p>
    <w:p>
      <w:pPr>
        <w:pStyle w:val="BodyText"/>
        <w:spacing w:before="4"/>
      </w:pPr>
    </w:p>
    <w:p>
      <w:pPr>
        <w:pStyle w:val="BodyText"/>
        <w:tabs>
          <w:tab w:pos="705" w:val="left" w:leader="none"/>
        </w:tabs>
        <w:ind w:left="165"/>
      </w:pPr>
      <w:bookmarkStart w:name="_bookmark878" w:id="880"/>
      <w:bookmarkEnd w:id="880"/>
      <w:r>
        <w:rPr/>
      </w:r>
      <w:hyperlink w:history="true" w:anchor="_bookmark753">
        <w:r>
          <w:rPr>
            <w:color w:val="005DA1"/>
            <w:spacing w:val="-4"/>
            <w:position w:val="5"/>
            <w:sz w:val="14"/>
            <w:u w:val="single" w:color="005DA1"/>
          </w:rPr>
          <w:t>466</w:t>
        </w:r>
      </w:hyperlink>
      <w:r>
        <w:rPr>
          <w:spacing w:val="-4"/>
          <w:position w:val="5"/>
          <w:sz w:val="14"/>
        </w:rPr>
        <w:t>.</w:t>
      </w:r>
      <w:r>
        <w:rPr>
          <w:position w:val="5"/>
          <w:sz w:val="14"/>
        </w:rPr>
        <w:tab/>
      </w:r>
      <w:r>
        <w:rPr/>
        <w:t>Benjamin’s Sale of Goods, 9th edn (2014), </w:t>
      </w:r>
      <w:r>
        <w:rPr>
          <w:spacing w:val="-2"/>
        </w:rPr>
        <w:t>para.26–076.</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position w:val="11"/>
          <w:sz w:val="12"/>
        </w:rPr>
      </w:pPr>
      <w:r>
        <w:rPr>
          <w:rFonts w:ascii="Arial"/>
          <w:b/>
          <w:sz w:val="24"/>
        </w:rPr>
        <w:t>Section 3. - The Rome Convention </w:t>
      </w:r>
      <w:r>
        <w:rPr>
          <w:rFonts w:ascii="Arial"/>
          <w:b/>
          <w:color w:val="005DA1"/>
          <w:spacing w:val="-5"/>
          <w:position w:val="11"/>
          <w:sz w:val="12"/>
          <w:u w:val="single" w:color="005DA1"/>
        </w:rPr>
        <w:t>96</w:t>
      </w:r>
    </w:p>
    <w:p>
      <w:pPr>
        <w:pStyle w:val="ListParagraph"/>
        <w:numPr>
          <w:ilvl w:val="0"/>
          <w:numId w:val="1"/>
        </w:numPr>
        <w:tabs>
          <w:tab w:pos="958" w:val="left" w:leader="none"/>
        </w:tabs>
        <w:spacing w:line="240" w:lineRule="auto" w:before="194" w:after="0"/>
        <w:ind w:left="958" w:right="0" w:hanging="360"/>
        <w:jc w:val="left"/>
        <w:rPr>
          <w:b/>
          <w:sz w:val="24"/>
        </w:rPr>
      </w:pPr>
      <w:r>
        <w:rPr>
          <w:b/>
          <w:sz w:val="24"/>
        </w:rPr>
        <w:t>- Certain Consumer Contracts and Individual Employment </w:t>
      </w:r>
      <w:r>
        <w:rPr>
          <w:b/>
          <w:spacing w:val="-2"/>
          <w:sz w:val="24"/>
        </w:rPr>
        <w:t>Contracts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2"/>
        <w:rPr>
          <w:rFonts w:ascii="Arial"/>
          <w:b/>
          <w:sz w:val="18"/>
        </w:rPr>
      </w:pPr>
    </w:p>
    <w:p>
      <w:pPr>
        <w:pStyle w:val="Heading2"/>
        <w:ind w:left="164"/>
      </w:pPr>
      <w:r>
        <w:rPr/>
        <w:t>30-</w:t>
      </w:r>
      <w:r>
        <w:rPr>
          <w:spacing w:val="-5"/>
        </w:rPr>
        <w:t>091</w:t>
      </w:r>
    </w:p>
    <w:p>
      <w:pPr>
        <w:pStyle w:val="BodyText"/>
        <w:spacing w:line="235" w:lineRule="auto" w:before="202"/>
        <w:ind w:left="164" w:right="167"/>
        <w:jc w:val="both"/>
      </w:pPr>
      <w:r>
        <w:rPr/>
        <w:t>Articles 5 and 6 of the Rome Convention contain special rules for determining, respectively, the </w:t>
      </w:r>
      <w:r>
        <w:rPr/>
        <w:t>law applicable to certain consumer contracts and individual employment contracts. The central provisions of these articles are linked by a common underlying philosophy, namely that the consumer and the employee, respectively, are in a weaker position to the other contracting party. As such, the general </w:t>
      </w:r>
      <w:bookmarkStart w:name="_bookmark879" w:id="881"/>
      <w:bookmarkEnd w:id="881"/>
      <w:r>
        <w:rPr/>
        <w:t>choice</w:t>
      </w:r>
      <w:r>
        <w:rPr>
          <w:spacing w:val="-1"/>
        </w:rPr>
        <w:t> </w:t>
      </w:r>
      <w:r>
        <w:rPr/>
        <w:t>of</w:t>
      </w:r>
      <w:r>
        <w:rPr>
          <w:spacing w:val="-1"/>
        </w:rPr>
        <w:t> </w:t>
      </w:r>
      <w:r>
        <w:rPr/>
        <w:t>law</w:t>
      </w:r>
      <w:r>
        <w:rPr>
          <w:spacing w:val="-1"/>
        </w:rPr>
        <w:t> </w:t>
      </w:r>
      <w:r>
        <w:rPr/>
        <w:t>rules</w:t>
      </w:r>
      <w:r>
        <w:rPr>
          <w:spacing w:val="-1"/>
        </w:rPr>
        <w:t> </w:t>
      </w:r>
      <w:r>
        <w:rPr/>
        <w:t>contained</w:t>
      </w:r>
      <w:r>
        <w:rPr>
          <w:spacing w:val="-1"/>
        </w:rPr>
        <w:t> </w:t>
      </w:r>
      <w:r>
        <w:rPr/>
        <w:t>in</w:t>
      </w:r>
      <w:r>
        <w:rPr>
          <w:spacing w:val="-1"/>
        </w:rPr>
        <w:t> </w:t>
      </w:r>
      <w:r>
        <w:rPr/>
        <w:t>arts</w:t>
      </w:r>
      <w:r>
        <w:rPr>
          <w:spacing w:val="-1"/>
        </w:rPr>
        <w:t> </w:t>
      </w:r>
      <w:r>
        <w:rPr/>
        <w:t>3</w:t>
      </w:r>
      <w:r>
        <w:rPr>
          <w:spacing w:val="-1"/>
        </w:rPr>
        <w:t> </w:t>
      </w:r>
      <w:r>
        <w:rPr/>
        <w:t>and</w:t>
      </w:r>
      <w:r>
        <w:rPr>
          <w:spacing w:val="-1"/>
        </w:rPr>
        <w:t> </w:t>
      </w:r>
      <w:r>
        <w:rPr/>
        <w:t>4</w:t>
      </w:r>
      <w:r>
        <w:rPr>
          <w:spacing w:val="-1"/>
        </w:rPr>
        <w:t> </w:t>
      </w:r>
      <w:r>
        <w:rPr/>
        <w:t>of</w:t>
      </w:r>
      <w:r>
        <w:rPr>
          <w:spacing w:val="-1"/>
        </w:rPr>
        <w:t> </w:t>
      </w:r>
      <w:r>
        <w:rPr/>
        <w:t>the</w:t>
      </w:r>
      <w:r>
        <w:rPr>
          <w:spacing w:val="-1"/>
        </w:rPr>
        <w:t> </w:t>
      </w:r>
      <w:r>
        <w:rPr/>
        <w:t>Convention</w:t>
      </w:r>
      <w:r>
        <w:rPr>
          <w:spacing w:val="-1"/>
        </w:rPr>
        <w:t> </w:t>
      </w:r>
      <w:r>
        <w:rPr/>
        <w:t>required</w:t>
      </w:r>
      <w:r>
        <w:rPr>
          <w:spacing w:val="-1"/>
        </w:rPr>
        <w:t> </w:t>
      </w:r>
      <w:r>
        <w:rPr/>
        <w:t>modification</w:t>
      </w:r>
      <w:r>
        <w:rPr>
          <w:spacing w:val="-1"/>
        </w:rPr>
        <w:t> </w:t>
      </w:r>
      <w:r>
        <w:rPr/>
        <w:t>so</w:t>
      </w:r>
      <w:r>
        <w:rPr>
          <w:spacing w:val="-1"/>
        </w:rPr>
        <w:t> </w:t>
      </w:r>
      <w:r>
        <w:rPr/>
        <w:t>as</w:t>
      </w:r>
      <w:r>
        <w:rPr>
          <w:spacing w:val="-1"/>
        </w:rPr>
        <w:t> </w:t>
      </w:r>
      <w:r>
        <w:rPr/>
        <w:t>to</w:t>
      </w:r>
      <w:r>
        <w:rPr>
          <w:spacing w:val="-1"/>
        </w:rPr>
        <w:t> </w:t>
      </w:r>
      <w:r>
        <w:rPr/>
        <w:t>achieve, respectively, the aim of consumer and employee protection. </w:t>
      </w:r>
      <w:r>
        <w:rPr>
          <w:color w:val="005DA1"/>
          <w:u w:val="single" w:color="005DA1"/>
          <w:vertAlign w:val="superscript"/>
        </w:rPr>
        <w:t>467</w:t>
      </w:r>
    </w:p>
    <w:p>
      <w:pPr>
        <w:pStyle w:val="BodyText"/>
      </w:pPr>
    </w:p>
    <w:p>
      <w:pPr>
        <w:pStyle w:val="BodyText"/>
        <w:spacing w:before="36"/>
      </w:pPr>
    </w:p>
    <w:p>
      <w:pPr>
        <w:spacing w:before="1"/>
        <w:ind w:left="165" w:right="0" w:firstLine="0"/>
        <w:jc w:val="left"/>
        <w:rPr>
          <w:rFonts w:ascii="Arial" w:hAnsi="Arial"/>
          <w:b/>
          <w:sz w:val="18"/>
        </w:rPr>
      </w:pPr>
      <w:bookmarkStart w:name="_bookmark880" w:id="882"/>
      <w:bookmarkEnd w:id="882"/>
      <w:r>
        <w:rPr/>
      </w:r>
      <w:r>
        <w:rPr>
          <w:rFonts w:ascii="Arial" w:hAnsi="Arial"/>
          <w:b/>
          <w:sz w:val="18"/>
        </w:rPr>
        <w:t>“Certain consumer contracts”</w:t>
      </w:r>
      <w:r>
        <w:rPr>
          <w:rFonts w:ascii="Arial" w:hAnsi="Arial"/>
          <w:b/>
          <w:spacing w:val="-1"/>
          <w:sz w:val="18"/>
        </w:rPr>
        <w:t> </w:t>
      </w:r>
      <w:r>
        <w:rPr>
          <w:rFonts w:ascii="Arial" w:hAnsi="Arial"/>
          <w:b/>
          <w:color w:val="005DA1"/>
          <w:spacing w:val="-5"/>
          <w:sz w:val="18"/>
          <w:u w:val="single" w:color="005DA1"/>
          <w:vertAlign w:val="superscript"/>
        </w:rPr>
        <w:t>468</w:t>
      </w:r>
    </w:p>
    <w:p>
      <w:pPr>
        <w:pStyle w:val="BodyText"/>
        <w:spacing w:before="41"/>
        <w:rPr>
          <w:rFonts w:ascii="Arial"/>
          <w:b/>
          <w:sz w:val="18"/>
        </w:rPr>
      </w:pPr>
    </w:p>
    <w:p>
      <w:pPr>
        <w:pStyle w:val="Heading2"/>
      </w:pPr>
      <w:r>
        <w:rPr/>
        <w:t>30-</w:t>
      </w:r>
      <w:r>
        <w:rPr>
          <w:spacing w:val="-5"/>
        </w:rPr>
        <w:t>092</w:t>
      </w:r>
    </w:p>
    <w:p>
      <w:pPr>
        <w:pStyle w:val="BodyText"/>
        <w:spacing w:line="235" w:lineRule="auto" w:before="203"/>
        <w:ind w:left="165" w:right="167"/>
        <w:jc w:val="both"/>
      </w:pPr>
      <w:r>
        <w:rPr/>
        <w:t>Article 5 contains the choice of law rules applicable to certain consumer contracts. These rules apply to a contract:</w:t>
      </w:r>
    </w:p>
    <w:p>
      <w:pPr>
        <w:pStyle w:val="BodyText"/>
      </w:pPr>
    </w:p>
    <w:p>
      <w:pPr>
        <w:pStyle w:val="BodyText"/>
        <w:spacing w:before="125"/>
      </w:pPr>
    </w:p>
    <w:p>
      <w:pPr>
        <w:pStyle w:val="BodyText"/>
        <w:spacing w:line="235" w:lineRule="auto" w:before="1"/>
        <w:ind w:left="1245" w:right="167"/>
        <w:jc w:val="both"/>
      </w:pPr>
      <w:r>
        <w:rPr/>
        <w:t>“… the object of which is the supply of goods or services to a person (‘the consumer’) for </w:t>
      </w:r>
      <w:bookmarkStart w:name="_bookmark881" w:id="883"/>
      <w:bookmarkEnd w:id="883"/>
      <w:r>
        <w:rPr/>
        <w:t>a</w:t>
      </w:r>
      <w:r>
        <w:rPr/>
        <w:t> purpose which can be regarded as being outside his trade or profession, or a </w:t>
      </w:r>
      <w:r>
        <w:rPr/>
        <w:t>contract for the provision of credit for that object.” </w:t>
      </w:r>
      <w:r>
        <w:rPr>
          <w:color w:val="005DA1"/>
          <w:u w:val="single" w:color="005DA1"/>
          <w:vertAlign w:val="superscript"/>
        </w:rPr>
        <w:t>469</w:t>
      </w:r>
    </w:p>
    <w:p>
      <w:pPr>
        <w:pStyle w:val="BodyText"/>
        <w:spacing w:before="115"/>
      </w:pPr>
    </w:p>
    <w:p>
      <w:pPr>
        <w:pStyle w:val="BodyText"/>
        <w:spacing w:line="235" w:lineRule="auto"/>
        <w:ind w:left="164" w:right="167"/>
        <w:jc w:val="both"/>
      </w:pPr>
      <w:bookmarkStart w:name="_bookmark882" w:id="884"/>
      <w:bookmarkEnd w:id="884"/>
      <w:r>
        <w:rPr/>
      </w:r>
      <w:r>
        <w:rPr/>
        <w:t>A more precise definition was avoided so as not to introduce conflict with definitions which are </w:t>
      </w:r>
      <w:r>
        <w:rPr/>
        <w:t>found </w:t>
      </w:r>
      <w:bookmarkStart w:name="_bookmark883" w:id="885"/>
      <w:bookmarkEnd w:id="885"/>
      <w:r>
        <w:rPr/>
        <w:t>in</w:t>
      </w:r>
      <w:r>
        <w:rPr/>
        <w:t> national law,</w:t>
      </w:r>
      <w:r>
        <w:rPr>
          <w:spacing w:val="-1"/>
        </w:rPr>
        <w:t> </w:t>
      </w:r>
      <w:r>
        <w:rPr>
          <w:color w:val="005DA1"/>
          <w:u w:val="single" w:color="005DA1"/>
          <w:vertAlign w:val="superscript"/>
        </w:rPr>
        <w:t>470</w:t>
      </w:r>
      <w:r>
        <w:rPr>
          <w:color w:val="005DA1"/>
          <w:vertAlign w:val="baseline"/>
        </w:rPr>
        <w:t> </w:t>
      </w:r>
      <w:r>
        <w:rPr>
          <w:vertAlign w:val="baseline"/>
        </w:rPr>
        <w:t>though it is likely that an autonomous meaning will be ascribed to contracts that fall </w:t>
      </w:r>
      <w:bookmarkStart w:name="_bookmark884" w:id="886"/>
      <w:bookmarkEnd w:id="886"/>
      <w:r>
        <w:rPr>
          <w:vertAlign w:val="baseline"/>
        </w:rPr>
        <w:t>within</w:t>
      </w:r>
      <w:r>
        <w:rPr>
          <w:vertAlign w:val="baseline"/>
        </w:rPr>
        <w:t> the provision. </w:t>
      </w:r>
      <w:r>
        <w:rPr>
          <w:color w:val="005DA1"/>
          <w:u w:val="single" w:color="005DA1"/>
          <w:vertAlign w:val="superscript"/>
        </w:rPr>
        <w:t>471</w:t>
      </w:r>
      <w:r>
        <w:rPr>
          <w:color w:val="005DA1"/>
          <w:vertAlign w:val="baseline"/>
        </w:rPr>
        <w:t> </w:t>
      </w:r>
      <w:r>
        <w:rPr>
          <w:vertAlign w:val="baseline"/>
        </w:rPr>
        <w:t>In terms, art.5 is capable of applying to a wide variety of contracts including </w:t>
      </w:r>
      <w:bookmarkStart w:name="_bookmark885" w:id="887"/>
      <w:bookmarkEnd w:id="887"/>
      <w:r>
        <w:rPr>
          <w:vertAlign w:val="baseline"/>
        </w:rPr>
        <w:t>contracts</w:t>
      </w:r>
      <w:r>
        <w:rPr>
          <w:vertAlign w:val="baseline"/>
        </w:rPr>
        <w:t> for the sale, hire or pledge of movables </w:t>
      </w:r>
      <w:r>
        <w:rPr>
          <w:color w:val="005DA1"/>
          <w:u w:val="single" w:color="005DA1"/>
          <w:vertAlign w:val="superscript"/>
        </w:rPr>
        <w:t>472</w:t>
      </w:r>
      <w:r>
        <w:rPr>
          <w:vertAlign w:val="baseline"/>
        </w:rPr>
        <w:t>; insurance contracts (to the extent that these are not excluded from the Convention) </w:t>
      </w:r>
      <w:r>
        <w:rPr>
          <w:color w:val="005DA1"/>
          <w:u w:val="single" w:color="005DA1"/>
          <w:vertAlign w:val="superscript"/>
        </w:rPr>
        <w:t>473</w:t>
      </w:r>
      <w:r>
        <w:rPr>
          <w:vertAlign w:val="baseline"/>
        </w:rPr>
        <w:t>; banking contracts; and wagering contracts. </w:t>
      </w:r>
      <w:r>
        <w:rPr>
          <w:color w:val="005DA1"/>
          <w:u w:val="single" w:color="005DA1"/>
          <w:vertAlign w:val="superscript"/>
        </w:rPr>
        <w:t>474</w:t>
      </w:r>
      <w:r>
        <w:rPr>
          <w:color w:val="005DA1"/>
          <w:vertAlign w:val="baseline"/>
        </w:rPr>
        <w:t> </w:t>
      </w:r>
      <w:r>
        <w:rPr>
          <w:vertAlign w:val="baseline"/>
        </w:rPr>
        <w:t>A contract </w:t>
      </w:r>
      <w:bookmarkStart w:name="_bookmark886" w:id="888"/>
      <w:bookmarkEnd w:id="888"/>
      <w:r>
        <w:rPr>
          <w:vertAlign w:val="baseline"/>
        </w:rPr>
        <w:t>which,</w:t>
      </w:r>
      <w:r>
        <w:rPr>
          <w:vertAlign w:val="baseline"/>
        </w:rPr>
        <w:t> for an exclusive price, provides for a combination of travel and accommodation (a so-called </w:t>
      </w:r>
      <w:bookmarkStart w:name="_bookmark887" w:id="889"/>
      <w:bookmarkEnd w:id="889"/>
      <w:r>
        <w:rPr>
          <w:vertAlign w:val="baseline"/>
        </w:rPr>
        <w:t>“package</w:t>
      </w:r>
      <w:r>
        <w:rPr>
          <w:vertAlign w:val="baseline"/>
        </w:rPr>
        <w:t> tour”) is specifically made subject to the Article. </w:t>
      </w:r>
      <w:r>
        <w:rPr>
          <w:color w:val="005DA1"/>
          <w:u w:val="single" w:color="005DA1"/>
          <w:vertAlign w:val="superscript"/>
        </w:rPr>
        <w:t>475</w:t>
      </w:r>
      <w:r>
        <w:rPr>
          <w:color w:val="005DA1"/>
          <w:vertAlign w:val="baseline"/>
        </w:rPr>
        <w:t> </w:t>
      </w:r>
      <w:r>
        <w:rPr>
          <w:vertAlign w:val="baseline"/>
        </w:rPr>
        <w:t>On the other hand, contracts of carriage are specifically excluded from the operation of art.5, </w:t>
      </w:r>
      <w:r>
        <w:rPr>
          <w:color w:val="005DA1"/>
          <w:u w:val="single" w:color="005DA1"/>
          <w:vertAlign w:val="superscript"/>
        </w:rPr>
        <w:t>476</w:t>
      </w:r>
      <w:r>
        <w:rPr>
          <w:color w:val="005DA1"/>
          <w:vertAlign w:val="baseline"/>
        </w:rPr>
        <w:t> </w:t>
      </w:r>
      <w:r>
        <w:rPr>
          <w:vertAlign w:val="baseline"/>
        </w:rPr>
        <w:t>as are contracts for the supply of services </w:t>
      </w:r>
      <w:bookmarkStart w:name="_bookmark888" w:id="890"/>
      <w:bookmarkEnd w:id="890"/>
      <w:r>
        <w:rPr>
          <w:vertAlign w:val="baseline"/>
        </w:rPr>
        <w:t>where</w:t>
      </w:r>
      <w:r>
        <w:rPr>
          <w:vertAlign w:val="baseline"/>
        </w:rPr>
        <w:t> the services are to be supplied to the consumer exclusively in a country other than that in</w:t>
      </w:r>
      <w:r>
        <w:rPr>
          <w:spacing w:val="40"/>
          <w:vertAlign w:val="baseline"/>
        </w:rPr>
        <w:t> </w:t>
      </w:r>
      <w:r>
        <w:rPr>
          <w:vertAlign w:val="baseline"/>
        </w:rPr>
        <w:t>which he has his habitual residence.</w:t>
      </w:r>
      <w:r>
        <w:rPr>
          <w:spacing w:val="-1"/>
          <w:vertAlign w:val="baseline"/>
        </w:rPr>
        <w:t> </w:t>
      </w:r>
      <w:r>
        <w:rPr>
          <w:color w:val="005DA1"/>
          <w:u w:val="single" w:color="005DA1"/>
          <w:vertAlign w:val="superscript"/>
        </w:rPr>
        <w:t>477</w:t>
      </w:r>
      <w:r>
        <w:rPr>
          <w:color w:val="005DA1"/>
          <w:vertAlign w:val="baseline"/>
        </w:rPr>
        <w:t> </w:t>
      </w:r>
      <w:r>
        <w:rPr>
          <w:vertAlign w:val="baseline"/>
        </w:rPr>
        <w:t>Where a contract entered into by a consumer is not within the category of contracts covered by art.5, or art.5 is, for some other reason, inapplicable, the governing </w:t>
      </w:r>
      <w:bookmarkStart w:name="_bookmark889" w:id="891"/>
      <w:bookmarkEnd w:id="891"/>
      <w:r>
        <w:rPr>
          <w:vertAlign w:val="baseline"/>
        </w:rPr>
        <w:t>law</w:t>
      </w:r>
      <w:r>
        <w:rPr>
          <w:vertAlign w:val="baseline"/>
        </w:rPr>
        <w:t> will be determined by reference to the general choice of law rules contained in arts 3 and 4 of the Rome Convention. </w:t>
      </w:r>
      <w:r>
        <w:rPr>
          <w:color w:val="005DA1"/>
          <w:u w:val="single" w:color="005DA1"/>
          <w:vertAlign w:val="superscript"/>
        </w:rPr>
        <w:t>478</w:t>
      </w:r>
    </w:p>
    <w:p>
      <w:pPr>
        <w:pStyle w:val="BodyText"/>
      </w:pPr>
    </w:p>
    <w:p>
      <w:pPr>
        <w:pStyle w:val="BodyText"/>
        <w:spacing w:before="34"/>
      </w:pPr>
    </w:p>
    <w:p>
      <w:pPr>
        <w:spacing w:before="0"/>
        <w:ind w:left="165" w:right="0" w:firstLine="0"/>
        <w:jc w:val="left"/>
        <w:rPr>
          <w:rFonts w:ascii="Arial"/>
          <w:b/>
          <w:sz w:val="18"/>
        </w:rPr>
      </w:pPr>
      <w:r>
        <w:rPr>
          <w:rFonts w:ascii="Arial"/>
          <w:b/>
          <w:sz w:val="18"/>
        </w:rPr>
        <w:t>Choice of law by the </w:t>
      </w:r>
      <w:r>
        <w:rPr>
          <w:rFonts w:ascii="Arial"/>
          <w:b/>
          <w:spacing w:val="-2"/>
          <w:sz w:val="18"/>
        </w:rPr>
        <w:t>parties</w:t>
      </w:r>
    </w:p>
    <w:p>
      <w:pPr>
        <w:pStyle w:val="BodyText"/>
        <w:spacing w:before="41"/>
        <w:rPr>
          <w:rFonts w:ascii="Arial"/>
          <w:b/>
          <w:sz w:val="18"/>
        </w:rPr>
      </w:pPr>
    </w:p>
    <w:p>
      <w:pPr>
        <w:pStyle w:val="Heading2"/>
      </w:pPr>
      <w:r>
        <w:rPr/>
        <w:t>30-</w:t>
      </w:r>
      <w:r>
        <w:rPr>
          <w:spacing w:val="-5"/>
        </w:rPr>
        <w:t>093</w:t>
      </w:r>
    </w:p>
    <w:p>
      <w:pPr>
        <w:pStyle w:val="Heading2"/>
        <w:spacing w:after="0"/>
        <w:sectPr>
          <w:headerReference w:type="default" r:id="rId12"/>
          <w:pgSz w:w="11900" w:h="16840"/>
          <w:pgMar w:header="971" w:footer="0" w:top="1300" w:bottom="280" w:left="1275" w:right="1275"/>
          <w:pgNumType w:start="1"/>
        </w:sectPr>
      </w:pPr>
    </w:p>
    <w:p>
      <w:pPr>
        <w:pStyle w:val="BodyText"/>
        <w:spacing w:line="235" w:lineRule="auto" w:before="210"/>
        <w:ind w:left="165" w:right="167"/>
        <w:jc w:val="both"/>
      </w:pPr>
      <w:r>
        <w:rPr/>
        <w:t>A</w:t>
      </w:r>
      <w:r>
        <w:rPr>
          <w:spacing w:val="-1"/>
        </w:rPr>
        <w:t> </w:t>
      </w:r>
      <w:r>
        <w:rPr/>
        <w:t>key</w:t>
      </w:r>
      <w:r>
        <w:rPr>
          <w:spacing w:val="-1"/>
        </w:rPr>
        <w:t> </w:t>
      </w:r>
      <w:r>
        <w:rPr/>
        <w:t>element</w:t>
      </w:r>
      <w:r>
        <w:rPr>
          <w:spacing w:val="-1"/>
        </w:rPr>
        <w:t> </w:t>
      </w:r>
      <w:r>
        <w:rPr/>
        <w:t>in</w:t>
      </w:r>
      <w:r>
        <w:rPr>
          <w:spacing w:val="-1"/>
        </w:rPr>
        <w:t> </w:t>
      </w:r>
      <w:r>
        <w:rPr/>
        <w:t>art.5</w:t>
      </w:r>
      <w:r>
        <w:rPr>
          <w:spacing w:val="-1"/>
        </w:rPr>
        <w:t> </w:t>
      </w:r>
      <w:r>
        <w:rPr/>
        <w:t>is</w:t>
      </w:r>
      <w:r>
        <w:rPr>
          <w:spacing w:val="-1"/>
        </w:rPr>
        <w:t> </w:t>
      </w:r>
      <w:r>
        <w:rPr/>
        <w:t>the</w:t>
      </w:r>
      <w:r>
        <w:rPr>
          <w:spacing w:val="-1"/>
        </w:rPr>
        <w:t> </w:t>
      </w:r>
      <w:r>
        <w:rPr/>
        <w:t>restriction</w:t>
      </w:r>
      <w:r>
        <w:rPr>
          <w:spacing w:val="-1"/>
        </w:rPr>
        <w:t> </w:t>
      </w:r>
      <w:r>
        <w:rPr/>
        <w:t>on</w:t>
      </w:r>
      <w:r>
        <w:rPr>
          <w:spacing w:val="-1"/>
        </w:rPr>
        <w:t> </w:t>
      </w:r>
      <w:r>
        <w:rPr/>
        <w:t>the</w:t>
      </w:r>
      <w:r>
        <w:rPr>
          <w:spacing w:val="-1"/>
        </w:rPr>
        <w:t> </w:t>
      </w:r>
      <w:r>
        <w:rPr/>
        <w:t>effect</w:t>
      </w:r>
      <w:r>
        <w:rPr>
          <w:spacing w:val="-1"/>
        </w:rPr>
        <w:t> </w:t>
      </w:r>
      <w:r>
        <w:rPr/>
        <w:t>of</w:t>
      </w:r>
      <w:r>
        <w:rPr>
          <w:spacing w:val="-1"/>
        </w:rPr>
        <w:t> </w:t>
      </w:r>
      <w:r>
        <w:rPr/>
        <w:t>a</w:t>
      </w:r>
      <w:r>
        <w:rPr>
          <w:spacing w:val="-1"/>
        </w:rPr>
        <w:t> </w:t>
      </w:r>
      <w:r>
        <w:rPr/>
        <w:t>choice</w:t>
      </w:r>
      <w:r>
        <w:rPr>
          <w:spacing w:val="-1"/>
        </w:rPr>
        <w:t> </w:t>
      </w:r>
      <w:r>
        <w:rPr/>
        <w:t>of</w:t>
      </w:r>
      <w:r>
        <w:rPr>
          <w:spacing w:val="-1"/>
        </w:rPr>
        <w:t> </w:t>
      </w:r>
      <w:r>
        <w:rPr/>
        <w:t>law</w:t>
      </w:r>
      <w:r>
        <w:rPr>
          <w:spacing w:val="-1"/>
        </w:rPr>
        <w:t> </w:t>
      </w:r>
      <w:r>
        <w:rPr/>
        <w:t>contained</w:t>
      </w:r>
      <w:r>
        <w:rPr>
          <w:spacing w:val="-1"/>
        </w:rPr>
        <w:t> </w:t>
      </w:r>
      <w:r>
        <w:rPr/>
        <w:t>in</w:t>
      </w:r>
      <w:r>
        <w:rPr>
          <w:spacing w:val="-1"/>
        </w:rPr>
        <w:t> </w:t>
      </w:r>
      <w:r>
        <w:rPr/>
        <w:t>a</w:t>
      </w:r>
      <w:r>
        <w:rPr>
          <w:spacing w:val="-1"/>
        </w:rPr>
        <w:t> </w:t>
      </w:r>
      <w:r>
        <w:rPr/>
        <w:t>contract</w:t>
      </w:r>
      <w:r>
        <w:rPr>
          <w:spacing w:val="-1"/>
        </w:rPr>
        <w:t> </w:t>
      </w:r>
      <w:r>
        <w:rPr/>
        <w:t>which</w:t>
      </w:r>
      <w:r>
        <w:rPr>
          <w:spacing w:val="-1"/>
        </w:rPr>
        <w:t> </w:t>
      </w:r>
      <w:r>
        <w:rPr/>
        <w:t>is subject to that Article. Notwithstanding art.3:</w:t>
      </w:r>
    </w:p>
    <w:p>
      <w:pPr>
        <w:pStyle w:val="BodyText"/>
      </w:pPr>
    </w:p>
    <w:p>
      <w:pPr>
        <w:pStyle w:val="BodyText"/>
        <w:spacing w:before="126"/>
      </w:pPr>
    </w:p>
    <w:p>
      <w:pPr>
        <w:pStyle w:val="BodyText"/>
        <w:spacing w:line="235" w:lineRule="auto"/>
        <w:ind w:left="1245" w:right="167"/>
        <w:jc w:val="both"/>
      </w:pPr>
      <w:r>
        <w:rPr/>
        <w:t>“… a choice of law made by the parties shall not have the result of depriving the consumer of the protection afforded to him by the mandatory rules of the law of the country in which he has his habitual residence”,</w:t>
      </w:r>
    </w:p>
    <w:p>
      <w:pPr>
        <w:pStyle w:val="BodyText"/>
        <w:spacing w:before="116"/>
      </w:pPr>
    </w:p>
    <w:p>
      <w:pPr>
        <w:pStyle w:val="BodyText"/>
        <w:spacing w:line="235" w:lineRule="auto"/>
        <w:ind w:left="165" w:right="167"/>
        <w:jc w:val="both"/>
      </w:pPr>
      <w:bookmarkStart w:name="_bookmark890" w:id="892"/>
      <w:bookmarkEnd w:id="892"/>
      <w:r>
        <w:rPr/>
      </w:r>
      <w:r>
        <w:rPr/>
        <w:t>if</w:t>
      </w:r>
      <w:r>
        <w:rPr>
          <w:spacing w:val="-3"/>
        </w:rPr>
        <w:t> </w:t>
      </w:r>
      <w:r>
        <w:rPr/>
        <w:t>any</w:t>
      </w:r>
      <w:r>
        <w:rPr>
          <w:spacing w:val="-3"/>
        </w:rPr>
        <w:t> </w:t>
      </w:r>
      <w:r>
        <w:rPr/>
        <w:t>one</w:t>
      </w:r>
      <w:r>
        <w:rPr>
          <w:spacing w:val="-3"/>
        </w:rPr>
        <w:t> </w:t>
      </w:r>
      <w:r>
        <w:rPr/>
        <w:t>of</w:t>
      </w:r>
      <w:r>
        <w:rPr>
          <w:spacing w:val="-3"/>
        </w:rPr>
        <w:t> </w:t>
      </w:r>
      <w:r>
        <w:rPr/>
        <w:t>three</w:t>
      </w:r>
      <w:r>
        <w:rPr>
          <w:spacing w:val="-3"/>
        </w:rPr>
        <w:t> </w:t>
      </w:r>
      <w:r>
        <w:rPr/>
        <w:t>specified</w:t>
      </w:r>
      <w:r>
        <w:rPr>
          <w:spacing w:val="-3"/>
        </w:rPr>
        <w:t> </w:t>
      </w:r>
      <w:r>
        <w:rPr/>
        <w:t>conditions</w:t>
      </w:r>
      <w:r>
        <w:rPr>
          <w:spacing w:val="-3"/>
        </w:rPr>
        <w:t> </w:t>
      </w:r>
      <w:r>
        <w:rPr/>
        <w:t>is</w:t>
      </w:r>
      <w:r>
        <w:rPr>
          <w:spacing w:val="-3"/>
        </w:rPr>
        <w:t> </w:t>
      </w:r>
      <w:r>
        <w:rPr/>
        <w:t>satisfied.</w:t>
      </w:r>
      <w:r>
        <w:rPr>
          <w:spacing w:val="-4"/>
        </w:rPr>
        <w:t> </w:t>
      </w:r>
      <w:r>
        <w:rPr>
          <w:color w:val="005DA1"/>
          <w:u w:val="single" w:color="005DA1"/>
          <w:vertAlign w:val="superscript"/>
        </w:rPr>
        <w:t>479</w:t>
      </w:r>
      <w:r>
        <w:rPr>
          <w:color w:val="005DA1"/>
          <w:spacing w:val="-3"/>
          <w:vertAlign w:val="baseline"/>
        </w:rPr>
        <w:t> </w:t>
      </w:r>
      <w:r>
        <w:rPr>
          <w:vertAlign w:val="baseline"/>
        </w:rPr>
        <w:t>The</w:t>
      </w:r>
      <w:r>
        <w:rPr>
          <w:spacing w:val="-3"/>
          <w:vertAlign w:val="baseline"/>
        </w:rPr>
        <w:t> </w:t>
      </w:r>
      <w:r>
        <w:rPr>
          <w:vertAlign w:val="baseline"/>
        </w:rPr>
        <w:t>first</w:t>
      </w:r>
      <w:r>
        <w:rPr>
          <w:spacing w:val="-3"/>
          <w:vertAlign w:val="baseline"/>
        </w:rPr>
        <w:t> </w:t>
      </w:r>
      <w:r>
        <w:rPr>
          <w:vertAlign w:val="baseline"/>
        </w:rPr>
        <w:t>condition</w:t>
      </w:r>
      <w:r>
        <w:rPr>
          <w:spacing w:val="-3"/>
          <w:vertAlign w:val="baseline"/>
        </w:rPr>
        <w:t> </w:t>
      </w:r>
      <w:r>
        <w:rPr>
          <w:vertAlign w:val="baseline"/>
        </w:rPr>
        <w:t>is</w:t>
      </w:r>
      <w:r>
        <w:rPr>
          <w:spacing w:val="-3"/>
          <w:vertAlign w:val="baseline"/>
        </w:rPr>
        <w:t> </w:t>
      </w:r>
      <w:r>
        <w:rPr>
          <w:vertAlign w:val="baseline"/>
        </w:rPr>
        <w:t>where,</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country</w:t>
      </w:r>
      <w:r>
        <w:rPr>
          <w:spacing w:val="-3"/>
          <w:vertAlign w:val="baseline"/>
        </w:rPr>
        <w:t> </w:t>
      </w:r>
      <w:r>
        <w:rPr>
          <w:vertAlign w:val="baseline"/>
        </w:rPr>
        <w:t>of</w:t>
      </w:r>
      <w:r>
        <w:rPr>
          <w:spacing w:val="-3"/>
          <w:vertAlign w:val="baseline"/>
        </w:rPr>
        <w:t> </w:t>
      </w:r>
      <w:r>
        <w:rPr>
          <w:vertAlign w:val="baseline"/>
        </w:rPr>
        <w:t>the consumer’s habitual residence, the contract was preceded by a specific invitation addressed to the </w:t>
      </w:r>
      <w:bookmarkStart w:name="_bookmark891" w:id="893"/>
      <w:bookmarkEnd w:id="893"/>
      <w:r>
        <w:rPr>
          <w:vertAlign w:val="baseline"/>
        </w:rPr>
        <w:t>consumer,</w:t>
      </w:r>
      <w:r>
        <w:rPr>
          <w:vertAlign w:val="baseline"/>
        </w:rPr>
        <w:t> or by advertising, and the consumer had taken in the country of his habitual residence all the steps necessary on his part for the conclusion of the contract. </w:t>
      </w:r>
      <w:r>
        <w:rPr>
          <w:color w:val="005DA1"/>
          <w:u w:val="single" w:color="005DA1"/>
          <w:vertAlign w:val="superscript"/>
        </w:rPr>
        <w:t>480</w:t>
      </w:r>
      <w:r>
        <w:rPr>
          <w:color w:val="005DA1"/>
          <w:vertAlign w:val="baseline"/>
        </w:rPr>
        <w:t> </w:t>
      </w:r>
      <w:r>
        <w:rPr>
          <w:vertAlign w:val="baseline"/>
        </w:rPr>
        <w:t>Any invitation must thus be specific to the particular consumer bringing this claim. As to “advertising”, the Giuliano-</w:t>
      </w:r>
      <w:r>
        <w:rPr>
          <w:vertAlign w:val="baseline"/>
        </w:rPr>
        <w:t>Lagarde</w:t>
      </w:r>
      <w:r>
        <w:rPr>
          <w:spacing w:val="40"/>
          <w:vertAlign w:val="baseline"/>
        </w:rPr>
        <w:t> </w:t>
      </w:r>
      <w:bookmarkStart w:name="_bookmark892" w:id="894"/>
      <w:bookmarkEnd w:id="894"/>
      <w:r>
        <w:rPr>
          <w:vertAlign w:val="baseline"/>
        </w:rPr>
        <w:t>Report</w:t>
      </w:r>
      <w:r>
        <w:rPr>
          <w:vertAlign w:val="baseline"/>
        </w:rPr>
        <w:t> suggests that the other contracting party must have intended to advertise to the consumer in </w:t>
      </w:r>
      <w:bookmarkStart w:name="_bookmark893" w:id="895"/>
      <w:bookmarkEnd w:id="895"/>
      <w:r>
        <w:rPr>
          <w:vertAlign w:val="baseline"/>
        </w:rPr>
        <w:t>the</w:t>
      </w:r>
      <w:r>
        <w:rPr>
          <w:vertAlign w:val="baseline"/>
        </w:rPr>
        <w:t> latter’s country of habitual residence </w:t>
      </w:r>
      <w:r>
        <w:rPr>
          <w:color w:val="005DA1"/>
          <w:u w:val="single" w:color="005DA1"/>
          <w:vertAlign w:val="superscript"/>
        </w:rPr>
        <w:t>481</w:t>
      </w:r>
      <w:r>
        <w:rPr>
          <w:vertAlign w:val="baseline"/>
        </w:rPr>
        <w:t>: if this view is accepted, the condition will be extremely restrictive in effect. </w:t>
      </w:r>
      <w:r>
        <w:rPr>
          <w:color w:val="005DA1"/>
          <w:u w:val="single" w:color="005DA1"/>
          <w:vertAlign w:val="superscript"/>
        </w:rPr>
        <w:t>482</w:t>
      </w:r>
      <w:r>
        <w:rPr>
          <w:color w:val="005DA1"/>
          <w:vertAlign w:val="baseline"/>
        </w:rPr>
        <w:t> </w:t>
      </w:r>
      <w:r>
        <w:rPr>
          <w:vertAlign w:val="baseline"/>
        </w:rPr>
        <w:t>The provision refers to the “steps” necessary for the conclusion of the contract </w:t>
      </w:r>
      <w:bookmarkStart w:name="_bookmark894" w:id="896"/>
      <w:bookmarkEnd w:id="896"/>
      <w:r>
        <w:rPr>
          <w:vertAlign w:val="baseline"/>
        </w:rPr>
        <w:t>being</w:t>
      </w:r>
      <w:r>
        <w:rPr>
          <w:vertAlign w:val="baseline"/>
        </w:rPr>
        <w:t> taken in the consumer’s country so as, apparently, to “avoid the classical problem of determining the place where the contract was concluded”. </w:t>
      </w:r>
      <w:r>
        <w:rPr>
          <w:color w:val="005DA1"/>
          <w:u w:val="single" w:color="005DA1"/>
          <w:vertAlign w:val="superscript"/>
        </w:rPr>
        <w:t>483</w:t>
      </w:r>
      <w:r>
        <w:rPr>
          <w:color w:val="005DA1"/>
          <w:vertAlign w:val="baseline"/>
        </w:rPr>
        <w:t> </w:t>
      </w:r>
      <w:r>
        <w:rPr>
          <w:vertAlign w:val="baseline"/>
        </w:rPr>
        <w:t>But this does not answer the question whether legal or factual steps are envisaged. To the extent that the Giuliano-Lagarde Report states </w:t>
      </w:r>
      <w:bookmarkStart w:name="_bookmark895" w:id="897"/>
      <w:bookmarkEnd w:id="897"/>
      <w:r>
        <w:rPr>
          <w:vertAlign w:val="baseline"/>
        </w:rPr>
        <w:t>that</w:t>
      </w:r>
      <w:r>
        <w:rPr>
          <w:vertAlign w:val="baseline"/>
        </w:rPr>
        <w:t> “steps” includes writing or any action taken in consequences of an offer or advertisement, the implication appears to be that factual steps are those contemplated. </w:t>
      </w:r>
      <w:r>
        <w:rPr>
          <w:color w:val="005DA1"/>
          <w:u w:val="single" w:color="005DA1"/>
          <w:vertAlign w:val="superscript"/>
        </w:rPr>
        <w:t>484</w:t>
      </w:r>
      <w:r>
        <w:rPr>
          <w:color w:val="005DA1"/>
          <w:vertAlign w:val="baseline"/>
        </w:rPr>
        <w:t> </w:t>
      </w:r>
      <w:r>
        <w:rPr>
          <w:vertAlign w:val="baseline"/>
        </w:rPr>
        <w:t>According to the second </w:t>
      </w:r>
      <w:bookmarkStart w:name="_bookmark896" w:id="898"/>
      <w:bookmarkEnd w:id="898"/>
      <w:r>
        <w:rPr>
          <w:vertAlign w:val="baseline"/>
        </w:rPr>
        <w:t>condition,</w:t>
      </w:r>
      <w:r>
        <w:rPr>
          <w:vertAlign w:val="baseline"/>
        </w:rPr>
        <w:t> the effect of a choice of law will be limited, as described above, if the other party or his agent</w:t>
      </w:r>
      <w:r>
        <w:rPr>
          <w:spacing w:val="16"/>
          <w:vertAlign w:val="baseline"/>
        </w:rPr>
        <w:t> </w:t>
      </w:r>
      <w:r>
        <w:rPr>
          <w:color w:val="005DA1"/>
          <w:u w:val="single" w:color="005DA1"/>
          <w:vertAlign w:val="superscript"/>
        </w:rPr>
        <w:t>485</w:t>
      </w:r>
      <w:r>
        <w:rPr>
          <w:color w:val="005DA1"/>
          <w:spacing w:val="17"/>
          <w:vertAlign w:val="baseline"/>
        </w:rPr>
        <w:t> </w:t>
      </w:r>
      <w:r>
        <w:rPr>
          <w:vertAlign w:val="baseline"/>
        </w:rPr>
        <w:t>received</w:t>
      </w:r>
      <w:r>
        <w:rPr>
          <w:spacing w:val="17"/>
          <w:vertAlign w:val="baseline"/>
        </w:rPr>
        <w:t> </w:t>
      </w:r>
      <w:r>
        <w:rPr>
          <w:vertAlign w:val="baseline"/>
        </w:rPr>
        <w:t>the</w:t>
      </w:r>
      <w:r>
        <w:rPr>
          <w:spacing w:val="17"/>
          <w:vertAlign w:val="baseline"/>
        </w:rPr>
        <w:t> </w:t>
      </w:r>
      <w:r>
        <w:rPr>
          <w:vertAlign w:val="baseline"/>
        </w:rPr>
        <w:t>consumer’s</w:t>
      </w:r>
      <w:r>
        <w:rPr>
          <w:spacing w:val="16"/>
          <w:vertAlign w:val="baseline"/>
        </w:rPr>
        <w:t> </w:t>
      </w:r>
      <w:r>
        <w:rPr>
          <w:vertAlign w:val="baseline"/>
        </w:rPr>
        <w:t>order</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country</w:t>
      </w:r>
      <w:r>
        <w:rPr>
          <w:spacing w:val="16"/>
          <w:vertAlign w:val="baseline"/>
        </w:rPr>
        <w:t> </w:t>
      </w:r>
      <w:r>
        <w:rPr>
          <w:vertAlign w:val="baseline"/>
        </w:rPr>
        <w:t>where</w:t>
      </w:r>
      <w:r>
        <w:rPr>
          <w:spacing w:val="17"/>
          <w:vertAlign w:val="baseline"/>
        </w:rPr>
        <w:t> </w:t>
      </w:r>
      <w:r>
        <w:rPr>
          <w:vertAlign w:val="baseline"/>
        </w:rPr>
        <w:t>the</w:t>
      </w:r>
      <w:r>
        <w:rPr>
          <w:spacing w:val="17"/>
          <w:vertAlign w:val="baseline"/>
        </w:rPr>
        <w:t> </w:t>
      </w:r>
      <w:r>
        <w:rPr>
          <w:vertAlign w:val="baseline"/>
        </w:rPr>
        <w:t>consumer</w:t>
      </w:r>
      <w:r>
        <w:rPr>
          <w:spacing w:val="17"/>
          <w:vertAlign w:val="baseline"/>
        </w:rPr>
        <w:t> </w:t>
      </w:r>
      <w:r>
        <w:rPr>
          <w:vertAlign w:val="baseline"/>
        </w:rPr>
        <w:t>was</w:t>
      </w:r>
      <w:r>
        <w:rPr>
          <w:spacing w:val="16"/>
          <w:vertAlign w:val="baseline"/>
        </w:rPr>
        <w:t> </w:t>
      </w:r>
      <w:r>
        <w:rPr>
          <w:vertAlign w:val="baseline"/>
        </w:rPr>
        <w:t>habitually</w:t>
      </w:r>
      <w:r>
        <w:rPr>
          <w:spacing w:val="17"/>
          <w:vertAlign w:val="baseline"/>
        </w:rPr>
        <w:t> </w:t>
      </w:r>
      <w:r>
        <w:rPr>
          <w:spacing w:val="-2"/>
          <w:vertAlign w:val="baseline"/>
        </w:rPr>
        <w:t>resident.</w:t>
      </w:r>
    </w:p>
    <w:p>
      <w:pPr>
        <w:pStyle w:val="BodyText"/>
        <w:spacing w:line="235" w:lineRule="auto"/>
        <w:ind w:left="165" w:right="167"/>
        <w:jc w:val="both"/>
      </w:pPr>
      <w:r>
        <w:rPr>
          <w:color w:val="005DA1"/>
          <w:u w:val="single" w:color="005DA1"/>
          <w:vertAlign w:val="superscript"/>
        </w:rPr>
        <w:t>486</w:t>
      </w:r>
      <w:r>
        <w:rPr>
          <w:color w:val="005DA1"/>
          <w:vertAlign w:val="baseline"/>
        </w:rPr>
        <w:t> </w:t>
      </w:r>
      <w:r>
        <w:rPr>
          <w:vertAlign w:val="baseline"/>
        </w:rPr>
        <w:t>Although this condition overlaps with the first, the overlap is not complete: thus the second condition will apply:</w:t>
      </w:r>
    </w:p>
    <w:p>
      <w:pPr>
        <w:pStyle w:val="BodyText"/>
      </w:pPr>
    </w:p>
    <w:p>
      <w:pPr>
        <w:pStyle w:val="BodyText"/>
        <w:spacing w:before="120"/>
      </w:pPr>
    </w:p>
    <w:p>
      <w:pPr>
        <w:pStyle w:val="BodyText"/>
        <w:spacing w:line="235" w:lineRule="auto"/>
        <w:ind w:left="1245" w:right="167"/>
        <w:jc w:val="both"/>
      </w:pPr>
      <w:r>
        <w:rPr/>
        <w:t>“… where the consumer has addressed himself to a stand of a foreign firm at a fair </w:t>
      </w:r>
      <w:r>
        <w:rPr/>
        <w:t>or exhibition</w:t>
      </w:r>
      <w:r>
        <w:rPr>
          <w:spacing w:val="-2"/>
        </w:rPr>
        <w:t> </w:t>
      </w:r>
      <w:r>
        <w:rPr/>
        <w:t>taking</w:t>
      </w:r>
      <w:r>
        <w:rPr>
          <w:spacing w:val="-2"/>
        </w:rPr>
        <w:t> </w:t>
      </w:r>
      <w:r>
        <w:rPr/>
        <w:t>place</w:t>
      </w:r>
      <w:r>
        <w:rPr>
          <w:spacing w:val="-2"/>
        </w:rPr>
        <w:t> </w:t>
      </w:r>
      <w:r>
        <w:rPr/>
        <w:t>in</w:t>
      </w:r>
      <w:r>
        <w:rPr>
          <w:spacing w:val="-2"/>
        </w:rPr>
        <w:t> </w:t>
      </w:r>
      <w:r>
        <w:rPr/>
        <w:t>the</w:t>
      </w:r>
      <w:r>
        <w:rPr>
          <w:spacing w:val="-2"/>
        </w:rPr>
        <w:t> </w:t>
      </w:r>
      <w:r>
        <w:rPr/>
        <w:t>consumer’s</w:t>
      </w:r>
      <w:r>
        <w:rPr>
          <w:spacing w:val="-2"/>
        </w:rPr>
        <w:t> </w:t>
      </w:r>
      <w:r>
        <w:rPr/>
        <w:t>country</w:t>
      </w:r>
      <w:r>
        <w:rPr>
          <w:spacing w:val="-2"/>
        </w:rPr>
        <w:t> </w:t>
      </w:r>
      <w:r>
        <w:rPr/>
        <w:t>or</w:t>
      </w:r>
      <w:r>
        <w:rPr>
          <w:spacing w:val="-2"/>
        </w:rPr>
        <w:t> </w:t>
      </w:r>
      <w:r>
        <w:rPr/>
        <w:t>to</w:t>
      </w:r>
      <w:r>
        <w:rPr>
          <w:spacing w:val="-2"/>
        </w:rPr>
        <w:t> </w:t>
      </w:r>
      <w:r>
        <w:rPr/>
        <w:t>a</w:t>
      </w:r>
      <w:r>
        <w:rPr>
          <w:spacing w:val="-2"/>
        </w:rPr>
        <w:t> </w:t>
      </w:r>
      <w:r>
        <w:rPr/>
        <w:t>permanent</w:t>
      </w:r>
      <w:r>
        <w:rPr>
          <w:spacing w:val="-2"/>
        </w:rPr>
        <w:t> </w:t>
      </w:r>
      <w:r>
        <w:rPr/>
        <w:t>branch</w:t>
      </w:r>
      <w:r>
        <w:rPr>
          <w:spacing w:val="-2"/>
        </w:rPr>
        <w:t> </w:t>
      </w:r>
      <w:r>
        <w:rPr/>
        <w:t>or</w:t>
      </w:r>
      <w:r>
        <w:rPr>
          <w:spacing w:val="-2"/>
        </w:rPr>
        <w:t> </w:t>
      </w:r>
      <w:r>
        <w:rPr/>
        <w:t>agency</w:t>
      </w:r>
      <w:r>
        <w:rPr>
          <w:spacing w:val="-2"/>
        </w:rPr>
        <w:t> </w:t>
      </w:r>
      <w:r>
        <w:rPr/>
        <w:t>of</w:t>
      </w:r>
      <w:r>
        <w:rPr>
          <w:spacing w:val="-2"/>
        </w:rPr>
        <w:t> </w:t>
      </w:r>
      <w:r>
        <w:rPr/>
        <w:t>a </w:t>
      </w:r>
      <w:bookmarkStart w:name="_bookmark897" w:id="899"/>
      <w:bookmarkEnd w:id="899"/>
      <w:r>
        <w:rPr/>
        <w:t>foreign</w:t>
      </w:r>
      <w:r>
        <w:rPr/>
        <w:t> firm established in the consumer’s country even though the foreign firm has not advertised in the consumer’s country in a way covered” </w:t>
      </w:r>
      <w:r>
        <w:rPr>
          <w:color w:val="005DA1"/>
          <w:u w:val="single" w:color="005DA1"/>
          <w:vertAlign w:val="superscript"/>
        </w:rPr>
        <w:t>487</w:t>
      </w:r>
    </w:p>
    <w:p>
      <w:pPr>
        <w:pStyle w:val="BodyText"/>
        <w:spacing w:before="115"/>
      </w:pPr>
    </w:p>
    <w:p>
      <w:pPr>
        <w:pStyle w:val="BodyText"/>
        <w:spacing w:line="235" w:lineRule="auto"/>
        <w:ind w:left="164" w:right="167"/>
        <w:jc w:val="both"/>
      </w:pPr>
      <w:r>
        <w:rPr/>
        <w:t>by the first condition. The third condition is expressly limited to contracts for the sale of goods. The limits on the effect of a choice of law will also apply, in the case of a sale of goods, if the consumer travelled from the country of his habitual residence to another country and there gave his </w:t>
      </w:r>
      <w:r>
        <w:rPr/>
        <w:t>order, </w:t>
      </w:r>
      <w:bookmarkStart w:name="_bookmark898" w:id="900"/>
      <w:bookmarkEnd w:id="900"/>
      <w:r>
        <w:rPr/>
        <w:t>provided</w:t>
      </w:r>
      <w:r>
        <w:rPr>
          <w:spacing w:val="-1"/>
        </w:rPr>
        <w:t> </w:t>
      </w:r>
      <w:r>
        <w:rPr/>
        <w:t>the</w:t>
      </w:r>
      <w:r>
        <w:rPr>
          <w:spacing w:val="-1"/>
        </w:rPr>
        <w:t> </w:t>
      </w:r>
      <w:r>
        <w:rPr/>
        <w:t>consumer’s</w:t>
      </w:r>
      <w:r>
        <w:rPr>
          <w:spacing w:val="-1"/>
        </w:rPr>
        <w:t> </w:t>
      </w:r>
      <w:r>
        <w:rPr/>
        <w:t>journey</w:t>
      </w:r>
      <w:r>
        <w:rPr>
          <w:spacing w:val="-1"/>
        </w:rPr>
        <w:t> </w:t>
      </w:r>
      <w:r>
        <w:rPr/>
        <w:t>was</w:t>
      </w:r>
      <w:r>
        <w:rPr>
          <w:spacing w:val="-1"/>
        </w:rPr>
        <w:t> </w:t>
      </w:r>
      <w:r>
        <w:rPr/>
        <w:t>arranged</w:t>
      </w:r>
      <w:r>
        <w:rPr>
          <w:spacing w:val="-1"/>
        </w:rPr>
        <w:t> </w:t>
      </w:r>
      <w:r>
        <w:rPr/>
        <w:t>by</w:t>
      </w:r>
      <w:r>
        <w:rPr>
          <w:spacing w:val="-1"/>
        </w:rPr>
        <w:t> </w:t>
      </w:r>
      <w:r>
        <w:rPr/>
        <w:t>the</w:t>
      </w:r>
      <w:r>
        <w:rPr>
          <w:spacing w:val="-1"/>
        </w:rPr>
        <w:t> </w:t>
      </w:r>
      <w:r>
        <w:rPr/>
        <w:t>seller</w:t>
      </w:r>
      <w:r>
        <w:rPr>
          <w:spacing w:val="-1"/>
        </w:rPr>
        <w:t> </w:t>
      </w:r>
      <w:r>
        <w:rPr/>
        <w:t>for</w:t>
      </w:r>
      <w:r>
        <w:rPr>
          <w:spacing w:val="-1"/>
        </w:rPr>
        <w:t> </w:t>
      </w:r>
      <w:r>
        <w:rPr/>
        <w:t>the</w:t>
      </w:r>
      <w:r>
        <w:rPr>
          <w:spacing w:val="-1"/>
        </w:rPr>
        <w:t> </w:t>
      </w:r>
      <w:r>
        <w:rPr/>
        <w:t>purpose</w:t>
      </w:r>
      <w:r>
        <w:rPr>
          <w:spacing w:val="-1"/>
        </w:rPr>
        <w:t> </w:t>
      </w:r>
      <w:r>
        <w:rPr/>
        <w:t>of</w:t>
      </w:r>
      <w:r>
        <w:rPr>
          <w:spacing w:val="-1"/>
        </w:rPr>
        <w:t> </w:t>
      </w:r>
      <w:r>
        <w:rPr/>
        <w:t>inducing</w:t>
      </w:r>
      <w:r>
        <w:rPr>
          <w:spacing w:val="-1"/>
        </w:rPr>
        <w:t> </w:t>
      </w:r>
      <w:r>
        <w:rPr/>
        <w:t>the</w:t>
      </w:r>
      <w:r>
        <w:rPr>
          <w:spacing w:val="-1"/>
        </w:rPr>
        <w:t> </w:t>
      </w:r>
      <w:r>
        <w:rPr/>
        <w:t>consumer </w:t>
      </w:r>
      <w:bookmarkStart w:name="_bookmark899" w:id="901"/>
      <w:bookmarkEnd w:id="901"/>
      <w:r>
        <w:rPr/>
        <w:t>to</w:t>
      </w:r>
      <w:r>
        <w:rPr/>
        <w:t> buy. </w:t>
      </w:r>
      <w:r>
        <w:rPr>
          <w:color w:val="005DA1"/>
          <w:u w:val="single" w:color="005DA1"/>
          <w:vertAlign w:val="superscript"/>
        </w:rPr>
        <w:t>488</w:t>
      </w:r>
      <w:r>
        <w:rPr>
          <w:color w:val="005DA1"/>
          <w:vertAlign w:val="baseline"/>
        </w:rPr>
        <w:t> </w:t>
      </w:r>
      <w:r>
        <w:rPr>
          <w:vertAlign w:val="baseline"/>
        </w:rPr>
        <w:t>The provision is intended to catch “cross-border excursion selling” (more common on the </w:t>
      </w:r>
      <w:bookmarkStart w:name="_bookmark900" w:id="902"/>
      <w:bookmarkEnd w:id="902"/>
      <w:r>
        <w:rPr>
          <w:vertAlign w:val="baseline"/>
        </w:rPr>
        <w:t>European</w:t>
      </w:r>
      <w:r>
        <w:rPr>
          <w:vertAlign w:val="baseline"/>
        </w:rPr>
        <w:t> Continent than in the United Kingdom </w:t>
      </w:r>
      <w:r>
        <w:rPr>
          <w:color w:val="005DA1"/>
          <w:u w:val="single" w:color="005DA1"/>
          <w:vertAlign w:val="superscript"/>
        </w:rPr>
        <w:t>489</w:t>
      </w:r>
      <w:r>
        <w:rPr>
          <w:vertAlign w:val="baseline"/>
        </w:rPr>
        <w:t>) whereby, for example, the owner of a store in</w:t>
      </w:r>
      <w:r>
        <w:rPr>
          <w:spacing w:val="40"/>
          <w:vertAlign w:val="baseline"/>
        </w:rPr>
        <w:t> </w:t>
      </w:r>
      <w:r>
        <w:rPr>
          <w:vertAlign w:val="baseline"/>
        </w:rPr>
        <w:t>one</w:t>
      </w:r>
      <w:r>
        <w:rPr>
          <w:spacing w:val="14"/>
          <w:vertAlign w:val="baseline"/>
        </w:rPr>
        <w:t> </w:t>
      </w:r>
      <w:r>
        <w:rPr>
          <w:vertAlign w:val="baseline"/>
        </w:rPr>
        <w:t>country</w:t>
      </w:r>
      <w:r>
        <w:rPr>
          <w:spacing w:val="14"/>
          <w:vertAlign w:val="baseline"/>
        </w:rPr>
        <w:t> </w:t>
      </w:r>
      <w:r>
        <w:rPr>
          <w:vertAlign w:val="baseline"/>
        </w:rPr>
        <w:t>arranges</w:t>
      </w:r>
      <w:r>
        <w:rPr>
          <w:spacing w:val="14"/>
          <w:vertAlign w:val="baseline"/>
        </w:rPr>
        <w:t> </w:t>
      </w:r>
      <w:r>
        <w:rPr>
          <w:vertAlign w:val="baseline"/>
        </w:rPr>
        <w:t>one-day</w:t>
      </w:r>
      <w:r>
        <w:rPr>
          <w:spacing w:val="14"/>
          <w:vertAlign w:val="baseline"/>
        </w:rPr>
        <w:t> </w:t>
      </w:r>
      <w:r>
        <w:rPr>
          <w:vertAlign w:val="baseline"/>
        </w:rPr>
        <w:t>bus</w:t>
      </w:r>
      <w:r>
        <w:rPr>
          <w:spacing w:val="14"/>
          <w:vertAlign w:val="baseline"/>
        </w:rPr>
        <w:t> </w:t>
      </w:r>
      <w:r>
        <w:rPr>
          <w:vertAlign w:val="baseline"/>
        </w:rPr>
        <w:t>trips</w:t>
      </w:r>
      <w:r>
        <w:rPr>
          <w:spacing w:val="14"/>
          <w:vertAlign w:val="baseline"/>
        </w:rPr>
        <w:t> </w:t>
      </w:r>
      <w:r>
        <w:rPr>
          <w:vertAlign w:val="baseline"/>
        </w:rPr>
        <w:t>for</w:t>
      </w:r>
      <w:r>
        <w:rPr>
          <w:spacing w:val="14"/>
          <w:vertAlign w:val="baseline"/>
        </w:rPr>
        <w:t> </w:t>
      </w:r>
      <w:r>
        <w:rPr>
          <w:vertAlign w:val="baseline"/>
        </w:rPr>
        <w:t>consumers</w:t>
      </w:r>
      <w:r>
        <w:rPr>
          <w:spacing w:val="14"/>
          <w:vertAlign w:val="baseline"/>
        </w:rPr>
        <w:t> </w:t>
      </w:r>
      <w:r>
        <w:rPr>
          <w:vertAlign w:val="baseline"/>
        </w:rPr>
        <w:t>in</w:t>
      </w:r>
      <w:r>
        <w:rPr>
          <w:spacing w:val="14"/>
          <w:vertAlign w:val="baseline"/>
        </w:rPr>
        <w:t> </w:t>
      </w:r>
      <w:r>
        <w:rPr>
          <w:vertAlign w:val="baseline"/>
        </w:rPr>
        <w:t>a</w:t>
      </w:r>
      <w:r>
        <w:rPr>
          <w:spacing w:val="14"/>
          <w:vertAlign w:val="baseline"/>
        </w:rPr>
        <w:t> </w:t>
      </w:r>
      <w:r>
        <w:rPr>
          <w:vertAlign w:val="baseline"/>
        </w:rPr>
        <w:t>neighbouring</w:t>
      </w:r>
      <w:r>
        <w:rPr>
          <w:spacing w:val="14"/>
          <w:vertAlign w:val="baseline"/>
        </w:rPr>
        <w:t> </w:t>
      </w:r>
      <w:r>
        <w:rPr>
          <w:vertAlign w:val="baseline"/>
        </w:rPr>
        <w:t>country</w:t>
      </w:r>
      <w:r>
        <w:rPr>
          <w:spacing w:val="14"/>
          <w:vertAlign w:val="baseline"/>
        </w:rPr>
        <w:t> </w:t>
      </w:r>
      <w:r>
        <w:rPr>
          <w:vertAlign w:val="baseline"/>
        </w:rPr>
        <w:t>to</w:t>
      </w:r>
      <w:r>
        <w:rPr>
          <w:spacing w:val="14"/>
          <w:vertAlign w:val="baseline"/>
        </w:rPr>
        <w:t> </w:t>
      </w:r>
      <w:r>
        <w:rPr>
          <w:vertAlign w:val="baseline"/>
        </w:rPr>
        <w:t>buy</w:t>
      </w:r>
      <w:r>
        <w:rPr>
          <w:spacing w:val="14"/>
          <w:vertAlign w:val="baseline"/>
        </w:rPr>
        <w:t> </w:t>
      </w:r>
      <w:r>
        <w:rPr>
          <w:vertAlign w:val="baseline"/>
        </w:rPr>
        <w:t>in</w:t>
      </w:r>
      <w:r>
        <w:rPr>
          <w:spacing w:val="14"/>
          <w:vertAlign w:val="baseline"/>
        </w:rPr>
        <w:t> </w:t>
      </w:r>
      <w:r>
        <w:rPr>
          <w:vertAlign w:val="baseline"/>
        </w:rPr>
        <w:t>his</w:t>
      </w:r>
      <w:r>
        <w:rPr>
          <w:spacing w:val="14"/>
          <w:vertAlign w:val="baseline"/>
        </w:rPr>
        <w:t> </w:t>
      </w:r>
      <w:r>
        <w:rPr>
          <w:spacing w:val="-2"/>
          <w:vertAlign w:val="baseline"/>
        </w:rPr>
        <w:t>store.</w:t>
      </w:r>
    </w:p>
    <w:p>
      <w:pPr>
        <w:spacing w:line="111" w:lineRule="exact" w:before="0"/>
        <w:ind w:left="165" w:right="0" w:firstLine="0"/>
        <w:jc w:val="left"/>
        <w:rPr>
          <w:sz w:val="12"/>
        </w:rPr>
      </w:pPr>
      <w:r>
        <w:rPr>
          <w:color w:val="005DA1"/>
          <w:spacing w:val="-5"/>
          <w:sz w:val="12"/>
          <w:u w:val="single" w:color="005DA1"/>
        </w:rPr>
        <w:t>490</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1"/>
        <w:ind w:left="165" w:right="0" w:firstLine="0"/>
        <w:jc w:val="left"/>
        <w:rPr>
          <w:rFonts w:ascii="Arial" w:hAnsi="Arial"/>
          <w:b/>
          <w:sz w:val="18"/>
        </w:rPr>
      </w:pPr>
      <w:r>
        <w:rPr>
          <w:rFonts w:ascii="Arial" w:hAnsi="Arial"/>
          <w:b/>
          <w:sz w:val="18"/>
        </w:rPr>
        <w:t>Application to contract concluded “on-</w:t>
      </w:r>
      <w:r>
        <w:rPr>
          <w:rFonts w:ascii="Arial" w:hAnsi="Arial"/>
          <w:b/>
          <w:spacing w:val="-2"/>
          <w:sz w:val="18"/>
        </w:rPr>
        <w:t>line”</w:t>
      </w:r>
    </w:p>
    <w:p>
      <w:pPr>
        <w:pStyle w:val="BodyText"/>
        <w:spacing w:before="41"/>
        <w:rPr>
          <w:rFonts w:ascii="Arial"/>
          <w:b/>
          <w:sz w:val="18"/>
        </w:rPr>
      </w:pPr>
    </w:p>
    <w:p>
      <w:pPr>
        <w:pStyle w:val="Heading2"/>
      </w:pPr>
      <w:r>
        <w:rPr/>
        <w:t>30-</w:t>
      </w:r>
      <w:r>
        <w:rPr>
          <w:spacing w:val="-5"/>
        </w:rPr>
        <w:t>094</w:t>
      </w:r>
    </w:p>
    <w:p>
      <w:pPr>
        <w:pStyle w:val="BodyText"/>
        <w:spacing w:line="235" w:lineRule="auto" w:before="203"/>
        <w:ind w:left="164" w:right="167"/>
        <w:jc w:val="both"/>
      </w:pPr>
      <w:bookmarkStart w:name="_bookmark901" w:id="903"/>
      <w:bookmarkEnd w:id="903"/>
      <w:r>
        <w:rPr/>
      </w:r>
      <w:r>
        <w:rPr/>
        <w:t>Article 5 was drafted when the impact of the internet on the conclusion of contracts was unknown. </w:t>
      </w:r>
      <w:r>
        <w:rPr>
          <w:color w:val="005DA1"/>
          <w:u w:val="single" w:color="005DA1"/>
          <w:vertAlign w:val="superscript"/>
        </w:rPr>
        <w:t>491</w:t>
      </w:r>
      <w:r>
        <w:rPr>
          <w:color w:val="005DA1"/>
          <w:vertAlign w:val="baseline"/>
        </w:rPr>
        <w:t> </w:t>
      </w:r>
      <w:r>
        <w:rPr>
          <w:vertAlign w:val="baseline"/>
        </w:rPr>
        <w:t>It is now common for consumers to conclude a contract with (it will be assumed in this discussion) a seller over the internet, so that the question arises as to how art.5 may be applied to such transactions. In light of the fact that the Rome Convention did not anticipate the internet, it is unsurprising that the application of art.5 in this context gives rise to considerable difficulty and, as </w:t>
      </w:r>
      <w:r>
        <w:rPr>
          <w:vertAlign w:val="baseline"/>
        </w:rPr>
        <w:t>will </w:t>
      </w:r>
      <w:bookmarkStart w:name="_bookmark902" w:id="904"/>
      <w:bookmarkEnd w:id="904"/>
      <w:r>
        <w:rPr>
          <w:vertAlign w:val="baseline"/>
        </w:rPr>
        <w:t>be</w:t>
      </w:r>
      <w:r>
        <w:rPr>
          <w:vertAlign w:val="baseline"/>
        </w:rPr>
        <w:t> seen below, the revised provision to be found in art.6 of the Rome I Regulation purports to take </w:t>
      </w:r>
      <w:bookmarkStart w:name="_bookmark903" w:id="905"/>
      <w:bookmarkEnd w:id="905"/>
      <w:r>
        <w:rPr>
          <w:vertAlign w:val="baseline"/>
        </w:rPr>
        <w:t>account</w:t>
      </w:r>
      <w:r>
        <w:rPr>
          <w:vertAlign w:val="baseline"/>
        </w:rPr>
        <w:t> of internet consumer transactions. </w:t>
      </w:r>
      <w:r>
        <w:rPr>
          <w:color w:val="005DA1"/>
          <w:u w:val="single" w:color="005DA1"/>
          <w:vertAlign w:val="superscript"/>
        </w:rPr>
        <w:t>492</w:t>
      </w:r>
      <w:r>
        <w:rPr>
          <w:color w:val="005DA1"/>
          <w:vertAlign w:val="baseline"/>
        </w:rPr>
        <w:t> </w:t>
      </w:r>
      <w:r>
        <w:rPr>
          <w:vertAlign w:val="baseline"/>
        </w:rPr>
        <w:t>Nonetheless, it is proposed to offer some speculative remarks on the application of the text of the Rome Convention to such transactions. </w:t>
      </w:r>
      <w:r>
        <w:rPr>
          <w:color w:val="005DA1"/>
          <w:u w:val="single" w:color="005DA1"/>
          <w:vertAlign w:val="superscript"/>
        </w:rPr>
        <w:t>493</w:t>
      </w:r>
      <w:r>
        <w:rPr>
          <w:color w:val="005DA1"/>
          <w:vertAlign w:val="baseline"/>
        </w:rPr>
        <w:t> </w:t>
      </w:r>
      <w:r>
        <w:rPr>
          <w:vertAlign w:val="baseline"/>
        </w:rPr>
        <w:t>For the purpose of the following discussion it is assumed that the eventual contract between the consumer </w:t>
      </w:r>
      <w:bookmarkStart w:name="_bookmark904" w:id="906"/>
      <w:bookmarkEnd w:id="906"/>
      <w:r>
        <w:rPr>
          <w:vertAlign w:val="baseline"/>
        </w:rPr>
        <w:t>and</w:t>
      </w:r>
      <w:r>
        <w:rPr>
          <w:vertAlign w:val="baseline"/>
        </w:rPr>
        <w:t> the seller is concluded on the seller’s standard terms which contain an express choice of the law </w:t>
      </w:r>
      <w:bookmarkStart w:name="_bookmark905" w:id="907"/>
      <w:bookmarkEnd w:id="907"/>
      <w:r>
        <w:rPr>
          <w:vertAlign w:val="baseline"/>
        </w:rPr>
        <w:t>of</w:t>
      </w:r>
      <w:r>
        <w:rPr>
          <w:vertAlign w:val="baseline"/>
        </w:rPr>
        <w:t> a country other than that in which the consumer is habitually resident. </w:t>
      </w:r>
      <w:r>
        <w:rPr>
          <w:color w:val="005DA1"/>
          <w:u w:val="single" w:color="005DA1"/>
          <w:vertAlign w:val="superscript"/>
        </w:rPr>
        <w:t>494</w:t>
      </w:r>
      <w:r>
        <w:rPr>
          <w:color w:val="005DA1"/>
          <w:vertAlign w:val="baseline"/>
        </w:rPr>
        <w:t> </w:t>
      </w:r>
      <w:r>
        <w:rPr>
          <w:vertAlign w:val="baseline"/>
        </w:rPr>
        <w:t>The chief difficulties revolve around the application of the first two conditions of art.5(2) in the internet context. </w:t>
      </w:r>
      <w:r>
        <w:rPr>
          <w:color w:val="005DA1"/>
          <w:u w:val="single" w:color="005DA1"/>
          <w:vertAlign w:val="superscript"/>
        </w:rPr>
        <w:t>495</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Article 5(2): first condition: specific </w:t>
      </w:r>
      <w:r>
        <w:rPr>
          <w:rFonts w:ascii="Arial"/>
          <w:b/>
          <w:spacing w:val="-2"/>
          <w:sz w:val="18"/>
        </w:rPr>
        <w:t>invitation</w:t>
      </w:r>
    </w:p>
    <w:p>
      <w:pPr>
        <w:pStyle w:val="BodyText"/>
        <w:spacing w:before="41"/>
        <w:rPr>
          <w:rFonts w:ascii="Arial"/>
          <w:b/>
          <w:sz w:val="18"/>
        </w:rPr>
      </w:pPr>
    </w:p>
    <w:p>
      <w:pPr>
        <w:pStyle w:val="Heading2"/>
      </w:pPr>
      <w:r>
        <w:rPr/>
        <w:t>30-</w:t>
      </w:r>
      <w:r>
        <w:rPr>
          <w:spacing w:val="-5"/>
        </w:rPr>
        <w:t>095</w:t>
      </w:r>
    </w:p>
    <w:p>
      <w:pPr>
        <w:pStyle w:val="BodyText"/>
        <w:spacing w:line="235" w:lineRule="auto" w:before="203"/>
        <w:ind w:left="165" w:right="167"/>
        <w:jc w:val="both"/>
      </w:pPr>
      <w:r>
        <w:rPr/>
        <w:t>There would appear to be no difficulty in concluding that a specific invitation can be addressed to a consumer by a seller through electronic mail. Nonetheless, the provision requires the </w:t>
      </w:r>
      <w:r>
        <w:rPr/>
        <w:t>specific invitation to precede the conclusion of the contract and that the specific invitation be addressed to the consumer in the latter’s country of habitual residence. These requirements raise the question of when and where a communication by electronic mail is received for these purposes. It is suggested that </w:t>
      </w:r>
      <w:bookmarkStart w:name="_bookmark906" w:id="908"/>
      <w:bookmarkEnd w:id="908"/>
      <w:r>
        <w:rPr/>
        <w:t>such</w:t>
      </w:r>
      <w:r>
        <w:rPr/>
        <w:t> a communication is received when it is accessed by the consumer and that it is immaterial that the</w:t>
      </w:r>
      <w:r>
        <w:rPr>
          <w:spacing w:val="11"/>
        </w:rPr>
        <w:t> </w:t>
      </w:r>
      <w:r>
        <w:rPr/>
        <w:t>communication</w:t>
      </w:r>
      <w:r>
        <w:rPr>
          <w:spacing w:val="11"/>
        </w:rPr>
        <w:t> </w:t>
      </w:r>
      <w:r>
        <w:rPr/>
        <w:t>is</w:t>
      </w:r>
      <w:r>
        <w:rPr>
          <w:spacing w:val="11"/>
        </w:rPr>
        <w:t> </w:t>
      </w:r>
      <w:r>
        <w:rPr/>
        <w:t>earlier</w:t>
      </w:r>
      <w:r>
        <w:rPr>
          <w:spacing w:val="11"/>
        </w:rPr>
        <w:t> </w:t>
      </w:r>
      <w:r>
        <w:rPr/>
        <w:t>received</w:t>
      </w:r>
      <w:r>
        <w:rPr>
          <w:spacing w:val="11"/>
        </w:rPr>
        <w:t> </w:t>
      </w:r>
      <w:r>
        <w:rPr/>
        <w:t>and</w:t>
      </w:r>
      <w:r>
        <w:rPr>
          <w:spacing w:val="11"/>
        </w:rPr>
        <w:t> </w:t>
      </w:r>
      <w:r>
        <w:rPr/>
        <w:t>stored</w:t>
      </w:r>
      <w:r>
        <w:rPr>
          <w:spacing w:val="11"/>
        </w:rPr>
        <w:t> </w:t>
      </w:r>
      <w:r>
        <w:rPr/>
        <w:t>on</w:t>
      </w:r>
      <w:r>
        <w:rPr>
          <w:spacing w:val="11"/>
        </w:rPr>
        <w:t> </w:t>
      </w:r>
      <w:r>
        <w:rPr/>
        <w:t>a</w:t>
      </w:r>
      <w:r>
        <w:rPr>
          <w:spacing w:val="11"/>
        </w:rPr>
        <w:t> </w:t>
      </w:r>
      <w:r>
        <w:rPr/>
        <w:t>server</w:t>
      </w:r>
      <w:r>
        <w:rPr>
          <w:spacing w:val="11"/>
        </w:rPr>
        <w:t> </w:t>
      </w:r>
      <w:r>
        <w:rPr/>
        <w:t>before</w:t>
      </w:r>
      <w:r>
        <w:rPr>
          <w:spacing w:val="11"/>
        </w:rPr>
        <w:t> </w:t>
      </w:r>
      <w:r>
        <w:rPr/>
        <w:t>it</w:t>
      </w:r>
      <w:r>
        <w:rPr>
          <w:spacing w:val="11"/>
        </w:rPr>
        <w:t> </w:t>
      </w:r>
      <w:r>
        <w:rPr/>
        <w:t>is</w:t>
      </w:r>
      <w:r>
        <w:rPr>
          <w:spacing w:val="11"/>
        </w:rPr>
        <w:t> </w:t>
      </w:r>
      <w:r>
        <w:rPr/>
        <w:t>accessed</w:t>
      </w:r>
      <w:r>
        <w:rPr>
          <w:spacing w:val="11"/>
        </w:rPr>
        <w:t> </w:t>
      </w:r>
      <w:r>
        <w:rPr/>
        <w:t>by</w:t>
      </w:r>
      <w:r>
        <w:rPr>
          <w:spacing w:val="11"/>
        </w:rPr>
        <w:t> </w:t>
      </w:r>
      <w:r>
        <w:rPr/>
        <w:t>the</w:t>
      </w:r>
      <w:r>
        <w:rPr>
          <w:spacing w:val="11"/>
        </w:rPr>
        <w:t> </w:t>
      </w:r>
      <w:r>
        <w:rPr>
          <w:spacing w:val="-2"/>
        </w:rPr>
        <w:t>consumer.</w:t>
      </w:r>
    </w:p>
    <w:p>
      <w:pPr>
        <w:pStyle w:val="BodyText"/>
        <w:spacing w:line="235" w:lineRule="auto"/>
        <w:ind w:left="165" w:right="167"/>
        <w:jc w:val="both"/>
      </w:pPr>
      <w:r>
        <w:rPr>
          <w:color w:val="005DA1"/>
          <w:u w:val="single" w:color="005DA1"/>
          <w:vertAlign w:val="superscript"/>
        </w:rPr>
        <w:t>496</w:t>
      </w:r>
      <w:r>
        <w:rPr>
          <w:color w:val="005DA1"/>
          <w:vertAlign w:val="baseline"/>
        </w:rPr>
        <w:t> </w:t>
      </w:r>
      <w:r>
        <w:rPr>
          <w:vertAlign w:val="baseline"/>
        </w:rPr>
        <w:t>Where a consumer accesses his electronic mail in the country in which he has his </w:t>
      </w:r>
      <w:r>
        <w:rPr>
          <w:vertAlign w:val="baseline"/>
        </w:rPr>
        <w:t>habitual residence, then it will be evident that he has received the specific invitation in that country. Difficulty arises, however, when the consumer accesses his electronic mail, as, for example, when travelling in a country other than that in which he habitually resides. Common sense suggests that the first condition in art.5(2) should continue to apply, since it is hard to justify relieving the seller of the legal risk which would otherwise be placed upon him by such a chance occurrence. It is, however, impossible to reconcile such an outcome with the actual wording of the provision, though a very bold interpretation of the language might enable the court to conclude that if the consumer did not act </w:t>
      </w:r>
      <w:bookmarkStart w:name="_bookmark907" w:id="909"/>
      <w:bookmarkEnd w:id="909"/>
      <w:r>
        <w:rPr>
          <w:vertAlign w:val="baseline"/>
        </w:rPr>
        <w:t>immediately</w:t>
      </w:r>
      <w:r>
        <w:rPr>
          <w:vertAlign w:val="baseline"/>
        </w:rPr>
        <w:t> on the invitation, retained the communication and then re-accessed it in the country of</w:t>
      </w:r>
      <w:r>
        <w:rPr>
          <w:spacing w:val="80"/>
          <w:vertAlign w:val="baseline"/>
        </w:rPr>
        <w:t> </w:t>
      </w:r>
      <w:r>
        <w:rPr>
          <w:vertAlign w:val="baseline"/>
        </w:rPr>
        <w:t>his habitual residence that circumstance could constitute receipt for the purposes of the provision. </w:t>
      </w:r>
      <w:r>
        <w:rPr>
          <w:color w:val="005DA1"/>
          <w:u w:val="single" w:color="005DA1"/>
          <w:vertAlign w:val="superscript"/>
        </w:rPr>
        <w:t>497</w:t>
      </w:r>
      <w:r>
        <w:rPr>
          <w:color w:val="005DA1"/>
          <w:vertAlign w:val="baseline"/>
        </w:rPr>
        <w:t> </w:t>
      </w:r>
      <w:r>
        <w:rPr>
          <w:vertAlign w:val="baseline"/>
        </w:rPr>
        <w:t>It might also be argued that the provision gives rise to an evidential presumption that the consumer</w:t>
      </w:r>
      <w:r>
        <w:rPr>
          <w:spacing w:val="40"/>
          <w:vertAlign w:val="baseline"/>
        </w:rPr>
        <w:t> </w:t>
      </w:r>
      <w:bookmarkStart w:name="_bookmark908" w:id="910"/>
      <w:bookmarkEnd w:id="910"/>
      <w:r>
        <w:rPr>
          <w:vertAlign w:val="baseline"/>
        </w:rPr>
        <w:t>did</w:t>
      </w:r>
      <w:r>
        <w:rPr>
          <w:vertAlign w:val="baseline"/>
        </w:rPr>
        <w:t> receive the specific invitation in the country of his habitual residence which presumption it is incumbent on the seller to rebut. </w:t>
      </w:r>
      <w:r>
        <w:rPr>
          <w:color w:val="005DA1"/>
          <w:u w:val="single" w:color="005DA1"/>
          <w:vertAlign w:val="superscript"/>
        </w:rPr>
        <w:t>498</w:t>
      </w:r>
    </w:p>
    <w:p>
      <w:pPr>
        <w:pStyle w:val="BodyText"/>
      </w:pPr>
    </w:p>
    <w:p>
      <w:pPr>
        <w:pStyle w:val="BodyText"/>
        <w:spacing w:before="31"/>
      </w:pPr>
    </w:p>
    <w:p>
      <w:pPr>
        <w:spacing w:before="0"/>
        <w:ind w:left="165" w:right="0" w:firstLine="0"/>
        <w:jc w:val="both"/>
        <w:rPr>
          <w:rFonts w:ascii="Arial"/>
          <w:b/>
          <w:sz w:val="18"/>
        </w:rPr>
      </w:pPr>
      <w:r>
        <w:rPr>
          <w:rFonts w:ascii="Arial"/>
          <w:b/>
          <w:sz w:val="18"/>
        </w:rPr>
        <w:t>Article 5(2): first condition: </w:t>
      </w:r>
      <w:r>
        <w:rPr>
          <w:rFonts w:ascii="Arial"/>
          <w:b/>
          <w:spacing w:val="-2"/>
          <w:sz w:val="18"/>
        </w:rPr>
        <w:t>advertising</w:t>
      </w:r>
    </w:p>
    <w:p>
      <w:pPr>
        <w:pStyle w:val="BodyText"/>
        <w:spacing w:before="41"/>
        <w:rPr>
          <w:rFonts w:ascii="Arial"/>
          <w:b/>
          <w:sz w:val="18"/>
        </w:rPr>
      </w:pPr>
    </w:p>
    <w:p>
      <w:pPr>
        <w:pStyle w:val="Heading2"/>
      </w:pPr>
      <w:r>
        <w:rPr/>
        <w:t>30-</w:t>
      </w:r>
      <w:r>
        <w:rPr>
          <w:spacing w:val="-5"/>
        </w:rPr>
        <w:t>096</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 second considerable difficulty with the first condition in art.5(2) in the context of the </w:t>
      </w:r>
      <w:r>
        <w:rPr/>
        <w:t>present </w:t>
      </w:r>
      <w:bookmarkStart w:name="_bookmark909" w:id="911"/>
      <w:bookmarkEnd w:id="911"/>
      <w:r>
        <w:rPr/>
        <w:t>discussion</w:t>
      </w:r>
      <w:r>
        <w:rPr/>
        <w:t> relates to advertisements and websites. There can be little doubt that a website which seeks to promote a seller’s products can constitute “advertising” for the purposes of the provision. </w:t>
      </w:r>
      <w:r>
        <w:rPr>
          <w:color w:val="005DA1"/>
          <w:u w:val="single" w:color="005DA1"/>
          <w:vertAlign w:val="superscript"/>
        </w:rPr>
        <w:t>499</w:t>
      </w:r>
      <w:r>
        <w:rPr>
          <w:color w:val="005DA1"/>
          <w:vertAlign w:val="baseline"/>
        </w:rPr>
        <w:t> </w:t>
      </w:r>
      <w:r>
        <w:rPr>
          <w:vertAlign w:val="baseline"/>
        </w:rPr>
        <w:t>The problem is that such an advertisement can be accessed from most, if not all, parts of the world, thus, supposedly, opening up a seller to potential liability under a wide variety of foreign laws. On one view it can be argued that a seller should bear the risk of a choice of law in the contract being overridden</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mandatory</w:t>
      </w:r>
      <w:r>
        <w:rPr>
          <w:spacing w:val="-2"/>
          <w:vertAlign w:val="baseline"/>
        </w:rPr>
        <w:t> </w:t>
      </w:r>
      <w:r>
        <w:rPr>
          <w:vertAlign w:val="baseline"/>
        </w:rPr>
        <w:t>rules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consumer’s</w:t>
      </w:r>
      <w:r>
        <w:rPr>
          <w:spacing w:val="-2"/>
          <w:vertAlign w:val="baseline"/>
        </w:rPr>
        <w:t> </w:t>
      </w:r>
      <w:r>
        <w:rPr>
          <w:vertAlign w:val="baseline"/>
        </w:rPr>
        <w:t>habitual</w:t>
      </w:r>
      <w:r>
        <w:rPr>
          <w:spacing w:val="-2"/>
          <w:vertAlign w:val="baseline"/>
        </w:rPr>
        <w:t> </w:t>
      </w:r>
      <w:r>
        <w:rPr>
          <w:vertAlign w:val="baseline"/>
        </w:rPr>
        <w:t>residence,</w:t>
      </w:r>
      <w:r>
        <w:rPr>
          <w:spacing w:val="-2"/>
          <w:vertAlign w:val="baseline"/>
        </w:rPr>
        <w:t> </w:t>
      </w:r>
      <w:r>
        <w:rPr>
          <w:vertAlign w:val="baseline"/>
        </w:rPr>
        <w:t>since</w:t>
      </w:r>
      <w:r>
        <w:rPr>
          <w:spacing w:val="-2"/>
          <w:vertAlign w:val="baseline"/>
        </w:rPr>
        <w:t> </w:t>
      </w:r>
      <w:r>
        <w:rPr>
          <w:vertAlign w:val="baseline"/>
        </w:rPr>
        <w:t>a</w:t>
      </w:r>
      <w:r>
        <w:rPr>
          <w:spacing w:val="-2"/>
          <w:vertAlign w:val="baseline"/>
        </w:rPr>
        <w:t> </w:t>
      </w:r>
      <w:r>
        <w:rPr>
          <w:vertAlign w:val="baseline"/>
        </w:rPr>
        <w:t>seller</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aware of the potential reach of his website and because bearing this risk is part of cost of doing business on </w:t>
      </w:r>
      <w:bookmarkStart w:name="_bookmark910" w:id="912"/>
      <w:bookmarkEnd w:id="912"/>
      <w:r>
        <w:rPr>
          <w:vertAlign w:val="baseline"/>
        </w:rPr>
        <w:t>the</w:t>
      </w:r>
      <w:r>
        <w:rPr>
          <w:vertAlign w:val="baseline"/>
        </w:rPr>
        <w:t> internet, which must be balanced against the commercial benefits of doing business in this manner. </w:t>
      </w:r>
      <w:r>
        <w:rPr>
          <w:color w:val="005DA1"/>
          <w:u w:val="single" w:color="005DA1"/>
          <w:vertAlign w:val="superscript"/>
        </w:rPr>
        <w:t>500</w:t>
      </w:r>
      <w:r>
        <w:rPr>
          <w:color w:val="005DA1"/>
          <w:vertAlign w:val="baseline"/>
        </w:rPr>
        <w:t> </w:t>
      </w:r>
      <w:r>
        <w:rPr>
          <w:vertAlign w:val="baseline"/>
        </w:rPr>
        <w:t>A rather narrower interpretation of the provision is, however, possible. This involves drawing an analogy with an example suggested in the Giuliano-Lagarde Report of a consumer who responds to an advertisement which appears in an American publication which has been sold in </w:t>
      </w:r>
      <w:bookmarkStart w:name="_bookmark911" w:id="913"/>
      <w:bookmarkEnd w:id="913"/>
      <w:r>
        <w:rPr>
          <w:vertAlign w:val="baseline"/>
        </w:rPr>
        <w:t>Germany.</w:t>
      </w:r>
      <w:r>
        <w:rPr>
          <w:vertAlign w:val="baseline"/>
        </w:rPr>
        <w:t> According to the Report, this situation would not fall within art.5 unless the advertisement had appeared in special editions of the publication intended for distribution in European countries. </w:t>
      </w:r>
      <w:r>
        <w:rPr>
          <w:color w:val="005DA1"/>
          <w:u w:val="single" w:color="005DA1"/>
          <w:vertAlign w:val="superscript"/>
        </w:rPr>
        <w:t>501</w:t>
      </w:r>
      <w:r>
        <w:rPr>
          <w:color w:val="005DA1"/>
          <w:vertAlign w:val="baseline"/>
        </w:rPr>
        <w:t> </w:t>
      </w:r>
      <w:r>
        <w:rPr>
          <w:vertAlign w:val="baseline"/>
        </w:rPr>
        <w:t>This remark may be construed to indicate that the condition under discussion is only applicable if a </w:t>
      </w:r>
      <w:bookmarkStart w:name="_bookmark912" w:id="914"/>
      <w:bookmarkEnd w:id="914"/>
      <w:r>
        <w:rPr>
          <w:vertAlign w:val="baseline"/>
        </w:rPr>
        <w:t>consumer,</w:t>
      </w:r>
      <w:r>
        <w:rPr>
          <w:vertAlign w:val="baseline"/>
        </w:rPr>
        <w:t> either individually or more generally as a consumer, has been “targeted” in the country of his habitual residence by a seller. </w:t>
      </w:r>
      <w:r>
        <w:rPr>
          <w:color w:val="005DA1"/>
          <w:u w:val="single" w:color="005DA1"/>
          <w:vertAlign w:val="superscript"/>
        </w:rPr>
        <w:t>502</w:t>
      </w:r>
      <w:r>
        <w:rPr>
          <w:color w:val="005DA1"/>
          <w:vertAlign w:val="baseline"/>
        </w:rPr>
        <w:t> </w:t>
      </w:r>
      <w:r>
        <w:rPr>
          <w:vertAlign w:val="baseline"/>
        </w:rPr>
        <w:t>This interpretation will not, of course, be easy to apply in the context</w:t>
      </w:r>
      <w:r>
        <w:rPr>
          <w:spacing w:val="-2"/>
          <w:vertAlign w:val="baseline"/>
        </w:rPr>
        <w:t> </w:t>
      </w:r>
      <w:r>
        <w:rPr>
          <w:vertAlign w:val="baseline"/>
        </w:rPr>
        <w:t>of</w:t>
      </w:r>
      <w:r>
        <w:rPr>
          <w:spacing w:val="-2"/>
          <w:vertAlign w:val="baseline"/>
        </w:rPr>
        <w:t> </w:t>
      </w:r>
      <w:r>
        <w:rPr>
          <w:vertAlign w:val="baseline"/>
        </w:rPr>
        <w:t>sales</w:t>
      </w:r>
      <w:r>
        <w:rPr>
          <w:spacing w:val="-2"/>
          <w:vertAlign w:val="baseline"/>
        </w:rPr>
        <w:t> </w:t>
      </w:r>
      <w:r>
        <w:rPr>
          <w:vertAlign w:val="baseline"/>
        </w:rPr>
        <w:t>through</w:t>
      </w:r>
      <w:r>
        <w:rPr>
          <w:spacing w:val="-2"/>
          <w:vertAlign w:val="baseline"/>
        </w:rPr>
        <w:t> </w:t>
      </w:r>
      <w:r>
        <w:rPr>
          <w:vertAlign w:val="baseline"/>
        </w:rPr>
        <w:t>websites</w:t>
      </w:r>
      <w:r>
        <w:rPr>
          <w:spacing w:val="-2"/>
          <w:vertAlign w:val="baseline"/>
        </w:rPr>
        <w:t> </w:t>
      </w:r>
      <w:r>
        <w:rPr>
          <w:vertAlign w:val="baseline"/>
        </w:rPr>
        <w:t>which</w:t>
      </w:r>
      <w:r>
        <w:rPr>
          <w:spacing w:val="-2"/>
          <w:vertAlign w:val="baseline"/>
        </w:rPr>
        <w:t> </w:t>
      </w:r>
      <w:r>
        <w:rPr>
          <w:vertAlign w:val="baseline"/>
        </w:rPr>
        <w:t>are,</w:t>
      </w:r>
      <w:r>
        <w:rPr>
          <w:spacing w:val="-2"/>
          <w:vertAlign w:val="baseline"/>
        </w:rPr>
        <w:t> </w:t>
      </w:r>
      <w:r>
        <w:rPr>
          <w:vertAlign w:val="baseline"/>
        </w:rPr>
        <w:t>in</w:t>
      </w:r>
      <w:r>
        <w:rPr>
          <w:spacing w:val="-2"/>
          <w:vertAlign w:val="baseline"/>
        </w:rPr>
        <w:t> </w:t>
      </w:r>
      <w:r>
        <w:rPr>
          <w:vertAlign w:val="baseline"/>
        </w:rPr>
        <w:t>principle,</w:t>
      </w:r>
      <w:r>
        <w:rPr>
          <w:spacing w:val="-2"/>
          <w:vertAlign w:val="baseline"/>
        </w:rPr>
        <w:t> </w:t>
      </w:r>
      <w:r>
        <w:rPr>
          <w:vertAlign w:val="baseline"/>
        </w:rPr>
        <w:t>accessible</w:t>
      </w:r>
      <w:r>
        <w:rPr>
          <w:spacing w:val="-2"/>
          <w:vertAlign w:val="baseline"/>
        </w:rPr>
        <w:t> </w:t>
      </w:r>
      <w:r>
        <w:rPr>
          <w:vertAlign w:val="baseline"/>
        </w:rPr>
        <w:t>throughout</w:t>
      </w:r>
      <w:r>
        <w:rPr>
          <w:spacing w:val="-2"/>
          <w:vertAlign w:val="baseline"/>
        </w:rPr>
        <w:t> </w:t>
      </w:r>
      <w:r>
        <w:rPr>
          <w:vertAlign w:val="baseline"/>
        </w:rPr>
        <w:t>the</w:t>
      </w:r>
      <w:r>
        <w:rPr>
          <w:spacing w:val="-2"/>
          <w:vertAlign w:val="baseline"/>
        </w:rPr>
        <w:t> </w:t>
      </w:r>
      <w:r>
        <w:rPr>
          <w:vertAlign w:val="baseline"/>
        </w:rPr>
        <w:t>world.</w:t>
      </w:r>
      <w:r>
        <w:rPr>
          <w:spacing w:val="-2"/>
          <w:vertAlign w:val="baseline"/>
        </w:rPr>
        <w:t> </w:t>
      </w:r>
      <w:r>
        <w:rPr>
          <w:vertAlign w:val="baseline"/>
        </w:rPr>
        <w:t>If,</w:t>
      </w:r>
      <w:r>
        <w:rPr>
          <w:spacing w:val="-2"/>
          <w:vertAlign w:val="baseline"/>
        </w:rPr>
        <w:t> </w:t>
      </w:r>
      <w:r>
        <w:rPr>
          <w:vertAlign w:val="baseline"/>
        </w:rPr>
        <w:t>however, the seller specifies that the site is only addressed to a particular country or countries, the conclusion </w:t>
      </w:r>
      <w:bookmarkStart w:name="_bookmark913" w:id="915"/>
      <w:bookmarkEnd w:id="915"/>
      <w:r>
        <w:rPr>
          <w:vertAlign w:val="baseline"/>
        </w:rPr>
        <w:t>can</w:t>
      </w:r>
      <w:r>
        <w:rPr>
          <w:vertAlign w:val="baseline"/>
        </w:rPr>
        <w:t> perhaps be drawn that consumers habitually resident in that country or those countries are covered by art.5, whereas consumers habitually resident elsewhere are not. </w:t>
      </w:r>
      <w:r>
        <w:rPr>
          <w:color w:val="005DA1"/>
          <w:u w:val="single" w:color="005DA1"/>
          <w:vertAlign w:val="superscript"/>
        </w:rPr>
        <w:t>503</w:t>
      </w:r>
      <w:r>
        <w:rPr>
          <w:color w:val="005DA1"/>
          <w:vertAlign w:val="baseline"/>
        </w:rPr>
        <w:t> </w:t>
      </w:r>
      <w:r>
        <w:rPr>
          <w:vertAlign w:val="baseline"/>
        </w:rPr>
        <w:t>The same conclusion might be drawn if the material on the website is expressed in a language which is readily understood in relatively few countries. If there is no country based limitation stated on the website or if the</w:t>
      </w:r>
      <w:r>
        <w:rPr>
          <w:spacing w:val="40"/>
          <w:vertAlign w:val="baseline"/>
        </w:rPr>
        <w:t> </w:t>
      </w:r>
      <w:r>
        <w:rPr>
          <w:vertAlign w:val="baseline"/>
        </w:rPr>
        <w:t>material on it is expressed in a language which is readily understood in many countries (for example, English) then it will be hard to conclude that the seller was targeting any particular consumer or group of consumers but, rather, was directing its activities towards consumers world wide. In such a case, it </w:t>
      </w:r>
      <w:bookmarkStart w:name="_bookmark914" w:id="916"/>
      <w:bookmarkEnd w:id="916"/>
      <w:r>
        <w:rPr>
          <w:vertAlign w:val="baseline"/>
        </w:rPr>
        <w:t>seems</w:t>
      </w:r>
      <w:r>
        <w:rPr>
          <w:spacing w:val="34"/>
          <w:vertAlign w:val="baseline"/>
        </w:rPr>
        <w:t> </w:t>
      </w:r>
      <w:r>
        <w:rPr>
          <w:vertAlign w:val="baseline"/>
        </w:rPr>
        <w:t>appropriate</w:t>
      </w:r>
      <w:r>
        <w:rPr>
          <w:spacing w:val="34"/>
          <w:vertAlign w:val="baseline"/>
        </w:rPr>
        <w:t> </w:t>
      </w:r>
      <w:r>
        <w:rPr>
          <w:vertAlign w:val="baseline"/>
        </w:rPr>
        <w:t>to</w:t>
      </w:r>
      <w:r>
        <w:rPr>
          <w:spacing w:val="34"/>
          <w:vertAlign w:val="baseline"/>
        </w:rPr>
        <w:t> </w:t>
      </w:r>
      <w:r>
        <w:rPr>
          <w:vertAlign w:val="baseline"/>
        </w:rPr>
        <w:t>regard</w:t>
      </w:r>
      <w:r>
        <w:rPr>
          <w:spacing w:val="34"/>
          <w:vertAlign w:val="baseline"/>
        </w:rPr>
        <w:t> </w:t>
      </w:r>
      <w:r>
        <w:rPr>
          <w:vertAlign w:val="baseline"/>
        </w:rPr>
        <w:t>the</w:t>
      </w:r>
      <w:r>
        <w:rPr>
          <w:spacing w:val="34"/>
          <w:vertAlign w:val="baseline"/>
        </w:rPr>
        <w:t> </w:t>
      </w:r>
      <w:r>
        <w:rPr>
          <w:vertAlign w:val="baseline"/>
        </w:rPr>
        <w:t>seller</w:t>
      </w:r>
      <w:r>
        <w:rPr>
          <w:spacing w:val="34"/>
          <w:vertAlign w:val="baseline"/>
        </w:rPr>
        <w:t> </w:t>
      </w:r>
      <w:r>
        <w:rPr>
          <w:vertAlign w:val="baseline"/>
        </w:rPr>
        <w:t>rather</w:t>
      </w:r>
      <w:r>
        <w:rPr>
          <w:spacing w:val="34"/>
          <w:vertAlign w:val="baseline"/>
        </w:rPr>
        <w:t> </w:t>
      </w:r>
      <w:r>
        <w:rPr>
          <w:vertAlign w:val="baseline"/>
        </w:rPr>
        <w:t>than</w:t>
      </w:r>
      <w:r>
        <w:rPr>
          <w:spacing w:val="34"/>
          <w:vertAlign w:val="baseline"/>
        </w:rPr>
        <w:t> </w:t>
      </w:r>
      <w:r>
        <w:rPr>
          <w:vertAlign w:val="baseline"/>
        </w:rPr>
        <w:t>the</w:t>
      </w:r>
      <w:r>
        <w:rPr>
          <w:spacing w:val="34"/>
          <w:vertAlign w:val="baseline"/>
        </w:rPr>
        <w:t> </w:t>
      </w:r>
      <w:r>
        <w:rPr>
          <w:vertAlign w:val="baseline"/>
        </w:rPr>
        <w:t>consumer</w:t>
      </w:r>
      <w:r>
        <w:rPr>
          <w:spacing w:val="34"/>
          <w:vertAlign w:val="baseline"/>
        </w:rPr>
        <w:t> </w:t>
      </w:r>
      <w:r>
        <w:rPr>
          <w:vertAlign w:val="baseline"/>
        </w:rPr>
        <w:t>as</w:t>
      </w:r>
      <w:r>
        <w:rPr>
          <w:spacing w:val="34"/>
          <w:vertAlign w:val="baseline"/>
        </w:rPr>
        <w:t> </w:t>
      </w:r>
      <w:r>
        <w:rPr>
          <w:vertAlign w:val="baseline"/>
        </w:rPr>
        <w:t>bearing</w:t>
      </w:r>
      <w:r>
        <w:rPr>
          <w:spacing w:val="34"/>
          <w:vertAlign w:val="baseline"/>
        </w:rPr>
        <w:t> </w:t>
      </w:r>
      <w:r>
        <w:rPr>
          <w:vertAlign w:val="baseline"/>
        </w:rPr>
        <w:t>the</w:t>
      </w:r>
      <w:r>
        <w:rPr>
          <w:spacing w:val="34"/>
          <w:vertAlign w:val="baseline"/>
        </w:rPr>
        <w:t> </w:t>
      </w:r>
      <w:r>
        <w:rPr>
          <w:vertAlign w:val="baseline"/>
        </w:rPr>
        <w:t>legal</w:t>
      </w:r>
      <w:r>
        <w:rPr>
          <w:spacing w:val="34"/>
          <w:vertAlign w:val="baseline"/>
        </w:rPr>
        <w:t> </w:t>
      </w:r>
      <w:r>
        <w:rPr>
          <w:vertAlign w:val="baseline"/>
        </w:rPr>
        <w:t>risk</w:t>
      </w:r>
      <w:r>
        <w:rPr>
          <w:spacing w:val="34"/>
          <w:vertAlign w:val="baseline"/>
        </w:rPr>
        <w:t> </w:t>
      </w:r>
      <w:r>
        <w:rPr>
          <w:vertAlign w:val="baseline"/>
        </w:rPr>
        <w:t>and</w:t>
      </w:r>
      <w:r>
        <w:rPr>
          <w:spacing w:val="34"/>
          <w:vertAlign w:val="baseline"/>
        </w:rPr>
        <w:t> </w:t>
      </w:r>
      <w:r>
        <w:rPr>
          <w:spacing w:val="-5"/>
          <w:vertAlign w:val="baseline"/>
        </w:rPr>
        <w:t>to</w:t>
      </w:r>
    </w:p>
    <w:p>
      <w:pPr>
        <w:pStyle w:val="BodyText"/>
        <w:spacing w:before="106"/>
        <w:ind w:left="165"/>
        <w:jc w:val="both"/>
        <w:rPr>
          <w:position w:val="-2"/>
        </w:rPr>
      </w:pPr>
      <w:r>
        <w:rPr/>
        <w:t>conclude that the situation falls within art.5. </w:t>
      </w:r>
      <w:r>
        <w:rPr>
          <w:color w:val="005DA1"/>
          <w:u w:val="single" w:color="005DA1"/>
          <w:vertAlign w:val="superscript"/>
        </w:rPr>
        <w:t>504</w:t>
      </w:r>
      <w:r>
        <w:rPr>
          <w:color w:val="005DA1"/>
          <w:spacing w:val="80"/>
          <w:w w:val="150"/>
          <w:vertAlign w:val="baseline"/>
        </w:rPr>
        <w:t> </w:t>
      </w:r>
      <w:r>
        <w:rPr>
          <w:color w:val="005DA1"/>
          <w:position w:val="-2"/>
          <w:vertAlign w:val="baseline"/>
        </w:rPr>
        <w:drawing>
          <wp:inline distT="0" distB="0" distL="0" distR="0">
            <wp:extent cx="107988" cy="107988"/>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hAnsi="Arial"/>
          <w:b/>
          <w:sz w:val="18"/>
        </w:rPr>
      </w:pPr>
      <w:r>
        <w:rPr>
          <w:rFonts w:ascii="Arial" w:hAnsi="Arial"/>
          <w:b/>
          <w:sz w:val="18"/>
        </w:rPr>
        <w:t>Article 5(2): first condition: “all the steps </w:t>
      </w:r>
      <w:r>
        <w:rPr>
          <w:rFonts w:ascii="Arial" w:hAnsi="Arial"/>
          <w:b/>
          <w:spacing w:val="-2"/>
          <w:sz w:val="18"/>
        </w:rPr>
        <w:t>necessary”</w:t>
      </w:r>
    </w:p>
    <w:p>
      <w:pPr>
        <w:pStyle w:val="BodyText"/>
        <w:spacing w:before="41"/>
        <w:rPr>
          <w:rFonts w:ascii="Arial"/>
          <w:b/>
          <w:sz w:val="18"/>
        </w:rPr>
      </w:pPr>
    </w:p>
    <w:p>
      <w:pPr>
        <w:pStyle w:val="Heading2"/>
      </w:pPr>
      <w:r>
        <w:rPr/>
        <w:t>30-</w:t>
      </w:r>
      <w:r>
        <w:rPr>
          <w:spacing w:val="-5"/>
        </w:rPr>
        <w:t>097</w:t>
      </w:r>
    </w:p>
    <w:p>
      <w:pPr>
        <w:pStyle w:val="BodyText"/>
        <w:spacing w:line="235" w:lineRule="auto" w:before="203"/>
        <w:ind w:left="165" w:right="167"/>
        <w:jc w:val="both"/>
      </w:pPr>
      <w:r>
        <w:rPr/>
        <w:t>The last requirement of the first condition is that the consumer takes in the country of his habitual residence all the steps necessary on his part for the conclusion of the contract. In relation to </w:t>
      </w:r>
      <w:r>
        <w:rPr/>
        <w:t>a</w:t>
      </w:r>
      <w:r>
        <w:rPr>
          <w:spacing w:val="40"/>
        </w:rPr>
        <w:t> </w:t>
      </w:r>
      <w:bookmarkStart w:name="_bookmark915" w:id="917"/>
      <w:bookmarkEnd w:id="917"/>
      <w:r>
        <w:rPr/>
        <w:t>contract</w:t>
      </w:r>
      <w:r>
        <w:rPr/>
        <w:t> concluded by electronic mail, this will involve a consumer sending relevant communications to the seller from the country of the consumer’s habitual residence. </w:t>
      </w:r>
      <w:r>
        <w:rPr>
          <w:color w:val="005DA1"/>
          <w:u w:val="single" w:color="005DA1"/>
          <w:vertAlign w:val="superscript"/>
        </w:rPr>
        <w:t>505</w:t>
      </w:r>
      <w:r>
        <w:rPr>
          <w:color w:val="005DA1"/>
          <w:vertAlign w:val="baseline"/>
        </w:rPr>
        <w:t> </w:t>
      </w:r>
      <w:r>
        <w:rPr>
          <w:vertAlign w:val="baseline"/>
        </w:rPr>
        <w:t>In relation to a response by a consumer to an advertisement on a seller’s website, this, normally, will involve a consumer indicating </w:t>
      </w:r>
      <w:bookmarkStart w:name="_bookmark916" w:id="918"/>
      <w:bookmarkEnd w:id="918"/>
      <w:r>
        <w:rPr>
          <w:vertAlign w:val="baseline"/>
        </w:rPr>
        <w:t>his</w:t>
      </w:r>
      <w:r>
        <w:rPr>
          <w:vertAlign w:val="baseline"/>
        </w:rPr>
        <w:t> agreement to the terms and conditions by “clicking” on an appropriate icon on the relevant site which action must take place in the country of his habitual residence. </w:t>
      </w:r>
      <w:r>
        <w:rPr>
          <w:color w:val="005DA1"/>
          <w:u w:val="single" w:color="005DA1"/>
          <w:vertAlign w:val="superscript"/>
        </w:rPr>
        <w:t>506</w:t>
      </w:r>
    </w:p>
    <w:p>
      <w:pPr>
        <w:pStyle w:val="BodyText"/>
      </w:pPr>
    </w:p>
    <w:p>
      <w:pPr>
        <w:pStyle w:val="BodyText"/>
        <w:spacing w:before="36"/>
      </w:pPr>
    </w:p>
    <w:p>
      <w:pPr>
        <w:spacing w:before="0"/>
        <w:ind w:left="165" w:right="0" w:firstLine="0"/>
        <w:jc w:val="left"/>
        <w:rPr>
          <w:rFonts w:ascii="Arial"/>
          <w:b/>
          <w:sz w:val="18"/>
        </w:rPr>
      </w:pPr>
      <w:r>
        <w:rPr>
          <w:rFonts w:ascii="Arial"/>
          <w:b/>
          <w:sz w:val="18"/>
        </w:rPr>
        <w:t>Article 5(2): second </w:t>
      </w:r>
      <w:r>
        <w:rPr>
          <w:rFonts w:ascii="Arial"/>
          <w:b/>
          <w:spacing w:val="-2"/>
          <w:sz w:val="18"/>
        </w:rPr>
        <w:t>condition</w:t>
      </w:r>
    </w:p>
    <w:p>
      <w:pPr>
        <w:pStyle w:val="BodyText"/>
        <w:spacing w:before="41"/>
        <w:rPr>
          <w:rFonts w:ascii="Arial"/>
          <w:b/>
          <w:sz w:val="18"/>
        </w:rPr>
      </w:pPr>
    </w:p>
    <w:p>
      <w:pPr>
        <w:pStyle w:val="Heading2"/>
      </w:pPr>
      <w:r>
        <w:rPr/>
        <w:t>30-</w:t>
      </w:r>
      <w:r>
        <w:rPr>
          <w:spacing w:val="-5"/>
        </w:rPr>
        <w:t>098</w:t>
      </w:r>
    </w:p>
    <w:p>
      <w:pPr>
        <w:pStyle w:val="BodyText"/>
        <w:spacing w:line="235" w:lineRule="auto" w:before="203"/>
        <w:ind w:left="165" w:right="167"/>
        <w:jc w:val="both"/>
      </w:pPr>
      <w:r>
        <w:rPr/>
        <w:t>The second condition in art.5(2) also causes considerable difficulty in the case of contracts for the</w:t>
      </w:r>
      <w:r>
        <w:rPr>
          <w:spacing w:val="40"/>
        </w:rPr>
        <w:t> </w:t>
      </w:r>
      <w:r>
        <w:rPr/>
        <w:t>sale of goods since it requires that the other party or his agent received the consumer’s order in the country in which the consumer is habitually resident and doubts may arise, first, as to the meaning </w:t>
      </w:r>
      <w:r>
        <w:rPr/>
        <w:t>of “agent” in this context and, secondly, as to where the order is “received”.</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Article 5(2): second condition: </w:t>
      </w:r>
      <w:r>
        <w:rPr>
          <w:rFonts w:ascii="Arial" w:hAnsi="Arial"/>
          <w:b/>
          <w:spacing w:val="-2"/>
          <w:sz w:val="18"/>
        </w:rPr>
        <w:t>“agent”</w:t>
      </w:r>
    </w:p>
    <w:p>
      <w:pPr>
        <w:pStyle w:val="BodyText"/>
        <w:spacing w:before="41"/>
        <w:rPr>
          <w:rFonts w:ascii="Arial"/>
          <w:b/>
          <w:sz w:val="18"/>
        </w:rPr>
      </w:pPr>
    </w:p>
    <w:p>
      <w:pPr>
        <w:pStyle w:val="Heading2"/>
      </w:pPr>
      <w:r>
        <w:rPr/>
        <w:t>30-</w:t>
      </w:r>
      <w:r>
        <w:rPr>
          <w:spacing w:val="-5"/>
        </w:rPr>
        <w:t>099</w:t>
      </w:r>
    </w:p>
    <w:p>
      <w:pPr>
        <w:pStyle w:val="BodyText"/>
        <w:spacing w:line="235" w:lineRule="auto" w:before="203"/>
        <w:ind w:left="165" w:right="167"/>
        <w:jc w:val="both"/>
      </w:pPr>
      <w:bookmarkStart w:name="_bookmark917" w:id="919"/>
      <w:bookmarkEnd w:id="919"/>
      <w:r>
        <w:rPr/>
      </w:r>
      <w:r>
        <w:rPr/>
        <w:t>As to the meaning of “agent” it is submitted that neither a web server nor a passive third party </w:t>
      </w:r>
      <w:r>
        <w:rPr/>
        <w:t>service provider can be regarded as an agent of the seller for these purposes. </w:t>
      </w:r>
      <w:r>
        <w:rPr>
          <w:color w:val="005DA1"/>
          <w:u w:val="single" w:color="005DA1"/>
          <w:vertAlign w:val="superscript"/>
        </w:rPr>
        <w:t>507</w:t>
      </w:r>
      <w:r>
        <w:rPr>
          <w:color w:val="005DA1"/>
          <w:vertAlign w:val="baseline"/>
        </w:rPr>
        <w:t> </w:t>
      </w:r>
      <w:r>
        <w:rPr>
          <w:vertAlign w:val="baseline"/>
        </w:rPr>
        <w:t>A server can be located anywhere and is a communications medium, the location of which is not necessarily related in any way to the seller’s business. A passive third party service provider merely provides a technical mechanism whereby the seller can pass information to potential customers. If, however, the third</w:t>
      </w:r>
      <w:r>
        <w:rPr>
          <w:spacing w:val="40"/>
          <w:vertAlign w:val="baseline"/>
        </w:rPr>
        <w:t> </w:t>
      </w:r>
      <w:bookmarkStart w:name="_bookmark918" w:id="920"/>
      <w:bookmarkEnd w:id="920"/>
      <w:r>
        <w:rPr>
          <w:vertAlign w:val="baseline"/>
        </w:rPr>
        <w:t>party</w:t>
      </w:r>
      <w:r>
        <w:rPr>
          <w:vertAlign w:val="baseline"/>
        </w:rPr>
        <w:t> service provider took action on behalf of the seller, such as processing orders, it might be </w:t>
      </w:r>
      <w:bookmarkStart w:name="_bookmark919" w:id="921"/>
      <w:bookmarkEnd w:id="921"/>
      <w:r>
        <w:rPr>
          <w:vertAlign w:val="baseline"/>
        </w:rPr>
        <w:t>possible</w:t>
      </w:r>
      <w:r>
        <w:rPr>
          <w:vertAlign w:val="baseline"/>
        </w:rPr>
        <w:t> to say that the provider was a “person acting on behalf of the trader” </w:t>
      </w:r>
      <w:r>
        <w:rPr>
          <w:color w:val="005DA1"/>
          <w:u w:val="single" w:color="005DA1"/>
          <w:vertAlign w:val="superscript"/>
        </w:rPr>
        <w:t>508</w:t>
      </w:r>
      <w:r>
        <w:rPr>
          <w:color w:val="005DA1"/>
          <w:vertAlign w:val="baseline"/>
        </w:rPr>
        <w:t> </w:t>
      </w:r>
      <w:r>
        <w:rPr>
          <w:vertAlign w:val="baseline"/>
        </w:rPr>
        <w:t>and to conclude, in these circumstances, that the provider was an agent. </w:t>
      </w:r>
      <w:r>
        <w:rPr>
          <w:color w:val="005DA1"/>
          <w:u w:val="single" w:color="005DA1"/>
          <w:vertAlign w:val="superscript"/>
        </w:rPr>
        <w:t>509</w:t>
      </w:r>
    </w:p>
    <w:p>
      <w:pPr>
        <w:pStyle w:val="BodyText"/>
      </w:pPr>
    </w:p>
    <w:p>
      <w:pPr>
        <w:pStyle w:val="BodyText"/>
        <w:spacing w:before="35"/>
      </w:pPr>
    </w:p>
    <w:p>
      <w:pPr>
        <w:spacing w:before="0"/>
        <w:ind w:left="164" w:right="0" w:firstLine="0"/>
        <w:jc w:val="left"/>
        <w:rPr>
          <w:rFonts w:ascii="Arial" w:hAnsi="Arial"/>
          <w:b/>
          <w:sz w:val="18"/>
        </w:rPr>
      </w:pPr>
      <w:r>
        <w:rPr>
          <w:rFonts w:ascii="Arial" w:hAnsi="Arial"/>
          <w:b/>
          <w:sz w:val="18"/>
        </w:rPr>
        <w:t>Article 5(2): second condition: </w:t>
      </w:r>
      <w:r>
        <w:rPr>
          <w:rFonts w:ascii="Arial" w:hAnsi="Arial"/>
          <w:b/>
          <w:spacing w:val="-2"/>
          <w:sz w:val="18"/>
        </w:rPr>
        <w:t>“received”</w:t>
      </w:r>
    </w:p>
    <w:p>
      <w:pPr>
        <w:pStyle w:val="BodyText"/>
        <w:spacing w:before="42"/>
        <w:rPr>
          <w:rFonts w:ascii="Arial"/>
          <w:b/>
          <w:sz w:val="18"/>
        </w:rPr>
      </w:pPr>
    </w:p>
    <w:p>
      <w:pPr>
        <w:pStyle w:val="Heading2"/>
        <w:ind w:left="164"/>
      </w:pPr>
      <w:r>
        <w:rPr/>
        <w:t>30-</w:t>
      </w:r>
      <w:r>
        <w:rPr>
          <w:spacing w:val="-5"/>
        </w:rPr>
        <w:t>100</w:t>
      </w:r>
    </w:p>
    <w:p>
      <w:pPr>
        <w:pStyle w:val="BodyText"/>
        <w:spacing w:line="235" w:lineRule="auto" w:before="202"/>
        <w:ind w:left="164" w:right="167"/>
        <w:jc w:val="both"/>
      </w:pPr>
      <w:r>
        <w:rPr/>
        <w:t>It would appear, at least technically, that an order by electronic mail is “received” by the seller or his </w:t>
      </w:r>
      <w:bookmarkStart w:name="_bookmark920" w:id="922"/>
      <w:bookmarkEnd w:id="922"/>
      <w:r>
        <w:rPr/>
        <w:t>agent</w:t>
      </w:r>
      <w:r>
        <w:rPr/>
        <w:t> at the server where the mail is stored and that an order addressed to a website is “received” </w:t>
      </w:r>
      <w:r>
        <w:rPr/>
        <w:t>by the seller or his agent at the server on which the website is established. </w:t>
      </w:r>
      <w:r>
        <w:rPr>
          <w:color w:val="005DA1"/>
          <w:u w:val="single" w:color="005DA1"/>
          <w:vertAlign w:val="superscript"/>
        </w:rPr>
        <w:t>510</w:t>
      </w:r>
      <w:r>
        <w:rPr>
          <w:color w:val="005DA1"/>
          <w:vertAlign w:val="baseline"/>
        </w:rPr>
        <w:t> </w:t>
      </w:r>
      <w:r>
        <w:rPr>
          <w:vertAlign w:val="baseline"/>
        </w:rPr>
        <w:t>If this is the meaning of “received” in this context, the order will be received in the country of the consumer’s habitual residence only if the server is located in that country. Such a conclusion could produce unfortunate consequences, for example, in a case in which a consumer, habitually resident in England, approaches the English agent of a seller based, e.g. in France, and places his order on a website hosted</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agent</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third</w:t>
      </w:r>
      <w:r>
        <w:rPr>
          <w:spacing w:val="-1"/>
          <w:vertAlign w:val="baseline"/>
        </w:rPr>
        <w:t> </w:t>
      </w:r>
      <w:r>
        <w:rPr>
          <w:vertAlign w:val="baseline"/>
        </w:rPr>
        <w:t>party</w:t>
      </w:r>
      <w:r>
        <w:rPr>
          <w:spacing w:val="-1"/>
          <w:vertAlign w:val="baseline"/>
        </w:rPr>
        <w:t> </w:t>
      </w:r>
      <w:r>
        <w:rPr>
          <w:vertAlign w:val="baseline"/>
        </w:rPr>
        <w:t>in</w:t>
      </w:r>
      <w:r>
        <w:rPr>
          <w:spacing w:val="-1"/>
          <w:vertAlign w:val="baseline"/>
        </w:rPr>
        <w:t> </w:t>
      </w:r>
      <w:r>
        <w:rPr>
          <w:vertAlign w:val="baseline"/>
        </w:rPr>
        <w:t>Brazil.</w:t>
      </w:r>
      <w:r>
        <w:rPr>
          <w:spacing w:val="-1"/>
          <w:vertAlign w:val="baseline"/>
        </w:rPr>
        <w:t> </w:t>
      </w:r>
      <w:r>
        <w:rPr>
          <w:vertAlign w:val="baseline"/>
        </w:rPr>
        <w:t>If</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concluded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order</w:t>
      </w:r>
      <w:r>
        <w:rPr>
          <w:spacing w:val="-1"/>
          <w:vertAlign w:val="baseline"/>
        </w:rPr>
        <w:t> </w:t>
      </w:r>
      <w:r>
        <w:rPr>
          <w:vertAlign w:val="baseline"/>
        </w:rPr>
        <w:t>is</w:t>
      </w:r>
      <w:r>
        <w:rPr>
          <w:spacing w:val="-1"/>
          <w:vertAlign w:val="baseline"/>
        </w:rPr>
        <w:t> </w:t>
      </w:r>
      <w:r>
        <w:rPr>
          <w:vertAlign w:val="baseline"/>
        </w:rPr>
        <w:t>received</w:t>
      </w:r>
      <w:r>
        <w:rPr>
          <w:spacing w:val="-1"/>
          <w:vertAlign w:val="baseline"/>
        </w:rPr>
        <w:t> </w:t>
      </w:r>
      <w:r>
        <w:rPr>
          <w:vertAlign w:val="baseline"/>
        </w:rPr>
        <w:t>in</w:t>
      </w:r>
      <w:r>
        <w:rPr>
          <w:spacing w:val="-1"/>
          <w:vertAlign w:val="baseline"/>
        </w:rPr>
        <w:t> </w:t>
      </w:r>
      <w:r>
        <w:rPr>
          <w:vertAlign w:val="baseline"/>
        </w:rPr>
        <w:t>Brazil,</w:t>
      </w:r>
      <w:r>
        <w:rPr>
          <w:spacing w:val="-1"/>
          <w:vertAlign w:val="baseline"/>
        </w:rPr>
        <w:t> </w:t>
      </w:r>
      <w:r>
        <w:rPr>
          <w:vertAlign w:val="baseline"/>
        </w:rPr>
        <w:t>then </w:t>
      </w:r>
      <w:bookmarkStart w:name="_bookmark921" w:id="923"/>
      <w:bookmarkEnd w:id="923"/>
      <w:r>
        <w:rPr>
          <w:vertAlign w:val="baseline"/>
        </w:rPr>
        <w:t>the</w:t>
      </w:r>
      <w:r>
        <w:rPr>
          <w:vertAlign w:val="baseline"/>
        </w:rPr>
        <w:t> consumer could not rely on the mandatory rules of English law to the extent that they are more favourable to him than the rules of the foreign law expressly applicable to the contract. </w:t>
      </w:r>
      <w:r>
        <w:rPr>
          <w:color w:val="005DA1"/>
          <w:u w:val="single" w:color="005DA1"/>
          <w:vertAlign w:val="superscript"/>
        </w:rPr>
        <w:t>511</w:t>
      </w:r>
      <w:r>
        <w:rPr>
          <w:color w:val="005DA1"/>
          <w:vertAlign w:val="baseline"/>
        </w:rPr>
        <w:t> </w:t>
      </w:r>
      <w:r>
        <w:rPr>
          <w:vertAlign w:val="baseline"/>
        </w:rPr>
        <w:t>It is suggested, admittedly without any authority, that such a result may be avoided by construing the country in which the order is “received” as the country in which the physical place of business of the seller or his agent from which the relevant server is accessed by the seller or his agent, as the case may be, is situated: if one of those places is the country in which the consumer is habitually resident, </w:t>
      </w:r>
      <w:bookmarkStart w:name="_bookmark922" w:id="924"/>
      <w:bookmarkEnd w:id="924"/>
      <w:r>
        <w:rPr>
          <w:vertAlign w:val="baseline"/>
        </w:rPr>
        <w:t>then</w:t>
      </w:r>
      <w:r>
        <w:rPr>
          <w:vertAlign w:val="baseline"/>
        </w:rPr>
        <w:t> the requirements of the provision should be regarded as satisfied, irrespective of whether the relevant server is also located in the same country. </w:t>
      </w:r>
      <w:r>
        <w:rPr>
          <w:color w:val="005DA1"/>
          <w:u w:val="single" w:color="005DA1"/>
          <w:vertAlign w:val="superscript"/>
        </w:rPr>
        <w:t>512</w:t>
      </w:r>
    </w:p>
    <w:p>
      <w:pPr>
        <w:pStyle w:val="BodyText"/>
        <w:spacing w:after="0" w:line="235" w:lineRule="auto"/>
        <w:jc w:val="both"/>
        <w:sectPr>
          <w:pgSz w:w="11900" w:h="16840"/>
          <w:pgMar w:header="971" w:footer="0" w:top="1300" w:bottom="280" w:left="1275" w:right="1275"/>
        </w:sectPr>
      </w:pPr>
    </w:p>
    <w:p>
      <w:pPr>
        <w:pStyle w:val="BodyText"/>
        <w:spacing w:before="182"/>
        <w:rPr>
          <w:sz w:val="18"/>
        </w:rPr>
      </w:pPr>
    </w:p>
    <w:p>
      <w:pPr>
        <w:spacing w:before="0"/>
        <w:ind w:left="165" w:right="0" w:firstLine="0"/>
        <w:jc w:val="left"/>
        <w:rPr>
          <w:rFonts w:ascii="Arial"/>
          <w:b/>
          <w:sz w:val="18"/>
        </w:rPr>
      </w:pPr>
      <w:r>
        <w:rPr>
          <w:rFonts w:ascii="Arial"/>
          <w:b/>
          <w:sz w:val="18"/>
        </w:rPr>
        <w:t>Mandatory </w:t>
      </w:r>
      <w:r>
        <w:rPr>
          <w:rFonts w:ascii="Arial"/>
          <w:b/>
          <w:spacing w:val="-2"/>
          <w:sz w:val="18"/>
        </w:rPr>
        <w:t>rules</w:t>
      </w:r>
    </w:p>
    <w:p>
      <w:pPr>
        <w:pStyle w:val="BodyText"/>
        <w:spacing w:before="41"/>
        <w:rPr>
          <w:rFonts w:ascii="Arial"/>
          <w:b/>
          <w:sz w:val="18"/>
        </w:rPr>
      </w:pPr>
    </w:p>
    <w:p>
      <w:pPr>
        <w:pStyle w:val="Heading2"/>
      </w:pPr>
      <w:r>
        <w:rPr/>
        <w:t>30-</w:t>
      </w:r>
      <w:r>
        <w:rPr>
          <w:spacing w:val="-5"/>
        </w:rPr>
        <w:t>101</w:t>
      </w:r>
    </w:p>
    <w:p>
      <w:pPr>
        <w:pStyle w:val="BodyText"/>
        <w:spacing w:line="235" w:lineRule="auto" w:before="203"/>
        <w:ind w:left="165" w:right="167"/>
        <w:jc w:val="both"/>
      </w:pPr>
      <w:r>
        <w:rPr/>
        <w:t>Provided the relevant contract falls within art.5 and provided one of the conditions discussed in </w:t>
      </w:r>
      <w:r>
        <w:rPr/>
        <w:t>the preceding paragraphs applies, the choice of law in the contract shall not have the result of “depriving” the consumer of the protection of the mandatory rules of the law of the country in which he is </w:t>
      </w:r>
      <w:bookmarkStart w:name="_bookmark923" w:id="925"/>
      <w:bookmarkEnd w:id="925"/>
      <w:r>
        <w:rPr/>
        <w:t>habitually</w:t>
      </w:r>
      <w:r>
        <w:rPr/>
        <w:t> resident. “Mandatory rules”, for these purposes, would seem to be defined by reference to art.3(3) </w:t>
      </w:r>
      <w:r>
        <w:rPr>
          <w:color w:val="005DA1"/>
          <w:u w:val="single" w:color="005DA1"/>
          <w:vertAlign w:val="superscript"/>
        </w:rPr>
        <w:t>513</w:t>
      </w:r>
      <w:r>
        <w:rPr>
          <w:vertAlign w:val="baseline"/>
        </w:rPr>
        <w:t>: they are rules of the law of that country “which cannot be derogated from by contract” and </w:t>
      </w:r>
      <w:bookmarkStart w:name="_bookmark924" w:id="926"/>
      <w:bookmarkEnd w:id="926"/>
      <w:r>
        <w:rPr>
          <w:vertAlign w:val="baseline"/>
        </w:rPr>
        <w:t>it</w:t>
      </w:r>
      <w:r>
        <w:rPr>
          <w:vertAlign w:val="baseline"/>
        </w:rPr>
        <w:t> is not necessary in addition (though it will often be the case) that they are also rules which apply </w:t>
      </w:r>
      <w:bookmarkStart w:name="_bookmark925" w:id="927"/>
      <w:bookmarkEnd w:id="927"/>
      <w:r>
        <w:rPr>
          <w:vertAlign w:val="baseline"/>
        </w:rPr>
        <w:t>“whatever</w:t>
      </w:r>
      <w:r>
        <w:rPr>
          <w:vertAlign w:val="baseline"/>
        </w:rPr>
        <w:t> the law applicable to the contract”. </w:t>
      </w:r>
      <w:r>
        <w:rPr>
          <w:color w:val="005DA1"/>
          <w:u w:val="single" w:color="005DA1"/>
          <w:vertAlign w:val="superscript"/>
        </w:rPr>
        <w:t>514</w:t>
      </w:r>
      <w:r>
        <w:rPr>
          <w:color w:val="005DA1"/>
          <w:vertAlign w:val="baseline"/>
        </w:rPr>
        <w:t> </w:t>
      </w:r>
      <w:r>
        <w:rPr>
          <w:vertAlign w:val="baseline"/>
        </w:rPr>
        <w:t>In the context of art.5, such rules will relate to consumer protection. </w:t>
      </w:r>
      <w:r>
        <w:rPr>
          <w:color w:val="005DA1"/>
          <w:u w:val="single" w:color="005DA1"/>
          <w:vertAlign w:val="superscript"/>
        </w:rPr>
        <w:t>515</w:t>
      </w:r>
    </w:p>
    <w:p>
      <w:pPr>
        <w:pStyle w:val="BodyText"/>
        <w:spacing w:before="87"/>
      </w:pPr>
    </w:p>
    <w:p>
      <w:pPr>
        <w:pStyle w:val="BodyText"/>
        <w:spacing w:line="235" w:lineRule="auto"/>
        <w:ind w:left="164" w:right="167"/>
        <w:jc w:val="both"/>
      </w:pPr>
      <w:r>
        <w:rPr/>
        <w:t>The relationship between these mandatory rules and the chosen law is, however, somewhat </w:t>
      </w:r>
      <w:r>
        <w:rPr/>
        <w:t>obscure. First, the rules of the chosen law may be more favourable to the consumer than the mandatory rules of the country of his habitual residence. In such circumstances, it cannot reasonably be said that the consumer is “deprived” of the protection of the mandatory rules of the country of his habitual</w:t>
      </w:r>
      <w:r>
        <w:rPr>
          <w:spacing w:val="40"/>
        </w:rPr>
        <w:t> </w:t>
      </w:r>
      <w:r>
        <w:rPr/>
        <w:t>residence since he is better off than he would have been had those rules been applied. Conversely, he would be deprived of the protection of those rules if the chosen law were less favourable to him than the mandatory rules of his habitual residence. Accordingly, the correct interpretation of art.5(2) is that it enables a consumer to rely on the mandatory rules of the law of his habitual residence if they </w:t>
      </w:r>
      <w:bookmarkStart w:name="_bookmark926" w:id="928"/>
      <w:bookmarkEnd w:id="928"/>
      <w:r>
        <w:rPr/>
        <w:t>are</w:t>
      </w:r>
      <w:r>
        <w:rPr/>
        <w:t> more favourable to him than the chosen law or on the chosen law if it is more favourable to him than the mandatory rules of the law of his habitual residence. </w:t>
      </w:r>
      <w:r>
        <w:rPr>
          <w:color w:val="005DA1"/>
          <w:u w:val="single" w:color="005DA1"/>
          <w:vertAlign w:val="superscript"/>
        </w:rPr>
        <w:t>516</w:t>
      </w:r>
      <w:r>
        <w:rPr>
          <w:color w:val="005DA1"/>
          <w:vertAlign w:val="baseline"/>
        </w:rPr>
        <w:t> </w:t>
      </w:r>
      <w:r>
        <w:rPr>
          <w:vertAlign w:val="baseline"/>
        </w:rPr>
        <w:t>The law of the habitual residence thus defines the minimum, but not the maximum protection available to the consumer. This solution</w:t>
      </w:r>
      <w:r>
        <w:rPr>
          <w:spacing w:val="80"/>
          <w:vertAlign w:val="baseline"/>
        </w:rPr>
        <w:t> </w:t>
      </w:r>
      <w:bookmarkStart w:name="_bookmark927" w:id="929"/>
      <w:bookmarkEnd w:id="929"/>
      <w:r>
        <w:rPr>
          <w:vertAlign w:val="baseline"/>
        </w:rPr>
        <w:t>is,</w:t>
      </w:r>
      <w:r>
        <w:rPr>
          <w:vertAlign w:val="baseline"/>
        </w:rPr>
        <w:t> it is suggested, preferable to one which would allow the consumer to rely, cumulatively, on the mandatory rules of both the law of the habitual residence and the chosen law,</w:t>
      </w:r>
      <w:r>
        <w:rPr>
          <w:spacing w:val="-1"/>
          <w:vertAlign w:val="baseline"/>
        </w:rPr>
        <w:t> </w:t>
      </w:r>
      <w:r>
        <w:rPr>
          <w:color w:val="005DA1"/>
          <w:u w:val="single" w:color="005DA1"/>
          <w:vertAlign w:val="superscript"/>
        </w:rPr>
        <w:t>517</w:t>
      </w:r>
      <w:r>
        <w:rPr>
          <w:color w:val="005DA1"/>
          <w:vertAlign w:val="baseline"/>
        </w:rPr>
        <w:t> </w:t>
      </w:r>
      <w:r>
        <w:rPr>
          <w:vertAlign w:val="baseline"/>
        </w:rPr>
        <w:t>despite the potential difficulties which may be presented in deciding, in any given case, which set of rules is most favourable to the consumer. There seems to be no obvious justification in giving a consumer “double protection” just because the contract falls within art.5 of the Convention, and contains a choice of law.</w:t>
      </w:r>
    </w:p>
    <w:p>
      <w:pPr>
        <w:pStyle w:val="BodyText"/>
      </w:pPr>
    </w:p>
    <w:p>
      <w:pPr>
        <w:pStyle w:val="BodyText"/>
        <w:spacing w:before="32"/>
      </w:pPr>
    </w:p>
    <w:p>
      <w:pPr>
        <w:spacing w:before="0"/>
        <w:ind w:left="165" w:right="0" w:firstLine="0"/>
        <w:jc w:val="both"/>
        <w:rPr>
          <w:rFonts w:ascii="Arial"/>
          <w:b/>
          <w:sz w:val="18"/>
        </w:rPr>
      </w:pPr>
      <w:r>
        <w:rPr>
          <w:rFonts w:ascii="Arial"/>
          <w:b/>
          <w:sz w:val="18"/>
        </w:rPr>
        <w:t>EU consumer protection </w:t>
      </w:r>
      <w:r>
        <w:rPr>
          <w:rFonts w:ascii="Arial"/>
          <w:b/>
          <w:spacing w:val="-2"/>
          <w:sz w:val="18"/>
        </w:rPr>
        <w:t>legislation</w:t>
      </w:r>
    </w:p>
    <w:p>
      <w:pPr>
        <w:pStyle w:val="BodyText"/>
        <w:spacing w:before="42"/>
        <w:rPr>
          <w:rFonts w:ascii="Arial"/>
          <w:b/>
          <w:sz w:val="18"/>
        </w:rPr>
      </w:pPr>
    </w:p>
    <w:p>
      <w:pPr>
        <w:pStyle w:val="Heading2"/>
      </w:pPr>
      <w:r>
        <w:rPr/>
        <w:t>30-</w:t>
      </w:r>
      <w:r>
        <w:rPr>
          <w:spacing w:val="-5"/>
        </w:rPr>
        <w:t>102</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European Community has produced a substantial body of law designed to protect consumers which has to be transposed into national law by Member States. Such legislation is generally </w:t>
      </w:r>
      <w:bookmarkStart w:name="_bookmark928" w:id="930"/>
      <w:bookmarkEnd w:id="930"/>
      <w:r>
        <w:rPr/>
        <w:t>mandatory</w:t>
      </w:r>
      <w:r>
        <w:rPr/>
        <w:t> in character, it being provided, normally, that the legislation cannot be avoided by the </w:t>
      </w:r>
      <w:bookmarkStart w:name="_bookmark929" w:id="931"/>
      <w:bookmarkEnd w:id="931"/>
      <w:r>
        <w:rPr/>
        <w:t>choice</w:t>
      </w:r>
      <w:r>
        <w:rPr/>
        <w:t> of the law of a non-Member State in the contract. </w:t>
      </w:r>
      <w:r>
        <w:rPr>
          <w:color w:val="005DA1"/>
          <w:u w:val="single" w:color="005DA1"/>
          <w:vertAlign w:val="superscript"/>
        </w:rPr>
        <w:t>518</w:t>
      </w:r>
      <w:r>
        <w:rPr>
          <w:color w:val="005DA1"/>
          <w:vertAlign w:val="baseline"/>
        </w:rPr>
        <w:t> </w:t>
      </w:r>
      <w:r>
        <w:rPr>
          <w:vertAlign w:val="baseline"/>
        </w:rPr>
        <w:t>Examples of English </w:t>
      </w:r>
      <w:r>
        <w:rPr>
          <w:vertAlign w:val="baseline"/>
        </w:rPr>
        <w:t>legislation implementing Community rules may be briefly mentioned here. </w:t>
      </w:r>
      <w:r>
        <w:rPr>
          <w:color w:val="005DA1"/>
          <w:u w:val="single" w:color="005DA1"/>
          <w:vertAlign w:val="superscript"/>
        </w:rPr>
        <w:t>519</w:t>
      </w:r>
      <w:r>
        <w:rPr>
          <w:color w:val="005DA1"/>
          <w:vertAlign w:val="baseline"/>
        </w:rPr>
        <w:t> </w:t>
      </w:r>
      <w:r>
        <w:rPr>
          <w:vertAlign w:val="baseline"/>
        </w:rPr>
        <w:t>The Council Directive on unfair </w:t>
      </w:r>
      <w:bookmarkStart w:name="_bookmark930" w:id="932"/>
      <w:bookmarkEnd w:id="932"/>
      <w:r>
        <w:rPr>
          <w:vertAlign w:val="baseline"/>
        </w:rPr>
        <w:t>terms</w:t>
      </w:r>
      <w:r>
        <w:rPr>
          <w:spacing w:val="58"/>
          <w:w w:val="150"/>
          <w:vertAlign w:val="baseline"/>
        </w:rPr>
        <w:t> </w:t>
      </w:r>
      <w:r>
        <w:rPr>
          <w:vertAlign w:val="baseline"/>
        </w:rPr>
        <w:t>in</w:t>
      </w:r>
      <w:r>
        <w:rPr>
          <w:spacing w:val="58"/>
          <w:w w:val="150"/>
          <w:vertAlign w:val="baseline"/>
        </w:rPr>
        <w:t> </w:t>
      </w:r>
      <w:r>
        <w:rPr>
          <w:vertAlign w:val="baseline"/>
        </w:rPr>
        <w:t>consumer</w:t>
      </w:r>
      <w:r>
        <w:rPr>
          <w:spacing w:val="58"/>
          <w:w w:val="150"/>
          <w:vertAlign w:val="baseline"/>
        </w:rPr>
        <w:t> </w:t>
      </w:r>
      <w:r>
        <w:rPr>
          <w:vertAlign w:val="baseline"/>
        </w:rPr>
        <w:t>contracts</w:t>
      </w:r>
      <w:r>
        <w:rPr>
          <w:spacing w:val="58"/>
          <w:w w:val="150"/>
          <w:vertAlign w:val="baseline"/>
        </w:rPr>
        <w:t> </w:t>
      </w:r>
      <w:r>
        <w:rPr>
          <w:vertAlign w:val="baseline"/>
        </w:rPr>
        <w:t>was</w:t>
      </w:r>
      <w:r>
        <w:rPr>
          <w:spacing w:val="59"/>
          <w:w w:val="150"/>
          <w:vertAlign w:val="baseline"/>
        </w:rPr>
        <w:t> </w:t>
      </w:r>
      <w:r>
        <w:rPr>
          <w:vertAlign w:val="baseline"/>
        </w:rPr>
        <w:t>implemented</w:t>
      </w:r>
      <w:r>
        <w:rPr>
          <w:spacing w:val="58"/>
          <w:w w:val="150"/>
          <w:vertAlign w:val="baseline"/>
        </w:rPr>
        <w:t> </w:t>
      </w:r>
      <w:r>
        <w:rPr>
          <w:vertAlign w:val="baseline"/>
        </w:rPr>
        <w:t>in</w:t>
      </w:r>
      <w:r>
        <w:rPr>
          <w:spacing w:val="58"/>
          <w:w w:val="150"/>
          <w:vertAlign w:val="baseline"/>
        </w:rPr>
        <w:t> </w:t>
      </w:r>
      <w:r>
        <w:rPr>
          <w:vertAlign w:val="baseline"/>
        </w:rPr>
        <w:t>the</w:t>
      </w:r>
      <w:r>
        <w:rPr>
          <w:spacing w:val="58"/>
          <w:w w:val="150"/>
          <w:vertAlign w:val="baseline"/>
        </w:rPr>
        <w:t> </w:t>
      </w:r>
      <w:r>
        <w:rPr>
          <w:vertAlign w:val="baseline"/>
        </w:rPr>
        <w:t>Unfair</w:t>
      </w:r>
      <w:r>
        <w:rPr>
          <w:spacing w:val="58"/>
          <w:w w:val="150"/>
          <w:vertAlign w:val="baseline"/>
        </w:rPr>
        <w:t> </w:t>
      </w:r>
      <w:r>
        <w:rPr>
          <w:vertAlign w:val="baseline"/>
        </w:rPr>
        <w:t>Terms</w:t>
      </w:r>
      <w:r>
        <w:rPr>
          <w:spacing w:val="59"/>
          <w:w w:val="150"/>
          <w:vertAlign w:val="baseline"/>
        </w:rPr>
        <w:t> </w:t>
      </w:r>
      <w:r>
        <w:rPr>
          <w:vertAlign w:val="baseline"/>
        </w:rPr>
        <w:t>in</w:t>
      </w:r>
      <w:r>
        <w:rPr>
          <w:spacing w:val="58"/>
          <w:w w:val="150"/>
          <w:vertAlign w:val="baseline"/>
        </w:rPr>
        <w:t> </w:t>
      </w:r>
      <w:r>
        <w:rPr>
          <w:vertAlign w:val="baseline"/>
        </w:rPr>
        <w:t>Consumer</w:t>
      </w:r>
      <w:r>
        <w:rPr>
          <w:spacing w:val="58"/>
          <w:w w:val="150"/>
          <w:vertAlign w:val="baseline"/>
        </w:rPr>
        <w:t> </w:t>
      </w:r>
      <w:r>
        <w:rPr>
          <w:spacing w:val="-2"/>
          <w:vertAlign w:val="baseline"/>
        </w:rPr>
        <w:t>Contracts</w:t>
      </w:r>
    </w:p>
    <w:p>
      <w:pPr>
        <w:pStyle w:val="BodyText"/>
        <w:spacing w:before="114"/>
        <w:ind w:left="165"/>
        <w:jc w:val="both"/>
      </w:pPr>
      <w:r>
        <w:rPr/>
        <w:t>Regulations</w:t>
      </w:r>
      <w:r>
        <w:rPr>
          <w:spacing w:val="-2"/>
        </w:rPr>
        <w:t> </w:t>
      </w:r>
      <w:r>
        <w:rPr/>
        <w:t>1999.</w:t>
      </w:r>
      <w:r>
        <w:rPr>
          <w:spacing w:val="-2"/>
        </w:rPr>
        <w:t> </w:t>
      </w:r>
      <w:r>
        <w:rPr>
          <w:color w:val="005DA1"/>
          <w:u w:val="single" w:color="005DA1"/>
          <w:vertAlign w:val="superscript"/>
        </w:rPr>
        <w:t>520</w:t>
      </w:r>
      <w:r>
        <w:rPr>
          <w:color w:val="005DA1"/>
          <w:spacing w:val="26"/>
          <w:vertAlign w:val="baseline"/>
        </w:rPr>
        <w:t>  </w:t>
      </w:r>
      <w:r>
        <w:rPr>
          <w:color w:val="005DA1"/>
          <w:position w:val="-2"/>
          <w:vertAlign w:val="baseline"/>
        </w:rPr>
        <w:drawing>
          <wp:inline distT="0" distB="0" distL="0" distR="0">
            <wp:extent cx="107988" cy="10798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5"/>
          <w:vertAlign w:val="baseline"/>
        </w:rPr>
        <w:t> </w:t>
      </w:r>
      <w:r>
        <w:rPr>
          <w:vertAlign w:val="baseline"/>
        </w:rPr>
        <w:t>The</w:t>
      </w:r>
      <w:r>
        <w:rPr>
          <w:spacing w:val="-1"/>
          <w:vertAlign w:val="baseline"/>
        </w:rPr>
        <w:t> </w:t>
      </w:r>
      <w:r>
        <w:rPr>
          <w:vertAlign w:val="baseline"/>
        </w:rPr>
        <w:t>Regulations</w:t>
      </w:r>
      <w:r>
        <w:rPr>
          <w:spacing w:val="-2"/>
          <w:vertAlign w:val="baseline"/>
        </w:rPr>
        <w:t> </w:t>
      </w:r>
      <w:r>
        <w:rPr>
          <w:vertAlign w:val="baseline"/>
        </w:rPr>
        <w:t>contain</w:t>
      </w:r>
      <w:r>
        <w:rPr>
          <w:spacing w:val="-1"/>
          <w:vertAlign w:val="baseline"/>
        </w:rPr>
        <w:t> </w:t>
      </w:r>
      <w:r>
        <w:rPr>
          <w:vertAlign w:val="baseline"/>
        </w:rPr>
        <w:t>an</w:t>
      </w:r>
      <w:r>
        <w:rPr>
          <w:spacing w:val="-1"/>
          <w:vertAlign w:val="baseline"/>
        </w:rPr>
        <w:t> </w:t>
      </w:r>
      <w:r>
        <w:rPr>
          <w:vertAlign w:val="baseline"/>
        </w:rPr>
        <w:t>anti-avoidance</w:t>
      </w:r>
      <w:r>
        <w:rPr>
          <w:spacing w:val="-1"/>
          <w:vertAlign w:val="baseline"/>
        </w:rPr>
        <w:t> </w:t>
      </w:r>
      <w:r>
        <w:rPr>
          <w:vertAlign w:val="baseline"/>
        </w:rPr>
        <w:t>provision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effect</w:t>
      </w:r>
      <w:r>
        <w:rPr>
          <w:spacing w:val="-1"/>
          <w:vertAlign w:val="baseline"/>
        </w:rPr>
        <w:t> </w:t>
      </w:r>
      <w:r>
        <w:rPr>
          <w:vertAlign w:val="baseline"/>
        </w:rPr>
        <w:t>that</w:t>
      </w:r>
      <w:r>
        <w:rPr>
          <w:spacing w:val="-1"/>
          <w:vertAlign w:val="baseline"/>
        </w:rPr>
        <w:t> </w:t>
      </w:r>
      <w:r>
        <w:rPr>
          <w:spacing w:val="-4"/>
          <w:vertAlign w:val="baseline"/>
        </w:rPr>
        <w:t>the:</w:t>
      </w:r>
    </w:p>
    <w:p>
      <w:pPr>
        <w:pStyle w:val="BodyText"/>
      </w:pPr>
    </w:p>
    <w:p>
      <w:pPr>
        <w:pStyle w:val="BodyText"/>
        <w:spacing w:before="126"/>
      </w:pPr>
    </w:p>
    <w:p>
      <w:pPr>
        <w:pStyle w:val="BodyText"/>
        <w:spacing w:line="235" w:lineRule="auto"/>
        <w:ind w:left="1245" w:right="167"/>
        <w:jc w:val="both"/>
      </w:pPr>
      <w:r>
        <w:rPr/>
        <w:t>“Regulations shall apply notwithstanding any contract term which applies or purports </w:t>
      </w:r>
      <w:r>
        <w:rPr/>
        <w:t>to </w:t>
      </w:r>
      <w:bookmarkStart w:name="_bookmark931" w:id="933"/>
      <w:bookmarkEnd w:id="933"/>
      <w:r>
        <w:rPr/>
        <w:t>apply</w:t>
      </w:r>
      <w:r>
        <w:rPr/>
        <w:t> the law of a non-Member State, if the contract has a close connection with the territory of the Member States.” </w:t>
      </w:r>
      <w:r>
        <w:rPr>
          <w:color w:val="005DA1"/>
          <w:u w:val="single" w:color="005DA1"/>
          <w:vertAlign w:val="superscript"/>
        </w:rPr>
        <w:t>521</w:t>
      </w:r>
    </w:p>
    <w:p>
      <w:pPr>
        <w:pStyle w:val="BodyText"/>
        <w:spacing w:before="115"/>
      </w:pPr>
    </w:p>
    <w:p>
      <w:pPr>
        <w:pStyle w:val="BodyText"/>
        <w:spacing w:line="235" w:lineRule="auto"/>
        <w:ind w:left="165" w:right="167"/>
        <w:jc w:val="both"/>
      </w:pPr>
      <w:bookmarkStart w:name="_bookmark932" w:id="934"/>
      <w:bookmarkEnd w:id="934"/>
      <w:r>
        <w:rPr/>
      </w:r>
      <w:bookmarkStart w:name="_bookmark933" w:id="935"/>
      <w:bookmarkEnd w:id="935"/>
      <w:r>
        <w:rPr/>
      </w:r>
      <w:r>
        <w:rPr/>
        <w:t>The Consumer Protection (Distance Selling) Regulations 2000 </w:t>
      </w:r>
      <w:r>
        <w:rPr>
          <w:color w:val="005DA1"/>
          <w:u w:val="single" w:color="005DA1"/>
          <w:vertAlign w:val="superscript"/>
        </w:rPr>
        <w:t>522</w:t>
      </w:r>
      <w:r>
        <w:rPr>
          <w:color w:val="005DA1"/>
          <w:vertAlign w:val="baseline"/>
        </w:rPr>
        <w:t> </w:t>
      </w:r>
      <w:r>
        <w:rPr>
          <w:vertAlign w:val="baseline"/>
        </w:rPr>
        <w:t>implement the Directive on </w:t>
      </w:r>
      <w:r>
        <w:rPr>
          <w:vertAlign w:val="baseline"/>
        </w:rPr>
        <w:t>the protection of consumers in respect of distance contracts. </w:t>
      </w:r>
      <w:r>
        <w:rPr>
          <w:color w:val="005DA1"/>
          <w:u w:val="single" w:color="005DA1"/>
          <w:vertAlign w:val="superscript"/>
        </w:rPr>
        <w:t>523</w:t>
      </w:r>
      <w:r>
        <w:rPr>
          <w:color w:val="005DA1"/>
          <w:vertAlign w:val="baseline"/>
        </w:rPr>
        <w:t> </w:t>
      </w:r>
      <w:r>
        <w:rPr>
          <w:vertAlign w:val="baseline"/>
        </w:rPr>
        <w:t>The anti-avoidance provision in these Regulations is nearly, but not quite, identical to that contained in the 1999 Regulations and stipulates that the:</w:t>
      </w:r>
    </w:p>
    <w:p>
      <w:pPr>
        <w:pStyle w:val="BodyText"/>
      </w:pPr>
    </w:p>
    <w:p>
      <w:pPr>
        <w:pStyle w:val="BodyText"/>
        <w:spacing w:before="126"/>
      </w:pPr>
    </w:p>
    <w:p>
      <w:pPr>
        <w:pStyle w:val="BodyText"/>
        <w:spacing w:line="235" w:lineRule="auto"/>
        <w:ind w:left="1245" w:right="167"/>
        <w:jc w:val="both"/>
      </w:pPr>
      <w:r>
        <w:rPr/>
        <w:t>“Regulations shall apply notwithstanding any contract term which applies or purports </w:t>
      </w:r>
      <w:r>
        <w:rPr/>
        <w:t>to apply</w:t>
      </w:r>
      <w:r>
        <w:rPr>
          <w:spacing w:val="34"/>
        </w:rPr>
        <w:t> </w:t>
      </w:r>
      <w:r>
        <w:rPr/>
        <w:t>the</w:t>
      </w:r>
      <w:r>
        <w:rPr>
          <w:spacing w:val="34"/>
        </w:rPr>
        <w:t> </w:t>
      </w:r>
      <w:r>
        <w:rPr/>
        <w:t>law</w:t>
      </w:r>
      <w:r>
        <w:rPr>
          <w:spacing w:val="34"/>
        </w:rPr>
        <w:t> </w:t>
      </w:r>
      <w:r>
        <w:rPr/>
        <w:t>of</w:t>
      </w:r>
      <w:r>
        <w:rPr>
          <w:spacing w:val="34"/>
        </w:rPr>
        <w:t> </w:t>
      </w:r>
      <w:r>
        <w:rPr/>
        <w:t>a</w:t>
      </w:r>
      <w:r>
        <w:rPr>
          <w:spacing w:val="34"/>
        </w:rPr>
        <w:t> </w:t>
      </w:r>
      <w:r>
        <w:rPr/>
        <w:t>non-Member</w:t>
      </w:r>
      <w:r>
        <w:rPr>
          <w:spacing w:val="34"/>
        </w:rPr>
        <w:t> </w:t>
      </w:r>
      <w:r>
        <w:rPr/>
        <w:t>State,</w:t>
      </w:r>
      <w:r>
        <w:rPr>
          <w:spacing w:val="34"/>
        </w:rPr>
        <w:t> </w:t>
      </w:r>
      <w:r>
        <w:rPr/>
        <w:t>if</w:t>
      </w:r>
      <w:r>
        <w:rPr>
          <w:spacing w:val="34"/>
        </w:rPr>
        <w:t> </w:t>
      </w:r>
      <w:r>
        <w:rPr/>
        <w:t>the</w:t>
      </w:r>
      <w:r>
        <w:rPr>
          <w:spacing w:val="34"/>
        </w:rPr>
        <w:t> </w:t>
      </w:r>
      <w:r>
        <w:rPr/>
        <w:t>contract</w:t>
      </w:r>
      <w:r>
        <w:rPr>
          <w:spacing w:val="34"/>
        </w:rPr>
        <w:t> </w:t>
      </w:r>
      <w:r>
        <w:rPr/>
        <w:t>has</w:t>
      </w:r>
      <w:r>
        <w:rPr>
          <w:spacing w:val="34"/>
        </w:rPr>
        <w:t> </w:t>
      </w:r>
      <w:r>
        <w:rPr/>
        <w:t>a</w:t>
      </w:r>
      <w:r>
        <w:rPr>
          <w:spacing w:val="34"/>
        </w:rPr>
        <w:t> </w:t>
      </w:r>
      <w:r>
        <w:rPr/>
        <w:t>close</w:t>
      </w:r>
      <w:r>
        <w:rPr>
          <w:spacing w:val="34"/>
        </w:rPr>
        <w:t> </w:t>
      </w:r>
      <w:r>
        <w:rPr/>
        <w:t>connection</w:t>
      </w:r>
      <w:r>
        <w:rPr>
          <w:spacing w:val="34"/>
        </w:rPr>
        <w:t> </w:t>
      </w:r>
      <w:r>
        <w:rPr/>
        <w:t>with</w:t>
      </w:r>
      <w:r>
        <w:rPr>
          <w:spacing w:val="34"/>
        </w:rPr>
        <w:t> </w:t>
      </w:r>
      <w:r>
        <w:rPr>
          <w:spacing w:val="-5"/>
        </w:rPr>
        <w:t>the</w:t>
      </w:r>
    </w:p>
    <w:p>
      <w:pPr>
        <w:pStyle w:val="BodyText"/>
        <w:spacing w:after="0" w:line="235" w:lineRule="auto"/>
        <w:jc w:val="both"/>
        <w:sectPr>
          <w:pgSz w:w="11900" w:h="16840"/>
          <w:pgMar w:header="971" w:footer="0" w:top="1300" w:bottom="280" w:left="1275" w:right="1275"/>
        </w:sectPr>
      </w:pPr>
    </w:p>
    <w:p>
      <w:pPr>
        <w:pStyle w:val="BodyText"/>
        <w:spacing w:before="163"/>
      </w:pPr>
    </w:p>
    <w:p>
      <w:pPr>
        <w:pStyle w:val="BodyText"/>
        <w:ind w:left="1245"/>
      </w:pPr>
      <w:bookmarkStart w:name="_bookmark934" w:id="936"/>
      <w:bookmarkEnd w:id="936"/>
      <w:r>
        <w:rPr/>
      </w:r>
      <w:r>
        <w:rPr/>
        <w:t>territory of a Member State.”</w:t>
      </w:r>
      <w:r>
        <w:rPr>
          <w:spacing w:val="-1"/>
        </w:rPr>
        <w:t> </w:t>
      </w:r>
      <w:r>
        <w:rPr>
          <w:color w:val="005DA1"/>
          <w:spacing w:val="-5"/>
          <w:u w:val="single" w:color="005DA1"/>
          <w:vertAlign w:val="superscript"/>
        </w:rPr>
        <w:t>524</w:t>
      </w:r>
    </w:p>
    <w:p>
      <w:pPr>
        <w:pStyle w:val="BodyText"/>
        <w:spacing w:before="116"/>
      </w:pPr>
    </w:p>
    <w:p>
      <w:pPr>
        <w:pStyle w:val="BodyText"/>
        <w:spacing w:line="235" w:lineRule="auto"/>
        <w:ind w:left="164" w:right="167"/>
        <w:jc w:val="both"/>
      </w:pPr>
      <w:bookmarkStart w:name="_bookmark935" w:id="937"/>
      <w:bookmarkEnd w:id="937"/>
      <w:r>
        <w:rPr/>
      </w:r>
      <w:bookmarkStart w:name="_bookmark936" w:id="938"/>
      <w:bookmarkEnd w:id="938"/>
      <w:r>
        <w:rPr/>
      </w:r>
      <w:r>
        <w:rPr/>
        <w:t>The Sale and Supply of Goods to Consumers Regulations 2002 </w:t>
      </w:r>
      <w:r>
        <w:rPr>
          <w:color w:val="005DA1"/>
          <w:u w:val="single" w:color="005DA1"/>
          <w:vertAlign w:val="superscript"/>
        </w:rPr>
        <w:t>525</w:t>
      </w:r>
      <w:r>
        <w:rPr>
          <w:color w:val="005DA1"/>
          <w:vertAlign w:val="baseline"/>
        </w:rPr>
        <w:t> </w:t>
      </w:r>
      <w:r>
        <w:rPr>
          <w:vertAlign w:val="baseline"/>
        </w:rPr>
        <w:t>implements the Directive </w:t>
      </w:r>
      <w:r>
        <w:rPr>
          <w:vertAlign w:val="baseline"/>
        </w:rPr>
        <w:t>on </w:t>
      </w:r>
      <w:bookmarkStart w:name="_bookmark937" w:id="939"/>
      <w:bookmarkEnd w:id="939"/>
      <w:r>
        <w:rPr>
          <w:vertAlign w:val="baseline"/>
        </w:rPr>
        <w:t>certain</w:t>
      </w:r>
      <w:r>
        <w:rPr>
          <w:vertAlign w:val="baseline"/>
        </w:rPr>
        <w:t> aspects of the sale of consumer goods and associated guarantees. </w:t>
      </w:r>
      <w:r>
        <w:rPr>
          <w:color w:val="005DA1"/>
          <w:u w:val="single" w:color="005DA1"/>
          <w:vertAlign w:val="superscript"/>
        </w:rPr>
        <w:t>526</w:t>
      </w:r>
      <w:r>
        <w:rPr>
          <w:color w:val="005DA1"/>
          <w:vertAlign w:val="baseline"/>
        </w:rPr>
        <w:t> </w:t>
      </w:r>
      <w:r>
        <w:rPr>
          <w:vertAlign w:val="baseline"/>
        </w:rPr>
        <w:t>The anti-avoidance provision</w:t>
      </w:r>
      <w:r>
        <w:rPr>
          <w:spacing w:val="-3"/>
          <w:vertAlign w:val="baseline"/>
        </w:rPr>
        <w:t> </w:t>
      </w:r>
      <w:r>
        <w:rPr>
          <w:vertAlign w:val="baseline"/>
        </w:rPr>
        <w:t>contained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Directive</w:t>
      </w:r>
      <w:r>
        <w:rPr>
          <w:spacing w:val="-3"/>
          <w:vertAlign w:val="baseline"/>
        </w:rPr>
        <w:t> </w:t>
      </w:r>
      <w:r>
        <w:rPr>
          <w:color w:val="005DA1"/>
          <w:u w:val="single" w:color="005DA1"/>
          <w:vertAlign w:val="superscript"/>
        </w:rPr>
        <w:t>527</w:t>
      </w:r>
      <w:r>
        <w:rPr>
          <w:color w:val="005DA1"/>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directly</w:t>
      </w:r>
      <w:r>
        <w:rPr>
          <w:spacing w:val="-3"/>
          <w:vertAlign w:val="baseline"/>
        </w:rPr>
        <w:t> </w:t>
      </w:r>
      <w:r>
        <w:rPr>
          <w:vertAlign w:val="baseline"/>
        </w:rPr>
        <w:t>transposed</w:t>
      </w:r>
      <w:r>
        <w:rPr>
          <w:spacing w:val="-3"/>
          <w:vertAlign w:val="baseline"/>
        </w:rPr>
        <w:t> </w:t>
      </w:r>
      <w:r>
        <w:rPr>
          <w:vertAlign w:val="baseline"/>
        </w:rPr>
        <w:t>into</w:t>
      </w:r>
      <w:r>
        <w:rPr>
          <w:spacing w:val="-3"/>
          <w:vertAlign w:val="baseline"/>
        </w:rPr>
        <w:t> </w:t>
      </w:r>
      <w:r>
        <w:rPr>
          <w:vertAlign w:val="baseline"/>
        </w:rPr>
        <w:t>the</w:t>
      </w:r>
      <w:r>
        <w:rPr>
          <w:spacing w:val="-3"/>
          <w:vertAlign w:val="baseline"/>
        </w:rPr>
        <w:t> </w:t>
      </w:r>
      <w:r>
        <w:rPr>
          <w:vertAlign w:val="baseline"/>
        </w:rPr>
        <w:t>Regulations</w:t>
      </w:r>
      <w:r>
        <w:rPr>
          <w:spacing w:val="-3"/>
          <w:vertAlign w:val="baseline"/>
        </w:rPr>
        <w:t> </w:t>
      </w:r>
      <w:r>
        <w:rPr>
          <w:vertAlign w:val="baseline"/>
        </w:rPr>
        <w:t>which</w:t>
      </w:r>
      <w:r>
        <w:rPr>
          <w:spacing w:val="-3"/>
          <w:vertAlign w:val="baseline"/>
        </w:rPr>
        <w:t> </w:t>
      </w:r>
      <w:r>
        <w:rPr>
          <w:vertAlign w:val="baseline"/>
        </w:rPr>
        <w:t>implement it, it being apparently thought that prevention of avoidance through a choice of law clause could be </w:t>
      </w:r>
      <w:bookmarkStart w:name="_bookmark938" w:id="940"/>
      <w:bookmarkEnd w:id="940"/>
      <w:r>
        <w:rPr>
          <w:vertAlign w:val="baseline"/>
        </w:rPr>
        <w:t>achieved</w:t>
      </w:r>
      <w:r>
        <w:rPr>
          <w:vertAlign w:val="baseline"/>
        </w:rPr>
        <w:t> by application of the anti-avoidance provision contained in the Unfair Contract Terms Act 1977. </w:t>
      </w:r>
      <w:r>
        <w:rPr>
          <w:color w:val="005DA1"/>
          <w:u w:val="single" w:color="005DA1"/>
          <w:vertAlign w:val="superscript"/>
        </w:rPr>
        <w:t>528</w:t>
      </w:r>
      <w:r>
        <w:rPr>
          <w:color w:val="005DA1"/>
          <w:vertAlign w:val="baseline"/>
        </w:rPr>
        <w:t> </w:t>
      </w:r>
      <w:r>
        <w:rPr>
          <w:vertAlign w:val="baseline"/>
        </w:rPr>
        <w:t>Whether this is correct is highly questionable, not least because many cross-border consumer contracts will not fall within the 1977 Act because they will be “international supply </w:t>
      </w:r>
      <w:bookmarkStart w:name="_bookmark939" w:id="941"/>
      <w:bookmarkEnd w:id="941"/>
      <w:r>
        <w:rPr>
          <w:vertAlign w:val="baseline"/>
        </w:rPr>
        <w:t>contracts”</w:t>
      </w:r>
      <w:r>
        <w:rPr>
          <w:vertAlign w:val="baseline"/>
        </w:rPr>
        <w:t> within the meaning of s.26 of the Act and are thus excluded from the scope of that Act altogether. </w:t>
      </w:r>
      <w:r>
        <w:rPr>
          <w:color w:val="005DA1"/>
          <w:u w:val="single" w:color="005DA1"/>
          <w:vertAlign w:val="superscript"/>
        </w:rPr>
        <w:t>529</w:t>
      </w:r>
      <w:r>
        <w:rPr>
          <w:color w:val="005DA1"/>
          <w:vertAlign w:val="baseline"/>
        </w:rPr>
        <w:t> </w:t>
      </w:r>
      <w:r>
        <w:rPr>
          <w:vertAlign w:val="baseline"/>
        </w:rPr>
        <w:t>Similar provisions are now found in the Consumer Rights Act 2015. Section 74 of the 2015 Act provides that, where a consumer contract has a close connection with the UK, a choice of </w:t>
      </w:r>
      <w:bookmarkStart w:name="_bookmark940" w:id="942"/>
      <w:bookmarkEnd w:id="942"/>
      <w:r>
        <w:rPr>
          <w:vertAlign w:val="baseline"/>
        </w:rPr>
        <w:t>law</w:t>
      </w:r>
      <w:r>
        <w:rPr>
          <w:vertAlign w:val="baseline"/>
        </w:rPr>
        <w:t> of a country or territory other than an EEA State as the contract’s applicable law does not affect </w:t>
      </w:r>
      <w:bookmarkStart w:name="_bookmark941" w:id="943"/>
      <w:bookmarkEnd w:id="943"/>
      <w:r>
        <w:rPr>
          <w:vertAlign w:val="baseline"/>
        </w:rPr>
        <w:t>the</w:t>
      </w:r>
      <w:r>
        <w:rPr>
          <w:vertAlign w:val="baseline"/>
        </w:rPr>
        <w:t> application of Pt 2’s provisions governing unfair contract terms. </w:t>
      </w:r>
      <w:r>
        <w:rPr>
          <w:color w:val="005DA1"/>
          <w:u w:val="single" w:color="005DA1"/>
          <w:vertAlign w:val="superscript"/>
        </w:rPr>
        <w:t>530</w:t>
      </w:r>
      <w:r>
        <w:rPr>
          <w:color w:val="005DA1"/>
          <w:vertAlign w:val="baseline"/>
        </w:rPr>
        <w:t> </w:t>
      </w:r>
      <w:r>
        <w:rPr>
          <w:vertAlign w:val="baseline"/>
        </w:rPr>
        <w:t>Section 32 makes special provision for choice of law for “sales contracts”. </w:t>
      </w:r>
      <w:r>
        <w:rPr>
          <w:color w:val="005DA1"/>
          <w:u w:val="single" w:color="005DA1"/>
          <w:vertAlign w:val="superscript"/>
        </w:rPr>
        <w:t>531</w:t>
      </w:r>
      <w:r>
        <w:rPr>
          <w:color w:val="005DA1"/>
          <w:vertAlign w:val="baseline"/>
        </w:rPr>
        <w:t> </w:t>
      </w:r>
      <w:r>
        <w:rPr>
          <w:vertAlign w:val="baseline"/>
        </w:rPr>
        <w:t>Accordingly, s.32 provides that where the law of a country or territory other than an EEA State is chosen by the parties to be applicable to a sales </w:t>
      </w:r>
      <w:bookmarkStart w:name="_bookmark942" w:id="944"/>
      <w:bookmarkEnd w:id="944"/>
      <w:r>
        <w:rPr>
          <w:vertAlign w:val="baseline"/>
        </w:rPr>
        <w:t>contract,</w:t>
      </w:r>
      <w:r>
        <w:rPr>
          <w:vertAlign w:val="baseline"/>
        </w:rPr>
        <w:t> but the sales contract has a close connection with the United Kingdom, Ch.2 of the Act applies despite that choice. </w:t>
      </w:r>
      <w:r>
        <w:rPr>
          <w:color w:val="005DA1"/>
          <w:u w:val="single" w:color="005DA1"/>
          <w:vertAlign w:val="superscript"/>
        </w:rPr>
        <w:t>532</w:t>
      </w:r>
    </w:p>
    <w:p>
      <w:pPr>
        <w:pStyle w:val="BodyText"/>
      </w:pPr>
    </w:p>
    <w:p>
      <w:pPr>
        <w:pStyle w:val="BodyText"/>
        <w:spacing w:before="32"/>
      </w:pPr>
    </w:p>
    <w:p>
      <w:pPr>
        <w:spacing w:before="0"/>
        <w:ind w:left="165" w:right="0" w:firstLine="0"/>
        <w:jc w:val="left"/>
        <w:rPr>
          <w:rFonts w:ascii="Arial"/>
          <w:b/>
          <w:sz w:val="18"/>
        </w:rPr>
      </w:pPr>
      <w:r>
        <w:rPr>
          <w:rFonts w:ascii="Arial"/>
          <w:b/>
          <w:sz w:val="18"/>
        </w:rPr>
        <w:t>Rules which are mandatory irrespective of applicable </w:t>
      </w:r>
      <w:r>
        <w:rPr>
          <w:rFonts w:ascii="Arial"/>
          <w:b/>
          <w:spacing w:val="-5"/>
          <w:sz w:val="18"/>
        </w:rPr>
        <w:t>law</w:t>
      </w:r>
    </w:p>
    <w:p>
      <w:pPr>
        <w:pStyle w:val="BodyText"/>
        <w:spacing w:before="42"/>
        <w:rPr>
          <w:rFonts w:ascii="Arial"/>
          <w:b/>
          <w:sz w:val="18"/>
        </w:rPr>
      </w:pPr>
    </w:p>
    <w:p>
      <w:pPr>
        <w:pStyle w:val="Heading2"/>
      </w:pPr>
      <w:r>
        <w:rPr/>
        <w:t>30-</w:t>
      </w:r>
      <w:r>
        <w:rPr>
          <w:spacing w:val="-5"/>
        </w:rPr>
        <w:t>103</w:t>
      </w:r>
    </w:p>
    <w:p>
      <w:pPr>
        <w:pStyle w:val="BodyText"/>
        <w:spacing w:line="235" w:lineRule="auto" w:before="202"/>
        <w:ind w:left="164" w:right="167"/>
        <w:jc w:val="both"/>
      </w:pPr>
      <w:r>
        <w:rPr/>
        <w:t>Independently of art.5, art.7(2) enables a court to restrict the scope of the chosen law through </w:t>
      </w:r>
      <w:r>
        <w:rPr/>
        <w:t>the </w:t>
      </w:r>
      <w:bookmarkStart w:name="_bookmark943" w:id="945"/>
      <w:bookmarkEnd w:id="945"/>
      <w:r>
        <w:rPr/>
        <w:t>application</w:t>
      </w:r>
      <w:r>
        <w:rPr/>
        <w:t> of English mandatory rules in a situation where those rules apply irrespective of the law applicable to the contract.</w:t>
      </w:r>
      <w:r>
        <w:rPr>
          <w:spacing w:val="-1"/>
        </w:rPr>
        <w:t> </w:t>
      </w:r>
      <w:r>
        <w:rPr>
          <w:color w:val="005DA1"/>
          <w:u w:val="single" w:color="005DA1"/>
          <w:vertAlign w:val="superscript"/>
        </w:rPr>
        <w:t>533</w:t>
      </w:r>
      <w:r>
        <w:rPr>
          <w:color w:val="005DA1"/>
          <w:vertAlign w:val="baseline"/>
        </w:rPr>
        <w:t> </w:t>
      </w:r>
      <w:r>
        <w:rPr>
          <w:vertAlign w:val="baseline"/>
        </w:rPr>
        <w:t>Unlike the mandatory rules applicable through art.5(2), these mandatory rules need not relate to consumer protection.</w:t>
      </w:r>
    </w:p>
    <w:p>
      <w:pPr>
        <w:pStyle w:val="BodyText"/>
      </w:pPr>
    </w:p>
    <w:p>
      <w:pPr>
        <w:pStyle w:val="BodyText"/>
        <w:spacing w:before="37"/>
      </w:pPr>
    </w:p>
    <w:p>
      <w:pPr>
        <w:spacing w:before="0"/>
        <w:ind w:left="164" w:right="0" w:firstLine="0"/>
        <w:jc w:val="left"/>
        <w:rPr>
          <w:rFonts w:ascii="Arial"/>
          <w:b/>
          <w:sz w:val="18"/>
        </w:rPr>
      </w:pPr>
      <w:r>
        <w:rPr>
          <w:rFonts w:ascii="Arial"/>
          <w:b/>
          <w:sz w:val="18"/>
        </w:rPr>
        <w:t>Chosen law governs other </w:t>
      </w:r>
      <w:r>
        <w:rPr>
          <w:rFonts w:ascii="Arial"/>
          <w:b/>
          <w:spacing w:val="-2"/>
          <w:sz w:val="18"/>
        </w:rPr>
        <w:t>issues</w:t>
      </w:r>
    </w:p>
    <w:p>
      <w:pPr>
        <w:pStyle w:val="BodyText"/>
        <w:spacing w:before="42"/>
        <w:rPr>
          <w:rFonts w:ascii="Arial"/>
          <w:b/>
          <w:sz w:val="18"/>
        </w:rPr>
      </w:pPr>
    </w:p>
    <w:p>
      <w:pPr>
        <w:pStyle w:val="Heading2"/>
        <w:ind w:left="164"/>
      </w:pPr>
      <w:r>
        <w:rPr/>
        <w:t>30-</w:t>
      </w:r>
      <w:r>
        <w:rPr>
          <w:spacing w:val="-5"/>
        </w:rPr>
        <w:t>104</w:t>
      </w:r>
    </w:p>
    <w:p>
      <w:pPr>
        <w:pStyle w:val="BodyText"/>
        <w:spacing w:line="235" w:lineRule="auto" w:before="202"/>
        <w:ind w:left="164" w:right="167"/>
        <w:jc w:val="both"/>
      </w:pPr>
      <w:r>
        <w:rPr/>
        <w:t>Mandatory rules do not apply to strike down the chosen law in toto. The chosen law will apply to the extent that it does not conflict with any applicable mandatory rules.</w:t>
      </w:r>
    </w:p>
    <w:p>
      <w:pPr>
        <w:pStyle w:val="BodyText"/>
      </w:pPr>
    </w:p>
    <w:p>
      <w:pPr>
        <w:pStyle w:val="BodyText"/>
        <w:spacing w:before="38"/>
      </w:pPr>
    </w:p>
    <w:p>
      <w:pPr>
        <w:spacing w:before="0"/>
        <w:ind w:left="164" w:right="0" w:firstLine="0"/>
        <w:jc w:val="left"/>
        <w:rPr>
          <w:rFonts w:ascii="Arial"/>
          <w:b/>
          <w:sz w:val="18"/>
        </w:rPr>
      </w:pPr>
      <w:r>
        <w:rPr>
          <w:rFonts w:ascii="Arial"/>
          <w:b/>
          <w:sz w:val="18"/>
        </w:rPr>
        <w:t>Habitual </w:t>
      </w:r>
      <w:r>
        <w:rPr>
          <w:rFonts w:ascii="Arial"/>
          <w:b/>
          <w:spacing w:val="-2"/>
          <w:sz w:val="18"/>
        </w:rPr>
        <w:t>residence</w:t>
      </w:r>
    </w:p>
    <w:p>
      <w:pPr>
        <w:pStyle w:val="BodyText"/>
        <w:spacing w:before="41"/>
        <w:rPr>
          <w:rFonts w:ascii="Arial"/>
          <w:b/>
          <w:sz w:val="18"/>
        </w:rPr>
      </w:pPr>
    </w:p>
    <w:p>
      <w:pPr>
        <w:pStyle w:val="Heading2"/>
        <w:spacing w:before="1"/>
        <w:ind w:left="164"/>
      </w:pPr>
      <w:r>
        <w:rPr/>
        <w:t>30-</w:t>
      </w:r>
      <w:r>
        <w:rPr>
          <w:spacing w:val="-5"/>
        </w:rPr>
        <w:t>105</w:t>
      </w:r>
    </w:p>
    <w:p>
      <w:pPr>
        <w:pStyle w:val="BodyText"/>
        <w:spacing w:before="198"/>
        <w:ind w:left="164"/>
        <w:jc w:val="both"/>
      </w:pPr>
      <w:r>
        <w:rPr/>
        <w:t>The meaning of this concept was discussed above, para. 30–078 of this </w:t>
      </w:r>
      <w:r>
        <w:rPr>
          <w:spacing w:val="-2"/>
        </w:rPr>
        <w:t>chapter.</w:t>
      </w:r>
    </w:p>
    <w:p>
      <w:pPr>
        <w:pStyle w:val="BodyText"/>
      </w:pPr>
    </w:p>
    <w:p>
      <w:pPr>
        <w:pStyle w:val="BodyText"/>
        <w:spacing w:before="38"/>
      </w:pPr>
    </w:p>
    <w:p>
      <w:pPr>
        <w:spacing w:before="0"/>
        <w:ind w:left="164" w:right="0" w:firstLine="0"/>
        <w:jc w:val="left"/>
        <w:rPr>
          <w:rFonts w:ascii="Arial"/>
          <w:b/>
          <w:sz w:val="18"/>
        </w:rPr>
      </w:pPr>
      <w:r>
        <w:rPr>
          <w:rFonts w:ascii="Arial"/>
          <w:b/>
          <w:sz w:val="18"/>
        </w:rPr>
        <w:t>Applicable law in the absence of </w:t>
      </w:r>
      <w:r>
        <w:rPr>
          <w:rFonts w:ascii="Arial"/>
          <w:b/>
          <w:spacing w:val="-2"/>
          <w:sz w:val="18"/>
        </w:rPr>
        <w:t>choice</w:t>
      </w:r>
    </w:p>
    <w:p>
      <w:pPr>
        <w:pStyle w:val="BodyText"/>
        <w:spacing w:before="41"/>
        <w:rPr>
          <w:rFonts w:ascii="Arial"/>
          <w:b/>
          <w:sz w:val="18"/>
        </w:rPr>
      </w:pPr>
    </w:p>
    <w:p>
      <w:pPr>
        <w:pStyle w:val="Heading2"/>
        <w:ind w:left="164"/>
      </w:pPr>
      <w:r>
        <w:rPr/>
        <w:t>30-</w:t>
      </w:r>
      <w:r>
        <w:rPr>
          <w:spacing w:val="-5"/>
        </w:rPr>
        <w:t>106</w:t>
      </w:r>
    </w:p>
    <w:p>
      <w:pPr>
        <w:pStyle w:val="BodyText"/>
        <w:spacing w:line="235" w:lineRule="auto" w:before="203"/>
        <w:ind w:left="164" w:right="167"/>
        <w:jc w:val="both"/>
      </w:pPr>
      <w:r>
        <w:rPr/>
        <w:t>Where a consumer contract falling within art.5 does not contain a choice of law, art.5(3) provides </w:t>
      </w:r>
      <w:r>
        <w:rPr/>
        <w:t>that </w:t>
      </w:r>
      <w:bookmarkStart w:name="_bookmark944" w:id="946"/>
      <w:bookmarkEnd w:id="946"/>
      <w:r>
        <w:rPr/>
        <w:t>notwithstanding</w:t>
      </w:r>
      <w:r>
        <w:rPr/>
        <w:t> art.4, the contract shall be governed by the law of the country in which the consumer </w:t>
      </w:r>
      <w:bookmarkStart w:name="_bookmark945" w:id="947"/>
      <w:bookmarkEnd w:id="947"/>
      <w:r>
        <w:rPr/>
        <w:t>has</w:t>
      </w:r>
      <w:r>
        <w:rPr/>
        <w:t> his habitual residence, </w:t>
      </w:r>
      <w:r>
        <w:rPr>
          <w:color w:val="005DA1"/>
          <w:u w:val="single" w:color="005DA1"/>
          <w:vertAlign w:val="superscript"/>
        </w:rPr>
        <w:t>534</w:t>
      </w:r>
      <w:r>
        <w:rPr>
          <w:color w:val="005DA1"/>
          <w:vertAlign w:val="baseline"/>
        </w:rPr>
        <w:t> </w:t>
      </w:r>
      <w:r>
        <w:rPr>
          <w:vertAlign w:val="baseline"/>
        </w:rPr>
        <w:t>if it is entered into in circumstances giving rise to any one of the three conditions described above. </w:t>
      </w:r>
      <w:r>
        <w:rPr>
          <w:color w:val="005DA1"/>
          <w:u w:val="single" w:color="005DA1"/>
          <w:vertAlign w:val="superscript"/>
        </w:rPr>
        <w:t>535</w:t>
      </w:r>
      <w:r>
        <w:rPr>
          <w:color w:val="005DA1"/>
          <w:vertAlign w:val="baseline"/>
        </w:rPr>
        <w:t> </w:t>
      </w:r>
      <w:r>
        <w:rPr>
          <w:vertAlign w:val="baseline"/>
        </w:rPr>
        <w:t>If none of those conditions exist or if the contract falls outside art.5, then the law applicable to the contract will be determined, in the absence of a choice satisfying art.3, according to the provisions of art.4 of the Convention.</w:t>
      </w:r>
    </w:p>
    <w:p>
      <w:pPr>
        <w:pStyle w:val="BodyText"/>
      </w:pPr>
    </w:p>
    <w:p>
      <w:pPr>
        <w:pStyle w:val="BodyText"/>
        <w:spacing w:before="36"/>
      </w:pPr>
    </w:p>
    <w:p>
      <w:pPr>
        <w:spacing w:before="0"/>
        <w:ind w:left="165" w:right="0" w:firstLine="0"/>
        <w:jc w:val="left"/>
        <w:rPr>
          <w:rFonts w:ascii="Arial"/>
          <w:b/>
          <w:sz w:val="18"/>
        </w:rPr>
      </w:pPr>
      <w:bookmarkStart w:name="_bookmark946" w:id="948"/>
      <w:bookmarkEnd w:id="948"/>
      <w:r>
        <w:rPr/>
      </w:r>
      <w:r>
        <w:rPr>
          <w:rFonts w:ascii="Arial"/>
          <w:b/>
          <w:sz w:val="18"/>
        </w:rPr>
        <w:t>Individual employment contracts </w:t>
      </w:r>
      <w:r>
        <w:rPr>
          <w:rFonts w:ascii="Arial"/>
          <w:b/>
          <w:color w:val="005DA1"/>
          <w:spacing w:val="-5"/>
          <w:sz w:val="18"/>
          <w:u w:val="single" w:color="005DA1"/>
          <w:vertAlign w:val="superscript"/>
        </w:rPr>
        <w:t>536</w:t>
      </w:r>
    </w:p>
    <w:p>
      <w:pPr>
        <w:spacing w:after="0"/>
        <w:jc w:val="left"/>
        <w:rPr>
          <w:rFonts w:ascii="Arial"/>
          <w:b/>
          <w:sz w:val="18"/>
        </w:rPr>
        <w:sectPr>
          <w:pgSz w:w="11900" w:h="16840"/>
          <w:pgMar w:header="971" w:footer="0" w:top="1300" w:bottom="280" w:left="1275" w:right="1275"/>
        </w:sectPr>
      </w:pPr>
    </w:p>
    <w:p>
      <w:pPr>
        <w:pStyle w:val="Heading2"/>
        <w:spacing w:before="262"/>
      </w:pPr>
      <w:r>
        <w:rPr/>
        <w:t>30-</w:t>
      </w:r>
      <w:r>
        <w:rPr>
          <w:spacing w:val="-5"/>
        </w:rPr>
        <w:t>107</w:t>
      </w:r>
    </w:p>
    <w:p>
      <w:pPr>
        <w:pStyle w:val="BodyText"/>
        <w:spacing w:line="235" w:lineRule="auto" w:before="202"/>
        <w:ind w:left="164" w:right="167"/>
        <w:jc w:val="both"/>
      </w:pPr>
      <w:r>
        <w:rPr/>
        <w:t>Article</w:t>
      </w:r>
      <w:r>
        <w:rPr>
          <w:spacing w:val="-1"/>
        </w:rPr>
        <w:t> </w:t>
      </w:r>
      <w:r>
        <w:rPr/>
        <w:t>6</w:t>
      </w:r>
      <w:r>
        <w:rPr>
          <w:spacing w:val="-1"/>
        </w:rPr>
        <w:t> </w:t>
      </w:r>
      <w:r>
        <w:rPr/>
        <w:t>of</w:t>
      </w:r>
      <w:r>
        <w:rPr>
          <w:spacing w:val="-1"/>
        </w:rPr>
        <w:t> </w:t>
      </w:r>
      <w:r>
        <w:rPr/>
        <w:t>the</w:t>
      </w:r>
      <w:r>
        <w:rPr>
          <w:spacing w:val="-1"/>
        </w:rPr>
        <w:t> </w:t>
      </w:r>
      <w:r>
        <w:rPr/>
        <w:t>Rome</w:t>
      </w:r>
      <w:r>
        <w:rPr>
          <w:spacing w:val="-1"/>
        </w:rPr>
        <w:t> </w:t>
      </w:r>
      <w:r>
        <w:rPr/>
        <w:t>Convention</w:t>
      </w:r>
      <w:r>
        <w:rPr>
          <w:spacing w:val="-1"/>
        </w:rPr>
        <w:t> </w:t>
      </w:r>
      <w:r>
        <w:rPr/>
        <w:t>contains</w:t>
      </w:r>
      <w:r>
        <w:rPr>
          <w:spacing w:val="-1"/>
        </w:rPr>
        <w:t> </w:t>
      </w:r>
      <w:r>
        <w:rPr/>
        <w:t>special</w:t>
      </w:r>
      <w:r>
        <w:rPr>
          <w:spacing w:val="-1"/>
        </w:rPr>
        <w:t> </w:t>
      </w:r>
      <w:r>
        <w:rPr/>
        <w:t>choice</w:t>
      </w:r>
      <w:r>
        <w:rPr>
          <w:spacing w:val="-1"/>
        </w:rPr>
        <w:t> </w:t>
      </w:r>
      <w:r>
        <w:rPr/>
        <w:t>of</w:t>
      </w:r>
      <w:r>
        <w:rPr>
          <w:spacing w:val="-1"/>
        </w:rPr>
        <w:t> </w:t>
      </w:r>
      <w:r>
        <w:rPr/>
        <w:t>law</w:t>
      </w:r>
      <w:r>
        <w:rPr>
          <w:spacing w:val="-1"/>
        </w:rPr>
        <w:t> </w:t>
      </w:r>
      <w:r>
        <w:rPr/>
        <w:t>rules</w:t>
      </w:r>
      <w:r>
        <w:rPr>
          <w:spacing w:val="-1"/>
        </w:rPr>
        <w:t> </w:t>
      </w:r>
      <w:r>
        <w:rPr/>
        <w:t>which</w:t>
      </w:r>
      <w:r>
        <w:rPr>
          <w:spacing w:val="-1"/>
        </w:rPr>
        <w:t> </w:t>
      </w:r>
      <w:r>
        <w:rPr/>
        <w:t>are</w:t>
      </w:r>
      <w:r>
        <w:rPr>
          <w:spacing w:val="-1"/>
        </w:rPr>
        <w:t> </w:t>
      </w:r>
      <w:r>
        <w:rPr/>
        <w:t>expressed</w:t>
      </w:r>
      <w:r>
        <w:rPr>
          <w:spacing w:val="-1"/>
        </w:rPr>
        <w:t> </w:t>
      </w:r>
      <w:r>
        <w:rPr/>
        <w:t>to</w:t>
      </w:r>
      <w:r>
        <w:rPr>
          <w:spacing w:val="-1"/>
        </w:rPr>
        <w:t> </w:t>
      </w:r>
      <w:r>
        <w:rPr/>
        <w:t>apply</w:t>
      </w:r>
      <w:r>
        <w:rPr>
          <w:spacing w:val="-1"/>
        </w:rPr>
        <w:t> </w:t>
      </w:r>
      <w:r>
        <w:rPr/>
        <w:t>to “individual employment contracts”. The policy which informs these provisions is the need to secure </w:t>
      </w:r>
      <w:bookmarkStart w:name="_bookmark947" w:id="949"/>
      <w:bookmarkEnd w:id="949"/>
      <w:r>
        <w:rPr/>
        <w:t>“more</w:t>
      </w:r>
      <w:r>
        <w:rPr/>
        <w:t> adequate protection for the party who from the socio-economic point of view is regarded as </w:t>
      </w:r>
      <w:r>
        <w:rPr/>
        <w:t>the </w:t>
      </w:r>
      <w:bookmarkStart w:name="_bookmark948" w:id="950"/>
      <w:bookmarkEnd w:id="950"/>
      <w:r>
        <w:rPr/>
        <w:t>weaker</w:t>
      </w:r>
      <w:r>
        <w:rPr/>
        <w:t> in the contractual relationship”, </w:t>
      </w:r>
      <w:r>
        <w:rPr>
          <w:color w:val="005DA1"/>
          <w:u w:val="single" w:color="005DA1"/>
          <w:vertAlign w:val="superscript"/>
        </w:rPr>
        <w:t>537</w:t>
      </w:r>
      <w:r>
        <w:rPr>
          <w:color w:val="005DA1"/>
          <w:vertAlign w:val="baseline"/>
        </w:rPr>
        <w:t> </w:t>
      </w:r>
      <w:r>
        <w:rPr>
          <w:vertAlign w:val="baseline"/>
        </w:rPr>
        <w:t>i.e. the employee. In particular, it was necessary to curb, in </w:t>
      </w:r>
      <w:bookmarkStart w:name="_bookmark949" w:id="951"/>
      <w:bookmarkEnd w:id="951"/>
      <w:r>
        <w:rPr>
          <w:vertAlign w:val="baseline"/>
        </w:rPr>
        <w:t>this</w:t>
      </w:r>
      <w:r>
        <w:rPr>
          <w:vertAlign w:val="baseline"/>
        </w:rPr>
        <w:t> context, the wide freedom to choose the applicable law permitted by art.3. </w:t>
      </w:r>
      <w:r>
        <w:rPr>
          <w:color w:val="005DA1"/>
          <w:u w:val="single" w:color="005DA1"/>
          <w:vertAlign w:val="superscript"/>
        </w:rPr>
        <w:t>538</w:t>
      </w:r>
      <w:r>
        <w:rPr>
          <w:color w:val="005DA1"/>
          <w:vertAlign w:val="baseline"/>
        </w:rPr>
        <w:t> </w:t>
      </w:r>
      <w:r>
        <w:rPr>
          <w:vertAlign w:val="baseline"/>
        </w:rPr>
        <w:t>No doubt, the philosophy of employee protection will be influential in the interpretation and application of art.6. </w:t>
      </w:r>
      <w:r>
        <w:rPr>
          <w:color w:val="005DA1"/>
          <w:u w:val="single" w:color="005DA1"/>
          <w:vertAlign w:val="superscript"/>
        </w:rPr>
        <w:t>539</w:t>
      </w:r>
      <w:r>
        <w:rPr>
          <w:color w:val="005DA1"/>
          <w:vertAlign w:val="baseline"/>
        </w:rPr>
        <w:t> </w:t>
      </w:r>
      <w:r>
        <w:rPr>
          <w:vertAlign w:val="baseline"/>
        </w:rPr>
        <w:t>Very broadly, art.6 permits the parties to choose the law to govern an employment contract, but </w:t>
      </w:r>
      <w:bookmarkStart w:name="_bookmark950" w:id="952"/>
      <w:bookmarkEnd w:id="952"/>
      <w:r>
        <w:rPr>
          <w:vertAlign w:val="baseline"/>
        </w:rPr>
        <w:t>provides</w:t>
      </w:r>
      <w:r>
        <w:rPr>
          <w:vertAlign w:val="baseline"/>
        </w:rPr>
        <w:t> that the choice of law cannot have the result of depriving the employee of the protection of the</w:t>
      </w:r>
      <w:r>
        <w:rPr>
          <w:spacing w:val="5"/>
          <w:vertAlign w:val="baseline"/>
        </w:rPr>
        <w:t> </w:t>
      </w:r>
      <w:r>
        <w:rPr>
          <w:vertAlign w:val="baseline"/>
        </w:rPr>
        <w:t>mandatory</w:t>
      </w:r>
      <w:r>
        <w:rPr>
          <w:spacing w:val="5"/>
          <w:vertAlign w:val="baseline"/>
        </w:rPr>
        <w:t> </w:t>
      </w:r>
      <w:r>
        <w:rPr>
          <w:vertAlign w:val="baseline"/>
        </w:rPr>
        <w:t>rules</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law</w:t>
      </w:r>
      <w:r>
        <w:rPr>
          <w:spacing w:val="5"/>
          <w:vertAlign w:val="baseline"/>
        </w:rPr>
        <w:t> </w:t>
      </w:r>
      <w:r>
        <w:rPr>
          <w:vertAlign w:val="baseline"/>
        </w:rPr>
        <w:t>which</w:t>
      </w:r>
      <w:r>
        <w:rPr>
          <w:spacing w:val="5"/>
          <w:vertAlign w:val="baseline"/>
        </w:rPr>
        <w:t> </w:t>
      </w:r>
      <w:r>
        <w:rPr>
          <w:vertAlign w:val="baseline"/>
        </w:rPr>
        <w:t>would</w:t>
      </w:r>
      <w:r>
        <w:rPr>
          <w:spacing w:val="5"/>
          <w:vertAlign w:val="baseline"/>
        </w:rPr>
        <w:t> </w:t>
      </w:r>
      <w:r>
        <w:rPr>
          <w:vertAlign w:val="baseline"/>
        </w:rPr>
        <w:t>be</w:t>
      </w:r>
      <w:r>
        <w:rPr>
          <w:spacing w:val="5"/>
          <w:vertAlign w:val="baseline"/>
        </w:rPr>
        <w:t> </w:t>
      </w:r>
      <w:r>
        <w:rPr>
          <w:vertAlign w:val="baseline"/>
        </w:rPr>
        <w:t>applicable</w:t>
      </w:r>
      <w:r>
        <w:rPr>
          <w:spacing w:val="5"/>
          <w:vertAlign w:val="baseline"/>
        </w:rPr>
        <w:t> </w:t>
      </w:r>
      <w:r>
        <w:rPr>
          <w:vertAlign w:val="baseline"/>
        </w:rPr>
        <w:t>were</w:t>
      </w:r>
      <w:r>
        <w:rPr>
          <w:spacing w:val="5"/>
          <w:vertAlign w:val="baseline"/>
        </w:rPr>
        <w:t> </w:t>
      </w:r>
      <w:r>
        <w:rPr>
          <w:vertAlign w:val="baseline"/>
        </w:rPr>
        <w:t>there</w:t>
      </w:r>
      <w:r>
        <w:rPr>
          <w:spacing w:val="5"/>
          <w:vertAlign w:val="baseline"/>
        </w:rPr>
        <w:t> </w:t>
      </w:r>
      <w:r>
        <w:rPr>
          <w:vertAlign w:val="baseline"/>
        </w:rPr>
        <w:t>no</w:t>
      </w:r>
      <w:r>
        <w:rPr>
          <w:spacing w:val="5"/>
          <w:vertAlign w:val="baseline"/>
        </w:rPr>
        <w:t> </w:t>
      </w:r>
      <w:r>
        <w:rPr>
          <w:vertAlign w:val="baseline"/>
        </w:rPr>
        <w:t>choice</w:t>
      </w:r>
      <w:r>
        <w:rPr>
          <w:spacing w:val="5"/>
          <w:vertAlign w:val="baseline"/>
        </w:rPr>
        <w:t> </w:t>
      </w:r>
      <w:r>
        <w:rPr>
          <w:vertAlign w:val="baseline"/>
        </w:rPr>
        <w:t>of</w:t>
      </w:r>
      <w:r>
        <w:rPr>
          <w:spacing w:val="5"/>
          <w:vertAlign w:val="baseline"/>
        </w:rPr>
        <w:t> </w:t>
      </w:r>
      <w:r>
        <w:rPr>
          <w:vertAlign w:val="baseline"/>
        </w:rPr>
        <w:t>law</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spacing w:val="-2"/>
          <w:vertAlign w:val="baseline"/>
        </w:rPr>
        <w:t>contract.</w:t>
      </w:r>
    </w:p>
    <w:p>
      <w:pPr>
        <w:pStyle w:val="BodyText"/>
        <w:spacing w:line="235" w:lineRule="auto"/>
        <w:ind w:left="165" w:right="167"/>
        <w:jc w:val="both"/>
      </w:pPr>
      <w:r>
        <w:rPr>
          <w:color w:val="005DA1"/>
          <w:u w:val="single" w:color="005DA1"/>
          <w:vertAlign w:val="superscript"/>
        </w:rPr>
        <w:t>540</w:t>
      </w:r>
      <w:r>
        <w:rPr>
          <w:color w:val="005DA1"/>
          <w:vertAlign w:val="baseline"/>
        </w:rPr>
        <w:t> </w:t>
      </w:r>
      <w:r>
        <w:rPr>
          <w:vertAlign w:val="baseline"/>
        </w:rPr>
        <w:t>In the absence of a choice of law, the applicable law is, in general, that of the country in which </w:t>
      </w:r>
      <w:r>
        <w:rPr>
          <w:vertAlign w:val="baseline"/>
        </w:rPr>
        <w:t>the </w:t>
      </w:r>
      <w:bookmarkStart w:name="_bookmark951" w:id="953"/>
      <w:bookmarkEnd w:id="953"/>
      <w:r>
        <w:rPr>
          <w:vertAlign w:val="baseline"/>
        </w:rPr>
        <w:t>employee</w:t>
      </w:r>
      <w:r>
        <w:rPr>
          <w:vertAlign w:val="baseline"/>
        </w:rPr>
        <w:t> habitually carries out his work in performance of the contract even though he is temporarily employed in another country. </w:t>
      </w:r>
      <w:r>
        <w:rPr>
          <w:color w:val="005DA1"/>
          <w:u w:val="single" w:color="005DA1"/>
          <w:vertAlign w:val="superscript"/>
        </w:rPr>
        <w:t>541</w:t>
      </w:r>
      <w:r>
        <w:rPr>
          <w:color w:val="005DA1"/>
          <w:vertAlign w:val="baseline"/>
        </w:rPr>
        <w:t> </w:t>
      </w:r>
      <w:r>
        <w:rPr>
          <w:vertAlign w:val="baseline"/>
        </w:rPr>
        <w:t>In this respect the European Court has held that in a situation where an employee carries out his activities in more than one country, the country in which the employee habitually</w:t>
      </w:r>
      <w:r>
        <w:rPr>
          <w:spacing w:val="-1"/>
          <w:vertAlign w:val="baseline"/>
        </w:rPr>
        <w:t> </w:t>
      </w:r>
      <w:r>
        <w:rPr>
          <w:vertAlign w:val="baseline"/>
        </w:rPr>
        <w:t>carries</w:t>
      </w:r>
      <w:r>
        <w:rPr>
          <w:spacing w:val="-1"/>
          <w:vertAlign w:val="baseline"/>
        </w:rPr>
        <w:t> </w:t>
      </w:r>
      <w:r>
        <w:rPr>
          <w:vertAlign w:val="baseline"/>
        </w:rPr>
        <w:t>out</w:t>
      </w:r>
      <w:r>
        <w:rPr>
          <w:spacing w:val="-1"/>
          <w:vertAlign w:val="baseline"/>
        </w:rPr>
        <w:t> </w:t>
      </w:r>
      <w:r>
        <w:rPr>
          <w:vertAlign w:val="baseline"/>
        </w:rPr>
        <w:t>his</w:t>
      </w:r>
      <w:r>
        <w:rPr>
          <w:spacing w:val="-1"/>
          <w:vertAlign w:val="baseline"/>
        </w:rPr>
        <w:t> </w:t>
      </w:r>
      <w:r>
        <w:rPr>
          <w:vertAlign w:val="baseline"/>
        </w:rPr>
        <w:t>work</w:t>
      </w:r>
      <w:r>
        <w:rPr>
          <w:spacing w:val="-1"/>
          <w:vertAlign w:val="baseline"/>
        </w:rPr>
        <w:t> </w:t>
      </w:r>
      <w:r>
        <w:rPr>
          <w:vertAlign w:val="baseline"/>
        </w:rPr>
        <w:t>in</w:t>
      </w:r>
      <w:r>
        <w:rPr>
          <w:spacing w:val="-1"/>
          <w:vertAlign w:val="baseline"/>
        </w:rPr>
        <w:t> </w:t>
      </w:r>
      <w:r>
        <w:rPr>
          <w:vertAlign w:val="baseline"/>
        </w:rPr>
        <w:t>performance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is</w:t>
      </w:r>
      <w:r>
        <w:rPr>
          <w:spacing w:val="-1"/>
          <w:vertAlign w:val="baseline"/>
        </w:rPr>
        <w:t> </w:t>
      </w:r>
      <w:r>
        <w:rPr>
          <w:vertAlign w:val="baseline"/>
        </w:rPr>
        <w:t>that</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or</w:t>
      </w:r>
      <w:r>
        <w:rPr>
          <w:spacing w:val="-2"/>
          <w:vertAlign w:val="baseline"/>
        </w:rPr>
        <w:t> </w:t>
      </w:r>
      <w:r>
        <w:rPr>
          <w:rFonts w:ascii="Arial" w:hAnsi="Arial"/>
          <w:i/>
          <w:vertAlign w:val="baseline"/>
        </w:rPr>
        <w:t>from</w:t>
      </w:r>
      <w:r>
        <w:rPr>
          <w:rFonts w:ascii="Arial" w:hAnsi="Arial"/>
          <w:i/>
          <w:spacing w:val="-1"/>
          <w:vertAlign w:val="baseline"/>
        </w:rPr>
        <w:t> </w:t>
      </w:r>
      <w:r>
        <w:rPr>
          <w:rFonts w:ascii="Arial" w:hAnsi="Arial"/>
          <w:i/>
          <w:vertAlign w:val="baseline"/>
        </w:rPr>
        <w:t>which</w:t>
      </w:r>
      <w:r>
        <w:rPr>
          <w:vertAlign w:val="baseline"/>
        </w:rPr>
        <w: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light </w:t>
      </w:r>
      <w:bookmarkStart w:name="_bookmark952" w:id="954"/>
      <w:bookmarkEnd w:id="954"/>
      <w:r>
        <w:rPr>
          <w:vertAlign w:val="baseline"/>
        </w:rPr>
        <w:t>of</w:t>
      </w:r>
      <w:r>
        <w:rPr>
          <w:vertAlign w:val="baseline"/>
        </w:rPr>
        <w:t> all the factors which characterise that activity, the employee performs the greater part of his obligations towards his employer. </w:t>
      </w:r>
      <w:r>
        <w:rPr>
          <w:color w:val="005DA1"/>
          <w:u w:val="single" w:color="005DA1"/>
          <w:vertAlign w:val="superscript"/>
        </w:rPr>
        <w:t>542</w:t>
      </w:r>
      <w:r>
        <w:rPr>
          <w:color w:val="005DA1"/>
          <w:vertAlign w:val="baseline"/>
        </w:rPr>
        <w:t> </w:t>
      </w:r>
      <w:r>
        <w:rPr>
          <w:vertAlign w:val="baseline"/>
        </w:rPr>
        <w:t>If he does not habitually carry out his work in any one country,</w:t>
      </w:r>
      <w:r>
        <w:rPr>
          <w:spacing w:val="40"/>
          <w:vertAlign w:val="baseline"/>
        </w:rPr>
        <w:t> </w:t>
      </w:r>
      <w:bookmarkStart w:name="_bookmark953" w:id="955"/>
      <w:bookmarkEnd w:id="955"/>
      <w:r>
        <w:rPr>
          <w:vertAlign w:val="baseline"/>
        </w:rPr>
        <w:t>as</w:t>
      </w:r>
      <w:r>
        <w:rPr>
          <w:vertAlign w:val="baseline"/>
        </w:rPr>
        <w:t> defined above, then the applicable law will be that of the country in which the place of business through which he was engaged is situated. </w:t>
      </w:r>
      <w:r>
        <w:rPr>
          <w:color w:val="005DA1"/>
          <w:u w:val="single" w:color="005DA1"/>
          <w:vertAlign w:val="superscript"/>
        </w:rPr>
        <w:t>543</w:t>
      </w:r>
      <w:r>
        <w:rPr>
          <w:color w:val="005DA1"/>
          <w:vertAlign w:val="baseline"/>
        </w:rPr>
        <w:t> </w:t>
      </w:r>
      <w:r>
        <w:rPr>
          <w:vertAlign w:val="baseline"/>
        </w:rPr>
        <w:t>For these purposes, “the place of business through which the employee was engaged” must be understood as referring exclusively to the place of business which engaged the employee and not to that with which the employee is connected by his actual employment; further, the possession of legal personality by the employer does not constitute a requirement which must be fulfilled by the place of business of the employer; and, finally, the place of business of an undertaking other than that which is formally referred to as the employer, with which that undertaking has connections, may be classified as a “place of business” if there are objective factors enabling an actual situation to be established which differs from that which appears from the </w:t>
      </w:r>
      <w:bookmarkStart w:name="_bookmark954" w:id="956"/>
      <w:bookmarkEnd w:id="956"/>
      <w:r>
        <w:rPr>
          <w:vertAlign w:val="baseline"/>
        </w:rPr>
        <w:t>terms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and</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the</w:t>
      </w:r>
      <w:r>
        <w:rPr>
          <w:spacing w:val="-2"/>
          <w:vertAlign w:val="baseline"/>
        </w:rPr>
        <w:t> </w:t>
      </w:r>
      <w:r>
        <w:rPr>
          <w:vertAlign w:val="baseline"/>
        </w:rPr>
        <w:t>authority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employer</w:t>
      </w:r>
      <w:r>
        <w:rPr>
          <w:spacing w:val="-2"/>
          <w:vertAlign w:val="baseline"/>
        </w:rPr>
        <w:t> </w:t>
      </w:r>
      <w:r>
        <w:rPr>
          <w:vertAlign w:val="baseline"/>
        </w:rPr>
        <w:t>has</w:t>
      </w:r>
      <w:r>
        <w:rPr>
          <w:spacing w:val="-2"/>
          <w:vertAlign w:val="baseline"/>
        </w:rPr>
        <w:t> </w:t>
      </w:r>
      <w:r>
        <w:rPr>
          <w:vertAlign w:val="baseline"/>
        </w:rPr>
        <w:t>not</w:t>
      </w:r>
      <w:r>
        <w:rPr>
          <w:spacing w:val="-2"/>
          <w:vertAlign w:val="baseline"/>
        </w:rPr>
        <w:t> </w:t>
      </w:r>
      <w:r>
        <w:rPr>
          <w:vertAlign w:val="baseline"/>
        </w:rPr>
        <w:t>been</w:t>
      </w:r>
      <w:r>
        <w:rPr>
          <w:spacing w:val="-2"/>
          <w:vertAlign w:val="baseline"/>
        </w:rPr>
        <w:t> </w:t>
      </w:r>
      <w:r>
        <w:rPr>
          <w:vertAlign w:val="baseline"/>
        </w:rPr>
        <w:t>formally</w:t>
      </w:r>
      <w:r>
        <w:rPr>
          <w:spacing w:val="-2"/>
          <w:vertAlign w:val="baseline"/>
        </w:rPr>
        <w:t> </w:t>
      </w:r>
      <w:r>
        <w:rPr>
          <w:vertAlign w:val="baseline"/>
        </w:rPr>
        <w:t>transferred to that other undertaking. </w:t>
      </w:r>
      <w:r>
        <w:rPr>
          <w:color w:val="005DA1"/>
          <w:u w:val="single" w:color="005DA1"/>
          <w:vertAlign w:val="superscript"/>
        </w:rPr>
        <w:t>544</w:t>
      </w:r>
      <w:r>
        <w:rPr>
          <w:color w:val="005DA1"/>
          <w:vertAlign w:val="baseline"/>
        </w:rPr>
        <w:t> </w:t>
      </w:r>
      <w:r>
        <w:rPr>
          <w:vertAlign w:val="baseline"/>
        </w:rPr>
        <w:t>But the rules in art.6(2)(a) and 6(2)(b) will be displaced if it appears from </w:t>
      </w:r>
      <w:bookmarkStart w:name="_bookmark955" w:id="957"/>
      <w:bookmarkEnd w:id="957"/>
      <w:r>
        <w:rPr>
          <w:vertAlign w:val="baseline"/>
        </w:rPr>
        <w:t>the</w:t>
      </w:r>
      <w:r>
        <w:rPr>
          <w:vertAlign w:val="baseline"/>
        </w:rPr>
        <w:t> circumstances as a whole that the contract is more closely connected with another country, in which case the law of that other country will govern. </w:t>
      </w:r>
      <w:r>
        <w:rPr>
          <w:color w:val="005DA1"/>
          <w:u w:val="single" w:color="005DA1"/>
          <w:vertAlign w:val="superscript"/>
        </w:rPr>
        <w:t>545</w:t>
      </w:r>
    </w:p>
    <w:p>
      <w:pPr>
        <w:pStyle w:val="BodyText"/>
      </w:pPr>
    </w:p>
    <w:p>
      <w:pPr>
        <w:pStyle w:val="BodyText"/>
        <w:spacing w:before="28"/>
      </w:pPr>
    </w:p>
    <w:p>
      <w:pPr>
        <w:spacing w:before="0"/>
        <w:ind w:left="164" w:right="0" w:firstLine="0"/>
        <w:jc w:val="left"/>
        <w:rPr>
          <w:rFonts w:ascii="Arial" w:hAnsi="Arial"/>
          <w:b/>
          <w:sz w:val="18"/>
        </w:rPr>
      </w:pPr>
      <w:r>
        <w:rPr>
          <w:rFonts w:ascii="Arial" w:hAnsi="Arial"/>
          <w:b/>
          <w:sz w:val="18"/>
        </w:rPr>
        <w:t>Meaning of “employment </w:t>
      </w:r>
      <w:r>
        <w:rPr>
          <w:rFonts w:ascii="Arial" w:hAnsi="Arial"/>
          <w:b/>
          <w:spacing w:val="-2"/>
          <w:sz w:val="18"/>
        </w:rPr>
        <w:t>contract”</w:t>
      </w:r>
    </w:p>
    <w:p>
      <w:pPr>
        <w:pStyle w:val="BodyText"/>
        <w:spacing w:before="41"/>
        <w:rPr>
          <w:rFonts w:ascii="Arial"/>
          <w:b/>
          <w:sz w:val="18"/>
        </w:rPr>
      </w:pPr>
    </w:p>
    <w:p>
      <w:pPr>
        <w:pStyle w:val="Heading2"/>
        <w:ind w:left="164"/>
      </w:pPr>
      <w:r>
        <w:rPr/>
        <w:t>30-</w:t>
      </w:r>
      <w:r>
        <w:rPr>
          <w:spacing w:val="-5"/>
        </w:rPr>
        <w:t>108</w:t>
      </w:r>
    </w:p>
    <w:p>
      <w:pPr>
        <w:pStyle w:val="BodyText"/>
        <w:spacing w:line="235" w:lineRule="auto" w:before="203"/>
        <w:ind w:left="164" w:right="167"/>
        <w:jc w:val="both"/>
      </w:pPr>
      <w:r>
        <w:rPr/>
        <w:t>Article 6 contains no definition of the concept of “employment contract”. That the Article is expressed </w:t>
      </w:r>
      <w:bookmarkStart w:name="_bookmark956" w:id="958"/>
      <w:bookmarkEnd w:id="958"/>
      <w:r>
        <w:rPr/>
        <w:t>to</w:t>
      </w:r>
      <w:r>
        <w:rPr/>
        <w:t> apply to “individual” employment contracts indicates that the provision is not intended to apply to collective agreements but only to contracts entered into by individual employees. </w:t>
      </w:r>
      <w:r>
        <w:rPr>
          <w:color w:val="005DA1"/>
          <w:u w:val="single" w:color="005DA1"/>
          <w:vertAlign w:val="superscript"/>
        </w:rPr>
        <w:t>546</w:t>
      </w:r>
      <w:r>
        <w:rPr>
          <w:color w:val="005DA1"/>
          <w:vertAlign w:val="baseline"/>
        </w:rPr>
        <w:t> </w:t>
      </w:r>
      <w:r>
        <w:rPr>
          <w:vertAlign w:val="baseline"/>
        </w:rPr>
        <w:t>Accordingly, the </w:t>
      </w:r>
      <w:bookmarkStart w:name="_bookmark957" w:id="959"/>
      <w:bookmarkEnd w:id="959"/>
      <w:r>
        <w:rPr>
          <w:vertAlign w:val="baseline"/>
        </w:rPr>
        <w:t>law</w:t>
      </w:r>
      <w:r>
        <w:rPr>
          <w:vertAlign w:val="baseline"/>
        </w:rPr>
        <w:t> applicable to a collective agreement will be determined by reference to the general choice of law rules contained in arts 3 and 4 of the Convention. </w:t>
      </w:r>
      <w:r>
        <w:rPr>
          <w:color w:val="005DA1"/>
          <w:u w:val="single" w:color="005DA1"/>
          <w:vertAlign w:val="superscript"/>
        </w:rPr>
        <w:t>547</w:t>
      </w:r>
    </w:p>
    <w:p>
      <w:pPr>
        <w:pStyle w:val="BodyText"/>
      </w:pPr>
    </w:p>
    <w:p>
      <w:pPr>
        <w:pStyle w:val="BodyText"/>
        <w:spacing w:before="36"/>
      </w:pPr>
    </w:p>
    <w:p>
      <w:pPr>
        <w:spacing w:before="1"/>
        <w:ind w:left="165" w:right="0" w:firstLine="0"/>
        <w:jc w:val="left"/>
        <w:rPr>
          <w:rFonts w:ascii="Arial" w:hAnsi="Arial"/>
          <w:b/>
          <w:sz w:val="18"/>
        </w:rPr>
      </w:pPr>
      <w:bookmarkStart w:name="_bookmark958" w:id="960"/>
      <w:bookmarkEnd w:id="960"/>
      <w:r>
        <w:rPr/>
      </w:r>
      <w:r>
        <w:rPr>
          <w:rFonts w:ascii="Arial" w:hAnsi="Arial"/>
          <w:b/>
          <w:sz w:val="18"/>
        </w:rPr>
        <w:t>“Employment”: autonomous meaning </w:t>
      </w:r>
      <w:r>
        <w:rPr>
          <w:rFonts w:ascii="Arial" w:hAnsi="Arial"/>
          <w:b/>
          <w:color w:val="005DA1"/>
          <w:spacing w:val="-5"/>
          <w:sz w:val="18"/>
          <w:u w:val="single" w:color="005DA1"/>
          <w:vertAlign w:val="superscript"/>
        </w:rPr>
        <w:t>548</w:t>
      </w:r>
    </w:p>
    <w:p>
      <w:pPr>
        <w:pStyle w:val="BodyText"/>
        <w:spacing w:before="41"/>
        <w:rPr>
          <w:rFonts w:ascii="Arial"/>
          <w:b/>
          <w:sz w:val="18"/>
        </w:rPr>
      </w:pPr>
    </w:p>
    <w:p>
      <w:pPr>
        <w:pStyle w:val="Heading2"/>
      </w:pPr>
      <w:r>
        <w:rPr/>
        <w:t>30-</w:t>
      </w:r>
      <w:r>
        <w:rPr>
          <w:spacing w:val="-5"/>
        </w:rPr>
        <w:t>109</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959" w:id="961"/>
      <w:bookmarkEnd w:id="961"/>
      <w:r>
        <w:rPr>
          <w:rFonts w:ascii="Times New Roman"/>
          <w:spacing w:val="-19"/>
        </w:rPr>
      </w:r>
      <w:r>
        <w:rPr/>
        <w:t>More particularly, different legal systems may have different criteria or principles for </w:t>
      </w:r>
      <w:r>
        <w:rPr/>
        <w:t>determining </w:t>
      </w:r>
      <w:bookmarkStart w:name="_bookmark960" w:id="962"/>
      <w:bookmarkEnd w:id="962"/>
      <w:r>
        <w:rPr/>
        <w:t>whether</w:t>
      </w:r>
      <w:r>
        <w:rPr/>
        <w:t> a particular contract is an employment contract. </w:t>
      </w:r>
      <w:r>
        <w:rPr>
          <w:color w:val="005DA1"/>
          <w:u w:val="single" w:color="005DA1"/>
          <w:vertAlign w:val="superscript"/>
        </w:rPr>
        <w:t>549</w:t>
      </w:r>
      <w:r>
        <w:rPr>
          <w:color w:val="005DA1"/>
          <w:vertAlign w:val="baseline"/>
        </w:rPr>
        <w:t> </w:t>
      </w:r>
      <w:r>
        <w:rPr>
          <w:vertAlign w:val="baseline"/>
        </w:rPr>
        <w:t>It is thus necessary to formulate an approach to the resolution of this problem for the purposes of art.6. </w:t>
      </w:r>
      <w:r>
        <w:rPr>
          <w:color w:val="005DA1"/>
          <w:u w:val="single" w:color="005DA1"/>
          <w:vertAlign w:val="superscript"/>
        </w:rPr>
        <w:t>550</w:t>
      </w:r>
      <w:r>
        <w:rPr>
          <w:color w:val="005DA1"/>
          <w:vertAlign w:val="baseline"/>
        </w:rPr>
        <w:t> </w:t>
      </w:r>
      <w:r>
        <w:rPr>
          <w:vertAlign w:val="baseline"/>
        </w:rPr>
        <w:t>The obvious approach which </w:t>
      </w:r>
      <w:bookmarkStart w:name="_bookmark961" w:id="963"/>
      <w:bookmarkEnd w:id="963"/>
      <w:r>
        <w:rPr>
          <w:vertAlign w:val="baseline"/>
        </w:rPr>
        <w:t>suggests</w:t>
      </w:r>
      <w:r>
        <w:rPr>
          <w:spacing w:val="49"/>
          <w:vertAlign w:val="baseline"/>
        </w:rPr>
        <w:t> </w:t>
      </w:r>
      <w:r>
        <w:rPr>
          <w:vertAlign w:val="baseline"/>
        </w:rPr>
        <w:t>itself</w:t>
      </w:r>
      <w:r>
        <w:rPr>
          <w:spacing w:val="49"/>
          <w:vertAlign w:val="baseline"/>
        </w:rPr>
        <w:t> </w:t>
      </w:r>
      <w:r>
        <w:rPr>
          <w:vertAlign w:val="baseline"/>
        </w:rPr>
        <w:t>is</w:t>
      </w:r>
      <w:r>
        <w:rPr>
          <w:spacing w:val="49"/>
          <w:vertAlign w:val="baseline"/>
        </w:rPr>
        <w:t> </w:t>
      </w:r>
      <w:r>
        <w:rPr>
          <w:vertAlign w:val="baseline"/>
        </w:rPr>
        <w:t>the</w:t>
      </w:r>
      <w:r>
        <w:rPr>
          <w:spacing w:val="49"/>
          <w:vertAlign w:val="baseline"/>
        </w:rPr>
        <w:t> </w:t>
      </w:r>
      <w:r>
        <w:rPr>
          <w:vertAlign w:val="baseline"/>
        </w:rPr>
        <w:t>development</w:t>
      </w:r>
      <w:r>
        <w:rPr>
          <w:spacing w:val="49"/>
          <w:vertAlign w:val="baseline"/>
        </w:rPr>
        <w:t> </w:t>
      </w:r>
      <w:r>
        <w:rPr>
          <w:vertAlign w:val="baseline"/>
        </w:rPr>
        <w:t>of</w:t>
      </w:r>
      <w:r>
        <w:rPr>
          <w:spacing w:val="49"/>
          <w:vertAlign w:val="baseline"/>
        </w:rPr>
        <w:t> </w:t>
      </w:r>
      <w:r>
        <w:rPr>
          <w:vertAlign w:val="baseline"/>
        </w:rPr>
        <w:t>an</w:t>
      </w:r>
      <w:r>
        <w:rPr>
          <w:spacing w:val="49"/>
          <w:vertAlign w:val="baseline"/>
        </w:rPr>
        <w:t> </w:t>
      </w:r>
      <w:r>
        <w:rPr>
          <w:vertAlign w:val="baseline"/>
        </w:rPr>
        <w:t>autonomous</w:t>
      </w:r>
      <w:r>
        <w:rPr>
          <w:spacing w:val="49"/>
          <w:vertAlign w:val="baseline"/>
        </w:rPr>
        <w:t> </w:t>
      </w:r>
      <w:r>
        <w:rPr>
          <w:vertAlign w:val="baseline"/>
        </w:rPr>
        <w:t>meaning</w:t>
      </w:r>
      <w:r>
        <w:rPr>
          <w:spacing w:val="49"/>
          <w:vertAlign w:val="baseline"/>
        </w:rPr>
        <w:t> </w:t>
      </w:r>
      <w:r>
        <w:rPr>
          <w:vertAlign w:val="baseline"/>
        </w:rPr>
        <w:t>for</w:t>
      </w:r>
      <w:r>
        <w:rPr>
          <w:spacing w:val="49"/>
          <w:vertAlign w:val="baseline"/>
        </w:rPr>
        <w:t> </w:t>
      </w:r>
      <w:r>
        <w:rPr>
          <w:vertAlign w:val="baseline"/>
        </w:rPr>
        <w:t>the</w:t>
      </w:r>
      <w:r>
        <w:rPr>
          <w:spacing w:val="49"/>
          <w:vertAlign w:val="baseline"/>
        </w:rPr>
        <w:t> </w:t>
      </w:r>
      <w:r>
        <w:rPr>
          <w:vertAlign w:val="baseline"/>
        </w:rPr>
        <w:t>concept</w:t>
      </w:r>
      <w:r>
        <w:rPr>
          <w:spacing w:val="49"/>
          <w:vertAlign w:val="baseline"/>
        </w:rPr>
        <w:t> </w:t>
      </w:r>
      <w:r>
        <w:rPr>
          <w:vertAlign w:val="baseline"/>
        </w:rPr>
        <w:t>so</w:t>
      </w:r>
      <w:r>
        <w:rPr>
          <w:spacing w:val="49"/>
          <w:vertAlign w:val="baseline"/>
        </w:rPr>
        <w:t> </w:t>
      </w:r>
      <w:r>
        <w:rPr>
          <w:vertAlign w:val="baseline"/>
        </w:rPr>
        <w:t>as</w:t>
      </w:r>
      <w:r>
        <w:rPr>
          <w:spacing w:val="49"/>
          <w:vertAlign w:val="baseline"/>
        </w:rPr>
        <w:t> </w:t>
      </w:r>
      <w:r>
        <w:rPr>
          <w:vertAlign w:val="baseline"/>
        </w:rPr>
        <w:t>to</w:t>
      </w:r>
      <w:r>
        <w:rPr>
          <w:spacing w:val="49"/>
          <w:vertAlign w:val="baseline"/>
        </w:rPr>
        <w:t> </w:t>
      </w:r>
      <w:r>
        <w:rPr>
          <w:spacing w:val="-2"/>
          <w:vertAlign w:val="baseline"/>
        </w:rPr>
        <w:t>secure</w:t>
      </w:r>
    </w:p>
    <w:p>
      <w:pPr>
        <w:pStyle w:val="BodyText"/>
        <w:spacing w:line="235" w:lineRule="auto" w:before="118"/>
        <w:ind w:left="165" w:right="167"/>
        <w:jc w:val="both"/>
      </w:pPr>
      <w:r>
        <w:rPr/>
        <w:t>uniformity of application amongst contracting states. </w:t>
      </w:r>
      <w:r>
        <w:rPr>
          <w:color w:val="005DA1"/>
          <w:u w:val="single" w:color="005DA1"/>
          <w:vertAlign w:val="superscript"/>
        </w:rPr>
        <w:t>551</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14"/>
          <w:vertAlign w:val="baseline"/>
        </w:rPr>
        <w:t> </w:t>
      </w:r>
      <w:r>
        <w:rPr>
          <w:vertAlign w:val="baseline"/>
        </w:rPr>
        <w:t>The danger with such an approach, however, is that the autonomous definition might result in a particular state’s employment law </w:t>
      </w:r>
      <w:r>
        <w:rPr>
          <w:vertAlign w:val="baseline"/>
        </w:rPr>
        <w:t>being applied to a contract even though that state would not regard the contract as one of employment, or conversely, in a particular state’s employment law not being applied to a contract even though that state’s law regarded it as being a contract of employment: in either case the applicable law is distorted, a result which is only avoided if the autonomous definition accords with the definition which prevails in the relevant state’s law.</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hAnsi="Arial"/>
          <w:b/>
          <w:sz w:val="18"/>
        </w:rPr>
      </w:pPr>
      <w:r>
        <w:rPr>
          <w:rFonts w:ascii="Arial" w:hAnsi="Arial"/>
          <w:b/>
          <w:sz w:val="18"/>
        </w:rPr>
        <w:t>Alternative “classification” </w:t>
      </w:r>
      <w:r>
        <w:rPr>
          <w:rFonts w:ascii="Arial" w:hAnsi="Arial"/>
          <w:b/>
          <w:spacing w:val="-2"/>
          <w:sz w:val="18"/>
        </w:rPr>
        <w:t>approach</w:t>
      </w:r>
    </w:p>
    <w:p>
      <w:pPr>
        <w:pStyle w:val="BodyText"/>
        <w:spacing w:before="41"/>
        <w:rPr>
          <w:rFonts w:ascii="Arial"/>
          <w:b/>
          <w:sz w:val="18"/>
        </w:rPr>
      </w:pPr>
    </w:p>
    <w:p>
      <w:pPr>
        <w:pStyle w:val="Heading2"/>
      </w:pPr>
      <w:r>
        <w:rPr/>
        <w:t>30-</w:t>
      </w:r>
      <w:r>
        <w:rPr>
          <w:spacing w:val="-5"/>
        </w:rPr>
        <w:t>110</w:t>
      </w:r>
    </w:p>
    <w:p>
      <w:pPr>
        <w:pStyle w:val="BodyText"/>
        <w:spacing w:line="235" w:lineRule="auto" w:before="203"/>
        <w:ind w:left="165" w:right="167"/>
        <w:jc w:val="both"/>
      </w:pPr>
      <w:r>
        <w:rPr/>
        <w:t>A different approach could be based in principles of classification. Here, however, the English </w:t>
      </w:r>
      <w:r>
        <w:rPr/>
        <w:t>court should not classify the contract according to the lex fori, i.e. according to its own criteria for determining whether a contract is one of employment. To do so would again risk the distortion of the applicable law if the forum’s conception of a contract of employment did not correspond with that prevailing in the applicable law or vice versa. The risk referred to can, however, be minimised if the forum is prepared to classify the relevant contractual relationship according to the lex causae. On this view the English court should apply the rules of art.6 so as to determine the governing law and then decide whether, according to that law, the relevant contract is one of employment. If it is so classified, then the court should apply the rules of the applicable law concerned with employment contracts. If it is not so classified, the court should apply the general choice of law rules contained in arts 3 and 4 of the Convention to determine the applicable law. Although this approach is open to a considerable objection, viz that it necessitates determining the law applicable under art.6 before the process of </w:t>
      </w:r>
      <w:bookmarkStart w:name="_bookmark962" w:id="964"/>
      <w:bookmarkEnd w:id="964"/>
      <w:r>
        <w:rPr/>
        <w:t>classification</w:t>
      </w:r>
      <w:r>
        <w:rPr/>
        <w:t> has determined that art.6 is applicable, it has the merit of avoiding the distortion of the </w:t>
      </w:r>
      <w:bookmarkStart w:name="_bookmark963" w:id="965"/>
      <w:bookmarkEnd w:id="965"/>
      <w:r>
        <w:rPr/>
        <w:t>applicable</w:t>
      </w:r>
      <w:r>
        <w:rPr/>
        <w:t> law which is inherent in other situations. Whether a lex causae approach </w:t>
      </w:r>
      <w:r>
        <w:rPr>
          <w:color w:val="005DA1"/>
          <w:u w:val="single" w:color="005DA1"/>
          <w:vertAlign w:val="superscript"/>
        </w:rPr>
        <w:t>552</w:t>
      </w:r>
      <w:r>
        <w:rPr>
          <w:color w:val="005DA1"/>
          <w:vertAlign w:val="baseline"/>
        </w:rPr>
        <w:t> </w:t>
      </w:r>
      <w:r>
        <w:rPr>
          <w:vertAlign w:val="baseline"/>
        </w:rPr>
        <w:t>or an</w:t>
      </w:r>
      <w:r>
        <w:rPr>
          <w:spacing w:val="40"/>
          <w:vertAlign w:val="baseline"/>
        </w:rPr>
        <w:t> </w:t>
      </w:r>
      <w:bookmarkStart w:name="_bookmark964" w:id="966"/>
      <w:bookmarkEnd w:id="966"/>
      <w:r>
        <w:rPr>
          <w:vertAlign w:val="baseline"/>
        </w:rPr>
        <w:t>approach</w:t>
      </w:r>
      <w:r>
        <w:rPr>
          <w:vertAlign w:val="baseline"/>
        </w:rPr>
        <w:t> based on autonomous interpretation </w:t>
      </w:r>
      <w:r>
        <w:rPr>
          <w:color w:val="005DA1"/>
          <w:u w:val="single" w:color="005DA1"/>
          <w:vertAlign w:val="superscript"/>
        </w:rPr>
        <w:t>553</w:t>
      </w:r>
      <w:r>
        <w:rPr>
          <w:color w:val="005DA1"/>
          <w:vertAlign w:val="baseline"/>
        </w:rPr>
        <w:t> </w:t>
      </w:r>
      <w:r>
        <w:rPr>
          <w:vertAlign w:val="baseline"/>
        </w:rPr>
        <w:t>cannot be regarded as settled, though it must be admitted that the autonomous approach is the most likely one to be adopted. </w:t>
      </w:r>
      <w:r>
        <w:rPr>
          <w:color w:val="005DA1"/>
          <w:u w:val="single" w:color="005DA1"/>
          <w:vertAlign w:val="superscript"/>
        </w:rPr>
        <w:t>554</w:t>
      </w:r>
    </w:p>
    <w:p>
      <w:pPr>
        <w:pStyle w:val="BodyText"/>
      </w:pPr>
    </w:p>
    <w:p>
      <w:pPr>
        <w:pStyle w:val="BodyText"/>
        <w:spacing w:before="32"/>
      </w:pPr>
    </w:p>
    <w:p>
      <w:pPr>
        <w:spacing w:before="0"/>
        <w:ind w:left="165" w:right="0" w:firstLine="0"/>
        <w:jc w:val="left"/>
        <w:rPr>
          <w:rFonts w:ascii="Arial"/>
          <w:b/>
          <w:sz w:val="18"/>
        </w:rPr>
      </w:pPr>
      <w:r>
        <w:rPr>
          <w:rFonts w:ascii="Arial"/>
          <w:b/>
          <w:sz w:val="18"/>
        </w:rPr>
        <w:t>Choice of law by the parties and mandatory </w:t>
      </w:r>
      <w:r>
        <w:rPr>
          <w:rFonts w:ascii="Arial"/>
          <w:b/>
          <w:spacing w:val="-2"/>
          <w:sz w:val="18"/>
        </w:rPr>
        <w:t>rules</w:t>
      </w:r>
    </w:p>
    <w:p>
      <w:pPr>
        <w:pStyle w:val="BodyText"/>
        <w:spacing w:before="42"/>
        <w:rPr>
          <w:rFonts w:ascii="Arial"/>
          <w:b/>
          <w:sz w:val="18"/>
        </w:rPr>
      </w:pPr>
    </w:p>
    <w:p>
      <w:pPr>
        <w:pStyle w:val="Heading2"/>
      </w:pPr>
      <w:r>
        <w:rPr/>
        <w:t>30-</w:t>
      </w:r>
      <w:r>
        <w:rPr>
          <w:spacing w:val="-5"/>
        </w:rPr>
        <w:t>111</w:t>
      </w:r>
    </w:p>
    <w:p>
      <w:pPr>
        <w:pStyle w:val="BodyText"/>
        <w:spacing w:line="235" w:lineRule="auto" w:before="202"/>
        <w:ind w:left="164" w:right="167"/>
        <w:jc w:val="both"/>
      </w:pPr>
      <w:bookmarkStart w:name="_bookmark965" w:id="967"/>
      <w:bookmarkEnd w:id="967"/>
      <w:r>
        <w:rPr/>
      </w:r>
      <w:r>
        <w:rPr/>
        <w:t>Although the parties may choose the law to govern an employment contract, </w:t>
      </w:r>
      <w:r>
        <w:rPr>
          <w:color w:val="005DA1"/>
          <w:u w:val="single" w:color="005DA1"/>
          <w:vertAlign w:val="superscript"/>
        </w:rPr>
        <w:t>555</w:t>
      </w:r>
      <w:r>
        <w:rPr>
          <w:color w:val="005DA1"/>
          <w:vertAlign w:val="baseline"/>
        </w:rPr>
        <w:t> </w:t>
      </w:r>
      <w:r>
        <w:rPr>
          <w:vertAlign w:val="baseline"/>
        </w:rPr>
        <w:t>the effect of that choice</w:t>
      </w:r>
      <w:r>
        <w:rPr>
          <w:spacing w:val="-1"/>
          <w:vertAlign w:val="baseline"/>
        </w:rPr>
        <w:t> </w:t>
      </w:r>
      <w:r>
        <w:rPr>
          <w:vertAlign w:val="baseline"/>
        </w:rPr>
        <w:t>is</w:t>
      </w:r>
      <w:r>
        <w:rPr>
          <w:spacing w:val="-1"/>
          <w:vertAlign w:val="baseline"/>
        </w:rPr>
        <w:t> </w:t>
      </w:r>
      <w:r>
        <w:rPr>
          <w:vertAlign w:val="baseline"/>
        </w:rPr>
        <w:t>expressly</w:t>
      </w:r>
      <w:r>
        <w:rPr>
          <w:spacing w:val="-1"/>
          <w:vertAlign w:val="baseline"/>
        </w:rPr>
        <w:t> </w:t>
      </w:r>
      <w:r>
        <w:rPr>
          <w:vertAlign w:val="baseline"/>
        </w:rPr>
        <w:t>limited</w:t>
      </w:r>
      <w:r>
        <w:rPr>
          <w:spacing w:val="-1"/>
          <w:vertAlign w:val="baseline"/>
        </w:rPr>
        <w:t> </w:t>
      </w:r>
      <w:r>
        <w:rPr>
          <w:vertAlign w:val="baseline"/>
        </w:rPr>
        <w:t>by</w:t>
      </w:r>
      <w:r>
        <w:rPr>
          <w:spacing w:val="-1"/>
          <w:vertAlign w:val="baseline"/>
        </w:rPr>
        <w:t> </w:t>
      </w:r>
      <w:r>
        <w:rPr>
          <w:vertAlign w:val="baseline"/>
        </w:rPr>
        <w:t>art.6(1)</w:t>
      </w:r>
      <w:r>
        <w:rPr>
          <w:spacing w:val="-1"/>
          <w:vertAlign w:val="baseline"/>
        </w:rPr>
        <w:t> </w:t>
      </w:r>
      <w:r>
        <w:rPr>
          <w:vertAlign w:val="baseline"/>
        </w:rPr>
        <w:t>which</w:t>
      </w:r>
      <w:r>
        <w:rPr>
          <w:spacing w:val="-1"/>
          <w:vertAlign w:val="baseline"/>
        </w:rPr>
        <w:t> </w:t>
      </w:r>
      <w:r>
        <w:rPr>
          <w:vertAlign w:val="baseline"/>
        </w:rPr>
        <w:t>provides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choice</w:t>
      </w:r>
      <w:r>
        <w:rPr>
          <w:spacing w:val="-1"/>
          <w:vertAlign w:val="baseline"/>
        </w:rPr>
        <w:t> </w:t>
      </w:r>
      <w:r>
        <w:rPr>
          <w:vertAlign w:val="baseline"/>
        </w:rPr>
        <w:t>of</w:t>
      </w:r>
      <w:r>
        <w:rPr>
          <w:spacing w:val="-1"/>
          <w:vertAlign w:val="baseline"/>
        </w:rPr>
        <w:t> </w:t>
      </w:r>
      <w:r>
        <w:rPr>
          <w:vertAlign w:val="baseline"/>
        </w:rPr>
        <w:t>law</w:t>
      </w:r>
      <w:r>
        <w:rPr>
          <w:spacing w:val="-1"/>
          <w:vertAlign w:val="baseline"/>
        </w:rPr>
        <w:t> </w:t>
      </w:r>
      <w:r>
        <w:rPr>
          <w:vertAlign w:val="baseline"/>
        </w:rPr>
        <w:t>shall</w:t>
      </w:r>
      <w:r>
        <w:rPr>
          <w:spacing w:val="-1"/>
          <w:vertAlign w:val="baseline"/>
        </w:rPr>
        <w:t> </w:t>
      </w:r>
      <w:r>
        <w:rPr>
          <w:vertAlign w:val="baseline"/>
        </w:rPr>
        <w:t>not</w:t>
      </w:r>
      <w:r>
        <w:rPr>
          <w:spacing w:val="-1"/>
          <w:vertAlign w:val="baseline"/>
        </w:rPr>
        <w:t> </w:t>
      </w:r>
      <w:r>
        <w:rPr>
          <w:vertAlign w:val="baseline"/>
        </w:rPr>
        <w:t>have</w:t>
      </w:r>
      <w:r>
        <w:rPr>
          <w:spacing w:val="-1"/>
          <w:vertAlign w:val="baseline"/>
        </w:rPr>
        <w:t> </w:t>
      </w:r>
      <w:r>
        <w:rPr>
          <w:vertAlign w:val="baseline"/>
        </w:rPr>
        <w:t>the</w:t>
      </w:r>
      <w:r>
        <w:rPr>
          <w:spacing w:val="-1"/>
          <w:vertAlign w:val="baseline"/>
        </w:rPr>
        <w:t> </w:t>
      </w:r>
      <w:r>
        <w:rPr>
          <w:vertAlign w:val="baseline"/>
        </w:rPr>
        <w:t>result</w:t>
      </w:r>
      <w:r>
        <w:rPr>
          <w:spacing w:val="-1"/>
          <w:vertAlign w:val="baseline"/>
        </w:rPr>
        <w:t> </w:t>
      </w:r>
      <w:r>
        <w:rPr>
          <w:vertAlign w:val="baseline"/>
        </w:rPr>
        <w:t>of </w:t>
      </w:r>
      <w:bookmarkStart w:name="_bookmark966" w:id="968"/>
      <w:bookmarkEnd w:id="968"/>
      <w:r>
        <w:rPr>
          <w:vertAlign w:val="baseline"/>
        </w:rPr>
        <w:t>depriving</w:t>
      </w:r>
      <w:r>
        <w:rPr>
          <w:spacing w:val="-1"/>
          <w:vertAlign w:val="baseline"/>
        </w:rPr>
        <w:t> </w:t>
      </w:r>
      <w:r>
        <w:rPr>
          <w:vertAlign w:val="baseline"/>
        </w:rPr>
        <w:t>the</w:t>
      </w:r>
      <w:r>
        <w:rPr>
          <w:spacing w:val="-1"/>
          <w:vertAlign w:val="baseline"/>
        </w:rPr>
        <w:t> </w:t>
      </w:r>
      <w:r>
        <w:rPr>
          <w:vertAlign w:val="baseline"/>
        </w:rPr>
        <w:t>employee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protection</w:t>
      </w:r>
      <w:r>
        <w:rPr>
          <w:spacing w:val="-1"/>
          <w:vertAlign w:val="baseline"/>
        </w:rPr>
        <w:t> </w:t>
      </w:r>
      <w:r>
        <w:rPr>
          <w:vertAlign w:val="baseline"/>
        </w:rPr>
        <w:t>afforded</w:t>
      </w:r>
      <w:r>
        <w:rPr>
          <w:spacing w:val="-1"/>
          <w:vertAlign w:val="baseline"/>
        </w:rPr>
        <w:t> </w:t>
      </w:r>
      <w:r>
        <w:rPr>
          <w:vertAlign w:val="baseline"/>
        </w:rPr>
        <w:t>to</w:t>
      </w:r>
      <w:r>
        <w:rPr>
          <w:spacing w:val="-1"/>
          <w:vertAlign w:val="baseline"/>
        </w:rPr>
        <w:t> </w:t>
      </w:r>
      <w:r>
        <w:rPr>
          <w:vertAlign w:val="baseline"/>
        </w:rPr>
        <w:t>him</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mandatory</w:t>
      </w:r>
      <w:r>
        <w:rPr>
          <w:spacing w:val="-1"/>
          <w:vertAlign w:val="baseline"/>
        </w:rPr>
        <w:t> </w:t>
      </w:r>
      <w:r>
        <w:rPr>
          <w:vertAlign w:val="baseline"/>
        </w:rPr>
        <w:t>rules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country</w:t>
      </w:r>
      <w:r>
        <w:rPr>
          <w:spacing w:val="-1"/>
          <w:vertAlign w:val="baseline"/>
        </w:rPr>
        <w:t> </w:t>
      </w:r>
      <w:r>
        <w:rPr>
          <w:vertAlign w:val="baseline"/>
        </w:rPr>
        <w:t>the</w:t>
      </w:r>
      <w:r>
        <w:rPr>
          <w:spacing w:val="-1"/>
          <w:vertAlign w:val="baseline"/>
        </w:rPr>
        <w:t> </w:t>
      </w:r>
      <w:r>
        <w:rPr>
          <w:vertAlign w:val="baseline"/>
        </w:rPr>
        <w:t>law of which would be applicable to the contract were there no choice of law. </w:t>
      </w:r>
      <w:r>
        <w:rPr>
          <w:color w:val="005DA1"/>
          <w:u w:val="single" w:color="005DA1"/>
          <w:vertAlign w:val="superscript"/>
        </w:rPr>
        <w:t>556</w:t>
      </w:r>
      <w:r>
        <w:rPr>
          <w:color w:val="005DA1"/>
          <w:vertAlign w:val="baseline"/>
        </w:rPr>
        <w:t> </w:t>
      </w:r>
      <w:r>
        <w:rPr>
          <w:vertAlign w:val="baseline"/>
        </w:rPr>
        <w:t>For these purposes, a </w:t>
      </w:r>
      <w:bookmarkStart w:name="_bookmark967" w:id="969"/>
      <w:bookmarkEnd w:id="969"/>
      <w:r>
        <w:rPr>
          <w:vertAlign w:val="baseline"/>
        </w:rPr>
        <w:t>“mandatory</w:t>
      </w:r>
      <w:r>
        <w:rPr>
          <w:vertAlign w:val="baseline"/>
        </w:rPr>
        <w:t> rule” bears the meaning given to that expression by art.3(3) of the Convention, i.e. such a </w:t>
      </w:r>
      <w:bookmarkStart w:name="_bookmark968" w:id="970"/>
      <w:bookmarkEnd w:id="970"/>
      <w:r>
        <w:rPr>
          <w:vertAlign w:val="baseline"/>
        </w:rPr>
        <w:t>rule</w:t>
      </w:r>
      <w:r>
        <w:rPr>
          <w:spacing w:val="-1"/>
          <w:vertAlign w:val="baseline"/>
        </w:rPr>
        <w:t> </w:t>
      </w:r>
      <w:r>
        <w:rPr>
          <w:vertAlign w:val="baseline"/>
        </w:rPr>
        <w:t>is</w:t>
      </w:r>
      <w:r>
        <w:rPr>
          <w:spacing w:val="-1"/>
          <w:vertAlign w:val="baseline"/>
        </w:rPr>
        <w:t> </w:t>
      </w:r>
      <w:r>
        <w:rPr>
          <w:vertAlign w:val="baseline"/>
        </w:rPr>
        <w:t>one</w:t>
      </w:r>
      <w:r>
        <w:rPr>
          <w:spacing w:val="-1"/>
          <w:vertAlign w:val="baseline"/>
        </w:rPr>
        <w:t> </w:t>
      </w:r>
      <w:r>
        <w:rPr>
          <w:vertAlign w:val="baseline"/>
        </w:rPr>
        <w:t>which</w:t>
      </w:r>
      <w:r>
        <w:rPr>
          <w:spacing w:val="-1"/>
          <w:vertAlign w:val="baseline"/>
        </w:rPr>
        <w:t> </w:t>
      </w:r>
      <w:r>
        <w:rPr>
          <w:vertAlign w:val="baseline"/>
        </w:rPr>
        <w:t>cannot</w:t>
      </w:r>
      <w:r>
        <w:rPr>
          <w:spacing w:val="-1"/>
          <w:vertAlign w:val="baseline"/>
        </w:rPr>
        <w:t> </w:t>
      </w:r>
      <w:r>
        <w:rPr>
          <w:vertAlign w:val="baseline"/>
        </w:rPr>
        <w:t>be</w:t>
      </w:r>
      <w:r>
        <w:rPr>
          <w:spacing w:val="-1"/>
          <w:vertAlign w:val="baseline"/>
        </w:rPr>
        <w:t> </w:t>
      </w:r>
      <w:r>
        <w:rPr>
          <w:vertAlign w:val="baseline"/>
        </w:rPr>
        <w:t>derogated</w:t>
      </w:r>
      <w:r>
        <w:rPr>
          <w:spacing w:val="-1"/>
          <w:vertAlign w:val="baseline"/>
        </w:rPr>
        <w:t> </w:t>
      </w:r>
      <w:r>
        <w:rPr>
          <w:vertAlign w:val="baseline"/>
        </w:rPr>
        <w:t>from</w:t>
      </w:r>
      <w:r>
        <w:rPr>
          <w:spacing w:val="-1"/>
          <w:vertAlign w:val="baseline"/>
        </w:rPr>
        <w:t> </w:t>
      </w:r>
      <w:r>
        <w:rPr>
          <w:vertAlign w:val="baseline"/>
        </w:rPr>
        <w:t>by</w:t>
      </w:r>
      <w:r>
        <w:rPr>
          <w:spacing w:val="-1"/>
          <w:vertAlign w:val="baseline"/>
        </w:rPr>
        <w:t> </w:t>
      </w:r>
      <w:r>
        <w:rPr>
          <w:vertAlign w:val="baseline"/>
        </w:rPr>
        <w:t>contract</w:t>
      </w:r>
      <w:r>
        <w:rPr>
          <w:spacing w:val="-2"/>
          <w:vertAlign w:val="baseline"/>
        </w:rPr>
        <w:t> </w:t>
      </w:r>
      <w:r>
        <w:rPr>
          <w:color w:val="005DA1"/>
          <w:u w:val="single" w:color="005DA1"/>
          <w:vertAlign w:val="superscript"/>
        </w:rPr>
        <w:t>557</w:t>
      </w:r>
      <w:r>
        <w:rPr>
          <w:color w:val="005DA1"/>
          <w:spacing w:val="-1"/>
          <w:vertAlign w:val="baseline"/>
        </w:rPr>
        <w:t> </w:t>
      </w:r>
      <w:r>
        <w:rPr>
          <w:vertAlign w:val="baseline"/>
        </w:rPr>
        <w:t>and</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necessary,</w:t>
      </w:r>
      <w:r>
        <w:rPr>
          <w:spacing w:val="-1"/>
          <w:vertAlign w:val="baseline"/>
        </w:rPr>
        <w:t> </w:t>
      </w:r>
      <w:r>
        <w:rPr>
          <w:vertAlign w:val="baseline"/>
        </w:rPr>
        <w:t>in</w:t>
      </w:r>
      <w:r>
        <w:rPr>
          <w:spacing w:val="-1"/>
          <w:vertAlign w:val="baseline"/>
        </w:rPr>
        <w:t> </w:t>
      </w:r>
      <w:r>
        <w:rPr>
          <w:vertAlign w:val="baseline"/>
        </w:rPr>
        <w:t>addition,</w:t>
      </w:r>
      <w:r>
        <w:rPr>
          <w:spacing w:val="-1"/>
          <w:vertAlign w:val="baseline"/>
        </w:rPr>
        <w:t> </w:t>
      </w:r>
      <w:r>
        <w:rPr>
          <w:vertAlign w:val="baseline"/>
        </w:rPr>
        <w:t>that</w:t>
      </w:r>
      <w:r>
        <w:rPr>
          <w:spacing w:val="-1"/>
          <w:vertAlign w:val="baseline"/>
        </w:rPr>
        <w:t> </w:t>
      </w:r>
      <w:r>
        <w:rPr>
          <w:vertAlign w:val="baseline"/>
        </w:rPr>
        <w:t>the </w:t>
      </w:r>
      <w:bookmarkStart w:name="_bookmark969" w:id="971"/>
      <w:bookmarkEnd w:id="971"/>
      <w:r>
        <w:rPr>
          <w:vertAlign w:val="baseline"/>
        </w:rPr>
        <w:t>rule</w:t>
      </w:r>
      <w:r>
        <w:rPr>
          <w:vertAlign w:val="baseline"/>
        </w:rPr>
        <w:t> be a rule which applies irrespective of the law applicable to the contract </w:t>
      </w:r>
      <w:r>
        <w:rPr>
          <w:color w:val="005DA1"/>
          <w:u w:val="single" w:color="005DA1"/>
          <w:vertAlign w:val="superscript"/>
        </w:rPr>
        <w:t>558</w:t>
      </w:r>
      <w:r>
        <w:rPr>
          <w:color w:val="005DA1"/>
          <w:vertAlign w:val="baseline"/>
        </w:rPr>
        <w:t> </w:t>
      </w:r>
      <w:r>
        <w:rPr>
          <w:vertAlign w:val="baseline"/>
        </w:rPr>
        <w:t>though some mandatory rules in the employment context may possess this additional characteristic. </w:t>
      </w:r>
      <w:r>
        <w:rPr>
          <w:color w:val="005DA1"/>
          <w:u w:val="single" w:color="005DA1"/>
          <w:vertAlign w:val="superscript"/>
        </w:rPr>
        <w:t>559</w:t>
      </w:r>
      <w:r>
        <w:rPr>
          <w:color w:val="005DA1"/>
          <w:vertAlign w:val="baseline"/>
        </w:rPr>
        <w:t> </w:t>
      </w:r>
      <w:r>
        <w:rPr>
          <w:vertAlign w:val="baseline"/>
        </w:rPr>
        <w:t>The Giuliano-Lagarde Report informs that these mandatory rules:</w:t>
      </w:r>
    </w:p>
    <w:p>
      <w:pPr>
        <w:pStyle w:val="BodyText"/>
      </w:pPr>
    </w:p>
    <w:p>
      <w:pPr>
        <w:pStyle w:val="BodyText"/>
        <w:spacing w:before="124"/>
      </w:pPr>
    </w:p>
    <w:p>
      <w:pPr>
        <w:pStyle w:val="BodyText"/>
        <w:spacing w:line="235" w:lineRule="auto"/>
        <w:ind w:left="1245" w:right="167"/>
        <w:jc w:val="both"/>
      </w:pPr>
      <w:r>
        <w:rPr/>
        <w:t>“… consist not only of the provisions relating to the contract of employment itself, but also </w:t>
      </w:r>
      <w:bookmarkStart w:name="_bookmark970" w:id="972"/>
      <w:bookmarkEnd w:id="972"/>
      <w:r>
        <w:rPr/>
        <w:t>provisions</w:t>
      </w:r>
      <w:r>
        <w:rPr/>
        <w:t> such as those concerning industrial safety and hygiene which are regarded in certain Member States as being provisions of public law.” </w:t>
      </w:r>
      <w:r>
        <w:rPr>
          <w:color w:val="005DA1"/>
          <w:u w:val="single" w:color="005DA1"/>
          <w:vertAlign w:val="superscript"/>
        </w:rPr>
        <w:t>560</w:t>
      </w:r>
    </w:p>
    <w:p>
      <w:pPr>
        <w:pStyle w:val="BodyText"/>
        <w:spacing w:before="115"/>
      </w:pPr>
    </w:p>
    <w:p>
      <w:pPr>
        <w:pStyle w:val="BodyText"/>
        <w:spacing w:line="235" w:lineRule="auto"/>
        <w:ind w:left="165" w:right="167"/>
        <w:jc w:val="both"/>
      </w:pPr>
      <w:bookmarkStart w:name="_bookmark971" w:id="973"/>
      <w:bookmarkEnd w:id="973"/>
      <w:r>
        <w:rPr/>
      </w:r>
      <w:r>
        <w:rPr/>
        <w:t>However, it will fall to the legal system of which the rule forms part to determine whether a rule is mandatory and also the circumstances in which the rule is mandatory. </w:t>
      </w:r>
      <w:r>
        <w:rPr>
          <w:color w:val="005DA1"/>
          <w:u w:val="single" w:color="005DA1"/>
          <w:vertAlign w:val="superscript"/>
        </w:rPr>
        <w:t>561</w:t>
      </w:r>
    </w:p>
    <w:p>
      <w:pPr>
        <w:pStyle w:val="BodyText"/>
      </w:pPr>
    </w:p>
    <w:p>
      <w:pPr>
        <w:pStyle w:val="BodyText"/>
        <w:spacing w:before="38"/>
      </w:pPr>
    </w:p>
    <w:p>
      <w:pPr>
        <w:spacing w:before="0"/>
        <w:ind w:left="165" w:right="0" w:firstLine="0"/>
        <w:jc w:val="left"/>
        <w:rPr>
          <w:rFonts w:ascii="Arial"/>
          <w:b/>
          <w:sz w:val="18"/>
        </w:rPr>
      </w:pPr>
      <w:r>
        <w:rPr>
          <w:rFonts w:ascii="Arial"/>
          <w:b/>
          <w:sz w:val="18"/>
        </w:rPr>
        <w:t>Mandatory rules of English </w:t>
      </w:r>
      <w:r>
        <w:rPr>
          <w:rFonts w:ascii="Arial"/>
          <w:b/>
          <w:spacing w:val="-5"/>
          <w:sz w:val="18"/>
        </w:rPr>
        <w:t>law</w:t>
      </w:r>
    </w:p>
    <w:p>
      <w:pPr>
        <w:pStyle w:val="BodyText"/>
        <w:spacing w:before="41"/>
        <w:rPr>
          <w:rFonts w:ascii="Arial"/>
          <w:b/>
          <w:sz w:val="18"/>
        </w:rPr>
      </w:pPr>
    </w:p>
    <w:p>
      <w:pPr>
        <w:pStyle w:val="Heading2"/>
        <w:spacing w:before="1"/>
      </w:pPr>
      <w:r>
        <w:rPr/>
        <w:t>30-</w:t>
      </w:r>
      <w:r>
        <w:rPr>
          <w:spacing w:val="-5"/>
        </w:rPr>
        <w:t>112</w:t>
      </w:r>
    </w:p>
    <w:p>
      <w:pPr>
        <w:pStyle w:val="BodyText"/>
        <w:spacing w:line="235" w:lineRule="auto" w:before="202"/>
        <w:ind w:left="165" w:right="167"/>
        <w:jc w:val="both"/>
      </w:pPr>
      <w:r>
        <w:rPr/>
        <w:t>In the English context, it has been held that the rules of English law in respect of restrictive </w:t>
      </w:r>
      <w:r>
        <w:rPr/>
        <w:t>covenants </w:t>
      </w:r>
      <w:bookmarkStart w:name="_bookmark972" w:id="974"/>
      <w:bookmarkEnd w:id="974"/>
      <w:r>
        <w:rPr/>
        <w:t>in</w:t>
      </w:r>
      <w:r>
        <w:rPr/>
        <w:t> employment contracts are not mandatory rules for the protection of employees for the purposes of </w:t>
      </w:r>
      <w:bookmarkStart w:name="_bookmark973" w:id="975"/>
      <w:bookmarkEnd w:id="975"/>
      <w:r>
        <w:rPr/>
        <w:t>art.6.</w:t>
      </w:r>
      <w:r>
        <w:rPr/>
        <w:t> </w:t>
      </w:r>
      <w:r>
        <w:rPr>
          <w:color w:val="005DA1"/>
          <w:u w:val="single" w:color="005DA1"/>
          <w:vertAlign w:val="superscript"/>
        </w:rPr>
        <w:t>562</w:t>
      </w:r>
      <w:r>
        <w:rPr>
          <w:color w:val="005DA1"/>
          <w:vertAlign w:val="baseline"/>
        </w:rPr>
        <w:t> </w:t>
      </w:r>
      <w:r>
        <w:rPr>
          <w:vertAlign w:val="baseline"/>
        </w:rPr>
        <w:t>Such rules are part of the general law of restraint of trade which are, in turn, part of the general law of contract. </w:t>
      </w:r>
      <w:r>
        <w:rPr>
          <w:color w:val="005DA1"/>
          <w:u w:val="single" w:color="005DA1"/>
          <w:vertAlign w:val="superscript"/>
        </w:rPr>
        <w:t>563</w:t>
      </w:r>
      <w:r>
        <w:rPr>
          <w:color w:val="005DA1"/>
          <w:vertAlign w:val="baseline"/>
        </w:rPr>
        <w:t> </w:t>
      </w:r>
      <w:r>
        <w:rPr>
          <w:vertAlign w:val="baseline"/>
        </w:rPr>
        <w:t>While it may be true that covenants in employment contracts are harder to justify than covenants contained in commercial agreements, the rules applicable to both types of agreement are based on the principle of what is reasonably necessary to protect the covenantee’s legitimate interest and not on the need to protect employees. A more discerning view might, however, suggest that the appropriate approach to take in cases where the interests of employees are involved is</w:t>
      </w:r>
      <w:r>
        <w:rPr>
          <w:spacing w:val="20"/>
          <w:vertAlign w:val="baseline"/>
        </w:rPr>
        <w:t> </w:t>
      </w:r>
      <w:r>
        <w:rPr>
          <w:vertAlign w:val="baseline"/>
        </w:rPr>
        <w:t>to</w:t>
      </w:r>
      <w:r>
        <w:rPr>
          <w:spacing w:val="20"/>
          <w:vertAlign w:val="baseline"/>
        </w:rPr>
        <w:t> </w:t>
      </w:r>
      <w:r>
        <w:rPr>
          <w:vertAlign w:val="baseline"/>
        </w:rPr>
        <w:t>regard</w:t>
      </w:r>
      <w:r>
        <w:rPr>
          <w:spacing w:val="20"/>
          <w:vertAlign w:val="baseline"/>
        </w:rPr>
        <w:t> </w:t>
      </w:r>
      <w:r>
        <w:rPr>
          <w:vertAlign w:val="baseline"/>
        </w:rPr>
        <w:t>the</w:t>
      </w:r>
      <w:r>
        <w:rPr>
          <w:spacing w:val="20"/>
          <w:vertAlign w:val="baseline"/>
        </w:rPr>
        <w:t> </w:t>
      </w:r>
      <w:r>
        <w:rPr>
          <w:vertAlign w:val="baseline"/>
        </w:rPr>
        <w:t>rule</w:t>
      </w:r>
      <w:r>
        <w:rPr>
          <w:spacing w:val="20"/>
          <w:vertAlign w:val="baseline"/>
        </w:rPr>
        <w:t> </w:t>
      </w:r>
      <w:r>
        <w:rPr>
          <w:vertAlign w:val="baseline"/>
        </w:rPr>
        <w:t>as</w:t>
      </w:r>
      <w:r>
        <w:rPr>
          <w:spacing w:val="20"/>
          <w:vertAlign w:val="baseline"/>
        </w:rPr>
        <w:t> </w:t>
      </w:r>
      <w:r>
        <w:rPr>
          <w:vertAlign w:val="baseline"/>
        </w:rPr>
        <w:t>mandatory</w:t>
      </w:r>
      <w:r>
        <w:rPr>
          <w:spacing w:val="20"/>
          <w:vertAlign w:val="baseline"/>
        </w:rPr>
        <w:t> </w:t>
      </w:r>
      <w:r>
        <w:rPr>
          <w:vertAlign w:val="baseline"/>
        </w:rPr>
        <w:t>for</w:t>
      </w:r>
      <w:r>
        <w:rPr>
          <w:spacing w:val="20"/>
          <w:vertAlign w:val="baseline"/>
        </w:rPr>
        <w:t> </w:t>
      </w:r>
      <w:r>
        <w:rPr>
          <w:vertAlign w:val="baseline"/>
        </w:rPr>
        <w:t>the</w:t>
      </w:r>
      <w:r>
        <w:rPr>
          <w:spacing w:val="20"/>
          <w:vertAlign w:val="baseline"/>
        </w:rPr>
        <w:t> </w:t>
      </w:r>
      <w:r>
        <w:rPr>
          <w:vertAlign w:val="baseline"/>
        </w:rPr>
        <w:t>purposes</w:t>
      </w:r>
      <w:r>
        <w:rPr>
          <w:spacing w:val="20"/>
          <w:vertAlign w:val="baseline"/>
        </w:rPr>
        <w:t> </w:t>
      </w:r>
      <w:r>
        <w:rPr>
          <w:vertAlign w:val="baseline"/>
        </w:rPr>
        <w:t>of</w:t>
      </w:r>
      <w:r>
        <w:rPr>
          <w:spacing w:val="20"/>
          <w:vertAlign w:val="baseline"/>
        </w:rPr>
        <w:t> </w:t>
      </w:r>
      <w:r>
        <w:rPr>
          <w:vertAlign w:val="baseline"/>
        </w:rPr>
        <w:t>such</w:t>
      </w:r>
      <w:r>
        <w:rPr>
          <w:spacing w:val="20"/>
          <w:vertAlign w:val="baseline"/>
        </w:rPr>
        <w:t> </w:t>
      </w:r>
      <w:r>
        <w:rPr>
          <w:vertAlign w:val="baseline"/>
        </w:rPr>
        <w:t>cases.</w:t>
      </w:r>
      <w:r>
        <w:rPr>
          <w:spacing w:val="20"/>
          <w:vertAlign w:val="baseline"/>
        </w:rPr>
        <w:t> </w:t>
      </w:r>
      <w:r>
        <w:rPr>
          <w:vertAlign w:val="baseline"/>
        </w:rPr>
        <w:t>Nonetheless,</w:t>
      </w:r>
      <w:r>
        <w:rPr>
          <w:spacing w:val="20"/>
          <w:vertAlign w:val="baseline"/>
        </w:rPr>
        <w:t> </w:t>
      </w:r>
      <w:r>
        <w:rPr>
          <w:vertAlign w:val="baseline"/>
        </w:rPr>
        <w:t>the</w:t>
      </w:r>
      <w:r>
        <w:rPr>
          <w:spacing w:val="20"/>
          <w:vertAlign w:val="baseline"/>
        </w:rPr>
        <w:t> </w:t>
      </w:r>
      <w:r>
        <w:rPr>
          <w:vertAlign w:val="baseline"/>
        </w:rPr>
        <w:t>law</w:t>
      </w:r>
      <w:r>
        <w:rPr>
          <w:spacing w:val="20"/>
          <w:vertAlign w:val="baseline"/>
        </w:rPr>
        <w:t> </w:t>
      </w:r>
      <w:r>
        <w:rPr>
          <w:vertAlign w:val="baseline"/>
        </w:rPr>
        <w:t>relating</w:t>
      </w:r>
      <w:r>
        <w:rPr>
          <w:spacing w:val="20"/>
          <w:vertAlign w:val="baseline"/>
        </w:rPr>
        <w:t> </w:t>
      </w:r>
      <w:r>
        <w:rPr>
          <w:spacing w:val="-5"/>
          <w:vertAlign w:val="baseline"/>
        </w:rPr>
        <w:t>to</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such covenants has been said to be rooted in public policy so that where the employment contract is </w:t>
      </w:r>
      <w:bookmarkStart w:name="_bookmark974" w:id="976"/>
      <w:bookmarkEnd w:id="976"/>
      <w:r>
        <w:rPr/>
        <w:t>governed</w:t>
      </w:r>
      <w:r>
        <w:rPr/>
        <w:t> by a foreign law which would, in conflict with English law, regard the covenant as valid, the foreign</w:t>
      </w:r>
      <w:r>
        <w:rPr>
          <w:spacing w:val="7"/>
        </w:rPr>
        <w:t> </w:t>
      </w:r>
      <w:r>
        <w:rPr/>
        <w:t>law</w:t>
      </w:r>
      <w:r>
        <w:rPr>
          <w:spacing w:val="7"/>
        </w:rPr>
        <w:t> </w:t>
      </w:r>
      <w:r>
        <w:rPr/>
        <w:t>may</w:t>
      </w:r>
      <w:r>
        <w:rPr>
          <w:spacing w:val="7"/>
        </w:rPr>
        <w:t> </w:t>
      </w:r>
      <w:r>
        <w:rPr/>
        <w:t>be</w:t>
      </w:r>
      <w:r>
        <w:rPr>
          <w:spacing w:val="7"/>
        </w:rPr>
        <w:t> </w:t>
      </w:r>
      <w:r>
        <w:rPr/>
        <w:t>denied</w:t>
      </w:r>
      <w:r>
        <w:rPr>
          <w:spacing w:val="7"/>
        </w:rPr>
        <w:t> </w:t>
      </w:r>
      <w:r>
        <w:rPr/>
        <w:t>application</w:t>
      </w:r>
      <w:r>
        <w:rPr>
          <w:spacing w:val="7"/>
        </w:rPr>
        <w:t> </w:t>
      </w:r>
      <w:r>
        <w:rPr/>
        <w:t>on</w:t>
      </w:r>
      <w:r>
        <w:rPr>
          <w:spacing w:val="7"/>
        </w:rPr>
        <w:t> </w:t>
      </w:r>
      <w:r>
        <w:rPr/>
        <w:t>public</w:t>
      </w:r>
      <w:r>
        <w:rPr>
          <w:spacing w:val="7"/>
        </w:rPr>
        <w:t> </w:t>
      </w:r>
      <w:r>
        <w:rPr/>
        <w:t>policy</w:t>
      </w:r>
      <w:r>
        <w:rPr>
          <w:spacing w:val="7"/>
        </w:rPr>
        <w:t> </w:t>
      </w:r>
      <w:r>
        <w:rPr/>
        <w:t>grounds,</w:t>
      </w:r>
      <w:r>
        <w:rPr>
          <w:spacing w:val="7"/>
        </w:rPr>
        <w:t> </w:t>
      </w:r>
      <w:r>
        <w:rPr/>
        <w:t>pursuant</w:t>
      </w:r>
      <w:r>
        <w:rPr>
          <w:spacing w:val="7"/>
        </w:rPr>
        <w:t> </w:t>
      </w:r>
      <w:r>
        <w:rPr/>
        <w:t>to</w:t>
      </w:r>
      <w:r>
        <w:rPr>
          <w:spacing w:val="7"/>
        </w:rPr>
        <w:t> </w:t>
      </w:r>
      <w:r>
        <w:rPr/>
        <w:t>art.16</w:t>
      </w:r>
      <w:r>
        <w:rPr>
          <w:spacing w:val="7"/>
        </w:rPr>
        <w:t> </w:t>
      </w:r>
      <w:r>
        <w:rPr/>
        <w:t>of</w:t>
      </w:r>
      <w:r>
        <w:rPr>
          <w:spacing w:val="7"/>
        </w:rPr>
        <w:t> </w:t>
      </w:r>
      <w:r>
        <w:rPr/>
        <w:t>the</w:t>
      </w:r>
      <w:r>
        <w:rPr>
          <w:spacing w:val="7"/>
        </w:rPr>
        <w:t> </w:t>
      </w:r>
      <w:r>
        <w:rPr>
          <w:spacing w:val="-2"/>
        </w:rPr>
        <w:t>Convention.</w:t>
      </w:r>
    </w:p>
    <w:p>
      <w:pPr>
        <w:spacing w:line="112" w:lineRule="exact" w:before="0"/>
        <w:ind w:left="165" w:right="0" w:firstLine="0"/>
        <w:jc w:val="left"/>
        <w:rPr>
          <w:sz w:val="12"/>
        </w:rPr>
      </w:pPr>
      <w:r>
        <w:rPr>
          <w:color w:val="005DA1"/>
          <w:spacing w:val="-5"/>
          <w:sz w:val="12"/>
          <w:u w:val="single" w:color="005DA1"/>
        </w:rPr>
        <w:t>564</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Statutory </w:t>
      </w:r>
      <w:r>
        <w:rPr>
          <w:rFonts w:ascii="Arial"/>
          <w:b/>
          <w:spacing w:val="-2"/>
          <w:sz w:val="18"/>
        </w:rPr>
        <w:t>rules</w:t>
      </w:r>
    </w:p>
    <w:p>
      <w:pPr>
        <w:pStyle w:val="BodyText"/>
        <w:spacing w:before="42"/>
        <w:rPr>
          <w:rFonts w:ascii="Arial"/>
          <w:b/>
          <w:sz w:val="18"/>
        </w:rPr>
      </w:pPr>
    </w:p>
    <w:p>
      <w:pPr>
        <w:pStyle w:val="Heading2"/>
      </w:pPr>
      <w:r>
        <w:rPr/>
        <w:t>30-</w:t>
      </w:r>
      <w:r>
        <w:rPr>
          <w:spacing w:val="-5"/>
        </w:rPr>
        <w:t>113</w:t>
      </w:r>
    </w:p>
    <w:p>
      <w:pPr>
        <w:pStyle w:val="BodyText"/>
        <w:spacing w:line="235" w:lineRule="auto" w:before="202"/>
        <w:ind w:left="165" w:right="167"/>
        <w:jc w:val="both"/>
      </w:pPr>
      <w:r>
        <w:rPr/>
        <w:t>Statutory rules which have the specific purpose of protecting employees, are, however, likely </w:t>
      </w:r>
      <w:r>
        <w:rPr/>
        <w:t>to</w:t>
      </w:r>
      <w:r>
        <w:rPr>
          <w:spacing w:val="40"/>
        </w:rPr>
        <w:t> </w:t>
      </w:r>
      <w:bookmarkStart w:name="_bookmark975" w:id="977"/>
      <w:bookmarkEnd w:id="977"/>
      <w:r>
        <w:rPr/>
        <w:t>qualify</w:t>
      </w:r>
      <w:r>
        <w:rPr/>
        <w:t> as mandatory rules for the purposes of art.6. Modern statutes often indicate this explicitly by stating that the statutory rules apply irrespective of the law which governs the contract of </w:t>
      </w:r>
      <w:r>
        <w:rPr>
          <w:spacing w:val="-2"/>
        </w:rPr>
        <w:t>employment.</w:t>
      </w:r>
    </w:p>
    <w:p>
      <w:pPr>
        <w:pStyle w:val="BodyText"/>
        <w:spacing w:line="235" w:lineRule="auto"/>
        <w:ind w:left="165" w:right="167"/>
        <w:jc w:val="both"/>
      </w:pPr>
      <w:r>
        <w:rPr>
          <w:color w:val="005DA1"/>
          <w:u w:val="single" w:color="005DA1"/>
          <w:vertAlign w:val="superscript"/>
        </w:rPr>
        <w:t>565</w:t>
      </w:r>
      <w:r>
        <w:rPr>
          <w:color w:val="005DA1"/>
          <w:vertAlign w:val="baseline"/>
        </w:rPr>
        <w:t> </w:t>
      </w:r>
      <w:bookmarkStart w:name="_bookmark976" w:id="978"/>
      <w:bookmarkEnd w:id="978"/>
      <w:r>
        <w:rPr>
          <w:color w:val="005DA1"/>
          <w:spacing w:val="-23"/>
          <w:vertAlign w:val="baseline"/>
        </w:rPr>
      </w:r>
      <w:r>
        <w:rPr>
          <w:vertAlign w:val="baseline"/>
        </w:rPr>
        <w:t>Where there is no such explicit indication in the statute itself, then whether a particular rule is mandatory will depend on the construction of the statute. </w:t>
      </w:r>
      <w:r>
        <w:rPr>
          <w:color w:val="005DA1"/>
          <w:u w:val="single" w:color="005DA1"/>
          <w:vertAlign w:val="superscript"/>
        </w:rPr>
        <w:t>566</w:t>
      </w:r>
    </w:p>
    <w:p>
      <w:pPr>
        <w:pStyle w:val="BodyText"/>
      </w:pPr>
    </w:p>
    <w:p>
      <w:pPr>
        <w:pStyle w:val="BodyText"/>
        <w:spacing w:before="37"/>
      </w:pPr>
    </w:p>
    <w:p>
      <w:pPr>
        <w:spacing w:before="0"/>
        <w:ind w:left="165" w:right="0" w:firstLine="0"/>
        <w:jc w:val="left"/>
        <w:rPr>
          <w:rFonts w:ascii="Arial"/>
          <w:b/>
          <w:sz w:val="18"/>
        </w:rPr>
      </w:pPr>
      <w:r>
        <w:rPr>
          <w:rFonts w:ascii="Arial"/>
          <w:b/>
          <w:sz w:val="18"/>
        </w:rPr>
        <w:t>Territorial </w:t>
      </w:r>
      <w:r>
        <w:rPr>
          <w:rFonts w:ascii="Arial"/>
          <w:b/>
          <w:spacing w:val="-2"/>
          <w:sz w:val="18"/>
        </w:rPr>
        <w:t>limitations</w:t>
      </w:r>
    </w:p>
    <w:p>
      <w:pPr>
        <w:pStyle w:val="BodyText"/>
        <w:spacing w:before="41"/>
        <w:rPr>
          <w:rFonts w:ascii="Arial"/>
          <w:b/>
          <w:sz w:val="18"/>
        </w:rPr>
      </w:pPr>
    </w:p>
    <w:p>
      <w:pPr>
        <w:pStyle w:val="Heading2"/>
      </w:pPr>
      <w:r>
        <w:rPr/>
        <w:t>30-</w:t>
      </w:r>
      <w:r>
        <w:rPr>
          <w:spacing w:val="-5"/>
        </w:rPr>
        <w:t>114</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Although a particular statutory right may be available irrespective of the law applicable to </w:t>
      </w:r>
      <w:r>
        <w:rPr/>
        <w:t>the contract of employment, the scope of the relevant right may be subject to a territorial limitation. Thus, </w:t>
      </w:r>
      <w:bookmarkStart w:name="_bookmark977" w:id="979"/>
      <w:bookmarkEnd w:id="979"/>
      <w:r>
        <w:rPr/>
        <w:t>for</w:t>
      </w:r>
      <w:r>
        <w:rPr/>
        <w:t> example, the Equal Pay Act 1970 applied only to employment at an establishment in Great Britain as defined in the Act. </w:t>
      </w:r>
      <w:r>
        <w:rPr>
          <w:color w:val="005DA1"/>
          <w:u w:val="single" w:color="005DA1"/>
          <w:vertAlign w:val="superscript"/>
        </w:rPr>
        <w:t>567</w:t>
      </w:r>
      <w:r>
        <w:rPr>
          <w:color w:val="005DA1"/>
          <w:vertAlign w:val="baseline"/>
        </w:rPr>
        <w:t> </w:t>
      </w:r>
      <w:r>
        <w:rPr>
          <w:vertAlign w:val="baseline"/>
        </w:rPr>
        <w:t>Many of the principal statutory employment rights are contained in the </w:t>
      </w:r>
      <w:bookmarkStart w:name="_bookmark978" w:id="980"/>
      <w:bookmarkEnd w:id="980"/>
      <w:r>
        <w:rPr>
          <w:vertAlign w:val="baseline"/>
        </w:rPr>
        <w:t>Employment</w:t>
      </w:r>
      <w:r>
        <w:rPr>
          <w:vertAlign w:val="baseline"/>
        </w:rPr>
        <w:t> Rights Act 1996. Several provisions of the Act were originally expressed not to apply where the employee ordinarily worked outside Great Britain, </w:t>
      </w:r>
      <w:r>
        <w:rPr>
          <w:color w:val="005DA1"/>
          <w:u w:val="single" w:color="005DA1"/>
          <w:vertAlign w:val="superscript"/>
        </w:rPr>
        <w:t>568</w:t>
      </w:r>
      <w:r>
        <w:rPr>
          <w:color w:val="005DA1"/>
          <w:vertAlign w:val="baseline"/>
        </w:rPr>
        <w:t> </w:t>
      </w:r>
      <w:r>
        <w:rPr>
          <w:vertAlign w:val="baseline"/>
        </w:rPr>
        <w:t>but this provision was repealed </w:t>
      </w:r>
      <w:r>
        <w:rPr>
          <w:color w:val="005DA1"/>
          <w:u w:val="single" w:color="005DA1"/>
          <w:vertAlign w:val="superscript"/>
        </w:rPr>
        <w:t>569</w:t>
      </w:r>
      <w:r>
        <w:rPr>
          <w:color w:val="005DA1"/>
          <w:vertAlign w:val="baseline"/>
        </w:rPr>
        <w:t> </w:t>
      </w:r>
      <w:bookmarkStart w:name="_bookmark979" w:id="981"/>
      <w:bookmarkEnd w:id="981"/>
      <w:r>
        <w:rPr>
          <w:color w:val="005DA1"/>
          <w:w w:val="92"/>
          <w:vertAlign w:val="baseline"/>
        </w:rPr>
      </w:r>
      <w:r>
        <w:rPr>
          <w:vertAlign w:val="baseline"/>
        </w:rPr>
        <w:t>without being replaced with any different limitation, thus leaving the proper scope of the statute to judicial construction. In </w:t>
      </w:r>
      <w:r>
        <w:rPr>
          <w:rFonts w:ascii="Arial" w:hAnsi="Arial"/>
          <w:i/>
          <w:vertAlign w:val="baseline"/>
        </w:rPr>
        <w:t>Serco Ltd v Lawson </w:t>
      </w:r>
      <w:r>
        <w:rPr>
          <w:color w:val="005DA1"/>
          <w:u w:val="single" w:color="005DA1"/>
          <w:vertAlign w:val="superscript"/>
        </w:rPr>
        <w:t>570</w:t>
      </w:r>
      <w:r>
        <w:rPr>
          <w:color w:val="005DA1"/>
          <w:vertAlign w:val="baseline"/>
        </w:rPr>
        <w:t> </w:t>
      </w:r>
      <w:r>
        <w:rPr>
          <w:vertAlign w:val="baseline"/>
        </w:rPr>
        <w:t>the House of Lords had to decide on the proper reach of the provisions of the Employment Rights Act 1996 which provide for the right not to be unfairly dismissed. It was held that this depended on the construction of the relevant provisions in the light of the circumstances of the particular case. Primarily, the provisions apply where the employee is working in Great Britain at the time of the dismissal, as opposed to what was contemplated as the place of work at the time of the conclusion of the contract of employment. Where, however, the employee was a peripatetic worker working in several countries, such as an airline pilot, the work would be performed in Great Britain if the employee’s base was in Great Britain at the time of the dismissal. As regards expatriate employees working overseas, the relevant provisions apply if a</w:t>
      </w:r>
      <w:r>
        <w:rPr>
          <w:spacing w:val="40"/>
          <w:vertAlign w:val="baseline"/>
        </w:rPr>
        <w:t> </w:t>
      </w:r>
      <w:r>
        <w:rPr>
          <w:vertAlign w:val="baseline"/>
        </w:rPr>
        <w:t>strong connection between the employment and Great Britain at the relevant time can be established. Such may be the case where an employee is posted abroad by a British employer for the purposes of a business carried on in Great Britain or where an expatriate employee is working in what is in effect an</w:t>
      </w:r>
      <w:r>
        <w:rPr>
          <w:spacing w:val="-1"/>
          <w:vertAlign w:val="baseline"/>
        </w:rPr>
        <w:t> </w:t>
      </w:r>
      <w:r>
        <w:rPr>
          <w:vertAlign w:val="baseline"/>
        </w:rPr>
        <w:t>extra-territorial</w:t>
      </w:r>
      <w:r>
        <w:rPr>
          <w:spacing w:val="-1"/>
          <w:vertAlign w:val="baseline"/>
        </w:rPr>
        <w:t> </w:t>
      </w:r>
      <w:r>
        <w:rPr>
          <w:vertAlign w:val="baseline"/>
        </w:rPr>
        <w:t>enclave</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foreign</w:t>
      </w:r>
      <w:r>
        <w:rPr>
          <w:spacing w:val="-1"/>
          <w:vertAlign w:val="baseline"/>
        </w:rPr>
        <w:t> </w:t>
      </w:r>
      <w:r>
        <w:rPr>
          <w:vertAlign w:val="baseline"/>
        </w:rPr>
        <w:t>country</w:t>
      </w:r>
      <w:r>
        <w:rPr>
          <w:spacing w:val="-1"/>
          <w:vertAlign w:val="baseline"/>
        </w:rPr>
        <w:t> </w:t>
      </w:r>
      <w:r>
        <w:rPr>
          <w:vertAlign w:val="baseline"/>
        </w:rPr>
        <w:t>(e.g.</w:t>
      </w:r>
      <w:r>
        <w:rPr>
          <w:spacing w:val="-1"/>
          <w:vertAlign w:val="baseline"/>
        </w:rPr>
        <w:t> </w:t>
      </w:r>
      <w:r>
        <w:rPr>
          <w:vertAlign w:val="baseline"/>
        </w:rPr>
        <w:t>a</w:t>
      </w:r>
      <w:r>
        <w:rPr>
          <w:spacing w:val="-1"/>
          <w:vertAlign w:val="baseline"/>
        </w:rPr>
        <w:t> </w:t>
      </w:r>
      <w:r>
        <w:rPr>
          <w:vertAlign w:val="baseline"/>
        </w:rPr>
        <w:t>military</w:t>
      </w:r>
      <w:r>
        <w:rPr>
          <w:spacing w:val="-1"/>
          <w:vertAlign w:val="baseline"/>
        </w:rPr>
        <w:t> </w:t>
      </w:r>
      <w:r>
        <w:rPr>
          <w:vertAlign w:val="baseline"/>
        </w:rPr>
        <w:t>base).</w:t>
      </w:r>
      <w:r>
        <w:rPr>
          <w:spacing w:val="-1"/>
          <w:vertAlign w:val="baseline"/>
        </w:rPr>
        <w:t> </w:t>
      </w:r>
      <w:r>
        <w:rPr>
          <w:vertAlign w:val="baseline"/>
        </w:rPr>
        <w:t>Although</w:t>
      </w:r>
      <w:r>
        <w:rPr>
          <w:spacing w:val="-1"/>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of</w:t>
      </w:r>
      <w:r>
        <w:rPr>
          <w:spacing w:val="-1"/>
          <w:vertAlign w:val="baseline"/>
        </w:rPr>
        <w:t> </w:t>
      </w:r>
      <w:r>
        <w:rPr>
          <w:vertAlign w:val="baseline"/>
        </w:rPr>
        <w:t>Lords</w:t>
      </w:r>
      <w:r>
        <w:rPr>
          <w:spacing w:val="-1"/>
          <w:vertAlign w:val="baseline"/>
        </w:rPr>
        <w:t> </w:t>
      </w:r>
      <w:r>
        <w:rPr>
          <w:vertAlign w:val="baseline"/>
        </w:rPr>
        <w:t>was </w:t>
      </w:r>
      <w:bookmarkStart w:name="_bookmark980" w:id="982"/>
      <w:bookmarkEnd w:id="982"/>
      <w:r>
        <w:rPr>
          <w:vertAlign w:val="baseline"/>
        </w:rPr>
        <w:t>careful</w:t>
      </w:r>
      <w:r>
        <w:rPr>
          <w:vertAlign w:val="baseline"/>
        </w:rPr>
        <w:t> to point out that the territorial reach of a statutory right might differ according to which</w:t>
      </w:r>
      <w:r>
        <w:rPr>
          <w:spacing w:val="40"/>
          <w:vertAlign w:val="baseline"/>
        </w:rPr>
        <w:t> </w:t>
      </w:r>
      <w:bookmarkStart w:name="_bookmark981" w:id="983"/>
      <w:bookmarkEnd w:id="983"/>
      <w:r>
        <w:rPr>
          <w:vertAlign w:val="baseline"/>
        </w:rPr>
        <w:t>particular</w:t>
      </w:r>
      <w:r>
        <w:rPr>
          <w:vertAlign w:val="baseline"/>
        </w:rPr>
        <w:t> right was in issue, it is likely that the principles in </w:t>
      </w:r>
      <w:r>
        <w:rPr>
          <w:rFonts w:ascii="Arial" w:hAnsi="Arial"/>
          <w:i/>
          <w:vertAlign w:val="baseline"/>
        </w:rPr>
        <w:t>Serco Ltd v Lawson </w:t>
      </w:r>
      <w:r>
        <w:rPr>
          <w:color w:val="005DA1"/>
          <w:u w:val="single" w:color="005DA1"/>
          <w:vertAlign w:val="superscript"/>
        </w:rPr>
        <w:t>571</w:t>
      </w:r>
      <w:r>
        <w:rPr>
          <w:color w:val="005DA1"/>
          <w:vertAlign w:val="baseline"/>
        </w:rPr>
        <w:t> </w:t>
      </w:r>
      <w:r>
        <w:rPr>
          <w:vertAlign w:val="baseline"/>
        </w:rPr>
        <w:t>will be held to</w:t>
      </w:r>
      <w:r>
        <w:rPr>
          <w:spacing w:val="40"/>
          <w:vertAlign w:val="baseline"/>
        </w:rPr>
        <w:t> </w:t>
      </w:r>
      <w:r>
        <w:rPr>
          <w:vertAlign w:val="baseline"/>
        </w:rPr>
        <w:t>apply to other rights contained in the Act. The principles in </w:t>
      </w:r>
      <w:r>
        <w:rPr>
          <w:rFonts w:ascii="Arial" w:hAnsi="Arial"/>
          <w:i/>
          <w:vertAlign w:val="baseline"/>
        </w:rPr>
        <w:t>Serco Ltd v Lawson </w:t>
      </w:r>
      <w:r>
        <w:rPr>
          <w:color w:val="005DA1"/>
          <w:u w:val="single" w:color="005DA1"/>
          <w:vertAlign w:val="superscript"/>
        </w:rPr>
        <w:t>572</w:t>
      </w:r>
      <w:r>
        <w:rPr>
          <w:color w:val="005DA1"/>
          <w:vertAlign w:val="baseline"/>
        </w:rPr>
        <w:t> </w:t>
      </w:r>
      <w:r>
        <w:rPr>
          <w:vertAlign w:val="baseline"/>
        </w:rPr>
        <w:t>have been somewhat expanded in more recent cases. Thus it has been held by the Supreme Court that the right not to be unfairly dismissed covered employees who worked or were based abroad where the employment had much stronger connections both with Great Britain and with British employment law than with any other system of law, particularly when the employee’s employer was not just based in Great Britain but was the British government itself and the employee was employed under a contract </w:t>
      </w:r>
      <w:bookmarkStart w:name="_bookmark982" w:id="984"/>
      <w:bookmarkEnd w:id="984"/>
      <w:r>
        <w:rPr>
          <w:vertAlign w:val="baseline"/>
        </w:rPr>
        <w:t>governed</w:t>
      </w:r>
      <w:r>
        <w:rPr>
          <w:vertAlign w:val="baseline"/>
        </w:rPr>
        <w:t> by English law in an international enclave that had no particular connection with the country in which the international enclave happened to be situated. </w:t>
      </w:r>
      <w:r>
        <w:rPr>
          <w:color w:val="005DA1"/>
          <w:u w:val="single" w:color="005DA1"/>
          <w:vertAlign w:val="superscript"/>
        </w:rPr>
        <w:t>573</w:t>
      </w:r>
      <w:r>
        <w:rPr>
          <w:color w:val="005DA1"/>
          <w:vertAlign w:val="baseline"/>
        </w:rPr>
        <w:t> </w:t>
      </w:r>
      <w:r>
        <w:rPr>
          <w:vertAlign w:val="baseline"/>
        </w:rPr>
        <w:t>And the Supreme Court has most recently held that the connection with Great Britain must be sufficiently strong to enable it to be said </w:t>
      </w:r>
      <w:bookmarkStart w:name="_bookmark983" w:id="985"/>
      <w:bookmarkEnd w:id="985"/>
      <w:r>
        <w:rPr>
          <w:vertAlign w:val="baseline"/>
        </w:rPr>
        <w:t>that</w:t>
      </w:r>
      <w:r>
        <w:rPr>
          <w:spacing w:val="4"/>
          <w:vertAlign w:val="baseline"/>
        </w:rPr>
        <w:t> </w:t>
      </w:r>
      <w:r>
        <w:rPr>
          <w:vertAlign w:val="baseline"/>
        </w:rPr>
        <w:t>Parliament</w:t>
      </w:r>
      <w:r>
        <w:rPr>
          <w:spacing w:val="4"/>
          <w:vertAlign w:val="baseline"/>
        </w:rPr>
        <w:t> </w:t>
      </w:r>
      <w:r>
        <w:rPr>
          <w:vertAlign w:val="baseline"/>
        </w:rPr>
        <w:t>intended</w:t>
      </w:r>
      <w:r>
        <w:rPr>
          <w:spacing w:val="4"/>
          <w:vertAlign w:val="baseline"/>
        </w:rPr>
        <w:t> </w:t>
      </w:r>
      <w:r>
        <w:rPr>
          <w:vertAlign w:val="baseline"/>
        </w:rPr>
        <w:t>a</w:t>
      </w:r>
      <w:r>
        <w:rPr>
          <w:spacing w:val="4"/>
          <w:vertAlign w:val="baseline"/>
        </w:rPr>
        <w:t> </w:t>
      </w:r>
      <w:r>
        <w:rPr>
          <w:vertAlign w:val="baseline"/>
        </w:rPr>
        <w:t>local</w:t>
      </w:r>
      <w:r>
        <w:rPr>
          <w:spacing w:val="4"/>
          <w:vertAlign w:val="baseline"/>
        </w:rPr>
        <w:t> </w:t>
      </w:r>
      <w:r>
        <w:rPr>
          <w:vertAlign w:val="baseline"/>
        </w:rPr>
        <w:t>(UK)</w:t>
      </w:r>
      <w:r>
        <w:rPr>
          <w:spacing w:val="4"/>
          <w:vertAlign w:val="baseline"/>
        </w:rPr>
        <w:t> </w:t>
      </w:r>
      <w:r>
        <w:rPr>
          <w:vertAlign w:val="baseline"/>
        </w:rPr>
        <w:t>Employment</w:t>
      </w:r>
      <w:r>
        <w:rPr>
          <w:spacing w:val="4"/>
          <w:vertAlign w:val="baseline"/>
        </w:rPr>
        <w:t> </w:t>
      </w:r>
      <w:r>
        <w:rPr>
          <w:vertAlign w:val="baseline"/>
        </w:rPr>
        <w:t>Tribunal</w:t>
      </w:r>
      <w:r>
        <w:rPr>
          <w:spacing w:val="4"/>
          <w:vertAlign w:val="baseline"/>
        </w:rPr>
        <w:t> </w:t>
      </w:r>
      <w:r>
        <w:rPr>
          <w:vertAlign w:val="baseline"/>
        </w:rPr>
        <w:t>to</w:t>
      </w:r>
      <w:r>
        <w:rPr>
          <w:spacing w:val="4"/>
          <w:vertAlign w:val="baseline"/>
        </w:rPr>
        <w:t> </w:t>
      </w:r>
      <w:r>
        <w:rPr>
          <w:vertAlign w:val="baseline"/>
        </w:rPr>
        <w:t>deal</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claim:</w:t>
      </w:r>
      <w:r>
        <w:rPr>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ultimately,</w:t>
      </w:r>
      <w:r>
        <w:rPr>
          <w:spacing w:val="4"/>
          <w:vertAlign w:val="baseline"/>
        </w:rPr>
        <w:t> </w:t>
      </w:r>
      <w:r>
        <w:rPr>
          <w:spacing w:val="-10"/>
          <w:vertAlign w:val="baseline"/>
        </w:rPr>
        <w:t>a</w:t>
      </w:r>
    </w:p>
    <w:p>
      <w:pPr>
        <w:pStyle w:val="BodyText"/>
        <w:spacing w:line="235" w:lineRule="auto" w:before="108"/>
        <w:ind w:left="165" w:right="167"/>
        <w:jc w:val="both"/>
      </w:pPr>
      <w:r>
        <w:rPr/>
        <w:t>question of degree. </w:t>
      </w:r>
      <w:r>
        <w:rPr>
          <w:color w:val="005DA1"/>
          <w:u w:val="single" w:color="005DA1"/>
          <w:vertAlign w:val="superscript"/>
        </w:rPr>
        <w:t>574</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32"/>
          <w:vertAlign w:val="baseline"/>
        </w:rPr>
        <w:t> </w:t>
      </w:r>
      <w:r>
        <w:rPr>
          <w:vertAlign w:val="baseline"/>
        </w:rPr>
        <w:t>In relation to the rights now contained in the Equality Act 2010, where </w:t>
      </w:r>
      <w:r>
        <w:rPr>
          <w:vertAlign w:val="baseline"/>
        </w:rPr>
        <w:t>no explicit scope of territorial application are indicated, that application, it would seem, is determined by the principles in </w:t>
      </w:r>
      <w:r>
        <w:rPr>
          <w:rFonts w:ascii="Arial"/>
          <w:i/>
          <w:vertAlign w:val="baseline"/>
        </w:rPr>
        <w:t>Serco Ltd v Lawson</w:t>
      </w:r>
      <w:r>
        <w:rPr>
          <w:vertAlign w:val="baseline"/>
        </w:rPr>
        <w:t>, as extended, as described above.</w:t>
      </w:r>
    </w:p>
    <w:p>
      <w:pPr>
        <w:pStyle w:val="BodyText"/>
      </w:pPr>
    </w:p>
    <w:p>
      <w:pPr>
        <w:pStyle w:val="BodyText"/>
        <w:spacing w:before="37"/>
      </w:pPr>
    </w:p>
    <w:p>
      <w:pPr>
        <w:spacing w:before="0"/>
        <w:ind w:left="165" w:right="0" w:firstLine="0"/>
        <w:jc w:val="both"/>
        <w:rPr>
          <w:rFonts w:ascii="Arial"/>
          <w:b/>
          <w:sz w:val="18"/>
        </w:rPr>
      </w:pPr>
      <w:r>
        <w:rPr>
          <w:rFonts w:ascii="Arial"/>
          <w:b/>
          <w:sz w:val="18"/>
        </w:rPr>
        <w:t>Rights derived from European </w:t>
      </w:r>
      <w:r>
        <w:rPr>
          <w:rFonts w:ascii="Arial"/>
          <w:b/>
          <w:spacing w:val="-5"/>
          <w:sz w:val="18"/>
        </w:rPr>
        <w:t>law</w:t>
      </w:r>
    </w:p>
    <w:p>
      <w:pPr>
        <w:spacing w:after="0"/>
        <w:jc w:val="both"/>
        <w:rPr>
          <w:rFonts w:ascii="Arial"/>
          <w:b/>
          <w:sz w:val="18"/>
        </w:rPr>
        <w:sectPr>
          <w:pgSz w:w="11900" w:h="16840"/>
          <w:pgMar w:header="971" w:footer="0" w:top="1300" w:bottom="280" w:left="1275" w:right="1275"/>
        </w:sectPr>
      </w:pPr>
    </w:p>
    <w:p>
      <w:pPr>
        <w:pStyle w:val="Heading2"/>
        <w:spacing w:before="262"/>
      </w:pPr>
      <w:r>
        <w:rPr/>
        <w:t>30-</w:t>
      </w:r>
      <w:r>
        <w:rPr>
          <w:spacing w:val="-5"/>
        </w:rPr>
        <w:t>115</w:t>
      </w:r>
    </w:p>
    <w:p>
      <w:pPr>
        <w:pStyle w:val="BodyText"/>
        <w:spacing w:line="235" w:lineRule="auto" w:before="202"/>
        <w:ind w:left="165" w:right="167"/>
        <w:jc w:val="both"/>
      </w:pPr>
      <w:r>
        <w:rPr/>
        <w:t>Different principles may apply where the relevant right in the Employment Rights Act 1996 </w:t>
      </w:r>
      <w:r>
        <w:rPr/>
        <w:t>derives </w:t>
      </w:r>
      <w:bookmarkStart w:name="_bookmark984" w:id="986"/>
      <w:bookmarkEnd w:id="986"/>
      <w:r>
        <w:rPr/>
        <w:t>from</w:t>
      </w:r>
      <w:r>
        <w:rPr/>
        <w:t> European law. Here there is an obligation to give direct effect to the European right through interpretation of the relevant English law with the consequence that </w:t>
      </w:r>
      <w:r>
        <w:rPr>
          <w:rFonts w:ascii="Arial"/>
          <w:i/>
        </w:rPr>
        <w:t>Serco Ltd v Lawson </w:t>
      </w:r>
      <w:r>
        <w:rPr>
          <w:color w:val="005DA1"/>
          <w:u w:val="single" w:color="005DA1"/>
          <w:vertAlign w:val="superscript"/>
        </w:rPr>
        <w:t>575</w:t>
      </w:r>
      <w:r>
        <w:rPr>
          <w:color w:val="005DA1"/>
          <w:vertAlign w:val="baseline"/>
        </w:rPr>
        <w:t> </w:t>
      </w:r>
      <w:r>
        <w:rPr>
          <w:vertAlign w:val="baseline"/>
        </w:rPr>
        <w:t>may not </w:t>
      </w:r>
      <w:bookmarkStart w:name="_bookmark985" w:id="987"/>
      <w:bookmarkEnd w:id="987"/>
      <w:r>
        <w:rPr>
          <w:vertAlign w:val="baseline"/>
        </w:rPr>
        <w:t>apply</w:t>
      </w:r>
      <w:r>
        <w:rPr>
          <w:vertAlign w:val="baseline"/>
        </w:rPr>
        <w:t> and the scope of the right may depend, instead, on whether the contract of employment is governed by English law or by the law of another Member State. </w:t>
      </w:r>
      <w:r>
        <w:rPr>
          <w:color w:val="005DA1"/>
          <w:u w:val="single" w:color="005DA1"/>
          <w:vertAlign w:val="superscript"/>
        </w:rPr>
        <w:t>576</w:t>
      </w:r>
    </w:p>
    <w:p>
      <w:pPr>
        <w:pStyle w:val="BodyText"/>
      </w:pPr>
    </w:p>
    <w:p>
      <w:pPr>
        <w:pStyle w:val="BodyText"/>
        <w:spacing w:before="37"/>
      </w:pPr>
    </w:p>
    <w:p>
      <w:pPr>
        <w:spacing w:before="0"/>
        <w:ind w:left="165" w:right="0" w:firstLine="0"/>
        <w:jc w:val="left"/>
        <w:rPr>
          <w:rFonts w:ascii="Arial"/>
          <w:b/>
          <w:sz w:val="18"/>
        </w:rPr>
      </w:pPr>
      <w:r>
        <w:rPr>
          <w:rFonts w:ascii="Arial"/>
          <w:b/>
          <w:sz w:val="18"/>
        </w:rPr>
        <w:t>Chosen law more </w:t>
      </w:r>
      <w:r>
        <w:rPr>
          <w:rFonts w:ascii="Arial"/>
          <w:b/>
          <w:spacing w:val="-2"/>
          <w:sz w:val="18"/>
        </w:rPr>
        <w:t>favourable</w:t>
      </w:r>
    </w:p>
    <w:p>
      <w:pPr>
        <w:pStyle w:val="BodyText"/>
        <w:spacing w:before="41"/>
        <w:rPr>
          <w:rFonts w:ascii="Arial"/>
          <w:b/>
          <w:sz w:val="18"/>
        </w:rPr>
      </w:pPr>
    </w:p>
    <w:p>
      <w:pPr>
        <w:pStyle w:val="Heading2"/>
      </w:pPr>
      <w:r>
        <w:rPr/>
        <w:t>30-</w:t>
      </w:r>
      <w:r>
        <w:rPr>
          <w:spacing w:val="-5"/>
        </w:rPr>
        <w:t>116</w:t>
      </w:r>
    </w:p>
    <w:p>
      <w:pPr>
        <w:pStyle w:val="BodyText"/>
        <w:spacing w:line="235" w:lineRule="auto" w:before="203"/>
        <w:ind w:left="165" w:right="167"/>
        <w:jc w:val="both"/>
      </w:pPr>
      <w:r>
        <w:rPr/>
        <w:t>Where the chosen law gives less protection to the employee than would the mandatory rules of </w:t>
      </w:r>
      <w:r>
        <w:rPr/>
        <w:t>the law of the country which would have been applicable in the absence of choice, then the mandatory rules of the latter law will prevail over the chosen law. Conversely, where the chosen law is more favourable to the employee than the mandatory rules of the law which would be applicable in the </w:t>
      </w:r>
      <w:bookmarkStart w:name="_bookmark986" w:id="988"/>
      <w:bookmarkEnd w:id="988"/>
      <w:r>
        <w:rPr/>
        <w:t>absence</w:t>
      </w:r>
      <w:r>
        <w:rPr/>
        <w:t> of choice, then it can hardly be said that the employee is “deprived” of the protection of mandatory rules since he is better off under the chosen law, so that the chosen law should prevail.</w:t>
      </w:r>
      <w:r>
        <w:rPr>
          <w:spacing w:val="-1"/>
        </w:rPr>
        <w:t> </w:t>
      </w:r>
      <w:r>
        <w:rPr>
          <w:color w:val="005DA1"/>
          <w:u w:val="single" w:color="005DA1"/>
          <w:vertAlign w:val="superscript"/>
        </w:rPr>
        <w:t>577</w:t>
      </w:r>
      <w:r>
        <w:rPr>
          <w:color w:val="005DA1"/>
          <w:vertAlign w:val="baseline"/>
        </w:rPr>
        <w:t> </w:t>
      </w:r>
      <w:r>
        <w:rPr>
          <w:vertAlign w:val="baseline"/>
        </w:rPr>
        <w:t>Where, however, the rules of the chosen law and the mandatory rules of the law which would be applicable in the absence of choice are not in direct conflict but offer different rights or remedies to an employee</w:t>
      </w:r>
      <w:r>
        <w:rPr>
          <w:spacing w:val="-2"/>
          <w:vertAlign w:val="baseline"/>
        </w:rPr>
        <w:t> </w:t>
      </w:r>
      <w:r>
        <w:rPr>
          <w:vertAlign w:val="baseline"/>
        </w:rPr>
        <w:t>(say</w:t>
      </w:r>
      <w:r>
        <w:rPr>
          <w:spacing w:val="-2"/>
          <w:vertAlign w:val="baseline"/>
        </w:rPr>
        <w:t> </w:t>
      </w:r>
      <w:r>
        <w:rPr>
          <w:vertAlign w:val="baseline"/>
        </w:rPr>
        <w:t>compensation</w:t>
      </w:r>
      <w:r>
        <w:rPr>
          <w:spacing w:val="-2"/>
          <w:vertAlign w:val="baseline"/>
        </w:rPr>
        <w:t> </w:t>
      </w:r>
      <w:r>
        <w:rPr>
          <w:vertAlign w:val="baseline"/>
        </w:rPr>
        <w:t>for</w:t>
      </w:r>
      <w:r>
        <w:rPr>
          <w:spacing w:val="-2"/>
          <w:vertAlign w:val="baseline"/>
        </w:rPr>
        <w:t> </w:t>
      </w:r>
      <w:r>
        <w:rPr>
          <w:vertAlign w:val="baseline"/>
        </w:rPr>
        <w:t>unfair</w:t>
      </w:r>
      <w:r>
        <w:rPr>
          <w:spacing w:val="-2"/>
          <w:vertAlign w:val="baseline"/>
        </w:rPr>
        <w:t> </w:t>
      </w:r>
      <w:r>
        <w:rPr>
          <w:vertAlign w:val="baseline"/>
        </w:rPr>
        <w:t>dismissal</w:t>
      </w:r>
      <w:r>
        <w:rPr>
          <w:spacing w:val="-2"/>
          <w:vertAlign w:val="baseline"/>
        </w:rPr>
        <w:t> </w:t>
      </w:r>
      <w:r>
        <w:rPr>
          <w:vertAlign w:val="baseline"/>
        </w:rPr>
        <w:t>under</w:t>
      </w:r>
      <w:r>
        <w:rPr>
          <w:spacing w:val="-2"/>
          <w:vertAlign w:val="baseline"/>
        </w:rPr>
        <w:t> </w:t>
      </w:r>
      <w:r>
        <w:rPr>
          <w:vertAlign w:val="baseline"/>
        </w:rPr>
        <w:t>the</w:t>
      </w:r>
      <w:r>
        <w:rPr>
          <w:spacing w:val="-2"/>
          <w:vertAlign w:val="baseline"/>
        </w:rPr>
        <w:t> </w:t>
      </w:r>
      <w:r>
        <w:rPr>
          <w:vertAlign w:val="baseline"/>
        </w:rPr>
        <w:t>chosen</w:t>
      </w:r>
      <w:r>
        <w:rPr>
          <w:spacing w:val="-2"/>
          <w:vertAlign w:val="baseline"/>
        </w:rPr>
        <w:t> </w:t>
      </w:r>
      <w:r>
        <w:rPr>
          <w:vertAlign w:val="baseline"/>
        </w:rPr>
        <w:t>law,</w:t>
      </w:r>
      <w:r>
        <w:rPr>
          <w:spacing w:val="-2"/>
          <w:vertAlign w:val="baseline"/>
        </w:rPr>
        <w:t> </w:t>
      </w:r>
      <w:r>
        <w:rPr>
          <w:vertAlign w:val="baseline"/>
        </w:rPr>
        <w:t>in</w:t>
      </w:r>
      <w:r>
        <w:rPr>
          <w:spacing w:val="-2"/>
          <w:vertAlign w:val="baseline"/>
        </w:rPr>
        <w:t> </w:t>
      </w:r>
      <w:r>
        <w:rPr>
          <w:vertAlign w:val="baseline"/>
        </w:rPr>
        <w:t>contrast</w:t>
      </w:r>
      <w:r>
        <w:rPr>
          <w:spacing w:val="-2"/>
          <w:vertAlign w:val="baseline"/>
        </w:rPr>
        <w:t> </w:t>
      </w:r>
      <w:r>
        <w:rPr>
          <w:vertAlign w:val="baseline"/>
        </w:rPr>
        <w:t>with</w:t>
      </w:r>
      <w:r>
        <w:rPr>
          <w:spacing w:val="-2"/>
          <w:vertAlign w:val="baseline"/>
        </w:rPr>
        <w:t> </w:t>
      </w:r>
      <w:r>
        <w:rPr>
          <w:vertAlign w:val="baseline"/>
        </w:rPr>
        <w:t>reinstatement under the law applicable in the absence of choice) more difficulty arises. Article 6(1) merely says that the employee is not to be deprived of the protection of mandatory rules: it does not say he cannot have the benefit of the protective regime of both laws and since he would be deprived of</w:t>
      </w:r>
      <w:r>
        <w:rPr>
          <w:spacing w:val="40"/>
          <w:vertAlign w:val="baseline"/>
        </w:rPr>
        <w:t> </w:t>
      </w:r>
      <w:r>
        <w:rPr>
          <w:vertAlign w:val="baseline"/>
        </w:rPr>
        <w:t>reinstatement if he received only compensation, it could be said that he has been deprived of the </w:t>
      </w:r>
      <w:bookmarkStart w:name="_bookmark987" w:id="989"/>
      <w:bookmarkEnd w:id="989"/>
      <w:r>
        <w:rPr>
          <w:vertAlign w:val="baseline"/>
        </w:rPr>
        <w:t>protection</w:t>
      </w:r>
      <w:r>
        <w:rPr>
          <w:vertAlign w:val="baseline"/>
        </w:rPr>
        <w:t> of applicable mandatory rules. But it is difficult to accept that it was intended to benefit the employee in this way just because his contract contains a choice of law </w:t>
      </w:r>
      <w:r>
        <w:rPr>
          <w:color w:val="005DA1"/>
          <w:u w:val="single" w:color="005DA1"/>
          <w:vertAlign w:val="superscript"/>
        </w:rPr>
        <w:t>578</w:t>
      </w:r>
      <w:r>
        <w:rPr>
          <w:color w:val="005DA1"/>
          <w:vertAlign w:val="baseline"/>
        </w:rPr>
        <w:t> </w:t>
      </w:r>
      <w:r>
        <w:rPr>
          <w:vertAlign w:val="baseline"/>
        </w:rPr>
        <w:t>and, therefore, it is </w:t>
      </w:r>
      <w:bookmarkStart w:name="_bookmark988" w:id="990"/>
      <w:bookmarkEnd w:id="990"/>
      <w:r>
        <w:rPr>
          <w:vertAlign w:val="baseline"/>
        </w:rPr>
        <w:t>suggested</w:t>
      </w:r>
      <w:r>
        <w:rPr>
          <w:vertAlign w:val="baseline"/>
        </w:rPr>
        <w:t> that the correct solution in such situations is to apply the law most favourable to the </w:t>
      </w:r>
      <w:bookmarkStart w:name="_bookmark989" w:id="991"/>
      <w:bookmarkEnd w:id="991"/>
      <w:r>
        <w:rPr>
          <w:vertAlign w:val="baseline"/>
        </w:rPr>
        <w:t>employee</w:t>
      </w:r>
      <w:r>
        <w:rPr>
          <w:vertAlign w:val="baseline"/>
        </w:rPr>
        <w:t> </w:t>
      </w:r>
      <w:r>
        <w:rPr>
          <w:color w:val="005DA1"/>
          <w:u w:val="single" w:color="005DA1"/>
          <w:vertAlign w:val="superscript"/>
        </w:rPr>
        <w:t>579</w:t>
      </w:r>
      <w:r>
        <w:rPr>
          <w:color w:val="005DA1"/>
          <w:vertAlign w:val="baseline"/>
        </w:rPr>
        <w:t> </w:t>
      </w:r>
      <w:r>
        <w:rPr>
          <w:vertAlign w:val="baseline"/>
        </w:rPr>
        <w:t>despite the fact that it may not always be easy, in any given situation, to determine</w:t>
      </w:r>
      <w:r>
        <w:rPr>
          <w:spacing w:val="40"/>
          <w:vertAlign w:val="baseline"/>
        </w:rPr>
        <w:t> </w:t>
      </w:r>
      <w:r>
        <w:rPr>
          <w:vertAlign w:val="baseline"/>
        </w:rPr>
        <w:t>which law is most favourable. </w:t>
      </w:r>
      <w:r>
        <w:rPr>
          <w:color w:val="005DA1"/>
          <w:u w:val="single" w:color="005DA1"/>
          <w:vertAlign w:val="superscript"/>
        </w:rPr>
        <w:t>580</w:t>
      </w:r>
    </w:p>
    <w:p>
      <w:pPr>
        <w:pStyle w:val="BodyText"/>
      </w:pPr>
    </w:p>
    <w:p>
      <w:pPr>
        <w:pStyle w:val="BodyText"/>
        <w:spacing w:before="32"/>
      </w:pPr>
    </w:p>
    <w:p>
      <w:pPr>
        <w:spacing w:before="0"/>
        <w:ind w:left="165" w:right="0" w:firstLine="0"/>
        <w:jc w:val="left"/>
        <w:rPr>
          <w:rFonts w:ascii="Arial"/>
          <w:b/>
          <w:sz w:val="18"/>
        </w:rPr>
      </w:pPr>
      <w:r>
        <w:rPr>
          <w:rFonts w:ascii="Arial"/>
          <w:b/>
          <w:sz w:val="18"/>
        </w:rPr>
        <w:t>Rules which are mandatory irrespective of applicable </w:t>
      </w:r>
      <w:r>
        <w:rPr>
          <w:rFonts w:ascii="Arial"/>
          <w:b/>
          <w:spacing w:val="-5"/>
          <w:sz w:val="18"/>
        </w:rPr>
        <w:t>law</w:t>
      </w:r>
    </w:p>
    <w:p>
      <w:pPr>
        <w:pStyle w:val="BodyText"/>
        <w:spacing w:before="41"/>
        <w:rPr>
          <w:rFonts w:ascii="Arial"/>
          <w:b/>
          <w:sz w:val="18"/>
        </w:rPr>
      </w:pPr>
    </w:p>
    <w:p>
      <w:pPr>
        <w:pStyle w:val="Heading2"/>
      </w:pPr>
      <w:r>
        <w:rPr/>
        <w:t>30-</w:t>
      </w:r>
      <w:r>
        <w:rPr>
          <w:spacing w:val="-5"/>
        </w:rPr>
        <w:t>117</w:t>
      </w:r>
    </w:p>
    <w:p>
      <w:pPr>
        <w:pStyle w:val="BodyText"/>
        <w:spacing w:line="235" w:lineRule="auto" w:before="203"/>
        <w:ind w:left="165" w:right="167"/>
        <w:jc w:val="both"/>
      </w:pPr>
      <w:bookmarkStart w:name="_bookmark990" w:id="992"/>
      <w:bookmarkEnd w:id="992"/>
      <w:r>
        <w:rPr/>
      </w:r>
      <w:r>
        <w:rPr/>
        <w:t>It would seem implicit in art.6(1) that mandatory rules applicable thereunder should relate to </w:t>
      </w:r>
      <w:r>
        <w:rPr/>
        <w:t>the protection of employees. However, art.7(2) can also apply to employment contracts </w:t>
      </w:r>
      <w:r>
        <w:rPr>
          <w:color w:val="005DA1"/>
          <w:u w:val="single" w:color="005DA1"/>
          <w:vertAlign w:val="superscript"/>
        </w:rPr>
        <w:t>581</w:t>
      </w:r>
      <w:r>
        <w:rPr>
          <w:color w:val="005DA1"/>
          <w:vertAlign w:val="baseline"/>
        </w:rPr>
        <w:t> </w:t>
      </w:r>
      <w:r>
        <w:rPr>
          <w:vertAlign w:val="baseline"/>
        </w:rPr>
        <w:t>to secure the </w:t>
      </w:r>
      <w:bookmarkStart w:name="_bookmark991" w:id="993"/>
      <w:bookmarkEnd w:id="993"/>
      <w:r>
        <w:rPr>
          <w:vertAlign w:val="baseline"/>
        </w:rPr>
        <w:t>application</w:t>
      </w:r>
      <w:r>
        <w:rPr>
          <w:vertAlign w:val="baseline"/>
        </w:rPr>
        <w:t> of English rules in a situation where they are mandatory irrespective of the law applicable to the contract. Such rules need not necessarily relate to employment protection, but many will. </w:t>
      </w:r>
      <w:r>
        <w:rPr>
          <w:color w:val="005DA1"/>
          <w:u w:val="single" w:color="005DA1"/>
          <w:vertAlign w:val="superscript"/>
        </w:rPr>
        <w:t>582</w:t>
      </w:r>
    </w:p>
    <w:p>
      <w:pPr>
        <w:pStyle w:val="BodyText"/>
      </w:pPr>
    </w:p>
    <w:p>
      <w:pPr>
        <w:pStyle w:val="BodyText"/>
        <w:spacing w:before="37"/>
      </w:pPr>
    </w:p>
    <w:p>
      <w:pPr>
        <w:spacing w:before="0"/>
        <w:ind w:left="165" w:right="0" w:firstLine="0"/>
        <w:jc w:val="left"/>
        <w:rPr>
          <w:rFonts w:ascii="Arial"/>
          <w:b/>
          <w:sz w:val="18"/>
        </w:rPr>
      </w:pPr>
      <w:r>
        <w:rPr>
          <w:rFonts w:ascii="Arial"/>
          <w:b/>
          <w:sz w:val="18"/>
        </w:rPr>
        <w:t>Applicable law in absence of </w:t>
      </w:r>
      <w:r>
        <w:rPr>
          <w:rFonts w:ascii="Arial"/>
          <w:b/>
          <w:spacing w:val="-2"/>
          <w:sz w:val="18"/>
        </w:rPr>
        <w:t>choice</w:t>
      </w:r>
    </w:p>
    <w:p>
      <w:pPr>
        <w:pStyle w:val="BodyText"/>
        <w:spacing w:before="41"/>
        <w:rPr>
          <w:rFonts w:ascii="Arial"/>
          <w:b/>
          <w:sz w:val="18"/>
        </w:rPr>
      </w:pPr>
    </w:p>
    <w:p>
      <w:pPr>
        <w:pStyle w:val="Heading2"/>
      </w:pPr>
      <w:r>
        <w:rPr/>
        <w:t>30-</w:t>
      </w:r>
      <w:r>
        <w:rPr>
          <w:spacing w:val="-5"/>
        </w:rPr>
        <w:t>118</w:t>
      </w:r>
    </w:p>
    <w:p>
      <w:pPr>
        <w:pStyle w:val="BodyText"/>
        <w:spacing w:line="235" w:lineRule="auto" w:before="203"/>
        <w:ind w:left="165" w:right="167"/>
        <w:jc w:val="both"/>
      </w:pPr>
      <w:r>
        <w:rPr/>
        <w:t>In effect art.6(2) supplies two presumptions as to what the applicable law will be in the absence of </w:t>
      </w:r>
      <w:r>
        <w:rPr/>
        <w:t>a </w:t>
      </w:r>
      <w:bookmarkStart w:name="_bookmark992" w:id="994"/>
      <w:bookmarkEnd w:id="994"/>
      <w:r>
        <w:rPr/>
        <w:t>choice</w:t>
      </w:r>
      <w:r>
        <w:rPr>
          <w:spacing w:val="-1"/>
        </w:rPr>
        <w:t> </w:t>
      </w:r>
      <w:r>
        <w:rPr/>
        <w:t>of</w:t>
      </w:r>
      <w:r>
        <w:rPr>
          <w:spacing w:val="-1"/>
        </w:rPr>
        <w:t> </w:t>
      </w:r>
      <w:r>
        <w:rPr/>
        <w:t>law,</w:t>
      </w:r>
      <w:r>
        <w:rPr>
          <w:spacing w:val="-1"/>
        </w:rPr>
        <w:t> </w:t>
      </w:r>
      <w:r>
        <w:rPr/>
        <w:t>each</w:t>
      </w:r>
      <w:r>
        <w:rPr>
          <w:spacing w:val="-1"/>
        </w:rPr>
        <w:t> </w:t>
      </w:r>
      <w:r>
        <w:rPr/>
        <w:t>presumption</w:t>
      </w:r>
      <w:r>
        <w:rPr>
          <w:spacing w:val="-1"/>
        </w:rPr>
        <w:t> </w:t>
      </w:r>
      <w:r>
        <w:rPr/>
        <w:t>being</w:t>
      </w:r>
      <w:r>
        <w:rPr>
          <w:spacing w:val="-1"/>
        </w:rPr>
        <w:t> </w:t>
      </w:r>
      <w:r>
        <w:rPr/>
        <w:t>rebuttable</w:t>
      </w:r>
      <w:r>
        <w:rPr>
          <w:spacing w:val="-1"/>
        </w:rPr>
        <w:t> </w:t>
      </w:r>
      <w:r>
        <w:rPr/>
        <w:t>according</w:t>
      </w:r>
      <w:r>
        <w:rPr>
          <w:spacing w:val="-1"/>
        </w:rPr>
        <w:t> </w:t>
      </w:r>
      <w:r>
        <w:rPr/>
        <w:t>to</w:t>
      </w:r>
      <w:r>
        <w:rPr>
          <w:spacing w:val="-1"/>
        </w:rPr>
        <w:t> </w:t>
      </w:r>
      <w:r>
        <w:rPr/>
        <w:t>the</w:t>
      </w:r>
      <w:r>
        <w:rPr>
          <w:spacing w:val="-1"/>
        </w:rPr>
        <w:t> </w:t>
      </w:r>
      <w:r>
        <w:rPr/>
        <w:t>proviso</w:t>
      </w:r>
      <w:r>
        <w:rPr>
          <w:spacing w:val="-1"/>
        </w:rPr>
        <w:t> </w:t>
      </w:r>
      <w:r>
        <w:rPr/>
        <w:t>to</w:t>
      </w:r>
      <w:r>
        <w:rPr>
          <w:spacing w:val="-1"/>
        </w:rPr>
        <w:t> </w:t>
      </w:r>
      <w:r>
        <w:rPr/>
        <w:t>art.6(2)</w:t>
      </w:r>
      <w:r>
        <w:rPr>
          <w:spacing w:val="-1"/>
        </w:rPr>
        <w:t> </w:t>
      </w:r>
      <w:r>
        <w:rPr/>
        <w:t>if</w:t>
      </w:r>
      <w:r>
        <w:rPr>
          <w:spacing w:val="-1"/>
        </w:rPr>
        <w:t> </w:t>
      </w:r>
      <w:r>
        <w:rPr/>
        <w:t>it</w:t>
      </w:r>
      <w:r>
        <w:rPr>
          <w:spacing w:val="-1"/>
        </w:rPr>
        <w:t> </w:t>
      </w:r>
      <w:r>
        <w:rPr/>
        <w:t>appears</w:t>
      </w:r>
      <w:r>
        <w:rPr>
          <w:spacing w:val="-1"/>
        </w:rPr>
        <w:t> </w:t>
      </w:r>
      <w:r>
        <w:rPr/>
        <w:t>from the circumstances as a whole that the contract is more closely connected with another country. </w:t>
      </w:r>
      <w:r>
        <w:rPr>
          <w:color w:val="005DA1"/>
          <w:u w:val="single" w:color="005DA1"/>
          <w:vertAlign w:val="superscript"/>
        </w:rPr>
        <w:t>583</w:t>
      </w:r>
      <w:r>
        <w:rPr>
          <w:color w:val="005DA1"/>
          <w:vertAlign w:val="baseline"/>
        </w:rPr>
        <w:t> </w:t>
      </w:r>
      <w:r>
        <w:rPr>
          <w:vertAlign w:val="baseline"/>
        </w:rPr>
        <w:t>Where the employee habitually carries out his work in performance of the contract in a particular country then the law of that country will govern (subject to the proviso) even if the employee is temporarily employed in another country. But this provision must be interpreted as meaning that, in a situation</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an</w:t>
      </w:r>
      <w:r>
        <w:rPr>
          <w:spacing w:val="-1"/>
          <w:vertAlign w:val="baseline"/>
        </w:rPr>
        <w:t> </w:t>
      </w:r>
      <w:r>
        <w:rPr>
          <w:vertAlign w:val="baseline"/>
        </w:rPr>
        <w:t>employee</w:t>
      </w:r>
      <w:r>
        <w:rPr>
          <w:spacing w:val="-1"/>
          <w:vertAlign w:val="baseline"/>
        </w:rPr>
        <w:t> </w:t>
      </w:r>
      <w:r>
        <w:rPr>
          <w:vertAlign w:val="baseline"/>
        </w:rPr>
        <w:t>carries</w:t>
      </w:r>
      <w:r>
        <w:rPr>
          <w:spacing w:val="-1"/>
          <w:vertAlign w:val="baseline"/>
        </w:rPr>
        <w:t> </w:t>
      </w:r>
      <w:r>
        <w:rPr>
          <w:vertAlign w:val="baseline"/>
        </w:rPr>
        <w:t>out</w:t>
      </w:r>
      <w:r>
        <w:rPr>
          <w:spacing w:val="-1"/>
          <w:vertAlign w:val="baseline"/>
        </w:rPr>
        <w:t> </w:t>
      </w:r>
      <w:r>
        <w:rPr>
          <w:vertAlign w:val="baseline"/>
        </w:rPr>
        <w:t>his</w:t>
      </w:r>
      <w:r>
        <w:rPr>
          <w:spacing w:val="-1"/>
          <w:vertAlign w:val="baseline"/>
        </w:rPr>
        <w:t> </w:t>
      </w:r>
      <w:r>
        <w:rPr>
          <w:vertAlign w:val="baseline"/>
        </w:rPr>
        <w:t>activities</w:t>
      </w:r>
      <w:r>
        <w:rPr>
          <w:spacing w:val="-1"/>
          <w:vertAlign w:val="baseline"/>
        </w:rPr>
        <w:t> </w:t>
      </w:r>
      <w:r>
        <w:rPr>
          <w:vertAlign w:val="baseline"/>
        </w:rPr>
        <w:t>in</w:t>
      </w:r>
      <w:r>
        <w:rPr>
          <w:spacing w:val="-1"/>
          <w:vertAlign w:val="baseline"/>
        </w:rPr>
        <w:t> </w:t>
      </w:r>
      <w:r>
        <w:rPr>
          <w:vertAlign w:val="baseline"/>
        </w:rPr>
        <w:t>more</w:t>
      </w:r>
      <w:r>
        <w:rPr>
          <w:spacing w:val="-1"/>
          <w:vertAlign w:val="baseline"/>
        </w:rPr>
        <w:t> </w:t>
      </w:r>
      <w:r>
        <w:rPr>
          <w:vertAlign w:val="baseline"/>
        </w:rPr>
        <w:t>than</w:t>
      </w:r>
      <w:r>
        <w:rPr>
          <w:spacing w:val="-1"/>
          <w:vertAlign w:val="baseline"/>
        </w:rPr>
        <w:t> </w:t>
      </w:r>
      <w:r>
        <w:rPr>
          <w:vertAlign w:val="baseline"/>
        </w:rPr>
        <w:t>one</w:t>
      </w:r>
      <w:r>
        <w:rPr>
          <w:spacing w:val="-1"/>
          <w:vertAlign w:val="baseline"/>
        </w:rPr>
        <w:t> </w:t>
      </w:r>
      <w:r>
        <w:rPr>
          <w:vertAlign w:val="baseline"/>
        </w:rPr>
        <w:t>country,</w:t>
      </w:r>
      <w:r>
        <w:rPr>
          <w:spacing w:val="-1"/>
          <w:vertAlign w:val="baseline"/>
        </w:rPr>
        <w:t> </w:t>
      </w:r>
      <w:r>
        <w:rPr>
          <w:vertAlign w:val="baseline"/>
        </w:rPr>
        <w:t>the</w:t>
      </w:r>
      <w:r>
        <w:rPr>
          <w:spacing w:val="-1"/>
          <w:vertAlign w:val="baseline"/>
        </w:rPr>
        <w:t> </w:t>
      </w:r>
      <w:r>
        <w:rPr>
          <w:vertAlign w:val="baseline"/>
        </w:rPr>
        <w:t>country</w:t>
      </w:r>
      <w:r>
        <w:rPr>
          <w:spacing w:val="-1"/>
          <w:vertAlign w:val="baseline"/>
        </w:rPr>
        <w:t> </w:t>
      </w:r>
      <w:r>
        <w:rPr>
          <w:vertAlign w:val="baseline"/>
        </w:rPr>
        <w:t>in</w:t>
      </w:r>
      <w:r>
        <w:rPr>
          <w:spacing w:val="-1"/>
          <w:vertAlign w:val="baseline"/>
        </w:rPr>
        <w:t> </w:t>
      </w:r>
      <w:r>
        <w:rPr>
          <w:vertAlign w:val="baseline"/>
        </w:rPr>
        <w:t>which the employee habitually carries out his work in performance of the contract, within the meaning of the </w:t>
      </w:r>
      <w:bookmarkStart w:name="_bookmark993" w:id="995"/>
      <w:bookmarkEnd w:id="995"/>
      <w:r>
        <w:rPr>
          <w:vertAlign w:val="baseline"/>
        </w:rPr>
        <w:t>provision,</w:t>
      </w:r>
      <w:r>
        <w:rPr>
          <w:vertAlign w:val="baseline"/>
        </w:rPr>
        <w:t> is that in which or from which, in the light of all the factors which characterise the work, the employee</w:t>
      </w:r>
      <w:r>
        <w:rPr>
          <w:spacing w:val="-4"/>
          <w:vertAlign w:val="baseline"/>
        </w:rPr>
        <w:t> </w:t>
      </w:r>
      <w:r>
        <w:rPr>
          <w:vertAlign w:val="baseline"/>
        </w:rPr>
        <w:t>performs</w:t>
      </w:r>
      <w:r>
        <w:rPr>
          <w:spacing w:val="-4"/>
          <w:vertAlign w:val="baseline"/>
        </w:rPr>
        <w:t> </w:t>
      </w:r>
      <w:r>
        <w:rPr>
          <w:vertAlign w:val="baseline"/>
        </w:rPr>
        <w:t>the</w:t>
      </w:r>
      <w:r>
        <w:rPr>
          <w:spacing w:val="-4"/>
          <w:vertAlign w:val="baseline"/>
        </w:rPr>
        <w:t> </w:t>
      </w:r>
      <w:r>
        <w:rPr>
          <w:vertAlign w:val="baseline"/>
        </w:rPr>
        <w:t>greater</w:t>
      </w:r>
      <w:r>
        <w:rPr>
          <w:spacing w:val="-4"/>
          <w:vertAlign w:val="baseline"/>
        </w:rPr>
        <w:t> </w:t>
      </w:r>
      <w:r>
        <w:rPr>
          <w:vertAlign w:val="baseline"/>
        </w:rPr>
        <w:t>part</w:t>
      </w:r>
      <w:r>
        <w:rPr>
          <w:spacing w:val="-4"/>
          <w:vertAlign w:val="baseline"/>
        </w:rPr>
        <w:t> </w:t>
      </w:r>
      <w:r>
        <w:rPr>
          <w:vertAlign w:val="baseline"/>
        </w:rPr>
        <w:t>of</w:t>
      </w:r>
      <w:r>
        <w:rPr>
          <w:spacing w:val="-4"/>
          <w:vertAlign w:val="baseline"/>
        </w:rPr>
        <w:t> </w:t>
      </w:r>
      <w:r>
        <w:rPr>
          <w:vertAlign w:val="baseline"/>
        </w:rPr>
        <w:t>his</w:t>
      </w:r>
      <w:r>
        <w:rPr>
          <w:spacing w:val="-4"/>
          <w:vertAlign w:val="baseline"/>
        </w:rPr>
        <w:t> </w:t>
      </w:r>
      <w:r>
        <w:rPr>
          <w:vertAlign w:val="baseline"/>
        </w:rPr>
        <w:t>obligations</w:t>
      </w:r>
      <w:r>
        <w:rPr>
          <w:spacing w:val="-4"/>
          <w:vertAlign w:val="baseline"/>
        </w:rPr>
        <w:t> </w:t>
      </w:r>
      <w:r>
        <w:rPr>
          <w:vertAlign w:val="baseline"/>
        </w:rPr>
        <w:t>towards</w:t>
      </w:r>
      <w:r>
        <w:rPr>
          <w:spacing w:val="-4"/>
          <w:vertAlign w:val="baseline"/>
        </w:rPr>
        <w:t> </w:t>
      </w:r>
      <w:r>
        <w:rPr>
          <w:vertAlign w:val="baseline"/>
        </w:rPr>
        <w:t>his</w:t>
      </w:r>
      <w:r>
        <w:rPr>
          <w:spacing w:val="-4"/>
          <w:vertAlign w:val="baseline"/>
        </w:rPr>
        <w:t> </w:t>
      </w:r>
      <w:r>
        <w:rPr>
          <w:vertAlign w:val="baseline"/>
        </w:rPr>
        <w:t>employer.</w:t>
      </w:r>
      <w:r>
        <w:rPr>
          <w:spacing w:val="-5"/>
          <w:vertAlign w:val="baseline"/>
        </w:rPr>
        <w:t> </w:t>
      </w:r>
      <w:r>
        <w:rPr>
          <w:color w:val="005DA1"/>
          <w:u w:val="single" w:color="005DA1"/>
          <w:vertAlign w:val="superscript"/>
        </w:rPr>
        <w:t>584</w:t>
      </w:r>
      <w:r>
        <w:rPr>
          <w:color w:val="005DA1"/>
          <w:spacing w:val="-5"/>
          <w:vertAlign w:val="baseline"/>
        </w:rPr>
        <w:t> </w:t>
      </w:r>
      <w:r>
        <w:rPr>
          <w:vertAlign w:val="baseline"/>
        </w:rPr>
        <w:t>Article</w:t>
      </w:r>
      <w:r>
        <w:rPr>
          <w:spacing w:val="-4"/>
          <w:vertAlign w:val="baseline"/>
        </w:rPr>
        <w:t> </w:t>
      </w:r>
      <w:r>
        <w:rPr>
          <w:vertAlign w:val="baseline"/>
        </w:rPr>
        <w:t>6(2)(b)</w:t>
      </w:r>
      <w:r>
        <w:rPr>
          <w:spacing w:val="-4"/>
          <w:vertAlign w:val="baseline"/>
        </w:rPr>
        <w:t> </w:t>
      </w:r>
      <w:r>
        <w:rPr>
          <w:vertAlign w:val="baseline"/>
        </w:rPr>
        <w:t>provides that if the employee does not habitually carry out his work in any one country then the applicable law </w:t>
      </w:r>
      <w:bookmarkStart w:name="_bookmark994" w:id="996"/>
      <w:bookmarkEnd w:id="996"/>
      <w:r>
        <w:rPr>
          <w:vertAlign w:val="baseline"/>
        </w:rPr>
        <w:t>will</w:t>
      </w:r>
      <w:r>
        <w:rPr>
          <w:vertAlign w:val="baseline"/>
        </w:rPr>
        <w:t> (subject to the proviso) be the law of the country in which the place of business through which he was</w:t>
      </w:r>
      <w:r>
        <w:rPr>
          <w:spacing w:val="38"/>
          <w:vertAlign w:val="baseline"/>
        </w:rPr>
        <w:t> </w:t>
      </w:r>
      <w:r>
        <w:rPr>
          <w:vertAlign w:val="baseline"/>
        </w:rPr>
        <w:t>engaged</w:t>
      </w:r>
      <w:r>
        <w:rPr>
          <w:spacing w:val="39"/>
          <w:vertAlign w:val="baseline"/>
        </w:rPr>
        <w:t> </w:t>
      </w:r>
      <w:r>
        <w:rPr>
          <w:vertAlign w:val="baseline"/>
        </w:rPr>
        <w:t>is</w:t>
      </w:r>
      <w:r>
        <w:rPr>
          <w:spacing w:val="39"/>
          <w:vertAlign w:val="baseline"/>
        </w:rPr>
        <w:t> </w:t>
      </w:r>
      <w:r>
        <w:rPr>
          <w:vertAlign w:val="baseline"/>
        </w:rPr>
        <w:t>situated.</w:t>
      </w:r>
      <w:r>
        <w:rPr>
          <w:spacing w:val="39"/>
          <w:vertAlign w:val="baseline"/>
        </w:rPr>
        <w:t> </w:t>
      </w:r>
      <w:r>
        <w:rPr>
          <w:color w:val="005DA1"/>
          <w:u w:val="single" w:color="005DA1"/>
          <w:vertAlign w:val="superscript"/>
        </w:rPr>
        <w:t>585</w:t>
      </w:r>
      <w:r>
        <w:rPr>
          <w:color w:val="005DA1"/>
          <w:spacing w:val="39"/>
          <w:vertAlign w:val="baseline"/>
        </w:rPr>
        <w:t> </w:t>
      </w:r>
      <w:r>
        <w:rPr>
          <w:vertAlign w:val="baseline"/>
        </w:rPr>
        <w:t>Article</w:t>
      </w:r>
      <w:r>
        <w:rPr>
          <w:spacing w:val="39"/>
          <w:vertAlign w:val="baseline"/>
        </w:rPr>
        <w:t> </w:t>
      </w:r>
      <w:r>
        <w:rPr>
          <w:vertAlign w:val="baseline"/>
        </w:rPr>
        <w:t>6(2)(a)</w:t>
      </w:r>
      <w:r>
        <w:rPr>
          <w:spacing w:val="38"/>
          <w:vertAlign w:val="baseline"/>
        </w:rPr>
        <w:t> </w:t>
      </w:r>
      <w:r>
        <w:rPr>
          <w:vertAlign w:val="baseline"/>
        </w:rPr>
        <w:t>is</w:t>
      </w:r>
      <w:r>
        <w:rPr>
          <w:spacing w:val="39"/>
          <w:vertAlign w:val="baseline"/>
        </w:rPr>
        <w:t> </w:t>
      </w:r>
      <w:r>
        <w:rPr>
          <w:vertAlign w:val="baseline"/>
        </w:rPr>
        <w:t>thus</w:t>
      </w:r>
      <w:r>
        <w:rPr>
          <w:spacing w:val="39"/>
          <w:vertAlign w:val="baseline"/>
        </w:rPr>
        <w:t> </w:t>
      </w:r>
      <w:r>
        <w:rPr>
          <w:vertAlign w:val="baseline"/>
        </w:rPr>
        <w:t>concerned</w:t>
      </w:r>
      <w:r>
        <w:rPr>
          <w:spacing w:val="39"/>
          <w:vertAlign w:val="baseline"/>
        </w:rPr>
        <w:t> </w:t>
      </w:r>
      <w:r>
        <w:rPr>
          <w:vertAlign w:val="baseline"/>
        </w:rPr>
        <w:t>solely</w:t>
      </w:r>
      <w:r>
        <w:rPr>
          <w:spacing w:val="39"/>
          <w:vertAlign w:val="baseline"/>
        </w:rPr>
        <w:t> </w:t>
      </w:r>
      <w:r>
        <w:rPr>
          <w:vertAlign w:val="baseline"/>
        </w:rPr>
        <w:t>with</w:t>
      </w:r>
      <w:r>
        <w:rPr>
          <w:spacing w:val="39"/>
          <w:vertAlign w:val="baseline"/>
        </w:rPr>
        <w:t> </w:t>
      </w:r>
      <w:r>
        <w:rPr>
          <w:vertAlign w:val="baseline"/>
        </w:rPr>
        <w:t>the</w:t>
      </w:r>
      <w:r>
        <w:rPr>
          <w:spacing w:val="38"/>
          <w:vertAlign w:val="baseline"/>
        </w:rPr>
        <w:t> </w:t>
      </w:r>
      <w:r>
        <w:rPr>
          <w:vertAlign w:val="baseline"/>
        </w:rPr>
        <w:t>situation</w:t>
      </w:r>
      <w:r>
        <w:rPr>
          <w:spacing w:val="39"/>
          <w:vertAlign w:val="baseline"/>
        </w:rPr>
        <w:t> </w:t>
      </w:r>
      <w:r>
        <w:rPr>
          <w:vertAlign w:val="baseline"/>
        </w:rPr>
        <w:t>where</w:t>
      </w:r>
      <w:r>
        <w:rPr>
          <w:spacing w:val="39"/>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employee</w:t>
      </w:r>
      <w:r>
        <w:rPr>
          <w:spacing w:val="-1"/>
        </w:rPr>
        <w:t> </w:t>
      </w:r>
      <w:r>
        <w:rPr/>
        <w:t>habitually</w:t>
      </w:r>
      <w:r>
        <w:rPr>
          <w:spacing w:val="-1"/>
        </w:rPr>
        <w:t> </w:t>
      </w:r>
      <w:r>
        <w:rPr/>
        <w:t>carries</w:t>
      </w:r>
      <w:r>
        <w:rPr>
          <w:spacing w:val="-1"/>
        </w:rPr>
        <w:t> </w:t>
      </w:r>
      <w:r>
        <w:rPr/>
        <w:t>out</w:t>
      </w:r>
      <w:r>
        <w:rPr>
          <w:spacing w:val="-1"/>
        </w:rPr>
        <w:t> </w:t>
      </w:r>
      <w:r>
        <w:rPr/>
        <w:t>his</w:t>
      </w:r>
      <w:r>
        <w:rPr>
          <w:spacing w:val="-1"/>
        </w:rPr>
        <w:t> </w:t>
      </w:r>
      <w:r>
        <w:rPr/>
        <w:t>work</w:t>
      </w:r>
      <w:r>
        <w:rPr>
          <w:spacing w:val="-1"/>
        </w:rPr>
        <w:t> </w:t>
      </w:r>
      <w:r>
        <w:rPr/>
        <w:t>in</w:t>
      </w:r>
      <w:r>
        <w:rPr>
          <w:spacing w:val="-1"/>
        </w:rPr>
        <w:t> </w:t>
      </w:r>
      <w:r>
        <w:rPr/>
        <w:t>one</w:t>
      </w:r>
      <w:r>
        <w:rPr>
          <w:spacing w:val="-1"/>
        </w:rPr>
        <w:t> </w:t>
      </w:r>
      <w:r>
        <w:rPr/>
        <w:t>country</w:t>
      </w:r>
      <w:r>
        <w:rPr>
          <w:spacing w:val="-1"/>
        </w:rPr>
        <w:t> </w:t>
      </w:r>
      <w:r>
        <w:rPr/>
        <w:t>only,</w:t>
      </w:r>
      <w:r>
        <w:rPr>
          <w:spacing w:val="-1"/>
        </w:rPr>
        <w:t> </w:t>
      </w:r>
      <w:r>
        <w:rPr/>
        <w:t>as</w:t>
      </w:r>
      <w:r>
        <w:rPr>
          <w:spacing w:val="-1"/>
        </w:rPr>
        <w:t> </w:t>
      </w:r>
      <w:r>
        <w:rPr/>
        <w:t>described</w:t>
      </w:r>
      <w:r>
        <w:rPr>
          <w:spacing w:val="-1"/>
        </w:rPr>
        <w:t> </w:t>
      </w:r>
      <w:r>
        <w:rPr/>
        <w:t>above</w:t>
      </w:r>
      <w:r>
        <w:rPr>
          <w:spacing w:val="-1"/>
        </w:rPr>
        <w:t> </w:t>
      </w:r>
      <w:r>
        <w:rPr/>
        <w:t>(which</w:t>
      </w:r>
      <w:r>
        <w:rPr>
          <w:spacing w:val="-1"/>
        </w:rPr>
        <w:t> </w:t>
      </w:r>
      <w:r>
        <w:rPr/>
        <w:t>is</w:t>
      </w:r>
      <w:r>
        <w:rPr>
          <w:spacing w:val="-1"/>
        </w:rPr>
        <w:t> </w:t>
      </w:r>
      <w:r>
        <w:rPr/>
        <w:t>not</w:t>
      </w:r>
      <w:r>
        <w:rPr>
          <w:spacing w:val="-1"/>
        </w:rPr>
        <w:t> </w:t>
      </w:r>
      <w:r>
        <w:rPr/>
        <w:t>a</w:t>
      </w:r>
      <w:r>
        <w:rPr>
          <w:spacing w:val="-1"/>
        </w:rPr>
        <w:t> </w:t>
      </w:r>
      <w:r>
        <w:rPr/>
        <w:t>literal meaning). Where the work is habitually carried out in more than one country, art.6(2)(b) applies.</w:t>
      </w:r>
      <w:r>
        <w:rPr>
          <w:spacing w:val="80"/>
        </w:rPr>
        <w:t> </w:t>
      </w:r>
      <w:r>
        <w:rPr/>
        <w:t>Thus, where art.6(2)(a) is not satisfied, the concept of the place of business through which the employee was engaged must be understood as referring exclusively to the place of business which engaged the employee and not to that with which the employee is connected by his actual employment: the possession of legal personality does not constitute a requirement which must be fulfilled by the place of business of the employer within the meaning of art.6(2)(b); and the place of business of an undertaking other than that which is formally referred to as the employer, with which that undertaking has connections, may be classified as a place of business if there are objective factors enabling an actual situation to be established which differs from that which appears from the </w:t>
      </w:r>
      <w:bookmarkStart w:name="_bookmark995" w:id="997"/>
      <w:bookmarkEnd w:id="997"/>
      <w:r>
        <w:rPr/>
        <w:t>terms</w:t>
      </w:r>
      <w:r>
        <w:rPr/>
        <w:t> of the contract and even though the authority of the employer has not been formally transferred to that other undertaking. </w:t>
      </w:r>
      <w:r>
        <w:rPr>
          <w:color w:val="005DA1"/>
          <w:u w:val="single" w:color="005DA1"/>
          <w:vertAlign w:val="superscript"/>
        </w:rPr>
        <w:t>586</w:t>
      </w:r>
      <w:r>
        <w:rPr>
          <w:color w:val="005DA1"/>
          <w:vertAlign w:val="baseline"/>
        </w:rPr>
        <w:t> </w:t>
      </w:r>
      <w:r>
        <w:rPr>
          <w:vertAlign w:val="baseline"/>
        </w:rPr>
        <w:t>This will also be the case where the employee habitually carries out his </w:t>
      </w:r>
      <w:bookmarkStart w:name="_bookmark996" w:id="998"/>
      <w:bookmarkEnd w:id="998"/>
      <w:r>
        <w:rPr>
          <w:vertAlign w:val="baseline"/>
        </w:rPr>
        <w:t>work</w:t>
      </w:r>
      <w:r>
        <w:rPr>
          <w:vertAlign w:val="baseline"/>
        </w:rPr>
        <w:t> in no particular country or where he habitually carries out his work in a place which is not a country (e.g. on a ship or oil rig). </w:t>
      </w:r>
      <w:r>
        <w:rPr>
          <w:color w:val="005DA1"/>
          <w:u w:val="single" w:color="005DA1"/>
          <w:vertAlign w:val="superscript"/>
        </w:rPr>
        <w:t>587</w:t>
      </w:r>
    </w:p>
    <w:p>
      <w:pPr>
        <w:pStyle w:val="BodyText"/>
        <w:spacing w:before="76"/>
      </w:pPr>
    </w:p>
    <w:p>
      <w:pPr>
        <w:pStyle w:val="Heading2"/>
      </w:pPr>
      <w:r>
        <w:rPr/>
        <w:t>30-</w:t>
      </w:r>
      <w:r>
        <w:rPr>
          <w:spacing w:val="-5"/>
        </w:rPr>
        <w:t>119</w:t>
      </w:r>
    </w:p>
    <w:p>
      <w:pPr>
        <w:pStyle w:val="BodyText"/>
        <w:spacing w:line="235" w:lineRule="auto" w:before="203"/>
        <w:ind w:left="165" w:right="167"/>
        <w:jc w:val="both"/>
      </w:pPr>
      <w:r>
        <w:rPr/>
        <w:t>If it appears from the circumstances as a whole that the contract is more closely connected with another country than it is with the country indicated by art.6(2)(a) or 6(2)(b), as the case may be, then the law of that other country will be the governing law. How easy it will be to displace art.6(2)(a) </w:t>
      </w:r>
      <w:r>
        <w:rPr/>
        <w:t>and 6(2)(b) will depend on the strength which will be accorded to those presumptive rules. In </w:t>
      </w:r>
      <w:r>
        <w:rPr>
          <w:rFonts w:ascii="Arial"/>
          <w:i/>
        </w:rPr>
        <w:t>Schlecker v Boedeker (C-64/12)</w:t>
      </w:r>
      <w:r>
        <w:rPr/>
        <w:t>, a German national and resident worked exclusively in the Netherlands for 11 years. However, the law of the Netherlands was displaced in favour of the law of Germany (which</w:t>
      </w:r>
      <w:r>
        <w:rPr>
          <w:spacing w:val="80"/>
        </w:rPr>
        <w:t> </w:t>
      </w:r>
      <w:r>
        <w:rPr/>
        <w:t>was less favourable to the employee). The court identified as significant factors suggestive of a connection the fact that Germany was the country where the employee paid taxes and was covered by social security schemes, pension provision, sickness insurance and invalidity schemes. The court also made it clear that parameters relating to salary determination and working conditions would be important. The court did not seem to be influenced by the fact that the law applicable through the </w:t>
      </w:r>
      <w:bookmarkStart w:name="_bookmark997" w:id="999"/>
      <w:bookmarkEnd w:id="999"/>
      <w:r>
        <w:rPr/>
        <w:t>presumptions</w:t>
      </w:r>
      <w:r>
        <w:rPr/>
        <w:t> was more protective of the employee than the law which would govern if the proviso were invoked. </w:t>
      </w:r>
      <w:r>
        <w:rPr>
          <w:color w:val="005DA1"/>
          <w:u w:val="single" w:color="005DA1"/>
          <w:vertAlign w:val="superscript"/>
        </w:rPr>
        <w:t>588</w:t>
      </w:r>
      <w:r>
        <w:rPr>
          <w:color w:val="005DA1"/>
          <w:vertAlign w:val="baseline"/>
        </w:rPr>
        <w:t> </w:t>
      </w:r>
      <w:r>
        <w:rPr>
          <w:vertAlign w:val="baseline"/>
        </w:rPr>
        <w:t>As to other factors which might serve to trigger the proviso, the law of the residence or centre of business operations of the employer might, in the case of an employer engaging </w:t>
      </w:r>
      <w:bookmarkStart w:name="_bookmark998" w:id="1000"/>
      <w:bookmarkEnd w:id="1000"/>
      <w:r>
        <w:rPr>
          <w:vertAlign w:val="baseline"/>
        </w:rPr>
        <w:t>employees</w:t>
      </w:r>
      <w:r>
        <w:rPr>
          <w:vertAlign w:val="baseline"/>
        </w:rPr>
        <w:t> of various nationalities in different parts of the world, be regarded as being more closely </w:t>
      </w:r>
      <w:bookmarkStart w:name="_bookmark999" w:id="1001"/>
      <w:bookmarkEnd w:id="1001"/>
      <w:r>
        <w:rPr>
          <w:vertAlign w:val="baseline"/>
        </w:rPr>
        <w:t>connected</w:t>
      </w:r>
      <w:r>
        <w:rPr>
          <w:vertAlign w:val="baseline"/>
        </w:rPr>
        <w:t> with the contract than the law indicated by the presumption. </w:t>
      </w:r>
      <w:r>
        <w:rPr>
          <w:color w:val="005DA1"/>
          <w:u w:val="single" w:color="005DA1"/>
          <w:vertAlign w:val="superscript"/>
        </w:rPr>
        <w:t>589</w:t>
      </w:r>
      <w:r>
        <w:rPr>
          <w:color w:val="005DA1"/>
          <w:vertAlign w:val="baseline"/>
        </w:rPr>
        <w:t> </w:t>
      </w:r>
      <w:r>
        <w:rPr>
          <w:vertAlign w:val="baseline"/>
        </w:rPr>
        <w:t>But each case will depend on its particular facts. </w:t>
      </w:r>
      <w:r>
        <w:rPr>
          <w:color w:val="005DA1"/>
          <w:u w:val="single" w:color="005DA1"/>
          <w:vertAlign w:val="superscript"/>
        </w:rPr>
        <w:t>590</w:t>
      </w:r>
    </w:p>
    <w:p>
      <w:pPr>
        <w:pStyle w:val="BodyText"/>
      </w:pPr>
    </w:p>
    <w:p>
      <w:pPr>
        <w:pStyle w:val="BodyText"/>
        <w:spacing w:before="32"/>
      </w:pPr>
    </w:p>
    <w:p>
      <w:pPr>
        <w:spacing w:before="0"/>
        <w:ind w:left="164" w:right="0" w:firstLine="0"/>
        <w:jc w:val="left"/>
        <w:rPr>
          <w:rFonts w:ascii="Arial"/>
          <w:b/>
          <w:sz w:val="18"/>
        </w:rPr>
      </w:pPr>
      <w:r>
        <w:rPr>
          <w:rFonts w:ascii="Arial"/>
          <w:b/>
          <w:sz w:val="18"/>
        </w:rPr>
        <w:t>Contract and </w:t>
      </w:r>
      <w:r>
        <w:rPr>
          <w:rFonts w:ascii="Arial"/>
          <w:b/>
          <w:spacing w:val="-4"/>
          <w:sz w:val="18"/>
        </w:rPr>
        <w:t>tort</w:t>
      </w:r>
    </w:p>
    <w:p>
      <w:pPr>
        <w:pStyle w:val="BodyText"/>
        <w:spacing w:before="41"/>
        <w:rPr>
          <w:rFonts w:ascii="Arial"/>
          <w:b/>
          <w:sz w:val="18"/>
        </w:rPr>
      </w:pPr>
    </w:p>
    <w:p>
      <w:pPr>
        <w:pStyle w:val="Heading2"/>
        <w:ind w:left="164"/>
      </w:pPr>
      <w:r>
        <w:rPr/>
        <w:t>30-</w:t>
      </w:r>
      <w:r>
        <w:rPr>
          <w:spacing w:val="-5"/>
        </w:rPr>
        <w:t>120</w:t>
      </w:r>
    </w:p>
    <w:p>
      <w:pPr>
        <w:pStyle w:val="BodyText"/>
        <w:spacing w:line="235" w:lineRule="auto" w:before="203"/>
        <w:ind w:left="164" w:right="167"/>
        <w:jc w:val="both"/>
      </w:pPr>
      <w:bookmarkStart w:name="_bookmark1000" w:id="1002"/>
      <w:bookmarkEnd w:id="1002"/>
      <w:r>
        <w:rPr/>
      </w:r>
      <w:r>
        <w:rPr/>
        <w:t>In English law an employee may elect to sue his employer, for injuries caused by the negligence of</w:t>
      </w:r>
      <w:r>
        <w:rPr>
          <w:spacing w:val="40"/>
        </w:rPr>
        <w:t> </w:t>
      </w:r>
      <w:bookmarkStart w:name="_bookmark1001" w:id="1003"/>
      <w:bookmarkEnd w:id="1003"/>
      <w:r>
        <w:rPr/>
        <w:t>the</w:t>
      </w:r>
      <w:r>
        <w:rPr/>
        <w:t> employer, in either contract or tort. </w:t>
      </w:r>
      <w:r>
        <w:rPr>
          <w:color w:val="005DA1"/>
          <w:u w:val="single" w:color="005DA1"/>
          <w:vertAlign w:val="superscript"/>
        </w:rPr>
        <w:t>591</w:t>
      </w:r>
      <w:r>
        <w:rPr>
          <w:color w:val="005DA1"/>
          <w:vertAlign w:val="baseline"/>
        </w:rPr>
        <w:t> </w:t>
      </w:r>
      <w:r>
        <w:rPr>
          <w:vertAlign w:val="baseline"/>
        </w:rPr>
        <w:t>There does not appear to be anything in the Rome Convention which excludes this option similar in effect to that reached in the common law. </w:t>
      </w:r>
      <w:r>
        <w:rPr>
          <w:color w:val="005DA1"/>
          <w:u w:val="single" w:color="005DA1"/>
          <w:vertAlign w:val="superscript"/>
        </w:rPr>
        <w:t>592</w:t>
      </w:r>
    </w:p>
    <w:p>
      <w:pPr>
        <w:pStyle w:val="BodyText"/>
      </w:pPr>
    </w:p>
    <w:p>
      <w:pPr>
        <w:pStyle w:val="BodyText"/>
        <w:spacing w:before="37"/>
      </w:pPr>
    </w:p>
    <w:p>
      <w:pPr>
        <w:spacing w:before="1"/>
        <w:ind w:left="165" w:right="0" w:firstLine="0"/>
        <w:jc w:val="left"/>
        <w:rPr>
          <w:rFonts w:ascii="Arial"/>
          <w:b/>
          <w:sz w:val="18"/>
        </w:rPr>
      </w:pPr>
      <w:r>
        <w:rPr>
          <w:rFonts w:ascii="Arial"/>
          <w:b/>
          <w:sz w:val="18"/>
        </w:rPr>
        <w:t>Effect of Rome II </w:t>
      </w:r>
      <w:r>
        <w:rPr>
          <w:rFonts w:ascii="Arial"/>
          <w:b/>
          <w:spacing w:val="-2"/>
          <w:sz w:val="18"/>
        </w:rPr>
        <w:t>Regulation</w:t>
      </w:r>
    </w:p>
    <w:p>
      <w:pPr>
        <w:pStyle w:val="BodyText"/>
        <w:spacing w:before="41"/>
        <w:rPr>
          <w:rFonts w:ascii="Arial"/>
          <w:b/>
          <w:sz w:val="18"/>
        </w:rPr>
      </w:pPr>
    </w:p>
    <w:p>
      <w:pPr>
        <w:pStyle w:val="Heading2"/>
      </w:pPr>
      <w:r>
        <w:rPr/>
        <w:t>30-</w:t>
      </w:r>
      <w:r>
        <w:rPr>
          <w:spacing w:val="-5"/>
        </w:rPr>
        <w:t>121</w:t>
      </w:r>
    </w:p>
    <w:p>
      <w:pPr>
        <w:pStyle w:val="BodyText"/>
        <w:spacing w:line="235" w:lineRule="auto" w:before="203"/>
        <w:ind w:left="164" w:right="167"/>
        <w:jc w:val="both"/>
      </w:pPr>
      <w:bookmarkStart w:name="_bookmark1002" w:id="1004"/>
      <w:bookmarkEnd w:id="1004"/>
      <w:r>
        <w:rPr/>
      </w:r>
      <w:r>
        <w:rPr/>
        <w:t>When the Rome II Regulation on the law applicable to non-contractual obligations applies </w:t>
      </w:r>
      <w:r>
        <w:rPr>
          <w:color w:val="005DA1"/>
          <w:u w:val="single" w:color="005DA1"/>
          <w:vertAlign w:val="superscript"/>
        </w:rPr>
        <w:t>593</w:t>
      </w:r>
      <w:r>
        <w:rPr>
          <w:color w:val="005DA1"/>
          <w:vertAlign w:val="baseline"/>
        </w:rPr>
        <w:t> </w:t>
      </w:r>
      <w:r>
        <w:rPr>
          <w:vertAlign w:val="baseline"/>
        </w:rPr>
        <w:t>it </w:t>
      </w:r>
      <w:r>
        <w:rPr>
          <w:vertAlign w:val="baseline"/>
        </w:rPr>
        <w:t>would </w:t>
      </w:r>
      <w:bookmarkStart w:name="_bookmark1003" w:id="1005"/>
      <w:bookmarkEnd w:id="1005"/>
      <w:r>
        <w:rPr>
          <w:vertAlign w:val="baseline"/>
        </w:rPr>
        <w:t>seem</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will</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able</w:t>
      </w:r>
      <w:r>
        <w:rPr>
          <w:spacing w:val="-2"/>
          <w:vertAlign w:val="baseline"/>
        </w:rPr>
        <w:t> </w:t>
      </w:r>
      <w:r>
        <w:rPr>
          <w:vertAlign w:val="baseline"/>
        </w:rPr>
        <w:t>to</w:t>
      </w:r>
      <w:r>
        <w:rPr>
          <w:spacing w:val="-2"/>
          <w:vertAlign w:val="baseline"/>
        </w:rPr>
        <w:t> </w:t>
      </w:r>
      <w:r>
        <w:rPr>
          <w:vertAlign w:val="baseline"/>
        </w:rPr>
        <w:t>frame</w:t>
      </w:r>
      <w:r>
        <w:rPr>
          <w:spacing w:val="-2"/>
          <w:vertAlign w:val="baseline"/>
        </w:rPr>
        <w:t> </w:t>
      </w:r>
      <w:r>
        <w:rPr>
          <w:vertAlign w:val="baseline"/>
        </w:rPr>
        <w:t>the</w:t>
      </w:r>
      <w:r>
        <w:rPr>
          <w:spacing w:val="-2"/>
          <w:vertAlign w:val="baseline"/>
        </w:rPr>
        <w:t> </w:t>
      </w:r>
      <w:r>
        <w:rPr>
          <w:vertAlign w:val="baseline"/>
        </w:rPr>
        <w:t>claim</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claim</w:t>
      </w:r>
      <w:r>
        <w:rPr>
          <w:spacing w:val="-2"/>
          <w:vertAlign w:val="baseline"/>
        </w:rPr>
        <w:t> </w:t>
      </w:r>
      <w:r>
        <w:rPr>
          <w:vertAlign w:val="baseline"/>
        </w:rPr>
        <w:t>in</w:t>
      </w:r>
      <w:r>
        <w:rPr>
          <w:spacing w:val="-2"/>
          <w:vertAlign w:val="baseline"/>
        </w:rPr>
        <w:t> </w:t>
      </w:r>
      <w:r>
        <w:rPr>
          <w:vertAlign w:val="baseline"/>
        </w:rPr>
        <w:t>tort</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governing</w:t>
      </w:r>
      <w:r>
        <w:rPr>
          <w:spacing w:val="-2"/>
          <w:vertAlign w:val="baseline"/>
        </w:rPr>
        <w:t> </w:t>
      </w:r>
      <w:r>
        <w:rPr>
          <w:vertAlign w:val="baseline"/>
        </w:rPr>
        <w:t>the</w:t>
      </w:r>
      <w:r>
        <w:rPr>
          <w:spacing w:val="-2"/>
          <w:vertAlign w:val="baseline"/>
        </w:rPr>
        <w:t> </w:t>
      </w:r>
      <w:r>
        <w:rPr>
          <w:vertAlign w:val="baseline"/>
        </w:rPr>
        <w:t>tort </w:t>
      </w:r>
      <w:bookmarkStart w:name="_bookmark1004" w:id="1006"/>
      <w:bookmarkEnd w:id="1006"/>
      <w:r>
        <w:rPr>
          <w:vertAlign w:val="baseline"/>
        </w:rPr>
        <w:t>would</w:t>
      </w:r>
      <w:r>
        <w:rPr>
          <w:vertAlign w:val="baseline"/>
        </w:rPr>
        <w:t> be more favourable to the claim than the law applicable to the contract. </w:t>
      </w:r>
      <w:r>
        <w:rPr>
          <w:color w:val="005DA1"/>
          <w:u w:val="single" w:color="005DA1"/>
          <w:vertAlign w:val="superscript"/>
        </w:rPr>
        <w:t>594</w:t>
      </w:r>
      <w:r>
        <w:rPr>
          <w:color w:val="005DA1"/>
          <w:vertAlign w:val="baseline"/>
        </w:rPr>
        <w:t> </w:t>
      </w:r>
      <w:r>
        <w:rPr>
          <w:vertAlign w:val="baseline"/>
        </w:rPr>
        <w:t>This is because the </w:t>
      </w:r>
      <w:bookmarkStart w:name="_bookmark1005" w:id="1007"/>
      <w:bookmarkEnd w:id="1007"/>
      <w:r>
        <w:rPr>
          <w:vertAlign w:val="baseline"/>
        </w:rPr>
        <w:t>expression</w:t>
      </w:r>
      <w:r>
        <w:rPr>
          <w:spacing w:val="7"/>
          <w:vertAlign w:val="baseline"/>
        </w:rPr>
        <w:t> </w:t>
      </w:r>
      <w:r>
        <w:rPr>
          <w:vertAlign w:val="baseline"/>
        </w:rPr>
        <w:t>“non-contractual</w:t>
      </w:r>
      <w:r>
        <w:rPr>
          <w:spacing w:val="9"/>
          <w:vertAlign w:val="baseline"/>
        </w:rPr>
        <w:t> </w:t>
      </w:r>
      <w:r>
        <w:rPr>
          <w:vertAlign w:val="baseline"/>
        </w:rPr>
        <w:t>obligations”,</w:t>
      </w:r>
      <w:r>
        <w:rPr>
          <w:spacing w:val="9"/>
          <w:vertAlign w:val="baseline"/>
        </w:rPr>
        <w:t> </w:t>
      </w:r>
      <w:r>
        <w:rPr>
          <w:vertAlign w:val="baseline"/>
        </w:rPr>
        <w:t>which</w:t>
      </w:r>
      <w:r>
        <w:rPr>
          <w:spacing w:val="9"/>
          <w:vertAlign w:val="baseline"/>
        </w:rPr>
        <w:t> </w:t>
      </w:r>
      <w:r>
        <w:rPr>
          <w:vertAlign w:val="baseline"/>
        </w:rPr>
        <w:t>includes</w:t>
      </w:r>
      <w:r>
        <w:rPr>
          <w:spacing w:val="9"/>
          <w:vertAlign w:val="baseline"/>
        </w:rPr>
        <w:t> </w:t>
      </w:r>
      <w:r>
        <w:rPr>
          <w:vertAlign w:val="baseline"/>
        </w:rPr>
        <w:t>tort,</w:t>
      </w:r>
      <w:r>
        <w:rPr>
          <w:spacing w:val="9"/>
          <w:vertAlign w:val="baseline"/>
        </w:rPr>
        <w:t> </w:t>
      </w:r>
      <w:r>
        <w:rPr>
          <w:vertAlign w:val="baseline"/>
        </w:rPr>
        <w:t>must</w:t>
      </w:r>
      <w:r>
        <w:rPr>
          <w:spacing w:val="9"/>
          <w:vertAlign w:val="baseline"/>
        </w:rPr>
        <w:t> </w:t>
      </w:r>
      <w:r>
        <w:rPr>
          <w:vertAlign w:val="baseline"/>
        </w:rPr>
        <w:t>be</w:t>
      </w:r>
      <w:r>
        <w:rPr>
          <w:spacing w:val="9"/>
          <w:vertAlign w:val="baseline"/>
        </w:rPr>
        <w:t> </w:t>
      </w:r>
      <w:r>
        <w:rPr>
          <w:vertAlign w:val="baseline"/>
        </w:rPr>
        <w:t>given</w:t>
      </w:r>
      <w:r>
        <w:rPr>
          <w:spacing w:val="9"/>
          <w:vertAlign w:val="baseline"/>
        </w:rPr>
        <w:t> </w:t>
      </w:r>
      <w:r>
        <w:rPr>
          <w:vertAlign w:val="baseline"/>
        </w:rPr>
        <w:t>an</w:t>
      </w:r>
      <w:r>
        <w:rPr>
          <w:spacing w:val="9"/>
          <w:vertAlign w:val="baseline"/>
        </w:rPr>
        <w:t> </w:t>
      </w:r>
      <w:r>
        <w:rPr>
          <w:vertAlign w:val="baseline"/>
        </w:rPr>
        <w:t>autonomous</w:t>
      </w:r>
      <w:r>
        <w:rPr>
          <w:spacing w:val="9"/>
          <w:vertAlign w:val="baseline"/>
        </w:rPr>
        <w:t> </w:t>
      </w:r>
      <w:r>
        <w:rPr>
          <w:spacing w:val="-2"/>
          <w:vertAlign w:val="baseline"/>
        </w:rPr>
        <w:t>meaning</w:t>
      </w:r>
    </w:p>
    <w:p>
      <w:pPr>
        <w:pStyle w:val="BodyText"/>
        <w:spacing w:line="225" w:lineRule="exact"/>
        <w:ind w:left="165"/>
        <w:jc w:val="both"/>
      </w:pPr>
      <w:r>
        <w:rPr>
          <w:color w:val="005DA1"/>
          <w:u w:val="single" w:color="005DA1"/>
          <w:vertAlign w:val="superscript"/>
        </w:rPr>
        <w:t>595</w:t>
      </w:r>
      <w:r>
        <w:rPr>
          <w:color w:val="005DA1"/>
          <w:spacing w:val="-3"/>
          <w:vertAlign w:val="baseline"/>
        </w:rPr>
        <w:t> </w:t>
      </w:r>
      <w:r>
        <w:rPr>
          <w:vertAlign w:val="baseline"/>
        </w:rPr>
        <w:t>and</w:t>
      </w:r>
      <w:r>
        <w:rPr>
          <w:spacing w:val="-1"/>
          <w:vertAlign w:val="baseline"/>
        </w:rPr>
        <w:t> </w:t>
      </w:r>
      <w:r>
        <w:rPr>
          <w:vertAlign w:val="baseline"/>
        </w:rPr>
        <w:t>that</w:t>
      </w:r>
      <w:r>
        <w:rPr>
          <w:spacing w:val="-1"/>
          <w:vertAlign w:val="baseline"/>
        </w:rPr>
        <w:t> </w:t>
      </w:r>
      <w:r>
        <w:rPr>
          <w:vertAlign w:val="baseline"/>
        </w:rPr>
        <w:t>meaning</w:t>
      </w:r>
      <w:r>
        <w:rPr>
          <w:spacing w:val="-1"/>
          <w:vertAlign w:val="baseline"/>
        </w:rPr>
        <w:t> </w:t>
      </w:r>
      <w:r>
        <w:rPr>
          <w:vertAlign w:val="baseline"/>
        </w:rPr>
        <w:t>will,</w:t>
      </w:r>
      <w:r>
        <w:rPr>
          <w:spacing w:val="-1"/>
          <w:vertAlign w:val="baseline"/>
        </w:rPr>
        <w:t> </w:t>
      </w:r>
      <w:r>
        <w:rPr>
          <w:vertAlign w:val="baseline"/>
        </w:rPr>
        <w:t>presumably,</w:t>
      </w:r>
      <w:r>
        <w:rPr>
          <w:spacing w:val="-1"/>
          <w:vertAlign w:val="baseline"/>
        </w:rPr>
        <w:t> </w:t>
      </w:r>
      <w:r>
        <w:rPr>
          <w:vertAlign w:val="baseline"/>
        </w:rPr>
        <w:t>be</w:t>
      </w:r>
      <w:r>
        <w:rPr>
          <w:spacing w:val="-2"/>
          <w:vertAlign w:val="baseline"/>
        </w:rPr>
        <w:t> </w:t>
      </w:r>
      <w:r>
        <w:rPr>
          <w:vertAlign w:val="baseline"/>
        </w:rPr>
        <w:t>distinct</w:t>
      </w:r>
      <w:r>
        <w:rPr>
          <w:spacing w:val="-1"/>
          <w:vertAlign w:val="baseline"/>
        </w:rPr>
        <w:t> </w:t>
      </w:r>
      <w:r>
        <w:rPr>
          <w:vertAlign w:val="baseline"/>
        </w:rPr>
        <w:t>from</w:t>
      </w:r>
      <w:r>
        <w:rPr>
          <w:spacing w:val="-1"/>
          <w:vertAlign w:val="baseline"/>
        </w:rPr>
        <w:t> </w:t>
      </w:r>
      <w:r>
        <w:rPr>
          <w:vertAlign w:val="baseline"/>
        </w:rPr>
        <w:t>an</w:t>
      </w:r>
      <w:r>
        <w:rPr>
          <w:spacing w:val="-1"/>
          <w:vertAlign w:val="baseline"/>
        </w:rPr>
        <w:t> </w:t>
      </w:r>
      <w:r>
        <w:rPr>
          <w:vertAlign w:val="baseline"/>
        </w:rPr>
        <w:t>obligation</w:t>
      </w:r>
      <w:r>
        <w:rPr>
          <w:spacing w:val="-1"/>
          <w:vertAlign w:val="baseline"/>
        </w:rPr>
        <w:t> </w:t>
      </w:r>
      <w:r>
        <w:rPr>
          <w:vertAlign w:val="baseline"/>
        </w:rPr>
        <w:t>which</w:t>
      </w:r>
      <w:r>
        <w:rPr>
          <w:spacing w:val="-1"/>
          <w:vertAlign w:val="baseline"/>
        </w:rPr>
        <w:t> </w:t>
      </w:r>
      <w:r>
        <w:rPr>
          <w:vertAlign w:val="baseline"/>
        </w:rPr>
        <w:t>sounds</w:t>
      </w:r>
      <w:r>
        <w:rPr>
          <w:spacing w:val="-2"/>
          <w:vertAlign w:val="baseline"/>
        </w:rPr>
        <w:t> </w:t>
      </w:r>
      <w:r>
        <w:rPr>
          <w:vertAlign w:val="baseline"/>
        </w:rPr>
        <w:t>in</w:t>
      </w:r>
      <w:r>
        <w:rPr>
          <w:spacing w:val="-1"/>
          <w:vertAlign w:val="baseline"/>
        </w:rPr>
        <w:t> </w:t>
      </w:r>
      <w:r>
        <w:rPr>
          <w:vertAlign w:val="baseline"/>
        </w:rPr>
        <w:t>contract.</w:t>
      </w:r>
      <w:r>
        <w:rPr>
          <w:spacing w:val="-3"/>
          <w:vertAlign w:val="baseline"/>
        </w:rPr>
        <w:t> </w:t>
      </w:r>
      <w:r>
        <w:rPr>
          <w:color w:val="005DA1"/>
          <w:spacing w:val="-5"/>
          <w:u w:val="single" w:color="005DA1"/>
          <w:vertAlign w:val="superscript"/>
        </w:rPr>
        <w:t>596</w:t>
      </w:r>
    </w:p>
    <w:p>
      <w:pPr>
        <w:pStyle w:val="BodyText"/>
      </w:pPr>
    </w:p>
    <w:p>
      <w:pPr>
        <w:pStyle w:val="BodyText"/>
        <w:spacing w:before="38"/>
      </w:pPr>
      <w:r>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185707</wp:posOffset>
                </wp:positionV>
                <wp:extent cx="572452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2644pt;width:450.75pt;height:.1pt;mso-position-horizontal-relative:page;mso-position-vertical-relative:paragraph;z-index:-15708160;mso-wrap-distance-left:0;mso-wrap-distance-right:0" id="docshape16"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7" w:hanging="541"/>
      </w:pPr>
      <w:hyperlink w:history="true" w:anchor="_bookmark1132">
        <w:r>
          <w:rPr>
            <w:color w:val="005DA1"/>
            <w:spacing w:val="-4"/>
            <w:position w:val="5"/>
            <w:sz w:val="14"/>
            <w:u w:val="single" w:color="005DA1"/>
          </w:rPr>
          <w:t>96</w:t>
        </w:r>
      </w:hyperlink>
      <w:r>
        <w:rPr>
          <w:spacing w:val="-4"/>
          <w:position w:val="5"/>
          <w:sz w:val="14"/>
        </w:rPr>
        <w:t>.</w:t>
      </w:r>
      <w:r>
        <w:rPr>
          <w:position w:val="5"/>
          <w:sz w:val="14"/>
        </w:rPr>
        <w:tab/>
      </w:r>
      <w:r>
        <w:rPr/>
        <w:t>Dicey, Morris and Collins on the Conflict of Laws, 14th edn (2006), Chs 32 and 33; Cheshire,</w:t>
      </w:r>
      <w:r>
        <w:rPr>
          <w:spacing w:val="80"/>
        </w:rPr>
        <w:t> </w:t>
      </w:r>
      <w:r>
        <w:rPr/>
        <w:t>North</w:t>
      </w:r>
      <w:r>
        <w:rPr>
          <w:spacing w:val="41"/>
        </w:rPr>
        <w:t> </w:t>
      </w:r>
      <w:r>
        <w:rPr/>
        <w:t>and</w:t>
      </w:r>
      <w:r>
        <w:rPr>
          <w:spacing w:val="42"/>
        </w:rPr>
        <w:t> </w:t>
      </w:r>
      <w:r>
        <w:rPr/>
        <w:t>Fawcett,</w:t>
      </w:r>
      <w:r>
        <w:rPr>
          <w:spacing w:val="42"/>
        </w:rPr>
        <w:t> </w:t>
      </w:r>
      <w:r>
        <w:rPr>
          <w:rFonts w:ascii="Arial"/>
          <w:i/>
        </w:rPr>
        <w:t>Private</w:t>
      </w:r>
      <w:r>
        <w:rPr>
          <w:rFonts w:ascii="Arial"/>
          <w:i/>
          <w:spacing w:val="42"/>
        </w:rPr>
        <w:t> </w:t>
      </w:r>
      <w:r>
        <w:rPr>
          <w:rFonts w:ascii="Arial"/>
          <w:i/>
        </w:rPr>
        <w:t>International</w:t>
      </w:r>
      <w:r>
        <w:rPr>
          <w:rFonts w:ascii="Arial"/>
          <w:i/>
          <w:spacing w:val="42"/>
        </w:rPr>
        <w:t> </w:t>
      </w:r>
      <w:r>
        <w:rPr>
          <w:rFonts w:ascii="Arial"/>
          <w:i/>
        </w:rPr>
        <w:t>Law</w:t>
      </w:r>
      <w:r>
        <w:rPr/>
        <w:t>,</w:t>
      </w:r>
      <w:r>
        <w:rPr>
          <w:spacing w:val="42"/>
        </w:rPr>
        <w:t> </w:t>
      </w:r>
      <w:r>
        <w:rPr/>
        <w:t>14th</w:t>
      </w:r>
      <w:r>
        <w:rPr>
          <w:spacing w:val="42"/>
        </w:rPr>
        <w:t> </w:t>
      </w:r>
      <w:r>
        <w:rPr/>
        <w:t>edn</w:t>
      </w:r>
      <w:r>
        <w:rPr>
          <w:spacing w:val="42"/>
        </w:rPr>
        <w:t> </w:t>
      </w:r>
      <w:r>
        <w:rPr/>
        <w:t>(2008),</w:t>
      </w:r>
      <w:r>
        <w:rPr>
          <w:spacing w:val="42"/>
        </w:rPr>
        <w:t> </w:t>
      </w:r>
      <w:r>
        <w:rPr/>
        <w:t>Ch.18;</w:t>
      </w:r>
      <w:r>
        <w:rPr>
          <w:spacing w:val="42"/>
        </w:rPr>
        <w:t> </w:t>
      </w:r>
      <w:r>
        <w:rPr/>
        <w:t>Fawcett,</w:t>
      </w:r>
      <w:r>
        <w:rPr>
          <w:spacing w:val="42"/>
        </w:rPr>
        <w:t> </w:t>
      </w:r>
      <w:r>
        <w:rPr/>
        <w:t>Harris</w:t>
      </w:r>
      <w:r>
        <w:rPr>
          <w:spacing w:val="42"/>
        </w:rPr>
        <w:t> </w:t>
      </w:r>
      <w:r>
        <w:rPr>
          <w:spacing w:val="-5"/>
        </w:rPr>
        <w:t>and</w:t>
      </w:r>
    </w:p>
    <w:p>
      <w:pPr>
        <w:pStyle w:val="BodyText"/>
        <w:spacing w:after="0" w:line="235" w:lineRule="auto"/>
        <w:sectPr>
          <w:pgSz w:w="11900" w:h="16840"/>
          <w:pgMar w:header="971" w:footer="0" w:top="1300" w:bottom="280" w:left="1275" w:right="1275"/>
        </w:sectPr>
      </w:pPr>
    </w:p>
    <w:p>
      <w:pPr>
        <w:spacing w:line="235" w:lineRule="auto" w:before="170"/>
        <w:ind w:left="705" w:right="167" w:firstLine="0"/>
        <w:jc w:val="both"/>
        <w:rPr>
          <w:sz w:val="20"/>
        </w:rPr>
      </w:pPr>
      <w:r>
        <w:rPr>
          <w:sz w:val="20"/>
        </w:rPr>
        <w:t>Bridge, </w:t>
      </w:r>
      <w:r>
        <w:rPr>
          <w:rFonts w:ascii="Arial"/>
          <w:i/>
          <w:sz w:val="20"/>
        </w:rPr>
        <w:t>International Sale of Goods in the Conflict of Laws </w:t>
      </w:r>
      <w:r>
        <w:rPr>
          <w:sz w:val="20"/>
        </w:rPr>
        <w:t>(2005), Ch.13; Meeusen, </w:t>
      </w:r>
      <w:r>
        <w:rPr>
          <w:sz w:val="20"/>
        </w:rPr>
        <w:t>Pertegas and Straetmans, </w:t>
      </w:r>
      <w:r>
        <w:rPr>
          <w:rFonts w:ascii="Arial"/>
          <w:i/>
          <w:sz w:val="20"/>
        </w:rPr>
        <w:t>The Enforcement of International Contracts in the European Union </w:t>
      </w:r>
      <w:r>
        <w:rPr>
          <w:sz w:val="20"/>
        </w:rPr>
        <w:t>(2004); Plender and Wilderspin, </w:t>
      </w:r>
      <w:r>
        <w:rPr>
          <w:rFonts w:ascii="Arial"/>
          <w:i/>
          <w:sz w:val="20"/>
        </w:rPr>
        <w:t>The European Private International Law of Obligations </w:t>
      </w:r>
      <w:r>
        <w:rPr>
          <w:sz w:val="20"/>
        </w:rPr>
        <w:t>4th edn (2014), Chs 4-15; Fentiman, </w:t>
      </w:r>
      <w:r>
        <w:rPr>
          <w:rFonts w:ascii="Arial"/>
          <w:i/>
          <w:sz w:val="20"/>
        </w:rPr>
        <w:t>International Commercial Litigation </w:t>
      </w:r>
      <w:r>
        <w:rPr>
          <w:sz w:val="20"/>
        </w:rPr>
        <w:t>2nd edn (2015), Chs 3-6; Nygh, </w:t>
      </w:r>
      <w:r>
        <w:rPr>
          <w:rFonts w:ascii="Arial"/>
          <w:i/>
          <w:sz w:val="20"/>
        </w:rPr>
        <w:t>Autonomy in International Contracts </w:t>
      </w:r>
      <w:r>
        <w:rPr>
          <w:sz w:val="20"/>
        </w:rPr>
        <w:t>(1999); Kaye, </w:t>
      </w:r>
      <w:r>
        <w:rPr>
          <w:rFonts w:ascii="Arial"/>
          <w:i/>
          <w:sz w:val="20"/>
        </w:rPr>
        <w:t>The New Private International Law of Contract of the European Community </w:t>
      </w:r>
      <w:r>
        <w:rPr>
          <w:sz w:val="20"/>
        </w:rPr>
        <w:t>(1993); Lasok and Stone, </w:t>
      </w:r>
      <w:r>
        <w:rPr>
          <w:rFonts w:ascii="Arial"/>
          <w:i/>
          <w:sz w:val="20"/>
        </w:rPr>
        <w:t>Conflict of Laws in the European Community </w:t>
      </w:r>
      <w:r>
        <w:rPr>
          <w:sz w:val="20"/>
        </w:rPr>
        <w:t>(1987), Ch.9; North, </w:t>
      </w:r>
      <w:r>
        <w:rPr>
          <w:rFonts w:ascii="Arial"/>
          <w:i/>
          <w:sz w:val="20"/>
        </w:rPr>
        <w:t>Contract Conflicts </w:t>
      </w:r>
      <w:r>
        <w:rPr>
          <w:sz w:val="20"/>
        </w:rPr>
        <w:t>(1982); Fletcher, </w:t>
      </w:r>
      <w:r>
        <w:rPr>
          <w:rFonts w:ascii="Arial"/>
          <w:i/>
          <w:sz w:val="20"/>
        </w:rPr>
        <w:t>Conflict of Laws and European Community Law </w:t>
      </w:r>
      <w:r>
        <w:rPr>
          <w:sz w:val="20"/>
        </w:rPr>
        <w:t>(1982), Ch.5; Anton, </w:t>
      </w:r>
      <w:r>
        <w:rPr>
          <w:rFonts w:ascii="Arial"/>
          <w:i/>
          <w:sz w:val="20"/>
        </w:rPr>
        <w:t>Private International Law</w:t>
      </w:r>
      <w:r>
        <w:rPr>
          <w:sz w:val="20"/>
        </w:rPr>
        <w:t>, 2nd edn (1990), Ch.11;</w:t>
      </w:r>
      <w:r>
        <w:rPr>
          <w:spacing w:val="9"/>
          <w:sz w:val="20"/>
        </w:rPr>
        <w:t> </w:t>
      </w:r>
      <w:r>
        <w:rPr>
          <w:sz w:val="20"/>
        </w:rPr>
        <w:t>Diamond</w:t>
      </w:r>
      <w:r>
        <w:rPr>
          <w:spacing w:val="9"/>
          <w:sz w:val="20"/>
        </w:rPr>
        <w:t> </w:t>
      </w:r>
      <w:r>
        <w:rPr>
          <w:sz w:val="20"/>
        </w:rPr>
        <w:t>(1986)</w:t>
      </w:r>
      <w:r>
        <w:rPr>
          <w:spacing w:val="9"/>
          <w:sz w:val="20"/>
        </w:rPr>
        <w:t> </w:t>
      </w:r>
      <w:r>
        <w:rPr>
          <w:sz w:val="20"/>
        </w:rPr>
        <w:t>216</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z w:val="20"/>
        </w:rPr>
        <w:t>IV,</w:t>
      </w:r>
      <w:r>
        <w:rPr>
          <w:spacing w:val="9"/>
          <w:sz w:val="20"/>
        </w:rPr>
        <w:t> </w:t>
      </w:r>
      <w:r>
        <w:rPr>
          <w:sz w:val="20"/>
        </w:rPr>
        <w:t>233;</w:t>
      </w:r>
      <w:r>
        <w:rPr>
          <w:spacing w:val="9"/>
          <w:sz w:val="20"/>
        </w:rPr>
        <w:t> </w:t>
      </w:r>
      <w:r>
        <w:rPr>
          <w:sz w:val="20"/>
        </w:rPr>
        <w:t>North</w:t>
      </w:r>
      <w:r>
        <w:rPr>
          <w:spacing w:val="9"/>
          <w:sz w:val="20"/>
        </w:rPr>
        <w:t> </w:t>
      </w:r>
      <w:r>
        <w:rPr>
          <w:sz w:val="20"/>
        </w:rPr>
        <w:t>(1990)</w:t>
      </w:r>
      <w:r>
        <w:rPr>
          <w:spacing w:val="9"/>
          <w:sz w:val="20"/>
        </w:rPr>
        <w:t> </w:t>
      </w:r>
      <w:r>
        <w:rPr>
          <w:sz w:val="20"/>
        </w:rPr>
        <w:t>220</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pacing w:val="-5"/>
          <w:sz w:val="20"/>
        </w:rPr>
        <w:t>I,</w:t>
      </w:r>
    </w:p>
    <w:p>
      <w:pPr>
        <w:pStyle w:val="BodyText"/>
        <w:spacing w:line="220" w:lineRule="exact"/>
        <w:ind w:left="705"/>
        <w:jc w:val="both"/>
      </w:pPr>
      <w:r>
        <w:rPr/>
        <w:t>3,</w:t>
      </w:r>
      <w:r>
        <w:rPr>
          <w:spacing w:val="11"/>
        </w:rPr>
        <w:t> </w:t>
      </w:r>
      <w:r>
        <w:rPr/>
        <w:t>176-205;</w:t>
      </w:r>
      <w:r>
        <w:rPr>
          <w:spacing w:val="11"/>
        </w:rPr>
        <w:t> </w:t>
      </w:r>
      <w:r>
        <w:rPr/>
        <w:t>North</w:t>
      </w:r>
      <w:r>
        <w:rPr>
          <w:spacing w:val="11"/>
        </w:rPr>
        <w:t> </w:t>
      </w:r>
      <w:r>
        <w:rPr/>
        <w:t>[1980]</w:t>
      </w:r>
      <w:r>
        <w:rPr>
          <w:spacing w:val="11"/>
        </w:rPr>
        <w:t> </w:t>
      </w:r>
      <w:r>
        <w:rPr/>
        <w:t>J.B.L.</w:t>
      </w:r>
      <w:r>
        <w:rPr>
          <w:spacing w:val="11"/>
        </w:rPr>
        <w:t> </w:t>
      </w:r>
      <w:r>
        <w:rPr/>
        <w:t>392;</w:t>
      </w:r>
      <w:r>
        <w:rPr>
          <w:spacing w:val="11"/>
        </w:rPr>
        <w:t> </w:t>
      </w:r>
      <w:r>
        <w:rPr/>
        <w:t>Morse</w:t>
      </w:r>
      <w:r>
        <w:rPr>
          <w:spacing w:val="11"/>
        </w:rPr>
        <w:t> </w:t>
      </w:r>
      <w:r>
        <w:rPr/>
        <w:t>(1982)</w:t>
      </w:r>
      <w:r>
        <w:rPr>
          <w:spacing w:val="11"/>
        </w:rPr>
        <w:t> </w:t>
      </w:r>
      <w:r>
        <w:rPr/>
        <w:t>2</w:t>
      </w:r>
      <w:r>
        <w:rPr>
          <w:spacing w:val="11"/>
        </w:rPr>
        <w:t> </w:t>
      </w:r>
      <w:r>
        <w:rPr/>
        <w:t>Yb.</w:t>
      </w:r>
      <w:r>
        <w:rPr>
          <w:spacing w:val="11"/>
        </w:rPr>
        <w:t> </w:t>
      </w:r>
      <w:r>
        <w:rPr/>
        <w:t>Eur.</w:t>
      </w:r>
      <w:r>
        <w:rPr>
          <w:spacing w:val="11"/>
        </w:rPr>
        <w:t> </w:t>
      </w:r>
      <w:r>
        <w:rPr/>
        <w:t>L.</w:t>
      </w:r>
      <w:r>
        <w:rPr>
          <w:spacing w:val="11"/>
        </w:rPr>
        <w:t> </w:t>
      </w:r>
      <w:r>
        <w:rPr/>
        <w:t>107;</w:t>
      </w:r>
      <w:r>
        <w:rPr>
          <w:spacing w:val="11"/>
        </w:rPr>
        <w:t> </w:t>
      </w:r>
      <w:r>
        <w:rPr/>
        <w:t>Jaffey</w:t>
      </w:r>
      <w:r>
        <w:rPr>
          <w:spacing w:val="11"/>
        </w:rPr>
        <w:t> </w:t>
      </w:r>
      <w:r>
        <w:rPr/>
        <w:t>(1984)</w:t>
      </w:r>
      <w:r>
        <w:rPr>
          <w:spacing w:val="11"/>
        </w:rPr>
        <w:t> </w:t>
      </w:r>
      <w:r>
        <w:rPr/>
        <w:t>33</w:t>
      </w:r>
      <w:r>
        <w:rPr>
          <w:spacing w:val="11"/>
        </w:rPr>
        <w:t> </w:t>
      </w:r>
      <w:r>
        <w:rPr>
          <w:spacing w:val="-2"/>
        </w:rPr>
        <w:t>I.C.L.Q.</w:t>
      </w:r>
    </w:p>
    <w:p>
      <w:pPr>
        <w:pStyle w:val="BodyText"/>
        <w:spacing w:line="227" w:lineRule="exact"/>
        <w:ind w:left="705"/>
        <w:jc w:val="both"/>
      </w:pPr>
      <w:r>
        <w:rPr/>
        <w:t>531; Williams (1986) 35 I.C.L.Q. </w:t>
      </w:r>
      <w:r>
        <w:rPr>
          <w:spacing w:val="-5"/>
        </w:rPr>
        <w:t>1.</w:t>
      </w:r>
    </w:p>
    <w:p>
      <w:pPr>
        <w:pStyle w:val="BodyText"/>
        <w:spacing w:before="5"/>
      </w:pPr>
    </w:p>
    <w:p>
      <w:pPr>
        <w:pStyle w:val="BodyText"/>
        <w:tabs>
          <w:tab w:pos="705" w:val="left" w:leader="none"/>
        </w:tabs>
        <w:ind w:left="165"/>
      </w:pPr>
      <w:bookmarkStart w:name="_bookmark1006" w:id="1008"/>
      <w:bookmarkEnd w:id="1008"/>
      <w:r>
        <w:rPr/>
      </w:r>
      <w:hyperlink w:history="true" w:anchor="_bookmark879">
        <w:r>
          <w:rPr>
            <w:color w:val="005DA1"/>
            <w:spacing w:val="-4"/>
            <w:position w:val="5"/>
            <w:sz w:val="14"/>
            <w:u w:val="single" w:color="005DA1"/>
          </w:rPr>
          <w:t>467</w:t>
        </w:r>
      </w:hyperlink>
      <w:r>
        <w:rPr>
          <w:spacing w:val="-4"/>
          <w:position w:val="5"/>
          <w:sz w:val="14"/>
        </w:rPr>
        <w:t>.</w:t>
      </w:r>
      <w:r>
        <w:rPr>
          <w:position w:val="5"/>
          <w:sz w:val="14"/>
        </w:rPr>
        <w:tab/>
      </w:r>
      <w:r>
        <w:rPr/>
        <w:t>Giuliano-Lagarde Report, pp.23, </w:t>
      </w:r>
      <w:r>
        <w:rPr>
          <w:spacing w:val="-5"/>
        </w:rPr>
        <w:t>25.</w:t>
      </w:r>
    </w:p>
    <w:p>
      <w:pPr>
        <w:pStyle w:val="BodyText"/>
        <w:spacing w:before="9"/>
      </w:pPr>
    </w:p>
    <w:p>
      <w:pPr>
        <w:spacing w:line="235" w:lineRule="auto" w:before="0"/>
        <w:ind w:left="705" w:right="167" w:hanging="541"/>
        <w:jc w:val="both"/>
        <w:rPr>
          <w:sz w:val="20"/>
        </w:rPr>
      </w:pPr>
      <w:bookmarkStart w:name="_bookmark1007" w:id="1009"/>
      <w:bookmarkEnd w:id="1009"/>
      <w:r>
        <w:rPr/>
      </w:r>
      <w:hyperlink w:history="true" w:anchor="_bookmark880">
        <w:r>
          <w:rPr>
            <w:color w:val="005DA1"/>
            <w:position w:val="5"/>
            <w:sz w:val="14"/>
            <w:u w:val="single" w:color="005DA1"/>
          </w:rPr>
          <w:t>468</w:t>
        </w:r>
      </w:hyperlink>
      <w:r>
        <w:rPr>
          <w:position w:val="5"/>
          <w:sz w:val="14"/>
        </w:rPr>
        <w:t>.</w:t>
      </w:r>
      <w:r>
        <w:rPr>
          <w:spacing w:val="40"/>
          <w:position w:val="5"/>
          <w:sz w:val="14"/>
        </w:rPr>
        <w:t>  </w:t>
      </w:r>
      <w:r>
        <w:rPr>
          <w:sz w:val="20"/>
        </w:rPr>
        <w:t>Dicey,</w:t>
      </w:r>
      <w:r>
        <w:rPr>
          <w:spacing w:val="-1"/>
          <w:sz w:val="20"/>
        </w:rPr>
        <w:t> </w:t>
      </w:r>
      <w:r>
        <w:rPr>
          <w:sz w:val="20"/>
        </w:rPr>
        <w:t>Morris</w:t>
      </w:r>
      <w:r>
        <w:rPr>
          <w:spacing w:val="-1"/>
          <w:sz w:val="20"/>
        </w:rPr>
        <w:t> </w:t>
      </w:r>
      <w:r>
        <w:rPr>
          <w:sz w:val="20"/>
        </w:rPr>
        <w:t>and</w:t>
      </w:r>
      <w:r>
        <w:rPr>
          <w:spacing w:val="-1"/>
          <w:sz w:val="20"/>
        </w:rPr>
        <w:t> </w:t>
      </w:r>
      <w:r>
        <w:rPr>
          <w:sz w:val="20"/>
        </w:rPr>
        <w:t>Collins</w:t>
      </w:r>
      <w:r>
        <w:rPr>
          <w:spacing w:val="-1"/>
          <w:sz w:val="20"/>
        </w:rPr>
        <w:t> </w:t>
      </w:r>
      <w:r>
        <w:rPr>
          <w:sz w:val="20"/>
        </w:rPr>
        <w:t>on</w:t>
      </w:r>
      <w:r>
        <w:rPr>
          <w:spacing w:val="-1"/>
          <w:sz w:val="20"/>
        </w:rPr>
        <w:t> </w:t>
      </w:r>
      <w:r>
        <w:rPr>
          <w:sz w:val="20"/>
        </w:rPr>
        <w:t>the</w:t>
      </w:r>
      <w:r>
        <w:rPr>
          <w:spacing w:val="-1"/>
          <w:sz w:val="20"/>
        </w:rPr>
        <w:t> </w:t>
      </w:r>
      <w:r>
        <w:rPr>
          <w:sz w:val="20"/>
        </w:rPr>
        <w:t>Conflict</w:t>
      </w:r>
      <w:r>
        <w:rPr>
          <w:spacing w:val="-1"/>
          <w:sz w:val="20"/>
        </w:rPr>
        <w:t> </w:t>
      </w:r>
      <w:r>
        <w:rPr>
          <w:sz w:val="20"/>
        </w:rPr>
        <w:t>of</w:t>
      </w:r>
      <w:r>
        <w:rPr>
          <w:spacing w:val="-1"/>
          <w:sz w:val="20"/>
        </w:rPr>
        <w:t> </w:t>
      </w:r>
      <w:r>
        <w:rPr>
          <w:sz w:val="20"/>
        </w:rPr>
        <w:t>Laws,</w:t>
      </w:r>
      <w:r>
        <w:rPr>
          <w:spacing w:val="-1"/>
          <w:sz w:val="20"/>
        </w:rPr>
        <w:t> </w:t>
      </w:r>
      <w:r>
        <w:rPr>
          <w:sz w:val="20"/>
        </w:rPr>
        <w:t>14th</w:t>
      </w:r>
      <w:r>
        <w:rPr>
          <w:spacing w:val="-1"/>
          <w:sz w:val="20"/>
        </w:rPr>
        <w:t> </w:t>
      </w:r>
      <w:r>
        <w:rPr>
          <w:sz w:val="20"/>
        </w:rPr>
        <w:t>edn</w:t>
      </w:r>
      <w:r>
        <w:rPr>
          <w:spacing w:val="-1"/>
          <w:sz w:val="20"/>
        </w:rPr>
        <w:t> </w:t>
      </w:r>
      <w:r>
        <w:rPr>
          <w:sz w:val="20"/>
        </w:rPr>
        <w:t>(2006),</w:t>
      </w:r>
      <w:r>
        <w:rPr>
          <w:spacing w:val="-1"/>
          <w:sz w:val="20"/>
        </w:rPr>
        <w:t> </w:t>
      </w:r>
      <w:r>
        <w:rPr>
          <w:sz w:val="20"/>
        </w:rPr>
        <w:t>paras</w:t>
      </w:r>
      <w:r>
        <w:rPr>
          <w:spacing w:val="-1"/>
          <w:sz w:val="20"/>
        </w:rPr>
        <w:t> </w:t>
      </w:r>
      <w:r>
        <w:rPr>
          <w:sz w:val="20"/>
        </w:rPr>
        <w:t>33–002—33–054;</w:t>
      </w:r>
      <w:r>
        <w:rPr>
          <w:spacing w:val="-1"/>
          <w:sz w:val="20"/>
        </w:rPr>
        <w:t> </w:t>
      </w:r>
      <w:r>
        <w:rPr>
          <w:sz w:val="20"/>
        </w:rPr>
        <w:t>Hill, </w:t>
      </w:r>
      <w:r>
        <w:rPr>
          <w:rFonts w:ascii="Arial" w:hAnsi="Arial"/>
          <w:i/>
          <w:sz w:val="20"/>
        </w:rPr>
        <w:t>Cross-Border Consumer Contracts </w:t>
      </w:r>
      <w:r>
        <w:rPr>
          <w:sz w:val="20"/>
        </w:rPr>
        <w:t>(2008); Tang, </w:t>
      </w:r>
      <w:r>
        <w:rPr>
          <w:rFonts w:ascii="Arial" w:hAnsi="Arial"/>
          <w:i/>
          <w:sz w:val="20"/>
        </w:rPr>
        <w:t>Electronic Consumer Contracts in the Conflict of Laws </w:t>
      </w:r>
      <w:r>
        <w:rPr>
          <w:sz w:val="20"/>
        </w:rPr>
        <w:t>(2009); Plender and Wilderspin, 4th edn (2014), Ch.9; Kaye, </w:t>
      </w:r>
      <w:r>
        <w:rPr>
          <w:rFonts w:ascii="Arial" w:hAnsi="Arial"/>
          <w:i/>
          <w:sz w:val="20"/>
        </w:rPr>
        <w:t>The New Private International Law of Contract of the European Community </w:t>
      </w:r>
      <w:r>
        <w:rPr>
          <w:sz w:val="20"/>
        </w:rPr>
        <w:t>(1993), pp.203–220; Basedow, </w:t>
      </w:r>
      <w:r>
        <w:rPr>
          <w:rFonts w:ascii="Arial" w:hAnsi="Arial"/>
          <w:i/>
          <w:sz w:val="20"/>
        </w:rPr>
        <w:t>The Enforcement</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Contracts</w:t>
      </w:r>
      <w:r>
        <w:rPr>
          <w:rFonts w:ascii="Arial" w:hAnsi="Arial"/>
          <w:i/>
          <w:spacing w:val="-3"/>
          <w:sz w:val="20"/>
        </w:rPr>
        <w:t> </w:t>
      </w:r>
      <w:r>
        <w:rPr>
          <w:rFonts w:ascii="Arial" w:hAnsi="Arial"/>
          <w:i/>
          <w:sz w:val="20"/>
        </w:rPr>
        <w:t>in</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European</w:t>
      </w:r>
      <w:r>
        <w:rPr>
          <w:rFonts w:ascii="Arial" w:hAnsi="Arial"/>
          <w:i/>
          <w:spacing w:val="-3"/>
          <w:sz w:val="20"/>
        </w:rPr>
        <w:t> </w:t>
      </w:r>
      <w:r>
        <w:rPr>
          <w:rFonts w:ascii="Arial" w:hAnsi="Arial"/>
          <w:i/>
          <w:sz w:val="20"/>
        </w:rPr>
        <w:t>Union</w:t>
      </w:r>
      <w:r>
        <w:rPr>
          <w:rFonts w:ascii="Arial" w:hAnsi="Arial"/>
          <w:i/>
          <w:spacing w:val="-4"/>
          <w:sz w:val="20"/>
        </w:rPr>
        <w:t> </w:t>
      </w:r>
      <w:r>
        <w:rPr>
          <w:sz w:val="20"/>
        </w:rPr>
        <w:t>(2004),</w:t>
      </w:r>
      <w:r>
        <w:rPr>
          <w:spacing w:val="-3"/>
          <w:sz w:val="20"/>
        </w:rPr>
        <w:t> </w:t>
      </w:r>
      <w:r>
        <w:rPr>
          <w:sz w:val="20"/>
        </w:rPr>
        <w:t>pp.269–288;</w:t>
      </w:r>
      <w:r>
        <w:rPr>
          <w:spacing w:val="-3"/>
          <w:sz w:val="20"/>
        </w:rPr>
        <w:t> </w:t>
      </w:r>
      <w:r>
        <w:rPr>
          <w:sz w:val="20"/>
        </w:rPr>
        <w:t>Straetmans, </w:t>
      </w:r>
      <w:r>
        <w:rPr>
          <w:rFonts w:ascii="Arial" w:hAnsi="Arial"/>
          <w:i/>
          <w:sz w:val="20"/>
        </w:rPr>
        <w:t>The Enforcement of International Contracts in the European Union </w:t>
      </w:r>
      <w:r>
        <w:rPr>
          <w:sz w:val="20"/>
        </w:rPr>
        <w:t>(2004), pp.295–322; Morse in Lomnicka and Morse (eds), Contemporary Issues in Commercial Law (1997), pp.117–135; Hartley,</w:t>
      </w:r>
      <w:r>
        <w:rPr>
          <w:spacing w:val="2"/>
          <w:sz w:val="20"/>
        </w:rPr>
        <w:t> </w:t>
      </w:r>
      <w:r>
        <w:rPr>
          <w:rFonts w:ascii="Arial" w:hAnsi="Arial"/>
          <w:i/>
          <w:sz w:val="20"/>
        </w:rPr>
        <w:t>Contract</w:t>
      </w:r>
      <w:r>
        <w:rPr>
          <w:rFonts w:ascii="Arial" w:hAnsi="Arial"/>
          <w:i/>
          <w:spacing w:val="2"/>
          <w:sz w:val="20"/>
        </w:rPr>
        <w:t> </w:t>
      </w:r>
      <w:r>
        <w:rPr>
          <w:rFonts w:ascii="Arial" w:hAnsi="Arial"/>
          <w:i/>
          <w:sz w:val="20"/>
        </w:rPr>
        <w:t>Conflicts</w:t>
      </w:r>
      <w:r>
        <w:rPr>
          <w:rFonts w:ascii="Arial" w:hAnsi="Arial"/>
          <w:i/>
          <w:spacing w:val="2"/>
          <w:sz w:val="20"/>
        </w:rPr>
        <w:t> </w:t>
      </w:r>
      <w:r>
        <w:rPr>
          <w:sz w:val="20"/>
        </w:rPr>
        <w:t>(1982),</w:t>
      </w:r>
      <w:r>
        <w:rPr>
          <w:spacing w:val="2"/>
          <w:sz w:val="20"/>
        </w:rPr>
        <w:t> </w:t>
      </w:r>
      <w:r>
        <w:rPr>
          <w:sz w:val="20"/>
        </w:rPr>
        <w:t>Ch.6;</w:t>
      </w:r>
      <w:r>
        <w:rPr>
          <w:spacing w:val="2"/>
          <w:sz w:val="20"/>
        </w:rPr>
        <w:t> </w:t>
      </w:r>
      <w:r>
        <w:rPr>
          <w:sz w:val="20"/>
        </w:rPr>
        <w:t>Morse</w:t>
      </w:r>
      <w:r>
        <w:rPr>
          <w:spacing w:val="2"/>
          <w:sz w:val="20"/>
        </w:rPr>
        <w:t> </w:t>
      </w:r>
      <w:r>
        <w:rPr>
          <w:sz w:val="20"/>
        </w:rPr>
        <w:t>(1992)</w:t>
      </w:r>
      <w:r>
        <w:rPr>
          <w:spacing w:val="2"/>
          <w:sz w:val="20"/>
        </w:rPr>
        <w:t> </w:t>
      </w:r>
      <w:r>
        <w:rPr>
          <w:sz w:val="20"/>
        </w:rPr>
        <w:t>41</w:t>
      </w:r>
      <w:r>
        <w:rPr>
          <w:spacing w:val="2"/>
          <w:sz w:val="20"/>
        </w:rPr>
        <w:t> </w:t>
      </w:r>
      <w:r>
        <w:rPr>
          <w:sz w:val="20"/>
        </w:rPr>
        <w:t>I.C.L.Q.</w:t>
      </w:r>
      <w:r>
        <w:rPr>
          <w:spacing w:val="2"/>
          <w:sz w:val="20"/>
        </w:rPr>
        <w:t> </w:t>
      </w:r>
      <w:r>
        <w:rPr>
          <w:sz w:val="20"/>
        </w:rPr>
        <w:t>1.</w:t>
      </w:r>
      <w:r>
        <w:rPr>
          <w:spacing w:val="2"/>
          <w:sz w:val="20"/>
        </w:rPr>
        <w:t> </w:t>
      </w:r>
      <w:r>
        <w:rPr>
          <w:sz w:val="20"/>
        </w:rPr>
        <w:t>Gillies</w:t>
      </w:r>
      <w:r>
        <w:rPr>
          <w:spacing w:val="2"/>
          <w:sz w:val="20"/>
        </w:rPr>
        <w:t> </w:t>
      </w:r>
      <w:r>
        <w:rPr>
          <w:sz w:val="20"/>
        </w:rPr>
        <w:t>(2007)</w:t>
      </w:r>
      <w:r>
        <w:rPr>
          <w:spacing w:val="2"/>
          <w:sz w:val="20"/>
        </w:rPr>
        <w:t> </w:t>
      </w:r>
      <w:r>
        <w:rPr>
          <w:sz w:val="20"/>
        </w:rPr>
        <w:t>3</w:t>
      </w:r>
      <w:r>
        <w:rPr>
          <w:spacing w:val="2"/>
          <w:sz w:val="20"/>
        </w:rPr>
        <w:t> </w:t>
      </w:r>
      <w:r>
        <w:rPr>
          <w:sz w:val="20"/>
        </w:rPr>
        <w:t>J.</w:t>
      </w:r>
      <w:r>
        <w:rPr>
          <w:spacing w:val="2"/>
          <w:sz w:val="20"/>
        </w:rPr>
        <w:t> </w:t>
      </w:r>
      <w:r>
        <w:rPr>
          <w:sz w:val="20"/>
        </w:rPr>
        <w:t>Priv.</w:t>
      </w:r>
      <w:r>
        <w:rPr>
          <w:spacing w:val="2"/>
          <w:sz w:val="20"/>
        </w:rPr>
        <w:t> </w:t>
      </w:r>
      <w:r>
        <w:rPr>
          <w:spacing w:val="-4"/>
          <w:sz w:val="20"/>
        </w:rPr>
        <w:t>Int.</w:t>
      </w:r>
    </w:p>
    <w:p>
      <w:pPr>
        <w:pStyle w:val="BodyText"/>
        <w:spacing w:line="235" w:lineRule="auto"/>
        <w:ind w:left="705" w:right="167"/>
        <w:jc w:val="both"/>
      </w:pPr>
      <w:r>
        <w:rPr/>
        <w:t>L. 89; Tang (2007) 3 J. Priv. Int. L. 113; Gillies (2008) 16 International Journal of Law and Information</w:t>
      </w:r>
      <w:r>
        <w:rPr>
          <w:spacing w:val="40"/>
        </w:rPr>
        <w:t> </w:t>
      </w:r>
      <w:r>
        <w:rPr/>
        <w:t>Technology</w:t>
      </w:r>
      <w:r>
        <w:rPr>
          <w:spacing w:val="40"/>
        </w:rPr>
        <w:t> </w:t>
      </w:r>
      <w:r>
        <w:rPr/>
        <w:t>242.</w:t>
      </w:r>
      <w:r>
        <w:rPr>
          <w:spacing w:val="40"/>
        </w:rPr>
        <w:t> </w:t>
      </w:r>
      <w:r>
        <w:rPr/>
        <w:t>For</w:t>
      </w:r>
      <w:r>
        <w:rPr>
          <w:spacing w:val="40"/>
        </w:rPr>
        <w:t> </w:t>
      </w:r>
      <w:r>
        <w:rPr/>
        <w:t>the</w:t>
      </w:r>
      <w:r>
        <w:rPr>
          <w:spacing w:val="40"/>
        </w:rPr>
        <w:t> </w:t>
      </w:r>
      <w:r>
        <w:rPr/>
        <w:t>application</w:t>
      </w:r>
      <w:r>
        <w:rPr>
          <w:spacing w:val="40"/>
        </w:rPr>
        <w:t> </w:t>
      </w:r>
      <w:r>
        <w:rPr/>
        <w:t>of</w:t>
      </w:r>
      <w:r>
        <w:rPr>
          <w:spacing w:val="40"/>
        </w:rPr>
        <w:t> </w:t>
      </w:r>
      <w:r>
        <w:rPr/>
        <w:t>the</w:t>
      </w:r>
      <w:r>
        <w:rPr>
          <w:spacing w:val="40"/>
        </w:rPr>
        <w:t> </w:t>
      </w:r>
      <w:r>
        <w:rPr/>
        <w:t>provisions</w:t>
      </w:r>
      <w:r>
        <w:rPr>
          <w:spacing w:val="40"/>
        </w:rPr>
        <w:t> </w:t>
      </w:r>
      <w:r>
        <w:rPr/>
        <w:t>to</w:t>
      </w:r>
      <w:r>
        <w:rPr>
          <w:spacing w:val="40"/>
        </w:rPr>
        <w:t> </w:t>
      </w:r>
      <w:r>
        <w:rPr/>
        <w:t>contracts</w:t>
      </w:r>
      <w:r>
        <w:rPr>
          <w:spacing w:val="57"/>
        </w:rPr>
        <w:t> </w:t>
      </w:r>
      <w:r>
        <w:rPr/>
        <w:t>concluded “on-line”, see below, paras 30-094 et seq. As to the position under art.6 of the Rome I Regulation, see below, paras 30–231 et seq. As to the formal validity of such contracts, </w:t>
      </w:r>
      <w:r>
        <w:rPr/>
        <w:t>see below, para.30–321.</w:t>
      </w:r>
    </w:p>
    <w:p>
      <w:pPr>
        <w:pStyle w:val="BodyText"/>
        <w:spacing w:before="5"/>
      </w:pPr>
    </w:p>
    <w:p>
      <w:pPr>
        <w:pStyle w:val="BodyText"/>
        <w:spacing w:line="235" w:lineRule="auto"/>
        <w:ind w:left="705" w:right="167" w:hanging="541"/>
        <w:jc w:val="both"/>
      </w:pPr>
      <w:bookmarkStart w:name="_bookmark1008" w:id="1010"/>
      <w:bookmarkEnd w:id="1010"/>
      <w:r>
        <w:rPr/>
      </w:r>
      <w:hyperlink w:history="true" w:anchor="_bookmark881">
        <w:r>
          <w:rPr>
            <w:color w:val="005DA1"/>
            <w:position w:val="5"/>
            <w:sz w:val="14"/>
            <w:u w:val="single" w:color="005DA1"/>
          </w:rPr>
          <w:t>469</w:t>
        </w:r>
      </w:hyperlink>
      <w:r>
        <w:rPr>
          <w:position w:val="5"/>
          <w:sz w:val="14"/>
        </w:rPr>
        <w:t>.</w:t>
      </w:r>
      <w:r>
        <w:rPr>
          <w:spacing w:val="80"/>
          <w:position w:val="5"/>
          <w:sz w:val="14"/>
        </w:rPr>
        <w:t> </w:t>
      </w:r>
      <w:r>
        <w:rPr/>
        <w:t>Rome</w:t>
      </w:r>
      <w:r>
        <w:rPr>
          <w:spacing w:val="40"/>
        </w:rPr>
        <w:t> </w:t>
      </w:r>
      <w:r>
        <w:rPr/>
        <w:t>Convention</w:t>
      </w:r>
      <w:r>
        <w:rPr>
          <w:spacing w:val="40"/>
        </w:rPr>
        <w:t> </w:t>
      </w:r>
      <w:r>
        <w:rPr/>
        <w:t>art.5(1).</w:t>
      </w:r>
      <w:r>
        <w:rPr>
          <w:spacing w:val="40"/>
        </w:rPr>
        <w:t> </w:t>
      </w:r>
      <w:r>
        <w:rPr/>
        <w:t>Thus,</w:t>
      </w:r>
      <w:r>
        <w:rPr>
          <w:spacing w:val="40"/>
        </w:rPr>
        <w:t> </w:t>
      </w:r>
      <w:r>
        <w:rPr/>
        <w:t>e.g.</w:t>
      </w:r>
      <w:r>
        <w:rPr>
          <w:spacing w:val="40"/>
        </w:rPr>
        <w:t> </w:t>
      </w:r>
      <w:r>
        <w:rPr/>
        <w:t>art.5</w:t>
      </w:r>
      <w:r>
        <w:rPr>
          <w:spacing w:val="40"/>
        </w:rPr>
        <w:t> </w:t>
      </w:r>
      <w:r>
        <w:rPr/>
        <w:t>will</w:t>
      </w:r>
      <w:r>
        <w:rPr>
          <w:spacing w:val="40"/>
        </w:rPr>
        <w:t> </w:t>
      </w:r>
      <w:r>
        <w:rPr/>
        <w:t>not</w:t>
      </w:r>
      <w:r>
        <w:rPr>
          <w:spacing w:val="40"/>
        </w:rPr>
        <w:t> </w:t>
      </w:r>
      <w:r>
        <w:rPr/>
        <w:t>apply</w:t>
      </w:r>
      <w:r>
        <w:rPr>
          <w:spacing w:val="40"/>
        </w:rPr>
        <w:t> </w:t>
      </w:r>
      <w:r>
        <w:rPr/>
        <w:t>to</w:t>
      </w:r>
      <w:r>
        <w:rPr>
          <w:spacing w:val="40"/>
        </w:rPr>
        <w:t> </w:t>
      </w:r>
      <w:r>
        <w:rPr/>
        <w:t>contracts</w:t>
      </w:r>
      <w:r>
        <w:rPr>
          <w:spacing w:val="40"/>
        </w:rPr>
        <w:t> </w:t>
      </w:r>
      <w:r>
        <w:rPr/>
        <w:t>made</w:t>
      </w:r>
      <w:r>
        <w:rPr>
          <w:spacing w:val="40"/>
        </w:rPr>
        <w:t> </w:t>
      </w:r>
      <w:r>
        <w:rPr/>
        <w:t>by</w:t>
      </w:r>
      <w:r>
        <w:rPr>
          <w:spacing w:val="40"/>
        </w:rPr>
        <w:t> </w:t>
      </w:r>
      <w:r>
        <w:rPr/>
        <w:t>e.g. manufacturers or traders who buy goods or obtain services for business purposes, or to professionals who acquire goods or services for professional purposes: see Giuliano-Lagarde Report, p.23. For other difficulties in interpreting the language of art.5(1), see Dicey, Morris and Collins, paras 33–002 et seq.</w:t>
      </w:r>
    </w:p>
    <w:p>
      <w:pPr>
        <w:pStyle w:val="BodyText"/>
        <w:spacing w:before="4"/>
      </w:pPr>
    </w:p>
    <w:p>
      <w:pPr>
        <w:pStyle w:val="BodyText"/>
        <w:tabs>
          <w:tab w:pos="705" w:val="left" w:leader="none"/>
        </w:tabs>
        <w:ind w:left="165"/>
      </w:pPr>
      <w:bookmarkStart w:name="_bookmark1009" w:id="1011"/>
      <w:bookmarkEnd w:id="1011"/>
      <w:r>
        <w:rPr/>
      </w:r>
      <w:hyperlink w:history="true" w:anchor="_bookmark882">
        <w:r>
          <w:rPr>
            <w:color w:val="005DA1"/>
            <w:spacing w:val="-4"/>
            <w:position w:val="5"/>
            <w:sz w:val="14"/>
            <w:u w:val="single" w:color="005DA1"/>
          </w:rPr>
          <w:t>470</w:t>
        </w:r>
      </w:hyperlink>
      <w:r>
        <w:rPr>
          <w:spacing w:val="-4"/>
          <w:position w:val="5"/>
          <w:sz w:val="14"/>
        </w:rPr>
        <w:t>.</w:t>
      </w:r>
      <w:r>
        <w:rPr>
          <w:position w:val="5"/>
          <w:sz w:val="14"/>
        </w:rPr>
        <w:tab/>
      </w:r>
      <w:r>
        <w:rPr/>
        <w:t>Giuliano-Lagarde Report, </w:t>
      </w:r>
      <w:r>
        <w:rPr>
          <w:spacing w:val="-2"/>
        </w:rPr>
        <w:t>p.23.</w:t>
      </w:r>
    </w:p>
    <w:p>
      <w:pPr>
        <w:pStyle w:val="BodyText"/>
        <w:spacing w:before="9"/>
      </w:pPr>
    </w:p>
    <w:p>
      <w:pPr>
        <w:spacing w:line="235" w:lineRule="auto" w:before="0"/>
        <w:ind w:left="705" w:right="167" w:hanging="541"/>
        <w:jc w:val="both"/>
        <w:rPr>
          <w:sz w:val="20"/>
        </w:rPr>
      </w:pPr>
      <w:bookmarkStart w:name="_bookmark1010" w:id="1012"/>
      <w:bookmarkEnd w:id="1012"/>
      <w:r>
        <w:rPr/>
      </w:r>
      <w:hyperlink w:history="true" w:anchor="_bookmark883">
        <w:r>
          <w:rPr>
            <w:color w:val="005DA1"/>
            <w:position w:val="5"/>
            <w:sz w:val="14"/>
            <w:u w:val="single" w:color="005DA1"/>
          </w:rPr>
          <w:t>471</w:t>
        </w:r>
      </w:hyperlink>
      <w:r>
        <w:rPr>
          <w:position w:val="5"/>
          <w:sz w:val="14"/>
        </w:rPr>
        <w:t>.</w:t>
      </w:r>
      <w:r>
        <w:rPr>
          <w:spacing w:val="80"/>
          <w:position w:val="5"/>
          <w:sz w:val="14"/>
        </w:rPr>
        <w:t>  </w:t>
      </w:r>
      <w:r>
        <w:rPr>
          <w:sz w:val="20"/>
        </w:rPr>
        <w:t>cf.</w:t>
      </w:r>
      <w:r>
        <w:rPr>
          <w:spacing w:val="-1"/>
          <w:sz w:val="20"/>
        </w:rPr>
        <w:t> </w:t>
      </w:r>
      <w:r>
        <w:rPr>
          <w:rFonts w:ascii="Arial" w:hAnsi="Arial"/>
          <w:i/>
          <w:sz w:val="20"/>
        </w:rPr>
        <w:t>Société</w:t>
      </w:r>
      <w:r>
        <w:rPr>
          <w:rFonts w:ascii="Arial" w:hAnsi="Arial"/>
          <w:i/>
          <w:spacing w:val="-2"/>
          <w:sz w:val="20"/>
        </w:rPr>
        <w:t> </w:t>
      </w:r>
      <w:r>
        <w:rPr>
          <w:rFonts w:ascii="Arial" w:hAnsi="Arial"/>
          <w:i/>
          <w:sz w:val="20"/>
        </w:rPr>
        <w:t>Bertrand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Paul</w:t>
      </w:r>
      <w:r>
        <w:rPr>
          <w:rFonts w:ascii="Arial" w:hAnsi="Arial"/>
          <w:i/>
          <w:spacing w:val="-2"/>
          <w:sz w:val="20"/>
        </w:rPr>
        <w:t> </w:t>
      </w:r>
      <w:r>
        <w:rPr>
          <w:rFonts w:ascii="Arial" w:hAnsi="Arial"/>
          <w:i/>
          <w:sz w:val="20"/>
        </w:rPr>
        <w:t>Ott</w:t>
      </w:r>
      <w:r>
        <w:rPr>
          <w:rFonts w:ascii="Arial" w:hAnsi="Arial"/>
          <w:i/>
          <w:spacing w:val="-2"/>
          <w:sz w:val="20"/>
        </w:rPr>
        <w:t> </w:t>
      </w:r>
      <w:r>
        <w:rPr>
          <w:rFonts w:ascii="Arial" w:hAnsi="Arial"/>
          <w:i/>
          <w:sz w:val="20"/>
        </w:rPr>
        <w:t>KG</w:t>
      </w:r>
      <w:r>
        <w:rPr>
          <w:rFonts w:ascii="Arial" w:hAnsi="Arial"/>
          <w:i/>
          <w:spacing w:val="-2"/>
          <w:sz w:val="20"/>
        </w:rPr>
        <w:t> </w:t>
      </w:r>
      <w:r>
        <w:rPr>
          <w:rFonts w:ascii="Arial" w:hAnsi="Arial"/>
          <w:i/>
          <w:sz w:val="20"/>
        </w:rPr>
        <w:t>(150/77)</w:t>
      </w:r>
      <w:r>
        <w:rPr>
          <w:rFonts w:ascii="Arial" w:hAnsi="Arial"/>
          <w:i/>
          <w:spacing w:val="-2"/>
          <w:sz w:val="20"/>
        </w:rPr>
        <w:t> </w:t>
      </w:r>
      <w:r>
        <w:rPr>
          <w:rFonts w:ascii="Arial" w:hAnsi="Arial"/>
          <w:i/>
          <w:sz w:val="20"/>
        </w:rPr>
        <w:t>[1978]</w:t>
      </w:r>
      <w:r>
        <w:rPr>
          <w:rFonts w:ascii="Arial" w:hAnsi="Arial"/>
          <w:i/>
          <w:spacing w:val="-2"/>
          <w:sz w:val="20"/>
        </w:rPr>
        <w:t> </w:t>
      </w:r>
      <w:r>
        <w:rPr>
          <w:rFonts w:ascii="Arial" w:hAnsi="Arial"/>
          <w:i/>
          <w:sz w:val="20"/>
        </w:rPr>
        <w:t>E.C.R.</w:t>
      </w:r>
      <w:r>
        <w:rPr>
          <w:rFonts w:ascii="Arial" w:hAnsi="Arial"/>
          <w:i/>
          <w:spacing w:val="-2"/>
          <w:sz w:val="20"/>
        </w:rPr>
        <w:t> </w:t>
      </w:r>
      <w:r>
        <w:rPr>
          <w:rFonts w:ascii="Arial" w:hAnsi="Arial"/>
          <w:i/>
          <w:sz w:val="20"/>
        </w:rPr>
        <w:t>143</w:t>
      </w:r>
      <w:r>
        <w:rPr>
          <w:sz w:val="20"/>
        </w:rPr>
        <w:t>;</w:t>
      </w:r>
      <w:r>
        <w:rPr>
          <w:spacing w:val="-2"/>
          <w:sz w:val="20"/>
        </w:rPr>
        <w:t> </w:t>
      </w:r>
      <w:r>
        <w:rPr>
          <w:rFonts w:ascii="Arial" w:hAnsi="Arial"/>
          <w:i/>
          <w:sz w:val="20"/>
        </w:rPr>
        <w:t>Shearson</w:t>
      </w:r>
      <w:r>
        <w:rPr>
          <w:rFonts w:ascii="Arial" w:hAnsi="Arial"/>
          <w:i/>
          <w:spacing w:val="-2"/>
          <w:sz w:val="20"/>
        </w:rPr>
        <w:t> </w:t>
      </w:r>
      <w:r>
        <w:rPr>
          <w:rFonts w:ascii="Arial" w:hAnsi="Arial"/>
          <w:i/>
          <w:sz w:val="20"/>
        </w:rPr>
        <w:t>Lehmann</w:t>
      </w:r>
      <w:r>
        <w:rPr>
          <w:rFonts w:ascii="Arial" w:hAnsi="Arial"/>
          <w:i/>
          <w:spacing w:val="-2"/>
          <w:sz w:val="20"/>
        </w:rPr>
        <w:t> </w:t>
      </w:r>
      <w:r>
        <w:rPr>
          <w:rFonts w:ascii="Arial" w:hAnsi="Arial"/>
          <w:i/>
          <w:sz w:val="20"/>
        </w:rPr>
        <w:t>Hutton</w:t>
      </w:r>
      <w:r>
        <w:rPr>
          <w:rFonts w:ascii="Arial" w:hAnsi="Arial"/>
          <w:i/>
          <w:spacing w:val="-2"/>
          <w:sz w:val="20"/>
        </w:rPr>
        <w:t> </w:t>
      </w:r>
      <w:r>
        <w:rPr>
          <w:rFonts w:ascii="Arial" w:hAnsi="Arial"/>
          <w:i/>
          <w:sz w:val="20"/>
        </w:rPr>
        <w:t>Inc</w:t>
      </w:r>
      <w:r>
        <w:rPr>
          <w:rFonts w:ascii="Arial" w:hAnsi="Arial"/>
          <w:i/>
          <w:spacing w:val="-2"/>
          <w:sz w:val="20"/>
        </w:rPr>
        <w:t> </w:t>
      </w:r>
      <w:r>
        <w:rPr>
          <w:rFonts w:ascii="Arial" w:hAnsi="Arial"/>
          <w:i/>
          <w:sz w:val="20"/>
        </w:rPr>
        <w:t>v TVB Treuhandgesellschaft für Vermogensverwaltung und Beteiligungen GmbH (C-</w:t>
      </w:r>
      <w:r>
        <w:rPr>
          <w:rFonts w:ascii="Arial" w:hAnsi="Arial"/>
          <w:i/>
          <w:sz w:val="20"/>
        </w:rPr>
        <w:t>89/91)</w:t>
      </w:r>
      <w:r>
        <w:rPr>
          <w:rFonts w:ascii="Arial" w:hAnsi="Arial"/>
          <w:i/>
          <w:spacing w:val="40"/>
          <w:sz w:val="20"/>
        </w:rPr>
        <w:t> </w:t>
      </w:r>
      <w:r>
        <w:rPr>
          <w:rFonts w:ascii="Arial" w:hAnsi="Arial"/>
          <w:i/>
          <w:sz w:val="20"/>
        </w:rPr>
        <w:t>[1993] E.C.R. I–139</w:t>
      </w:r>
      <w:r>
        <w:rPr>
          <w:sz w:val="20"/>
        </w:rPr>
        <w:t>; </w:t>
      </w:r>
      <w:r>
        <w:rPr>
          <w:rFonts w:ascii="Arial" w:hAnsi="Arial"/>
          <w:i/>
          <w:sz w:val="20"/>
        </w:rPr>
        <w:t>Brenner v Dean Witter Reynolds Inc (C-318/93) [1994] E.C.R. I–4725</w:t>
      </w:r>
      <w:r>
        <w:rPr>
          <w:sz w:val="20"/>
        </w:rPr>
        <w:t>; </w:t>
      </w:r>
      <w:r>
        <w:rPr>
          <w:rFonts w:ascii="Arial" w:hAnsi="Arial"/>
          <w:i/>
          <w:sz w:val="20"/>
        </w:rPr>
        <w:t>Benincasa v Dentalkit Srl (C-269/95) [1997] E.C.R. I–3767</w:t>
      </w:r>
      <w:r>
        <w:rPr>
          <w:sz w:val="20"/>
        </w:rPr>
        <w:t>; </w:t>
      </w:r>
      <w:r>
        <w:rPr>
          <w:rFonts w:ascii="Arial" w:hAnsi="Arial"/>
          <w:i/>
          <w:sz w:val="20"/>
        </w:rPr>
        <w:t>Mietz v Intership Yachting Sneek</w:t>
      </w:r>
      <w:r>
        <w:rPr>
          <w:rFonts w:ascii="Arial" w:hAnsi="Arial"/>
          <w:i/>
          <w:spacing w:val="40"/>
          <w:sz w:val="20"/>
        </w:rPr>
        <w:t> </w:t>
      </w:r>
      <w:r>
        <w:rPr>
          <w:rFonts w:ascii="Arial" w:hAnsi="Arial"/>
          <w:i/>
          <w:sz w:val="20"/>
        </w:rPr>
        <w:t>BV (C-99/96) [1999] E.C.R. I–2277</w:t>
      </w:r>
      <w:r>
        <w:rPr>
          <w:sz w:val="20"/>
        </w:rPr>
        <w:t>; </w:t>
      </w:r>
      <w:r>
        <w:rPr>
          <w:rFonts w:ascii="Arial" w:hAnsi="Arial"/>
          <w:i/>
          <w:sz w:val="20"/>
        </w:rPr>
        <w:t>Gabriel v Schlank &amp; Schlick GmbH (C-96/00) [2002] E.C.R. I–6367</w:t>
      </w:r>
      <w:r>
        <w:rPr>
          <w:sz w:val="20"/>
        </w:rPr>
        <w:t>;</w:t>
      </w:r>
      <w:r>
        <w:rPr>
          <w:spacing w:val="46"/>
          <w:sz w:val="20"/>
        </w:rPr>
        <w:t> </w:t>
      </w:r>
      <w:r>
        <w:rPr>
          <w:rFonts w:ascii="Arial" w:hAnsi="Arial"/>
          <w:i/>
          <w:sz w:val="20"/>
        </w:rPr>
        <w:t>Engler</w:t>
      </w:r>
      <w:r>
        <w:rPr>
          <w:rFonts w:ascii="Arial" w:hAnsi="Arial"/>
          <w:i/>
          <w:spacing w:val="47"/>
          <w:sz w:val="20"/>
        </w:rPr>
        <w:t> </w:t>
      </w:r>
      <w:r>
        <w:rPr>
          <w:rFonts w:ascii="Arial" w:hAnsi="Arial"/>
          <w:i/>
          <w:sz w:val="20"/>
        </w:rPr>
        <w:t>v</w:t>
      </w:r>
      <w:r>
        <w:rPr>
          <w:rFonts w:ascii="Arial" w:hAnsi="Arial"/>
          <w:i/>
          <w:spacing w:val="47"/>
          <w:sz w:val="20"/>
        </w:rPr>
        <w:t> </w:t>
      </w:r>
      <w:r>
        <w:rPr>
          <w:rFonts w:ascii="Arial" w:hAnsi="Arial"/>
          <w:i/>
          <w:sz w:val="20"/>
        </w:rPr>
        <w:t>Janus</w:t>
      </w:r>
      <w:r>
        <w:rPr>
          <w:rFonts w:ascii="Arial" w:hAnsi="Arial"/>
          <w:i/>
          <w:spacing w:val="47"/>
          <w:sz w:val="20"/>
        </w:rPr>
        <w:t> </w:t>
      </w:r>
      <w:r>
        <w:rPr>
          <w:rFonts w:ascii="Arial" w:hAnsi="Arial"/>
          <w:i/>
          <w:sz w:val="20"/>
        </w:rPr>
        <w:t>Versand</w:t>
      </w:r>
      <w:r>
        <w:rPr>
          <w:rFonts w:ascii="Arial" w:hAnsi="Arial"/>
          <w:i/>
          <w:spacing w:val="47"/>
          <w:sz w:val="20"/>
        </w:rPr>
        <w:t> </w:t>
      </w:r>
      <w:r>
        <w:rPr>
          <w:rFonts w:ascii="Arial" w:hAnsi="Arial"/>
          <w:i/>
          <w:sz w:val="20"/>
        </w:rPr>
        <w:t>GmbH</w:t>
      </w:r>
      <w:r>
        <w:rPr>
          <w:rFonts w:ascii="Arial" w:hAnsi="Arial"/>
          <w:i/>
          <w:spacing w:val="47"/>
          <w:sz w:val="20"/>
        </w:rPr>
        <w:t> </w:t>
      </w:r>
      <w:r>
        <w:rPr>
          <w:rFonts w:ascii="Arial" w:hAnsi="Arial"/>
          <w:i/>
          <w:sz w:val="20"/>
        </w:rPr>
        <w:t>(C-27/02)</w:t>
      </w:r>
      <w:r>
        <w:rPr>
          <w:rFonts w:ascii="Arial" w:hAnsi="Arial"/>
          <w:i/>
          <w:spacing w:val="47"/>
          <w:sz w:val="20"/>
        </w:rPr>
        <w:t> </w:t>
      </w:r>
      <w:r>
        <w:rPr>
          <w:rFonts w:ascii="Arial" w:hAnsi="Arial"/>
          <w:i/>
          <w:sz w:val="20"/>
        </w:rPr>
        <w:t>[2005]</w:t>
      </w:r>
      <w:r>
        <w:rPr>
          <w:rFonts w:ascii="Arial" w:hAnsi="Arial"/>
          <w:i/>
          <w:spacing w:val="47"/>
          <w:sz w:val="20"/>
        </w:rPr>
        <w:t> </w:t>
      </w:r>
      <w:r>
        <w:rPr>
          <w:rFonts w:ascii="Arial" w:hAnsi="Arial"/>
          <w:i/>
          <w:sz w:val="20"/>
        </w:rPr>
        <w:t>E.C.R.</w:t>
      </w:r>
      <w:r>
        <w:rPr>
          <w:rFonts w:ascii="Arial" w:hAnsi="Arial"/>
          <w:i/>
          <w:spacing w:val="47"/>
          <w:sz w:val="20"/>
        </w:rPr>
        <w:t> </w:t>
      </w:r>
      <w:r>
        <w:rPr>
          <w:rFonts w:ascii="Arial" w:hAnsi="Arial"/>
          <w:i/>
          <w:sz w:val="20"/>
        </w:rPr>
        <w:t>I–1481,</w:t>
      </w:r>
      <w:r>
        <w:rPr>
          <w:rFonts w:ascii="Arial" w:hAnsi="Arial"/>
          <w:i/>
          <w:spacing w:val="47"/>
          <w:sz w:val="20"/>
        </w:rPr>
        <w:t> </w:t>
      </w:r>
      <w:r>
        <w:rPr>
          <w:rFonts w:ascii="Arial" w:hAnsi="Arial"/>
          <w:i/>
          <w:sz w:val="20"/>
        </w:rPr>
        <w:t>[2005]</w:t>
      </w:r>
      <w:r>
        <w:rPr>
          <w:rFonts w:ascii="Arial" w:hAnsi="Arial"/>
          <w:i/>
          <w:spacing w:val="47"/>
          <w:sz w:val="20"/>
        </w:rPr>
        <w:t> </w:t>
      </w:r>
      <w:r>
        <w:rPr>
          <w:rFonts w:ascii="Arial" w:hAnsi="Arial"/>
          <w:i/>
          <w:sz w:val="20"/>
        </w:rPr>
        <w:t>I.L.Pr.</w:t>
      </w:r>
      <w:r>
        <w:rPr>
          <w:rFonts w:ascii="Arial" w:hAnsi="Arial"/>
          <w:i/>
          <w:spacing w:val="47"/>
          <w:sz w:val="20"/>
        </w:rPr>
        <w:t> </w:t>
      </w:r>
      <w:r>
        <w:rPr>
          <w:rFonts w:ascii="Arial" w:hAnsi="Arial"/>
          <w:i/>
          <w:spacing w:val="-5"/>
          <w:sz w:val="20"/>
        </w:rPr>
        <w:t>83</w:t>
      </w:r>
      <w:r>
        <w:rPr>
          <w:spacing w:val="-5"/>
          <w:sz w:val="20"/>
        </w:rPr>
        <w:t>;</w:t>
      </w:r>
    </w:p>
    <w:p>
      <w:pPr>
        <w:pStyle w:val="BodyText"/>
        <w:spacing w:line="235" w:lineRule="auto"/>
        <w:ind w:left="705" w:right="167"/>
        <w:jc w:val="both"/>
      </w:pPr>
      <w:r>
        <w:rPr>
          <w:rFonts w:ascii="Arial" w:hAnsi="Arial"/>
          <w:i/>
        </w:rPr>
        <w:t>Gruber v Bay Wa AG (C-464/01) [2005] E.C.R. I–439, [2006] Q.B. 204</w:t>
      </w:r>
      <w:r>
        <w:rPr/>
        <w:t>. According to the Giuliano-Lagarde Report, p.23, the scope of the Article “should be interpreted in the light of its purpose which is to protect the weaker party and in accordance with other </w:t>
      </w:r>
      <w:r>
        <w:rPr/>
        <w:t>international instruments with the same purpose such as the Judgments Convention” (i.e. the Brussels Convention of 1968 on Jurisdiction and the Enforcement of Judgments in Civil and Commercial Matters, above, para.30–017). In the above mentioned cases the European Court has consistently stressed that “consumer” in the relevant provisions of the Brussels Convention should be strictly construed as limited to private final consumers who are not engaged in trade or professional activities. This will normally serve to exclude legal persons and traders, unless, possibly, such persons are acting entirely outside their trade or professional activities and can establish that they were in a weaker bargaining position in relation to the supplier. cf.</w:t>
      </w:r>
      <w:r>
        <w:rPr>
          <w:spacing w:val="-2"/>
        </w:rPr>
        <w:t> </w:t>
      </w:r>
      <w:r>
        <w:rPr>
          <w:rFonts w:ascii="Arial" w:hAnsi="Arial"/>
          <w:i/>
        </w:rPr>
        <w:t>Chris Hart (Business Sales) Ltd v Niven (1992) S.L.T. (Sh Ct) 53</w:t>
      </w:r>
      <w:r>
        <w:rPr/>
        <w:t>.</w:t>
      </w:r>
    </w:p>
    <w:p>
      <w:pPr>
        <w:pStyle w:val="BodyText"/>
        <w:tabs>
          <w:tab w:pos="705" w:val="left" w:leader="none"/>
        </w:tabs>
        <w:spacing w:before="230"/>
        <w:ind w:left="165"/>
      </w:pPr>
      <w:bookmarkStart w:name="_bookmark1011" w:id="1013"/>
      <w:bookmarkEnd w:id="1013"/>
      <w:r>
        <w:rPr/>
      </w:r>
      <w:hyperlink w:history="true" w:anchor="_bookmark884">
        <w:r>
          <w:rPr>
            <w:color w:val="005DA1"/>
            <w:spacing w:val="-4"/>
            <w:position w:val="5"/>
            <w:sz w:val="14"/>
            <w:u w:val="single" w:color="005DA1"/>
          </w:rPr>
          <w:t>472</w:t>
        </w:r>
      </w:hyperlink>
      <w:r>
        <w:rPr>
          <w:spacing w:val="-4"/>
          <w:position w:val="5"/>
          <w:sz w:val="14"/>
        </w:rPr>
        <w:t>.</w:t>
      </w:r>
      <w:r>
        <w:rPr>
          <w:position w:val="5"/>
          <w:sz w:val="14"/>
        </w:rPr>
        <w:tab/>
      </w:r>
      <w:r>
        <w:rPr/>
        <w:t>Sales of securities are excluded: Giuliano-Lagarde Report, </w:t>
      </w:r>
      <w:r>
        <w:rPr>
          <w:spacing w:val="-2"/>
        </w:rPr>
        <w:t>p.23.</w:t>
      </w:r>
    </w:p>
    <w:p>
      <w:pPr>
        <w:pStyle w:val="BodyText"/>
        <w:spacing w:before="5"/>
      </w:pPr>
    </w:p>
    <w:p>
      <w:pPr>
        <w:pStyle w:val="BodyText"/>
        <w:tabs>
          <w:tab w:pos="705" w:val="left" w:leader="none"/>
        </w:tabs>
        <w:ind w:left="165"/>
      </w:pPr>
      <w:bookmarkStart w:name="_bookmark1012" w:id="1014"/>
      <w:bookmarkEnd w:id="1014"/>
      <w:r>
        <w:rPr/>
      </w:r>
      <w:hyperlink w:history="true" w:anchor="_bookmark885">
        <w:r>
          <w:rPr>
            <w:color w:val="005DA1"/>
            <w:spacing w:val="-4"/>
            <w:position w:val="5"/>
            <w:sz w:val="14"/>
            <w:u w:val="single" w:color="005DA1"/>
          </w:rPr>
          <w:t>473</w:t>
        </w:r>
      </w:hyperlink>
      <w:r>
        <w:rPr>
          <w:spacing w:val="-4"/>
          <w:position w:val="5"/>
          <w:sz w:val="14"/>
        </w:rPr>
        <w:t>.</w:t>
      </w:r>
      <w:r>
        <w:rPr>
          <w:position w:val="5"/>
          <w:sz w:val="14"/>
        </w:rPr>
        <w:tab/>
      </w:r>
      <w:r>
        <w:rPr/>
        <w:t>Rome Convention art.1(3). See Giuliano-Lagarde Report, </w:t>
      </w:r>
      <w:r>
        <w:rPr>
          <w:spacing w:val="-2"/>
        </w:rPr>
        <w:t>p.23.</w:t>
      </w:r>
    </w:p>
    <w:p>
      <w:pPr>
        <w:pStyle w:val="BodyText"/>
        <w:spacing w:before="5"/>
      </w:pPr>
    </w:p>
    <w:p>
      <w:pPr>
        <w:tabs>
          <w:tab w:pos="705" w:val="left" w:leader="none"/>
        </w:tabs>
        <w:spacing w:before="0"/>
        <w:ind w:left="165" w:right="0" w:firstLine="0"/>
        <w:jc w:val="left"/>
        <w:rPr>
          <w:sz w:val="20"/>
        </w:rPr>
      </w:pPr>
      <w:bookmarkStart w:name="_bookmark1013" w:id="1015"/>
      <w:bookmarkEnd w:id="1015"/>
      <w:r>
        <w:rPr/>
      </w:r>
      <w:hyperlink w:history="true" w:anchor="_bookmark885">
        <w:r>
          <w:rPr>
            <w:color w:val="005DA1"/>
            <w:spacing w:val="-4"/>
            <w:position w:val="5"/>
            <w:sz w:val="14"/>
            <w:u w:val="single" w:color="005DA1"/>
          </w:rPr>
          <w:t>474</w:t>
        </w:r>
      </w:hyperlink>
      <w:r>
        <w:rPr>
          <w:spacing w:val="-4"/>
          <w:position w:val="5"/>
          <w:sz w:val="14"/>
        </w:rPr>
        <w:t>.</w:t>
      </w:r>
      <w:r>
        <w:rPr>
          <w:position w:val="5"/>
          <w:sz w:val="14"/>
        </w:rPr>
        <w:tab/>
      </w:r>
      <w:r>
        <w:rPr>
          <w:sz w:val="20"/>
        </w:rPr>
        <w:t>See</w:t>
      </w:r>
      <w:r>
        <w:rPr>
          <w:spacing w:val="-1"/>
          <w:sz w:val="20"/>
        </w:rPr>
        <w:t> </w:t>
      </w:r>
      <w:r>
        <w:rPr>
          <w:rFonts w:ascii="Arial"/>
          <w:i/>
          <w:sz w:val="20"/>
        </w:rPr>
        <w:t>Hillside (New Media) Ltd v Baasland [2010] EWHC 3336 (Comm), [2010] 2 C.L.C. </w:t>
      </w:r>
      <w:r>
        <w:rPr>
          <w:rFonts w:ascii="Arial"/>
          <w:i/>
          <w:spacing w:val="-4"/>
          <w:sz w:val="20"/>
        </w:rPr>
        <w:t>986</w:t>
      </w:r>
      <w:r>
        <w:rPr>
          <w:spacing w:val="-4"/>
          <w:sz w:val="20"/>
        </w:rPr>
        <w:t>.</w:t>
      </w:r>
    </w:p>
    <w:p>
      <w:pPr>
        <w:spacing w:after="0"/>
        <w:jc w:val="left"/>
        <w:rPr>
          <w:sz w:val="20"/>
        </w:rPr>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886">
        <w:r>
          <w:rPr>
            <w:color w:val="005DA1"/>
            <w:position w:val="5"/>
            <w:sz w:val="14"/>
            <w:u w:val="single" w:color="005DA1"/>
          </w:rPr>
          <w:t>475</w:t>
        </w:r>
      </w:hyperlink>
      <w:r>
        <w:rPr>
          <w:position w:val="5"/>
          <w:sz w:val="14"/>
        </w:rPr>
        <w:t>.</w:t>
      </w:r>
      <w:r>
        <w:rPr>
          <w:spacing w:val="40"/>
          <w:position w:val="5"/>
          <w:sz w:val="14"/>
        </w:rPr>
        <w:t>  </w:t>
      </w:r>
      <w:r>
        <w:rPr/>
        <w:t>Rome Convention art.5(5). In Germany it has been held that a timeshare contract is not a contract the object of which is a supply of services for the purposes of Rome </w:t>
      </w:r>
      <w:r>
        <w:rPr/>
        <w:t>Convention art.5(1): BGH NJW 1997, 1697; Knöfel (1998) I.C.L.Q. 439, 443. cf. Rome I Regulation art.6(4)(b), below, paras 30–233 et seq.</w:t>
      </w:r>
    </w:p>
    <w:p>
      <w:pPr>
        <w:pStyle w:val="BodyText"/>
        <w:spacing w:before="5"/>
      </w:pPr>
    </w:p>
    <w:p>
      <w:pPr>
        <w:pStyle w:val="BodyText"/>
        <w:tabs>
          <w:tab w:pos="705" w:val="left" w:leader="none"/>
        </w:tabs>
        <w:ind w:left="165"/>
      </w:pPr>
      <w:bookmarkStart w:name="_bookmark1014" w:id="1016"/>
      <w:bookmarkEnd w:id="1016"/>
      <w:r>
        <w:rPr/>
      </w:r>
      <w:hyperlink w:history="true" w:anchor="_bookmark887">
        <w:r>
          <w:rPr>
            <w:color w:val="005DA1"/>
            <w:spacing w:val="-4"/>
            <w:position w:val="5"/>
            <w:sz w:val="14"/>
            <w:u w:val="single" w:color="005DA1"/>
          </w:rPr>
          <w:t>476</w:t>
        </w:r>
      </w:hyperlink>
      <w:r>
        <w:rPr>
          <w:spacing w:val="-4"/>
          <w:position w:val="5"/>
          <w:sz w:val="14"/>
        </w:rPr>
        <w:t>.</w:t>
      </w:r>
      <w:r>
        <w:rPr>
          <w:position w:val="5"/>
          <w:sz w:val="14"/>
        </w:rPr>
        <w:tab/>
      </w:r>
      <w:r>
        <w:rPr/>
        <w:t>Rome Convention </w:t>
      </w:r>
      <w:r>
        <w:rPr>
          <w:spacing w:val="-2"/>
        </w:rPr>
        <w:t>art.5(4)(a).</w:t>
      </w:r>
    </w:p>
    <w:p>
      <w:pPr>
        <w:pStyle w:val="BodyText"/>
        <w:spacing w:before="5"/>
      </w:pPr>
    </w:p>
    <w:p>
      <w:pPr>
        <w:pStyle w:val="BodyText"/>
        <w:tabs>
          <w:tab w:pos="705" w:val="left" w:leader="none"/>
        </w:tabs>
        <w:ind w:left="165"/>
      </w:pPr>
      <w:bookmarkStart w:name="_bookmark1015" w:id="1017"/>
      <w:bookmarkEnd w:id="1017"/>
      <w:r>
        <w:rPr/>
      </w:r>
      <w:hyperlink w:history="true" w:anchor="_bookmark888">
        <w:r>
          <w:rPr>
            <w:color w:val="005DA1"/>
            <w:spacing w:val="-4"/>
            <w:position w:val="5"/>
            <w:sz w:val="14"/>
            <w:u w:val="single" w:color="005DA1"/>
          </w:rPr>
          <w:t>477</w:t>
        </w:r>
      </w:hyperlink>
      <w:r>
        <w:rPr>
          <w:spacing w:val="-4"/>
          <w:position w:val="5"/>
          <w:sz w:val="14"/>
        </w:rPr>
        <w:t>.</w:t>
      </w:r>
      <w:r>
        <w:rPr>
          <w:position w:val="5"/>
          <w:sz w:val="14"/>
        </w:rPr>
        <w:tab/>
      </w:r>
      <w:r>
        <w:rPr/>
        <w:t>Rome Convention </w:t>
      </w:r>
      <w:r>
        <w:rPr>
          <w:spacing w:val="-2"/>
        </w:rPr>
        <w:t>art.5(4)(b).</w:t>
      </w:r>
    </w:p>
    <w:p>
      <w:pPr>
        <w:pStyle w:val="BodyText"/>
        <w:spacing w:before="5"/>
      </w:pPr>
    </w:p>
    <w:p>
      <w:pPr>
        <w:pStyle w:val="BodyText"/>
        <w:tabs>
          <w:tab w:pos="705" w:val="left" w:leader="none"/>
        </w:tabs>
        <w:ind w:left="165"/>
      </w:pPr>
      <w:bookmarkStart w:name="_bookmark1016" w:id="1018"/>
      <w:bookmarkEnd w:id="1018"/>
      <w:r>
        <w:rPr/>
      </w:r>
      <w:hyperlink w:history="true" w:anchor="_bookmark889">
        <w:r>
          <w:rPr>
            <w:color w:val="005DA1"/>
            <w:spacing w:val="-4"/>
            <w:position w:val="5"/>
            <w:sz w:val="14"/>
            <w:u w:val="single" w:color="005DA1"/>
          </w:rPr>
          <w:t>478</w:t>
        </w:r>
      </w:hyperlink>
      <w:r>
        <w:rPr>
          <w:spacing w:val="-4"/>
          <w:position w:val="5"/>
          <w:sz w:val="14"/>
        </w:rPr>
        <w:t>.</w:t>
      </w:r>
      <w:r>
        <w:rPr>
          <w:position w:val="5"/>
          <w:sz w:val="14"/>
        </w:rPr>
        <w:tab/>
      </w:r>
      <w:r>
        <w:rPr/>
        <w:t>Above,</w:t>
      </w:r>
      <w:r>
        <w:rPr>
          <w:spacing w:val="-2"/>
        </w:rPr>
        <w:t> </w:t>
      </w:r>
      <w:r>
        <w:rPr/>
        <w:t>paras 30–046 et </w:t>
      </w:r>
      <w:r>
        <w:rPr>
          <w:spacing w:val="-4"/>
        </w:rPr>
        <w:t>seq.</w:t>
      </w:r>
    </w:p>
    <w:p>
      <w:pPr>
        <w:pStyle w:val="BodyText"/>
        <w:spacing w:before="9"/>
      </w:pPr>
    </w:p>
    <w:p>
      <w:pPr>
        <w:spacing w:line="235" w:lineRule="auto" w:before="0"/>
        <w:ind w:left="705" w:right="167" w:hanging="541"/>
        <w:jc w:val="both"/>
        <w:rPr>
          <w:sz w:val="20"/>
        </w:rPr>
      </w:pPr>
      <w:bookmarkStart w:name="_bookmark1017" w:id="1019"/>
      <w:bookmarkEnd w:id="1019"/>
      <w:r>
        <w:rPr/>
      </w:r>
      <w:hyperlink w:history="true" w:anchor="_bookmark890">
        <w:r>
          <w:rPr>
            <w:color w:val="005DA1"/>
            <w:position w:val="5"/>
            <w:sz w:val="14"/>
            <w:u w:val="single" w:color="005DA1"/>
          </w:rPr>
          <w:t>479</w:t>
        </w:r>
      </w:hyperlink>
      <w:r>
        <w:rPr>
          <w:position w:val="5"/>
          <w:sz w:val="14"/>
        </w:rPr>
        <w:t>.</w:t>
      </w:r>
      <w:r>
        <w:rPr>
          <w:spacing w:val="80"/>
          <w:position w:val="5"/>
          <w:sz w:val="14"/>
        </w:rPr>
        <w:t>  </w:t>
      </w:r>
      <w:r>
        <w:rPr>
          <w:sz w:val="20"/>
        </w:rPr>
        <w:t>Rome</w:t>
      </w:r>
      <w:r>
        <w:rPr>
          <w:spacing w:val="80"/>
          <w:sz w:val="20"/>
        </w:rPr>
        <w:t> </w:t>
      </w:r>
      <w:r>
        <w:rPr>
          <w:sz w:val="20"/>
        </w:rPr>
        <w:t>Convention</w:t>
      </w:r>
      <w:r>
        <w:rPr>
          <w:spacing w:val="80"/>
          <w:sz w:val="20"/>
        </w:rPr>
        <w:t> </w:t>
      </w:r>
      <w:r>
        <w:rPr>
          <w:sz w:val="20"/>
        </w:rPr>
        <w:t>art.5(2).</w:t>
      </w:r>
      <w:r>
        <w:rPr>
          <w:spacing w:val="80"/>
          <w:sz w:val="20"/>
        </w:rPr>
        <w:t> </w:t>
      </w:r>
      <w:r>
        <w:rPr>
          <w:sz w:val="20"/>
        </w:rPr>
        <w:t>See,</w:t>
      </w:r>
      <w:r>
        <w:rPr>
          <w:spacing w:val="80"/>
          <w:sz w:val="20"/>
        </w:rPr>
        <w:t> </w:t>
      </w:r>
      <w:r>
        <w:rPr>
          <w:sz w:val="20"/>
        </w:rPr>
        <w:t>in</w:t>
      </w:r>
      <w:r>
        <w:rPr>
          <w:spacing w:val="80"/>
          <w:sz w:val="20"/>
        </w:rPr>
        <w:t> </w:t>
      </w:r>
      <w:r>
        <w:rPr>
          <w:sz w:val="20"/>
        </w:rPr>
        <w:t>particular,</w:t>
      </w:r>
      <w:r>
        <w:rPr>
          <w:spacing w:val="80"/>
          <w:sz w:val="20"/>
        </w:rPr>
        <w:t> </w:t>
      </w:r>
      <w:r>
        <w:rPr>
          <w:sz w:val="20"/>
        </w:rPr>
        <w:t>Dicey,</w:t>
      </w:r>
      <w:r>
        <w:rPr>
          <w:spacing w:val="80"/>
          <w:sz w:val="20"/>
        </w:rPr>
        <w:t> </w:t>
      </w:r>
      <w:r>
        <w:rPr>
          <w:sz w:val="20"/>
        </w:rPr>
        <w:t>Morris</w:t>
      </w:r>
      <w:r>
        <w:rPr>
          <w:spacing w:val="80"/>
          <w:sz w:val="20"/>
        </w:rPr>
        <w:t> </w:t>
      </w:r>
      <w:r>
        <w:rPr>
          <w:sz w:val="20"/>
        </w:rPr>
        <w:t>and</w:t>
      </w:r>
      <w:r>
        <w:rPr>
          <w:spacing w:val="80"/>
          <w:sz w:val="20"/>
        </w:rPr>
        <w:t> </w:t>
      </w:r>
      <w:r>
        <w:rPr>
          <w:sz w:val="20"/>
        </w:rPr>
        <w:t>Collins,</w:t>
      </w:r>
      <w:r>
        <w:rPr>
          <w:spacing w:val="80"/>
          <w:sz w:val="20"/>
        </w:rPr>
        <w:t> </w:t>
      </w:r>
      <w:r>
        <w:rPr>
          <w:sz w:val="20"/>
        </w:rPr>
        <w:t>paras 33–009—33–113. See also </w:t>
      </w:r>
      <w:r>
        <w:rPr>
          <w:rFonts w:ascii="Arial" w:hAnsi="Arial"/>
          <w:i/>
          <w:sz w:val="20"/>
        </w:rPr>
        <w:t>Hillside (New Media) Ltd v Baasland [2010] EWHC 3336 (Comm), [2010] 2 C.L.C. 986 </w:t>
      </w:r>
      <w:r>
        <w:rPr>
          <w:sz w:val="20"/>
        </w:rPr>
        <w:t>at [42]–[43].</w:t>
      </w:r>
    </w:p>
    <w:p>
      <w:pPr>
        <w:pStyle w:val="BodyText"/>
        <w:spacing w:before="5"/>
      </w:pPr>
    </w:p>
    <w:p>
      <w:pPr>
        <w:pStyle w:val="BodyText"/>
        <w:tabs>
          <w:tab w:pos="705" w:val="left" w:leader="none"/>
        </w:tabs>
        <w:ind w:left="165"/>
      </w:pPr>
      <w:bookmarkStart w:name="_bookmark1018" w:id="1020"/>
      <w:bookmarkEnd w:id="1020"/>
      <w:r>
        <w:rPr/>
      </w:r>
      <w:hyperlink w:history="true" w:anchor="_bookmark891">
        <w:r>
          <w:rPr>
            <w:color w:val="005DA1"/>
            <w:spacing w:val="-4"/>
            <w:position w:val="5"/>
            <w:sz w:val="14"/>
            <w:u w:val="single" w:color="005DA1"/>
          </w:rPr>
          <w:t>480</w:t>
        </w:r>
      </w:hyperlink>
      <w:r>
        <w:rPr>
          <w:spacing w:val="-4"/>
          <w:position w:val="5"/>
          <w:sz w:val="14"/>
        </w:rPr>
        <w:t>.</w:t>
      </w:r>
      <w:r>
        <w:rPr>
          <w:position w:val="5"/>
          <w:sz w:val="14"/>
        </w:rPr>
        <w:tab/>
      </w:r>
      <w:r>
        <w:rPr/>
        <w:t>Rome Convention art.5(2), first </w:t>
      </w:r>
      <w:r>
        <w:rPr>
          <w:spacing w:val="-2"/>
        </w:rPr>
        <w:t>indent.</w:t>
      </w:r>
    </w:p>
    <w:p>
      <w:pPr>
        <w:pStyle w:val="BodyText"/>
        <w:spacing w:before="9"/>
      </w:pPr>
    </w:p>
    <w:p>
      <w:pPr>
        <w:spacing w:line="235" w:lineRule="auto" w:before="0"/>
        <w:ind w:left="705" w:right="168" w:hanging="541"/>
        <w:jc w:val="both"/>
        <w:rPr>
          <w:sz w:val="20"/>
        </w:rPr>
      </w:pPr>
      <w:bookmarkStart w:name="_bookmark1019" w:id="1021"/>
      <w:bookmarkEnd w:id="1021"/>
      <w:r>
        <w:rPr/>
      </w:r>
      <w:hyperlink w:history="true" w:anchor="_bookmark892">
        <w:r>
          <w:rPr>
            <w:color w:val="005DA1"/>
            <w:position w:val="5"/>
            <w:sz w:val="14"/>
            <w:u w:val="single" w:color="005DA1"/>
          </w:rPr>
          <w:t>481</w:t>
        </w:r>
      </w:hyperlink>
      <w:r>
        <w:rPr>
          <w:position w:val="5"/>
          <w:sz w:val="14"/>
        </w:rPr>
        <w:t>.</w:t>
      </w:r>
      <w:r>
        <w:rPr>
          <w:spacing w:val="80"/>
          <w:w w:val="150"/>
          <w:position w:val="5"/>
          <w:sz w:val="14"/>
        </w:rPr>
        <w:t> </w:t>
      </w:r>
      <w:r>
        <w:rPr>
          <w:sz w:val="20"/>
        </w:rPr>
        <w:t>Giuliano-Lagarde Report, p.24. cf. </w:t>
      </w:r>
      <w:r>
        <w:rPr>
          <w:rFonts w:ascii="Arial" w:hAnsi="Arial"/>
          <w:i/>
          <w:sz w:val="20"/>
        </w:rPr>
        <w:t>Standard Bank London Ltd v Apostolakis [2002] C.L.C. 939</w:t>
      </w:r>
      <w:r>
        <w:rPr>
          <w:sz w:val="20"/>
        </w:rPr>
        <w:t>; </w:t>
      </w:r>
      <w:r>
        <w:rPr>
          <w:rFonts w:ascii="Arial" w:hAnsi="Arial"/>
          <w:i/>
          <w:sz w:val="20"/>
        </w:rPr>
        <w:t>Rayner v Davies [2002] EWCA Civ 1880, [2003] 1 All E.R. (Comm) 394</w:t>
      </w:r>
      <w:r>
        <w:rPr>
          <w:sz w:val="20"/>
        </w:rPr>
        <w:t>; </w:t>
      </w:r>
      <w:r>
        <w:rPr>
          <w:rFonts w:ascii="Arial" w:hAnsi="Arial"/>
          <w:i/>
          <w:sz w:val="20"/>
        </w:rPr>
        <w:t>Gabriel v Schlank </w:t>
      </w:r>
      <w:r>
        <w:rPr>
          <w:rFonts w:ascii="Arial" w:hAnsi="Arial"/>
          <w:i/>
          <w:sz w:val="20"/>
        </w:rPr>
        <w:t>&amp; Schlick GmbH (C-96/00) [2002] E.C.R. I–6367</w:t>
      </w:r>
      <w:r>
        <w:rPr>
          <w:sz w:val="20"/>
        </w:rPr>
        <w:t>.</w:t>
      </w:r>
    </w:p>
    <w:p>
      <w:pPr>
        <w:pStyle w:val="BodyText"/>
        <w:spacing w:before="5"/>
      </w:pPr>
    </w:p>
    <w:p>
      <w:pPr>
        <w:pStyle w:val="BodyText"/>
        <w:tabs>
          <w:tab w:pos="705" w:val="left" w:leader="none"/>
        </w:tabs>
        <w:ind w:left="165"/>
      </w:pPr>
      <w:bookmarkStart w:name="_bookmark1020" w:id="1022"/>
      <w:bookmarkEnd w:id="1022"/>
      <w:r>
        <w:rPr/>
      </w:r>
      <w:hyperlink w:history="true" w:anchor="_bookmark893">
        <w:r>
          <w:rPr>
            <w:color w:val="005DA1"/>
            <w:spacing w:val="-4"/>
            <w:position w:val="5"/>
            <w:sz w:val="14"/>
            <w:u w:val="single" w:color="005DA1"/>
          </w:rPr>
          <w:t>482</w:t>
        </w:r>
      </w:hyperlink>
      <w:r>
        <w:rPr>
          <w:spacing w:val="-4"/>
          <w:position w:val="5"/>
          <w:sz w:val="14"/>
        </w:rPr>
        <w:t>.</w:t>
      </w:r>
      <w:r>
        <w:rPr>
          <w:position w:val="5"/>
          <w:sz w:val="14"/>
        </w:rPr>
        <w:tab/>
      </w:r>
      <w:r>
        <w:rPr/>
        <w:t>As to contracts concluded “on-line”, see below, paras 30–094 et </w:t>
      </w:r>
      <w:r>
        <w:rPr>
          <w:spacing w:val="-4"/>
        </w:rPr>
        <w:t>seq.</w:t>
      </w:r>
    </w:p>
    <w:p>
      <w:pPr>
        <w:pStyle w:val="BodyText"/>
        <w:spacing w:before="5"/>
      </w:pPr>
    </w:p>
    <w:p>
      <w:pPr>
        <w:pStyle w:val="BodyText"/>
        <w:tabs>
          <w:tab w:pos="705" w:val="left" w:leader="none"/>
        </w:tabs>
        <w:ind w:left="165"/>
      </w:pPr>
      <w:bookmarkStart w:name="_bookmark1021" w:id="1023"/>
      <w:bookmarkEnd w:id="1023"/>
      <w:r>
        <w:rPr/>
      </w:r>
      <w:hyperlink w:history="true" w:anchor="_bookmark894">
        <w:r>
          <w:rPr>
            <w:color w:val="005DA1"/>
            <w:spacing w:val="-4"/>
            <w:position w:val="5"/>
            <w:sz w:val="14"/>
            <w:u w:val="single" w:color="005DA1"/>
          </w:rPr>
          <w:t>483</w:t>
        </w:r>
      </w:hyperlink>
      <w:r>
        <w:rPr>
          <w:spacing w:val="-4"/>
          <w:position w:val="5"/>
          <w:sz w:val="14"/>
        </w:rPr>
        <w:t>.</w:t>
      </w:r>
      <w:r>
        <w:rPr>
          <w:position w:val="5"/>
          <w:sz w:val="14"/>
        </w:rPr>
        <w:tab/>
      </w:r>
      <w:r>
        <w:rPr/>
        <w:t>Giuliano-Lagarde Report, </w:t>
      </w:r>
      <w:r>
        <w:rPr>
          <w:spacing w:val="-2"/>
        </w:rPr>
        <w:t>p.24.</w:t>
      </w:r>
    </w:p>
    <w:p>
      <w:pPr>
        <w:pStyle w:val="BodyText"/>
        <w:spacing w:before="9"/>
      </w:pPr>
    </w:p>
    <w:p>
      <w:pPr>
        <w:pStyle w:val="BodyText"/>
        <w:tabs>
          <w:tab w:pos="705" w:val="left" w:leader="none"/>
        </w:tabs>
        <w:spacing w:line="235" w:lineRule="auto"/>
        <w:ind w:left="705" w:right="168" w:hanging="541"/>
      </w:pPr>
      <w:bookmarkStart w:name="_bookmark1022" w:id="1024"/>
      <w:bookmarkEnd w:id="1024"/>
      <w:r>
        <w:rPr/>
      </w:r>
      <w:hyperlink w:history="true" w:anchor="_bookmark895">
        <w:r>
          <w:rPr>
            <w:color w:val="005DA1"/>
            <w:spacing w:val="-4"/>
            <w:position w:val="5"/>
            <w:sz w:val="14"/>
            <w:u w:val="single" w:color="005DA1"/>
          </w:rPr>
          <w:t>484</w:t>
        </w:r>
      </w:hyperlink>
      <w:r>
        <w:rPr>
          <w:spacing w:val="-4"/>
          <w:position w:val="5"/>
          <w:sz w:val="14"/>
        </w:rPr>
        <w:t>.</w:t>
      </w:r>
      <w:r>
        <w:rPr>
          <w:position w:val="5"/>
          <w:sz w:val="14"/>
        </w:rPr>
        <w:tab/>
      </w:r>
      <w:r>
        <w:rPr/>
        <w:t>Giuliano-Lagarde</w:t>
      </w:r>
      <w:r>
        <w:rPr>
          <w:spacing w:val="-1"/>
        </w:rPr>
        <w:t> </w:t>
      </w:r>
      <w:r>
        <w:rPr/>
        <w:t>Report,</w:t>
      </w:r>
      <w:r>
        <w:rPr>
          <w:spacing w:val="-1"/>
        </w:rPr>
        <w:t> </w:t>
      </w:r>
      <w:r>
        <w:rPr/>
        <w:t>p.24.</w:t>
      </w:r>
      <w:r>
        <w:rPr>
          <w:spacing w:val="-1"/>
        </w:rPr>
        <w:t> </w:t>
      </w:r>
      <w:r>
        <w:rPr/>
        <w:t>Thus</w:t>
      </w:r>
      <w:r>
        <w:rPr>
          <w:spacing w:val="-1"/>
        </w:rPr>
        <w:t> </w:t>
      </w:r>
      <w:r>
        <w:rPr/>
        <w:t>the</w:t>
      </w:r>
      <w:r>
        <w:rPr>
          <w:spacing w:val="-1"/>
        </w:rPr>
        <w:t> </w:t>
      </w:r>
      <w:r>
        <w:rPr/>
        <w:t>fact</w:t>
      </w:r>
      <w:r>
        <w:rPr>
          <w:spacing w:val="-1"/>
        </w:rPr>
        <w:t> </w:t>
      </w:r>
      <w:r>
        <w:rPr/>
        <w:t>that</w:t>
      </w:r>
      <w:r>
        <w:rPr>
          <w:spacing w:val="-1"/>
        </w:rPr>
        <w:t> </w:t>
      </w:r>
      <w:r>
        <w:rPr/>
        <w:t>such</w:t>
      </w:r>
      <w:r>
        <w:rPr>
          <w:spacing w:val="-1"/>
        </w:rPr>
        <w:t> </w:t>
      </w:r>
      <w:r>
        <w:rPr/>
        <w:t>factual</w:t>
      </w:r>
      <w:r>
        <w:rPr>
          <w:spacing w:val="-1"/>
        </w:rPr>
        <w:t> </w:t>
      </w:r>
      <w:r>
        <w:rPr/>
        <w:t>steps</w:t>
      </w:r>
      <w:r>
        <w:rPr>
          <w:spacing w:val="-1"/>
        </w:rPr>
        <w:t> </w:t>
      </w:r>
      <w:r>
        <w:rPr/>
        <w:t>(e.g.</w:t>
      </w:r>
      <w:r>
        <w:rPr>
          <w:spacing w:val="-1"/>
        </w:rPr>
        <w:t> </w:t>
      </w:r>
      <w:r>
        <w:rPr/>
        <w:t>in</w:t>
      </w:r>
      <w:r>
        <w:rPr>
          <w:spacing w:val="-1"/>
        </w:rPr>
        <w:t> </w:t>
      </w:r>
      <w:r>
        <w:rPr/>
        <w:t>relation</w:t>
      </w:r>
      <w:r>
        <w:rPr>
          <w:spacing w:val="-1"/>
        </w:rPr>
        <w:t> </w:t>
      </w:r>
      <w:r>
        <w:rPr/>
        <w:t>to</w:t>
      </w:r>
      <w:r>
        <w:rPr>
          <w:spacing w:val="-1"/>
        </w:rPr>
        <w:t> </w:t>
      </w:r>
      <w:r>
        <w:rPr/>
        <w:t>offer</w:t>
      </w:r>
      <w:r>
        <w:rPr>
          <w:spacing w:val="-1"/>
        </w:rPr>
        <w:t> </w:t>
      </w:r>
      <w:r>
        <w:rPr/>
        <w:t>and acceptance) are deemed, as a matter of law, to occur elsewhere matters not.</w:t>
      </w:r>
    </w:p>
    <w:p>
      <w:pPr>
        <w:pStyle w:val="BodyText"/>
        <w:spacing w:before="9"/>
      </w:pPr>
    </w:p>
    <w:p>
      <w:pPr>
        <w:pStyle w:val="BodyText"/>
        <w:tabs>
          <w:tab w:pos="705" w:val="left" w:leader="none"/>
        </w:tabs>
        <w:spacing w:line="235" w:lineRule="auto"/>
        <w:ind w:left="705" w:right="168" w:hanging="541"/>
      </w:pPr>
      <w:bookmarkStart w:name="_bookmark1023" w:id="1025"/>
      <w:bookmarkEnd w:id="1025"/>
      <w:r>
        <w:rPr/>
      </w:r>
      <w:hyperlink w:history="true" w:anchor="_bookmark896">
        <w:r>
          <w:rPr>
            <w:color w:val="005DA1"/>
            <w:spacing w:val="-4"/>
            <w:position w:val="5"/>
            <w:sz w:val="14"/>
            <w:u w:val="single" w:color="005DA1"/>
          </w:rPr>
          <w:t>485</w:t>
        </w:r>
      </w:hyperlink>
      <w:r>
        <w:rPr>
          <w:spacing w:val="-4"/>
          <w:position w:val="5"/>
          <w:sz w:val="14"/>
        </w:rPr>
        <w:t>.</w:t>
      </w:r>
      <w:r>
        <w:rPr>
          <w:position w:val="5"/>
          <w:sz w:val="14"/>
        </w:rPr>
        <w:tab/>
      </w:r>
      <w:r>
        <w:rPr/>
        <w:t>“Agent”</w:t>
      </w:r>
      <w:r>
        <w:rPr>
          <w:spacing w:val="40"/>
        </w:rPr>
        <w:t> </w:t>
      </w:r>
      <w:r>
        <w:rPr/>
        <w:t>is</w:t>
      </w:r>
      <w:r>
        <w:rPr>
          <w:spacing w:val="40"/>
        </w:rPr>
        <w:t> </w:t>
      </w:r>
      <w:r>
        <w:rPr/>
        <w:t>intended</w:t>
      </w:r>
      <w:r>
        <w:rPr>
          <w:spacing w:val="40"/>
        </w:rPr>
        <w:t> </w:t>
      </w:r>
      <w:r>
        <w:rPr/>
        <w:t>to</w:t>
      </w:r>
      <w:r>
        <w:rPr>
          <w:spacing w:val="40"/>
        </w:rPr>
        <w:t> </w:t>
      </w:r>
      <w:r>
        <w:rPr/>
        <w:t>refer</w:t>
      </w:r>
      <w:r>
        <w:rPr>
          <w:spacing w:val="40"/>
        </w:rPr>
        <w:t> </w:t>
      </w:r>
      <w:r>
        <w:rPr/>
        <w:t>to</w:t>
      </w:r>
      <w:r>
        <w:rPr>
          <w:spacing w:val="40"/>
        </w:rPr>
        <w:t> </w:t>
      </w:r>
      <w:r>
        <w:rPr/>
        <w:t>all</w:t>
      </w:r>
      <w:r>
        <w:rPr>
          <w:spacing w:val="40"/>
        </w:rPr>
        <w:t> </w:t>
      </w:r>
      <w:r>
        <w:rPr/>
        <w:t>persons</w:t>
      </w:r>
      <w:r>
        <w:rPr>
          <w:spacing w:val="40"/>
        </w:rPr>
        <w:t> </w:t>
      </w:r>
      <w:r>
        <w:rPr/>
        <w:t>acting</w:t>
      </w:r>
      <w:r>
        <w:rPr>
          <w:spacing w:val="40"/>
        </w:rPr>
        <w:t> </w:t>
      </w:r>
      <w:r>
        <w:rPr/>
        <w:t>on</w:t>
      </w:r>
      <w:r>
        <w:rPr>
          <w:spacing w:val="40"/>
        </w:rPr>
        <w:t> </w:t>
      </w:r>
      <w:r>
        <w:rPr/>
        <w:t>behalf</w:t>
      </w:r>
      <w:r>
        <w:rPr>
          <w:spacing w:val="40"/>
        </w:rPr>
        <w:t> </w:t>
      </w:r>
      <w:r>
        <w:rPr/>
        <w:t>of</w:t>
      </w:r>
      <w:r>
        <w:rPr>
          <w:spacing w:val="40"/>
        </w:rPr>
        <w:t> </w:t>
      </w:r>
      <w:r>
        <w:rPr/>
        <w:t>the</w:t>
      </w:r>
      <w:r>
        <w:rPr>
          <w:spacing w:val="40"/>
        </w:rPr>
        <w:t> </w:t>
      </w:r>
      <w:r>
        <w:rPr/>
        <w:t>trader:</w:t>
      </w:r>
      <w:r>
        <w:rPr>
          <w:spacing w:val="40"/>
        </w:rPr>
        <w:t> </w:t>
      </w:r>
      <w:r>
        <w:rPr/>
        <w:t>Giuliano-</w:t>
      </w:r>
      <w:r>
        <w:rPr/>
        <w:t>Lagarde Report, p.24.</w:t>
      </w:r>
    </w:p>
    <w:p>
      <w:pPr>
        <w:pStyle w:val="BodyText"/>
        <w:spacing w:before="5"/>
      </w:pPr>
    </w:p>
    <w:p>
      <w:pPr>
        <w:pStyle w:val="BodyText"/>
        <w:tabs>
          <w:tab w:pos="705" w:val="left" w:leader="none"/>
        </w:tabs>
        <w:ind w:left="165"/>
      </w:pPr>
      <w:bookmarkStart w:name="_bookmark1024" w:id="1026"/>
      <w:bookmarkEnd w:id="1026"/>
      <w:r>
        <w:rPr/>
      </w:r>
      <w:hyperlink w:history="true" w:anchor="_bookmark896">
        <w:r>
          <w:rPr>
            <w:color w:val="005DA1"/>
            <w:spacing w:val="-4"/>
            <w:position w:val="5"/>
            <w:sz w:val="14"/>
            <w:u w:val="single" w:color="005DA1"/>
          </w:rPr>
          <w:t>486</w:t>
        </w:r>
      </w:hyperlink>
      <w:r>
        <w:rPr>
          <w:spacing w:val="-4"/>
          <w:position w:val="5"/>
          <w:sz w:val="14"/>
        </w:rPr>
        <w:t>.</w:t>
      </w:r>
      <w:r>
        <w:rPr>
          <w:position w:val="5"/>
          <w:sz w:val="14"/>
        </w:rPr>
        <w:tab/>
      </w:r>
      <w:r>
        <w:rPr/>
        <w:t>Rome Convention art.5(2), second </w:t>
      </w:r>
      <w:r>
        <w:rPr>
          <w:spacing w:val="-2"/>
        </w:rPr>
        <w:t>indent.</w:t>
      </w:r>
    </w:p>
    <w:p>
      <w:pPr>
        <w:pStyle w:val="BodyText"/>
        <w:spacing w:before="5"/>
      </w:pPr>
    </w:p>
    <w:p>
      <w:pPr>
        <w:pStyle w:val="BodyText"/>
        <w:tabs>
          <w:tab w:pos="705" w:val="left" w:leader="none"/>
        </w:tabs>
        <w:spacing w:before="1"/>
        <w:ind w:left="165"/>
      </w:pPr>
      <w:bookmarkStart w:name="_bookmark1025" w:id="1027"/>
      <w:bookmarkEnd w:id="1027"/>
      <w:r>
        <w:rPr/>
      </w:r>
      <w:hyperlink w:history="true" w:anchor="_bookmark897">
        <w:r>
          <w:rPr>
            <w:color w:val="005DA1"/>
            <w:spacing w:val="-4"/>
            <w:position w:val="5"/>
            <w:sz w:val="14"/>
            <w:u w:val="single" w:color="005DA1"/>
          </w:rPr>
          <w:t>487</w:t>
        </w:r>
      </w:hyperlink>
      <w:r>
        <w:rPr>
          <w:spacing w:val="-4"/>
          <w:position w:val="5"/>
          <w:sz w:val="14"/>
        </w:rPr>
        <w:t>.</w:t>
      </w:r>
      <w:r>
        <w:rPr>
          <w:position w:val="5"/>
          <w:sz w:val="14"/>
        </w:rPr>
        <w:tab/>
      </w:r>
      <w:r>
        <w:rPr/>
        <w:t>Giuliano-Lagarde Report, </w:t>
      </w:r>
      <w:r>
        <w:rPr>
          <w:spacing w:val="-2"/>
        </w:rPr>
        <w:t>p.24.</w:t>
      </w:r>
    </w:p>
    <w:p>
      <w:pPr>
        <w:pStyle w:val="BodyText"/>
        <w:spacing w:before="4"/>
      </w:pPr>
    </w:p>
    <w:p>
      <w:pPr>
        <w:pStyle w:val="BodyText"/>
        <w:tabs>
          <w:tab w:pos="705" w:val="left" w:leader="none"/>
        </w:tabs>
        <w:spacing w:before="1"/>
        <w:ind w:left="165"/>
      </w:pPr>
      <w:bookmarkStart w:name="_bookmark1026" w:id="1028"/>
      <w:bookmarkEnd w:id="1028"/>
      <w:r>
        <w:rPr/>
      </w:r>
      <w:hyperlink w:history="true" w:anchor="_bookmark898">
        <w:r>
          <w:rPr>
            <w:color w:val="005DA1"/>
            <w:spacing w:val="-4"/>
            <w:position w:val="5"/>
            <w:sz w:val="14"/>
            <w:u w:val="single" w:color="005DA1"/>
          </w:rPr>
          <w:t>488</w:t>
        </w:r>
      </w:hyperlink>
      <w:r>
        <w:rPr>
          <w:spacing w:val="-4"/>
          <w:position w:val="5"/>
          <w:sz w:val="14"/>
        </w:rPr>
        <w:t>.</w:t>
      </w:r>
      <w:r>
        <w:rPr>
          <w:position w:val="5"/>
          <w:sz w:val="14"/>
        </w:rPr>
        <w:tab/>
      </w:r>
      <w:r>
        <w:rPr/>
        <w:t>Rome Convention art.5(2), third </w:t>
      </w:r>
      <w:r>
        <w:rPr>
          <w:spacing w:val="-2"/>
        </w:rPr>
        <w:t>indent.</w:t>
      </w:r>
    </w:p>
    <w:p>
      <w:pPr>
        <w:pStyle w:val="BodyText"/>
        <w:spacing w:before="4"/>
      </w:pPr>
    </w:p>
    <w:p>
      <w:pPr>
        <w:pStyle w:val="BodyText"/>
        <w:tabs>
          <w:tab w:pos="705" w:val="left" w:leader="none"/>
        </w:tabs>
        <w:spacing w:before="1"/>
        <w:ind w:left="165"/>
      </w:pPr>
      <w:bookmarkStart w:name="_bookmark1027" w:id="1029"/>
      <w:bookmarkEnd w:id="1029"/>
      <w:r>
        <w:rPr/>
      </w:r>
      <w:hyperlink w:history="true" w:anchor="_bookmark899">
        <w:r>
          <w:rPr>
            <w:color w:val="005DA1"/>
            <w:spacing w:val="-4"/>
            <w:position w:val="5"/>
            <w:sz w:val="14"/>
            <w:u w:val="single" w:color="005DA1"/>
          </w:rPr>
          <w:t>489</w:t>
        </w:r>
      </w:hyperlink>
      <w:r>
        <w:rPr>
          <w:spacing w:val="-4"/>
          <w:position w:val="5"/>
          <w:sz w:val="14"/>
        </w:rPr>
        <w:t>.</w:t>
      </w:r>
      <w:r>
        <w:rPr>
          <w:position w:val="5"/>
          <w:sz w:val="14"/>
        </w:rPr>
        <w:tab/>
      </w:r>
      <w:r>
        <w:rPr/>
        <w:t>Giuliano-Lagarde Report, p.24; Kaye, </w:t>
      </w:r>
      <w:r>
        <w:rPr>
          <w:spacing w:val="-2"/>
        </w:rPr>
        <w:t>p.149.</w:t>
      </w:r>
    </w:p>
    <w:p>
      <w:pPr>
        <w:pStyle w:val="BodyText"/>
        <w:spacing w:before="4"/>
      </w:pPr>
    </w:p>
    <w:p>
      <w:pPr>
        <w:pStyle w:val="BodyText"/>
        <w:tabs>
          <w:tab w:pos="705" w:val="left" w:leader="none"/>
        </w:tabs>
        <w:spacing w:before="1"/>
        <w:ind w:left="165"/>
      </w:pPr>
      <w:bookmarkStart w:name="_bookmark1028" w:id="1030"/>
      <w:bookmarkEnd w:id="1030"/>
      <w:r>
        <w:rPr/>
      </w:r>
      <w:hyperlink w:history="true" w:anchor="_bookmark900">
        <w:r>
          <w:rPr>
            <w:color w:val="005DA1"/>
            <w:spacing w:val="-4"/>
            <w:position w:val="5"/>
            <w:sz w:val="14"/>
            <w:u w:val="single" w:color="005DA1"/>
          </w:rPr>
          <w:t>490</w:t>
        </w:r>
      </w:hyperlink>
      <w:r>
        <w:rPr>
          <w:spacing w:val="-4"/>
          <w:position w:val="5"/>
          <w:sz w:val="14"/>
        </w:rPr>
        <w:t>.</w:t>
      </w:r>
      <w:r>
        <w:rPr>
          <w:position w:val="5"/>
          <w:sz w:val="14"/>
        </w:rPr>
        <w:tab/>
      </w:r>
      <w:r>
        <w:rPr/>
        <w:t>Giuliano-Lagarde Report, </w:t>
      </w:r>
      <w:r>
        <w:rPr>
          <w:spacing w:val="-2"/>
        </w:rPr>
        <w:t>p.24.</w:t>
      </w:r>
    </w:p>
    <w:p>
      <w:pPr>
        <w:pStyle w:val="BodyText"/>
        <w:spacing w:before="8"/>
      </w:pPr>
    </w:p>
    <w:p>
      <w:pPr>
        <w:spacing w:line="235" w:lineRule="auto" w:before="0"/>
        <w:ind w:left="705" w:right="168" w:hanging="541"/>
        <w:jc w:val="both"/>
        <w:rPr>
          <w:sz w:val="20"/>
        </w:rPr>
      </w:pPr>
      <w:bookmarkStart w:name="_bookmark1029" w:id="1031"/>
      <w:bookmarkEnd w:id="1031"/>
      <w:r>
        <w:rPr/>
      </w:r>
      <w:hyperlink w:history="true" w:anchor="_bookmark901">
        <w:r>
          <w:rPr>
            <w:color w:val="005DA1"/>
            <w:position w:val="5"/>
            <w:sz w:val="14"/>
            <w:u w:val="single" w:color="005DA1"/>
          </w:rPr>
          <w:t>491</w:t>
        </w:r>
      </w:hyperlink>
      <w:r>
        <w:rPr>
          <w:position w:val="5"/>
          <w:sz w:val="14"/>
        </w:rPr>
        <w:t>.</w:t>
      </w:r>
      <w:r>
        <w:rPr>
          <w:spacing w:val="80"/>
          <w:position w:val="5"/>
          <w:sz w:val="14"/>
        </w:rPr>
        <w:t> </w:t>
      </w:r>
      <w:r>
        <w:rPr>
          <w:sz w:val="20"/>
        </w:rPr>
        <w:t>See North (2001) 50 ICLQ 477, 503; Hill, </w:t>
      </w:r>
      <w:r>
        <w:rPr>
          <w:rFonts w:ascii="Arial"/>
          <w:i/>
          <w:sz w:val="20"/>
        </w:rPr>
        <w:t>Cross-Border Consumer Contracts </w:t>
      </w:r>
      <w:r>
        <w:rPr>
          <w:sz w:val="20"/>
        </w:rPr>
        <w:t>(2008); Tang, </w:t>
      </w:r>
      <w:r>
        <w:rPr>
          <w:rFonts w:ascii="Arial"/>
          <w:i/>
          <w:sz w:val="20"/>
        </w:rPr>
        <w:t>Electronic Consumer Contracts in the Conflict of Laws </w:t>
      </w:r>
      <w:r>
        <w:rPr>
          <w:sz w:val="20"/>
        </w:rPr>
        <w:t>(2009). See also </w:t>
      </w:r>
      <w:r>
        <w:rPr>
          <w:rFonts w:ascii="Arial"/>
          <w:i/>
          <w:sz w:val="20"/>
        </w:rPr>
        <w:t>Hillside (New Media) Ltd v Baasland [2010] EWHC 3336 (Comm), [2010] 2 C.L.C. 986</w:t>
      </w:r>
      <w:r>
        <w:rPr>
          <w:sz w:val="20"/>
        </w:rPr>
        <w:t>.</w:t>
      </w:r>
    </w:p>
    <w:p>
      <w:pPr>
        <w:pStyle w:val="BodyText"/>
        <w:spacing w:before="5"/>
      </w:pPr>
    </w:p>
    <w:p>
      <w:pPr>
        <w:pStyle w:val="BodyText"/>
        <w:tabs>
          <w:tab w:pos="705" w:val="left" w:leader="none"/>
        </w:tabs>
        <w:spacing w:before="1"/>
        <w:ind w:left="165"/>
      </w:pPr>
      <w:bookmarkStart w:name="_bookmark1030" w:id="1032"/>
      <w:bookmarkEnd w:id="1032"/>
      <w:r>
        <w:rPr/>
      </w:r>
      <w:hyperlink w:history="true" w:anchor="_bookmark902">
        <w:r>
          <w:rPr>
            <w:color w:val="005DA1"/>
            <w:spacing w:val="-4"/>
            <w:position w:val="5"/>
            <w:sz w:val="14"/>
            <w:u w:val="single" w:color="005DA1"/>
          </w:rPr>
          <w:t>492</w:t>
        </w:r>
      </w:hyperlink>
      <w:r>
        <w:rPr>
          <w:spacing w:val="-4"/>
          <w:position w:val="5"/>
          <w:sz w:val="14"/>
        </w:rPr>
        <w:t>.</w:t>
      </w:r>
      <w:r>
        <w:rPr>
          <w:position w:val="5"/>
          <w:sz w:val="14"/>
        </w:rPr>
        <w:tab/>
      </w:r>
      <w:r>
        <w:rPr/>
        <w:t>See below, paras 30–245 et </w:t>
      </w:r>
      <w:r>
        <w:rPr>
          <w:spacing w:val="-4"/>
        </w:rPr>
        <w:t>seq.</w:t>
      </w:r>
    </w:p>
    <w:p>
      <w:pPr>
        <w:pStyle w:val="BodyText"/>
        <w:spacing w:before="8"/>
      </w:pPr>
    </w:p>
    <w:p>
      <w:pPr>
        <w:pStyle w:val="BodyText"/>
        <w:spacing w:line="235" w:lineRule="auto"/>
        <w:ind w:left="705" w:right="167" w:hanging="541"/>
        <w:jc w:val="both"/>
      </w:pPr>
      <w:bookmarkStart w:name="_bookmark1031" w:id="1033"/>
      <w:bookmarkEnd w:id="1033"/>
      <w:r>
        <w:rPr/>
      </w:r>
      <w:hyperlink w:history="true" w:anchor="_bookmark903">
        <w:r>
          <w:rPr>
            <w:color w:val="005DA1"/>
            <w:position w:val="5"/>
            <w:sz w:val="14"/>
            <w:u w:val="single" w:color="005DA1"/>
          </w:rPr>
          <w:t>493</w:t>
        </w:r>
      </w:hyperlink>
      <w:r>
        <w:rPr>
          <w:position w:val="5"/>
          <w:sz w:val="14"/>
        </w:rPr>
        <w:t>.</w:t>
      </w:r>
      <w:r>
        <w:rPr>
          <w:spacing w:val="80"/>
          <w:w w:val="150"/>
          <w:position w:val="5"/>
          <w:sz w:val="14"/>
        </w:rPr>
        <w:t> </w:t>
      </w:r>
      <w:r>
        <w:rPr/>
        <w:t>Dicey, Morris and Collins, paras 33–017—33–023; Benjamin’s Sale of Goods, 9th edn </w:t>
      </w:r>
      <w:r>
        <w:rPr/>
        <w:t>(2014), paras 26–047 et seq.; Murray, </w:t>
      </w:r>
      <w:r>
        <w:rPr>
          <w:rFonts w:ascii="Arial" w:hAnsi="Arial"/>
          <w:i/>
        </w:rPr>
        <w:t>Law &amp; the Internet </w:t>
      </w:r>
      <w:r>
        <w:rPr/>
        <w:t>(2000), p.17; Niemann, </w:t>
      </w:r>
      <w:r>
        <w:rPr>
          <w:rFonts w:ascii="Arial" w:hAnsi="Arial"/>
          <w:i/>
        </w:rPr>
        <w:t>Communications Law </w:t>
      </w:r>
      <w:r>
        <w:rPr/>
        <w:t>99; Kronke in Boele-Woelki and Kessedjian (eds), Internet: Which Court Decides? Which Law Applies (1998), p.65; Schu (1997) 5 International Journal of Law and Information Technology 192; Gillies (2007) 3 J. Priv. Int. L. 89; Tang (2007) 3 J. Priv. Int. L. 113.</w:t>
      </w:r>
    </w:p>
    <w:p>
      <w:pPr>
        <w:pStyle w:val="BodyText"/>
        <w:spacing w:before="8"/>
      </w:pPr>
    </w:p>
    <w:p>
      <w:pPr>
        <w:pStyle w:val="BodyText"/>
        <w:spacing w:line="235" w:lineRule="auto"/>
        <w:ind w:left="705" w:right="168" w:hanging="541"/>
        <w:jc w:val="both"/>
      </w:pPr>
      <w:bookmarkStart w:name="_bookmark1032" w:id="1034"/>
      <w:bookmarkEnd w:id="1034"/>
      <w:r>
        <w:rPr/>
      </w:r>
      <w:hyperlink w:history="true" w:anchor="_bookmark904">
        <w:r>
          <w:rPr>
            <w:color w:val="005DA1"/>
            <w:position w:val="5"/>
            <w:sz w:val="14"/>
            <w:u w:val="single" w:color="005DA1"/>
          </w:rPr>
          <w:t>494</w:t>
        </w:r>
      </w:hyperlink>
      <w:r>
        <w:rPr>
          <w:position w:val="5"/>
          <w:sz w:val="14"/>
        </w:rPr>
        <w:t>.</w:t>
      </w:r>
      <w:r>
        <w:rPr>
          <w:spacing w:val="40"/>
          <w:position w:val="5"/>
          <w:sz w:val="14"/>
        </w:rPr>
        <w:t> </w:t>
      </w:r>
      <w:r>
        <w:rPr/>
        <w:t>See, e.g. standard terms of amazon.co.uk (choice of the law of Luxembourg </w:t>
      </w:r>
      <w:r>
        <w:rPr/>
        <w:t>( </w:t>
      </w:r>
      <w:hyperlink r:id="rId13">
        <w:r>
          <w:rPr>
            <w:color w:val="005DA1"/>
            <w:u w:val="single" w:color="005DA1"/>
          </w:rPr>
          <w:t>http://www.amazon.co.uk</w:t>
        </w:r>
      </w:hyperlink>
      <w:r>
        <w:rPr/>
        <w:t>)); standard terms of amazon.fr. (choice of the law of Luxembourg ( </w:t>
      </w:r>
      <w:hyperlink r:id="rId14">
        <w:r>
          <w:rPr>
            <w:color w:val="005DA1"/>
            <w:spacing w:val="-2"/>
            <w:u w:val="single" w:color="005DA1"/>
          </w:rPr>
          <w:t>http://www.amazon.fr</w:t>
        </w:r>
      </w:hyperlink>
      <w:r>
        <w:rPr>
          <w:spacing w:val="-2"/>
        </w:rPr>
        <w:t>.)).</w:t>
      </w:r>
    </w:p>
    <w:p>
      <w:pPr>
        <w:pStyle w:val="BodyText"/>
        <w:spacing w:before="9"/>
      </w:pPr>
    </w:p>
    <w:p>
      <w:pPr>
        <w:pStyle w:val="BodyText"/>
        <w:tabs>
          <w:tab w:pos="705" w:val="left" w:leader="none"/>
        </w:tabs>
        <w:spacing w:line="235" w:lineRule="auto"/>
        <w:ind w:left="705" w:right="168" w:hanging="541"/>
      </w:pPr>
      <w:bookmarkStart w:name="_bookmark1033" w:id="1035"/>
      <w:bookmarkEnd w:id="1035"/>
      <w:r>
        <w:rPr/>
      </w:r>
      <w:hyperlink w:history="true" w:anchor="_bookmark905">
        <w:r>
          <w:rPr>
            <w:color w:val="005DA1"/>
            <w:spacing w:val="-4"/>
            <w:position w:val="5"/>
            <w:sz w:val="14"/>
            <w:u w:val="single" w:color="005DA1"/>
          </w:rPr>
          <w:t>495</w:t>
        </w:r>
      </w:hyperlink>
      <w:r>
        <w:rPr>
          <w:spacing w:val="-4"/>
          <w:position w:val="5"/>
          <w:sz w:val="14"/>
        </w:rPr>
        <w:t>.</w:t>
      </w:r>
      <w:r>
        <w:rPr>
          <w:position w:val="5"/>
          <w:sz w:val="14"/>
        </w:rPr>
        <w:tab/>
      </w:r>
      <w:r>
        <w:rPr/>
        <w:t>The</w:t>
      </w:r>
      <w:r>
        <w:rPr>
          <w:spacing w:val="19"/>
        </w:rPr>
        <w:t> </w:t>
      </w:r>
      <w:r>
        <w:rPr/>
        <w:t>terms</w:t>
      </w:r>
      <w:r>
        <w:rPr>
          <w:spacing w:val="19"/>
        </w:rPr>
        <w:t> </w:t>
      </w:r>
      <w:r>
        <w:rPr/>
        <w:t>of</w:t>
      </w:r>
      <w:r>
        <w:rPr>
          <w:spacing w:val="19"/>
        </w:rPr>
        <w:t> </w:t>
      </w:r>
      <w:r>
        <w:rPr/>
        <w:t>the</w:t>
      </w:r>
      <w:r>
        <w:rPr>
          <w:spacing w:val="19"/>
        </w:rPr>
        <w:t> </w:t>
      </w:r>
      <w:r>
        <w:rPr/>
        <w:t>third</w:t>
      </w:r>
      <w:r>
        <w:rPr>
          <w:spacing w:val="19"/>
        </w:rPr>
        <w:t> </w:t>
      </w:r>
      <w:r>
        <w:rPr/>
        <w:t>condition</w:t>
      </w:r>
      <w:r>
        <w:rPr>
          <w:spacing w:val="19"/>
        </w:rPr>
        <w:t> </w:t>
      </w:r>
      <w:r>
        <w:rPr/>
        <w:t>make</w:t>
      </w:r>
      <w:r>
        <w:rPr>
          <w:spacing w:val="19"/>
        </w:rPr>
        <w:t> </w:t>
      </w:r>
      <w:r>
        <w:rPr/>
        <w:t>it</w:t>
      </w:r>
      <w:r>
        <w:rPr>
          <w:spacing w:val="19"/>
        </w:rPr>
        <w:t> </w:t>
      </w:r>
      <w:r>
        <w:rPr/>
        <w:t>clear</w:t>
      </w:r>
      <w:r>
        <w:rPr>
          <w:spacing w:val="19"/>
        </w:rPr>
        <w:t> </w:t>
      </w:r>
      <w:r>
        <w:rPr/>
        <w:t>that</w:t>
      </w:r>
      <w:r>
        <w:rPr>
          <w:spacing w:val="19"/>
        </w:rPr>
        <w:t> </w:t>
      </w:r>
      <w:r>
        <w:rPr/>
        <w:t>it</w:t>
      </w:r>
      <w:r>
        <w:rPr>
          <w:spacing w:val="19"/>
        </w:rPr>
        <w:t> </w:t>
      </w:r>
      <w:r>
        <w:rPr/>
        <w:t>cannot</w:t>
      </w:r>
      <w:r>
        <w:rPr>
          <w:spacing w:val="19"/>
        </w:rPr>
        <w:t> </w:t>
      </w:r>
      <w:r>
        <w:rPr/>
        <w:t>apply</w:t>
      </w:r>
      <w:r>
        <w:rPr>
          <w:spacing w:val="19"/>
        </w:rPr>
        <w:t> </w:t>
      </w:r>
      <w:r>
        <w:rPr/>
        <w:t>to</w:t>
      </w:r>
      <w:r>
        <w:rPr>
          <w:spacing w:val="19"/>
        </w:rPr>
        <w:t> </w:t>
      </w:r>
      <w:r>
        <w:rPr/>
        <w:t>an</w:t>
      </w:r>
      <w:r>
        <w:rPr>
          <w:spacing w:val="19"/>
        </w:rPr>
        <w:t> </w:t>
      </w:r>
      <w:r>
        <w:rPr/>
        <w:t>internet</w:t>
      </w:r>
      <w:r>
        <w:rPr>
          <w:spacing w:val="19"/>
        </w:rPr>
        <w:t> </w:t>
      </w:r>
      <w:r>
        <w:rPr/>
        <w:t>contract:</w:t>
      </w:r>
      <w:r>
        <w:rPr>
          <w:spacing w:val="19"/>
        </w:rPr>
        <w:t> </w:t>
      </w:r>
      <w:r>
        <w:rPr/>
        <w:t>see </w:t>
      </w:r>
      <w:r>
        <w:rPr>
          <w:spacing w:val="-2"/>
        </w:rPr>
        <w:t>above.</w:t>
      </w:r>
    </w:p>
    <w:p>
      <w:pPr>
        <w:pStyle w:val="BodyText"/>
        <w:spacing w:after="0" w:line="235" w:lineRule="auto"/>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906">
        <w:r>
          <w:rPr>
            <w:color w:val="005DA1"/>
            <w:position w:val="5"/>
            <w:sz w:val="14"/>
            <w:u w:val="single" w:color="005DA1"/>
          </w:rPr>
          <w:t>496</w:t>
        </w:r>
      </w:hyperlink>
      <w:r>
        <w:rPr>
          <w:position w:val="5"/>
          <w:sz w:val="14"/>
        </w:rPr>
        <w:t>.</w:t>
      </w:r>
      <w:r>
        <w:rPr>
          <w:spacing w:val="80"/>
          <w:w w:val="150"/>
          <w:position w:val="5"/>
          <w:sz w:val="14"/>
        </w:rPr>
        <w:t> </w:t>
      </w:r>
      <w:r>
        <w:rPr/>
        <w:t>Schu,</w:t>
      </w:r>
      <w:r>
        <w:rPr>
          <w:spacing w:val="40"/>
        </w:rPr>
        <w:t> </w:t>
      </w:r>
      <w:r>
        <w:rPr/>
        <w:t>pp.210–211.</w:t>
      </w:r>
      <w:r>
        <w:rPr>
          <w:spacing w:val="40"/>
        </w:rPr>
        <w:t> </w:t>
      </w:r>
      <w:r>
        <w:rPr/>
        <w:t>cf.</w:t>
      </w:r>
      <w:r>
        <w:rPr>
          <w:spacing w:val="40"/>
        </w:rPr>
        <w:t> </w:t>
      </w:r>
      <w:r>
        <w:rPr/>
        <w:t>Directive</w:t>
      </w:r>
      <w:r>
        <w:rPr>
          <w:spacing w:val="40"/>
        </w:rPr>
        <w:t> </w:t>
      </w:r>
      <w:r>
        <w:rPr/>
        <w:t>2000/31</w:t>
      </w:r>
      <w:r>
        <w:rPr>
          <w:spacing w:val="40"/>
        </w:rPr>
        <w:t> </w:t>
      </w:r>
      <w:r>
        <w:rPr/>
        <w:t>on</w:t>
      </w:r>
      <w:r>
        <w:rPr>
          <w:spacing w:val="40"/>
        </w:rPr>
        <w:t> </w:t>
      </w:r>
      <w:r>
        <w:rPr/>
        <w:t>certain</w:t>
      </w:r>
      <w:r>
        <w:rPr>
          <w:spacing w:val="40"/>
        </w:rPr>
        <w:t> </w:t>
      </w:r>
      <w:r>
        <w:rPr/>
        <w:t>legal</w:t>
      </w:r>
      <w:r>
        <w:rPr>
          <w:spacing w:val="40"/>
        </w:rPr>
        <w:t> </w:t>
      </w:r>
      <w:r>
        <w:rPr/>
        <w:t>aspects</w:t>
      </w:r>
      <w:r>
        <w:rPr>
          <w:spacing w:val="40"/>
        </w:rPr>
        <w:t> </w:t>
      </w:r>
      <w:r>
        <w:rPr/>
        <w:t>of</w:t>
      </w:r>
      <w:r>
        <w:rPr>
          <w:spacing w:val="40"/>
        </w:rPr>
        <w:t> </w:t>
      </w:r>
      <w:r>
        <w:rPr/>
        <w:t>information</w:t>
      </w:r>
      <w:r>
        <w:rPr>
          <w:spacing w:val="40"/>
        </w:rPr>
        <w:t> </w:t>
      </w:r>
      <w:r>
        <w:rPr/>
        <w:t>society services, in particular electronic commerce (“Directive on electronic commerce”) [2000] O.J. L178/1 art.11(1) and (3) and the UK implementing legislation, the Electronic Commerce (EC Directive) Regulations 2002 (SI 2002/2013) reg.11(2)(a).</w:t>
      </w:r>
    </w:p>
    <w:p>
      <w:pPr>
        <w:pStyle w:val="BodyText"/>
        <w:spacing w:before="5"/>
      </w:pPr>
    </w:p>
    <w:p>
      <w:pPr>
        <w:tabs>
          <w:tab w:pos="705" w:val="left" w:leader="none"/>
        </w:tabs>
        <w:spacing w:before="0"/>
        <w:ind w:left="165" w:right="0" w:firstLine="0"/>
        <w:jc w:val="left"/>
        <w:rPr>
          <w:sz w:val="20"/>
        </w:rPr>
      </w:pPr>
      <w:bookmarkStart w:name="_bookmark1034" w:id="1036"/>
      <w:bookmarkEnd w:id="1036"/>
      <w:r>
        <w:rPr/>
      </w:r>
      <w:hyperlink w:history="true" w:anchor="_bookmark907">
        <w:r>
          <w:rPr>
            <w:color w:val="005DA1"/>
            <w:spacing w:val="-4"/>
            <w:position w:val="5"/>
            <w:sz w:val="14"/>
            <w:u w:val="single" w:color="005DA1"/>
          </w:rPr>
          <w:t>497</w:t>
        </w:r>
      </w:hyperlink>
      <w:r>
        <w:rPr>
          <w:spacing w:val="-4"/>
          <w:position w:val="5"/>
          <w:sz w:val="14"/>
        </w:rPr>
        <w:t>.</w:t>
      </w:r>
      <w:r>
        <w:rPr>
          <w:position w:val="5"/>
          <w:sz w:val="14"/>
        </w:rPr>
        <w:tab/>
      </w:r>
      <w:r>
        <w:rPr>
          <w:sz w:val="20"/>
        </w:rPr>
        <w:t>Schu, </w:t>
      </w:r>
      <w:r>
        <w:rPr>
          <w:spacing w:val="-2"/>
          <w:sz w:val="20"/>
        </w:rPr>
        <w:t>pp.210–211.</w:t>
      </w:r>
    </w:p>
    <w:p>
      <w:pPr>
        <w:pStyle w:val="BodyText"/>
        <w:spacing w:before="5"/>
      </w:pPr>
    </w:p>
    <w:p>
      <w:pPr>
        <w:tabs>
          <w:tab w:pos="705" w:val="left" w:leader="none"/>
        </w:tabs>
        <w:spacing w:before="0"/>
        <w:ind w:left="165" w:right="0" w:firstLine="0"/>
        <w:jc w:val="left"/>
        <w:rPr>
          <w:sz w:val="20"/>
        </w:rPr>
      </w:pPr>
      <w:bookmarkStart w:name="_bookmark1035" w:id="1037"/>
      <w:bookmarkEnd w:id="1037"/>
      <w:r>
        <w:rPr/>
      </w:r>
      <w:hyperlink w:history="true" w:anchor="_bookmark908">
        <w:r>
          <w:rPr>
            <w:color w:val="005DA1"/>
            <w:spacing w:val="-4"/>
            <w:position w:val="5"/>
            <w:sz w:val="14"/>
            <w:u w:val="single" w:color="005DA1"/>
          </w:rPr>
          <w:t>498</w:t>
        </w:r>
      </w:hyperlink>
      <w:r>
        <w:rPr>
          <w:spacing w:val="-4"/>
          <w:position w:val="5"/>
          <w:sz w:val="14"/>
        </w:rPr>
        <w:t>.</w:t>
      </w:r>
      <w:r>
        <w:rPr>
          <w:position w:val="5"/>
          <w:sz w:val="14"/>
        </w:rPr>
        <w:tab/>
      </w:r>
      <w:r>
        <w:rPr>
          <w:sz w:val="20"/>
        </w:rPr>
        <w:t>Schu, </w:t>
      </w:r>
      <w:r>
        <w:rPr>
          <w:spacing w:val="-2"/>
          <w:sz w:val="20"/>
        </w:rPr>
        <w:t>pp.210–211.</w:t>
      </w:r>
    </w:p>
    <w:p>
      <w:pPr>
        <w:pStyle w:val="BodyText"/>
        <w:spacing w:before="5"/>
      </w:pPr>
    </w:p>
    <w:p>
      <w:pPr>
        <w:pStyle w:val="BodyText"/>
        <w:tabs>
          <w:tab w:pos="705" w:val="left" w:leader="none"/>
        </w:tabs>
        <w:ind w:left="165"/>
      </w:pPr>
      <w:bookmarkStart w:name="_bookmark1036" w:id="1038"/>
      <w:bookmarkEnd w:id="1038"/>
      <w:r>
        <w:rPr/>
      </w:r>
      <w:hyperlink w:history="true" w:anchor="_bookmark909">
        <w:r>
          <w:rPr>
            <w:color w:val="005DA1"/>
            <w:spacing w:val="-4"/>
            <w:position w:val="5"/>
            <w:sz w:val="14"/>
            <w:u w:val="single" w:color="005DA1"/>
          </w:rPr>
          <w:t>499</w:t>
        </w:r>
      </w:hyperlink>
      <w:r>
        <w:rPr>
          <w:spacing w:val="-4"/>
          <w:position w:val="5"/>
          <w:sz w:val="14"/>
        </w:rPr>
        <w:t>.</w:t>
      </w:r>
      <w:r>
        <w:rPr>
          <w:position w:val="5"/>
          <w:sz w:val="14"/>
        </w:rPr>
        <w:tab/>
      </w:r>
      <w:r>
        <w:rPr/>
        <w:t>Dicey, Morris and Collins, </w:t>
      </w:r>
      <w:r>
        <w:rPr>
          <w:spacing w:val="-2"/>
        </w:rPr>
        <w:t>para.33–019.</w:t>
      </w:r>
    </w:p>
    <w:p>
      <w:pPr>
        <w:pStyle w:val="BodyText"/>
        <w:spacing w:before="9"/>
      </w:pPr>
    </w:p>
    <w:p>
      <w:pPr>
        <w:tabs>
          <w:tab w:pos="705" w:val="left" w:leader="none"/>
        </w:tabs>
        <w:spacing w:line="235" w:lineRule="auto" w:before="0"/>
        <w:ind w:left="705" w:right="168" w:hanging="541"/>
        <w:jc w:val="left"/>
        <w:rPr>
          <w:sz w:val="20"/>
        </w:rPr>
      </w:pPr>
      <w:bookmarkStart w:name="_bookmark1037" w:id="1039"/>
      <w:bookmarkEnd w:id="1039"/>
      <w:r>
        <w:rPr/>
      </w:r>
      <w:hyperlink w:history="true" w:anchor="_bookmark910">
        <w:r>
          <w:rPr>
            <w:color w:val="005DA1"/>
            <w:spacing w:val="-4"/>
            <w:position w:val="5"/>
            <w:sz w:val="14"/>
            <w:u w:val="single" w:color="005DA1"/>
          </w:rPr>
          <w:t>500</w:t>
        </w:r>
      </w:hyperlink>
      <w:r>
        <w:rPr>
          <w:spacing w:val="-4"/>
          <w:position w:val="5"/>
          <w:sz w:val="14"/>
        </w:rPr>
        <w:t>.</w:t>
      </w:r>
      <w:r>
        <w:rPr>
          <w:position w:val="5"/>
          <w:sz w:val="14"/>
        </w:rPr>
        <w:tab/>
      </w:r>
      <w:r>
        <w:rPr>
          <w:sz w:val="20"/>
        </w:rPr>
        <w:t>Dicey,</w:t>
      </w:r>
      <w:r>
        <w:rPr>
          <w:spacing w:val="32"/>
          <w:sz w:val="20"/>
        </w:rPr>
        <w:t> </w:t>
      </w:r>
      <w:r>
        <w:rPr>
          <w:sz w:val="20"/>
        </w:rPr>
        <w:t>Morris</w:t>
      </w:r>
      <w:r>
        <w:rPr>
          <w:spacing w:val="32"/>
          <w:sz w:val="20"/>
        </w:rPr>
        <w:t> </w:t>
      </w:r>
      <w:r>
        <w:rPr>
          <w:sz w:val="20"/>
        </w:rPr>
        <w:t>and</w:t>
      </w:r>
      <w:r>
        <w:rPr>
          <w:spacing w:val="32"/>
          <w:sz w:val="20"/>
        </w:rPr>
        <w:t> </w:t>
      </w:r>
      <w:r>
        <w:rPr>
          <w:sz w:val="20"/>
        </w:rPr>
        <w:t>Collins,</w:t>
      </w:r>
      <w:r>
        <w:rPr>
          <w:spacing w:val="32"/>
          <w:sz w:val="20"/>
        </w:rPr>
        <w:t> </w:t>
      </w:r>
      <w:r>
        <w:rPr>
          <w:sz w:val="20"/>
        </w:rPr>
        <w:t>para.33–019.</w:t>
      </w:r>
      <w:r>
        <w:rPr>
          <w:spacing w:val="32"/>
          <w:sz w:val="20"/>
        </w:rPr>
        <w:t> </w:t>
      </w:r>
      <w:r>
        <w:rPr>
          <w:sz w:val="20"/>
        </w:rPr>
        <w:t>cf.</w:t>
      </w:r>
      <w:r>
        <w:rPr>
          <w:spacing w:val="32"/>
          <w:sz w:val="20"/>
        </w:rPr>
        <w:t> </w:t>
      </w:r>
      <w:r>
        <w:rPr>
          <w:rFonts w:ascii="Arial" w:hAnsi="Arial"/>
          <w:i/>
          <w:sz w:val="20"/>
        </w:rPr>
        <w:t>Dow</w:t>
      </w:r>
      <w:r>
        <w:rPr>
          <w:rFonts w:ascii="Arial" w:hAnsi="Arial"/>
          <w:i/>
          <w:spacing w:val="32"/>
          <w:sz w:val="20"/>
        </w:rPr>
        <w:t> </w:t>
      </w:r>
      <w:r>
        <w:rPr>
          <w:rFonts w:ascii="Arial" w:hAnsi="Arial"/>
          <w:i/>
          <w:sz w:val="20"/>
        </w:rPr>
        <w:t>Jones</w:t>
      </w:r>
      <w:r>
        <w:rPr>
          <w:rFonts w:ascii="Arial" w:hAnsi="Arial"/>
          <w:i/>
          <w:spacing w:val="32"/>
          <w:sz w:val="20"/>
        </w:rPr>
        <w:t> </w:t>
      </w:r>
      <w:r>
        <w:rPr>
          <w:rFonts w:ascii="Arial" w:hAnsi="Arial"/>
          <w:i/>
          <w:sz w:val="20"/>
        </w:rPr>
        <w:t>&amp;</w:t>
      </w:r>
      <w:r>
        <w:rPr>
          <w:rFonts w:ascii="Arial" w:hAnsi="Arial"/>
          <w:i/>
          <w:spacing w:val="32"/>
          <w:sz w:val="20"/>
        </w:rPr>
        <w:t> </w:t>
      </w:r>
      <w:r>
        <w:rPr>
          <w:rFonts w:ascii="Arial" w:hAnsi="Arial"/>
          <w:i/>
          <w:sz w:val="20"/>
        </w:rPr>
        <w:t>Co</w:t>
      </w:r>
      <w:r>
        <w:rPr>
          <w:rFonts w:ascii="Arial" w:hAnsi="Arial"/>
          <w:i/>
          <w:spacing w:val="32"/>
          <w:sz w:val="20"/>
        </w:rPr>
        <w:t> </w:t>
      </w:r>
      <w:r>
        <w:rPr>
          <w:rFonts w:ascii="Arial" w:hAnsi="Arial"/>
          <w:i/>
          <w:sz w:val="20"/>
        </w:rPr>
        <w:t>Inc</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Gutnick</w:t>
      </w:r>
      <w:r>
        <w:rPr>
          <w:rFonts w:ascii="Arial" w:hAnsi="Arial"/>
          <w:i/>
          <w:spacing w:val="32"/>
          <w:sz w:val="20"/>
        </w:rPr>
        <w:t> </w:t>
      </w:r>
      <w:r>
        <w:rPr>
          <w:rFonts w:ascii="Arial" w:hAnsi="Arial"/>
          <w:i/>
          <w:sz w:val="20"/>
        </w:rPr>
        <w:t>[2002]</w:t>
      </w:r>
      <w:r>
        <w:rPr>
          <w:rFonts w:ascii="Arial" w:hAnsi="Arial"/>
          <w:i/>
          <w:spacing w:val="32"/>
          <w:sz w:val="20"/>
        </w:rPr>
        <w:t> </w:t>
      </w:r>
      <w:r>
        <w:rPr>
          <w:rFonts w:ascii="Arial" w:hAnsi="Arial"/>
          <w:i/>
          <w:sz w:val="20"/>
        </w:rPr>
        <w:t>HCA</w:t>
      </w:r>
      <w:r>
        <w:rPr>
          <w:rFonts w:ascii="Arial" w:hAnsi="Arial"/>
          <w:i/>
          <w:spacing w:val="32"/>
          <w:sz w:val="20"/>
        </w:rPr>
        <w:t> </w:t>
      </w:r>
      <w:r>
        <w:rPr>
          <w:rFonts w:ascii="Arial" w:hAnsi="Arial"/>
          <w:i/>
          <w:sz w:val="20"/>
        </w:rPr>
        <w:t>56; (2003)</w:t>
      </w:r>
      <w:r>
        <w:rPr>
          <w:rFonts w:ascii="Arial" w:hAnsi="Arial"/>
          <w:i/>
          <w:spacing w:val="11"/>
          <w:sz w:val="20"/>
        </w:rPr>
        <w:t> </w:t>
      </w:r>
      <w:r>
        <w:rPr>
          <w:rFonts w:ascii="Arial" w:hAnsi="Arial"/>
          <w:i/>
          <w:sz w:val="20"/>
        </w:rPr>
        <w:t>210</w:t>
      </w:r>
      <w:r>
        <w:rPr>
          <w:rFonts w:ascii="Arial" w:hAnsi="Arial"/>
          <w:i/>
          <w:spacing w:val="14"/>
          <w:sz w:val="20"/>
        </w:rPr>
        <w:t> </w:t>
      </w:r>
      <w:r>
        <w:rPr>
          <w:rFonts w:ascii="Arial" w:hAnsi="Arial"/>
          <w:i/>
          <w:sz w:val="20"/>
        </w:rPr>
        <w:t>C.L.R.</w:t>
      </w:r>
      <w:r>
        <w:rPr>
          <w:rFonts w:ascii="Arial" w:hAnsi="Arial"/>
          <w:i/>
          <w:spacing w:val="14"/>
          <w:sz w:val="20"/>
        </w:rPr>
        <w:t> </w:t>
      </w:r>
      <w:r>
        <w:rPr>
          <w:rFonts w:ascii="Arial" w:hAnsi="Arial"/>
          <w:i/>
          <w:sz w:val="20"/>
        </w:rPr>
        <w:t>575</w:t>
      </w:r>
      <w:r>
        <w:rPr>
          <w:sz w:val="20"/>
        </w:rPr>
        <w:t>;</w:t>
      </w:r>
      <w:r>
        <w:rPr>
          <w:spacing w:val="14"/>
          <w:sz w:val="20"/>
        </w:rPr>
        <w:t> </w:t>
      </w:r>
      <w:r>
        <w:rPr>
          <w:rFonts w:ascii="Arial" w:hAnsi="Arial"/>
          <w:i/>
          <w:sz w:val="20"/>
        </w:rPr>
        <w:t>King</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Lewis</w:t>
      </w:r>
      <w:r>
        <w:rPr>
          <w:rFonts w:ascii="Arial" w:hAnsi="Arial"/>
          <w:i/>
          <w:spacing w:val="14"/>
          <w:sz w:val="20"/>
        </w:rPr>
        <w:t> </w:t>
      </w:r>
      <w:r>
        <w:rPr>
          <w:rFonts w:ascii="Arial" w:hAnsi="Arial"/>
          <w:i/>
          <w:sz w:val="20"/>
        </w:rPr>
        <w:t>[2004]</w:t>
      </w:r>
      <w:r>
        <w:rPr>
          <w:rFonts w:ascii="Arial" w:hAnsi="Arial"/>
          <w:i/>
          <w:spacing w:val="13"/>
          <w:sz w:val="20"/>
        </w:rPr>
        <w:t> </w:t>
      </w:r>
      <w:r>
        <w:rPr>
          <w:rFonts w:ascii="Arial" w:hAnsi="Arial"/>
          <w:i/>
          <w:sz w:val="20"/>
        </w:rPr>
        <w:t>EWCA</w:t>
      </w:r>
      <w:r>
        <w:rPr>
          <w:rFonts w:ascii="Arial" w:hAnsi="Arial"/>
          <w:i/>
          <w:spacing w:val="14"/>
          <w:sz w:val="20"/>
        </w:rPr>
        <w:t> </w:t>
      </w:r>
      <w:r>
        <w:rPr>
          <w:rFonts w:ascii="Arial" w:hAnsi="Arial"/>
          <w:i/>
          <w:sz w:val="20"/>
        </w:rPr>
        <w:t>Civ</w:t>
      </w:r>
      <w:r>
        <w:rPr>
          <w:rFonts w:ascii="Arial" w:hAnsi="Arial"/>
          <w:i/>
          <w:spacing w:val="14"/>
          <w:sz w:val="20"/>
        </w:rPr>
        <w:t> </w:t>
      </w:r>
      <w:r>
        <w:rPr>
          <w:rFonts w:ascii="Arial" w:hAnsi="Arial"/>
          <w:i/>
          <w:sz w:val="20"/>
        </w:rPr>
        <w:t>1329,</w:t>
      </w:r>
      <w:r>
        <w:rPr>
          <w:rFonts w:ascii="Arial" w:hAnsi="Arial"/>
          <w:i/>
          <w:spacing w:val="14"/>
          <w:sz w:val="20"/>
        </w:rPr>
        <w:t> </w:t>
      </w:r>
      <w:r>
        <w:rPr>
          <w:rFonts w:ascii="Arial" w:hAnsi="Arial"/>
          <w:i/>
          <w:sz w:val="20"/>
        </w:rPr>
        <w:t>[2005]</w:t>
      </w:r>
      <w:r>
        <w:rPr>
          <w:rFonts w:ascii="Arial" w:hAnsi="Arial"/>
          <w:i/>
          <w:spacing w:val="14"/>
          <w:sz w:val="20"/>
        </w:rPr>
        <w:t> </w:t>
      </w:r>
      <w:r>
        <w:rPr>
          <w:rFonts w:ascii="Arial" w:hAnsi="Arial"/>
          <w:i/>
          <w:sz w:val="20"/>
        </w:rPr>
        <w:t>I.L.Pr.</w:t>
      </w:r>
      <w:r>
        <w:rPr>
          <w:rFonts w:ascii="Arial" w:hAnsi="Arial"/>
          <w:i/>
          <w:spacing w:val="14"/>
          <w:sz w:val="20"/>
        </w:rPr>
        <w:t> </w:t>
      </w:r>
      <w:r>
        <w:rPr>
          <w:rFonts w:ascii="Arial" w:hAnsi="Arial"/>
          <w:i/>
          <w:sz w:val="20"/>
        </w:rPr>
        <w:t>185</w:t>
      </w:r>
      <w:r>
        <w:rPr>
          <w:sz w:val="20"/>
        </w:rPr>
        <w:t>.</w:t>
      </w:r>
      <w:r>
        <w:rPr>
          <w:spacing w:val="14"/>
          <w:sz w:val="20"/>
        </w:rPr>
        <w:t> </w:t>
      </w:r>
      <w:r>
        <w:rPr>
          <w:sz w:val="20"/>
        </w:rPr>
        <w:t>The</w:t>
      </w:r>
      <w:r>
        <w:rPr>
          <w:spacing w:val="14"/>
          <w:sz w:val="20"/>
        </w:rPr>
        <w:t> </w:t>
      </w:r>
      <w:r>
        <w:rPr>
          <w:spacing w:val="-2"/>
          <w:sz w:val="20"/>
        </w:rPr>
        <w:t>Directive</w:t>
      </w:r>
    </w:p>
    <w:p>
      <w:pPr>
        <w:pStyle w:val="BodyText"/>
        <w:spacing w:line="235" w:lineRule="auto"/>
        <w:ind w:left="705" w:right="167"/>
        <w:jc w:val="both"/>
      </w:pPr>
      <w:r>
        <w:rPr/>
        <w:t>on electronic commerce (above, n.495) and the Electronic Commerce (EC </w:t>
      </w:r>
      <w:r>
        <w:rPr/>
        <w:t>Directive) Regulations 2002 (above, n.495) are generally thought to support a “country of origin” principle for regulating electronic commerce, a principle which might be thought to be inconsistent with interpreting art.5(2) in favour of the consumer. However, it is submitted that the Directive and the Regulations have no bearing on the matter under discussion for the following reasons: (1) the Directive and the Regulations are explicitly expressed not to apply to the freedom of the parties to choose the law applicable to their contract and to consumer contracts (art.3(3) and Annex, reg.4(4) and Sch.); (b) Recital 55 of the Directive (not reproduced in the Regulations) states that “this Directive cannot have the result of depriving the consumer of the protection afforded to him by the mandatory rules relating to contractual obligations of the law of the Member State in which he has his habitual residence”; (c) the Directive explicitly states that it does not establish additional rules of private international law (art.1(4) and Recital 23). The</w:t>
      </w:r>
      <w:r>
        <w:rPr>
          <w:spacing w:val="40"/>
        </w:rPr>
        <w:t> </w:t>
      </w:r>
      <w:r>
        <w:rPr/>
        <w:t>latter provisions are not reproduced in the Regulations, a highly questionable exclusion but one which</w:t>
      </w:r>
      <w:r>
        <w:rPr>
          <w:spacing w:val="-1"/>
        </w:rPr>
        <w:t> </w:t>
      </w:r>
      <w:r>
        <w:rPr/>
        <w:t>does</w:t>
      </w:r>
      <w:r>
        <w:rPr>
          <w:spacing w:val="-1"/>
        </w:rPr>
        <w:t> </w:t>
      </w:r>
      <w:r>
        <w:rPr/>
        <w:t>not</w:t>
      </w:r>
      <w:r>
        <w:rPr>
          <w:spacing w:val="-1"/>
        </w:rPr>
        <w:t> </w:t>
      </w:r>
      <w:r>
        <w:rPr/>
        <w:t>detract</w:t>
      </w:r>
      <w:r>
        <w:rPr>
          <w:spacing w:val="-1"/>
        </w:rPr>
        <w:t> </w:t>
      </w:r>
      <w:r>
        <w:rPr/>
        <w:t>from</w:t>
      </w:r>
      <w:r>
        <w:rPr>
          <w:spacing w:val="-1"/>
        </w:rPr>
        <w:t> </w:t>
      </w:r>
      <w:r>
        <w:rPr/>
        <w:t>the</w:t>
      </w:r>
      <w:r>
        <w:rPr>
          <w:spacing w:val="-1"/>
        </w:rPr>
        <w:t> </w:t>
      </w:r>
      <w:r>
        <w:rPr/>
        <w:t>proposition</w:t>
      </w:r>
      <w:r>
        <w:rPr>
          <w:spacing w:val="-1"/>
        </w:rPr>
        <w:t> </w:t>
      </w:r>
      <w:r>
        <w:rPr/>
        <w:t>that</w:t>
      </w:r>
      <w:r>
        <w:rPr>
          <w:spacing w:val="-1"/>
        </w:rPr>
        <w:t> </w:t>
      </w:r>
      <w:r>
        <w:rPr/>
        <w:t>the</w:t>
      </w:r>
      <w:r>
        <w:rPr>
          <w:spacing w:val="-1"/>
        </w:rPr>
        <w:t> </w:t>
      </w:r>
      <w:r>
        <w:rPr/>
        <w:t>Directive</w:t>
      </w:r>
      <w:r>
        <w:rPr>
          <w:spacing w:val="-1"/>
        </w:rPr>
        <w:t> </w:t>
      </w:r>
      <w:r>
        <w:rPr/>
        <w:t>and</w:t>
      </w:r>
      <w:r>
        <w:rPr>
          <w:spacing w:val="-1"/>
        </w:rPr>
        <w:t> </w:t>
      </w:r>
      <w:r>
        <w:rPr/>
        <w:t>the</w:t>
      </w:r>
      <w:r>
        <w:rPr>
          <w:spacing w:val="-1"/>
        </w:rPr>
        <w:t> </w:t>
      </w:r>
      <w:r>
        <w:rPr/>
        <w:t>Regulations</w:t>
      </w:r>
      <w:r>
        <w:rPr>
          <w:spacing w:val="-1"/>
        </w:rPr>
        <w:t> </w:t>
      </w:r>
      <w:r>
        <w:rPr/>
        <w:t>are</w:t>
      </w:r>
      <w:r>
        <w:rPr>
          <w:spacing w:val="-1"/>
        </w:rPr>
        <w:t> </w:t>
      </w:r>
      <w:r>
        <w:rPr/>
        <w:t>irrelevant in the present context.</w:t>
      </w:r>
    </w:p>
    <w:p>
      <w:pPr>
        <w:pStyle w:val="BodyText"/>
        <w:tabs>
          <w:tab w:pos="705" w:val="left" w:leader="none"/>
        </w:tabs>
        <w:spacing w:before="230"/>
        <w:ind w:left="165"/>
      </w:pPr>
      <w:bookmarkStart w:name="_bookmark1038" w:id="1040"/>
      <w:bookmarkEnd w:id="1040"/>
      <w:r>
        <w:rPr/>
      </w:r>
      <w:hyperlink w:history="true" w:anchor="_bookmark911">
        <w:r>
          <w:rPr>
            <w:color w:val="005DA1"/>
            <w:spacing w:val="-4"/>
            <w:position w:val="5"/>
            <w:sz w:val="14"/>
            <w:u w:val="single" w:color="005DA1"/>
          </w:rPr>
          <w:t>501</w:t>
        </w:r>
      </w:hyperlink>
      <w:r>
        <w:rPr>
          <w:spacing w:val="-4"/>
          <w:position w:val="5"/>
          <w:sz w:val="14"/>
        </w:rPr>
        <w:t>.</w:t>
      </w:r>
      <w:r>
        <w:rPr>
          <w:position w:val="5"/>
          <w:sz w:val="14"/>
        </w:rPr>
        <w:tab/>
      </w:r>
      <w:r>
        <w:rPr/>
        <w:t>Giuliano-Lagarde Report, </w:t>
      </w:r>
      <w:r>
        <w:rPr>
          <w:spacing w:val="-2"/>
        </w:rPr>
        <w:t>p.24.</w:t>
      </w:r>
    </w:p>
    <w:p>
      <w:pPr>
        <w:pStyle w:val="BodyText"/>
        <w:spacing w:before="4"/>
      </w:pPr>
    </w:p>
    <w:p>
      <w:pPr>
        <w:tabs>
          <w:tab w:pos="705" w:val="left" w:leader="none"/>
        </w:tabs>
        <w:spacing w:before="1"/>
        <w:ind w:left="165" w:right="0" w:firstLine="0"/>
        <w:jc w:val="left"/>
        <w:rPr>
          <w:sz w:val="20"/>
        </w:rPr>
      </w:pPr>
      <w:bookmarkStart w:name="_bookmark1039" w:id="1041"/>
      <w:bookmarkEnd w:id="1041"/>
      <w:r>
        <w:rPr/>
      </w:r>
      <w:hyperlink w:history="true" w:anchor="_bookmark912">
        <w:r>
          <w:rPr>
            <w:color w:val="005DA1"/>
            <w:spacing w:val="-4"/>
            <w:position w:val="5"/>
            <w:sz w:val="14"/>
            <w:u w:val="single" w:color="005DA1"/>
          </w:rPr>
          <w:t>502</w:t>
        </w:r>
      </w:hyperlink>
      <w:r>
        <w:rPr>
          <w:spacing w:val="-4"/>
          <w:position w:val="5"/>
          <w:sz w:val="14"/>
        </w:rPr>
        <w:t>.</w:t>
      </w:r>
      <w:r>
        <w:rPr>
          <w:position w:val="5"/>
          <w:sz w:val="14"/>
        </w:rPr>
        <w:tab/>
      </w:r>
      <w:r>
        <w:rPr>
          <w:sz w:val="20"/>
        </w:rPr>
        <w:t>cf. </w:t>
      </w:r>
      <w:r>
        <w:rPr>
          <w:rFonts w:ascii="Arial"/>
          <w:i/>
          <w:sz w:val="20"/>
        </w:rPr>
        <w:t>King v Lewis [2004] EWCA Civ 1329, [2005] I.L.Pr. </w:t>
      </w:r>
      <w:r>
        <w:rPr>
          <w:rFonts w:ascii="Arial"/>
          <w:i/>
          <w:spacing w:val="-4"/>
          <w:sz w:val="20"/>
        </w:rPr>
        <w:t>185</w:t>
      </w:r>
      <w:r>
        <w:rPr>
          <w:spacing w:val="-4"/>
          <w:sz w:val="20"/>
        </w:rPr>
        <w:t>.</w:t>
      </w:r>
    </w:p>
    <w:p>
      <w:pPr>
        <w:pStyle w:val="BodyText"/>
        <w:spacing w:before="8"/>
      </w:pPr>
    </w:p>
    <w:p>
      <w:pPr>
        <w:pStyle w:val="BodyText"/>
        <w:spacing w:line="235" w:lineRule="auto"/>
        <w:ind w:left="705" w:right="167" w:hanging="541"/>
        <w:jc w:val="both"/>
      </w:pPr>
      <w:bookmarkStart w:name="_bookmark1040" w:id="1042"/>
      <w:bookmarkEnd w:id="1042"/>
      <w:r>
        <w:rPr/>
      </w:r>
      <w:hyperlink w:history="true" w:anchor="_bookmark913">
        <w:r>
          <w:rPr>
            <w:color w:val="005DA1"/>
            <w:position w:val="5"/>
            <w:sz w:val="14"/>
            <w:u w:val="single" w:color="005DA1"/>
          </w:rPr>
          <w:t>503</w:t>
        </w:r>
      </w:hyperlink>
      <w:r>
        <w:rPr>
          <w:position w:val="5"/>
          <w:sz w:val="14"/>
        </w:rPr>
        <w:t>.</w:t>
      </w:r>
      <w:r>
        <w:rPr>
          <w:spacing w:val="80"/>
          <w:w w:val="150"/>
          <w:position w:val="5"/>
          <w:sz w:val="14"/>
        </w:rPr>
        <w:t> </w:t>
      </w:r>
      <w:r>
        <w:rPr/>
        <w:t>The seller may take technical steps to block access from particular countries or structure </w:t>
      </w:r>
      <w:r>
        <w:rPr/>
        <w:t>the transaction</w:t>
      </w:r>
      <w:r>
        <w:rPr>
          <w:spacing w:val="-2"/>
        </w:rPr>
        <w:t> </w:t>
      </w:r>
      <w:r>
        <w:rPr/>
        <w:t>in</w:t>
      </w:r>
      <w:r>
        <w:rPr>
          <w:spacing w:val="-2"/>
        </w:rPr>
        <w:t> </w:t>
      </w:r>
      <w:r>
        <w:rPr/>
        <w:t>such</w:t>
      </w:r>
      <w:r>
        <w:rPr>
          <w:spacing w:val="-2"/>
        </w:rPr>
        <w:t> </w:t>
      </w:r>
      <w:r>
        <w:rPr/>
        <w:t>a</w:t>
      </w:r>
      <w:r>
        <w:rPr>
          <w:spacing w:val="-2"/>
        </w:rPr>
        <w:t> </w:t>
      </w:r>
      <w:r>
        <w:rPr/>
        <w:t>way</w:t>
      </w:r>
      <w:r>
        <w:rPr>
          <w:spacing w:val="-2"/>
        </w:rPr>
        <w:t> </w:t>
      </w:r>
      <w:r>
        <w:rPr/>
        <w:t>as</w:t>
      </w:r>
      <w:r>
        <w:rPr>
          <w:spacing w:val="-2"/>
        </w:rPr>
        <w:t> </w:t>
      </w:r>
      <w:r>
        <w:rPr/>
        <w:t>to</w:t>
      </w:r>
      <w:r>
        <w:rPr>
          <w:spacing w:val="-2"/>
        </w:rPr>
        <w:t> </w:t>
      </w:r>
      <w:r>
        <w:rPr/>
        <w:t>ascertain</w:t>
      </w:r>
      <w:r>
        <w:rPr>
          <w:spacing w:val="-2"/>
        </w:rPr>
        <w:t> </w:t>
      </w:r>
      <w:r>
        <w:rPr/>
        <w:t>the</w:t>
      </w:r>
      <w:r>
        <w:rPr>
          <w:spacing w:val="-2"/>
        </w:rPr>
        <w:t> </w:t>
      </w:r>
      <w:r>
        <w:rPr/>
        <w:t>consumer’s</w:t>
      </w:r>
      <w:r>
        <w:rPr>
          <w:spacing w:val="-2"/>
        </w:rPr>
        <w:t> </w:t>
      </w:r>
      <w:r>
        <w:rPr/>
        <w:t>habitual</w:t>
      </w:r>
      <w:r>
        <w:rPr>
          <w:spacing w:val="-2"/>
        </w:rPr>
        <w:t> </w:t>
      </w:r>
      <w:r>
        <w:rPr/>
        <w:t>residence</w:t>
      </w:r>
      <w:r>
        <w:rPr>
          <w:spacing w:val="-2"/>
        </w:rPr>
        <w:t> </w:t>
      </w:r>
      <w:r>
        <w:rPr/>
        <w:t>before</w:t>
      </w:r>
      <w:r>
        <w:rPr>
          <w:spacing w:val="-2"/>
        </w:rPr>
        <w:t> </w:t>
      </w:r>
      <w:r>
        <w:rPr/>
        <w:t>any</w:t>
      </w:r>
      <w:r>
        <w:rPr>
          <w:spacing w:val="-2"/>
        </w:rPr>
        <w:t> </w:t>
      </w:r>
      <w:r>
        <w:rPr/>
        <w:t>contract is concluded: see Gringras, </w:t>
      </w:r>
      <w:r>
        <w:rPr>
          <w:rFonts w:ascii="Arial" w:hAnsi="Arial"/>
          <w:i/>
        </w:rPr>
        <w:t>Laws of the Internet</w:t>
      </w:r>
      <w:r>
        <w:rPr/>
        <w:t>, 2nd edn (2003), p.51.</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9632">
            <wp:simplePos x="0" y="0"/>
            <wp:positionH relativeFrom="page">
              <wp:posOffset>1257846</wp:posOffset>
            </wp:positionH>
            <wp:positionV relativeFrom="paragraph">
              <wp:posOffset>160565</wp:posOffset>
            </wp:positionV>
            <wp:extent cx="107988" cy="107988"/>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41" w:id="1043"/>
      <w:bookmarkEnd w:id="1043"/>
      <w:r>
        <w:rPr/>
      </w:r>
      <w:hyperlink w:history="true" w:anchor="_bookmark914">
        <w:r>
          <w:rPr>
            <w:color w:val="005DA1"/>
            <w:spacing w:val="-4"/>
            <w:sz w:val="14"/>
            <w:u w:val="single" w:color="005DA1"/>
          </w:rPr>
          <w:t>504</w:t>
        </w:r>
      </w:hyperlink>
      <w:r>
        <w:rPr>
          <w:spacing w:val="-4"/>
          <w:sz w:val="14"/>
        </w:rPr>
        <w:t>.</w:t>
      </w:r>
    </w:p>
    <w:p>
      <w:pPr>
        <w:pStyle w:val="BodyText"/>
        <w:spacing w:line="235" w:lineRule="auto" w:before="212"/>
        <w:ind w:left="165" w:right="167" w:firstLine="170"/>
        <w:jc w:val="both"/>
      </w:pPr>
      <w:r>
        <w:rPr/>
        <w:br w:type="column"/>
      </w:r>
      <w:r>
        <w:rPr/>
        <w:t>Such an interpretation would produce consistency with art.15(3) of Council </w:t>
      </w:r>
      <w:r>
        <w:rPr/>
        <w:t>Regulation 44/2001 (above, para.30–017) which provides that the rules of the Regulation concerned with consumers apply, inter alia, if: “the contract has been concluded with a person who pursues commercial or professional activities in the Member State of the consumer’s domicile or, by any means, directs such activities to that Member State or to several States including that Member State, and the contract falls within the scope of those activities” and also with art.17(1)(c) of the recast Regulation, which is identical. For the virtually identical language adopted in art.6 of the Rome I Regulation, see below, paras 30–245 et seq.</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3"/>
      </w:pPr>
    </w:p>
    <w:p>
      <w:pPr>
        <w:tabs>
          <w:tab w:pos="705" w:val="left" w:leader="none"/>
        </w:tabs>
        <w:spacing w:before="1"/>
        <w:ind w:left="165" w:right="0" w:firstLine="0"/>
        <w:jc w:val="left"/>
        <w:rPr>
          <w:sz w:val="20"/>
        </w:rPr>
      </w:pPr>
      <w:bookmarkStart w:name="_bookmark1042" w:id="1044"/>
      <w:bookmarkEnd w:id="1044"/>
      <w:r>
        <w:rPr/>
      </w:r>
      <w:hyperlink w:history="true" w:anchor="_bookmark915">
        <w:r>
          <w:rPr>
            <w:color w:val="005DA1"/>
            <w:spacing w:val="-4"/>
            <w:position w:val="5"/>
            <w:sz w:val="14"/>
            <w:u w:val="single" w:color="005DA1"/>
          </w:rPr>
          <w:t>505</w:t>
        </w:r>
      </w:hyperlink>
      <w:r>
        <w:rPr>
          <w:spacing w:val="-4"/>
          <w:position w:val="5"/>
          <w:sz w:val="14"/>
        </w:rPr>
        <w:t>.</w:t>
      </w:r>
      <w:r>
        <w:rPr>
          <w:position w:val="5"/>
          <w:sz w:val="14"/>
        </w:rPr>
        <w:tab/>
      </w:r>
      <w:r>
        <w:rPr>
          <w:sz w:val="20"/>
        </w:rPr>
        <w:t>See Schu, </w:t>
      </w:r>
      <w:r>
        <w:rPr>
          <w:spacing w:val="-2"/>
          <w:sz w:val="20"/>
        </w:rPr>
        <w:t>p.215.</w:t>
      </w:r>
    </w:p>
    <w:p>
      <w:pPr>
        <w:pStyle w:val="BodyText"/>
        <w:spacing w:before="4"/>
      </w:pPr>
    </w:p>
    <w:p>
      <w:pPr>
        <w:pStyle w:val="BodyText"/>
        <w:tabs>
          <w:tab w:pos="705" w:val="left" w:leader="none"/>
        </w:tabs>
        <w:spacing w:before="1"/>
        <w:ind w:left="165"/>
      </w:pPr>
      <w:bookmarkStart w:name="_bookmark1043" w:id="1045"/>
      <w:bookmarkEnd w:id="1045"/>
      <w:r>
        <w:rPr/>
      </w:r>
      <w:hyperlink w:history="true" w:anchor="_bookmark916">
        <w:r>
          <w:rPr>
            <w:color w:val="005DA1"/>
            <w:spacing w:val="-4"/>
            <w:position w:val="5"/>
            <w:sz w:val="14"/>
            <w:u w:val="single" w:color="005DA1"/>
          </w:rPr>
          <w:t>506</w:t>
        </w:r>
      </w:hyperlink>
      <w:r>
        <w:rPr>
          <w:spacing w:val="-4"/>
          <w:position w:val="5"/>
          <w:sz w:val="14"/>
        </w:rPr>
        <w:t>.</w:t>
      </w:r>
      <w:r>
        <w:rPr>
          <w:position w:val="5"/>
          <w:sz w:val="14"/>
        </w:rPr>
        <w:tab/>
      </w:r>
      <w:r>
        <w:rPr/>
        <w:t>See Niemann, p.100; Schu, </w:t>
      </w:r>
      <w:r>
        <w:rPr>
          <w:spacing w:val="-2"/>
        </w:rPr>
        <w:t>p.192.</w:t>
      </w:r>
    </w:p>
    <w:p>
      <w:pPr>
        <w:pStyle w:val="BodyText"/>
        <w:spacing w:before="8"/>
      </w:pPr>
    </w:p>
    <w:p>
      <w:pPr>
        <w:pStyle w:val="BodyText"/>
        <w:spacing w:line="235" w:lineRule="auto"/>
        <w:ind w:left="705" w:right="167" w:hanging="541"/>
        <w:jc w:val="both"/>
      </w:pPr>
      <w:bookmarkStart w:name="_bookmark1044" w:id="1046"/>
      <w:bookmarkEnd w:id="1046"/>
      <w:r>
        <w:rPr/>
      </w:r>
      <w:hyperlink w:history="true" w:anchor="_bookmark917">
        <w:r>
          <w:rPr>
            <w:color w:val="005DA1"/>
            <w:position w:val="5"/>
            <w:sz w:val="14"/>
            <w:u w:val="single" w:color="005DA1"/>
          </w:rPr>
          <w:t>507</w:t>
        </w:r>
      </w:hyperlink>
      <w:r>
        <w:rPr>
          <w:position w:val="5"/>
          <w:sz w:val="14"/>
        </w:rPr>
        <w:t>.</w:t>
      </w:r>
      <w:r>
        <w:rPr>
          <w:spacing w:val="80"/>
          <w:position w:val="5"/>
          <w:sz w:val="14"/>
        </w:rPr>
        <w:t> </w:t>
      </w:r>
      <w:r>
        <w:rPr/>
        <w:t>Chissick and Kelman, </w:t>
      </w:r>
      <w:r>
        <w:rPr>
          <w:rFonts w:ascii="Arial" w:hAnsi="Arial"/>
          <w:i/>
        </w:rPr>
        <w:t>Electronic Commerce: Law and Practice</w:t>
      </w:r>
      <w:r>
        <w:rPr/>
        <w:t>, 3rd edn (2002), </w:t>
      </w:r>
      <w:r>
        <w:rPr/>
        <w:t>para.4–35; Niemann 100. Nor, it is submitted, should so-called “electronic agents” be treated as agents for these purposes: cf. Wetzenboeck (2001) 9 International Journal of Law and Information Technology 204; Øren (2001) 9 Journal of Law and Information Technology 249.</w:t>
      </w:r>
    </w:p>
    <w:p>
      <w:pPr>
        <w:pStyle w:val="BodyText"/>
        <w:spacing w:before="5"/>
      </w:pPr>
    </w:p>
    <w:p>
      <w:pPr>
        <w:pStyle w:val="BodyText"/>
        <w:tabs>
          <w:tab w:pos="705" w:val="left" w:leader="none"/>
        </w:tabs>
        <w:ind w:left="165"/>
      </w:pPr>
      <w:bookmarkStart w:name="_bookmark1045" w:id="1047"/>
      <w:bookmarkEnd w:id="1047"/>
      <w:r>
        <w:rPr/>
      </w:r>
      <w:hyperlink w:history="true" w:anchor="_bookmark918">
        <w:r>
          <w:rPr>
            <w:color w:val="005DA1"/>
            <w:spacing w:val="-4"/>
            <w:position w:val="5"/>
            <w:sz w:val="14"/>
            <w:u w:val="single" w:color="005DA1"/>
          </w:rPr>
          <w:t>508</w:t>
        </w:r>
      </w:hyperlink>
      <w:r>
        <w:rPr>
          <w:spacing w:val="-4"/>
          <w:position w:val="5"/>
          <w:sz w:val="14"/>
        </w:rPr>
        <w:t>.</w:t>
      </w:r>
      <w:r>
        <w:rPr>
          <w:position w:val="5"/>
          <w:sz w:val="14"/>
        </w:rPr>
        <w:tab/>
      </w:r>
      <w:r>
        <w:rPr/>
        <w:t>Giuliano-Lagarde Report, </w:t>
      </w:r>
      <w:r>
        <w:rPr>
          <w:spacing w:val="-2"/>
        </w:rPr>
        <w:t>p.24.</w:t>
      </w:r>
    </w:p>
    <w:p>
      <w:pPr>
        <w:pStyle w:val="BodyText"/>
        <w:spacing w:before="5"/>
      </w:pPr>
    </w:p>
    <w:p>
      <w:pPr>
        <w:pStyle w:val="BodyText"/>
        <w:tabs>
          <w:tab w:pos="705" w:val="left" w:leader="none"/>
        </w:tabs>
        <w:ind w:left="165"/>
      </w:pPr>
      <w:bookmarkStart w:name="_bookmark1046" w:id="1048"/>
      <w:bookmarkEnd w:id="1048"/>
      <w:r>
        <w:rPr/>
      </w:r>
      <w:hyperlink w:history="true" w:anchor="_bookmark919">
        <w:r>
          <w:rPr>
            <w:color w:val="005DA1"/>
            <w:spacing w:val="-4"/>
            <w:position w:val="5"/>
            <w:sz w:val="14"/>
            <w:u w:val="single" w:color="005DA1"/>
          </w:rPr>
          <w:t>509</w:t>
        </w:r>
      </w:hyperlink>
      <w:r>
        <w:rPr>
          <w:spacing w:val="-4"/>
          <w:position w:val="5"/>
          <w:sz w:val="14"/>
        </w:rPr>
        <w:t>.</w:t>
      </w:r>
      <w:r>
        <w:rPr>
          <w:position w:val="5"/>
          <w:sz w:val="14"/>
        </w:rPr>
        <w:tab/>
      </w:r>
      <w:r>
        <w:rPr/>
        <w:t>Chissick and Kelman, </w:t>
      </w:r>
      <w:r>
        <w:rPr>
          <w:spacing w:val="-2"/>
        </w:rPr>
        <w:t>pp.4–34.</w:t>
      </w:r>
    </w:p>
    <w:p>
      <w:pPr>
        <w:pStyle w:val="BodyText"/>
        <w:spacing w:before="5"/>
      </w:pPr>
    </w:p>
    <w:p>
      <w:pPr>
        <w:tabs>
          <w:tab w:pos="705" w:val="left" w:leader="none"/>
        </w:tabs>
        <w:spacing w:before="0"/>
        <w:ind w:left="165" w:right="0" w:firstLine="0"/>
        <w:jc w:val="left"/>
        <w:rPr>
          <w:sz w:val="20"/>
        </w:rPr>
      </w:pPr>
      <w:bookmarkStart w:name="_bookmark1047" w:id="1049"/>
      <w:bookmarkEnd w:id="1049"/>
      <w:r>
        <w:rPr/>
      </w:r>
      <w:hyperlink w:history="true" w:anchor="_bookmark920">
        <w:r>
          <w:rPr>
            <w:color w:val="005DA1"/>
            <w:spacing w:val="-4"/>
            <w:position w:val="5"/>
            <w:sz w:val="14"/>
            <w:u w:val="single" w:color="005DA1"/>
          </w:rPr>
          <w:t>510</w:t>
        </w:r>
      </w:hyperlink>
      <w:r>
        <w:rPr>
          <w:spacing w:val="-4"/>
          <w:position w:val="5"/>
          <w:sz w:val="14"/>
        </w:rPr>
        <w:t>.</w:t>
      </w:r>
      <w:r>
        <w:rPr>
          <w:position w:val="5"/>
          <w:sz w:val="14"/>
        </w:rPr>
        <w:tab/>
      </w:r>
      <w:r>
        <w:rPr>
          <w:sz w:val="20"/>
        </w:rPr>
        <w:t>Schu, </w:t>
      </w:r>
      <w:r>
        <w:rPr>
          <w:spacing w:val="-2"/>
          <w:sz w:val="20"/>
        </w:rPr>
        <w:t>p.216.</w:t>
      </w:r>
    </w:p>
    <w:p>
      <w:pPr>
        <w:spacing w:after="0"/>
        <w:jc w:val="left"/>
        <w:rPr>
          <w:sz w:val="20"/>
        </w:rPr>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921">
        <w:r>
          <w:rPr>
            <w:color w:val="005DA1"/>
            <w:spacing w:val="-4"/>
            <w:position w:val="5"/>
            <w:sz w:val="14"/>
            <w:u w:val="single" w:color="005DA1"/>
          </w:rPr>
          <w:t>511</w:t>
        </w:r>
      </w:hyperlink>
      <w:r>
        <w:rPr>
          <w:spacing w:val="-4"/>
          <w:position w:val="5"/>
          <w:sz w:val="14"/>
        </w:rPr>
        <w:t>.</w:t>
      </w:r>
      <w:r>
        <w:rPr>
          <w:position w:val="5"/>
          <w:sz w:val="14"/>
        </w:rPr>
        <w:tab/>
      </w:r>
      <w:r>
        <w:rPr/>
        <w:t>The example assumes that the first condition of Rome Convention art.5(2) is </w:t>
      </w:r>
      <w:r>
        <w:rPr>
          <w:spacing w:val="-2"/>
        </w:rPr>
        <w:t>inapplicable.</w:t>
      </w:r>
    </w:p>
    <w:p>
      <w:pPr>
        <w:pStyle w:val="BodyText"/>
        <w:spacing w:before="9"/>
      </w:pPr>
    </w:p>
    <w:p>
      <w:pPr>
        <w:spacing w:line="235" w:lineRule="auto" w:before="0"/>
        <w:ind w:left="705" w:right="167" w:hanging="541"/>
        <w:jc w:val="both"/>
        <w:rPr>
          <w:sz w:val="20"/>
        </w:rPr>
      </w:pPr>
      <w:bookmarkStart w:name="_bookmark1048" w:id="1050"/>
      <w:bookmarkEnd w:id="1050"/>
      <w:r>
        <w:rPr/>
      </w:r>
      <w:hyperlink w:history="true" w:anchor="_bookmark922">
        <w:r>
          <w:rPr>
            <w:color w:val="005DA1"/>
            <w:position w:val="5"/>
            <w:sz w:val="14"/>
            <w:u w:val="single" w:color="005DA1"/>
          </w:rPr>
          <w:t>512</w:t>
        </w:r>
      </w:hyperlink>
      <w:r>
        <w:rPr>
          <w:position w:val="5"/>
          <w:sz w:val="14"/>
        </w:rPr>
        <w:t>.</w:t>
      </w:r>
      <w:r>
        <w:rPr>
          <w:spacing w:val="80"/>
          <w:w w:val="150"/>
          <w:position w:val="5"/>
          <w:sz w:val="14"/>
        </w:rPr>
        <w:t> </w:t>
      </w:r>
      <w:r>
        <w:rPr>
          <w:sz w:val="20"/>
        </w:rPr>
        <w:t>cf. Directive on electronic commerce (above, para.30–095) art.11(1) and Recital 19; Electronic Commerce (EC Directive) Regulations 2002 reg.11(2)(a); </w:t>
      </w:r>
      <w:r>
        <w:rPr>
          <w:rFonts w:ascii="Arial" w:hAnsi="Arial"/>
          <w:i/>
          <w:sz w:val="20"/>
        </w:rPr>
        <w:t>Menashe Business Mercantile Ltd </w:t>
      </w:r>
      <w:r>
        <w:rPr>
          <w:rFonts w:ascii="Arial" w:hAnsi="Arial"/>
          <w:i/>
          <w:sz w:val="20"/>
        </w:rPr>
        <w:t>v William Hill Organization Ltd [2002] EWCA Civ 1702, [2003] 1 W.L.R. 1462</w:t>
      </w:r>
      <w:r>
        <w:rPr>
          <w:sz w:val="20"/>
        </w:rPr>
        <w:t>.</w:t>
      </w:r>
    </w:p>
    <w:p>
      <w:pPr>
        <w:pStyle w:val="BodyText"/>
        <w:spacing w:before="5"/>
      </w:pPr>
    </w:p>
    <w:p>
      <w:pPr>
        <w:pStyle w:val="BodyText"/>
        <w:tabs>
          <w:tab w:pos="705" w:val="left" w:leader="none"/>
        </w:tabs>
        <w:ind w:left="165"/>
      </w:pPr>
      <w:bookmarkStart w:name="_bookmark1049" w:id="1051"/>
      <w:bookmarkEnd w:id="1051"/>
      <w:r>
        <w:rPr/>
      </w:r>
      <w:hyperlink w:history="true" w:anchor="_bookmark923">
        <w:r>
          <w:rPr>
            <w:color w:val="005DA1"/>
            <w:spacing w:val="-4"/>
            <w:position w:val="5"/>
            <w:sz w:val="14"/>
            <w:u w:val="single" w:color="005DA1"/>
          </w:rPr>
          <w:t>513</w:t>
        </w:r>
      </w:hyperlink>
      <w:r>
        <w:rPr>
          <w:spacing w:val="-4"/>
          <w:position w:val="5"/>
          <w:sz w:val="14"/>
        </w:rPr>
        <w:t>.</w:t>
      </w:r>
      <w:r>
        <w:rPr>
          <w:position w:val="5"/>
          <w:sz w:val="14"/>
        </w:rPr>
        <w:tab/>
      </w:r>
      <w:r>
        <w:rPr/>
        <w:t>Above,</w:t>
      </w:r>
      <w:r>
        <w:rPr>
          <w:spacing w:val="-2"/>
        </w:rPr>
        <w:t> </w:t>
      </w:r>
      <w:r>
        <w:rPr/>
        <w:t>paras 30–060 et </w:t>
      </w:r>
      <w:r>
        <w:rPr>
          <w:spacing w:val="-4"/>
        </w:rPr>
        <w:t>seq.</w:t>
      </w:r>
    </w:p>
    <w:p>
      <w:pPr>
        <w:pStyle w:val="BodyText"/>
        <w:spacing w:before="9"/>
      </w:pPr>
    </w:p>
    <w:p>
      <w:pPr>
        <w:pStyle w:val="BodyText"/>
        <w:tabs>
          <w:tab w:pos="705" w:val="left" w:leader="none"/>
        </w:tabs>
        <w:spacing w:line="235" w:lineRule="auto"/>
        <w:ind w:left="705" w:right="168" w:hanging="541"/>
      </w:pPr>
      <w:bookmarkStart w:name="_bookmark1050" w:id="1052"/>
      <w:bookmarkEnd w:id="1052"/>
      <w:r>
        <w:rPr/>
      </w:r>
      <w:hyperlink w:history="true" w:anchor="_bookmark924">
        <w:r>
          <w:rPr>
            <w:color w:val="005DA1"/>
            <w:spacing w:val="-4"/>
            <w:position w:val="5"/>
            <w:sz w:val="14"/>
            <w:u w:val="single" w:color="005DA1"/>
          </w:rPr>
          <w:t>514</w:t>
        </w:r>
      </w:hyperlink>
      <w:r>
        <w:rPr>
          <w:spacing w:val="-4"/>
          <w:position w:val="5"/>
          <w:sz w:val="14"/>
        </w:rPr>
        <w:t>.</w:t>
      </w:r>
      <w:r>
        <w:rPr>
          <w:position w:val="5"/>
          <w:sz w:val="14"/>
        </w:rPr>
        <w:tab/>
      </w:r>
      <w:r>
        <w:rPr/>
        <w:t>cf.</w:t>
      </w:r>
      <w:r>
        <w:rPr>
          <w:spacing w:val="40"/>
        </w:rPr>
        <w:t> </w:t>
      </w:r>
      <w:r>
        <w:rPr/>
        <w:t>Rome</w:t>
      </w:r>
      <w:r>
        <w:rPr>
          <w:spacing w:val="40"/>
        </w:rPr>
        <w:t> </w:t>
      </w:r>
      <w:r>
        <w:rPr/>
        <w:t>Convention</w:t>
      </w:r>
      <w:r>
        <w:rPr>
          <w:spacing w:val="40"/>
        </w:rPr>
        <w:t> </w:t>
      </w:r>
      <w:r>
        <w:rPr/>
        <w:t>art.7(1)</w:t>
      </w:r>
      <w:r>
        <w:rPr>
          <w:spacing w:val="40"/>
        </w:rPr>
        <w:t> </w:t>
      </w:r>
      <w:r>
        <w:rPr/>
        <w:t>which</w:t>
      </w:r>
      <w:r>
        <w:rPr>
          <w:spacing w:val="40"/>
        </w:rPr>
        <w:t> </w:t>
      </w:r>
      <w:r>
        <w:rPr/>
        <w:t>does</w:t>
      </w:r>
      <w:r>
        <w:rPr>
          <w:spacing w:val="40"/>
        </w:rPr>
        <w:t> </w:t>
      </w:r>
      <w:r>
        <w:rPr/>
        <w:t>not</w:t>
      </w:r>
      <w:r>
        <w:rPr>
          <w:spacing w:val="40"/>
        </w:rPr>
        <w:t> </w:t>
      </w:r>
      <w:r>
        <w:rPr/>
        <w:t>have</w:t>
      </w:r>
      <w:r>
        <w:rPr>
          <w:spacing w:val="40"/>
        </w:rPr>
        <w:t> </w:t>
      </w:r>
      <w:r>
        <w:rPr/>
        <w:t>the</w:t>
      </w:r>
      <w:r>
        <w:rPr>
          <w:spacing w:val="40"/>
        </w:rPr>
        <w:t> </w:t>
      </w:r>
      <w:r>
        <w:rPr/>
        <w:t>force</w:t>
      </w:r>
      <w:r>
        <w:rPr>
          <w:spacing w:val="40"/>
        </w:rPr>
        <w:t> </w:t>
      </w:r>
      <w:r>
        <w:rPr/>
        <w:t>of</w:t>
      </w:r>
      <w:r>
        <w:rPr>
          <w:spacing w:val="40"/>
        </w:rPr>
        <w:t> </w:t>
      </w:r>
      <w:r>
        <w:rPr/>
        <w:t>law</w:t>
      </w:r>
      <w:r>
        <w:rPr>
          <w:spacing w:val="40"/>
        </w:rPr>
        <w:t> </w:t>
      </w:r>
      <w:r>
        <w:rPr/>
        <w:t>in</w:t>
      </w:r>
      <w:r>
        <w:rPr>
          <w:spacing w:val="40"/>
        </w:rPr>
        <w:t> </w:t>
      </w:r>
      <w:r>
        <w:rPr/>
        <w:t>the</w:t>
      </w:r>
      <w:r>
        <w:rPr>
          <w:spacing w:val="40"/>
        </w:rPr>
        <w:t> </w:t>
      </w:r>
      <w:r>
        <w:rPr/>
        <w:t>UK:</w:t>
      </w:r>
      <w:r>
        <w:rPr>
          <w:spacing w:val="40"/>
        </w:rPr>
        <w:t> </w:t>
      </w:r>
      <w:r>
        <w:rPr/>
        <w:t>Contracts (Applicable Law) Act 1990 s.2(2), above, para.30–062.</w:t>
      </w:r>
    </w:p>
    <w:p>
      <w:pPr>
        <w:pStyle w:val="BodyText"/>
        <w:spacing w:before="9"/>
      </w:pPr>
    </w:p>
    <w:p>
      <w:pPr>
        <w:pStyle w:val="BodyText"/>
        <w:spacing w:line="235" w:lineRule="auto"/>
        <w:ind w:left="705" w:right="167" w:hanging="541"/>
        <w:jc w:val="both"/>
      </w:pPr>
      <w:bookmarkStart w:name="_bookmark1051" w:id="1053"/>
      <w:bookmarkEnd w:id="1053"/>
      <w:r>
        <w:rPr/>
      </w:r>
      <w:hyperlink w:history="true" w:anchor="_bookmark925">
        <w:r>
          <w:rPr>
            <w:color w:val="005DA1"/>
            <w:position w:val="5"/>
            <w:sz w:val="14"/>
            <w:u w:val="single" w:color="005DA1"/>
          </w:rPr>
          <w:t>515</w:t>
        </w:r>
      </w:hyperlink>
      <w:r>
        <w:rPr>
          <w:position w:val="5"/>
          <w:sz w:val="14"/>
        </w:rPr>
        <w:t>.</w:t>
      </w:r>
      <w:r>
        <w:rPr>
          <w:spacing w:val="80"/>
          <w:position w:val="5"/>
          <w:sz w:val="14"/>
        </w:rPr>
        <w:t>  </w:t>
      </w:r>
      <w:r>
        <w:rPr/>
        <w:t>Examples</w:t>
      </w:r>
      <w:r>
        <w:rPr>
          <w:spacing w:val="24"/>
        </w:rPr>
        <w:t> </w:t>
      </w:r>
      <w:r>
        <w:rPr/>
        <w:t>in</w:t>
      </w:r>
      <w:r>
        <w:rPr>
          <w:spacing w:val="24"/>
        </w:rPr>
        <w:t> </w:t>
      </w:r>
      <w:r>
        <w:rPr/>
        <w:t>English</w:t>
      </w:r>
      <w:r>
        <w:rPr>
          <w:spacing w:val="24"/>
        </w:rPr>
        <w:t> </w:t>
      </w:r>
      <w:r>
        <w:rPr/>
        <w:t>law</w:t>
      </w:r>
      <w:r>
        <w:rPr>
          <w:spacing w:val="24"/>
        </w:rPr>
        <w:t> </w:t>
      </w:r>
      <w:r>
        <w:rPr/>
        <w:t>might</w:t>
      </w:r>
      <w:r>
        <w:rPr>
          <w:spacing w:val="24"/>
        </w:rPr>
        <w:t> </w:t>
      </w:r>
      <w:r>
        <w:rPr/>
        <w:t>include</w:t>
      </w:r>
      <w:r>
        <w:rPr>
          <w:spacing w:val="24"/>
        </w:rPr>
        <w:t> </w:t>
      </w:r>
      <w:r>
        <w:rPr/>
        <w:t>the</w:t>
      </w:r>
      <w:r>
        <w:rPr>
          <w:spacing w:val="24"/>
        </w:rPr>
        <w:t> </w:t>
      </w:r>
      <w:r>
        <w:rPr/>
        <w:t>provisions</w:t>
      </w:r>
      <w:r>
        <w:rPr>
          <w:spacing w:val="24"/>
        </w:rPr>
        <w:t> </w:t>
      </w:r>
      <w:r>
        <w:rPr/>
        <w:t>of</w:t>
      </w:r>
      <w:r>
        <w:rPr>
          <w:spacing w:val="24"/>
        </w:rPr>
        <w:t> </w:t>
      </w:r>
      <w:r>
        <w:rPr/>
        <w:t>the</w:t>
      </w:r>
      <w:r>
        <w:rPr>
          <w:spacing w:val="24"/>
        </w:rPr>
        <w:t> </w:t>
      </w:r>
      <w:r>
        <w:rPr/>
        <w:t>Unfair</w:t>
      </w:r>
      <w:r>
        <w:rPr>
          <w:spacing w:val="24"/>
        </w:rPr>
        <w:t> </w:t>
      </w:r>
      <w:r>
        <w:rPr/>
        <w:t>Contract</w:t>
      </w:r>
      <w:r>
        <w:rPr>
          <w:spacing w:val="24"/>
        </w:rPr>
        <w:t> </w:t>
      </w:r>
      <w:r>
        <w:rPr/>
        <w:t>Terms</w:t>
      </w:r>
      <w:r>
        <w:rPr>
          <w:spacing w:val="24"/>
        </w:rPr>
        <w:t> </w:t>
      </w:r>
      <w:r>
        <w:rPr/>
        <w:t>Act</w:t>
      </w:r>
      <w:r>
        <w:rPr>
          <w:spacing w:val="24"/>
        </w:rPr>
        <w:t> </w:t>
      </w:r>
      <w:r>
        <w:rPr/>
        <w:t>1977 and some provisions of the Consumer Credit Act 1974: see </w:t>
      </w:r>
      <w:r>
        <w:rPr>
          <w:rFonts w:ascii="Arial" w:hAnsi="Arial"/>
          <w:i/>
        </w:rPr>
        <w:t>Office of Fair Trading v Lloyds TSB Bank Plc [2007] UKHL 48, [2008] 1 A.C. 316 </w:t>
      </w:r>
      <w:r>
        <w:rPr/>
        <w:t>(“connected lender” liability under Consumer</w:t>
      </w:r>
      <w:r>
        <w:rPr>
          <w:spacing w:val="40"/>
        </w:rPr>
        <w:t> </w:t>
      </w:r>
      <w:r>
        <w:rPr/>
        <w:t>Credit Act 1974 s.75 applies in respect of all transactions entered into using credit cards issued under consumer credit agreements regulated by the 1974 Act whether they are entered into </w:t>
      </w:r>
      <w:r>
        <w:rPr/>
        <w:t>in the United Kingdom or elsewhere).</w:t>
      </w:r>
    </w:p>
    <w:p>
      <w:pPr>
        <w:pStyle w:val="BodyText"/>
        <w:spacing w:before="4"/>
      </w:pPr>
    </w:p>
    <w:p>
      <w:pPr>
        <w:pStyle w:val="BodyText"/>
        <w:tabs>
          <w:tab w:pos="705" w:val="left" w:leader="none"/>
        </w:tabs>
        <w:ind w:left="165"/>
      </w:pPr>
      <w:bookmarkStart w:name="_bookmark1052" w:id="1054"/>
      <w:bookmarkEnd w:id="1054"/>
      <w:r>
        <w:rPr/>
      </w:r>
      <w:hyperlink w:history="true" w:anchor="_bookmark926">
        <w:r>
          <w:rPr>
            <w:color w:val="005DA1"/>
            <w:spacing w:val="-4"/>
            <w:position w:val="5"/>
            <w:sz w:val="14"/>
            <w:u w:val="single" w:color="005DA1"/>
          </w:rPr>
          <w:t>516</w:t>
        </w:r>
      </w:hyperlink>
      <w:r>
        <w:rPr>
          <w:spacing w:val="-4"/>
          <w:position w:val="5"/>
          <w:sz w:val="14"/>
        </w:rPr>
        <w:t>.</w:t>
      </w:r>
      <w:r>
        <w:rPr>
          <w:position w:val="5"/>
          <w:sz w:val="14"/>
        </w:rPr>
        <w:tab/>
      </w:r>
      <w:r>
        <w:rPr/>
        <w:t>See Dicey, Morris and Collins, </w:t>
      </w:r>
      <w:r>
        <w:rPr>
          <w:spacing w:val="-2"/>
        </w:rPr>
        <w:t>para.33–014.</w:t>
      </w:r>
    </w:p>
    <w:p>
      <w:pPr>
        <w:pStyle w:val="BodyText"/>
        <w:spacing w:before="5"/>
      </w:pPr>
    </w:p>
    <w:p>
      <w:pPr>
        <w:pStyle w:val="BodyText"/>
        <w:tabs>
          <w:tab w:pos="705" w:val="left" w:leader="none"/>
        </w:tabs>
        <w:ind w:left="165"/>
      </w:pPr>
      <w:bookmarkStart w:name="_bookmark1053" w:id="1055"/>
      <w:bookmarkEnd w:id="1055"/>
      <w:r>
        <w:rPr/>
      </w:r>
      <w:hyperlink w:history="true" w:anchor="_bookmark927">
        <w:r>
          <w:rPr>
            <w:color w:val="005DA1"/>
            <w:spacing w:val="-4"/>
            <w:position w:val="5"/>
            <w:sz w:val="14"/>
            <w:u w:val="single" w:color="005DA1"/>
          </w:rPr>
          <w:t>517</w:t>
        </w:r>
      </w:hyperlink>
      <w:r>
        <w:rPr>
          <w:spacing w:val="-4"/>
          <w:position w:val="5"/>
          <w:sz w:val="14"/>
        </w:rPr>
        <w:t>.</w:t>
      </w:r>
      <w:r>
        <w:rPr>
          <w:position w:val="5"/>
          <w:sz w:val="14"/>
        </w:rPr>
        <w:tab/>
      </w:r>
      <w:r>
        <w:rPr/>
        <w:t>cf. Philip in North (ed.), Contract Conflicts (1982), p.81, at </w:t>
      </w:r>
      <w:r>
        <w:rPr>
          <w:spacing w:val="-2"/>
        </w:rPr>
        <w:t>p.99.</w:t>
      </w:r>
    </w:p>
    <w:p>
      <w:pPr>
        <w:pStyle w:val="BodyText"/>
        <w:spacing w:before="5"/>
      </w:pPr>
    </w:p>
    <w:p>
      <w:pPr>
        <w:pStyle w:val="BodyText"/>
        <w:tabs>
          <w:tab w:pos="705" w:val="left" w:leader="none"/>
        </w:tabs>
        <w:spacing w:before="1"/>
        <w:ind w:left="165"/>
      </w:pPr>
      <w:bookmarkStart w:name="_bookmark1054" w:id="1056"/>
      <w:bookmarkEnd w:id="1056"/>
      <w:r>
        <w:rPr/>
      </w:r>
      <w:hyperlink w:history="true" w:anchor="_bookmark928">
        <w:r>
          <w:rPr>
            <w:color w:val="005DA1"/>
            <w:spacing w:val="-4"/>
            <w:position w:val="5"/>
            <w:sz w:val="14"/>
            <w:u w:val="single" w:color="005DA1"/>
          </w:rPr>
          <w:t>518</w:t>
        </w:r>
      </w:hyperlink>
      <w:r>
        <w:rPr>
          <w:spacing w:val="-4"/>
          <w:position w:val="5"/>
          <w:sz w:val="14"/>
        </w:rPr>
        <w:t>.</w:t>
      </w:r>
      <w:r>
        <w:rPr>
          <w:position w:val="5"/>
          <w:sz w:val="14"/>
        </w:rPr>
        <w:tab/>
      </w:r>
      <w:r>
        <w:rPr/>
        <w:t>See Dicey, Morris and Collins, paras 33–043—</w:t>
      </w:r>
      <w:r>
        <w:rPr>
          <w:spacing w:val="-2"/>
        </w:rPr>
        <w:t>33–054.</w:t>
      </w:r>
    </w:p>
    <w:p>
      <w:pPr>
        <w:pStyle w:val="BodyText"/>
        <w:spacing w:before="8"/>
      </w:pPr>
    </w:p>
    <w:p>
      <w:pPr>
        <w:pStyle w:val="BodyText"/>
        <w:spacing w:line="235" w:lineRule="auto"/>
        <w:ind w:left="705" w:right="167" w:hanging="541"/>
        <w:jc w:val="both"/>
      </w:pPr>
      <w:bookmarkStart w:name="_bookmark1055" w:id="1057"/>
      <w:bookmarkEnd w:id="1057"/>
      <w:r>
        <w:rPr/>
      </w:r>
      <w:hyperlink w:history="true" w:anchor="_bookmark929">
        <w:r>
          <w:rPr>
            <w:color w:val="005DA1"/>
            <w:position w:val="5"/>
            <w:sz w:val="14"/>
            <w:u w:val="single" w:color="005DA1"/>
          </w:rPr>
          <w:t>519</w:t>
        </w:r>
      </w:hyperlink>
      <w:r>
        <w:rPr>
          <w:position w:val="5"/>
          <w:sz w:val="14"/>
        </w:rPr>
        <w:t>.</w:t>
      </w:r>
      <w:r>
        <w:rPr>
          <w:spacing w:val="40"/>
          <w:position w:val="5"/>
          <w:sz w:val="14"/>
        </w:rPr>
        <w:t>  </w:t>
      </w:r>
      <w:r>
        <w:rPr/>
        <w:t>For other examples, see Consumer Protection (Cancellation of Contracts Concluded away </w:t>
      </w:r>
      <w:r>
        <w:rPr/>
        <w:t>from Business Premises) Regulations 1987 (SI 1987/2117), as amended by SI 1988/958, and replaced by Cancellation of Contracts made in a Consumer’s Home or Place of Work etc. Regulations 2008 (SI 2008/1816) implementing Council Directive 1985/577 to protect the consumer in respect of contracts negotiated away from business premises [1985] O.J. L372/31, as to which see </w:t>
      </w:r>
      <w:r>
        <w:rPr>
          <w:rFonts w:ascii="Arial" w:hAnsi="Arial"/>
          <w:i/>
        </w:rPr>
        <w:t>Travel Vac SL v Sanchis (C-423/97) [1999] E.C.R. I–2195</w:t>
      </w:r>
      <w:r>
        <w:rPr/>
        <w:t>; </w:t>
      </w:r>
      <w:r>
        <w:rPr>
          <w:rFonts w:ascii="Arial" w:hAnsi="Arial"/>
          <w:i/>
        </w:rPr>
        <w:t>Deutsche Bausparkasse</w:t>
      </w:r>
      <w:r>
        <w:rPr>
          <w:rFonts w:ascii="Arial" w:hAnsi="Arial"/>
          <w:i/>
          <w:spacing w:val="-1"/>
        </w:rPr>
        <w:t> </w:t>
      </w:r>
      <w:r>
        <w:rPr>
          <w:rFonts w:ascii="Arial" w:hAnsi="Arial"/>
          <w:i/>
        </w:rPr>
        <w:t>Badenia</w:t>
      </w:r>
      <w:r>
        <w:rPr>
          <w:rFonts w:ascii="Arial" w:hAnsi="Arial"/>
          <w:i/>
          <w:spacing w:val="-1"/>
        </w:rPr>
        <w:t> </w:t>
      </w:r>
      <w:r>
        <w:rPr>
          <w:rFonts w:ascii="Arial" w:hAnsi="Arial"/>
          <w:i/>
        </w:rPr>
        <w:t>AG</w:t>
      </w:r>
      <w:r>
        <w:rPr>
          <w:rFonts w:ascii="Arial" w:hAnsi="Arial"/>
          <w:i/>
          <w:spacing w:val="-1"/>
        </w:rPr>
        <w:t> </w:t>
      </w:r>
      <w:r>
        <w:rPr>
          <w:rFonts w:ascii="Arial" w:hAnsi="Arial"/>
          <w:i/>
        </w:rPr>
        <w:t>(C-350/03)</w:t>
      </w:r>
      <w:r>
        <w:rPr>
          <w:rFonts w:ascii="Arial" w:hAnsi="Arial"/>
          <w:i/>
          <w:spacing w:val="-1"/>
        </w:rPr>
        <w:t> </w:t>
      </w:r>
      <w:r>
        <w:rPr>
          <w:rFonts w:ascii="Arial" w:hAnsi="Arial"/>
          <w:i/>
        </w:rPr>
        <w:t>[2005]</w:t>
      </w:r>
      <w:r>
        <w:rPr>
          <w:rFonts w:ascii="Arial" w:hAnsi="Arial"/>
          <w:i/>
          <w:spacing w:val="-1"/>
        </w:rPr>
        <w:t> </w:t>
      </w:r>
      <w:r>
        <w:rPr>
          <w:rFonts w:ascii="Arial" w:hAnsi="Arial"/>
          <w:i/>
        </w:rPr>
        <w:t>E.C.R.</w:t>
      </w:r>
      <w:r>
        <w:rPr>
          <w:rFonts w:ascii="Arial" w:hAnsi="Arial"/>
          <w:i/>
          <w:spacing w:val="-1"/>
        </w:rPr>
        <w:t> </w:t>
      </w:r>
      <w:r>
        <w:rPr>
          <w:rFonts w:ascii="Arial" w:hAnsi="Arial"/>
          <w:i/>
        </w:rPr>
        <w:t>I–9215</w:t>
      </w:r>
      <w:r>
        <w:rPr/>
        <w:t>;</w:t>
      </w:r>
      <w:r>
        <w:rPr>
          <w:spacing w:val="-1"/>
        </w:rPr>
        <w:t> </w:t>
      </w:r>
      <w:r>
        <w:rPr/>
        <w:t>Enterprise</w:t>
      </w:r>
      <w:r>
        <w:rPr>
          <w:spacing w:val="-1"/>
        </w:rPr>
        <w:t> </w:t>
      </w:r>
      <w:r>
        <w:rPr/>
        <w:t>Act</w:t>
      </w:r>
      <w:r>
        <w:rPr>
          <w:spacing w:val="-1"/>
        </w:rPr>
        <w:t> </w:t>
      </w:r>
      <w:r>
        <w:rPr/>
        <w:t>2002</w:t>
      </w:r>
      <w:r>
        <w:rPr>
          <w:spacing w:val="-1"/>
        </w:rPr>
        <w:t> </w:t>
      </w:r>
      <w:r>
        <w:rPr/>
        <w:t>Pt</w:t>
      </w:r>
      <w:r>
        <w:rPr>
          <w:spacing w:val="-1"/>
        </w:rPr>
        <w:t> </w:t>
      </w:r>
      <w:r>
        <w:rPr/>
        <w:t>8</w:t>
      </w:r>
      <w:r>
        <w:rPr>
          <w:spacing w:val="-1"/>
        </w:rPr>
        <w:t> </w:t>
      </w:r>
      <w:r>
        <w:rPr/>
        <w:t>(and</w:t>
      </w:r>
      <w:r>
        <w:rPr>
          <w:spacing w:val="-1"/>
        </w:rPr>
        <w:t> </w:t>
      </w:r>
      <w:r>
        <w:rPr/>
        <w:t>see SI 2003/1374, SI 2003/1593), replacing; Stop Now Orders (EC Directive) Regulations 2001 (SI 2001/1422), implementing Directive 1998/27 on injunctions for the protection of consumers’ interests [1998] O.J. L166/51; Financial Services (Distance Marketing) Regulations 2004 (SI 2004/2095), implementing Directive concerning the distance marketing of consumer financial services [2002] O.J. L271/16. See generally Regulation 2006/2004 on co-operation between national authorities responsible for the enforcement of consumer protection laws (the</w:t>
      </w:r>
      <w:r>
        <w:rPr>
          <w:spacing w:val="40"/>
        </w:rPr>
        <w:t> </w:t>
      </w:r>
      <w:r>
        <w:rPr/>
        <w:t>Regulation on consumer protection co-operation) [2004] O.J. L346/1; Consumer Protection</w:t>
      </w:r>
      <w:r>
        <w:rPr>
          <w:spacing w:val="40"/>
        </w:rPr>
        <w:t> </w:t>
      </w:r>
      <w:r>
        <w:rPr/>
        <w:t>from Unfair Trading Regulations 2008 (SI 2008/1277), implementing Directive 2005/29 concerning unfair business-to-consumer commercial practices and amending Council Directive 84/450, Directives 97/7, 98/27 and 2002/65 and Regulation 2996/2004 (Unfair Commercial Practices Directive) [2005] O.J. L149/22; Directive 2008/484 of the European Parliament and of the Council on credit agreements for consumers [2008] O.J. L33/10, implemented in the UK in SI 2010/1010; Directive 2008/122 of the European Parliament and of the Council on the protection of consumers in respect of certain aspects of time-share, long-term holiday product, resale and exchange contracts [2009] O.J. L33/10, implemented in the UK in SI 2010/2960, as amended</w:t>
      </w:r>
      <w:r>
        <w:rPr>
          <w:spacing w:val="-1"/>
        </w:rPr>
        <w:t> </w:t>
      </w:r>
      <w:r>
        <w:rPr/>
        <w:t>by</w:t>
      </w:r>
      <w:r>
        <w:rPr>
          <w:spacing w:val="-1"/>
        </w:rPr>
        <w:t> </w:t>
      </w:r>
      <w:r>
        <w:rPr/>
        <w:t>SI</w:t>
      </w:r>
      <w:r>
        <w:rPr>
          <w:spacing w:val="-1"/>
        </w:rPr>
        <w:t> </w:t>
      </w:r>
      <w:r>
        <w:rPr/>
        <w:t>2011/1065;</w:t>
      </w:r>
      <w:r>
        <w:rPr>
          <w:spacing w:val="-1"/>
        </w:rPr>
        <w:t> </w:t>
      </w:r>
      <w:r>
        <w:rPr/>
        <w:t>Directive</w:t>
      </w:r>
      <w:r>
        <w:rPr>
          <w:spacing w:val="-1"/>
        </w:rPr>
        <w:t> </w:t>
      </w:r>
      <w:r>
        <w:rPr/>
        <w:t>2009/22</w:t>
      </w:r>
      <w:r>
        <w:rPr>
          <w:spacing w:val="-1"/>
        </w:rPr>
        <w:t> </w:t>
      </w:r>
      <w:r>
        <w:rPr/>
        <w:t>of</w:t>
      </w:r>
      <w:r>
        <w:rPr>
          <w:spacing w:val="-1"/>
        </w:rPr>
        <w:t> </w:t>
      </w:r>
      <w:r>
        <w:rPr/>
        <w:t>the</w:t>
      </w:r>
      <w:r>
        <w:rPr>
          <w:spacing w:val="-1"/>
        </w:rPr>
        <w:t> </w:t>
      </w:r>
      <w:r>
        <w:rPr/>
        <w:t>European</w:t>
      </w:r>
      <w:r>
        <w:rPr>
          <w:spacing w:val="-1"/>
        </w:rPr>
        <w:t> </w:t>
      </w:r>
      <w:r>
        <w:rPr/>
        <w:t>Parliament</w:t>
      </w:r>
      <w:r>
        <w:rPr>
          <w:spacing w:val="-1"/>
        </w:rPr>
        <w:t> </w:t>
      </w:r>
      <w:r>
        <w:rPr/>
        <w:t>and</w:t>
      </w:r>
      <w:r>
        <w:rPr>
          <w:spacing w:val="-1"/>
        </w:rPr>
        <w:t> </w:t>
      </w:r>
      <w:r>
        <w:rPr/>
        <w:t>of</w:t>
      </w:r>
      <w:r>
        <w:rPr>
          <w:spacing w:val="-1"/>
        </w:rPr>
        <w:t> </w:t>
      </w:r>
      <w:r>
        <w:rPr/>
        <w:t>the</w:t>
      </w:r>
      <w:r>
        <w:rPr>
          <w:spacing w:val="-1"/>
        </w:rPr>
        <w:t> </w:t>
      </w:r>
      <w:r>
        <w:rPr/>
        <w:t>Council</w:t>
      </w:r>
      <w:r>
        <w:rPr>
          <w:spacing w:val="-1"/>
        </w:rPr>
        <w:t> </w:t>
      </w:r>
      <w:r>
        <w:rPr/>
        <w:t>on injunctions for the protection of consumers’ interests [2009] O.J. L110/30 (codified version); Directive</w:t>
      </w:r>
      <w:r>
        <w:rPr>
          <w:spacing w:val="25"/>
        </w:rPr>
        <w:t> </w:t>
      </w:r>
      <w:r>
        <w:rPr/>
        <w:t>2011/83</w:t>
      </w:r>
      <w:r>
        <w:rPr>
          <w:spacing w:val="25"/>
        </w:rPr>
        <w:t> </w:t>
      </w:r>
      <w:r>
        <w:rPr/>
        <w:t>of</w:t>
      </w:r>
      <w:r>
        <w:rPr>
          <w:spacing w:val="25"/>
        </w:rPr>
        <w:t> </w:t>
      </w:r>
      <w:r>
        <w:rPr/>
        <w:t>the</w:t>
      </w:r>
      <w:r>
        <w:rPr>
          <w:spacing w:val="25"/>
        </w:rPr>
        <w:t> </w:t>
      </w:r>
      <w:r>
        <w:rPr/>
        <w:t>European</w:t>
      </w:r>
      <w:r>
        <w:rPr>
          <w:spacing w:val="25"/>
        </w:rPr>
        <w:t> </w:t>
      </w:r>
      <w:r>
        <w:rPr/>
        <w:t>Parliament</w:t>
      </w:r>
      <w:r>
        <w:rPr>
          <w:spacing w:val="25"/>
        </w:rPr>
        <w:t> </w:t>
      </w:r>
      <w:r>
        <w:rPr/>
        <w:t>and</w:t>
      </w:r>
      <w:r>
        <w:rPr>
          <w:spacing w:val="25"/>
        </w:rPr>
        <w:t> </w:t>
      </w:r>
      <w:r>
        <w:rPr/>
        <w:t>of</w:t>
      </w:r>
      <w:r>
        <w:rPr>
          <w:spacing w:val="25"/>
        </w:rPr>
        <w:t> </w:t>
      </w:r>
      <w:r>
        <w:rPr/>
        <w:t>the</w:t>
      </w:r>
      <w:r>
        <w:rPr>
          <w:spacing w:val="25"/>
        </w:rPr>
        <w:t> </w:t>
      </w:r>
      <w:r>
        <w:rPr/>
        <w:t>Council</w:t>
      </w:r>
      <w:r>
        <w:rPr>
          <w:spacing w:val="25"/>
        </w:rPr>
        <w:t> </w:t>
      </w:r>
      <w:r>
        <w:rPr/>
        <w:t>on</w:t>
      </w:r>
      <w:r>
        <w:rPr>
          <w:spacing w:val="25"/>
        </w:rPr>
        <w:t> </w:t>
      </w:r>
      <w:r>
        <w:rPr/>
        <w:t>consumer</w:t>
      </w:r>
      <w:r>
        <w:rPr>
          <w:spacing w:val="25"/>
        </w:rPr>
        <w:t> </w:t>
      </w:r>
      <w:r>
        <w:rPr/>
        <w:t>rights,</w:t>
      </w:r>
      <w:r>
        <w:rPr>
          <w:spacing w:val="25"/>
        </w:rPr>
        <w:t> </w:t>
      </w:r>
      <w:r>
        <w:rPr>
          <w:spacing w:val="-2"/>
        </w:rPr>
        <w:t>[2011]</w:t>
      </w:r>
    </w:p>
    <w:p>
      <w:pPr>
        <w:spacing w:line="235" w:lineRule="auto" w:before="0"/>
        <w:ind w:left="705" w:right="167" w:firstLine="0"/>
        <w:jc w:val="both"/>
        <w:rPr>
          <w:sz w:val="20"/>
        </w:rPr>
      </w:pPr>
      <w:r>
        <w:rPr>
          <w:sz w:val="20"/>
        </w:rPr>
        <w:t>O.J. L304/64. On issues of EU law relating to distance selling, see </w:t>
      </w:r>
      <w:r>
        <w:rPr>
          <w:rFonts w:ascii="Arial" w:hAnsi="Arial"/>
          <w:i/>
          <w:sz w:val="20"/>
        </w:rPr>
        <w:t>Gysbrechts and Santerel Inter</w:t>
      </w:r>
      <w:r>
        <w:rPr>
          <w:rFonts w:ascii="Arial" w:hAnsi="Arial"/>
          <w:i/>
          <w:spacing w:val="40"/>
          <w:sz w:val="20"/>
        </w:rPr>
        <w:t> </w:t>
      </w:r>
      <w:r>
        <w:rPr>
          <w:rFonts w:ascii="Arial" w:hAnsi="Arial"/>
          <w:i/>
          <w:sz w:val="20"/>
        </w:rPr>
        <w:t>BVBA</w:t>
      </w:r>
      <w:r>
        <w:rPr>
          <w:rFonts w:ascii="Arial" w:hAnsi="Arial"/>
          <w:i/>
          <w:spacing w:val="40"/>
          <w:sz w:val="20"/>
        </w:rPr>
        <w:t> </w:t>
      </w:r>
      <w:r>
        <w:rPr>
          <w:rFonts w:ascii="Arial" w:hAnsi="Arial"/>
          <w:i/>
          <w:sz w:val="20"/>
        </w:rPr>
        <w:t>(C-205/07)</w:t>
      </w:r>
      <w:r>
        <w:rPr>
          <w:rFonts w:ascii="Arial" w:hAnsi="Arial"/>
          <w:i/>
          <w:spacing w:val="40"/>
          <w:sz w:val="20"/>
        </w:rPr>
        <w:t> </w:t>
      </w:r>
      <w:r>
        <w:rPr>
          <w:rFonts w:ascii="Arial" w:hAnsi="Arial"/>
          <w:i/>
          <w:sz w:val="20"/>
        </w:rPr>
        <w:t>[2009]</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C.M.L.R.</w:t>
      </w:r>
      <w:r>
        <w:rPr>
          <w:rFonts w:ascii="Arial" w:hAnsi="Arial"/>
          <w:i/>
          <w:spacing w:val="40"/>
          <w:sz w:val="20"/>
        </w:rPr>
        <w:t> </w:t>
      </w:r>
      <w:r>
        <w:rPr>
          <w:rFonts w:ascii="Arial" w:hAnsi="Arial"/>
          <w:i/>
          <w:sz w:val="20"/>
        </w:rPr>
        <w:t>45</w:t>
      </w:r>
      <w:r>
        <w:rPr>
          <w:sz w:val="20"/>
        </w:rPr>
        <w:t>;</w:t>
      </w:r>
      <w:r>
        <w:rPr>
          <w:spacing w:val="40"/>
          <w:sz w:val="20"/>
        </w:rPr>
        <w:t> </w:t>
      </w:r>
      <w:r>
        <w:rPr>
          <w:rFonts w:ascii="Arial" w:hAnsi="Arial"/>
          <w:i/>
          <w:sz w:val="20"/>
        </w:rPr>
        <w:t>Electrosteel</w:t>
      </w:r>
      <w:r>
        <w:rPr>
          <w:rFonts w:ascii="Arial" w:hAnsi="Arial"/>
          <w:i/>
          <w:spacing w:val="40"/>
          <w:sz w:val="20"/>
        </w:rPr>
        <w:t> </w:t>
      </w:r>
      <w:r>
        <w:rPr>
          <w:rFonts w:ascii="Arial" w:hAnsi="Arial"/>
          <w:i/>
          <w:sz w:val="20"/>
        </w:rPr>
        <w:t>Europe</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Edil</w:t>
      </w:r>
      <w:r>
        <w:rPr>
          <w:rFonts w:ascii="Arial" w:hAnsi="Arial"/>
          <w:i/>
          <w:spacing w:val="40"/>
          <w:sz w:val="20"/>
        </w:rPr>
        <w:t> </w:t>
      </w:r>
      <w:r>
        <w:rPr>
          <w:rFonts w:ascii="Arial" w:hAnsi="Arial"/>
          <w:i/>
          <w:sz w:val="20"/>
        </w:rPr>
        <w:t>Centro</w:t>
      </w:r>
      <w:r>
        <w:rPr>
          <w:rFonts w:ascii="Arial" w:hAnsi="Arial"/>
          <w:i/>
          <w:spacing w:val="40"/>
          <w:sz w:val="20"/>
        </w:rPr>
        <w:t> </w:t>
      </w:r>
      <w:r>
        <w:rPr>
          <w:rFonts w:ascii="Arial" w:hAnsi="Arial"/>
          <w:i/>
          <w:sz w:val="20"/>
        </w:rPr>
        <w:t>SpA (C-87/10) [2011] I.L.Pr. 28</w:t>
      </w:r>
      <w:r>
        <w:rPr>
          <w:sz w:val="20"/>
        </w:rPr>
        <w:t>; </w:t>
      </w:r>
      <w:r>
        <w:rPr>
          <w:rFonts w:ascii="Arial" w:hAnsi="Arial"/>
          <w:i/>
          <w:sz w:val="20"/>
        </w:rPr>
        <w:t>Muhlleitner v Yusufi (C-190/11) [2012] I.L.Pr. 46</w:t>
      </w:r>
      <w:r>
        <w:rPr>
          <w:sz w:val="20"/>
        </w:rPr>
        <w:t>; Proposal for a Regulation of the European Parliament and of the Council on a Common European Sales Law COM(2011) 635 final. This proposal was withdrawn on December 16, 2014: COM(2014) </w:t>
      </w:r>
      <w:r>
        <w:rPr>
          <w:sz w:val="20"/>
        </w:rPr>
        <w:t>910 final. See also </w:t>
      </w:r>
      <w:r>
        <w:rPr>
          <w:rFonts w:ascii="Arial" w:hAnsi="Arial"/>
          <w:i/>
          <w:sz w:val="20"/>
        </w:rPr>
        <w:t>Deutsche Bank (Suisse) SA v Khan [2013] EWHC 482 (Comm)</w:t>
      </w:r>
      <w:r>
        <w:rPr>
          <w:sz w:val="20"/>
        </w:rPr>
        <w:t>; </w:t>
      </w:r>
      <w:r>
        <w:rPr>
          <w:rFonts w:ascii="Arial" w:hAnsi="Arial"/>
          <w:i/>
          <w:sz w:val="20"/>
        </w:rPr>
        <w:t>Refcomp SpA v Axa Corporate Solutions Assurance SA (C-543/10) [2013] 1 Lloyd’s Rep.449</w:t>
      </w:r>
      <w:r>
        <w:rPr>
          <w:sz w:val="20"/>
        </w:rPr>
        <w:t>.</w:t>
      </w:r>
    </w:p>
    <w:p>
      <w:pPr>
        <w:pStyle w:val="BodyText"/>
        <w:spacing w:before="9"/>
        <w:rPr>
          <w:sz w:val="11"/>
        </w:rPr>
      </w:pPr>
    </w:p>
    <w:p>
      <w:pPr>
        <w:pStyle w:val="BodyText"/>
        <w:spacing w:after="0"/>
        <w:rPr>
          <w:sz w:val="11"/>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0144">
            <wp:simplePos x="0" y="0"/>
            <wp:positionH relativeFrom="page">
              <wp:posOffset>1257846</wp:posOffset>
            </wp:positionH>
            <wp:positionV relativeFrom="paragraph">
              <wp:posOffset>160756</wp:posOffset>
            </wp:positionV>
            <wp:extent cx="107988" cy="107988"/>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56" w:id="1058"/>
      <w:bookmarkEnd w:id="1058"/>
      <w:r>
        <w:rPr/>
      </w:r>
      <w:hyperlink w:history="true" w:anchor="_bookmark930">
        <w:r>
          <w:rPr>
            <w:color w:val="005DA1"/>
            <w:spacing w:val="-4"/>
            <w:sz w:val="14"/>
            <w:u w:val="single" w:color="005DA1"/>
          </w:rPr>
          <w:t>520</w:t>
        </w:r>
      </w:hyperlink>
      <w:r>
        <w:rPr>
          <w:spacing w:val="-4"/>
          <w:sz w:val="14"/>
        </w:rPr>
        <w:t>.</w:t>
      </w:r>
    </w:p>
    <w:p>
      <w:pPr>
        <w:spacing w:line="235" w:lineRule="auto" w:before="213"/>
        <w:ind w:left="165" w:right="167" w:firstLine="170"/>
        <w:jc w:val="both"/>
        <w:rPr>
          <w:rFonts w:ascii="Arial"/>
          <w:i/>
          <w:sz w:val="20"/>
        </w:rPr>
      </w:pPr>
      <w:r>
        <w:rPr/>
        <w:br w:type="column"/>
      </w:r>
      <w:r>
        <w:rPr>
          <w:sz w:val="20"/>
        </w:rPr>
        <w:t>SI 1999/2083, as amended by SI 2001/1186, revoking and replacing Unfair Terms in Consumer Contracts Regulations 1994 (SI 1994/3159). For the Directive see [1993] </w:t>
      </w:r>
      <w:r>
        <w:rPr>
          <w:sz w:val="20"/>
        </w:rPr>
        <w:t>O.J. L95/29.</w:t>
      </w:r>
      <w:r>
        <w:rPr>
          <w:spacing w:val="75"/>
          <w:sz w:val="20"/>
        </w:rPr>
        <w:t> </w:t>
      </w:r>
      <w:r>
        <w:rPr>
          <w:sz w:val="20"/>
        </w:rPr>
        <w:t>See</w:t>
      </w:r>
      <w:r>
        <w:rPr>
          <w:spacing w:val="75"/>
          <w:sz w:val="20"/>
        </w:rPr>
        <w:t> </w:t>
      </w:r>
      <w:r>
        <w:rPr>
          <w:sz w:val="20"/>
        </w:rPr>
        <w:t>also</w:t>
      </w:r>
      <w:r>
        <w:rPr>
          <w:spacing w:val="75"/>
          <w:sz w:val="20"/>
        </w:rPr>
        <w:t> </w:t>
      </w:r>
      <w:r>
        <w:rPr>
          <w:rFonts w:ascii="Arial"/>
          <w:i/>
          <w:sz w:val="20"/>
        </w:rPr>
        <w:t>Oceano</w:t>
      </w:r>
      <w:r>
        <w:rPr>
          <w:rFonts w:ascii="Arial"/>
          <w:i/>
          <w:spacing w:val="75"/>
          <w:sz w:val="20"/>
        </w:rPr>
        <w:t> </w:t>
      </w:r>
      <w:r>
        <w:rPr>
          <w:rFonts w:ascii="Arial"/>
          <w:i/>
          <w:sz w:val="20"/>
        </w:rPr>
        <w:t>Grupo</w:t>
      </w:r>
      <w:r>
        <w:rPr>
          <w:rFonts w:ascii="Arial"/>
          <w:i/>
          <w:spacing w:val="75"/>
          <w:sz w:val="20"/>
        </w:rPr>
        <w:t> </w:t>
      </w:r>
      <w:r>
        <w:rPr>
          <w:rFonts w:ascii="Arial"/>
          <w:i/>
          <w:sz w:val="20"/>
        </w:rPr>
        <w:t>Editorial</w:t>
      </w:r>
      <w:r>
        <w:rPr>
          <w:rFonts w:ascii="Arial"/>
          <w:i/>
          <w:spacing w:val="75"/>
          <w:sz w:val="20"/>
        </w:rPr>
        <w:t> </w:t>
      </w:r>
      <w:r>
        <w:rPr>
          <w:rFonts w:ascii="Arial"/>
          <w:i/>
          <w:sz w:val="20"/>
        </w:rPr>
        <w:t>SA</w:t>
      </w:r>
      <w:r>
        <w:rPr>
          <w:rFonts w:ascii="Arial"/>
          <w:i/>
          <w:spacing w:val="75"/>
          <w:sz w:val="20"/>
        </w:rPr>
        <w:t> </w:t>
      </w:r>
      <w:r>
        <w:rPr>
          <w:rFonts w:ascii="Arial"/>
          <w:i/>
          <w:sz w:val="20"/>
        </w:rPr>
        <w:t>v</w:t>
      </w:r>
      <w:r>
        <w:rPr>
          <w:rFonts w:ascii="Arial"/>
          <w:i/>
          <w:spacing w:val="75"/>
          <w:sz w:val="20"/>
        </w:rPr>
        <w:t> </w:t>
      </w:r>
      <w:r>
        <w:rPr>
          <w:rFonts w:ascii="Arial"/>
          <w:i/>
          <w:sz w:val="20"/>
        </w:rPr>
        <w:t>Rocio</w:t>
      </w:r>
      <w:r>
        <w:rPr>
          <w:rFonts w:ascii="Arial"/>
          <w:i/>
          <w:spacing w:val="75"/>
          <w:sz w:val="20"/>
        </w:rPr>
        <w:t> </w:t>
      </w:r>
      <w:r>
        <w:rPr>
          <w:rFonts w:ascii="Arial"/>
          <w:i/>
          <w:sz w:val="20"/>
        </w:rPr>
        <w:t>Murciano</w:t>
      </w:r>
      <w:r>
        <w:rPr>
          <w:rFonts w:ascii="Arial"/>
          <w:i/>
          <w:spacing w:val="75"/>
          <w:sz w:val="20"/>
        </w:rPr>
        <w:t> </w:t>
      </w:r>
      <w:r>
        <w:rPr>
          <w:rFonts w:ascii="Arial"/>
          <w:i/>
          <w:sz w:val="20"/>
        </w:rPr>
        <w:t>Quintero</w:t>
      </w:r>
      <w:r>
        <w:rPr>
          <w:rFonts w:ascii="Arial"/>
          <w:i/>
          <w:spacing w:val="75"/>
          <w:sz w:val="20"/>
        </w:rPr>
        <w:t> </w:t>
      </w:r>
      <w:r>
        <w:rPr>
          <w:rFonts w:ascii="Arial"/>
          <w:i/>
          <w:sz w:val="20"/>
        </w:rPr>
        <w:t>(C-241/98</w:t>
      </w:r>
      <w:r>
        <w:rPr>
          <w:rFonts w:ascii="Arial"/>
          <w:i/>
          <w:spacing w:val="75"/>
          <w:sz w:val="20"/>
        </w:rPr>
        <w:t> </w:t>
      </w:r>
      <w:r>
        <w:rPr>
          <w:rFonts w:ascii="Arial"/>
          <w:i/>
          <w:spacing w:val="-5"/>
          <w:sz w:val="20"/>
        </w:rPr>
        <w:t>to</w:t>
      </w:r>
    </w:p>
    <w:p>
      <w:pPr>
        <w:spacing w:after="0" w:line="235" w:lineRule="auto"/>
        <w:jc w:val="both"/>
        <w:rPr>
          <w:rFonts w:ascii="Arial"/>
          <w:i/>
          <w:sz w:val="20"/>
        </w:rPr>
        <w:sectPr>
          <w:type w:val="continuous"/>
          <w:pgSz w:w="11900" w:h="16840"/>
          <w:pgMar w:header="971" w:footer="0" w:top="1300" w:bottom="280" w:left="1275" w:right="1275"/>
          <w:cols w:num="2" w:equalWidth="0">
            <w:col w:w="478" w:space="63"/>
            <w:col w:w="8809"/>
          </w:cols>
        </w:sectPr>
      </w:pPr>
    </w:p>
    <w:p>
      <w:pPr>
        <w:spacing w:line="227" w:lineRule="exact" w:before="106"/>
        <w:ind w:left="705" w:right="0" w:firstLine="0"/>
        <w:jc w:val="left"/>
        <w:rPr>
          <w:rFonts w:ascii="Arial"/>
          <w:i/>
          <w:sz w:val="20"/>
        </w:rPr>
      </w:pPr>
      <w:r>
        <w:rPr>
          <w:rFonts w:ascii="Arial"/>
          <w:i/>
          <w:sz w:val="20"/>
        </w:rPr>
        <w:t>C-244/98)</w:t>
      </w:r>
      <w:r>
        <w:rPr>
          <w:rFonts w:ascii="Arial"/>
          <w:i/>
          <w:spacing w:val="25"/>
          <w:sz w:val="20"/>
        </w:rPr>
        <w:t> </w:t>
      </w:r>
      <w:r>
        <w:rPr>
          <w:rFonts w:ascii="Arial"/>
          <w:i/>
          <w:sz w:val="20"/>
        </w:rPr>
        <w:t>[2000]</w:t>
      </w:r>
      <w:r>
        <w:rPr>
          <w:rFonts w:ascii="Arial"/>
          <w:i/>
          <w:spacing w:val="26"/>
          <w:sz w:val="20"/>
        </w:rPr>
        <w:t> </w:t>
      </w:r>
      <w:r>
        <w:rPr>
          <w:rFonts w:ascii="Arial"/>
          <w:i/>
          <w:sz w:val="20"/>
        </w:rPr>
        <w:t>E.C.R.</w:t>
      </w:r>
      <w:r>
        <w:rPr>
          <w:rFonts w:ascii="Arial"/>
          <w:i/>
          <w:spacing w:val="26"/>
          <w:sz w:val="20"/>
        </w:rPr>
        <w:t> </w:t>
      </w:r>
      <w:r>
        <w:rPr>
          <w:rFonts w:ascii="Arial"/>
          <w:i/>
          <w:sz w:val="20"/>
        </w:rPr>
        <w:t>4941</w:t>
      </w:r>
      <w:r>
        <w:rPr>
          <w:sz w:val="20"/>
        </w:rPr>
        <w:t>;</w:t>
      </w:r>
      <w:r>
        <w:rPr>
          <w:spacing w:val="26"/>
          <w:sz w:val="20"/>
        </w:rPr>
        <w:t> </w:t>
      </w:r>
      <w:r>
        <w:rPr>
          <w:rFonts w:ascii="Arial"/>
          <w:i/>
          <w:sz w:val="20"/>
        </w:rPr>
        <w:t>Mostaza</w:t>
      </w:r>
      <w:r>
        <w:rPr>
          <w:rFonts w:ascii="Arial"/>
          <w:i/>
          <w:spacing w:val="26"/>
          <w:sz w:val="20"/>
        </w:rPr>
        <w:t> </w:t>
      </w:r>
      <w:r>
        <w:rPr>
          <w:rFonts w:ascii="Arial"/>
          <w:i/>
          <w:sz w:val="20"/>
        </w:rPr>
        <w:t>Claro</w:t>
      </w:r>
      <w:r>
        <w:rPr>
          <w:rFonts w:ascii="Arial"/>
          <w:i/>
          <w:spacing w:val="26"/>
          <w:sz w:val="20"/>
        </w:rPr>
        <w:t> </w:t>
      </w:r>
      <w:r>
        <w:rPr>
          <w:rFonts w:ascii="Arial"/>
          <w:i/>
          <w:sz w:val="20"/>
        </w:rPr>
        <w:t>v</w:t>
      </w:r>
      <w:r>
        <w:rPr>
          <w:rFonts w:ascii="Arial"/>
          <w:i/>
          <w:spacing w:val="26"/>
          <w:sz w:val="20"/>
        </w:rPr>
        <w:t> </w:t>
      </w:r>
      <w:r>
        <w:rPr>
          <w:rFonts w:ascii="Arial"/>
          <w:i/>
          <w:sz w:val="20"/>
        </w:rPr>
        <w:t>Centro</w:t>
      </w:r>
      <w:r>
        <w:rPr>
          <w:rFonts w:ascii="Arial"/>
          <w:i/>
          <w:spacing w:val="26"/>
          <w:sz w:val="20"/>
        </w:rPr>
        <w:t> </w:t>
      </w:r>
      <w:r>
        <w:rPr>
          <w:rFonts w:ascii="Arial"/>
          <w:i/>
          <w:sz w:val="20"/>
        </w:rPr>
        <w:t>Movil</w:t>
      </w:r>
      <w:r>
        <w:rPr>
          <w:rFonts w:ascii="Arial"/>
          <w:i/>
          <w:spacing w:val="26"/>
          <w:sz w:val="20"/>
        </w:rPr>
        <w:t> </w:t>
      </w:r>
      <w:r>
        <w:rPr>
          <w:rFonts w:ascii="Arial"/>
          <w:i/>
          <w:sz w:val="20"/>
        </w:rPr>
        <w:t>Milenium</w:t>
      </w:r>
      <w:r>
        <w:rPr>
          <w:rFonts w:ascii="Arial"/>
          <w:i/>
          <w:spacing w:val="26"/>
          <w:sz w:val="20"/>
        </w:rPr>
        <w:t> </w:t>
      </w:r>
      <w:r>
        <w:rPr>
          <w:rFonts w:ascii="Arial"/>
          <w:i/>
          <w:sz w:val="20"/>
        </w:rPr>
        <w:t>SL</w:t>
      </w:r>
      <w:r>
        <w:rPr>
          <w:rFonts w:ascii="Arial"/>
          <w:i/>
          <w:spacing w:val="26"/>
          <w:sz w:val="20"/>
        </w:rPr>
        <w:t> </w:t>
      </w:r>
      <w:r>
        <w:rPr>
          <w:rFonts w:ascii="Arial"/>
          <w:i/>
          <w:sz w:val="20"/>
        </w:rPr>
        <w:t>(C-168/05)</w:t>
      </w:r>
      <w:r>
        <w:rPr>
          <w:rFonts w:ascii="Arial"/>
          <w:i/>
          <w:spacing w:val="26"/>
          <w:sz w:val="20"/>
        </w:rPr>
        <w:t> </w:t>
      </w:r>
      <w:r>
        <w:rPr>
          <w:rFonts w:ascii="Arial"/>
          <w:i/>
          <w:spacing w:val="-2"/>
          <w:sz w:val="20"/>
        </w:rPr>
        <w:t>[2006]</w:t>
      </w:r>
    </w:p>
    <w:p>
      <w:pPr>
        <w:spacing w:line="235" w:lineRule="auto" w:before="2"/>
        <w:ind w:left="705" w:right="167" w:firstLine="0"/>
        <w:jc w:val="both"/>
        <w:rPr>
          <w:sz w:val="20"/>
        </w:rPr>
      </w:pPr>
      <w:r>
        <w:rPr>
          <w:rFonts w:ascii="Arial" w:hAnsi="Arial"/>
          <w:i/>
          <w:sz w:val="20"/>
        </w:rPr>
        <w:t>E.C.R. I–10421</w:t>
      </w:r>
      <w:r>
        <w:rPr>
          <w:sz w:val="20"/>
        </w:rPr>
        <w:t>; </w:t>
      </w:r>
      <w:r>
        <w:rPr>
          <w:rFonts w:ascii="Arial" w:hAnsi="Arial"/>
          <w:i/>
          <w:sz w:val="20"/>
        </w:rPr>
        <w:t>Standard Bank London Ltd v Apostolakis [2002] C.L.C. 939</w:t>
      </w:r>
      <w:r>
        <w:rPr>
          <w:sz w:val="20"/>
        </w:rPr>
        <w:t>. For contracts entered into after October 1, 2015, the Unfair Terms in Consumer Contracts Regulations </w:t>
      </w:r>
      <w:r>
        <w:rPr>
          <w:sz w:val="20"/>
        </w:rPr>
        <w:t>1999 are replaced by the Consumer Rights Act 2015.</w:t>
      </w:r>
    </w:p>
    <w:p>
      <w:pPr>
        <w:pStyle w:val="BodyText"/>
        <w:spacing w:before="8"/>
      </w:pPr>
    </w:p>
    <w:p>
      <w:pPr>
        <w:spacing w:line="235" w:lineRule="auto" w:before="1"/>
        <w:ind w:left="705" w:right="167" w:hanging="541"/>
        <w:jc w:val="both"/>
        <w:rPr>
          <w:sz w:val="20"/>
        </w:rPr>
      </w:pPr>
      <w:bookmarkStart w:name="_bookmark1057" w:id="1059"/>
      <w:bookmarkEnd w:id="1059"/>
      <w:r>
        <w:rPr/>
      </w:r>
      <w:hyperlink w:history="true" w:anchor="_bookmark931">
        <w:r>
          <w:rPr>
            <w:color w:val="005DA1"/>
            <w:position w:val="5"/>
            <w:sz w:val="14"/>
            <w:u w:val="single" w:color="005DA1"/>
          </w:rPr>
          <w:t>521</w:t>
        </w:r>
      </w:hyperlink>
      <w:r>
        <w:rPr>
          <w:position w:val="5"/>
          <w:sz w:val="14"/>
        </w:rPr>
        <w:t>.</w:t>
      </w:r>
      <w:r>
        <w:rPr>
          <w:spacing w:val="40"/>
          <w:position w:val="5"/>
          <w:sz w:val="14"/>
        </w:rPr>
        <w:t>  </w:t>
      </w:r>
      <w:r>
        <w:rPr>
          <w:sz w:val="20"/>
        </w:rPr>
        <w:t>reg.9. For detailed discussion of this formula, see Benjamin’s Sale of Goods, 9th edn (2014), paras</w:t>
      </w:r>
      <w:r>
        <w:rPr>
          <w:spacing w:val="40"/>
          <w:sz w:val="20"/>
        </w:rPr>
        <w:t> </w:t>
      </w:r>
      <w:r>
        <w:rPr>
          <w:sz w:val="20"/>
        </w:rPr>
        <w:t>26–114</w:t>
      </w:r>
      <w:r>
        <w:rPr>
          <w:spacing w:val="40"/>
          <w:sz w:val="20"/>
        </w:rPr>
        <w:t> </w:t>
      </w:r>
      <w:r>
        <w:rPr>
          <w:sz w:val="20"/>
        </w:rPr>
        <w:t>et</w:t>
      </w:r>
      <w:r>
        <w:rPr>
          <w:spacing w:val="40"/>
          <w:sz w:val="20"/>
        </w:rPr>
        <w:t> </w:t>
      </w:r>
      <w:r>
        <w:rPr>
          <w:sz w:val="20"/>
        </w:rPr>
        <w:t>seq.</w:t>
      </w:r>
      <w:r>
        <w:rPr>
          <w:spacing w:val="40"/>
          <w:sz w:val="20"/>
        </w:rPr>
        <w:t> </w:t>
      </w:r>
      <w:r>
        <w:rPr>
          <w:sz w:val="20"/>
        </w:rPr>
        <w:t>In</w:t>
      </w:r>
      <w:r>
        <w:rPr>
          <w:spacing w:val="40"/>
          <w:sz w:val="20"/>
        </w:rPr>
        <w:t> </w:t>
      </w:r>
      <w:r>
        <w:rPr>
          <w:rFonts w:ascii="Arial" w:hAnsi="Arial"/>
          <w:i/>
          <w:sz w:val="20"/>
        </w:rPr>
        <w:t>Commission</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the</w:t>
      </w:r>
      <w:r>
        <w:rPr>
          <w:rFonts w:ascii="Arial" w:hAnsi="Arial"/>
          <w:i/>
          <w:spacing w:val="40"/>
          <w:sz w:val="20"/>
        </w:rPr>
        <w:t> </w:t>
      </w:r>
      <w:r>
        <w:rPr>
          <w:rFonts w:ascii="Arial" w:hAnsi="Arial"/>
          <w:i/>
          <w:sz w:val="20"/>
        </w:rPr>
        <w:t>European</w:t>
      </w:r>
      <w:r>
        <w:rPr>
          <w:rFonts w:ascii="Arial" w:hAnsi="Arial"/>
          <w:i/>
          <w:spacing w:val="40"/>
          <w:sz w:val="20"/>
        </w:rPr>
        <w:t> </w:t>
      </w:r>
      <w:r>
        <w:rPr>
          <w:rFonts w:ascii="Arial" w:hAnsi="Arial"/>
          <w:i/>
          <w:sz w:val="20"/>
        </w:rPr>
        <w:t>Communities</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Kingdom</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Spain (C-70/03) [2004] E.C.R. I–7999 </w:t>
      </w:r>
      <w:r>
        <w:rPr>
          <w:sz w:val="20"/>
        </w:rPr>
        <w:t>the European Court found that Spain had not properly transposed the antiavoidance provision of the Directive into national law.</w:t>
      </w:r>
    </w:p>
    <w:p>
      <w:pPr>
        <w:pStyle w:val="BodyText"/>
        <w:spacing w:before="4"/>
      </w:pPr>
    </w:p>
    <w:p>
      <w:pPr>
        <w:pStyle w:val="BodyText"/>
        <w:tabs>
          <w:tab w:pos="705" w:val="left" w:leader="none"/>
        </w:tabs>
        <w:ind w:left="165"/>
      </w:pPr>
      <w:bookmarkStart w:name="_bookmark1058" w:id="1060"/>
      <w:bookmarkEnd w:id="1060"/>
      <w:r>
        <w:rPr/>
      </w:r>
      <w:hyperlink w:history="true" w:anchor="_bookmark932">
        <w:r>
          <w:rPr>
            <w:color w:val="005DA1"/>
            <w:spacing w:val="-4"/>
            <w:position w:val="5"/>
            <w:sz w:val="14"/>
            <w:u w:val="single" w:color="005DA1"/>
          </w:rPr>
          <w:t>522</w:t>
        </w:r>
      </w:hyperlink>
      <w:r>
        <w:rPr>
          <w:spacing w:val="-4"/>
          <w:position w:val="5"/>
          <w:sz w:val="14"/>
        </w:rPr>
        <w:t>.</w:t>
      </w:r>
      <w:r>
        <w:rPr>
          <w:position w:val="5"/>
          <w:sz w:val="14"/>
        </w:rPr>
        <w:tab/>
      </w:r>
      <w:r>
        <w:rPr/>
        <w:t>SI 2000/2334, as amended by SI </w:t>
      </w:r>
      <w:r>
        <w:rPr>
          <w:spacing w:val="-2"/>
        </w:rPr>
        <w:t>2005/689.</w:t>
      </w:r>
    </w:p>
    <w:p>
      <w:pPr>
        <w:pStyle w:val="BodyText"/>
        <w:spacing w:before="5"/>
      </w:pPr>
    </w:p>
    <w:p>
      <w:pPr>
        <w:pStyle w:val="BodyText"/>
        <w:tabs>
          <w:tab w:pos="705" w:val="left" w:leader="none"/>
        </w:tabs>
        <w:ind w:left="165"/>
      </w:pPr>
      <w:bookmarkStart w:name="_bookmark1059" w:id="1061"/>
      <w:bookmarkEnd w:id="1061"/>
      <w:r>
        <w:rPr/>
      </w:r>
      <w:hyperlink w:history="true" w:anchor="_bookmark933">
        <w:r>
          <w:rPr>
            <w:color w:val="005DA1"/>
            <w:spacing w:val="-4"/>
            <w:position w:val="5"/>
            <w:sz w:val="14"/>
            <w:u w:val="single" w:color="005DA1"/>
          </w:rPr>
          <w:t>523</w:t>
        </w:r>
      </w:hyperlink>
      <w:r>
        <w:rPr>
          <w:spacing w:val="-4"/>
          <w:position w:val="5"/>
          <w:sz w:val="14"/>
        </w:rPr>
        <w:t>.</w:t>
      </w:r>
      <w:r>
        <w:rPr>
          <w:position w:val="5"/>
          <w:sz w:val="14"/>
        </w:rPr>
        <w:tab/>
      </w:r>
      <w:r>
        <w:rPr/>
        <w:t>Directive on the protection of consumers in respect of distance contracts [1997] O.J. </w:t>
      </w:r>
      <w:r>
        <w:rPr>
          <w:spacing w:val="-2"/>
        </w:rPr>
        <w:t>L144/19.</w:t>
      </w:r>
    </w:p>
    <w:p>
      <w:pPr>
        <w:pStyle w:val="BodyText"/>
        <w:spacing w:before="9"/>
      </w:pPr>
    </w:p>
    <w:p>
      <w:pPr>
        <w:pStyle w:val="BodyText"/>
        <w:tabs>
          <w:tab w:pos="705" w:val="left" w:leader="none"/>
        </w:tabs>
        <w:spacing w:line="235" w:lineRule="auto"/>
        <w:ind w:left="705" w:right="168" w:hanging="541"/>
      </w:pPr>
      <w:bookmarkStart w:name="_bookmark1060" w:id="1062"/>
      <w:bookmarkEnd w:id="1062"/>
      <w:r>
        <w:rPr/>
      </w:r>
      <w:hyperlink w:history="true" w:anchor="_bookmark934">
        <w:r>
          <w:rPr>
            <w:color w:val="005DA1"/>
            <w:spacing w:val="-4"/>
            <w:position w:val="5"/>
            <w:sz w:val="14"/>
            <w:u w:val="single" w:color="005DA1"/>
          </w:rPr>
          <w:t>524</w:t>
        </w:r>
      </w:hyperlink>
      <w:r>
        <w:rPr>
          <w:spacing w:val="-4"/>
          <w:position w:val="5"/>
          <w:sz w:val="14"/>
        </w:rPr>
        <w:t>.</w:t>
      </w:r>
      <w:r>
        <w:rPr>
          <w:position w:val="5"/>
          <w:sz w:val="14"/>
        </w:rPr>
        <w:tab/>
      </w:r>
      <w:r>
        <w:rPr/>
        <w:t>reg.25(5).</w:t>
      </w:r>
      <w:r>
        <w:rPr>
          <w:spacing w:val="40"/>
        </w:rPr>
        <w:t> </w:t>
      </w:r>
      <w:r>
        <w:rPr/>
        <w:t>For</w:t>
      </w:r>
      <w:r>
        <w:rPr>
          <w:spacing w:val="40"/>
        </w:rPr>
        <w:t> </w:t>
      </w:r>
      <w:r>
        <w:rPr/>
        <w:t>detailed</w:t>
      </w:r>
      <w:r>
        <w:rPr>
          <w:spacing w:val="40"/>
        </w:rPr>
        <w:t> </w:t>
      </w:r>
      <w:r>
        <w:rPr/>
        <w:t>discussion</w:t>
      </w:r>
      <w:r>
        <w:rPr>
          <w:spacing w:val="40"/>
        </w:rPr>
        <w:t> </w:t>
      </w:r>
      <w:r>
        <w:rPr/>
        <w:t>of</w:t>
      </w:r>
      <w:r>
        <w:rPr>
          <w:spacing w:val="40"/>
        </w:rPr>
        <w:t> </w:t>
      </w:r>
      <w:r>
        <w:rPr/>
        <w:t>this</w:t>
      </w:r>
      <w:r>
        <w:rPr>
          <w:spacing w:val="40"/>
        </w:rPr>
        <w:t> </w:t>
      </w:r>
      <w:r>
        <w:rPr/>
        <w:t>formula,</w:t>
      </w:r>
      <w:r>
        <w:rPr>
          <w:spacing w:val="40"/>
        </w:rPr>
        <w:t> </w:t>
      </w:r>
      <w:r>
        <w:rPr/>
        <w:t>see</w:t>
      </w:r>
      <w:r>
        <w:rPr>
          <w:spacing w:val="40"/>
        </w:rPr>
        <w:t> </w:t>
      </w:r>
      <w:r>
        <w:rPr/>
        <w:t>Benjamin’s</w:t>
      </w:r>
      <w:r>
        <w:rPr>
          <w:spacing w:val="40"/>
        </w:rPr>
        <w:t> </w:t>
      </w:r>
      <w:r>
        <w:rPr/>
        <w:t>Sale</w:t>
      </w:r>
      <w:r>
        <w:rPr>
          <w:spacing w:val="40"/>
        </w:rPr>
        <w:t> </w:t>
      </w:r>
      <w:r>
        <w:rPr/>
        <w:t>of</w:t>
      </w:r>
      <w:r>
        <w:rPr>
          <w:spacing w:val="40"/>
        </w:rPr>
        <w:t> </w:t>
      </w:r>
      <w:r>
        <w:rPr/>
        <w:t>Goods,</w:t>
      </w:r>
      <w:r>
        <w:rPr>
          <w:spacing w:val="40"/>
        </w:rPr>
        <w:t> </w:t>
      </w:r>
      <w:r>
        <w:rPr/>
        <w:t>9th</w:t>
      </w:r>
      <w:r>
        <w:rPr>
          <w:spacing w:val="40"/>
        </w:rPr>
        <w:t> </w:t>
      </w:r>
      <w:r>
        <w:rPr/>
        <w:t>edn (2014), paras 26–119 et seq.</w:t>
      </w:r>
    </w:p>
    <w:p>
      <w:pPr>
        <w:pStyle w:val="BodyText"/>
        <w:spacing w:before="6"/>
      </w:pPr>
    </w:p>
    <w:p>
      <w:pPr>
        <w:tabs>
          <w:tab w:pos="705" w:val="left" w:leader="none"/>
        </w:tabs>
        <w:spacing w:before="0"/>
        <w:ind w:left="165" w:right="0" w:firstLine="0"/>
        <w:jc w:val="left"/>
        <w:rPr>
          <w:sz w:val="20"/>
        </w:rPr>
      </w:pPr>
      <w:bookmarkStart w:name="_bookmark1061" w:id="1063"/>
      <w:bookmarkEnd w:id="1063"/>
      <w:r>
        <w:rPr/>
      </w:r>
      <w:hyperlink w:history="true" w:anchor="_bookmark935">
        <w:r>
          <w:rPr>
            <w:color w:val="005DA1"/>
            <w:spacing w:val="-4"/>
            <w:position w:val="5"/>
            <w:sz w:val="14"/>
            <w:u w:val="single" w:color="005DA1"/>
          </w:rPr>
          <w:t>525</w:t>
        </w:r>
      </w:hyperlink>
      <w:r>
        <w:rPr>
          <w:spacing w:val="-4"/>
          <w:position w:val="5"/>
          <w:sz w:val="14"/>
        </w:rPr>
        <w:t>.</w:t>
      </w:r>
      <w:r>
        <w:rPr>
          <w:position w:val="5"/>
          <w:sz w:val="14"/>
        </w:rPr>
        <w:tab/>
      </w:r>
      <w:r>
        <w:rPr>
          <w:sz w:val="20"/>
        </w:rPr>
        <w:t>SI </w:t>
      </w:r>
      <w:r>
        <w:rPr>
          <w:spacing w:val="-2"/>
          <w:sz w:val="20"/>
        </w:rPr>
        <w:t>2002/3045.</w:t>
      </w:r>
    </w:p>
    <w:p>
      <w:pPr>
        <w:pStyle w:val="BodyText"/>
        <w:spacing w:before="5"/>
      </w:pPr>
    </w:p>
    <w:p>
      <w:pPr>
        <w:pStyle w:val="BodyText"/>
        <w:tabs>
          <w:tab w:pos="705" w:val="left" w:leader="none"/>
        </w:tabs>
        <w:ind w:left="165"/>
      </w:pPr>
      <w:bookmarkStart w:name="_bookmark1062" w:id="1064"/>
      <w:bookmarkEnd w:id="1064"/>
      <w:r>
        <w:rPr/>
      </w:r>
      <w:hyperlink w:history="true" w:anchor="_bookmark936">
        <w:r>
          <w:rPr>
            <w:color w:val="005DA1"/>
            <w:spacing w:val="-4"/>
            <w:position w:val="5"/>
            <w:sz w:val="14"/>
            <w:u w:val="single" w:color="005DA1"/>
          </w:rPr>
          <w:t>526</w:t>
        </w:r>
      </w:hyperlink>
      <w:r>
        <w:rPr>
          <w:spacing w:val="-4"/>
          <w:position w:val="5"/>
          <w:sz w:val="14"/>
        </w:rPr>
        <w:t>.</w:t>
      </w:r>
      <w:r>
        <w:rPr>
          <w:position w:val="5"/>
          <w:sz w:val="14"/>
        </w:rPr>
        <w:tab/>
      </w:r>
      <w:r>
        <w:rPr/>
        <w:t>Directive on sale of consumer goods and associated guarantees [1999] O.J. </w:t>
      </w:r>
      <w:r>
        <w:rPr>
          <w:spacing w:val="-2"/>
        </w:rPr>
        <w:t>L171/12.</w:t>
      </w:r>
    </w:p>
    <w:p>
      <w:pPr>
        <w:pStyle w:val="BodyText"/>
        <w:spacing w:before="5"/>
      </w:pPr>
    </w:p>
    <w:p>
      <w:pPr>
        <w:pStyle w:val="BodyText"/>
        <w:tabs>
          <w:tab w:pos="705" w:val="left" w:leader="none"/>
        </w:tabs>
        <w:ind w:left="165"/>
      </w:pPr>
      <w:bookmarkStart w:name="_bookmark1063" w:id="1065"/>
      <w:bookmarkEnd w:id="1065"/>
      <w:r>
        <w:rPr/>
      </w:r>
      <w:hyperlink w:history="true" w:anchor="_bookmark937">
        <w:r>
          <w:rPr>
            <w:color w:val="005DA1"/>
            <w:spacing w:val="-4"/>
            <w:position w:val="5"/>
            <w:sz w:val="14"/>
            <w:u w:val="single" w:color="005DA1"/>
          </w:rPr>
          <w:t>527</w:t>
        </w:r>
      </w:hyperlink>
      <w:r>
        <w:rPr>
          <w:spacing w:val="-4"/>
          <w:position w:val="5"/>
          <w:sz w:val="14"/>
        </w:rPr>
        <w:t>.</w:t>
      </w:r>
      <w:r>
        <w:rPr>
          <w:position w:val="5"/>
          <w:sz w:val="14"/>
        </w:rPr>
        <w:tab/>
      </w:r>
      <w:r>
        <w:rPr/>
        <w:t>1999 Directive </w:t>
      </w:r>
      <w:r>
        <w:rPr>
          <w:spacing w:val="-2"/>
        </w:rPr>
        <w:t>art.7(2).</w:t>
      </w:r>
    </w:p>
    <w:p>
      <w:pPr>
        <w:pStyle w:val="BodyText"/>
        <w:spacing w:before="8"/>
      </w:pPr>
    </w:p>
    <w:p>
      <w:pPr>
        <w:pStyle w:val="BodyText"/>
        <w:spacing w:line="235" w:lineRule="auto" w:before="1"/>
        <w:ind w:left="705" w:right="167" w:hanging="541"/>
        <w:jc w:val="both"/>
      </w:pPr>
      <w:bookmarkStart w:name="_bookmark1064" w:id="1066"/>
      <w:bookmarkEnd w:id="1066"/>
      <w:r>
        <w:rPr/>
      </w:r>
      <w:hyperlink w:history="true" w:anchor="_bookmark938">
        <w:r>
          <w:rPr>
            <w:color w:val="005DA1"/>
            <w:position w:val="5"/>
            <w:sz w:val="14"/>
            <w:u w:val="single" w:color="005DA1"/>
          </w:rPr>
          <w:t>528</w:t>
        </w:r>
      </w:hyperlink>
      <w:r>
        <w:rPr>
          <w:position w:val="5"/>
          <w:sz w:val="14"/>
        </w:rPr>
        <w:t>.</w:t>
      </w:r>
      <w:r>
        <w:rPr>
          <w:spacing w:val="40"/>
          <w:position w:val="5"/>
          <w:sz w:val="14"/>
        </w:rPr>
        <w:t>  </w:t>
      </w:r>
      <w:r>
        <w:rPr/>
        <w:t>Unfair Contract Terms Act 1977 s.27(2). See Department of Trade and Industry, Consumer and Competition Policy Directorate, Directive 1999/44/EC of the European Parliament and of </w:t>
      </w:r>
      <w:r>
        <w:rPr/>
        <w:t>the Council of May 25, 1999 on certain aspects of the sale of consumer goods and associated guarantees, Transposition Note.</w:t>
      </w:r>
    </w:p>
    <w:p>
      <w:pPr>
        <w:pStyle w:val="BodyText"/>
        <w:spacing w:before="8"/>
      </w:pPr>
    </w:p>
    <w:p>
      <w:pPr>
        <w:pStyle w:val="BodyText"/>
        <w:spacing w:line="235" w:lineRule="auto"/>
        <w:ind w:left="705" w:right="167" w:hanging="541"/>
        <w:jc w:val="both"/>
      </w:pPr>
      <w:bookmarkStart w:name="_bookmark1065" w:id="1067"/>
      <w:bookmarkEnd w:id="1067"/>
      <w:r>
        <w:rPr/>
      </w:r>
      <w:hyperlink w:history="true" w:anchor="_bookmark939">
        <w:r>
          <w:rPr>
            <w:color w:val="005DA1"/>
            <w:position w:val="5"/>
            <w:sz w:val="14"/>
            <w:u w:val="single" w:color="005DA1"/>
          </w:rPr>
          <w:t>529</w:t>
        </w:r>
      </w:hyperlink>
      <w:r>
        <w:rPr>
          <w:position w:val="5"/>
          <w:sz w:val="14"/>
        </w:rPr>
        <w:t>.</w:t>
      </w:r>
      <w:r>
        <w:rPr>
          <w:spacing w:val="80"/>
          <w:position w:val="5"/>
          <w:sz w:val="14"/>
        </w:rPr>
        <w:t>  </w:t>
      </w:r>
      <w:r>
        <w:rPr/>
        <w:t>For the detailed argument, see Benjamin’s Sale of Goods, 9th edn (2014), paras 26–124 et</w:t>
      </w:r>
      <w:r>
        <w:rPr>
          <w:spacing w:val="40"/>
        </w:rPr>
        <w:t> </w:t>
      </w:r>
      <w:r>
        <w:rPr/>
        <w:t>seq.;</w:t>
      </w:r>
      <w:r>
        <w:rPr>
          <w:spacing w:val="26"/>
        </w:rPr>
        <w:t> </w:t>
      </w:r>
      <w:r>
        <w:rPr/>
        <w:t>and</w:t>
      </w:r>
      <w:r>
        <w:rPr>
          <w:spacing w:val="26"/>
        </w:rPr>
        <w:t> </w:t>
      </w:r>
      <w:r>
        <w:rPr/>
        <w:t>see</w:t>
      </w:r>
      <w:r>
        <w:rPr>
          <w:spacing w:val="26"/>
        </w:rPr>
        <w:t> </w:t>
      </w:r>
      <w:r>
        <w:rPr/>
        <w:t>Law</w:t>
      </w:r>
      <w:r>
        <w:rPr>
          <w:spacing w:val="26"/>
        </w:rPr>
        <w:t> </w:t>
      </w:r>
      <w:r>
        <w:rPr/>
        <w:t>Commission,</w:t>
      </w:r>
      <w:r>
        <w:rPr>
          <w:spacing w:val="26"/>
        </w:rPr>
        <w:t> </w:t>
      </w:r>
      <w:r>
        <w:rPr/>
        <w:t>Unfair</w:t>
      </w:r>
      <w:r>
        <w:rPr>
          <w:spacing w:val="26"/>
        </w:rPr>
        <w:t> </w:t>
      </w:r>
      <w:r>
        <w:rPr/>
        <w:t>Terms</w:t>
      </w:r>
      <w:r>
        <w:rPr>
          <w:spacing w:val="26"/>
        </w:rPr>
        <w:t> </w:t>
      </w:r>
      <w:r>
        <w:rPr/>
        <w:t>in</w:t>
      </w:r>
      <w:r>
        <w:rPr>
          <w:spacing w:val="26"/>
        </w:rPr>
        <w:t> </w:t>
      </w:r>
      <w:r>
        <w:rPr/>
        <w:t>Contracts</w:t>
      </w:r>
      <w:r>
        <w:rPr>
          <w:spacing w:val="26"/>
        </w:rPr>
        <w:t> </w:t>
      </w:r>
      <w:r>
        <w:rPr/>
        <w:t>(Law</w:t>
      </w:r>
      <w:r>
        <w:rPr>
          <w:spacing w:val="26"/>
        </w:rPr>
        <w:t> </w:t>
      </w:r>
      <w:r>
        <w:rPr/>
        <w:t>Com.</w:t>
      </w:r>
      <w:r>
        <w:rPr>
          <w:spacing w:val="26"/>
        </w:rPr>
        <w:t> </w:t>
      </w:r>
      <w:r>
        <w:rPr/>
        <w:t>No.292,</w:t>
      </w:r>
      <w:r>
        <w:rPr>
          <w:spacing w:val="26"/>
        </w:rPr>
        <w:t> </w:t>
      </w:r>
      <w:r>
        <w:rPr/>
        <w:t>2005),</w:t>
      </w:r>
      <w:r>
        <w:rPr>
          <w:spacing w:val="26"/>
        </w:rPr>
        <w:t> </w:t>
      </w:r>
      <w:r>
        <w:rPr>
          <w:spacing w:val="-2"/>
        </w:rPr>
        <w:t>paras</w:t>
      </w:r>
    </w:p>
    <w:p>
      <w:pPr>
        <w:pStyle w:val="BodyText"/>
        <w:spacing w:line="235" w:lineRule="auto"/>
        <w:ind w:left="705" w:right="167"/>
        <w:jc w:val="both"/>
      </w:pPr>
      <w:r>
        <w:rPr/>
        <w:t>7.4–7.6. It has been argued that Unfair Contract Terms Act 1977 s.26 is in breach of the EC Treaty art.12 in that it discriminates against purchasers who are nationals of EU </w:t>
      </w:r>
      <w:r>
        <w:rPr/>
        <w:t>Member</w:t>
      </w:r>
      <w:r>
        <w:rPr>
          <w:spacing w:val="40"/>
        </w:rPr>
        <w:t> </w:t>
      </w:r>
      <w:r>
        <w:rPr/>
        <w:t>States: see Burbidge [2000] N.L.J. 1544. The section may also be in breach of arts 28 and 29</w:t>
      </w:r>
      <w:r>
        <w:rPr>
          <w:spacing w:val="40"/>
        </w:rPr>
        <w:t> </w:t>
      </w:r>
      <w:r>
        <w:rPr/>
        <w:t>of the Treaty as constituting a restriction on the free movement of goods and of art.49 as constituting a restriction on the free movement of services. See also </w:t>
      </w:r>
      <w:r>
        <w:rPr>
          <w:rFonts w:ascii="Arial" w:hAnsi="Arial"/>
          <w:i/>
        </w:rPr>
        <w:t>Philip Alexander Securities &amp; Futures Ltd v Bamberger [1997] I.L.Pr. 73</w:t>
      </w:r>
      <w:r>
        <w:rPr/>
        <w:t>.</w:t>
      </w:r>
    </w:p>
    <w:p>
      <w:pPr>
        <w:pStyle w:val="BodyText"/>
        <w:spacing w:before="3"/>
      </w:pPr>
    </w:p>
    <w:p>
      <w:pPr>
        <w:pStyle w:val="BodyText"/>
        <w:tabs>
          <w:tab w:pos="705" w:val="left" w:leader="none"/>
        </w:tabs>
        <w:ind w:left="165"/>
      </w:pPr>
      <w:bookmarkStart w:name="_bookmark1066" w:id="1068"/>
      <w:bookmarkEnd w:id="1068"/>
      <w:r>
        <w:rPr/>
      </w:r>
      <w:hyperlink w:history="true" w:anchor="_bookmark940">
        <w:r>
          <w:rPr>
            <w:color w:val="005DA1"/>
            <w:spacing w:val="-4"/>
            <w:position w:val="5"/>
            <w:sz w:val="14"/>
            <w:u w:val="single" w:color="005DA1"/>
          </w:rPr>
          <w:t>530</w:t>
        </w:r>
      </w:hyperlink>
      <w:r>
        <w:rPr>
          <w:spacing w:val="-4"/>
          <w:position w:val="5"/>
          <w:sz w:val="14"/>
        </w:rPr>
        <w:t>.</w:t>
      </w:r>
      <w:r>
        <w:rPr>
          <w:position w:val="5"/>
          <w:sz w:val="14"/>
        </w:rPr>
        <w:tab/>
      </w:r>
      <w:r>
        <w:rPr/>
        <w:t>See para.38-386 </w:t>
      </w:r>
      <w:r>
        <w:rPr>
          <w:spacing w:val="-2"/>
        </w:rPr>
        <w:t>below.</w:t>
      </w:r>
    </w:p>
    <w:p>
      <w:pPr>
        <w:pStyle w:val="BodyText"/>
        <w:spacing w:before="5"/>
      </w:pPr>
    </w:p>
    <w:p>
      <w:pPr>
        <w:tabs>
          <w:tab w:pos="705" w:val="left" w:leader="none"/>
        </w:tabs>
        <w:spacing w:before="0"/>
        <w:ind w:left="165" w:right="0" w:firstLine="0"/>
        <w:jc w:val="left"/>
        <w:rPr>
          <w:sz w:val="20"/>
        </w:rPr>
      </w:pPr>
      <w:bookmarkStart w:name="_bookmark1067" w:id="1069"/>
      <w:bookmarkEnd w:id="1069"/>
      <w:r>
        <w:rPr/>
      </w:r>
      <w:hyperlink w:history="true" w:anchor="_bookmark941">
        <w:r>
          <w:rPr>
            <w:color w:val="005DA1"/>
            <w:spacing w:val="-4"/>
            <w:position w:val="5"/>
            <w:sz w:val="14"/>
            <w:u w:val="single" w:color="005DA1"/>
          </w:rPr>
          <w:t>531</w:t>
        </w:r>
      </w:hyperlink>
      <w:r>
        <w:rPr>
          <w:spacing w:val="-4"/>
          <w:position w:val="5"/>
          <w:sz w:val="14"/>
        </w:rPr>
        <w:t>.</w:t>
      </w:r>
      <w:r>
        <w:rPr>
          <w:position w:val="5"/>
          <w:sz w:val="14"/>
        </w:rPr>
        <w:tab/>
      </w:r>
      <w:r>
        <w:rPr>
          <w:sz w:val="20"/>
        </w:rPr>
        <w:t>Defined by </w:t>
      </w:r>
      <w:r>
        <w:rPr>
          <w:spacing w:val="-4"/>
          <w:sz w:val="20"/>
        </w:rPr>
        <w:t>s.5.</w:t>
      </w:r>
    </w:p>
    <w:p>
      <w:pPr>
        <w:pStyle w:val="BodyText"/>
        <w:spacing w:before="5"/>
      </w:pPr>
    </w:p>
    <w:p>
      <w:pPr>
        <w:pStyle w:val="BodyText"/>
        <w:tabs>
          <w:tab w:pos="705" w:val="left" w:leader="none"/>
        </w:tabs>
        <w:ind w:left="165"/>
      </w:pPr>
      <w:bookmarkStart w:name="_bookmark1068" w:id="1070"/>
      <w:bookmarkEnd w:id="1070"/>
      <w:r>
        <w:rPr/>
      </w:r>
      <w:hyperlink w:history="true" w:anchor="_bookmark942">
        <w:r>
          <w:rPr>
            <w:color w:val="005DA1"/>
            <w:spacing w:val="-4"/>
            <w:position w:val="5"/>
            <w:sz w:val="14"/>
            <w:u w:val="single" w:color="005DA1"/>
          </w:rPr>
          <w:t>532</w:t>
        </w:r>
      </w:hyperlink>
      <w:r>
        <w:rPr>
          <w:spacing w:val="-4"/>
          <w:position w:val="5"/>
          <w:sz w:val="14"/>
        </w:rPr>
        <w:t>.</w:t>
      </w:r>
      <w:r>
        <w:rPr>
          <w:position w:val="5"/>
          <w:sz w:val="14"/>
        </w:rPr>
        <w:tab/>
      </w:r>
      <w:r>
        <w:rPr/>
        <w:t>2015 Act s.32(1). See para.38–494 </w:t>
      </w:r>
      <w:r>
        <w:rPr>
          <w:spacing w:val="-2"/>
        </w:rPr>
        <w:t>below.</w:t>
      </w:r>
    </w:p>
    <w:p>
      <w:pPr>
        <w:pStyle w:val="BodyText"/>
        <w:spacing w:before="9"/>
      </w:pPr>
    </w:p>
    <w:p>
      <w:pPr>
        <w:spacing w:line="235" w:lineRule="auto" w:before="0"/>
        <w:ind w:left="705" w:right="167" w:hanging="541"/>
        <w:jc w:val="both"/>
        <w:rPr>
          <w:sz w:val="20"/>
        </w:rPr>
      </w:pPr>
      <w:bookmarkStart w:name="_bookmark1069" w:id="1071"/>
      <w:bookmarkEnd w:id="1071"/>
      <w:r>
        <w:rPr/>
      </w:r>
      <w:hyperlink w:history="true" w:anchor="_bookmark943">
        <w:r>
          <w:rPr>
            <w:color w:val="005DA1"/>
            <w:position w:val="5"/>
            <w:sz w:val="14"/>
            <w:u w:val="single" w:color="005DA1"/>
          </w:rPr>
          <w:t>533</w:t>
        </w:r>
      </w:hyperlink>
      <w:r>
        <w:rPr>
          <w:position w:val="5"/>
          <w:sz w:val="14"/>
        </w:rPr>
        <w:t>.</w:t>
      </w:r>
      <w:r>
        <w:rPr>
          <w:spacing w:val="80"/>
          <w:w w:val="150"/>
          <w:position w:val="5"/>
          <w:sz w:val="14"/>
        </w:rPr>
        <w:t> </w:t>
      </w:r>
      <w:r>
        <w:rPr>
          <w:sz w:val="20"/>
        </w:rPr>
        <w:t>cf. Lasok and Stone, </w:t>
      </w:r>
      <w:r>
        <w:rPr>
          <w:rFonts w:ascii="Arial" w:hAnsi="Arial"/>
          <w:i/>
          <w:sz w:val="20"/>
        </w:rPr>
        <w:t>Conflict of Laws in the European Community </w:t>
      </w:r>
      <w:r>
        <w:rPr>
          <w:sz w:val="20"/>
        </w:rPr>
        <w:t>(1987), p.385. cf. </w:t>
      </w:r>
      <w:r>
        <w:rPr>
          <w:rFonts w:ascii="Arial" w:hAnsi="Arial"/>
          <w:i/>
          <w:sz w:val="20"/>
        </w:rPr>
        <w:t>United Antwerp Maritime Agencies NV (Unamar) v Navigation Maritime Bulgare (C-184/12) [2014] 1 Lloyd’s Rep. 161</w:t>
      </w:r>
      <w:r>
        <w:rPr>
          <w:sz w:val="20"/>
        </w:rPr>
        <w:t>.</w:t>
      </w:r>
    </w:p>
    <w:p>
      <w:pPr>
        <w:pStyle w:val="BodyText"/>
        <w:spacing w:before="5"/>
      </w:pPr>
    </w:p>
    <w:p>
      <w:pPr>
        <w:tabs>
          <w:tab w:pos="705" w:val="left" w:leader="none"/>
        </w:tabs>
        <w:spacing w:before="0"/>
        <w:ind w:left="165" w:right="0" w:firstLine="0"/>
        <w:jc w:val="left"/>
        <w:rPr>
          <w:sz w:val="20"/>
        </w:rPr>
      </w:pPr>
      <w:bookmarkStart w:name="_bookmark1070" w:id="1072"/>
      <w:bookmarkEnd w:id="1072"/>
      <w:r>
        <w:rPr/>
      </w:r>
      <w:hyperlink w:history="true" w:anchor="_bookmark944">
        <w:r>
          <w:rPr>
            <w:color w:val="005DA1"/>
            <w:spacing w:val="-4"/>
            <w:position w:val="5"/>
            <w:sz w:val="14"/>
            <w:u w:val="single" w:color="005DA1"/>
          </w:rPr>
          <w:t>534</w:t>
        </w:r>
      </w:hyperlink>
      <w:r>
        <w:rPr>
          <w:spacing w:val="-4"/>
          <w:position w:val="5"/>
          <w:sz w:val="14"/>
        </w:rPr>
        <w:t>.</w:t>
      </w:r>
      <w:r>
        <w:rPr>
          <w:position w:val="5"/>
          <w:sz w:val="14"/>
        </w:rPr>
        <w:tab/>
      </w:r>
      <w:r>
        <w:rPr>
          <w:sz w:val="20"/>
        </w:rPr>
        <w:t>Above, </w:t>
      </w:r>
      <w:r>
        <w:rPr>
          <w:spacing w:val="-2"/>
          <w:sz w:val="20"/>
        </w:rPr>
        <w:t>para.30–078.</w:t>
      </w:r>
    </w:p>
    <w:p>
      <w:pPr>
        <w:pStyle w:val="BodyText"/>
        <w:spacing w:before="5"/>
      </w:pPr>
    </w:p>
    <w:p>
      <w:pPr>
        <w:pStyle w:val="BodyText"/>
        <w:tabs>
          <w:tab w:pos="705" w:val="left" w:leader="none"/>
        </w:tabs>
        <w:ind w:left="165"/>
      </w:pPr>
      <w:bookmarkStart w:name="_bookmark1071" w:id="1073"/>
      <w:bookmarkEnd w:id="1073"/>
      <w:r>
        <w:rPr/>
      </w:r>
      <w:hyperlink w:history="true" w:anchor="_bookmark945">
        <w:r>
          <w:rPr>
            <w:color w:val="005DA1"/>
            <w:spacing w:val="-4"/>
            <w:position w:val="5"/>
            <w:sz w:val="14"/>
            <w:u w:val="single" w:color="005DA1"/>
          </w:rPr>
          <w:t>535</w:t>
        </w:r>
      </w:hyperlink>
      <w:r>
        <w:rPr>
          <w:spacing w:val="-4"/>
          <w:position w:val="5"/>
          <w:sz w:val="14"/>
        </w:rPr>
        <w:t>.</w:t>
      </w:r>
      <w:r>
        <w:rPr>
          <w:position w:val="5"/>
          <w:sz w:val="14"/>
        </w:rPr>
        <w:tab/>
      </w:r>
      <w:r>
        <w:rPr/>
        <w:t>Above,</w:t>
      </w:r>
      <w:r>
        <w:rPr>
          <w:spacing w:val="-2"/>
        </w:rPr>
        <w:t> </w:t>
      </w:r>
      <w:r>
        <w:rPr/>
        <w:t>paras 30–093 et </w:t>
      </w:r>
      <w:r>
        <w:rPr>
          <w:spacing w:val="-4"/>
        </w:rPr>
        <w:t>seq.</w:t>
      </w:r>
    </w:p>
    <w:p>
      <w:pPr>
        <w:pStyle w:val="BodyText"/>
        <w:spacing w:before="9"/>
      </w:pPr>
    </w:p>
    <w:p>
      <w:pPr>
        <w:spacing w:line="235" w:lineRule="auto" w:before="0"/>
        <w:ind w:left="705" w:right="167" w:hanging="541"/>
        <w:jc w:val="both"/>
        <w:rPr>
          <w:sz w:val="20"/>
        </w:rPr>
      </w:pPr>
      <w:bookmarkStart w:name="_bookmark1072" w:id="1074"/>
      <w:bookmarkEnd w:id="1074"/>
      <w:r>
        <w:rPr/>
      </w:r>
      <w:hyperlink w:history="true" w:anchor="_bookmark946">
        <w:r>
          <w:rPr>
            <w:color w:val="005DA1"/>
            <w:position w:val="5"/>
            <w:sz w:val="14"/>
            <w:u w:val="single" w:color="005DA1"/>
          </w:rPr>
          <w:t>536</w:t>
        </w:r>
      </w:hyperlink>
      <w:r>
        <w:rPr>
          <w:position w:val="5"/>
          <w:sz w:val="14"/>
        </w:rPr>
        <w:t>.</w:t>
      </w:r>
      <w:r>
        <w:rPr>
          <w:spacing w:val="80"/>
          <w:position w:val="5"/>
          <w:sz w:val="14"/>
        </w:rPr>
        <w:t>  </w:t>
      </w:r>
      <w:r>
        <w:rPr>
          <w:sz w:val="20"/>
        </w:rPr>
        <w:t>Merrett,</w:t>
      </w:r>
      <w:r>
        <w:rPr>
          <w:spacing w:val="34"/>
          <w:sz w:val="20"/>
        </w:rPr>
        <w:t> </w:t>
      </w:r>
      <w:r>
        <w:rPr>
          <w:rFonts w:ascii="Arial" w:hAnsi="Arial"/>
          <w:i/>
          <w:sz w:val="20"/>
        </w:rPr>
        <w:t>Employment</w:t>
      </w:r>
      <w:r>
        <w:rPr>
          <w:rFonts w:ascii="Arial" w:hAnsi="Arial"/>
          <w:i/>
          <w:spacing w:val="34"/>
          <w:sz w:val="20"/>
        </w:rPr>
        <w:t> </w:t>
      </w:r>
      <w:r>
        <w:rPr>
          <w:rFonts w:ascii="Arial" w:hAnsi="Arial"/>
          <w:i/>
          <w:sz w:val="20"/>
        </w:rPr>
        <w:t>Contracts</w:t>
      </w:r>
      <w:r>
        <w:rPr>
          <w:rFonts w:ascii="Arial" w:hAnsi="Arial"/>
          <w:i/>
          <w:spacing w:val="34"/>
          <w:sz w:val="20"/>
        </w:rPr>
        <w:t> </w:t>
      </w:r>
      <w:r>
        <w:rPr>
          <w:rFonts w:ascii="Arial" w:hAnsi="Arial"/>
          <w:i/>
          <w:sz w:val="20"/>
        </w:rPr>
        <w:t>in</w:t>
      </w:r>
      <w:r>
        <w:rPr>
          <w:rFonts w:ascii="Arial" w:hAnsi="Arial"/>
          <w:i/>
          <w:spacing w:val="34"/>
          <w:sz w:val="20"/>
        </w:rPr>
        <w:t> </w:t>
      </w:r>
      <w:r>
        <w:rPr>
          <w:rFonts w:ascii="Arial" w:hAnsi="Arial"/>
          <w:i/>
          <w:sz w:val="20"/>
        </w:rPr>
        <w:t>Private</w:t>
      </w:r>
      <w:r>
        <w:rPr>
          <w:rFonts w:ascii="Arial" w:hAnsi="Arial"/>
          <w:i/>
          <w:spacing w:val="34"/>
          <w:sz w:val="20"/>
        </w:rPr>
        <w:t> </w:t>
      </w:r>
      <w:r>
        <w:rPr>
          <w:rFonts w:ascii="Arial" w:hAnsi="Arial"/>
          <w:i/>
          <w:sz w:val="20"/>
        </w:rPr>
        <w:t>International</w:t>
      </w:r>
      <w:r>
        <w:rPr>
          <w:rFonts w:ascii="Arial" w:hAnsi="Arial"/>
          <w:i/>
          <w:spacing w:val="34"/>
          <w:sz w:val="20"/>
        </w:rPr>
        <w:t> </w:t>
      </w:r>
      <w:r>
        <w:rPr>
          <w:rFonts w:ascii="Arial" w:hAnsi="Arial"/>
          <w:i/>
          <w:sz w:val="20"/>
        </w:rPr>
        <w:t>Law</w:t>
      </w:r>
      <w:r>
        <w:rPr>
          <w:rFonts w:ascii="Arial" w:hAnsi="Arial"/>
          <w:i/>
          <w:spacing w:val="33"/>
          <w:sz w:val="20"/>
        </w:rPr>
        <w:t> </w:t>
      </w:r>
      <w:r>
        <w:rPr>
          <w:sz w:val="20"/>
        </w:rPr>
        <w:t>(2011);</w:t>
      </w:r>
      <w:r>
        <w:rPr>
          <w:spacing w:val="34"/>
          <w:sz w:val="20"/>
        </w:rPr>
        <w:t> </w:t>
      </w:r>
      <w:r>
        <w:rPr>
          <w:sz w:val="20"/>
        </w:rPr>
        <w:t>Plender</w:t>
      </w:r>
      <w:r>
        <w:rPr>
          <w:spacing w:val="34"/>
          <w:sz w:val="20"/>
        </w:rPr>
        <w:t> </w:t>
      </w:r>
      <w:r>
        <w:rPr>
          <w:sz w:val="20"/>
        </w:rPr>
        <w:t>and</w:t>
      </w:r>
      <w:r>
        <w:rPr>
          <w:spacing w:val="34"/>
          <w:sz w:val="20"/>
        </w:rPr>
        <w:t> </w:t>
      </w:r>
      <w:r>
        <w:rPr>
          <w:sz w:val="20"/>
        </w:rPr>
        <w:t>Wilderspin, </w:t>
      </w:r>
      <w:r>
        <w:rPr>
          <w:rFonts w:ascii="Arial" w:hAnsi="Arial"/>
          <w:i/>
          <w:sz w:val="20"/>
        </w:rPr>
        <w:t>The</w:t>
      </w:r>
      <w:r>
        <w:rPr>
          <w:rFonts w:ascii="Arial" w:hAnsi="Arial"/>
          <w:i/>
          <w:spacing w:val="-3"/>
          <w:sz w:val="20"/>
        </w:rPr>
        <w:t> </w:t>
      </w:r>
      <w:r>
        <w:rPr>
          <w:rFonts w:ascii="Arial" w:hAnsi="Arial"/>
          <w:i/>
          <w:sz w:val="20"/>
        </w:rPr>
        <w:t>European</w:t>
      </w:r>
      <w:r>
        <w:rPr>
          <w:rFonts w:ascii="Arial" w:hAnsi="Arial"/>
          <w:i/>
          <w:spacing w:val="-3"/>
          <w:sz w:val="20"/>
        </w:rPr>
        <w:t> </w:t>
      </w:r>
      <w:r>
        <w:rPr>
          <w:rFonts w:ascii="Arial" w:hAnsi="Arial"/>
          <w:i/>
          <w:sz w:val="20"/>
        </w:rPr>
        <w:t>Private</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Law</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Obligations</w:t>
      </w:r>
      <w:r>
        <w:rPr>
          <w:rFonts w:ascii="Arial" w:hAnsi="Arial"/>
          <w:i/>
          <w:spacing w:val="-4"/>
          <w:sz w:val="20"/>
        </w:rPr>
        <w:t> </w:t>
      </w:r>
      <w:r>
        <w:rPr>
          <w:sz w:val="20"/>
        </w:rPr>
        <w:t>4th</w:t>
      </w:r>
      <w:r>
        <w:rPr>
          <w:spacing w:val="-3"/>
          <w:sz w:val="20"/>
        </w:rPr>
        <w:t> </w:t>
      </w:r>
      <w:r>
        <w:rPr>
          <w:sz w:val="20"/>
        </w:rPr>
        <w:t>edn</w:t>
      </w:r>
      <w:r>
        <w:rPr>
          <w:spacing w:val="-3"/>
          <w:sz w:val="20"/>
        </w:rPr>
        <w:t> </w:t>
      </w:r>
      <w:r>
        <w:rPr>
          <w:sz w:val="20"/>
        </w:rPr>
        <w:t>(2014),</w:t>
      </w:r>
      <w:r>
        <w:rPr>
          <w:spacing w:val="-3"/>
          <w:sz w:val="20"/>
        </w:rPr>
        <w:t> </w:t>
      </w:r>
      <w:r>
        <w:rPr>
          <w:sz w:val="20"/>
        </w:rPr>
        <w:t>Ch.11;</w:t>
      </w:r>
      <w:r>
        <w:rPr>
          <w:spacing w:val="-3"/>
          <w:sz w:val="20"/>
        </w:rPr>
        <w:t> </w:t>
      </w:r>
      <w:r>
        <w:rPr>
          <w:sz w:val="20"/>
        </w:rPr>
        <w:t>Dicey,</w:t>
      </w:r>
      <w:r>
        <w:rPr>
          <w:spacing w:val="-3"/>
          <w:sz w:val="20"/>
        </w:rPr>
        <w:t> </w:t>
      </w:r>
      <w:r>
        <w:rPr>
          <w:sz w:val="20"/>
        </w:rPr>
        <w:t>Morris</w:t>
      </w:r>
      <w:r>
        <w:rPr>
          <w:spacing w:val="-3"/>
          <w:sz w:val="20"/>
        </w:rPr>
        <w:t> </w:t>
      </w:r>
      <w:r>
        <w:rPr>
          <w:sz w:val="20"/>
        </w:rPr>
        <w:t>and Collins on the Conflict of Laws, 14th edn (2006), paras 33–059—33–102; Lasok and Stone, </w:t>
      </w:r>
      <w:r>
        <w:rPr>
          <w:rFonts w:ascii="Arial" w:hAnsi="Arial"/>
          <w:i/>
          <w:sz w:val="20"/>
        </w:rPr>
        <w:t>Conflict of Laws in the European Community </w:t>
      </w:r>
      <w:r>
        <w:rPr>
          <w:sz w:val="20"/>
        </w:rPr>
        <w:t>(1987), pp.384–385; Kaye, </w:t>
      </w:r>
      <w:r>
        <w:rPr>
          <w:rFonts w:ascii="Arial" w:hAnsi="Arial"/>
          <w:i/>
          <w:sz w:val="20"/>
        </w:rPr>
        <w:t>The New Private International Law of Contract of the European Community </w:t>
      </w:r>
      <w:r>
        <w:rPr>
          <w:sz w:val="20"/>
        </w:rPr>
        <w:t>(1993), pp.224–238; Polak, </w:t>
      </w:r>
      <w:r>
        <w:rPr>
          <w:rFonts w:ascii="Arial" w:hAnsi="Arial"/>
          <w:i/>
          <w:sz w:val="20"/>
        </w:rPr>
        <w:t>The Enforcement of International Contracts in the European Union </w:t>
      </w:r>
      <w:r>
        <w:rPr>
          <w:sz w:val="20"/>
        </w:rPr>
        <w:t>(2004), pp.323–342; Morse, </w:t>
      </w:r>
      <w:r>
        <w:rPr>
          <w:rFonts w:ascii="Arial" w:hAnsi="Arial"/>
          <w:i/>
          <w:sz w:val="20"/>
        </w:rPr>
        <w:t>Contract</w:t>
      </w:r>
      <w:r>
        <w:rPr>
          <w:rFonts w:ascii="Arial" w:hAnsi="Arial"/>
          <w:i/>
          <w:spacing w:val="52"/>
          <w:sz w:val="20"/>
        </w:rPr>
        <w:t> </w:t>
      </w:r>
      <w:r>
        <w:rPr>
          <w:rFonts w:ascii="Arial" w:hAnsi="Arial"/>
          <w:i/>
          <w:sz w:val="20"/>
        </w:rPr>
        <w:t>Conflicts</w:t>
      </w:r>
      <w:r>
        <w:rPr>
          <w:rFonts w:ascii="Arial" w:hAnsi="Arial"/>
          <w:i/>
          <w:spacing w:val="52"/>
          <w:sz w:val="20"/>
        </w:rPr>
        <w:t> </w:t>
      </w:r>
      <w:r>
        <w:rPr>
          <w:sz w:val="20"/>
        </w:rPr>
        <w:t>(1982),</w:t>
      </w:r>
      <w:r>
        <w:rPr>
          <w:spacing w:val="52"/>
          <w:sz w:val="20"/>
        </w:rPr>
        <w:t> </w:t>
      </w:r>
      <w:r>
        <w:rPr>
          <w:sz w:val="20"/>
        </w:rPr>
        <w:t>Ch.7;</w:t>
      </w:r>
      <w:r>
        <w:rPr>
          <w:spacing w:val="52"/>
          <w:sz w:val="20"/>
        </w:rPr>
        <w:t> </w:t>
      </w:r>
      <w:r>
        <w:rPr>
          <w:sz w:val="20"/>
        </w:rPr>
        <w:t>Gillies</w:t>
      </w:r>
      <w:r>
        <w:rPr>
          <w:spacing w:val="52"/>
          <w:sz w:val="20"/>
        </w:rPr>
        <w:t> </w:t>
      </w:r>
      <w:r>
        <w:rPr>
          <w:sz w:val="20"/>
        </w:rPr>
        <w:t>(2010)</w:t>
      </w:r>
      <w:r>
        <w:rPr>
          <w:spacing w:val="52"/>
          <w:sz w:val="20"/>
        </w:rPr>
        <w:t> </w:t>
      </w:r>
      <w:r>
        <w:rPr>
          <w:sz w:val="20"/>
        </w:rPr>
        <w:t>41</w:t>
      </w:r>
      <w:r>
        <w:rPr>
          <w:spacing w:val="52"/>
          <w:sz w:val="20"/>
        </w:rPr>
        <w:t> </w:t>
      </w:r>
      <w:r>
        <w:rPr>
          <w:sz w:val="20"/>
        </w:rPr>
        <w:t>I.L.J.</w:t>
      </w:r>
      <w:r>
        <w:rPr>
          <w:spacing w:val="52"/>
          <w:sz w:val="20"/>
        </w:rPr>
        <w:t> </w:t>
      </w:r>
      <w:r>
        <w:rPr>
          <w:sz w:val="20"/>
        </w:rPr>
        <w:t>355;</w:t>
      </w:r>
      <w:r>
        <w:rPr>
          <w:spacing w:val="52"/>
          <w:sz w:val="20"/>
        </w:rPr>
        <w:t> </w:t>
      </w:r>
      <w:r>
        <w:rPr>
          <w:sz w:val="20"/>
        </w:rPr>
        <w:t>Scott</w:t>
      </w:r>
      <w:r>
        <w:rPr>
          <w:spacing w:val="52"/>
          <w:sz w:val="20"/>
        </w:rPr>
        <w:t> </w:t>
      </w:r>
      <w:r>
        <w:rPr>
          <w:sz w:val="20"/>
        </w:rPr>
        <w:t>[2010]</w:t>
      </w:r>
      <w:r>
        <w:rPr>
          <w:spacing w:val="52"/>
          <w:sz w:val="20"/>
        </w:rPr>
        <w:t> </w:t>
      </w:r>
      <w:r>
        <w:rPr>
          <w:sz w:val="20"/>
        </w:rPr>
        <w:t>L.M.C.L.Q.</w:t>
      </w:r>
      <w:r>
        <w:rPr>
          <w:spacing w:val="52"/>
          <w:sz w:val="20"/>
        </w:rPr>
        <w:t> </w:t>
      </w:r>
      <w:r>
        <w:rPr>
          <w:spacing w:val="-4"/>
          <w:sz w:val="20"/>
        </w:rPr>
        <w:t>640;</w:t>
      </w:r>
    </w:p>
    <w:p>
      <w:pPr>
        <w:pStyle w:val="BodyText"/>
        <w:spacing w:line="221" w:lineRule="exact"/>
        <w:ind w:left="705"/>
        <w:jc w:val="both"/>
      </w:pPr>
      <w:r>
        <w:rPr/>
        <w:t>Barnard</w:t>
      </w:r>
      <w:r>
        <w:rPr>
          <w:spacing w:val="44"/>
        </w:rPr>
        <w:t> </w:t>
      </w:r>
      <w:r>
        <w:rPr/>
        <w:t>[2009]</w:t>
      </w:r>
      <w:r>
        <w:rPr>
          <w:spacing w:val="44"/>
        </w:rPr>
        <w:t> </w:t>
      </w:r>
      <w:r>
        <w:rPr/>
        <w:t>38</w:t>
      </w:r>
      <w:r>
        <w:rPr>
          <w:spacing w:val="44"/>
        </w:rPr>
        <w:t> </w:t>
      </w:r>
      <w:r>
        <w:rPr/>
        <w:t>I.L.J.</w:t>
      </w:r>
      <w:r>
        <w:rPr>
          <w:spacing w:val="44"/>
        </w:rPr>
        <w:t> </w:t>
      </w:r>
      <w:r>
        <w:rPr/>
        <w:t>122;</w:t>
      </w:r>
      <w:r>
        <w:rPr>
          <w:spacing w:val="44"/>
        </w:rPr>
        <w:t> </w:t>
      </w:r>
      <w:r>
        <w:rPr/>
        <w:t>Hoey</w:t>
      </w:r>
      <w:r>
        <w:rPr>
          <w:spacing w:val="44"/>
        </w:rPr>
        <w:t> </w:t>
      </w:r>
      <w:r>
        <w:rPr/>
        <w:t>and</w:t>
      </w:r>
      <w:r>
        <w:rPr>
          <w:spacing w:val="44"/>
        </w:rPr>
        <w:t> </w:t>
      </w:r>
      <w:r>
        <w:rPr/>
        <w:t>McArdie</w:t>
      </w:r>
      <w:r>
        <w:rPr>
          <w:spacing w:val="44"/>
        </w:rPr>
        <w:t> </w:t>
      </w:r>
      <w:r>
        <w:rPr/>
        <w:t>[2008]</w:t>
      </w:r>
      <w:r>
        <w:rPr>
          <w:spacing w:val="44"/>
        </w:rPr>
        <w:t> </w:t>
      </w:r>
      <w:r>
        <w:rPr/>
        <w:t>Jur.</w:t>
      </w:r>
      <w:r>
        <w:rPr>
          <w:spacing w:val="44"/>
        </w:rPr>
        <w:t> </w:t>
      </w:r>
      <w:r>
        <w:rPr/>
        <w:t>Rev.</w:t>
      </w:r>
      <w:r>
        <w:rPr>
          <w:spacing w:val="44"/>
        </w:rPr>
        <w:t> </w:t>
      </w:r>
      <w:r>
        <w:rPr/>
        <w:t>291;</w:t>
      </w:r>
      <w:r>
        <w:rPr>
          <w:spacing w:val="44"/>
        </w:rPr>
        <w:t> </w:t>
      </w:r>
      <w:r>
        <w:rPr/>
        <w:t>Cavalier</w:t>
      </w:r>
      <w:r>
        <w:rPr>
          <w:spacing w:val="44"/>
        </w:rPr>
        <w:t> </w:t>
      </w:r>
      <w:r>
        <w:rPr/>
        <w:t>and</w:t>
      </w:r>
      <w:r>
        <w:rPr>
          <w:spacing w:val="44"/>
        </w:rPr>
        <w:t> </w:t>
      </w:r>
      <w:r>
        <w:rPr>
          <w:spacing w:val="-4"/>
        </w:rPr>
        <w:t>Upex</w:t>
      </w:r>
    </w:p>
    <w:p>
      <w:pPr>
        <w:pStyle w:val="BodyText"/>
        <w:spacing w:line="227" w:lineRule="exact"/>
        <w:ind w:left="705"/>
        <w:jc w:val="both"/>
      </w:pPr>
      <w:r>
        <w:rPr/>
        <w:t>(2006)</w:t>
      </w:r>
      <w:r>
        <w:rPr>
          <w:spacing w:val="17"/>
        </w:rPr>
        <w:t> </w:t>
      </w:r>
      <w:r>
        <w:rPr/>
        <w:t>55</w:t>
      </w:r>
      <w:r>
        <w:rPr>
          <w:spacing w:val="17"/>
        </w:rPr>
        <w:t> </w:t>
      </w:r>
      <w:r>
        <w:rPr/>
        <w:t>I.C.L.Q.</w:t>
      </w:r>
      <w:r>
        <w:rPr>
          <w:spacing w:val="17"/>
        </w:rPr>
        <w:t> </w:t>
      </w:r>
      <w:r>
        <w:rPr/>
        <w:t>587;</w:t>
      </w:r>
      <w:r>
        <w:rPr>
          <w:spacing w:val="17"/>
        </w:rPr>
        <w:t> </w:t>
      </w:r>
      <w:r>
        <w:rPr/>
        <w:t>Morse</w:t>
      </w:r>
      <w:r>
        <w:rPr>
          <w:spacing w:val="17"/>
        </w:rPr>
        <w:t> </w:t>
      </w:r>
      <w:r>
        <w:rPr/>
        <w:t>(1992)</w:t>
      </w:r>
      <w:r>
        <w:rPr>
          <w:spacing w:val="17"/>
        </w:rPr>
        <w:t> </w:t>
      </w:r>
      <w:r>
        <w:rPr/>
        <w:t>41</w:t>
      </w:r>
      <w:r>
        <w:rPr>
          <w:spacing w:val="17"/>
        </w:rPr>
        <w:t> </w:t>
      </w:r>
      <w:r>
        <w:rPr/>
        <w:t>I.C.L.Q.</w:t>
      </w:r>
      <w:r>
        <w:rPr>
          <w:spacing w:val="17"/>
        </w:rPr>
        <w:t> </w:t>
      </w:r>
      <w:r>
        <w:rPr/>
        <w:t>1;</w:t>
      </w:r>
      <w:r>
        <w:rPr>
          <w:spacing w:val="17"/>
        </w:rPr>
        <w:t> </w:t>
      </w:r>
      <w:r>
        <w:rPr/>
        <w:t>Smith</w:t>
      </w:r>
      <w:r>
        <w:rPr>
          <w:spacing w:val="17"/>
        </w:rPr>
        <w:t> </w:t>
      </w:r>
      <w:r>
        <w:rPr/>
        <w:t>and</w:t>
      </w:r>
      <w:r>
        <w:rPr>
          <w:spacing w:val="17"/>
        </w:rPr>
        <w:t> </w:t>
      </w:r>
      <w:r>
        <w:rPr/>
        <w:t>Cromack</w:t>
      </w:r>
      <w:r>
        <w:rPr>
          <w:spacing w:val="17"/>
        </w:rPr>
        <w:t> </w:t>
      </w:r>
      <w:r>
        <w:rPr/>
        <w:t>(1993)</w:t>
      </w:r>
      <w:r>
        <w:rPr>
          <w:spacing w:val="17"/>
        </w:rPr>
        <w:t> </w:t>
      </w:r>
      <w:r>
        <w:rPr/>
        <w:t>22</w:t>
      </w:r>
      <w:r>
        <w:rPr>
          <w:spacing w:val="17"/>
        </w:rPr>
        <w:t> </w:t>
      </w:r>
      <w:r>
        <w:rPr/>
        <w:t>I.L.J.</w:t>
      </w:r>
      <w:r>
        <w:rPr>
          <w:spacing w:val="17"/>
        </w:rPr>
        <w:t> </w:t>
      </w:r>
      <w:r>
        <w:rPr/>
        <w:t>1.</w:t>
      </w:r>
      <w:r>
        <w:rPr>
          <w:spacing w:val="17"/>
        </w:rPr>
        <w:t> </w:t>
      </w:r>
      <w:r>
        <w:rPr>
          <w:spacing w:val="-5"/>
        </w:rPr>
        <w:t>In</w:t>
      </w:r>
    </w:p>
    <w:p>
      <w:pPr>
        <w:pStyle w:val="BodyText"/>
        <w:spacing w:after="0" w:line="227" w:lineRule="exact"/>
        <w:jc w:val="both"/>
        <w:sectPr>
          <w:pgSz w:w="11900" w:h="16840"/>
          <w:pgMar w:header="971" w:footer="0" w:top="1300" w:bottom="280" w:left="1275" w:right="1275"/>
        </w:sectPr>
      </w:pPr>
    </w:p>
    <w:p>
      <w:pPr>
        <w:pStyle w:val="BodyText"/>
        <w:spacing w:line="235" w:lineRule="auto" w:before="110"/>
        <w:ind w:left="705" w:right="167"/>
        <w:jc w:val="both"/>
        <w:rPr>
          <w:rFonts w:ascii="Arial" w:hAnsi="Arial"/>
          <w:i/>
        </w:rPr>
      </w:pPr>
      <w:r>
        <w:rPr/>
        <w:t>1976 the European Commission published a proposal for a Regulation concerning conflict </w:t>
      </w:r>
      <w:r>
        <w:rPr/>
        <w:t>of laws in employment relationships: see COM(175) 653 final, discussed by Hepple, </w:t>
      </w:r>
      <w:r>
        <w:rPr>
          <w:rFonts w:ascii="Arial" w:hAnsi="Arial"/>
          <w:i/>
        </w:rPr>
        <w:t>Harmonisation of Private International Law by the EEC </w:t>
      </w:r>
      <w:r>
        <w:rPr/>
        <w:t>(1978), p.390; Forde, </w:t>
      </w:r>
      <w:r>
        <w:rPr>
          <w:rFonts w:ascii="Arial" w:hAnsi="Arial"/>
          <w:i/>
        </w:rPr>
        <w:t>Legal Issues of European Integration </w:t>
      </w:r>
      <w:r>
        <w:rPr/>
        <w:t>85. Had this proposal not been withdrawn in 1981 ([1981] O.J. C307/3) and reached fruition it would have taken precedence over art.6 pursuant to art.20 of the Rome Convention. See also Directive 96/71 concerning the posting of workers in the framework of the provision of services [1997] O.J. L18/1. This Directive has not been formally implemented in the United Kingdom by specific regulations, but it has been said that the repeal of the Employment Rights</w:t>
      </w:r>
      <w:r>
        <w:rPr>
          <w:spacing w:val="80"/>
        </w:rPr>
        <w:t> </w:t>
      </w:r>
      <w:r>
        <w:rPr/>
        <w:t>Act</w:t>
      </w:r>
      <w:r>
        <w:rPr>
          <w:spacing w:val="80"/>
        </w:rPr>
        <w:t> </w:t>
      </w:r>
      <w:r>
        <w:rPr/>
        <w:t>1996</w:t>
      </w:r>
      <w:r>
        <w:rPr>
          <w:spacing w:val="80"/>
        </w:rPr>
        <w:t> </w:t>
      </w:r>
      <w:r>
        <w:rPr/>
        <w:t>s.196</w:t>
      </w:r>
      <w:r>
        <w:rPr>
          <w:spacing w:val="80"/>
        </w:rPr>
        <w:t> </w:t>
      </w:r>
      <w:r>
        <w:rPr/>
        <w:t>by</w:t>
      </w:r>
      <w:r>
        <w:rPr>
          <w:spacing w:val="80"/>
        </w:rPr>
        <w:t> </w:t>
      </w:r>
      <w:r>
        <w:rPr/>
        <w:t>the</w:t>
      </w:r>
      <w:r>
        <w:rPr>
          <w:spacing w:val="80"/>
        </w:rPr>
        <w:t> </w:t>
      </w:r>
      <w:r>
        <w:rPr/>
        <w:t>Employment</w:t>
      </w:r>
      <w:r>
        <w:rPr>
          <w:spacing w:val="80"/>
        </w:rPr>
        <w:t> </w:t>
      </w:r>
      <w:r>
        <w:rPr/>
        <w:t>Relations</w:t>
      </w:r>
      <w:r>
        <w:rPr>
          <w:spacing w:val="80"/>
        </w:rPr>
        <w:t> </w:t>
      </w:r>
      <w:r>
        <w:rPr/>
        <w:t>Act</w:t>
      </w:r>
      <w:r>
        <w:rPr>
          <w:spacing w:val="80"/>
        </w:rPr>
        <w:t> </w:t>
      </w:r>
      <w:r>
        <w:rPr/>
        <w:t>1999</w:t>
      </w:r>
      <w:r>
        <w:rPr>
          <w:spacing w:val="80"/>
        </w:rPr>
        <w:t> </w:t>
      </w:r>
      <w:r>
        <w:rPr/>
        <w:t>s.32(3)</w:t>
      </w:r>
      <w:r>
        <w:rPr>
          <w:spacing w:val="80"/>
        </w:rPr>
        <w:t> </w:t>
      </w:r>
      <w:r>
        <w:rPr/>
        <w:t>(below,</w:t>
      </w:r>
      <w:r>
        <w:rPr>
          <w:spacing w:val="40"/>
        </w:rPr>
        <w:t> </w:t>
      </w:r>
      <w:r>
        <w:rPr/>
        <w:t>para.30-114n.568) has facilitated implementation of the Directive by extending rights which are derived from European Union legislation (and also, normally, English employment law) to workers who are “temporarily” working in Great Britain: see Hansard, HC Vol.336, col.32. This Directive takes</w:t>
      </w:r>
      <w:r>
        <w:rPr>
          <w:spacing w:val="-1"/>
        </w:rPr>
        <w:t> </w:t>
      </w:r>
      <w:r>
        <w:rPr/>
        <w:t>precedence over</w:t>
      </w:r>
      <w:r>
        <w:rPr>
          <w:spacing w:val="-1"/>
        </w:rPr>
        <w:t> </w:t>
      </w:r>
      <w:r>
        <w:rPr/>
        <w:t>the Rome</w:t>
      </w:r>
      <w:r>
        <w:rPr>
          <w:spacing w:val="-1"/>
        </w:rPr>
        <w:t> </w:t>
      </w:r>
      <w:r>
        <w:rPr/>
        <w:t>Convention, pursuant</w:t>
      </w:r>
      <w:r>
        <w:rPr>
          <w:spacing w:val="-1"/>
        </w:rPr>
        <w:t> </w:t>
      </w:r>
      <w:r>
        <w:rPr/>
        <w:t>to art.20.</w:t>
      </w:r>
      <w:r>
        <w:rPr>
          <w:spacing w:val="-1"/>
        </w:rPr>
        <w:t> </w:t>
      </w:r>
      <w:r>
        <w:rPr/>
        <w:t>See on</w:t>
      </w:r>
      <w:r>
        <w:rPr>
          <w:spacing w:val="-1"/>
        </w:rPr>
        <w:t> </w:t>
      </w:r>
      <w:r>
        <w:rPr/>
        <w:t>the Directive </w:t>
      </w:r>
      <w:r>
        <w:rPr>
          <w:rFonts w:ascii="Arial" w:hAnsi="Arial"/>
          <w:i/>
        </w:rPr>
        <w:t>Mazzoleni and Inter Surveillance Assistance SARL (C-165/98) [2001] E.C.R. I–2189</w:t>
      </w:r>
      <w:r>
        <w:rPr/>
        <w:t>; </w:t>
      </w:r>
      <w:r>
        <w:rPr>
          <w:rFonts w:ascii="Arial" w:hAnsi="Arial"/>
          <w:i/>
        </w:rPr>
        <w:t>Finalarte Sociedade</w:t>
      </w:r>
      <w:r>
        <w:rPr>
          <w:rFonts w:ascii="Arial" w:hAnsi="Arial"/>
          <w:i/>
          <w:spacing w:val="23"/>
        </w:rPr>
        <w:t> </w:t>
      </w:r>
      <w:r>
        <w:rPr>
          <w:rFonts w:ascii="Arial" w:hAnsi="Arial"/>
          <w:i/>
        </w:rPr>
        <w:t>de</w:t>
      </w:r>
      <w:r>
        <w:rPr>
          <w:rFonts w:ascii="Arial" w:hAnsi="Arial"/>
          <w:i/>
          <w:spacing w:val="23"/>
        </w:rPr>
        <w:t> </w:t>
      </w:r>
      <w:r>
        <w:rPr>
          <w:rFonts w:ascii="Arial" w:hAnsi="Arial"/>
          <w:i/>
        </w:rPr>
        <w:t>Construcao</w:t>
      </w:r>
      <w:r>
        <w:rPr>
          <w:rFonts w:ascii="Arial" w:hAnsi="Arial"/>
          <w:i/>
          <w:spacing w:val="23"/>
        </w:rPr>
        <w:t> </w:t>
      </w:r>
      <w:r>
        <w:rPr>
          <w:rFonts w:ascii="Arial" w:hAnsi="Arial"/>
          <w:i/>
        </w:rPr>
        <w:t>(C-49/98,</w:t>
      </w:r>
      <w:r>
        <w:rPr>
          <w:rFonts w:ascii="Arial" w:hAnsi="Arial"/>
          <w:i/>
          <w:spacing w:val="23"/>
        </w:rPr>
        <w:t> </w:t>
      </w:r>
      <w:r>
        <w:rPr>
          <w:rFonts w:ascii="Arial" w:hAnsi="Arial"/>
          <w:i/>
        </w:rPr>
        <w:t>C-50/98,</w:t>
      </w:r>
      <w:r>
        <w:rPr>
          <w:rFonts w:ascii="Arial" w:hAnsi="Arial"/>
          <w:i/>
          <w:spacing w:val="23"/>
        </w:rPr>
        <w:t> </w:t>
      </w:r>
      <w:r>
        <w:rPr>
          <w:rFonts w:ascii="Arial" w:hAnsi="Arial"/>
          <w:i/>
        </w:rPr>
        <w:t>C-52/98–C-54/98</w:t>
      </w:r>
      <w:r>
        <w:rPr>
          <w:rFonts w:ascii="Arial" w:hAnsi="Arial"/>
          <w:i/>
          <w:spacing w:val="23"/>
        </w:rPr>
        <w:t> </w:t>
      </w:r>
      <w:r>
        <w:rPr>
          <w:rFonts w:ascii="Arial" w:hAnsi="Arial"/>
          <w:i/>
        </w:rPr>
        <w:t>and</w:t>
      </w:r>
      <w:r>
        <w:rPr>
          <w:rFonts w:ascii="Arial" w:hAnsi="Arial"/>
          <w:i/>
          <w:spacing w:val="23"/>
        </w:rPr>
        <w:t> </w:t>
      </w:r>
      <w:r>
        <w:rPr>
          <w:rFonts w:ascii="Arial" w:hAnsi="Arial"/>
          <w:i/>
        </w:rPr>
        <w:t>C-68/98,</w:t>
      </w:r>
      <w:r>
        <w:rPr>
          <w:rFonts w:ascii="Arial" w:hAnsi="Arial"/>
          <w:i/>
          <w:spacing w:val="23"/>
        </w:rPr>
        <w:t> </w:t>
      </w:r>
      <w:r>
        <w:rPr>
          <w:rFonts w:ascii="Arial" w:hAnsi="Arial"/>
          <w:i/>
        </w:rPr>
        <w:t>C-71/98)</w:t>
      </w:r>
      <w:r>
        <w:rPr>
          <w:rFonts w:ascii="Arial" w:hAnsi="Arial"/>
          <w:i/>
          <w:spacing w:val="23"/>
        </w:rPr>
        <w:t> </w:t>
      </w:r>
      <w:r>
        <w:rPr>
          <w:rFonts w:ascii="Arial" w:hAnsi="Arial"/>
          <w:i/>
          <w:spacing w:val="-2"/>
        </w:rPr>
        <w:t>[2001]</w:t>
      </w:r>
    </w:p>
    <w:p>
      <w:pPr>
        <w:spacing w:line="235" w:lineRule="auto" w:before="0"/>
        <w:ind w:left="705" w:right="168" w:firstLine="0"/>
        <w:jc w:val="both"/>
        <w:rPr>
          <w:rFonts w:ascii="Arial" w:hAnsi="Arial"/>
          <w:i/>
          <w:sz w:val="20"/>
        </w:rPr>
      </w:pPr>
      <w:r>
        <w:rPr>
          <w:rFonts w:ascii="Arial" w:hAnsi="Arial"/>
          <w:i/>
          <w:sz w:val="20"/>
        </w:rPr>
        <w:t>E.C.R. I–7831</w:t>
      </w:r>
      <w:r>
        <w:rPr>
          <w:sz w:val="20"/>
        </w:rPr>
        <w:t>; </w:t>
      </w:r>
      <w:r>
        <w:rPr>
          <w:rFonts w:ascii="Arial" w:hAnsi="Arial"/>
          <w:i/>
          <w:sz w:val="20"/>
        </w:rPr>
        <w:t>Portugaia Construcoes Ltd (C-164/99) [2002] E.C.R. I–787</w:t>
      </w:r>
      <w:r>
        <w:rPr>
          <w:sz w:val="20"/>
        </w:rPr>
        <w:t>; </w:t>
      </w:r>
      <w:r>
        <w:rPr>
          <w:rFonts w:ascii="Arial" w:hAnsi="Arial"/>
          <w:i/>
          <w:sz w:val="20"/>
        </w:rPr>
        <w:t>Ruffert v </w:t>
      </w:r>
      <w:r>
        <w:rPr>
          <w:rFonts w:ascii="Arial" w:hAnsi="Arial"/>
          <w:i/>
          <w:sz w:val="20"/>
        </w:rPr>
        <w:t>Land Nidersachen</w:t>
      </w:r>
      <w:r>
        <w:rPr>
          <w:rFonts w:ascii="Arial" w:hAnsi="Arial"/>
          <w:i/>
          <w:spacing w:val="16"/>
          <w:sz w:val="20"/>
        </w:rPr>
        <w:t> </w:t>
      </w:r>
      <w:r>
        <w:rPr>
          <w:rFonts w:ascii="Arial" w:hAnsi="Arial"/>
          <w:i/>
          <w:sz w:val="20"/>
        </w:rPr>
        <w:t>(C-346/06)</w:t>
      </w:r>
      <w:r>
        <w:rPr>
          <w:rFonts w:ascii="Arial" w:hAnsi="Arial"/>
          <w:i/>
          <w:spacing w:val="19"/>
          <w:sz w:val="20"/>
        </w:rPr>
        <w:t> </w:t>
      </w:r>
      <w:r>
        <w:rPr>
          <w:rFonts w:ascii="Arial" w:hAnsi="Arial"/>
          <w:i/>
          <w:sz w:val="20"/>
        </w:rPr>
        <w:t>[2008]</w:t>
      </w:r>
      <w:r>
        <w:rPr>
          <w:rFonts w:ascii="Arial" w:hAnsi="Arial"/>
          <w:i/>
          <w:spacing w:val="19"/>
          <w:sz w:val="20"/>
        </w:rPr>
        <w:t> </w:t>
      </w:r>
      <w:r>
        <w:rPr>
          <w:rFonts w:ascii="Arial" w:hAnsi="Arial"/>
          <w:i/>
          <w:sz w:val="20"/>
        </w:rPr>
        <w:t>2</w:t>
      </w:r>
      <w:r>
        <w:rPr>
          <w:rFonts w:ascii="Arial" w:hAnsi="Arial"/>
          <w:i/>
          <w:spacing w:val="19"/>
          <w:sz w:val="20"/>
        </w:rPr>
        <w:t> </w:t>
      </w:r>
      <w:r>
        <w:rPr>
          <w:rFonts w:ascii="Arial" w:hAnsi="Arial"/>
          <w:i/>
          <w:sz w:val="20"/>
        </w:rPr>
        <w:t>C.M.L.R.</w:t>
      </w:r>
      <w:r>
        <w:rPr>
          <w:rFonts w:ascii="Arial" w:hAnsi="Arial"/>
          <w:i/>
          <w:spacing w:val="19"/>
          <w:sz w:val="20"/>
        </w:rPr>
        <w:t> </w:t>
      </w:r>
      <w:r>
        <w:rPr>
          <w:rFonts w:ascii="Arial" w:hAnsi="Arial"/>
          <w:i/>
          <w:sz w:val="20"/>
        </w:rPr>
        <w:t>39</w:t>
      </w:r>
      <w:r>
        <w:rPr>
          <w:sz w:val="20"/>
        </w:rPr>
        <w:t>;</w:t>
      </w:r>
      <w:r>
        <w:rPr>
          <w:spacing w:val="19"/>
          <w:sz w:val="20"/>
        </w:rPr>
        <w:t> </w:t>
      </w:r>
      <w:r>
        <w:rPr>
          <w:rFonts w:ascii="Arial" w:hAnsi="Arial"/>
          <w:i/>
          <w:sz w:val="20"/>
        </w:rPr>
        <w:t>Svenska</w:t>
      </w:r>
      <w:r>
        <w:rPr>
          <w:rFonts w:ascii="Arial" w:hAnsi="Arial"/>
          <w:i/>
          <w:spacing w:val="19"/>
          <w:sz w:val="20"/>
        </w:rPr>
        <w:t> </w:t>
      </w:r>
      <w:r>
        <w:rPr>
          <w:rFonts w:ascii="Arial" w:hAnsi="Arial"/>
          <w:i/>
          <w:sz w:val="20"/>
        </w:rPr>
        <w:t>Staten</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Holmqvist</w:t>
      </w:r>
      <w:r>
        <w:rPr>
          <w:rFonts w:ascii="Arial" w:hAnsi="Arial"/>
          <w:i/>
          <w:spacing w:val="19"/>
          <w:sz w:val="20"/>
        </w:rPr>
        <w:t> </w:t>
      </w:r>
      <w:r>
        <w:rPr>
          <w:rFonts w:ascii="Arial" w:hAnsi="Arial"/>
          <w:i/>
          <w:sz w:val="20"/>
        </w:rPr>
        <w:t>(C-310/07)</w:t>
      </w:r>
      <w:r>
        <w:rPr>
          <w:rFonts w:ascii="Arial" w:hAnsi="Arial"/>
          <w:i/>
          <w:spacing w:val="19"/>
          <w:sz w:val="20"/>
        </w:rPr>
        <w:t> </w:t>
      </w:r>
      <w:r>
        <w:rPr>
          <w:rFonts w:ascii="Arial" w:hAnsi="Arial"/>
          <w:i/>
          <w:spacing w:val="-2"/>
          <w:sz w:val="20"/>
        </w:rPr>
        <w:t>[2009]</w:t>
      </w:r>
    </w:p>
    <w:p>
      <w:pPr>
        <w:spacing w:line="223" w:lineRule="exact" w:before="0"/>
        <w:ind w:left="705" w:right="0" w:firstLine="0"/>
        <w:jc w:val="both"/>
        <w:rPr>
          <w:rFonts w:ascii="Arial" w:hAnsi="Arial"/>
          <w:i/>
          <w:sz w:val="20"/>
        </w:rPr>
      </w:pPr>
      <w:r>
        <w:rPr>
          <w:rFonts w:ascii="Arial" w:hAnsi="Arial"/>
          <w:i/>
          <w:sz w:val="20"/>
        </w:rPr>
        <w:t>I.C.R.</w:t>
      </w:r>
      <w:r>
        <w:rPr>
          <w:rFonts w:ascii="Arial" w:hAnsi="Arial"/>
          <w:i/>
          <w:spacing w:val="25"/>
          <w:sz w:val="20"/>
        </w:rPr>
        <w:t> </w:t>
      </w:r>
      <w:r>
        <w:rPr>
          <w:rFonts w:ascii="Arial" w:hAnsi="Arial"/>
          <w:i/>
          <w:sz w:val="20"/>
        </w:rPr>
        <w:t>675</w:t>
      </w:r>
      <w:r>
        <w:rPr>
          <w:sz w:val="20"/>
        </w:rPr>
        <w:t>.</w:t>
      </w:r>
      <w:r>
        <w:rPr>
          <w:spacing w:val="26"/>
          <w:sz w:val="20"/>
        </w:rPr>
        <w:t> </w:t>
      </w:r>
      <w:r>
        <w:rPr>
          <w:sz w:val="20"/>
        </w:rPr>
        <w:t>See</w:t>
      </w:r>
      <w:r>
        <w:rPr>
          <w:spacing w:val="26"/>
          <w:sz w:val="20"/>
        </w:rPr>
        <w:t> </w:t>
      </w:r>
      <w:r>
        <w:rPr>
          <w:sz w:val="20"/>
        </w:rPr>
        <w:t>generally</w:t>
      </w:r>
      <w:r>
        <w:rPr>
          <w:spacing w:val="25"/>
          <w:sz w:val="20"/>
        </w:rPr>
        <w:t> </w:t>
      </w:r>
      <w:r>
        <w:rPr>
          <w:rFonts w:ascii="Arial" w:hAnsi="Arial"/>
          <w:i/>
          <w:sz w:val="20"/>
        </w:rPr>
        <w:t>Koelzsch</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État</w:t>
      </w:r>
      <w:r>
        <w:rPr>
          <w:rFonts w:ascii="Arial" w:hAnsi="Arial"/>
          <w:i/>
          <w:spacing w:val="26"/>
          <w:sz w:val="20"/>
        </w:rPr>
        <w:t> </w:t>
      </w:r>
      <w:r>
        <w:rPr>
          <w:rFonts w:ascii="Arial" w:hAnsi="Arial"/>
          <w:i/>
          <w:sz w:val="20"/>
        </w:rPr>
        <w:t>du</w:t>
      </w:r>
      <w:r>
        <w:rPr>
          <w:rFonts w:ascii="Arial" w:hAnsi="Arial"/>
          <w:i/>
          <w:spacing w:val="26"/>
          <w:sz w:val="20"/>
        </w:rPr>
        <w:t> </w:t>
      </w:r>
      <w:r>
        <w:rPr>
          <w:rFonts w:ascii="Arial" w:hAnsi="Arial"/>
          <w:i/>
          <w:sz w:val="20"/>
        </w:rPr>
        <w:t>Grand-Duché</w:t>
      </w:r>
      <w:r>
        <w:rPr>
          <w:rFonts w:ascii="Arial" w:hAnsi="Arial"/>
          <w:i/>
          <w:spacing w:val="26"/>
          <w:sz w:val="20"/>
        </w:rPr>
        <w:t> </w:t>
      </w:r>
      <w:r>
        <w:rPr>
          <w:rFonts w:ascii="Arial" w:hAnsi="Arial"/>
          <w:i/>
          <w:sz w:val="20"/>
        </w:rPr>
        <w:t>de</w:t>
      </w:r>
      <w:r>
        <w:rPr>
          <w:rFonts w:ascii="Arial" w:hAnsi="Arial"/>
          <w:i/>
          <w:spacing w:val="26"/>
          <w:sz w:val="20"/>
        </w:rPr>
        <w:t> </w:t>
      </w:r>
      <w:r>
        <w:rPr>
          <w:rFonts w:ascii="Arial" w:hAnsi="Arial"/>
          <w:i/>
          <w:sz w:val="20"/>
        </w:rPr>
        <w:t>Luxembourg</w:t>
      </w:r>
      <w:r>
        <w:rPr>
          <w:rFonts w:ascii="Arial" w:hAnsi="Arial"/>
          <w:i/>
          <w:spacing w:val="26"/>
          <w:sz w:val="20"/>
        </w:rPr>
        <w:t> </w:t>
      </w:r>
      <w:r>
        <w:rPr>
          <w:rFonts w:ascii="Arial" w:hAnsi="Arial"/>
          <w:i/>
          <w:sz w:val="20"/>
        </w:rPr>
        <w:t>(C-29/10)</w:t>
      </w:r>
      <w:r>
        <w:rPr>
          <w:rFonts w:ascii="Arial" w:hAnsi="Arial"/>
          <w:i/>
          <w:spacing w:val="26"/>
          <w:sz w:val="20"/>
        </w:rPr>
        <w:t> </w:t>
      </w:r>
      <w:r>
        <w:rPr>
          <w:rFonts w:ascii="Arial" w:hAnsi="Arial"/>
          <w:i/>
          <w:spacing w:val="-2"/>
          <w:sz w:val="20"/>
        </w:rPr>
        <w:t>[2012]</w:t>
      </w:r>
    </w:p>
    <w:p>
      <w:pPr>
        <w:spacing w:line="235" w:lineRule="auto" w:before="0"/>
        <w:ind w:left="705" w:right="168" w:firstLine="0"/>
        <w:jc w:val="both"/>
        <w:rPr>
          <w:sz w:val="20"/>
        </w:rPr>
      </w:pPr>
      <w:r>
        <w:rPr>
          <w:rFonts w:ascii="Arial" w:hAnsi="Arial"/>
          <w:i/>
          <w:sz w:val="20"/>
        </w:rPr>
        <w:t>Q.B.</w:t>
      </w:r>
      <w:r>
        <w:rPr>
          <w:rFonts w:ascii="Arial" w:hAnsi="Arial"/>
          <w:i/>
          <w:spacing w:val="40"/>
          <w:sz w:val="20"/>
        </w:rPr>
        <w:t> </w:t>
      </w:r>
      <w:r>
        <w:rPr>
          <w:rFonts w:ascii="Arial" w:hAnsi="Arial"/>
          <w:i/>
          <w:sz w:val="20"/>
        </w:rPr>
        <w:t>210</w:t>
      </w:r>
      <w:r>
        <w:rPr>
          <w:sz w:val="20"/>
        </w:rPr>
        <w:t>;</w:t>
      </w:r>
      <w:r>
        <w:rPr>
          <w:spacing w:val="40"/>
          <w:sz w:val="20"/>
        </w:rPr>
        <w:t> </w:t>
      </w:r>
      <w:r>
        <w:rPr>
          <w:rFonts w:ascii="Arial" w:hAnsi="Arial"/>
          <w:i/>
          <w:sz w:val="20"/>
        </w:rPr>
        <w:t>Voogsgeerd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Navimer</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(C-384/10)</w:t>
      </w:r>
      <w:r>
        <w:rPr>
          <w:rFonts w:ascii="Arial" w:hAnsi="Arial"/>
          <w:i/>
          <w:spacing w:val="40"/>
          <w:sz w:val="20"/>
        </w:rPr>
        <w:t> </w:t>
      </w:r>
      <w:r>
        <w:rPr>
          <w:rFonts w:ascii="Arial" w:hAnsi="Arial"/>
          <w:i/>
          <w:sz w:val="20"/>
        </w:rPr>
        <w:t>[2012]</w:t>
      </w:r>
      <w:r>
        <w:rPr>
          <w:rFonts w:ascii="Arial" w:hAnsi="Arial"/>
          <w:i/>
          <w:spacing w:val="40"/>
          <w:sz w:val="20"/>
        </w:rPr>
        <w:t> </w:t>
      </w:r>
      <w:r>
        <w:rPr>
          <w:rFonts w:ascii="Arial" w:hAnsi="Arial"/>
          <w:i/>
          <w:sz w:val="20"/>
        </w:rPr>
        <w:t>I.L.Pr.</w:t>
      </w:r>
      <w:r>
        <w:rPr>
          <w:rFonts w:ascii="Arial" w:hAnsi="Arial"/>
          <w:i/>
          <w:spacing w:val="40"/>
          <w:sz w:val="20"/>
        </w:rPr>
        <w:t> </w:t>
      </w:r>
      <w:r>
        <w:rPr>
          <w:rFonts w:ascii="Arial" w:hAnsi="Arial"/>
          <w:i/>
          <w:sz w:val="20"/>
        </w:rPr>
        <w:t>16</w:t>
      </w:r>
      <w:r>
        <w:rPr>
          <w:sz w:val="20"/>
        </w:rPr>
        <w:t>;</w:t>
      </w:r>
      <w:r>
        <w:rPr>
          <w:spacing w:val="40"/>
          <w:sz w:val="20"/>
        </w:rPr>
        <w:t> </w:t>
      </w:r>
      <w:r>
        <w:rPr>
          <w:rFonts w:ascii="Arial" w:hAnsi="Arial"/>
          <w:i/>
          <w:sz w:val="20"/>
        </w:rPr>
        <w:t>Schlecker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Boedeker (C-64/12) [2014] Q.B. 320</w:t>
      </w:r>
      <w:r>
        <w:rPr>
          <w:sz w:val="20"/>
        </w:rPr>
        <w:t>; Smith and Villiers (1996) Jur. Rev. 167. As to the position under</w:t>
      </w:r>
      <w:r>
        <w:rPr>
          <w:spacing w:val="40"/>
          <w:sz w:val="20"/>
        </w:rPr>
        <w:t> </w:t>
      </w:r>
      <w:r>
        <w:rPr>
          <w:sz w:val="20"/>
        </w:rPr>
        <w:t>art.8 of the Rome I Regulation, see below, paras 30–278 et seq.</w:t>
      </w:r>
    </w:p>
    <w:p>
      <w:pPr>
        <w:pStyle w:val="BodyText"/>
        <w:spacing w:before="1"/>
      </w:pPr>
    </w:p>
    <w:p>
      <w:pPr>
        <w:pStyle w:val="BodyText"/>
        <w:tabs>
          <w:tab w:pos="705" w:val="left" w:leader="none"/>
        </w:tabs>
        <w:ind w:left="165"/>
      </w:pPr>
      <w:bookmarkStart w:name="_bookmark1073" w:id="1075"/>
      <w:bookmarkEnd w:id="1075"/>
      <w:r>
        <w:rPr/>
      </w:r>
      <w:hyperlink w:history="true" w:anchor="_bookmark947">
        <w:r>
          <w:rPr>
            <w:color w:val="005DA1"/>
            <w:spacing w:val="-4"/>
            <w:position w:val="5"/>
            <w:sz w:val="14"/>
            <w:u w:val="single" w:color="005DA1"/>
          </w:rPr>
          <w:t>537</w:t>
        </w:r>
      </w:hyperlink>
      <w:r>
        <w:rPr>
          <w:spacing w:val="-4"/>
          <w:position w:val="5"/>
          <w:sz w:val="14"/>
        </w:rPr>
        <w:t>.</w:t>
      </w:r>
      <w:r>
        <w:rPr>
          <w:position w:val="5"/>
          <w:sz w:val="14"/>
        </w:rPr>
        <w:tab/>
      </w:r>
      <w:r>
        <w:rPr/>
        <w:t>Giuliano-Lagarde Report, </w:t>
      </w:r>
      <w:r>
        <w:rPr>
          <w:spacing w:val="-2"/>
        </w:rPr>
        <w:t>p.25.</w:t>
      </w:r>
    </w:p>
    <w:p>
      <w:pPr>
        <w:pStyle w:val="BodyText"/>
        <w:spacing w:before="5"/>
      </w:pPr>
    </w:p>
    <w:p>
      <w:pPr>
        <w:pStyle w:val="BodyText"/>
        <w:tabs>
          <w:tab w:pos="705" w:val="left" w:leader="none"/>
        </w:tabs>
        <w:ind w:left="165"/>
      </w:pPr>
      <w:bookmarkStart w:name="_bookmark1074" w:id="1076"/>
      <w:bookmarkEnd w:id="1076"/>
      <w:r>
        <w:rPr/>
      </w:r>
      <w:hyperlink w:history="true" w:anchor="_bookmark948">
        <w:r>
          <w:rPr>
            <w:color w:val="005DA1"/>
            <w:spacing w:val="-4"/>
            <w:position w:val="5"/>
            <w:sz w:val="14"/>
            <w:u w:val="single" w:color="005DA1"/>
          </w:rPr>
          <w:t>538</w:t>
        </w:r>
      </w:hyperlink>
      <w:r>
        <w:rPr>
          <w:spacing w:val="-4"/>
          <w:position w:val="5"/>
          <w:sz w:val="14"/>
        </w:rPr>
        <w:t>.</w:t>
      </w:r>
      <w:r>
        <w:rPr>
          <w:position w:val="5"/>
          <w:sz w:val="14"/>
        </w:rPr>
        <w:tab/>
      </w:r>
      <w:r>
        <w:rPr/>
        <w:t>Above,</w:t>
      </w:r>
      <w:r>
        <w:rPr>
          <w:spacing w:val="-2"/>
        </w:rPr>
        <w:t> </w:t>
      </w:r>
      <w:r>
        <w:rPr/>
        <w:t>paras 30–046 et </w:t>
      </w:r>
      <w:r>
        <w:rPr>
          <w:spacing w:val="-4"/>
        </w:rPr>
        <w:t>seq.</w:t>
      </w:r>
    </w:p>
    <w:p>
      <w:pPr>
        <w:pStyle w:val="BodyText"/>
        <w:spacing w:before="5"/>
      </w:pPr>
    </w:p>
    <w:p>
      <w:pPr>
        <w:pStyle w:val="BodyText"/>
        <w:tabs>
          <w:tab w:pos="705" w:val="left" w:leader="none"/>
        </w:tabs>
        <w:ind w:left="165"/>
      </w:pPr>
      <w:bookmarkStart w:name="_bookmark1075" w:id="1077"/>
      <w:bookmarkEnd w:id="1077"/>
      <w:r>
        <w:rPr/>
      </w:r>
      <w:hyperlink w:history="true" w:anchor="_bookmark949">
        <w:r>
          <w:rPr>
            <w:color w:val="005DA1"/>
            <w:spacing w:val="-4"/>
            <w:position w:val="5"/>
            <w:sz w:val="14"/>
            <w:u w:val="single" w:color="005DA1"/>
          </w:rPr>
          <w:t>539</w:t>
        </w:r>
      </w:hyperlink>
      <w:r>
        <w:rPr>
          <w:spacing w:val="-4"/>
          <w:position w:val="5"/>
          <w:sz w:val="14"/>
        </w:rPr>
        <w:t>.</w:t>
      </w:r>
      <w:r>
        <w:rPr>
          <w:position w:val="5"/>
          <w:sz w:val="14"/>
        </w:rPr>
        <w:tab/>
      </w:r>
      <w:r>
        <w:rPr/>
        <w:t>cf. the position with regard to “certain consumer contracts”, above, paras 30–092 et </w:t>
      </w:r>
      <w:r>
        <w:rPr>
          <w:spacing w:val="-4"/>
        </w:rPr>
        <w:t>seq.</w:t>
      </w:r>
    </w:p>
    <w:p>
      <w:pPr>
        <w:pStyle w:val="BodyText"/>
        <w:spacing w:before="9"/>
      </w:pPr>
    </w:p>
    <w:p>
      <w:pPr>
        <w:spacing w:line="235" w:lineRule="auto" w:before="0"/>
        <w:ind w:left="705" w:right="167" w:hanging="541"/>
        <w:jc w:val="both"/>
        <w:rPr>
          <w:sz w:val="20"/>
        </w:rPr>
      </w:pPr>
      <w:bookmarkStart w:name="_bookmark1076" w:id="1078"/>
      <w:bookmarkEnd w:id="1078"/>
      <w:r>
        <w:rPr/>
      </w:r>
      <w:hyperlink w:history="true" w:anchor="_bookmark950">
        <w:r>
          <w:rPr>
            <w:color w:val="005DA1"/>
            <w:position w:val="5"/>
            <w:sz w:val="14"/>
            <w:u w:val="single" w:color="005DA1"/>
          </w:rPr>
          <w:t>540</w:t>
        </w:r>
      </w:hyperlink>
      <w:r>
        <w:rPr>
          <w:position w:val="5"/>
          <w:sz w:val="14"/>
        </w:rPr>
        <w:t>.</w:t>
      </w:r>
      <w:r>
        <w:rPr>
          <w:spacing w:val="80"/>
          <w:w w:val="150"/>
          <w:position w:val="5"/>
          <w:sz w:val="14"/>
        </w:rPr>
        <w:t> </w:t>
      </w:r>
      <w:r>
        <w:rPr>
          <w:sz w:val="20"/>
        </w:rPr>
        <w:t>Rome Convention art.6(1). As to whether a choice of law in an employment contract has </w:t>
      </w:r>
      <w:r>
        <w:rPr>
          <w:sz w:val="20"/>
        </w:rPr>
        <w:t>been demonstrated with reasonable certainty, see </w:t>
      </w:r>
      <w:r>
        <w:rPr>
          <w:rFonts w:ascii="Arial"/>
          <w:i/>
          <w:sz w:val="20"/>
        </w:rPr>
        <w:t>Chunilal v Merrill Lynch International Inc [2010] EWHC 1467 (Comm)</w:t>
      </w:r>
      <w:r>
        <w:rPr>
          <w:sz w:val="20"/>
        </w:rPr>
        <w:t>; </w:t>
      </w:r>
      <w:r>
        <w:rPr>
          <w:rFonts w:ascii="Arial"/>
          <w:i/>
          <w:sz w:val="20"/>
        </w:rPr>
        <w:t>OJSC TNK-BP Holding v Lazurenko [2012] EWHC 2781 (Ch)</w:t>
      </w:r>
      <w:r>
        <w:rPr>
          <w:sz w:val="20"/>
        </w:rPr>
        <w:t>.</w:t>
      </w:r>
    </w:p>
    <w:p>
      <w:pPr>
        <w:pStyle w:val="BodyText"/>
        <w:spacing w:before="5"/>
      </w:pPr>
    </w:p>
    <w:p>
      <w:pPr>
        <w:pStyle w:val="BodyText"/>
        <w:tabs>
          <w:tab w:pos="705" w:val="left" w:leader="none"/>
        </w:tabs>
        <w:ind w:left="165"/>
      </w:pPr>
      <w:bookmarkStart w:name="_bookmark1077" w:id="1079"/>
      <w:bookmarkEnd w:id="1079"/>
      <w:r>
        <w:rPr/>
      </w:r>
      <w:hyperlink w:history="true" w:anchor="_bookmark951">
        <w:r>
          <w:rPr>
            <w:color w:val="005DA1"/>
            <w:spacing w:val="-4"/>
            <w:position w:val="5"/>
            <w:sz w:val="14"/>
            <w:u w:val="single" w:color="005DA1"/>
          </w:rPr>
          <w:t>541</w:t>
        </w:r>
      </w:hyperlink>
      <w:r>
        <w:rPr>
          <w:spacing w:val="-4"/>
          <w:position w:val="5"/>
          <w:sz w:val="14"/>
        </w:rPr>
        <w:t>.</w:t>
      </w:r>
      <w:r>
        <w:rPr>
          <w:position w:val="5"/>
          <w:sz w:val="14"/>
        </w:rPr>
        <w:tab/>
      </w:r>
      <w:r>
        <w:rPr/>
        <w:t>Rome Convention </w:t>
      </w:r>
      <w:r>
        <w:rPr>
          <w:spacing w:val="-2"/>
        </w:rPr>
        <w:t>art.6(2)(a).</w:t>
      </w:r>
    </w:p>
    <w:p>
      <w:pPr>
        <w:pStyle w:val="BodyText"/>
        <w:spacing w:before="8"/>
      </w:pPr>
    </w:p>
    <w:p>
      <w:pPr>
        <w:spacing w:line="235" w:lineRule="auto" w:before="1"/>
        <w:ind w:left="705" w:right="168" w:hanging="541"/>
        <w:jc w:val="both"/>
        <w:rPr>
          <w:sz w:val="20"/>
        </w:rPr>
      </w:pPr>
      <w:bookmarkStart w:name="_bookmark1078" w:id="1080"/>
      <w:bookmarkEnd w:id="1080"/>
      <w:r>
        <w:rPr/>
      </w:r>
      <w:hyperlink w:history="true" w:anchor="_bookmark952">
        <w:r>
          <w:rPr>
            <w:color w:val="005DA1"/>
            <w:position w:val="5"/>
            <w:sz w:val="14"/>
            <w:u w:val="single" w:color="005DA1"/>
          </w:rPr>
          <w:t>542</w:t>
        </w:r>
      </w:hyperlink>
      <w:r>
        <w:rPr>
          <w:position w:val="5"/>
          <w:sz w:val="14"/>
        </w:rPr>
        <w:t>.</w:t>
      </w:r>
      <w:r>
        <w:rPr>
          <w:spacing w:val="80"/>
          <w:position w:val="5"/>
          <w:sz w:val="14"/>
        </w:rPr>
        <w:t>  </w:t>
      </w:r>
      <w:r>
        <w:rPr>
          <w:rFonts w:ascii="Arial" w:hAnsi="Arial"/>
          <w:i/>
          <w:sz w:val="20"/>
        </w:rPr>
        <w:t>Koelzsch v État du Grand-Duché de Luxembourg (C-29/10) [2012] Q.B. 210</w:t>
      </w:r>
      <w:r>
        <w:rPr>
          <w:sz w:val="20"/>
        </w:rPr>
        <w:t>. And see </w:t>
      </w:r>
      <w:r>
        <w:rPr>
          <w:rFonts w:ascii="Arial" w:hAnsi="Arial"/>
          <w:i/>
          <w:sz w:val="20"/>
        </w:rPr>
        <w:t>Chunilal</w:t>
      </w:r>
      <w:r>
        <w:rPr>
          <w:rFonts w:ascii="Arial" w:hAnsi="Arial"/>
          <w:i/>
          <w:spacing w:val="80"/>
          <w:sz w:val="20"/>
        </w:rPr>
        <w:t> </w:t>
      </w:r>
      <w:r>
        <w:rPr>
          <w:rFonts w:ascii="Arial" w:hAnsi="Arial"/>
          <w:i/>
          <w:sz w:val="20"/>
        </w:rPr>
        <w:t>v Merrill Lynch International Inc [2010] EWHC 1467 (Comm)</w:t>
      </w:r>
      <w:r>
        <w:rPr>
          <w:sz w:val="20"/>
        </w:rPr>
        <w:t>; </w:t>
      </w:r>
      <w:r>
        <w:rPr>
          <w:rFonts w:ascii="Arial" w:hAnsi="Arial"/>
          <w:i/>
          <w:sz w:val="20"/>
        </w:rPr>
        <w:t>Schlecker v Boedeker (C-</w:t>
      </w:r>
      <w:r>
        <w:rPr>
          <w:rFonts w:ascii="Arial" w:hAnsi="Arial"/>
          <w:i/>
          <w:sz w:val="20"/>
        </w:rPr>
        <w:t>64/12) [2014] Q.B. 320</w:t>
      </w:r>
      <w:r>
        <w:rPr>
          <w:sz w:val="20"/>
        </w:rPr>
        <w:t>.</w:t>
      </w:r>
    </w:p>
    <w:p>
      <w:pPr>
        <w:pStyle w:val="BodyText"/>
        <w:spacing w:before="5"/>
      </w:pPr>
    </w:p>
    <w:p>
      <w:pPr>
        <w:pStyle w:val="BodyText"/>
        <w:tabs>
          <w:tab w:pos="705" w:val="left" w:leader="none"/>
        </w:tabs>
        <w:ind w:left="165"/>
      </w:pPr>
      <w:bookmarkStart w:name="_bookmark1079" w:id="1081"/>
      <w:bookmarkEnd w:id="1081"/>
      <w:r>
        <w:rPr/>
      </w:r>
      <w:hyperlink w:history="true" w:anchor="_bookmark953">
        <w:r>
          <w:rPr>
            <w:color w:val="005DA1"/>
            <w:spacing w:val="-4"/>
            <w:position w:val="5"/>
            <w:sz w:val="14"/>
            <w:u w:val="single" w:color="005DA1"/>
          </w:rPr>
          <w:t>543</w:t>
        </w:r>
      </w:hyperlink>
      <w:r>
        <w:rPr>
          <w:spacing w:val="-4"/>
          <w:position w:val="5"/>
          <w:sz w:val="14"/>
        </w:rPr>
        <w:t>.</w:t>
      </w:r>
      <w:r>
        <w:rPr>
          <w:position w:val="5"/>
          <w:sz w:val="14"/>
        </w:rPr>
        <w:tab/>
      </w:r>
      <w:r>
        <w:rPr/>
        <w:t>Rome Convention </w:t>
      </w:r>
      <w:r>
        <w:rPr>
          <w:spacing w:val="-2"/>
        </w:rPr>
        <w:t>art.6(2)(b).</w:t>
      </w:r>
    </w:p>
    <w:p>
      <w:pPr>
        <w:pStyle w:val="BodyText"/>
        <w:spacing w:before="5"/>
      </w:pPr>
    </w:p>
    <w:p>
      <w:pPr>
        <w:tabs>
          <w:tab w:pos="705" w:val="left" w:leader="none"/>
        </w:tabs>
        <w:spacing w:before="0"/>
        <w:ind w:left="165" w:right="0" w:firstLine="0"/>
        <w:jc w:val="left"/>
        <w:rPr>
          <w:sz w:val="20"/>
        </w:rPr>
      </w:pPr>
      <w:bookmarkStart w:name="_bookmark1080" w:id="1082"/>
      <w:bookmarkEnd w:id="1082"/>
      <w:r>
        <w:rPr/>
      </w:r>
      <w:hyperlink w:history="true" w:anchor="_bookmark954">
        <w:r>
          <w:rPr>
            <w:color w:val="005DA1"/>
            <w:spacing w:val="-4"/>
            <w:position w:val="5"/>
            <w:sz w:val="14"/>
            <w:u w:val="single" w:color="005DA1"/>
          </w:rPr>
          <w:t>544</w:t>
        </w:r>
      </w:hyperlink>
      <w:r>
        <w:rPr>
          <w:spacing w:val="-4"/>
          <w:position w:val="5"/>
          <w:sz w:val="14"/>
        </w:rPr>
        <w:t>.</w:t>
      </w:r>
      <w:r>
        <w:rPr>
          <w:position w:val="5"/>
          <w:sz w:val="14"/>
        </w:rPr>
        <w:tab/>
      </w:r>
      <w:r>
        <w:rPr>
          <w:rFonts w:ascii="Arial"/>
          <w:i/>
          <w:sz w:val="20"/>
        </w:rPr>
        <w:t>Voogsgeerd v Navimer SA (C-384/10) [2012] I.L.Pr </w:t>
      </w:r>
      <w:r>
        <w:rPr>
          <w:rFonts w:ascii="Arial"/>
          <w:i/>
          <w:spacing w:val="-5"/>
          <w:sz w:val="20"/>
        </w:rPr>
        <w:t>16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081" w:id="1083"/>
      <w:bookmarkEnd w:id="1083"/>
      <w:r>
        <w:rPr/>
      </w:r>
      <w:hyperlink w:history="true" w:anchor="_bookmark955">
        <w:r>
          <w:rPr>
            <w:color w:val="005DA1"/>
            <w:spacing w:val="-4"/>
            <w:position w:val="5"/>
            <w:sz w:val="14"/>
            <w:u w:val="single" w:color="005DA1"/>
          </w:rPr>
          <w:t>545</w:t>
        </w:r>
      </w:hyperlink>
      <w:r>
        <w:rPr>
          <w:spacing w:val="-4"/>
          <w:position w:val="5"/>
          <w:sz w:val="14"/>
        </w:rPr>
        <w:t>.</w:t>
      </w:r>
      <w:r>
        <w:rPr>
          <w:position w:val="5"/>
          <w:sz w:val="14"/>
        </w:rPr>
        <w:tab/>
      </w:r>
      <w:r>
        <w:rPr>
          <w:sz w:val="20"/>
        </w:rPr>
        <w:t>Rome Convention art.6(2), proviso.</w:t>
      </w:r>
      <w:r>
        <w:rPr>
          <w:spacing w:val="-1"/>
          <w:sz w:val="20"/>
        </w:rPr>
        <w:t> </w:t>
      </w:r>
      <w:r>
        <w:rPr>
          <w:rFonts w:ascii="Arial"/>
          <w:i/>
          <w:sz w:val="20"/>
        </w:rPr>
        <w:t>Schlecker v Boedeker (C-64/12) [2014] Q.B. </w:t>
      </w:r>
      <w:r>
        <w:rPr>
          <w:rFonts w:ascii="Arial"/>
          <w:i/>
          <w:spacing w:val="-4"/>
          <w:sz w:val="20"/>
        </w:rPr>
        <w:t>320</w:t>
      </w:r>
      <w:r>
        <w:rPr>
          <w:spacing w:val="-4"/>
          <w:sz w:val="20"/>
        </w:rPr>
        <w:t>.</w:t>
      </w:r>
    </w:p>
    <w:p>
      <w:pPr>
        <w:pStyle w:val="BodyText"/>
        <w:spacing w:before="5"/>
      </w:pPr>
    </w:p>
    <w:p>
      <w:pPr>
        <w:pStyle w:val="BodyText"/>
        <w:tabs>
          <w:tab w:pos="705" w:val="left" w:leader="none"/>
        </w:tabs>
        <w:ind w:left="165"/>
      </w:pPr>
      <w:bookmarkStart w:name="_bookmark1082" w:id="1084"/>
      <w:bookmarkEnd w:id="1084"/>
      <w:r>
        <w:rPr/>
      </w:r>
      <w:hyperlink w:history="true" w:anchor="_bookmark956">
        <w:r>
          <w:rPr>
            <w:color w:val="005DA1"/>
            <w:spacing w:val="-4"/>
            <w:position w:val="5"/>
            <w:sz w:val="14"/>
            <w:u w:val="single" w:color="005DA1"/>
          </w:rPr>
          <w:t>546</w:t>
        </w:r>
      </w:hyperlink>
      <w:r>
        <w:rPr>
          <w:spacing w:val="-4"/>
          <w:position w:val="5"/>
          <w:sz w:val="14"/>
        </w:rPr>
        <w:t>.</w:t>
      </w:r>
      <w:r>
        <w:rPr>
          <w:position w:val="5"/>
          <w:sz w:val="14"/>
        </w:rPr>
        <w:tab/>
      </w:r>
      <w:r>
        <w:rPr/>
        <w:t>Giuliano-Lagarde Report, </w:t>
      </w:r>
      <w:r>
        <w:rPr>
          <w:spacing w:val="-2"/>
        </w:rPr>
        <w:t>p.25.</w:t>
      </w:r>
    </w:p>
    <w:p>
      <w:pPr>
        <w:pStyle w:val="BodyText"/>
        <w:spacing w:before="9"/>
      </w:pPr>
    </w:p>
    <w:p>
      <w:pPr>
        <w:spacing w:line="235" w:lineRule="auto" w:before="0"/>
        <w:ind w:left="705" w:right="167" w:hanging="541"/>
        <w:jc w:val="both"/>
        <w:rPr>
          <w:sz w:val="20"/>
        </w:rPr>
      </w:pPr>
      <w:bookmarkStart w:name="_bookmark1083" w:id="1085"/>
      <w:bookmarkEnd w:id="1085"/>
      <w:r>
        <w:rPr/>
      </w:r>
      <w:hyperlink w:history="true" w:anchor="_bookmark957">
        <w:r>
          <w:rPr>
            <w:color w:val="005DA1"/>
            <w:position w:val="5"/>
            <w:sz w:val="14"/>
            <w:u w:val="single" w:color="005DA1"/>
          </w:rPr>
          <w:t>547</w:t>
        </w:r>
      </w:hyperlink>
      <w:r>
        <w:rPr>
          <w:position w:val="5"/>
          <w:sz w:val="14"/>
        </w:rPr>
        <w:t>.</w:t>
      </w:r>
      <w:r>
        <w:rPr>
          <w:spacing w:val="80"/>
          <w:position w:val="5"/>
          <w:sz w:val="14"/>
        </w:rPr>
        <w:t>  </w:t>
      </w:r>
      <w:r>
        <w:rPr>
          <w:sz w:val="20"/>
        </w:rPr>
        <w:t>cf. </w:t>
      </w:r>
      <w:r>
        <w:rPr>
          <w:rFonts w:ascii="Arial"/>
          <w:i/>
          <w:sz w:val="20"/>
        </w:rPr>
        <w:t>Monterosso Shipping Corp Ltd v International Transport Workers Federation [1982] I.C.R. 675</w:t>
      </w:r>
      <w:r>
        <w:rPr>
          <w:sz w:val="20"/>
        </w:rPr>
        <w:t>; </w:t>
      </w:r>
      <w:r>
        <w:rPr>
          <w:rFonts w:ascii="Arial"/>
          <w:i/>
          <w:sz w:val="20"/>
        </w:rPr>
        <w:t>Dimskal Shipping Co Ltd v International Transport Workers Federation [1992] 2 A.C. 152</w:t>
      </w:r>
      <w:r>
        <w:rPr>
          <w:sz w:val="20"/>
        </w:rPr>
        <w:t>. This may be an example of a contract for which the characteristic performance cannot be determined so that Rome Convention art.4(2) is not applicable.</w:t>
      </w:r>
    </w:p>
    <w:p>
      <w:pPr>
        <w:pStyle w:val="BodyText"/>
        <w:spacing w:before="4"/>
      </w:pPr>
    </w:p>
    <w:p>
      <w:pPr>
        <w:pStyle w:val="BodyText"/>
        <w:tabs>
          <w:tab w:pos="705" w:val="left" w:leader="none"/>
        </w:tabs>
        <w:ind w:left="165"/>
      </w:pPr>
      <w:bookmarkStart w:name="_bookmark1084" w:id="1086"/>
      <w:bookmarkEnd w:id="1086"/>
      <w:r>
        <w:rPr/>
      </w:r>
      <w:hyperlink w:history="true" w:anchor="_bookmark958">
        <w:r>
          <w:rPr>
            <w:color w:val="005DA1"/>
            <w:spacing w:val="-4"/>
            <w:position w:val="5"/>
            <w:sz w:val="14"/>
            <w:u w:val="single" w:color="005DA1"/>
          </w:rPr>
          <w:t>548</w:t>
        </w:r>
      </w:hyperlink>
      <w:r>
        <w:rPr>
          <w:spacing w:val="-4"/>
          <w:position w:val="5"/>
          <w:sz w:val="14"/>
        </w:rPr>
        <w:t>.</w:t>
      </w:r>
      <w:r>
        <w:rPr>
          <w:position w:val="5"/>
          <w:sz w:val="14"/>
        </w:rPr>
        <w:tab/>
      </w:r>
      <w:r>
        <w:rPr/>
        <w:t>See Merrett, Ch.3; Plender and Wilderspin, 4th edn (2014), paras 11–006 et </w:t>
      </w:r>
      <w:r>
        <w:rPr>
          <w:spacing w:val="-4"/>
        </w:rPr>
        <w:t>seq.</w:t>
      </w:r>
    </w:p>
    <w:p>
      <w:pPr>
        <w:pStyle w:val="BodyText"/>
        <w:spacing w:before="5"/>
      </w:pPr>
    </w:p>
    <w:p>
      <w:pPr>
        <w:tabs>
          <w:tab w:pos="705" w:val="left" w:leader="none"/>
        </w:tabs>
        <w:spacing w:before="1"/>
        <w:ind w:left="165" w:right="0" w:firstLine="0"/>
        <w:jc w:val="left"/>
        <w:rPr>
          <w:sz w:val="20"/>
        </w:rPr>
      </w:pPr>
      <w:bookmarkStart w:name="_bookmark1085" w:id="1087"/>
      <w:bookmarkEnd w:id="1087"/>
      <w:r>
        <w:rPr/>
      </w:r>
      <w:hyperlink w:history="true" w:anchor="_bookmark959">
        <w:r>
          <w:rPr>
            <w:color w:val="005DA1"/>
            <w:spacing w:val="-4"/>
            <w:position w:val="5"/>
            <w:sz w:val="14"/>
            <w:u w:val="single" w:color="005DA1"/>
          </w:rPr>
          <w:t>549</w:t>
        </w:r>
      </w:hyperlink>
      <w:r>
        <w:rPr>
          <w:spacing w:val="-4"/>
          <w:position w:val="5"/>
          <w:sz w:val="14"/>
        </w:rPr>
        <w:t>.</w:t>
      </w:r>
      <w:r>
        <w:rPr>
          <w:position w:val="5"/>
          <w:sz w:val="14"/>
        </w:rPr>
        <w:tab/>
      </w:r>
      <w:r>
        <w:rPr>
          <w:sz w:val="20"/>
        </w:rPr>
        <w:t>See</w:t>
      </w:r>
      <w:r>
        <w:rPr>
          <w:spacing w:val="-1"/>
          <w:sz w:val="20"/>
        </w:rPr>
        <w:t> </w:t>
      </w:r>
      <w:r>
        <w:rPr>
          <w:sz w:val="20"/>
        </w:rPr>
        <w:t>Eörsi,</w:t>
      </w:r>
      <w:r>
        <w:rPr>
          <w:spacing w:val="-1"/>
          <w:sz w:val="20"/>
        </w:rPr>
        <w:t> </w:t>
      </w:r>
      <w:r>
        <w:rPr>
          <w:rFonts w:ascii="Arial" w:hAnsi="Arial"/>
          <w:i/>
          <w:sz w:val="20"/>
        </w:rPr>
        <w:t>International Encyclopedia of Comparative Law</w:t>
      </w:r>
      <w:r>
        <w:rPr>
          <w:sz w:val="20"/>
        </w:rPr>
        <w:t>, Vol.XI, Ch.4, </w:t>
      </w:r>
      <w:r>
        <w:rPr>
          <w:spacing w:val="-2"/>
          <w:sz w:val="20"/>
        </w:rPr>
        <w:t>pp.34–35.</w:t>
      </w:r>
    </w:p>
    <w:p>
      <w:pPr>
        <w:pStyle w:val="BodyText"/>
        <w:spacing w:before="8"/>
      </w:pPr>
    </w:p>
    <w:p>
      <w:pPr>
        <w:pStyle w:val="BodyText"/>
        <w:tabs>
          <w:tab w:pos="705" w:val="left" w:leader="none"/>
        </w:tabs>
        <w:spacing w:line="235" w:lineRule="auto"/>
        <w:ind w:left="705" w:right="167" w:hanging="541"/>
      </w:pPr>
      <w:bookmarkStart w:name="_bookmark1086" w:id="1088"/>
      <w:bookmarkEnd w:id="1088"/>
      <w:r>
        <w:rPr/>
      </w:r>
      <w:hyperlink w:history="true" w:anchor="_bookmark960">
        <w:r>
          <w:rPr>
            <w:color w:val="005DA1"/>
            <w:spacing w:val="-4"/>
            <w:position w:val="5"/>
            <w:sz w:val="14"/>
            <w:u w:val="single" w:color="005DA1"/>
          </w:rPr>
          <w:t>550</w:t>
        </w:r>
      </w:hyperlink>
      <w:r>
        <w:rPr>
          <w:spacing w:val="-4"/>
          <w:position w:val="5"/>
          <w:sz w:val="14"/>
        </w:rPr>
        <w:t>.</w:t>
      </w:r>
      <w:r>
        <w:rPr>
          <w:position w:val="5"/>
          <w:sz w:val="14"/>
        </w:rPr>
        <w:tab/>
      </w:r>
      <w:r>
        <w:rPr/>
        <w:t>See Merrett, Ch.3; Plender and Wilderspin, 4th edn (2014), paras 11–006 et seq.; Dicey, Morris and Collins, paras 33–063—33–066.</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160711</wp:posOffset>
            </wp:positionV>
            <wp:extent cx="107988" cy="107988"/>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87" w:id="1089"/>
      <w:bookmarkEnd w:id="1089"/>
      <w:r>
        <w:rPr/>
      </w:r>
      <w:hyperlink w:history="true" w:anchor="_bookmark961">
        <w:r>
          <w:rPr>
            <w:color w:val="005DA1"/>
            <w:spacing w:val="-4"/>
            <w:sz w:val="14"/>
            <w:u w:val="single" w:color="005DA1"/>
          </w:rPr>
          <w:t>551</w:t>
        </w:r>
      </w:hyperlink>
      <w:r>
        <w:rPr>
          <w:spacing w:val="-4"/>
          <w:sz w:val="14"/>
        </w:rPr>
        <w:t>.</w:t>
      </w:r>
    </w:p>
    <w:p>
      <w:pPr>
        <w:spacing w:line="235" w:lineRule="auto" w:before="213"/>
        <w:ind w:left="165" w:right="0" w:firstLine="170"/>
        <w:jc w:val="left"/>
        <w:rPr>
          <w:sz w:val="20"/>
        </w:rPr>
      </w:pPr>
      <w:r>
        <w:rPr/>
        <w:br w:type="column"/>
      </w:r>
      <w:r>
        <w:rPr>
          <w:sz w:val="20"/>
        </w:rPr>
        <w:t>See </w:t>
      </w:r>
      <w:r>
        <w:rPr>
          <w:rFonts w:ascii="Arial"/>
          <w:i/>
          <w:sz w:val="20"/>
        </w:rPr>
        <w:t>Duarte v Black &amp; Decker Corp [2007] EWHC 2720 (QB), [2008] 1 All E.R. (Comm) 401</w:t>
      </w:r>
      <w:r>
        <w:rPr>
          <w:sz w:val="20"/>
        </w:rPr>
        <w:t>; </w:t>
      </w:r>
      <w:r>
        <w:rPr>
          <w:rFonts w:ascii="Arial"/>
          <w:i/>
          <w:sz w:val="20"/>
        </w:rPr>
        <w:t>Base Metal Trading Ltd v Shamurin [2003] EWHC 2419 (Comm), [2004] 1 All E.R. (Comm) </w:t>
      </w:r>
      <w:r>
        <w:rPr>
          <w:rFonts w:ascii="Arial"/>
          <w:i/>
          <w:spacing w:val="-4"/>
          <w:sz w:val="20"/>
        </w:rPr>
        <w:t>159</w:t>
      </w:r>
      <w:r>
        <w:rPr>
          <w:spacing w:val="-4"/>
          <w:sz w:val="20"/>
        </w:rPr>
        <w:t>,</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spacing w:line="227" w:lineRule="exact" w:before="106"/>
        <w:ind w:left="705" w:right="0" w:firstLine="0"/>
        <w:jc w:val="both"/>
        <w:rPr>
          <w:sz w:val="20"/>
        </w:rPr>
      </w:pPr>
      <w:r>
        <w:rPr>
          <w:sz w:val="20"/>
        </w:rPr>
        <w:t>reversed</w:t>
      </w:r>
      <w:r>
        <w:rPr>
          <w:spacing w:val="68"/>
          <w:sz w:val="20"/>
        </w:rPr>
        <w:t> </w:t>
      </w:r>
      <w:r>
        <w:rPr>
          <w:sz w:val="20"/>
        </w:rPr>
        <w:t>in</w:t>
      </w:r>
      <w:r>
        <w:rPr>
          <w:spacing w:val="70"/>
          <w:sz w:val="20"/>
        </w:rPr>
        <w:t> </w:t>
      </w:r>
      <w:r>
        <w:rPr>
          <w:sz w:val="20"/>
        </w:rPr>
        <w:t>part</w:t>
      </w:r>
      <w:r>
        <w:rPr>
          <w:spacing w:val="70"/>
          <w:sz w:val="20"/>
        </w:rPr>
        <w:t> </w:t>
      </w:r>
      <w:r>
        <w:rPr>
          <w:sz w:val="20"/>
        </w:rPr>
        <w:t>but</w:t>
      </w:r>
      <w:r>
        <w:rPr>
          <w:spacing w:val="70"/>
          <w:sz w:val="20"/>
        </w:rPr>
        <w:t> </w:t>
      </w:r>
      <w:r>
        <w:rPr>
          <w:sz w:val="20"/>
        </w:rPr>
        <w:t>not</w:t>
      </w:r>
      <w:r>
        <w:rPr>
          <w:spacing w:val="70"/>
          <w:sz w:val="20"/>
        </w:rPr>
        <w:t> </w:t>
      </w:r>
      <w:r>
        <w:rPr>
          <w:sz w:val="20"/>
        </w:rPr>
        <w:t>on</w:t>
      </w:r>
      <w:r>
        <w:rPr>
          <w:spacing w:val="70"/>
          <w:sz w:val="20"/>
        </w:rPr>
        <w:t> </w:t>
      </w:r>
      <w:r>
        <w:rPr>
          <w:sz w:val="20"/>
        </w:rPr>
        <w:t>this</w:t>
      </w:r>
      <w:r>
        <w:rPr>
          <w:spacing w:val="70"/>
          <w:sz w:val="20"/>
        </w:rPr>
        <w:t> </w:t>
      </w:r>
      <w:r>
        <w:rPr>
          <w:sz w:val="20"/>
        </w:rPr>
        <w:t>point,</w:t>
      </w:r>
      <w:r>
        <w:rPr>
          <w:spacing w:val="69"/>
          <w:sz w:val="20"/>
        </w:rPr>
        <w:t> </w:t>
      </w:r>
      <w:r>
        <w:rPr>
          <w:rFonts w:ascii="Arial"/>
          <w:i/>
          <w:sz w:val="20"/>
        </w:rPr>
        <w:t>[2004]</w:t>
      </w:r>
      <w:r>
        <w:rPr>
          <w:rFonts w:ascii="Arial"/>
          <w:i/>
          <w:spacing w:val="70"/>
          <w:sz w:val="20"/>
        </w:rPr>
        <w:t> </w:t>
      </w:r>
      <w:r>
        <w:rPr>
          <w:rFonts w:ascii="Arial"/>
          <w:i/>
          <w:sz w:val="20"/>
        </w:rPr>
        <w:t>EWCA</w:t>
      </w:r>
      <w:r>
        <w:rPr>
          <w:rFonts w:ascii="Arial"/>
          <w:i/>
          <w:spacing w:val="70"/>
          <w:sz w:val="20"/>
        </w:rPr>
        <w:t> </w:t>
      </w:r>
      <w:r>
        <w:rPr>
          <w:rFonts w:ascii="Arial"/>
          <w:i/>
          <w:sz w:val="20"/>
        </w:rPr>
        <w:t>Civ</w:t>
      </w:r>
      <w:r>
        <w:rPr>
          <w:rFonts w:ascii="Arial"/>
          <w:i/>
          <w:spacing w:val="70"/>
          <w:sz w:val="20"/>
        </w:rPr>
        <w:t> </w:t>
      </w:r>
      <w:r>
        <w:rPr>
          <w:rFonts w:ascii="Arial"/>
          <w:i/>
          <w:sz w:val="20"/>
        </w:rPr>
        <w:t>1316,</w:t>
      </w:r>
      <w:r>
        <w:rPr>
          <w:rFonts w:ascii="Arial"/>
          <w:i/>
          <w:spacing w:val="70"/>
          <w:sz w:val="20"/>
        </w:rPr>
        <w:t> </w:t>
      </w:r>
      <w:r>
        <w:rPr>
          <w:rFonts w:ascii="Arial"/>
          <w:i/>
          <w:sz w:val="20"/>
        </w:rPr>
        <w:t>[2005]</w:t>
      </w:r>
      <w:r>
        <w:rPr>
          <w:rFonts w:ascii="Arial"/>
          <w:i/>
          <w:spacing w:val="70"/>
          <w:sz w:val="20"/>
        </w:rPr>
        <w:t> </w:t>
      </w:r>
      <w:r>
        <w:rPr>
          <w:rFonts w:ascii="Arial"/>
          <w:i/>
          <w:sz w:val="20"/>
        </w:rPr>
        <w:t>1</w:t>
      </w:r>
      <w:r>
        <w:rPr>
          <w:rFonts w:ascii="Arial"/>
          <w:i/>
          <w:spacing w:val="70"/>
          <w:sz w:val="20"/>
        </w:rPr>
        <w:t> </w:t>
      </w:r>
      <w:r>
        <w:rPr>
          <w:rFonts w:ascii="Arial"/>
          <w:i/>
          <w:sz w:val="20"/>
        </w:rPr>
        <w:t>W.L.R.</w:t>
      </w:r>
      <w:r>
        <w:rPr>
          <w:rFonts w:ascii="Arial"/>
          <w:i/>
          <w:spacing w:val="70"/>
          <w:sz w:val="20"/>
        </w:rPr>
        <w:t> </w:t>
      </w:r>
      <w:r>
        <w:rPr>
          <w:rFonts w:ascii="Arial"/>
          <w:i/>
          <w:spacing w:val="-2"/>
          <w:sz w:val="20"/>
        </w:rPr>
        <w:t>1157</w:t>
      </w:r>
      <w:r>
        <w:rPr>
          <w:spacing w:val="-2"/>
          <w:sz w:val="20"/>
        </w:rPr>
        <w:t>;</w:t>
      </w:r>
    </w:p>
    <w:p>
      <w:pPr>
        <w:spacing w:line="235" w:lineRule="auto" w:before="2"/>
        <w:ind w:left="705" w:right="167" w:firstLine="0"/>
        <w:jc w:val="both"/>
        <w:rPr>
          <w:rFonts w:ascii="Arial" w:hAnsi="Arial"/>
          <w:i/>
          <w:sz w:val="20"/>
        </w:rPr>
      </w:pPr>
      <w:r>
        <w:rPr>
          <w:rFonts w:ascii="Arial" w:hAnsi="Arial"/>
          <w:i/>
          <w:sz w:val="20"/>
        </w:rPr>
        <w:t>Swithenbank Foods Ltd v Bowers [2002] EWHC 2257 (QB), [2002] 2 All E.R. (Comm) 974</w:t>
      </w:r>
      <w:r>
        <w:rPr>
          <w:sz w:val="20"/>
        </w:rPr>
        <w:t>. The Giuliano-Lagarde Report gives little guidance other than to say that art.6 covers void </w:t>
      </w:r>
      <w:r>
        <w:rPr>
          <w:sz w:val="20"/>
        </w:rPr>
        <w:t>contracts and de facto employment relationships “in particular those characterised by failure to respect</w:t>
      </w:r>
      <w:r>
        <w:rPr>
          <w:spacing w:val="40"/>
          <w:sz w:val="20"/>
        </w:rPr>
        <w:t> </w:t>
      </w:r>
      <w:r>
        <w:rPr>
          <w:sz w:val="20"/>
        </w:rPr>
        <w:t>the contract imposed by law for the protection of employee”: pp.25–26. The “Posted Workers” Directive (above, n.535), provides that the definition of a worker for the purposes of the</w:t>
      </w:r>
      <w:r>
        <w:rPr>
          <w:spacing w:val="40"/>
          <w:sz w:val="20"/>
        </w:rPr>
        <w:t> </w:t>
      </w:r>
      <w:r>
        <w:rPr>
          <w:sz w:val="20"/>
        </w:rPr>
        <w:t>Directive is that which applies in the law of the Member State to whose territory the worker is posted: art.2(2). See </w:t>
      </w:r>
      <w:r>
        <w:rPr>
          <w:rFonts w:ascii="Arial" w:hAnsi="Arial"/>
          <w:i/>
          <w:sz w:val="20"/>
        </w:rPr>
        <w:t>Pugliese v Finmeccanica SpA (C-437/00) [2003] I.L.Pr. 346</w:t>
      </w:r>
      <w:r>
        <w:rPr>
          <w:sz w:val="20"/>
        </w:rPr>
        <w:t>. See also </w:t>
      </w:r>
      <w:r>
        <w:rPr>
          <w:rFonts w:ascii="Arial" w:hAnsi="Arial"/>
          <w:i/>
          <w:sz w:val="20"/>
        </w:rPr>
        <w:t>Samengo-Turner v J &amp; H Marsh &amp; McLennan (Services) Ltd [2007] EWCA Civ 723, [2007] I.L.Pr.</w:t>
      </w:r>
      <w:r>
        <w:rPr>
          <w:rFonts w:ascii="Arial" w:hAnsi="Arial"/>
          <w:i/>
          <w:spacing w:val="25"/>
          <w:sz w:val="20"/>
        </w:rPr>
        <w:t> </w:t>
      </w:r>
      <w:r>
        <w:rPr>
          <w:rFonts w:ascii="Arial" w:hAnsi="Arial"/>
          <w:i/>
          <w:sz w:val="20"/>
        </w:rPr>
        <w:t>706</w:t>
      </w:r>
      <w:r>
        <w:rPr>
          <w:sz w:val="20"/>
        </w:rPr>
        <w:t>;</w:t>
      </w:r>
      <w:r>
        <w:rPr>
          <w:spacing w:val="26"/>
          <w:sz w:val="20"/>
        </w:rPr>
        <w:t> </w:t>
      </w:r>
      <w:r>
        <w:rPr>
          <w:rFonts w:ascii="Arial" w:hAnsi="Arial"/>
          <w:i/>
          <w:sz w:val="20"/>
        </w:rPr>
        <w:t>Petter</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EMC</w:t>
      </w:r>
      <w:r>
        <w:rPr>
          <w:rFonts w:ascii="Arial" w:hAnsi="Arial"/>
          <w:i/>
          <w:spacing w:val="26"/>
          <w:sz w:val="20"/>
        </w:rPr>
        <w:t> </w:t>
      </w:r>
      <w:r>
        <w:rPr>
          <w:rFonts w:ascii="Arial" w:hAnsi="Arial"/>
          <w:i/>
          <w:sz w:val="20"/>
        </w:rPr>
        <w:t>Europe</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[2015]</w:t>
      </w:r>
      <w:r>
        <w:rPr>
          <w:rFonts w:ascii="Arial" w:hAnsi="Arial"/>
          <w:i/>
          <w:spacing w:val="26"/>
          <w:sz w:val="20"/>
        </w:rPr>
        <w:t> </w:t>
      </w:r>
      <w:r>
        <w:rPr>
          <w:rFonts w:ascii="Arial" w:hAnsi="Arial"/>
          <w:i/>
          <w:sz w:val="20"/>
        </w:rPr>
        <w:t>EWCA</w:t>
      </w:r>
      <w:r>
        <w:rPr>
          <w:rFonts w:ascii="Arial" w:hAnsi="Arial"/>
          <w:i/>
          <w:spacing w:val="26"/>
          <w:sz w:val="20"/>
        </w:rPr>
        <w:t> </w:t>
      </w:r>
      <w:r>
        <w:rPr>
          <w:rFonts w:ascii="Arial" w:hAnsi="Arial"/>
          <w:i/>
          <w:sz w:val="20"/>
        </w:rPr>
        <w:t>Civ</w:t>
      </w:r>
      <w:r>
        <w:rPr>
          <w:rFonts w:ascii="Arial" w:hAnsi="Arial"/>
          <w:i/>
          <w:spacing w:val="26"/>
          <w:sz w:val="20"/>
        </w:rPr>
        <w:t> </w:t>
      </w:r>
      <w:r>
        <w:rPr>
          <w:rFonts w:ascii="Arial" w:hAnsi="Arial"/>
          <w:i/>
          <w:sz w:val="20"/>
        </w:rPr>
        <w:t>828;</w:t>
      </w:r>
      <w:r>
        <w:rPr>
          <w:rFonts w:ascii="Arial" w:hAnsi="Arial"/>
          <w:i/>
          <w:spacing w:val="26"/>
          <w:sz w:val="20"/>
        </w:rPr>
        <w:t> </w:t>
      </w:r>
      <w:r>
        <w:rPr>
          <w:rFonts w:ascii="Arial" w:hAnsi="Arial"/>
          <w:i/>
          <w:sz w:val="20"/>
        </w:rPr>
        <w:t>[2016]</w:t>
      </w:r>
      <w:r>
        <w:rPr>
          <w:rFonts w:ascii="Arial" w:hAnsi="Arial"/>
          <w:i/>
          <w:spacing w:val="26"/>
          <w:sz w:val="20"/>
        </w:rPr>
        <w:t> </w:t>
      </w:r>
      <w:r>
        <w:rPr>
          <w:rFonts w:ascii="Arial" w:hAnsi="Arial"/>
          <w:i/>
          <w:sz w:val="20"/>
        </w:rPr>
        <w:t>I.L.Pr.</w:t>
      </w:r>
      <w:r>
        <w:rPr>
          <w:rFonts w:ascii="Arial" w:hAnsi="Arial"/>
          <w:i/>
          <w:spacing w:val="26"/>
          <w:sz w:val="20"/>
        </w:rPr>
        <w:t> </w:t>
      </w:r>
      <w:r>
        <w:rPr>
          <w:rFonts w:ascii="Arial" w:hAnsi="Arial"/>
          <w:i/>
          <w:sz w:val="20"/>
        </w:rPr>
        <w:t>3</w:t>
      </w:r>
      <w:r>
        <w:rPr>
          <w:sz w:val="20"/>
        </w:rPr>
        <w:t>;</w:t>
      </w:r>
      <w:r>
        <w:rPr>
          <w:spacing w:val="26"/>
          <w:sz w:val="20"/>
        </w:rPr>
        <w:t> </w:t>
      </w:r>
      <w:r>
        <w:rPr>
          <w:rFonts w:ascii="Arial" w:hAnsi="Arial"/>
          <w:i/>
          <w:sz w:val="20"/>
        </w:rPr>
        <w:t>WPP</w:t>
      </w:r>
      <w:r>
        <w:rPr>
          <w:rFonts w:ascii="Arial" w:hAnsi="Arial"/>
          <w:i/>
          <w:spacing w:val="26"/>
          <w:sz w:val="20"/>
        </w:rPr>
        <w:t> </w:t>
      </w:r>
      <w:r>
        <w:rPr>
          <w:rFonts w:ascii="Arial" w:hAnsi="Arial"/>
          <w:i/>
          <w:spacing w:val="-2"/>
          <w:sz w:val="20"/>
        </w:rPr>
        <w:t>Holdings</w:t>
      </w:r>
    </w:p>
    <w:p>
      <w:pPr>
        <w:spacing w:line="220" w:lineRule="exact" w:before="0"/>
        <w:ind w:left="705" w:right="0" w:firstLine="0"/>
        <w:jc w:val="both"/>
        <w:rPr>
          <w:sz w:val="20"/>
        </w:rPr>
      </w:pPr>
      <w:r>
        <w:rPr>
          <w:rFonts w:ascii="Arial"/>
          <w:i/>
          <w:sz w:val="20"/>
        </w:rPr>
        <w:t>Italy</w:t>
      </w:r>
      <w:r>
        <w:rPr>
          <w:rFonts w:ascii="Arial"/>
          <w:i/>
          <w:spacing w:val="8"/>
          <w:sz w:val="20"/>
        </w:rPr>
        <w:t> </w:t>
      </w:r>
      <w:r>
        <w:rPr>
          <w:rFonts w:ascii="Arial"/>
          <w:i/>
          <w:sz w:val="20"/>
        </w:rPr>
        <w:t>SRL</w:t>
      </w:r>
      <w:r>
        <w:rPr>
          <w:rFonts w:ascii="Arial"/>
          <w:i/>
          <w:spacing w:val="9"/>
          <w:sz w:val="20"/>
        </w:rPr>
        <w:t> </w:t>
      </w:r>
      <w:r>
        <w:rPr>
          <w:rFonts w:ascii="Arial"/>
          <w:i/>
          <w:sz w:val="20"/>
        </w:rPr>
        <w:t>v</w:t>
      </w:r>
      <w:r>
        <w:rPr>
          <w:rFonts w:ascii="Arial"/>
          <w:i/>
          <w:spacing w:val="9"/>
          <w:sz w:val="20"/>
        </w:rPr>
        <w:t> </w:t>
      </w:r>
      <w:r>
        <w:rPr>
          <w:rFonts w:ascii="Arial"/>
          <w:i/>
          <w:sz w:val="20"/>
        </w:rPr>
        <w:t>Benatti</w:t>
      </w:r>
      <w:r>
        <w:rPr>
          <w:rFonts w:ascii="Arial"/>
          <w:i/>
          <w:spacing w:val="9"/>
          <w:sz w:val="20"/>
        </w:rPr>
        <w:t> </w:t>
      </w:r>
      <w:r>
        <w:rPr>
          <w:rFonts w:ascii="Arial"/>
          <w:i/>
          <w:sz w:val="20"/>
        </w:rPr>
        <w:t>[2007]</w:t>
      </w:r>
      <w:r>
        <w:rPr>
          <w:rFonts w:ascii="Arial"/>
          <w:i/>
          <w:spacing w:val="9"/>
          <w:sz w:val="20"/>
        </w:rPr>
        <w:t> </w:t>
      </w:r>
      <w:r>
        <w:rPr>
          <w:rFonts w:ascii="Arial"/>
          <w:i/>
          <w:sz w:val="20"/>
        </w:rPr>
        <w:t>EWCA</w:t>
      </w:r>
      <w:r>
        <w:rPr>
          <w:rFonts w:ascii="Arial"/>
          <w:i/>
          <w:spacing w:val="9"/>
          <w:sz w:val="20"/>
        </w:rPr>
        <w:t> </w:t>
      </w:r>
      <w:r>
        <w:rPr>
          <w:rFonts w:ascii="Arial"/>
          <w:i/>
          <w:sz w:val="20"/>
        </w:rPr>
        <w:t>Civ</w:t>
      </w:r>
      <w:r>
        <w:rPr>
          <w:rFonts w:ascii="Arial"/>
          <w:i/>
          <w:spacing w:val="9"/>
          <w:sz w:val="20"/>
        </w:rPr>
        <w:t> </w:t>
      </w:r>
      <w:r>
        <w:rPr>
          <w:rFonts w:ascii="Arial"/>
          <w:i/>
          <w:sz w:val="20"/>
        </w:rPr>
        <w:t>263,</w:t>
      </w:r>
      <w:r>
        <w:rPr>
          <w:rFonts w:ascii="Arial"/>
          <w:i/>
          <w:spacing w:val="9"/>
          <w:sz w:val="20"/>
        </w:rPr>
        <w:t> </w:t>
      </w:r>
      <w:r>
        <w:rPr>
          <w:rFonts w:ascii="Arial"/>
          <w:i/>
          <w:sz w:val="20"/>
        </w:rPr>
        <w:t>[2007]</w:t>
      </w:r>
      <w:r>
        <w:rPr>
          <w:rFonts w:ascii="Arial"/>
          <w:i/>
          <w:spacing w:val="9"/>
          <w:sz w:val="20"/>
        </w:rPr>
        <w:t> </w:t>
      </w:r>
      <w:r>
        <w:rPr>
          <w:rFonts w:ascii="Arial"/>
          <w:i/>
          <w:sz w:val="20"/>
        </w:rPr>
        <w:t>1</w:t>
      </w:r>
      <w:r>
        <w:rPr>
          <w:rFonts w:ascii="Arial"/>
          <w:i/>
          <w:spacing w:val="9"/>
          <w:sz w:val="20"/>
        </w:rPr>
        <w:t> </w:t>
      </w:r>
      <w:r>
        <w:rPr>
          <w:rFonts w:ascii="Arial"/>
          <w:i/>
          <w:sz w:val="20"/>
        </w:rPr>
        <w:t>W.L.R.</w:t>
      </w:r>
      <w:r>
        <w:rPr>
          <w:rFonts w:ascii="Arial"/>
          <w:i/>
          <w:spacing w:val="9"/>
          <w:sz w:val="20"/>
        </w:rPr>
        <w:t> </w:t>
      </w:r>
      <w:r>
        <w:rPr>
          <w:rFonts w:ascii="Arial"/>
          <w:i/>
          <w:sz w:val="20"/>
        </w:rPr>
        <w:t>2310</w:t>
      </w:r>
      <w:r>
        <w:rPr>
          <w:sz w:val="20"/>
        </w:rPr>
        <w:t>;</w:t>
      </w:r>
      <w:r>
        <w:rPr>
          <w:spacing w:val="9"/>
          <w:sz w:val="20"/>
        </w:rPr>
        <w:t> </w:t>
      </w:r>
      <w:r>
        <w:rPr>
          <w:sz w:val="20"/>
        </w:rPr>
        <w:t>Cavalier</w:t>
      </w:r>
      <w:r>
        <w:rPr>
          <w:spacing w:val="9"/>
          <w:sz w:val="20"/>
        </w:rPr>
        <w:t> </w:t>
      </w:r>
      <w:r>
        <w:rPr>
          <w:sz w:val="20"/>
        </w:rPr>
        <w:t>and</w:t>
      </w:r>
      <w:r>
        <w:rPr>
          <w:spacing w:val="9"/>
          <w:sz w:val="20"/>
        </w:rPr>
        <w:t> </w:t>
      </w:r>
      <w:r>
        <w:rPr>
          <w:sz w:val="20"/>
        </w:rPr>
        <w:t>Upex</w:t>
      </w:r>
      <w:r>
        <w:rPr>
          <w:spacing w:val="9"/>
          <w:sz w:val="20"/>
        </w:rPr>
        <w:t> </w:t>
      </w:r>
      <w:r>
        <w:rPr>
          <w:sz w:val="20"/>
        </w:rPr>
        <w:t>(2006)</w:t>
      </w:r>
      <w:r>
        <w:rPr>
          <w:spacing w:val="9"/>
          <w:sz w:val="20"/>
        </w:rPr>
        <w:t> </w:t>
      </w:r>
      <w:r>
        <w:rPr>
          <w:spacing w:val="-5"/>
          <w:sz w:val="20"/>
        </w:rPr>
        <w:t>55</w:t>
      </w:r>
    </w:p>
    <w:p>
      <w:pPr>
        <w:spacing w:line="235" w:lineRule="auto" w:before="1"/>
        <w:ind w:left="705" w:right="167" w:firstLine="0"/>
        <w:jc w:val="both"/>
        <w:rPr>
          <w:sz w:val="20"/>
        </w:rPr>
      </w:pPr>
      <w:r>
        <w:rPr>
          <w:sz w:val="20"/>
        </w:rPr>
        <w:t>I.C.L.Q. 587. In </w:t>
      </w:r>
      <w:r>
        <w:rPr>
          <w:rFonts w:ascii="Arial"/>
          <w:i/>
          <w:sz w:val="20"/>
        </w:rPr>
        <w:t>Holterman Ferho Exploitatie BV v Spies von Bullesheim (C-47/14) [2015] I.L.Pr. 44 </w:t>
      </w:r>
      <w:r>
        <w:rPr>
          <w:sz w:val="20"/>
        </w:rPr>
        <w:t>the Court of Justice of the EU adopted an autonomous meaning in the context of Section </w:t>
      </w:r>
      <w:r>
        <w:rPr>
          <w:sz w:val="20"/>
        </w:rPr>
        <w:t>5</w:t>
      </w:r>
      <w:r>
        <w:rPr>
          <w:spacing w:val="40"/>
          <w:sz w:val="20"/>
        </w:rPr>
        <w:t> </w:t>
      </w:r>
      <w:r>
        <w:rPr>
          <w:sz w:val="20"/>
        </w:rPr>
        <w:t>of the Judgments Regulation.</w:t>
      </w:r>
    </w:p>
    <w:p>
      <w:pPr>
        <w:pStyle w:val="BodyText"/>
        <w:spacing w:before="5"/>
      </w:pPr>
    </w:p>
    <w:p>
      <w:pPr>
        <w:pStyle w:val="BodyText"/>
        <w:tabs>
          <w:tab w:pos="705" w:val="left" w:leader="none"/>
        </w:tabs>
        <w:ind w:left="165"/>
      </w:pPr>
      <w:bookmarkStart w:name="_bookmark1088" w:id="1090"/>
      <w:bookmarkEnd w:id="1090"/>
      <w:r>
        <w:rPr/>
      </w:r>
      <w:hyperlink w:history="true" w:anchor="_bookmark962">
        <w:r>
          <w:rPr>
            <w:color w:val="005DA1"/>
            <w:spacing w:val="-4"/>
            <w:position w:val="5"/>
            <w:sz w:val="14"/>
            <w:u w:val="single" w:color="005DA1"/>
          </w:rPr>
          <w:t>552</w:t>
        </w:r>
      </w:hyperlink>
      <w:r>
        <w:rPr>
          <w:spacing w:val="-4"/>
          <w:position w:val="5"/>
          <w:sz w:val="14"/>
        </w:rPr>
        <w:t>.</w:t>
      </w:r>
      <w:r>
        <w:rPr>
          <w:position w:val="5"/>
          <w:sz w:val="14"/>
        </w:rPr>
        <w:tab/>
      </w:r>
      <w:r>
        <w:rPr/>
        <w:t>Favoured</w:t>
      </w:r>
      <w:r>
        <w:rPr>
          <w:spacing w:val="-2"/>
        </w:rPr>
        <w:t> </w:t>
      </w:r>
      <w:r>
        <w:rPr/>
        <w:t>by Dicey, Morris and Collins, </w:t>
      </w:r>
      <w:r>
        <w:rPr>
          <w:spacing w:val="-2"/>
        </w:rPr>
        <w:t>para.33–065.</w:t>
      </w:r>
    </w:p>
    <w:p>
      <w:pPr>
        <w:pStyle w:val="BodyText"/>
        <w:spacing w:before="5"/>
      </w:pPr>
    </w:p>
    <w:p>
      <w:pPr>
        <w:pStyle w:val="BodyText"/>
        <w:tabs>
          <w:tab w:pos="705" w:val="left" w:leader="none"/>
        </w:tabs>
        <w:ind w:left="165"/>
      </w:pPr>
      <w:bookmarkStart w:name="_bookmark1089" w:id="1091"/>
      <w:bookmarkEnd w:id="1091"/>
      <w:r>
        <w:rPr/>
      </w:r>
      <w:hyperlink w:history="true" w:anchor="_bookmark963">
        <w:r>
          <w:rPr>
            <w:color w:val="005DA1"/>
            <w:spacing w:val="-4"/>
            <w:position w:val="5"/>
            <w:sz w:val="14"/>
            <w:u w:val="single" w:color="005DA1"/>
          </w:rPr>
          <w:t>553</w:t>
        </w:r>
      </w:hyperlink>
      <w:r>
        <w:rPr>
          <w:spacing w:val="-4"/>
          <w:position w:val="5"/>
          <w:sz w:val="14"/>
        </w:rPr>
        <w:t>.</w:t>
      </w:r>
      <w:r>
        <w:rPr>
          <w:position w:val="5"/>
          <w:sz w:val="14"/>
        </w:rPr>
        <w:tab/>
      </w:r>
      <w:r>
        <w:rPr/>
        <w:t>Favoured by Kaye, </w:t>
      </w:r>
      <w:r>
        <w:rPr>
          <w:spacing w:val="-2"/>
        </w:rPr>
        <w:t>p.223.</w:t>
      </w:r>
    </w:p>
    <w:p>
      <w:pPr>
        <w:pStyle w:val="BodyText"/>
        <w:spacing w:before="9"/>
      </w:pPr>
    </w:p>
    <w:p>
      <w:pPr>
        <w:tabs>
          <w:tab w:pos="705" w:val="left" w:leader="none"/>
        </w:tabs>
        <w:spacing w:line="235" w:lineRule="auto" w:before="0"/>
        <w:ind w:left="705" w:right="168" w:hanging="541"/>
        <w:jc w:val="left"/>
        <w:rPr>
          <w:sz w:val="20"/>
        </w:rPr>
      </w:pPr>
      <w:bookmarkStart w:name="_bookmark1090" w:id="1092"/>
      <w:bookmarkEnd w:id="1092"/>
      <w:r>
        <w:rPr/>
      </w:r>
      <w:hyperlink w:history="true" w:anchor="_bookmark964">
        <w:r>
          <w:rPr>
            <w:color w:val="005DA1"/>
            <w:spacing w:val="-4"/>
            <w:position w:val="5"/>
            <w:sz w:val="14"/>
            <w:u w:val="single" w:color="005DA1"/>
          </w:rPr>
          <w:t>554</w:t>
        </w:r>
      </w:hyperlink>
      <w:r>
        <w:rPr>
          <w:spacing w:val="-4"/>
          <w:position w:val="5"/>
          <w:sz w:val="14"/>
        </w:rPr>
        <w:t>.</w:t>
      </w:r>
      <w:r>
        <w:rPr>
          <w:position w:val="5"/>
          <w:sz w:val="14"/>
        </w:rPr>
        <w:tab/>
      </w:r>
      <w:r>
        <w:rPr>
          <w:sz w:val="20"/>
        </w:rPr>
        <w:t>See </w:t>
      </w:r>
      <w:r>
        <w:rPr>
          <w:rFonts w:ascii="Arial"/>
          <w:i/>
          <w:sz w:val="20"/>
        </w:rPr>
        <w:t>Duarte v Black &amp; Decker Corp [2007] EWHC 2720 (QB)</w:t>
      </w:r>
      <w:r>
        <w:rPr>
          <w:sz w:val="20"/>
        </w:rPr>
        <w:t>; </w:t>
      </w:r>
      <w:r>
        <w:rPr>
          <w:rFonts w:ascii="Arial"/>
          <w:i/>
          <w:sz w:val="20"/>
        </w:rPr>
        <w:t>Samengo-Turner v JH Marsh </w:t>
      </w:r>
      <w:r>
        <w:rPr>
          <w:rFonts w:ascii="Arial"/>
          <w:i/>
          <w:sz w:val="20"/>
        </w:rPr>
        <w:t>&amp;</w:t>
      </w:r>
      <w:r>
        <w:rPr>
          <w:rFonts w:ascii="Arial"/>
          <w:i/>
          <w:spacing w:val="40"/>
          <w:sz w:val="20"/>
        </w:rPr>
        <w:t> </w:t>
      </w:r>
      <w:r>
        <w:rPr>
          <w:rFonts w:ascii="Arial"/>
          <w:i/>
          <w:sz w:val="20"/>
        </w:rPr>
        <w:t>McLennan (Services) Ltd [2007] EWCA Civ 723</w:t>
      </w:r>
      <w:r>
        <w:rPr>
          <w:sz w:val="20"/>
        </w:rPr>
        <w:t>.</w:t>
      </w:r>
    </w:p>
    <w:p>
      <w:pPr>
        <w:pStyle w:val="BodyText"/>
        <w:spacing w:before="9"/>
      </w:pPr>
    </w:p>
    <w:p>
      <w:pPr>
        <w:spacing w:line="235" w:lineRule="auto" w:before="0"/>
        <w:ind w:left="705" w:right="168" w:hanging="541"/>
        <w:jc w:val="both"/>
        <w:rPr>
          <w:sz w:val="20"/>
        </w:rPr>
      </w:pPr>
      <w:bookmarkStart w:name="_bookmark1091" w:id="1093"/>
      <w:bookmarkEnd w:id="1093"/>
      <w:r>
        <w:rPr/>
      </w:r>
      <w:hyperlink w:history="true" w:anchor="_bookmark965">
        <w:r>
          <w:rPr>
            <w:color w:val="005DA1"/>
            <w:position w:val="5"/>
            <w:sz w:val="14"/>
            <w:u w:val="single" w:color="005DA1"/>
          </w:rPr>
          <w:t>555</w:t>
        </w:r>
      </w:hyperlink>
      <w:r>
        <w:rPr>
          <w:position w:val="5"/>
          <w:sz w:val="14"/>
        </w:rPr>
        <w:t>.</w:t>
      </w:r>
      <w:r>
        <w:rPr>
          <w:spacing w:val="80"/>
          <w:position w:val="5"/>
          <w:sz w:val="14"/>
        </w:rPr>
        <w:t>  </w:t>
      </w:r>
      <w:r>
        <w:rPr>
          <w:sz w:val="20"/>
        </w:rPr>
        <w:t>For an example, see </w:t>
      </w:r>
      <w:r>
        <w:rPr>
          <w:rFonts w:ascii="Arial" w:hAnsi="Arial"/>
          <w:i/>
          <w:sz w:val="20"/>
        </w:rPr>
        <w:t>Roerig v Valiant Trawlers Ltd [2002] EWCA Civ 21, [2002] 1 W.L.R. 2304 </w:t>
      </w:r>
      <w:r>
        <w:rPr>
          <w:sz w:val="20"/>
        </w:rPr>
        <w:t>at [31]–[41]. The choice of law must satisfy the requirements of art.3(1): see </w:t>
      </w:r>
      <w:r>
        <w:rPr>
          <w:rFonts w:ascii="Arial" w:hAnsi="Arial"/>
          <w:i/>
          <w:sz w:val="20"/>
        </w:rPr>
        <w:t>Base </w:t>
      </w:r>
      <w:r>
        <w:rPr>
          <w:rFonts w:ascii="Arial" w:hAnsi="Arial"/>
          <w:i/>
          <w:sz w:val="20"/>
        </w:rPr>
        <w:t>Metal</w:t>
      </w:r>
      <w:r>
        <w:rPr>
          <w:rFonts w:ascii="Arial" w:hAnsi="Arial"/>
          <w:i/>
          <w:spacing w:val="40"/>
          <w:sz w:val="20"/>
        </w:rPr>
        <w:t> </w:t>
      </w:r>
      <w:r>
        <w:rPr>
          <w:rFonts w:ascii="Arial" w:hAnsi="Arial"/>
          <w:i/>
          <w:sz w:val="20"/>
        </w:rPr>
        <w:t>Trading Ltd v Shamurin [2003] EWHC 2419, [2004] 1 All E.R. (Comm) 159</w:t>
      </w:r>
      <w:r>
        <w:rPr>
          <w:sz w:val="20"/>
        </w:rPr>
        <w:t>, reversed in part but not on this point, </w:t>
      </w:r>
      <w:r>
        <w:rPr>
          <w:rFonts w:ascii="Arial" w:hAnsi="Arial"/>
          <w:i/>
          <w:sz w:val="20"/>
        </w:rPr>
        <w:t>[2004] EWCA Civ 1316, [2005] 1 W.L.R. 1157</w:t>
      </w:r>
      <w:r>
        <w:rPr>
          <w:sz w:val="20"/>
        </w:rPr>
        <w:t>; </w:t>
      </w:r>
      <w:r>
        <w:rPr>
          <w:rFonts w:ascii="Arial" w:hAnsi="Arial"/>
          <w:i/>
          <w:sz w:val="20"/>
        </w:rPr>
        <w:t>Duarte v Black &amp; Decker Corp [2007] EWHC 2720 (QB)</w:t>
      </w:r>
      <w:r>
        <w:rPr>
          <w:sz w:val="20"/>
        </w:rPr>
        <w:t>.</w:t>
      </w:r>
    </w:p>
    <w:p>
      <w:pPr>
        <w:pStyle w:val="BodyText"/>
        <w:spacing w:before="4"/>
      </w:pPr>
    </w:p>
    <w:p>
      <w:pPr>
        <w:pStyle w:val="BodyText"/>
        <w:tabs>
          <w:tab w:pos="705" w:val="left" w:leader="none"/>
        </w:tabs>
        <w:spacing w:before="1"/>
        <w:ind w:left="165"/>
      </w:pPr>
      <w:bookmarkStart w:name="_bookmark1092" w:id="1094"/>
      <w:bookmarkEnd w:id="1094"/>
      <w:r>
        <w:rPr/>
      </w:r>
      <w:hyperlink w:history="true" w:anchor="_bookmark966">
        <w:r>
          <w:rPr>
            <w:color w:val="005DA1"/>
            <w:spacing w:val="-4"/>
            <w:position w:val="5"/>
            <w:sz w:val="14"/>
            <w:u w:val="single" w:color="005DA1"/>
          </w:rPr>
          <w:t>556</w:t>
        </w:r>
      </w:hyperlink>
      <w:r>
        <w:rPr>
          <w:spacing w:val="-4"/>
          <w:position w:val="5"/>
          <w:sz w:val="14"/>
        </w:rPr>
        <w:t>.</w:t>
      </w:r>
      <w:r>
        <w:rPr>
          <w:position w:val="5"/>
          <w:sz w:val="14"/>
        </w:rPr>
        <w:tab/>
      </w:r>
      <w:r>
        <w:rPr/>
        <w:t>As to which, see below, paras 30-118—30-</w:t>
      </w:r>
      <w:r>
        <w:rPr>
          <w:spacing w:val="-4"/>
        </w:rPr>
        <w:t>119.</w:t>
      </w:r>
    </w:p>
    <w:p>
      <w:pPr>
        <w:pStyle w:val="BodyText"/>
        <w:spacing w:before="8"/>
      </w:pPr>
    </w:p>
    <w:p>
      <w:pPr>
        <w:tabs>
          <w:tab w:pos="705" w:val="left" w:leader="none"/>
        </w:tabs>
        <w:spacing w:line="235" w:lineRule="auto" w:before="0"/>
        <w:ind w:left="705" w:right="168" w:hanging="541"/>
        <w:jc w:val="left"/>
        <w:rPr>
          <w:sz w:val="20"/>
        </w:rPr>
      </w:pPr>
      <w:bookmarkStart w:name="_bookmark1093" w:id="1095"/>
      <w:bookmarkEnd w:id="1095"/>
      <w:r>
        <w:rPr/>
      </w:r>
      <w:hyperlink w:history="true" w:anchor="_bookmark967">
        <w:r>
          <w:rPr>
            <w:color w:val="005DA1"/>
            <w:spacing w:val="-4"/>
            <w:position w:val="5"/>
            <w:sz w:val="14"/>
            <w:u w:val="single" w:color="005DA1"/>
          </w:rPr>
          <w:t>557</w:t>
        </w:r>
      </w:hyperlink>
      <w:r>
        <w:rPr>
          <w:spacing w:val="-4"/>
          <w:position w:val="5"/>
          <w:sz w:val="14"/>
        </w:rPr>
        <w:t>.</w:t>
      </w:r>
      <w:r>
        <w:rPr>
          <w:position w:val="5"/>
          <w:sz w:val="14"/>
        </w:rPr>
        <w:tab/>
      </w:r>
      <w:r>
        <w:rPr>
          <w:sz w:val="20"/>
        </w:rPr>
        <w:t>Above, paras 30-063 et seq. cf. </w:t>
      </w:r>
      <w:r>
        <w:rPr>
          <w:rFonts w:ascii="Arial" w:hAnsi="Arial"/>
          <w:i/>
          <w:sz w:val="20"/>
        </w:rPr>
        <w:t>United Antwerp Maritime Agencies NV (Unamar) v </w:t>
      </w:r>
      <w:r>
        <w:rPr>
          <w:rFonts w:ascii="Arial" w:hAnsi="Arial"/>
          <w:i/>
          <w:sz w:val="20"/>
        </w:rPr>
        <w:t>Navigation Maritime Bulgare (C-184/12) [2014] 1 Lloyd’s Rep. 161</w:t>
      </w:r>
      <w:r>
        <w:rPr>
          <w:sz w:val="20"/>
        </w:rPr>
        <w:t>.</w:t>
      </w:r>
    </w:p>
    <w:p>
      <w:pPr>
        <w:pStyle w:val="BodyText"/>
        <w:spacing w:before="9"/>
      </w:pPr>
    </w:p>
    <w:p>
      <w:pPr>
        <w:pStyle w:val="BodyText"/>
        <w:tabs>
          <w:tab w:pos="705" w:val="left" w:leader="none"/>
        </w:tabs>
        <w:spacing w:line="235" w:lineRule="auto" w:before="1"/>
        <w:ind w:left="705" w:right="168" w:hanging="541"/>
      </w:pPr>
      <w:bookmarkStart w:name="_bookmark1094" w:id="1096"/>
      <w:bookmarkEnd w:id="1096"/>
      <w:r>
        <w:rPr/>
      </w:r>
      <w:hyperlink w:history="true" w:anchor="_bookmark968">
        <w:r>
          <w:rPr>
            <w:color w:val="005DA1"/>
            <w:spacing w:val="-4"/>
            <w:position w:val="5"/>
            <w:sz w:val="14"/>
            <w:u w:val="single" w:color="005DA1"/>
          </w:rPr>
          <w:t>558</w:t>
        </w:r>
      </w:hyperlink>
      <w:r>
        <w:rPr>
          <w:spacing w:val="-4"/>
          <w:position w:val="5"/>
          <w:sz w:val="14"/>
        </w:rPr>
        <w:t>.</w:t>
      </w:r>
      <w:r>
        <w:rPr>
          <w:position w:val="5"/>
          <w:sz w:val="14"/>
        </w:rPr>
        <w:tab/>
      </w:r>
      <w:r>
        <w:rPr/>
        <w:t>cf.</w:t>
      </w:r>
      <w:r>
        <w:rPr>
          <w:spacing w:val="39"/>
        </w:rPr>
        <w:t> </w:t>
      </w:r>
      <w:r>
        <w:rPr/>
        <w:t>art.7(2),</w:t>
      </w:r>
      <w:r>
        <w:rPr>
          <w:spacing w:val="39"/>
        </w:rPr>
        <w:t> </w:t>
      </w:r>
      <w:r>
        <w:rPr/>
        <w:t>discussed</w:t>
      </w:r>
      <w:r>
        <w:rPr>
          <w:spacing w:val="39"/>
        </w:rPr>
        <w:t> </w:t>
      </w:r>
      <w:r>
        <w:rPr/>
        <w:t>below,</w:t>
      </w:r>
      <w:r>
        <w:rPr>
          <w:spacing w:val="39"/>
        </w:rPr>
        <w:t> </w:t>
      </w:r>
      <w:r>
        <w:rPr/>
        <w:t>para.30-117</w:t>
      </w:r>
      <w:r>
        <w:rPr>
          <w:spacing w:val="39"/>
        </w:rPr>
        <w:t> </w:t>
      </w:r>
      <w:r>
        <w:rPr/>
        <w:t>and</w:t>
      </w:r>
      <w:r>
        <w:rPr>
          <w:spacing w:val="39"/>
        </w:rPr>
        <w:t> </w:t>
      </w:r>
      <w:r>
        <w:rPr/>
        <w:t>art.7(1),</w:t>
      </w:r>
      <w:r>
        <w:rPr>
          <w:spacing w:val="39"/>
        </w:rPr>
        <w:t> </w:t>
      </w:r>
      <w:r>
        <w:rPr/>
        <w:t>above,</w:t>
      </w:r>
      <w:r>
        <w:rPr>
          <w:spacing w:val="39"/>
        </w:rPr>
        <w:t> </w:t>
      </w:r>
      <w:r>
        <w:rPr/>
        <w:t>para.30-062</w:t>
      </w:r>
      <w:r>
        <w:rPr>
          <w:spacing w:val="39"/>
        </w:rPr>
        <w:t> </w:t>
      </w:r>
      <w:r>
        <w:rPr/>
        <w:t>which</w:t>
      </w:r>
      <w:r>
        <w:rPr>
          <w:spacing w:val="39"/>
        </w:rPr>
        <w:t> </w:t>
      </w:r>
      <w:r>
        <w:rPr/>
        <w:t>does</w:t>
      </w:r>
      <w:r>
        <w:rPr>
          <w:spacing w:val="39"/>
        </w:rPr>
        <w:t> </w:t>
      </w:r>
      <w:r>
        <w:rPr/>
        <w:t>not have the force of law in the UK: Contracts (Applicable Law) Act 1990 s.2(2).</w:t>
      </w:r>
    </w:p>
    <w:p>
      <w:pPr>
        <w:pStyle w:val="BodyText"/>
        <w:spacing w:before="5"/>
      </w:pPr>
    </w:p>
    <w:p>
      <w:pPr>
        <w:pStyle w:val="BodyText"/>
        <w:tabs>
          <w:tab w:pos="705" w:val="left" w:leader="none"/>
        </w:tabs>
        <w:ind w:left="165"/>
      </w:pPr>
      <w:bookmarkStart w:name="_bookmark1095" w:id="1097"/>
      <w:bookmarkEnd w:id="1097"/>
      <w:r>
        <w:rPr/>
      </w:r>
      <w:hyperlink w:history="true" w:anchor="_bookmark969">
        <w:r>
          <w:rPr>
            <w:color w:val="005DA1"/>
            <w:spacing w:val="-4"/>
            <w:position w:val="5"/>
            <w:sz w:val="14"/>
            <w:u w:val="single" w:color="005DA1"/>
          </w:rPr>
          <w:t>559</w:t>
        </w:r>
      </w:hyperlink>
      <w:r>
        <w:rPr>
          <w:spacing w:val="-4"/>
          <w:position w:val="5"/>
          <w:sz w:val="14"/>
        </w:rPr>
        <w:t>.</w:t>
      </w:r>
      <w:r>
        <w:rPr>
          <w:position w:val="5"/>
          <w:sz w:val="14"/>
        </w:rPr>
        <w:tab/>
      </w:r>
      <w:r>
        <w:rPr/>
        <w:t>See statutes referred to in n.564, </w:t>
      </w:r>
      <w:r>
        <w:rPr>
          <w:spacing w:val="-2"/>
        </w:rPr>
        <w:t>below.</w:t>
      </w:r>
    </w:p>
    <w:p>
      <w:pPr>
        <w:pStyle w:val="BodyText"/>
        <w:spacing w:before="5"/>
      </w:pPr>
    </w:p>
    <w:p>
      <w:pPr>
        <w:pStyle w:val="BodyText"/>
        <w:tabs>
          <w:tab w:pos="705" w:val="left" w:leader="none"/>
        </w:tabs>
        <w:ind w:left="165"/>
      </w:pPr>
      <w:bookmarkStart w:name="_bookmark1096" w:id="1098"/>
      <w:bookmarkEnd w:id="1098"/>
      <w:r>
        <w:rPr/>
      </w:r>
      <w:hyperlink w:history="true" w:anchor="_bookmark970">
        <w:r>
          <w:rPr>
            <w:color w:val="005DA1"/>
            <w:spacing w:val="-4"/>
            <w:position w:val="5"/>
            <w:sz w:val="14"/>
            <w:u w:val="single" w:color="005DA1"/>
          </w:rPr>
          <w:t>560</w:t>
        </w:r>
      </w:hyperlink>
      <w:r>
        <w:rPr>
          <w:spacing w:val="-4"/>
          <w:position w:val="5"/>
          <w:sz w:val="14"/>
        </w:rPr>
        <w:t>.</w:t>
      </w:r>
      <w:r>
        <w:rPr>
          <w:position w:val="5"/>
          <w:sz w:val="14"/>
        </w:rPr>
        <w:tab/>
      </w:r>
      <w:r>
        <w:rPr/>
        <w:t>Giuliano-Lagarde Report, </w:t>
      </w:r>
      <w:r>
        <w:rPr>
          <w:spacing w:val="-2"/>
        </w:rPr>
        <w:t>p.25.</w:t>
      </w:r>
    </w:p>
    <w:p>
      <w:pPr>
        <w:pStyle w:val="BodyText"/>
        <w:spacing w:before="9"/>
      </w:pPr>
    </w:p>
    <w:p>
      <w:pPr>
        <w:spacing w:line="235" w:lineRule="auto" w:before="0"/>
        <w:ind w:left="705" w:right="167" w:hanging="541"/>
        <w:jc w:val="both"/>
        <w:rPr>
          <w:sz w:val="20"/>
        </w:rPr>
      </w:pPr>
      <w:bookmarkStart w:name="_bookmark1097" w:id="1099"/>
      <w:bookmarkEnd w:id="1099"/>
      <w:r>
        <w:rPr/>
      </w:r>
      <w:hyperlink w:history="true" w:anchor="_bookmark971">
        <w:r>
          <w:rPr>
            <w:color w:val="005DA1"/>
            <w:position w:val="5"/>
            <w:sz w:val="14"/>
            <w:u w:val="single" w:color="005DA1"/>
          </w:rPr>
          <w:t>561</w:t>
        </w:r>
      </w:hyperlink>
      <w:r>
        <w:rPr>
          <w:position w:val="5"/>
          <w:sz w:val="14"/>
        </w:rPr>
        <w:t>.</w:t>
      </w:r>
      <w:r>
        <w:rPr>
          <w:spacing w:val="80"/>
          <w:w w:val="150"/>
          <w:position w:val="5"/>
          <w:sz w:val="14"/>
        </w:rPr>
        <w:t> </w:t>
      </w:r>
      <w:r>
        <w:rPr>
          <w:sz w:val="20"/>
        </w:rPr>
        <w:t>See above, paras 30–046 et seq. Where the rule derives from European law, it may </w:t>
      </w:r>
      <w:r>
        <w:rPr>
          <w:sz w:val="20"/>
        </w:rPr>
        <w:t>be mandatory even if there is no explicit indication in the rule itself: see </w:t>
      </w:r>
      <w:r>
        <w:rPr>
          <w:rFonts w:ascii="Arial" w:hAnsi="Arial"/>
          <w:i/>
          <w:sz w:val="20"/>
        </w:rPr>
        <w:t>Bleuse v MBT Transport Ltd [2008] I.C.R. 488 (EAT)</w:t>
      </w:r>
      <w:r>
        <w:rPr>
          <w:sz w:val="20"/>
        </w:rPr>
        <w:t>.</w:t>
      </w:r>
    </w:p>
    <w:p>
      <w:pPr>
        <w:pStyle w:val="BodyText"/>
        <w:spacing w:before="9"/>
      </w:pPr>
    </w:p>
    <w:p>
      <w:pPr>
        <w:spacing w:line="235" w:lineRule="auto" w:before="0"/>
        <w:ind w:left="705" w:right="167" w:hanging="541"/>
        <w:jc w:val="both"/>
        <w:rPr>
          <w:sz w:val="20"/>
        </w:rPr>
      </w:pPr>
      <w:bookmarkStart w:name="_bookmark1098" w:id="1100"/>
      <w:bookmarkEnd w:id="1100"/>
      <w:r>
        <w:rPr/>
      </w:r>
      <w:hyperlink w:history="true" w:anchor="_bookmark972">
        <w:r>
          <w:rPr>
            <w:color w:val="005DA1"/>
            <w:position w:val="5"/>
            <w:sz w:val="14"/>
            <w:u w:val="single" w:color="005DA1"/>
          </w:rPr>
          <w:t>562</w:t>
        </w:r>
      </w:hyperlink>
      <w:r>
        <w:rPr>
          <w:position w:val="5"/>
          <w:sz w:val="14"/>
        </w:rPr>
        <w:t>.</w:t>
      </w:r>
      <w:r>
        <w:rPr>
          <w:spacing w:val="80"/>
          <w:position w:val="5"/>
          <w:sz w:val="14"/>
        </w:rPr>
        <w:t>  </w:t>
      </w:r>
      <w:r>
        <w:rPr>
          <w:rFonts w:ascii="Arial"/>
          <w:i/>
          <w:sz w:val="20"/>
        </w:rPr>
        <w:t>Duarte v Black &amp; Decker Corp [2007] EWHC 2720 (QB)</w:t>
      </w:r>
      <w:r>
        <w:rPr>
          <w:sz w:val="20"/>
        </w:rPr>
        <w:t>. Reliance was placed on the </w:t>
      </w:r>
      <w:r>
        <w:rPr>
          <w:sz w:val="20"/>
        </w:rPr>
        <w:t>passage</w:t>
      </w:r>
      <w:r>
        <w:rPr>
          <w:spacing w:val="80"/>
          <w:sz w:val="20"/>
        </w:rPr>
        <w:t> </w:t>
      </w:r>
      <w:r>
        <w:rPr>
          <w:sz w:val="20"/>
        </w:rPr>
        <w:t>in the Giuliano-Lagarde Report, p.25, quoted in the preceding paragraph. It is submitted that</w:t>
      </w:r>
      <w:r>
        <w:rPr>
          <w:spacing w:val="40"/>
          <w:sz w:val="20"/>
        </w:rPr>
        <w:t> </w:t>
      </w:r>
      <w:r>
        <w:rPr>
          <w:sz w:val="20"/>
        </w:rPr>
        <w:t>this conclusion is highly questionable. See below.</w:t>
      </w:r>
    </w:p>
    <w:p>
      <w:pPr>
        <w:pStyle w:val="BodyText"/>
        <w:spacing w:before="5"/>
      </w:pPr>
    </w:p>
    <w:p>
      <w:pPr>
        <w:tabs>
          <w:tab w:pos="705" w:val="left" w:leader="none"/>
        </w:tabs>
        <w:spacing w:before="0"/>
        <w:ind w:left="165" w:right="0" w:firstLine="0"/>
        <w:jc w:val="left"/>
        <w:rPr>
          <w:sz w:val="20"/>
        </w:rPr>
      </w:pPr>
      <w:bookmarkStart w:name="_bookmark1099" w:id="1101"/>
      <w:bookmarkEnd w:id="1101"/>
      <w:r>
        <w:rPr/>
      </w:r>
      <w:hyperlink w:history="true" w:anchor="_bookmark973">
        <w:r>
          <w:rPr>
            <w:color w:val="005DA1"/>
            <w:spacing w:val="-4"/>
            <w:position w:val="5"/>
            <w:sz w:val="14"/>
            <w:u w:val="single" w:color="005DA1"/>
          </w:rPr>
          <w:t>563</w:t>
        </w:r>
      </w:hyperlink>
      <w:r>
        <w:rPr>
          <w:spacing w:val="-4"/>
          <w:position w:val="5"/>
          <w:sz w:val="14"/>
        </w:rPr>
        <w:t>.</w:t>
      </w:r>
      <w:r>
        <w:rPr>
          <w:position w:val="5"/>
          <w:sz w:val="14"/>
        </w:rPr>
        <w:tab/>
      </w:r>
      <w:r>
        <w:rPr>
          <w:rFonts w:ascii="Arial"/>
          <w:i/>
          <w:sz w:val="20"/>
        </w:rPr>
        <w:t>Duarte v Black &amp; Decker Corp [2007] EWHC </w:t>
      </w:r>
      <w:r>
        <w:rPr>
          <w:rFonts w:ascii="Arial"/>
          <w:i/>
          <w:spacing w:val="-2"/>
          <w:sz w:val="20"/>
        </w:rPr>
        <w:t>2720</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100" w:id="1102"/>
      <w:bookmarkEnd w:id="1102"/>
      <w:r>
        <w:rPr/>
      </w:r>
      <w:hyperlink w:history="true" w:anchor="_bookmark974">
        <w:r>
          <w:rPr>
            <w:color w:val="005DA1"/>
            <w:spacing w:val="-4"/>
            <w:position w:val="5"/>
            <w:sz w:val="14"/>
            <w:u w:val="single" w:color="005DA1"/>
          </w:rPr>
          <w:t>564</w:t>
        </w:r>
      </w:hyperlink>
      <w:r>
        <w:rPr>
          <w:spacing w:val="-4"/>
          <w:position w:val="5"/>
          <w:sz w:val="14"/>
        </w:rPr>
        <w:t>.</w:t>
      </w:r>
      <w:r>
        <w:rPr>
          <w:position w:val="5"/>
          <w:sz w:val="14"/>
        </w:rPr>
        <w:tab/>
      </w:r>
      <w:r>
        <w:rPr>
          <w:rFonts w:ascii="Arial"/>
          <w:i/>
          <w:sz w:val="20"/>
        </w:rPr>
        <w:t>Duarte</w:t>
      </w:r>
      <w:r>
        <w:rPr>
          <w:rFonts w:ascii="Arial"/>
          <w:i/>
          <w:spacing w:val="-1"/>
          <w:sz w:val="20"/>
        </w:rPr>
        <w:t> </w:t>
      </w:r>
      <w:r>
        <w:rPr>
          <w:rFonts w:ascii="Arial"/>
          <w:i/>
          <w:sz w:val="20"/>
        </w:rPr>
        <w:t>v Black &amp; Decker Corp [2007] EWHC 2720</w:t>
      </w:r>
      <w:r>
        <w:rPr>
          <w:sz w:val="20"/>
        </w:rPr>
        <w:t>, but this is highly </w:t>
      </w:r>
      <w:r>
        <w:rPr>
          <w:spacing w:val="-2"/>
          <w:sz w:val="20"/>
        </w:rPr>
        <w:t>questionable.</w:t>
      </w:r>
    </w:p>
    <w:p>
      <w:pPr>
        <w:pStyle w:val="BodyText"/>
        <w:spacing w:before="9"/>
      </w:pPr>
    </w:p>
    <w:p>
      <w:pPr>
        <w:pStyle w:val="BodyText"/>
        <w:spacing w:line="235" w:lineRule="auto"/>
        <w:ind w:left="705" w:right="167" w:hanging="541"/>
        <w:jc w:val="both"/>
      </w:pPr>
      <w:bookmarkStart w:name="_bookmark1101" w:id="1103"/>
      <w:bookmarkEnd w:id="1103"/>
      <w:r>
        <w:rPr/>
      </w:r>
      <w:hyperlink w:history="true" w:anchor="_bookmark975">
        <w:r>
          <w:rPr>
            <w:color w:val="005DA1"/>
            <w:position w:val="5"/>
            <w:sz w:val="14"/>
            <w:u w:val="single" w:color="005DA1"/>
          </w:rPr>
          <w:t>565</w:t>
        </w:r>
      </w:hyperlink>
      <w:r>
        <w:rPr>
          <w:position w:val="5"/>
          <w:sz w:val="14"/>
        </w:rPr>
        <w:t>.</w:t>
      </w:r>
      <w:r>
        <w:rPr>
          <w:spacing w:val="80"/>
          <w:position w:val="5"/>
          <w:sz w:val="14"/>
        </w:rPr>
        <w:t> </w:t>
      </w:r>
      <w:r>
        <w:rPr/>
        <w:t>e.g. Equal Pay Act 1970 s.1(1), as amended by Sex Discrimination Act 1975 ss.1(11) </w:t>
      </w:r>
      <w:r>
        <w:rPr/>
        <w:t>and Contracts (Applicable Law) Act 1990 s.5 and Sch.4; Trade Union and Labour Relations (Consolidation) Act 1992 ss.285(2), 287, 289; Employment Rights Act 1996 Pt VIII ss.203, 204(1); National Minimum Wage Act 1998 s.25(1).</w:t>
      </w:r>
    </w:p>
    <w:p>
      <w:pPr>
        <w:pStyle w:val="BodyText"/>
        <w:spacing w:before="8"/>
      </w:pPr>
    </w:p>
    <w:p>
      <w:pPr>
        <w:spacing w:line="235" w:lineRule="auto" w:before="0"/>
        <w:ind w:left="705" w:right="167" w:hanging="541"/>
        <w:jc w:val="both"/>
        <w:rPr>
          <w:sz w:val="20"/>
        </w:rPr>
      </w:pPr>
      <w:bookmarkStart w:name="_bookmark1102" w:id="1104"/>
      <w:bookmarkEnd w:id="1104"/>
      <w:r>
        <w:rPr/>
      </w:r>
      <w:hyperlink w:history="true" w:anchor="_bookmark976">
        <w:r>
          <w:rPr>
            <w:color w:val="005DA1"/>
            <w:position w:val="5"/>
            <w:sz w:val="14"/>
            <w:u w:val="single" w:color="005DA1"/>
          </w:rPr>
          <w:t>566</w:t>
        </w:r>
      </w:hyperlink>
      <w:r>
        <w:rPr>
          <w:position w:val="5"/>
          <w:sz w:val="14"/>
        </w:rPr>
        <w:t>.</w:t>
      </w:r>
      <w:r>
        <w:rPr>
          <w:spacing w:val="80"/>
          <w:position w:val="5"/>
          <w:sz w:val="14"/>
        </w:rPr>
        <w:t> </w:t>
      </w:r>
      <w:r>
        <w:rPr>
          <w:sz w:val="20"/>
        </w:rPr>
        <w:t>e.g. Patents Act 1977 ss.39–43 (compensation provisions for employee’s inventions probably mandatory); cf. </w:t>
      </w:r>
      <w:r>
        <w:rPr>
          <w:rFonts w:ascii="Arial" w:hAnsi="Arial"/>
          <w:i/>
          <w:sz w:val="20"/>
        </w:rPr>
        <w:t>Chiron Corp v Organon Teknika Ltd (No.2) [1993] F.S.R. 567</w:t>
      </w:r>
      <w:r>
        <w:rPr>
          <w:rFonts w:ascii="Arial" w:hAnsi="Arial"/>
          <w:i/>
          <w:spacing w:val="-1"/>
          <w:sz w:val="20"/>
        </w:rPr>
        <w:t> </w:t>
      </w:r>
      <w:r>
        <w:rPr>
          <w:sz w:val="20"/>
        </w:rPr>
        <w:t>(Patents Act 1977 s.44,</w:t>
      </w:r>
      <w:r>
        <w:rPr>
          <w:spacing w:val="32"/>
          <w:sz w:val="20"/>
        </w:rPr>
        <w:t> </w:t>
      </w:r>
      <w:r>
        <w:rPr>
          <w:sz w:val="20"/>
        </w:rPr>
        <w:t>since</w:t>
      </w:r>
      <w:r>
        <w:rPr>
          <w:spacing w:val="34"/>
          <w:sz w:val="20"/>
        </w:rPr>
        <w:t> </w:t>
      </w:r>
      <w:r>
        <w:rPr>
          <w:sz w:val="20"/>
        </w:rPr>
        <w:t>repealed</w:t>
      </w:r>
      <w:r>
        <w:rPr>
          <w:spacing w:val="34"/>
          <w:sz w:val="20"/>
        </w:rPr>
        <w:t> </w:t>
      </w:r>
      <w:r>
        <w:rPr>
          <w:sz w:val="20"/>
        </w:rPr>
        <w:t>by</w:t>
      </w:r>
      <w:r>
        <w:rPr>
          <w:spacing w:val="34"/>
          <w:sz w:val="20"/>
        </w:rPr>
        <w:t> </w:t>
      </w:r>
      <w:r>
        <w:rPr>
          <w:sz w:val="20"/>
        </w:rPr>
        <w:t>Competition</w:t>
      </w:r>
      <w:r>
        <w:rPr>
          <w:spacing w:val="34"/>
          <w:sz w:val="20"/>
        </w:rPr>
        <w:t> </w:t>
      </w:r>
      <w:r>
        <w:rPr>
          <w:sz w:val="20"/>
        </w:rPr>
        <w:t>Act</w:t>
      </w:r>
      <w:r>
        <w:rPr>
          <w:spacing w:val="34"/>
          <w:sz w:val="20"/>
        </w:rPr>
        <w:t> </w:t>
      </w:r>
      <w:r>
        <w:rPr>
          <w:sz w:val="20"/>
        </w:rPr>
        <w:t>1998</w:t>
      </w:r>
      <w:r>
        <w:rPr>
          <w:spacing w:val="34"/>
          <w:sz w:val="20"/>
        </w:rPr>
        <w:t> </w:t>
      </w:r>
      <w:r>
        <w:rPr>
          <w:sz w:val="20"/>
        </w:rPr>
        <w:t>s.70,</w:t>
      </w:r>
      <w:r>
        <w:rPr>
          <w:spacing w:val="34"/>
          <w:sz w:val="20"/>
        </w:rPr>
        <w:t> </w:t>
      </w:r>
      <w:r>
        <w:rPr>
          <w:sz w:val="20"/>
        </w:rPr>
        <w:t>applies</w:t>
      </w:r>
      <w:r>
        <w:rPr>
          <w:spacing w:val="34"/>
          <w:sz w:val="20"/>
        </w:rPr>
        <w:t> </w:t>
      </w:r>
      <w:r>
        <w:rPr>
          <w:sz w:val="20"/>
        </w:rPr>
        <w:t>to</w:t>
      </w:r>
      <w:r>
        <w:rPr>
          <w:spacing w:val="34"/>
          <w:sz w:val="20"/>
        </w:rPr>
        <w:t> </w:t>
      </w:r>
      <w:r>
        <w:rPr>
          <w:sz w:val="20"/>
        </w:rPr>
        <w:t>contract</w:t>
      </w:r>
      <w:r>
        <w:rPr>
          <w:spacing w:val="34"/>
          <w:sz w:val="20"/>
        </w:rPr>
        <w:t> </w:t>
      </w:r>
      <w:r>
        <w:rPr>
          <w:sz w:val="20"/>
        </w:rPr>
        <w:t>governed</w:t>
      </w:r>
      <w:r>
        <w:rPr>
          <w:spacing w:val="34"/>
          <w:sz w:val="20"/>
        </w:rPr>
        <w:t> </w:t>
      </w:r>
      <w:r>
        <w:rPr>
          <w:sz w:val="20"/>
        </w:rPr>
        <w:t>by</w:t>
      </w:r>
      <w:r>
        <w:rPr>
          <w:spacing w:val="34"/>
          <w:sz w:val="20"/>
        </w:rPr>
        <w:t> </w:t>
      </w:r>
      <w:r>
        <w:rPr>
          <w:spacing w:val="-2"/>
          <w:sz w:val="20"/>
        </w:rPr>
        <w:t>foreign</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right="167"/>
        <w:jc w:val="both"/>
      </w:pPr>
      <w:r>
        <w:rPr/>
        <w:t>law). Each of the following anti-discrimination statutes has now been superseded by the</w:t>
      </w:r>
      <w:r>
        <w:rPr>
          <w:spacing w:val="40"/>
        </w:rPr>
        <w:t> </w:t>
      </w:r>
      <w:r>
        <w:rPr/>
        <w:t>Equality Act 2010, which contains no explicit indication of the territorial reach of the </w:t>
      </w:r>
      <w:r>
        <w:rPr/>
        <w:t>relevant provisions: see below. Sex Discrimination Act 1975 (mandatory); Race Relations Act 1976 (mandatory); Disability Discrimination Act 1995 (mandatory); Employment Equality (Religion</w:t>
      </w:r>
      <w:r>
        <w:rPr>
          <w:spacing w:val="40"/>
        </w:rPr>
        <w:t> </w:t>
      </w:r>
      <w:r>
        <w:rPr/>
        <w:t>and Belief) Regulations 2003 (SI 2003/1660, as amended by SI 2004/437, SI 2004/2520 and SI 2007/2269) (mandatory); Employment Equality (Sexual Orientation) Regulations 2003 (SI 2003/1661, as amended by SI 2004/2519 and SI 2007/2269) (mandatory); Employment</w:t>
      </w:r>
      <w:r>
        <w:rPr>
          <w:spacing w:val="40"/>
        </w:rPr>
        <w:t> </w:t>
      </w:r>
      <w:r>
        <w:rPr/>
        <w:t>Equality (Age) Regulations 2006 (SI 2006/1031) (mandatory).</w:t>
      </w:r>
    </w:p>
    <w:p>
      <w:pPr>
        <w:pStyle w:val="BodyText"/>
        <w:spacing w:before="7"/>
      </w:pPr>
    </w:p>
    <w:p>
      <w:pPr>
        <w:pStyle w:val="BodyText"/>
        <w:spacing w:line="235" w:lineRule="auto"/>
        <w:ind w:left="705" w:right="167" w:hanging="541"/>
        <w:jc w:val="both"/>
      </w:pPr>
      <w:bookmarkStart w:name="_bookmark1103" w:id="1105"/>
      <w:bookmarkEnd w:id="1105"/>
      <w:r>
        <w:rPr/>
      </w:r>
      <w:hyperlink w:history="true" w:anchor="_bookmark977">
        <w:r>
          <w:rPr>
            <w:color w:val="005DA1"/>
            <w:position w:val="5"/>
            <w:sz w:val="14"/>
            <w:u w:val="single" w:color="005DA1"/>
          </w:rPr>
          <w:t>567</w:t>
        </w:r>
      </w:hyperlink>
      <w:r>
        <w:rPr>
          <w:position w:val="5"/>
          <w:sz w:val="14"/>
        </w:rPr>
        <w:t>.</w:t>
      </w:r>
      <w:r>
        <w:rPr>
          <w:spacing w:val="80"/>
          <w:position w:val="5"/>
          <w:sz w:val="14"/>
        </w:rPr>
        <w:t>  </w:t>
      </w:r>
      <w:r>
        <w:rPr/>
        <w:t>Equal</w:t>
      </w:r>
      <w:r>
        <w:rPr>
          <w:spacing w:val="-1"/>
        </w:rPr>
        <w:t> </w:t>
      </w:r>
      <w:r>
        <w:rPr/>
        <w:t>Pay</w:t>
      </w:r>
      <w:r>
        <w:rPr>
          <w:spacing w:val="-1"/>
        </w:rPr>
        <w:t> </w:t>
      </w:r>
      <w:r>
        <w:rPr/>
        <w:t>Act</w:t>
      </w:r>
      <w:r>
        <w:rPr>
          <w:spacing w:val="-1"/>
        </w:rPr>
        <w:t> </w:t>
      </w:r>
      <w:r>
        <w:rPr/>
        <w:t>1970</w:t>
      </w:r>
      <w:r>
        <w:rPr>
          <w:spacing w:val="-1"/>
        </w:rPr>
        <w:t> </w:t>
      </w:r>
      <w:r>
        <w:rPr/>
        <w:t>s.1(1),</w:t>
      </w:r>
      <w:r>
        <w:rPr>
          <w:spacing w:val="-1"/>
        </w:rPr>
        <w:t> </w:t>
      </w:r>
      <w:r>
        <w:rPr/>
        <w:t>as</w:t>
      </w:r>
      <w:r>
        <w:rPr>
          <w:spacing w:val="-1"/>
        </w:rPr>
        <w:t> </w:t>
      </w:r>
      <w:r>
        <w:rPr/>
        <w:t>amended</w:t>
      </w:r>
      <w:r>
        <w:rPr>
          <w:spacing w:val="-1"/>
        </w:rPr>
        <w:t> </w:t>
      </w:r>
      <w:r>
        <w:rPr/>
        <w:t>by</w:t>
      </w:r>
      <w:r>
        <w:rPr>
          <w:spacing w:val="-1"/>
        </w:rPr>
        <w:t> </w:t>
      </w:r>
      <w:r>
        <w:rPr/>
        <w:t>Sex</w:t>
      </w:r>
      <w:r>
        <w:rPr>
          <w:spacing w:val="-1"/>
        </w:rPr>
        <w:t> </w:t>
      </w:r>
      <w:r>
        <w:rPr/>
        <w:t>Discrimination</w:t>
      </w:r>
      <w:r>
        <w:rPr>
          <w:spacing w:val="-1"/>
        </w:rPr>
        <w:t> </w:t>
      </w:r>
      <w:r>
        <w:rPr/>
        <w:t>Act</w:t>
      </w:r>
      <w:r>
        <w:rPr>
          <w:spacing w:val="-1"/>
        </w:rPr>
        <w:t> </w:t>
      </w:r>
      <w:r>
        <w:rPr/>
        <w:t>1975</w:t>
      </w:r>
      <w:r>
        <w:rPr>
          <w:spacing w:val="-1"/>
        </w:rPr>
        <w:t> </w:t>
      </w:r>
      <w:r>
        <w:rPr/>
        <w:t>s.8,</w:t>
      </w:r>
      <w:r>
        <w:rPr>
          <w:spacing w:val="-1"/>
        </w:rPr>
        <w:t> </w:t>
      </w:r>
      <w:r>
        <w:rPr/>
        <w:t>Sex</w:t>
      </w:r>
      <w:r>
        <w:rPr>
          <w:spacing w:val="-1"/>
        </w:rPr>
        <w:t> </w:t>
      </w:r>
      <w:r>
        <w:rPr/>
        <w:t>Discrimination Act 1975 s.10(1) and 10(1A) inserted by SI 2005/2467 reg.11. See for examples of similar limitations, Race Relations Act 1976 ss.4, 8(1) and 8(1A); Disability Discrimination Act </w:t>
      </w:r>
      <w:r>
        <w:rPr/>
        <w:t>1995 ss.4, 68 and </w:t>
      </w:r>
      <w:r>
        <w:rPr>
          <w:rFonts w:ascii="Arial"/>
          <w:i/>
        </w:rPr>
        <w:t>Williams v University of Nottingham [2007] I.R.L.R. 660 (EAT)</w:t>
      </w:r>
      <w:r>
        <w:rPr/>
        <w:t>; cf. Equality Act (Sexual Orientation) Regulations 2007 (SI 2007/1263) reg.34. Now superseded by the Equality Act 2010, which contain no explicit territorial limitations: see below.</w:t>
      </w:r>
    </w:p>
    <w:p>
      <w:pPr>
        <w:pStyle w:val="BodyText"/>
        <w:spacing w:before="4"/>
      </w:pPr>
    </w:p>
    <w:p>
      <w:pPr>
        <w:tabs>
          <w:tab w:pos="705" w:val="left" w:leader="none"/>
        </w:tabs>
        <w:spacing w:before="0"/>
        <w:ind w:left="165" w:right="0" w:firstLine="0"/>
        <w:jc w:val="left"/>
        <w:rPr>
          <w:sz w:val="20"/>
        </w:rPr>
      </w:pPr>
      <w:bookmarkStart w:name="_bookmark1104" w:id="1106"/>
      <w:bookmarkEnd w:id="1106"/>
      <w:r>
        <w:rPr/>
      </w:r>
      <w:hyperlink w:history="true" w:anchor="_bookmark978">
        <w:r>
          <w:rPr>
            <w:color w:val="005DA1"/>
            <w:spacing w:val="-4"/>
            <w:position w:val="5"/>
            <w:sz w:val="14"/>
            <w:u w:val="single" w:color="005DA1"/>
          </w:rPr>
          <w:t>568</w:t>
        </w:r>
      </w:hyperlink>
      <w:r>
        <w:rPr>
          <w:spacing w:val="-4"/>
          <w:position w:val="5"/>
          <w:sz w:val="14"/>
        </w:rPr>
        <w:t>.</w:t>
      </w:r>
      <w:r>
        <w:rPr>
          <w:position w:val="5"/>
          <w:sz w:val="14"/>
        </w:rPr>
        <w:tab/>
      </w:r>
      <w:r>
        <w:rPr>
          <w:spacing w:val="-2"/>
          <w:sz w:val="20"/>
        </w:rPr>
        <w:t>s.196.</w:t>
      </w:r>
    </w:p>
    <w:p>
      <w:pPr>
        <w:pStyle w:val="BodyText"/>
        <w:spacing w:before="9"/>
      </w:pPr>
    </w:p>
    <w:p>
      <w:pPr>
        <w:pStyle w:val="BodyText"/>
        <w:spacing w:line="235" w:lineRule="auto"/>
        <w:ind w:left="705" w:right="167" w:hanging="541"/>
        <w:jc w:val="both"/>
      </w:pPr>
      <w:bookmarkStart w:name="_bookmark1105" w:id="1107"/>
      <w:bookmarkEnd w:id="1107"/>
      <w:r>
        <w:rPr/>
      </w:r>
      <w:hyperlink w:history="true" w:anchor="_bookmark978">
        <w:r>
          <w:rPr>
            <w:color w:val="005DA1"/>
            <w:position w:val="5"/>
            <w:sz w:val="14"/>
            <w:u w:val="single" w:color="005DA1"/>
          </w:rPr>
          <w:t>569</w:t>
        </w:r>
      </w:hyperlink>
      <w:r>
        <w:rPr>
          <w:position w:val="5"/>
          <w:sz w:val="14"/>
        </w:rPr>
        <w:t>.</w:t>
      </w:r>
      <w:r>
        <w:rPr>
          <w:spacing w:val="40"/>
          <w:position w:val="5"/>
          <w:sz w:val="14"/>
        </w:rPr>
        <w:t> </w:t>
      </w:r>
      <w:r>
        <w:rPr/>
        <w:t>Employment Relations Act 1999 s.32(3). Apparently the repeal was thought to </w:t>
      </w:r>
      <w:r>
        <w:rPr/>
        <w:t>facilitate implementation of the Posted Workers Directive (above, para.30–109). See Dicey Morris and Collins, para.33–091; Merrett, Ch.7.</w:t>
      </w:r>
    </w:p>
    <w:p>
      <w:pPr>
        <w:pStyle w:val="BodyText"/>
        <w:spacing w:before="9"/>
      </w:pPr>
    </w:p>
    <w:p>
      <w:pPr>
        <w:tabs>
          <w:tab w:pos="705" w:val="left" w:leader="none"/>
        </w:tabs>
        <w:spacing w:line="235" w:lineRule="auto" w:before="0"/>
        <w:ind w:left="705" w:right="168" w:hanging="541"/>
        <w:jc w:val="left"/>
        <w:rPr>
          <w:sz w:val="20"/>
        </w:rPr>
      </w:pPr>
      <w:bookmarkStart w:name="_bookmark1106" w:id="1108"/>
      <w:bookmarkEnd w:id="1108"/>
      <w:r>
        <w:rPr/>
      </w:r>
      <w:hyperlink w:history="true" w:anchor="_bookmark979">
        <w:r>
          <w:rPr>
            <w:color w:val="005DA1"/>
            <w:spacing w:val="-4"/>
            <w:position w:val="5"/>
            <w:sz w:val="14"/>
            <w:u w:val="single" w:color="005DA1"/>
          </w:rPr>
          <w:t>570</w:t>
        </w:r>
      </w:hyperlink>
      <w:r>
        <w:rPr>
          <w:spacing w:val="-4"/>
          <w:position w:val="5"/>
          <w:sz w:val="14"/>
        </w:rPr>
        <w:t>.</w:t>
      </w:r>
      <w:r>
        <w:rPr>
          <w:position w:val="5"/>
          <w:sz w:val="14"/>
        </w:rPr>
        <w:tab/>
      </w:r>
      <w:r>
        <w:rPr>
          <w:rFonts w:ascii="Arial" w:hAnsi="Arial"/>
          <w:i/>
          <w:sz w:val="20"/>
        </w:rPr>
        <w:t>Serco</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Lawson</w:t>
      </w:r>
      <w:r>
        <w:rPr>
          <w:rFonts w:ascii="Arial" w:hAnsi="Arial"/>
          <w:i/>
          <w:spacing w:val="22"/>
          <w:sz w:val="20"/>
        </w:rPr>
        <w:t> </w:t>
      </w:r>
      <w:r>
        <w:rPr>
          <w:rFonts w:ascii="Arial" w:hAnsi="Arial"/>
          <w:i/>
          <w:sz w:val="20"/>
        </w:rPr>
        <w:t>[2006]</w:t>
      </w:r>
      <w:r>
        <w:rPr>
          <w:rFonts w:ascii="Arial" w:hAnsi="Arial"/>
          <w:i/>
          <w:spacing w:val="22"/>
          <w:sz w:val="20"/>
        </w:rPr>
        <w:t> </w:t>
      </w:r>
      <w:r>
        <w:rPr>
          <w:rFonts w:ascii="Arial" w:hAnsi="Arial"/>
          <w:i/>
          <w:sz w:val="20"/>
        </w:rPr>
        <w:t>UKHL</w:t>
      </w:r>
      <w:r>
        <w:rPr>
          <w:rFonts w:ascii="Arial" w:hAnsi="Arial"/>
          <w:i/>
          <w:spacing w:val="22"/>
          <w:sz w:val="20"/>
        </w:rPr>
        <w:t> </w:t>
      </w:r>
      <w:r>
        <w:rPr>
          <w:rFonts w:ascii="Arial" w:hAnsi="Arial"/>
          <w:i/>
          <w:sz w:val="20"/>
        </w:rPr>
        <w:t>3,</w:t>
      </w:r>
      <w:r>
        <w:rPr>
          <w:rFonts w:ascii="Arial" w:hAnsi="Arial"/>
          <w:i/>
          <w:spacing w:val="22"/>
          <w:sz w:val="20"/>
        </w:rPr>
        <w:t> </w:t>
      </w:r>
      <w:r>
        <w:rPr>
          <w:rFonts w:ascii="Arial" w:hAnsi="Arial"/>
          <w:i/>
          <w:sz w:val="20"/>
        </w:rPr>
        <w:t>[2006]</w:t>
      </w:r>
      <w:r>
        <w:rPr>
          <w:rFonts w:ascii="Arial" w:hAnsi="Arial"/>
          <w:i/>
          <w:spacing w:val="22"/>
          <w:sz w:val="20"/>
        </w:rPr>
        <w:t> </w:t>
      </w:r>
      <w:r>
        <w:rPr>
          <w:rFonts w:ascii="Arial" w:hAnsi="Arial"/>
          <w:i/>
          <w:sz w:val="20"/>
        </w:rPr>
        <w:t>I.C.R.</w:t>
      </w:r>
      <w:r>
        <w:rPr>
          <w:rFonts w:ascii="Arial" w:hAnsi="Arial"/>
          <w:i/>
          <w:spacing w:val="22"/>
          <w:sz w:val="20"/>
        </w:rPr>
        <w:t> </w:t>
      </w:r>
      <w:r>
        <w:rPr>
          <w:rFonts w:ascii="Arial" w:hAnsi="Arial"/>
          <w:i/>
          <w:sz w:val="20"/>
        </w:rPr>
        <w:t>250</w:t>
      </w:r>
      <w:r>
        <w:rPr>
          <w:sz w:val="20"/>
        </w:rPr>
        <w:t>.</w:t>
      </w:r>
      <w:r>
        <w:rPr>
          <w:spacing w:val="22"/>
          <w:sz w:val="20"/>
        </w:rPr>
        <w:t> </w:t>
      </w:r>
      <w:r>
        <w:rPr>
          <w:sz w:val="20"/>
        </w:rPr>
        <w:t>See</w:t>
      </w:r>
      <w:r>
        <w:rPr>
          <w:spacing w:val="22"/>
          <w:sz w:val="20"/>
        </w:rPr>
        <w:t> </w:t>
      </w:r>
      <w:r>
        <w:rPr>
          <w:sz w:val="20"/>
        </w:rPr>
        <w:t>Dicey,</w:t>
      </w:r>
      <w:r>
        <w:rPr>
          <w:spacing w:val="22"/>
          <w:sz w:val="20"/>
        </w:rPr>
        <w:t> </w:t>
      </w:r>
      <w:r>
        <w:rPr>
          <w:sz w:val="20"/>
        </w:rPr>
        <w:t>Morris</w:t>
      </w:r>
      <w:r>
        <w:rPr>
          <w:spacing w:val="22"/>
          <w:sz w:val="20"/>
        </w:rPr>
        <w:t> </w:t>
      </w:r>
      <w:r>
        <w:rPr>
          <w:sz w:val="20"/>
        </w:rPr>
        <w:t>and</w:t>
      </w:r>
      <w:r>
        <w:rPr>
          <w:spacing w:val="22"/>
          <w:sz w:val="20"/>
        </w:rPr>
        <w:t> </w:t>
      </w:r>
      <w:r>
        <w:rPr>
          <w:sz w:val="20"/>
        </w:rPr>
        <w:t>Collins,</w:t>
      </w:r>
      <w:r>
        <w:rPr>
          <w:spacing w:val="22"/>
          <w:sz w:val="20"/>
        </w:rPr>
        <w:t> </w:t>
      </w:r>
      <w:r>
        <w:rPr>
          <w:sz w:val="20"/>
        </w:rPr>
        <w:t>paras </w:t>
      </w:r>
      <w:r>
        <w:rPr>
          <w:spacing w:val="-2"/>
          <w:sz w:val="20"/>
        </w:rPr>
        <w:t>33–090—33–095.</w:t>
      </w:r>
    </w:p>
    <w:p>
      <w:pPr>
        <w:pStyle w:val="BodyText"/>
        <w:spacing w:before="5"/>
      </w:pPr>
    </w:p>
    <w:p>
      <w:pPr>
        <w:tabs>
          <w:tab w:pos="705" w:val="left" w:leader="none"/>
        </w:tabs>
        <w:spacing w:before="0"/>
        <w:ind w:left="165" w:right="0" w:firstLine="0"/>
        <w:jc w:val="left"/>
        <w:rPr>
          <w:sz w:val="20"/>
        </w:rPr>
      </w:pPr>
      <w:bookmarkStart w:name="_bookmark1107" w:id="1109"/>
      <w:bookmarkEnd w:id="1109"/>
      <w:r>
        <w:rPr/>
      </w:r>
      <w:hyperlink w:history="true" w:anchor="_bookmark980">
        <w:r>
          <w:rPr>
            <w:color w:val="005DA1"/>
            <w:spacing w:val="-4"/>
            <w:position w:val="5"/>
            <w:sz w:val="14"/>
            <w:u w:val="single" w:color="005DA1"/>
          </w:rPr>
          <w:t>571</w:t>
        </w:r>
      </w:hyperlink>
      <w:r>
        <w:rPr>
          <w:spacing w:val="-4"/>
          <w:position w:val="5"/>
          <w:sz w:val="14"/>
        </w:rPr>
        <w:t>.</w:t>
      </w:r>
      <w:r>
        <w:rPr>
          <w:position w:val="5"/>
          <w:sz w:val="14"/>
        </w:rPr>
        <w:tab/>
      </w:r>
      <w:r>
        <w:rPr>
          <w:rFonts w:ascii="Arial"/>
          <w:i/>
          <w:sz w:val="20"/>
        </w:rPr>
        <w:t>[2006] UKHL </w:t>
      </w:r>
      <w:r>
        <w:rPr>
          <w:rFonts w:ascii="Arial"/>
          <w:i/>
          <w:spacing w:val="-5"/>
          <w:sz w:val="20"/>
        </w:rPr>
        <w:t>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108" w:id="1110"/>
      <w:bookmarkEnd w:id="1110"/>
      <w:r>
        <w:rPr/>
      </w:r>
      <w:hyperlink w:history="true" w:anchor="_bookmark981">
        <w:r>
          <w:rPr>
            <w:color w:val="005DA1"/>
            <w:spacing w:val="-4"/>
            <w:position w:val="5"/>
            <w:sz w:val="14"/>
            <w:u w:val="single" w:color="005DA1"/>
          </w:rPr>
          <w:t>572</w:t>
        </w:r>
      </w:hyperlink>
      <w:r>
        <w:rPr>
          <w:spacing w:val="-4"/>
          <w:position w:val="5"/>
          <w:sz w:val="14"/>
        </w:rPr>
        <w:t>.</w:t>
      </w:r>
      <w:r>
        <w:rPr>
          <w:position w:val="5"/>
          <w:sz w:val="14"/>
        </w:rPr>
        <w:tab/>
      </w:r>
      <w:r>
        <w:rPr>
          <w:rFonts w:ascii="Arial"/>
          <w:i/>
          <w:sz w:val="20"/>
        </w:rPr>
        <w:t>[2006] UKHL </w:t>
      </w:r>
      <w:r>
        <w:rPr>
          <w:rFonts w:ascii="Arial"/>
          <w:i/>
          <w:spacing w:val="-5"/>
          <w:sz w:val="20"/>
        </w:rPr>
        <w:t>3</w:t>
      </w:r>
      <w:r>
        <w:rPr>
          <w:spacing w:val="-5"/>
          <w:sz w:val="20"/>
        </w:rPr>
        <w:t>.</w:t>
      </w:r>
    </w:p>
    <w:p>
      <w:pPr>
        <w:pStyle w:val="BodyText"/>
        <w:spacing w:before="5"/>
      </w:pPr>
    </w:p>
    <w:p>
      <w:pPr>
        <w:tabs>
          <w:tab w:pos="540" w:val="left" w:leader="none"/>
        </w:tabs>
        <w:spacing w:line="227" w:lineRule="exact" w:before="0"/>
        <w:ind w:left="0" w:right="167" w:firstLine="0"/>
        <w:jc w:val="right"/>
        <w:rPr>
          <w:rFonts w:ascii="Arial"/>
          <w:i/>
          <w:sz w:val="20"/>
        </w:rPr>
      </w:pPr>
      <w:bookmarkStart w:name="_bookmark1109" w:id="1111"/>
      <w:bookmarkEnd w:id="1111"/>
      <w:r>
        <w:rPr/>
      </w:r>
      <w:hyperlink w:history="true" w:anchor="_bookmark982">
        <w:r>
          <w:rPr>
            <w:color w:val="005DA1"/>
            <w:spacing w:val="-4"/>
            <w:position w:val="5"/>
            <w:sz w:val="14"/>
            <w:u w:val="single" w:color="005DA1"/>
          </w:rPr>
          <w:t>573</w:t>
        </w:r>
      </w:hyperlink>
      <w:r>
        <w:rPr>
          <w:spacing w:val="-4"/>
          <w:position w:val="5"/>
          <w:sz w:val="14"/>
        </w:rPr>
        <w:t>.</w:t>
      </w:r>
      <w:r>
        <w:rPr>
          <w:position w:val="5"/>
          <w:sz w:val="14"/>
        </w:rPr>
        <w:tab/>
      </w:r>
      <w:r>
        <w:rPr>
          <w:rFonts w:ascii="Arial"/>
          <w:i/>
          <w:sz w:val="20"/>
        </w:rPr>
        <w:t>Duncombe</w:t>
      </w:r>
      <w:r>
        <w:rPr>
          <w:rFonts w:ascii="Arial"/>
          <w:i/>
          <w:spacing w:val="36"/>
          <w:sz w:val="20"/>
        </w:rPr>
        <w:t> </w:t>
      </w:r>
      <w:r>
        <w:rPr>
          <w:rFonts w:ascii="Arial"/>
          <w:i/>
          <w:sz w:val="20"/>
        </w:rPr>
        <w:t>v</w:t>
      </w:r>
      <w:r>
        <w:rPr>
          <w:rFonts w:ascii="Arial"/>
          <w:i/>
          <w:spacing w:val="36"/>
          <w:sz w:val="20"/>
        </w:rPr>
        <w:t> </w:t>
      </w:r>
      <w:r>
        <w:rPr>
          <w:rFonts w:ascii="Arial"/>
          <w:i/>
          <w:sz w:val="20"/>
        </w:rPr>
        <w:t>Secretary</w:t>
      </w:r>
      <w:r>
        <w:rPr>
          <w:rFonts w:ascii="Arial"/>
          <w:i/>
          <w:spacing w:val="36"/>
          <w:sz w:val="20"/>
        </w:rPr>
        <w:t> </w:t>
      </w:r>
      <w:r>
        <w:rPr>
          <w:rFonts w:ascii="Arial"/>
          <w:i/>
          <w:sz w:val="20"/>
        </w:rPr>
        <w:t>of</w:t>
      </w:r>
      <w:r>
        <w:rPr>
          <w:rFonts w:ascii="Arial"/>
          <w:i/>
          <w:spacing w:val="36"/>
          <w:sz w:val="20"/>
        </w:rPr>
        <w:t> </w:t>
      </w:r>
      <w:r>
        <w:rPr>
          <w:rFonts w:ascii="Arial"/>
          <w:i/>
          <w:sz w:val="20"/>
        </w:rPr>
        <w:t>State</w:t>
      </w:r>
      <w:r>
        <w:rPr>
          <w:rFonts w:ascii="Arial"/>
          <w:i/>
          <w:spacing w:val="36"/>
          <w:sz w:val="20"/>
        </w:rPr>
        <w:t> </w:t>
      </w:r>
      <w:r>
        <w:rPr>
          <w:rFonts w:ascii="Arial"/>
          <w:i/>
          <w:sz w:val="20"/>
        </w:rPr>
        <w:t>for</w:t>
      </w:r>
      <w:r>
        <w:rPr>
          <w:rFonts w:ascii="Arial"/>
          <w:i/>
          <w:spacing w:val="36"/>
          <w:sz w:val="20"/>
        </w:rPr>
        <w:t> </w:t>
      </w:r>
      <w:r>
        <w:rPr>
          <w:rFonts w:ascii="Arial"/>
          <w:i/>
          <w:sz w:val="20"/>
        </w:rPr>
        <w:t>Children</w:t>
      </w:r>
      <w:r>
        <w:rPr>
          <w:rFonts w:ascii="Arial"/>
          <w:i/>
          <w:spacing w:val="36"/>
          <w:sz w:val="20"/>
        </w:rPr>
        <w:t> </w:t>
      </w:r>
      <w:r>
        <w:rPr>
          <w:rFonts w:ascii="Arial"/>
          <w:i/>
          <w:sz w:val="20"/>
        </w:rPr>
        <w:t>Schools</w:t>
      </w:r>
      <w:r>
        <w:rPr>
          <w:rFonts w:ascii="Arial"/>
          <w:i/>
          <w:spacing w:val="36"/>
          <w:sz w:val="20"/>
        </w:rPr>
        <w:t> </w:t>
      </w:r>
      <w:r>
        <w:rPr>
          <w:rFonts w:ascii="Arial"/>
          <w:i/>
          <w:sz w:val="20"/>
        </w:rPr>
        <w:t>and</w:t>
      </w:r>
      <w:r>
        <w:rPr>
          <w:rFonts w:ascii="Arial"/>
          <w:i/>
          <w:spacing w:val="36"/>
          <w:sz w:val="20"/>
        </w:rPr>
        <w:t> </w:t>
      </w:r>
      <w:r>
        <w:rPr>
          <w:rFonts w:ascii="Arial"/>
          <w:i/>
          <w:sz w:val="20"/>
        </w:rPr>
        <w:t>Families</w:t>
      </w:r>
      <w:r>
        <w:rPr>
          <w:rFonts w:ascii="Arial"/>
          <w:i/>
          <w:spacing w:val="36"/>
          <w:sz w:val="20"/>
        </w:rPr>
        <w:t> </w:t>
      </w:r>
      <w:r>
        <w:rPr>
          <w:rFonts w:ascii="Arial"/>
          <w:i/>
          <w:sz w:val="20"/>
        </w:rPr>
        <w:t>[2011]</w:t>
      </w:r>
      <w:r>
        <w:rPr>
          <w:rFonts w:ascii="Arial"/>
          <w:i/>
          <w:spacing w:val="36"/>
          <w:sz w:val="20"/>
        </w:rPr>
        <w:t> </w:t>
      </w:r>
      <w:r>
        <w:rPr>
          <w:rFonts w:ascii="Arial"/>
          <w:i/>
          <w:sz w:val="20"/>
        </w:rPr>
        <w:t>UKSC</w:t>
      </w:r>
      <w:r>
        <w:rPr>
          <w:rFonts w:ascii="Arial"/>
          <w:i/>
          <w:spacing w:val="36"/>
          <w:sz w:val="20"/>
        </w:rPr>
        <w:t> </w:t>
      </w:r>
      <w:r>
        <w:rPr>
          <w:rFonts w:ascii="Arial"/>
          <w:i/>
          <w:sz w:val="20"/>
        </w:rPr>
        <w:t>36,</w:t>
      </w:r>
      <w:r>
        <w:rPr>
          <w:rFonts w:ascii="Arial"/>
          <w:i/>
          <w:spacing w:val="36"/>
          <w:sz w:val="20"/>
        </w:rPr>
        <w:t> </w:t>
      </w:r>
      <w:r>
        <w:rPr>
          <w:rFonts w:ascii="Arial"/>
          <w:i/>
          <w:spacing w:val="-2"/>
          <w:sz w:val="20"/>
        </w:rPr>
        <w:t>[2011]</w:t>
      </w:r>
    </w:p>
    <w:p>
      <w:pPr>
        <w:spacing w:line="225" w:lineRule="exact" w:before="0"/>
        <w:ind w:left="0" w:right="168" w:firstLine="0"/>
        <w:jc w:val="right"/>
        <w:rPr>
          <w:sz w:val="20"/>
        </w:rPr>
      </w:pPr>
      <w:r>
        <w:rPr>
          <w:rFonts w:ascii="Arial"/>
          <w:i/>
          <w:sz w:val="20"/>
        </w:rPr>
        <w:t>I.C.R.</w:t>
      </w:r>
      <w:r>
        <w:rPr>
          <w:rFonts w:ascii="Arial"/>
          <w:i/>
          <w:spacing w:val="29"/>
          <w:sz w:val="20"/>
        </w:rPr>
        <w:t> </w:t>
      </w:r>
      <w:r>
        <w:rPr>
          <w:rFonts w:ascii="Arial"/>
          <w:i/>
          <w:sz w:val="20"/>
        </w:rPr>
        <w:t>1312</w:t>
      </w:r>
      <w:r>
        <w:rPr>
          <w:sz w:val="20"/>
        </w:rPr>
        <w:t>.</w:t>
      </w:r>
      <w:r>
        <w:rPr>
          <w:spacing w:val="30"/>
          <w:sz w:val="20"/>
        </w:rPr>
        <w:t> </w:t>
      </w:r>
      <w:r>
        <w:rPr>
          <w:sz w:val="20"/>
        </w:rPr>
        <w:t>See</w:t>
      </w:r>
      <w:r>
        <w:rPr>
          <w:spacing w:val="30"/>
          <w:sz w:val="20"/>
        </w:rPr>
        <w:t> </w:t>
      </w:r>
      <w:r>
        <w:rPr>
          <w:sz w:val="20"/>
        </w:rPr>
        <w:t>too</w:t>
      </w:r>
      <w:r>
        <w:rPr>
          <w:spacing w:val="30"/>
          <w:sz w:val="20"/>
        </w:rPr>
        <w:t> </w:t>
      </w:r>
      <w:r>
        <w:rPr>
          <w:rFonts w:ascii="Arial"/>
          <w:i/>
          <w:sz w:val="20"/>
        </w:rPr>
        <w:t>Ministry</w:t>
      </w:r>
      <w:r>
        <w:rPr>
          <w:rFonts w:ascii="Arial"/>
          <w:i/>
          <w:spacing w:val="30"/>
          <w:sz w:val="20"/>
        </w:rPr>
        <w:t> </w:t>
      </w:r>
      <w:r>
        <w:rPr>
          <w:rFonts w:ascii="Arial"/>
          <w:i/>
          <w:sz w:val="20"/>
        </w:rPr>
        <w:t>of</w:t>
      </w:r>
      <w:r>
        <w:rPr>
          <w:rFonts w:ascii="Arial"/>
          <w:i/>
          <w:spacing w:val="30"/>
          <w:sz w:val="20"/>
        </w:rPr>
        <w:t> </w:t>
      </w:r>
      <w:r>
        <w:rPr>
          <w:rFonts w:ascii="Arial"/>
          <w:i/>
          <w:sz w:val="20"/>
        </w:rPr>
        <w:t>Defence</w:t>
      </w:r>
      <w:r>
        <w:rPr>
          <w:rFonts w:ascii="Arial"/>
          <w:i/>
          <w:spacing w:val="30"/>
          <w:sz w:val="20"/>
        </w:rPr>
        <w:t> </w:t>
      </w:r>
      <w:r>
        <w:rPr>
          <w:rFonts w:ascii="Arial"/>
          <w:i/>
          <w:sz w:val="20"/>
        </w:rPr>
        <w:t>v</w:t>
      </w:r>
      <w:r>
        <w:rPr>
          <w:rFonts w:ascii="Arial"/>
          <w:i/>
          <w:spacing w:val="30"/>
          <w:sz w:val="20"/>
        </w:rPr>
        <w:t> </w:t>
      </w:r>
      <w:r>
        <w:rPr>
          <w:rFonts w:ascii="Arial"/>
          <w:i/>
          <w:sz w:val="20"/>
        </w:rPr>
        <w:t>Wallis</w:t>
      </w:r>
      <w:r>
        <w:rPr>
          <w:rFonts w:ascii="Arial"/>
          <w:i/>
          <w:spacing w:val="30"/>
          <w:sz w:val="20"/>
        </w:rPr>
        <w:t> </w:t>
      </w:r>
      <w:r>
        <w:rPr>
          <w:rFonts w:ascii="Arial"/>
          <w:i/>
          <w:sz w:val="20"/>
        </w:rPr>
        <w:t>[2011]</w:t>
      </w:r>
      <w:r>
        <w:rPr>
          <w:rFonts w:ascii="Arial"/>
          <w:i/>
          <w:spacing w:val="30"/>
          <w:sz w:val="20"/>
        </w:rPr>
        <w:t> </w:t>
      </w:r>
      <w:r>
        <w:rPr>
          <w:rFonts w:ascii="Arial"/>
          <w:i/>
          <w:sz w:val="20"/>
        </w:rPr>
        <w:t>EWCA</w:t>
      </w:r>
      <w:r>
        <w:rPr>
          <w:rFonts w:ascii="Arial"/>
          <w:i/>
          <w:spacing w:val="30"/>
          <w:sz w:val="20"/>
        </w:rPr>
        <w:t> </w:t>
      </w:r>
      <w:r>
        <w:rPr>
          <w:rFonts w:ascii="Arial"/>
          <w:i/>
          <w:sz w:val="20"/>
        </w:rPr>
        <w:t>Civ</w:t>
      </w:r>
      <w:r>
        <w:rPr>
          <w:rFonts w:ascii="Arial"/>
          <w:i/>
          <w:spacing w:val="30"/>
          <w:sz w:val="20"/>
        </w:rPr>
        <w:t> </w:t>
      </w:r>
      <w:r>
        <w:rPr>
          <w:rFonts w:ascii="Arial"/>
          <w:i/>
          <w:sz w:val="20"/>
        </w:rPr>
        <w:t>231,</w:t>
      </w:r>
      <w:r>
        <w:rPr>
          <w:rFonts w:ascii="Arial"/>
          <w:i/>
          <w:spacing w:val="30"/>
          <w:sz w:val="20"/>
        </w:rPr>
        <w:t> </w:t>
      </w:r>
      <w:r>
        <w:rPr>
          <w:rFonts w:ascii="Arial"/>
          <w:i/>
          <w:sz w:val="20"/>
        </w:rPr>
        <w:t>[2011]</w:t>
      </w:r>
      <w:r>
        <w:rPr>
          <w:rFonts w:ascii="Arial"/>
          <w:i/>
          <w:spacing w:val="30"/>
          <w:sz w:val="20"/>
        </w:rPr>
        <w:t> </w:t>
      </w:r>
      <w:r>
        <w:rPr>
          <w:rFonts w:ascii="Arial"/>
          <w:i/>
          <w:sz w:val="20"/>
        </w:rPr>
        <w:t>I.C.R.</w:t>
      </w:r>
      <w:r>
        <w:rPr>
          <w:rFonts w:ascii="Arial"/>
          <w:i/>
          <w:spacing w:val="30"/>
          <w:sz w:val="20"/>
        </w:rPr>
        <w:t> </w:t>
      </w:r>
      <w:r>
        <w:rPr>
          <w:rFonts w:ascii="Arial"/>
          <w:i/>
          <w:spacing w:val="-4"/>
          <w:sz w:val="20"/>
        </w:rPr>
        <w:t>617</w:t>
      </w:r>
      <w:r>
        <w:rPr>
          <w:spacing w:val="-4"/>
          <w:sz w:val="20"/>
        </w:rPr>
        <w:t>;</w:t>
      </w:r>
    </w:p>
    <w:p>
      <w:pPr>
        <w:spacing w:line="227" w:lineRule="exact" w:before="0"/>
        <w:ind w:left="705" w:right="0" w:firstLine="0"/>
        <w:jc w:val="left"/>
        <w:rPr>
          <w:sz w:val="20"/>
        </w:rPr>
      </w:pPr>
      <w:r>
        <w:rPr>
          <w:rFonts w:ascii="Arial"/>
          <w:i/>
          <w:sz w:val="20"/>
        </w:rPr>
        <w:t>British Airways Board v Mak [2011] EWCA Civ 184, [2011] I.C.R. </w:t>
      </w:r>
      <w:r>
        <w:rPr>
          <w:rFonts w:ascii="Arial"/>
          <w:i/>
          <w:spacing w:val="-4"/>
          <w:sz w:val="20"/>
        </w:rPr>
        <w:t>735</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110" w:id="1112"/>
      <w:bookmarkEnd w:id="1112"/>
      <w:r>
        <w:rPr/>
      </w:r>
      <w:hyperlink w:history="true" w:anchor="_bookmark983">
        <w:r>
          <w:rPr>
            <w:color w:val="005DA1"/>
            <w:spacing w:val="-4"/>
            <w:sz w:val="14"/>
            <w:u w:val="single" w:color="005DA1"/>
          </w:rPr>
          <w:t>574</w:t>
        </w:r>
      </w:hyperlink>
      <w:r>
        <w:rPr>
          <w:spacing w:val="-4"/>
          <w:sz w:val="14"/>
        </w:rPr>
        <w:t>.</w:t>
      </w:r>
    </w:p>
    <w:p>
      <w:pPr>
        <w:spacing w:line="235" w:lineRule="auto" w:before="212"/>
        <w:ind w:left="165" w:right="168" w:firstLine="170"/>
        <w:jc w:val="both"/>
        <w:rPr>
          <w:rFonts w:ascii="Arial"/>
          <w:i/>
          <w:sz w:val="20"/>
        </w:rPr>
      </w:pPr>
      <w:r>
        <w:rPr/>
        <w:br w:type="column"/>
      </w:r>
      <w:r>
        <w:rPr>
          <w:rFonts w:ascii="Arial"/>
          <w:i/>
          <w:sz w:val="20"/>
        </w:rPr>
        <w:t>Ravat v Halliburton Manufacturing &amp; Services Ltd [2012] UKSC 1</w:t>
      </w:r>
      <w:r>
        <w:rPr>
          <w:sz w:val="20"/>
        </w:rPr>
        <w:t>. See also </w:t>
      </w:r>
      <w:r>
        <w:rPr>
          <w:rFonts w:ascii="Arial"/>
          <w:i/>
          <w:sz w:val="20"/>
        </w:rPr>
        <w:t>Simpson v Intralinks Ltd [2012] I.C.R. 1343 (EAT)</w:t>
      </w:r>
      <w:r>
        <w:rPr>
          <w:sz w:val="20"/>
        </w:rPr>
        <w:t>; </w:t>
      </w:r>
      <w:r>
        <w:rPr>
          <w:rFonts w:ascii="Arial"/>
          <w:i/>
          <w:sz w:val="20"/>
        </w:rPr>
        <w:t>Rogers v Ministry of Defence, February 1, 2013 (UKEAT/0455/12/ZT) (EAT)</w:t>
      </w:r>
      <w:r>
        <w:rPr>
          <w:sz w:val="20"/>
        </w:rPr>
        <w:t>; </w:t>
      </w:r>
      <w:r>
        <w:rPr>
          <w:rFonts w:ascii="Arial"/>
          <w:i/>
          <w:sz w:val="20"/>
        </w:rPr>
        <w:t>Bates von Winklehof v Clyde &amp; Co LLP [2012] EWCA Civ 1207, [2013] I.C.R 883, reversed on different grounds [2014] UKSC 32, [2014] I.C.R 730</w:t>
      </w:r>
      <w:r>
        <w:rPr>
          <w:sz w:val="20"/>
        </w:rPr>
        <w:t>; </w:t>
      </w:r>
      <w:r>
        <w:rPr>
          <w:rFonts w:ascii="Arial"/>
          <w:i/>
          <w:sz w:val="20"/>
        </w:rPr>
        <w:t>Creditsights Ltd</w:t>
      </w:r>
      <w:r>
        <w:rPr>
          <w:rFonts w:ascii="Arial"/>
          <w:i/>
          <w:spacing w:val="2"/>
          <w:sz w:val="20"/>
        </w:rPr>
        <w:t> </w:t>
      </w:r>
      <w:r>
        <w:rPr>
          <w:rFonts w:ascii="Arial"/>
          <w:i/>
          <w:sz w:val="20"/>
        </w:rPr>
        <w:t>v</w:t>
      </w:r>
      <w:r>
        <w:rPr>
          <w:rFonts w:ascii="Arial"/>
          <w:i/>
          <w:spacing w:val="3"/>
          <w:sz w:val="20"/>
        </w:rPr>
        <w:t> </w:t>
      </w:r>
      <w:r>
        <w:rPr>
          <w:rFonts w:ascii="Arial"/>
          <w:i/>
          <w:sz w:val="20"/>
        </w:rPr>
        <w:t>Dhunna</w:t>
      </w:r>
      <w:r>
        <w:rPr>
          <w:rFonts w:ascii="Arial"/>
          <w:i/>
          <w:spacing w:val="3"/>
          <w:sz w:val="20"/>
        </w:rPr>
        <w:t> </w:t>
      </w:r>
      <w:r>
        <w:rPr>
          <w:rFonts w:ascii="Arial"/>
          <w:i/>
          <w:sz w:val="20"/>
        </w:rPr>
        <w:t>[2014]</w:t>
      </w:r>
      <w:r>
        <w:rPr>
          <w:rFonts w:ascii="Arial"/>
          <w:i/>
          <w:spacing w:val="3"/>
          <w:sz w:val="20"/>
        </w:rPr>
        <w:t> </w:t>
      </w:r>
      <w:r>
        <w:rPr>
          <w:rFonts w:ascii="Arial"/>
          <w:i/>
          <w:sz w:val="20"/>
        </w:rPr>
        <w:t>EWCA</w:t>
      </w:r>
      <w:r>
        <w:rPr>
          <w:rFonts w:ascii="Arial"/>
          <w:i/>
          <w:spacing w:val="3"/>
          <w:sz w:val="20"/>
        </w:rPr>
        <w:t> </w:t>
      </w:r>
      <w:r>
        <w:rPr>
          <w:rFonts w:ascii="Arial"/>
          <w:i/>
          <w:sz w:val="20"/>
        </w:rPr>
        <w:t>Civ</w:t>
      </w:r>
      <w:r>
        <w:rPr>
          <w:rFonts w:ascii="Arial"/>
          <w:i/>
          <w:spacing w:val="3"/>
          <w:sz w:val="20"/>
        </w:rPr>
        <w:t> </w:t>
      </w:r>
      <w:r>
        <w:rPr>
          <w:rFonts w:ascii="Arial"/>
          <w:i/>
          <w:sz w:val="20"/>
        </w:rPr>
        <w:t>1238</w:t>
      </w:r>
      <w:r>
        <w:rPr>
          <w:sz w:val="20"/>
        </w:rPr>
        <w:t>;</w:t>
      </w:r>
      <w:r>
        <w:rPr>
          <w:spacing w:val="3"/>
          <w:sz w:val="20"/>
        </w:rPr>
        <w:t> </w:t>
      </w:r>
      <w:r>
        <w:rPr>
          <w:rFonts w:ascii="Arial"/>
          <w:i/>
          <w:sz w:val="20"/>
        </w:rPr>
        <w:t>Olsen</w:t>
      </w:r>
      <w:r>
        <w:rPr>
          <w:rFonts w:ascii="Arial"/>
          <w:i/>
          <w:spacing w:val="3"/>
          <w:sz w:val="20"/>
        </w:rPr>
        <w:t> </w:t>
      </w:r>
      <w:r>
        <w:rPr>
          <w:rFonts w:ascii="Arial"/>
          <w:i/>
          <w:sz w:val="20"/>
        </w:rPr>
        <w:t>v</w:t>
      </w:r>
      <w:r>
        <w:rPr>
          <w:rFonts w:ascii="Arial"/>
          <w:i/>
          <w:spacing w:val="3"/>
          <w:sz w:val="20"/>
        </w:rPr>
        <w:t> </w:t>
      </w:r>
      <w:r>
        <w:rPr>
          <w:rFonts w:ascii="Arial"/>
          <w:i/>
          <w:sz w:val="20"/>
        </w:rPr>
        <w:t>Gearbulk</w:t>
      </w:r>
      <w:r>
        <w:rPr>
          <w:rFonts w:ascii="Arial"/>
          <w:i/>
          <w:spacing w:val="3"/>
          <w:sz w:val="20"/>
        </w:rPr>
        <w:t> </w:t>
      </w:r>
      <w:r>
        <w:rPr>
          <w:rFonts w:ascii="Arial"/>
          <w:i/>
          <w:sz w:val="20"/>
        </w:rPr>
        <w:t>Services</w:t>
      </w:r>
      <w:r>
        <w:rPr>
          <w:rFonts w:ascii="Arial"/>
          <w:i/>
          <w:spacing w:val="3"/>
          <w:sz w:val="20"/>
        </w:rPr>
        <w:t> </w:t>
      </w:r>
      <w:r>
        <w:rPr>
          <w:rFonts w:ascii="Arial"/>
          <w:i/>
          <w:sz w:val="20"/>
        </w:rPr>
        <w:t>Ltd</w:t>
      </w:r>
      <w:r>
        <w:rPr>
          <w:rFonts w:ascii="Arial"/>
          <w:i/>
          <w:spacing w:val="3"/>
          <w:sz w:val="20"/>
        </w:rPr>
        <w:t> </w:t>
      </w:r>
      <w:r>
        <w:rPr>
          <w:rFonts w:ascii="Arial"/>
          <w:i/>
          <w:sz w:val="20"/>
        </w:rPr>
        <w:t>[2015]</w:t>
      </w:r>
      <w:r>
        <w:rPr>
          <w:rFonts w:ascii="Arial"/>
          <w:i/>
          <w:spacing w:val="3"/>
          <w:sz w:val="20"/>
        </w:rPr>
        <w:t> </w:t>
      </w:r>
      <w:r>
        <w:rPr>
          <w:rFonts w:ascii="Arial"/>
          <w:i/>
          <w:sz w:val="20"/>
        </w:rPr>
        <w:t>I.R.L.R.</w:t>
      </w:r>
      <w:r>
        <w:rPr>
          <w:rFonts w:ascii="Arial"/>
          <w:i/>
          <w:spacing w:val="3"/>
          <w:sz w:val="20"/>
        </w:rPr>
        <w:t> </w:t>
      </w:r>
      <w:r>
        <w:rPr>
          <w:rFonts w:ascii="Arial"/>
          <w:i/>
          <w:sz w:val="20"/>
        </w:rPr>
        <w:t>818</w:t>
      </w:r>
      <w:r>
        <w:rPr>
          <w:rFonts w:ascii="Arial"/>
          <w:i/>
          <w:spacing w:val="3"/>
          <w:sz w:val="20"/>
        </w:rPr>
        <w:t> </w:t>
      </w:r>
      <w:r>
        <w:rPr>
          <w:rFonts w:ascii="Arial"/>
          <w:i/>
          <w:spacing w:val="-2"/>
          <w:sz w:val="20"/>
        </w:rPr>
        <w:t>(EAT)</w:t>
      </w:r>
    </w:p>
    <w:p>
      <w:pPr>
        <w:pStyle w:val="BodyText"/>
        <w:spacing w:line="224" w:lineRule="exact"/>
        <w:ind w:left="165"/>
      </w:pPr>
      <w:r>
        <w:rPr/>
        <w:drawing>
          <wp:anchor distT="0" distB="0" distL="0" distR="0" allowOverlap="1" layoutInCell="1" locked="0" behindDoc="0" simplePos="0" relativeHeight="15751168">
            <wp:simplePos x="0" y="0"/>
            <wp:positionH relativeFrom="page">
              <wp:posOffset>1257846</wp:posOffset>
            </wp:positionH>
            <wp:positionV relativeFrom="paragraph">
              <wp:posOffset>-689699</wp:posOffset>
            </wp:positionV>
            <wp:extent cx="107988" cy="107988"/>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anchor>
        </w:drawing>
      </w:r>
      <w:r>
        <w:rPr/>
        <w:t>; Merrett (2015) I.L.J. </w:t>
      </w:r>
      <w:r>
        <w:rPr>
          <w:spacing w:val="-5"/>
        </w:rPr>
        <w:t>53.</w:t>
      </w:r>
    </w:p>
    <w:p>
      <w:pPr>
        <w:pStyle w:val="BodyText"/>
        <w:spacing w:after="0" w:line="224" w:lineRule="exact"/>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111" w:id="1113"/>
      <w:bookmarkEnd w:id="1113"/>
      <w:r>
        <w:rPr/>
      </w:r>
      <w:hyperlink w:history="true" w:anchor="_bookmark984">
        <w:r>
          <w:rPr>
            <w:color w:val="005DA1"/>
            <w:spacing w:val="-4"/>
            <w:position w:val="5"/>
            <w:sz w:val="14"/>
            <w:u w:val="single" w:color="005DA1"/>
          </w:rPr>
          <w:t>575</w:t>
        </w:r>
      </w:hyperlink>
      <w:r>
        <w:rPr>
          <w:spacing w:val="-4"/>
          <w:position w:val="5"/>
          <w:sz w:val="14"/>
        </w:rPr>
        <w:t>.</w:t>
      </w:r>
      <w:r>
        <w:rPr>
          <w:position w:val="5"/>
          <w:sz w:val="14"/>
        </w:rPr>
        <w:tab/>
      </w:r>
      <w:r>
        <w:rPr>
          <w:rFonts w:ascii="Arial"/>
          <w:i/>
          <w:sz w:val="20"/>
        </w:rPr>
        <w:t>[2006] UKHL </w:t>
      </w:r>
      <w:r>
        <w:rPr>
          <w:rFonts w:ascii="Arial"/>
          <w:i/>
          <w:spacing w:val="-5"/>
          <w:sz w:val="20"/>
        </w:rPr>
        <w:t>3</w:t>
      </w:r>
      <w:r>
        <w:rPr>
          <w:spacing w:val="-5"/>
          <w:sz w:val="20"/>
        </w:rPr>
        <w:t>.</w:t>
      </w:r>
    </w:p>
    <w:p>
      <w:pPr>
        <w:pStyle w:val="BodyText"/>
        <w:spacing w:before="9"/>
      </w:pPr>
    </w:p>
    <w:p>
      <w:pPr>
        <w:spacing w:line="235" w:lineRule="auto" w:before="0"/>
        <w:ind w:left="705" w:right="167" w:hanging="541"/>
        <w:jc w:val="both"/>
        <w:rPr>
          <w:sz w:val="20"/>
        </w:rPr>
      </w:pPr>
      <w:bookmarkStart w:name="_bookmark1112" w:id="1114"/>
      <w:bookmarkEnd w:id="1114"/>
      <w:r>
        <w:rPr/>
      </w:r>
      <w:hyperlink w:history="true" w:anchor="_bookmark985">
        <w:r>
          <w:rPr>
            <w:color w:val="005DA1"/>
            <w:position w:val="5"/>
            <w:sz w:val="14"/>
            <w:u w:val="single" w:color="005DA1"/>
          </w:rPr>
          <w:t>576</w:t>
        </w:r>
      </w:hyperlink>
      <w:r>
        <w:rPr>
          <w:position w:val="5"/>
          <w:sz w:val="14"/>
        </w:rPr>
        <w:t>.</w:t>
      </w:r>
      <w:r>
        <w:rPr>
          <w:spacing w:val="40"/>
          <w:position w:val="5"/>
          <w:sz w:val="14"/>
        </w:rPr>
        <w:t>  </w:t>
      </w:r>
      <w:r>
        <w:rPr>
          <w:rFonts w:ascii="Arial"/>
          <w:i/>
          <w:sz w:val="20"/>
        </w:rPr>
        <w:t>Bleuse v MBT Transport Ltd [2008] I.C.R.488 (EAT) </w:t>
      </w:r>
      <w:r>
        <w:rPr>
          <w:sz w:val="20"/>
        </w:rPr>
        <w:t>(right to paid annual leave under Working Time Regulations 1998 applied where English law was the law applicable to the contract </w:t>
      </w:r>
      <w:r>
        <w:rPr>
          <w:sz w:val="20"/>
        </w:rPr>
        <w:t>of employment). cf. </w:t>
      </w:r>
      <w:r>
        <w:rPr>
          <w:rFonts w:ascii="Arial"/>
          <w:i/>
          <w:sz w:val="20"/>
        </w:rPr>
        <w:t>Duncombe v Secretary of State for Children Schools and Families [2011] UKSC 14, [2011] I.C.R. 495 </w:t>
      </w:r>
      <w:r>
        <w:rPr>
          <w:sz w:val="20"/>
        </w:rPr>
        <w:t>(no European right established for vindication); </w:t>
      </w:r>
      <w:r>
        <w:rPr>
          <w:rFonts w:ascii="Arial"/>
          <w:i/>
          <w:sz w:val="20"/>
        </w:rPr>
        <w:t>Fuller v United Healthcare Services EAT September 4, 2014</w:t>
      </w:r>
      <w:r>
        <w:rPr>
          <w:sz w:val="20"/>
        </w:rPr>
        <w:t>; </w:t>
      </w:r>
      <w:r>
        <w:rPr>
          <w:rFonts w:ascii="Arial"/>
          <w:i/>
          <w:sz w:val="20"/>
        </w:rPr>
        <w:t>Smania v Standard Chartered Bank, EAT December 5, 2014</w:t>
      </w:r>
      <w:r>
        <w:rPr>
          <w:sz w:val="20"/>
        </w:rPr>
        <w:t>.</w:t>
      </w:r>
    </w:p>
    <w:p>
      <w:pPr>
        <w:pStyle w:val="BodyText"/>
        <w:spacing w:before="4"/>
      </w:pPr>
    </w:p>
    <w:p>
      <w:pPr>
        <w:pStyle w:val="BodyText"/>
        <w:tabs>
          <w:tab w:pos="705" w:val="left" w:leader="none"/>
        </w:tabs>
        <w:ind w:left="165"/>
      </w:pPr>
      <w:bookmarkStart w:name="_bookmark1113" w:id="1115"/>
      <w:bookmarkEnd w:id="1115"/>
      <w:r>
        <w:rPr/>
      </w:r>
      <w:hyperlink w:history="true" w:anchor="_bookmark986">
        <w:r>
          <w:rPr>
            <w:color w:val="005DA1"/>
            <w:spacing w:val="-4"/>
            <w:position w:val="5"/>
            <w:sz w:val="14"/>
            <w:u w:val="single" w:color="005DA1"/>
          </w:rPr>
          <w:t>577</w:t>
        </w:r>
      </w:hyperlink>
      <w:r>
        <w:rPr>
          <w:spacing w:val="-4"/>
          <w:position w:val="5"/>
          <w:sz w:val="14"/>
        </w:rPr>
        <w:t>.</w:t>
      </w:r>
      <w:r>
        <w:rPr>
          <w:position w:val="5"/>
          <w:sz w:val="14"/>
        </w:rPr>
        <w:tab/>
      </w:r>
      <w:r>
        <w:rPr/>
        <w:t>cf. in relation to consumer contracts, above, </w:t>
      </w:r>
      <w:r>
        <w:rPr>
          <w:spacing w:val="-2"/>
        </w:rPr>
        <w:t>para.30–101.</w:t>
      </w:r>
    </w:p>
    <w:p>
      <w:pPr>
        <w:pStyle w:val="BodyText"/>
        <w:spacing w:before="9"/>
      </w:pPr>
    </w:p>
    <w:p>
      <w:pPr>
        <w:pStyle w:val="BodyText"/>
        <w:spacing w:line="235" w:lineRule="auto"/>
        <w:ind w:left="705" w:right="167" w:hanging="541"/>
        <w:jc w:val="both"/>
      </w:pPr>
      <w:bookmarkStart w:name="_bookmark1114" w:id="1116"/>
      <w:bookmarkEnd w:id="1116"/>
      <w:r>
        <w:rPr/>
      </w:r>
      <w:hyperlink w:history="true" w:anchor="_bookmark987">
        <w:r>
          <w:rPr>
            <w:color w:val="005DA1"/>
            <w:position w:val="5"/>
            <w:sz w:val="14"/>
            <w:u w:val="single" w:color="005DA1"/>
          </w:rPr>
          <w:t>578</w:t>
        </w:r>
      </w:hyperlink>
      <w:r>
        <w:rPr>
          <w:position w:val="5"/>
          <w:sz w:val="14"/>
        </w:rPr>
        <w:t>.</w:t>
      </w:r>
      <w:r>
        <w:rPr>
          <w:spacing w:val="80"/>
          <w:position w:val="5"/>
          <w:sz w:val="14"/>
        </w:rPr>
        <w:t> </w:t>
      </w:r>
      <w:r>
        <w:rPr/>
        <w:t>cf. Philip in North (ed.), Contract Conflicts (1982), pp.81, 99–100. The principle of the “more favourable” law is recognised in the “Posted Workers” Directive (above, para.30–109): </w:t>
      </w:r>
      <w:r>
        <w:rPr/>
        <w:t>see Preamble para.(18) and art.3(7).</w:t>
      </w:r>
    </w:p>
    <w:p>
      <w:pPr>
        <w:pStyle w:val="BodyText"/>
        <w:spacing w:before="5"/>
      </w:pPr>
    </w:p>
    <w:p>
      <w:pPr>
        <w:tabs>
          <w:tab w:pos="705" w:val="left" w:leader="none"/>
        </w:tabs>
        <w:spacing w:before="0"/>
        <w:ind w:left="165" w:right="0" w:firstLine="0"/>
        <w:jc w:val="left"/>
        <w:rPr>
          <w:sz w:val="20"/>
        </w:rPr>
      </w:pPr>
      <w:bookmarkStart w:name="_bookmark1115" w:id="1117"/>
      <w:bookmarkEnd w:id="1117"/>
      <w:r>
        <w:rPr/>
      </w:r>
      <w:hyperlink w:history="true" w:anchor="_bookmark988">
        <w:r>
          <w:rPr>
            <w:color w:val="005DA1"/>
            <w:spacing w:val="-4"/>
            <w:position w:val="5"/>
            <w:sz w:val="14"/>
            <w:u w:val="single" w:color="005DA1"/>
          </w:rPr>
          <w:t>579</w:t>
        </w:r>
      </w:hyperlink>
      <w:r>
        <w:rPr>
          <w:spacing w:val="-4"/>
          <w:position w:val="5"/>
          <w:sz w:val="14"/>
        </w:rPr>
        <w:t>.</w:t>
      </w:r>
      <w:r>
        <w:rPr>
          <w:position w:val="5"/>
          <w:sz w:val="14"/>
        </w:rPr>
        <w:tab/>
      </w:r>
      <w:r>
        <w:rPr>
          <w:sz w:val="20"/>
        </w:rPr>
        <w:t>See</w:t>
      </w:r>
      <w:r>
        <w:rPr>
          <w:spacing w:val="-3"/>
          <w:sz w:val="20"/>
        </w:rPr>
        <w:t> </w:t>
      </w:r>
      <w:r>
        <w:rPr>
          <w:rFonts w:ascii="Arial"/>
          <w:i/>
          <w:sz w:val="20"/>
        </w:rPr>
        <w:t>Bleuse v MBT Transport Ltd (2007) </w:t>
      </w:r>
      <w:r>
        <w:rPr>
          <w:rFonts w:ascii="Arial"/>
          <w:i/>
          <w:spacing w:val="-2"/>
          <w:sz w:val="20"/>
        </w:rPr>
        <w:t>UKEAT/339/07</w:t>
      </w:r>
      <w:r>
        <w:rPr>
          <w:spacing w:val="-2"/>
          <w:sz w:val="20"/>
        </w:rPr>
        <w:t>.</w:t>
      </w:r>
    </w:p>
    <w:p>
      <w:pPr>
        <w:pStyle w:val="BodyText"/>
        <w:spacing w:before="5"/>
      </w:pPr>
    </w:p>
    <w:p>
      <w:pPr>
        <w:pStyle w:val="BodyText"/>
        <w:tabs>
          <w:tab w:pos="705" w:val="left" w:leader="none"/>
        </w:tabs>
        <w:ind w:left="165"/>
      </w:pPr>
      <w:bookmarkStart w:name="_bookmark1116" w:id="1118"/>
      <w:bookmarkEnd w:id="1118"/>
      <w:r>
        <w:rPr/>
      </w:r>
      <w:hyperlink w:history="true" w:anchor="_bookmark989">
        <w:r>
          <w:rPr>
            <w:color w:val="005DA1"/>
            <w:spacing w:val="-4"/>
            <w:position w:val="5"/>
            <w:sz w:val="14"/>
            <w:u w:val="single" w:color="005DA1"/>
          </w:rPr>
          <w:t>580</w:t>
        </w:r>
      </w:hyperlink>
      <w:r>
        <w:rPr>
          <w:spacing w:val="-4"/>
          <w:position w:val="5"/>
          <w:sz w:val="14"/>
        </w:rPr>
        <w:t>.</w:t>
      </w:r>
      <w:r>
        <w:rPr>
          <w:position w:val="5"/>
          <w:sz w:val="14"/>
        </w:rPr>
        <w:tab/>
      </w:r>
      <w:r>
        <w:rPr/>
        <w:t>Dicey, Morris and Collins, para.33–071; Kaye, </w:t>
      </w:r>
      <w:r>
        <w:rPr>
          <w:spacing w:val="-2"/>
        </w:rPr>
        <w:t>pp.228–229.</w:t>
      </w:r>
    </w:p>
    <w:p>
      <w:pPr>
        <w:pStyle w:val="BodyText"/>
        <w:spacing w:before="5"/>
      </w:pPr>
    </w:p>
    <w:p>
      <w:pPr>
        <w:tabs>
          <w:tab w:pos="705" w:val="left" w:leader="none"/>
        </w:tabs>
        <w:spacing w:before="0"/>
        <w:ind w:left="165" w:right="0" w:firstLine="0"/>
        <w:jc w:val="left"/>
        <w:rPr>
          <w:sz w:val="20"/>
        </w:rPr>
      </w:pPr>
      <w:bookmarkStart w:name="_bookmark1117" w:id="1119"/>
      <w:bookmarkEnd w:id="1119"/>
      <w:r>
        <w:rPr/>
      </w:r>
      <w:hyperlink w:history="true" w:anchor="_bookmark990">
        <w:r>
          <w:rPr>
            <w:color w:val="005DA1"/>
            <w:spacing w:val="-4"/>
            <w:position w:val="5"/>
            <w:sz w:val="14"/>
            <w:u w:val="single" w:color="005DA1"/>
          </w:rPr>
          <w:t>581</w:t>
        </w:r>
      </w:hyperlink>
      <w:r>
        <w:rPr>
          <w:spacing w:val="-4"/>
          <w:position w:val="5"/>
          <w:sz w:val="14"/>
        </w:rPr>
        <w:t>.</w:t>
      </w:r>
      <w:r>
        <w:rPr>
          <w:position w:val="5"/>
          <w:sz w:val="14"/>
        </w:rPr>
        <w:tab/>
      </w:r>
      <w:r>
        <w:rPr>
          <w:sz w:val="20"/>
        </w:rPr>
        <w:t>cf. Lasok and Stone,</w:t>
      </w:r>
      <w:r>
        <w:rPr>
          <w:spacing w:val="-1"/>
          <w:sz w:val="20"/>
        </w:rPr>
        <w:t> </w:t>
      </w:r>
      <w:r>
        <w:rPr>
          <w:rFonts w:ascii="Arial"/>
          <w:i/>
          <w:sz w:val="20"/>
        </w:rPr>
        <w:t>Conflict of Laws in the European Community</w:t>
      </w:r>
      <w:r>
        <w:rPr>
          <w:rFonts w:ascii="Arial"/>
          <w:i/>
          <w:spacing w:val="-1"/>
          <w:sz w:val="20"/>
        </w:rPr>
        <w:t> </w:t>
      </w:r>
      <w:r>
        <w:rPr>
          <w:sz w:val="20"/>
        </w:rPr>
        <w:t>(1987), </w:t>
      </w:r>
      <w:r>
        <w:rPr>
          <w:spacing w:val="-2"/>
          <w:sz w:val="20"/>
        </w:rPr>
        <w:t>p.385.</w:t>
      </w:r>
    </w:p>
    <w:p>
      <w:pPr>
        <w:spacing w:after="0"/>
        <w:jc w:val="left"/>
        <w:rPr>
          <w:sz w:val="20"/>
        </w:rPr>
        <w:sectPr>
          <w:type w:val="continuous"/>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991">
        <w:r>
          <w:rPr>
            <w:color w:val="005DA1"/>
            <w:spacing w:val="-4"/>
            <w:position w:val="5"/>
            <w:sz w:val="14"/>
            <w:u w:val="single" w:color="005DA1"/>
          </w:rPr>
          <w:t>582</w:t>
        </w:r>
      </w:hyperlink>
      <w:r>
        <w:rPr>
          <w:spacing w:val="-4"/>
          <w:position w:val="5"/>
          <w:sz w:val="14"/>
        </w:rPr>
        <w:t>.</w:t>
      </w:r>
      <w:r>
        <w:rPr>
          <w:position w:val="5"/>
          <w:sz w:val="14"/>
        </w:rPr>
        <w:tab/>
      </w:r>
      <w:r>
        <w:rPr>
          <w:sz w:val="20"/>
        </w:rPr>
        <w:t>See, e.g. statutes referred to in n.566, above. cf. </w:t>
      </w:r>
      <w:r>
        <w:rPr>
          <w:rFonts w:ascii="Arial"/>
          <w:i/>
          <w:sz w:val="20"/>
        </w:rPr>
        <w:t>Duarte v Black &amp; Decker Corp [2007] </w:t>
      </w:r>
      <w:r>
        <w:rPr>
          <w:rFonts w:ascii="Arial"/>
          <w:i/>
          <w:sz w:val="20"/>
        </w:rPr>
        <w:t>EWHC 2720 (QB)</w:t>
      </w:r>
      <w:r>
        <w:rPr>
          <w:sz w:val="20"/>
        </w:rPr>
        <w:t>.</w:t>
      </w:r>
    </w:p>
    <w:p>
      <w:pPr>
        <w:pStyle w:val="BodyText"/>
        <w:spacing w:before="6"/>
      </w:pPr>
    </w:p>
    <w:p>
      <w:pPr>
        <w:pStyle w:val="BodyText"/>
        <w:tabs>
          <w:tab w:pos="705" w:val="left" w:leader="none"/>
        </w:tabs>
        <w:ind w:left="165"/>
      </w:pPr>
      <w:bookmarkStart w:name="_bookmark1118" w:id="1120"/>
      <w:bookmarkEnd w:id="1120"/>
      <w:r>
        <w:rPr/>
      </w:r>
      <w:hyperlink w:history="true" w:anchor="_bookmark992">
        <w:r>
          <w:rPr>
            <w:color w:val="005DA1"/>
            <w:spacing w:val="-4"/>
            <w:position w:val="5"/>
            <w:sz w:val="14"/>
            <w:u w:val="single" w:color="005DA1"/>
          </w:rPr>
          <w:t>583</w:t>
        </w:r>
      </w:hyperlink>
      <w:r>
        <w:rPr>
          <w:spacing w:val="-4"/>
          <w:position w:val="5"/>
          <w:sz w:val="14"/>
        </w:rPr>
        <w:t>.</w:t>
      </w:r>
      <w:r>
        <w:rPr>
          <w:position w:val="5"/>
          <w:sz w:val="14"/>
        </w:rPr>
        <w:tab/>
      </w:r>
      <w:r>
        <w:rPr/>
        <w:t>Rome Convention </w:t>
      </w:r>
      <w:r>
        <w:rPr>
          <w:spacing w:val="-2"/>
        </w:rPr>
        <w:t>art.6(2)(a).</w:t>
      </w:r>
    </w:p>
    <w:p>
      <w:pPr>
        <w:pStyle w:val="BodyText"/>
        <w:spacing w:before="5"/>
      </w:pPr>
    </w:p>
    <w:p>
      <w:pPr>
        <w:tabs>
          <w:tab w:pos="705" w:val="left" w:leader="none"/>
        </w:tabs>
        <w:spacing w:before="0"/>
        <w:ind w:left="165" w:right="0" w:firstLine="0"/>
        <w:jc w:val="left"/>
        <w:rPr>
          <w:sz w:val="20"/>
        </w:rPr>
      </w:pPr>
      <w:bookmarkStart w:name="_bookmark1119" w:id="1121"/>
      <w:bookmarkEnd w:id="1121"/>
      <w:r>
        <w:rPr/>
      </w:r>
      <w:hyperlink w:history="true" w:anchor="_bookmark993">
        <w:r>
          <w:rPr>
            <w:color w:val="005DA1"/>
            <w:spacing w:val="-4"/>
            <w:position w:val="5"/>
            <w:sz w:val="14"/>
            <w:u w:val="single" w:color="005DA1"/>
          </w:rPr>
          <w:t>584</w:t>
        </w:r>
      </w:hyperlink>
      <w:r>
        <w:rPr>
          <w:spacing w:val="-4"/>
          <w:position w:val="5"/>
          <w:sz w:val="14"/>
        </w:rPr>
        <w:t>.</w:t>
      </w:r>
      <w:r>
        <w:rPr>
          <w:position w:val="5"/>
          <w:sz w:val="14"/>
        </w:rPr>
        <w:tab/>
      </w:r>
      <w:r>
        <w:rPr>
          <w:rFonts w:ascii="Arial" w:hAnsi="Arial"/>
          <w:i/>
          <w:sz w:val="20"/>
        </w:rPr>
        <w:t>Koelzsch v État du Grand-Duché de Luxembourg (C-29/10) [2012] Q.B. </w:t>
      </w:r>
      <w:r>
        <w:rPr>
          <w:rFonts w:ascii="Arial" w:hAnsi="Arial"/>
          <w:i/>
          <w:spacing w:val="-4"/>
          <w:sz w:val="20"/>
        </w:rPr>
        <w:t>210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20" w:id="1122"/>
      <w:bookmarkEnd w:id="1122"/>
      <w:r>
        <w:rPr/>
      </w:r>
      <w:hyperlink w:history="true" w:anchor="_bookmark994">
        <w:r>
          <w:rPr>
            <w:color w:val="005DA1"/>
            <w:spacing w:val="-4"/>
            <w:position w:val="5"/>
            <w:sz w:val="14"/>
            <w:u w:val="single" w:color="005DA1"/>
          </w:rPr>
          <w:t>585</w:t>
        </w:r>
      </w:hyperlink>
      <w:r>
        <w:rPr>
          <w:spacing w:val="-4"/>
          <w:position w:val="5"/>
          <w:sz w:val="14"/>
        </w:rPr>
        <w:t>.</w:t>
      </w:r>
      <w:r>
        <w:rPr>
          <w:position w:val="5"/>
          <w:sz w:val="14"/>
        </w:rPr>
        <w:tab/>
      </w:r>
      <w:r>
        <w:rPr>
          <w:sz w:val="20"/>
        </w:rPr>
        <w:t>See</w:t>
      </w:r>
      <w:r>
        <w:rPr>
          <w:spacing w:val="-3"/>
          <w:sz w:val="20"/>
        </w:rPr>
        <w:t> </w:t>
      </w:r>
      <w:r>
        <w:rPr>
          <w:rFonts w:ascii="Arial"/>
          <w:i/>
          <w:sz w:val="20"/>
        </w:rPr>
        <w:t>Booth v Phillips [2004] EWHC 1437 (Comm), [2004] 1 W.L.R. </w:t>
      </w:r>
      <w:r>
        <w:rPr>
          <w:rFonts w:ascii="Arial"/>
          <w:i/>
          <w:spacing w:val="-2"/>
          <w:sz w:val="20"/>
        </w:rPr>
        <w:t>3292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121" w:id="1123"/>
      <w:bookmarkEnd w:id="1123"/>
      <w:r>
        <w:rPr/>
      </w:r>
      <w:hyperlink w:history="true" w:anchor="_bookmark995">
        <w:r>
          <w:rPr>
            <w:color w:val="005DA1"/>
            <w:spacing w:val="-4"/>
            <w:position w:val="5"/>
            <w:sz w:val="14"/>
            <w:u w:val="single" w:color="005DA1"/>
          </w:rPr>
          <w:t>586</w:t>
        </w:r>
      </w:hyperlink>
      <w:r>
        <w:rPr>
          <w:spacing w:val="-4"/>
          <w:position w:val="5"/>
          <w:sz w:val="14"/>
        </w:rPr>
        <w:t>.</w:t>
      </w:r>
      <w:r>
        <w:rPr>
          <w:position w:val="5"/>
          <w:sz w:val="14"/>
        </w:rPr>
        <w:tab/>
      </w:r>
      <w:r>
        <w:rPr>
          <w:rFonts w:ascii="Arial"/>
          <w:i/>
          <w:sz w:val="20"/>
        </w:rPr>
        <w:t>Voogsgeerd</w:t>
      </w:r>
      <w:r>
        <w:rPr>
          <w:rFonts w:ascii="Arial"/>
          <w:i/>
          <w:spacing w:val="-1"/>
          <w:sz w:val="20"/>
        </w:rPr>
        <w:t> </w:t>
      </w:r>
      <w:r>
        <w:rPr>
          <w:rFonts w:ascii="Arial"/>
          <w:i/>
          <w:sz w:val="20"/>
        </w:rPr>
        <w:t>v Navimer SA (C-384/10) [2012] I.L.Pr.</w:t>
      </w:r>
      <w:r>
        <w:rPr>
          <w:rFonts w:ascii="Arial"/>
          <w:i/>
          <w:spacing w:val="-1"/>
          <w:sz w:val="20"/>
        </w:rPr>
        <w:t> </w:t>
      </w:r>
      <w:r>
        <w:rPr>
          <w:rFonts w:ascii="Arial"/>
          <w:i/>
          <w:sz w:val="20"/>
        </w:rPr>
        <w:t>16</w:t>
      </w:r>
      <w:r>
        <w:rPr>
          <w:sz w:val="20"/>
        </w:rPr>
        <w:t>. cf. </w:t>
      </w:r>
      <w:r>
        <w:rPr>
          <w:rFonts w:ascii="Arial"/>
          <w:i/>
          <w:sz w:val="20"/>
        </w:rPr>
        <w:t>Booth v Phillips</w:t>
      </w:r>
      <w:r>
        <w:rPr>
          <w:sz w:val="20"/>
        </w:rPr>
        <w:t>, </w:t>
      </w:r>
      <w:r>
        <w:rPr>
          <w:spacing w:val="-2"/>
          <w:sz w:val="20"/>
        </w:rPr>
        <w:t>above.</w:t>
      </w:r>
    </w:p>
    <w:p>
      <w:pPr>
        <w:pStyle w:val="BodyText"/>
        <w:spacing w:before="5"/>
      </w:pPr>
    </w:p>
    <w:p>
      <w:pPr>
        <w:tabs>
          <w:tab w:pos="705" w:val="left" w:leader="none"/>
        </w:tabs>
        <w:spacing w:before="0"/>
        <w:ind w:left="165" w:right="0" w:firstLine="0"/>
        <w:jc w:val="left"/>
        <w:rPr>
          <w:sz w:val="20"/>
        </w:rPr>
      </w:pPr>
      <w:bookmarkStart w:name="_bookmark1122" w:id="1124"/>
      <w:bookmarkEnd w:id="1124"/>
      <w:r>
        <w:rPr/>
      </w:r>
      <w:hyperlink w:history="true" w:anchor="_bookmark996">
        <w:r>
          <w:rPr>
            <w:color w:val="005DA1"/>
            <w:spacing w:val="-4"/>
            <w:position w:val="5"/>
            <w:sz w:val="14"/>
            <w:u w:val="single" w:color="005DA1"/>
          </w:rPr>
          <w:t>587</w:t>
        </w:r>
      </w:hyperlink>
      <w:r>
        <w:rPr>
          <w:spacing w:val="-4"/>
          <w:position w:val="5"/>
          <w:sz w:val="14"/>
        </w:rPr>
        <w:t>.</w:t>
      </w:r>
      <w:r>
        <w:rPr>
          <w:position w:val="5"/>
          <w:sz w:val="14"/>
        </w:rPr>
        <w:tab/>
      </w:r>
      <w:r>
        <w:rPr>
          <w:rFonts w:ascii="Arial"/>
          <w:i/>
          <w:sz w:val="20"/>
        </w:rPr>
        <w:t>Booth</w:t>
      </w:r>
      <w:r>
        <w:rPr>
          <w:rFonts w:ascii="Arial"/>
          <w:i/>
          <w:spacing w:val="-1"/>
          <w:sz w:val="20"/>
        </w:rPr>
        <w:t> </w:t>
      </w:r>
      <w:r>
        <w:rPr>
          <w:rFonts w:ascii="Arial"/>
          <w:i/>
          <w:sz w:val="20"/>
        </w:rPr>
        <w:t>v Phillips [2004] EWHC 1437 (Comm)</w:t>
      </w:r>
      <w:r>
        <w:rPr>
          <w:sz w:val="20"/>
        </w:rPr>
        <w:t>; Giuliano-Lagarde Report, </w:t>
      </w:r>
      <w:r>
        <w:rPr>
          <w:spacing w:val="-2"/>
          <w:sz w:val="20"/>
        </w:rPr>
        <w:t>p.26.</w:t>
      </w:r>
    </w:p>
    <w:p>
      <w:pPr>
        <w:pStyle w:val="BodyText"/>
        <w:spacing w:before="8"/>
      </w:pPr>
    </w:p>
    <w:p>
      <w:pPr>
        <w:tabs>
          <w:tab w:pos="705" w:val="left" w:leader="none"/>
        </w:tabs>
        <w:spacing w:line="235" w:lineRule="auto" w:before="1"/>
        <w:ind w:left="705" w:right="168" w:hanging="541"/>
        <w:jc w:val="left"/>
        <w:rPr>
          <w:sz w:val="20"/>
        </w:rPr>
      </w:pPr>
      <w:bookmarkStart w:name="_bookmark1123" w:id="1125"/>
      <w:bookmarkEnd w:id="1125"/>
      <w:r>
        <w:rPr/>
      </w:r>
      <w:hyperlink w:history="true" w:anchor="_bookmark997">
        <w:r>
          <w:rPr>
            <w:color w:val="005DA1"/>
            <w:spacing w:val="-4"/>
            <w:position w:val="5"/>
            <w:sz w:val="14"/>
            <w:u w:val="single" w:color="005DA1"/>
          </w:rPr>
          <w:t>588</w:t>
        </w:r>
      </w:hyperlink>
      <w:r>
        <w:rPr>
          <w:spacing w:val="-4"/>
          <w:position w:val="5"/>
          <w:sz w:val="14"/>
        </w:rPr>
        <w:t>.</w:t>
      </w:r>
      <w:r>
        <w:rPr>
          <w:position w:val="5"/>
          <w:sz w:val="14"/>
        </w:rPr>
        <w:tab/>
      </w:r>
      <w:r>
        <w:rPr>
          <w:sz w:val="20"/>
        </w:rPr>
        <w:t>cf. </w:t>
      </w:r>
      <w:r>
        <w:rPr>
          <w:rFonts w:ascii="Arial" w:hAnsi="Arial"/>
          <w:i/>
          <w:sz w:val="20"/>
        </w:rPr>
        <w:t>Booth v Phillips [2004] EWHC 1437 (Comm)</w:t>
      </w:r>
      <w:r>
        <w:rPr>
          <w:sz w:val="20"/>
        </w:rPr>
        <w:t>. See Dicey, Morris and Collins, </w:t>
      </w:r>
      <w:r>
        <w:rPr>
          <w:sz w:val="20"/>
        </w:rPr>
        <w:t>para.33–078.</w:t>
      </w:r>
      <w:r>
        <w:rPr>
          <w:spacing w:val="40"/>
          <w:sz w:val="20"/>
        </w:rPr>
        <w:t> </w:t>
      </w:r>
      <w:r>
        <w:rPr>
          <w:sz w:val="20"/>
        </w:rPr>
        <w:t>cf. </w:t>
      </w:r>
      <w:r>
        <w:rPr>
          <w:rFonts w:ascii="Arial" w:hAnsi="Arial"/>
          <w:i/>
          <w:sz w:val="20"/>
        </w:rPr>
        <w:t>Sayers v International Drilling Co NV [1971] 1 W.L.R. 1176</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124" w:id="1126"/>
      <w:bookmarkEnd w:id="1126"/>
      <w:r>
        <w:rPr/>
      </w:r>
      <w:hyperlink w:history="true" w:anchor="_bookmark998">
        <w:r>
          <w:rPr>
            <w:color w:val="005DA1"/>
            <w:spacing w:val="-4"/>
            <w:position w:val="5"/>
            <w:sz w:val="14"/>
            <w:u w:val="single" w:color="005DA1"/>
          </w:rPr>
          <w:t>589</w:t>
        </w:r>
      </w:hyperlink>
      <w:r>
        <w:rPr>
          <w:spacing w:val="-4"/>
          <w:position w:val="5"/>
          <w:sz w:val="14"/>
        </w:rPr>
        <w:t>.</w:t>
      </w:r>
      <w:r>
        <w:rPr>
          <w:position w:val="5"/>
          <w:sz w:val="14"/>
        </w:rPr>
        <w:tab/>
      </w:r>
      <w:r>
        <w:rPr>
          <w:sz w:val="20"/>
        </w:rPr>
        <w:t>In </w:t>
      </w:r>
      <w:r>
        <w:rPr>
          <w:rFonts w:ascii="Arial"/>
          <w:i/>
          <w:sz w:val="20"/>
        </w:rPr>
        <w:t>Sayers v International Drilling Co NV [1971] 1 W.L.R. 1176</w:t>
      </w:r>
      <w:r>
        <w:rPr>
          <w:sz w:val="20"/>
        </w:rPr>
        <w:t>, it was held that the contract </w:t>
      </w:r>
      <w:r>
        <w:rPr>
          <w:sz w:val="20"/>
        </w:rPr>
        <w:t>was most closely connected with Dutch law for this reason.</w:t>
      </w:r>
    </w:p>
    <w:p>
      <w:pPr>
        <w:pStyle w:val="BodyText"/>
        <w:spacing w:before="9"/>
      </w:pPr>
    </w:p>
    <w:p>
      <w:pPr>
        <w:spacing w:line="235" w:lineRule="auto" w:before="0"/>
        <w:ind w:left="705" w:right="167" w:hanging="541"/>
        <w:jc w:val="both"/>
        <w:rPr>
          <w:rFonts w:ascii="Arial"/>
          <w:i/>
          <w:sz w:val="20"/>
        </w:rPr>
      </w:pPr>
      <w:bookmarkStart w:name="_bookmark1125" w:id="1127"/>
      <w:bookmarkEnd w:id="1127"/>
      <w:r>
        <w:rPr/>
      </w:r>
      <w:hyperlink w:history="true" w:anchor="_bookmark999">
        <w:r>
          <w:rPr>
            <w:color w:val="005DA1"/>
            <w:position w:val="5"/>
            <w:sz w:val="14"/>
            <w:u w:val="single" w:color="005DA1"/>
          </w:rPr>
          <w:t>590</w:t>
        </w:r>
      </w:hyperlink>
      <w:r>
        <w:rPr>
          <w:position w:val="5"/>
          <w:sz w:val="14"/>
        </w:rPr>
        <w:t>.</w:t>
      </w:r>
      <w:r>
        <w:rPr>
          <w:spacing w:val="80"/>
          <w:position w:val="5"/>
          <w:sz w:val="14"/>
        </w:rPr>
        <w:t>  </w:t>
      </w:r>
      <w:r>
        <w:rPr>
          <w:rFonts w:ascii="Arial"/>
          <w:i/>
          <w:sz w:val="20"/>
        </w:rPr>
        <w:t>Base</w:t>
      </w:r>
      <w:r>
        <w:rPr>
          <w:rFonts w:ascii="Arial"/>
          <w:i/>
          <w:spacing w:val="-2"/>
          <w:sz w:val="20"/>
        </w:rPr>
        <w:t> </w:t>
      </w:r>
      <w:r>
        <w:rPr>
          <w:rFonts w:ascii="Arial"/>
          <w:i/>
          <w:sz w:val="20"/>
        </w:rPr>
        <w:t>Metal</w:t>
      </w:r>
      <w:r>
        <w:rPr>
          <w:rFonts w:ascii="Arial"/>
          <w:i/>
          <w:spacing w:val="-2"/>
          <w:sz w:val="20"/>
        </w:rPr>
        <w:t> </w:t>
      </w:r>
      <w:r>
        <w:rPr>
          <w:rFonts w:ascii="Arial"/>
          <w:i/>
          <w:sz w:val="20"/>
        </w:rPr>
        <w:t>Trading</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Shamurin</w:t>
      </w:r>
      <w:r>
        <w:rPr>
          <w:rFonts w:ascii="Arial"/>
          <w:i/>
          <w:spacing w:val="-2"/>
          <w:sz w:val="20"/>
        </w:rPr>
        <w:t> </w:t>
      </w:r>
      <w:r>
        <w:rPr>
          <w:rFonts w:ascii="Arial"/>
          <w:i/>
          <w:sz w:val="20"/>
        </w:rPr>
        <w:t>[2003]</w:t>
      </w:r>
      <w:r>
        <w:rPr>
          <w:rFonts w:ascii="Arial"/>
          <w:i/>
          <w:spacing w:val="-2"/>
          <w:sz w:val="20"/>
        </w:rPr>
        <w:t> </w:t>
      </w:r>
      <w:r>
        <w:rPr>
          <w:rFonts w:ascii="Arial"/>
          <w:i/>
          <w:sz w:val="20"/>
        </w:rPr>
        <w:t>EWHC</w:t>
      </w:r>
      <w:r>
        <w:rPr>
          <w:rFonts w:ascii="Arial"/>
          <w:i/>
          <w:spacing w:val="-2"/>
          <w:sz w:val="20"/>
        </w:rPr>
        <w:t> </w:t>
      </w:r>
      <w:r>
        <w:rPr>
          <w:rFonts w:ascii="Arial"/>
          <w:i/>
          <w:sz w:val="20"/>
        </w:rPr>
        <w:t>(Comm)</w:t>
      </w:r>
      <w:r>
        <w:rPr>
          <w:rFonts w:ascii="Arial"/>
          <w:i/>
          <w:spacing w:val="-2"/>
          <w:sz w:val="20"/>
        </w:rPr>
        <w:t> </w:t>
      </w:r>
      <w:r>
        <w:rPr>
          <w:rFonts w:ascii="Arial"/>
          <w:i/>
          <w:sz w:val="20"/>
        </w:rPr>
        <w:t>2419,</w:t>
      </w:r>
      <w:r>
        <w:rPr>
          <w:rFonts w:ascii="Arial"/>
          <w:i/>
          <w:spacing w:val="-2"/>
          <w:sz w:val="20"/>
        </w:rPr>
        <w:t> </w:t>
      </w:r>
      <w:r>
        <w:rPr>
          <w:rFonts w:ascii="Arial"/>
          <w:i/>
          <w:sz w:val="20"/>
        </w:rPr>
        <w:t>[2004]</w:t>
      </w:r>
      <w:r>
        <w:rPr>
          <w:rFonts w:ascii="Arial"/>
          <w:i/>
          <w:spacing w:val="-2"/>
          <w:sz w:val="20"/>
        </w:rPr>
        <w:t> </w:t>
      </w:r>
      <w:r>
        <w:rPr>
          <w:rFonts w:ascii="Arial"/>
          <w:i/>
          <w:sz w:val="20"/>
        </w:rPr>
        <w:t>1</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(Comm)</w:t>
      </w:r>
      <w:r>
        <w:rPr>
          <w:rFonts w:ascii="Arial"/>
          <w:i/>
          <w:spacing w:val="-2"/>
          <w:sz w:val="20"/>
        </w:rPr>
        <w:t> </w:t>
      </w:r>
      <w:r>
        <w:rPr>
          <w:rFonts w:ascii="Arial"/>
          <w:i/>
          <w:sz w:val="20"/>
        </w:rPr>
        <w:t>159</w:t>
      </w:r>
      <w:r>
        <w:rPr>
          <w:sz w:val="20"/>
        </w:rPr>
        <w:t>, reversed in part, but not on this point, </w:t>
      </w:r>
      <w:r>
        <w:rPr>
          <w:rFonts w:ascii="Arial"/>
          <w:i/>
          <w:sz w:val="20"/>
        </w:rPr>
        <w:t>[2004] EWCA Civ 1316, [2005] 1 W.L.R. 1157</w:t>
      </w:r>
      <w:r>
        <w:rPr>
          <w:sz w:val="20"/>
        </w:rPr>
        <w:t>. Other factors suggested as relevant in common law decisions include the residence and domicile </w:t>
      </w:r>
      <w:r>
        <w:rPr>
          <w:sz w:val="20"/>
        </w:rPr>
        <w:t>of the employee (</w:t>
      </w:r>
      <w:r>
        <w:rPr>
          <w:rFonts w:ascii="Arial"/>
          <w:i/>
          <w:sz w:val="20"/>
        </w:rPr>
        <w:t>South African Breweries v King [1899] 2 Ch. 173 (affirmed [1990] 1 Ch. 273)</w:t>
      </w:r>
      <w:r>
        <w:rPr>
          <w:sz w:val="20"/>
        </w:rPr>
        <w:t>)</w:t>
      </w:r>
      <w:r>
        <w:rPr>
          <w:spacing w:val="40"/>
          <w:sz w:val="20"/>
        </w:rPr>
        <w:t> </w:t>
      </w:r>
      <w:r>
        <w:rPr>
          <w:sz w:val="20"/>
        </w:rPr>
        <w:t>and the language and form of the contract (</w:t>
      </w:r>
      <w:r>
        <w:rPr>
          <w:rFonts w:ascii="Arial"/>
          <w:i/>
          <w:sz w:val="20"/>
        </w:rPr>
        <w:t>South African Breweries v King</w:t>
      </w:r>
      <w:r>
        <w:rPr>
          <w:sz w:val="20"/>
        </w:rPr>
        <w:t>; </w:t>
      </w:r>
      <w:r>
        <w:rPr>
          <w:rFonts w:ascii="Arial"/>
          <w:i/>
          <w:sz w:val="20"/>
        </w:rPr>
        <w:t>Sayers v International</w:t>
      </w:r>
      <w:r>
        <w:rPr>
          <w:rFonts w:ascii="Arial"/>
          <w:i/>
          <w:spacing w:val="27"/>
          <w:sz w:val="20"/>
        </w:rPr>
        <w:t> </w:t>
      </w:r>
      <w:r>
        <w:rPr>
          <w:rFonts w:ascii="Arial"/>
          <w:i/>
          <w:sz w:val="20"/>
        </w:rPr>
        <w:t>Drilling</w:t>
      </w:r>
      <w:r>
        <w:rPr>
          <w:rFonts w:ascii="Arial"/>
          <w:i/>
          <w:spacing w:val="28"/>
          <w:sz w:val="20"/>
        </w:rPr>
        <w:t> </w:t>
      </w:r>
      <w:r>
        <w:rPr>
          <w:rFonts w:ascii="Arial"/>
          <w:i/>
          <w:sz w:val="20"/>
        </w:rPr>
        <w:t>Co</w:t>
      </w:r>
      <w:r>
        <w:rPr>
          <w:rFonts w:ascii="Arial"/>
          <w:i/>
          <w:spacing w:val="28"/>
          <w:sz w:val="20"/>
        </w:rPr>
        <w:t> </w:t>
      </w:r>
      <w:r>
        <w:rPr>
          <w:rFonts w:ascii="Arial"/>
          <w:i/>
          <w:sz w:val="20"/>
        </w:rPr>
        <w:t>NV</w:t>
      </w:r>
      <w:r>
        <w:rPr>
          <w:rFonts w:ascii="Arial"/>
          <w:i/>
          <w:spacing w:val="28"/>
          <w:sz w:val="20"/>
        </w:rPr>
        <w:t> </w:t>
      </w:r>
      <w:r>
        <w:rPr>
          <w:rFonts w:ascii="Arial"/>
          <w:i/>
          <w:sz w:val="20"/>
        </w:rPr>
        <w:t>[1971]</w:t>
      </w:r>
      <w:r>
        <w:rPr>
          <w:rFonts w:ascii="Arial"/>
          <w:i/>
          <w:spacing w:val="28"/>
          <w:sz w:val="20"/>
        </w:rPr>
        <w:t> </w:t>
      </w:r>
      <w:r>
        <w:rPr>
          <w:rFonts w:ascii="Arial"/>
          <w:i/>
          <w:sz w:val="20"/>
        </w:rPr>
        <w:t>1</w:t>
      </w:r>
      <w:r>
        <w:rPr>
          <w:rFonts w:ascii="Arial"/>
          <w:i/>
          <w:spacing w:val="28"/>
          <w:sz w:val="20"/>
        </w:rPr>
        <w:t> </w:t>
      </w:r>
      <w:r>
        <w:rPr>
          <w:rFonts w:ascii="Arial"/>
          <w:i/>
          <w:sz w:val="20"/>
        </w:rPr>
        <w:t>W.L.R.</w:t>
      </w:r>
      <w:r>
        <w:rPr>
          <w:rFonts w:ascii="Arial"/>
          <w:i/>
          <w:spacing w:val="28"/>
          <w:sz w:val="20"/>
        </w:rPr>
        <w:t> </w:t>
      </w:r>
      <w:r>
        <w:rPr>
          <w:rFonts w:ascii="Arial"/>
          <w:i/>
          <w:sz w:val="20"/>
        </w:rPr>
        <w:t>1176</w:t>
      </w:r>
      <w:r>
        <w:rPr>
          <w:sz w:val="20"/>
        </w:rPr>
        <w:t>;</w:t>
      </w:r>
      <w:r>
        <w:rPr>
          <w:spacing w:val="28"/>
          <w:sz w:val="20"/>
        </w:rPr>
        <w:t> </w:t>
      </w:r>
      <w:r>
        <w:rPr>
          <w:rFonts w:ascii="Arial"/>
          <w:i/>
          <w:sz w:val="20"/>
        </w:rPr>
        <w:t>Coupland</w:t>
      </w:r>
      <w:r>
        <w:rPr>
          <w:rFonts w:ascii="Arial"/>
          <w:i/>
          <w:spacing w:val="28"/>
          <w:sz w:val="20"/>
        </w:rPr>
        <w:t> </w:t>
      </w:r>
      <w:r>
        <w:rPr>
          <w:rFonts w:ascii="Arial"/>
          <w:i/>
          <w:sz w:val="20"/>
        </w:rPr>
        <w:t>v</w:t>
      </w:r>
      <w:r>
        <w:rPr>
          <w:rFonts w:ascii="Arial"/>
          <w:i/>
          <w:spacing w:val="28"/>
          <w:sz w:val="20"/>
        </w:rPr>
        <w:t> </w:t>
      </w:r>
      <w:r>
        <w:rPr>
          <w:rFonts w:ascii="Arial"/>
          <w:i/>
          <w:sz w:val="20"/>
        </w:rPr>
        <w:t>Arabian</w:t>
      </w:r>
      <w:r>
        <w:rPr>
          <w:rFonts w:ascii="Arial"/>
          <w:i/>
          <w:spacing w:val="28"/>
          <w:sz w:val="20"/>
        </w:rPr>
        <w:t> </w:t>
      </w:r>
      <w:r>
        <w:rPr>
          <w:rFonts w:ascii="Arial"/>
          <w:i/>
          <w:sz w:val="20"/>
        </w:rPr>
        <w:t>Gulf</w:t>
      </w:r>
      <w:r>
        <w:rPr>
          <w:rFonts w:ascii="Arial"/>
          <w:i/>
          <w:spacing w:val="28"/>
          <w:sz w:val="20"/>
        </w:rPr>
        <w:t> </w:t>
      </w:r>
      <w:r>
        <w:rPr>
          <w:rFonts w:ascii="Arial"/>
          <w:i/>
          <w:sz w:val="20"/>
        </w:rPr>
        <w:t>Oil</w:t>
      </w:r>
      <w:r>
        <w:rPr>
          <w:rFonts w:ascii="Arial"/>
          <w:i/>
          <w:spacing w:val="28"/>
          <w:sz w:val="20"/>
        </w:rPr>
        <w:t> </w:t>
      </w:r>
      <w:r>
        <w:rPr>
          <w:rFonts w:ascii="Arial"/>
          <w:i/>
          <w:sz w:val="20"/>
        </w:rPr>
        <w:t>Co</w:t>
      </w:r>
      <w:r>
        <w:rPr>
          <w:rFonts w:ascii="Arial"/>
          <w:i/>
          <w:spacing w:val="28"/>
          <w:sz w:val="20"/>
        </w:rPr>
        <w:t> </w:t>
      </w:r>
      <w:r>
        <w:rPr>
          <w:rFonts w:ascii="Arial"/>
          <w:i/>
          <w:sz w:val="20"/>
        </w:rPr>
        <w:t>[1983]</w:t>
      </w:r>
      <w:r>
        <w:rPr>
          <w:rFonts w:ascii="Arial"/>
          <w:i/>
          <w:spacing w:val="28"/>
          <w:sz w:val="20"/>
        </w:rPr>
        <w:t> </w:t>
      </w:r>
      <w:r>
        <w:rPr>
          <w:rFonts w:ascii="Arial"/>
          <w:i/>
          <w:spacing w:val="-10"/>
          <w:sz w:val="20"/>
        </w:rPr>
        <w:t>1</w:t>
      </w:r>
    </w:p>
    <w:p>
      <w:pPr>
        <w:pStyle w:val="BodyText"/>
        <w:spacing w:line="235" w:lineRule="auto"/>
        <w:ind w:left="705" w:right="167"/>
        <w:jc w:val="both"/>
      </w:pPr>
      <w:r>
        <w:rPr>
          <w:rFonts w:ascii="Arial" w:hAnsi="Arial"/>
          <w:i/>
        </w:rPr>
        <w:t>W.L.R 1136 (affirmed [1983] 1 W.L.R. 1151)</w:t>
      </w:r>
      <w:r>
        <w:rPr/>
        <w:t>). If the contract is held to be governed by foreign law</w:t>
      </w:r>
      <w:r>
        <w:rPr>
          <w:spacing w:val="-1"/>
        </w:rPr>
        <w:t> </w:t>
      </w:r>
      <w:r>
        <w:rPr/>
        <w:t>according</w:t>
      </w:r>
      <w:r>
        <w:rPr>
          <w:spacing w:val="-1"/>
        </w:rPr>
        <w:t> </w:t>
      </w:r>
      <w:r>
        <w:rPr/>
        <w:t>to</w:t>
      </w:r>
      <w:r>
        <w:rPr>
          <w:spacing w:val="-1"/>
        </w:rPr>
        <w:t> </w:t>
      </w:r>
      <w:r>
        <w:rPr/>
        <w:t>art.6(2),</w:t>
      </w:r>
      <w:r>
        <w:rPr>
          <w:spacing w:val="-1"/>
        </w:rPr>
        <w:t> </w:t>
      </w:r>
      <w:r>
        <w:rPr/>
        <w:t>the</w:t>
      </w:r>
      <w:r>
        <w:rPr>
          <w:spacing w:val="-1"/>
        </w:rPr>
        <w:t> </w:t>
      </w:r>
      <w:r>
        <w:rPr/>
        <w:t>English</w:t>
      </w:r>
      <w:r>
        <w:rPr>
          <w:spacing w:val="-1"/>
        </w:rPr>
        <w:t> </w:t>
      </w:r>
      <w:r>
        <w:rPr/>
        <w:t>court</w:t>
      </w:r>
      <w:r>
        <w:rPr>
          <w:spacing w:val="-1"/>
        </w:rPr>
        <w:t> </w:t>
      </w:r>
      <w:r>
        <w:rPr/>
        <w:t>may</w:t>
      </w:r>
      <w:r>
        <w:rPr>
          <w:spacing w:val="-1"/>
        </w:rPr>
        <w:t> </w:t>
      </w:r>
      <w:r>
        <w:rPr/>
        <w:t>still</w:t>
      </w:r>
      <w:r>
        <w:rPr>
          <w:spacing w:val="-1"/>
        </w:rPr>
        <w:t> </w:t>
      </w:r>
      <w:r>
        <w:rPr/>
        <w:t>apply</w:t>
      </w:r>
      <w:r>
        <w:rPr>
          <w:spacing w:val="-1"/>
        </w:rPr>
        <w:t> </w:t>
      </w:r>
      <w:r>
        <w:rPr/>
        <w:t>any</w:t>
      </w:r>
      <w:r>
        <w:rPr>
          <w:spacing w:val="-1"/>
        </w:rPr>
        <w:t> </w:t>
      </w:r>
      <w:r>
        <w:rPr/>
        <w:t>English</w:t>
      </w:r>
      <w:r>
        <w:rPr>
          <w:spacing w:val="-1"/>
        </w:rPr>
        <w:t> </w:t>
      </w:r>
      <w:r>
        <w:rPr/>
        <w:t>mandatory</w:t>
      </w:r>
      <w:r>
        <w:rPr>
          <w:spacing w:val="-1"/>
        </w:rPr>
        <w:t> </w:t>
      </w:r>
      <w:r>
        <w:rPr/>
        <w:t>rules</w:t>
      </w:r>
      <w:r>
        <w:rPr>
          <w:spacing w:val="-1"/>
        </w:rPr>
        <w:t> </w:t>
      </w:r>
      <w:r>
        <w:rPr/>
        <w:t>by</w:t>
      </w:r>
      <w:r>
        <w:rPr>
          <w:spacing w:val="-1"/>
        </w:rPr>
        <w:t> </w:t>
      </w:r>
      <w:r>
        <w:rPr/>
        <w:t>virtue of art.7(2): see above, para.30–112.</w:t>
      </w:r>
    </w:p>
    <w:p>
      <w:pPr>
        <w:pStyle w:val="BodyText"/>
        <w:spacing w:before="3"/>
      </w:pPr>
    </w:p>
    <w:p>
      <w:pPr>
        <w:tabs>
          <w:tab w:pos="540" w:val="left" w:leader="none"/>
        </w:tabs>
        <w:spacing w:line="227" w:lineRule="exact" w:before="0"/>
        <w:ind w:left="0" w:right="168" w:firstLine="0"/>
        <w:jc w:val="right"/>
        <w:rPr>
          <w:rFonts w:ascii="Arial"/>
          <w:i/>
          <w:sz w:val="20"/>
        </w:rPr>
      </w:pPr>
      <w:bookmarkStart w:name="_bookmark1126" w:id="1128"/>
      <w:bookmarkEnd w:id="1128"/>
      <w:r>
        <w:rPr/>
      </w:r>
      <w:hyperlink w:history="true" w:anchor="_bookmark1000">
        <w:r>
          <w:rPr>
            <w:color w:val="005DA1"/>
            <w:spacing w:val="-4"/>
            <w:position w:val="5"/>
            <w:sz w:val="14"/>
            <w:u w:val="single" w:color="005DA1"/>
          </w:rPr>
          <w:t>591</w:t>
        </w:r>
      </w:hyperlink>
      <w:r>
        <w:rPr>
          <w:spacing w:val="-4"/>
          <w:position w:val="5"/>
          <w:sz w:val="14"/>
        </w:rPr>
        <w:t>.</w:t>
      </w:r>
      <w:r>
        <w:rPr>
          <w:position w:val="5"/>
          <w:sz w:val="14"/>
        </w:rPr>
        <w:tab/>
      </w:r>
      <w:r>
        <w:rPr>
          <w:sz w:val="20"/>
        </w:rPr>
        <w:t>e.g.</w:t>
      </w:r>
      <w:r>
        <w:rPr>
          <w:spacing w:val="-1"/>
          <w:sz w:val="20"/>
        </w:rPr>
        <w:t> </w:t>
      </w:r>
      <w:r>
        <w:rPr>
          <w:rFonts w:ascii="Arial"/>
          <w:i/>
          <w:sz w:val="20"/>
        </w:rPr>
        <w:t>Matthews v Kuwait Bechtel Corp [1959] 2 Q.B. 57</w:t>
      </w:r>
      <w:r>
        <w:rPr>
          <w:sz w:val="20"/>
        </w:rPr>
        <w:t>; </w:t>
      </w:r>
      <w:r>
        <w:rPr>
          <w:rFonts w:ascii="Arial"/>
          <w:i/>
          <w:sz w:val="20"/>
        </w:rPr>
        <w:t>Coupland v Arabian Gulf Oil Co [1983] </w:t>
      </w:r>
      <w:r>
        <w:rPr>
          <w:rFonts w:ascii="Arial"/>
          <w:i/>
          <w:spacing w:val="-10"/>
          <w:sz w:val="20"/>
        </w:rPr>
        <w:t>1</w:t>
      </w:r>
    </w:p>
    <w:p>
      <w:pPr>
        <w:spacing w:line="225" w:lineRule="exact" w:before="0"/>
        <w:ind w:left="0" w:right="168" w:firstLine="0"/>
        <w:jc w:val="right"/>
        <w:rPr>
          <w:rFonts w:ascii="Arial"/>
          <w:i/>
          <w:sz w:val="20"/>
        </w:rPr>
      </w:pPr>
      <w:r>
        <w:rPr>
          <w:rFonts w:ascii="Arial"/>
          <w:i/>
          <w:sz w:val="20"/>
        </w:rPr>
        <w:t>W.L.R.</w:t>
      </w:r>
      <w:r>
        <w:rPr>
          <w:rFonts w:ascii="Arial"/>
          <w:i/>
          <w:spacing w:val="14"/>
          <w:sz w:val="20"/>
        </w:rPr>
        <w:t> </w:t>
      </w:r>
      <w:r>
        <w:rPr>
          <w:rFonts w:ascii="Arial"/>
          <w:i/>
          <w:sz w:val="20"/>
        </w:rPr>
        <w:t>1136</w:t>
      </w:r>
      <w:r>
        <w:rPr>
          <w:rFonts w:ascii="Arial"/>
          <w:i/>
          <w:spacing w:val="15"/>
          <w:sz w:val="20"/>
        </w:rPr>
        <w:t> </w:t>
      </w:r>
      <w:r>
        <w:rPr>
          <w:rFonts w:ascii="Arial"/>
          <w:i/>
          <w:sz w:val="20"/>
        </w:rPr>
        <w:t>(affirmed</w:t>
      </w:r>
      <w:r>
        <w:rPr>
          <w:rFonts w:ascii="Arial"/>
          <w:i/>
          <w:spacing w:val="15"/>
          <w:sz w:val="20"/>
        </w:rPr>
        <w:t> </w:t>
      </w:r>
      <w:r>
        <w:rPr>
          <w:rFonts w:ascii="Arial"/>
          <w:i/>
          <w:sz w:val="20"/>
        </w:rPr>
        <w:t>[1983]</w:t>
      </w:r>
      <w:r>
        <w:rPr>
          <w:rFonts w:ascii="Arial"/>
          <w:i/>
          <w:spacing w:val="15"/>
          <w:sz w:val="20"/>
        </w:rPr>
        <w:t> </w:t>
      </w:r>
      <w:r>
        <w:rPr>
          <w:rFonts w:ascii="Arial"/>
          <w:i/>
          <w:sz w:val="20"/>
        </w:rPr>
        <w:t>1</w:t>
      </w:r>
      <w:r>
        <w:rPr>
          <w:rFonts w:ascii="Arial"/>
          <w:i/>
          <w:spacing w:val="15"/>
          <w:sz w:val="20"/>
        </w:rPr>
        <w:t> </w:t>
      </w:r>
      <w:r>
        <w:rPr>
          <w:rFonts w:ascii="Arial"/>
          <w:i/>
          <w:sz w:val="20"/>
        </w:rPr>
        <w:t>W.L.R.</w:t>
      </w:r>
      <w:r>
        <w:rPr>
          <w:rFonts w:ascii="Arial"/>
          <w:i/>
          <w:spacing w:val="15"/>
          <w:sz w:val="20"/>
        </w:rPr>
        <w:t> </w:t>
      </w:r>
      <w:r>
        <w:rPr>
          <w:rFonts w:ascii="Arial"/>
          <w:i/>
          <w:sz w:val="20"/>
        </w:rPr>
        <w:t>1151)</w:t>
      </w:r>
      <w:r>
        <w:rPr>
          <w:sz w:val="20"/>
        </w:rPr>
        <w:t>;</w:t>
      </w:r>
      <w:r>
        <w:rPr>
          <w:spacing w:val="15"/>
          <w:sz w:val="20"/>
        </w:rPr>
        <w:t> </w:t>
      </w:r>
      <w:r>
        <w:rPr>
          <w:rFonts w:ascii="Arial"/>
          <w:i/>
          <w:sz w:val="20"/>
        </w:rPr>
        <w:t>Roerig</w:t>
      </w:r>
      <w:r>
        <w:rPr>
          <w:rFonts w:ascii="Arial"/>
          <w:i/>
          <w:spacing w:val="15"/>
          <w:sz w:val="20"/>
        </w:rPr>
        <w:t> </w:t>
      </w:r>
      <w:r>
        <w:rPr>
          <w:rFonts w:ascii="Arial"/>
          <w:i/>
          <w:sz w:val="20"/>
        </w:rPr>
        <w:t>v</w:t>
      </w:r>
      <w:r>
        <w:rPr>
          <w:rFonts w:ascii="Arial"/>
          <w:i/>
          <w:spacing w:val="15"/>
          <w:sz w:val="20"/>
        </w:rPr>
        <w:t> </w:t>
      </w:r>
      <w:r>
        <w:rPr>
          <w:rFonts w:ascii="Arial"/>
          <w:i/>
          <w:sz w:val="20"/>
        </w:rPr>
        <w:t>Valiant</w:t>
      </w:r>
      <w:r>
        <w:rPr>
          <w:rFonts w:ascii="Arial"/>
          <w:i/>
          <w:spacing w:val="15"/>
          <w:sz w:val="20"/>
        </w:rPr>
        <w:t> </w:t>
      </w:r>
      <w:r>
        <w:rPr>
          <w:rFonts w:ascii="Arial"/>
          <w:i/>
          <w:sz w:val="20"/>
        </w:rPr>
        <w:t>Trawlers</w:t>
      </w:r>
      <w:r>
        <w:rPr>
          <w:rFonts w:ascii="Arial"/>
          <w:i/>
          <w:spacing w:val="15"/>
          <w:sz w:val="20"/>
        </w:rPr>
        <w:t> </w:t>
      </w:r>
      <w:r>
        <w:rPr>
          <w:rFonts w:ascii="Arial"/>
          <w:i/>
          <w:sz w:val="20"/>
        </w:rPr>
        <w:t>Ltd</w:t>
      </w:r>
      <w:r>
        <w:rPr>
          <w:rFonts w:ascii="Arial"/>
          <w:i/>
          <w:spacing w:val="15"/>
          <w:sz w:val="20"/>
        </w:rPr>
        <w:t> </w:t>
      </w:r>
      <w:r>
        <w:rPr>
          <w:rFonts w:ascii="Arial"/>
          <w:i/>
          <w:sz w:val="20"/>
        </w:rPr>
        <w:t>[2002]</w:t>
      </w:r>
      <w:r>
        <w:rPr>
          <w:rFonts w:ascii="Arial"/>
          <w:i/>
          <w:spacing w:val="15"/>
          <w:sz w:val="20"/>
        </w:rPr>
        <w:t> </w:t>
      </w:r>
      <w:r>
        <w:rPr>
          <w:rFonts w:ascii="Arial"/>
          <w:i/>
          <w:sz w:val="20"/>
        </w:rPr>
        <w:t>EWCA</w:t>
      </w:r>
      <w:r>
        <w:rPr>
          <w:rFonts w:ascii="Arial"/>
          <w:i/>
          <w:spacing w:val="15"/>
          <w:sz w:val="20"/>
        </w:rPr>
        <w:t> </w:t>
      </w:r>
      <w:r>
        <w:rPr>
          <w:rFonts w:ascii="Arial"/>
          <w:i/>
          <w:spacing w:val="-5"/>
          <w:sz w:val="20"/>
        </w:rPr>
        <w:t>Civ</w:t>
      </w:r>
    </w:p>
    <w:p>
      <w:pPr>
        <w:spacing w:line="225" w:lineRule="exact" w:before="0"/>
        <w:ind w:left="705" w:right="0" w:firstLine="0"/>
        <w:jc w:val="left"/>
        <w:rPr>
          <w:rFonts w:ascii="Arial"/>
          <w:i/>
          <w:sz w:val="20"/>
        </w:rPr>
      </w:pPr>
      <w:r>
        <w:rPr>
          <w:rFonts w:ascii="Arial"/>
          <w:i/>
          <w:sz w:val="20"/>
        </w:rPr>
        <w:t>21,</w:t>
      </w:r>
      <w:r>
        <w:rPr>
          <w:rFonts w:ascii="Arial"/>
          <w:i/>
          <w:spacing w:val="38"/>
          <w:sz w:val="20"/>
        </w:rPr>
        <w:t> </w:t>
      </w:r>
      <w:r>
        <w:rPr>
          <w:rFonts w:ascii="Arial"/>
          <w:i/>
          <w:sz w:val="20"/>
        </w:rPr>
        <w:t>[2002]</w:t>
      </w:r>
      <w:r>
        <w:rPr>
          <w:rFonts w:ascii="Arial"/>
          <w:i/>
          <w:spacing w:val="39"/>
          <w:sz w:val="20"/>
        </w:rPr>
        <w:t> </w:t>
      </w:r>
      <w:r>
        <w:rPr>
          <w:rFonts w:ascii="Arial"/>
          <w:i/>
          <w:sz w:val="20"/>
        </w:rPr>
        <w:t>1</w:t>
      </w:r>
      <w:r>
        <w:rPr>
          <w:rFonts w:ascii="Arial"/>
          <w:i/>
          <w:spacing w:val="39"/>
          <w:sz w:val="20"/>
        </w:rPr>
        <w:t> </w:t>
      </w:r>
      <w:r>
        <w:rPr>
          <w:rFonts w:ascii="Arial"/>
          <w:i/>
          <w:sz w:val="20"/>
        </w:rPr>
        <w:t>WLR</w:t>
      </w:r>
      <w:r>
        <w:rPr>
          <w:rFonts w:ascii="Arial"/>
          <w:i/>
          <w:spacing w:val="39"/>
          <w:sz w:val="20"/>
        </w:rPr>
        <w:t> </w:t>
      </w:r>
      <w:r>
        <w:rPr>
          <w:rFonts w:ascii="Arial"/>
          <w:i/>
          <w:sz w:val="20"/>
        </w:rPr>
        <w:t>2304</w:t>
      </w:r>
      <w:r>
        <w:rPr>
          <w:sz w:val="20"/>
        </w:rPr>
        <w:t>;</w:t>
      </w:r>
      <w:r>
        <w:rPr>
          <w:spacing w:val="39"/>
          <w:sz w:val="20"/>
        </w:rPr>
        <w:t> </w:t>
      </w:r>
      <w:r>
        <w:rPr>
          <w:rFonts w:ascii="Arial"/>
          <w:i/>
          <w:sz w:val="20"/>
        </w:rPr>
        <w:t>Base</w:t>
      </w:r>
      <w:r>
        <w:rPr>
          <w:rFonts w:ascii="Arial"/>
          <w:i/>
          <w:spacing w:val="39"/>
          <w:sz w:val="20"/>
        </w:rPr>
        <w:t> </w:t>
      </w:r>
      <w:r>
        <w:rPr>
          <w:rFonts w:ascii="Arial"/>
          <w:i/>
          <w:sz w:val="20"/>
        </w:rPr>
        <w:t>Metal</w:t>
      </w:r>
      <w:r>
        <w:rPr>
          <w:rFonts w:ascii="Arial"/>
          <w:i/>
          <w:spacing w:val="39"/>
          <w:sz w:val="20"/>
        </w:rPr>
        <w:t> </w:t>
      </w:r>
      <w:r>
        <w:rPr>
          <w:rFonts w:ascii="Arial"/>
          <w:i/>
          <w:sz w:val="20"/>
        </w:rPr>
        <w:t>Trading</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Shamurin</w:t>
      </w:r>
      <w:r>
        <w:rPr>
          <w:rFonts w:ascii="Arial"/>
          <w:i/>
          <w:spacing w:val="39"/>
          <w:sz w:val="20"/>
        </w:rPr>
        <w:t> </w:t>
      </w:r>
      <w:r>
        <w:rPr>
          <w:rFonts w:ascii="Arial"/>
          <w:i/>
          <w:sz w:val="20"/>
        </w:rPr>
        <w:t>[2003]</w:t>
      </w:r>
      <w:r>
        <w:rPr>
          <w:rFonts w:ascii="Arial"/>
          <w:i/>
          <w:spacing w:val="39"/>
          <w:sz w:val="20"/>
        </w:rPr>
        <w:t> </w:t>
      </w:r>
      <w:r>
        <w:rPr>
          <w:rFonts w:ascii="Arial"/>
          <w:i/>
          <w:sz w:val="20"/>
        </w:rPr>
        <w:t>EWHC</w:t>
      </w:r>
      <w:r>
        <w:rPr>
          <w:rFonts w:ascii="Arial"/>
          <w:i/>
          <w:spacing w:val="39"/>
          <w:sz w:val="20"/>
        </w:rPr>
        <w:t> </w:t>
      </w:r>
      <w:r>
        <w:rPr>
          <w:rFonts w:ascii="Arial"/>
          <w:i/>
          <w:sz w:val="20"/>
        </w:rPr>
        <w:t>(Comm)</w:t>
      </w:r>
      <w:r>
        <w:rPr>
          <w:rFonts w:ascii="Arial"/>
          <w:i/>
          <w:spacing w:val="39"/>
          <w:sz w:val="20"/>
        </w:rPr>
        <w:t> </w:t>
      </w:r>
      <w:r>
        <w:rPr>
          <w:rFonts w:ascii="Arial"/>
          <w:i/>
          <w:spacing w:val="-2"/>
          <w:sz w:val="20"/>
        </w:rPr>
        <w:t>2419,</w:t>
      </w:r>
    </w:p>
    <w:p>
      <w:pPr>
        <w:spacing w:line="225" w:lineRule="exact" w:before="0"/>
        <w:ind w:left="705" w:right="0" w:firstLine="0"/>
        <w:jc w:val="left"/>
        <w:rPr>
          <w:sz w:val="20"/>
        </w:rPr>
      </w:pPr>
      <w:r>
        <w:rPr>
          <w:rFonts w:ascii="Arial"/>
          <w:i/>
          <w:sz w:val="20"/>
        </w:rPr>
        <w:t>[2002]</w:t>
      </w:r>
      <w:r>
        <w:rPr>
          <w:rFonts w:ascii="Arial"/>
          <w:i/>
          <w:spacing w:val="2"/>
          <w:sz w:val="20"/>
        </w:rPr>
        <w:t> </w:t>
      </w:r>
      <w:r>
        <w:rPr>
          <w:rFonts w:ascii="Arial"/>
          <w:i/>
          <w:sz w:val="20"/>
        </w:rPr>
        <w:t>C.L.C.</w:t>
      </w:r>
      <w:r>
        <w:rPr>
          <w:rFonts w:ascii="Arial"/>
          <w:i/>
          <w:spacing w:val="3"/>
          <w:sz w:val="20"/>
        </w:rPr>
        <w:t> </w:t>
      </w:r>
      <w:r>
        <w:rPr>
          <w:rFonts w:ascii="Arial"/>
          <w:i/>
          <w:sz w:val="20"/>
        </w:rPr>
        <w:t>322</w:t>
      </w:r>
      <w:r>
        <w:rPr>
          <w:sz w:val="20"/>
        </w:rPr>
        <w:t>;</w:t>
      </w:r>
      <w:r>
        <w:rPr>
          <w:spacing w:val="3"/>
          <w:sz w:val="20"/>
        </w:rPr>
        <w:t> </w:t>
      </w:r>
      <w:r>
        <w:rPr>
          <w:rFonts w:ascii="Arial"/>
          <w:i/>
          <w:sz w:val="20"/>
        </w:rPr>
        <w:t>Booth</w:t>
      </w:r>
      <w:r>
        <w:rPr>
          <w:rFonts w:ascii="Arial"/>
          <w:i/>
          <w:spacing w:val="3"/>
          <w:sz w:val="20"/>
        </w:rPr>
        <w:t> </w:t>
      </w:r>
      <w:r>
        <w:rPr>
          <w:rFonts w:ascii="Arial"/>
          <w:i/>
          <w:sz w:val="20"/>
        </w:rPr>
        <w:t>v</w:t>
      </w:r>
      <w:r>
        <w:rPr>
          <w:rFonts w:ascii="Arial"/>
          <w:i/>
          <w:spacing w:val="3"/>
          <w:sz w:val="20"/>
        </w:rPr>
        <w:t> </w:t>
      </w:r>
      <w:r>
        <w:rPr>
          <w:rFonts w:ascii="Arial"/>
          <w:i/>
          <w:sz w:val="20"/>
        </w:rPr>
        <w:t>Phillips</w:t>
      </w:r>
      <w:r>
        <w:rPr>
          <w:rFonts w:ascii="Arial"/>
          <w:i/>
          <w:spacing w:val="3"/>
          <w:sz w:val="20"/>
        </w:rPr>
        <w:t> </w:t>
      </w:r>
      <w:r>
        <w:rPr>
          <w:rFonts w:ascii="Arial"/>
          <w:i/>
          <w:sz w:val="20"/>
        </w:rPr>
        <w:t>[2004]</w:t>
      </w:r>
      <w:r>
        <w:rPr>
          <w:rFonts w:ascii="Arial"/>
          <w:i/>
          <w:spacing w:val="3"/>
          <w:sz w:val="20"/>
        </w:rPr>
        <w:t> </w:t>
      </w:r>
      <w:r>
        <w:rPr>
          <w:rFonts w:ascii="Arial"/>
          <w:i/>
          <w:sz w:val="20"/>
        </w:rPr>
        <w:t>EWHC</w:t>
      </w:r>
      <w:r>
        <w:rPr>
          <w:rFonts w:ascii="Arial"/>
          <w:i/>
          <w:spacing w:val="2"/>
          <w:sz w:val="20"/>
        </w:rPr>
        <w:t> </w:t>
      </w:r>
      <w:r>
        <w:rPr>
          <w:rFonts w:ascii="Arial"/>
          <w:i/>
          <w:sz w:val="20"/>
        </w:rPr>
        <w:t>1437</w:t>
      </w:r>
      <w:r>
        <w:rPr>
          <w:rFonts w:ascii="Arial"/>
          <w:i/>
          <w:spacing w:val="3"/>
          <w:sz w:val="20"/>
        </w:rPr>
        <w:t> </w:t>
      </w:r>
      <w:r>
        <w:rPr>
          <w:rFonts w:ascii="Arial"/>
          <w:i/>
          <w:sz w:val="20"/>
        </w:rPr>
        <w:t>(Comm),</w:t>
      </w:r>
      <w:r>
        <w:rPr>
          <w:rFonts w:ascii="Arial"/>
          <w:i/>
          <w:spacing w:val="3"/>
          <w:sz w:val="20"/>
        </w:rPr>
        <w:t> </w:t>
      </w:r>
      <w:r>
        <w:rPr>
          <w:rFonts w:ascii="Arial"/>
          <w:i/>
          <w:sz w:val="20"/>
        </w:rPr>
        <w:t>[2004]</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3292</w:t>
      </w:r>
      <w:r>
        <w:rPr>
          <w:sz w:val="20"/>
        </w:rPr>
        <w:t>;</w:t>
      </w:r>
      <w:r>
        <w:rPr>
          <w:spacing w:val="3"/>
          <w:sz w:val="20"/>
        </w:rPr>
        <w:t> </w:t>
      </w:r>
      <w:r>
        <w:rPr>
          <w:spacing w:val="-2"/>
          <w:sz w:val="20"/>
        </w:rPr>
        <w:t>contrast</w:t>
      </w:r>
    </w:p>
    <w:p>
      <w:pPr>
        <w:spacing w:line="235" w:lineRule="auto" w:before="1"/>
        <w:ind w:left="705" w:right="0" w:firstLine="0"/>
        <w:jc w:val="left"/>
        <w:rPr>
          <w:sz w:val="20"/>
        </w:rPr>
      </w:pPr>
      <w:r>
        <w:rPr>
          <w:rFonts w:ascii="Arial"/>
          <w:i/>
          <w:sz w:val="20"/>
        </w:rPr>
        <w:t>Johnson v Coventry Churchill International Ltd [1992] 3 All E.R. 14 </w:t>
      </w:r>
      <w:r>
        <w:rPr>
          <w:sz w:val="20"/>
        </w:rPr>
        <w:t>(action in tort only, case not framed in contract).</w:t>
      </w:r>
    </w:p>
    <w:p>
      <w:pPr>
        <w:pStyle w:val="BodyText"/>
        <w:spacing w:before="6"/>
      </w:pPr>
    </w:p>
    <w:p>
      <w:pPr>
        <w:pStyle w:val="BodyText"/>
        <w:tabs>
          <w:tab w:pos="705" w:val="left" w:leader="none"/>
        </w:tabs>
        <w:ind w:left="165"/>
      </w:pPr>
      <w:bookmarkStart w:name="_bookmark1127" w:id="1129"/>
      <w:bookmarkEnd w:id="1129"/>
      <w:r>
        <w:rPr/>
      </w:r>
      <w:hyperlink w:history="true" w:anchor="_bookmark1001">
        <w:r>
          <w:rPr>
            <w:color w:val="005DA1"/>
            <w:spacing w:val="-4"/>
            <w:position w:val="5"/>
            <w:sz w:val="14"/>
            <w:u w:val="single" w:color="005DA1"/>
          </w:rPr>
          <w:t>592</w:t>
        </w:r>
      </w:hyperlink>
      <w:r>
        <w:rPr>
          <w:spacing w:val="-4"/>
          <w:position w:val="5"/>
          <w:sz w:val="14"/>
        </w:rPr>
        <w:t>.</w:t>
      </w:r>
      <w:r>
        <w:rPr>
          <w:position w:val="5"/>
          <w:sz w:val="14"/>
        </w:rPr>
        <w:tab/>
      </w:r>
      <w:r>
        <w:rPr/>
        <w:t>Dicey, Morris and Collins, paras 32–026, 33–083—</w:t>
      </w:r>
      <w:r>
        <w:rPr>
          <w:spacing w:val="-2"/>
        </w:rPr>
        <w:t>33–085.</w:t>
      </w:r>
    </w:p>
    <w:p>
      <w:pPr>
        <w:pStyle w:val="BodyText"/>
        <w:spacing w:before="5"/>
      </w:pPr>
    </w:p>
    <w:p>
      <w:pPr>
        <w:pStyle w:val="BodyText"/>
        <w:tabs>
          <w:tab w:pos="705" w:val="left" w:leader="none"/>
        </w:tabs>
        <w:ind w:left="165"/>
      </w:pPr>
      <w:bookmarkStart w:name="_bookmark1128" w:id="1130"/>
      <w:bookmarkEnd w:id="1130"/>
      <w:r>
        <w:rPr/>
      </w:r>
      <w:hyperlink w:history="true" w:anchor="_bookmark1002">
        <w:r>
          <w:rPr>
            <w:color w:val="005DA1"/>
            <w:spacing w:val="-4"/>
            <w:position w:val="5"/>
            <w:sz w:val="14"/>
            <w:u w:val="single" w:color="005DA1"/>
          </w:rPr>
          <w:t>593</w:t>
        </w:r>
      </w:hyperlink>
      <w:r>
        <w:rPr>
          <w:spacing w:val="-4"/>
          <w:position w:val="5"/>
          <w:sz w:val="14"/>
        </w:rPr>
        <w:t>.</w:t>
      </w:r>
      <w:r>
        <w:rPr>
          <w:position w:val="5"/>
          <w:sz w:val="14"/>
        </w:rPr>
        <w:tab/>
      </w:r>
      <w:r>
        <w:rPr/>
        <w:t>Above, paras </w:t>
      </w:r>
      <w:r>
        <w:rPr>
          <w:spacing w:val="-2"/>
        </w:rPr>
        <w:t>30–031.</w:t>
      </w:r>
    </w:p>
    <w:p>
      <w:pPr>
        <w:pStyle w:val="BodyText"/>
        <w:spacing w:before="5"/>
      </w:pPr>
    </w:p>
    <w:p>
      <w:pPr>
        <w:pStyle w:val="BodyText"/>
        <w:tabs>
          <w:tab w:pos="705" w:val="left" w:leader="none"/>
        </w:tabs>
        <w:ind w:left="165"/>
      </w:pPr>
      <w:bookmarkStart w:name="_bookmark1129" w:id="1131"/>
      <w:bookmarkEnd w:id="1131"/>
      <w:r>
        <w:rPr/>
      </w:r>
      <w:hyperlink w:history="true" w:anchor="_bookmark1003">
        <w:r>
          <w:rPr>
            <w:color w:val="005DA1"/>
            <w:spacing w:val="-4"/>
            <w:position w:val="5"/>
            <w:sz w:val="14"/>
            <w:u w:val="single" w:color="005DA1"/>
          </w:rPr>
          <w:t>594</w:t>
        </w:r>
      </w:hyperlink>
      <w:r>
        <w:rPr>
          <w:spacing w:val="-4"/>
          <w:position w:val="5"/>
          <w:sz w:val="14"/>
        </w:rPr>
        <w:t>.</w:t>
      </w:r>
      <w:r>
        <w:rPr>
          <w:position w:val="5"/>
          <w:sz w:val="14"/>
        </w:rPr>
        <w:tab/>
      </w:r>
      <w:r>
        <w:rPr/>
        <w:t>Above, paras </w:t>
      </w:r>
      <w:r>
        <w:rPr>
          <w:spacing w:val="-2"/>
        </w:rPr>
        <w:t>30–031.</w:t>
      </w:r>
    </w:p>
    <w:p>
      <w:pPr>
        <w:pStyle w:val="BodyText"/>
        <w:spacing w:before="5"/>
      </w:pPr>
    </w:p>
    <w:p>
      <w:pPr>
        <w:pStyle w:val="BodyText"/>
        <w:tabs>
          <w:tab w:pos="705" w:val="left" w:leader="none"/>
        </w:tabs>
        <w:ind w:left="165"/>
      </w:pPr>
      <w:bookmarkStart w:name="_bookmark1130" w:id="1132"/>
      <w:bookmarkEnd w:id="1132"/>
      <w:r>
        <w:rPr/>
      </w:r>
      <w:hyperlink w:history="true" w:anchor="_bookmark1004">
        <w:r>
          <w:rPr>
            <w:color w:val="005DA1"/>
            <w:spacing w:val="-4"/>
            <w:position w:val="5"/>
            <w:sz w:val="14"/>
            <w:u w:val="single" w:color="005DA1"/>
          </w:rPr>
          <w:t>595</w:t>
        </w:r>
      </w:hyperlink>
      <w:r>
        <w:rPr>
          <w:spacing w:val="-4"/>
          <w:position w:val="5"/>
          <w:sz w:val="14"/>
        </w:rPr>
        <w:t>.</w:t>
      </w:r>
      <w:r>
        <w:rPr>
          <w:position w:val="5"/>
          <w:sz w:val="14"/>
        </w:rPr>
        <w:tab/>
      </w:r>
      <w:r>
        <w:rPr/>
        <w:t>Rome II Regulation Recital </w:t>
      </w:r>
      <w:r>
        <w:rPr>
          <w:spacing w:val="-5"/>
        </w:rPr>
        <w:t>11.</w:t>
      </w:r>
    </w:p>
    <w:p>
      <w:pPr>
        <w:pStyle w:val="BodyText"/>
        <w:spacing w:before="5"/>
      </w:pPr>
    </w:p>
    <w:p>
      <w:pPr>
        <w:pStyle w:val="BodyText"/>
        <w:tabs>
          <w:tab w:pos="705" w:val="left" w:leader="none"/>
        </w:tabs>
        <w:ind w:left="165"/>
      </w:pPr>
      <w:bookmarkStart w:name="_bookmark1131" w:id="1133"/>
      <w:bookmarkEnd w:id="1133"/>
      <w:r>
        <w:rPr/>
      </w:r>
      <w:hyperlink w:history="true" w:anchor="_bookmark1005">
        <w:r>
          <w:rPr>
            <w:color w:val="005DA1"/>
            <w:spacing w:val="-4"/>
            <w:position w:val="5"/>
            <w:sz w:val="14"/>
            <w:u w:val="single" w:color="005DA1"/>
          </w:rPr>
          <w:t>596</w:t>
        </w:r>
      </w:hyperlink>
      <w:r>
        <w:rPr>
          <w:spacing w:val="-4"/>
          <w:position w:val="5"/>
          <w:sz w:val="14"/>
        </w:rPr>
        <w:t>.</w:t>
      </w:r>
      <w:r>
        <w:rPr>
          <w:position w:val="5"/>
          <w:sz w:val="14"/>
        </w:rPr>
        <w:tab/>
      </w:r>
      <w:r>
        <w:rPr/>
        <w:t>cf. Plender and Wilderspin, 4th edn (2014), para.2–054 et seq.; Merrett, pp.188 et </w:t>
      </w:r>
      <w:r>
        <w:rPr>
          <w:spacing w:val="-4"/>
        </w:rPr>
        <w:t>seq.</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position w:val="11"/>
          <w:sz w:val="12"/>
        </w:rPr>
      </w:pPr>
      <w:bookmarkStart w:name="_bookmark1132" w:id="1134"/>
      <w:bookmarkEnd w:id="1134"/>
      <w:r>
        <w:rPr/>
      </w:r>
      <w:r>
        <w:rPr>
          <w:rFonts w:ascii="Arial"/>
          <w:b/>
          <w:sz w:val="24"/>
        </w:rPr>
        <w:t>Section 3. - The Rome Convention </w:t>
      </w:r>
      <w:r>
        <w:rPr>
          <w:rFonts w:ascii="Arial"/>
          <w:b/>
          <w:color w:val="005DA1"/>
          <w:spacing w:val="-5"/>
          <w:position w:val="11"/>
          <w:sz w:val="12"/>
          <w:u w:val="single" w:color="005DA1"/>
        </w:rPr>
        <w:t>96</w:t>
      </w:r>
    </w:p>
    <w:p>
      <w:pPr>
        <w:pStyle w:val="ListParagraph"/>
        <w:numPr>
          <w:ilvl w:val="0"/>
          <w:numId w:val="1"/>
        </w:numPr>
        <w:tabs>
          <w:tab w:pos="2424" w:val="left" w:leader="none"/>
        </w:tabs>
        <w:spacing w:line="240" w:lineRule="auto" w:before="194" w:after="0"/>
        <w:ind w:left="2424" w:right="0" w:hanging="306"/>
        <w:jc w:val="left"/>
        <w:rPr>
          <w:b/>
          <w:sz w:val="24"/>
        </w:rPr>
      </w:pPr>
      <w:r>
        <w:rPr>
          <w:b/>
          <w:sz w:val="24"/>
        </w:rPr>
        <w:t>- Voluntary Assignments and </w:t>
      </w:r>
      <w:r>
        <w:rPr>
          <w:b/>
          <w:spacing w:val="-2"/>
          <w:sz w:val="24"/>
        </w:rPr>
        <w:t>Subrogation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Voluntary </w:t>
      </w:r>
      <w:r>
        <w:rPr>
          <w:rFonts w:ascii="Arial"/>
          <w:b/>
          <w:spacing w:val="-2"/>
          <w:sz w:val="18"/>
        </w:rPr>
        <w:t>assignments</w:t>
      </w:r>
    </w:p>
    <w:p>
      <w:pPr>
        <w:pStyle w:val="BodyText"/>
        <w:spacing w:before="42"/>
        <w:rPr>
          <w:rFonts w:ascii="Arial"/>
          <w:b/>
          <w:sz w:val="18"/>
        </w:rPr>
      </w:pPr>
    </w:p>
    <w:p>
      <w:pPr>
        <w:pStyle w:val="Heading2"/>
        <w:ind w:left="164"/>
      </w:pPr>
      <w:r>
        <w:rPr/>
        <w:t>30-</w:t>
      </w:r>
      <w:r>
        <w:rPr>
          <w:spacing w:val="-5"/>
        </w:rPr>
        <w:t>122</w:t>
      </w:r>
    </w:p>
    <w:p>
      <w:pPr>
        <w:pStyle w:val="BodyText"/>
        <w:spacing w:line="235" w:lineRule="auto" w:before="202"/>
        <w:ind w:left="164" w:right="167"/>
        <w:jc w:val="both"/>
      </w:pPr>
      <w:bookmarkStart w:name="_bookmark1133" w:id="1135"/>
      <w:bookmarkEnd w:id="1135"/>
      <w:r>
        <w:rPr/>
      </w:r>
      <w:r>
        <w:rPr/>
        <w:t>Article</w:t>
      </w:r>
      <w:r>
        <w:rPr>
          <w:spacing w:val="-1"/>
        </w:rPr>
        <w:t> </w:t>
      </w:r>
      <w:r>
        <w:rPr/>
        <w:t>12</w:t>
      </w:r>
      <w:r>
        <w:rPr>
          <w:spacing w:val="-1"/>
        </w:rPr>
        <w:t> </w:t>
      </w:r>
      <w:r>
        <w:rPr/>
        <w:t>of</w:t>
      </w:r>
      <w:r>
        <w:rPr>
          <w:spacing w:val="-1"/>
        </w:rPr>
        <w:t> </w:t>
      </w:r>
      <w:r>
        <w:rPr/>
        <w:t>the</w:t>
      </w:r>
      <w:r>
        <w:rPr>
          <w:spacing w:val="-1"/>
        </w:rPr>
        <w:t> </w:t>
      </w:r>
      <w:r>
        <w:rPr/>
        <w:t>Rome</w:t>
      </w:r>
      <w:r>
        <w:rPr>
          <w:spacing w:val="-1"/>
        </w:rPr>
        <w:t> </w:t>
      </w:r>
      <w:r>
        <w:rPr/>
        <w:t>Convention</w:t>
      </w:r>
      <w:r>
        <w:rPr>
          <w:spacing w:val="-1"/>
        </w:rPr>
        <w:t> </w:t>
      </w:r>
      <w:r>
        <w:rPr/>
        <w:t>provides</w:t>
      </w:r>
      <w:r>
        <w:rPr>
          <w:spacing w:val="-1"/>
        </w:rPr>
        <w:t> </w:t>
      </w:r>
      <w:r>
        <w:rPr/>
        <w:t>choice</w:t>
      </w:r>
      <w:r>
        <w:rPr>
          <w:spacing w:val="-1"/>
        </w:rPr>
        <w:t> </w:t>
      </w:r>
      <w:r>
        <w:rPr/>
        <w:t>of</w:t>
      </w:r>
      <w:r>
        <w:rPr>
          <w:spacing w:val="-1"/>
        </w:rPr>
        <w:t> </w:t>
      </w:r>
      <w:r>
        <w:rPr/>
        <w:t>law</w:t>
      </w:r>
      <w:r>
        <w:rPr>
          <w:spacing w:val="-1"/>
        </w:rPr>
        <w:t> </w:t>
      </w:r>
      <w:r>
        <w:rPr/>
        <w:t>rules</w:t>
      </w:r>
      <w:r>
        <w:rPr>
          <w:spacing w:val="-1"/>
        </w:rPr>
        <w:t> </w:t>
      </w:r>
      <w:r>
        <w:rPr/>
        <w:t>relating</w:t>
      </w:r>
      <w:r>
        <w:rPr>
          <w:spacing w:val="-1"/>
        </w:rPr>
        <w:t> </w:t>
      </w:r>
      <w:r>
        <w:rPr/>
        <w:t>to</w:t>
      </w:r>
      <w:r>
        <w:rPr>
          <w:spacing w:val="-1"/>
        </w:rPr>
        <w:t> </w:t>
      </w:r>
      <w:r>
        <w:rPr/>
        <w:t>the</w:t>
      </w:r>
      <w:r>
        <w:rPr>
          <w:spacing w:val="-1"/>
        </w:rPr>
        <w:t> </w:t>
      </w:r>
      <w:r>
        <w:rPr/>
        <w:t>voluntary</w:t>
      </w:r>
      <w:r>
        <w:rPr>
          <w:spacing w:val="-1"/>
        </w:rPr>
        <w:t> </w:t>
      </w:r>
      <w:r>
        <w:rPr/>
        <w:t>assignment</w:t>
      </w:r>
      <w:r>
        <w:rPr>
          <w:spacing w:val="-1"/>
        </w:rPr>
        <w:t> </w:t>
      </w:r>
      <w:r>
        <w:rPr/>
        <w:t>of </w:t>
      </w:r>
      <w:bookmarkStart w:name="_bookmark1134" w:id="1136"/>
      <w:bookmarkEnd w:id="1136"/>
      <w:r>
        <w:rPr/>
        <w:t>rights.</w:t>
      </w:r>
      <w:r>
        <w:rPr>
          <w:spacing w:val="-2"/>
        </w:rPr>
        <w:t> </w:t>
      </w:r>
      <w:r>
        <w:rPr/>
        <w:t>This</w:t>
      </w:r>
      <w:r>
        <w:rPr>
          <w:spacing w:val="-2"/>
        </w:rPr>
        <w:t> </w:t>
      </w:r>
      <w:r>
        <w:rPr/>
        <w:t>provision,</w:t>
      </w:r>
      <w:r>
        <w:rPr>
          <w:spacing w:val="-2"/>
        </w:rPr>
        <w:t> </w:t>
      </w:r>
      <w:r>
        <w:rPr/>
        <w:t>which</w:t>
      </w:r>
      <w:r>
        <w:rPr>
          <w:spacing w:val="-2"/>
        </w:rPr>
        <w:t> </w:t>
      </w:r>
      <w:r>
        <w:rPr/>
        <w:t>is</w:t>
      </w:r>
      <w:r>
        <w:rPr>
          <w:spacing w:val="-2"/>
        </w:rPr>
        <w:t> </w:t>
      </w:r>
      <w:r>
        <w:rPr/>
        <w:t>probably</w:t>
      </w:r>
      <w:r>
        <w:rPr>
          <w:spacing w:val="-2"/>
        </w:rPr>
        <w:t> </w:t>
      </w:r>
      <w:r>
        <w:rPr/>
        <w:t>similar</w:t>
      </w:r>
      <w:r>
        <w:rPr>
          <w:spacing w:val="-2"/>
        </w:rPr>
        <w:t> </w:t>
      </w:r>
      <w:r>
        <w:rPr/>
        <w:t>to</w:t>
      </w:r>
      <w:r>
        <w:rPr>
          <w:spacing w:val="-2"/>
        </w:rPr>
        <w:t> </w:t>
      </w:r>
      <w:r>
        <w:rPr/>
        <w:t>the</w:t>
      </w:r>
      <w:r>
        <w:rPr>
          <w:spacing w:val="-2"/>
        </w:rPr>
        <w:t> </w:t>
      </w:r>
      <w:r>
        <w:rPr/>
        <w:t>common</w:t>
      </w:r>
      <w:r>
        <w:rPr>
          <w:spacing w:val="-2"/>
        </w:rPr>
        <w:t> </w:t>
      </w:r>
      <w:r>
        <w:rPr/>
        <w:t>law,</w:t>
      </w:r>
      <w:r>
        <w:rPr>
          <w:spacing w:val="-3"/>
        </w:rPr>
        <w:t> </w:t>
      </w:r>
      <w:r>
        <w:rPr>
          <w:color w:val="005DA1"/>
          <w:u w:val="single" w:color="005DA1"/>
          <w:vertAlign w:val="superscript"/>
        </w:rPr>
        <w:t>597</w:t>
      </w:r>
      <w:r>
        <w:rPr>
          <w:color w:val="005DA1"/>
          <w:spacing w:val="-2"/>
          <w:vertAlign w:val="baseline"/>
        </w:rPr>
        <w:t> </w:t>
      </w:r>
      <w:r>
        <w:rPr>
          <w:vertAlign w:val="baseline"/>
        </w:rPr>
        <w:t>will</w:t>
      </w:r>
      <w:r>
        <w:rPr>
          <w:spacing w:val="-2"/>
          <w:vertAlign w:val="baseline"/>
        </w:rPr>
        <w:t> </w:t>
      </w:r>
      <w:r>
        <w:rPr>
          <w:vertAlign w:val="baseline"/>
        </w:rPr>
        <w:t>apply</w:t>
      </w:r>
      <w:r>
        <w:rPr>
          <w:spacing w:val="-2"/>
          <w:vertAlign w:val="baseline"/>
        </w:rPr>
        <w:t> </w:t>
      </w:r>
      <w:r>
        <w:rPr>
          <w:vertAlign w:val="baseline"/>
        </w:rPr>
        <w:t>to</w:t>
      </w:r>
      <w:r>
        <w:rPr>
          <w:spacing w:val="-2"/>
          <w:vertAlign w:val="baseline"/>
        </w:rPr>
        <w:t> </w:t>
      </w:r>
      <w:r>
        <w:rPr>
          <w:vertAlign w:val="baseline"/>
        </w:rPr>
        <w:t>assignments</w:t>
      </w:r>
      <w:r>
        <w:rPr>
          <w:spacing w:val="-2"/>
          <w:vertAlign w:val="baseline"/>
        </w:rPr>
        <w:t> </w:t>
      </w:r>
      <w:r>
        <w:rPr>
          <w:vertAlign w:val="baseline"/>
        </w:rPr>
        <w:t>made </w:t>
      </w:r>
      <w:bookmarkStart w:name="_bookmark1135" w:id="1137"/>
      <w:bookmarkEnd w:id="1137"/>
      <w:r>
        <w:rPr>
          <w:vertAlign w:val="baseline"/>
        </w:rPr>
        <w:t>after</w:t>
      </w:r>
      <w:r>
        <w:rPr>
          <w:vertAlign w:val="baseline"/>
        </w:rPr>
        <w:t> April 1, 1991, </w:t>
      </w:r>
      <w:r>
        <w:rPr>
          <w:color w:val="005DA1"/>
          <w:u w:val="single" w:color="005DA1"/>
          <w:vertAlign w:val="superscript"/>
        </w:rPr>
        <w:t>598</w:t>
      </w:r>
      <w:r>
        <w:rPr>
          <w:color w:val="005DA1"/>
          <w:vertAlign w:val="baseline"/>
        </w:rPr>
        <w:t> </w:t>
      </w:r>
      <w:r>
        <w:rPr>
          <w:vertAlign w:val="baseline"/>
        </w:rPr>
        <w:t>but before December 17, 2009, when it is replaced by art.14 of the Rome I Regulation. </w:t>
      </w:r>
      <w:r>
        <w:rPr>
          <w:color w:val="005DA1"/>
          <w:u w:val="single" w:color="005DA1"/>
          <w:vertAlign w:val="superscript"/>
        </w:rPr>
        <w:t>599</w:t>
      </w:r>
    </w:p>
    <w:p>
      <w:pPr>
        <w:pStyle w:val="BodyText"/>
      </w:pPr>
    </w:p>
    <w:p>
      <w:pPr>
        <w:pStyle w:val="BodyText"/>
        <w:spacing w:before="37"/>
      </w:pPr>
    </w:p>
    <w:p>
      <w:pPr>
        <w:spacing w:before="0"/>
        <w:ind w:left="165" w:right="0" w:firstLine="0"/>
        <w:jc w:val="left"/>
        <w:rPr>
          <w:rFonts w:ascii="Arial"/>
          <w:b/>
          <w:sz w:val="18"/>
        </w:rPr>
      </w:pPr>
      <w:r>
        <w:rPr>
          <w:rFonts w:ascii="Arial"/>
          <w:b/>
          <w:sz w:val="18"/>
        </w:rPr>
        <w:t>Assignor and </w:t>
      </w:r>
      <w:r>
        <w:rPr>
          <w:rFonts w:ascii="Arial"/>
          <w:b/>
          <w:spacing w:val="-2"/>
          <w:sz w:val="18"/>
        </w:rPr>
        <w:t>assignee</w:t>
      </w:r>
    </w:p>
    <w:p>
      <w:pPr>
        <w:pStyle w:val="BodyText"/>
        <w:spacing w:before="42"/>
        <w:rPr>
          <w:rFonts w:ascii="Arial"/>
          <w:b/>
          <w:sz w:val="18"/>
        </w:rPr>
      </w:pPr>
    </w:p>
    <w:p>
      <w:pPr>
        <w:pStyle w:val="Heading2"/>
      </w:pPr>
      <w:r>
        <w:rPr/>
        <w:t>30-</w:t>
      </w:r>
      <w:r>
        <w:rPr>
          <w:spacing w:val="-5"/>
        </w:rPr>
        <w:t>123</w:t>
      </w:r>
    </w:p>
    <w:p>
      <w:pPr>
        <w:pStyle w:val="BodyText"/>
        <w:rPr>
          <w:rFonts w:ascii="Arial"/>
          <w:b/>
          <w:sz w:val="24"/>
        </w:rPr>
      </w:pPr>
    </w:p>
    <w:p>
      <w:pPr>
        <w:pStyle w:val="BodyText"/>
        <w:spacing w:before="237"/>
        <w:rPr>
          <w:rFonts w:ascii="Arial"/>
          <w:b/>
          <w:sz w:val="24"/>
        </w:rPr>
      </w:pPr>
    </w:p>
    <w:p>
      <w:pPr>
        <w:pStyle w:val="BodyText"/>
        <w:spacing w:line="235" w:lineRule="auto"/>
        <w:ind w:left="1245" w:right="167"/>
        <w:jc w:val="both"/>
      </w:pPr>
      <w:r>
        <w:rPr/>
        <w:t>“The mutual obligations of assignor and assignee under a voluntary assignment of a right </w:t>
      </w:r>
      <w:bookmarkStart w:name="_bookmark1136" w:id="1138"/>
      <w:bookmarkEnd w:id="1138"/>
      <w:r>
        <w:rPr/>
        <w:t>against</w:t>
      </w:r>
      <w:r>
        <w:rPr/>
        <w:t> another person (‘the debtor’) are governed by the law which applies to the contract between assignor and assignee.” </w:t>
      </w:r>
      <w:r>
        <w:rPr>
          <w:color w:val="005DA1"/>
          <w:u w:val="single" w:color="005DA1"/>
          <w:vertAlign w:val="superscript"/>
        </w:rPr>
        <w:t>600</w:t>
      </w:r>
    </w:p>
    <w:p>
      <w:pPr>
        <w:pStyle w:val="BodyText"/>
        <w:spacing w:before="116"/>
      </w:pPr>
    </w:p>
    <w:p>
      <w:pPr>
        <w:pStyle w:val="BodyText"/>
        <w:spacing w:line="235" w:lineRule="auto"/>
        <w:ind w:left="165" w:right="167"/>
        <w:jc w:val="both"/>
      </w:pPr>
      <w:r>
        <w:rPr/>
        <w:t>Although the reference to “voluntary assignment” in this provision is not expressly limited to contractual assignments, the fact that the applicable law is that of the “contract between assignor </w:t>
      </w:r>
      <w:r>
        <w:rPr/>
        <w:t>and assignee” indicates that only contractual voluntary assignments are within art.12. The law applicable </w:t>
      </w:r>
      <w:bookmarkStart w:name="_bookmark1137" w:id="1139"/>
      <w:bookmarkEnd w:id="1139"/>
      <w:r>
        <w:rPr/>
        <w:t>to</w:t>
      </w:r>
      <w:r>
        <w:rPr/>
        <w:t> the contract between assignor and assignee will be determined according to the rules of the Convention discussed earlier in this chapter. </w:t>
      </w:r>
      <w:r>
        <w:rPr>
          <w:color w:val="005DA1"/>
          <w:u w:val="single" w:color="005DA1"/>
          <w:vertAlign w:val="superscript"/>
        </w:rPr>
        <w:t>601</w:t>
      </w:r>
    </w:p>
    <w:p>
      <w:pPr>
        <w:pStyle w:val="BodyText"/>
      </w:pPr>
    </w:p>
    <w:p>
      <w:pPr>
        <w:pStyle w:val="BodyText"/>
        <w:spacing w:before="36"/>
      </w:pPr>
    </w:p>
    <w:p>
      <w:pPr>
        <w:spacing w:before="1"/>
        <w:ind w:left="165" w:right="0" w:firstLine="0"/>
        <w:jc w:val="left"/>
        <w:rPr>
          <w:rFonts w:ascii="Arial"/>
          <w:b/>
          <w:sz w:val="18"/>
        </w:rPr>
      </w:pPr>
      <w:r>
        <w:rPr>
          <w:rFonts w:ascii="Arial"/>
          <w:b/>
          <w:sz w:val="18"/>
        </w:rPr>
        <w:t>Assignability, </w:t>
      </w:r>
      <w:r>
        <w:rPr>
          <w:rFonts w:ascii="Arial"/>
          <w:b/>
          <w:spacing w:val="-5"/>
          <w:sz w:val="18"/>
        </w:rPr>
        <w:t>etc</w:t>
      </w:r>
    </w:p>
    <w:p>
      <w:pPr>
        <w:pStyle w:val="BodyText"/>
        <w:spacing w:before="41"/>
        <w:rPr>
          <w:rFonts w:ascii="Arial"/>
          <w:b/>
          <w:sz w:val="18"/>
        </w:rPr>
      </w:pPr>
    </w:p>
    <w:p>
      <w:pPr>
        <w:pStyle w:val="Heading2"/>
      </w:pPr>
      <w:r>
        <w:rPr/>
        <w:t>30-</w:t>
      </w:r>
      <w:r>
        <w:rPr>
          <w:spacing w:val="-5"/>
        </w:rPr>
        <w:t>124</w:t>
      </w:r>
    </w:p>
    <w:p>
      <w:pPr>
        <w:pStyle w:val="BodyText"/>
        <w:spacing w:before="199"/>
        <w:ind w:left="165"/>
        <w:jc w:val="both"/>
      </w:pPr>
      <w:r>
        <w:rPr/>
        <w:t>Article 12(2) provides </w:t>
      </w:r>
      <w:r>
        <w:rPr>
          <w:spacing w:val="-2"/>
        </w:rPr>
        <w:t>that:</w:t>
      </w:r>
    </w:p>
    <w:p>
      <w:pPr>
        <w:pStyle w:val="BodyText"/>
      </w:pPr>
    </w:p>
    <w:p>
      <w:pPr>
        <w:pStyle w:val="BodyText"/>
        <w:spacing w:before="125"/>
      </w:pPr>
    </w:p>
    <w:p>
      <w:pPr>
        <w:pStyle w:val="BodyText"/>
        <w:spacing w:line="235" w:lineRule="auto"/>
        <w:ind w:left="1245" w:right="167"/>
        <w:jc w:val="both"/>
      </w:pPr>
      <w:r>
        <w:rPr/>
        <w:t>“The law governing the right to which the assignment relates determines its </w:t>
      </w:r>
      <w:r>
        <w:rPr/>
        <w:t>assignability, the relationship between the assignee and the debtor, the conditions under which the </w:t>
      </w:r>
      <w:bookmarkStart w:name="_bookmark1138" w:id="1140"/>
      <w:bookmarkEnd w:id="1140"/>
      <w:r>
        <w:rPr/>
        <w:t>assignment</w:t>
      </w:r>
      <w:r>
        <w:rPr/>
        <w:t> can be invoked against the debtor and any question whether the debtor’s obligations have been discharged.” </w:t>
      </w:r>
      <w:r>
        <w:rPr>
          <w:color w:val="005DA1"/>
          <w:u w:val="single" w:color="005DA1"/>
          <w:vertAlign w:val="superscript"/>
        </w:rPr>
        <w:t>602</w:t>
      </w:r>
    </w:p>
    <w:p>
      <w:pPr>
        <w:pStyle w:val="BodyText"/>
        <w:spacing w:before="115"/>
      </w:pPr>
    </w:p>
    <w:p>
      <w:pPr>
        <w:pStyle w:val="BodyText"/>
        <w:spacing w:line="235" w:lineRule="auto" w:before="1"/>
        <w:ind w:left="165" w:right="167"/>
        <w:jc w:val="both"/>
      </w:pPr>
      <w:bookmarkStart w:name="_bookmark1139" w:id="1141"/>
      <w:bookmarkEnd w:id="1141"/>
      <w:r>
        <w:rPr/>
      </w:r>
      <w:r>
        <w:rPr/>
        <w:t>Accordingly, whether a right (which need not be of a contractual nature) is capable of being assigned will</w:t>
      </w:r>
      <w:r>
        <w:rPr>
          <w:spacing w:val="23"/>
        </w:rPr>
        <w:t> </w:t>
      </w:r>
      <w:r>
        <w:rPr/>
        <w:t>be</w:t>
      </w:r>
      <w:r>
        <w:rPr>
          <w:spacing w:val="24"/>
        </w:rPr>
        <w:t> </w:t>
      </w:r>
      <w:r>
        <w:rPr/>
        <w:t>determined</w:t>
      </w:r>
      <w:r>
        <w:rPr>
          <w:spacing w:val="24"/>
        </w:rPr>
        <w:t> </w:t>
      </w:r>
      <w:r>
        <w:rPr/>
        <w:t>by</w:t>
      </w:r>
      <w:r>
        <w:rPr>
          <w:spacing w:val="24"/>
        </w:rPr>
        <w:t> </w:t>
      </w:r>
      <w:r>
        <w:rPr/>
        <w:t>the</w:t>
      </w:r>
      <w:r>
        <w:rPr>
          <w:spacing w:val="24"/>
        </w:rPr>
        <w:t> </w:t>
      </w:r>
      <w:r>
        <w:rPr/>
        <w:t>law</w:t>
      </w:r>
      <w:r>
        <w:rPr>
          <w:spacing w:val="24"/>
        </w:rPr>
        <w:t> </w:t>
      </w:r>
      <w:r>
        <w:rPr/>
        <w:t>which</w:t>
      </w:r>
      <w:r>
        <w:rPr>
          <w:spacing w:val="24"/>
        </w:rPr>
        <w:t> </w:t>
      </w:r>
      <w:r>
        <w:rPr/>
        <w:t>creates</w:t>
      </w:r>
      <w:r>
        <w:rPr>
          <w:spacing w:val="24"/>
        </w:rPr>
        <w:t> </w:t>
      </w:r>
      <w:r>
        <w:rPr/>
        <w:t>the</w:t>
      </w:r>
      <w:r>
        <w:rPr>
          <w:spacing w:val="24"/>
        </w:rPr>
        <w:t> </w:t>
      </w:r>
      <w:r>
        <w:rPr/>
        <w:t>right.</w:t>
      </w:r>
      <w:r>
        <w:rPr>
          <w:spacing w:val="23"/>
        </w:rPr>
        <w:t> </w:t>
      </w:r>
      <w:r>
        <w:rPr>
          <w:color w:val="005DA1"/>
          <w:u w:val="single" w:color="005DA1"/>
          <w:vertAlign w:val="superscript"/>
        </w:rPr>
        <w:t>603</w:t>
      </w:r>
      <w:r>
        <w:rPr>
          <w:color w:val="005DA1"/>
          <w:spacing w:val="24"/>
          <w:vertAlign w:val="baseline"/>
        </w:rPr>
        <w:t> </w:t>
      </w:r>
      <w:r>
        <w:rPr>
          <w:vertAlign w:val="baseline"/>
        </w:rPr>
        <w:t>That</w:t>
      </w:r>
      <w:r>
        <w:rPr>
          <w:spacing w:val="24"/>
          <w:vertAlign w:val="baseline"/>
        </w:rPr>
        <w:t> </w:t>
      </w:r>
      <w:r>
        <w:rPr>
          <w:vertAlign w:val="baseline"/>
        </w:rPr>
        <w:t>law</w:t>
      </w:r>
      <w:r>
        <w:rPr>
          <w:spacing w:val="24"/>
          <w:vertAlign w:val="baseline"/>
        </w:rPr>
        <w:t> </w:t>
      </w:r>
      <w:r>
        <w:rPr>
          <w:vertAlign w:val="baseline"/>
        </w:rPr>
        <w:t>will</w:t>
      </w:r>
      <w:r>
        <w:rPr>
          <w:spacing w:val="24"/>
          <w:vertAlign w:val="baseline"/>
        </w:rPr>
        <w:t> </w:t>
      </w:r>
      <w:r>
        <w:rPr>
          <w:vertAlign w:val="baseline"/>
        </w:rPr>
        <w:t>also</w:t>
      </w:r>
      <w:r>
        <w:rPr>
          <w:spacing w:val="24"/>
          <w:vertAlign w:val="baseline"/>
        </w:rPr>
        <w:t> </w:t>
      </w:r>
      <w:r>
        <w:rPr>
          <w:vertAlign w:val="baseline"/>
        </w:rPr>
        <w:t>govern</w:t>
      </w:r>
      <w:r>
        <w:rPr>
          <w:spacing w:val="24"/>
          <w:vertAlign w:val="baseline"/>
        </w:rPr>
        <w:t> </w:t>
      </w:r>
      <w:r>
        <w:rPr>
          <w:vertAlign w:val="baseline"/>
        </w:rPr>
        <w:t>the</w:t>
      </w:r>
      <w:r>
        <w:rPr>
          <w:spacing w:val="24"/>
          <w:vertAlign w:val="baseline"/>
        </w:rPr>
        <w:t> </w:t>
      </w:r>
      <w:r>
        <w:rPr>
          <w:spacing w:val="-2"/>
          <w:vertAlign w:val="baseline"/>
        </w:rPr>
        <w:t>relationship</w:t>
      </w:r>
    </w:p>
    <w:p>
      <w:pPr>
        <w:pStyle w:val="BodyText"/>
        <w:spacing w:after="0" w:line="235" w:lineRule="auto"/>
        <w:jc w:val="both"/>
        <w:sectPr>
          <w:headerReference w:type="default" r:id="rId15"/>
          <w:pgSz w:w="11900" w:h="16840"/>
          <w:pgMar w:header="971" w:footer="0" w:top="1300" w:bottom="280" w:left="1275" w:right="1275"/>
          <w:pgNumType w:start="1"/>
        </w:sectPr>
      </w:pPr>
    </w:p>
    <w:p>
      <w:pPr>
        <w:pStyle w:val="BodyText"/>
        <w:spacing w:line="235" w:lineRule="auto" w:before="110"/>
        <w:ind w:left="165" w:right="167"/>
        <w:jc w:val="both"/>
      </w:pPr>
      <w:bookmarkStart w:name="_bookmark1140" w:id="1142"/>
      <w:bookmarkEnd w:id="1142"/>
      <w:r>
        <w:rPr/>
      </w:r>
      <w:r>
        <w:rPr/>
        <w:t>between assignee and debtor. </w:t>
      </w:r>
      <w:r>
        <w:rPr>
          <w:color w:val="005DA1"/>
          <w:u w:val="single" w:color="005DA1"/>
          <w:vertAlign w:val="superscript"/>
        </w:rPr>
        <w:t>604</w:t>
      </w:r>
      <w:r>
        <w:rPr>
          <w:color w:val="005DA1"/>
          <w:vertAlign w:val="baseline"/>
        </w:rPr>
        <w:t> </w:t>
      </w:r>
      <w:r>
        <w:rPr>
          <w:vertAlign w:val="baseline"/>
        </w:rPr>
        <w:t>Since that law also governs the conditions under which the assignment can be invoked against the debtor and any question of whether the debtor’s </w:t>
      </w:r>
      <w:r>
        <w:rPr>
          <w:vertAlign w:val="baseline"/>
        </w:rPr>
        <w:t>obligations </w:t>
      </w:r>
      <w:bookmarkStart w:name="_bookmark1141" w:id="1143"/>
      <w:bookmarkEnd w:id="1143"/>
      <w:r>
        <w:rPr>
          <w:vertAlign w:val="baseline"/>
        </w:rPr>
        <w:t>have</w:t>
      </w:r>
      <w:r>
        <w:rPr>
          <w:vertAlign w:val="baseline"/>
        </w:rPr>
        <w:t> been discharged, it will determine questions of priorities as between competing valid assignments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debt</w:t>
      </w:r>
      <w:r>
        <w:rPr>
          <w:spacing w:val="-1"/>
          <w:vertAlign w:val="baseline"/>
        </w:rPr>
        <w:t> </w:t>
      </w:r>
      <w:r>
        <w:rPr>
          <w:vertAlign w:val="baseline"/>
        </w:rPr>
        <w:t>(e.g.</w:t>
      </w:r>
      <w:r>
        <w:rPr>
          <w:spacing w:val="-1"/>
          <w:vertAlign w:val="baseline"/>
        </w:rPr>
        <w:t> </w:t>
      </w:r>
      <w:r>
        <w:rPr>
          <w:vertAlign w:val="baseline"/>
        </w:rPr>
        <w:t>whether</w:t>
      </w:r>
      <w:r>
        <w:rPr>
          <w:spacing w:val="-1"/>
          <w:vertAlign w:val="baseline"/>
        </w:rPr>
        <w:t> </w:t>
      </w:r>
      <w:r>
        <w:rPr>
          <w:vertAlign w:val="baseline"/>
        </w:rPr>
        <w:t>notice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assignment</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given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debtor).</w:t>
      </w:r>
      <w:r>
        <w:rPr>
          <w:spacing w:val="-2"/>
          <w:vertAlign w:val="baseline"/>
        </w:rPr>
        <w:t> </w:t>
      </w:r>
      <w:r>
        <w:rPr>
          <w:color w:val="005DA1"/>
          <w:u w:val="single" w:color="005DA1"/>
          <w:vertAlign w:val="superscript"/>
        </w:rPr>
        <w:t>605</w:t>
      </w:r>
    </w:p>
    <w:p>
      <w:pPr>
        <w:pStyle w:val="BodyText"/>
      </w:pPr>
    </w:p>
    <w:p>
      <w:pPr>
        <w:pStyle w:val="BodyText"/>
        <w:spacing w:before="37"/>
      </w:pPr>
    </w:p>
    <w:p>
      <w:pPr>
        <w:spacing w:before="0"/>
        <w:ind w:left="165" w:right="0" w:firstLine="0"/>
        <w:jc w:val="both"/>
        <w:rPr>
          <w:rFonts w:ascii="Arial"/>
          <w:b/>
          <w:sz w:val="18"/>
        </w:rPr>
      </w:pPr>
      <w:r>
        <w:rPr>
          <w:rFonts w:ascii="Arial"/>
          <w:b/>
          <w:sz w:val="18"/>
        </w:rPr>
        <w:t>Contract and </w:t>
      </w:r>
      <w:r>
        <w:rPr>
          <w:rFonts w:ascii="Arial"/>
          <w:b/>
          <w:spacing w:val="-2"/>
          <w:sz w:val="18"/>
        </w:rPr>
        <w:t>property</w:t>
      </w:r>
    </w:p>
    <w:p>
      <w:pPr>
        <w:pStyle w:val="BodyText"/>
        <w:spacing w:before="42"/>
        <w:rPr>
          <w:rFonts w:ascii="Arial"/>
          <w:b/>
          <w:sz w:val="18"/>
        </w:rPr>
      </w:pPr>
    </w:p>
    <w:p>
      <w:pPr>
        <w:pStyle w:val="Heading2"/>
      </w:pPr>
      <w:r>
        <w:rPr/>
        <w:t>30-</w:t>
      </w:r>
      <w:r>
        <w:rPr>
          <w:spacing w:val="-5"/>
        </w:rPr>
        <w:t>125</w:t>
      </w:r>
    </w:p>
    <w:p>
      <w:pPr>
        <w:pStyle w:val="BodyText"/>
        <w:spacing w:line="235" w:lineRule="auto" w:before="202"/>
        <w:ind w:left="164" w:right="167"/>
        <w:jc w:val="both"/>
      </w:pPr>
      <w:bookmarkStart w:name="_bookmark1142" w:id="1144"/>
      <w:bookmarkEnd w:id="1144"/>
      <w:r>
        <w:rPr/>
      </w:r>
      <w:r>
        <w:rPr/>
        <w:t>There is some controversy as to whether art.12 is applicable to the proprietary as well as </w:t>
      </w:r>
      <w:r>
        <w:rPr/>
        <w:t>the </w:t>
      </w:r>
      <w:bookmarkStart w:name="_bookmark1143" w:id="1145"/>
      <w:bookmarkEnd w:id="1145"/>
      <w:r>
        <w:rPr/>
        <w:t>contractual</w:t>
      </w:r>
      <w:r>
        <w:rPr/>
        <w:t> effects of an assignment. </w:t>
      </w:r>
      <w:r>
        <w:rPr>
          <w:color w:val="005DA1"/>
          <w:u w:val="single" w:color="005DA1"/>
          <w:vertAlign w:val="superscript"/>
        </w:rPr>
        <w:t>606</w:t>
      </w:r>
      <w:r>
        <w:rPr>
          <w:color w:val="005DA1"/>
          <w:vertAlign w:val="baseline"/>
        </w:rPr>
        <w:t> </w:t>
      </w:r>
      <w:r>
        <w:rPr>
          <w:vertAlign w:val="baseline"/>
        </w:rPr>
        <w:t>The issue received some consideration in </w:t>
      </w:r>
      <w:r>
        <w:rPr>
          <w:rFonts w:ascii="Arial" w:hAnsi="Arial"/>
          <w:i/>
          <w:vertAlign w:val="baseline"/>
        </w:rPr>
        <w:t>Raiffeisen Zentralbank</w:t>
      </w:r>
      <w:r>
        <w:rPr>
          <w:rFonts w:ascii="Arial" w:hAnsi="Arial"/>
          <w:i/>
          <w:spacing w:val="-2"/>
          <w:vertAlign w:val="baseline"/>
        </w:rPr>
        <w:t> </w:t>
      </w:r>
      <w:r>
        <w:rPr>
          <w:rFonts w:ascii="Arial" w:hAnsi="Arial"/>
          <w:i/>
          <w:vertAlign w:val="baseline"/>
        </w:rPr>
        <w:t>Osterreich</w:t>
      </w:r>
      <w:r>
        <w:rPr>
          <w:rFonts w:ascii="Arial" w:hAnsi="Arial"/>
          <w:i/>
          <w:spacing w:val="-2"/>
          <w:vertAlign w:val="baseline"/>
        </w:rPr>
        <w:t> </w:t>
      </w:r>
      <w:r>
        <w:rPr>
          <w:rFonts w:ascii="Arial" w:hAnsi="Arial"/>
          <w:i/>
          <w:vertAlign w:val="baseline"/>
        </w:rPr>
        <w:t>AG</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Five</w:t>
      </w:r>
      <w:r>
        <w:rPr>
          <w:rFonts w:ascii="Arial" w:hAnsi="Arial"/>
          <w:i/>
          <w:spacing w:val="-2"/>
          <w:vertAlign w:val="baseline"/>
        </w:rPr>
        <w:t> </w:t>
      </w:r>
      <w:r>
        <w:rPr>
          <w:rFonts w:ascii="Arial" w:hAnsi="Arial"/>
          <w:i/>
          <w:vertAlign w:val="baseline"/>
        </w:rPr>
        <w:t>Star</w:t>
      </w:r>
      <w:r>
        <w:rPr>
          <w:rFonts w:ascii="Arial" w:hAnsi="Arial"/>
          <w:i/>
          <w:spacing w:val="-2"/>
          <w:vertAlign w:val="baseline"/>
        </w:rPr>
        <w:t> </w:t>
      </w:r>
      <w:r>
        <w:rPr>
          <w:rFonts w:ascii="Arial" w:hAnsi="Arial"/>
          <w:i/>
          <w:vertAlign w:val="baseline"/>
        </w:rPr>
        <w:t>General</w:t>
      </w:r>
      <w:r>
        <w:rPr>
          <w:rFonts w:ascii="Arial" w:hAnsi="Arial"/>
          <w:i/>
          <w:spacing w:val="-2"/>
          <w:vertAlign w:val="baseline"/>
        </w:rPr>
        <w:t> </w:t>
      </w:r>
      <w:r>
        <w:rPr>
          <w:rFonts w:ascii="Arial" w:hAnsi="Arial"/>
          <w:i/>
          <w:vertAlign w:val="baseline"/>
        </w:rPr>
        <w:t>Trading</w:t>
      </w:r>
      <w:r>
        <w:rPr>
          <w:rFonts w:ascii="Arial" w:hAnsi="Arial"/>
          <w:i/>
          <w:spacing w:val="-2"/>
          <w:vertAlign w:val="baseline"/>
        </w:rPr>
        <w:t> </w:t>
      </w:r>
      <w:r>
        <w:rPr>
          <w:rFonts w:ascii="Arial" w:hAnsi="Arial"/>
          <w:i/>
          <w:vertAlign w:val="baseline"/>
        </w:rPr>
        <w:t>LLC</w:t>
      </w:r>
      <w:r>
        <w:rPr>
          <w:vertAlign w:val="baseline"/>
        </w:rPr>
        <w:t>.</w:t>
      </w:r>
      <w:r>
        <w:rPr>
          <w:spacing w:val="-2"/>
          <w:vertAlign w:val="baseline"/>
        </w:rPr>
        <w:t> </w:t>
      </w:r>
      <w:r>
        <w:rPr>
          <w:color w:val="005DA1"/>
          <w:u w:val="single" w:color="005DA1"/>
          <w:vertAlign w:val="superscript"/>
        </w:rPr>
        <w:t>607</w:t>
      </w:r>
      <w:r>
        <w:rPr>
          <w:color w:val="005DA1"/>
          <w:spacing w:val="-2"/>
          <w:vertAlign w:val="baseline"/>
        </w:rPr>
        <w:t> </w:t>
      </w:r>
      <w:r>
        <w:rPr>
          <w:vertAlign w:val="baseline"/>
        </w:rPr>
        <w:t>A</w:t>
      </w:r>
      <w:r>
        <w:rPr>
          <w:spacing w:val="-2"/>
          <w:vertAlign w:val="baseline"/>
        </w:rPr>
        <w:t> </w:t>
      </w:r>
      <w:r>
        <w:rPr>
          <w:vertAlign w:val="baseline"/>
        </w:rPr>
        <w:t>bank</w:t>
      </w:r>
      <w:r>
        <w:rPr>
          <w:spacing w:val="-2"/>
          <w:vertAlign w:val="baseline"/>
        </w:rPr>
        <w:t> </w:t>
      </w:r>
      <w:r>
        <w:rPr>
          <w:vertAlign w:val="baseline"/>
        </w:rPr>
        <w:t>had</w:t>
      </w:r>
      <w:r>
        <w:rPr>
          <w:spacing w:val="-2"/>
          <w:vertAlign w:val="baseline"/>
        </w:rPr>
        <w:t> </w:t>
      </w:r>
      <w:r>
        <w:rPr>
          <w:vertAlign w:val="baseline"/>
        </w:rPr>
        <w:t>taken</w:t>
      </w:r>
      <w:r>
        <w:rPr>
          <w:spacing w:val="-2"/>
          <w:vertAlign w:val="baseline"/>
        </w:rPr>
        <w:t> </w:t>
      </w:r>
      <w:r>
        <w:rPr>
          <w:vertAlign w:val="baseline"/>
        </w:rPr>
        <w:t>an</w:t>
      </w:r>
      <w:r>
        <w:rPr>
          <w:spacing w:val="-2"/>
          <w:vertAlign w:val="baseline"/>
        </w:rPr>
        <w:t> </w:t>
      </w:r>
      <w:r>
        <w:rPr>
          <w:vertAlign w:val="baseline"/>
        </w:rPr>
        <w:t>assignment</w:t>
      </w:r>
      <w:r>
        <w:rPr>
          <w:spacing w:val="-2"/>
          <w:vertAlign w:val="baseline"/>
        </w:rPr>
        <w:t> </w:t>
      </w:r>
      <w:r>
        <w:rPr>
          <w:vertAlign w:val="baseline"/>
        </w:rPr>
        <w:t>of</w:t>
      </w:r>
      <w:r>
        <w:rPr>
          <w:spacing w:val="-2"/>
          <w:vertAlign w:val="baseline"/>
        </w:rPr>
        <w:t> </w:t>
      </w:r>
      <w:r>
        <w:rPr>
          <w:vertAlign w:val="baseline"/>
        </w:rPr>
        <w:t>a policy</w:t>
      </w:r>
      <w:r>
        <w:rPr>
          <w:spacing w:val="-1"/>
          <w:vertAlign w:val="baseline"/>
        </w:rPr>
        <w:t> </w:t>
      </w:r>
      <w:r>
        <w:rPr>
          <w:vertAlign w:val="baseline"/>
        </w:rPr>
        <w:t>of</w:t>
      </w:r>
      <w:r>
        <w:rPr>
          <w:spacing w:val="-1"/>
          <w:vertAlign w:val="baseline"/>
        </w:rPr>
        <w:t> </w:t>
      </w:r>
      <w:r>
        <w:rPr>
          <w:vertAlign w:val="baseline"/>
        </w:rPr>
        <w:t>marine</w:t>
      </w:r>
      <w:r>
        <w:rPr>
          <w:spacing w:val="-1"/>
          <w:vertAlign w:val="baseline"/>
        </w:rPr>
        <w:t> </w:t>
      </w:r>
      <w:r>
        <w:rPr>
          <w:vertAlign w:val="baseline"/>
        </w:rPr>
        <w:t>insurance,</w:t>
      </w:r>
      <w:r>
        <w:rPr>
          <w:spacing w:val="-1"/>
          <w:vertAlign w:val="baseline"/>
        </w:rPr>
        <w:t> </w:t>
      </w:r>
      <w:r>
        <w:rPr>
          <w:vertAlign w:val="baseline"/>
        </w:rPr>
        <w:t>issued</w:t>
      </w:r>
      <w:r>
        <w:rPr>
          <w:spacing w:val="-1"/>
          <w:vertAlign w:val="baseline"/>
        </w:rPr>
        <w:t> </w:t>
      </w:r>
      <w:r>
        <w:rPr>
          <w:vertAlign w:val="baseline"/>
        </w:rPr>
        <w:t>by</w:t>
      </w:r>
      <w:r>
        <w:rPr>
          <w:spacing w:val="-1"/>
          <w:vertAlign w:val="baseline"/>
        </w:rPr>
        <w:t> </w:t>
      </w:r>
      <w:r>
        <w:rPr>
          <w:vertAlign w:val="baseline"/>
        </w:rPr>
        <w:t>French</w:t>
      </w:r>
      <w:r>
        <w:rPr>
          <w:spacing w:val="-1"/>
          <w:vertAlign w:val="baseline"/>
        </w:rPr>
        <w:t> </w:t>
      </w:r>
      <w:r>
        <w:rPr>
          <w:vertAlign w:val="baseline"/>
        </w:rPr>
        <w:t>insurers</w:t>
      </w:r>
      <w:r>
        <w:rPr>
          <w:spacing w:val="-1"/>
          <w:vertAlign w:val="baseline"/>
        </w:rPr>
        <w:t> </w:t>
      </w:r>
      <w:r>
        <w:rPr>
          <w:vertAlign w:val="baseline"/>
        </w:rPr>
        <w:t>but</w:t>
      </w:r>
      <w:r>
        <w:rPr>
          <w:spacing w:val="-1"/>
          <w:vertAlign w:val="baseline"/>
        </w:rPr>
        <w:t> </w:t>
      </w:r>
      <w:r>
        <w:rPr>
          <w:vertAlign w:val="baseline"/>
        </w:rPr>
        <w:t>governed</w:t>
      </w:r>
      <w:r>
        <w:rPr>
          <w:spacing w:val="-1"/>
          <w:vertAlign w:val="baseline"/>
        </w:rPr>
        <w:t> </w:t>
      </w:r>
      <w:r>
        <w:rPr>
          <w:vertAlign w:val="baseline"/>
        </w:rPr>
        <w:t>by</w:t>
      </w:r>
      <w:r>
        <w:rPr>
          <w:spacing w:val="-1"/>
          <w:vertAlign w:val="baseline"/>
        </w:rPr>
        <w:t> </w:t>
      </w:r>
      <w:r>
        <w:rPr>
          <w:vertAlign w:val="baseline"/>
        </w:rPr>
        <w:t>English</w:t>
      </w:r>
      <w:r>
        <w:rPr>
          <w:spacing w:val="-1"/>
          <w:vertAlign w:val="baseline"/>
        </w:rPr>
        <w:t> </w:t>
      </w:r>
      <w:r>
        <w:rPr>
          <w:vertAlign w:val="baseline"/>
        </w:rPr>
        <w:t>law,</w:t>
      </w:r>
      <w:r>
        <w:rPr>
          <w:spacing w:val="-1"/>
          <w:vertAlign w:val="baseline"/>
        </w:rPr>
        <w:t> </w:t>
      </w:r>
      <w:r>
        <w:rPr>
          <w:vertAlign w:val="baseline"/>
        </w:rPr>
        <w:t>from</w:t>
      </w:r>
      <w:r>
        <w:rPr>
          <w:spacing w:val="-1"/>
          <w:vertAlign w:val="baseline"/>
        </w:rPr>
        <w:t> </w:t>
      </w:r>
      <w:r>
        <w:rPr>
          <w:vertAlign w:val="baseline"/>
        </w:rPr>
        <w:t>a</w:t>
      </w:r>
      <w:r>
        <w:rPr>
          <w:spacing w:val="-1"/>
          <w:vertAlign w:val="baseline"/>
        </w:rPr>
        <w:t> </w:t>
      </w:r>
      <w:r>
        <w:rPr>
          <w:vertAlign w:val="baseline"/>
        </w:rPr>
        <w:t>shipowner, as part of an arrangement whereby the bank lent money to the shipowner to assist in the purchase of a ship. The ship was lost and the bank sought to recover the insurance moneys from the insurers in proceedings to which the shipowner and cargo owner were parties, by invoking the assignment. The bank argued, on the basis of art.12(2) of the Rome Convention, that English law determined whether the assignment could be so invoked since English law governed the policy and was thus the law governing the right to which the assignment related, which under art.12(2) was the law which determined</w:t>
      </w:r>
      <w:r>
        <w:rPr>
          <w:spacing w:val="-2"/>
          <w:vertAlign w:val="baseline"/>
        </w:rPr>
        <w:t> </w:t>
      </w:r>
      <w:r>
        <w:rPr>
          <w:vertAlign w:val="baseline"/>
        </w:rPr>
        <w:t>the</w:t>
      </w:r>
      <w:r>
        <w:rPr>
          <w:spacing w:val="-2"/>
          <w:vertAlign w:val="baseline"/>
        </w:rPr>
        <w:t> </w:t>
      </w:r>
      <w:r>
        <w:rPr>
          <w:vertAlign w:val="baseline"/>
        </w:rPr>
        <w:t>conditions</w:t>
      </w:r>
      <w:r>
        <w:rPr>
          <w:spacing w:val="-2"/>
          <w:vertAlign w:val="baseline"/>
        </w:rPr>
        <w:t> </w:t>
      </w:r>
      <w:r>
        <w:rPr>
          <w:vertAlign w:val="baseline"/>
        </w:rPr>
        <w:t>under</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assignment</w:t>
      </w:r>
      <w:r>
        <w:rPr>
          <w:spacing w:val="-2"/>
          <w:vertAlign w:val="baseline"/>
        </w:rPr>
        <w:t> </w:t>
      </w:r>
      <w:r>
        <w:rPr>
          <w:vertAlign w:val="baseline"/>
        </w:rPr>
        <w:t>could</w:t>
      </w:r>
      <w:r>
        <w:rPr>
          <w:spacing w:val="-2"/>
          <w:vertAlign w:val="baseline"/>
        </w:rPr>
        <w:t> </w:t>
      </w:r>
      <w:r>
        <w:rPr>
          <w:vertAlign w:val="baseline"/>
        </w:rPr>
        <w:t>be</w:t>
      </w:r>
      <w:r>
        <w:rPr>
          <w:spacing w:val="-2"/>
          <w:vertAlign w:val="baseline"/>
        </w:rPr>
        <w:t> </w:t>
      </w:r>
      <w:r>
        <w:rPr>
          <w:vertAlign w:val="baseline"/>
        </w:rPr>
        <w:t>invoked</w:t>
      </w:r>
      <w:r>
        <w:rPr>
          <w:spacing w:val="-2"/>
          <w:vertAlign w:val="baseline"/>
        </w:rPr>
        <w:t> </w:t>
      </w:r>
      <w:r>
        <w:rPr>
          <w:vertAlign w:val="baseline"/>
        </w:rPr>
        <w:t>against</w:t>
      </w:r>
      <w:r>
        <w:rPr>
          <w:spacing w:val="-2"/>
          <w:vertAlign w:val="baseline"/>
        </w:rPr>
        <w:t> </w:t>
      </w:r>
      <w:r>
        <w:rPr>
          <w:vertAlign w:val="baseline"/>
        </w:rPr>
        <w:t>the</w:t>
      </w:r>
      <w:r>
        <w:rPr>
          <w:spacing w:val="-2"/>
          <w:vertAlign w:val="baseline"/>
        </w:rPr>
        <w:t> </w:t>
      </w:r>
      <w:r>
        <w:rPr>
          <w:vertAlign w:val="baseline"/>
        </w:rPr>
        <w:t>debtor.</w:t>
      </w:r>
      <w:r>
        <w:rPr>
          <w:spacing w:val="-2"/>
          <w:vertAlign w:val="baseline"/>
        </w:rPr>
        <w:t> </w:t>
      </w:r>
      <w:r>
        <w:rPr>
          <w:vertAlign w:val="baseline"/>
        </w:rPr>
        <w:t>Since</w:t>
      </w:r>
      <w:r>
        <w:rPr>
          <w:spacing w:val="-2"/>
          <w:vertAlign w:val="baseline"/>
        </w:rPr>
        <w:t> </w:t>
      </w:r>
      <w:r>
        <w:rPr>
          <w:vertAlign w:val="baseline"/>
        </w:rPr>
        <w:t>the bank had given notice of the assignment to the insurers in accordance with English law, there was, argued the bank, no impediment to its claim. The cargo owners (who had obtained attachment orders in France of the insurance and proceeds) argued that art.12(2) of the Rome Convention had no </w:t>
      </w:r>
      <w:bookmarkStart w:name="_bookmark1144" w:id="1146"/>
      <w:bookmarkEnd w:id="1146"/>
      <w:r>
        <w:rPr>
          <w:vertAlign w:val="baseline"/>
        </w:rPr>
        <w:t>application</w:t>
      </w:r>
      <w:r>
        <w:rPr>
          <w:vertAlign w:val="baseline"/>
        </w:rPr>
        <w:t> since the claim by the bank was proprietary in nature and the Convention only applied to contractual obligations. </w:t>
      </w:r>
      <w:r>
        <w:rPr>
          <w:color w:val="005DA1"/>
          <w:u w:val="single" w:color="005DA1"/>
          <w:vertAlign w:val="superscript"/>
        </w:rPr>
        <w:t>608</w:t>
      </w:r>
      <w:r>
        <w:rPr>
          <w:color w:val="005DA1"/>
          <w:vertAlign w:val="baseline"/>
        </w:rPr>
        <w:t> </w:t>
      </w:r>
      <w:r>
        <w:rPr>
          <w:vertAlign w:val="baseline"/>
        </w:rPr>
        <w:t>The relevant applicable law was thus the lex situs of the right assigned </w:t>
      </w:r>
      <w:r>
        <w:rPr>
          <w:color w:val="005DA1"/>
          <w:u w:val="single" w:color="005DA1"/>
          <w:vertAlign w:val="superscript"/>
        </w:rPr>
        <w:t>609</w:t>
      </w:r>
      <w:r>
        <w:rPr>
          <w:color w:val="005DA1"/>
          <w:vertAlign w:val="baseline"/>
        </w:rPr>
        <w:t> </w:t>
      </w:r>
      <w:r>
        <w:rPr>
          <w:vertAlign w:val="baseline"/>
        </w:rPr>
        <w:t>which in the instant case was French law and under French law the bank could not invoke the assignment against the insurers because it had not complied with a requirement of French law whereby notice of the assignment had to be given through a French bailiff. The Court of Appeal, </w:t>
      </w:r>
      <w:bookmarkStart w:name="_bookmark1145" w:id="1147"/>
      <w:bookmarkEnd w:id="1147"/>
      <w:r>
        <w:rPr>
          <w:vertAlign w:val="baseline"/>
        </w:rPr>
        <w:t>adopting</w:t>
      </w:r>
      <w:r>
        <w:rPr>
          <w:vertAlign w:val="baseline"/>
        </w:rPr>
        <w:t> a broad interpretation of “contract”, took the view that, for the purposes of the Rome Convention, the issue could legitimately be treated as a contractual one. </w:t>
      </w:r>
      <w:r>
        <w:rPr>
          <w:color w:val="005DA1"/>
          <w:u w:val="single" w:color="005DA1"/>
          <w:vertAlign w:val="superscript"/>
        </w:rPr>
        <w:t>610</w:t>
      </w:r>
      <w:r>
        <w:rPr>
          <w:color w:val="005DA1"/>
          <w:vertAlign w:val="baseline"/>
        </w:rPr>
        <w:t> </w:t>
      </w:r>
      <w:r>
        <w:rPr>
          <w:vertAlign w:val="baseline"/>
        </w:rPr>
        <w:t>More particularly,</w:t>
      </w:r>
      <w:r>
        <w:rPr>
          <w:spacing w:val="40"/>
          <w:vertAlign w:val="baseline"/>
        </w:rPr>
        <w:t> </w:t>
      </w:r>
      <w:bookmarkStart w:name="_bookmark1146" w:id="1148"/>
      <w:bookmarkEnd w:id="1148"/>
      <w:r>
        <w:rPr>
          <w:vertAlign w:val="baseline"/>
        </w:rPr>
        <w:t>art.12(2)</w:t>
      </w:r>
      <w:r>
        <w:rPr>
          <w:vertAlign w:val="baseline"/>
        </w:rPr>
        <w:t> “manifests the clear intention to embrace the issue and to state the appropriate law by which it must be determined”. </w:t>
      </w:r>
      <w:r>
        <w:rPr>
          <w:color w:val="005DA1"/>
          <w:u w:val="single" w:color="005DA1"/>
          <w:vertAlign w:val="superscript"/>
        </w:rPr>
        <w:t>611</w:t>
      </w:r>
      <w:r>
        <w:rPr>
          <w:color w:val="005DA1"/>
          <w:vertAlign w:val="baseline"/>
        </w:rPr>
        <w:t> </w:t>
      </w:r>
      <w:r>
        <w:rPr>
          <w:vertAlign w:val="baseline"/>
        </w:rPr>
        <w:t>Reinforcing the propositions set out in the previous paragraph, the court went on to say that by virtue of art.12(2):</w:t>
      </w:r>
    </w:p>
    <w:p>
      <w:pPr>
        <w:pStyle w:val="BodyText"/>
      </w:pPr>
    </w:p>
    <w:p>
      <w:pPr>
        <w:pStyle w:val="BodyText"/>
        <w:spacing w:before="118"/>
      </w:pPr>
    </w:p>
    <w:p>
      <w:pPr>
        <w:pStyle w:val="BodyText"/>
        <w:spacing w:line="235" w:lineRule="auto"/>
        <w:ind w:left="1244" w:right="167"/>
        <w:jc w:val="both"/>
      </w:pPr>
      <w:r>
        <w:rPr/>
        <w:t>“… the contract giving rise to the obligation governs not merely its assignability, but also ‘the relationship between the assignee and the debtor’ and ‘the conditions under which </w:t>
      </w:r>
      <w:bookmarkStart w:name="_bookmark1147" w:id="1149"/>
      <w:bookmarkEnd w:id="1149"/>
      <w:r>
        <w:rPr/>
        <w:t>the</w:t>
      </w:r>
      <w:r>
        <w:rPr/>
        <w:t> assignment can be invoked against the debtor’, as well as ‘any question whether the debtor’s obligations have been discharged’.” </w:t>
      </w:r>
      <w:r>
        <w:rPr>
          <w:color w:val="005DA1"/>
          <w:u w:val="single" w:color="005DA1"/>
          <w:vertAlign w:val="superscript"/>
        </w:rPr>
        <w:t>612</w:t>
      </w:r>
    </w:p>
    <w:p>
      <w:pPr>
        <w:pStyle w:val="BodyText"/>
        <w:spacing w:before="111"/>
      </w:pPr>
    </w:p>
    <w:p>
      <w:pPr>
        <w:pStyle w:val="BodyText"/>
        <w:ind w:left="165"/>
        <w:jc w:val="both"/>
      </w:pPr>
      <w:r>
        <w:rPr/>
        <w:t>The </w:t>
      </w:r>
      <w:r>
        <w:rPr>
          <w:spacing w:val="-2"/>
        </w:rPr>
        <w:t>provision:</w:t>
      </w:r>
    </w:p>
    <w:p>
      <w:pPr>
        <w:pStyle w:val="BodyText"/>
      </w:pPr>
    </w:p>
    <w:p>
      <w:pPr>
        <w:pStyle w:val="BodyText"/>
        <w:spacing w:before="126"/>
      </w:pPr>
    </w:p>
    <w:p>
      <w:pPr>
        <w:pStyle w:val="BodyText"/>
        <w:spacing w:line="235" w:lineRule="auto"/>
        <w:ind w:left="1245" w:right="167"/>
        <w:jc w:val="both"/>
      </w:pPr>
      <w:r>
        <w:rPr/>
        <w:t>“… on its face … treats as matters within its scope, and expressly provides for, </w:t>
      </w:r>
      <w:r>
        <w:rPr/>
        <w:t>issues </w:t>
      </w:r>
      <w:bookmarkStart w:name="_bookmark1148" w:id="1150"/>
      <w:bookmarkEnd w:id="1150"/>
      <w:r>
        <w:rPr/>
        <w:t>both</w:t>
      </w:r>
      <w:r>
        <w:rPr/>
        <w:t> as to whether the debtor owes moneys to and must pay the assignee (their ‘relationship’) and under what ‘conditions’, e.g. as regards the giving of notice.” </w:t>
      </w:r>
      <w:r>
        <w:rPr>
          <w:color w:val="005DA1"/>
          <w:u w:val="single" w:color="005DA1"/>
          <w:vertAlign w:val="superscript"/>
        </w:rPr>
        <w:t>613</w:t>
      </w:r>
    </w:p>
    <w:p>
      <w:pPr>
        <w:pStyle w:val="BodyText"/>
        <w:spacing w:before="115"/>
      </w:pPr>
    </w:p>
    <w:p>
      <w:pPr>
        <w:pStyle w:val="BodyText"/>
        <w:spacing w:line="235" w:lineRule="auto" w:before="1"/>
        <w:ind w:left="165" w:right="167"/>
        <w:jc w:val="both"/>
      </w:pPr>
      <w:r>
        <w:rPr/>
        <w:t>Although the question was not considered by the Court of Appeal, the thrust of the decision </w:t>
      </w:r>
      <w:r>
        <w:rPr/>
        <w:t>would make it seem likely, as submitted in the previous paragraph, that the law governing the right assigned </w:t>
      </w:r>
      <w:bookmarkStart w:name="_bookmark1149" w:id="1151"/>
      <w:bookmarkEnd w:id="1151"/>
      <w:r>
        <w:rPr/>
        <w:t>will</w:t>
      </w:r>
      <w:r>
        <w:rPr/>
        <w:t> also, pursuant to art.12(2), decide questions of priorities as between competing voluntary assignments of that right. </w:t>
      </w:r>
      <w:r>
        <w:rPr>
          <w:color w:val="005DA1"/>
          <w:u w:val="single" w:color="005DA1"/>
          <w:vertAlign w:val="superscript"/>
        </w:rPr>
        <w:t>614</w:t>
      </w:r>
    </w:p>
    <w:p>
      <w:pPr>
        <w:pStyle w:val="BodyText"/>
      </w:pPr>
    </w:p>
    <w:p>
      <w:pPr>
        <w:pStyle w:val="BodyText"/>
        <w:spacing w:before="37"/>
      </w:pPr>
    </w:p>
    <w:p>
      <w:pPr>
        <w:spacing w:before="0"/>
        <w:ind w:left="165" w:right="0" w:firstLine="0"/>
        <w:jc w:val="left"/>
        <w:rPr>
          <w:rFonts w:ascii="Arial"/>
          <w:b/>
          <w:sz w:val="18"/>
        </w:rPr>
      </w:pPr>
      <w:bookmarkStart w:name="_bookmark1150" w:id="1152"/>
      <w:bookmarkEnd w:id="1152"/>
      <w:r>
        <w:rPr/>
      </w:r>
      <w:r>
        <w:rPr>
          <w:rFonts w:ascii="Arial"/>
          <w:b/>
          <w:sz w:val="18"/>
        </w:rPr>
        <w:t>Subrogation </w:t>
      </w:r>
      <w:r>
        <w:rPr>
          <w:rFonts w:ascii="Arial"/>
          <w:b/>
          <w:color w:val="005DA1"/>
          <w:spacing w:val="-5"/>
          <w:sz w:val="18"/>
          <w:u w:val="single" w:color="005DA1"/>
          <w:vertAlign w:val="superscript"/>
        </w:rPr>
        <w:t>615</w:t>
      </w:r>
    </w:p>
    <w:p>
      <w:pPr>
        <w:pStyle w:val="BodyText"/>
        <w:spacing w:before="41"/>
        <w:rPr>
          <w:rFonts w:ascii="Arial"/>
          <w:b/>
          <w:sz w:val="18"/>
        </w:rPr>
      </w:pPr>
    </w:p>
    <w:p>
      <w:pPr>
        <w:pStyle w:val="Heading2"/>
      </w:pPr>
      <w:r>
        <w:rPr/>
        <w:t>30-</w:t>
      </w:r>
      <w:r>
        <w:rPr>
          <w:spacing w:val="-5"/>
        </w:rPr>
        <w:t>126</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r>
        <w:rPr/>
        <w:t>Article 13 of the Rome Convention contains a choice of law rule which is expressed to apply </w:t>
      </w:r>
      <w:r>
        <w:rPr/>
        <w:t>to “subrogation”. However, in this context “subrogation” bears a limited meaning: art.13 is concerned </w:t>
      </w:r>
      <w:bookmarkStart w:name="_bookmark1151" w:id="1153"/>
      <w:bookmarkEnd w:id="1153"/>
      <w:r>
        <w:rPr/>
        <w:t>only</w:t>
      </w:r>
      <w:r>
        <w:rPr/>
        <w:t> with cases where a creditor has a claim in </w:t>
      </w:r>
      <w:r>
        <w:rPr>
          <w:rFonts w:ascii="Arial" w:hAnsi="Arial"/>
          <w:i/>
        </w:rPr>
        <w:t>contract </w:t>
      </w:r>
      <w:r>
        <w:rPr/>
        <w:t>against the debtor and a third person “has a duty to satisfy the creditor, or has in fact satisfied the creditor in discharge of that duty”. </w:t>
      </w:r>
      <w:r>
        <w:rPr>
          <w:color w:val="005DA1"/>
          <w:u w:val="single" w:color="005DA1"/>
          <w:vertAlign w:val="superscript"/>
        </w:rPr>
        <w:t>616</w:t>
      </w:r>
      <w:r>
        <w:rPr>
          <w:color w:val="005DA1"/>
          <w:vertAlign w:val="baseline"/>
        </w:rPr>
        <w:t> </w:t>
      </w:r>
      <w:r>
        <w:rPr>
          <w:vertAlign w:val="baseline"/>
        </w:rPr>
        <w:t>Thus the </w:t>
      </w:r>
      <w:bookmarkStart w:name="_bookmark1152" w:id="1154"/>
      <w:bookmarkEnd w:id="1154"/>
      <w:r>
        <w:rPr>
          <w:vertAlign w:val="baseline"/>
        </w:rPr>
        <w:t>provision</w:t>
      </w:r>
      <w:r>
        <w:rPr>
          <w:vertAlign w:val="baseline"/>
        </w:rPr>
        <w:t> extends to a contract of guarantee where the guarantor has paid the creditor and is thus subrogated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latter’s</w:t>
      </w:r>
      <w:r>
        <w:rPr>
          <w:spacing w:val="-1"/>
          <w:vertAlign w:val="baseline"/>
        </w:rPr>
        <w:t> </w:t>
      </w:r>
      <w:r>
        <w:rPr>
          <w:vertAlign w:val="baseline"/>
        </w:rPr>
        <w:t>rights</w:t>
      </w:r>
      <w:r>
        <w:rPr>
          <w:spacing w:val="-1"/>
          <w:vertAlign w:val="baseline"/>
        </w:rPr>
        <w:t> </w:t>
      </w:r>
      <w:r>
        <w:rPr>
          <w:vertAlign w:val="baseline"/>
        </w:rPr>
        <w:t>against</w:t>
      </w:r>
      <w:r>
        <w:rPr>
          <w:spacing w:val="-1"/>
          <w:vertAlign w:val="baseline"/>
        </w:rPr>
        <w:t> </w:t>
      </w:r>
      <w:r>
        <w:rPr>
          <w:vertAlign w:val="baseline"/>
        </w:rPr>
        <w:t>the</w:t>
      </w:r>
      <w:r>
        <w:rPr>
          <w:spacing w:val="-1"/>
          <w:vertAlign w:val="baseline"/>
        </w:rPr>
        <w:t> </w:t>
      </w:r>
      <w:r>
        <w:rPr>
          <w:vertAlign w:val="baseline"/>
        </w:rPr>
        <w:t>debtor,</w:t>
      </w:r>
      <w:r>
        <w:rPr>
          <w:spacing w:val="-1"/>
          <w:vertAlign w:val="baseline"/>
        </w:rPr>
        <w:t> </w:t>
      </w:r>
      <w:r>
        <w:rPr>
          <w:color w:val="005DA1"/>
          <w:u w:val="single" w:color="005DA1"/>
          <w:vertAlign w:val="superscript"/>
        </w:rPr>
        <w:t>617</w:t>
      </w:r>
      <w:r>
        <w:rPr>
          <w:color w:val="005DA1"/>
          <w:spacing w:val="-1"/>
          <w:vertAlign w:val="baseline"/>
        </w:rPr>
        <w:t> </w:t>
      </w:r>
      <w:r>
        <w:rPr>
          <w:vertAlign w:val="baseline"/>
        </w:rPr>
        <w:t>but</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subrogation</w:t>
      </w:r>
      <w:r>
        <w:rPr>
          <w:spacing w:val="-1"/>
          <w:vertAlign w:val="baseline"/>
        </w:rPr>
        <w:t> </w:t>
      </w:r>
      <w:r>
        <w:rPr>
          <w:vertAlign w:val="baseline"/>
        </w:rPr>
        <w:t>by</w:t>
      </w:r>
      <w:r>
        <w:rPr>
          <w:spacing w:val="-1"/>
          <w:vertAlign w:val="baseline"/>
        </w:rPr>
        <w:t> </w:t>
      </w:r>
      <w:r>
        <w:rPr>
          <w:vertAlign w:val="baseline"/>
        </w:rPr>
        <w:t>operation</w:t>
      </w:r>
      <w:r>
        <w:rPr>
          <w:spacing w:val="-1"/>
          <w:vertAlign w:val="baseline"/>
        </w:rPr>
        <w:t> </w:t>
      </w:r>
      <w:r>
        <w:rPr>
          <w:vertAlign w:val="baseline"/>
        </w:rPr>
        <w:t>of</w:t>
      </w:r>
      <w:r>
        <w:rPr>
          <w:spacing w:val="-1"/>
          <w:vertAlign w:val="baseline"/>
        </w:rPr>
        <w:t> </w:t>
      </w:r>
      <w:r>
        <w:rPr>
          <w:vertAlign w:val="baseline"/>
        </w:rPr>
        <w:t>law</w:t>
      </w:r>
      <w:r>
        <w:rPr>
          <w:spacing w:val="-1"/>
          <w:vertAlign w:val="baseline"/>
        </w:rPr>
        <w:t> </w:t>
      </w:r>
      <w:r>
        <w:rPr>
          <w:vertAlign w:val="baseline"/>
        </w:rPr>
        <w:t>when </w:t>
      </w:r>
      <w:bookmarkStart w:name="_bookmark1153" w:id="1155"/>
      <w:bookmarkEnd w:id="1155"/>
      <w:r>
        <w:rPr>
          <w:vertAlign w:val="baseline"/>
        </w:rPr>
        <w:t>the</w:t>
      </w:r>
      <w:r>
        <w:rPr>
          <w:vertAlign w:val="baseline"/>
        </w:rPr>
        <w:t> debt to be paid originates in a tort (e.g. where the insurer succeeds to the insured’s right of action against the tortfeasor). </w:t>
      </w:r>
      <w:r>
        <w:rPr>
          <w:color w:val="005DA1"/>
          <w:u w:val="single" w:color="005DA1"/>
          <w:vertAlign w:val="superscript"/>
        </w:rPr>
        <w:t>618</w:t>
      </w:r>
      <w:r>
        <w:rPr>
          <w:color w:val="005DA1"/>
          <w:vertAlign w:val="baseline"/>
        </w:rPr>
        <w:t> </w:t>
      </w:r>
      <w:r>
        <w:rPr>
          <w:vertAlign w:val="baseline"/>
        </w:rPr>
        <w:t>Although the extract from art.13(1) quoted above suggests that the third party</w:t>
      </w:r>
      <w:r>
        <w:rPr>
          <w:spacing w:val="-1"/>
          <w:vertAlign w:val="baseline"/>
        </w:rPr>
        <w:t> </w:t>
      </w:r>
      <w:r>
        <w:rPr>
          <w:vertAlign w:val="baseline"/>
        </w:rPr>
        <w:t>must</w:t>
      </w:r>
      <w:r>
        <w:rPr>
          <w:spacing w:val="-1"/>
          <w:vertAlign w:val="baseline"/>
        </w:rPr>
        <w:t> </w:t>
      </w:r>
      <w:r>
        <w:rPr>
          <w:vertAlign w:val="baseline"/>
        </w:rPr>
        <w:t>have</w:t>
      </w:r>
      <w:r>
        <w:rPr>
          <w:spacing w:val="-1"/>
          <w:vertAlign w:val="baseline"/>
        </w:rPr>
        <w:t> </w:t>
      </w:r>
      <w:r>
        <w:rPr>
          <w:vertAlign w:val="baseline"/>
        </w:rPr>
        <w:t>a</w:t>
      </w:r>
      <w:r>
        <w:rPr>
          <w:spacing w:val="-1"/>
          <w:vertAlign w:val="baseline"/>
        </w:rPr>
        <w:t> </w:t>
      </w:r>
      <w:r>
        <w:rPr>
          <w:rFonts w:ascii="Arial" w:hAnsi="Arial"/>
          <w:i/>
          <w:vertAlign w:val="baseline"/>
        </w:rPr>
        <w:t>duty</w:t>
      </w:r>
      <w:r>
        <w:rPr>
          <w:rFonts w:ascii="Arial" w:hAnsi="Arial"/>
          <w:i/>
          <w:spacing w:val="-1"/>
          <w:vertAlign w:val="baseline"/>
        </w:rPr>
        <w:t> </w:t>
      </w:r>
      <w:r>
        <w:rPr>
          <w:vertAlign w:val="baseline"/>
        </w:rPr>
        <w:t>to</w:t>
      </w:r>
      <w:r>
        <w:rPr>
          <w:spacing w:val="-1"/>
          <w:vertAlign w:val="baseline"/>
        </w:rPr>
        <w:t> </w:t>
      </w:r>
      <w:r>
        <w:rPr>
          <w:vertAlign w:val="baseline"/>
        </w:rPr>
        <w:t>satisfy</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the</w:t>
      </w:r>
      <w:r>
        <w:rPr>
          <w:spacing w:val="-1"/>
          <w:vertAlign w:val="baseline"/>
        </w:rPr>
        <w:t> </w:t>
      </w:r>
      <w:r>
        <w:rPr>
          <w:vertAlign w:val="baseline"/>
        </w:rPr>
        <w:t>Giuliano-Lagarde</w:t>
      </w:r>
      <w:r>
        <w:rPr>
          <w:spacing w:val="-1"/>
          <w:vertAlign w:val="baseline"/>
        </w:rPr>
        <w:t> </w:t>
      </w:r>
      <w:r>
        <w:rPr>
          <w:vertAlign w:val="baseline"/>
        </w:rPr>
        <w:t>Report</w:t>
      </w:r>
      <w:r>
        <w:rPr>
          <w:spacing w:val="-1"/>
          <w:vertAlign w:val="baseline"/>
        </w:rPr>
        <w:t> </w:t>
      </w:r>
      <w:r>
        <w:rPr>
          <w:vertAlign w:val="baseline"/>
        </w:rPr>
        <w:t>suggests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provision </w:t>
      </w:r>
      <w:bookmarkStart w:name="_bookmark1154" w:id="1156"/>
      <w:bookmarkEnd w:id="1156"/>
      <w:r>
        <w:rPr>
          <w:vertAlign w:val="baseline"/>
        </w:rPr>
        <w:t>may</w:t>
      </w:r>
      <w:r>
        <w:rPr>
          <w:spacing w:val="-1"/>
          <w:vertAlign w:val="baseline"/>
        </w:rPr>
        <w:t> </w:t>
      </w:r>
      <w:r>
        <w:rPr>
          <w:vertAlign w:val="baseline"/>
        </w:rPr>
        <w:t>also</w:t>
      </w:r>
      <w:r>
        <w:rPr>
          <w:spacing w:val="-1"/>
          <w:vertAlign w:val="baseline"/>
        </w:rPr>
        <w:t> </w:t>
      </w:r>
      <w:r>
        <w:rPr>
          <w:vertAlign w:val="baseline"/>
        </w:rPr>
        <w:t>apply</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situation</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a</w:t>
      </w:r>
      <w:r>
        <w:rPr>
          <w:spacing w:val="-1"/>
          <w:vertAlign w:val="baseline"/>
        </w:rPr>
        <w:t> </w:t>
      </w:r>
      <w:r>
        <w:rPr>
          <w:vertAlign w:val="baseline"/>
        </w:rPr>
        <w:t>person</w:t>
      </w:r>
      <w:r>
        <w:rPr>
          <w:spacing w:val="-1"/>
          <w:vertAlign w:val="baseline"/>
        </w:rPr>
        <w:t> </w:t>
      </w:r>
      <w:r>
        <w:rPr>
          <w:vertAlign w:val="baseline"/>
        </w:rPr>
        <w:t>has</w:t>
      </w:r>
      <w:r>
        <w:rPr>
          <w:spacing w:val="-1"/>
          <w:vertAlign w:val="baseline"/>
        </w:rPr>
        <w:t> </w:t>
      </w:r>
      <w:r>
        <w:rPr>
          <w:vertAlign w:val="baseline"/>
        </w:rPr>
        <w:t>paid</w:t>
      </w:r>
      <w:r>
        <w:rPr>
          <w:spacing w:val="-1"/>
          <w:vertAlign w:val="baseline"/>
        </w:rPr>
        <w:t> </w:t>
      </w:r>
      <w:r>
        <w:rPr>
          <w:vertAlign w:val="baseline"/>
        </w:rPr>
        <w:t>without</w:t>
      </w:r>
      <w:r>
        <w:rPr>
          <w:spacing w:val="-1"/>
          <w:vertAlign w:val="baseline"/>
        </w:rPr>
        <w:t> </w:t>
      </w:r>
      <w:r>
        <w:rPr>
          <w:vertAlign w:val="baseline"/>
        </w:rPr>
        <w:t>“being</w:t>
      </w:r>
      <w:r>
        <w:rPr>
          <w:spacing w:val="-1"/>
          <w:vertAlign w:val="baseline"/>
        </w:rPr>
        <w:t> </w:t>
      </w:r>
      <w:r>
        <w:rPr>
          <w:vertAlign w:val="baseline"/>
        </w:rPr>
        <w:t>obliged</w:t>
      </w:r>
      <w:r>
        <w:rPr>
          <w:spacing w:val="-1"/>
          <w:vertAlign w:val="baseline"/>
        </w:rPr>
        <w:t> </w:t>
      </w:r>
      <w:r>
        <w:rPr>
          <w:vertAlign w:val="baseline"/>
        </w:rPr>
        <w:t>so</w:t>
      </w:r>
      <w:r>
        <w:rPr>
          <w:spacing w:val="-1"/>
          <w:vertAlign w:val="baseline"/>
        </w:rPr>
        <w:t> </w:t>
      </w:r>
      <w:r>
        <w:rPr>
          <w:vertAlign w:val="baseline"/>
        </w:rPr>
        <w:t>to</w:t>
      </w:r>
      <w:r>
        <w:rPr>
          <w:spacing w:val="-1"/>
          <w:vertAlign w:val="baseline"/>
        </w:rPr>
        <w:t> </w:t>
      </w:r>
      <w:r>
        <w:rPr>
          <w:vertAlign w:val="baseline"/>
        </w:rPr>
        <w:t>do</w:t>
      </w:r>
      <w:r>
        <w:rPr>
          <w:spacing w:val="-1"/>
          <w:vertAlign w:val="baseline"/>
        </w:rPr>
        <w:t> </w:t>
      </w:r>
      <w:r>
        <w:rPr>
          <w:vertAlign w:val="baseline"/>
        </w:rPr>
        <w:t>by</w:t>
      </w:r>
      <w:r>
        <w:rPr>
          <w:spacing w:val="-1"/>
          <w:vertAlign w:val="baseline"/>
        </w:rPr>
        <w:t> </w:t>
      </w:r>
      <w:r>
        <w:rPr>
          <w:vertAlign w:val="baseline"/>
        </w:rPr>
        <w:t>contract</w:t>
      </w:r>
      <w:r>
        <w:rPr>
          <w:spacing w:val="-1"/>
          <w:vertAlign w:val="baseline"/>
        </w:rPr>
        <w:t> </w:t>
      </w:r>
      <w:r>
        <w:rPr>
          <w:vertAlign w:val="baseline"/>
        </w:rPr>
        <w:t>or </w:t>
      </w:r>
      <w:bookmarkStart w:name="_bookmark1155" w:id="1157"/>
      <w:bookmarkEnd w:id="1157"/>
      <w:r>
        <w:rPr>
          <w:vertAlign w:val="baseline"/>
        </w:rPr>
        <w:t>law”</w:t>
      </w:r>
      <w:r>
        <w:rPr>
          <w:vertAlign w:val="baseline"/>
        </w:rPr>
        <w:t> </w:t>
      </w:r>
      <w:r>
        <w:rPr>
          <w:color w:val="005DA1"/>
          <w:u w:val="single" w:color="005DA1"/>
          <w:vertAlign w:val="superscript"/>
        </w:rPr>
        <w:t>619</w:t>
      </w:r>
      <w:r>
        <w:rPr>
          <w:color w:val="005DA1"/>
          <w:vertAlign w:val="baseline"/>
        </w:rPr>
        <w:t> </w:t>
      </w:r>
      <w:r>
        <w:rPr>
          <w:vertAlign w:val="baseline"/>
        </w:rPr>
        <w:t>but by virtue of having an “economic interest recognised by law” as prevails in some legal systems. </w:t>
      </w:r>
      <w:r>
        <w:rPr>
          <w:color w:val="005DA1"/>
          <w:u w:val="single" w:color="005DA1"/>
          <w:vertAlign w:val="superscript"/>
        </w:rPr>
        <w:t>620</w:t>
      </w:r>
      <w:r>
        <w:rPr>
          <w:color w:val="005DA1"/>
          <w:vertAlign w:val="baseline"/>
        </w:rPr>
        <w:t> </w:t>
      </w:r>
      <w:r>
        <w:rPr>
          <w:vertAlign w:val="baseline"/>
        </w:rPr>
        <w:t>But the Report follows this observation, extremely obscurely, by saying that the court</w:t>
      </w:r>
      <w:r>
        <w:rPr>
          <w:spacing w:val="40"/>
          <w:vertAlign w:val="baseline"/>
        </w:rPr>
        <w:t> </w:t>
      </w:r>
      <w:r>
        <w:rPr>
          <w:vertAlign w:val="baseline"/>
        </w:rPr>
        <w:t>“has a discretion in this respect”, a comment which does little to clarify the position.</w:t>
      </w:r>
    </w:p>
    <w:p>
      <w:pPr>
        <w:pStyle w:val="BodyText"/>
      </w:pPr>
    </w:p>
    <w:p>
      <w:pPr>
        <w:pStyle w:val="BodyText"/>
        <w:spacing w:before="34"/>
      </w:pPr>
    </w:p>
    <w:p>
      <w:pPr>
        <w:spacing w:before="0"/>
        <w:ind w:left="164" w:right="0" w:firstLine="0"/>
        <w:jc w:val="left"/>
        <w:rPr>
          <w:rFonts w:ascii="Arial"/>
          <w:b/>
          <w:sz w:val="18"/>
        </w:rPr>
      </w:pPr>
      <w:r>
        <w:rPr>
          <w:rFonts w:ascii="Arial"/>
          <w:b/>
          <w:sz w:val="18"/>
        </w:rPr>
        <w:t>Applicable </w:t>
      </w:r>
      <w:r>
        <w:rPr>
          <w:rFonts w:ascii="Arial"/>
          <w:b/>
          <w:spacing w:val="-5"/>
          <w:sz w:val="18"/>
        </w:rPr>
        <w:t>law</w:t>
      </w:r>
    </w:p>
    <w:p>
      <w:pPr>
        <w:pStyle w:val="BodyText"/>
        <w:spacing w:before="41"/>
        <w:rPr>
          <w:rFonts w:ascii="Arial"/>
          <w:b/>
          <w:sz w:val="18"/>
        </w:rPr>
      </w:pPr>
    </w:p>
    <w:p>
      <w:pPr>
        <w:pStyle w:val="Heading2"/>
        <w:ind w:left="164"/>
      </w:pPr>
      <w:r>
        <w:rPr/>
        <w:t>30-</w:t>
      </w:r>
      <w:r>
        <w:rPr>
          <w:spacing w:val="-5"/>
        </w:rPr>
        <w:t>127</w:t>
      </w:r>
    </w:p>
    <w:p>
      <w:pPr>
        <w:pStyle w:val="BodyText"/>
        <w:spacing w:before="199"/>
        <w:ind w:left="164"/>
        <w:jc w:val="both"/>
      </w:pPr>
      <w:r>
        <w:rPr/>
        <w:t>In circumstances falling within </w:t>
      </w:r>
      <w:r>
        <w:rPr>
          <w:spacing w:val="-2"/>
        </w:rPr>
        <w:t>art.13(1):</w:t>
      </w:r>
    </w:p>
    <w:p>
      <w:pPr>
        <w:pStyle w:val="BodyText"/>
      </w:pPr>
    </w:p>
    <w:p>
      <w:pPr>
        <w:pStyle w:val="BodyText"/>
        <w:spacing w:before="126"/>
      </w:pPr>
    </w:p>
    <w:p>
      <w:pPr>
        <w:pStyle w:val="BodyText"/>
        <w:spacing w:line="235" w:lineRule="auto"/>
        <w:ind w:left="1244" w:right="167"/>
        <w:jc w:val="both"/>
      </w:pPr>
      <w:r>
        <w:rPr/>
        <w:t>“… the law which governs the third person’s duty to satisfy the creditor shall </w:t>
      </w:r>
      <w:r>
        <w:rPr/>
        <w:t>determine whether the third person is entitled to exercise against the debtor the rights which the </w:t>
      </w:r>
      <w:bookmarkStart w:name="_bookmark1156" w:id="1158"/>
      <w:bookmarkEnd w:id="1158"/>
      <w:r>
        <w:rPr/>
        <w:t>creditor</w:t>
      </w:r>
      <w:r>
        <w:rPr/>
        <w:t> had against the debtor under the law governing their relationship and, if so, whether he may do so in full or only to a limited extent.” </w:t>
      </w:r>
      <w:r>
        <w:rPr>
          <w:color w:val="005DA1"/>
          <w:u w:val="single" w:color="005DA1"/>
          <w:vertAlign w:val="superscript"/>
        </w:rPr>
        <w:t>621</w:t>
      </w:r>
    </w:p>
    <w:p>
      <w:pPr>
        <w:pStyle w:val="BodyText"/>
        <w:spacing w:before="115"/>
      </w:pPr>
    </w:p>
    <w:p>
      <w:pPr>
        <w:pStyle w:val="BodyText"/>
        <w:spacing w:line="235" w:lineRule="auto"/>
        <w:ind w:left="165" w:right="167"/>
        <w:jc w:val="both"/>
      </w:pPr>
      <w:r>
        <w:rPr/>
        <w:t>Thus the law applicable to the relationship between creditor and debtor determines the rights </w:t>
      </w:r>
      <w:r>
        <w:rPr/>
        <w:t>which </w:t>
      </w:r>
      <w:bookmarkStart w:name="_bookmark1157" w:id="1159"/>
      <w:bookmarkEnd w:id="1159"/>
      <w:r>
        <w:rPr/>
        <w:t>the</w:t>
      </w:r>
      <w:r>
        <w:rPr/>
        <w:t> former has against the latter. But the law which creates the duty in the third party to satisfy that creditor determines whether and to what extent, the third party is subrogated to those rights. </w:t>
      </w:r>
      <w:r>
        <w:rPr>
          <w:color w:val="005DA1"/>
          <w:u w:val="single" w:color="005DA1"/>
          <w:vertAlign w:val="superscript"/>
        </w:rPr>
        <w:t>622</w:t>
      </w:r>
    </w:p>
    <w:p>
      <w:pPr>
        <w:pStyle w:val="BodyText"/>
      </w:pPr>
    </w:p>
    <w:p>
      <w:pPr>
        <w:pStyle w:val="BodyText"/>
        <w:spacing w:before="37"/>
      </w:pPr>
    </w:p>
    <w:p>
      <w:pPr>
        <w:spacing w:before="0"/>
        <w:ind w:left="165" w:right="0" w:firstLine="0"/>
        <w:jc w:val="left"/>
        <w:rPr>
          <w:rFonts w:ascii="Arial"/>
          <w:b/>
          <w:sz w:val="18"/>
        </w:rPr>
      </w:pPr>
      <w:r>
        <w:rPr>
          <w:rFonts w:ascii="Arial"/>
          <w:b/>
          <w:sz w:val="18"/>
        </w:rPr>
        <w:t>Co-</w:t>
      </w:r>
      <w:r>
        <w:rPr>
          <w:rFonts w:ascii="Arial"/>
          <w:b/>
          <w:spacing w:val="-2"/>
          <w:sz w:val="18"/>
        </w:rPr>
        <w:t>debtors</w:t>
      </w:r>
    </w:p>
    <w:p>
      <w:pPr>
        <w:pStyle w:val="BodyText"/>
        <w:spacing w:before="42"/>
        <w:rPr>
          <w:rFonts w:ascii="Arial"/>
          <w:b/>
          <w:sz w:val="18"/>
        </w:rPr>
      </w:pPr>
    </w:p>
    <w:p>
      <w:pPr>
        <w:pStyle w:val="Heading2"/>
      </w:pPr>
      <w:r>
        <w:rPr/>
        <w:t>30-</w:t>
      </w:r>
      <w:r>
        <w:rPr>
          <w:spacing w:val="-5"/>
        </w:rPr>
        <w:t>128</w:t>
      </w:r>
    </w:p>
    <w:p>
      <w:pPr>
        <w:pStyle w:val="BodyText"/>
        <w:spacing w:line="235" w:lineRule="auto" w:before="202"/>
        <w:ind w:left="165" w:right="167"/>
        <w:jc w:val="both"/>
      </w:pPr>
      <w:bookmarkStart w:name="_bookmark1158" w:id="1160"/>
      <w:bookmarkEnd w:id="1160"/>
      <w:r>
        <w:rPr/>
      </w:r>
      <w:r>
        <w:rPr/>
        <w:t>The rule described in the previous paragraph applies to cases where several persons (debtors) are subject to the same contractual claim and one of them has satisfied the creditor. </w:t>
      </w:r>
      <w:r>
        <w:rPr>
          <w:color w:val="005DA1"/>
          <w:u w:val="single" w:color="005DA1"/>
          <w:vertAlign w:val="superscript"/>
        </w:rPr>
        <w:t>623</w:t>
      </w:r>
      <w:r>
        <w:rPr>
          <w:color w:val="005DA1"/>
          <w:vertAlign w:val="baseline"/>
        </w:rPr>
        <w:t> </w:t>
      </w:r>
      <w:r>
        <w:rPr>
          <w:vertAlign w:val="baseline"/>
        </w:rPr>
        <w:t>Thus, if </w:t>
      </w:r>
      <w:r>
        <w:rPr>
          <w:vertAlign w:val="baseline"/>
        </w:rPr>
        <w:t>one debtor satisfies the creditor, it is the law governing the duty which requires him to do this which will determine whether he is subrogated to the creditor’s rights against the other debtors.</w:t>
      </w:r>
    </w:p>
    <w:p>
      <w:pPr>
        <w:pStyle w:val="BodyText"/>
      </w:pPr>
    </w:p>
    <w:p>
      <w:pPr>
        <w:pStyle w:val="BodyText"/>
        <w:spacing w:before="39"/>
      </w:pPr>
      <w:r>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186083</wp:posOffset>
                </wp:positionV>
                <wp:extent cx="572452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2258pt;width:450.75pt;height:.1pt;mso-position-horizontal-relative:page;mso-position-vertical-relative:paragraph;z-index:-15705600;mso-wrap-distance-left:0;mso-wrap-distance-right:0" id="docshape18"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1159" w:id="1161"/>
      <w:bookmarkEnd w:id="1161"/>
      <w:r>
        <w:rPr/>
      </w:r>
      <w:hyperlink w:history="true" w:anchor="_bookmark1132">
        <w:r>
          <w:rPr>
            <w:color w:val="005DA1"/>
            <w:position w:val="5"/>
            <w:sz w:val="14"/>
            <w:u w:val="single" w:color="005DA1"/>
          </w:rPr>
          <w:t>96</w:t>
        </w:r>
      </w:hyperlink>
      <w:r>
        <w:rPr>
          <w:position w:val="5"/>
          <w:sz w:val="14"/>
        </w:rPr>
        <w:t>.</w:t>
      </w:r>
      <w:r>
        <w:rPr>
          <w:spacing w:val="80"/>
          <w:position w:val="5"/>
          <w:sz w:val="14"/>
        </w:rPr>
        <w:t>  </w:t>
      </w:r>
      <w:r>
        <w:rPr>
          <w:sz w:val="20"/>
        </w:rPr>
        <w:t>Dicey, Morris and Collins on the Conflict of Laws, 14th edn (2006), Chs 32 and 33; Cheshire, North and Fawcett, </w:t>
      </w:r>
      <w:r>
        <w:rPr>
          <w:rFonts w:ascii="Arial"/>
          <w:i/>
          <w:sz w:val="20"/>
        </w:rPr>
        <w:t>Private International Law</w:t>
      </w:r>
      <w:r>
        <w:rPr>
          <w:sz w:val="20"/>
        </w:rPr>
        <w:t>, 14th edn (2008), Ch.18; Fawcett, Harris </w:t>
      </w:r>
      <w:r>
        <w:rPr>
          <w:sz w:val="20"/>
        </w:rPr>
        <w:t>and Bridge, </w:t>
      </w:r>
      <w:r>
        <w:rPr>
          <w:rFonts w:ascii="Arial"/>
          <w:i/>
          <w:sz w:val="20"/>
        </w:rPr>
        <w:t>International Sale of Goods in the Conflict of Laws </w:t>
      </w:r>
      <w:r>
        <w:rPr>
          <w:sz w:val="20"/>
        </w:rPr>
        <w:t>(2005), Ch.13; Meeusen, Pertegas and Straetmans, </w:t>
      </w:r>
      <w:r>
        <w:rPr>
          <w:rFonts w:ascii="Arial"/>
          <w:i/>
          <w:sz w:val="20"/>
        </w:rPr>
        <w:t>The Enforcement of International Contracts in the European Union </w:t>
      </w:r>
      <w:r>
        <w:rPr>
          <w:sz w:val="20"/>
        </w:rPr>
        <w:t>(2004); Plender and Wilderspin, </w:t>
      </w:r>
      <w:r>
        <w:rPr>
          <w:rFonts w:ascii="Arial"/>
          <w:i/>
          <w:sz w:val="20"/>
        </w:rPr>
        <w:t>The European Private International Law of Obligations </w:t>
      </w:r>
      <w:r>
        <w:rPr>
          <w:sz w:val="20"/>
        </w:rPr>
        <w:t>4th edn (2014), Chs 4-15; Fentiman, </w:t>
      </w:r>
      <w:r>
        <w:rPr>
          <w:rFonts w:ascii="Arial"/>
          <w:i/>
          <w:sz w:val="20"/>
        </w:rPr>
        <w:t>International Commercial Litigation </w:t>
      </w:r>
      <w:r>
        <w:rPr>
          <w:sz w:val="20"/>
        </w:rPr>
        <w:t>2nd edn (2015), Chs 3-6; Nygh, </w:t>
      </w:r>
      <w:r>
        <w:rPr>
          <w:rFonts w:ascii="Arial"/>
          <w:i/>
          <w:sz w:val="20"/>
        </w:rPr>
        <w:t>Autonomy in International Contracts </w:t>
      </w:r>
      <w:r>
        <w:rPr>
          <w:sz w:val="20"/>
        </w:rPr>
        <w:t>(1999); Kaye, </w:t>
      </w:r>
      <w:r>
        <w:rPr>
          <w:rFonts w:ascii="Arial"/>
          <w:i/>
          <w:sz w:val="20"/>
        </w:rPr>
        <w:t>The New Private International Law of Contract of the European Community </w:t>
      </w:r>
      <w:r>
        <w:rPr>
          <w:sz w:val="20"/>
        </w:rPr>
        <w:t>(1993); Lasok and Stone, </w:t>
      </w:r>
      <w:r>
        <w:rPr>
          <w:rFonts w:ascii="Arial"/>
          <w:i/>
          <w:sz w:val="20"/>
        </w:rPr>
        <w:t>Conflict of Laws in the European Community </w:t>
      </w:r>
      <w:r>
        <w:rPr>
          <w:sz w:val="20"/>
        </w:rPr>
        <w:t>(1987), Ch.9; North, </w:t>
      </w:r>
      <w:r>
        <w:rPr>
          <w:rFonts w:ascii="Arial"/>
          <w:i/>
          <w:sz w:val="20"/>
        </w:rPr>
        <w:t>Contract Conflicts </w:t>
      </w:r>
      <w:r>
        <w:rPr>
          <w:sz w:val="20"/>
        </w:rPr>
        <w:t>(1982); Fletcher, </w:t>
      </w:r>
      <w:r>
        <w:rPr>
          <w:rFonts w:ascii="Arial"/>
          <w:i/>
          <w:sz w:val="20"/>
        </w:rPr>
        <w:t>Conflict of Laws and European Community Law </w:t>
      </w:r>
      <w:r>
        <w:rPr>
          <w:sz w:val="20"/>
        </w:rPr>
        <w:t>(1982), Ch.5; Anton, </w:t>
      </w:r>
      <w:r>
        <w:rPr>
          <w:rFonts w:ascii="Arial"/>
          <w:i/>
          <w:sz w:val="20"/>
        </w:rPr>
        <w:t>Private International Law</w:t>
      </w:r>
      <w:r>
        <w:rPr>
          <w:sz w:val="20"/>
        </w:rPr>
        <w:t>, 2nd edn (1990), Ch.11;</w:t>
      </w:r>
      <w:r>
        <w:rPr>
          <w:spacing w:val="7"/>
          <w:sz w:val="20"/>
        </w:rPr>
        <w:t> </w:t>
      </w:r>
      <w:r>
        <w:rPr>
          <w:sz w:val="20"/>
        </w:rPr>
        <w:t>Diamond</w:t>
      </w:r>
      <w:r>
        <w:rPr>
          <w:spacing w:val="9"/>
          <w:sz w:val="20"/>
        </w:rPr>
        <w:t> </w:t>
      </w:r>
      <w:r>
        <w:rPr>
          <w:sz w:val="20"/>
        </w:rPr>
        <w:t>(1986)</w:t>
      </w:r>
      <w:r>
        <w:rPr>
          <w:spacing w:val="9"/>
          <w:sz w:val="20"/>
        </w:rPr>
        <w:t> </w:t>
      </w:r>
      <w:r>
        <w:rPr>
          <w:sz w:val="20"/>
        </w:rPr>
        <w:t>216</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z w:val="20"/>
        </w:rPr>
        <w:t>IV,</w:t>
      </w:r>
      <w:r>
        <w:rPr>
          <w:spacing w:val="9"/>
          <w:sz w:val="20"/>
        </w:rPr>
        <w:t> </w:t>
      </w:r>
      <w:r>
        <w:rPr>
          <w:sz w:val="20"/>
        </w:rPr>
        <w:t>233;</w:t>
      </w:r>
      <w:r>
        <w:rPr>
          <w:spacing w:val="9"/>
          <w:sz w:val="20"/>
        </w:rPr>
        <w:t> </w:t>
      </w:r>
      <w:r>
        <w:rPr>
          <w:sz w:val="20"/>
        </w:rPr>
        <w:t>North</w:t>
      </w:r>
      <w:r>
        <w:rPr>
          <w:spacing w:val="9"/>
          <w:sz w:val="20"/>
        </w:rPr>
        <w:t> </w:t>
      </w:r>
      <w:r>
        <w:rPr>
          <w:sz w:val="20"/>
        </w:rPr>
        <w:t>(1990)</w:t>
      </w:r>
      <w:r>
        <w:rPr>
          <w:spacing w:val="9"/>
          <w:sz w:val="20"/>
        </w:rPr>
        <w:t> </w:t>
      </w:r>
      <w:r>
        <w:rPr>
          <w:sz w:val="20"/>
        </w:rPr>
        <w:t>220</w:t>
      </w:r>
      <w:r>
        <w:rPr>
          <w:spacing w:val="9"/>
          <w:sz w:val="20"/>
        </w:rPr>
        <w:t> </w:t>
      </w:r>
      <w:r>
        <w:rPr>
          <w:sz w:val="20"/>
        </w:rPr>
        <w:t>Recueil</w:t>
      </w:r>
      <w:r>
        <w:rPr>
          <w:spacing w:val="9"/>
          <w:sz w:val="20"/>
        </w:rPr>
        <w:t> </w:t>
      </w:r>
      <w:r>
        <w:rPr>
          <w:sz w:val="20"/>
        </w:rPr>
        <w:t>des</w:t>
      </w:r>
      <w:r>
        <w:rPr>
          <w:spacing w:val="9"/>
          <w:sz w:val="20"/>
        </w:rPr>
        <w:t> </w:t>
      </w:r>
      <w:r>
        <w:rPr>
          <w:sz w:val="20"/>
        </w:rPr>
        <w:t>Cours</w:t>
      </w:r>
      <w:r>
        <w:rPr>
          <w:spacing w:val="9"/>
          <w:sz w:val="20"/>
        </w:rPr>
        <w:t> </w:t>
      </w:r>
      <w:r>
        <w:rPr>
          <w:spacing w:val="-5"/>
          <w:sz w:val="20"/>
        </w:rPr>
        <w:t>I,</w:t>
      </w:r>
    </w:p>
    <w:p>
      <w:pPr>
        <w:pStyle w:val="BodyText"/>
        <w:spacing w:line="220" w:lineRule="exact"/>
        <w:ind w:left="705"/>
        <w:jc w:val="both"/>
      </w:pPr>
      <w:r>
        <w:rPr/>
        <w:t>3,</w:t>
      </w:r>
      <w:r>
        <w:rPr>
          <w:spacing w:val="11"/>
        </w:rPr>
        <w:t> </w:t>
      </w:r>
      <w:r>
        <w:rPr/>
        <w:t>176-205;</w:t>
      </w:r>
      <w:r>
        <w:rPr>
          <w:spacing w:val="11"/>
        </w:rPr>
        <w:t> </w:t>
      </w:r>
      <w:r>
        <w:rPr/>
        <w:t>North</w:t>
      </w:r>
      <w:r>
        <w:rPr>
          <w:spacing w:val="11"/>
        </w:rPr>
        <w:t> </w:t>
      </w:r>
      <w:r>
        <w:rPr/>
        <w:t>[1980]</w:t>
      </w:r>
      <w:r>
        <w:rPr>
          <w:spacing w:val="11"/>
        </w:rPr>
        <w:t> </w:t>
      </w:r>
      <w:r>
        <w:rPr/>
        <w:t>J.B.L.</w:t>
      </w:r>
      <w:r>
        <w:rPr>
          <w:spacing w:val="11"/>
        </w:rPr>
        <w:t> </w:t>
      </w:r>
      <w:r>
        <w:rPr/>
        <w:t>392;</w:t>
      </w:r>
      <w:r>
        <w:rPr>
          <w:spacing w:val="11"/>
        </w:rPr>
        <w:t> </w:t>
      </w:r>
      <w:r>
        <w:rPr/>
        <w:t>Morse</w:t>
      </w:r>
      <w:r>
        <w:rPr>
          <w:spacing w:val="11"/>
        </w:rPr>
        <w:t> </w:t>
      </w:r>
      <w:r>
        <w:rPr/>
        <w:t>(1982)</w:t>
      </w:r>
      <w:r>
        <w:rPr>
          <w:spacing w:val="11"/>
        </w:rPr>
        <w:t> </w:t>
      </w:r>
      <w:r>
        <w:rPr/>
        <w:t>2</w:t>
      </w:r>
      <w:r>
        <w:rPr>
          <w:spacing w:val="11"/>
        </w:rPr>
        <w:t> </w:t>
      </w:r>
      <w:r>
        <w:rPr/>
        <w:t>Yb.</w:t>
      </w:r>
      <w:r>
        <w:rPr>
          <w:spacing w:val="11"/>
        </w:rPr>
        <w:t> </w:t>
      </w:r>
      <w:r>
        <w:rPr/>
        <w:t>Eur.</w:t>
      </w:r>
      <w:r>
        <w:rPr>
          <w:spacing w:val="11"/>
        </w:rPr>
        <w:t> </w:t>
      </w:r>
      <w:r>
        <w:rPr/>
        <w:t>L.</w:t>
      </w:r>
      <w:r>
        <w:rPr>
          <w:spacing w:val="11"/>
        </w:rPr>
        <w:t> </w:t>
      </w:r>
      <w:r>
        <w:rPr/>
        <w:t>107;</w:t>
      </w:r>
      <w:r>
        <w:rPr>
          <w:spacing w:val="11"/>
        </w:rPr>
        <w:t> </w:t>
      </w:r>
      <w:r>
        <w:rPr/>
        <w:t>Jaffey</w:t>
      </w:r>
      <w:r>
        <w:rPr>
          <w:spacing w:val="11"/>
        </w:rPr>
        <w:t> </w:t>
      </w:r>
      <w:r>
        <w:rPr/>
        <w:t>(1984)</w:t>
      </w:r>
      <w:r>
        <w:rPr>
          <w:spacing w:val="11"/>
        </w:rPr>
        <w:t> </w:t>
      </w:r>
      <w:r>
        <w:rPr/>
        <w:t>33</w:t>
      </w:r>
      <w:r>
        <w:rPr>
          <w:spacing w:val="11"/>
        </w:rPr>
        <w:t> </w:t>
      </w:r>
      <w:r>
        <w:rPr>
          <w:spacing w:val="-2"/>
        </w:rPr>
        <w:t>I.C.L.Q.</w:t>
      </w:r>
    </w:p>
    <w:p>
      <w:pPr>
        <w:pStyle w:val="BodyText"/>
        <w:spacing w:line="227" w:lineRule="exact"/>
        <w:ind w:left="705"/>
        <w:jc w:val="both"/>
      </w:pPr>
      <w:r>
        <w:rPr/>
        <w:t>531; Williams (1986) 35 I.C.L.Q. </w:t>
      </w:r>
      <w:r>
        <w:rPr>
          <w:spacing w:val="-5"/>
        </w:rPr>
        <w:t>1.</w:t>
      </w:r>
    </w:p>
    <w:p>
      <w:pPr>
        <w:pStyle w:val="BodyText"/>
        <w:spacing w:before="5"/>
      </w:pPr>
    </w:p>
    <w:p>
      <w:pPr>
        <w:tabs>
          <w:tab w:pos="705" w:val="left" w:leader="none"/>
        </w:tabs>
        <w:spacing w:before="0"/>
        <w:ind w:left="165" w:right="0" w:firstLine="0"/>
        <w:jc w:val="left"/>
        <w:rPr>
          <w:rFonts w:ascii="Arial"/>
          <w:i/>
          <w:sz w:val="20"/>
        </w:rPr>
      </w:pPr>
      <w:bookmarkStart w:name="_bookmark1160" w:id="1162"/>
      <w:bookmarkEnd w:id="1162"/>
      <w:r>
        <w:rPr/>
      </w:r>
      <w:hyperlink w:history="true" w:anchor="_bookmark1133">
        <w:r>
          <w:rPr>
            <w:color w:val="005DA1"/>
            <w:spacing w:val="-4"/>
            <w:position w:val="5"/>
            <w:sz w:val="14"/>
            <w:u w:val="single" w:color="005DA1"/>
          </w:rPr>
          <w:t>597</w:t>
        </w:r>
      </w:hyperlink>
      <w:r>
        <w:rPr>
          <w:spacing w:val="-4"/>
          <w:position w:val="5"/>
          <w:sz w:val="14"/>
        </w:rPr>
        <w:t>.</w:t>
      </w:r>
      <w:r>
        <w:rPr>
          <w:position w:val="5"/>
          <w:sz w:val="14"/>
        </w:rPr>
        <w:tab/>
      </w:r>
      <w:r>
        <w:rPr>
          <w:sz w:val="20"/>
        </w:rPr>
        <w:t>See</w:t>
      </w:r>
      <w:r>
        <w:rPr>
          <w:spacing w:val="7"/>
          <w:sz w:val="20"/>
        </w:rPr>
        <w:t> </w:t>
      </w:r>
      <w:r>
        <w:rPr>
          <w:rFonts w:ascii="Arial"/>
          <w:i/>
          <w:sz w:val="20"/>
        </w:rPr>
        <w:t>Lee</w:t>
      </w:r>
      <w:r>
        <w:rPr>
          <w:rFonts w:ascii="Arial"/>
          <w:i/>
          <w:spacing w:val="8"/>
          <w:sz w:val="20"/>
        </w:rPr>
        <w:t> </w:t>
      </w:r>
      <w:r>
        <w:rPr>
          <w:rFonts w:ascii="Arial"/>
          <w:i/>
          <w:sz w:val="20"/>
        </w:rPr>
        <w:t>v</w:t>
      </w:r>
      <w:r>
        <w:rPr>
          <w:rFonts w:ascii="Arial"/>
          <w:i/>
          <w:spacing w:val="8"/>
          <w:sz w:val="20"/>
        </w:rPr>
        <w:t> </w:t>
      </w:r>
      <w:r>
        <w:rPr>
          <w:rFonts w:ascii="Arial"/>
          <w:i/>
          <w:sz w:val="20"/>
        </w:rPr>
        <w:t>Abdy</w:t>
      </w:r>
      <w:r>
        <w:rPr>
          <w:rFonts w:ascii="Arial"/>
          <w:i/>
          <w:spacing w:val="8"/>
          <w:sz w:val="20"/>
        </w:rPr>
        <w:t> </w:t>
      </w:r>
      <w:r>
        <w:rPr>
          <w:rFonts w:ascii="Arial"/>
          <w:i/>
          <w:sz w:val="20"/>
        </w:rPr>
        <w:t>(1886)</w:t>
      </w:r>
      <w:r>
        <w:rPr>
          <w:rFonts w:ascii="Arial"/>
          <w:i/>
          <w:spacing w:val="8"/>
          <w:sz w:val="20"/>
        </w:rPr>
        <w:t> </w:t>
      </w:r>
      <w:r>
        <w:rPr>
          <w:rFonts w:ascii="Arial"/>
          <w:i/>
          <w:sz w:val="20"/>
        </w:rPr>
        <w:t>17</w:t>
      </w:r>
      <w:r>
        <w:rPr>
          <w:rFonts w:ascii="Arial"/>
          <w:i/>
          <w:spacing w:val="8"/>
          <w:sz w:val="20"/>
        </w:rPr>
        <w:t> </w:t>
      </w:r>
      <w:r>
        <w:rPr>
          <w:rFonts w:ascii="Arial"/>
          <w:i/>
          <w:sz w:val="20"/>
        </w:rPr>
        <w:t>Q.B.D.</w:t>
      </w:r>
      <w:r>
        <w:rPr>
          <w:rFonts w:ascii="Arial"/>
          <w:i/>
          <w:spacing w:val="8"/>
          <w:sz w:val="20"/>
        </w:rPr>
        <w:t> </w:t>
      </w:r>
      <w:r>
        <w:rPr>
          <w:rFonts w:ascii="Arial"/>
          <w:i/>
          <w:sz w:val="20"/>
        </w:rPr>
        <w:t>309</w:t>
      </w:r>
      <w:r>
        <w:rPr>
          <w:sz w:val="20"/>
        </w:rPr>
        <w:t>;</w:t>
      </w:r>
      <w:r>
        <w:rPr>
          <w:spacing w:val="8"/>
          <w:sz w:val="20"/>
        </w:rPr>
        <w:t> </w:t>
      </w:r>
      <w:r>
        <w:rPr>
          <w:rFonts w:ascii="Arial"/>
          <w:i/>
          <w:sz w:val="20"/>
        </w:rPr>
        <w:t>Republic</w:t>
      </w:r>
      <w:r>
        <w:rPr>
          <w:rFonts w:ascii="Arial"/>
          <w:i/>
          <w:spacing w:val="7"/>
          <w:sz w:val="20"/>
        </w:rPr>
        <w:t> </w:t>
      </w:r>
      <w:r>
        <w:rPr>
          <w:rFonts w:ascii="Arial"/>
          <w:i/>
          <w:sz w:val="20"/>
        </w:rPr>
        <w:t>de</w:t>
      </w:r>
      <w:r>
        <w:rPr>
          <w:rFonts w:ascii="Arial"/>
          <w:i/>
          <w:spacing w:val="8"/>
          <w:sz w:val="20"/>
        </w:rPr>
        <w:t> </w:t>
      </w:r>
      <w:r>
        <w:rPr>
          <w:rFonts w:ascii="Arial"/>
          <w:i/>
          <w:sz w:val="20"/>
        </w:rPr>
        <w:t>Guatemala</w:t>
      </w:r>
      <w:r>
        <w:rPr>
          <w:rFonts w:ascii="Arial"/>
          <w:i/>
          <w:spacing w:val="8"/>
          <w:sz w:val="20"/>
        </w:rPr>
        <w:t> </w:t>
      </w:r>
      <w:r>
        <w:rPr>
          <w:rFonts w:ascii="Arial"/>
          <w:i/>
          <w:sz w:val="20"/>
        </w:rPr>
        <w:t>v</w:t>
      </w:r>
      <w:r>
        <w:rPr>
          <w:rFonts w:ascii="Arial"/>
          <w:i/>
          <w:spacing w:val="8"/>
          <w:sz w:val="20"/>
        </w:rPr>
        <w:t> </w:t>
      </w:r>
      <w:r>
        <w:rPr>
          <w:rFonts w:ascii="Arial"/>
          <w:i/>
          <w:sz w:val="20"/>
        </w:rPr>
        <w:t>Nunez</w:t>
      </w:r>
      <w:r>
        <w:rPr>
          <w:rFonts w:ascii="Arial"/>
          <w:i/>
          <w:spacing w:val="8"/>
          <w:sz w:val="20"/>
        </w:rPr>
        <w:t> </w:t>
      </w:r>
      <w:r>
        <w:rPr>
          <w:rFonts w:ascii="Arial"/>
          <w:i/>
          <w:sz w:val="20"/>
        </w:rPr>
        <w:t>[1927]</w:t>
      </w:r>
      <w:r>
        <w:rPr>
          <w:rFonts w:ascii="Arial"/>
          <w:i/>
          <w:spacing w:val="8"/>
          <w:sz w:val="20"/>
        </w:rPr>
        <w:t> </w:t>
      </w:r>
      <w:r>
        <w:rPr>
          <w:rFonts w:ascii="Arial"/>
          <w:i/>
          <w:sz w:val="20"/>
        </w:rPr>
        <w:t>1</w:t>
      </w:r>
      <w:r>
        <w:rPr>
          <w:rFonts w:ascii="Arial"/>
          <w:i/>
          <w:spacing w:val="8"/>
          <w:sz w:val="20"/>
        </w:rPr>
        <w:t> </w:t>
      </w:r>
      <w:r>
        <w:rPr>
          <w:rFonts w:ascii="Arial"/>
          <w:i/>
          <w:sz w:val="20"/>
        </w:rPr>
        <w:t>K.B.</w:t>
      </w:r>
      <w:r>
        <w:rPr>
          <w:rFonts w:ascii="Arial"/>
          <w:i/>
          <w:spacing w:val="8"/>
          <w:sz w:val="20"/>
        </w:rPr>
        <w:t> </w:t>
      </w:r>
      <w:r>
        <w:rPr>
          <w:rFonts w:ascii="Arial"/>
          <w:i/>
          <w:sz w:val="20"/>
        </w:rPr>
        <w:t>669</w:t>
      </w:r>
      <w:r>
        <w:rPr>
          <w:sz w:val="20"/>
        </w:rPr>
        <w:t>;</w:t>
      </w:r>
      <w:r>
        <w:rPr>
          <w:spacing w:val="8"/>
          <w:sz w:val="20"/>
        </w:rPr>
        <w:t> </w:t>
      </w:r>
      <w:r>
        <w:rPr>
          <w:rFonts w:ascii="Arial"/>
          <w:i/>
          <w:spacing w:val="-5"/>
          <w:sz w:val="20"/>
        </w:rPr>
        <w:t>Re</w:t>
      </w:r>
    </w:p>
    <w:p>
      <w:pPr>
        <w:spacing w:after="0"/>
        <w:jc w:val="left"/>
        <w:rPr>
          <w:rFonts w:ascii="Arial"/>
          <w:i/>
          <w:sz w:val="20"/>
        </w:rPr>
        <w:sectPr>
          <w:pgSz w:w="11900" w:h="16840"/>
          <w:pgMar w:header="971" w:footer="0" w:top="1300" w:bottom="280" w:left="1275" w:right="1275"/>
        </w:sectPr>
      </w:pPr>
    </w:p>
    <w:p>
      <w:pPr>
        <w:spacing w:line="235" w:lineRule="auto" w:before="110"/>
        <w:ind w:left="705" w:right="167" w:firstLine="0"/>
        <w:jc w:val="both"/>
        <w:rPr>
          <w:sz w:val="20"/>
        </w:rPr>
      </w:pPr>
      <w:r>
        <w:rPr>
          <w:rFonts w:ascii="Arial" w:hAnsi="Arial"/>
          <w:i/>
          <w:sz w:val="20"/>
        </w:rPr>
        <w:t>Anziani [1930] 1 Ch. 407</w:t>
      </w:r>
      <w:r>
        <w:rPr>
          <w:sz w:val="20"/>
        </w:rPr>
        <w:t>; </w:t>
      </w:r>
      <w:r>
        <w:rPr>
          <w:rFonts w:ascii="Arial" w:hAnsi="Arial"/>
          <w:i/>
          <w:sz w:val="20"/>
        </w:rPr>
        <w:t>Campbell Connelly &amp; Co Ltd v Noble [1963] 1 W.L.R. 252</w:t>
      </w:r>
      <w:r>
        <w:rPr>
          <w:sz w:val="20"/>
        </w:rPr>
        <w:t>; </w:t>
      </w:r>
      <w:r>
        <w:rPr>
          <w:rFonts w:ascii="Arial" w:hAnsi="Arial"/>
          <w:i/>
          <w:sz w:val="20"/>
        </w:rPr>
        <w:t>Trendtex Trading Corp v Crédit Suisse [1982] A.C. 679</w:t>
      </w:r>
      <w:r>
        <w:rPr>
          <w:sz w:val="20"/>
        </w:rPr>
        <w:t>; see also </w:t>
      </w:r>
      <w:r>
        <w:rPr>
          <w:rFonts w:ascii="Arial" w:hAnsi="Arial"/>
          <w:i/>
          <w:sz w:val="20"/>
        </w:rPr>
        <w:t>Macmillan Inc v Bishopsgate</w:t>
      </w:r>
      <w:r>
        <w:rPr>
          <w:rFonts w:ascii="Arial" w:hAnsi="Arial"/>
          <w:i/>
          <w:spacing w:val="40"/>
          <w:sz w:val="20"/>
        </w:rPr>
        <w:t> </w:t>
      </w:r>
      <w:r>
        <w:rPr>
          <w:rFonts w:ascii="Arial" w:hAnsi="Arial"/>
          <w:i/>
          <w:sz w:val="20"/>
        </w:rPr>
        <w:t>Investment Trust Plc (No.3) [1996] 1 W.L.R. 387</w:t>
      </w:r>
      <w:r>
        <w:rPr>
          <w:sz w:val="20"/>
        </w:rPr>
        <w:t>; 26th edition of this work, para.2185; Dicey, Morris and Collins on the Conflict of Laws, 14th edn (2006), paras 24–051—24–054; Cheshire, North</w:t>
      </w:r>
      <w:r>
        <w:rPr>
          <w:spacing w:val="27"/>
          <w:sz w:val="20"/>
        </w:rPr>
        <w:t> </w:t>
      </w:r>
      <w:r>
        <w:rPr>
          <w:sz w:val="20"/>
        </w:rPr>
        <w:t>and</w:t>
      </w:r>
      <w:r>
        <w:rPr>
          <w:spacing w:val="27"/>
          <w:sz w:val="20"/>
        </w:rPr>
        <w:t> </w:t>
      </w:r>
      <w:r>
        <w:rPr>
          <w:sz w:val="20"/>
        </w:rPr>
        <w:t>Fawcett,</w:t>
      </w:r>
      <w:r>
        <w:rPr>
          <w:spacing w:val="27"/>
          <w:sz w:val="20"/>
        </w:rPr>
        <w:t> </w:t>
      </w:r>
      <w:r>
        <w:rPr>
          <w:sz w:val="20"/>
        </w:rPr>
        <w:t>Private</w:t>
      </w:r>
      <w:r>
        <w:rPr>
          <w:spacing w:val="27"/>
          <w:sz w:val="20"/>
        </w:rPr>
        <w:t> </w:t>
      </w:r>
      <w:r>
        <w:rPr>
          <w:sz w:val="20"/>
        </w:rPr>
        <w:t>International</w:t>
      </w:r>
      <w:r>
        <w:rPr>
          <w:spacing w:val="27"/>
          <w:sz w:val="20"/>
        </w:rPr>
        <w:t> </w:t>
      </w:r>
      <w:r>
        <w:rPr>
          <w:sz w:val="20"/>
        </w:rPr>
        <w:t>Law</w:t>
      </w:r>
      <w:r>
        <w:rPr>
          <w:spacing w:val="27"/>
          <w:sz w:val="20"/>
        </w:rPr>
        <w:t> </w:t>
      </w:r>
      <w:r>
        <w:rPr>
          <w:sz w:val="20"/>
        </w:rPr>
        <w:t>14th</w:t>
      </w:r>
      <w:r>
        <w:rPr>
          <w:spacing w:val="27"/>
          <w:sz w:val="20"/>
        </w:rPr>
        <w:t> </w:t>
      </w:r>
      <w:r>
        <w:rPr>
          <w:sz w:val="20"/>
        </w:rPr>
        <w:t>edn</w:t>
      </w:r>
      <w:r>
        <w:rPr>
          <w:spacing w:val="27"/>
          <w:sz w:val="20"/>
        </w:rPr>
        <w:t> </w:t>
      </w:r>
      <w:r>
        <w:rPr>
          <w:sz w:val="20"/>
        </w:rPr>
        <w:t>(2008),</w:t>
      </w:r>
      <w:r>
        <w:rPr>
          <w:spacing w:val="27"/>
          <w:sz w:val="20"/>
        </w:rPr>
        <w:t> </w:t>
      </w:r>
      <w:r>
        <w:rPr>
          <w:sz w:val="20"/>
        </w:rPr>
        <w:t>Ch.30;</w:t>
      </w:r>
      <w:r>
        <w:rPr>
          <w:spacing w:val="27"/>
          <w:sz w:val="20"/>
        </w:rPr>
        <w:t> </w:t>
      </w:r>
      <w:r>
        <w:rPr>
          <w:sz w:val="20"/>
        </w:rPr>
        <w:t>Moshinsky</w:t>
      </w:r>
      <w:r>
        <w:rPr>
          <w:spacing w:val="27"/>
          <w:sz w:val="20"/>
        </w:rPr>
        <w:t> </w:t>
      </w:r>
      <w:r>
        <w:rPr>
          <w:sz w:val="20"/>
        </w:rPr>
        <w:t>(1992)</w:t>
      </w:r>
      <w:r>
        <w:rPr>
          <w:spacing w:val="27"/>
          <w:sz w:val="20"/>
        </w:rPr>
        <w:t> </w:t>
      </w:r>
      <w:r>
        <w:rPr>
          <w:spacing w:val="-5"/>
          <w:sz w:val="20"/>
        </w:rPr>
        <w:t>109</w:t>
      </w:r>
    </w:p>
    <w:p>
      <w:pPr>
        <w:pStyle w:val="BodyText"/>
        <w:spacing w:line="235" w:lineRule="auto"/>
        <w:ind w:left="705" w:right="167"/>
        <w:jc w:val="both"/>
      </w:pPr>
      <w:r>
        <w:rPr/>
        <w:t>L.Q.R. 591; Struycken [1998] L.M.C.L.Q. 345. Where the right assigned arises under a contract excluded from the Convention under art.1, it is not clear whether art.12 or the common law applies, but since art.12 applies to voluntary assignments, involuntary assignments will </w:t>
      </w:r>
      <w:r>
        <w:rPr/>
        <w:t>be governed by common law rules: see Dicey, Morris and Collins, paras 24–055 et seq. Although art.12 applies to the assignment of noncontractual rights, it may not apply to non-contractual assignments of a voluntary nature (unless by way of gift, see Giuliano-Lagarde Report, p.10). Such non-contractual voluntary assignments will be governed by common law rules (which apply the same principles as art.12 in this field). Article 12 does not apply to the assignment of duties: Giuliano-Lagarde Report, p.35. For full discussion, see Dicey, Morris and Collins, paras 24–051—24–079; Flessner and Verhagen, </w:t>
      </w:r>
      <w:r>
        <w:rPr>
          <w:rFonts w:ascii="Arial" w:hAnsi="Arial"/>
          <w:i/>
        </w:rPr>
        <w:t>Assignment in European Private International Law </w:t>
      </w:r>
      <w:r>
        <w:rPr/>
        <w:t>(2006); Kieninger, </w:t>
      </w:r>
      <w:r>
        <w:rPr>
          <w:rFonts w:ascii="Arial" w:hAnsi="Arial"/>
          <w:i/>
        </w:rPr>
        <w:t>The Enforcement of International Contracts in the European Union </w:t>
      </w:r>
      <w:r>
        <w:rPr/>
        <w:t>(2004), pp.363–387. And see below, paras 30–289 et seq.</w:t>
      </w:r>
    </w:p>
    <w:p>
      <w:pPr>
        <w:pStyle w:val="BodyText"/>
      </w:pPr>
    </w:p>
    <w:p>
      <w:pPr>
        <w:pStyle w:val="BodyText"/>
        <w:tabs>
          <w:tab w:pos="705" w:val="left" w:leader="none"/>
        </w:tabs>
        <w:ind w:left="165"/>
      </w:pPr>
      <w:bookmarkStart w:name="_bookmark1161" w:id="1163"/>
      <w:bookmarkEnd w:id="1163"/>
      <w:r>
        <w:rPr/>
      </w:r>
      <w:hyperlink w:history="true" w:anchor="_bookmark1134">
        <w:r>
          <w:rPr>
            <w:color w:val="005DA1"/>
            <w:spacing w:val="-4"/>
            <w:position w:val="5"/>
            <w:sz w:val="14"/>
            <w:u w:val="single" w:color="005DA1"/>
          </w:rPr>
          <w:t>598</w:t>
        </w:r>
      </w:hyperlink>
      <w:r>
        <w:rPr>
          <w:spacing w:val="-4"/>
          <w:position w:val="5"/>
          <w:sz w:val="14"/>
        </w:rPr>
        <w:t>.</w:t>
      </w:r>
      <w:r>
        <w:rPr>
          <w:position w:val="5"/>
          <w:sz w:val="14"/>
        </w:rPr>
        <w:tab/>
      </w:r>
      <w:r>
        <w:rPr/>
        <w:t>Rome Convention </w:t>
      </w:r>
      <w:r>
        <w:rPr>
          <w:spacing w:val="-2"/>
        </w:rPr>
        <w:t>art.17.</w:t>
      </w:r>
    </w:p>
    <w:p>
      <w:pPr>
        <w:pStyle w:val="BodyText"/>
        <w:spacing w:before="5"/>
      </w:pPr>
    </w:p>
    <w:p>
      <w:pPr>
        <w:tabs>
          <w:tab w:pos="705" w:val="left" w:leader="none"/>
        </w:tabs>
        <w:spacing w:before="0"/>
        <w:ind w:left="165" w:right="0" w:firstLine="0"/>
        <w:jc w:val="left"/>
        <w:rPr>
          <w:sz w:val="20"/>
        </w:rPr>
      </w:pPr>
      <w:bookmarkStart w:name="_bookmark1162" w:id="1164"/>
      <w:bookmarkEnd w:id="1164"/>
      <w:r>
        <w:rPr/>
      </w:r>
      <w:hyperlink w:history="true" w:anchor="_bookmark1135">
        <w:r>
          <w:rPr>
            <w:color w:val="005DA1"/>
            <w:spacing w:val="-4"/>
            <w:position w:val="5"/>
            <w:sz w:val="14"/>
            <w:u w:val="single" w:color="005DA1"/>
          </w:rPr>
          <w:t>599</w:t>
        </w:r>
      </w:hyperlink>
      <w:r>
        <w:rPr>
          <w:spacing w:val="-4"/>
          <w:position w:val="5"/>
          <w:sz w:val="14"/>
        </w:rPr>
        <w:t>.</w:t>
      </w:r>
      <w:r>
        <w:rPr>
          <w:position w:val="5"/>
          <w:sz w:val="14"/>
        </w:rPr>
        <w:tab/>
      </w:r>
      <w:r>
        <w:rPr>
          <w:sz w:val="20"/>
        </w:rPr>
        <w:t>See</w:t>
      </w:r>
      <w:r>
        <w:rPr>
          <w:spacing w:val="-2"/>
          <w:sz w:val="20"/>
        </w:rPr>
        <w:t> </w:t>
      </w:r>
      <w:r>
        <w:rPr>
          <w:sz w:val="20"/>
        </w:rPr>
        <w:t>below, paras 30–289 et seq.;</w:t>
      </w:r>
      <w:r>
        <w:rPr>
          <w:spacing w:val="-1"/>
          <w:sz w:val="20"/>
        </w:rPr>
        <w:t> </w:t>
      </w:r>
      <w:r>
        <w:rPr>
          <w:rFonts w:ascii="Arial" w:hAnsi="Arial"/>
          <w:i/>
          <w:sz w:val="20"/>
        </w:rPr>
        <w:t>Cox v Ergo Versicherung AG (No.2) [2012] EWCA Civ </w:t>
      </w:r>
      <w:r>
        <w:rPr>
          <w:rFonts w:ascii="Arial" w:hAnsi="Arial"/>
          <w:i/>
          <w:spacing w:val="-2"/>
          <w:sz w:val="20"/>
        </w:rPr>
        <w:t>1001</w:t>
      </w:r>
      <w:r>
        <w:rPr>
          <w:spacing w:val="-2"/>
          <w:sz w:val="20"/>
        </w:rPr>
        <w:t>.</w:t>
      </w:r>
    </w:p>
    <w:p>
      <w:pPr>
        <w:pStyle w:val="BodyText"/>
        <w:spacing w:before="9"/>
      </w:pPr>
    </w:p>
    <w:p>
      <w:pPr>
        <w:spacing w:line="235" w:lineRule="auto" w:before="0"/>
        <w:ind w:left="705" w:right="168" w:hanging="541"/>
        <w:jc w:val="both"/>
        <w:rPr>
          <w:sz w:val="20"/>
        </w:rPr>
      </w:pPr>
      <w:bookmarkStart w:name="_bookmark1163" w:id="1165"/>
      <w:bookmarkEnd w:id="1165"/>
      <w:r>
        <w:rPr/>
      </w:r>
      <w:hyperlink w:history="true" w:anchor="_bookmark1136">
        <w:r>
          <w:rPr>
            <w:color w:val="005DA1"/>
            <w:position w:val="5"/>
            <w:sz w:val="14"/>
            <w:u w:val="single" w:color="005DA1"/>
          </w:rPr>
          <w:t>600</w:t>
        </w:r>
      </w:hyperlink>
      <w:r>
        <w:rPr>
          <w:position w:val="5"/>
          <w:sz w:val="14"/>
        </w:rPr>
        <w:t>.</w:t>
      </w:r>
      <w:r>
        <w:rPr>
          <w:spacing w:val="80"/>
          <w:position w:val="5"/>
          <w:sz w:val="14"/>
        </w:rPr>
        <w:t> </w:t>
      </w:r>
      <w:r>
        <w:rPr>
          <w:sz w:val="20"/>
        </w:rPr>
        <w:t>Rome Convention art.12(1). See </w:t>
      </w:r>
      <w:r>
        <w:rPr>
          <w:rFonts w:ascii="Arial" w:hAnsi="Arial"/>
          <w:i/>
          <w:sz w:val="20"/>
        </w:rPr>
        <w:t>Raiffeisen Zentralbank Osterreich AG v Five Star </w:t>
      </w:r>
      <w:r>
        <w:rPr>
          <w:rFonts w:ascii="Arial" w:hAnsi="Arial"/>
          <w:i/>
          <w:sz w:val="20"/>
        </w:rPr>
        <w:t>General Trading LLC [2001] EWCA Civ 68, [2001] Q.B. 85 </w:t>
      </w:r>
      <w:r>
        <w:rPr>
          <w:sz w:val="20"/>
        </w:rPr>
        <w:t>at [43] (art.12(1) regulates the position of assignor and assignee as between themselves); </w:t>
      </w:r>
      <w:r>
        <w:rPr>
          <w:rFonts w:ascii="Arial" w:hAnsi="Arial"/>
          <w:i/>
          <w:sz w:val="20"/>
        </w:rPr>
        <w:t>Waldweise Stiftung v Lewis [2004] EWHC 2589 (Ch)</w:t>
      </w:r>
      <w:r>
        <w:rPr>
          <w:sz w:val="20"/>
        </w:rPr>
        <w:t>; </w:t>
      </w:r>
      <w:r>
        <w:rPr>
          <w:rFonts w:ascii="Arial" w:hAnsi="Arial"/>
          <w:i/>
          <w:sz w:val="20"/>
        </w:rPr>
        <w:t>Gorjat v Gorjat [2010] EWHC 1537 (Ch) </w:t>
      </w:r>
      <w:r>
        <w:rPr>
          <w:sz w:val="20"/>
        </w:rPr>
        <w:t>at [10]–[12].</w:t>
      </w:r>
    </w:p>
    <w:p>
      <w:pPr>
        <w:pStyle w:val="BodyText"/>
        <w:spacing w:before="8"/>
      </w:pPr>
    </w:p>
    <w:p>
      <w:pPr>
        <w:pStyle w:val="BodyText"/>
        <w:tabs>
          <w:tab w:pos="705" w:val="left" w:leader="none"/>
        </w:tabs>
        <w:spacing w:line="235" w:lineRule="auto"/>
        <w:ind w:left="705" w:right="167" w:hanging="541"/>
      </w:pPr>
      <w:bookmarkStart w:name="_bookmark1164" w:id="1166"/>
      <w:bookmarkEnd w:id="1166"/>
      <w:r>
        <w:rPr/>
      </w:r>
      <w:hyperlink w:history="true" w:anchor="_bookmark1137">
        <w:r>
          <w:rPr>
            <w:color w:val="005DA1"/>
            <w:spacing w:val="-4"/>
            <w:position w:val="5"/>
            <w:sz w:val="14"/>
            <w:u w:val="single" w:color="005DA1"/>
          </w:rPr>
          <w:t>601</w:t>
        </w:r>
      </w:hyperlink>
      <w:r>
        <w:rPr>
          <w:spacing w:val="-4"/>
          <w:position w:val="5"/>
          <w:sz w:val="14"/>
        </w:rPr>
        <w:t>.</w:t>
      </w:r>
      <w:r>
        <w:rPr>
          <w:position w:val="5"/>
          <w:sz w:val="14"/>
        </w:rPr>
        <w:tab/>
      </w:r>
      <w:r>
        <w:rPr/>
        <w:t>Above,</w:t>
      </w:r>
      <w:r>
        <w:rPr>
          <w:spacing w:val="29"/>
        </w:rPr>
        <w:t> </w:t>
      </w:r>
      <w:r>
        <w:rPr/>
        <w:t>paras</w:t>
      </w:r>
      <w:r>
        <w:rPr>
          <w:spacing w:val="29"/>
        </w:rPr>
        <w:t> </w:t>
      </w:r>
      <w:r>
        <w:rPr/>
        <w:t>30–046</w:t>
      </w:r>
      <w:r>
        <w:rPr>
          <w:spacing w:val="29"/>
        </w:rPr>
        <w:t> </w:t>
      </w:r>
      <w:r>
        <w:rPr/>
        <w:t>et</w:t>
      </w:r>
      <w:r>
        <w:rPr>
          <w:spacing w:val="29"/>
        </w:rPr>
        <w:t> </w:t>
      </w:r>
      <w:r>
        <w:rPr/>
        <w:t>seq.</w:t>
      </w:r>
      <w:r>
        <w:rPr>
          <w:spacing w:val="29"/>
        </w:rPr>
        <w:t> </w:t>
      </w:r>
      <w:r>
        <w:rPr/>
        <w:t>Where</w:t>
      </w:r>
      <w:r>
        <w:rPr>
          <w:spacing w:val="29"/>
        </w:rPr>
        <w:t> </w:t>
      </w:r>
      <w:r>
        <w:rPr/>
        <w:t>art.4(2)</w:t>
      </w:r>
      <w:r>
        <w:rPr>
          <w:spacing w:val="29"/>
        </w:rPr>
        <w:t> </w:t>
      </w:r>
      <w:r>
        <w:rPr/>
        <w:t>applies</w:t>
      </w:r>
      <w:r>
        <w:rPr>
          <w:spacing w:val="29"/>
        </w:rPr>
        <w:t> </w:t>
      </w:r>
      <w:r>
        <w:rPr/>
        <w:t>(see</w:t>
      </w:r>
      <w:r>
        <w:rPr>
          <w:spacing w:val="29"/>
        </w:rPr>
        <w:t> </w:t>
      </w:r>
      <w:r>
        <w:rPr/>
        <w:t>above,</w:t>
      </w:r>
      <w:r>
        <w:rPr>
          <w:spacing w:val="29"/>
        </w:rPr>
        <w:t> </w:t>
      </w:r>
      <w:r>
        <w:rPr/>
        <w:t>paras</w:t>
      </w:r>
      <w:r>
        <w:rPr>
          <w:spacing w:val="29"/>
        </w:rPr>
        <w:t> </w:t>
      </w:r>
      <w:r>
        <w:rPr/>
        <w:t>30–070</w:t>
      </w:r>
      <w:r>
        <w:rPr>
          <w:spacing w:val="29"/>
        </w:rPr>
        <w:t> </w:t>
      </w:r>
      <w:r>
        <w:rPr/>
        <w:t>et</w:t>
      </w:r>
      <w:r>
        <w:rPr>
          <w:spacing w:val="29"/>
        </w:rPr>
        <w:t> </w:t>
      </w:r>
      <w:r>
        <w:rPr/>
        <w:t>seq.)</w:t>
      </w:r>
      <w:r>
        <w:rPr>
          <w:spacing w:val="29"/>
        </w:rPr>
        <w:t> </w:t>
      </w:r>
      <w:r>
        <w:rPr/>
        <w:t>the characteristic</w:t>
      </w:r>
      <w:r>
        <w:rPr>
          <w:spacing w:val="26"/>
        </w:rPr>
        <w:t> </w:t>
      </w:r>
      <w:r>
        <w:rPr/>
        <w:t>performance</w:t>
      </w:r>
      <w:r>
        <w:rPr>
          <w:spacing w:val="27"/>
        </w:rPr>
        <w:t> </w:t>
      </w:r>
      <w:r>
        <w:rPr/>
        <w:t>appears</w:t>
      </w:r>
      <w:r>
        <w:rPr>
          <w:spacing w:val="27"/>
        </w:rPr>
        <w:t> </w:t>
      </w:r>
      <w:r>
        <w:rPr/>
        <w:t>to</w:t>
      </w:r>
      <w:r>
        <w:rPr>
          <w:spacing w:val="27"/>
        </w:rPr>
        <w:t> </w:t>
      </w:r>
      <w:r>
        <w:rPr/>
        <w:t>be</w:t>
      </w:r>
      <w:r>
        <w:rPr>
          <w:spacing w:val="27"/>
        </w:rPr>
        <w:t> </w:t>
      </w:r>
      <w:r>
        <w:rPr/>
        <w:t>that</w:t>
      </w:r>
      <w:r>
        <w:rPr>
          <w:spacing w:val="27"/>
        </w:rPr>
        <w:t> </w:t>
      </w:r>
      <w:r>
        <w:rPr/>
        <w:t>of</w:t>
      </w:r>
      <w:r>
        <w:rPr>
          <w:spacing w:val="27"/>
        </w:rPr>
        <w:t> </w:t>
      </w:r>
      <w:r>
        <w:rPr/>
        <w:t>the</w:t>
      </w:r>
      <w:r>
        <w:rPr>
          <w:spacing w:val="27"/>
        </w:rPr>
        <w:t> </w:t>
      </w:r>
      <w:r>
        <w:rPr/>
        <w:t>assignor.</w:t>
      </w:r>
      <w:r>
        <w:rPr>
          <w:spacing w:val="27"/>
        </w:rPr>
        <w:t> </w:t>
      </w:r>
      <w:r>
        <w:rPr/>
        <w:t>See</w:t>
      </w:r>
      <w:r>
        <w:rPr>
          <w:spacing w:val="26"/>
        </w:rPr>
        <w:t> </w:t>
      </w:r>
      <w:r>
        <w:rPr>
          <w:rFonts w:ascii="Arial" w:hAnsi="Arial"/>
          <w:i/>
        </w:rPr>
        <w:t>Gorjat</w:t>
      </w:r>
      <w:r>
        <w:rPr>
          <w:rFonts w:ascii="Arial" w:hAnsi="Arial"/>
          <w:i/>
          <w:spacing w:val="27"/>
        </w:rPr>
        <w:t> </w:t>
      </w:r>
      <w:r>
        <w:rPr>
          <w:rFonts w:ascii="Arial" w:hAnsi="Arial"/>
          <w:i/>
        </w:rPr>
        <w:t>v</w:t>
      </w:r>
      <w:r>
        <w:rPr>
          <w:rFonts w:ascii="Arial" w:hAnsi="Arial"/>
          <w:i/>
          <w:spacing w:val="27"/>
        </w:rPr>
        <w:t> </w:t>
      </w:r>
      <w:r>
        <w:rPr>
          <w:rFonts w:ascii="Arial" w:hAnsi="Arial"/>
          <w:i/>
        </w:rPr>
        <w:t>Gorjat</w:t>
      </w:r>
      <w:r>
        <w:rPr/>
        <w:t>,</w:t>
      </w:r>
      <w:r>
        <w:rPr>
          <w:spacing w:val="27"/>
        </w:rPr>
        <w:t> </w:t>
      </w:r>
      <w:r>
        <w:rPr/>
        <w:t>above</w:t>
      </w:r>
      <w:r>
        <w:rPr>
          <w:spacing w:val="27"/>
        </w:rPr>
        <w:t> </w:t>
      </w:r>
      <w:r>
        <w:rPr>
          <w:spacing w:val="-5"/>
        </w:rPr>
        <w:t>at</w:t>
      </w:r>
    </w:p>
    <w:p>
      <w:pPr>
        <w:pStyle w:val="BodyText"/>
        <w:spacing w:line="225" w:lineRule="exact"/>
        <w:ind w:left="705"/>
      </w:pPr>
      <w:r>
        <w:rPr/>
        <w:t>[11]–[12] (characteristic performance of assignment by way of gift that of the </w:t>
      </w:r>
      <w:r>
        <w:rPr>
          <w:spacing w:val="-2"/>
        </w:rPr>
        <w:t>assignor/donor).</w:t>
      </w:r>
    </w:p>
    <w:p>
      <w:pPr>
        <w:pStyle w:val="BodyText"/>
        <w:spacing w:before="9"/>
      </w:pPr>
    </w:p>
    <w:p>
      <w:pPr>
        <w:pStyle w:val="BodyText"/>
        <w:spacing w:line="235" w:lineRule="auto"/>
        <w:ind w:left="705" w:right="167" w:hanging="541"/>
        <w:jc w:val="both"/>
      </w:pPr>
      <w:bookmarkStart w:name="_bookmark1165" w:id="1167"/>
      <w:bookmarkEnd w:id="1167"/>
      <w:r>
        <w:rPr/>
      </w:r>
      <w:hyperlink w:history="true" w:anchor="_bookmark1138">
        <w:r>
          <w:rPr>
            <w:color w:val="005DA1"/>
            <w:position w:val="5"/>
            <w:sz w:val="14"/>
            <w:u w:val="single" w:color="005DA1"/>
          </w:rPr>
          <w:t>602</w:t>
        </w:r>
      </w:hyperlink>
      <w:r>
        <w:rPr>
          <w:position w:val="5"/>
          <w:sz w:val="14"/>
        </w:rPr>
        <w:t>.</w:t>
      </w:r>
      <w:r>
        <w:rPr>
          <w:spacing w:val="40"/>
          <w:position w:val="5"/>
          <w:sz w:val="14"/>
        </w:rPr>
        <w:t>  </w:t>
      </w:r>
      <w:r>
        <w:rPr/>
        <w:t>Logically, the question of assignability must be resolved before one reaches the question of the validity</w:t>
      </w:r>
      <w:r>
        <w:rPr>
          <w:spacing w:val="-2"/>
        </w:rPr>
        <w:t> </w:t>
      </w:r>
      <w:r>
        <w:rPr/>
        <w:t>of</w:t>
      </w:r>
      <w:r>
        <w:rPr>
          <w:spacing w:val="-2"/>
        </w:rPr>
        <w:t> </w:t>
      </w:r>
      <w:r>
        <w:rPr/>
        <w:t>the</w:t>
      </w:r>
      <w:r>
        <w:rPr>
          <w:spacing w:val="-2"/>
        </w:rPr>
        <w:t> </w:t>
      </w:r>
      <w:r>
        <w:rPr/>
        <w:t>assignment—dealt</w:t>
      </w:r>
      <w:r>
        <w:rPr>
          <w:spacing w:val="-2"/>
        </w:rPr>
        <w:t> </w:t>
      </w:r>
      <w:r>
        <w:rPr/>
        <w:t>with</w:t>
      </w:r>
      <w:r>
        <w:rPr>
          <w:spacing w:val="-2"/>
        </w:rPr>
        <w:t> </w:t>
      </w:r>
      <w:r>
        <w:rPr/>
        <w:t>in</w:t>
      </w:r>
      <w:r>
        <w:rPr>
          <w:spacing w:val="-2"/>
        </w:rPr>
        <w:t> </w:t>
      </w:r>
      <w:r>
        <w:rPr/>
        <w:t>art.12(1).</w:t>
      </w:r>
      <w:r>
        <w:rPr>
          <w:spacing w:val="-2"/>
        </w:rPr>
        <w:t> </w:t>
      </w:r>
      <w:r>
        <w:rPr/>
        <w:t>For</w:t>
      </w:r>
      <w:r>
        <w:rPr>
          <w:spacing w:val="-2"/>
        </w:rPr>
        <w:t> </w:t>
      </w:r>
      <w:r>
        <w:rPr/>
        <w:t>the</w:t>
      </w:r>
      <w:r>
        <w:rPr>
          <w:spacing w:val="-2"/>
        </w:rPr>
        <w:t> </w:t>
      </w:r>
      <w:r>
        <w:rPr/>
        <w:t>reasons</w:t>
      </w:r>
      <w:r>
        <w:rPr>
          <w:spacing w:val="-2"/>
        </w:rPr>
        <w:t> </w:t>
      </w:r>
      <w:r>
        <w:rPr/>
        <w:t>for</w:t>
      </w:r>
      <w:r>
        <w:rPr>
          <w:spacing w:val="-2"/>
        </w:rPr>
        <w:t> </w:t>
      </w:r>
      <w:r>
        <w:rPr/>
        <w:t>the</w:t>
      </w:r>
      <w:r>
        <w:rPr>
          <w:spacing w:val="-2"/>
        </w:rPr>
        <w:t> </w:t>
      </w:r>
      <w:r>
        <w:rPr/>
        <w:t>curious</w:t>
      </w:r>
      <w:r>
        <w:rPr>
          <w:spacing w:val="-2"/>
        </w:rPr>
        <w:t> </w:t>
      </w:r>
      <w:r>
        <w:rPr/>
        <w:t>draftsmanship of art.12, see Giuliano-Lagarde Report, p.34.</w:t>
      </w:r>
    </w:p>
    <w:p>
      <w:pPr>
        <w:pStyle w:val="BodyText"/>
        <w:spacing w:before="9"/>
      </w:pPr>
    </w:p>
    <w:p>
      <w:pPr>
        <w:spacing w:line="235" w:lineRule="auto" w:before="0"/>
        <w:ind w:left="705" w:right="167" w:hanging="541"/>
        <w:jc w:val="both"/>
        <w:rPr>
          <w:sz w:val="20"/>
        </w:rPr>
      </w:pPr>
      <w:bookmarkStart w:name="_bookmark1166" w:id="1168"/>
      <w:bookmarkEnd w:id="1168"/>
      <w:r>
        <w:rPr/>
      </w:r>
      <w:hyperlink w:history="true" w:anchor="_bookmark1139">
        <w:r>
          <w:rPr>
            <w:color w:val="005DA1"/>
            <w:position w:val="5"/>
            <w:sz w:val="14"/>
            <w:u w:val="single" w:color="005DA1"/>
          </w:rPr>
          <w:t>603</w:t>
        </w:r>
      </w:hyperlink>
      <w:r>
        <w:rPr>
          <w:position w:val="5"/>
          <w:sz w:val="14"/>
        </w:rPr>
        <w:t>.</w:t>
      </w:r>
      <w:r>
        <w:rPr>
          <w:spacing w:val="80"/>
          <w:w w:val="150"/>
          <w:position w:val="5"/>
          <w:sz w:val="14"/>
        </w:rPr>
        <w:t> </w:t>
      </w:r>
      <w:r>
        <w:rPr>
          <w:sz w:val="20"/>
        </w:rPr>
        <w:t>See </w:t>
      </w:r>
      <w:r>
        <w:rPr>
          <w:rFonts w:ascii="Arial" w:hAnsi="Arial"/>
          <w:i/>
          <w:sz w:val="20"/>
        </w:rPr>
        <w:t>Waldweise Stiftung v Lewis [2004] EWHC 2589 (Ch)</w:t>
      </w:r>
      <w:r>
        <w:rPr>
          <w:sz w:val="20"/>
        </w:rPr>
        <w:t>. See also </w:t>
      </w:r>
      <w:r>
        <w:rPr>
          <w:rFonts w:ascii="Arial" w:hAnsi="Arial"/>
          <w:i/>
          <w:sz w:val="20"/>
        </w:rPr>
        <w:t>Peer International Corp v Termidor Music Publishers Ltd [2003] EWCA Civ 1156, [2004] Ch. 212</w:t>
      </w:r>
      <w:r>
        <w:rPr>
          <w:sz w:val="20"/>
        </w:rPr>
        <w:t>; </w:t>
      </w:r>
      <w:r>
        <w:rPr>
          <w:rFonts w:ascii="Arial" w:hAnsi="Arial"/>
          <w:i/>
          <w:sz w:val="20"/>
        </w:rPr>
        <w:t>Maple Leaf Macro Volatility Master Fund v Rouvroy [2009] EWHC 257 (Comm), [2009] 1 Lloyd’s Rep. 475 </w:t>
      </w:r>
      <w:r>
        <w:rPr>
          <w:sz w:val="20"/>
        </w:rPr>
        <w:t>at</w:t>
      </w:r>
      <w:r>
        <w:rPr>
          <w:spacing w:val="40"/>
          <w:sz w:val="20"/>
        </w:rPr>
        <w:t> </w:t>
      </w:r>
      <w:r>
        <w:rPr>
          <w:sz w:val="20"/>
        </w:rPr>
        <w:t>[304]. cf. </w:t>
      </w:r>
      <w:r>
        <w:rPr>
          <w:rFonts w:ascii="Arial" w:hAnsi="Arial"/>
          <w:i/>
          <w:sz w:val="20"/>
        </w:rPr>
        <w:t>Campbell Connelly and Co Ltd v Noble [1963] 1 W.L.R. 252</w:t>
      </w:r>
      <w:r>
        <w:rPr>
          <w:sz w:val="20"/>
        </w:rPr>
        <w:t>; </w:t>
      </w:r>
      <w:r>
        <w:rPr>
          <w:rFonts w:ascii="Arial" w:hAnsi="Arial"/>
          <w:i/>
          <w:sz w:val="20"/>
        </w:rPr>
        <w:t>Trendtex Trading Corp v Crédit Suisse [1982] A.C. 679</w:t>
      </w:r>
      <w:r>
        <w:rPr>
          <w:sz w:val="20"/>
        </w:rPr>
        <w:t>, for the same rule at common law. If the right assigned is contractual, the applicable law will be decided according to the rules of the Convention unless the relevant contract is excluded from the scope of the Convention.</w:t>
      </w:r>
    </w:p>
    <w:p>
      <w:pPr>
        <w:pStyle w:val="BodyText"/>
        <w:spacing w:before="7"/>
      </w:pPr>
    </w:p>
    <w:p>
      <w:pPr>
        <w:pStyle w:val="BodyText"/>
        <w:spacing w:line="235" w:lineRule="auto"/>
        <w:ind w:left="705" w:right="167" w:hanging="541"/>
        <w:jc w:val="both"/>
      </w:pPr>
      <w:bookmarkStart w:name="_bookmark1167" w:id="1169"/>
      <w:bookmarkEnd w:id="1169"/>
      <w:r>
        <w:rPr/>
      </w:r>
      <w:hyperlink w:history="true" w:anchor="_bookmark1140">
        <w:r>
          <w:rPr>
            <w:color w:val="005DA1"/>
            <w:position w:val="5"/>
            <w:sz w:val="14"/>
            <w:u w:val="single" w:color="005DA1"/>
          </w:rPr>
          <w:t>604</w:t>
        </w:r>
      </w:hyperlink>
      <w:r>
        <w:rPr>
          <w:position w:val="5"/>
          <w:sz w:val="14"/>
        </w:rPr>
        <w:t>.</w:t>
      </w:r>
      <w:r>
        <w:rPr>
          <w:spacing w:val="40"/>
          <w:position w:val="5"/>
          <w:sz w:val="14"/>
        </w:rPr>
        <w:t>  </w:t>
      </w:r>
      <w:r>
        <w:rPr/>
        <w:t>The relations between assignor and debtor (other than the issue of assignability), if a </w:t>
      </w:r>
      <w:r>
        <w:rPr/>
        <w:t>contract exists between them, will be governed by the law applicable to that contract identified by reference to the rules of the Convention: Giuliano-Lagarde Report, p.35.</w:t>
      </w:r>
    </w:p>
    <w:p>
      <w:pPr>
        <w:pStyle w:val="BodyText"/>
        <w:spacing w:before="9"/>
      </w:pPr>
    </w:p>
    <w:p>
      <w:pPr>
        <w:spacing w:line="235" w:lineRule="auto" w:before="0"/>
        <w:ind w:left="705" w:right="167" w:hanging="541"/>
        <w:jc w:val="both"/>
        <w:rPr>
          <w:sz w:val="20"/>
        </w:rPr>
      </w:pPr>
      <w:bookmarkStart w:name="_bookmark1168" w:id="1170"/>
      <w:bookmarkEnd w:id="1170"/>
      <w:r>
        <w:rPr/>
      </w:r>
      <w:hyperlink w:history="true" w:anchor="_bookmark1141">
        <w:r>
          <w:rPr>
            <w:color w:val="005DA1"/>
            <w:position w:val="5"/>
            <w:sz w:val="14"/>
            <w:u w:val="single" w:color="005DA1"/>
          </w:rPr>
          <w:t>605</w:t>
        </w:r>
      </w:hyperlink>
      <w:r>
        <w:rPr>
          <w:position w:val="5"/>
          <w:sz w:val="14"/>
        </w:rPr>
        <w:t>.</w:t>
      </w:r>
      <w:r>
        <w:rPr>
          <w:spacing w:val="80"/>
          <w:position w:val="5"/>
          <w:sz w:val="14"/>
        </w:rPr>
        <w:t>  </w:t>
      </w:r>
      <w:r>
        <w:rPr>
          <w:sz w:val="20"/>
        </w:rPr>
        <w:t>This</w:t>
      </w:r>
      <w:r>
        <w:rPr>
          <w:spacing w:val="37"/>
          <w:sz w:val="20"/>
        </w:rPr>
        <w:t> </w:t>
      </w:r>
      <w:r>
        <w:rPr>
          <w:sz w:val="20"/>
        </w:rPr>
        <w:t>was</w:t>
      </w:r>
      <w:r>
        <w:rPr>
          <w:spacing w:val="37"/>
          <w:sz w:val="20"/>
        </w:rPr>
        <w:t> </w:t>
      </w:r>
      <w:r>
        <w:rPr>
          <w:sz w:val="20"/>
        </w:rPr>
        <w:t>probably</w:t>
      </w:r>
      <w:r>
        <w:rPr>
          <w:spacing w:val="37"/>
          <w:sz w:val="20"/>
        </w:rPr>
        <w:t> </w:t>
      </w:r>
      <w:r>
        <w:rPr>
          <w:sz w:val="20"/>
        </w:rPr>
        <w:t>the</w:t>
      </w:r>
      <w:r>
        <w:rPr>
          <w:spacing w:val="37"/>
          <w:sz w:val="20"/>
        </w:rPr>
        <w:t> </w:t>
      </w:r>
      <w:r>
        <w:rPr>
          <w:sz w:val="20"/>
        </w:rPr>
        <w:t>common</w:t>
      </w:r>
      <w:r>
        <w:rPr>
          <w:spacing w:val="37"/>
          <w:sz w:val="20"/>
        </w:rPr>
        <w:t> </w:t>
      </w:r>
      <w:r>
        <w:rPr>
          <w:sz w:val="20"/>
        </w:rPr>
        <w:t>law</w:t>
      </w:r>
      <w:r>
        <w:rPr>
          <w:spacing w:val="37"/>
          <w:sz w:val="20"/>
        </w:rPr>
        <w:t> </w:t>
      </w:r>
      <w:r>
        <w:rPr>
          <w:sz w:val="20"/>
        </w:rPr>
        <w:t>rule:</w:t>
      </w:r>
      <w:r>
        <w:rPr>
          <w:spacing w:val="37"/>
          <w:sz w:val="20"/>
        </w:rPr>
        <w:t> </w:t>
      </w:r>
      <w:r>
        <w:rPr>
          <w:sz w:val="20"/>
        </w:rPr>
        <w:t>Dicey,</w:t>
      </w:r>
      <w:r>
        <w:rPr>
          <w:spacing w:val="37"/>
          <w:sz w:val="20"/>
        </w:rPr>
        <w:t> </w:t>
      </w:r>
      <w:r>
        <w:rPr>
          <w:sz w:val="20"/>
        </w:rPr>
        <w:t>Morris</w:t>
      </w:r>
      <w:r>
        <w:rPr>
          <w:spacing w:val="37"/>
          <w:sz w:val="20"/>
        </w:rPr>
        <w:t> </w:t>
      </w:r>
      <w:r>
        <w:rPr>
          <w:sz w:val="20"/>
        </w:rPr>
        <w:t>and</w:t>
      </w:r>
      <w:r>
        <w:rPr>
          <w:spacing w:val="37"/>
          <w:sz w:val="20"/>
        </w:rPr>
        <w:t> </w:t>
      </w:r>
      <w:r>
        <w:rPr>
          <w:sz w:val="20"/>
        </w:rPr>
        <w:t>Collins,</w:t>
      </w:r>
      <w:r>
        <w:rPr>
          <w:spacing w:val="37"/>
          <w:sz w:val="20"/>
        </w:rPr>
        <w:t> </w:t>
      </w:r>
      <w:r>
        <w:rPr>
          <w:sz w:val="20"/>
        </w:rPr>
        <w:t>para.24-054;</w:t>
      </w:r>
      <w:r>
        <w:rPr>
          <w:spacing w:val="37"/>
          <w:sz w:val="20"/>
        </w:rPr>
        <w:t> </w:t>
      </w:r>
      <w:r>
        <w:rPr>
          <w:sz w:val="20"/>
        </w:rPr>
        <w:t>Cheshire, North and Fawcett, pp.1229-1235; </w:t>
      </w:r>
      <w:r>
        <w:rPr>
          <w:rFonts w:ascii="Arial" w:hAnsi="Arial"/>
          <w:i/>
          <w:sz w:val="20"/>
        </w:rPr>
        <w:t>Le Feuvre v Sullivan (1855) 100 Moo. P.C. 1</w:t>
      </w:r>
      <w:r>
        <w:rPr>
          <w:sz w:val="20"/>
        </w:rPr>
        <w:t>; </w:t>
      </w:r>
      <w:r>
        <w:rPr>
          <w:rFonts w:ascii="Arial" w:hAnsi="Arial"/>
          <w:i/>
          <w:sz w:val="20"/>
        </w:rPr>
        <w:t>Kelly v Selwyn [1905] Ch. 117</w:t>
      </w:r>
      <w:r>
        <w:rPr>
          <w:sz w:val="20"/>
        </w:rPr>
        <w:t>; cf. </w:t>
      </w:r>
      <w:r>
        <w:rPr>
          <w:rFonts w:ascii="Arial" w:hAnsi="Arial"/>
          <w:i/>
          <w:sz w:val="20"/>
        </w:rPr>
        <w:t>Republica de Guatemala v Nunez [1927] 1 K.B. 669, 695 </w:t>
      </w:r>
      <w:r>
        <w:rPr>
          <w:sz w:val="20"/>
        </w:rPr>
        <w:t>(obiter in favour of lex fori); McKendrick, </w:t>
      </w:r>
      <w:r>
        <w:rPr>
          <w:rFonts w:ascii="Arial" w:hAnsi="Arial"/>
          <w:i/>
          <w:sz w:val="20"/>
        </w:rPr>
        <w:t>Goode on Commercial Law</w:t>
      </w:r>
      <w:r>
        <w:rPr>
          <w:sz w:val="20"/>
        </w:rPr>
        <w:t>, 4th edn (2010), pp.1240-1241; </w:t>
      </w:r>
      <w:r>
        <w:rPr>
          <w:sz w:val="20"/>
        </w:rPr>
        <w:t>Rogerson, </w:t>
      </w:r>
      <w:r>
        <w:rPr>
          <w:rFonts w:ascii="Arial" w:hAnsi="Arial"/>
          <w:i/>
          <w:sz w:val="20"/>
        </w:rPr>
        <w:t>Collier’s Conflict of Laws</w:t>
      </w:r>
      <w:r>
        <w:rPr>
          <w:sz w:val="20"/>
        </w:rPr>
        <w:t>, 4th edn (2013), p404 (lex situs of debt).</w:t>
      </w:r>
    </w:p>
    <w:p>
      <w:pPr>
        <w:pStyle w:val="BodyText"/>
        <w:spacing w:before="8"/>
      </w:pPr>
    </w:p>
    <w:p>
      <w:pPr>
        <w:pStyle w:val="BodyText"/>
        <w:spacing w:line="235" w:lineRule="auto"/>
        <w:ind w:left="705" w:right="167" w:hanging="541"/>
        <w:jc w:val="both"/>
      </w:pPr>
      <w:bookmarkStart w:name="_bookmark1169" w:id="1171"/>
      <w:bookmarkEnd w:id="1171"/>
      <w:r>
        <w:rPr/>
      </w:r>
      <w:hyperlink w:history="true" w:anchor="_bookmark1142">
        <w:r>
          <w:rPr>
            <w:color w:val="005DA1"/>
            <w:position w:val="5"/>
            <w:sz w:val="14"/>
            <w:u w:val="single" w:color="005DA1"/>
          </w:rPr>
          <w:t>606</w:t>
        </w:r>
      </w:hyperlink>
      <w:r>
        <w:rPr>
          <w:position w:val="5"/>
          <w:sz w:val="14"/>
        </w:rPr>
        <w:t>.</w:t>
      </w:r>
      <w:r>
        <w:rPr>
          <w:spacing w:val="80"/>
          <w:position w:val="5"/>
          <w:sz w:val="14"/>
        </w:rPr>
        <w:t> </w:t>
      </w:r>
      <w:r>
        <w:rPr/>
        <w:t>Dicey, Morris and Collins, para.24-064 takes the view that proprietary effects are </w:t>
      </w:r>
      <w:r>
        <w:rPr/>
        <w:t>included. Contrast Goode, 4th edn (2010), pp.1240-1241 and Moshinsky (1992) 109 L.Q.R. 591, who</w:t>
      </w:r>
      <w:r>
        <w:rPr>
          <w:spacing w:val="40"/>
        </w:rPr>
        <w:t> </w:t>
      </w:r>
      <w:r>
        <w:rPr/>
        <w:t>take the view that they are not. See, generally, Plender and Wilderspin, 4th edn (2014), Ch.13.</w:t>
      </w:r>
    </w:p>
    <w:p>
      <w:pPr>
        <w:pStyle w:val="BodyText"/>
        <w:spacing w:before="9"/>
      </w:pPr>
    </w:p>
    <w:p>
      <w:pPr>
        <w:spacing w:line="235" w:lineRule="auto" w:before="0"/>
        <w:ind w:left="705" w:right="168" w:hanging="541"/>
        <w:jc w:val="both"/>
        <w:rPr>
          <w:sz w:val="20"/>
        </w:rPr>
      </w:pPr>
      <w:bookmarkStart w:name="_bookmark1170" w:id="1172"/>
      <w:bookmarkEnd w:id="1172"/>
      <w:r>
        <w:rPr/>
      </w:r>
      <w:hyperlink w:history="true" w:anchor="_bookmark1143">
        <w:r>
          <w:rPr>
            <w:color w:val="005DA1"/>
            <w:position w:val="5"/>
            <w:sz w:val="14"/>
            <w:u w:val="single" w:color="005DA1"/>
          </w:rPr>
          <w:t>607</w:t>
        </w:r>
      </w:hyperlink>
      <w:r>
        <w:rPr>
          <w:position w:val="5"/>
          <w:sz w:val="14"/>
        </w:rPr>
        <w:t>.</w:t>
      </w:r>
      <w:r>
        <w:rPr>
          <w:spacing w:val="40"/>
          <w:position w:val="5"/>
          <w:sz w:val="14"/>
        </w:rPr>
        <w:t>  </w:t>
      </w:r>
      <w:r>
        <w:rPr>
          <w:rFonts w:ascii="Arial"/>
          <w:i/>
          <w:sz w:val="20"/>
        </w:rPr>
        <w:t>[2001] EWCA Civ 68, [2001] Q.B. 825</w:t>
      </w:r>
      <w:r>
        <w:rPr>
          <w:sz w:val="20"/>
        </w:rPr>
        <w:t>. For comment, see Plender and Wilderspin, 4th edn (2014),</w:t>
      </w:r>
      <w:r>
        <w:rPr>
          <w:spacing w:val="40"/>
          <w:sz w:val="20"/>
        </w:rPr>
        <w:t> </w:t>
      </w:r>
      <w:r>
        <w:rPr>
          <w:sz w:val="20"/>
        </w:rPr>
        <w:t>paras</w:t>
      </w:r>
      <w:r>
        <w:rPr>
          <w:spacing w:val="40"/>
          <w:sz w:val="20"/>
        </w:rPr>
        <w:t> </w:t>
      </w:r>
      <w:r>
        <w:rPr>
          <w:sz w:val="20"/>
        </w:rPr>
        <w:t>13-033</w:t>
      </w:r>
      <w:r>
        <w:rPr>
          <w:spacing w:val="40"/>
          <w:sz w:val="20"/>
        </w:rPr>
        <w:t> </w:t>
      </w:r>
      <w:r>
        <w:rPr>
          <w:sz w:val="20"/>
        </w:rPr>
        <w:t>et</w:t>
      </w:r>
      <w:r>
        <w:rPr>
          <w:spacing w:val="40"/>
          <w:sz w:val="20"/>
        </w:rPr>
        <w:t> </w:t>
      </w:r>
      <w:r>
        <w:rPr>
          <w:sz w:val="20"/>
        </w:rPr>
        <w:t>seq.;</w:t>
      </w:r>
      <w:r>
        <w:rPr>
          <w:spacing w:val="40"/>
          <w:sz w:val="20"/>
        </w:rPr>
        <w:t> </w:t>
      </w:r>
      <w:r>
        <w:rPr>
          <w:sz w:val="20"/>
        </w:rPr>
        <w:t>Stevens,</w:t>
      </w:r>
      <w:r>
        <w:rPr>
          <w:spacing w:val="40"/>
          <w:sz w:val="20"/>
        </w:rPr>
        <w:t> </w:t>
      </w:r>
      <w:r>
        <w:rPr>
          <w:rFonts w:ascii="Arial"/>
          <w:i/>
          <w:sz w:val="20"/>
        </w:rPr>
        <w:t>Cross-Border</w:t>
      </w:r>
      <w:r>
        <w:rPr>
          <w:rFonts w:ascii="Arial"/>
          <w:i/>
          <w:spacing w:val="40"/>
          <w:sz w:val="20"/>
        </w:rPr>
        <w:t> </w:t>
      </w:r>
      <w:r>
        <w:rPr>
          <w:rFonts w:ascii="Arial"/>
          <w:i/>
          <w:sz w:val="20"/>
        </w:rPr>
        <w:t>Security</w:t>
      </w:r>
      <w:r>
        <w:rPr>
          <w:rFonts w:ascii="Arial"/>
          <w:i/>
          <w:spacing w:val="40"/>
          <w:sz w:val="20"/>
        </w:rPr>
        <w:t> </w:t>
      </w:r>
      <w:r>
        <w:rPr>
          <w:rFonts w:ascii="Arial"/>
          <w:i/>
          <w:sz w:val="20"/>
        </w:rPr>
        <w:t>and</w:t>
      </w:r>
      <w:r>
        <w:rPr>
          <w:rFonts w:ascii="Arial"/>
          <w:i/>
          <w:spacing w:val="40"/>
          <w:sz w:val="20"/>
        </w:rPr>
        <w:t> </w:t>
      </w:r>
      <w:r>
        <w:rPr>
          <w:rFonts w:ascii="Arial"/>
          <w:i/>
          <w:sz w:val="20"/>
        </w:rPr>
        <w:t>Insolvency</w:t>
      </w:r>
      <w:r>
        <w:rPr>
          <w:rFonts w:ascii="Arial"/>
          <w:i/>
          <w:spacing w:val="40"/>
          <w:sz w:val="20"/>
        </w:rPr>
        <w:t> </w:t>
      </w:r>
      <w:r>
        <w:rPr>
          <w:sz w:val="20"/>
        </w:rPr>
        <w:t>(2001), pp.213-216; Stevens and Struycken (2002) 118 L.Q.R. 15; Briggs [2001] 72 B.Y.B.I.L. 461.</w:t>
      </w:r>
    </w:p>
    <w:p>
      <w:pPr>
        <w:spacing w:after="0" w:line="235" w:lineRule="auto"/>
        <w:jc w:val="both"/>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1144">
        <w:r>
          <w:rPr>
            <w:color w:val="005DA1"/>
            <w:spacing w:val="-4"/>
            <w:position w:val="5"/>
            <w:sz w:val="14"/>
            <w:u w:val="single" w:color="005DA1"/>
          </w:rPr>
          <w:t>608</w:t>
        </w:r>
      </w:hyperlink>
      <w:r>
        <w:rPr>
          <w:spacing w:val="-4"/>
          <w:position w:val="5"/>
          <w:sz w:val="14"/>
        </w:rPr>
        <w:t>.</w:t>
      </w:r>
      <w:r>
        <w:rPr>
          <w:position w:val="5"/>
          <w:sz w:val="14"/>
        </w:rPr>
        <w:tab/>
      </w:r>
      <w:r>
        <w:rPr/>
        <w:t>See</w:t>
      </w:r>
      <w:r>
        <w:rPr>
          <w:spacing w:val="-2"/>
        </w:rPr>
        <w:t> </w:t>
      </w:r>
      <w:r>
        <w:rPr/>
        <w:t>above, para.30-</w:t>
      </w:r>
      <w:r>
        <w:rPr>
          <w:spacing w:val="-4"/>
        </w:rPr>
        <w:t>030.</w:t>
      </w:r>
    </w:p>
    <w:p>
      <w:pPr>
        <w:pStyle w:val="BodyText"/>
        <w:spacing w:before="5"/>
      </w:pPr>
    </w:p>
    <w:p>
      <w:pPr>
        <w:pStyle w:val="BodyText"/>
        <w:tabs>
          <w:tab w:pos="705" w:val="left" w:leader="none"/>
        </w:tabs>
        <w:spacing w:before="1"/>
        <w:ind w:left="165"/>
      </w:pPr>
      <w:bookmarkStart w:name="_bookmark1171" w:id="1173"/>
      <w:bookmarkEnd w:id="1173"/>
      <w:r>
        <w:rPr/>
      </w:r>
      <w:hyperlink w:history="true" w:anchor="_bookmark1144">
        <w:r>
          <w:rPr>
            <w:color w:val="005DA1"/>
            <w:spacing w:val="-4"/>
            <w:position w:val="5"/>
            <w:sz w:val="14"/>
            <w:u w:val="single" w:color="005DA1"/>
          </w:rPr>
          <w:t>609</w:t>
        </w:r>
      </w:hyperlink>
      <w:r>
        <w:rPr>
          <w:spacing w:val="-4"/>
          <w:position w:val="5"/>
          <w:sz w:val="14"/>
        </w:rPr>
        <w:t>.</w:t>
      </w:r>
      <w:r>
        <w:rPr>
          <w:position w:val="5"/>
          <w:sz w:val="14"/>
        </w:rPr>
        <w:tab/>
      </w:r>
      <w:r>
        <w:rPr/>
        <w:t>Relying, inter alia, on Goode, Commercial Law, 2nd edn (1995), pp.1129-</w:t>
      </w:r>
      <w:r>
        <w:rPr>
          <w:spacing w:val="-2"/>
        </w:rPr>
        <w:t>1130.</w:t>
      </w:r>
    </w:p>
    <w:p>
      <w:pPr>
        <w:pStyle w:val="BodyText"/>
        <w:spacing w:before="4"/>
      </w:pPr>
    </w:p>
    <w:p>
      <w:pPr>
        <w:tabs>
          <w:tab w:pos="705" w:val="left" w:leader="none"/>
        </w:tabs>
        <w:spacing w:before="1"/>
        <w:ind w:left="165" w:right="0" w:firstLine="0"/>
        <w:jc w:val="left"/>
        <w:rPr>
          <w:sz w:val="20"/>
        </w:rPr>
      </w:pPr>
      <w:bookmarkStart w:name="_bookmark1172" w:id="1174"/>
      <w:bookmarkEnd w:id="1174"/>
      <w:r>
        <w:rPr/>
      </w:r>
      <w:hyperlink w:history="true" w:anchor="_bookmark1145">
        <w:r>
          <w:rPr>
            <w:color w:val="005DA1"/>
            <w:spacing w:val="-4"/>
            <w:position w:val="5"/>
            <w:sz w:val="14"/>
            <w:u w:val="single" w:color="005DA1"/>
          </w:rPr>
          <w:t>610</w:t>
        </w:r>
      </w:hyperlink>
      <w:r>
        <w:rPr>
          <w:spacing w:val="-4"/>
          <w:position w:val="5"/>
          <w:sz w:val="14"/>
        </w:rPr>
        <w:t>.</w:t>
      </w:r>
      <w:r>
        <w:rPr>
          <w:position w:val="5"/>
          <w:sz w:val="14"/>
        </w:rPr>
        <w:tab/>
      </w:r>
      <w:r>
        <w:rPr>
          <w:rFonts w:ascii="Arial"/>
          <w:i/>
          <w:sz w:val="20"/>
        </w:rPr>
        <w:t>[2001] EWCA Civ 68, [2001] Q.B. 825</w:t>
      </w:r>
      <w:r>
        <w:rPr>
          <w:rFonts w:ascii="Arial"/>
          <w:i/>
          <w:spacing w:val="-1"/>
          <w:sz w:val="20"/>
        </w:rPr>
        <w:t> </w:t>
      </w:r>
      <w:r>
        <w:rPr>
          <w:sz w:val="20"/>
        </w:rPr>
        <w:t>at [34]-</w:t>
      </w:r>
      <w:r>
        <w:rPr>
          <w:spacing w:val="-4"/>
          <w:sz w:val="20"/>
        </w:rPr>
        <w:t>[43].</w:t>
      </w:r>
    </w:p>
    <w:p>
      <w:pPr>
        <w:pStyle w:val="BodyText"/>
        <w:spacing w:before="4"/>
      </w:pPr>
    </w:p>
    <w:p>
      <w:pPr>
        <w:tabs>
          <w:tab w:pos="705" w:val="left" w:leader="none"/>
        </w:tabs>
        <w:spacing w:before="1"/>
        <w:ind w:left="165" w:right="0" w:firstLine="0"/>
        <w:jc w:val="left"/>
        <w:rPr>
          <w:sz w:val="20"/>
        </w:rPr>
      </w:pPr>
      <w:bookmarkStart w:name="_bookmark1173" w:id="1175"/>
      <w:bookmarkEnd w:id="1175"/>
      <w:r>
        <w:rPr/>
      </w:r>
      <w:hyperlink w:history="true" w:anchor="_bookmark1146">
        <w:r>
          <w:rPr>
            <w:color w:val="005DA1"/>
            <w:spacing w:val="-4"/>
            <w:position w:val="5"/>
            <w:sz w:val="14"/>
            <w:u w:val="single" w:color="005DA1"/>
          </w:rPr>
          <w:t>611</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EWCA Civ 68</w:t>
      </w:r>
      <w:r>
        <w:rPr>
          <w:rFonts w:ascii="Arial"/>
          <w:i/>
          <w:spacing w:val="-1"/>
          <w:sz w:val="20"/>
        </w:rPr>
        <w:t> </w:t>
      </w:r>
      <w:r>
        <w:rPr>
          <w:sz w:val="20"/>
        </w:rPr>
        <w:t>at </w:t>
      </w:r>
      <w:r>
        <w:rPr>
          <w:spacing w:val="-2"/>
          <w:sz w:val="20"/>
        </w:rPr>
        <w:t>[43].</w:t>
      </w:r>
    </w:p>
    <w:p>
      <w:pPr>
        <w:pStyle w:val="BodyText"/>
        <w:spacing w:before="4"/>
      </w:pPr>
    </w:p>
    <w:p>
      <w:pPr>
        <w:tabs>
          <w:tab w:pos="705" w:val="left" w:leader="none"/>
        </w:tabs>
        <w:spacing w:before="1"/>
        <w:ind w:left="165" w:right="0" w:firstLine="0"/>
        <w:jc w:val="left"/>
        <w:rPr>
          <w:sz w:val="20"/>
        </w:rPr>
      </w:pPr>
      <w:bookmarkStart w:name="_bookmark1174" w:id="1176"/>
      <w:bookmarkEnd w:id="1176"/>
      <w:r>
        <w:rPr/>
      </w:r>
      <w:hyperlink w:history="true" w:anchor="_bookmark1147">
        <w:r>
          <w:rPr>
            <w:color w:val="005DA1"/>
            <w:spacing w:val="-4"/>
            <w:position w:val="5"/>
            <w:sz w:val="14"/>
            <w:u w:val="single" w:color="005DA1"/>
          </w:rPr>
          <w:t>612</w:t>
        </w:r>
      </w:hyperlink>
      <w:r>
        <w:rPr>
          <w:spacing w:val="-4"/>
          <w:position w:val="5"/>
          <w:sz w:val="14"/>
        </w:rPr>
        <w:t>.</w:t>
      </w:r>
      <w:r>
        <w:rPr>
          <w:position w:val="5"/>
          <w:sz w:val="14"/>
        </w:rPr>
        <w:tab/>
      </w:r>
      <w:r>
        <w:rPr>
          <w:rFonts w:ascii="Arial"/>
          <w:i/>
          <w:sz w:val="20"/>
        </w:rPr>
        <w:t>[2001] EWCA Civ </w:t>
      </w:r>
      <w:r>
        <w:rPr>
          <w:rFonts w:ascii="Arial"/>
          <w:i/>
          <w:spacing w:val="-5"/>
          <w:sz w:val="20"/>
        </w:rPr>
        <w:t>68</w:t>
      </w:r>
      <w:r>
        <w:rPr>
          <w:spacing w:val="-5"/>
          <w:sz w:val="20"/>
        </w:rPr>
        <w:t>.</w:t>
      </w:r>
    </w:p>
    <w:p>
      <w:pPr>
        <w:pStyle w:val="BodyText"/>
        <w:spacing w:before="8"/>
      </w:pPr>
    </w:p>
    <w:p>
      <w:pPr>
        <w:pStyle w:val="BodyText"/>
        <w:spacing w:line="235" w:lineRule="auto"/>
        <w:ind w:left="705" w:right="167" w:hanging="541"/>
        <w:jc w:val="both"/>
        <w:rPr>
          <w:rFonts w:ascii="Arial"/>
          <w:i/>
        </w:rPr>
      </w:pPr>
      <w:bookmarkStart w:name="_bookmark1175" w:id="1177"/>
      <w:bookmarkEnd w:id="1177"/>
      <w:r>
        <w:rPr/>
      </w:r>
      <w:hyperlink w:history="true" w:anchor="_bookmark1148">
        <w:r>
          <w:rPr>
            <w:color w:val="005DA1"/>
            <w:position w:val="5"/>
            <w:sz w:val="14"/>
            <w:u w:val="single" w:color="005DA1"/>
          </w:rPr>
          <w:t>613</w:t>
        </w:r>
      </w:hyperlink>
      <w:r>
        <w:rPr>
          <w:position w:val="5"/>
          <w:sz w:val="14"/>
        </w:rPr>
        <w:t>.</w:t>
      </w:r>
      <w:r>
        <w:rPr>
          <w:spacing w:val="40"/>
          <w:position w:val="5"/>
          <w:sz w:val="14"/>
        </w:rPr>
        <w:t>  </w:t>
      </w:r>
      <w:r>
        <w:rPr>
          <w:rFonts w:ascii="Arial"/>
          <w:i/>
        </w:rPr>
        <w:t>[2001] EWCA Civ 68</w:t>
      </w:r>
      <w:r>
        <w:rPr/>
        <w:t>. The court referred to two decisions of the German Supreme Court to</w:t>
      </w:r>
      <w:r>
        <w:rPr>
          <w:spacing w:val="40"/>
        </w:rPr>
        <w:t> </w:t>
      </w:r>
      <w:r>
        <w:rPr/>
        <w:t>similar effect: see </w:t>
      </w:r>
      <w:r>
        <w:rPr>
          <w:rFonts w:ascii="Arial"/>
          <w:i/>
        </w:rPr>
        <w:t>Raiffeisen [2001] EWCA Civ 68 </w:t>
      </w:r>
      <w:r>
        <w:rPr/>
        <w:t>at [49]-[50]; see also von Bar (1989) 53 RabelsZ 462. The court also referred to a decision of the Dutch Hoge Raad, discussed by Struycken</w:t>
      </w:r>
      <w:r>
        <w:rPr>
          <w:spacing w:val="7"/>
        </w:rPr>
        <w:t> </w:t>
      </w:r>
      <w:r>
        <w:rPr/>
        <w:t>[1998]</w:t>
      </w:r>
      <w:r>
        <w:rPr>
          <w:spacing w:val="7"/>
        </w:rPr>
        <w:t> </w:t>
      </w:r>
      <w:r>
        <w:rPr/>
        <w:t>L.M.C.L.Q.</w:t>
      </w:r>
      <w:r>
        <w:rPr>
          <w:spacing w:val="7"/>
        </w:rPr>
        <w:t> </w:t>
      </w:r>
      <w:r>
        <w:rPr/>
        <w:t>345</w:t>
      </w:r>
      <w:r>
        <w:rPr>
          <w:spacing w:val="7"/>
        </w:rPr>
        <w:t> </w:t>
      </w:r>
      <w:r>
        <w:rPr/>
        <w:t>and</w:t>
      </w:r>
      <w:r>
        <w:rPr>
          <w:spacing w:val="7"/>
        </w:rPr>
        <w:t> </w:t>
      </w:r>
      <w:r>
        <w:rPr/>
        <w:t>Koppenol-Laforce</w:t>
      </w:r>
      <w:r>
        <w:rPr>
          <w:spacing w:val="7"/>
        </w:rPr>
        <w:t> </w:t>
      </w:r>
      <w:r>
        <w:rPr/>
        <w:t>(1998)</w:t>
      </w:r>
      <w:r>
        <w:rPr>
          <w:spacing w:val="7"/>
        </w:rPr>
        <w:t> </w:t>
      </w:r>
      <w:r>
        <w:rPr/>
        <w:t>N.I.L.R.</w:t>
      </w:r>
      <w:r>
        <w:rPr>
          <w:spacing w:val="7"/>
        </w:rPr>
        <w:t> </w:t>
      </w:r>
      <w:r>
        <w:rPr/>
        <w:t>129:</w:t>
      </w:r>
      <w:r>
        <w:rPr>
          <w:spacing w:val="7"/>
        </w:rPr>
        <w:t> </w:t>
      </w:r>
      <w:r>
        <w:rPr/>
        <w:t>see</w:t>
      </w:r>
      <w:r>
        <w:rPr>
          <w:spacing w:val="6"/>
        </w:rPr>
        <w:t> </w:t>
      </w:r>
      <w:r>
        <w:rPr>
          <w:rFonts w:ascii="Arial"/>
          <w:i/>
        </w:rPr>
        <w:t>[2001]</w:t>
      </w:r>
      <w:r>
        <w:rPr>
          <w:rFonts w:ascii="Arial"/>
          <w:i/>
          <w:spacing w:val="7"/>
        </w:rPr>
        <w:t> </w:t>
      </w:r>
      <w:r>
        <w:rPr>
          <w:rFonts w:ascii="Arial"/>
          <w:i/>
          <w:spacing w:val="-4"/>
        </w:rPr>
        <w:t>EWCA</w:t>
      </w:r>
    </w:p>
    <w:p>
      <w:pPr>
        <w:spacing w:line="225" w:lineRule="exact" w:before="0"/>
        <w:ind w:left="705" w:right="0" w:firstLine="0"/>
        <w:jc w:val="left"/>
        <w:rPr>
          <w:sz w:val="20"/>
        </w:rPr>
      </w:pPr>
      <w:r>
        <w:rPr>
          <w:rFonts w:ascii="Arial"/>
          <w:i/>
          <w:sz w:val="20"/>
        </w:rPr>
        <w:t>Civ 68, [2001] Q.B. 825</w:t>
      </w:r>
      <w:r>
        <w:rPr>
          <w:rFonts w:ascii="Arial"/>
          <w:i/>
          <w:spacing w:val="-1"/>
          <w:sz w:val="20"/>
        </w:rPr>
        <w:t> </w:t>
      </w:r>
      <w:r>
        <w:rPr>
          <w:sz w:val="20"/>
        </w:rPr>
        <w:t>at [51]-</w:t>
      </w:r>
      <w:r>
        <w:rPr>
          <w:spacing w:val="-2"/>
          <w:sz w:val="20"/>
        </w:rPr>
        <w:t>[52].</w:t>
      </w:r>
    </w:p>
    <w:p>
      <w:pPr>
        <w:pStyle w:val="BodyText"/>
        <w:spacing w:before="5"/>
      </w:pPr>
    </w:p>
    <w:p>
      <w:pPr>
        <w:pStyle w:val="BodyText"/>
        <w:tabs>
          <w:tab w:pos="705" w:val="left" w:leader="none"/>
        </w:tabs>
        <w:ind w:left="165"/>
      </w:pPr>
      <w:bookmarkStart w:name="_bookmark1176" w:id="1178"/>
      <w:bookmarkEnd w:id="1178"/>
      <w:r>
        <w:rPr/>
      </w:r>
      <w:hyperlink w:history="true" w:anchor="_bookmark1149">
        <w:r>
          <w:rPr>
            <w:color w:val="005DA1"/>
            <w:spacing w:val="-4"/>
            <w:position w:val="5"/>
            <w:sz w:val="14"/>
            <w:u w:val="single" w:color="005DA1"/>
          </w:rPr>
          <w:t>614</w:t>
        </w:r>
      </w:hyperlink>
      <w:r>
        <w:rPr>
          <w:spacing w:val="-4"/>
          <w:position w:val="5"/>
          <w:sz w:val="14"/>
        </w:rPr>
        <w:t>.</w:t>
      </w:r>
      <w:r>
        <w:rPr>
          <w:position w:val="5"/>
          <w:sz w:val="14"/>
        </w:rPr>
        <w:tab/>
      </w:r>
      <w:r>
        <w:rPr/>
        <w:t>Dicey, Morris and Collins, para.24-</w:t>
      </w:r>
      <w:r>
        <w:rPr>
          <w:spacing w:val="-4"/>
        </w:rPr>
        <w:t>062.</w:t>
      </w:r>
    </w:p>
    <w:p>
      <w:pPr>
        <w:pStyle w:val="BodyText"/>
        <w:spacing w:before="9"/>
      </w:pPr>
    </w:p>
    <w:p>
      <w:pPr>
        <w:spacing w:line="235" w:lineRule="auto" w:before="0"/>
        <w:ind w:left="705" w:right="167" w:hanging="541"/>
        <w:jc w:val="both"/>
        <w:rPr>
          <w:sz w:val="20"/>
        </w:rPr>
      </w:pPr>
      <w:bookmarkStart w:name="_bookmark1177" w:id="1179"/>
      <w:bookmarkEnd w:id="1179"/>
      <w:r>
        <w:rPr/>
      </w:r>
      <w:hyperlink w:history="true" w:anchor="_bookmark1150">
        <w:r>
          <w:rPr>
            <w:color w:val="005DA1"/>
            <w:position w:val="5"/>
            <w:sz w:val="14"/>
            <w:u w:val="single" w:color="005DA1"/>
          </w:rPr>
          <w:t>615</w:t>
        </w:r>
      </w:hyperlink>
      <w:r>
        <w:rPr>
          <w:position w:val="5"/>
          <w:sz w:val="14"/>
        </w:rPr>
        <w:t>.</w:t>
      </w:r>
      <w:r>
        <w:rPr>
          <w:spacing w:val="80"/>
          <w:position w:val="5"/>
          <w:sz w:val="14"/>
        </w:rPr>
        <w:t>  </w:t>
      </w:r>
      <w:r>
        <w:rPr>
          <w:sz w:val="20"/>
        </w:rPr>
        <w:t>See</w:t>
      </w:r>
      <w:r>
        <w:rPr>
          <w:spacing w:val="35"/>
          <w:sz w:val="20"/>
        </w:rPr>
        <w:t> </w:t>
      </w:r>
      <w:r>
        <w:rPr>
          <w:sz w:val="20"/>
        </w:rPr>
        <w:t>Dicey,</w:t>
      </w:r>
      <w:r>
        <w:rPr>
          <w:spacing w:val="35"/>
          <w:sz w:val="20"/>
        </w:rPr>
        <w:t> </w:t>
      </w:r>
      <w:r>
        <w:rPr>
          <w:sz w:val="20"/>
        </w:rPr>
        <w:t>Morris</w:t>
      </w:r>
      <w:r>
        <w:rPr>
          <w:spacing w:val="35"/>
          <w:sz w:val="20"/>
        </w:rPr>
        <w:t> </w:t>
      </w:r>
      <w:r>
        <w:rPr>
          <w:sz w:val="20"/>
        </w:rPr>
        <w:t>and</w:t>
      </w:r>
      <w:r>
        <w:rPr>
          <w:spacing w:val="35"/>
          <w:sz w:val="20"/>
        </w:rPr>
        <w:t> </w:t>
      </w:r>
      <w:r>
        <w:rPr>
          <w:sz w:val="20"/>
        </w:rPr>
        <w:t>Collins,</w:t>
      </w:r>
      <w:r>
        <w:rPr>
          <w:spacing w:val="35"/>
          <w:sz w:val="20"/>
        </w:rPr>
        <w:t> </w:t>
      </w:r>
      <w:r>
        <w:rPr>
          <w:sz w:val="20"/>
        </w:rPr>
        <w:t>para.32-211;</w:t>
      </w:r>
      <w:r>
        <w:rPr>
          <w:spacing w:val="35"/>
          <w:sz w:val="20"/>
        </w:rPr>
        <w:t> </w:t>
      </w:r>
      <w:r>
        <w:rPr>
          <w:sz w:val="20"/>
        </w:rPr>
        <w:t>Plender</w:t>
      </w:r>
      <w:r>
        <w:rPr>
          <w:spacing w:val="35"/>
          <w:sz w:val="20"/>
        </w:rPr>
        <w:t> </w:t>
      </w:r>
      <w:r>
        <w:rPr>
          <w:sz w:val="20"/>
        </w:rPr>
        <w:t>and</w:t>
      </w:r>
      <w:r>
        <w:rPr>
          <w:spacing w:val="35"/>
          <w:sz w:val="20"/>
        </w:rPr>
        <w:t> </w:t>
      </w:r>
      <w:r>
        <w:rPr>
          <w:sz w:val="20"/>
        </w:rPr>
        <w:t>Wilderspin,</w:t>
      </w:r>
      <w:r>
        <w:rPr>
          <w:spacing w:val="35"/>
          <w:sz w:val="20"/>
        </w:rPr>
        <w:t> </w:t>
      </w:r>
      <w:r>
        <w:rPr>
          <w:sz w:val="20"/>
        </w:rPr>
        <w:t>4th</w:t>
      </w:r>
      <w:r>
        <w:rPr>
          <w:spacing w:val="35"/>
          <w:sz w:val="20"/>
        </w:rPr>
        <w:t> </w:t>
      </w:r>
      <w:r>
        <w:rPr>
          <w:sz w:val="20"/>
        </w:rPr>
        <w:t>edn</w:t>
      </w:r>
      <w:r>
        <w:rPr>
          <w:spacing w:val="35"/>
          <w:sz w:val="20"/>
        </w:rPr>
        <w:t> </w:t>
      </w:r>
      <w:r>
        <w:rPr>
          <w:sz w:val="20"/>
        </w:rPr>
        <w:t>(2014),</w:t>
      </w:r>
      <w:r>
        <w:rPr>
          <w:spacing w:val="35"/>
          <w:sz w:val="20"/>
        </w:rPr>
        <w:t> </w:t>
      </w:r>
      <w:r>
        <w:rPr>
          <w:sz w:val="20"/>
        </w:rPr>
        <w:t>paras 13-045 et seq.; Takahashi, </w:t>
      </w:r>
      <w:r>
        <w:rPr>
          <w:rFonts w:ascii="Arial"/>
          <w:i/>
          <w:sz w:val="20"/>
        </w:rPr>
        <w:t>Claims for Contribution and Reimbursement in an </w:t>
      </w:r>
      <w:r>
        <w:rPr>
          <w:rFonts w:ascii="Arial"/>
          <w:i/>
          <w:sz w:val="20"/>
        </w:rPr>
        <w:t>International Context</w:t>
      </w:r>
      <w:r>
        <w:rPr>
          <w:rFonts w:ascii="Arial"/>
          <w:i/>
          <w:spacing w:val="-3"/>
          <w:sz w:val="20"/>
        </w:rPr>
        <w:t> </w:t>
      </w:r>
      <w:r>
        <w:rPr>
          <w:sz w:val="20"/>
        </w:rPr>
        <w:t>(2000),</w:t>
      </w:r>
      <w:r>
        <w:rPr>
          <w:spacing w:val="-3"/>
          <w:sz w:val="20"/>
        </w:rPr>
        <w:t> </w:t>
      </w:r>
      <w:r>
        <w:rPr>
          <w:sz w:val="20"/>
        </w:rPr>
        <w:t>pp.78-82;</w:t>
      </w:r>
      <w:r>
        <w:rPr>
          <w:spacing w:val="-3"/>
          <w:sz w:val="20"/>
        </w:rPr>
        <w:t> </w:t>
      </w:r>
      <w:r>
        <w:rPr>
          <w:sz w:val="20"/>
        </w:rPr>
        <w:t>Kaye,</w:t>
      </w:r>
      <w:r>
        <w:rPr>
          <w:spacing w:val="-4"/>
          <w:sz w:val="20"/>
        </w:rPr>
        <w:t> </w:t>
      </w:r>
      <w:r>
        <w:rPr>
          <w:rFonts w:ascii="Arial"/>
          <w:i/>
          <w:sz w:val="20"/>
        </w:rPr>
        <w:t>The</w:t>
      </w:r>
      <w:r>
        <w:rPr>
          <w:rFonts w:ascii="Arial"/>
          <w:i/>
          <w:spacing w:val="-3"/>
          <w:sz w:val="20"/>
        </w:rPr>
        <w:t> </w:t>
      </w:r>
      <w:r>
        <w:rPr>
          <w:rFonts w:ascii="Arial"/>
          <w:i/>
          <w:sz w:val="20"/>
        </w:rPr>
        <w:t>New</w:t>
      </w:r>
      <w:r>
        <w:rPr>
          <w:rFonts w:ascii="Arial"/>
          <w:i/>
          <w:spacing w:val="-3"/>
          <w:sz w:val="20"/>
        </w:rPr>
        <w:t> </w:t>
      </w:r>
      <w:r>
        <w:rPr>
          <w:rFonts w:ascii="Arial"/>
          <w:i/>
          <w:sz w:val="20"/>
        </w:rPr>
        <w:t>Private</w:t>
      </w:r>
      <w:r>
        <w:rPr>
          <w:rFonts w:ascii="Arial"/>
          <w:i/>
          <w:spacing w:val="-3"/>
          <w:sz w:val="20"/>
        </w:rPr>
        <w:t> </w:t>
      </w:r>
      <w:r>
        <w:rPr>
          <w:rFonts w:ascii="Arial"/>
          <w:i/>
          <w:sz w:val="20"/>
        </w:rPr>
        <w:t>International</w:t>
      </w:r>
      <w:r>
        <w:rPr>
          <w:rFonts w:ascii="Arial"/>
          <w:i/>
          <w:spacing w:val="-3"/>
          <w:sz w:val="20"/>
        </w:rPr>
        <w:t> </w:t>
      </w:r>
      <w:r>
        <w:rPr>
          <w:rFonts w:ascii="Arial"/>
          <w:i/>
          <w:sz w:val="20"/>
        </w:rPr>
        <w:t>Law</w:t>
      </w:r>
      <w:r>
        <w:rPr>
          <w:rFonts w:ascii="Arial"/>
          <w:i/>
          <w:spacing w:val="-3"/>
          <w:sz w:val="20"/>
        </w:rPr>
        <w:t> </w:t>
      </w:r>
      <w:r>
        <w:rPr>
          <w:rFonts w:ascii="Arial"/>
          <w:i/>
          <w:sz w:val="20"/>
        </w:rPr>
        <w:t>of</w:t>
      </w:r>
      <w:r>
        <w:rPr>
          <w:rFonts w:ascii="Arial"/>
          <w:i/>
          <w:spacing w:val="-3"/>
          <w:sz w:val="20"/>
        </w:rPr>
        <w:t> </w:t>
      </w:r>
      <w:r>
        <w:rPr>
          <w:rFonts w:ascii="Arial"/>
          <w:i/>
          <w:sz w:val="20"/>
        </w:rPr>
        <w:t>Contract</w:t>
      </w:r>
      <w:r>
        <w:rPr>
          <w:rFonts w:ascii="Arial"/>
          <w:i/>
          <w:spacing w:val="-3"/>
          <w:sz w:val="20"/>
        </w:rPr>
        <w:t> </w:t>
      </w:r>
      <w:r>
        <w:rPr>
          <w:rFonts w:ascii="Arial"/>
          <w:i/>
          <w:sz w:val="20"/>
        </w:rPr>
        <w:t>of</w:t>
      </w:r>
      <w:r>
        <w:rPr>
          <w:rFonts w:ascii="Arial"/>
          <w:i/>
          <w:spacing w:val="-3"/>
          <w:sz w:val="20"/>
        </w:rPr>
        <w:t> </w:t>
      </w:r>
      <w:r>
        <w:rPr>
          <w:rFonts w:ascii="Arial"/>
          <w:i/>
          <w:sz w:val="20"/>
        </w:rPr>
        <w:t>the</w:t>
      </w:r>
      <w:r>
        <w:rPr>
          <w:rFonts w:ascii="Arial"/>
          <w:i/>
          <w:spacing w:val="-3"/>
          <w:sz w:val="20"/>
        </w:rPr>
        <w:t> </w:t>
      </w:r>
      <w:r>
        <w:rPr>
          <w:rFonts w:ascii="Arial"/>
          <w:i/>
          <w:sz w:val="20"/>
        </w:rPr>
        <w:t>European Community </w:t>
      </w:r>
      <w:r>
        <w:rPr>
          <w:sz w:val="20"/>
        </w:rPr>
        <w:t>(1993), pp.327-330; Morse (1992) 2 Ybk. Eur. L. 107, 158. As to the position under the Rome I Regulation, see below, paras 30-289 et seq.</w:t>
      </w:r>
    </w:p>
    <w:p>
      <w:pPr>
        <w:pStyle w:val="BodyText"/>
        <w:spacing w:before="4"/>
      </w:pPr>
    </w:p>
    <w:p>
      <w:pPr>
        <w:pStyle w:val="BodyText"/>
        <w:tabs>
          <w:tab w:pos="705" w:val="left" w:leader="none"/>
        </w:tabs>
        <w:spacing w:before="1"/>
        <w:ind w:left="165"/>
      </w:pPr>
      <w:bookmarkStart w:name="_bookmark1178" w:id="1180"/>
      <w:bookmarkEnd w:id="1180"/>
      <w:r>
        <w:rPr/>
      </w:r>
      <w:hyperlink w:history="true" w:anchor="_bookmark1151">
        <w:r>
          <w:rPr>
            <w:color w:val="005DA1"/>
            <w:spacing w:val="-4"/>
            <w:position w:val="5"/>
            <w:sz w:val="14"/>
            <w:u w:val="single" w:color="005DA1"/>
          </w:rPr>
          <w:t>616</w:t>
        </w:r>
      </w:hyperlink>
      <w:r>
        <w:rPr>
          <w:spacing w:val="-4"/>
          <w:position w:val="5"/>
          <w:sz w:val="14"/>
        </w:rPr>
        <w:t>.</w:t>
      </w:r>
      <w:r>
        <w:rPr>
          <w:position w:val="5"/>
          <w:sz w:val="14"/>
        </w:rPr>
        <w:tab/>
      </w:r>
      <w:r>
        <w:rPr/>
        <w:t>Rome Convention </w:t>
      </w:r>
      <w:r>
        <w:rPr>
          <w:spacing w:val="-2"/>
        </w:rPr>
        <w:t>art.13(1).</w:t>
      </w:r>
    </w:p>
    <w:p>
      <w:pPr>
        <w:pStyle w:val="BodyText"/>
        <w:spacing w:before="4"/>
      </w:pPr>
    </w:p>
    <w:p>
      <w:pPr>
        <w:pStyle w:val="BodyText"/>
        <w:tabs>
          <w:tab w:pos="705" w:val="left" w:leader="none"/>
        </w:tabs>
        <w:spacing w:before="1"/>
        <w:ind w:left="165"/>
      </w:pPr>
      <w:bookmarkStart w:name="_bookmark1179" w:id="1181"/>
      <w:bookmarkEnd w:id="1181"/>
      <w:r>
        <w:rPr/>
      </w:r>
      <w:hyperlink w:history="true" w:anchor="_bookmark1152">
        <w:r>
          <w:rPr>
            <w:color w:val="005DA1"/>
            <w:spacing w:val="-4"/>
            <w:position w:val="5"/>
            <w:sz w:val="14"/>
            <w:u w:val="single" w:color="005DA1"/>
          </w:rPr>
          <w:t>617</w:t>
        </w:r>
      </w:hyperlink>
      <w:r>
        <w:rPr>
          <w:spacing w:val="-4"/>
          <w:position w:val="5"/>
          <w:sz w:val="14"/>
        </w:rPr>
        <w:t>.</w:t>
      </w:r>
      <w:r>
        <w:rPr>
          <w:position w:val="5"/>
          <w:sz w:val="14"/>
        </w:rPr>
        <w:tab/>
      </w:r>
      <w:r>
        <w:rPr/>
        <w:t>Giuliano-Lagarde Report, </w:t>
      </w:r>
      <w:r>
        <w:rPr>
          <w:spacing w:val="-2"/>
        </w:rPr>
        <w:t>p.35.</w:t>
      </w:r>
    </w:p>
    <w:p>
      <w:pPr>
        <w:pStyle w:val="BodyText"/>
        <w:spacing w:before="8"/>
      </w:pPr>
    </w:p>
    <w:p>
      <w:pPr>
        <w:tabs>
          <w:tab w:pos="705" w:val="left" w:leader="none"/>
        </w:tabs>
        <w:spacing w:line="235" w:lineRule="auto" w:before="0"/>
        <w:ind w:left="705" w:right="168" w:hanging="541"/>
        <w:jc w:val="left"/>
        <w:rPr>
          <w:sz w:val="20"/>
        </w:rPr>
      </w:pPr>
      <w:bookmarkStart w:name="_bookmark1180" w:id="1182"/>
      <w:bookmarkEnd w:id="1182"/>
      <w:r>
        <w:rPr/>
      </w:r>
      <w:hyperlink w:history="true" w:anchor="_bookmark1153">
        <w:r>
          <w:rPr>
            <w:color w:val="005DA1"/>
            <w:spacing w:val="-4"/>
            <w:position w:val="5"/>
            <w:sz w:val="14"/>
            <w:u w:val="single" w:color="005DA1"/>
          </w:rPr>
          <w:t>618</w:t>
        </w:r>
      </w:hyperlink>
      <w:r>
        <w:rPr>
          <w:spacing w:val="-4"/>
          <w:position w:val="5"/>
          <w:sz w:val="14"/>
        </w:rPr>
        <w:t>.</w:t>
      </w:r>
      <w:r>
        <w:rPr>
          <w:position w:val="5"/>
          <w:sz w:val="14"/>
        </w:rPr>
        <w:tab/>
      </w:r>
      <w:r>
        <w:rPr>
          <w:sz w:val="20"/>
        </w:rPr>
        <w:t>Giuliano-Lagarde</w:t>
      </w:r>
      <w:r>
        <w:rPr>
          <w:spacing w:val="37"/>
          <w:sz w:val="20"/>
        </w:rPr>
        <w:t> </w:t>
      </w:r>
      <w:r>
        <w:rPr>
          <w:sz w:val="20"/>
        </w:rPr>
        <w:t>Report,</w:t>
      </w:r>
      <w:r>
        <w:rPr>
          <w:spacing w:val="37"/>
          <w:sz w:val="20"/>
        </w:rPr>
        <w:t> </w:t>
      </w:r>
      <w:r>
        <w:rPr>
          <w:sz w:val="20"/>
        </w:rPr>
        <w:t>p.35;</w:t>
      </w:r>
      <w:r>
        <w:rPr>
          <w:spacing w:val="37"/>
          <w:sz w:val="20"/>
        </w:rPr>
        <w:t> </w:t>
      </w:r>
      <w:r>
        <w:rPr>
          <w:rFonts w:ascii="Arial"/>
          <w:i/>
          <w:sz w:val="20"/>
        </w:rPr>
        <w:t>West</w:t>
      </w:r>
      <w:r>
        <w:rPr>
          <w:rFonts w:ascii="Arial"/>
          <w:i/>
          <w:spacing w:val="37"/>
          <w:sz w:val="20"/>
        </w:rPr>
        <w:t> </w:t>
      </w:r>
      <w:r>
        <w:rPr>
          <w:rFonts w:ascii="Arial"/>
          <w:i/>
          <w:sz w:val="20"/>
        </w:rPr>
        <w:t>Tankers</w:t>
      </w:r>
      <w:r>
        <w:rPr>
          <w:rFonts w:ascii="Arial"/>
          <w:i/>
          <w:spacing w:val="37"/>
          <w:sz w:val="20"/>
        </w:rPr>
        <w:t> </w:t>
      </w:r>
      <w:r>
        <w:rPr>
          <w:rFonts w:ascii="Arial"/>
          <w:i/>
          <w:sz w:val="20"/>
        </w:rPr>
        <w:t>Inc</w:t>
      </w:r>
      <w:r>
        <w:rPr>
          <w:rFonts w:ascii="Arial"/>
          <w:i/>
          <w:spacing w:val="37"/>
          <w:sz w:val="20"/>
        </w:rPr>
        <w:t> </w:t>
      </w:r>
      <w:r>
        <w:rPr>
          <w:rFonts w:ascii="Arial"/>
          <w:i/>
          <w:sz w:val="20"/>
        </w:rPr>
        <w:t>v</w:t>
      </w:r>
      <w:r>
        <w:rPr>
          <w:rFonts w:ascii="Arial"/>
          <w:i/>
          <w:spacing w:val="37"/>
          <w:sz w:val="20"/>
        </w:rPr>
        <w:t> </w:t>
      </w:r>
      <w:r>
        <w:rPr>
          <w:rFonts w:ascii="Arial"/>
          <w:i/>
          <w:sz w:val="20"/>
        </w:rPr>
        <w:t>RAS</w:t>
      </w:r>
      <w:r>
        <w:rPr>
          <w:rFonts w:ascii="Arial"/>
          <w:i/>
          <w:spacing w:val="37"/>
          <w:sz w:val="20"/>
        </w:rPr>
        <w:t> </w:t>
      </w:r>
      <w:r>
        <w:rPr>
          <w:rFonts w:ascii="Arial"/>
          <w:i/>
          <w:sz w:val="20"/>
        </w:rPr>
        <w:t>Riunione</w:t>
      </w:r>
      <w:r>
        <w:rPr>
          <w:rFonts w:ascii="Arial"/>
          <w:i/>
          <w:spacing w:val="37"/>
          <w:sz w:val="20"/>
        </w:rPr>
        <w:t> </w:t>
      </w:r>
      <w:r>
        <w:rPr>
          <w:rFonts w:ascii="Arial"/>
          <w:i/>
          <w:sz w:val="20"/>
        </w:rPr>
        <w:t>Adriatica</w:t>
      </w:r>
      <w:r>
        <w:rPr>
          <w:rFonts w:ascii="Arial"/>
          <w:i/>
          <w:spacing w:val="37"/>
          <w:sz w:val="20"/>
        </w:rPr>
        <w:t> </w:t>
      </w:r>
      <w:r>
        <w:rPr>
          <w:rFonts w:ascii="Arial"/>
          <w:i/>
          <w:sz w:val="20"/>
        </w:rPr>
        <w:t>di</w:t>
      </w:r>
      <w:r>
        <w:rPr>
          <w:rFonts w:ascii="Arial"/>
          <w:i/>
          <w:spacing w:val="37"/>
          <w:sz w:val="20"/>
        </w:rPr>
        <w:t> </w:t>
      </w:r>
      <w:r>
        <w:rPr>
          <w:rFonts w:ascii="Arial"/>
          <w:i/>
          <w:sz w:val="20"/>
        </w:rPr>
        <w:t>Sicurta</w:t>
      </w:r>
      <w:r>
        <w:rPr>
          <w:rFonts w:ascii="Arial"/>
          <w:i/>
          <w:spacing w:val="37"/>
          <w:sz w:val="20"/>
        </w:rPr>
        <w:t> </w:t>
      </w:r>
      <w:r>
        <w:rPr>
          <w:rFonts w:ascii="Arial"/>
          <w:i/>
          <w:sz w:val="20"/>
        </w:rPr>
        <w:t>SpA [2005]</w:t>
      </w:r>
      <w:r>
        <w:rPr>
          <w:rFonts w:ascii="Arial"/>
          <w:i/>
          <w:spacing w:val="26"/>
          <w:sz w:val="20"/>
        </w:rPr>
        <w:t> </w:t>
      </w:r>
      <w:r>
        <w:rPr>
          <w:rFonts w:ascii="Arial"/>
          <w:i/>
          <w:sz w:val="20"/>
        </w:rPr>
        <w:t>EWHC</w:t>
      </w:r>
      <w:r>
        <w:rPr>
          <w:rFonts w:ascii="Arial"/>
          <w:i/>
          <w:spacing w:val="26"/>
          <w:sz w:val="20"/>
        </w:rPr>
        <w:t> </w:t>
      </w:r>
      <w:r>
        <w:rPr>
          <w:rFonts w:ascii="Arial"/>
          <w:i/>
          <w:sz w:val="20"/>
        </w:rPr>
        <w:t>454</w:t>
      </w:r>
      <w:r>
        <w:rPr>
          <w:rFonts w:ascii="Arial"/>
          <w:i/>
          <w:spacing w:val="26"/>
          <w:sz w:val="20"/>
        </w:rPr>
        <w:t> </w:t>
      </w:r>
      <w:r>
        <w:rPr>
          <w:rFonts w:ascii="Arial"/>
          <w:i/>
          <w:sz w:val="20"/>
        </w:rPr>
        <w:t>(Comm),</w:t>
      </w:r>
      <w:r>
        <w:rPr>
          <w:rFonts w:ascii="Arial"/>
          <w:i/>
          <w:spacing w:val="26"/>
          <w:sz w:val="20"/>
        </w:rPr>
        <w:t> </w:t>
      </w:r>
      <w:r>
        <w:rPr>
          <w:rFonts w:ascii="Arial"/>
          <w:i/>
          <w:sz w:val="20"/>
        </w:rPr>
        <w:t>[2005]</w:t>
      </w:r>
      <w:r>
        <w:rPr>
          <w:rFonts w:ascii="Arial"/>
          <w:i/>
          <w:spacing w:val="26"/>
          <w:sz w:val="20"/>
        </w:rPr>
        <w:t> </w:t>
      </w:r>
      <w:r>
        <w:rPr>
          <w:rFonts w:ascii="Arial"/>
          <w:i/>
          <w:sz w:val="20"/>
        </w:rPr>
        <w:t>1</w:t>
      </w:r>
      <w:r>
        <w:rPr>
          <w:rFonts w:ascii="Arial"/>
          <w:i/>
          <w:spacing w:val="26"/>
          <w:sz w:val="20"/>
        </w:rPr>
        <w:t> </w:t>
      </w:r>
      <w:r>
        <w:rPr>
          <w:rFonts w:ascii="Arial"/>
          <w:i/>
          <w:sz w:val="20"/>
        </w:rPr>
        <w:t>C.L.C.</w:t>
      </w:r>
      <w:r>
        <w:rPr>
          <w:rFonts w:ascii="Arial"/>
          <w:i/>
          <w:spacing w:val="26"/>
          <w:sz w:val="20"/>
        </w:rPr>
        <w:t> </w:t>
      </w:r>
      <w:r>
        <w:rPr>
          <w:rFonts w:ascii="Arial"/>
          <w:i/>
          <w:sz w:val="20"/>
        </w:rPr>
        <w:t>347</w:t>
      </w:r>
      <w:r>
        <w:rPr>
          <w:rFonts w:ascii="Arial"/>
          <w:i/>
          <w:spacing w:val="26"/>
          <w:sz w:val="20"/>
        </w:rPr>
        <w:t> </w:t>
      </w:r>
      <w:r>
        <w:rPr>
          <w:sz w:val="20"/>
        </w:rPr>
        <w:t>and</w:t>
      </w:r>
      <w:r>
        <w:rPr>
          <w:spacing w:val="26"/>
          <w:sz w:val="20"/>
        </w:rPr>
        <w:t> </w:t>
      </w:r>
      <w:r>
        <w:rPr>
          <w:sz w:val="20"/>
        </w:rPr>
        <w:t>C-185/07</w:t>
      </w:r>
      <w:r>
        <w:rPr>
          <w:spacing w:val="26"/>
          <w:sz w:val="20"/>
        </w:rPr>
        <w:t> </w:t>
      </w:r>
      <w:r>
        <w:rPr>
          <w:sz w:val="20"/>
        </w:rPr>
        <w:t>[2009]</w:t>
      </w:r>
      <w:r>
        <w:rPr>
          <w:spacing w:val="26"/>
          <w:sz w:val="20"/>
        </w:rPr>
        <w:t> </w:t>
      </w:r>
      <w:r>
        <w:rPr>
          <w:sz w:val="20"/>
        </w:rPr>
        <w:t>E.C.R.</w:t>
      </w:r>
      <w:r>
        <w:rPr>
          <w:spacing w:val="26"/>
          <w:sz w:val="20"/>
        </w:rPr>
        <w:t> </w:t>
      </w:r>
      <w:r>
        <w:rPr>
          <w:sz w:val="20"/>
        </w:rPr>
        <w:t>I-663,</w:t>
      </w:r>
      <w:r>
        <w:rPr>
          <w:spacing w:val="26"/>
          <w:sz w:val="20"/>
        </w:rPr>
        <w:t> </w:t>
      </w:r>
      <w:r>
        <w:rPr>
          <w:sz w:val="20"/>
        </w:rPr>
        <w:t>[2009]</w:t>
      </w:r>
      <w:r>
        <w:rPr>
          <w:spacing w:val="26"/>
          <w:sz w:val="20"/>
        </w:rPr>
        <w:t> </w:t>
      </w:r>
      <w:r>
        <w:rPr>
          <w:spacing w:val="-10"/>
          <w:sz w:val="20"/>
        </w:rPr>
        <w:t>1</w:t>
      </w:r>
    </w:p>
    <w:p>
      <w:pPr>
        <w:pStyle w:val="BodyText"/>
        <w:spacing w:line="225" w:lineRule="exact"/>
        <w:ind w:left="705"/>
      </w:pPr>
      <w:r>
        <w:rPr/>
        <w:t>A.C. 1138; and see Third Parties (Rights Against Insurers) Act 2010 </w:t>
      </w:r>
      <w:r>
        <w:rPr>
          <w:spacing w:val="-2"/>
        </w:rPr>
        <w:t>s.18.</w:t>
      </w:r>
    </w:p>
    <w:p>
      <w:pPr>
        <w:pStyle w:val="BodyText"/>
        <w:spacing w:before="5"/>
      </w:pPr>
    </w:p>
    <w:p>
      <w:pPr>
        <w:pStyle w:val="BodyText"/>
        <w:tabs>
          <w:tab w:pos="705" w:val="left" w:leader="none"/>
        </w:tabs>
        <w:ind w:left="165"/>
      </w:pPr>
      <w:bookmarkStart w:name="_bookmark1181" w:id="1183"/>
      <w:bookmarkEnd w:id="1183"/>
      <w:r>
        <w:rPr/>
      </w:r>
      <w:hyperlink w:history="true" w:anchor="_bookmark1154">
        <w:r>
          <w:rPr>
            <w:color w:val="005DA1"/>
            <w:spacing w:val="-4"/>
            <w:position w:val="5"/>
            <w:sz w:val="14"/>
            <w:u w:val="single" w:color="005DA1"/>
          </w:rPr>
          <w:t>619</w:t>
        </w:r>
      </w:hyperlink>
      <w:r>
        <w:rPr>
          <w:spacing w:val="-4"/>
          <w:position w:val="5"/>
          <w:sz w:val="14"/>
        </w:rPr>
        <w:t>.</w:t>
      </w:r>
      <w:r>
        <w:rPr>
          <w:position w:val="5"/>
          <w:sz w:val="14"/>
        </w:rPr>
        <w:tab/>
      </w:r>
      <w:r>
        <w:rPr/>
        <w:t>Giuliano-Lagarde Report, </w:t>
      </w:r>
      <w:r>
        <w:rPr>
          <w:spacing w:val="-2"/>
        </w:rPr>
        <w:t>p.35.</w:t>
      </w:r>
    </w:p>
    <w:p>
      <w:pPr>
        <w:pStyle w:val="BodyText"/>
        <w:spacing w:before="5"/>
      </w:pPr>
    </w:p>
    <w:p>
      <w:pPr>
        <w:pStyle w:val="BodyText"/>
        <w:tabs>
          <w:tab w:pos="705" w:val="left" w:leader="none"/>
        </w:tabs>
        <w:spacing w:before="1"/>
        <w:ind w:left="165"/>
      </w:pPr>
      <w:bookmarkStart w:name="_bookmark1182" w:id="1184"/>
      <w:bookmarkEnd w:id="1184"/>
      <w:r>
        <w:rPr/>
      </w:r>
      <w:hyperlink w:history="true" w:anchor="_bookmark1155">
        <w:r>
          <w:rPr>
            <w:color w:val="005DA1"/>
            <w:spacing w:val="-4"/>
            <w:position w:val="5"/>
            <w:sz w:val="14"/>
            <w:u w:val="single" w:color="005DA1"/>
          </w:rPr>
          <w:t>620</w:t>
        </w:r>
      </w:hyperlink>
      <w:r>
        <w:rPr>
          <w:spacing w:val="-4"/>
          <w:position w:val="5"/>
          <w:sz w:val="14"/>
        </w:rPr>
        <w:t>.</w:t>
      </w:r>
      <w:r>
        <w:rPr>
          <w:position w:val="5"/>
          <w:sz w:val="14"/>
        </w:rPr>
        <w:tab/>
      </w:r>
      <w:r>
        <w:rPr/>
        <w:t>Giuliano-Lagarde Report, </w:t>
      </w:r>
      <w:r>
        <w:rPr>
          <w:spacing w:val="-2"/>
        </w:rPr>
        <w:t>p.35.</w:t>
      </w:r>
    </w:p>
    <w:p>
      <w:pPr>
        <w:pStyle w:val="BodyText"/>
        <w:spacing w:before="4"/>
      </w:pPr>
    </w:p>
    <w:p>
      <w:pPr>
        <w:pStyle w:val="BodyText"/>
        <w:tabs>
          <w:tab w:pos="705" w:val="left" w:leader="none"/>
        </w:tabs>
        <w:spacing w:before="1"/>
        <w:ind w:left="165"/>
      </w:pPr>
      <w:bookmarkStart w:name="_bookmark1183" w:id="1185"/>
      <w:bookmarkEnd w:id="1185"/>
      <w:r>
        <w:rPr/>
      </w:r>
      <w:hyperlink w:history="true" w:anchor="_bookmark1156">
        <w:r>
          <w:rPr>
            <w:color w:val="005DA1"/>
            <w:spacing w:val="-4"/>
            <w:position w:val="5"/>
            <w:sz w:val="14"/>
            <w:u w:val="single" w:color="005DA1"/>
          </w:rPr>
          <w:t>621</w:t>
        </w:r>
      </w:hyperlink>
      <w:r>
        <w:rPr>
          <w:spacing w:val="-4"/>
          <w:position w:val="5"/>
          <w:sz w:val="14"/>
        </w:rPr>
        <w:t>.</w:t>
      </w:r>
      <w:r>
        <w:rPr>
          <w:position w:val="5"/>
          <w:sz w:val="14"/>
        </w:rPr>
        <w:tab/>
      </w:r>
      <w:r>
        <w:rPr/>
        <w:t>Rome Convention </w:t>
      </w:r>
      <w:r>
        <w:rPr>
          <w:spacing w:val="-2"/>
        </w:rPr>
        <w:t>art.13(1).</w:t>
      </w:r>
    </w:p>
    <w:p>
      <w:pPr>
        <w:pStyle w:val="BodyText"/>
        <w:spacing w:before="4"/>
      </w:pPr>
    </w:p>
    <w:p>
      <w:pPr>
        <w:tabs>
          <w:tab w:pos="705" w:val="left" w:leader="none"/>
        </w:tabs>
        <w:spacing w:before="1"/>
        <w:ind w:left="165" w:right="0" w:firstLine="0"/>
        <w:jc w:val="left"/>
        <w:rPr>
          <w:sz w:val="20"/>
        </w:rPr>
      </w:pPr>
      <w:bookmarkStart w:name="_bookmark1184" w:id="1186"/>
      <w:bookmarkEnd w:id="1186"/>
      <w:r>
        <w:rPr/>
      </w:r>
      <w:hyperlink w:history="true" w:anchor="_bookmark1157">
        <w:r>
          <w:rPr>
            <w:color w:val="005DA1"/>
            <w:spacing w:val="-4"/>
            <w:position w:val="5"/>
            <w:sz w:val="14"/>
            <w:u w:val="single" w:color="005DA1"/>
          </w:rPr>
          <w:t>622</w:t>
        </w:r>
      </w:hyperlink>
      <w:r>
        <w:rPr>
          <w:spacing w:val="-4"/>
          <w:position w:val="5"/>
          <w:sz w:val="14"/>
        </w:rPr>
        <w:t>.</w:t>
      </w:r>
      <w:r>
        <w:rPr>
          <w:position w:val="5"/>
          <w:sz w:val="14"/>
        </w:rPr>
        <w:tab/>
      </w:r>
      <w:r>
        <w:rPr>
          <w:sz w:val="20"/>
        </w:rPr>
        <w:t>See</w:t>
      </w:r>
      <w:r>
        <w:rPr>
          <w:spacing w:val="-2"/>
          <w:sz w:val="20"/>
        </w:rPr>
        <w:t> </w:t>
      </w:r>
      <w:r>
        <w:rPr>
          <w:rFonts w:ascii="Arial"/>
          <w:i/>
          <w:sz w:val="20"/>
        </w:rPr>
        <w:t>West Tankers Inc v RAS Riunione Adriatica di Sicurta SpA</w:t>
      </w:r>
      <w:r>
        <w:rPr>
          <w:sz w:val="20"/>
        </w:rPr>
        <w:t>, </w:t>
      </w:r>
      <w:r>
        <w:rPr>
          <w:spacing w:val="-2"/>
          <w:sz w:val="20"/>
        </w:rPr>
        <w:t>above.</w:t>
      </w:r>
    </w:p>
    <w:p>
      <w:pPr>
        <w:pStyle w:val="BodyText"/>
        <w:spacing w:before="8"/>
      </w:pPr>
    </w:p>
    <w:p>
      <w:pPr>
        <w:pStyle w:val="BodyText"/>
        <w:tabs>
          <w:tab w:pos="705" w:val="left" w:leader="none"/>
        </w:tabs>
        <w:spacing w:line="235" w:lineRule="auto"/>
        <w:ind w:left="705" w:right="167" w:hanging="541"/>
      </w:pPr>
      <w:bookmarkStart w:name="_bookmark1185" w:id="1187"/>
      <w:bookmarkEnd w:id="1187"/>
      <w:r>
        <w:rPr/>
      </w:r>
      <w:hyperlink w:history="true" w:anchor="_bookmark1158">
        <w:r>
          <w:rPr>
            <w:color w:val="005DA1"/>
            <w:spacing w:val="-4"/>
            <w:position w:val="5"/>
            <w:sz w:val="14"/>
            <w:u w:val="single" w:color="005DA1"/>
          </w:rPr>
          <w:t>623</w:t>
        </w:r>
      </w:hyperlink>
      <w:r>
        <w:rPr>
          <w:spacing w:val="-4"/>
          <w:position w:val="5"/>
          <w:sz w:val="14"/>
        </w:rPr>
        <w:t>.</w:t>
      </w:r>
      <w:r>
        <w:rPr>
          <w:position w:val="5"/>
          <w:sz w:val="14"/>
        </w:rPr>
        <w:tab/>
      </w:r>
      <w:r>
        <w:rPr/>
        <w:t>Rome Convention art.13(2). As to the position under the Rome I Regulation, see below, paras 30-289 et seq.</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spacing w:before="194"/>
        <w:ind w:left="3831" w:right="0" w:firstLine="0"/>
        <w:jc w:val="left"/>
        <w:rPr>
          <w:rFonts w:ascii="Arial"/>
          <w:b/>
          <w:sz w:val="24"/>
        </w:rPr>
      </w:pPr>
      <w:r>
        <w:rPr>
          <w:rFonts w:ascii="Arial"/>
          <w:b/>
          <w:sz w:val="24"/>
        </w:rPr>
        <w:t>(a) - In </w:t>
      </w:r>
      <w:r>
        <w:rPr>
          <w:rFonts w:ascii="Arial"/>
          <w:b/>
          <w:spacing w:val="-2"/>
          <w:sz w:val="24"/>
        </w:rPr>
        <w:t>General</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165" w:right="0" w:firstLine="0"/>
        <w:jc w:val="left"/>
        <w:rPr>
          <w:rFonts w:ascii="Arial"/>
          <w:b/>
          <w:sz w:val="18"/>
        </w:rPr>
      </w:pPr>
      <w:r>
        <w:rPr>
          <w:rFonts w:ascii="Arial"/>
          <w:b/>
          <w:spacing w:val="-2"/>
          <w:sz w:val="18"/>
        </w:rPr>
        <w:t>History</w:t>
      </w:r>
    </w:p>
    <w:p>
      <w:pPr>
        <w:pStyle w:val="BodyText"/>
        <w:spacing w:before="42"/>
        <w:rPr>
          <w:rFonts w:ascii="Arial"/>
          <w:b/>
          <w:sz w:val="18"/>
        </w:rPr>
      </w:pPr>
    </w:p>
    <w:p>
      <w:pPr>
        <w:pStyle w:val="Heading2"/>
      </w:pPr>
      <w:r>
        <w:rPr/>
        <w:t>30-</w:t>
      </w:r>
      <w:r>
        <w:rPr>
          <w:spacing w:val="-5"/>
        </w:rPr>
        <w:t>129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186" w:id="1188"/>
      <w:bookmarkEnd w:id="1188"/>
      <w:r>
        <w:rPr>
          <w:rFonts w:ascii="Times New Roman" w:hAnsi="Times New Roman"/>
          <w:spacing w:val="-22"/>
        </w:rPr>
      </w:r>
      <w:r>
        <w:rPr/>
        <w:t>The provisions inserted into the EC Treaty by the Treaty of Amsterdam </w:t>
      </w:r>
      <w:r>
        <w:rPr>
          <w:color w:val="005DA1"/>
          <w:u w:val="single" w:color="005DA1"/>
          <w:vertAlign w:val="superscript"/>
        </w:rPr>
        <w:t>624</w:t>
      </w:r>
      <w:r>
        <w:rPr>
          <w:color w:val="005DA1"/>
          <w:vertAlign w:val="baseline"/>
        </w:rPr>
        <w:t> </w:t>
      </w:r>
      <w:r>
        <w:rPr>
          <w:vertAlign w:val="baseline"/>
        </w:rPr>
        <w:t>which are concerned </w:t>
      </w:r>
      <w:bookmarkStart w:name="_bookmark1187" w:id="1189"/>
      <w:bookmarkEnd w:id="1189"/>
      <w:r>
        <w:rPr>
          <w:vertAlign w:val="baseline"/>
        </w:rPr>
        <w:t>with</w:t>
      </w:r>
      <w:r>
        <w:rPr>
          <w:vertAlign w:val="baseline"/>
        </w:rPr>
        <w:t> the introduction of “measures in the field of judicial cooperation in civil matters” </w:t>
      </w:r>
      <w:r>
        <w:rPr>
          <w:vertAlign w:val="baseline"/>
        </w:rPr>
        <w:t>envisaged revisions of the Rome Convention. </w:t>
      </w:r>
      <w:r>
        <w:rPr>
          <w:color w:val="005DA1"/>
          <w:u w:val="single" w:color="005DA1"/>
          <w:vertAlign w:val="superscript"/>
        </w:rPr>
        <w:t>625</w:t>
      </w:r>
      <w:r>
        <w:rPr>
          <w:color w:val="005DA1"/>
          <w:vertAlign w:val="baseline"/>
        </w:rPr>
        <w:t> </w:t>
      </w:r>
      <w:r>
        <w:rPr>
          <w:vertAlign w:val="baseline"/>
        </w:rPr>
        <w:t>In an action plan announced in December 1998, the Council and the Commission indicated an intention to:</w:t>
      </w:r>
    </w:p>
    <w:p>
      <w:pPr>
        <w:pStyle w:val="BodyText"/>
      </w:pPr>
    </w:p>
    <w:p>
      <w:pPr>
        <w:pStyle w:val="BodyText"/>
        <w:spacing w:before="125"/>
      </w:pPr>
    </w:p>
    <w:p>
      <w:pPr>
        <w:pStyle w:val="BodyText"/>
        <w:spacing w:line="235" w:lineRule="auto" w:before="1"/>
        <w:ind w:left="1245" w:right="167"/>
        <w:jc w:val="both"/>
      </w:pPr>
      <w:r>
        <w:rPr/>
        <w:t>“… begin revision, where necessary, of certain provisions of the Convention on the </w:t>
      </w:r>
      <w:r>
        <w:rPr/>
        <w:t>Law </w:t>
      </w:r>
      <w:bookmarkStart w:name="_bookmark1188" w:id="1190"/>
      <w:bookmarkEnd w:id="1190"/>
      <w:r>
        <w:rPr/>
        <w:t>Applicable</w:t>
      </w:r>
      <w:r>
        <w:rPr/>
        <w:t> to Contractual Obligations, taking into account special provisions on conflict of law rules in other Community instruments.” </w:t>
      </w:r>
      <w:r>
        <w:rPr>
          <w:color w:val="005DA1"/>
          <w:u w:val="single" w:color="005DA1"/>
          <w:vertAlign w:val="superscript"/>
        </w:rPr>
        <w:t>626</w:t>
      </w:r>
    </w:p>
    <w:p>
      <w:pPr>
        <w:pStyle w:val="BodyText"/>
        <w:spacing w:before="115"/>
      </w:pPr>
    </w:p>
    <w:p>
      <w:pPr>
        <w:pStyle w:val="BodyText"/>
        <w:spacing w:line="235" w:lineRule="auto"/>
        <w:ind w:left="164" w:right="167"/>
        <w:jc w:val="both"/>
      </w:pPr>
      <w:r>
        <w:rPr/>
        <w:t>In January 2003, the Commission issued a Green Paper “on the conversion of the Rome </w:t>
      </w:r>
      <w:r>
        <w:rPr/>
        <w:t>Convention </w:t>
      </w:r>
      <w:bookmarkStart w:name="_bookmark1189" w:id="1191"/>
      <w:bookmarkEnd w:id="1191"/>
      <w:r>
        <w:rPr/>
        <w:t>of</w:t>
      </w:r>
      <w:r>
        <w:rPr/>
        <w:t> 1980 on the law applicable to contractual obligations into a Community instrument and its </w:t>
      </w:r>
      <w:bookmarkStart w:name="_bookmark1190" w:id="1192"/>
      <w:bookmarkEnd w:id="1192"/>
      <w:r>
        <w:rPr/>
        <w:t>modernisation”</w:t>
      </w:r>
      <w:r>
        <w:rPr/>
        <w:t> </w:t>
      </w:r>
      <w:r>
        <w:rPr>
          <w:color w:val="005DA1"/>
          <w:u w:val="single" w:color="005DA1"/>
          <w:vertAlign w:val="superscript"/>
        </w:rPr>
        <w:t>627</w:t>
      </w:r>
      <w:r>
        <w:rPr>
          <w:color w:val="005DA1"/>
          <w:vertAlign w:val="baseline"/>
        </w:rPr>
        <w:t> </w:t>
      </w:r>
      <w:r>
        <w:rPr>
          <w:vertAlign w:val="baseline"/>
        </w:rPr>
        <w:t>as part of a process of consultation on a wide variety of issues concerning the </w:t>
      </w:r>
      <w:bookmarkStart w:name="_bookmark1191" w:id="1193"/>
      <w:bookmarkEnd w:id="1193"/>
      <w:r>
        <w:rPr>
          <w:vertAlign w:val="baseline"/>
        </w:rPr>
        <w:t>Convention.</w:t>
      </w:r>
      <w:r>
        <w:rPr>
          <w:spacing w:val="-3"/>
          <w:vertAlign w:val="baseline"/>
        </w:rPr>
        <w:t> </w:t>
      </w:r>
      <w:r>
        <w:rPr>
          <w:color w:val="005DA1"/>
          <w:u w:val="single" w:color="005DA1"/>
          <w:vertAlign w:val="superscript"/>
        </w:rPr>
        <w:t>628</w:t>
      </w:r>
      <w:r>
        <w:rPr>
          <w:color w:val="005DA1"/>
          <w:spacing w:val="-3"/>
          <w:vertAlign w:val="baseline"/>
        </w:rPr>
        <w:t> </w:t>
      </w:r>
      <w:r>
        <w:rPr>
          <w:vertAlign w:val="baseline"/>
        </w:rPr>
        <w:t>The</w:t>
      </w:r>
      <w:r>
        <w:rPr>
          <w:spacing w:val="-3"/>
          <w:vertAlign w:val="baseline"/>
        </w:rPr>
        <w:t> </w:t>
      </w:r>
      <w:r>
        <w:rPr>
          <w:vertAlign w:val="baseline"/>
        </w:rPr>
        <w:t>Hague</w:t>
      </w:r>
      <w:r>
        <w:rPr>
          <w:spacing w:val="-3"/>
          <w:vertAlign w:val="baseline"/>
        </w:rPr>
        <w:t> </w:t>
      </w:r>
      <w:r>
        <w:rPr>
          <w:vertAlign w:val="baseline"/>
        </w:rPr>
        <w:t>Programme,</w:t>
      </w:r>
      <w:r>
        <w:rPr>
          <w:spacing w:val="-3"/>
          <w:vertAlign w:val="baseline"/>
        </w:rPr>
        <w:t> </w:t>
      </w:r>
      <w:r>
        <w:rPr>
          <w:vertAlign w:val="baseline"/>
        </w:rPr>
        <w:t>adopted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Council</w:t>
      </w:r>
      <w:r>
        <w:rPr>
          <w:spacing w:val="-3"/>
          <w:vertAlign w:val="baseline"/>
        </w:rPr>
        <w:t> </w:t>
      </w:r>
      <w:r>
        <w:rPr>
          <w:vertAlign w:val="baseline"/>
        </w:rPr>
        <w:t>on</w:t>
      </w:r>
      <w:r>
        <w:rPr>
          <w:spacing w:val="-3"/>
          <w:vertAlign w:val="baseline"/>
        </w:rPr>
        <w:t> </w:t>
      </w:r>
      <w:r>
        <w:rPr>
          <w:vertAlign w:val="baseline"/>
        </w:rPr>
        <w:t>November</w:t>
      </w:r>
      <w:r>
        <w:rPr>
          <w:spacing w:val="-3"/>
          <w:vertAlign w:val="baseline"/>
        </w:rPr>
        <w:t> </w:t>
      </w:r>
      <w:r>
        <w:rPr>
          <w:vertAlign w:val="baseline"/>
        </w:rPr>
        <w:t>5,</w:t>
      </w:r>
      <w:r>
        <w:rPr>
          <w:spacing w:val="-3"/>
          <w:vertAlign w:val="baseline"/>
        </w:rPr>
        <w:t> </w:t>
      </w:r>
      <w:r>
        <w:rPr>
          <w:vertAlign w:val="baseline"/>
        </w:rPr>
        <w:t>2004,</w:t>
      </w:r>
      <w:r>
        <w:rPr>
          <w:spacing w:val="-3"/>
          <w:vertAlign w:val="baseline"/>
        </w:rPr>
        <w:t> </w:t>
      </w:r>
      <w:r>
        <w:rPr>
          <w:vertAlign w:val="baseline"/>
        </w:rPr>
        <w:t>called</w:t>
      </w:r>
      <w:r>
        <w:rPr>
          <w:spacing w:val="-3"/>
          <w:vertAlign w:val="baseline"/>
        </w:rPr>
        <w:t> </w:t>
      </w:r>
      <w:r>
        <w:rPr>
          <w:vertAlign w:val="baseline"/>
        </w:rPr>
        <w:t>for</w:t>
      </w:r>
      <w:r>
        <w:rPr>
          <w:spacing w:val="-3"/>
          <w:vertAlign w:val="baseline"/>
        </w:rPr>
        <w:t> </w:t>
      </w:r>
      <w:r>
        <w:rPr>
          <w:vertAlign w:val="baseline"/>
        </w:rPr>
        <w:t>work to be pursued actively on the rules of conflict of laws regarding contractual obligations (Rome I). </w:t>
      </w:r>
      <w:r>
        <w:rPr>
          <w:color w:val="005DA1"/>
          <w:u w:val="single" w:color="005DA1"/>
          <w:vertAlign w:val="superscript"/>
        </w:rPr>
        <w:t>629</w:t>
      </w:r>
      <w:r>
        <w:rPr>
          <w:color w:val="005DA1"/>
          <w:vertAlign w:val="baseline"/>
        </w:rPr>
        <w:t> </w:t>
      </w:r>
      <w:bookmarkStart w:name="_bookmark1192" w:id="1194"/>
      <w:bookmarkEnd w:id="1194"/>
      <w:r>
        <w:rPr>
          <w:color w:val="005DA1"/>
          <w:w w:val="92"/>
          <w:vertAlign w:val="baseline"/>
        </w:rPr>
      </w:r>
      <w:r>
        <w:rPr>
          <w:vertAlign w:val="baseline"/>
        </w:rPr>
        <w:t>This resulted, in December 2005, in a proposal, presented by the Commission, for the conversion of the Rome Convention into a Regulation of the European Parliament and the Council. </w:t>
      </w:r>
      <w:r>
        <w:rPr>
          <w:color w:val="005DA1"/>
          <w:u w:val="single" w:color="005DA1"/>
          <w:vertAlign w:val="superscript"/>
        </w:rPr>
        <w:t>630</w:t>
      </w:r>
      <w:r>
        <w:rPr>
          <w:color w:val="005DA1"/>
          <w:vertAlign w:val="baseline"/>
        </w:rPr>
        <w:t> </w:t>
      </w:r>
      <w:r>
        <w:rPr>
          <w:vertAlign w:val="baseline"/>
        </w:rPr>
        <w:t>After much debate and discussion, new provisions on the law applicable to contractual obligations were </w:t>
      </w:r>
      <w:bookmarkStart w:name="_bookmark1193" w:id="1195"/>
      <w:bookmarkEnd w:id="1195"/>
      <w:r>
        <w:rPr>
          <w:vertAlign w:val="baseline"/>
        </w:rPr>
        <w:t>established</w:t>
      </w:r>
      <w:r>
        <w:rPr>
          <w:vertAlign w:val="baseline"/>
        </w:rPr>
        <w:t> in Regulation (EC) 593/2008 of June 17, 2008 on the law applicable to contractual </w:t>
      </w:r>
      <w:bookmarkStart w:name="_bookmark1194" w:id="1196"/>
      <w:bookmarkEnd w:id="1196"/>
      <w:r>
        <w:rPr>
          <w:vertAlign w:val="baseline"/>
        </w:rPr>
        <w:t>obligations</w:t>
      </w:r>
      <w:r>
        <w:rPr>
          <w:vertAlign w:val="baseline"/>
        </w:rPr>
        <w:t> (Rome I) </w:t>
      </w:r>
      <w:r>
        <w:rPr>
          <w:color w:val="005DA1"/>
          <w:u w:val="single" w:color="005DA1"/>
          <w:vertAlign w:val="superscript"/>
        </w:rPr>
        <w:t>631</w:t>
      </w:r>
      <w:r>
        <w:rPr>
          <w:color w:val="005DA1"/>
          <w:vertAlign w:val="baseline"/>
        </w:rPr>
        <w:t> </w:t>
      </w:r>
      <w:r>
        <w:rPr>
          <w:vertAlign w:val="baseline"/>
        </w:rPr>
        <w:t>(hereafter the “Rome I Regulation” or the “Regulation”). The Regulation </w:t>
      </w:r>
      <w:bookmarkStart w:name="_bookmark1195" w:id="1197"/>
      <w:bookmarkEnd w:id="1197"/>
      <w:r>
        <w:rPr>
          <w:vertAlign w:val="baseline"/>
        </w:rPr>
        <w:t>entered</w:t>
      </w:r>
      <w:r>
        <w:rPr>
          <w:spacing w:val="8"/>
          <w:vertAlign w:val="baseline"/>
        </w:rPr>
        <w:t> </w:t>
      </w:r>
      <w:r>
        <w:rPr>
          <w:vertAlign w:val="baseline"/>
        </w:rPr>
        <w:t>into</w:t>
      </w:r>
      <w:r>
        <w:rPr>
          <w:spacing w:val="8"/>
          <w:vertAlign w:val="baseline"/>
        </w:rPr>
        <w:t> </w:t>
      </w:r>
      <w:r>
        <w:rPr>
          <w:vertAlign w:val="baseline"/>
        </w:rPr>
        <w:t>force</w:t>
      </w:r>
      <w:r>
        <w:rPr>
          <w:spacing w:val="8"/>
          <w:vertAlign w:val="baseline"/>
        </w:rPr>
        <w:t> </w:t>
      </w:r>
      <w:r>
        <w:rPr>
          <w:vertAlign w:val="baseline"/>
        </w:rPr>
        <w:t>on</w:t>
      </w:r>
      <w:r>
        <w:rPr>
          <w:spacing w:val="8"/>
          <w:vertAlign w:val="baseline"/>
        </w:rPr>
        <w:t> </w:t>
      </w:r>
      <w:r>
        <w:rPr>
          <w:vertAlign w:val="baseline"/>
        </w:rPr>
        <w:t>July</w:t>
      </w:r>
      <w:r>
        <w:rPr>
          <w:spacing w:val="8"/>
          <w:vertAlign w:val="baseline"/>
        </w:rPr>
        <w:t> </w:t>
      </w:r>
      <w:r>
        <w:rPr>
          <w:vertAlign w:val="baseline"/>
        </w:rPr>
        <w:t>24,</w:t>
      </w:r>
      <w:r>
        <w:rPr>
          <w:spacing w:val="8"/>
          <w:vertAlign w:val="baseline"/>
        </w:rPr>
        <w:t> </w:t>
      </w:r>
      <w:r>
        <w:rPr>
          <w:vertAlign w:val="baseline"/>
        </w:rPr>
        <w:t>2008</w:t>
      </w:r>
      <w:r>
        <w:rPr>
          <w:spacing w:val="7"/>
          <w:vertAlign w:val="baseline"/>
        </w:rPr>
        <w:t> </w:t>
      </w:r>
      <w:r>
        <w:rPr>
          <w:color w:val="005DA1"/>
          <w:u w:val="single" w:color="005DA1"/>
          <w:vertAlign w:val="superscript"/>
        </w:rPr>
        <w:t>632</w:t>
      </w:r>
      <w:r>
        <w:rPr>
          <w:color w:val="005DA1"/>
          <w:spacing w:val="8"/>
          <w:vertAlign w:val="baseline"/>
        </w:rPr>
        <w:t> </w:t>
      </w:r>
      <w:r>
        <w:rPr>
          <w:vertAlign w:val="baseline"/>
        </w:rPr>
        <w:t>and</w:t>
      </w:r>
      <w:r>
        <w:rPr>
          <w:spacing w:val="8"/>
          <w:vertAlign w:val="baseline"/>
        </w:rPr>
        <w:t> </w:t>
      </w:r>
      <w:r>
        <w:rPr>
          <w:vertAlign w:val="baseline"/>
        </w:rPr>
        <w:t>is</w:t>
      </w:r>
      <w:r>
        <w:rPr>
          <w:spacing w:val="8"/>
          <w:vertAlign w:val="baseline"/>
        </w:rPr>
        <w:t> </w:t>
      </w:r>
      <w:r>
        <w:rPr>
          <w:vertAlign w:val="baseline"/>
        </w:rPr>
        <w:t>applicable</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Member</w:t>
      </w:r>
      <w:r>
        <w:rPr>
          <w:spacing w:val="8"/>
          <w:vertAlign w:val="baseline"/>
        </w:rPr>
        <w:t> </w:t>
      </w:r>
      <w:r>
        <w:rPr>
          <w:vertAlign w:val="baseline"/>
        </w:rPr>
        <w:t>States</w:t>
      </w:r>
      <w:r>
        <w:rPr>
          <w:spacing w:val="8"/>
          <w:vertAlign w:val="baseline"/>
        </w:rPr>
        <w:t> </w:t>
      </w:r>
      <w:r>
        <w:rPr>
          <w:vertAlign w:val="baseline"/>
        </w:rPr>
        <w:t>in</w:t>
      </w:r>
      <w:r>
        <w:rPr>
          <w:spacing w:val="8"/>
          <w:vertAlign w:val="baseline"/>
        </w:rPr>
        <w:t> </w:t>
      </w:r>
      <w:r>
        <w:rPr>
          <w:vertAlign w:val="baseline"/>
        </w:rPr>
        <w:t>relation</w:t>
      </w:r>
      <w:r>
        <w:rPr>
          <w:spacing w:val="8"/>
          <w:vertAlign w:val="baseline"/>
        </w:rPr>
        <w:t> </w:t>
      </w:r>
      <w:r>
        <w:rPr>
          <w:vertAlign w:val="baseline"/>
        </w:rPr>
        <w:t>to</w:t>
      </w:r>
      <w:r>
        <w:rPr>
          <w:spacing w:val="8"/>
          <w:vertAlign w:val="baseline"/>
        </w:rPr>
        <w:t> </w:t>
      </w:r>
      <w:r>
        <w:rPr>
          <w:spacing w:val="-2"/>
          <w:vertAlign w:val="baseline"/>
        </w:rPr>
        <w:t>contracts</w:t>
      </w:r>
    </w:p>
    <w:p>
      <w:pPr>
        <w:pStyle w:val="BodyText"/>
        <w:spacing w:line="235" w:lineRule="auto" w:before="116"/>
        <w:ind w:left="165" w:right="168"/>
        <w:jc w:val="both"/>
      </w:pPr>
      <w:bookmarkStart w:name="_bookmark1196" w:id="1198"/>
      <w:bookmarkEnd w:id="1198"/>
      <w:r>
        <w:rPr/>
      </w:r>
      <w:r>
        <w:rPr/>
        <w:t>concluded on or after December 17, 2009. </w:t>
      </w:r>
      <w:r>
        <w:rPr>
          <w:color w:val="005DA1"/>
          <w:u w:val="single" w:color="005DA1"/>
          <w:vertAlign w:val="superscript"/>
        </w:rPr>
        <w:t>633</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34"/>
          <w:vertAlign w:val="baseline"/>
        </w:rPr>
        <w:t> </w:t>
      </w:r>
      <w:r>
        <w:rPr>
          <w:vertAlign w:val="baseline"/>
        </w:rPr>
        <w:t>As a Regulation, the Rome I Regulation is </w:t>
      </w:r>
      <w:r>
        <w:rPr>
          <w:vertAlign w:val="baseline"/>
        </w:rPr>
        <w:t>directly applicable and no United Kingdom legislation is required to bring it into effect. </w:t>
      </w:r>
      <w:r>
        <w:rPr>
          <w:color w:val="005DA1"/>
          <w:u w:val="single" w:color="005DA1"/>
          <w:vertAlign w:val="superscript"/>
        </w:rPr>
        <w:t>634</w:t>
      </w:r>
    </w:p>
    <w:p>
      <w:pPr>
        <w:pStyle w:val="BodyText"/>
      </w:pPr>
    </w:p>
    <w:p>
      <w:pPr>
        <w:pStyle w:val="BodyText"/>
        <w:spacing w:before="38"/>
      </w:pPr>
    </w:p>
    <w:p>
      <w:pPr>
        <w:spacing w:before="0"/>
        <w:ind w:left="165" w:right="0" w:firstLine="0"/>
        <w:jc w:val="both"/>
        <w:rPr>
          <w:rFonts w:ascii="Arial"/>
          <w:b/>
          <w:sz w:val="18"/>
        </w:rPr>
      </w:pPr>
      <w:r>
        <w:rPr>
          <w:rFonts w:ascii="Arial"/>
          <w:b/>
          <w:sz w:val="18"/>
        </w:rPr>
        <w:t>Position of the United </w:t>
      </w:r>
      <w:r>
        <w:rPr>
          <w:rFonts w:ascii="Arial"/>
          <w:b/>
          <w:spacing w:val="-2"/>
          <w:sz w:val="18"/>
        </w:rPr>
        <w:t>Kingdom</w:t>
      </w:r>
    </w:p>
    <w:p>
      <w:pPr>
        <w:pStyle w:val="BodyText"/>
        <w:spacing w:before="41"/>
        <w:rPr>
          <w:rFonts w:ascii="Arial"/>
          <w:b/>
          <w:sz w:val="18"/>
        </w:rPr>
      </w:pPr>
    </w:p>
    <w:p>
      <w:pPr>
        <w:pStyle w:val="Heading2"/>
      </w:pPr>
      <w:r>
        <w:rPr/>
        <w:t>30-</w:t>
      </w:r>
      <w:r>
        <w:rPr>
          <w:spacing w:val="-5"/>
        </w:rPr>
        <w:t>130</w:t>
      </w:r>
    </w:p>
    <w:p>
      <w:pPr>
        <w:pStyle w:val="BodyText"/>
        <w:spacing w:line="235" w:lineRule="auto" w:before="203"/>
        <w:ind w:left="165" w:right="167"/>
        <w:jc w:val="both"/>
      </w:pPr>
      <w:bookmarkStart w:name="_bookmark1197" w:id="1199"/>
      <w:bookmarkEnd w:id="1199"/>
      <w:r>
        <w:rPr/>
      </w:r>
      <w:r>
        <w:rPr/>
        <w:t>The original position of the United Kingdom was that it would not, at the outset, participate in the adoption and application of the proposed Regulation. </w:t>
      </w:r>
      <w:r>
        <w:rPr>
          <w:color w:val="005DA1"/>
          <w:u w:val="single" w:color="005DA1"/>
          <w:vertAlign w:val="superscript"/>
        </w:rPr>
        <w:t>635</w:t>
      </w:r>
      <w:r>
        <w:rPr>
          <w:color w:val="005DA1"/>
          <w:vertAlign w:val="baseline"/>
        </w:rPr>
        <w:t> </w:t>
      </w:r>
      <w:r>
        <w:rPr>
          <w:vertAlign w:val="baseline"/>
        </w:rPr>
        <w:t>The United Kingdom was, however, involved in discussions concerning the Commission’s Proposal and continued to consider its position over </w:t>
      </w:r>
      <w:r>
        <w:rPr>
          <w:vertAlign w:val="baseline"/>
        </w:rPr>
        <w:t>the </w:t>
      </w:r>
      <w:bookmarkStart w:name="_bookmark1198" w:id="1200"/>
      <w:bookmarkEnd w:id="1200"/>
      <w:r>
        <w:rPr>
          <w:vertAlign w:val="baseline"/>
        </w:rPr>
        <w:t>course</w:t>
      </w:r>
      <w:r>
        <w:rPr>
          <w:vertAlign w:val="baseline"/>
        </w:rPr>
        <w:t> of negotiations of the text. In July, 2008, the United Kingdom indicated its willingness to opt into</w:t>
      </w:r>
      <w:r>
        <w:rPr>
          <w:spacing w:val="8"/>
          <w:vertAlign w:val="baseline"/>
        </w:rPr>
        <w:t> </w:t>
      </w:r>
      <w:r>
        <w:rPr>
          <w:vertAlign w:val="baseline"/>
        </w:rPr>
        <w:t>the</w:t>
      </w:r>
      <w:r>
        <w:rPr>
          <w:spacing w:val="9"/>
          <w:vertAlign w:val="baseline"/>
        </w:rPr>
        <w:t> </w:t>
      </w:r>
      <w:r>
        <w:rPr>
          <w:vertAlign w:val="baseline"/>
        </w:rPr>
        <w:t>final</w:t>
      </w:r>
      <w:r>
        <w:rPr>
          <w:spacing w:val="9"/>
          <w:vertAlign w:val="baseline"/>
        </w:rPr>
        <w:t> </w:t>
      </w:r>
      <w:r>
        <w:rPr>
          <w:vertAlign w:val="baseline"/>
        </w:rPr>
        <w:t>instrument</w:t>
      </w:r>
      <w:r>
        <w:rPr>
          <w:spacing w:val="9"/>
          <w:vertAlign w:val="baseline"/>
        </w:rPr>
        <w:t> </w:t>
      </w:r>
      <w:r>
        <w:rPr>
          <w:color w:val="005DA1"/>
          <w:u w:val="single" w:color="005DA1"/>
          <w:vertAlign w:val="superscript"/>
        </w:rPr>
        <w:t>636</w:t>
      </w:r>
      <w:r>
        <w:rPr>
          <w:color w:val="005DA1"/>
          <w:spacing w:val="9"/>
          <w:vertAlign w:val="baseline"/>
        </w:rPr>
        <w:t> </w:t>
      </w:r>
      <w:r>
        <w:rPr>
          <w:vertAlign w:val="baseline"/>
        </w:rPr>
        <w:t>and,</w:t>
      </w:r>
      <w:r>
        <w:rPr>
          <w:spacing w:val="9"/>
          <w:vertAlign w:val="baseline"/>
        </w:rPr>
        <w:t> </w:t>
      </w:r>
      <w:r>
        <w:rPr>
          <w:vertAlign w:val="baseline"/>
        </w:rPr>
        <w:t>in</w:t>
      </w:r>
      <w:r>
        <w:rPr>
          <w:spacing w:val="9"/>
          <w:vertAlign w:val="baseline"/>
        </w:rPr>
        <w:t> </w:t>
      </w:r>
      <w:r>
        <w:rPr>
          <w:vertAlign w:val="baseline"/>
        </w:rPr>
        <w:t>response</w:t>
      </w:r>
      <w:r>
        <w:rPr>
          <w:spacing w:val="9"/>
          <w:vertAlign w:val="baseline"/>
        </w:rPr>
        <w:t> </w:t>
      </w:r>
      <w:r>
        <w:rPr>
          <w:vertAlign w:val="baseline"/>
        </w:rPr>
        <w:t>to</w:t>
      </w:r>
      <w:r>
        <w:rPr>
          <w:spacing w:val="9"/>
          <w:vertAlign w:val="baseline"/>
        </w:rPr>
        <w:t> </w:t>
      </w:r>
      <w:r>
        <w:rPr>
          <w:vertAlign w:val="baseline"/>
        </w:rPr>
        <w:t>a</w:t>
      </w:r>
      <w:r>
        <w:rPr>
          <w:spacing w:val="9"/>
          <w:vertAlign w:val="baseline"/>
        </w:rPr>
        <w:t> </w:t>
      </w:r>
      <w:r>
        <w:rPr>
          <w:vertAlign w:val="baseline"/>
        </w:rPr>
        <w:t>request</w:t>
      </w:r>
      <w:r>
        <w:rPr>
          <w:spacing w:val="9"/>
          <w:vertAlign w:val="baseline"/>
        </w:rPr>
        <w:t> </w:t>
      </w:r>
      <w:r>
        <w:rPr>
          <w:vertAlign w:val="baseline"/>
        </w:rPr>
        <w:t>to</w:t>
      </w:r>
      <w:r>
        <w:rPr>
          <w:spacing w:val="9"/>
          <w:vertAlign w:val="baseline"/>
        </w:rPr>
        <w:t> </w:t>
      </w:r>
      <w:r>
        <w:rPr>
          <w:vertAlign w:val="baseline"/>
        </w:rPr>
        <w:t>this</w:t>
      </w:r>
      <w:r>
        <w:rPr>
          <w:spacing w:val="9"/>
          <w:vertAlign w:val="baseline"/>
        </w:rPr>
        <w:t> </w:t>
      </w:r>
      <w:r>
        <w:rPr>
          <w:vertAlign w:val="baseline"/>
        </w:rPr>
        <w:t>effect,</w:t>
      </w:r>
      <w:r>
        <w:rPr>
          <w:spacing w:val="9"/>
          <w:vertAlign w:val="baseline"/>
        </w:rPr>
        <w:t> </w:t>
      </w:r>
      <w:r>
        <w:rPr>
          <w:vertAlign w:val="baseline"/>
        </w:rPr>
        <w:t>the</w:t>
      </w:r>
      <w:r>
        <w:rPr>
          <w:spacing w:val="9"/>
          <w:vertAlign w:val="baseline"/>
        </w:rPr>
        <w:t> </w:t>
      </w:r>
      <w:r>
        <w:rPr>
          <w:vertAlign w:val="baseline"/>
        </w:rPr>
        <w:t>Commission</w:t>
      </w:r>
      <w:r>
        <w:rPr>
          <w:spacing w:val="9"/>
          <w:vertAlign w:val="baseline"/>
        </w:rPr>
        <w:t> </w:t>
      </w:r>
      <w:r>
        <w:rPr>
          <w:vertAlign w:val="baseline"/>
        </w:rPr>
        <w:t>so</w:t>
      </w:r>
      <w:r>
        <w:rPr>
          <w:spacing w:val="9"/>
          <w:vertAlign w:val="baseline"/>
        </w:rPr>
        <w:t> </w:t>
      </w:r>
      <w:r>
        <w:rPr>
          <w:spacing w:val="-2"/>
          <w:vertAlign w:val="baseline"/>
        </w:rPr>
        <w:t>accepted.</w:t>
      </w:r>
    </w:p>
    <w:p>
      <w:pPr>
        <w:spacing w:line="112" w:lineRule="exact" w:before="0"/>
        <w:ind w:left="165" w:right="0" w:firstLine="0"/>
        <w:jc w:val="left"/>
        <w:rPr>
          <w:sz w:val="12"/>
        </w:rPr>
      </w:pPr>
      <w:r>
        <w:rPr>
          <w:color w:val="005DA1"/>
          <w:spacing w:val="-5"/>
          <w:sz w:val="12"/>
          <w:u w:val="single" w:color="005DA1"/>
        </w:rPr>
        <w:t>637</w:t>
      </w:r>
    </w:p>
    <w:p>
      <w:pPr>
        <w:spacing w:after="0" w:line="112" w:lineRule="exact"/>
        <w:jc w:val="left"/>
        <w:rPr>
          <w:sz w:val="12"/>
        </w:rPr>
        <w:sectPr>
          <w:headerReference w:type="default" r:id="rId16"/>
          <w:pgSz w:w="11900" w:h="16840"/>
          <w:pgMar w:header="971" w:footer="0" w:top="1300" w:bottom="280" w:left="1275" w:right="1275"/>
          <w:pgNumType w:start="1"/>
        </w:sectPr>
      </w:pPr>
    </w:p>
    <w:p>
      <w:pPr>
        <w:pStyle w:val="BodyText"/>
        <w:spacing w:before="2"/>
        <w:rPr>
          <w:sz w:val="18"/>
        </w:rPr>
      </w:pPr>
    </w:p>
    <w:p>
      <w:pPr>
        <w:spacing w:before="0"/>
        <w:ind w:left="165" w:right="0" w:firstLine="0"/>
        <w:jc w:val="left"/>
        <w:rPr>
          <w:rFonts w:ascii="Arial"/>
          <w:b/>
          <w:sz w:val="18"/>
        </w:rPr>
      </w:pPr>
      <w:r>
        <w:rPr>
          <w:rFonts w:ascii="Arial"/>
          <w:b/>
          <w:sz w:val="18"/>
        </w:rPr>
        <w:t>Legal </w:t>
      </w:r>
      <w:r>
        <w:rPr>
          <w:rFonts w:ascii="Arial"/>
          <w:b/>
          <w:spacing w:val="-2"/>
          <w:sz w:val="18"/>
        </w:rPr>
        <w:t>basis</w:t>
      </w:r>
    </w:p>
    <w:p>
      <w:pPr>
        <w:pStyle w:val="BodyText"/>
        <w:spacing w:before="41"/>
        <w:rPr>
          <w:rFonts w:ascii="Arial"/>
          <w:b/>
          <w:sz w:val="18"/>
        </w:rPr>
      </w:pPr>
    </w:p>
    <w:p>
      <w:pPr>
        <w:pStyle w:val="Heading2"/>
      </w:pPr>
      <w:r>
        <w:rPr/>
        <w:t>30-</w:t>
      </w:r>
      <w:r>
        <w:rPr>
          <w:spacing w:val="-5"/>
        </w:rPr>
        <w:t>131</w:t>
      </w:r>
    </w:p>
    <w:p>
      <w:pPr>
        <w:pStyle w:val="BodyText"/>
        <w:spacing w:line="235" w:lineRule="auto" w:before="203"/>
        <w:ind w:left="164" w:right="167"/>
        <w:jc w:val="both"/>
      </w:pPr>
      <w:bookmarkStart w:name="_bookmark1199" w:id="1201"/>
      <w:bookmarkEnd w:id="1201"/>
      <w:r>
        <w:rPr/>
      </w:r>
      <w:r>
        <w:rPr/>
        <w:t>The Commission’s original Proposal and the eventual Rome I Regulation are based on art.61(c) of</w:t>
      </w:r>
      <w:r>
        <w:rPr>
          <w:spacing w:val="80"/>
        </w:rPr>
        <w:t> </w:t>
      </w:r>
      <w:r>
        <w:rPr/>
        <w:t>the EC Treaty </w:t>
      </w:r>
      <w:r>
        <w:rPr>
          <w:color w:val="005DA1"/>
          <w:u w:val="single" w:color="005DA1"/>
          <w:vertAlign w:val="superscript"/>
        </w:rPr>
        <w:t>638</w:t>
      </w:r>
      <w:r>
        <w:rPr>
          <w:color w:val="005DA1"/>
          <w:vertAlign w:val="baseline"/>
        </w:rPr>
        <w:t> </w:t>
      </w:r>
      <w:r>
        <w:rPr>
          <w:vertAlign w:val="baseline"/>
        </w:rPr>
        <w:t>which enables the Council to adopt measures in the field of judicial cooperation in </w:t>
      </w:r>
      <w:bookmarkStart w:name="_bookmark1200" w:id="1202"/>
      <w:bookmarkEnd w:id="1202"/>
      <w:r>
        <w:rPr>
          <w:vertAlign w:val="baseline"/>
        </w:rPr>
        <w:t>civil</w:t>
      </w:r>
      <w:r>
        <w:rPr>
          <w:spacing w:val="-2"/>
          <w:vertAlign w:val="baseline"/>
        </w:rPr>
        <w:t> </w:t>
      </w:r>
      <w:r>
        <w:rPr>
          <w:vertAlign w:val="baseline"/>
        </w:rPr>
        <w:t>and</w:t>
      </w:r>
      <w:r>
        <w:rPr>
          <w:spacing w:val="-2"/>
          <w:vertAlign w:val="baseline"/>
        </w:rPr>
        <w:t> </w:t>
      </w:r>
      <w:r>
        <w:rPr>
          <w:vertAlign w:val="baseline"/>
        </w:rPr>
        <w:t>commercial</w:t>
      </w:r>
      <w:r>
        <w:rPr>
          <w:spacing w:val="-2"/>
          <w:vertAlign w:val="baseline"/>
        </w:rPr>
        <w:t> </w:t>
      </w:r>
      <w:r>
        <w:rPr>
          <w:vertAlign w:val="baseline"/>
        </w:rPr>
        <w:t>matters,</w:t>
      </w:r>
      <w:r>
        <w:rPr>
          <w:spacing w:val="-2"/>
          <w:vertAlign w:val="baseline"/>
        </w:rPr>
        <w:t> </w:t>
      </w:r>
      <w:r>
        <w:rPr>
          <w:vertAlign w:val="baseline"/>
        </w:rPr>
        <w:t>as</w:t>
      </w:r>
      <w:r>
        <w:rPr>
          <w:spacing w:val="-2"/>
          <w:vertAlign w:val="baseline"/>
        </w:rPr>
        <w:t> </w:t>
      </w:r>
      <w:r>
        <w:rPr>
          <w:vertAlign w:val="baseline"/>
        </w:rPr>
        <w:t>provided</w:t>
      </w:r>
      <w:r>
        <w:rPr>
          <w:spacing w:val="-2"/>
          <w:vertAlign w:val="baseline"/>
        </w:rPr>
        <w:t> </w:t>
      </w:r>
      <w:r>
        <w:rPr>
          <w:vertAlign w:val="baseline"/>
        </w:rPr>
        <w:t>for</w:t>
      </w:r>
      <w:r>
        <w:rPr>
          <w:spacing w:val="-2"/>
          <w:vertAlign w:val="baseline"/>
        </w:rPr>
        <w:t> </w:t>
      </w:r>
      <w:r>
        <w:rPr>
          <w:vertAlign w:val="baseline"/>
        </w:rPr>
        <w:t>in</w:t>
      </w:r>
      <w:r>
        <w:rPr>
          <w:spacing w:val="-2"/>
          <w:vertAlign w:val="baseline"/>
        </w:rPr>
        <w:t> </w:t>
      </w:r>
      <w:r>
        <w:rPr>
          <w:vertAlign w:val="baseline"/>
        </w:rPr>
        <w:t>art.65,</w:t>
      </w:r>
      <w:r>
        <w:rPr>
          <w:spacing w:val="-2"/>
          <w:vertAlign w:val="baseline"/>
        </w:rPr>
        <w:t> </w:t>
      </w:r>
      <w:r>
        <w:rPr>
          <w:vertAlign w:val="baseline"/>
        </w:rPr>
        <w:t>which</w:t>
      </w:r>
      <w:r>
        <w:rPr>
          <w:spacing w:val="-2"/>
          <w:vertAlign w:val="baseline"/>
        </w:rPr>
        <w:t> </w:t>
      </w:r>
      <w:r>
        <w:rPr>
          <w:vertAlign w:val="baseline"/>
        </w:rPr>
        <w:t>refers</w:t>
      </w:r>
      <w:r>
        <w:rPr>
          <w:spacing w:val="-2"/>
          <w:vertAlign w:val="baseline"/>
        </w:rPr>
        <w:t> </w:t>
      </w:r>
      <w:r>
        <w:rPr>
          <w:vertAlign w:val="baseline"/>
        </w:rPr>
        <w:t>to</w:t>
      </w:r>
      <w:r>
        <w:rPr>
          <w:spacing w:val="-2"/>
          <w:vertAlign w:val="baseline"/>
        </w:rPr>
        <w:t> </w:t>
      </w:r>
      <w:r>
        <w:rPr>
          <w:vertAlign w:val="baseline"/>
        </w:rPr>
        <w:t>“measures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field</w:t>
      </w:r>
      <w:r>
        <w:rPr>
          <w:spacing w:val="-2"/>
          <w:vertAlign w:val="baseline"/>
        </w:rPr>
        <w:t> </w:t>
      </w:r>
      <w:r>
        <w:rPr>
          <w:vertAlign w:val="baseline"/>
        </w:rPr>
        <w:t>of</w:t>
      </w:r>
      <w:r>
        <w:rPr>
          <w:spacing w:val="-2"/>
          <w:vertAlign w:val="baseline"/>
        </w:rPr>
        <w:t> </w:t>
      </w:r>
      <w:r>
        <w:rPr>
          <w:vertAlign w:val="baseline"/>
        </w:rPr>
        <w:t>judicial </w:t>
      </w:r>
      <w:bookmarkStart w:name="_bookmark1201" w:id="1203"/>
      <w:bookmarkEnd w:id="1203"/>
      <w:r>
        <w:rPr>
          <w:vertAlign w:val="baseline"/>
        </w:rPr>
        <w:t>co</w:t>
      </w:r>
      <w:r>
        <w:rPr>
          <w:vertAlign w:val="baseline"/>
        </w:rPr>
        <w:t>-operation</w:t>
      </w:r>
      <w:r>
        <w:rPr>
          <w:spacing w:val="-8"/>
          <w:vertAlign w:val="baseline"/>
        </w:rPr>
        <w:t> </w:t>
      </w:r>
      <w:r>
        <w:rPr>
          <w:vertAlign w:val="baseline"/>
        </w:rPr>
        <w:t>in civil matters with a cross-border impact </w:t>
      </w:r>
      <w:r>
        <w:rPr>
          <w:color w:val="005DA1"/>
          <w:u w:val="single" w:color="005DA1"/>
          <w:vertAlign w:val="superscript"/>
        </w:rPr>
        <w:t>639</w:t>
      </w:r>
      <w:r>
        <w:rPr>
          <w:color w:val="005DA1"/>
          <w:spacing w:val="-14"/>
          <w:vertAlign w:val="baseline"/>
        </w:rPr>
        <w:t> </w:t>
      </w:r>
      <w:r>
        <w:rPr>
          <w:vertAlign w:val="baseline"/>
        </w:rPr>
        <w:t>” to be taken “to the extent necessary for the proper functioning of the internal market”. </w:t>
      </w:r>
      <w:r>
        <w:rPr>
          <w:color w:val="005DA1"/>
          <w:u w:val="single" w:color="005DA1"/>
          <w:vertAlign w:val="superscript"/>
        </w:rPr>
        <w:t>640</w:t>
      </w:r>
      <w:r>
        <w:rPr>
          <w:color w:val="005DA1"/>
          <w:vertAlign w:val="baseline"/>
        </w:rPr>
        <w:t> </w:t>
      </w:r>
      <w:r>
        <w:rPr>
          <w:vertAlign w:val="baseline"/>
        </w:rPr>
        <w:t>Such measures may include “promoting </w:t>
      </w:r>
      <w:r>
        <w:rPr>
          <w:vertAlign w:val="baseline"/>
        </w:rPr>
        <w:t>the </w:t>
      </w:r>
      <w:bookmarkStart w:name="_bookmark1202" w:id="1204"/>
      <w:bookmarkEnd w:id="1204"/>
      <w:r>
        <w:rPr>
          <w:vertAlign w:val="baseline"/>
        </w:rPr>
        <w:t>compatibility</w:t>
      </w:r>
      <w:r>
        <w:rPr>
          <w:vertAlign w:val="baseline"/>
        </w:rPr>
        <w:t> of the rules applicable in the Member States concerning the conflict of laws and of jurisdiction”. </w:t>
      </w:r>
      <w:r>
        <w:rPr>
          <w:color w:val="005DA1"/>
          <w:u w:val="single" w:color="005DA1"/>
          <w:vertAlign w:val="superscript"/>
        </w:rPr>
        <w:t>641</w:t>
      </w:r>
      <w:r>
        <w:rPr>
          <w:color w:val="005DA1"/>
          <w:vertAlign w:val="baseline"/>
        </w:rPr>
        <w:t> </w:t>
      </w:r>
      <w:r>
        <w:rPr>
          <w:vertAlign w:val="baseline"/>
        </w:rPr>
        <w:t>According to Recital 6 to the Regulation, the:</w:t>
      </w:r>
    </w:p>
    <w:p>
      <w:pPr>
        <w:pStyle w:val="BodyText"/>
      </w:pPr>
    </w:p>
    <w:p>
      <w:pPr>
        <w:pStyle w:val="BodyText"/>
        <w:spacing w:before="124"/>
      </w:pPr>
    </w:p>
    <w:p>
      <w:pPr>
        <w:pStyle w:val="BodyText"/>
        <w:spacing w:line="235" w:lineRule="auto"/>
        <w:ind w:left="1245" w:right="167"/>
        <w:jc w:val="both"/>
      </w:pPr>
      <w:r>
        <w:rPr/>
        <w:t>“… proper functioning of the internal market creates a need, in order to improve </w:t>
      </w:r>
      <w:r>
        <w:rPr/>
        <w:t>the predictability of the outcome of litigation, certainty as to the law and the free movement of </w:t>
      </w:r>
      <w:bookmarkStart w:name="_bookmark1203" w:id="1205"/>
      <w:bookmarkEnd w:id="1205"/>
      <w:r>
        <w:rPr/>
        <w:t>judgments,</w:t>
      </w:r>
      <w:r>
        <w:rPr/>
        <w:t> for the conflict-of-law rules in the Member States to designate the same national law irrespective of the country of the court in which the action is brought.” </w:t>
      </w:r>
      <w:r>
        <w:rPr>
          <w:color w:val="005DA1"/>
          <w:u w:val="single" w:color="005DA1"/>
          <w:vertAlign w:val="superscript"/>
        </w:rPr>
        <w:t>642</w:t>
      </w:r>
    </w:p>
    <w:p>
      <w:pPr>
        <w:pStyle w:val="BodyText"/>
        <w:spacing w:before="115"/>
      </w:pPr>
    </w:p>
    <w:p>
      <w:pPr>
        <w:pStyle w:val="BodyText"/>
        <w:spacing w:line="235" w:lineRule="auto"/>
        <w:ind w:left="165" w:right="167"/>
        <w:jc w:val="both"/>
      </w:pPr>
      <w:r>
        <w:rPr/>
        <w:t>While these remarks seem based on rhetoric rather than empirical research, it would seem that the “internal market” justification for harmonised conflict of laws rules is now too well established to be seriously challenged.</w:t>
      </w:r>
    </w:p>
    <w:p>
      <w:pPr>
        <w:pStyle w:val="BodyText"/>
      </w:pPr>
    </w:p>
    <w:p>
      <w:pPr>
        <w:pStyle w:val="BodyText"/>
        <w:spacing w:before="38"/>
      </w:pPr>
    </w:p>
    <w:p>
      <w:pPr>
        <w:spacing w:before="0"/>
        <w:ind w:left="165" w:right="0" w:firstLine="0"/>
        <w:jc w:val="left"/>
        <w:rPr>
          <w:rFonts w:ascii="Arial"/>
          <w:b/>
          <w:sz w:val="18"/>
        </w:rPr>
      </w:pPr>
      <w:bookmarkStart w:name="_bookmark1204" w:id="1206"/>
      <w:bookmarkEnd w:id="1206"/>
      <w:r>
        <w:rPr/>
      </w:r>
      <w:r>
        <w:rPr>
          <w:rFonts w:ascii="Arial"/>
          <w:b/>
          <w:sz w:val="18"/>
        </w:rPr>
        <w:t>The Rome I Regulation in outline </w:t>
      </w:r>
      <w:r>
        <w:rPr>
          <w:rFonts w:ascii="Arial"/>
          <w:b/>
          <w:color w:val="005DA1"/>
          <w:spacing w:val="-5"/>
          <w:sz w:val="18"/>
          <w:u w:val="single" w:color="005DA1"/>
          <w:vertAlign w:val="superscript"/>
        </w:rPr>
        <w:t>643</w:t>
      </w:r>
    </w:p>
    <w:p>
      <w:pPr>
        <w:pStyle w:val="BodyText"/>
        <w:spacing w:before="41"/>
        <w:rPr>
          <w:rFonts w:ascii="Arial"/>
          <w:b/>
          <w:sz w:val="18"/>
        </w:rPr>
      </w:pPr>
    </w:p>
    <w:p>
      <w:pPr>
        <w:pStyle w:val="Heading2"/>
      </w:pPr>
      <w:r>
        <w:rPr/>
        <w:t>30-</w:t>
      </w:r>
      <w:r>
        <w:rPr>
          <w:spacing w:val="-5"/>
        </w:rPr>
        <w:t>132</w:t>
      </w:r>
    </w:p>
    <w:p>
      <w:pPr>
        <w:pStyle w:val="BodyText"/>
        <w:spacing w:line="235" w:lineRule="auto" w:before="203"/>
        <w:ind w:left="165" w:right="167"/>
        <w:jc w:val="both"/>
      </w:pPr>
      <w:r>
        <w:rPr/>
        <w:t>Since the structure and scope of the Rome I Regulation differs considerably from the Rome Convention, it will be helpful, at the outset, to identify, in outline, the structure and subject matter of</w:t>
      </w:r>
      <w:r>
        <w:rPr>
          <w:spacing w:val="40"/>
        </w:rPr>
        <w:t> </w:t>
      </w:r>
      <w:r>
        <w:rPr/>
        <w:t>the Rome I Regulation. After an initial Preamble and 46 Recitals, the Regulation is arranged into four Chapters. Chapter I is concerned with scope. Chapter II headed “Uniform rules” contains the </w:t>
      </w:r>
      <w:r>
        <w:rPr/>
        <w:t>relevant choice of law rules for determining the law applicable to a contract consisting of: a general rule on freedom to choose the governing law (art.3); a general rule to determine the applicable law in the absence of choice (art.4); specific choice of law rules to determine the law applicable to contracts of carriage (art.5), consumer contracts (art.6), insurance contracts (art.7), and individual employment contracts (art.8). Article 9 is concerned with “overriding mandatory provisions”. Articles 10-13 are concerned with specific issues: consent and material validity (art.10); formal validity (art.11); scope of the applicable law (art.12); and incapacity (art.13). Articles 14-17 deal respectively with: voluntary assignment and contractual subrogation (art.14); legal subrogation (art.15); multiple liability (art.16); and set-off (art.17). Chapter II concludes with a rule as to the burden of proof (art.18). Chapter III headed “other provisions”, contains rules dealing with the following matters: the definition of “habitual residence” (art.19); the exclusion of renvoi (art.20); public policy (art.21); states with more than one legal system (art.22); relationship with other provisions of Community law (art.23); relationship with</w:t>
      </w:r>
      <w:r>
        <w:rPr>
          <w:spacing w:val="40"/>
        </w:rPr>
        <w:t> </w:t>
      </w:r>
      <w:r>
        <w:rPr/>
        <w:t>the Rome Convention (art.24); relationship with existing international conventions (arts 25 and 26); a review clause (art.27); and application in time (art.28). Chapter IV contains one provision concerned with date of entry into force and application (art.29).</w:t>
      </w:r>
    </w:p>
    <w:p>
      <w:pPr>
        <w:pStyle w:val="BodyText"/>
      </w:pPr>
    </w:p>
    <w:p>
      <w:pPr>
        <w:pStyle w:val="BodyText"/>
        <w:spacing w:before="31"/>
      </w:pPr>
    </w:p>
    <w:p>
      <w:pPr>
        <w:spacing w:before="0"/>
        <w:ind w:left="165" w:right="0" w:firstLine="0"/>
        <w:jc w:val="left"/>
        <w:rPr>
          <w:rFonts w:ascii="Arial"/>
          <w:b/>
          <w:sz w:val="18"/>
        </w:rPr>
      </w:pPr>
      <w:r>
        <w:rPr>
          <w:rFonts w:ascii="Arial"/>
          <w:b/>
          <w:spacing w:val="-2"/>
          <w:sz w:val="18"/>
        </w:rPr>
        <w:t>Interpretation</w:t>
      </w:r>
    </w:p>
    <w:p>
      <w:pPr>
        <w:pStyle w:val="BodyText"/>
        <w:spacing w:before="41"/>
        <w:rPr>
          <w:rFonts w:ascii="Arial"/>
          <w:b/>
          <w:sz w:val="18"/>
        </w:rPr>
      </w:pPr>
    </w:p>
    <w:p>
      <w:pPr>
        <w:pStyle w:val="Heading2"/>
      </w:pPr>
      <w:r>
        <w:rPr/>
        <w:t>30-</w:t>
      </w:r>
      <w:r>
        <w:rPr>
          <w:spacing w:val="-5"/>
        </w:rPr>
        <w:t>133</w:t>
      </w:r>
    </w:p>
    <w:p>
      <w:pPr>
        <w:pStyle w:val="BodyText"/>
        <w:spacing w:line="235" w:lineRule="auto" w:before="203"/>
        <w:ind w:left="165" w:right="167"/>
        <w:jc w:val="both"/>
      </w:pPr>
      <w:r>
        <w:rPr/>
        <w:t>The Rome I Regulation will be subject to interpretation by the Court of Justice of the European Union </w:t>
      </w:r>
      <w:bookmarkStart w:name="_bookmark1205" w:id="1207"/>
      <w:bookmarkEnd w:id="1207"/>
      <w:r>
        <w:rPr/>
        <w:t>(hereafter</w:t>
      </w:r>
      <w:r>
        <w:rPr>
          <w:spacing w:val="-1"/>
        </w:rPr>
        <w:t> </w:t>
      </w:r>
      <w:r>
        <w:rPr/>
        <w:t>the</w:t>
      </w:r>
      <w:r>
        <w:rPr>
          <w:spacing w:val="-1"/>
        </w:rPr>
        <w:t> </w:t>
      </w:r>
      <w:r>
        <w:rPr/>
        <w:t>“European</w:t>
      </w:r>
      <w:r>
        <w:rPr>
          <w:spacing w:val="-1"/>
        </w:rPr>
        <w:t> </w:t>
      </w:r>
      <w:r>
        <w:rPr/>
        <w:t>Court”).</w:t>
      </w:r>
      <w:r>
        <w:rPr>
          <w:spacing w:val="-1"/>
        </w:rPr>
        <w:t> </w:t>
      </w:r>
      <w:r>
        <w:rPr/>
        <w:t>A</w:t>
      </w:r>
      <w:r>
        <w:rPr>
          <w:spacing w:val="-1"/>
        </w:rPr>
        <w:t> </w:t>
      </w:r>
      <w:r>
        <w:rPr/>
        <w:t>national</w:t>
      </w:r>
      <w:r>
        <w:rPr>
          <w:spacing w:val="-1"/>
        </w:rPr>
        <w:t> </w:t>
      </w:r>
      <w:r>
        <w:rPr/>
        <w:t>court</w:t>
      </w:r>
      <w:r>
        <w:rPr>
          <w:spacing w:val="-1"/>
        </w:rPr>
        <w:t> </w:t>
      </w:r>
      <w:r>
        <w:rPr/>
        <w:t>may</w:t>
      </w:r>
      <w:r>
        <w:rPr>
          <w:spacing w:val="-1"/>
        </w:rPr>
        <w:t> </w:t>
      </w:r>
      <w:r>
        <w:rPr/>
        <w:t>make</w:t>
      </w:r>
      <w:r>
        <w:rPr>
          <w:spacing w:val="-1"/>
        </w:rPr>
        <w:t> </w:t>
      </w:r>
      <w:r>
        <w:rPr/>
        <w:t>a</w:t>
      </w:r>
      <w:r>
        <w:rPr>
          <w:spacing w:val="-1"/>
        </w:rPr>
        <w:t> </w:t>
      </w:r>
      <w:r>
        <w:rPr/>
        <w:t>reference</w:t>
      </w:r>
      <w:r>
        <w:rPr>
          <w:spacing w:val="-1"/>
        </w:rPr>
        <w:t> </w:t>
      </w:r>
      <w:r>
        <w:rPr/>
        <w:t>to</w:t>
      </w:r>
      <w:r>
        <w:rPr>
          <w:spacing w:val="-1"/>
        </w:rPr>
        <w:t> </w:t>
      </w:r>
      <w:r>
        <w:rPr/>
        <w:t>the</w:t>
      </w:r>
      <w:r>
        <w:rPr>
          <w:spacing w:val="-1"/>
        </w:rPr>
        <w:t> </w:t>
      </w:r>
      <w:r>
        <w:rPr/>
        <w:t>European</w:t>
      </w:r>
      <w:r>
        <w:rPr>
          <w:spacing w:val="-1"/>
        </w:rPr>
        <w:t> </w:t>
      </w:r>
      <w:r>
        <w:rPr/>
        <w:t>Court,</w:t>
      </w:r>
      <w:r>
        <w:rPr>
          <w:spacing w:val="-1"/>
        </w:rPr>
        <w:t> </w:t>
      </w:r>
      <w:r>
        <w:rPr/>
        <w:t>even </w:t>
      </w:r>
      <w:bookmarkStart w:name="_bookmark1206" w:id="1208"/>
      <w:bookmarkEnd w:id="1208"/>
      <w:r>
        <w:rPr/>
        <w:t>in</w:t>
      </w:r>
      <w:r>
        <w:rPr/>
        <w:t> cases where there is a judicial remedy under national law. </w:t>
      </w:r>
      <w:r>
        <w:rPr>
          <w:color w:val="005DA1"/>
          <w:u w:val="single" w:color="005DA1"/>
          <w:vertAlign w:val="superscript"/>
        </w:rPr>
        <w:t>644</w:t>
      </w:r>
      <w:r>
        <w:rPr>
          <w:color w:val="005DA1"/>
          <w:vertAlign w:val="baseline"/>
        </w:rPr>
        <w:t> </w:t>
      </w:r>
      <w:r>
        <w:rPr>
          <w:vertAlign w:val="baseline"/>
        </w:rPr>
        <w:t>There are no explicit guides to interpretation in the Regulation itself, though on occasion guidance can be found in the Recitals. </w:t>
      </w:r>
      <w:r>
        <w:rPr>
          <w:color w:val="005DA1"/>
          <w:u w:val="single" w:color="005DA1"/>
          <w:vertAlign w:val="superscript"/>
        </w:rPr>
        <w:t>645</w:t>
      </w:r>
      <w:r>
        <w:rPr>
          <w:color w:val="005DA1"/>
          <w:vertAlign w:val="baseline"/>
        </w:rPr>
        <w:t> </w:t>
      </w:r>
      <w:r>
        <w:rPr>
          <w:vertAlign w:val="baseline"/>
        </w:rPr>
        <w:t>The European Court and national courts will doubtless have regard to the need for uniformity in the interpretation and application of the Regulation amongst Member States and to this end will normally endeavour</w:t>
      </w:r>
      <w:r>
        <w:rPr>
          <w:spacing w:val="12"/>
          <w:vertAlign w:val="baseline"/>
        </w:rPr>
        <w:t> </w:t>
      </w:r>
      <w:r>
        <w:rPr>
          <w:vertAlign w:val="baseline"/>
        </w:rPr>
        <w:t>to</w:t>
      </w:r>
      <w:r>
        <w:rPr>
          <w:spacing w:val="12"/>
          <w:vertAlign w:val="baseline"/>
        </w:rPr>
        <w:t> </w:t>
      </w:r>
      <w:r>
        <w:rPr>
          <w:vertAlign w:val="baseline"/>
        </w:rPr>
        <w:t>attribute</w:t>
      </w:r>
      <w:r>
        <w:rPr>
          <w:spacing w:val="12"/>
          <w:vertAlign w:val="baseline"/>
        </w:rPr>
        <w:t> </w:t>
      </w:r>
      <w:r>
        <w:rPr>
          <w:vertAlign w:val="baseline"/>
        </w:rPr>
        <w:t>autonomous</w:t>
      </w:r>
      <w:r>
        <w:rPr>
          <w:spacing w:val="12"/>
          <w:vertAlign w:val="baseline"/>
        </w:rPr>
        <w:t> </w:t>
      </w:r>
      <w:r>
        <w:rPr>
          <w:vertAlign w:val="baseline"/>
        </w:rPr>
        <w:t>meanings</w:t>
      </w:r>
      <w:r>
        <w:rPr>
          <w:spacing w:val="12"/>
          <w:vertAlign w:val="baseline"/>
        </w:rPr>
        <w:t> </w:t>
      </w:r>
      <w:r>
        <w:rPr>
          <w:vertAlign w:val="baseline"/>
        </w:rPr>
        <w:t>to</w:t>
      </w:r>
      <w:r>
        <w:rPr>
          <w:spacing w:val="12"/>
          <w:vertAlign w:val="baseline"/>
        </w:rPr>
        <w:t> </w:t>
      </w:r>
      <w:r>
        <w:rPr>
          <w:vertAlign w:val="baseline"/>
        </w:rPr>
        <w:t>terms</w:t>
      </w:r>
      <w:r>
        <w:rPr>
          <w:spacing w:val="12"/>
          <w:vertAlign w:val="baseline"/>
        </w:rPr>
        <w:t> </w:t>
      </w:r>
      <w:r>
        <w:rPr>
          <w:vertAlign w:val="baseline"/>
        </w:rPr>
        <w:t>which</w:t>
      </w:r>
      <w:r>
        <w:rPr>
          <w:spacing w:val="12"/>
          <w:vertAlign w:val="baseline"/>
        </w:rPr>
        <w:t> </w:t>
      </w:r>
      <w:r>
        <w:rPr>
          <w:vertAlign w:val="baseline"/>
        </w:rPr>
        <w:t>are</w:t>
      </w:r>
      <w:r>
        <w:rPr>
          <w:spacing w:val="12"/>
          <w:vertAlign w:val="baseline"/>
        </w:rPr>
        <w:t> </w:t>
      </w:r>
      <w:r>
        <w:rPr>
          <w:vertAlign w:val="baseline"/>
        </w:rPr>
        <w:t>likely</w:t>
      </w:r>
      <w:r>
        <w:rPr>
          <w:spacing w:val="12"/>
          <w:vertAlign w:val="baseline"/>
        </w:rPr>
        <w:t> </w:t>
      </w:r>
      <w:r>
        <w:rPr>
          <w:vertAlign w:val="baseline"/>
        </w:rPr>
        <w:t>to</w:t>
      </w:r>
      <w:r>
        <w:rPr>
          <w:spacing w:val="12"/>
          <w:vertAlign w:val="baseline"/>
        </w:rPr>
        <w:t> </w:t>
      </w:r>
      <w:r>
        <w:rPr>
          <w:vertAlign w:val="baseline"/>
        </w:rPr>
        <w:t>have</w:t>
      </w:r>
      <w:r>
        <w:rPr>
          <w:spacing w:val="12"/>
          <w:vertAlign w:val="baseline"/>
        </w:rPr>
        <w:t> </w:t>
      </w:r>
      <w:r>
        <w:rPr>
          <w:vertAlign w:val="baseline"/>
        </w:rPr>
        <w:t>different</w:t>
      </w:r>
      <w:r>
        <w:rPr>
          <w:spacing w:val="12"/>
          <w:vertAlign w:val="baseline"/>
        </w:rPr>
        <w:t> </w:t>
      </w:r>
      <w:r>
        <w:rPr>
          <w:vertAlign w:val="baseline"/>
        </w:rPr>
        <w:t>meanings</w:t>
      </w:r>
      <w:r>
        <w:rPr>
          <w:spacing w:val="12"/>
          <w:vertAlign w:val="baseline"/>
        </w:rPr>
        <w:t> </w:t>
      </w:r>
      <w:r>
        <w:rPr>
          <w:spacing w:val="-5"/>
          <w:vertAlign w:val="baseline"/>
        </w:rPr>
        <w:t>in</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6"/>
        <w:jc w:val="both"/>
      </w:pPr>
      <w:bookmarkStart w:name="_bookmark1207" w:id="1209"/>
      <w:bookmarkEnd w:id="1209"/>
      <w:r>
        <w:rPr/>
      </w:r>
      <w:r>
        <w:rPr/>
        <w:t>the law of the Members States. </w:t>
      </w:r>
      <w:r>
        <w:rPr>
          <w:color w:val="005DA1"/>
          <w:u w:val="single" w:color="005DA1"/>
          <w:vertAlign w:val="superscript"/>
        </w:rPr>
        <w:t>646</w:t>
      </w:r>
      <w:r>
        <w:rPr>
          <w:color w:val="005DA1"/>
          <w:vertAlign w:val="baseline"/>
        </w:rPr>
        <w:t> </w:t>
      </w:r>
      <w:r>
        <w:rPr>
          <w:vertAlign w:val="baseline"/>
        </w:rPr>
        <w:t>Furthermore it is suggested </w:t>
      </w:r>
      <w:r>
        <w:rPr>
          <w:color w:val="005DA1"/>
          <w:u w:val="single" w:color="005DA1"/>
          <w:vertAlign w:val="superscript"/>
        </w:rPr>
        <w:t>647</w:t>
      </w:r>
      <w:r>
        <w:rPr>
          <w:color w:val="005DA1"/>
          <w:vertAlign w:val="baseline"/>
        </w:rPr>
        <w:t> </w:t>
      </w:r>
      <w:r>
        <w:rPr>
          <w:vertAlign w:val="baseline"/>
        </w:rPr>
        <w:t>that the substantive scope and </w:t>
      </w:r>
      <w:r>
        <w:rPr>
          <w:vertAlign w:val="baseline"/>
        </w:rPr>
        <w:t>the provisions of the Regulation should be consistent with Council Regulation 1215/2012 on jurisdiction </w:t>
      </w:r>
      <w:bookmarkStart w:name="_bookmark1208" w:id="1210"/>
      <w:bookmarkEnd w:id="1210"/>
      <w:r>
        <w:rPr>
          <w:vertAlign w:val="baseline"/>
        </w:rPr>
        <w:t>and</w:t>
      </w:r>
      <w:r>
        <w:rPr>
          <w:vertAlign w:val="baseline"/>
        </w:rPr>
        <w:t> the recognition and enforcement of judgments in civil and commercial matters (recast) (Brussels</w:t>
      </w:r>
      <w:r>
        <w:rPr>
          <w:spacing w:val="40"/>
          <w:vertAlign w:val="baseline"/>
        </w:rPr>
        <w:t> </w:t>
      </w:r>
      <w:bookmarkStart w:name="_bookmark1209" w:id="1211"/>
      <w:bookmarkEnd w:id="1211"/>
      <w:r>
        <w:rPr>
          <w:vertAlign w:val="baseline"/>
        </w:rPr>
        <w:t>1</w:t>
      </w:r>
      <w:r>
        <w:rPr>
          <w:spacing w:val="9"/>
          <w:vertAlign w:val="baseline"/>
        </w:rPr>
        <w:t> </w:t>
      </w:r>
      <w:r>
        <w:rPr>
          <w:vertAlign w:val="baseline"/>
        </w:rPr>
        <w:t>recast)</w:t>
      </w:r>
      <w:r>
        <w:rPr>
          <w:spacing w:val="10"/>
          <w:vertAlign w:val="baseline"/>
        </w:rPr>
        <w:t> </w:t>
      </w:r>
      <w:r>
        <w:rPr>
          <w:color w:val="005DA1"/>
          <w:u w:val="single" w:color="005DA1"/>
          <w:vertAlign w:val="superscript"/>
        </w:rPr>
        <w:t>648</w:t>
      </w:r>
      <w:r>
        <w:rPr>
          <w:color w:val="005DA1"/>
          <w:spacing w:val="10"/>
          <w:vertAlign w:val="baseline"/>
        </w:rPr>
        <w:t> </w:t>
      </w:r>
      <w:r>
        <w:rPr>
          <w:vertAlign w:val="baseline"/>
        </w:rPr>
        <w:t>and</w:t>
      </w:r>
      <w:r>
        <w:rPr>
          <w:spacing w:val="10"/>
          <w:vertAlign w:val="baseline"/>
        </w:rPr>
        <w:t> </w:t>
      </w:r>
      <w:r>
        <w:rPr>
          <w:vertAlign w:val="baseline"/>
        </w:rPr>
        <w:t>Regulation</w:t>
      </w:r>
      <w:r>
        <w:rPr>
          <w:spacing w:val="9"/>
          <w:vertAlign w:val="baseline"/>
        </w:rPr>
        <w:t> </w:t>
      </w:r>
      <w:r>
        <w:rPr>
          <w:vertAlign w:val="baseline"/>
        </w:rPr>
        <w:t>864/2007</w:t>
      </w:r>
      <w:r>
        <w:rPr>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law</w:t>
      </w:r>
      <w:r>
        <w:rPr>
          <w:spacing w:val="9"/>
          <w:vertAlign w:val="baseline"/>
        </w:rPr>
        <w:t> </w:t>
      </w:r>
      <w:r>
        <w:rPr>
          <w:vertAlign w:val="baseline"/>
        </w:rPr>
        <w:t>applicable</w:t>
      </w:r>
      <w:r>
        <w:rPr>
          <w:spacing w:val="10"/>
          <w:vertAlign w:val="baseline"/>
        </w:rPr>
        <w:t> </w:t>
      </w:r>
      <w:r>
        <w:rPr>
          <w:vertAlign w:val="baseline"/>
        </w:rPr>
        <w:t>to</w:t>
      </w:r>
      <w:r>
        <w:rPr>
          <w:spacing w:val="10"/>
          <w:vertAlign w:val="baseline"/>
        </w:rPr>
        <w:t> </w:t>
      </w:r>
      <w:r>
        <w:rPr>
          <w:vertAlign w:val="baseline"/>
        </w:rPr>
        <w:t>non-contractual</w:t>
      </w:r>
      <w:r>
        <w:rPr>
          <w:spacing w:val="10"/>
          <w:vertAlign w:val="baseline"/>
        </w:rPr>
        <w:t> </w:t>
      </w:r>
      <w:r>
        <w:rPr>
          <w:vertAlign w:val="baseline"/>
        </w:rPr>
        <w:t>obligations</w:t>
      </w:r>
      <w:r>
        <w:rPr>
          <w:spacing w:val="9"/>
          <w:vertAlign w:val="baseline"/>
        </w:rPr>
        <w:t> </w:t>
      </w:r>
      <w:r>
        <w:rPr>
          <w:vertAlign w:val="baseline"/>
        </w:rPr>
        <w:t>(Rome</w:t>
      </w:r>
      <w:r>
        <w:rPr>
          <w:spacing w:val="10"/>
          <w:vertAlign w:val="baseline"/>
        </w:rPr>
        <w:t> </w:t>
      </w:r>
      <w:r>
        <w:rPr>
          <w:spacing w:val="-4"/>
          <w:vertAlign w:val="baseline"/>
        </w:rPr>
        <w:t>II).</w:t>
      </w:r>
    </w:p>
    <w:p>
      <w:pPr>
        <w:pStyle w:val="BodyText"/>
        <w:spacing w:line="222" w:lineRule="exact"/>
        <w:ind w:left="165"/>
        <w:jc w:val="both"/>
      </w:pPr>
      <w:r>
        <w:rPr>
          <w:color w:val="005DA1"/>
          <w:u w:val="single" w:color="005DA1"/>
          <w:vertAlign w:val="superscript"/>
        </w:rPr>
        <w:t>649</w:t>
      </w:r>
      <w:r>
        <w:rPr>
          <w:color w:val="005DA1"/>
          <w:spacing w:val="1"/>
          <w:vertAlign w:val="baseline"/>
        </w:rPr>
        <w:t> </w:t>
      </w:r>
      <w:r>
        <w:rPr>
          <w:vertAlign w:val="baseline"/>
        </w:rPr>
        <w:t>It</w:t>
      </w:r>
      <w:r>
        <w:rPr>
          <w:spacing w:val="2"/>
          <w:vertAlign w:val="baseline"/>
        </w:rPr>
        <w:t> </w:t>
      </w:r>
      <w:r>
        <w:rPr>
          <w:vertAlign w:val="baseline"/>
        </w:rPr>
        <w:t>may</w:t>
      </w:r>
      <w:r>
        <w:rPr>
          <w:spacing w:val="2"/>
          <w:vertAlign w:val="baseline"/>
        </w:rPr>
        <w:t> </w:t>
      </w:r>
      <w:r>
        <w:rPr>
          <w:vertAlign w:val="baseline"/>
        </w:rPr>
        <w:t>also</w:t>
      </w:r>
      <w:r>
        <w:rPr>
          <w:spacing w:val="2"/>
          <w:vertAlign w:val="baseline"/>
        </w:rPr>
        <w:t> </w:t>
      </w:r>
      <w:r>
        <w:rPr>
          <w:vertAlign w:val="baseline"/>
        </w:rPr>
        <w:t>be</w:t>
      </w:r>
      <w:r>
        <w:rPr>
          <w:spacing w:val="2"/>
          <w:vertAlign w:val="baseline"/>
        </w:rPr>
        <w:t> </w:t>
      </w:r>
      <w:r>
        <w:rPr>
          <w:vertAlign w:val="baseline"/>
        </w:rPr>
        <w:t>possible</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regard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Giuliano-Lagarde</w:t>
      </w:r>
      <w:r>
        <w:rPr>
          <w:spacing w:val="2"/>
          <w:vertAlign w:val="baseline"/>
        </w:rPr>
        <w:t> </w:t>
      </w:r>
      <w:r>
        <w:rPr>
          <w:vertAlign w:val="baseline"/>
        </w:rPr>
        <w:t>Report</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Rome</w:t>
      </w:r>
      <w:r>
        <w:rPr>
          <w:spacing w:val="2"/>
          <w:vertAlign w:val="baseline"/>
        </w:rPr>
        <w:t> </w:t>
      </w:r>
      <w:r>
        <w:rPr>
          <w:vertAlign w:val="baseline"/>
        </w:rPr>
        <w:t>Convention </w:t>
      </w:r>
      <w:r>
        <w:rPr>
          <w:color w:val="005DA1"/>
          <w:spacing w:val="-5"/>
          <w:u w:val="single" w:color="005DA1"/>
          <w:vertAlign w:val="superscript"/>
        </w:rPr>
        <w:t>650</w:t>
      </w:r>
    </w:p>
    <w:p>
      <w:pPr>
        <w:pStyle w:val="BodyText"/>
        <w:spacing w:line="235" w:lineRule="auto" w:before="1"/>
        <w:ind w:left="165" w:right="167"/>
        <w:jc w:val="both"/>
      </w:pPr>
      <w:r>
        <w:rPr/>
        <w:t>where the terminology of the Regulation coincides with that contained in the Rome Convention or in </w:t>
      </w:r>
      <w:bookmarkStart w:name="_bookmark1210" w:id="1212"/>
      <w:bookmarkEnd w:id="1212"/>
      <w:r>
        <w:rPr/>
        <w:t>circumstances</w:t>
      </w:r>
      <w:r>
        <w:rPr/>
        <w:t> where the somewhat different terminology of the Regulation is unlikely to imply </w:t>
      </w:r>
      <w:r>
        <w:rPr/>
        <w:t>any substantive change from that used in the Convention. </w:t>
      </w:r>
      <w:r>
        <w:rPr>
          <w:color w:val="005DA1"/>
          <w:u w:val="single" w:color="005DA1"/>
          <w:vertAlign w:val="superscript"/>
        </w:rPr>
        <w:t>651</w:t>
      </w:r>
    </w:p>
    <w:p>
      <w:pPr>
        <w:pStyle w:val="BodyText"/>
      </w:pPr>
    </w:p>
    <w:p>
      <w:pPr>
        <w:pStyle w:val="BodyText"/>
        <w:spacing w:before="38"/>
      </w:pPr>
    </w:p>
    <w:p>
      <w:pPr>
        <w:spacing w:before="0"/>
        <w:ind w:left="164" w:right="0" w:firstLine="0"/>
        <w:jc w:val="left"/>
        <w:rPr>
          <w:rFonts w:ascii="Arial"/>
          <w:b/>
          <w:sz w:val="18"/>
        </w:rPr>
      </w:pPr>
      <w:r>
        <w:rPr>
          <w:rFonts w:ascii="Arial"/>
          <w:b/>
          <w:sz w:val="18"/>
        </w:rPr>
        <w:t>Relationship with other provisions of Community </w:t>
      </w:r>
      <w:r>
        <w:rPr>
          <w:rFonts w:ascii="Arial"/>
          <w:b/>
          <w:spacing w:val="-5"/>
          <w:sz w:val="18"/>
        </w:rPr>
        <w:t>law</w:t>
      </w:r>
    </w:p>
    <w:p>
      <w:pPr>
        <w:pStyle w:val="BodyText"/>
        <w:spacing w:before="41"/>
        <w:rPr>
          <w:rFonts w:ascii="Arial"/>
          <w:b/>
          <w:sz w:val="18"/>
        </w:rPr>
      </w:pPr>
    </w:p>
    <w:p>
      <w:pPr>
        <w:pStyle w:val="Heading2"/>
        <w:ind w:left="164"/>
      </w:pPr>
      <w:r>
        <w:rPr/>
        <w:t>30-</w:t>
      </w:r>
      <w:r>
        <w:rPr>
          <w:spacing w:val="-5"/>
        </w:rPr>
        <w:t>134</w:t>
      </w:r>
    </w:p>
    <w:p>
      <w:pPr>
        <w:pStyle w:val="BodyText"/>
        <w:spacing w:line="235" w:lineRule="auto" w:before="203"/>
        <w:ind w:left="164" w:right="167"/>
        <w:jc w:val="both"/>
      </w:pPr>
      <w:bookmarkStart w:name="_bookmark1211" w:id="1213"/>
      <w:bookmarkEnd w:id="1213"/>
      <w:r>
        <w:rPr/>
      </w:r>
      <w:r>
        <w:rPr/>
        <w:t>Article 23 of the Regulation provides that subject to an exception in art.7, concerned with insurance </w:t>
      </w:r>
      <w:bookmarkStart w:name="_bookmark1212" w:id="1214"/>
      <w:bookmarkEnd w:id="1214"/>
      <w:r>
        <w:rPr/>
        <w:t>contracts,</w:t>
      </w:r>
      <w:r>
        <w:rPr/>
        <w:t> </w:t>
      </w:r>
      <w:r>
        <w:rPr>
          <w:color w:val="005DA1"/>
          <w:u w:val="single" w:color="005DA1"/>
          <w:vertAlign w:val="superscript"/>
        </w:rPr>
        <w:t>652</w:t>
      </w:r>
      <w:r>
        <w:rPr>
          <w:color w:val="005DA1"/>
          <w:vertAlign w:val="baseline"/>
        </w:rPr>
        <w:t> </w:t>
      </w:r>
      <w:r>
        <w:rPr>
          <w:vertAlign w:val="baseline"/>
        </w:rPr>
        <w:t>the Regulation does not prejudice the application of provisions of Community law which, </w:t>
      </w:r>
      <w:bookmarkStart w:name="_bookmark1213" w:id="1215"/>
      <w:bookmarkEnd w:id="1215"/>
      <w:r>
        <w:rPr>
          <w:vertAlign w:val="baseline"/>
        </w:rPr>
        <w:t>in</w:t>
      </w:r>
      <w:r>
        <w:rPr>
          <w:vertAlign w:val="baseline"/>
        </w:rPr>
        <w:t> relation to particular matters, lay down conflict of laws rules relating to contractual obligations. </w:t>
      </w:r>
      <w:r>
        <w:rPr>
          <w:color w:val="005DA1"/>
          <w:u w:val="single" w:color="005DA1"/>
          <w:vertAlign w:val="superscript"/>
        </w:rPr>
        <w:t>653</w:t>
      </w:r>
      <w:r>
        <w:rPr>
          <w:color w:val="005DA1"/>
          <w:vertAlign w:val="baseline"/>
        </w:rPr>
        <w:t> </w:t>
      </w:r>
      <w:r>
        <w:rPr>
          <w:vertAlign w:val="baseline"/>
        </w:rPr>
        <w:t>Recital 40 </w:t>
      </w:r>
      <w:r>
        <w:rPr>
          <w:color w:val="005DA1"/>
          <w:u w:val="single" w:color="005DA1"/>
          <w:vertAlign w:val="superscript"/>
        </w:rPr>
        <w:t>654</w:t>
      </w:r>
      <w:r>
        <w:rPr>
          <w:color w:val="005DA1"/>
          <w:vertAlign w:val="baseline"/>
        </w:rPr>
        <w:t> </w:t>
      </w:r>
      <w:r>
        <w:rPr>
          <w:vertAlign w:val="baseline"/>
        </w:rPr>
        <w:t>states that the Regulation should not prejudice the application of other instruments laying down provisions designed to contribute to the proper functioning of the internal market in so far as they cannot be applied in conjunction with the law designated by the rules contained in the Regulation, and further stipulates that the application of provisions of the applicable law designated</w:t>
      </w:r>
      <w:r>
        <w:rPr>
          <w:spacing w:val="80"/>
          <w:vertAlign w:val="baseline"/>
        </w:rPr>
        <w:t> </w:t>
      </w:r>
      <w:bookmarkStart w:name="_bookmark1214" w:id="1216"/>
      <w:bookmarkEnd w:id="1216"/>
      <w:r>
        <w:rPr>
          <w:vertAlign w:val="baseline"/>
        </w:rPr>
        <w:t>by</w:t>
      </w:r>
      <w:r>
        <w:rPr>
          <w:vertAlign w:val="baseline"/>
        </w:rPr>
        <w:t> the rules of the Regulation should not restrict the free movement of goods and services regulated by Community instruments. </w:t>
      </w:r>
      <w:r>
        <w:rPr>
          <w:color w:val="005DA1"/>
          <w:u w:val="single" w:color="005DA1"/>
          <w:vertAlign w:val="superscript"/>
        </w:rPr>
        <w:t>655</w:t>
      </w:r>
    </w:p>
    <w:p>
      <w:pPr>
        <w:pStyle w:val="BodyText"/>
      </w:pPr>
    </w:p>
    <w:p>
      <w:pPr>
        <w:pStyle w:val="BodyText"/>
        <w:spacing w:before="35"/>
      </w:pPr>
    </w:p>
    <w:p>
      <w:pPr>
        <w:spacing w:before="0"/>
        <w:ind w:left="164" w:right="0" w:firstLine="0"/>
        <w:jc w:val="left"/>
        <w:rPr>
          <w:rFonts w:ascii="Arial"/>
          <w:b/>
          <w:sz w:val="18"/>
        </w:rPr>
      </w:pPr>
      <w:r>
        <w:rPr>
          <w:rFonts w:ascii="Arial"/>
          <w:b/>
          <w:sz w:val="18"/>
        </w:rPr>
        <w:t>Relationship with the Rome </w:t>
      </w:r>
      <w:r>
        <w:rPr>
          <w:rFonts w:ascii="Arial"/>
          <w:b/>
          <w:spacing w:val="-2"/>
          <w:sz w:val="18"/>
        </w:rPr>
        <w:t>Convention</w:t>
      </w:r>
    </w:p>
    <w:p>
      <w:pPr>
        <w:pStyle w:val="BodyText"/>
        <w:spacing w:before="41"/>
        <w:rPr>
          <w:rFonts w:ascii="Arial"/>
          <w:b/>
          <w:sz w:val="18"/>
        </w:rPr>
      </w:pPr>
    </w:p>
    <w:p>
      <w:pPr>
        <w:pStyle w:val="Heading2"/>
        <w:spacing w:before="1"/>
        <w:ind w:left="164"/>
      </w:pPr>
      <w:r>
        <w:rPr/>
        <w:t>30-</w:t>
      </w:r>
      <w:r>
        <w:rPr>
          <w:spacing w:val="-5"/>
        </w:rPr>
        <w:t>135</w:t>
      </w:r>
    </w:p>
    <w:p>
      <w:pPr>
        <w:pStyle w:val="BodyText"/>
        <w:spacing w:line="235" w:lineRule="auto" w:before="202"/>
        <w:ind w:left="164" w:right="167"/>
        <w:jc w:val="both"/>
      </w:pPr>
      <w:bookmarkStart w:name="_bookmark1215" w:id="1217"/>
      <w:bookmarkEnd w:id="1217"/>
      <w:r>
        <w:rPr/>
      </w:r>
      <w:r>
        <w:rPr/>
        <w:t>Article 24 makes provision for the relationship between the Regulation and the Rome Convention. It provides first, </w:t>
      </w:r>
      <w:r>
        <w:rPr>
          <w:color w:val="005DA1"/>
          <w:u w:val="single" w:color="005DA1"/>
          <w:vertAlign w:val="superscript"/>
        </w:rPr>
        <w:t>656</w:t>
      </w:r>
      <w:r>
        <w:rPr>
          <w:color w:val="005DA1"/>
          <w:vertAlign w:val="baseline"/>
        </w:rPr>
        <w:t> </w:t>
      </w:r>
      <w:r>
        <w:rPr>
          <w:vertAlign w:val="baseline"/>
        </w:rPr>
        <w:t>that the Regulation will replace the Rome Convention in the Member States, except as regards the territories of the Member States which fall within the territorial scope of that</w:t>
      </w:r>
      <w:r>
        <w:rPr>
          <w:spacing w:val="80"/>
          <w:vertAlign w:val="baseline"/>
        </w:rPr>
        <w:t> </w:t>
      </w:r>
      <w:bookmarkStart w:name="_bookmark1216" w:id="1218"/>
      <w:bookmarkEnd w:id="1218"/>
      <w:r>
        <w:rPr>
          <w:vertAlign w:val="baseline"/>
        </w:rPr>
        <w:t>Convention</w:t>
      </w:r>
      <w:r>
        <w:rPr>
          <w:vertAlign w:val="baseline"/>
        </w:rPr>
        <w:t> and to which the Regulation does not apply pursuant to art.299 of the EC </w:t>
      </w:r>
      <w:r>
        <w:rPr>
          <w:vertAlign w:val="baseline"/>
        </w:rPr>
        <w:t>Treaty. Secondly, </w:t>
      </w:r>
      <w:r>
        <w:rPr>
          <w:color w:val="005DA1"/>
          <w:u w:val="single" w:color="005DA1"/>
          <w:vertAlign w:val="superscript"/>
        </w:rPr>
        <w:t>657</w:t>
      </w:r>
      <w:r>
        <w:rPr>
          <w:color w:val="005DA1"/>
          <w:vertAlign w:val="baseline"/>
        </w:rPr>
        <w:t> </w:t>
      </w:r>
      <w:r>
        <w:rPr>
          <w:vertAlign w:val="baseline"/>
        </w:rPr>
        <w:t>it provides that in so far as the Regulation replaces the provisions of the Rome Convention, any reference to the Convention shall be understood as a reference to the Regulation.</w:t>
      </w:r>
    </w:p>
    <w:p>
      <w:pPr>
        <w:pStyle w:val="BodyText"/>
      </w:pPr>
    </w:p>
    <w:p>
      <w:pPr>
        <w:pStyle w:val="BodyText"/>
        <w:spacing w:before="36"/>
      </w:pPr>
    </w:p>
    <w:p>
      <w:pPr>
        <w:spacing w:before="1"/>
        <w:ind w:left="165" w:right="0" w:firstLine="0"/>
        <w:jc w:val="left"/>
        <w:rPr>
          <w:rFonts w:ascii="Arial"/>
          <w:b/>
          <w:sz w:val="18"/>
        </w:rPr>
      </w:pPr>
      <w:r>
        <w:rPr>
          <w:rFonts w:ascii="Arial"/>
          <w:b/>
          <w:sz w:val="18"/>
        </w:rPr>
        <w:t>Relationship with existing international </w:t>
      </w:r>
      <w:r>
        <w:rPr>
          <w:rFonts w:ascii="Arial"/>
          <w:b/>
          <w:spacing w:val="-2"/>
          <w:sz w:val="18"/>
        </w:rPr>
        <w:t>conventions</w:t>
      </w:r>
    </w:p>
    <w:p>
      <w:pPr>
        <w:pStyle w:val="BodyText"/>
        <w:spacing w:before="41"/>
        <w:rPr>
          <w:rFonts w:ascii="Arial"/>
          <w:b/>
          <w:sz w:val="18"/>
        </w:rPr>
      </w:pPr>
    </w:p>
    <w:p>
      <w:pPr>
        <w:pStyle w:val="Heading2"/>
      </w:pPr>
      <w:r>
        <w:rPr/>
        <w:t>30-</w:t>
      </w:r>
      <w:r>
        <w:rPr>
          <w:spacing w:val="-5"/>
        </w:rPr>
        <w:t>136</w:t>
      </w:r>
    </w:p>
    <w:p>
      <w:pPr>
        <w:pStyle w:val="BodyText"/>
        <w:spacing w:line="235" w:lineRule="auto" w:before="202"/>
        <w:ind w:left="164" w:right="167"/>
        <w:jc w:val="both"/>
      </w:pPr>
      <w:bookmarkStart w:name="_bookmark1217" w:id="1219"/>
      <w:bookmarkEnd w:id="1219"/>
      <w:r>
        <w:rPr/>
      </w:r>
      <w:r>
        <w:rPr/>
        <w:t>Article 25(1) provides that the Regulation shall not prejudice the application of </w:t>
      </w:r>
      <w:r>
        <w:rPr/>
        <w:t>international conventions</w:t>
      </w:r>
      <w:r>
        <w:rPr>
          <w:spacing w:val="-1"/>
        </w:rPr>
        <w:t> </w:t>
      </w:r>
      <w:r>
        <w:rPr/>
        <w:t>to</w:t>
      </w:r>
      <w:r>
        <w:rPr>
          <w:spacing w:val="-1"/>
        </w:rPr>
        <w:t> </w:t>
      </w:r>
      <w:r>
        <w:rPr/>
        <w:t>which</w:t>
      </w:r>
      <w:r>
        <w:rPr>
          <w:spacing w:val="-1"/>
        </w:rPr>
        <w:t> </w:t>
      </w:r>
      <w:r>
        <w:rPr/>
        <w:t>one</w:t>
      </w:r>
      <w:r>
        <w:rPr>
          <w:spacing w:val="-1"/>
        </w:rPr>
        <w:t> </w:t>
      </w:r>
      <w:r>
        <w:rPr/>
        <w:t>or</w:t>
      </w:r>
      <w:r>
        <w:rPr>
          <w:spacing w:val="-1"/>
        </w:rPr>
        <w:t> </w:t>
      </w:r>
      <w:r>
        <w:rPr/>
        <w:t>more</w:t>
      </w:r>
      <w:r>
        <w:rPr>
          <w:spacing w:val="-1"/>
        </w:rPr>
        <w:t> </w:t>
      </w:r>
      <w:r>
        <w:rPr/>
        <w:t>Member</w:t>
      </w:r>
      <w:r>
        <w:rPr>
          <w:spacing w:val="-1"/>
        </w:rPr>
        <w:t> </w:t>
      </w:r>
      <w:r>
        <w:rPr/>
        <w:t>States</w:t>
      </w:r>
      <w:r>
        <w:rPr>
          <w:spacing w:val="-1"/>
        </w:rPr>
        <w:t> </w:t>
      </w:r>
      <w:r>
        <w:rPr/>
        <w:t>are</w:t>
      </w:r>
      <w:r>
        <w:rPr>
          <w:spacing w:val="-1"/>
        </w:rPr>
        <w:t> </w:t>
      </w:r>
      <w:r>
        <w:rPr/>
        <w:t>parties</w:t>
      </w:r>
      <w:r>
        <w:rPr>
          <w:spacing w:val="-1"/>
        </w:rPr>
        <w:t> </w:t>
      </w:r>
      <w:r>
        <w:rPr/>
        <w:t>at</w:t>
      </w:r>
      <w:r>
        <w:rPr>
          <w:spacing w:val="-1"/>
        </w:rPr>
        <w:t> </w:t>
      </w:r>
      <w:r>
        <w:rPr/>
        <w:t>the</w:t>
      </w:r>
      <w:r>
        <w:rPr>
          <w:spacing w:val="-1"/>
        </w:rPr>
        <w:t> </w:t>
      </w:r>
      <w:r>
        <w:rPr/>
        <w:t>time</w:t>
      </w:r>
      <w:r>
        <w:rPr>
          <w:spacing w:val="-1"/>
        </w:rPr>
        <w:t> </w:t>
      </w:r>
      <w:r>
        <w:rPr/>
        <w:t>the</w:t>
      </w:r>
      <w:r>
        <w:rPr>
          <w:spacing w:val="-1"/>
        </w:rPr>
        <w:t> </w:t>
      </w:r>
      <w:r>
        <w:rPr/>
        <w:t>Regulation</w:t>
      </w:r>
      <w:r>
        <w:rPr>
          <w:spacing w:val="-1"/>
        </w:rPr>
        <w:t> </w:t>
      </w:r>
      <w:r>
        <w:rPr/>
        <w:t>is</w:t>
      </w:r>
      <w:r>
        <w:rPr>
          <w:spacing w:val="-1"/>
        </w:rPr>
        <w:t> </w:t>
      </w:r>
      <w:r>
        <w:rPr/>
        <w:t>adopted</w:t>
      </w:r>
      <w:r>
        <w:rPr>
          <w:spacing w:val="-2"/>
        </w:rPr>
        <w:t> </w:t>
      </w:r>
      <w:r>
        <w:rPr>
          <w:color w:val="005DA1"/>
          <w:u w:val="single" w:color="005DA1"/>
          <w:vertAlign w:val="superscript"/>
        </w:rPr>
        <w:t>658</w:t>
      </w:r>
      <w:r>
        <w:rPr>
          <w:color w:val="005DA1"/>
          <w:vertAlign w:val="baseline"/>
        </w:rPr>
        <w:t> </w:t>
      </w:r>
      <w:r>
        <w:rPr>
          <w:vertAlign w:val="baseline"/>
        </w:rPr>
        <w:t>and which lay down conflict of laws rules relating to contractual obligations. This notwithstanding, as between Member States, the Regulation takes precedence over conventions concluded exclusively </w:t>
      </w:r>
      <w:bookmarkStart w:name="_bookmark1218" w:id="1220"/>
      <w:bookmarkEnd w:id="1220"/>
      <w:r>
        <w:rPr>
          <w:vertAlign w:val="baseline"/>
        </w:rPr>
        <w:t>between</w:t>
      </w:r>
      <w:r>
        <w:rPr>
          <w:vertAlign w:val="baseline"/>
        </w:rPr>
        <w:t> two or more such States in so far as such conventions concern matters covered by the Regulation. </w:t>
      </w:r>
      <w:r>
        <w:rPr>
          <w:color w:val="005DA1"/>
          <w:u w:val="single" w:color="005DA1"/>
          <w:vertAlign w:val="superscript"/>
        </w:rPr>
        <w:t>659</w:t>
      </w:r>
      <w:r>
        <w:rPr>
          <w:color w:val="005DA1"/>
          <w:vertAlign w:val="baseline"/>
        </w:rPr>
        <w:t> </w:t>
      </w:r>
      <w:r>
        <w:rPr>
          <w:vertAlign w:val="baseline"/>
        </w:rPr>
        <w:t>Article 26(1) </w:t>
      </w:r>
      <w:r>
        <w:rPr>
          <w:color w:val="005DA1"/>
          <w:u w:val="single" w:color="005DA1"/>
          <w:vertAlign w:val="superscript"/>
        </w:rPr>
        <w:t>660</w:t>
      </w:r>
      <w:r>
        <w:rPr>
          <w:color w:val="005DA1"/>
          <w:vertAlign w:val="baseline"/>
        </w:rPr>
        <w:t> </w:t>
      </w:r>
      <w:r>
        <w:rPr>
          <w:vertAlign w:val="baseline"/>
        </w:rPr>
        <w:t>requires Member States to notify the Commission of the aforementioned conventions by June 17, 2009 and after that date Member States are required to notify</w:t>
      </w:r>
      <w:r>
        <w:rPr>
          <w:spacing w:val="-1"/>
          <w:vertAlign w:val="baseline"/>
        </w:rPr>
        <w:t> </w:t>
      </w:r>
      <w:r>
        <w:rPr>
          <w:vertAlign w:val="baseline"/>
        </w:rPr>
        <w:t>the</w:t>
      </w:r>
      <w:r>
        <w:rPr>
          <w:spacing w:val="-1"/>
          <w:vertAlign w:val="baseline"/>
        </w:rPr>
        <w:t> </w:t>
      </w:r>
      <w:r>
        <w:rPr>
          <w:vertAlign w:val="baseline"/>
        </w:rPr>
        <w:t>Commission</w:t>
      </w:r>
      <w:r>
        <w:rPr>
          <w:spacing w:val="-1"/>
          <w:vertAlign w:val="baseline"/>
        </w:rPr>
        <w:t> </w:t>
      </w:r>
      <w:r>
        <w:rPr>
          <w:vertAlign w:val="baseline"/>
        </w:rPr>
        <w:t>of</w:t>
      </w:r>
      <w:r>
        <w:rPr>
          <w:spacing w:val="-1"/>
          <w:vertAlign w:val="baseline"/>
        </w:rPr>
        <w:t> </w:t>
      </w:r>
      <w:r>
        <w:rPr>
          <w:vertAlign w:val="baseline"/>
        </w:rPr>
        <w:t>all</w:t>
      </w:r>
      <w:r>
        <w:rPr>
          <w:spacing w:val="-1"/>
          <w:vertAlign w:val="baseline"/>
        </w:rPr>
        <w:t> </w:t>
      </w:r>
      <w:r>
        <w:rPr>
          <w:vertAlign w:val="baseline"/>
        </w:rPr>
        <w:t>denunciations</w:t>
      </w:r>
      <w:r>
        <w:rPr>
          <w:spacing w:val="-1"/>
          <w:vertAlign w:val="baseline"/>
        </w:rPr>
        <w:t> </w:t>
      </w:r>
      <w:r>
        <w:rPr>
          <w:vertAlign w:val="baseline"/>
        </w:rPr>
        <w:t>of</w:t>
      </w:r>
      <w:r>
        <w:rPr>
          <w:spacing w:val="-1"/>
          <w:vertAlign w:val="baseline"/>
        </w:rPr>
        <w:t> </w:t>
      </w:r>
      <w:r>
        <w:rPr>
          <w:vertAlign w:val="baseline"/>
        </w:rPr>
        <w:t>such</w:t>
      </w:r>
      <w:r>
        <w:rPr>
          <w:spacing w:val="-1"/>
          <w:vertAlign w:val="baseline"/>
        </w:rPr>
        <w:t> </w:t>
      </w:r>
      <w:r>
        <w:rPr>
          <w:vertAlign w:val="baseline"/>
        </w:rPr>
        <w:t>conventions.</w:t>
      </w:r>
      <w:r>
        <w:rPr>
          <w:spacing w:val="-1"/>
          <w:vertAlign w:val="baseline"/>
        </w:rPr>
        <w:t> </w:t>
      </w:r>
      <w:r>
        <w:rPr>
          <w:vertAlign w:val="baseline"/>
        </w:rPr>
        <w:t>The</w:t>
      </w:r>
      <w:r>
        <w:rPr>
          <w:spacing w:val="-1"/>
          <w:vertAlign w:val="baseline"/>
        </w:rPr>
        <w:t> </w:t>
      </w:r>
      <w:r>
        <w:rPr>
          <w:vertAlign w:val="baseline"/>
        </w:rPr>
        <w:t>Commission</w:t>
      </w:r>
      <w:r>
        <w:rPr>
          <w:spacing w:val="-1"/>
          <w:vertAlign w:val="baseline"/>
        </w:rPr>
        <w:t> </w:t>
      </w:r>
      <w:r>
        <w:rPr>
          <w:vertAlign w:val="baseline"/>
        </w:rPr>
        <w:t>is</w:t>
      </w:r>
      <w:r>
        <w:rPr>
          <w:spacing w:val="-1"/>
          <w:vertAlign w:val="baseline"/>
        </w:rPr>
        <w:t> </w:t>
      </w:r>
      <w:r>
        <w:rPr>
          <w:vertAlign w:val="baseline"/>
        </w:rPr>
        <w:t>obliged</w:t>
      </w:r>
      <w:r>
        <w:rPr>
          <w:spacing w:val="-1"/>
          <w:vertAlign w:val="baseline"/>
        </w:rPr>
        <w:t> </w:t>
      </w:r>
      <w:r>
        <w:rPr>
          <w:vertAlign w:val="baseline"/>
        </w:rPr>
        <w:t>to</w:t>
      </w:r>
      <w:r>
        <w:rPr>
          <w:spacing w:val="-1"/>
          <w:vertAlign w:val="baseline"/>
        </w:rPr>
        <w:t> </w:t>
      </w:r>
      <w:r>
        <w:rPr>
          <w:vertAlign w:val="baseline"/>
        </w:rPr>
        <w:t>publish </w:t>
      </w:r>
      <w:bookmarkStart w:name="_bookmark1219" w:id="1221"/>
      <w:bookmarkEnd w:id="1221"/>
      <w:r>
        <w:rPr>
          <w:vertAlign w:val="baseline"/>
        </w:rPr>
        <w:t>in</w:t>
      </w:r>
      <w:r>
        <w:rPr>
          <w:vertAlign w:val="baseline"/>
        </w:rPr>
        <w:t> the Official Journal of the European Union within six months of receipt, a list of the aforementioned conventions and a list of denunciations. </w:t>
      </w:r>
      <w:r>
        <w:rPr>
          <w:color w:val="005DA1"/>
          <w:u w:val="single" w:color="005DA1"/>
          <w:vertAlign w:val="superscript"/>
        </w:rPr>
        <w:t>661</w:t>
      </w:r>
    </w:p>
    <w:p>
      <w:pPr>
        <w:pStyle w:val="BodyText"/>
      </w:pPr>
    </w:p>
    <w:p>
      <w:pPr>
        <w:pStyle w:val="BodyText"/>
        <w:spacing w:before="35"/>
      </w:pPr>
    </w:p>
    <w:p>
      <w:pPr>
        <w:spacing w:before="0"/>
        <w:ind w:left="165" w:right="0" w:firstLine="0"/>
        <w:jc w:val="left"/>
        <w:rPr>
          <w:rFonts w:ascii="Arial"/>
          <w:b/>
          <w:sz w:val="18"/>
        </w:rPr>
      </w:pPr>
      <w:r>
        <w:rPr>
          <w:rFonts w:ascii="Arial"/>
          <w:b/>
          <w:sz w:val="18"/>
        </w:rPr>
        <w:t>Review </w:t>
      </w:r>
      <w:r>
        <w:rPr>
          <w:rFonts w:ascii="Arial"/>
          <w:b/>
          <w:spacing w:val="-2"/>
          <w:sz w:val="18"/>
        </w:rPr>
        <w:t>clause</w:t>
      </w:r>
    </w:p>
    <w:p>
      <w:pPr>
        <w:pStyle w:val="BodyText"/>
        <w:spacing w:before="41"/>
        <w:rPr>
          <w:rFonts w:ascii="Arial"/>
          <w:b/>
          <w:sz w:val="18"/>
        </w:rPr>
      </w:pPr>
    </w:p>
    <w:p>
      <w:pPr>
        <w:pStyle w:val="Heading2"/>
        <w:spacing w:before="1"/>
      </w:pPr>
      <w:r>
        <w:rPr/>
        <w:t>30-</w:t>
      </w:r>
      <w:r>
        <w:rPr>
          <w:spacing w:val="-5"/>
        </w:rPr>
        <w:t>137</w:t>
      </w:r>
    </w:p>
    <w:p>
      <w:pPr>
        <w:pStyle w:val="BodyText"/>
        <w:spacing w:line="235" w:lineRule="auto" w:before="202"/>
        <w:ind w:left="165" w:right="167"/>
        <w:jc w:val="both"/>
      </w:pPr>
      <w:bookmarkStart w:name="_bookmark1220" w:id="1222"/>
      <w:bookmarkEnd w:id="1222"/>
      <w:r>
        <w:rPr/>
      </w:r>
      <w:r>
        <w:rPr/>
        <w:t>Article 27 of the Rome I Regulation provides for review of certain matters arising in connection </w:t>
      </w:r>
      <w:r>
        <w:rPr/>
        <w:t>with the</w:t>
      </w:r>
      <w:r>
        <w:rPr>
          <w:spacing w:val="-2"/>
        </w:rPr>
        <w:t> </w:t>
      </w:r>
      <w:r>
        <w:rPr/>
        <w:t>Regulation.</w:t>
      </w:r>
      <w:r>
        <w:rPr>
          <w:spacing w:val="-2"/>
        </w:rPr>
        <w:t> </w:t>
      </w:r>
      <w:r>
        <w:rPr/>
        <w:t>No</w:t>
      </w:r>
      <w:r>
        <w:rPr>
          <w:spacing w:val="-2"/>
        </w:rPr>
        <w:t> </w:t>
      </w:r>
      <w:r>
        <w:rPr/>
        <w:t>later</w:t>
      </w:r>
      <w:r>
        <w:rPr>
          <w:spacing w:val="-2"/>
        </w:rPr>
        <w:t> </w:t>
      </w:r>
      <w:r>
        <w:rPr/>
        <w:t>than</w:t>
      </w:r>
      <w:r>
        <w:rPr>
          <w:spacing w:val="-2"/>
        </w:rPr>
        <w:t> </w:t>
      </w:r>
      <w:r>
        <w:rPr/>
        <w:t>five</w:t>
      </w:r>
      <w:r>
        <w:rPr>
          <w:spacing w:val="-2"/>
        </w:rPr>
        <w:t> </w:t>
      </w:r>
      <w:r>
        <w:rPr/>
        <w:t>years</w:t>
      </w:r>
      <w:r>
        <w:rPr>
          <w:spacing w:val="-2"/>
        </w:rPr>
        <w:t> </w:t>
      </w:r>
      <w:r>
        <w:rPr/>
        <w:t>after</w:t>
      </w:r>
      <w:r>
        <w:rPr>
          <w:spacing w:val="-2"/>
        </w:rPr>
        <w:t> </w:t>
      </w:r>
      <w:r>
        <w:rPr/>
        <w:t>the</w:t>
      </w:r>
      <w:r>
        <w:rPr>
          <w:spacing w:val="-2"/>
        </w:rPr>
        <w:t> </w:t>
      </w:r>
      <w:r>
        <w:rPr/>
        <w:t>entry</w:t>
      </w:r>
      <w:r>
        <w:rPr>
          <w:spacing w:val="-2"/>
        </w:rPr>
        <w:t> </w:t>
      </w:r>
      <w:r>
        <w:rPr/>
        <w:t>into</w:t>
      </w:r>
      <w:r>
        <w:rPr>
          <w:spacing w:val="-2"/>
        </w:rPr>
        <w:t> </w:t>
      </w:r>
      <w:r>
        <w:rPr/>
        <w:t>force</w:t>
      </w:r>
      <w:r>
        <w:rPr>
          <w:spacing w:val="-2"/>
        </w:rPr>
        <w:t> </w:t>
      </w:r>
      <w:r>
        <w:rPr/>
        <w:t>of</w:t>
      </w:r>
      <w:r>
        <w:rPr>
          <w:spacing w:val="-2"/>
        </w:rPr>
        <w:t> </w:t>
      </w:r>
      <w:r>
        <w:rPr/>
        <w:t>the</w:t>
      </w:r>
      <w:r>
        <w:rPr>
          <w:spacing w:val="-2"/>
        </w:rPr>
        <w:t> </w:t>
      </w:r>
      <w:r>
        <w:rPr/>
        <w:t>Regulation,</w:t>
      </w:r>
      <w:r>
        <w:rPr>
          <w:spacing w:val="-3"/>
        </w:rPr>
        <w:t> </w:t>
      </w:r>
      <w:r>
        <w:rPr>
          <w:color w:val="005DA1"/>
          <w:u w:val="single" w:color="005DA1"/>
          <w:vertAlign w:val="superscript"/>
        </w:rPr>
        <w:t>662</w:t>
      </w:r>
      <w:r>
        <w:rPr>
          <w:color w:val="005DA1"/>
          <w:spacing w:val="-2"/>
          <w:vertAlign w:val="baseline"/>
        </w:rPr>
        <w:t> </w:t>
      </w:r>
      <w:r>
        <w:rPr>
          <w:vertAlign w:val="baseline"/>
        </w:rPr>
        <w:t>the</w:t>
      </w:r>
      <w:r>
        <w:rPr>
          <w:spacing w:val="-2"/>
          <w:vertAlign w:val="baseline"/>
        </w:rPr>
        <w:t> </w:t>
      </w:r>
      <w:r>
        <w:rPr>
          <w:vertAlign w:val="baseline"/>
        </w:rPr>
        <w:t>Commission is</w:t>
      </w:r>
      <w:r>
        <w:rPr>
          <w:spacing w:val="12"/>
          <w:vertAlign w:val="baseline"/>
        </w:rPr>
        <w:t> </w:t>
      </w:r>
      <w:r>
        <w:rPr>
          <w:vertAlign w:val="baseline"/>
        </w:rPr>
        <w:t>required</w:t>
      </w:r>
      <w:r>
        <w:rPr>
          <w:spacing w:val="12"/>
          <w:vertAlign w:val="baseline"/>
        </w:rPr>
        <w:t> </w:t>
      </w:r>
      <w:r>
        <w:rPr>
          <w:vertAlign w:val="baseline"/>
        </w:rPr>
        <w:t>to</w:t>
      </w:r>
      <w:r>
        <w:rPr>
          <w:spacing w:val="12"/>
          <w:vertAlign w:val="baseline"/>
        </w:rPr>
        <w:t> </w:t>
      </w:r>
      <w:r>
        <w:rPr>
          <w:vertAlign w:val="baseline"/>
        </w:rPr>
        <w:t>submit</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European</w:t>
      </w:r>
      <w:r>
        <w:rPr>
          <w:spacing w:val="12"/>
          <w:vertAlign w:val="baseline"/>
        </w:rPr>
        <w:t> </w:t>
      </w:r>
      <w:r>
        <w:rPr>
          <w:vertAlign w:val="baseline"/>
        </w:rPr>
        <w:t>Economic</w:t>
      </w:r>
      <w:r>
        <w:rPr>
          <w:spacing w:val="12"/>
          <w:vertAlign w:val="baseline"/>
        </w:rPr>
        <w:t> </w:t>
      </w:r>
      <w:r>
        <w:rPr>
          <w:vertAlign w:val="baseline"/>
        </w:rPr>
        <w:t>and</w:t>
      </w:r>
      <w:r>
        <w:rPr>
          <w:spacing w:val="12"/>
          <w:vertAlign w:val="baseline"/>
        </w:rPr>
        <w:t> </w:t>
      </w:r>
      <w:r>
        <w:rPr>
          <w:vertAlign w:val="baseline"/>
        </w:rPr>
        <w:t>Social</w:t>
      </w:r>
      <w:r>
        <w:rPr>
          <w:spacing w:val="12"/>
          <w:vertAlign w:val="baseline"/>
        </w:rPr>
        <w:t> </w:t>
      </w:r>
      <w:r>
        <w:rPr>
          <w:vertAlign w:val="baseline"/>
        </w:rPr>
        <w:t>Committee</w:t>
      </w:r>
      <w:r>
        <w:rPr>
          <w:spacing w:val="12"/>
          <w:vertAlign w:val="baseline"/>
        </w:rPr>
        <w:t> </w:t>
      </w:r>
      <w:r>
        <w:rPr>
          <w:vertAlign w:val="baseline"/>
        </w:rPr>
        <w:t>a</w:t>
      </w:r>
      <w:r>
        <w:rPr>
          <w:spacing w:val="12"/>
          <w:vertAlign w:val="baseline"/>
        </w:rPr>
        <w:t> </w:t>
      </w:r>
      <w:r>
        <w:rPr>
          <w:vertAlign w:val="baseline"/>
        </w:rPr>
        <w:t>report</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application</w:t>
      </w:r>
      <w:r>
        <w:rPr>
          <w:spacing w:val="12"/>
          <w:vertAlign w:val="baseline"/>
        </w:rPr>
        <w:t> </w:t>
      </w:r>
      <w:r>
        <w:rPr>
          <w:spacing w:val="-5"/>
          <w:vertAlign w:val="baseline"/>
        </w:rPr>
        <w:t>of</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221" w:id="1223"/>
      <w:bookmarkEnd w:id="1223"/>
      <w:r>
        <w:rPr/>
      </w:r>
      <w:r>
        <w:rPr/>
        <w:t>the Regulation and if appropriate, the report shall be accompanied by proposals to adapt </w:t>
      </w:r>
      <w:r>
        <w:rPr/>
        <w:t>the Regulation. </w:t>
      </w:r>
      <w:r>
        <w:rPr>
          <w:color w:val="005DA1"/>
          <w:u w:val="single" w:color="005DA1"/>
          <w:vertAlign w:val="superscript"/>
        </w:rPr>
        <w:t>663</w:t>
      </w:r>
      <w:r>
        <w:rPr>
          <w:color w:val="005DA1"/>
          <w:vertAlign w:val="baseline"/>
        </w:rPr>
        <w:t> </w:t>
      </w:r>
      <w:r>
        <w:rPr>
          <w:vertAlign w:val="baseline"/>
        </w:rPr>
        <w:t>The report is to include: (i) a study on the law applicable to insurance contracts and an assessment of the impact of the provisions to be introduced if any: and (ii) an evaluation on the </w:t>
      </w:r>
      <w:bookmarkStart w:name="_bookmark1222" w:id="1224"/>
      <w:bookmarkEnd w:id="1224"/>
      <w:r>
        <w:rPr>
          <w:vertAlign w:val="baseline"/>
        </w:rPr>
        <w:t>application</w:t>
      </w:r>
      <w:r>
        <w:rPr>
          <w:vertAlign w:val="baseline"/>
        </w:rPr>
        <w:t> of art.6 (concerned with consumer contracts), in particular as regards the coherence of Community</w:t>
      </w:r>
      <w:r>
        <w:rPr>
          <w:spacing w:val="-3"/>
          <w:vertAlign w:val="baseline"/>
        </w:rPr>
        <w:t> </w:t>
      </w:r>
      <w:r>
        <w:rPr>
          <w:vertAlign w:val="baseline"/>
        </w:rPr>
        <w:t>law</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field</w:t>
      </w:r>
      <w:r>
        <w:rPr>
          <w:spacing w:val="-3"/>
          <w:vertAlign w:val="baseline"/>
        </w:rPr>
        <w:t> </w:t>
      </w:r>
      <w:r>
        <w:rPr>
          <w:vertAlign w:val="baseline"/>
        </w:rPr>
        <w:t>of</w:t>
      </w:r>
      <w:r>
        <w:rPr>
          <w:spacing w:val="-3"/>
          <w:vertAlign w:val="baseline"/>
        </w:rPr>
        <w:t> </w:t>
      </w:r>
      <w:r>
        <w:rPr>
          <w:vertAlign w:val="baseline"/>
        </w:rPr>
        <w:t>consumer</w:t>
      </w:r>
      <w:r>
        <w:rPr>
          <w:spacing w:val="-3"/>
          <w:vertAlign w:val="baseline"/>
        </w:rPr>
        <w:t> </w:t>
      </w:r>
      <w:r>
        <w:rPr>
          <w:vertAlign w:val="baseline"/>
        </w:rPr>
        <w:t>protection.</w:t>
      </w:r>
      <w:r>
        <w:rPr>
          <w:spacing w:val="-3"/>
          <w:vertAlign w:val="baseline"/>
        </w:rPr>
        <w:t> </w:t>
      </w:r>
      <w:r>
        <w:rPr>
          <w:color w:val="005DA1"/>
          <w:u w:val="single" w:color="005DA1"/>
          <w:vertAlign w:val="superscript"/>
        </w:rPr>
        <w:t>664</w:t>
      </w:r>
      <w:r>
        <w:rPr>
          <w:color w:val="005DA1"/>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likely</w:t>
      </w:r>
      <w:r>
        <w:rPr>
          <w:spacing w:val="-3"/>
          <w:vertAlign w:val="baseline"/>
        </w:rPr>
        <w:t> </w:t>
      </w:r>
      <w:r>
        <w:rPr>
          <w:vertAlign w:val="baseline"/>
        </w:rPr>
        <w:t>that</w:t>
      </w:r>
      <w:r>
        <w:rPr>
          <w:spacing w:val="-3"/>
          <w:vertAlign w:val="baseline"/>
        </w:rPr>
        <w:t> </w:t>
      </w:r>
      <w:r>
        <w:rPr>
          <w:vertAlign w:val="baseline"/>
        </w:rPr>
        <w:t>review</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particular</w:t>
      </w:r>
      <w:r>
        <w:rPr>
          <w:spacing w:val="-3"/>
          <w:vertAlign w:val="baseline"/>
        </w:rPr>
        <w:t> </w:t>
      </w:r>
      <w:r>
        <w:rPr>
          <w:vertAlign w:val="baseline"/>
        </w:rPr>
        <w:t>matters</w:t>
      </w:r>
      <w:r>
        <w:rPr>
          <w:spacing w:val="-3"/>
          <w:vertAlign w:val="baseline"/>
        </w:rPr>
        <w:t> </w:t>
      </w:r>
      <w:r>
        <w:rPr>
          <w:vertAlign w:val="baseline"/>
        </w:rPr>
        <w:t>of </w:t>
      </w:r>
      <w:bookmarkStart w:name="_bookmark1223" w:id="1225"/>
      <w:bookmarkEnd w:id="1225"/>
      <w:r>
        <w:rPr>
          <w:vertAlign w:val="baseline"/>
        </w:rPr>
        <w:t>insurance</w:t>
      </w:r>
      <w:r>
        <w:rPr>
          <w:vertAlign w:val="baseline"/>
        </w:rPr>
        <w:t> contracts and consumer contracts was prompted by the fact that these matters had proved controversial in the negotiation of the Regulation. </w:t>
      </w:r>
      <w:r>
        <w:rPr>
          <w:color w:val="005DA1"/>
          <w:u w:val="single" w:color="005DA1"/>
          <w:vertAlign w:val="superscript"/>
        </w:rPr>
        <w:t>665</w:t>
      </w:r>
      <w:r>
        <w:rPr>
          <w:color w:val="005DA1"/>
          <w:vertAlign w:val="baseline"/>
        </w:rPr>
        <w:t> </w:t>
      </w:r>
      <w:r>
        <w:rPr>
          <w:vertAlign w:val="baseline"/>
        </w:rPr>
        <w:t>No later than two years after the entry into force of the Regulation, the Commission shall submit to the European Parliament, the Council and the European Economic and Social Committee a report on the question of the effectiveness of an assignment or subrogation of a claim against third parties and the priority of the assigned or subrogated claims over a right of another person, the report to be accompanied if appropriate, by a </w:t>
      </w:r>
      <w:bookmarkStart w:name="_bookmark1224" w:id="1226"/>
      <w:bookmarkEnd w:id="1226"/>
      <w:r>
        <w:rPr>
          <w:vertAlign w:val="baseline"/>
        </w:rPr>
        <w:t>proposal</w:t>
      </w:r>
      <w:r>
        <w:rPr>
          <w:vertAlign w:val="baseline"/>
        </w:rPr>
        <w:t> to amend the Regulation and an assessment of the impact of the provisions to be</w:t>
      </w:r>
      <w:r>
        <w:rPr>
          <w:spacing w:val="40"/>
          <w:vertAlign w:val="baseline"/>
        </w:rPr>
        <w:t> </w:t>
      </w:r>
      <w:bookmarkStart w:name="_bookmark1225" w:id="1227"/>
      <w:bookmarkEnd w:id="1227"/>
      <w:r>
        <w:rPr>
          <w:vertAlign w:val="baseline"/>
        </w:rPr>
        <w:t>introduced.</w:t>
      </w:r>
      <w:r>
        <w:rPr>
          <w:vertAlign w:val="baseline"/>
        </w:rPr>
        <w:t> </w:t>
      </w:r>
      <w:r>
        <w:rPr>
          <w:color w:val="005DA1"/>
          <w:u w:val="single" w:color="005DA1"/>
          <w:vertAlign w:val="superscript"/>
        </w:rPr>
        <w:t>666</w:t>
      </w:r>
      <w:r>
        <w:rPr>
          <w:color w:val="005DA1"/>
          <w:vertAlign w:val="baseline"/>
        </w:rPr>
        <w:t> </w:t>
      </w:r>
      <w:r>
        <w:rPr>
          <w:vertAlign w:val="baseline"/>
        </w:rPr>
        <w:t>The requirement for review of these matters was similarly prompted by their controversial nature in the course of negotiations. </w:t>
      </w:r>
      <w:r>
        <w:rPr>
          <w:color w:val="005DA1"/>
          <w:u w:val="single" w:color="005DA1"/>
          <w:vertAlign w:val="superscript"/>
        </w:rPr>
        <w:t>667</w:t>
      </w:r>
    </w:p>
    <w:p>
      <w:pPr>
        <w:pStyle w:val="BodyText"/>
      </w:pPr>
    </w:p>
    <w:p>
      <w:pPr>
        <w:pStyle w:val="BodyText"/>
        <w:spacing w:before="33"/>
      </w:pPr>
    </w:p>
    <w:p>
      <w:pPr>
        <w:spacing w:before="1"/>
        <w:ind w:left="165" w:right="0" w:firstLine="0"/>
        <w:jc w:val="left"/>
        <w:rPr>
          <w:rFonts w:ascii="Arial"/>
          <w:b/>
          <w:sz w:val="18"/>
        </w:rPr>
      </w:pPr>
      <w:r>
        <w:rPr>
          <w:rFonts w:ascii="Arial"/>
          <w:b/>
          <w:sz w:val="18"/>
        </w:rPr>
        <w:t>General scope of the </w:t>
      </w:r>
      <w:r>
        <w:rPr>
          <w:rFonts w:ascii="Arial"/>
          <w:b/>
          <w:spacing w:val="-2"/>
          <w:sz w:val="18"/>
        </w:rPr>
        <w:t>Regulation</w:t>
      </w:r>
    </w:p>
    <w:p>
      <w:pPr>
        <w:pStyle w:val="BodyText"/>
        <w:spacing w:before="41"/>
        <w:rPr>
          <w:rFonts w:ascii="Arial"/>
          <w:b/>
          <w:sz w:val="18"/>
        </w:rPr>
      </w:pPr>
    </w:p>
    <w:p>
      <w:pPr>
        <w:pStyle w:val="Heading2"/>
      </w:pPr>
      <w:r>
        <w:rPr/>
        <w:t>30-</w:t>
      </w:r>
      <w:r>
        <w:rPr>
          <w:spacing w:val="-5"/>
        </w:rPr>
        <w:t>138</w:t>
      </w:r>
    </w:p>
    <w:p>
      <w:pPr>
        <w:pStyle w:val="BodyText"/>
        <w:spacing w:line="235" w:lineRule="auto" w:before="202"/>
        <w:ind w:left="165" w:right="167"/>
        <w:jc w:val="both"/>
      </w:pPr>
      <w:bookmarkStart w:name="_bookmark1226" w:id="1228"/>
      <w:bookmarkEnd w:id="1228"/>
      <w:r>
        <w:rPr/>
      </w:r>
      <w:r>
        <w:rPr/>
        <w:t>A number of general questions arise as to the scope of the Regulation (as opposed to the specific questions</w:t>
      </w:r>
      <w:r>
        <w:rPr>
          <w:spacing w:val="-1"/>
        </w:rPr>
        <w:t> </w:t>
      </w:r>
      <w:r>
        <w:rPr/>
        <w:t>which</w:t>
      </w:r>
      <w:r>
        <w:rPr>
          <w:spacing w:val="-1"/>
        </w:rPr>
        <w:t> </w:t>
      </w:r>
      <w:r>
        <w:rPr/>
        <w:t>are</w:t>
      </w:r>
      <w:r>
        <w:rPr>
          <w:spacing w:val="-1"/>
        </w:rPr>
        <w:t> </w:t>
      </w:r>
      <w:r>
        <w:rPr/>
        <w:t>included</w:t>
      </w:r>
      <w:r>
        <w:rPr>
          <w:spacing w:val="-1"/>
        </w:rPr>
        <w:t> </w:t>
      </w:r>
      <w:r>
        <w:rPr/>
        <w:t>in</w:t>
      </w:r>
      <w:r>
        <w:rPr>
          <w:spacing w:val="-1"/>
        </w:rPr>
        <w:t> </w:t>
      </w:r>
      <w:r>
        <w:rPr/>
        <w:t>or</w:t>
      </w:r>
      <w:r>
        <w:rPr>
          <w:spacing w:val="-1"/>
        </w:rPr>
        <w:t> </w:t>
      </w:r>
      <w:r>
        <w:rPr/>
        <w:t>excluded</w:t>
      </w:r>
      <w:r>
        <w:rPr>
          <w:spacing w:val="-1"/>
        </w:rPr>
        <w:t> </w:t>
      </w:r>
      <w:r>
        <w:rPr/>
        <w:t>from</w:t>
      </w:r>
      <w:r>
        <w:rPr>
          <w:spacing w:val="-1"/>
        </w:rPr>
        <w:t> </w:t>
      </w:r>
      <w:r>
        <w:rPr/>
        <w:t>the</w:t>
      </w:r>
      <w:r>
        <w:rPr>
          <w:spacing w:val="-1"/>
        </w:rPr>
        <w:t> </w:t>
      </w:r>
      <w:r>
        <w:rPr/>
        <w:t>Regulation</w:t>
      </w:r>
      <w:r>
        <w:rPr>
          <w:spacing w:val="-1"/>
        </w:rPr>
        <w:t> </w:t>
      </w:r>
      <w:r>
        <w:rPr/>
        <w:t>by</w:t>
      </w:r>
      <w:r>
        <w:rPr>
          <w:spacing w:val="-1"/>
        </w:rPr>
        <w:t> </w:t>
      </w:r>
      <w:r>
        <w:rPr/>
        <w:t>the</w:t>
      </w:r>
      <w:r>
        <w:rPr>
          <w:spacing w:val="-1"/>
        </w:rPr>
        <w:t> </w:t>
      </w:r>
      <w:r>
        <w:rPr/>
        <w:t>text</w:t>
      </w:r>
      <w:r>
        <w:rPr>
          <w:spacing w:val="-1"/>
        </w:rPr>
        <w:t> </w:t>
      </w:r>
      <w:r>
        <w:rPr/>
        <w:t>of</w:t>
      </w:r>
      <w:r>
        <w:rPr>
          <w:spacing w:val="-1"/>
        </w:rPr>
        <w:t> </w:t>
      </w:r>
      <w:r>
        <w:rPr/>
        <w:t>the</w:t>
      </w:r>
      <w:r>
        <w:rPr>
          <w:spacing w:val="-1"/>
        </w:rPr>
        <w:t> </w:t>
      </w:r>
      <w:r>
        <w:rPr/>
        <w:t>instrument).</w:t>
      </w:r>
      <w:r>
        <w:rPr>
          <w:spacing w:val="-2"/>
        </w:rPr>
        <w:t> </w:t>
      </w:r>
      <w:r>
        <w:rPr>
          <w:color w:val="005DA1"/>
          <w:u w:val="single" w:color="005DA1"/>
          <w:vertAlign w:val="superscript"/>
        </w:rPr>
        <w:t>668</w:t>
      </w:r>
      <w:r>
        <w:rPr>
          <w:color w:val="005DA1"/>
          <w:spacing w:val="-1"/>
          <w:vertAlign w:val="baseline"/>
        </w:rPr>
        <w:t> </w:t>
      </w:r>
      <w:r>
        <w:rPr>
          <w:vertAlign w:val="baseline"/>
        </w:rPr>
        <w:t>The general scope of the Regulation is indicated in art.1(1) which provides that the Regulation:</w:t>
      </w:r>
    </w:p>
    <w:p>
      <w:pPr>
        <w:pStyle w:val="BodyText"/>
      </w:pPr>
    </w:p>
    <w:p>
      <w:pPr>
        <w:pStyle w:val="BodyText"/>
        <w:spacing w:before="126"/>
      </w:pPr>
    </w:p>
    <w:p>
      <w:pPr>
        <w:pStyle w:val="BodyText"/>
        <w:spacing w:line="235" w:lineRule="auto"/>
        <w:ind w:left="1245" w:right="167"/>
        <w:jc w:val="both"/>
      </w:pPr>
      <w:r>
        <w:rPr/>
        <w:t>“… shall apply, in situations involving a conflict of laws, to contractual obligations in civil and commercial matters. It shall not apply, in particular, to revenue, customs or administrative matters.”</w:t>
      </w:r>
    </w:p>
    <w:p>
      <w:pPr>
        <w:pStyle w:val="BodyText"/>
        <w:spacing w:before="116"/>
      </w:pPr>
    </w:p>
    <w:p>
      <w:pPr>
        <w:pStyle w:val="BodyText"/>
        <w:spacing w:line="235" w:lineRule="auto"/>
        <w:ind w:left="165" w:right="167"/>
        <w:jc w:val="both"/>
      </w:pPr>
      <w:bookmarkStart w:name="_bookmark1227" w:id="1229"/>
      <w:bookmarkEnd w:id="1229"/>
      <w:r>
        <w:rPr/>
      </w:r>
      <w:r>
        <w:rPr/>
        <w:t>This formulation (which is different from that contained in the equivalent provision of the </w:t>
      </w:r>
      <w:r>
        <w:rPr/>
        <w:t>Rome Convention) </w:t>
      </w:r>
      <w:r>
        <w:rPr>
          <w:color w:val="005DA1"/>
          <w:u w:val="single" w:color="005DA1"/>
          <w:vertAlign w:val="superscript"/>
        </w:rPr>
        <w:t>669</w:t>
      </w:r>
      <w:r>
        <w:rPr>
          <w:color w:val="005DA1"/>
          <w:vertAlign w:val="baseline"/>
        </w:rPr>
        <w:t> </w:t>
      </w:r>
      <w:r>
        <w:rPr>
          <w:vertAlign w:val="baseline"/>
        </w:rPr>
        <w:t>reflects the language of: (a) Council Regulation 125/2012 on jurisdiction and the </w:t>
      </w:r>
      <w:bookmarkStart w:name="_bookmark1228" w:id="1230"/>
      <w:bookmarkEnd w:id="1230"/>
      <w:r>
        <w:rPr>
          <w:vertAlign w:val="baseline"/>
        </w:rPr>
        <w:t>recognition</w:t>
      </w:r>
      <w:r>
        <w:rPr>
          <w:vertAlign w:val="baseline"/>
        </w:rPr>
        <w:t> and enforcement of judgments in civil and commercial matters (recast) (“Brussels I </w:t>
      </w:r>
      <w:bookmarkStart w:name="_bookmark1229" w:id="1231"/>
      <w:bookmarkEnd w:id="1231"/>
      <w:r>
        <w:rPr>
          <w:vertAlign w:val="baseline"/>
        </w:rPr>
        <w:t>recast”)</w:t>
      </w:r>
      <w:r>
        <w:rPr>
          <w:vertAlign w:val="baseline"/>
        </w:rPr>
        <w:t> (hereafter the “Judgments Regulation recast”) </w:t>
      </w:r>
      <w:r>
        <w:rPr>
          <w:color w:val="005DA1"/>
          <w:u w:val="single" w:color="005DA1"/>
          <w:vertAlign w:val="superscript"/>
        </w:rPr>
        <w:t>670</w:t>
      </w:r>
      <w:r>
        <w:rPr>
          <w:vertAlign w:val="baseline"/>
        </w:rPr>
        <w:t>; and (b) Regulation 864/2007 on the law </w:t>
      </w:r>
      <w:bookmarkStart w:name="_bookmark1230" w:id="1232"/>
      <w:bookmarkEnd w:id="1232"/>
      <w:r>
        <w:rPr>
          <w:vertAlign w:val="baseline"/>
        </w:rPr>
        <w:t>applicable</w:t>
      </w:r>
      <w:r>
        <w:rPr>
          <w:vertAlign w:val="baseline"/>
        </w:rPr>
        <w:t> to non-contractual obligations (“Rome II”) (hereafter the “Rome II Regulation”). </w:t>
      </w:r>
      <w:r>
        <w:rPr>
          <w:color w:val="005DA1"/>
          <w:u w:val="single" w:color="005DA1"/>
          <w:vertAlign w:val="superscript"/>
        </w:rPr>
        <w:t>671</w:t>
      </w:r>
      <w:r>
        <w:rPr>
          <w:color w:val="005DA1"/>
          <w:vertAlign w:val="baseline"/>
        </w:rPr>
        <w:t> </w:t>
      </w:r>
      <w:r>
        <w:rPr>
          <w:vertAlign w:val="baseline"/>
        </w:rPr>
        <w:t>As explained above, </w:t>
      </w:r>
      <w:r>
        <w:rPr>
          <w:color w:val="005DA1"/>
          <w:u w:val="single" w:color="005DA1"/>
          <w:vertAlign w:val="superscript"/>
        </w:rPr>
        <w:t>672</w:t>
      </w:r>
      <w:r>
        <w:rPr>
          <w:color w:val="005DA1"/>
          <w:vertAlign w:val="baseline"/>
        </w:rPr>
        <w:t> </w:t>
      </w:r>
      <w:r>
        <w:rPr>
          <w:vertAlign w:val="baseline"/>
        </w:rPr>
        <w:t>Recital 7 to the Regulation indicates that the substantive scope and the provisions of the Rome I Regulation should be consistent with those instruments which means that identical terminology in each instrument should be interpreted in the same way.</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“Situations involving a conflict of </w:t>
      </w:r>
      <w:r>
        <w:rPr>
          <w:rFonts w:ascii="Arial" w:hAnsi="Arial"/>
          <w:b/>
          <w:spacing w:val="-2"/>
          <w:sz w:val="18"/>
        </w:rPr>
        <w:t>laws”</w:t>
      </w:r>
    </w:p>
    <w:p>
      <w:pPr>
        <w:pStyle w:val="BodyText"/>
        <w:spacing w:before="42"/>
        <w:rPr>
          <w:rFonts w:ascii="Arial"/>
          <w:b/>
          <w:sz w:val="18"/>
        </w:rPr>
      </w:pPr>
    </w:p>
    <w:p>
      <w:pPr>
        <w:pStyle w:val="Heading2"/>
      </w:pPr>
      <w:r>
        <w:rPr/>
        <w:t>30-</w:t>
      </w:r>
      <w:r>
        <w:rPr>
          <w:spacing w:val="-5"/>
        </w:rPr>
        <w:t>139</w:t>
      </w:r>
    </w:p>
    <w:p>
      <w:pPr>
        <w:pStyle w:val="BodyText"/>
        <w:spacing w:line="235" w:lineRule="auto" w:before="202"/>
        <w:ind w:left="165" w:right="167"/>
        <w:jc w:val="both"/>
      </w:pPr>
      <w:r>
        <w:rPr/>
        <w:t>This expression seems to indicate that the situation must be one which implicates the need to make a choice of law in relation to a particular contractual obligation which falls within the provisions of the </w:t>
      </w:r>
      <w:r>
        <w:rPr>
          <w:spacing w:val="-2"/>
        </w:rPr>
        <w:t>Regulation.</w:t>
      </w:r>
    </w:p>
    <w:p>
      <w:pPr>
        <w:pStyle w:val="BodyText"/>
      </w:pPr>
    </w:p>
    <w:p>
      <w:pPr>
        <w:pStyle w:val="BodyText"/>
        <w:spacing w:before="38"/>
      </w:pPr>
    </w:p>
    <w:p>
      <w:pPr>
        <w:spacing w:before="0"/>
        <w:ind w:left="165" w:right="0" w:firstLine="0"/>
        <w:jc w:val="left"/>
        <w:rPr>
          <w:rFonts w:ascii="Arial" w:hAnsi="Arial"/>
          <w:b/>
          <w:sz w:val="18"/>
        </w:rPr>
      </w:pPr>
      <w:r>
        <w:rPr>
          <w:rFonts w:ascii="Arial" w:hAnsi="Arial"/>
          <w:b/>
          <w:sz w:val="18"/>
        </w:rPr>
        <w:t>“Civil and commercial </w:t>
      </w:r>
      <w:r>
        <w:rPr>
          <w:rFonts w:ascii="Arial" w:hAnsi="Arial"/>
          <w:b/>
          <w:spacing w:val="-2"/>
          <w:sz w:val="18"/>
        </w:rPr>
        <w:t>matters”</w:t>
      </w:r>
    </w:p>
    <w:p>
      <w:pPr>
        <w:pStyle w:val="BodyText"/>
        <w:spacing w:before="41"/>
        <w:rPr>
          <w:rFonts w:ascii="Arial"/>
          <w:b/>
          <w:sz w:val="18"/>
        </w:rPr>
      </w:pPr>
    </w:p>
    <w:p>
      <w:pPr>
        <w:pStyle w:val="Heading2"/>
      </w:pPr>
      <w:r>
        <w:rPr/>
        <w:t>30-</w:t>
      </w:r>
      <w:r>
        <w:rPr>
          <w:spacing w:val="-5"/>
        </w:rPr>
        <w:t>140</w:t>
      </w:r>
    </w:p>
    <w:p>
      <w:pPr>
        <w:pStyle w:val="BodyText"/>
        <w:spacing w:line="235" w:lineRule="auto" w:before="203"/>
        <w:ind w:left="165" w:right="167"/>
        <w:jc w:val="both"/>
      </w:pPr>
      <w:bookmarkStart w:name="_bookmark1231" w:id="1233"/>
      <w:bookmarkEnd w:id="1233"/>
      <w:r>
        <w:rPr/>
      </w:r>
      <w:r>
        <w:rPr/>
        <w:t>This expression (found in the Judgments Regulation recast and the Rome II Regulation) must be interpreted in a manner consistent with each of those Regulations. </w:t>
      </w:r>
      <w:r>
        <w:rPr>
          <w:color w:val="005DA1"/>
          <w:u w:val="single" w:color="005DA1"/>
          <w:vertAlign w:val="superscript"/>
        </w:rPr>
        <w:t>673</w:t>
      </w:r>
      <w:r>
        <w:rPr>
          <w:color w:val="005DA1"/>
          <w:vertAlign w:val="baseline"/>
        </w:rPr>
        <w:t> </w:t>
      </w:r>
      <w:r>
        <w:rPr>
          <w:vertAlign w:val="baseline"/>
        </w:rPr>
        <w:t>Very broadly a “civil and commercial matter” is a matter which raises an issue of private law, as opposed to public law. It </w:t>
      </w:r>
      <w:r>
        <w:rPr>
          <w:vertAlign w:val="baseline"/>
        </w:rPr>
        <w:t>may </w:t>
      </w:r>
      <w:bookmarkStart w:name="_bookmark1232" w:id="1234"/>
      <w:bookmarkEnd w:id="1234"/>
      <w:r>
        <w:rPr>
          <w:vertAlign w:val="baseline"/>
        </w:rPr>
        <w:t>serve</w:t>
      </w:r>
      <w:r>
        <w:rPr>
          <w:vertAlign w:val="baseline"/>
        </w:rPr>
        <w:t> to exclude from the scope of the Regulation, public law contracts such as administrative contracts under French law. </w:t>
      </w:r>
      <w:r>
        <w:rPr>
          <w:color w:val="005DA1"/>
          <w:u w:val="single" w:color="005DA1"/>
          <w:vertAlign w:val="superscript"/>
        </w:rPr>
        <w:t>674</w:t>
      </w:r>
      <w:r>
        <w:rPr>
          <w:color w:val="005DA1"/>
          <w:vertAlign w:val="baseline"/>
        </w:rPr>
        <w:t> </w:t>
      </w:r>
      <w:r>
        <w:rPr>
          <w:vertAlign w:val="baseline"/>
        </w:rPr>
        <w:t>The expression also seems to mean that the scope of the Regulation will be more limited than that of the Rome Convention which is not limited to civil and commercial matters.</w:t>
      </w:r>
      <w:r>
        <w:rPr>
          <w:spacing w:val="32"/>
          <w:vertAlign w:val="baseline"/>
        </w:rPr>
        <w:t> </w:t>
      </w:r>
      <w:r>
        <w:rPr>
          <w:vertAlign w:val="baseline"/>
        </w:rPr>
        <w:t>It</w:t>
      </w:r>
      <w:r>
        <w:rPr>
          <w:spacing w:val="32"/>
          <w:vertAlign w:val="baseline"/>
        </w:rPr>
        <w:t> </w:t>
      </w:r>
      <w:r>
        <w:rPr>
          <w:vertAlign w:val="baseline"/>
        </w:rPr>
        <w:t>is</w:t>
      </w:r>
      <w:r>
        <w:rPr>
          <w:spacing w:val="32"/>
          <w:vertAlign w:val="baseline"/>
        </w:rPr>
        <w:t> </w:t>
      </w:r>
      <w:r>
        <w:rPr>
          <w:vertAlign w:val="baseline"/>
        </w:rPr>
        <w:t>unclear</w:t>
      </w:r>
      <w:r>
        <w:rPr>
          <w:spacing w:val="32"/>
          <w:vertAlign w:val="baseline"/>
        </w:rPr>
        <w:t> </w:t>
      </w:r>
      <w:r>
        <w:rPr>
          <w:vertAlign w:val="baseline"/>
        </w:rPr>
        <w:t>whether</w:t>
      </w:r>
      <w:r>
        <w:rPr>
          <w:spacing w:val="32"/>
          <w:vertAlign w:val="baseline"/>
        </w:rPr>
        <w:t> </w:t>
      </w:r>
      <w:r>
        <w:rPr>
          <w:vertAlign w:val="baseline"/>
        </w:rPr>
        <w:t>it</w:t>
      </w:r>
      <w:r>
        <w:rPr>
          <w:spacing w:val="32"/>
          <w:vertAlign w:val="baseline"/>
        </w:rPr>
        <w:t> </w:t>
      </w:r>
      <w:r>
        <w:rPr>
          <w:vertAlign w:val="baseline"/>
        </w:rPr>
        <w:t>is</w:t>
      </w:r>
      <w:r>
        <w:rPr>
          <w:spacing w:val="32"/>
          <w:vertAlign w:val="baseline"/>
        </w:rPr>
        <w:t> </w:t>
      </w:r>
      <w:r>
        <w:rPr>
          <w:vertAlign w:val="baseline"/>
        </w:rPr>
        <w:t>also</w:t>
      </w:r>
      <w:r>
        <w:rPr>
          <w:spacing w:val="32"/>
          <w:vertAlign w:val="baseline"/>
        </w:rPr>
        <w:t> </w:t>
      </w:r>
      <w:r>
        <w:rPr>
          <w:vertAlign w:val="baseline"/>
        </w:rPr>
        <w:t>intended</w:t>
      </w:r>
      <w:r>
        <w:rPr>
          <w:spacing w:val="32"/>
          <w:vertAlign w:val="baseline"/>
        </w:rPr>
        <w:t> </w:t>
      </w:r>
      <w:r>
        <w:rPr>
          <w:vertAlign w:val="baseline"/>
        </w:rPr>
        <w:t>to</w:t>
      </w:r>
      <w:r>
        <w:rPr>
          <w:spacing w:val="32"/>
          <w:vertAlign w:val="baseline"/>
        </w:rPr>
        <w:t> </w:t>
      </w:r>
      <w:r>
        <w:rPr>
          <w:vertAlign w:val="baseline"/>
        </w:rPr>
        <w:t>exclude</w:t>
      </w:r>
      <w:r>
        <w:rPr>
          <w:spacing w:val="32"/>
          <w:vertAlign w:val="baseline"/>
        </w:rPr>
        <w:t> </w:t>
      </w:r>
      <w:r>
        <w:rPr>
          <w:vertAlign w:val="baseline"/>
        </w:rPr>
        <w:t>from</w:t>
      </w:r>
      <w:r>
        <w:rPr>
          <w:spacing w:val="32"/>
          <w:vertAlign w:val="baseline"/>
        </w:rPr>
        <w:t> </w:t>
      </w:r>
      <w:r>
        <w:rPr>
          <w:vertAlign w:val="baseline"/>
        </w:rPr>
        <w:t>the</w:t>
      </w:r>
      <w:r>
        <w:rPr>
          <w:spacing w:val="32"/>
          <w:vertAlign w:val="baseline"/>
        </w:rPr>
        <w:t> </w:t>
      </w:r>
      <w:r>
        <w:rPr>
          <w:vertAlign w:val="baseline"/>
        </w:rPr>
        <w:t>scope</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Regulation</w:t>
      </w:r>
      <w:r>
        <w:rPr>
          <w:spacing w:val="32"/>
          <w:vertAlign w:val="baseline"/>
        </w:rPr>
        <w:t> </w:t>
      </w:r>
      <w:r>
        <w:rPr>
          <w:spacing w:val="-5"/>
          <w:vertAlign w:val="baseline"/>
        </w:rPr>
        <w:t>any</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233" w:id="1235"/>
      <w:bookmarkEnd w:id="1235"/>
      <w:r>
        <w:rPr/>
      </w:r>
      <w:r>
        <w:rPr/>
        <w:t>contract to which a government is a party. </w:t>
      </w:r>
      <w:r>
        <w:rPr>
          <w:color w:val="005DA1"/>
          <w:u w:val="single" w:color="005DA1"/>
          <w:vertAlign w:val="superscript"/>
        </w:rPr>
        <w:t>675</w:t>
      </w:r>
      <w:r>
        <w:rPr>
          <w:color w:val="005DA1"/>
          <w:vertAlign w:val="baseline"/>
        </w:rPr>
        <w:t> </w:t>
      </w:r>
      <w:r>
        <w:rPr>
          <w:vertAlign w:val="baseline"/>
        </w:rPr>
        <w:t>It is suggested, however, that where a </w:t>
      </w:r>
      <w:r>
        <w:rPr>
          <w:vertAlign w:val="baseline"/>
        </w:rPr>
        <w:t>government </w:t>
      </w:r>
      <w:bookmarkStart w:name="_bookmark1234" w:id="1236"/>
      <w:bookmarkEnd w:id="1236"/>
      <w:r>
        <w:rPr>
          <w:vertAlign w:val="baseline"/>
        </w:rPr>
        <w:t>enters</w:t>
      </w:r>
      <w:r>
        <w:rPr>
          <w:vertAlign w:val="baseline"/>
        </w:rPr>
        <w:t> into a contract in the exercise of its peculiarly public powers, the Rome I Regulation will not </w:t>
      </w:r>
      <w:bookmarkStart w:name="_bookmark1235" w:id="1237"/>
      <w:bookmarkEnd w:id="1237"/>
      <w:r>
        <w:rPr>
          <w:vertAlign w:val="baseline"/>
        </w:rPr>
        <w:t>apply.</w:t>
      </w:r>
      <w:r>
        <w:rPr>
          <w:spacing w:val="-2"/>
          <w:vertAlign w:val="baseline"/>
        </w:rPr>
        <w:t> </w:t>
      </w:r>
      <w:r>
        <w:rPr>
          <w:color w:val="005DA1"/>
          <w:u w:val="single" w:color="005DA1"/>
          <w:vertAlign w:val="superscript"/>
        </w:rPr>
        <w:t>676</w:t>
      </w:r>
      <w:r>
        <w:rPr>
          <w:color w:val="005DA1"/>
          <w:spacing w:val="-2"/>
          <w:vertAlign w:val="baseline"/>
        </w:rPr>
        <w:t> </w:t>
      </w:r>
      <w:r>
        <w:rPr>
          <w:vertAlign w:val="baseline"/>
        </w:rPr>
        <w:t>Where,</w:t>
      </w:r>
      <w:r>
        <w:rPr>
          <w:spacing w:val="-2"/>
          <w:vertAlign w:val="baseline"/>
        </w:rPr>
        <w:t> </w:t>
      </w:r>
      <w:r>
        <w:rPr>
          <w:vertAlign w:val="baseline"/>
        </w:rPr>
        <w:t>in</w:t>
      </w:r>
      <w:r>
        <w:rPr>
          <w:spacing w:val="-2"/>
          <w:vertAlign w:val="baseline"/>
        </w:rPr>
        <w:t> </w:t>
      </w:r>
      <w:r>
        <w:rPr>
          <w:vertAlign w:val="baseline"/>
        </w:rPr>
        <w:t>contrast,</w:t>
      </w:r>
      <w:r>
        <w:rPr>
          <w:spacing w:val="-2"/>
          <w:vertAlign w:val="baseline"/>
        </w:rPr>
        <w:t> </w:t>
      </w:r>
      <w:r>
        <w:rPr>
          <w:vertAlign w:val="baseline"/>
        </w:rPr>
        <w:t>a</w:t>
      </w:r>
      <w:r>
        <w:rPr>
          <w:spacing w:val="-2"/>
          <w:vertAlign w:val="baseline"/>
        </w:rPr>
        <w:t> </w:t>
      </w:r>
      <w:r>
        <w:rPr>
          <w:vertAlign w:val="baseline"/>
        </w:rPr>
        <w:t>government</w:t>
      </w:r>
      <w:r>
        <w:rPr>
          <w:spacing w:val="-2"/>
          <w:vertAlign w:val="baseline"/>
        </w:rPr>
        <w:t> </w:t>
      </w:r>
      <w:r>
        <w:rPr>
          <w:vertAlign w:val="baseline"/>
        </w:rPr>
        <w:t>enters</w:t>
      </w:r>
      <w:r>
        <w:rPr>
          <w:spacing w:val="-2"/>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acting,</w:t>
      </w:r>
      <w:r>
        <w:rPr>
          <w:spacing w:val="-2"/>
          <w:vertAlign w:val="baseline"/>
        </w:rPr>
        <w:t> </w:t>
      </w:r>
      <w:r>
        <w:rPr>
          <w:vertAlign w:val="baseline"/>
        </w:rPr>
        <w:t>in</w:t>
      </w:r>
      <w:r>
        <w:rPr>
          <w:spacing w:val="-2"/>
          <w:vertAlign w:val="baseline"/>
        </w:rPr>
        <w:t> </w:t>
      </w:r>
      <w:r>
        <w:rPr>
          <w:vertAlign w:val="baseline"/>
        </w:rPr>
        <w:t>effect,</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private</w:t>
      </w:r>
      <w:r>
        <w:rPr>
          <w:spacing w:val="-2"/>
          <w:vertAlign w:val="baseline"/>
        </w:rPr>
        <w:t> </w:t>
      </w:r>
      <w:r>
        <w:rPr>
          <w:vertAlign w:val="baseline"/>
        </w:rPr>
        <w:t>party,</w:t>
      </w:r>
      <w:r>
        <w:rPr>
          <w:spacing w:val="-2"/>
          <w:vertAlign w:val="baseline"/>
        </w:rPr>
        <w:t> </w:t>
      </w:r>
      <w:r>
        <w:rPr>
          <w:vertAlign w:val="baseline"/>
        </w:rPr>
        <w:t>it is possible that the Regulation will apply, but this is far from clear. </w:t>
      </w:r>
      <w:r>
        <w:rPr>
          <w:color w:val="005DA1"/>
          <w:u w:val="single" w:color="005DA1"/>
          <w:vertAlign w:val="superscript"/>
        </w:rPr>
        <w:t>677</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“Revenue, customs and administrative </w:t>
      </w:r>
      <w:r>
        <w:rPr>
          <w:rFonts w:ascii="Arial" w:hAnsi="Arial"/>
          <w:b/>
          <w:spacing w:val="-2"/>
          <w:sz w:val="18"/>
        </w:rPr>
        <w:t>matters”</w:t>
      </w:r>
    </w:p>
    <w:p>
      <w:pPr>
        <w:pStyle w:val="BodyText"/>
        <w:spacing w:before="42"/>
        <w:rPr>
          <w:rFonts w:ascii="Arial"/>
          <w:b/>
          <w:sz w:val="18"/>
        </w:rPr>
      </w:pPr>
    </w:p>
    <w:p>
      <w:pPr>
        <w:pStyle w:val="Heading2"/>
      </w:pPr>
      <w:r>
        <w:rPr/>
        <w:t>30-</w:t>
      </w:r>
      <w:r>
        <w:rPr>
          <w:spacing w:val="-5"/>
        </w:rPr>
        <w:t>141</w:t>
      </w:r>
    </w:p>
    <w:p>
      <w:pPr>
        <w:pStyle w:val="BodyText"/>
        <w:spacing w:line="235" w:lineRule="auto" w:before="202"/>
        <w:ind w:left="165" w:right="167"/>
        <w:jc w:val="both"/>
      </w:pPr>
      <w:bookmarkStart w:name="_bookmark1236" w:id="1238"/>
      <w:bookmarkEnd w:id="1238"/>
      <w:r>
        <w:rPr/>
      </w:r>
      <w:r>
        <w:rPr/>
        <w:t>The exclusion of contractual obligations arising out of these matters from the scope of civil and commercial matters follows the Judgments Regulation recast </w:t>
      </w:r>
      <w:r>
        <w:rPr>
          <w:color w:val="005DA1"/>
          <w:u w:val="single" w:color="005DA1"/>
          <w:vertAlign w:val="superscript"/>
        </w:rPr>
        <w:t>678</w:t>
      </w:r>
      <w:r>
        <w:rPr>
          <w:color w:val="005DA1"/>
          <w:vertAlign w:val="baseline"/>
        </w:rPr>
        <w:t> </w:t>
      </w:r>
      <w:r>
        <w:rPr>
          <w:vertAlign w:val="baseline"/>
        </w:rPr>
        <w:t>and the Rome II Regulation </w:t>
      </w:r>
      <w:r>
        <w:rPr>
          <w:color w:val="005DA1"/>
          <w:u w:val="single" w:color="005DA1"/>
          <w:vertAlign w:val="superscript"/>
        </w:rPr>
        <w:t>679</w:t>
      </w:r>
      <w:r>
        <w:rPr>
          <w:color w:val="005DA1"/>
          <w:vertAlign w:val="baseline"/>
        </w:rPr>
        <w:t> </w:t>
      </w:r>
      <w:r>
        <w:rPr>
          <w:vertAlign w:val="baseline"/>
        </w:rPr>
        <w:t>and </w:t>
      </w:r>
      <w:bookmarkStart w:name="_bookmark1237" w:id="1239"/>
      <w:bookmarkEnd w:id="1239"/>
      <w:r>
        <w:rPr>
          <w:vertAlign w:val="baseline"/>
        </w:rPr>
        <w:t>interpretation</w:t>
      </w:r>
      <w:r>
        <w:rPr>
          <w:vertAlign w:val="baseline"/>
        </w:rPr>
        <w:t> of their content should follow that adopted in relation to those instruments, particularly the Judgments Regulation recast. </w:t>
      </w:r>
      <w:r>
        <w:rPr>
          <w:color w:val="005DA1"/>
          <w:u w:val="single" w:color="005DA1"/>
          <w:vertAlign w:val="superscript"/>
        </w:rPr>
        <w:t>680</w:t>
      </w:r>
    </w:p>
    <w:p>
      <w:pPr>
        <w:pStyle w:val="BodyText"/>
      </w:pPr>
    </w:p>
    <w:p>
      <w:pPr>
        <w:pStyle w:val="BodyText"/>
        <w:spacing w:before="37"/>
      </w:pPr>
    </w:p>
    <w:p>
      <w:pPr>
        <w:spacing w:before="0"/>
        <w:ind w:left="165" w:right="0" w:firstLine="0"/>
        <w:jc w:val="left"/>
        <w:rPr>
          <w:rFonts w:ascii="Arial"/>
          <w:b/>
          <w:sz w:val="18"/>
        </w:rPr>
      </w:pPr>
      <w:r>
        <w:rPr>
          <w:rFonts w:ascii="Arial"/>
          <w:b/>
          <w:sz w:val="18"/>
        </w:rPr>
        <w:t>Application of law of non-Member </w:t>
      </w:r>
      <w:r>
        <w:rPr>
          <w:rFonts w:ascii="Arial"/>
          <w:b/>
          <w:spacing w:val="-2"/>
          <w:sz w:val="18"/>
        </w:rPr>
        <w:t>States</w:t>
      </w:r>
    </w:p>
    <w:p>
      <w:pPr>
        <w:pStyle w:val="BodyText"/>
        <w:spacing w:before="42"/>
        <w:rPr>
          <w:rFonts w:ascii="Arial"/>
          <w:b/>
          <w:sz w:val="18"/>
        </w:rPr>
      </w:pPr>
    </w:p>
    <w:p>
      <w:pPr>
        <w:pStyle w:val="Heading2"/>
      </w:pPr>
      <w:r>
        <w:rPr/>
        <w:t>30-</w:t>
      </w:r>
      <w:r>
        <w:rPr>
          <w:spacing w:val="-5"/>
        </w:rPr>
        <w:t>142</w:t>
      </w:r>
    </w:p>
    <w:p>
      <w:pPr>
        <w:pStyle w:val="BodyText"/>
        <w:spacing w:line="235" w:lineRule="auto" w:before="202"/>
        <w:ind w:left="165" w:right="167"/>
        <w:jc w:val="both"/>
      </w:pPr>
      <w:bookmarkStart w:name="_bookmark1238" w:id="1240"/>
      <w:bookmarkEnd w:id="1240"/>
      <w:r>
        <w:rPr/>
      </w:r>
      <w:r>
        <w:rPr/>
        <w:t>Article 2 of the Regulation provides that any law specified by the Regulation shall be applied whether </w:t>
      </w:r>
      <w:bookmarkStart w:name="_bookmark1239" w:id="1241"/>
      <w:bookmarkEnd w:id="1241"/>
      <w:r>
        <w:rPr/>
        <w:t>or</w:t>
      </w:r>
      <w:r>
        <w:rPr>
          <w:spacing w:val="-1"/>
        </w:rPr>
        <w:t> </w:t>
      </w:r>
      <w:r>
        <w:rPr/>
        <w:t>not</w:t>
      </w:r>
      <w:r>
        <w:rPr>
          <w:spacing w:val="-2"/>
        </w:rPr>
        <w:t> </w:t>
      </w:r>
      <w:r>
        <w:rPr/>
        <w:t>it</w:t>
      </w:r>
      <w:r>
        <w:rPr>
          <w:spacing w:val="-1"/>
        </w:rPr>
        <w:t> </w:t>
      </w:r>
      <w:r>
        <w:rPr/>
        <w:t>is</w:t>
      </w:r>
      <w:r>
        <w:rPr>
          <w:spacing w:val="-2"/>
        </w:rPr>
        <w:t> </w:t>
      </w:r>
      <w:r>
        <w:rPr/>
        <w:t>the</w:t>
      </w:r>
      <w:r>
        <w:rPr>
          <w:spacing w:val="-1"/>
        </w:rPr>
        <w:t> </w:t>
      </w:r>
      <w:r>
        <w:rPr/>
        <w:t>law</w:t>
      </w:r>
      <w:r>
        <w:rPr>
          <w:spacing w:val="-2"/>
        </w:rPr>
        <w:t> </w:t>
      </w:r>
      <w:r>
        <w:rPr/>
        <w:t>of</w:t>
      </w:r>
      <w:r>
        <w:rPr>
          <w:spacing w:val="-1"/>
        </w:rPr>
        <w:t> </w:t>
      </w:r>
      <w:r>
        <w:rPr/>
        <w:t>a</w:t>
      </w:r>
      <w:r>
        <w:rPr>
          <w:spacing w:val="-2"/>
        </w:rPr>
        <w:t> </w:t>
      </w:r>
      <w:r>
        <w:rPr/>
        <w:t>Member</w:t>
      </w:r>
      <w:r>
        <w:rPr>
          <w:spacing w:val="-1"/>
        </w:rPr>
        <w:t> </w:t>
      </w:r>
      <w:r>
        <w:rPr/>
        <w:t>State.</w:t>
      </w:r>
      <w:r>
        <w:rPr>
          <w:spacing w:val="-2"/>
        </w:rPr>
        <w:t> </w:t>
      </w:r>
      <w:r>
        <w:rPr>
          <w:color w:val="005DA1"/>
          <w:u w:val="single" w:color="005DA1"/>
          <w:vertAlign w:val="superscript"/>
        </w:rPr>
        <w:t>681</w:t>
      </w:r>
      <w:r>
        <w:rPr>
          <w:color w:val="005DA1"/>
          <w:spacing w:val="-1"/>
          <w:vertAlign w:val="baseline"/>
        </w:rPr>
        <w:t> </w:t>
      </w:r>
      <w:r>
        <w:rPr>
          <w:vertAlign w:val="baseline"/>
        </w:rPr>
        <w:t>Thus,</w:t>
      </w:r>
      <w:r>
        <w:rPr>
          <w:spacing w:val="-2"/>
          <w:vertAlign w:val="baseline"/>
        </w:rPr>
        <w:t> </w:t>
      </w:r>
      <w:r>
        <w:rPr>
          <w:vertAlign w:val="baseline"/>
        </w:rPr>
        <w:t>the</w:t>
      </w:r>
      <w:r>
        <w:rPr>
          <w:spacing w:val="-1"/>
          <w:vertAlign w:val="baseline"/>
        </w:rPr>
        <w:t> </w:t>
      </w:r>
      <w:r>
        <w:rPr>
          <w:vertAlign w:val="baseline"/>
        </w:rPr>
        <w:t>Regulation</w:t>
      </w:r>
      <w:r>
        <w:rPr>
          <w:spacing w:val="-2"/>
          <w:vertAlign w:val="baseline"/>
        </w:rPr>
        <w:t> </w:t>
      </w:r>
      <w:r>
        <w:rPr>
          <w:vertAlign w:val="baseline"/>
        </w:rPr>
        <w:t>is</w:t>
      </w:r>
      <w:r>
        <w:rPr>
          <w:spacing w:val="-1"/>
          <w:vertAlign w:val="baseline"/>
        </w:rPr>
        <w:t> </w:t>
      </w:r>
      <w:r>
        <w:rPr>
          <w:vertAlign w:val="baseline"/>
        </w:rPr>
        <w:t>to</w:t>
      </w:r>
      <w:r>
        <w:rPr>
          <w:spacing w:val="-2"/>
          <w:vertAlign w:val="baseline"/>
        </w:rPr>
        <w:t> </w:t>
      </w:r>
      <w:r>
        <w:rPr>
          <w:vertAlign w:val="baseline"/>
        </w:rPr>
        <w:t>have</w:t>
      </w:r>
      <w:r>
        <w:rPr>
          <w:spacing w:val="-1"/>
          <w:vertAlign w:val="baseline"/>
        </w:rPr>
        <w:t> </w:t>
      </w:r>
      <w:r>
        <w:rPr>
          <w:vertAlign w:val="baseline"/>
        </w:rPr>
        <w:t>“universal</w:t>
      </w:r>
      <w:r>
        <w:rPr>
          <w:spacing w:val="-2"/>
          <w:vertAlign w:val="baseline"/>
        </w:rPr>
        <w:t> </w:t>
      </w:r>
      <w:r>
        <w:rPr>
          <w:vertAlign w:val="baseline"/>
        </w:rPr>
        <w:t>effect”,</w:t>
      </w:r>
      <w:r>
        <w:rPr>
          <w:spacing w:val="-1"/>
          <w:vertAlign w:val="baseline"/>
        </w:rPr>
        <w:t> </w:t>
      </w:r>
      <w:r>
        <w:rPr>
          <w:vertAlign w:val="baseline"/>
        </w:rPr>
        <w:t>as</w:t>
      </w:r>
      <w:r>
        <w:rPr>
          <w:spacing w:val="-2"/>
          <w:vertAlign w:val="baseline"/>
        </w:rPr>
        <w:t> </w:t>
      </w:r>
      <w:r>
        <w:rPr>
          <w:vertAlign w:val="baseline"/>
        </w:rPr>
        <w:t>was</w:t>
      </w:r>
      <w:r>
        <w:rPr>
          <w:spacing w:val="-1"/>
          <w:vertAlign w:val="baseline"/>
        </w:rPr>
        <w:t> </w:t>
      </w:r>
      <w:r>
        <w:rPr>
          <w:vertAlign w:val="baseline"/>
        </w:rPr>
        <w:t>the case with the Rome Convention. </w:t>
      </w:r>
      <w:r>
        <w:rPr>
          <w:color w:val="005DA1"/>
          <w:u w:val="single" w:color="005DA1"/>
          <w:vertAlign w:val="superscript"/>
        </w:rPr>
        <w:t>682</w:t>
      </w:r>
    </w:p>
    <w:p>
      <w:pPr>
        <w:pStyle w:val="BodyText"/>
      </w:pPr>
    </w:p>
    <w:p>
      <w:pPr>
        <w:pStyle w:val="BodyText"/>
        <w:spacing w:before="38"/>
      </w:pPr>
    </w:p>
    <w:p>
      <w:pPr>
        <w:spacing w:before="0"/>
        <w:ind w:left="165" w:right="0" w:firstLine="0"/>
        <w:jc w:val="left"/>
        <w:rPr>
          <w:rFonts w:ascii="Arial"/>
          <w:b/>
          <w:sz w:val="18"/>
        </w:rPr>
      </w:pPr>
      <w:r>
        <w:rPr>
          <w:rFonts w:ascii="Arial"/>
          <w:b/>
          <w:sz w:val="18"/>
        </w:rPr>
        <w:t>Application of law of a </w:t>
      </w:r>
      <w:r>
        <w:rPr>
          <w:rFonts w:ascii="Arial"/>
          <w:b/>
          <w:spacing w:val="-2"/>
          <w:sz w:val="18"/>
        </w:rPr>
        <w:t>country</w:t>
      </w:r>
    </w:p>
    <w:p>
      <w:pPr>
        <w:pStyle w:val="BodyText"/>
        <w:spacing w:before="41"/>
        <w:rPr>
          <w:rFonts w:ascii="Arial"/>
          <w:b/>
          <w:sz w:val="18"/>
        </w:rPr>
      </w:pPr>
    </w:p>
    <w:p>
      <w:pPr>
        <w:pStyle w:val="Heading2"/>
      </w:pPr>
      <w:r>
        <w:rPr/>
        <w:t>30-</w:t>
      </w:r>
      <w:r>
        <w:rPr>
          <w:spacing w:val="-5"/>
        </w:rPr>
        <w:t>143</w:t>
      </w:r>
    </w:p>
    <w:p>
      <w:pPr>
        <w:pStyle w:val="BodyText"/>
        <w:spacing w:line="235" w:lineRule="auto" w:before="203"/>
        <w:ind w:left="164" w:right="167"/>
        <w:jc w:val="both"/>
      </w:pPr>
      <w:bookmarkStart w:name="_bookmark1240" w:id="1242"/>
      <w:bookmarkEnd w:id="1242"/>
      <w:r>
        <w:rPr/>
      </w:r>
      <w:r>
        <w:rPr/>
        <w:t>It is also legitimate to deduce from art.1(1) taken in conjunction with art.2 and other provisions of the </w:t>
      </w:r>
      <w:bookmarkStart w:name="_bookmark1241" w:id="1243"/>
      <w:bookmarkEnd w:id="1243"/>
      <w:r>
        <w:rPr/>
        <w:t>Regulation,</w:t>
      </w:r>
      <w:r>
        <w:rPr/>
        <w:t> that the applicable law must be the law of a “country”. </w:t>
      </w:r>
      <w:r>
        <w:rPr>
          <w:color w:val="005DA1"/>
          <w:u w:val="single" w:color="005DA1"/>
          <w:vertAlign w:val="superscript"/>
        </w:rPr>
        <w:t>683</w:t>
      </w:r>
      <w:r>
        <w:rPr>
          <w:color w:val="005DA1"/>
          <w:vertAlign w:val="baseline"/>
        </w:rPr>
        <w:t> </w:t>
      </w:r>
      <w:r>
        <w:rPr>
          <w:vertAlign w:val="baseline"/>
        </w:rPr>
        <w:t>Thus it will not be possible </w:t>
      </w:r>
      <w:r>
        <w:rPr>
          <w:vertAlign w:val="baseline"/>
        </w:rPr>
        <w:t>for </w:t>
      </w:r>
      <w:bookmarkStart w:name="_bookmark1242" w:id="1244"/>
      <w:bookmarkEnd w:id="1244"/>
      <w:r>
        <w:rPr>
          <w:vertAlign w:val="baseline"/>
        </w:rPr>
        <w:t>the</w:t>
      </w:r>
      <w:r>
        <w:rPr>
          <w:vertAlign w:val="baseline"/>
        </w:rPr>
        <w:t> applicable law to be a non-state body of law </w:t>
      </w:r>
      <w:r>
        <w:rPr>
          <w:color w:val="005DA1"/>
          <w:u w:val="single" w:color="005DA1"/>
          <w:vertAlign w:val="superscript"/>
        </w:rPr>
        <w:t>684</w:t>
      </w:r>
      <w:r>
        <w:rPr>
          <w:color w:val="005DA1"/>
          <w:vertAlign w:val="baseline"/>
        </w:rPr>
        <w:t> </w:t>
      </w:r>
      <w:r>
        <w:rPr>
          <w:vertAlign w:val="baseline"/>
        </w:rPr>
        <w:t>or a system of religious law. In this respect the Regulation takes the same position as prevailed under the Rome Convention. </w:t>
      </w:r>
      <w:r>
        <w:rPr>
          <w:color w:val="005DA1"/>
          <w:u w:val="single" w:color="005DA1"/>
          <w:vertAlign w:val="superscript"/>
        </w:rPr>
        <w:t>685</w:t>
      </w:r>
    </w:p>
    <w:p>
      <w:pPr>
        <w:pStyle w:val="BodyText"/>
      </w:pPr>
    </w:p>
    <w:p>
      <w:pPr>
        <w:pStyle w:val="BodyText"/>
        <w:spacing w:before="37"/>
      </w:pPr>
    </w:p>
    <w:p>
      <w:pPr>
        <w:spacing w:before="0"/>
        <w:ind w:left="165" w:right="0" w:firstLine="0"/>
        <w:jc w:val="left"/>
        <w:rPr>
          <w:rFonts w:ascii="Arial"/>
          <w:b/>
          <w:sz w:val="18"/>
        </w:rPr>
      </w:pPr>
      <w:r>
        <w:rPr>
          <w:rFonts w:ascii="Arial"/>
          <w:b/>
          <w:sz w:val="18"/>
        </w:rPr>
        <w:t>States with more than one legal </w:t>
      </w:r>
      <w:r>
        <w:rPr>
          <w:rFonts w:ascii="Arial"/>
          <w:b/>
          <w:spacing w:val="-2"/>
          <w:sz w:val="18"/>
        </w:rPr>
        <w:t>system</w:t>
      </w:r>
    </w:p>
    <w:p>
      <w:pPr>
        <w:pStyle w:val="BodyText"/>
        <w:spacing w:before="41"/>
        <w:rPr>
          <w:rFonts w:ascii="Arial"/>
          <w:b/>
          <w:sz w:val="18"/>
        </w:rPr>
      </w:pPr>
    </w:p>
    <w:p>
      <w:pPr>
        <w:pStyle w:val="Heading2"/>
      </w:pPr>
      <w:r>
        <w:rPr/>
        <w:t>30-</w:t>
      </w:r>
      <w:r>
        <w:rPr>
          <w:spacing w:val="-5"/>
        </w:rPr>
        <w:t>144</w:t>
      </w:r>
    </w:p>
    <w:p>
      <w:pPr>
        <w:pStyle w:val="BodyText"/>
        <w:spacing w:line="235" w:lineRule="auto" w:before="203"/>
        <w:ind w:left="165" w:right="167"/>
        <w:jc w:val="both"/>
      </w:pPr>
      <w:r>
        <w:rPr/>
        <w:t>Where a state comprises several territorial units each of which has its own rules of law in respect of </w:t>
      </w:r>
      <w:bookmarkStart w:name="_bookmark1243" w:id="1245"/>
      <w:bookmarkEnd w:id="1245"/>
      <w:r>
        <w:rPr/>
        <w:t>contractual</w:t>
      </w:r>
      <w:r>
        <w:rPr/>
        <w:t> obligations (e.g. the United States) each territorial unit is to be considered as a country for the purposes of identifying the applicable law under the Regulation. </w:t>
      </w:r>
      <w:r>
        <w:rPr>
          <w:color w:val="005DA1"/>
          <w:u w:val="single" w:color="005DA1"/>
          <w:vertAlign w:val="superscript"/>
        </w:rPr>
        <w:t>686</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Renvoi</w:t>
      </w:r>
    </w:p>
    <w:p>
      <w:pPr>
        <w:pStyle w:val="BodyText"/>
        <w:spacing w:before="42"/>
        <w:rPr>
          <w:rFonts w:ascii="Arial"/>
          <w:b/>
          <w:sz w:val="18"/>
        </w:rPr>
      </w:pPr>
    </w:p>
    <w:p>
      <w:pPr>
        <w:pStyle w:val="Heading2"/>
      </w:pPr>
      <w:r>
        <w:rPr/>
        <w:t>30-</w:t>
      </w:r>
      <w:r>
        <w:rPr>
          <w:spacing w:val="-5"/>
        </w:rPr>
        <w:t>145</w:t>
      </w:r>
    </w:p>
    <w:p>
      <w:pPr>
        <w:pStyle w:val="BodyText"/>
        <w:spacing w:line="235" w:lineRule="auto" w:before="202"/>
        <w:ind w:left="165" w:right="167"/>
        <w:jc w:val="both"/>
      </w:pPr>
      <w:r>
        <w:rPr/>
        <w:t>Article 20, headed “Exclusion of renvoi”, provides that the application of the law of any country specified by the Regulation means the rules of law in force in that country other than its rules </w:t>
      </w:r>
      <w:r>
        <w:rPr/>
        <w:t>of private international law, unless provided otherwise in the Regulation. Renvoi is thus generally </w:t>
      </w:r>
      <w:bookmarkStart w:name="_bookmark1244" w:id="1246"/>
      <w:bookmarkEnd w:id="1246"/>
      <w:r>
        <w:rPr/>
        <w:t>excluded.</w:t>
      </w:r>
      <w:r>
        <w:rPr/>
        <w:t> The exception appears to be limited to one provision (art.7(3)) concerned with insurance contracts. </w:t>
      </w:r>
      <w:r>
        <w:rPr>
          <w:color w:val="005DA1"/>
          <w:u w:val="single" w:color="005DA1"/>
          <w:vertAlign w:val="superscript"/>
        </w:rPr>
        <w:t>687</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Meaning of “contractual </w:t>
      </w:r>
      <w:r>
        <w:rPr>
          <w:rFonts w:ascii="Arial" w:hAnsi="Arial"/>
          <w:b/>
          <w:spacing w:val="-2"/>
          <w:sz w:val="18"/>
        </w:rPr>
        <w:t>obligations”</w:t>
      </w:r>
    </w:p>
    <w:p>
      <w:pPr>
        <w:pStyle w:val="BodyText"/>
        <w:spacing w:before="41"/>
        <w:rPr>
          <w:rFonts w:ascii="Arial"/>
          <w:b/>
          <w:sz w:val="18"/>
        </w:rPr>
      </w:pPr>
    </w:p>
    <w:p>
      <w:pPr>
        <w:pStyle w:val="Heading2"/>
      </w:pPr>
      <w:r>
        <w:rPr/>
        <w:t>30-</w:t>
      </w:r>
      <w:r>
        <w:rPr>
          <w:spacing w:val="-5"/>
        </w:rPr>
        <w:t>146</w:t>
      </w:r>
    </w:p>
    <w:p>
      <w:pPr>
        <w:pStyle w:val="Heading2"/>
        <w:spacing w:after="0"/>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Regulation only applies to determine the law applicable to “contractual obligations”, an expression that is not specifically defined in the Regulation itself. In general terms, subject to what </w:t>
      </w:r>
      <w:r>
        <w:rPr/>
        <w:t>is </w:t>
      </w:r>
      <w:bookmarkStart w:name="_bookmark1245" w:id="1247"/>
      <w:bookmarkEnd w:id="1247"/>
      <w:r>
        <w:rPr/>
        <w:t>said</w:t>
      </w:r>
      <w:r>
        <w:rPr/>
        <w:t> below, the same observations may be made here as were made in relation to the meaning of the same</w:t>
      </w:r>
      <w:r>
        <w:rPr>
          <w:spacing w:val="-2"/>
        </w:rPr>
        <w:t> </w:t>
      </w:r>
      <w:r>
        <w:rPr/>
        <w:t>expression</w:t>
      </w:r>
      <w:r>
        <w:rPr>
          <w:spacing w:val="-2"/>
        </w:rPr>
        <w:t> </w:t>
      </w:r>
      <w:r>
        <w:rPr/>
        <w:t>in</w:t>
      </w:r>
      <w:r>
        <w:rPr>
          <w:spacing w:val="-2"/>
        </w:rPr>
        <w:t> </w:t>
      </w:r>
      <w:r>
        <w:rPr/>
        <w:t>the</w:t>
      </w:r>
      <w:r>
        <w:rPr>
          <w:spacing w:val="-2"/>
        </w:rPr>
        <w:t> </w:t>
      </w:r>
      <w:r>
        <w:rPr/>
        <w:t>Rome</w:t>
      </w:r>
      <w:r>
        <w:rPr>
          <w:spacing w:val="-2"/>
        </w:rPr>
        <w:t> </w:t>
      </w:r>
      <w:r>
        <w:rPr/>
        <w:t>Convention.</w:t>
      </w:r>
      <w:r>
        <w:rPr>
          <w:spacing w:val="-2"/>
        </w:rPr>
        <w:t> </w:t>
      </w:r>
      <w:r>
        <w:rPr>
          <w:color w:val="005DA1"/>
          <w:u w:val="single" w:color="005DA1"/>
          <w:vertAlign w:val="superscript"/>
        </w:rPr>
        <w:t>688</w:t>
      </w:r>
      <w:r>
        <w:rPr>
          <w:color w:val="005DA1"/>
          <w:spacing w:val="-2"/>
          <w:vertAlign w:val="baseline"/>
        </w:rPr>
        <w:t> </w:t>
      </w:r>
      <w:r>
        <w:rPr>
          <w:vertAlign w:val="baseline"/>
        </w:rPr>
        <w:t>There</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no</w:t>
      </w:r>
      <w:r>
        <w:rPr>
          <w:spacing w:val="-2"/>
          <w:vertAlign w:val="baseline"/>
        </w:rPr>
        <w:t> </w:t>
      </w:r>
      <w:r>
        <w:rPr>
          <w:vertAlign w:val="baseline"/>
        </w:rPr>
        <w:t>doubt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expression</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given </w:t>
      </w:r>
      <w:bookmarkStart w:name="_bookmark1246" w:id="1248"/>
      <w:bookmarkEnd w:id="1248"/>
      <w:r>
        <w:rPr>
          <w:vertAlign w:val="baseline"/>
        </w:rPr>
        <w:t>an</w:t>
      </w:r>
      <w:r>
        <w:rPr>
          <w:spacing w:val="4"/>
          <w:vertAlign w:val="baseline"/>
        </w:rPr>
        <w:t> </w:t>
      </w:r>
      <w:r>
        <w:rPr>
          <w:vertAlign w:val="baseline"/>
        </w:rPr>
        <w:t>“autonomous”</w:t>
      </w:r>
      <w:r>
        <w:rPr>
          <w:spacing w:val="4"/>
          <w:vertAlign w:val="baseline"/>
        </w:rPr>
        <w:t> </w:t>
      </w:r>
      <w:r>
        <w:rPr>
          <w:vertAlign w:val="baseline"/>
        </w:rPr>
        <w:t>meaning</w:t>
      </w:r>
      <w:r>
        <w:rPr>
          <w:spacing w:val="4"/>
          <w:vertAlign w:val="baseline"/>
        </w:rPr>
        <w:t> </w:t>
      </w:r>
      <w:r>
        <w:rPr>
          <w:vertAlign w:val="baseline"/>
        </w:rPr>
        <w:t>and</w:t>
      </w:r>
      <w:r>
        <w:rPr>
          <w:spacing w:val="4"/>
          <w:vertAlign w:val="baseline"/>
        </w:rPr>
        <w:t> </w:t>
      </w:r>
      <w:r>
        <w:rPr>
          <w:vertAlign w:val="baseline"/>
        </w:rPr>
        <w:t>will,</w:t>
      </w:r>
      <w:r>
        <w:rPr>
          <w:spacing w:val="4"/>
          <w:vertAlign w:val="baseline"/>
        </w:rPr>
        <w:t> </w:t>
      </w:r>
      <w:r>
        <w:rPr>
          <w:vertAlign w:val="baseline"/>
        </w:rPr>
        <w:t>thus,</w:t>
      </w:r>
      <w:r>
        <w:rPr>
          <w:spacing w:val="4"/>
          <w:vertAlign w:val="baseline"/>
        </w:rPr>
        <w:t> </w:t>
      </w:r>
      <w:r>
        <w:rPr>
          <w:vertAlign w:val="baseline"/>
        </w:rPr>
        <w:t>not</w:t>
      </w:r>
      <w:r>
        <w:rPr>
          <w:spacing w:val="4"/>
          <w:vertAlign w:val="baseline"/>
        </w:rPr>
        <w:t> </w:t>
      </w:r>
      <w:r>
        <w:rPr>
          <w:vertAlign w:val="baseline"/>
        </w:rPr>
        <w:t>necessarily</w:t>
      </w:r>
      <w:r>
        <w:rPr>
          <w:spacing w:val="4"/>
          <w:vertAlign w:val="baseline"/>
        </w:rPr>
        <w:t> </w:t>
      </w:r>
      <w:r>
        <w:rPr>
          <w:vertAlign w:val="baseline"/>
        </w:rPr>
        <w:t>be</w:t>
      </w:r>
      <w:r>
        <w:rPr>
          <w:spacing w:val="4"/>
          <w:vertAlign w:val="baseline"/>
        </w:rPr>
        <w:t> </w:t>
      </w:r>
      <w:r>
        <w:rPr>
          <w:vertAlign w:val="baseline"/>
        </w:rPr>
        <w:t>limited</w:t>
      </w:r>
      <w:r>
        <w:rPr>
          <w:spacing w:val="4"/>
          <w:vertAlign w:val="baseline"/>
        </w:rPr>
        <w:t> </w:t>
      </w:r>
      <w:r>
        <w:rPr>
          <w:vertAlign w:val="baseline"/>
        </w:rPr>
        <w:t>to</w:t>
      </w:r>
      <w:r>
        <w:rPr>
          <w:spacing w:val="4"/>
          <w:vertAlign w:val="baseline"/>
        </w:rPr>
        <w:t> </w:t>
      </w:r>
      <w:r>
        <w:rPr>
          <w:vertAlign w:val="baseline"/>
        </w:rPr>
        <w:t>obligations</w:t>
      </w:r>
      <w:r>
        <w:rPr>
          <w:spacing w:val="4"/>
          <w:vertAlign w:val="baseline"/>
        </w:rPr>
        <w:t> </w:t>
      </w:r>
      <w:r>
        <w:rPr>
          <w:vertAlign w:val="baseline"/>
        </w:rPr>
        <w:t>which</w:t>
      </w:r>
      <w:r>
        <w:rPr>
          <w:spacing w:val="4"/>
          <w:vertAlign w:val="baseline"/>
        </w:rPr>
        <w:t> </w:t>
      </w:r>
      <w:r>
        <w:rPr>
          <w:vertAlign w:val="baseline"/>
        </w:rPr>
        <w:t>the</w:t>
      </w:r>
      <w:r>
        <w:rPr>
          <w:spacing w:val="4"/>
          <w:vertAlign w:val="baseline"/>
        </w:rPr>
        <w:t> </w:t>
      </w:r>
      <w:r>
        <w:rPr>
          <w:vertAlign w:val="baseline"/>
        </w:rPr>
        <w:t>law</w:t>
      </w:r>
      <w:r>
        <w:rPr>
          <w:spacing w:val="4"/>
          <w:vertAlign w:val="baseline"/>
        </w:rPr>
        <w:t> </w:t>
      </w:r>
      <w:r>
        <w:rPr>
          <w:vertAlign w:val="baseline"/>
        </w:rPr>
        <w:t>of</w:t>
      </w:r>
      <w:r>
        <w:rPr>
          <w:spacing w:val="4"/>
          <w:vertAlign w:val="baseline"/>
        </w:rPr>
        <w:t> </w:t>
      </w:r>
      <w:r>
        <w:rPr>
          <w:spacing w:val="-5"/>
          <w:vertAlign w:val="baseline"/>
        </w:rPr>
        <w:t>the</w:t>
      </w:r>
    </w:p>
    <w:p>
      <w:pPr>
        <w:pStyle w:val="BodyText"/>
        <w:spacing w:line="235" w:lineRule="auto" w:before="118"/>
        <w:ind w:left="164" w:right="167"/>
        <w:jc w:val="both"/>
      </w:pPr>
      <w:r>
        <w:rPr/>
        <w:t>English forum would regard as contractual. </w:t>
      </w:r>
      <w:r>
        <w:rPr>
          <w:color w:val="005DA1"/>
          <w:u w:val="single" w:color="005DA1"/>
          <w:vertAlign w:val="superscript"/>
        </w:rPr>
        <w:t>689</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10"/>
          <w:vertAlign w:val="baseline"/>
        </w:rPr>
        <w:t> </w:t>
      </w:r>
      <w:r>
        <w:rPr>
          <w:vertAlign w:val="baseline"/>
        </w:rPr>
        <w:t>Equally, it is suggested that the basis of the </w:t>
      </w:r>
      <w:bookmarkStart w:name="_bookmark1247" w:id="1249"/>
      <w:bookmarkEnd w:id="1249"/>
      <w:r>
        <w:rPr>
          <w:vertAlign w:val="baseline"/>
        </w:rPr>
        <w:t>autonomous</w:t>
      </w:r>
      <w:r>
        <w:rPr>
          <w:vertAlign w:val="baseline"/>
        </w:rPr>
        <w:t> meaning will be found to lie in an obligation which is voluntarily assumed by agreement between the parties. </w:t>
      </w:r>
      <w:r>
        <w:rPr>
          <w:color w:val="005DA1"/>
          <w:u w:val="single" w:color="005DA1"/>
          <w:vertAlign w:val="superscript"/>
        </w:rPr>
        <w:t>690</w:t>
      </w:r>
    </w:p>
    <w:p>
      <w:pPr>
        <w:pStyle w:val="BodyText"/>
      </w:pPr>
    </w:p>
    <w:p>
      <w:pPr>
        <w:pStyle w:val="BodyText"/>
        <w:spacing w:before="38"/>
      </w:pPr>
    </w:p>
    <w:p>
      <w:pPr>
        <w:spacing w:before="0"/>
        <w:ind w:left="165" w:right="0" w:firstLine="0"/>
        <w:jc w:val="left"/>
        <w:rPr>
          <w:rFonts w:ascii="Arial" w:hAnsi="Arial"/>
          <w:b/>
          <w:sz w:val="18"/>
        </w:rPr>
      </w:pPr>
      <w:r>
        <w:rPr>
          <w:rFonts w:ascii="Arial" w:hAnsi="Arial"/>
          <w:b/>
          <w:sz w:val="18"/>
        </w:rPr>
        <w:t>Meaning of “non-contractual </w:t>
      </w:r>
      <w:r>
        <w:rPr>
          <w:rFonts w:ascii="Arial" w:hAnsi="Arial"/>
          <w:b/>
          <w:spacing w:val="-2"/>
          <w:sz w:val="18"/>
        </w:rPr>
        <w:t>obligations”</w:t>
      </w:r>
    </w:p>
    <w:p>
      <w:pPr>
        <w:pStyle w:val="BodyText"/>
        <w:spacing w:before="41"/>
        <w:rPr>
          <w:rFonts w:ascii="Arial"/>
          <w:b/>
          <w:sz w:val="18"/>
        </w:rPr>
      </w:pPr>
    </w:p>
    <w:p>
      <w:pPr>
        <w:pStyle w:val="Heading2"/>
      </w:pPr>
      <w:r>
        <w:rPr/>
        <w:t>30-</w:t>
      </w:r>
      <w:r>
        <w:rPr>
          <w:spacing w:val="-5"/>
        </w:rPr>
        <w:t>147</w:t>
      </w:r>
    </w:p>
    <w:p>
      <w:pPr>
        <w:pStyle w:val="BodyText"/>
        <w:spacing w:line="235" w:lineRule="auto" w:before="203"/>
        <w:ind w:left="164" w:right="167"/>
        <w:jc w:val="both"/>
      </w:pPr>
      <w:r>
        <w:rPr/>
        <w:t>The Rome II Regulation provides uniform choice of law rules for determining the law applicable </w:t>
      </w:r>
      <w:r>
        <w:rPr/>
        <w:t>to </w:t>
      </w:r>
      <w:bookmarkStart w:name="_bookmark1248" w:id="1250"/>
      <w:bookmarkEnd w:id="1250"/>
      <w:r>
        <w:rPr/>
        <w:t>noncontractual</w:t>
      </w:r>
      <w:r>
        <w:rPr/>
        <w:t> obligations arising out of tort/delict, unjust enrichment, culpa in contrahendo and negotiorum gestio. </w:t>
      </w:r>
      <w:r>
        <w:rPr>
          <w:color w:val="005DA1"/>
          <w:u w:val="single" w:color="005DA1"/>
          <w:vertAlign w:val="superscript"/>
        </w:rPr>
        <w:t>691</w:t>
      </w:r>
      <w:r>
        <w:rPr>
          <w:color w:val="005DA1"/>
          <w:vertAlign w:val="baseline"/>
        </w:rPr>
        <w:t> </w:t>
      </w:r>
      <w:r>
        <w:rPr>
          <w:vertAlign w:val="baseline"/>
        </w:rPr>
        <w:t>The meaning of contractual obligation for the purposes of the Rome I </w:t>
      </w:r>
      <w:bookmarkStart w:name="_bookmark1249" w:id="1251"/>
      <w:bookmarkEnd w:id="1251"/>
      <w:r>
        <w:rPr>
          <w:vertAlign w:val="baseline"/>
        </w:rPr>
        <w:t>Regulation</w:t>
      </w:r>
      <w:r>
        <w:rPr>
          <w:vertAlign w:val="baseline"/>
        </w:rPr>
        <w:t> will necessarily involve delimiting the respective scope of the Rome I Regulation and the Rome II Regulation. </w:t>
      </w:r>
      <w:r>
        <w:rPr>
          <w:color w:val="005DA1"/>
          <w:u w:val="single" w:color="005DA1"/>
          <w:vertAlign w:val="superscript"/>
        </w:rPr>
        <w:t>692</w:t>
      </w:r>
      <w:r>
        <w:rPr>
          <w:color w:val="005DA1"/>
          <w:vertAlign w:val="baseline"/>
        </w:rPr>
        <w:t> </w:t>
      </w:r>
      <w:r>
        <w:rPr>
          <w:vertAlign w:val="baseline"/>
        </w:rPr>
        <w:t>In this respect, attention may be drawn to three particular points.</w:t>
      </w:r>
    </w:p>
    <w:p>
      <w:pPr>
        <w:pStyle w:val="BodyText"/>
      </w:pPr>
    </w:p>
    <w:p>
      <w:pPr>
        <w:pStyle w:val="BodyText"/>
        <w:spacing w:before="36"/>
      </w:pPr>
    </w:p>
    <w:p>
      <w:pPr>
        <w:spacing w:before="1"/>
        <w:ind w:left="165" w:right="0" w:firstLine="0"/>
        <w:jc w:val="left"/>
        <w:rPr>
          <w:rFonts w:ascii="Arial"/>
          <w:b/>
          <w:sz w:val="18"/>
        </w:rPr>
      </w:pPr>
      <w:r>
        <w:rPr>
          <w:rFonts w:ascii="Arial"/>
          <w:b/>
          <w:sz w:val="18"/>
        </w:rPr>
        <w:t>Obligations arising out of pre-contractual </w:t>
      </w:r>
      <w:r>
        <w:rPr>
          <w:rFonts w:ascii="Arial"/>
          <w:b/>
          <w:spacing w:val="-2"/>
          <w:sz w:val="18"/>
        </w:rPr>
        <w:t>dealings</w:t>
      </w:r>
    </w:p>
    <w:p>
      <w:pPr>
        <w:pStyle w:val="BodyText"/>
        <w:spacing w:before="41"/>
        <w:rPr>
          <w:rFonts w:ascii="Arial"/>
          <w:b/>
          <w:sz w:val="18"/>
        </w:rPr>
      </w:pPr>
    </w:p>
    <w:p>
      <w:pPr>
        <w:pStyle w:val="Heading2"/>
      </w:pPr>
      <w:r>
        <w:rPr/>
        <w:t>30-</w:t>
      </w:r>
      <w:r>
        <w:rPr>
          <w:spacing w:val="-5"/>
        </w:rPr>
        <w:t>148</w:t>
      </w:r>
    </w:p>
    <w:p>
      <w:pPr>
        <w:pStyle w:val="BodyText"/>
        <w:spacing w:line="235" w:lineRule="auto" w:before="202"/>
        <w:ind w:left="164" w:right="167"/>
        <w:jc w:val="both"/>
      </w:pPr>
      <w:bookmarkStart w:name="_bookmark1250" w:id="1252"/>
      <w:bookmarkEnd w:id="1252"/>
      <w:r>
        <w:rPr/>
      </w:r>
      <w:r>
        <w:rPr/>
        <w:t>Obligations arising out of pre-contractual dealings between the parties will be governed by art.12 </w:t>
      </w:r>
      <w:r>
        <w:rPr/>
        <w:t>of </w:t>
      </w:r>
      <w:bookmarkStart w:name="_bookmark1251" w:id="1253"/>
      <w:bookmarkEnd w:id="1253"/>
      <w:r>
        <w:rPr/>
        <w:t>the</w:t>
      </w:r>
      <w:r>
        <w:rPr/>
        <w:t> Rome II Regulation dealing with culpa in contrahendo </w:t>
      </w:r>
      <w:r>
        <w:rPr>
          <w:color w:val="005DA1"/>
          <w:u w:val="single" w:color="005DA1"/>
          <w:vertAlign w:val="superscript"/>
        </w:rPr>
        <w:t>693</w:t>
      </w:r>
      <w:r>
        <w:rPr>
          <w:color w:val="005DA1"/>
          <w:vertAlign w:val="baseline"/>
        </w:rPr>
        <w:t> </w:t>
      </w:r>
      <w:r>
        <w:rPr>
          <w:vertAlign w:val="baseline"/>
        </w:rPr>
        <w:t>and thus will not fall within the Rome I Regulation. </w:t>
      </w:r>
      <w:r>
        <w:rPr>
          <w:color w:val="005DA1"/>
          <w:u w:val="single" w:color="005DA1"/>
          <w:vertAlign w:val="superscript"/>
        </w:rPr>
        <w:t>694</w:t>
      </w:r>
      <w:r>
        <w:rPr>
          <w:color w:val="005DA1"/>
          <w:vertAlign w:val="baseline"/>
        </w:rPr>
        <w:t> </w:t>
      </w:r>
      <w:r>
        <w:rPr>
          <w:vertAlign w:val="baseline"/>
        </w:rPr>
        <w:t>Article 12(1) of the Rome II Regulation provides, as a general rule, that the law applicable to a non-contractual obligation arising out of dealings prior to the conclusion of the</w:t>
      </w:r>
      <w:r>
        <w:rPr>
          <w:spacing w:val="40"/>
          <w:vertAlign w:val="baseline"/>
        </w:rPr>
        <w:t> </w:t>
      </w:r>
      <w:bookmarkStart w:name="_bookmark1252" w:id="1254"/>
      <w:bookmarkEnd w:id="1254"/>
      <w:r>
        <w:rPr>
          <w:vertAlign w:val="baseline"/>
        </w:rPr>
        <w:t>contract,</w:t>
      </w:r>
      <w:r>
        <w:rPr>
          <w:vertAlign w:val="baseline"/>
        </w:rPr>
        <w:t> regardless of whether the contract was actually concluded or not, shall be the law that applies</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or</w:t>
      </w:r>
      <w:r>
        <w:rPr>
          <w:spacing w:val="-3"/>
          <w:vertAlign w:val="baseline"/>
        </w:rPr>
        <w:t> </w:t>
      </w:r>
      <w:r>
        <w:rPr>
          <w:vertAlign w:val="baseline"/>
        </w:rPr>
        <w:t>would</w:t>
      </w:r>
      <w:r>
        <w:rPr>
          <w:spacing w:val="-3"/>
          <w:vertAlign w:val="baseline"/>
        </w:rPr>
        <w:t> </w:t>
      </w:r>
      <w:r>
        <w:rPr>
          <w:vertAlign w:val="baseline"/>
        </w:rPr>
        <w:t>have</w:t>
      </w:r>
      <w:r>
        <w:rPr>
          <w:spacing w:val="-3"/>
          <w:vertAlign w:val="baseline"/>
        </w:rPr>
        <w:t> </w:t>
      </w:r>
      <w:r>
        <w:rPr>
          <w:vertAlign w:val="baseline"/>
        </w:rPr>
        <w:t>been</w:t>
      </w:r>
      <w:r>
        <w:rPr>
          <w:spacing w:val="-3"/>
          <w:vertAlign w:val="baseline"/>
        </w:rPr>
        <w:t> </w:t>
      </w:r>
      <w:r>
        <w:rPr>
          <w:vertAlign w:val="baseline"/>
        </w:rPr>
        <w:t>applicable</w:t>
      </w:r>
      <w:r>
        <w:rPr>
          <w:spacing w:val="-3"/>
          <w:vertAlign w:val="baseline"/>
        </w:rPr>
        <w:t> </w:t>
      </w:r>
      <w:r>
        <w:rPr>
          <w:vertAlign w:val="baseline"/>
        </w:rPr>
        <w:t>to</w:t>
      </w:r>
      <w:r>
        <w:rPr>
          <w:spacing w:val="-3"/>
          <w:vertAlign w:val="baseline"/>
        </w:rPr>
        <w:t> </w:t>
      </w:r>
      <w:r>
        <w:rPr>
          <w:vertAlign w:val="baseline"/>
        </w:rPr>
        <w:t>it</w:t>
      </w:r>
      <w:r>
        <w:rPr>
          <w:spacing w:val="-3"/>
          <w:vertAlign w:val="baseline"/>
        </w:rPr>
        <w:t> </w:t>
      </w:r>
      <w:r>
        <w:rPr>
          <w:vertAlign w:val="baseline"/>
        </w:rPr>
        <w:t>had</w:t>
      </w:r>
      <w:r>
        <w:rPr>
          <w:spacing w:val="-3"/>
          <w:vertAlign w:val="baseline"/>
        </w:rPr>
        <w:t> </w:t>
      </w:r>
      <w:r>
        <w:rPr>
          <w:vertAlign w:val="baseline"/>
        </w:rPr>
        <w:t>it</w:t>
      </w:r>
      <w:r>
        <w:rPr>
          <w:spacing w:val="-3"/>
          <w:vertAlign w:val="baseline"/>
        </w:rPr>
        <w:t> </w:t>
      </w:r>
      <w:r>
        <w:rPr>
          <w:vertAlign w:val="baseline"/>
        </w:rPr>
        <w:t>been</w:t>
      </w:r>
      <w:r>
        <w:rPr>
          <w:spacing w:val="-3"/>
          <w:vertAlign w:val="baseline"/>
        </w:rPr>
        <w:t> </w:t>
      </w:r>
      <w:r>
        <w:rPr>
          <w:vertAlign w:val="baseline"/>
        </w:rPr>
        <w:t>entered</w:t>
      </w:r>
      <w:r>
        <w:rPr>
          <w:spacing w:val="-3"/>
          <w:vertAlign w:val="baseline"/>
        </w:rPr>
        <w:t> </w:t>
      </w:r>
      <w:r>
        <w:rPr>
          <w:vertAlign w:val="baseline"/>
        </w:rPr>
        <w:t>into.</w:t>
      </w:r>
      <w:r>
        <w:rPr>
          <w:spacing w:val="-4"/>
          <w:vertAlign w:val="baseline"/>
        </w:rPr>
        <w:t> </w:t>
      </w:r>
      <w:r>
        <w:rPr>
          <w:color w:val="005DA1"/>
          <w:u w:val="single" w:color="005DA1"/>
          <w:vertAlign w:val="superscript"/>
        </w:rPr>
        <w:t>695</w:t>
      </w:r>
      <w:r>
        <w:rPr>
          <w:color w:val="005DA1"/>
          <w:spacing w:val="-3"/>
          <w:vertAlign w:val="baseline"/>
        </w:rPr>
        <w:t> </w:t>
      </w:r>
      <w:r>
        <w:rPr>
          <w:vertAlign w:val="baseline"/>
        </w:rPr>
        <w:t>Presumably</w:t>
      </w:r>
      <w:r>
        <w:rPr>
          <w:spacing w:val="-3"/>
          <w:vertAlign w:val="baseline"/>
        </w:rPr>
        <w:t> </w:t>
      </w:r>
      <w:r>
        <w:rPr>
          <w:vertAlign w:val="baseline"/>
        </w:rPr>
        <w:t>the law that applies to the contract or would have been applicable to it had it been entered into, will have to be determined by reference to the choice of law rules contained in the Rome I Regulation.</w:t>
      </w:r>
    </w:p>
    <w:p>
      <w:pPr>
        <w:pStyle w:val="BodyText"/>
      </w:pPr>
    </w:p>
    <w:p>
      <w:pPr>
        <w:pStyle w:val="BodyText"/>
        <w:spacing w:before="36"/>
      </w:pPr>
    </w:p>
    <w:p>
      <w:pPr>
        <w:spacing w:before="0"/>
        <w:ind w:left="165" w:right="0" w:firstLine="0"/>
        <w:jc w:val="left"/>
        <w:rPr>
          <w:rFonts w:ascii="Arial"/>
          <w:b/>
          <w:sz w:val="18"/>
        </w:rPr>
      </w:pPr>
      <w:r>
        <w:rPr>
          <w:rFonts w:ascii="Arial"/>
          <w:b/>
          <w:sz w:val="18"/>
        </w:rPr>
        <w:t>Consequences of nullity of a </w:t>
      </w:r>
      <w:r>
        <w:rPr>
          <w:rFonts w:ascii="Arial"/>
          <w:b/>
          <w:spacing w:val="-2"/>
          <w:sz w:val="18"/>
        </w:rPr>
        <w:t>contract</w:t>
      </w:r>
    </w:p>
    <w:p>
      <w:pPr>
        <w:pStyle w:val="BodyText"/>
        <w:spacing w:before="41"/>
        <w:rPr>
          <w:rFonts w:ascii="Arial"/>
          <w:b/>
          <w:sz w:val="18"/>
        </w:rPr>
      </w:pPr>
    </w:p>
    <w:p>
      <w:pPr>
        <w:pStyle w:val="Heading2"/>
      </w:pPr>
      <w:r>
        <w:rPr/>
        <w:t>30-</w:t>
      </w:r>
      <w:r>
        <w:rPr>
          <w:spacing w:val="-5"/>
        </w:rPr>
        <w:t>149</w:t>
      </w:r>
    </w:p>
    <w:p>
      <w:pPr>
        <w:pStyle w:val="BodyText"/>
        <w:spacing w:line="235" w:lineRule="auto" w:before="203"/>
        <w:ind w:left="164" w:right="167"/>
        <w:jc w:val="both"/>
      </w:pPr>
      <w:bookmarkStart w:name="_bookmark1253" w:id="1255"/>
      <w:bookmarkEnd w:id="1255"/>
      <w:r>
        <w:rPr/>
      </w:r>
      <w:r>
        <w:rPr/>
        <w:t>As</w:t>
      </w:r>
      <w:r>
        <w:rPr>
          <w:spacing w:val="-3"/>
        </w:rPr>
        <w:t> </w:t>
      </w:r>
      <w:r>
        <w:rPr/>
        <w:t>discussed</w:t>
      </w:r>
      <w:r>
        <w:rPr>
          <w:spacing w:val="-3"/>
        </w:rPr>
        <w:t> </w:t>
      </w:r>
      <w:r>
        <w:rPr/>
        <w:t>below,</w:t>
      </w:r>
      <w:r>
        <w:rPr>
          <w:spacing w:val="-3"/>
        </w:rPr>
        <w:t> </w:t>
      </w:r>
      <w:r>
        <w:rPr>
          <w:color w:val="005DA1"/>
          <w:u w:val="single" w:color="005DA1"/>
          <w:vertAlign w:val="superscript"/>
        </w:rPr>
        <w:t>696</w:t>
      </w:r>
      <w:r>
        <w:rPr>
          <w:color w:val="005DA1"/>
          <w:spacing w:val="-3"/>
          <w:vertAlign w:val="baseline"/>
        </w:rPr>
        <w:t> </w:t>
      </w:r>
      <w:r>
        <w:rPr>
          <w:vertAlign w:val="baseline"/>
        </w:rPr>
        <w:t>art.12(1)(e)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Rome</w:t>
      </w:r>
      <w:r>
        <w:rPr>
          <w:spacing w:val="-3"/>
          <w:vertAlign w:val="baseline"/>
        </w:rPr>
        <w:t> </w:t>
      </w:r>
      <w:r>
        <w:rPr>
          <w:vertAlign w:val="baseline"/>
        </w:rPr>
        <w:t>I</w:t>
      </w:r>
      <w:r>
        <w:rPr>
          <w:spacing w:val="-3"/>
          <w:vertAlign w:val="baseline"/>
        </w:rPr>
        <w:t> </w:t>
      </w:r>
      <w:r>
        <w:rPr>
          <w:vertAlign w:val="baseline"/>
        </w:rPr>
        <w:t>Regulation</w:t>
      </w:r>
      <w:r>
        <w:rPr>
          <w:spacing w:val="-3"/>
          <w:vertAlign w:val="baseline"/>
        </w:rPr>
        <w:t> </w:t>
      </w:r>
      <w:r>
        <w:rPr>
          <w:vertAlign w:val="baseline"/>
        </w:rPr>
        <w:t>provides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applicable</w:t>
      </w:r>
      <w:r>
        <w:rPr>
          <w:spacing w:val="-3"/>
          <w:vertAlign w:val="baseline"/>
        </w:rPr>
        <w:t> </w:t>
      </w:r>
      <w:r>
        <w:rPr>
          <w:vertAlign w:val="baseline"/>
        </w:rPr>
        <w:t>law</w:t>
      </w:r>
      <w:r>
        <w:rPr>
          <w:spacing w:val="-3"/>
          <w:vertAlign w:val="baseline"/>
        </w:rPr>
        <w:t> </w:t>
      </w:r>
      <w:r>
        <w:rPr>
          <w:vertAlign w:val="baseline"/>
        </w:rPr>
        <w:t>governs the consequences of nullity of the contract. As explained above earlier in this chapter the Rome Convention allowed contracting states to make a reservation to this provision which the </w:t>
      </w:r>
      <w:r>
        <w:rPr>
          <w:vertAlign w:val="baseline"/>
        </w:rPr>
        <w:t>United </w:t>
      </w:r>
      <w:bookmarkStart w:name="_bookmark1254" w:id="1256"/>
      <w:bookmarkEnd w:id="1256"/>
      <w:r>
        <w:rPr>
          <w:vertAlign w:val="baseline"/>
        </w:rPr>
        <w:t>Kingdom</w:t>
      </w:r>
      <w:r>
        <w:rPr>
          <w:vertAlign w:val="baseline"/>
        </w:rPr>
        <w:t> duly did, since in the view of United Kingdom legal systems this issue was to be classified not as contractual, but as restitutionary, in character. </w:t>
      </w:r>
      <w:r>
        <w:rPr>
          <w:color w:val="005DA1"/>
          <w:u w:val="single" w:color="005DA1"/>
          <w:vertAlign w:val="superscript"/>
        </w:rPr>
        <w:t>697</w:t>
      </w:r>
      <w:r>
        <w:rPr>
          <w:color w:val="005DA1"/>
          <w:vertAlign w:val="baseline"/>
        </w:rPr>
        <w:t> </w:t>
      </w:r>
      <w:r>
        <w:rPr>
          <w:vertAlign w:val="baseline"/>
        </w:rPr>
        <w:t>No such reservation is permitted by the</w:t>
      </w:r>
      <w:r>
        <w:rPr>
          <w:spacing w:val="40"/>
          <w:vertAlign w:val="baseline"/>
        </w:rPr>
        <w:t> </w:t>
      </w:r>
      <w:bookmarkStart w:name="_bookmark1255" w:id="1257"/>
      <w:bookmarkEnd w:id="1257"/>
      <w:r>
        <w:rPr>
          <w:vertAlign w:val="baseline"/>
        </w:rPr>
        <w:t>Rome</w:t>
      </w:r>
      <w:r>
        <w:rPr>
          <w:spacing w:val="-1"/>
          <w:vertAlign w:val="baseline"/>
        </w:rPr>
        <w:t> </w:t>
      </w:r>
      <w:r>
        <w:rPr>
          <w:vertAlign w:val="baseline"/>
        </w:rPr>
        <w:t>I</w:t>
      </w:r>
      <w:r>
        <w:rPr>
          <w:spacing w:val="-2"/>
          <w:vertAlign w:val="baseline"/>
        </w:rPr>
        <w:t> </w:t>
      </w:r>
      <w:r>
        <w:rPr>
          <w:vertAlign w:val="baseline"/>
        </w:rPr>
        <w:t>Regulation,</w:t>
      </w:r>
      <w:r>
        <w:rPr>
          <w:spacing w:val="-1"/>
          <w:vertAlign w:val="baseline"/>
        </w:rPr>
        <w:t> </w:t>
      </w:r>
      <w:r>
        <w:rPr>
          <w:vertAlign w:val="baseline"/>
        </w:rPr>
        <w:t>and</w:t>
      </w:r>
      <w:r>
        <w:rPr>
          <w:spacing w:val="-2"/>
          <w:vertAlign w:val="baseline"/>
        </w:rPr>
        <w:t> </w:t>
      </w:r>
      <w:r>
        <w:rPr>
          <w:vertAlign w:val="baseline"/>
        </w:rPr>
        <w:t>thus</w:t>
      </w:r>
      <w:r>
        <w:rPr>
          <w:spacing w:val="-1"/>
          <w:vertAlign w:val="baseline"/>
        </w:rPr>
        <w:t> </w:t>
      </w:r>
      <w:r>
        <w:rPr>
          <w:vertAlign w:val="baseline"/>
        </w:rPr>
        <w:t>art.12(1)(e)</w:t>
      </w:r>
      <w:r>
        <w:rPr>
          <w:spacing w:val="-2"/>
          <w:vertAlign w:val="baseline"/>
        </w:rPr>
        <w:t> </w:t>
      </w:r>
      <w:r>
        <w:rPr>
          <w:vertAlign w:val="baseline"/>
        </w:rPr>
        <w:t>will</w:t>
      </w:r>
      <w:r>
        <w:rPr>
          <w:spacing w:val="-1"/>
          <w:vertAlign w:val="baseline"/>
        </w:rPr>
        <w:t> </w:t>
      </w:r>
      <w:r>
        <w:rPr>
          <w:vertAlign w:val="baseline"/>
        </w:rPr>
        <w:t>have</w:t>
      </w:r>
      <w:r>
        <w:rPr>
          <w:spacing w:val="-2"/>
          <w:vertAlign w:val="baseline"/>
        </w:rPr>
        <w:t> </w:t>
      </w:r>
      <w:r>
        <w:rPr>
          <w:vertAlign w:val="baseline"/>
        </w:rPr>
        <w:t>to</w:t>
      </w:r>
      <w:r>
        <w:rPr>
          <w:spacing w:val="-1"/>
          <w:vertAlign w:val="baseline"/>
        </w:rPr>
        <w:t> </w:t>
      </w:r>
      <w:r>
        <w:rPr>
          <w:vertAlign w:val="baseline"/>
        </w:rPr>
        <w:t>be</w:t>
      </w:r>
      <w:r>
        <w:rPr>
          <w:spacing w:val="-2"/>
          <w:vertAlign w:val="baseline"/>
        </w:rPr>
        <w:t> </w:t>
      </w:r>
      <w:r>
        <w:rPr>
          <w:vertAlign w:val="baseline"/>
        </w:rPr>
        <w:t>applied.</w:t>
      </w:r>
      <w:r>
        <w:rPr>
          <w:spacing w:val="-1"/>
          <w:vertAlign w:val="baseline"/>
        </w:rPr>
        <w:t> </w:t>
      </w:r>
      <w:r>
        <w:rPr>
          <w:vertAlign w:val="baseline"/>
        </w:rPr>
        <w:t>A</w:t>
      </w:r>
      <w:r>
        <w:rPr>
          <w:spacing w:val="-2"/>
          <w:vertAlign w:val="baseline"/>
        </w:rPr>
        <w:t> </w:t>
      </w:r>
      <w:r>
        <w:rPr>
          <w:vertAlign w:val="baseline"/>
        </w:rPr>
        <w:t>question</w:t>
      </w:r>
      <w:r>
        <w:rPr>
          <w:spacing w:val="-1"/>
          <w:vertAlign w:val="baseline"/>
        </w:rPr>
        <w:t> </w:t>
      </w:r>
      <w:r>
        <w:rPr>
          <w:vertAlign w:val="baseline"/>
        </w:rPr>
        <w:t>arises,</w:t>
      </w:r>
      <w:r>
        <w:rPr>
          <w:spacing w:val="-2"/>
          <w:vertAlign w:val="baseline"/>
        </w:rPr>
        <w:t> </w:t>
      </w:r>
      <w:r>
        <w:rPr>
          <w:vertAlign w:val="baseline"/>
        </w:rPr>
        <w:t>however,</w:t>
      </w:r>
      <w:r>
        <w:rPr>
          <w:spacing w:val="-1"/>
          <w:vertAlign w:val="baseline"/>
        </w:rPr>
        <w:t> </w:t>
      </w:r>
      <w:r>
        <w:rPr>
          <w:vertAlign w:val="baseline"/>
        </w:rPr>
        <w:t>because the Rome II Regulation contains in art.10 </w:t>
      </w:r>
      <w:r>
        <w:rPr>
          <w:color w:val="005DA1"/>
          <w:u w:val="single" w:color="005DA1"/>
          <w:vertAlign w:val="superscript"/>
        </w:rPr>
        <w:t>698</w:t>
      </w:r>
      <w:r>
        <w:rPr>
          <w:color w:val="005DA1"/>
          <w:vertAlign w:val="baseline"/>
        </w:rPr>
        <w:t> </w:t>
      </w:r>
      <w:r>
        <w:rPr>
          <w:vertAlign w:val="baseline"/>
        </w:rPr>
        <w:t>a choice of law rule concerning unjust enrichment into</w:t>
      </w:r>
      <w:r>
        <w:rPr>
          <w:spacing w:val="40"/>
          <w:vertAlign w:val="baseline"/>
        </w:rPr>
        <w:t> </w:t>
      </w:r>
      <w:r>
        <w:rPr>
          <w:vertAlign w:val="baseline"/>
        </w:rPr>
        <w:t>the category of which the consequences of nullity of the contract could be construed to fall. It is suggested,</w:t>
      </w:r>
      <w:r>
        <w:rPr>
          <w:spacing w:val="-2"/>
          <w:vertAlign w:val="baseline"/>
        </w:rPr>
        <w:t> </w:t>
      </w:r>
      <w:r>
        <w:rPr>
          <w:vertAlign w:val="baseline"/>
        </w:rPr>
        <w:t>however,</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issue</w:t>
      </w:r>
      <w:r>
        <w:rPr>
          <w:spacing w:val="-2"/>
          <w:vertAlign w:val="baseline"/>
        </w:rPr>
        <w:t> </w:t>
      </w:r>
      <w:r>
        <w:rPr>
          <w:vertAlign w:val="baseline"/>
        </w:rPr>
        <w:t>should</w:t>
      </w:r>
      <w:r>
        <w:rPr>
          <w:spacing w:val="-2"/>
          <w:vertAlign w:val="baseline"/>
        </w:rPr>
        <w:t> </w:t>
      </w:r>
      <w:r>
        <w:rPr>
          <w:vertAlign w:val="baseline"/>
        </w:rPr>
        <w:t>be</w:t>
      </w:r>
      <w:r>
        <w:rPr>
          <w:spacing w:val="-2"/>
          <w:vertAlign w:val="baseline"/>
        </w:rPr>
        <w:t> </w:t>
      </w:r>
      <w:r>
        <w:rPr>
          <w:vertAlign w:val="baseline"/>
        </w:rPr>
        <w:t>governed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rules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Rome</w:t>
      </w:r>
      <w:r>
        <w:rPr>
          <w:spacing w:val="-2"/>
          <w:vertAlign w:val="baseline"/>
        </w:rPr>
        <w:t> </w:t>
      </w:r>
      <w:r>
        <w:rPr>
          <w:vertAlign w:val="baseline"/>
        </w:rPr>
        <w:t>I</w:t>
      </w:r>
      <w:r>
        <w:rPr>
          <w:spacing w:val="-2"/>
          <w:vertAlign w:val="baseline"/>
        </w:rPr>
        <w:t> </w:t>
      </w:r>
      <w:r>
        <w:rPr>
          <w:vertAlign w:val="baseline"/>
        </w:rPr>
        <w:t>Regulation</w:t>
      </w:r>
      <w:r>
        <w:rPr>
          <w:spacing w:val="-2"/>
          <w:vertAlign w:val="baseline"/>
        </w:rPr>
        <w:t> </w:t>
      </w:r>
      <w:r>
        <w:rPr>
          <w:vertAlign w:val="baseline"/>
        </w:rPr>
        <w:t>and</w:t>
      </w:r>
      <w:r>
        <w:rPr>
          <w:spacing w:val="-2"/>
          <w:vertAlign w:val="baseline"/>
        </w:rPr>
        <w:t> </w:t>
      </w:r>
      <w:r>
        <w:rPr>
          <w:vertAlign w:val="baseline"/>
        </w:rPr>
        <w:t>not by art.10 of the Rome II Regulation, though it cannot be said that this conclusion is entirely clear. Article 10(1) of the Rome II Regulation provides that if a non-contractual obligation arising out of unjust enrichment, including payment of amounts wrongly received, concerns a relationship existing </w:t>
      </w:r>
      <w:bookmarkStart w:name="_bookmark1256" w:id="1258"/>
      <w:bookmarkEnd w:id="1258"/>
      <w:r>
        <w:rPr>
          <w:vertAlign w:val="baseline"/>
        </w:rPr>
        <w:t>between</w:t>
      </w:r>
      <w:r>
        <w:rPr>
          <w:vertAlign w:val="baseline"/>
        </w:rPr>
        <w:t> the parties, such as one arising out of a contract or a tort/delict, that is closely connected</w:t>
      </w:r>
      <w:r>
        <w:rPr>
          <w:spacing w:val="40"/>
          <w:vertAlign w:val="baseline"/>
        </w:rPr>
        <w:t> </w:t>
      </w:r>
      <w:r>
        <w:rPr>
          <w:vertAlign w:val="baseline"/>
        </w:rPr>
        <w:t>with the unjust enrichment, it shall be governed by the law that governs that relationship. </w:t>
      </w:r>
      <w:r>
        <w:rPr>
          <w:color w:val="005DA1"/>
          <w:u w:val="single" w:color="005DA1"/>
          <w:vertAlign w:val="superscript"/>
        </w:rPr>
        <w:t>699</w:t>
      </w:r>
      <w:r>
        <w:rPr>
          <w:color w:val="005DA1"/>
          <w:vertAlign w:val="baseline"/>
        </w:rPr>
        <w:t> </w:t>
      </w:r>
      <w:r>
        <w:rPr>
          <w:vertAlign w:val="baseline"/>
        </w:rPr>
        <w:t>This</w:t>
      </w:r>
      <w:r>
        <w:rPr>
          <w:spacing w:val="40"/>
          <w:vertAlign w:val="baseline"/>
        </w:rPr>
        <w:t> </w:t>
      </w:r>
      <w:r>
        <w:rPr>
          <w:vertAlign w:val="baseline"/>
        </w:rPr>
        <w:t>could be interpreted to mean that the consequences of nullity of a contract are governed by the law applicable to the contractual obligation out of which the unjust enrichment arises. Nonetheless, it is suggested that the relative scope of the Rome I Regulation and the Rome II Regulation will be determined to be mutually exclusive.</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b/>
          <w:sz w:val="18"/>
        </w:rPr>
      </w:pPr>
      <w:r>
        <w:rPr>
          <w:rFonts w:ascii="Arial"/>
          <w:b/>
          <w:sz w:val="18"/>
        </w:rPr>
        <w:t>Contract and </w:t>
      </w:r>
      <w:r>
        <w:rPr>
          <w:rFonts w:ascii="Arial"/>
          <w:b/>
          <w:spacing w:val="-4"/>
          <w:sz w:val="18"/>
        </w:rPr>
        <w:t>tort</w:t>
      </w:r>
    </w:p>
    <w:p>
      <w:pPr>
        <w:pStyle w:val="BodyText"/>
        <w:spacing w:before="41"/>
        <w:rPr>
          <w:rFonts w:ascii="Arial"/>
          <w:b/>
          <w:sz w:val="18"/>
        </w:rPr>
      </w:pPr>
    </w:p>
    <w:p>
      <w:pPr>
        <w:pStyle w:val="Heading2"/>
      </w:pPr>
      <w:r>
        <w:rPr/>
        <w:t>30-</w:t>
      </w:r>
      <w:r>
        <w:rPr>
          <w:spacing w:val="-5"/>
        </w:rPr>
        <w:t>150</w:t>
      </w:r>
    </w:p>
    <w:p>
      <w:pPr>
        <w:pStyle w:val="BodyText"/>
        <w:spacing w:line="235" w:lineRule="auto" w:before="203"/>
        <w:ind w:left="165" w:right="167"/>
        <w:jc w:val="both"/>
      </w:pPr>
      <w:r>
        <w:rPr/>
        <w:t>In relation to the Rome Convention, it was held in England that where English law allowed concurrent </w:t>
      </w:r>
      <w:bookmarkStart w:name="_bookmark1257" w:id="1259"/>
      <w:bookmarkEnd w:id="1259"/>
      <w:r>
        <w:rPr/>
        <w:t>claims</w:t>
      </w:r>
      <w:r>
        <w:rPr/>
        <w:t> in contract and tort, there was nothing in the Rome Convention to prevent a claimant </w:t>
      </w:r>
      <w:r>
        <w:rPr/>
        <w:t>from framing a claim in tort rather than contract if it was advantageous to do so. </w:t>
      </w:r>
      <w:r>
        <w:rPr>
          <w:color w:val="005DA1"/>
          <w:u w:val="single" w:color="005DA1"/>
          <w:vertAlign w:val="superscript"/>
        </w:rPr>
        <w:t>700</w:t>
      </w:r>
      <w:r>
        <w:rPr>
          <w:color w:val="005DA1"/>
          <w:vertAlign w:val="baseline"/>
        </w:rPr>
        <w:t> </w:t>
      </w:r>
      <w:r>
        <w:rPr>
          <w:vertAlign w:val="baseline"/>
        </w:rPr>
        <w:t>It is suggested, </w:t>
      </w:r>
      <w:bookmarkStart w:name="_bookmark1258" w:id="1260"/>
      <w:bookmarkEnd w:id="1260"/>
      <w:r>
        <w:rPr>
          <w:vertAlign w:val="baseline"/>
        </w:rPr>
        <w:t>however,</w:t>
      </w:r>
      <w:r>
        <w:rPr>
          <w:vertAlign w:val="baseline"/>
        </w:rPr>
        <w:t> that this option will not be available as between the choice of law rules contained in the two Regulations. </w:t>
      </w:r>
      <w:r>
        <w:rPr>
          <w:color w:val="005DA1"/>
          <w:u w:val="single" w:color="005DA1"/>
          <w:vertAlign w:val="superscript"/>
        </w:rPr>
        <w:t>701</w:t>
      </w:r>
      <w:r>
        <w:rPr>
          <w:color w:val="005DA1"/>
          <w:vertAlign w:val="baseline"/>
        </w:rPr>
        <w:t> </w:t>
      </w:r>
      <w:r>
        <w:rPr>
          <w:vertAlign w:val="baseline"/>
        </w:rPr>
        <w:t>The scope of each Regulation will be determined to be mutually exclusive.</w:t>
      </w:r>
    </w:p>
    <w:p>
      <w:pPr>
        <w:pStyle w:val="BodyText"/>
      </w:pPr>
    </w:p>
    <w:p>
      <w:pPr>
        <w:pStyle w:val="BodyText"/>
        <w:spacing w:before="38"/>
      </w:pPr>
      <w:r>
        <w:rPr/>
        <mc:AlternateContent>
          <mc:Choice Requires="wps">
            <w:drawing>
              <wp:anchor distT="0" distB="0" distL="0" distR="0" allowOverlap="1" layoutInCell="1" locked="0" behindDoc="1" simplePos="0" relativeHeight="487611392">
                <wp:simplePos x="0" y="0"/>
                <wp:positionH relativeFrom="page">
                  <wp:posOffset>914400</wp:posOffset>
                </wp:positionH>
                <wp:positionV relativeFrom="paragraph">
                  <wp:posOffset>185460</wp:posOffset>
                </wp:positionV>
                <wp:extent cx="572452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3211pt;width:450.75pt;height:.1pt;mso-position-horizontal-relative:page;mso-position-vertical-relative:paragraph;z-index:-15705088;mso-wrap-distance-left:0;mso-wrap-distance-right:0" id="docshape20"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bookmarkStart w:name="_bookmark1259" w:id="1261"/>
      <w:bookmarkEnd w:id="1261"/>
      <w:r>
        <w:rPr/>
      </w:r>
      <w:hyperlink w:history="true" w:anchor="_bookmark1186">
        <w:r>
          <w:rPr>
            <w:color w:val="005DA1"/>
            <w:spacing w:val="-4"/>
            <w:position w:val="5"/>
            <w:sz w:val="14"/>
            <w:u w:val="single" w:color="005DA1"/>
          </w:rPr>
          <w:t>624</w:t>
        </w:r>
      </w:hyperlink>
      <w:r>
        <w:rPr>
          <w:spacing w:val="-4"/>
          <w:position w:val="5"/>
          <w:sz w:val="14"/>
        </w:rPr>
        <w:t>.</w:t>
      </w:r>
      <w:r>
        <w:rPr>
          <w:position w:val="5"/>
          <w:sz w:val="14"/>
        </w:rPr>
        <w:tab/>
      </w:r>
      <w:r>
        <w:rPr>
          <w:sz w:val="20"/>
        </w:rPr>
        <w:t>Treaty</w:t>
      </w:r>
      <w:r>
        <w:rPr>
          <w:spacing w:val="64"/>
          <w:sz w:val="20"/>
        </w:rPr>
        <w:t> </w:t>
      </w:r>
      <w:r>
        <w:rPr>
          <w:sz w:val="20"/>
        </w:rPr>
        <w:t>of</w:t>
      </w:r>
      <w:r>
        <w:rPr>
          <w:spacing w:val="64"/>
          <w:sz w:val="20"/>
        </w:rPr>
        <w:t> </w:t>
      </w:r>
      <w:r>
        <w:rPr>
          <w:sz w:val="20"/>
        </w:rPr>
        <w:t>Amsterdam</w:t>
      </w:r>
      <w:r>
        <w:rPr>
          <w:spacing w:val="64"/>
          <w:sz w:val="20"/>
        </w:rPr>
        <w:t> </w:t>
      </w:r>
      <w:r>
        <w:rPr>
          <w:sz w:val="20"/>
        </w:rPr>
        <w:t>art.65.</w:t>
      </w:r>
      <w:r>
        <w:rPr>
          <w:spacing w:val="64"/>
          <w:sz w:val="20"/>
        </w:rPr>
        <w:t> </w:t>
      </w:r>
      <w:r>
        <w:rPr>
          <w:sz w:val="20"/>
        </w:rPr>
        <w:t>See</w:t>
      </w:r>
      <w:r>
        <w:rPr>
          <w:spacing w:val="64"/>
          <w:sz w:val="20"/>
        </w:rPr>
        <w:t> </w:t>
      </w:r>
      <w:r>
        <w:rPr>
          <w:sz w:val="20"/>
        </w:rPr>
        <w:t>[1997]</w:t>
      </w:r>
      <w:r>
        <w:rPr>
          <w:spacing w:val="64"/>
          <w:sz w:val="20"/>
        </w:rPr>
        <w:t> </w:t>
      </w:r>
      <w:r>
        <w:rPr>
          <w:sz w:val="20"/>
        </w:rPr>
        <w:t>O.J.</w:t>
      </w:r>
      <w:r>
        <w:rPr>
          <w:spacing w:val="64"/>
          <w:sz w:val="20"/>
        </w:rPr>
        <w:t> </w:t>
      </w:r>
      <w:r>
        <w:rPr>
          <w:sz w:val="20"/>
        </w:rPr>
        <w:t>C340/1.</w:t>
      </w:r>
      <w:r>
        <w:rPr>
          <w:spacing w:val="64"/>
          <w:sz w:val="20"/>
        </w:rPr>
        <w:t> </w:t>
      </w:r>
      <w:r>
        <w:rPr>
          <w:sz w:val="20"/>
        </w:rPr>
        <w:t>For</w:t>
      </w:r>
      <w:r>
        <w:rPr>
          <w:spacing w:val="64"/>
          <w:sz w:val="20"/>
        </w:rPr>
        <w:t> </w:t>
      </w:r>
      <w:r>
        <w:rPr>
          <w:sz w:val="20"/>
        </w:rPr>
        <w:t>the</w:t>
      </w:r>
      <w:r>
        <w:rPr>
          <w:spacing w:val="64"/>
          <w:sz w:val="20"/>
        </w:rPr>
        <w:t> </w:t>
      </w:r>
      <w:r>
        <w:rPr>
          <w:sz w:val="20"/>
        </w:rPr>
        <w:t>history,</w:t>
      </w:r>
      <w:r>
        <w:rPr>
          <w:spacing w:val="64"/>
          <w:sz w:val="20"/>
        </w:rPr>
        <w:t> </w:t>
      </w:r>
      <w:r>
        <w:rPr>
          <w:sz w:val="20"/>
        </w:rPr>
        <w:t>see</w:t>
      </w:r>
      <w:r>
        <w:rPr>
          <w:spacing w:val="64"/>
          <w:sz w:val="20"/>
        </w:rPr>
        <w:t> </w:t>
      </w:r>
      <w:r>
        <w:rPr>
          <w:sz w:val="20"/>
        </w:rPr>
        <w:t>Plender</w:t>
      </w:r>
      <w:r>
        <w:rPr>
          <w:spacing w:val="64"/>
          <w:sz w:val="20"/>
        </w:rPr>
        <w:t> </w:t>
      </w:r>
      <w:r>
        <w:rPr>
          <w:sz w:val="20"/>
        </w:rPr>
        <w:t>and Wilderspin, </w:t>
      </w:r>
      <w:r>
        <w:rPr>
          <w:rFonts w:ascii="Arial"/>
          <w:i/>
          <w:sz w:val="20"/>
        </w:rPr>
        <w:t>The European Private International Law of Obligations</w:t>
      </w:r>
      <w:r>
        <w:rPr>
          <w:sz w:val="20"/>
        </w:rPr>
        <w:t>, 4th edn (2014), Ch.4.</w:t>
      </w:r>
    </w:p>
    <w:p>
      <w:pPr>
        <w:pStyle w:val="BodyText"/>
        <w:spacing w:before="5"/>
      </w:pPr>
    </w:p>
    <w:p>
      <w:pPr>
        <w:pStyle w:val="BodyText"/>
        <w:tabs>
          <w:tab w:pos="705" w:val="left" w:leader="none"/>
        </w:tabs>
        <w:ind w:left="165"/>
      </w:pPr>
      <w:bookmarkStart w:name="_bookmark1260" w:id="1262"/>
      <w:bookmarkEnd w:id="1262"/>
      <w:r>
        <w:rPr/>
      </w:r>
      <w:hyperlink w:history="true" w:anchor="_bookmark1187">
        <w:r>
          <w:rPr>
            <w:color w:val="005DA1"/>
            <w:spacing w:val="-4"/>
            <w:position w:val="5"/>
            <w:sz w:val="14"/>
            <w:u w:val="single" w:color="005DA1"/>
          </w:rPr>
          <w:t>625</w:t>
        </w:r>
      </w:hyperlink>
      <w:r>
        <w:rPr>
          <w:spacing w:val="-4"/>
          <w:position w:val="5"/>
          <w:sz w:val="14"/>
        </w:rPr>
        <w:t>.</w:t>
      </w:r>
      <w:r>
        <w:rPr>
          <w:position w:val="5"/>
          <w:sz w:val="14"/>
        </w:rPr>
        <w:tab/>
      </w:r>
      <w:r>
        <w:rPr/>
        <w:t>See, in particular, Treaty of Amsterdam </w:t>
      </w:r>
      <w:r>
        <w:rPr>
          <w:spacing w:val="-2"/>
        </w:rPr>
        <w:t>art.65B.</w:t>
      </w:r>
    </w:p>
    <w:p>
      <w:pPr>
        <w:pStyle w:val="BodyText"/>
        <w:spacing w:before="5"/>
      </w:pPr>
    </w:p>
    <w:p>
      <w:pPr>
        <w:pStyle w:val="BodyText"/>
        <w:tabs>
          <w:tab w:pos="705" w:val="left" w:leader="none"/>
        </w:tabs>
        <w:ind w:left="165"/>
      </w:pPr>
      <w:bookmarkStart w:name="_bookmark1261" w:id="1263"/>
      <w:bookmarkEnd w:id="1263"/>
      <w:r>
        <w:rPr/>
      </w:r>
      <w:hyperlink w:history="true" w:anchor="_bookmark1188">
        <w:r>
          <w:rPr>
            <w:color w:val="005DA1"/>
            <w:spacing w:val="-4"/>
            <w:position w:val="5"/>
            <w:sz w:val="14"/>
            <w:u w:val="single" w:color="005DA1"/>
          </w:rPr>
          <w:t>626</w:t>
        </w:r>
      </w:hyperlink>
      <w:r>
        <w:rPr>
          <w:spacing w:val="-4"/>
          <w:position w:val="5"/>
          <w:sz w:val="14"/>
        </w:rPr>
        <w:t>.</w:t>
      </w:r>
      <w:r>
        <w:rPr>
          <w:position w:val="5"/>
          <w:sz w:val="14"/>
        </w:rPr>
        <w:tab/>
      </w:r>
      <w:r>
        <w:rPr/>
        <w:t>Action Plan [1999] O.J. </w:t>
      </w:r>
      <w:r>
        <w:rPr>
          <w:spacing w:val="-2"/>
        </w:rPr>
        <w:t>C19/1.</w:t>
      </w:r>
    </w:p>
    <w:p>
      <w:pPr>
        <w:pStyle w:val="BodyText"/>
        <w:spacing w:before="9"/>
      </w:pPr>
    </w:p>
    <w:p>
      <w:pPr>
        <w:pStyle w:val="BodyText"/>
        <w:tabs>
          <w:tab w:pos="705" w:val="left" w:leader="none"/>
        </w:tabs>
        <w:spacing w:line="235" w:lineRule="auto"/>
        <w:ind w:left="705" w:right="168" w:hanging="541"/>
      </w:pPr>
      <w:bookmarkStart w:name="_bookmark1262" w:id="1264"/>
      <w:bookmarkEnd w:id="1264"/>
      <w:r>
        <w:rPr/>
      </w:r>
      <w:hyperlink w:history="true" w:anchor="_bookmark1189">
        <w:r>
          <w:rPr>
            <w:color w:val="005DA1"/>
            <w:spacing w:val="-4"/>
            <w:position w:val="5"/>
            <w:sz w:val="14"/>
            <w:u w:val="single" w:color="005DA1"/>
          </w:rPr>
          <w:t>627</w:t>
        </w:r>
      </w:hyperlink>
      <w:r>
        <w:rPr>
          <w:spacing w:val="-4"/>
          <w:position w:val="5"/>
          <w:sz w:val="14"/>
        </w:rPr>
        <w:t>.</w:t>
      </w:r>
      <w:r>
        <w:rPr>
          <w:position w:val="5"/>
          <w:sz w:val="14"/>
        </w:rPr>
        <w:tab/>
      </w:r>
      <w:r>
        <w:rPr/>
        <w:t>Green Paper COM(2002) 654final. See also the Opinion of the European Economic and Social Committee on the Green Paper [2004] O.J. C108/1.</w:t>
      </w:r>
    </w:p>
    <w:p>
      <w:pPr>
        <w:pStyle w:val="BodyText"/>
        <w:spacing w:before="9"/>
      </w:pPr>
    </w:p>
    <w:p>
      <w:pPr>
        <w:pStyle w:val="BodyText"/>
        <w:tabs>
          <w:tab w:pos="705" w:val="left" w:leader="none"/>
        </w:tabs>
        <w:spacing w:line="235" w:lineRule="auto"/>
        <w:ind w:left="705" w:right="168" w:hanging="541"/>
      </w:pPr>
      <w:bookmarkStart w:name="_bookmark1263" w:id="1265"/>
      <w:bookmarkEnd w:id="1265"/>
      <w:r>
        <w:rPr/>
      </w:r>
      <w:hyperlink w:history="true" w:anchor="_bookmark1190">
        <w:r>
          <w:rPr>
            <w:color w:val="005DA1"/>
            <w:spacing w:val="-4"/>
            <w:position w:val="5"/>
            <w:sz w:val="14"/>
            <w:u w:val="single" w:color="005DA1"/>
          </w:rPr>
          <w:t>628</w:t>
        </w:r>
      </w:hyperlink>
      <w:r>
        <w:rPr>
          <w:spacing w:val="-4"/>
          <w:position w:val="5"/>
          <w:sz w:val="14"/>
        </w:rPr>
        <w:t>.</w:t>
      </w:r>
      <w:r>
        <w:rPr>
          <w:position w:val="5"/>
          <w:sz w:val="14"/>
        </w:rPr>
        <w:tab/>
      </w:r>
      <w:r>
        <w:rPr/>
        <w:t>See also Communication from the Commission to the European Parliament and the Council: A More Coherent European Contract Law: An Action Plan COM(2003) 427 final.</w:t>
      </w:r>
    </w:p>
    <w:p>
      <w:pPr>
        <w:pStyle w:val="BodyText"/>
        <w:spacing w:before="6"/>
      </w:pPr>
    </w:p>
    <w:p>
      <w:pPr>
        <w:pStyle w:val="BodyText"/>
        <w:tabs>
          <w:tab w:pos="705" w:val="left" w:leader="none"/>
        </w:tabs>
        <w:ind w:left="165"/>
      </w:pPr>
      <w:bookmarkStart w:name="_bookmark1264" w:id="1266"/>
      <w:bookmarkEnd w:id="1266"/>
      <w:r>
        <w:rPr/>
      </w:r>
      <w:hyperlink w:history="true" w:anchor="_bookmark1191">
        <w:r>
          <w:rPr>
            <w:color w:val="005DA1"/>
            <w:spacing w:val="-4"/>
            <w:position w:val="5"/>
            <w:sz w:val="14"/>
            <w:u w:val="single" w:color="005DA1"/>
          </w:rPr>
          <w:t>629</w:t>
        </w:r>
      </w:hyperlink>
      <w:r>
        <w:rPr>
          <w:spacing w:val="-4"/>
          <w:position w:val="5"/>
          <w:sz w:val="14"/>
        </w:rPr>
        <w:t>.</w:t>
      </w:r>
      <w:r>
        <w:rPr>
          <w:position w:val="5"/>
          <w:sz w:val="14"/>
        </w:rPr>
        <w:tab/>
      </w:r>
      <w:r>
        <w:rPr/>
        <w:t>Hague Programme [2005] O.J. C53/1. See Recital 5 to the Rome I </w:t>
      </w:r>
      <w:r>
        <w:rPr>
          <w:spacing w:val="-2"/>
        </w:rPr>
        <w:t>Regulation.</w:t>
      </w:r>
    </w:p>
    <w:p>
      <w:pPr>
        <w:pStyle w:val="BodyText"/>
        <w:spacing w:before="9"/>
      </w:pPr>
    </w:p>
    <w:p>
      <w:pPr>
        <w:pStyle w:val="BodyText"/>
        <w:spacing w:line="235" w:lineRule="auto"/>
        <w:ind w:left="705" w:right="167" w:hanging="541"/>
        <w:jc w:val="both"/>
      </w:pPr>
      <w:bookmarkStart w:name="_bookmark1265" w:id="1267"/>
      <w:bookmarkEnd w:id="1267"/>
      <w:r>
        <w:rPr/>
      </w:r>
      <w:hyperlink w:history="true" w:anchor="_bookmark1192">
        <w:r>
          <w:rPr>
            <w:color w:val="005DA1"/>
            <w:position w:val="5"/>
            <w:sz w:val="14"/>
            <w:u w:val="single" w:color="005DA1"/>
          </w:rPr>
          <w:t>630</w:t>
        </w:r>
      </w:hyperlink>
      <w:r>
        <w:rPr>
          <w:position w:val="5"/>
          <w:sz w:val="14"/>
        </w:rPr>
        <w:t>.</w:t>
      </w:r>
      <w:r>
        <w:rPr>
          <w:spacing w:val="40"/>
          <w:position w:val="5"/>
          <w:sz w:val="14"/>
        </w:rPr>
        <w:t>  </w:t>
      </w:r>
      <w:r>
        <w:rPr/>
        <w:t>Proposal for a Regulation of the European Parliament and the Council on the law applicable </w:t>
      </w:r>
      <w:r>
        <w:rPr/>
        <w:t>to contractual obligations (Rome I) COM(2005) 650 final. For discussion of the Proposal, see Lando and Nielsen (2007) 3 J. Priv. Int. L. 89 and the Comments of the Max Planck Institute for Comparative and International Private Law in (2007) 71 Rabels Zeitschrift 225.</w:t>
      </w:r>
    </w:p>
    <w:p>
      <w:pPr>
        <w:pStyle w:val="BodyText"/>
        <w:spacing w:before="4"/>
      </w:pPr>
    </w:p>
    <w:p>
      <w:pPr>
        <w:pStyle w:val="BodyText"/>
        <w:tabs>
          <w:tab w:pos="705" w:val="left" w:leader="none"/>
        </w:tabs>
        <w:spacing w:before="1"/>
        <w:ind w:left="165"/>
      </w:pPr>
      <w:bookmarkStart w:name="_bookmark1266" w:id="1268"/>
      <w:bookmarkEnd w:id="1268"/>
      <w:r>
        <w:rPr/>
      </w:r>
      <w:hyperlink w:history="true" w:anchor="_bookmark1193">
        <w:r>
          <w:rPr>
            <w:color w:val="005DA1"/>
            <w:spacing w:val="-4"/>
            <w:position w:val="5"/>
            <w:sz w:val="14"/>
            <w:u w:val="single" w:color="005DA1"/>
          </w:rPr>
          <w:t>631</w:t>
        </w:r>
      </w:hyperlink>
      <w:r>
        <w:rPr>
          <w:spacing w:val="-4"/>
          <w:position w:val="5"/>
          <w:sz w:val="14"/>
        </w:rPr>
        <w:t>.</w:t>
      </w:r>
      <w:r>
        <w:rPr>
          <w:position w:val="5"/>
          <w:sz w:val="14"/>
        </w:rPr>
        <w:tab/>
      </w:r>
      <w:r>
        <w:rPr/>
        <w:t>Rome I [2008] O.J. </w:t>
      </w:r>
      <w:r>
        <w:rPr>
          <w:spacing w:val="-2"/>
        </w:rPr>
        <w:t>L177/6.</w:t>
      </w:r>
    </w:p>
    <w:p>
      <w:pPr>
        <w:pStyle w:val="BodyText"/>
        <w:spacing w:before="4"/>
      </w:pPr>
    </w:p>
    <w:p>
      <w:pPr>
        <w:tabs>
          <w:tab w:pos="705" w:val="left" w:leader="none"/>
        </w:tabs>
        <w:spacing w:before="1"/>
        <w:ind w:left="165" w:right="0" w:firstLine="0"/>
        <w:jc w:val="left"/>
        <w:rPr>
          <w:sz w:val="20"/>
        </w:rPr>
      </w:pPr>
      <w:bookmarkStart w:name="_bookmark1267" w:id="1269"/>
      <w:bookmarkEnd w:id="1269"/>
      <w:r>
        <w:rPr/>
      </w:r>
      <w:hyperlink w:history="true" w:anchor="_bookmark1194">
        <w:r>
          <w:rPr>
            <w:color w:val="005DA1"/>
            <w:spacing w:val="-4"/>
            <w:position w:val="5"/>
            <w:sz w:val="14"/>
            <w:u w:val="single" w:color="005DA1"/>
          </w:rPr>
          <w:t>632</w:t>
        </w:r>
      </w:hyperlink>
      <w:r>
        <w:rPr>
          <w:spacing w:val="-4"/>
          <w:position w:val="5"/>
          <w:sz w:val="14"/>
        </w:rPr>
        <w:t>.</w:t>
      </w:r>
      <w:r>
        <w:rPr>
          <w:position w:val="5"/>
          <w:sz w:val="14"/>
        </w:rPr>
        <w:tab/>
      </w:r>
      <w:r>
        <w:rPr>
          <w:sz w:val="20"/>
        </w:rPr>
        <w:t>Rome I </w:t>
      </w:r>
      <w:r>
        <w:rPr>
          <w:spacing w:val="-2"/>
          <w:sz w:val="20"/>
        </w:rPr>
        <w:t>art.29.</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2704">
            <wp:simplePos x="0" y="0"/>
            <wp:positionH relativeFrom="page">
              <wp:posOffset>1257846</wp:posOffset>
            </wp:positionH>
            <wp:positionV relativeFrom="paragraph">
              <wp:posOffset>160576</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68" w:id="1270"/>
      <w:bookmarkEnd w:id="1270"/>
      <w:r>
        <w:rPr/>
      </w:r>
      <w:hyperlink w:history="true" w:anchor="_bookmark1195">
        <w:r>
          <w:rPr>
            <w:color w:val="005DA1"/>
            <w:spacing w:val="-4"/>
            <w:sz w:val="14"/>
            <w:u w:val="single" w:color="005DA1"/>
          </w:rPr>
          <w:t>633</w:t>
        </w:r>
      </w:hyperlink>
      <w:r>
        <w:rPr>
          <w:spacing w:val="-4"/>
          <w:sz w:val="14"/>
        </w:rPr>
        <w:t>.</w:t>
      </w:r>
    </w:p>
    <w:p>
      <w:pPr>
        <w:pStyle w:val="BodyText"/>
        <w:spacing w:line="235" w:lineRule="auto" w:before="212"/>
        <w:ind w:left="165" w:right="167" w:firstLine="170"/>
        <w:jc w:val="both"/>
      </w:pPr>
      <w:r>
        <w:rPr/>
        <w:br w:type="column"/>
      </w:r>
      <w:r>
        <w:rPr/>
        <w:t>Rome I arts 28 and 29. A contract entered into before December 17, 2009 is not brought within the scope of the Rome I Regulation because it is amended or varied after that </w:t>
      </w:r>
      <w:r>
        <w:rPr/>
        <w:t>date</w:t>
      </w:r>
      <w:r>
        <w:rPr>
          <w:spacing w:val="40"/>
        </w:rPr>
        <w:t> </w:t>
      </w:r>
      <w:r>
        <w:rPr/>
        <w:t>unless it is a variation of such magnitude that a new contract must be regarded as having been concluded: </w:t>
      </w:r>
      <w:r>
        <w:rPr>
          <w:rFonts w:ascii="Arial"/>
          <w:i/>
        </w:rPr>
        <w:t>Greece v Nikiforidis (C-135/15) [2017] I.C.R. 147 </w:t>
      </w:r>
      <w:r>
        <w:rPr/>
        <w:t>at [39].</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pPr>
    </w:p>
    <w:p>
      <w:pPr>
        <w:pStyle w:val="BodyText"/>
        <w:spacing w:line="235" w:lineRule="auto"/>
        <w:ind w:left="705" w:right="167" w:hanging="541"/>
        <w:jc w:val="both"/>
      </w:pPr>
      <w:bookmarkStart w:name="_bookmark1269" w:id="1271"/>
      <w:bookmarkEnd w:id="1271"/>
      <w:r>
        <w:rPr/>
      </w:r>
      <w:hyperlink w:history="true" w:anchor="_bookmark1196">
        <w:r>
          <w:rPr>
            <w:color w:val="005DA1"/>
            <w:position w:val="5"/>
            <w:sz w:val="14"/>
            <w:u w:val="single" w:color="005DA1"/>
          </w:rPr>
          <w:t>634</w:t>
        </w:r>
      </w:hyperlink>
      <w:r>
        <w:rPr>
          <w:position w:val="5"/>
          <w:sz w:val="14"/>
        </w:rPr>
        <w:t>.</w:t>
      </w:r>
      <w:r>
        <w:rPr>
          <w:spacing w:val="40"/>
          <w:position w:val="5"/>
          <w:sz w:val="14"/>
        </w:rPr>
        <w:t>  </w:t>
      </w:r>
      <w:r>
        <w:rPr/>
        <w:t>But see Rome I art.22(2). Legislation to deal with the application of the Regulation in respect of conflicts between the laws of the component parts of the United Kingdom is contained in SI 2009/3064 (England and Wales and Northern Ireland) and in SSI 2009/410 (Scotland). As </w:t>
      </w:r>
      <w:r>
        <w:rPr/>
        <w:t>to insurance contracts, see SI 2009/3075.</w:t>
      </w:r>
    </w:p>
    <w:p>
      <w:pPr>
        <w:pStyle w:val="BodyText"/>
        <w:spacing w:before="4"/>
      </w:pPr>
    </w:p>
    <w:p>
      <w:pPr>
        <w:pStyle w:val="BodyText"/>
        <w:tabs>
          <w:tab w:pos="705" w:val="left" w:leader="none"/>
        </w:tabs>
        <w:spacing w:before="1"/>
        <w:ind w:left="165"/>
      </w:pPr>
      <w:bookmarkStart w:name="_bookmark1270" w:id="1272"/>
      <w:bookmarkEnd w:id="1272"/>
      <w:r>
        <w:rPr/>
      </w:r>
      <w:hyperlink w:history="true" w:anchor="_bookmark1197">
        <w:r>
          <w:rPr>
            <w:color w:val="005DA1"/>
            <w:spacing w:val="-4"/>
            <w:position w:val="5"/>
            <w:sz w:val="14"/>
            <w:u w:val="single" w:color="005DA1"/>
          </w:rPr>
          <w:t>635</w:t>
        </w:r>
      </w:hyperlink>
      <w:r>
        <w:rPr>
          <w:spacing w:val="-4"/>
          <w:position w:val="5"/>
          <w:sz w:val="14"/>
        </w:rPr>
        <w:t>.</w:t>
      </w:r>
      <w:r>
        <w:rPr>
          <w:position w:val="5"/>
          <w:sz w:val="14"/>
        </w:rPr>
        <w:tab/>
      </w:r>
      <w:r>
        <w:rPr/>
        <w:t>See Recital 18 to the Commission Proposal. See Recital 45 to the </w:t>
      </w:r>
      <w:r>
        <w:rPr>
          <w:spacing w:val="-2"/>
        </w:rPr>
        <w:t>Regulation.</w:t>
      </w:r>
    </w:p>
    <w:p>
      <w:pPr>
        <w:pStyle w:val="BodyText"/>
        <w:spacing w:before="8"/>
      </w:pPr>
    </w:p>
    <w:p>
      <w:pPr>
        <w:pStyle w:val="BodyText"/>
        <w:spacing w:line="235" w:lineRule="auto"/>
        <w:ind w:left="705" w:right="167" w:hanging="541"/>
        <w:jc w:val="both"/>
      </w:pPr>
      <w:bookmarkStart w:name="_bookmark1271" w:id="1273"/>
      <w:bookmarkEnd w:id="1273"/>
      <w:r>
        <w:rPr/>
      </w:r>
      <w:hyperlink w:history="true" w:anchor="_bookmark1198">
        <w:r>
          <w:rPr>
            <w:color w:val="005DA1"/>
            <w:position w:val="5"/>
            <w:sz w:val="14"/>
            <w:u w:val="single" w:color="005DA1"/>
          </w:rPr>
          <w:t>636</w:t>
        </w:r>
      </w:hyperlink>
      <w:r>
        <w:rPr>
          <w:position w:val="5"/>
          <w:sz w:val="14"/>
        </w:rPr>
        <w:t>.</w:t>
      </w:r>
      <w:r>
        <w:rPr>
          <w:spacing w:val="80"/>
          <w:position w:val="5"/>
          <w:sz w:val="14"/>
        </w:rPr>
        <w:t> </w:t>
      </w:r>
      <w:r>
        <w:rPr/>
        <w:t>See Council of the European Union, Press Release, 11653/08 (Presse 205), p.26. This will, presumably, require amendment to Recital 45 to the Regulation. The decision was taken after consultation, based on Ministry of Justice, Consultation Paper: Rome I—Should the UK opt in? (April, 2008). Denmark did not take part in the adoption of the Regulation and is not bound by it or subject to its application: Recital 46 to the Regulation. Ireland did participate in the adoption of the Regulation: Recital 44.</w:t>
      </w:r>
    </w:p>
    <w:p>
      <w:pPr>
        <w:pStyle w:val="BodyText"/>
        <w:spacing w:before="8"/>
      </w:pPr>
    </w:p>
    <w:p>
      <w:pPr>
        <w:pStyle w:val="BodyText"/>
        <w:spacing w:line="235" w:lineRule="auto"/>
        <w:ind w:left="705" w:right="167" w:hanging="541"/>
        <w:jc w:val="both"/>
      </w:pPr>
      <w:bookmarkStart w:name="_bookmark1272" w:id="1274"/>
      <w:bookmarkEnd w:id="1274"/>
      <w:r>
        <w:rPr/>
      </w:r>
      <w:hyperlink w:history="true" w:anchor="_bookmark1198">
        <w:r>
          <w:rPr>
            <w:color w:val="005DA1"/>
            <w:position w:val="5"/>
            <w:sz w:val="14"/>
            <w:u w:val="single" w:color="005DA1"/>
          </w:rPr>
          <w:t>637</w:t>
        </w:r>
      </w:hyperlink>
      <w:r>
        <w:rPr>
          <w:position w:val="5"/>
          <w:sz w:val="14"/>
        </w:rPr>
        <w:t>.</w:t>
      </w:r>
      <w:r>
        <w:rPr>
          <w:spacing w:val="40"/>
          <w:position w:val="5"/>
          <w:sz w:val="14"/>
        </w:rPr>
        <w:t>  </w:t>
      </w:r>
      <w:r>
        <w:rPr/>
        <w:t>See Commission Decision of December 22, 2008 on the request of the United Kingdom </w:t>
      </w:r>
      <w:r>
        <w:rPr/>
        <w:t>to</w:t>
      </w:r>
      <w:r>
        <w:rPr>
          <w:spacing w:val="40"/>
        </w:rPr>
        <w:t> </w:t>
      </w:r>
      <w:r>
        <w:rPr/>
        <w:t>accept Regulation (EC) of the European Parliament and of the Council on the law applicable to contractual obligations (Rome I) [2009] O.J. L10/22.</w:t>
      </w:r>
    </w:p>
    <w:p>
      <w:pPr>
        <w:pStyle w:val="BodyText"/>
        <w:spacing w:after="0" w:line="235" w:lineRule="auto"/>
        <w:jc w:val="both"/>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1199">
        <w:r>
          <w:rPr>
            <w:color w:val="005DA1"/>
            <w:spacing w:val="-4"/>
            <w:position w:val="5"/>
            <w:sz w:val="14"/>
            <w:u w:val="single" w:color="005DA1"/>
          </w:rPr>
          <w:t>638</w:t>
        </w:r>
      </w:hyperlink>
      <w:r>
        <w:rPr>
          <w:spacing w:val="-4"/>
          <w:position w:val="5"/>
          <w:sz w:val="14"/>
        </w:rPr>
        <w:t>.</w:t>
      </w:r>
      <w:r>
        <w:rPr>
          <w:position w:val="5"/>
          <w:sz w:val="14"/>
        </w:rPr>
        <w:tab/>
      </w:r>
      <w:r>
        <w:rPr/>
        <w:t>See Preamble to the </w:t>
      </w:r>
      <w:r>
        <w:rPr>
          <w:spacing w:val="-2"/>
        </w:rPr>
        <w:t>Regulation.</w:t>
      </w:r>
    </w:p>
    <w:p>
      <w:pPr>
        <w:pStyle w:val="BodyText"/>
        <w:spacing w:before="5"/>
      </w:pPr>
    </w:p>
    <w:p>
      <w:pPr>
        <w:pStyle w:val="BodyText"/>
        <w:tabs>
          <w:tab w:pos="705" w:val="left" w:leader="none"/>
        </w:tabs>
        <w:spacing w:before="1"/>
        <w:ind w:left="165"/>
      </w:pPr>
      <w:bookmarkStart w:name="_bookmark1273" w:id="1275"/>
      <w:bookmarkEnd w:id="1275"/>
      <w:r>
        <w:rPr/>
      </w:r>
      <w:hyperlink w:history="true" w:anchor="_bookmark1200">
        <w:r>
          <w:rPr>
            <w:color w:val="005DA1"/>
            <w:spacing w:val="-4"/>
            <w:position w:val="5"/>
            <w:sz w:val="14"/>
            <w:u w:val="single" w:color="005DA1"/>
          </w:rPr>
          <w:t>639</w:t>
        </w:r>
      </w:hyperlink>
      <w:r>
        <w:rPr>
          <w:spacing w:val="-4"/>
          <w:position w:val="5"/>
          <w:sz w:val="14"/>
        </w:rPr>
        <w:t>.</w:t>
      </w:r>
      <w:r>
        <w:rPr>
          <w:position w:val="5"/>
          <w:sz w:val="14"/>
        </w:rPr>
        <w:tab/>
      </w:r>
      <w:r>
        <w:rPr/>
        <w:t>See Recital 1 to the </w:t>
      </w:r>
      <w:r>
        <w:rPr>
          <w:spacing w:val="-2"/>
        </w:rPr>
        <w:t>Regulation.</w:t>
      </w:r>
    </w:p>
    <w:p>
      <w:pPr>
        <w:pStyle w:val="BodyText"/>
        <w:spacing w:before="4"/>
      </w:pPr>
    </w:p>
    <w:p>
      <w:pPr>
        <w:pStyle w:val="BodyText"/>
        <w:tabs>
          <w:tab w:pos="705" w:val="left" w:leader="none"/>
        </w:tabs>
        <w:spacing w:before="1"/>
        <w:ind w:left="165"/>
      </w:pPr>
      <w:bookmarkStart w:name="_bookmark1274" w:id="1276"/>
      <w:bookmarkEnd w:id="1276"/>
      <w:r>
        <w:rPr/>
      </w:r>
      <w:hyperlink w:history="true" w:anchor="_bookmark1201">
        <w:r>
          <w:rPr>
            <w:color w:val="005DA1"/>
            <w:spacing w:val="-4"/>
            <w:position w:val="5"/>
            <w:sz w:val="14"/>
            <w:u w:val="single" w:color="005DA1"/>
          </w:rPr>
          <w:t>640</w:t>
        </w:r>
      </w:hyperlink>
      <w:r>
        <w:rPr>
          <w:spacing w:val="-4"/>
          <w:position w:val="5"/>
          <w:sz w:val="14"/>
        </w:rPr>
        <w:t>.</w:t>
      </w:r>
      <w:r>
        <w:rPr>
          <w:position w:val="5"/>
          <w:sz w:val="14"/>
        </w:rPr>
        <w:tab/>
      </w:r>
      <w:r>
        <w:rPr/>
        <w:t>See Recitals 1 and 6 to the </w:t>
      </w:r>
      <w:r>
        <w:rPr>
          <w:spacing w:val="-2"/>
        </w:rPr>
        <w:t>Regulation.</w:t>
      </w:r>
    </w:p>
    <w:p>
      <w:pPr>
        <w:pStyle w:val="BodyText"/>
        <w:spacing w:before="4"/>
      </w:pPr>
    </w:p>
    <w:p>
      <w:pPr>
        <w:pStyle w:val="BodyText"/>
        <w:tabs>
          <w:tab w:pos="705" w:val="left" w:leader="none"/>
        </w:tabs>
        <w:spacing w:before="1"/>
        <w:ind w:left="165"/>
      </w:pPr>
      <w:bookmarkStart w:name="_bookmark1275" w:id="1277"/>
      <w:bookmarkEnd w:id="1277"/>
      <w:r>
        <w:rPr/>
      </w:r>
      <w:hyperlink w:history="true" w:anchor="_bookmark1202">
        <w:r>
          <w:rPr>
            <w:color w:val="005DA1"/>
            <w:spacing w:val="-4"/>
            <w:position w:val="5"/>
            <w:sz w:val="14"/>
            <w:u w:val="single" w:color="005DA1"/>
          </w:rPr>
          <w:t>641</w:t>
        </w:r>
      </w:hyperlink>
      <w:r>
        <w:rPr>
          <w:spacing w:val="-4"/>
          <w:position w:val="5"/>
          <w:sz w:val="14"/>
        </w:rPr>
        <w:t>.</w:t>
      </w:r>
      <w:r>
        <w:rPr>
          <w:position w:val="5"/>
          <w:sz w:val="14"/>
        </w:rPr>
        <w:tab/>
      </w:r>
      <w:r>
        <w:rPr/>
        <w:t>See Recital 2 to the </w:t>
      </w:r>
      <w:r>
        <w:rPr>
          <w:spacing w:val="-2"/>
        </w:rPr>
        <w:t>Regulation.</w:t>
      </w:r>
    </w:p>
    <w:p>
      <w:pPr>
        <w:pStyle w:val="BodyText"/>
        <w:spacing w:before="4"/>
      </w:pPr>
    </w:p>
    <w:p>
      <w:pPr>
        <w:pStyle w:val="BodyText"/>
        <w:tabs>
          <w:tab w:pos="705" w:val="left" w:leader="none"/>
        </w:tabs>
        <w:spacing w:before="1"/>
        <w:ind w:left="165"/>
      </w:pPr>
      <w:bookmarkStart w:name="_bookmark1276" w:id="1278"/>
      <w:bookmarkEnd w:id="1278"/>
      <w:r>
        <w:rPr/>
      </w:r>
      <w:hyperlink w:history="true" w:anchor="_bookmark1203">
        <w:r>
          <w:rPr>
            <w:color w:val="005DA1"/>
            <w:spacing w:val="-4"/>
            <w:position w:val="5"/>
            <w:sz w:val="14"/>
            <w:u w:val="single" w:color="005DA1"/>
          </w:rPr>
          <w:t>642</w:t>
        </w:r>
      </w:hyperlink>
      <w:r>
        <w:rPr>
          <w:spacing w:val="-4"/>
          <w:position w:val="5"/>
          <w:sz w:val="14"/>
        </w:rPr>
        <w:t>.</w:t>
      </w:r>
      <w:r>
        <w:rPr>
          <w:position w:val="5"/>
          <w:sz w:val="14"/>
        </w:rPr>
        <w:tab/>
      </w:r>
      <w:r>
        <w:rPr/>
        <w:t>See also Recitals 3 and 4 to the </w:t>
      </w:r>
      <w:r>
        <w:rPr>
          <w:spacing w:val="-2"/>
        </w:rPr>
        <w:t>Regulation.</w:t>
      </w:r>
    </w:p>
    <w:p>
      <w:pPr>
        <w:pStyle w:val="BodyText"/>
        <w:spacing w:before="8"/>
      </w:pPr>
    </w:p>
    <w:p>
      <w:pPr>
        <w:spacing w:line="235" w:lineRule="auto" w:before="0"/>
        <w:ind w:left="705" w:right="167" w:hanging="541"/>
        <w:jc w:val="both"/>
        <w:rPr>
          <w:sz w:val="20"/>
        </w:rPr>
      </w:pPr>
      <w:bookmarkStart w:name="_bookmark1277" w:id="1279"/>
      <w:bookmarkEnd w:id="1279"/>
      <w:r>
        <w:rPr/>
      </w:r>
      <w:hyperlink w:history="true" w:anchor="_bookmark1204">
        <w:r>
          <w:rPr>
            <w:color w:val="005DA1"/>
            <w:position w:val="5"/>
            <w:sz w:val="14"/>
            <w:u w:val="single" w:color="005DA1"/>
          </w:rPr>
          <w:t>643</w:t>
        </w:r>
      </w:hyperlink>
      <w:r>
        <w:rPr>
          <w:position w:val="5"/>
          <w:sz w:val="14"/>
        </w:rPr>
        <w:t>.</w:t>
      </w:r>
      <w:r>
        <w:rPr>
          <w:spacing w:val="80"/>
          <w:position w:val="5"/>
          <w:sz w:val="14"/>
        </w:rPr>
        <w:t>  </w:t>
      </w:r>
      <w:r>
        <w:rPr>
          <w:sz w:val="20"/>
        </w:rPr>
        <w:t>See for discussion, Dicey, Morris and Collins on the Conflict of Laws, 15th edn (2012), Chs 32 and 33; Fentiman, </w:t>
      </w:r>
      <w:r>
        <w:rPr>
          <w:rFonts w:ascii="Arial"/>
          <w:i/>
          <w:sz w:val="20"/>
        </w:rPr>
        <w:t>International Commercial Litigation</w:t>
      </w:r>
      <w:r>
        <w:rPr>
          <w:sz w:val="20"/>
        </w:rPr>
        <w:t>, 2nd edn (2015), Chs 4-6; Plender and Wilderspin, </w:t>
      </w:r>
      <w:r>
        <w:rPr>
          <w:rFonts w:ascii="Arial"/>
          <w:i/>
          <w:sz w:val="20"/>
        </w:rPr>
        <w:t>The Private International Law of Obligations</w:t>
      </w:r>
      <w:r>
        <w:rPr>
          <w:sz w:val="20"/>
        </w:rPr>
        <w:t>, 4th edn (2015), Chs 4-15; Cheshire, North and Fawcett, </w:t>
      </w:r>
      <w:r>
        <w:rPr>
          <w:rFonts w:ascii="Arial"/>
          <w:i/>
          <w:sz w:val="20"/>
        </w:rPr>
        <w:t>Private International Law</w:t>
      </w:r>
      <w:r>
        <w:rPr>
          <w:sz w:val="20"/>
        </w:rPr>
        <w:t>, 14th edn (2008), Ch.18; Merrett, </w:t>
      </w:r>
      <w:r>
        <w:rPr>
          <w:rFonts w:ascii="Arial"/>
          <w:i/>
          <w:sz w:val="20"/>
        </w:rPr>
        <w:t>Employment Contracts in Private International Law </w:t>
      </w:r>
      <w:r>
        <w:rPr>
          <w:sz w:val="20"/>
        </w:rPr>
        <w:t>(2011); Tang, Electronic Consumer Contracts in the Conflict of Laws (2009); Hill, </w:t>
      </w:r>
      <w:r>
        <w:rPr>
          <w:rFonts w:ascii="Arial"/>
          <w:i/>
          <w:sz w:val="20"/>
        </w:rPr>
        <w:t>Cross-Border Consumer Contracts </w:t>
      </w:r>
      <w:r>
        <w:rPr>
          <w:sz w:val="20"/>
        </w:rPr>
        <w:t>(2008); Leible and Ferrari, </w:t>
      </w:r>
      <w:r>
        <w:rPr>
          <w:rFonts w:ascii="Arial"/>
          <w:i/>
          <w:sz w:val="20"/>
        </w:rPr>
        <w:t>The Rome I Regulation: the Law Applicable to Contractual Obligations in Europe </w:t>
      </w:r>
      <w:r>
        <w:rPr>
          <w:sz w:val="20"/>
        </w:rPr>
        <w:t>(2009); Bonomi (2008)</w:t>
      </w:r>
      <w:r>
        <w:rPr>
          <w:spacing w:val="4"/>
          <w:sz w:val="20"/>
        </w:rPr>
        <w:t> </w:t>
      </w:r>
      <w:r>
        <w:rPr>
          <w:sz w:val="20"/>
        </w:rPr>
        <w:t>10</w:t>
      </w:r>
      <w:r>
        <w:rPr>
          <w:spacing w:val="4"/>
          <w:sz w:val="20"/>
        </w:rPr>
        <w:t> </w:t>
      </w:r>
      <w:r>
        <w:rPr>
          <w:sz w:val="20"/>
        </w:rPr>
        <w:t>Yb.</w:t>
      </w:r>
      <w:r>
        <w:rPr>
          <w:spacing w:val="4"/>
          <w:sz w:val="20"/>
        </w:rPr>
        <w:t> </w:t>
      </w:r>
      <w:r>
        <w:rPr>
          <w:sz w:val="20"/>
        </w:rPr>
        <w:t>P.I.L.</w:t>
      </w:r>
      <w:r>
        <w:rPr>
          <w:spacing w:val="4"/>
          <w:sz w:val="20"/>
        </w:rPr>
        <w:t> </w:t>
      </w:r>
      <w:r>
        <w:rPr>
          <w:sz w:val="20"/>
        </w:rPr>
        <w:t>165;</w:t>
      </w:r>
      <w:r>
        <w:rPr>
          <w:spacing w:val="4"/>
          <w:sz w:val="20"/>
        </w:rPr>
        <w:t> </w:t>
      </w:r>
      <w:r>
        <w:rPr>
          <w:sz w:val="20"/>
        </w:rPr>
        <w:t>Lein</w:t>
      </w:r>
      <w:r>
        <w:rPr>
          <w:spacing w:val="4"/>
          <w:sz w:val="20"/>
        </w:rPr>
        <w:t> </w:t>
      </w:r>
      <w:r>
        <w:rPr>
          <w:sz w:val="20"/>
        </w:rPr>
        <w:t>(2008)</w:t>
      </w:r>
      <w:r>
        <w:rPr>
          <w:spacing w:val="4"/>
          <w:sz w:val="20"/>
        </w:rPr>
        <w:t> </w:t>
      </w:r>
      <w:r>
        <w:rPr>
          <w:sz w:val="20"/>
        </w:rPr>
        <w:t>10</w:t>
      </w:r>
      <w:r>
        <w:rPr>
          <w:spacing w:val="4"/>
          <w:sz w:val="20"/>
        </w:rPr>
        <w:t> </w:t>
      </w:r>
      <w:r>
        <w:rPr>
          <w:sz w:val="20"/>
        </w:rPr>
        <w:t>Yb.</w:t>
      </w:r>
      <w:r>
        <w:rPr>
          <w:spacing w:val="4"/>
          <w:sz w:val="20"/>
        </w:rPr>
        <w:t> </w:t>
      </w:r>
      <w:r>
        <w:rPr>
          <w:sz w:val="20"/>
        </w:rPr>
        <w:t>P.I.L.</w:t>
      </w:r>
      <w:r>
        <w:rPr>
          <w:spacing w:val="4"/>
          <w:sz w:val="20"/>
        </w:rPr>
        <w:t> </w:t>
      </w:r>
      <w:r>
        <w:rPr>
          <w:sz w:val="20"/>
        </w:rPr>
        <w:t>177;</w:t>
      </w:r>
      <w:r>
        <w:rPr>
          <w:spacing w:val="4"/>
          <w:sz w:val="20"/>
        </w:rPr>
        <w:t> </w:t>
      </w:r>
      <w:r>
        <w:rPr>
          <w:sz w:val="20"/>
        </w:rPr>
        <w:t>Asensio</w:t>
      </w:r>
      <w:r>
        <w:rPr>
          <w:spacing w:val="4"/>
          <w:sz w:val="20"/>
        </w:rPr>
        <w:t> </w:t>
      </w:r>
      <w:r>
        <w:rPr>
          <w:sz w:val="20"/>
        </w:rPr>
        <w:t>(2008)</w:t>
      </w:r>
      <w:r>
        <w:rPr>
          <w:spacing w:val="4"/>
          <w:sz w:val="20"/>
        </w:rPr>
        <w:t> </w:t>
      </w:r>
      <w:r>
        <w:rPr>
          <w:sz w:val="20"/>
        </w:rPr>
        <w:t>10</w:t>
      </w:r>
      <w:r>
        <w:rPr>
          <w:spacing w:val="4"/>
          <w:sz w:val="20"/>
        </w:rPr>
        <w:t> </w:t>
      </w:r>
      <w:r>
        <w:rPr>
          <w:sz w:val="20"/>
        </w:rPr>
        <w:t>Yb.</w:t>
      </w:r>
      <w:r>
        <w:rPr>
          <w:spacing w:val="4"/>
          <w:sz w:val="20"/>
        </w:rPr>
        <w:t> </w:t>
      </w:r>
      <w:r>
        <w:rPr>
          <w:sz w:val="20"/>
        </w:rPr>
        <w:t>P.I.L.</w:t>
      </w:r>
      <w:r>
        <w:rPr>
          <w:spacing w:val="4"/>
          <w:sz w:val="20"/>
        </w:rPr>
        <w:t> </w:t>
      </w:r>
      <w:r>
        <w:rPr>
          <w:sz w:val="20"/>
        </w:rPr>
        <w:t>199;</w:t>
      </w:r>
      <w:r>
        <w:rPr>
          <w:spacing w:val="4"/>
          <w:sz w:val="20"/>
        </w:rPr>
        <w:t> </w:t>
      </w:r>
      <w:r>
        <w:rPr>
          <w:spacing w:val="-2"/>
          <w:sz w:val="20"/>
        </w:rPr>
        <w:t>Ancel</w:t>
      </w:r>
    </w:p>
    <w:p>
      <w:pPr>
        <w:pStyle w:val="BodyText"/>
        <w:spacing w:line="221" w:lineRule="exact"/>
        <w:ind w:left="705"/>
        <w:jc w:val="both"/>
      </w:pPr>
      <w:r>
        <w:rPr/>
        <w:t>(2008)</w:t>
      </w:r>
      <w:r>
        <w:rPr>
          <w:spacing w:val="9"/>
        </w:rPr>
        <w:t> </w:t>
      </w:r>
      <w:r>
        <w:rPr/>
        <w:t>10</w:t>
      </w:r>
      <w:r>
        <w:rPr>
          <w:spacing w:val="9"/>
        </w:rPr>
        <w:t> </w:t>
      </w:r>
      <w:r>
        <w:rPr/>
        <w:t>Yb.</w:t>
      </w:r>
      <w:r>
        <w:rPr>
          <w:spacing w:val="9"/>
        </w:rPr>
        <w:t> </w:t>
      </w:r>
      <w:r>
        <w:rPr/>
        <w:t>P.I.L.</w:t>
      </w:r>
      <w:r>
        <w:rPr>
          <w:spacing w:val="9"/>
        </w:rPr>
        <w:t> </w:t>
      </w:r>
      <w:r>
        <w:rPr/>
        <w:t>221;</w:t>
      </w:r>
      <w:r>
        <w:rPr>
          <w:spacing w:val="9"/>
        </w:rPr>
        <w:t> </w:t>
      </w:r>
      <w:r>
        <w:rPr/>
        <w:t>Guiterrez</w:t>
      </w:r>
      <w:r>
        <w:rPr>
          <w:spacing w:val="9"/>
        </w:rPr>
        <w:t> </w:t>
      </w:r>
      <w:r>
        <w:rPr/>
        <w:t>(2008)</w:t>
      </w:r>
      <w:r>
        <w:rPr>
          <w:spacing w:val="9"/>
        </w:rPr>
        <w:t> </w:t>
      </w:r>
      <w:r>
        <w:rPr/>
        <w:t>10</w:t>
      </w:r>
      <w:r>
        <w:rPr>
          <w:spacing w:val="9"/>
        </w:rPr>
        <w:t> </w:t>
      </w:r>
      <w:r>
        <w:rPr/>
        <w:t>Yb.</w:t>
      </w:r>
      <w:r>
        <w:rPr>
          <w:spacing w:val="9"/>
        </w:rPr>
        <w:t> </w:t>
      </w:r>
      <w:r>
        <w:rPr/>
        <w:t>P.I.L.</w:t>
      </w:r>
      <w:r>
        <w:rPr>
          <w:spacing w:val="9"/>
        </w:rPr>
        <w:t> </w:t>
      </w:r>
      <w:r>
        <w:rPr/>
        <w:t>233;</w:t>
      </w:r>
      <w:r>
        <w:rPr>
          <w:spacing w:val="9"/>
        </w:rPr>
        <w:t> </w:t>
      </w:r>
      <w:r>
        <w:rPr/>
        <w:t>Garcimartin</w:t>
      </w:r>
      <w:r>
        <w:rPr>
          <w:spacing w:val="9"/>
        </w:rPr>
        <w:t> </w:t>
      </w:r>
      <w:r>
        <w:rPr/>
        <w:t>Alferez</w:t>
      </w:r>
      <w:r>
        <w:rPr>
          <w:spacing w:val="9"/>
        </w:rPr>
        <w:t> </w:t>
      </w:r>
      <w:r>
        <w:rPr/>
        <w:t>(2008)</w:t>
      </w:r>
      <w:r>
        <w:rPr>
          <w:spacing w:val="9"/>
        </w:rPr>
        <w:t> </w:t>
      </w:r>
      <w:r>
        <w:rPr/>
        <w:t>10</w:t>
      </w:r>
      <w:r>
        <w:rPr>
          <w:spacing w:val="9"/>
        </w:rPr>
        <w:t> </w:t>
      </w:r>
      <w:r>
        <w:rPr>
          <w:spacing w:val="-5"/>
        </w:rPr>
        <w:t>Yb.</w:t>
      </w:r>
    </w:p>
    <w:p>
      <w:pPr>
        <w:pStyle w:val="BodyText"/>
        <w:spacing w:line="225" w:lineRule="exact"/>
        <w:ind w:left="705"/>
        <w:jc w:val="both"/>
      </w:pPr>
      <w:r>
        <w:rPr/>
        <w:t>P.I.L.</w:t>
      </w:r>
      <w:r>
        <w:rPr>
          <w:spacing w:val="19"/>
        </w:rPr>
        <w:t> </w:t>
      </w:r>
      <w:r>
        <w:rPr/>
        <w:t>245;</w:t>
      </w:r>
      <w:r>
        <w:rPr>
          <w:spacing w:val="19"/>
        </w:rPr>
        <w:t> </w:t>
      </w:r>
      <w:r>
        <w:rPr/>
        <w:t>Heiss</w:t>
      </w:r>
      <w:r>
        <w:rPr>
          <w:spacing w:val="19"/>
        </w:rPr>
        <w:t> </w:t>
      </w:r>
      <w:r>
        <w:rPr/>
        <w:t>(2008)</w:t>
      </w:r>
      <w:r>
        <w:rPr>
          <w:spacing w:val="19"/>
        </w:rPr>
        <w:t> </w:t>
      </w:r>
      <w:r>
        <w:rPr/>
        <w:t>10</w:t>
      </w:r>
      <w:r>
        <w:rPr>
          <w:spacing w:val="19"/>
        </w:rPr>
        <w:t> </w:t>
      </w:r>
      <w:r>
        <w:rPr/>
        <w:t>Yb.</w:t>
      </w:r>
      <w:r>
        <w:rPr>
          <w:spacing w:val="19"/>
        </w:rPr>
        <w:t> </w:t>
      </w:r>
      <w:r>
        <w:rPr/>
        <w:t>P.I.L.</w:t>
      </w:r>
      <w:r>
        <w:rPr>
          <w:spacing w:val="19"/>
        </w:rPr>
        <w:t> </w:t>
      </w:r>
      <w:r>
        <w:rPr/>
        <w:t>261;</w:t>
      </w:r>
      <w:r>
        <w:rPr>
          <w:spacing w:val="19"/>
        </w:rPr>
        <w:t> </w:t>
      </w:r>
      <w:r>
        <w:rPr/>
        <w:t>Bonomi</w:t>
      </w:r>
      <w:r>
        <w:rPr>
          <w:spacing w:val="19"/>
        </w:rPr>
        <w:t> </w:t>
      </w:r>
      <w:r>
        <w:rPr/>
        <w:t>(2008)</w:t>
      </w:r>
      <w:r>
        <w:rPr>
          <w:spacing w:val="19"/>
        </w:rPr>
        <w:t> </w:t>
      </w:r>
      <w:r>
        <w:rPr/>
        <w:t>10</w:t>
      </w:r>
      <w:r>
        <w:rPr>
          <w:spacing w:val="19"/>
        </w:rPr>
        <w:t> </w:t>
      </w:r>
      <w:r>
        <w:rPr/>
        <w:t>Yb.</w:t>
      </w:r>
      <w:r>
        <w:rPr>
          <w:spacing w:val="19"/>
        </w:rPr>
        <w:t> </w:t>
      </w:r>
      <w:r>
        <w:rPr/>
        <w:t>P.I.L.</w:t>
      </w:r>
      <w:r>
        <w:rPr>
          <w:spacing w:val="19"/>
        </w:rPr>
        <w:t> </w:t>
      </w:r>
      <w:r>
        <w:rPr/>
        <w:t>285;</w:t>
      </w:r>
      <w:r>
        <w:rPr>
          <w:spacing w:val="19"/>
        </w:rPr>
        <w:t> </w:t>
      </w:r>
      <w:r>
        <w:rPr/>
        <w:t>Merrett</w:t>
      </w:r>
      <w:r>
        <w:rPr>
          <w:spacing w:val="19"/>
        </w:rPr>
        <w:t> </w:t>
      </w:r>
      <w:r>
        <w:rPr/>
        <w:t>(2009)</w:t>
      </w:r>
      <w:r>
        <w:rPr>
          <w:spacing w:val="19"/>
        </w:rPr>
        <w:t> </w:t>
      </w:r>
      <w:r>
        <w:rPr>
          <w:spacing w:val="-10"/>
        </w:rPr>
        <w:t>5</w:t>
      </w:r>
    </w:p>
    <w:p>
      <w:pPr>
        <w:pStyle w:val="BodyText"/>
        <w:spacing w:line="225" w:lineRule="exact"/>
        <w:ind w:left="705"/>
      </w:pPr>
      <w:r>
        <w:rPr/>
        <w:t>J.Priv.</w:t>
      </w:r>
      <w:r>
        <w:rPr>
          <w:spacing w:val="7"/>
        </w:rPr>
        <w:t> </w:t>
      </w:r>
      <w:r>
        <w:rPr/>
        <w:t>Int.</w:t>
      </w:r>
      <w:r>
        <w:rPr>
          <w:spacing w:val="7"/>
        </w:rPr>
        <w:t> </w:t>
      </w:r>
      <w:r>
        <w:rPr/>
        <w:t>L.</w:t>
      </w:r>
      <w:r>
        <w:rPr>
          <w:spacing w:val="7"/>
        </w:rPr>
        <w:t> </w:t>
      </w:r>
      <w:r>
        <w:rPr/>
        <w:t>49;</w:t>
      </w:r>
      <w:r>
        <w:rPr>
          <w:spacing w:val="7"/>
        </w:rPr>
        <w:t> </w:t>
      </w:r>
      <w:r>
        <w:rPr/>
        <w:t>Merkin</w:t>
      </w:r>
      <w:r>
        <w:rPr>
          <w:spacing w:val="7"/>
        </w:rPr>
        <w:t> </w:t>
      </w:r>
      <w:r>
        <w:rPr/>
        <w:t>(2009)</w:t>
      </w:r>
      <w:r>
        <w:rPr>
          <w:spacing w:val="7"/>
        </w:rPr>
        <w:t> </w:t>
      </w:r>
      <w:r>
        <w:rPr/>
        <w:t>5</w:t>
      </w:r>
      <w:r>
        <w:rPr>
          <w:spacing w:val="7"/>
        </w:rPr>
        <w:t> </w:t>
      </w:r>
      <w:r>
        <w:rPr/>
        <w:t>J.Priv.</w:t>
      </w:r>
      <w:r>
        <w:rPr>
          <w:spacing w:val="7"/>
        </w:rPr>
        <w:t> </w:t>
      </w:r>
      <w:r>
        <w:rPr/>
        <w:t>Int.</w:t>
      </w:r>
      <w:r>
        <w:rPr>
          <w:spacing w:val="7"/>
        </w:rPr>
        <w:t> </w:t>
      </w:r>
      <w:r>
        <w:rPr/>
        <w:t>L.</w:t>
      </w:r>
      <w:r>
        <w:rPr>
          <w:spacing w:val="7"/>
        </w:rPr>
        <w:t> </w:t>
      </w:r>
      <w:r>
        <w:rPr/>
        <w:t>69;</w:t>
      </w:r>
      <w:r>
        <w:rPr>
          <w:spacing w:val="7"/>
        </w:rPr>
        <w:t> </w:t>
      </w:r>
      <w:r>
        <w:rPr/>
        <w:t>Ferrari,</w:t>
      </w:r>
      <w:r>
        <w:rPr>
          <w:spacing w:val="7"/>
        </w:rPr>
        <w:t> </w:t>
      </w:r>
      <w:r>
        <w:rPr/>
        <w:t>2009</w:t>
      </w:r>
      <w:r>
        <w:rPr>
          <w:spacing w:val="7"/>
        </w:rPr>
        <w:t> </w:t>
      </w:r>
      <w:r>
        <w:rPr/>
        <w:t>Rev.</w:t>
      </w:r>
      <w:r>
        <w:rPr>
          <w:spacing w:val="7"/>
        </w:rPr>
        <w:t> </w:t>
      </w:r>
      <w:r>
        <w:rPr/>
        <w:t>Crit.</w:t>
      </w:r>
      <w:r>
        <w:rPr>
          <w:spacing w:val="7"/>
        </w:rPr>
        <w:t> </w:t>
      </w:r>
      <w:r>
        <w:rPr/>
        <w:t>d.i.p.</w:t>
      </w:r>
      <w:r>
        <w:rPr>
          <w:spacing w:val="7"/>
        </w:rPr>
        <w:t> </w:t>
      </w:r>
      <w:r>
        <w:rPr/>
        <w:t>459;</w:t>
      </w:r>
      <w:r>
        <w:rPr>
          <w:spacing w:val="7"/>
        </w:rPr>
        <w:t> </w:t>
      </w:r>
      <w:r>
        <w:rPr>
          <w:spacing w:val="-2"/>
        </w:rPr>
        <w:t>Crawford,</w:t>
      </w:r>
    </w:p>
    <w:p>
      <w:pPr>
        <w:pStyle w:val="BodyText"/>
        <w:spacing w:line="225" w:lineRule="exact"/>
        <w:ind w:left="705"/>
      </w:pPr>
      <w:r>
        <w:rPr/>
        <w:t>2010</w:t>
      </w:r>
      <w:r>
        <w:rPr>
          <w:spacing w:val="31"/>
        </w:rPr>
        <w:t> </w:t>
      </w:r>
      <w:r>
        <w:rPr/>
        <w:t>S.L.T.</w:t>
      </w:r>
      <w:r>
        <w:rPr>
          <w:spacing w:val="31"/>
        </w:rPr>
        <w:t> </w:t>
      </w:r>
      <w:r>
        <w:rPr/>
        <w:t>17;</w:t>
      </w:r>
      <w:r>
        <w:rPr>
          <w:spacing w:val="31"/>
        </w:rPr>
        <w:t> </w:t>
      </w:r>
      <w:r>
        <w:rPr/>
        <w:t>Kenfack,</w:t>
      </w:r>
      <w:r>
        <w:rPr>
          <w:spacing w:val="31"/>
        </w:rPr>
        <w:t> </w:t>
      </w:r>
      <w:r>
        <w:rPr/>
        <w:t>2009</w:t>
      </w:r>
      <w:r>
        <w:rPr>
          <w:spacing w:val="31"/>
        </w:rPr>
        <w:t> </w:t>
      </w:r>
      <w:r>
        <w:rPr/>
        <w:t>Clunet</w:t>
      </w:r>
      <w:r>
        <w:rPr>
          <w:spacing w:val="31"/>
        </w:rPr>
        <w:t> </w:t>
      </w:r>
      <w:r>
        <w:rPr/>
        <w:t>3;</w:t>
      </w:r>
      <w:r>
        <w:rPr>
          <w:spacing w:val="31"/>
        </w:rPr>
        <w:t> </w:t>
      </w:r>
      <w:r>
        <w:rPr/>
        <w:t>Francq,</w:t>
      </w:r>
      <w:r>
        <w:rPr>
          <w:spacing w:val="31"/>
        </w:rPr>
        <w:t> </w:t>
      </w:r>
      <w:r>
        <w:rPr/>
        <w:t>2009</w:t>
      </w:r>
      <w:r>
        <w:rPr>
          <w:spacing w:val="31"/>
        </w:rPr>
        <w:t> </w:t>
      </w:r>
      <w:r>
        <w:rPr/>
        <w:t>Clunet,</w:t>
      </w:r>
      <w:r>
        <w:rPr>
          <w:spacing w:val="31"/>
        </w:rPr>
        <w:t> </w:t>
      </w:r>
      <w:r>
        <w:rPr/>
        <w:t>41;</w:t>
      </w:r>
      <w:r>
        <w:rPr>
          <w:spacing w:val="31"/>
        </w:rPr>
        <w:t> </w:t>
      </w:r>
      <w:r>
        <w:rPr/>
        <w:t>Haftel,</w:t>
      </w:r>
      <w:r>
        <w:rPr>
          <w:spacing w:val="31"/>
        </w:rPr>
        <w:t> </w:t>
      </w:r>
      <w:r>
        <w:rPr/>
        <w:t>2010</w:t>
      </w:r>
      <w:r>
        <w:rPr>
          <w:spacing w:val="31"/>
        </w:rPr>
        <w:t> </w:t>
      </w:r>
      <w:r>
        <w:rPr/>
        <w:t>Clunet</w:t>
      </w:r>
      <w:r>
        <w:rPr>
          <w:spacing w:val="31"/>
        </w:rPr>
        <w:t> </w:t>
      </w:r>
      <w:r>
        <w:rPr>
          <w:spacing w:val="-4"/>
        </w:rPr>
        <w:t>761;</w:t>
      </w:r>
    </w:p>
    <w:p>
      <w:pPr>
        <w:pStyle w:val="BodyText"/>
        <w:spacing w:line="225" w:lineRule="exact"/>
        <w:ind w:left="705"/>
      </w:pPr>
      <w:r>
        <w:rPr/>
        <w:t>Spagnolo</w:t>
      </w:r>
      <w:r>
        <w:rPr>
          <w:spacing w:val="6"/>
        </w:rPr>
        <w:t> </w:t>
      </w:r>
      <w:r>
        <w:rPr/>
        <w:t>(2010)</w:t>
      </w:r>
      <w:r>
        <w:rPr>
          <w:spacing w:val="6"/>
        </w:rPr>
        <w:t> </w:t>
      </w:r>
      <w:r>
        <w:rPr/>
        <w:t>6</w:t>
      </w:r>
      <w:r>
        <w:rPr>
          <w:spacing w:val="6"/>
        </w:rPr>
        <w:t> </w:t>
      </w:r>
      <w:r>
        <w:rPr/>
        <w:t>J.</w:t>
      </w:r>
      <w:r>
        <w:rPr>
          <w:spacing w:val="6"/>
        </w:rPr>
        <w:t> </w:t>
      </w:r>
      <w:r>
        <w:rPr/>
        <w:t>Priv.</w:t>
      </w:r>
      <w:r>
        <w:rPr>
          <w:spacing w:val="6"/>
        </w:rPr>
        <w:t> </w:t>
      </w:r>
      <w:r>
        <w:rPr/>
        <w:t>Int.</w:t>
      </w:r>
      <w:r>
        <w:rPr>
          <w:spacing w:val="6"/>
        </w:rPr>
        <w:t> </w:t>
      </w:r>
      <w:r>
        <w:rPr/>
        <w:t>L.</w:t>
      </w:r>
      <w:r>
        <w:rPr>
          <w:spacing w:val="6"/>
        </w:rPr>
        <w:t> </w:t>
      </w:r>
      <w:r>
        <w:rPr/>
        <w:t>417;</w:t>
      </w:r>
      <w:r>
        <w:rPr>
          <w:spacing w:val="6"/>
        </w:rPr>
        <w:t> </w:t>
      </w:r>
      <w:r>
        <w:rPr/>
        <w:t>Scott</w:t>
      </w:r>
      <w:r>
        <w:rPr>
          <w:spacing w:val="6"/>
        </w:rPr>
        <w:t> </w:t>
      </w:r>
      <w:r>
        <w:rPr/>
        <w:t>[2010]</w:t>
      </w:r>
      <w:r>
        <w:rPr>
          <w:spacing w:val="6"/>
        </w:rPr>
        <w:t> </w:t>
      </w:r>
      <w:r>
        <w:rPr/>
        <w:t>L.M.C.L.Q.</w:t>
      </w:r>
      <w:r>
        <w:rPr>
          <w:spacing w:val="6"/>
        </w:rPr>
        <w:t> </w:t>
      </w:r>
      <w:r>
        <w:rPr/>
        <w:t>640;</w:t>
      </w:r>
      <w:r>
        <w:rPr>
          <w:spacing w:val="6"/>
        </w:rPr>
        <w:t> </w:t>
      </w:r>
      <w:r>
        <w:rPr/>
        <w:t>Yuksel</w:t>
      </w:r>
      <w:r>
        <w:rPr>
          <w:spacing w:val="6"/>
        </w:rPr>
        <w:t> </w:t>
      </w:r>
      <w:r>
        <w:rPr/>
        <w:t>(2011)</w:t>
      </w:r>
      <w:r>
        <w:rPr>
          <w:spacing w:val="6"/>
        </w:rPr>
        <w:t> </w:t>
      </w:r>
      <w:r>
        <w:rPr/>
        <w:t>7</w:t>
      </w:r>
      <w:r>
        <w:rPr>
          <w:spacing w:val="6"/>
        </w:rPr>
        <w:t> </w:t>
      </w:r>
      <w:r>
        <w:rPr/>
        <w:t>J.</w:t>
      </w:r>
      <w:r>
        <w:rPr>
          <w:spacing w:val="6"/>
        </w:rPr>
        <w:t> </w:t>
      </w:r>
      <w:r>
        <w:rPr/>
        <w:t>Priv.</w:t>
      </w:r>
      <w:r>
        <w:rPr>
          <w:spacing w:val="6"/>
        </w:rPr>
        <w:t> </w:t>
      </w:r>
      <w:r>
        <w:rPr>
          <w:spacing w:val="-4"/>
        </w:rPr>
        <w:t>Int.</w:t>
      </w:r>
    </w:p>
    <w:p>
      <w:pPr>
        <w:pStyle w:val="BodyText"/>
        <w:spacing w:line="227" w:lineRule="exact"/>
        <w:ind w:left="705"/>
      </w:pPr>
      <w:r>
        <w:rPr/>
        <w:t>L. 149; Boonk [2011] L.M.C.L.Q. </w:t>
      </w:r>
      <w:r>
        <w:rPr>
          <w:spacing w:val="-4"/>
        </w:rPr>
        <w:t>227.</w:t>
      </w:r>
    </w:p>
    <w:p>
      <w:pPr>
        <w:pStyle w:val="BodyText"/>
        <w:spacing w:before="5"/>
      </w:pPr>
    </w:p>
    <w:p>
      <w:pPr>
        <w:tabs>
          <w:tab w:pos="705" w:val="left" w:leader="none"/>
        </w:tabs>
        <w:spacing w:before="0"/>
        <w:ind w:left="165" w:right="0" w:firstLine="0"/>
        <w:jc w:val="left"/>
        <w:rPr>
          <w:sz w:val="20"/>
        </w:rPr>
      </w:pPr>
      <w:bookmarkStart w:name="_bookmark1278" w:id="1280"/>
      <w:bookmarkEnd w:id="1280"/>
      <w:r>
        <w:rPr/>
      </w:r>
      <w:hyperlink w:history="true" w:anchor="_bookmark1205">
        <w:r>
          <w:rPr>
            <w:color w:val="005DA1"/>
            <w:spacing w:val="-4"/>
            <w:position w:val="5"/>
            <w:sz w:val="14"/>
            <w:u w:val="single" w:color="005DA1"/>
          </w:rPr>
          <w:t>644</w:t>
        </w:r>
      </w:hyperlink>
      <w:r>
        <w:rPr>
          <w:spacing w:val="-4"/>
          <w:position w:val="5"/>
          <w:sz w:val="14"/>
        </w:rPr>
        <w:t>.</w:t>
      </w:r>
      <w:r>
        <w:rPr>
          <w:position w:val="5"/>
          <w:sz w:val="14"/>
        </w:rPr>
        <w:tab/>
      </w:r>
      <w:r>
        <w:rPr>
          <w:sz w:val="20"/>
        </w:rPr>
        <w:t>art.267 </w:t>
      </w:r>
      <w:r>
        <w:rPr>
          <w:spacing w:val="-2"/>
          <w:sz w:val="20"/>
        </w:rPr>
        <w:t>TFEU.</w:t>
      </w:r>
    </w:p>
    <w:p>
      <w:pPr>
        <w:pStyle w:val="BodyText"/>
        <w:spacing w:before="9"/>
      </w:pPr>
    </w:p>
    <w:p>
      <w:pPr>
        <w:pStyle w:val="BodyText"/>
        <w:tabs>
          <w:tab w:pos="705" w:val="left" w:leader="none"/>
        </w:tabs>
        <w:spacing w:line="235" w:lineRule="auto"/>
        <w:ind w:left="705" w:right="168" w:hanging="541"/>
      </w:pPr>
      <w:bookmarkStart w:name="_bookmark1279" w:id="1281"/>
      <w:bookmarkEnd w:id="1281"/>
      <w:r>
        <w:rPr/>
      </w:r>
      <w:hyperlink w:history="true" w:anchor="_bookmark1206">
        <w:r>
          <w:rPr>
            <w:color w:val="005DA1"/>
            <w:spacing w:val="-4"/>
            <w:position w:val="5"/>
            <w:sz w:val="14"/>
            <w:u w:val="single" w:color="005DA1"/>
          </w:rPr>
          <w:t>645</w:t>
        </w:r>
      </w:hyperlink>
      <w:r>
        <w:rPr>
          <w:spacing w:val="-4"/>
          <w:position w:val="5"/>
          <w:sz w:val="14"/>
        </w:rPr>
        <w:t>.</w:t>
      </w:r>
      <w:r>
        <w:rPr>
          <w:position w:val="5"/>
          <w:sz w:val="14"/>
        </w:rPr>
        <w:tab/>
      </w:r>
      <w:r>
        <w:rPr/>
        <w:t>e.g.</w:t>
      </w:r>
      <w:r>
        <w:rPr>
          <w:spacing w:val="40"/>
        </w:rPr>
        <w:t> </w:t>
      </w:r>
      <w:r>
        <w:rPr/>
        <w:t>Rome</w:t>
      </w:r>
      <w:r>
        <w:rPr>
          <w:spacing w:val="40"/>
        </w:rPr>
        <w:t> </w:t>
      </w:r>
      <w:r>
        <w:rPr/>
        <w:t>I</w:t>
      </w:r>
      <w:r>
        <w:rPr>
          <w:spacing w:val="40"/>
        </w:rPr>
        <w:t> </w:t>
      </w:r>
      <w:r>
        <w:rPr/>
        <w:t>Recitals</w:t>
      </w:r>
      <w:r>
        <w:rPr>
          <w:spacing w:val="40"/>
        </w:rPr>
        <w:t> </w:t>
      </w:r>
      <w:r>
        <w:rPr/>
        <w:t>7-10.</w:t>
      </w:r>
      <w:r>
        <w:rPr>
          <w:spacing w:val="40"/>
        </w:rPr>
        <w:t> </w:t>
      </w:r>
      <w:r>
        <w:rPr/>
        <w:t>Reference</w:t>
      </w:r>
      <w:r>
        <w:rPr>
          <w:spacing w:val="40"/>
        </w:rPr>
        <w:t> </w:t>
      </w:r>
      <w:r>
        <w:rPr/>
        <w:t>is</w:t>
      </w:r>
      <w:r>
        <w:rPr>
          <w:spacing w:val="40"/>
        </w:rPr>
        <w:t> </w:t>
      </w:r>
      <w:r>
        <w:rPr/>
        <w:t>made</w:t>
      </w:r>
      <w:r>
        <w:rPr>
          <w:spacing w:val="40"/>
        </w:rPr>
        <w:t> </w:t>
      </w:r>
      <w:r>
        <w:rPr/>
        <w:t>to</w:t>
      </w:r>
      <w:r>
        <w:rPr>
          <w:spacing w:val="40"/>
        </w:rPr>
        <w:t> </w:t>
      </w:r>
      <w:r>
        <w:rPr/>
        <w:t>the</w:t>
      </w:r>
      <w:r>
        <w:rPr>
          <w:spacing w:val="40"/>
        </w:rPr>
        <w:t> </w:t>
      </w:r>
      <w:r>
        <w:rPr/>
        <w:t>Recitals</w:t>
      </w:r>
      <w:r>
        <w:rPr>
          <w:spacing w:val="40"/>
        </w:rPr>
        <w:t> </w:t>
      </w:r>
      <w:r>
        <w:rPr/>
        <w:t>at</w:t>
      </w:r>
      <w:r>
        <w:rPr>
          <w:spacing w:val="40"/>
        </w:rPr>
        <w:t> </w:t>
      </w:r>
      <w:r>
        <w:rPr/>
        <w:t>appropriate</w:t>
      </w:r>
      <w:r>
        <w:rPr>
          <w:spacing w:val="40"/>
        </w:rPr>
        <w:t> </w:t>
      </w:r>
      <w:r>
        <w:rPr/>
        <w:t>points</w:t>
      </w:r>
      <w:r>
        <w:rPr>
          <w:spacing w:val="40"/>
        </w:rPr>
        <w:t> </w:t>
      </w:r>
      <w:r>
        <w:rPr/>
        <w:t>in</w:t>
      </w:r>
      <w:r>
        <w:rPr>
          <w:spacing w:val="40"/>
        </w:rPr>
        <w:t> </w:t>
      </w:r>
      <w:r>
        <w:rPr/>
        <w:t>this section and in s.5.</w:t>
      </w:r>
    </w:p>
    <w:p>
      <w:pPr>
        <w:pStyle w:val="BodyText"/>
        <w:spacing w:before="6"/>
      </w:pPr>
    </w:p>
    <w:p>
      <w:pPr>
        <w:pStyle w:val="BodyText"/>
        <w:tabs>
          <w:tab w:pos="705" w:val="left" w:leader="none"/>
        </w:tabs>
        <w:ind w:left="165"/>
      </w:pPr>
      <w:bookmarkStart w:name="_bookmark1280" w:id="1282"/>
      <w:bookmarkEnd w:id="1282"/>
      <w:r>
        <w:rPr/>
      </w:r>
      <w:hyperlink w:history="true" w:anchor="_bookmark1207">
        <w:r>
          <w:rPr>
            <w:color w:val="005DA1"/>
            <w:spacing w:val="-4"/>
            <w:position w:val="5"/>
            <w:sz w:val="14"/>
            <w:u w:val="single" w:color="005DA1"/>
          </w:rPr>
          <w:t>646</w:t>
        </w:r>
      </w:hyperlink>
      <w:r>
        <w:rPr>
          <w:spacing w:val="-4"/>
          <w:position w:val="5"/>
          <w:sz w:val="14"/>
        </w:rPr>
        <w:t>.</w:t>
      </w:r>
      <w:r>
        <w:rPr>
          <w:position w:val="5"/>
          <w:sz w:val="14"/>
        </w:rPr>
        <w:tab/>
      </w:r>
      <w:r>
        <w:rPr/>
        <w:t>For exceptions see Rome I art.1(2)(b) and (c) and Recital </w:t>
      </w:r>
      <w:r>
        <w:rPr>
          <w:spacing w:val="-5"/>
        </w:rPr>
        <w:t>8.</w:t>
      </w:r>
    </w:p>
    <w:p>
      <w:pPr>
        <w:pStyle w:val="BodyText"/>
        <w:spacing w:before="5"/>
      </w:pPr>
    </w:p>
    <w:p>
      <w:pPr>
        <w:tabs>
          <w:tab w:pos="705" w:val="left" w:leader="none"/>
        </w:tabs>
        <w:spacing w:before="0"/>
        <w:ind w:left="165" w:right="0" w:firstLine="0"/>
        <w:jc w:val="left"/>
        <w:rPr>
          <w:sz w:val="20"/>
        </w:rPr>
      </w:pPr>
      <w:bookmarkStart w:name="_bookmark1281" w:id="1283"/>
      <w:bookmarkEnd w:id="1283"/>
      <w:r>
        <w:rPr/>
      </w:r>
      <w:hyperlink w:history="true" w:anchor="_bookmark1207">
        <w:r>
          <w:rPr>
            <w:color w:val="005DA1"/>
            <w:spacing w:val="-4"/>
            <w:position w:val="5"/>
            <w:sz w:val="14"/>
            <w:u w:val="single" w:color="005DA1"/>
          </w:rPr>
          <w:t>647</w:t>
        </w:r>
      </w:hyperlink>
      <w:r>
        <w:rPr>
          <w:spacing w:val="-4"/>
          <w:position w:val="5"/>
          <w:sz w:val="14"/>
        </w:rPr>
        <w:t>.</w:t>
      </w:r>
      <w:r>
        <w:rPr>
          <w:position w:val="5"/>
          <w:sz w:val="14"/>
        </w:rPr>
        <w:tab/>
      </w:r>
      <w:r>
        <w:rPr>
          <w:sz w:val="20"/>
        </w:rPr>
        <w:t>Rome I Recital </w:t>
      </w:r>
      <w:r>
        <w:rPr>
          <w:spacing w:val="-5"/>
          <w:sz w:val="20"/>
        </w:rPr>
        <w:t>7.</w:t>
      </w:r>
    </w:p>
    <w:p>
      <w:pPr>
        <w:pStyle w:val="BodyText"/>
        <w:spacing w:before="8"/>
      </w:pPr>
    </w:p>
    <w:p>
      <w:pPr>
        <w:spacing w:line="235" w:lineRule="auto" w:before="1"/>
        <w:ind w:left="705" w:right="167" w:hanging="541"/>
        <w:jc w:val="both"/>
        <w:rPr>
          <w:sz w:val="20"/>
        </w:rPr>
      </w:pPr>
      <w:bookmarkStart w:name="_bookmark1282" w:id="1284"/>
      <w:bookmarkEnd w:id="1284"/>
      <w:r>
        <w:rPr/>
      </w:r>
      <w:hyperlink w:history="true" w:anchor="_bookmark1208">
        <w:r>
          <w:rPr>
            <w:color w:val="005DA1"/>
            <w:position w:val="5"/>
            <w:sz w:val="14"/>
            <w:u w:val="single" w:color="005DA1"/>
          </w:rPr>
          <w:t>648</w:t>
        </w:r>
      </w:hyperlink>
      <w:r>
        <w:rPr>
          <w:position w:val="5"/>
          <w:sz w:val="14"/>
        </w:rPr>
        <w:t>.</w:t>
      </w:r>
      <w:r>
        <w:rPr>
          <w:spacing w:val="80"/>
          <w:position w:val="5"/>
          <w:sz w:val="14"/>
        </w:rPr>
        <w:t>  </w:t>
      </w:r>
      <w:r>
        <w:rPr>
          <w:sz w:val="20"/>
        </w:rPr>
        <w:t>Regulation (EU) 1215/2012 of the European Parliament and of the Council of December 12, 2012 on jurisdiction and the recognition and enforcement of judgments in civil and </w:t>
      </w:r>
      <w:r>
        <w:rPr>
          <w:sz w:val="20"/>
        </w:rPr>
        <w:t>commercial matters (recast): [2012] O.J. L351/1; Pocar, </w:t>
      </w:r>
      <w:r>
        <w:rPr>
          <w:rFonts w:ascii="Arial" w:hAnsi="Arial"/>
          <w:i/>
          <w:sz w:val="20"/>
        </w:rPr>
        <w:t>The Rome I Regulation: the Law Applicable to Contractual Obligations in Europe </w:t>
      </w:r>
      <w:r>
        <w:rPr>
          <w:sz w:val="20"/>
        </w:rPr>
        <w:t>(2009), p.343; </w:t>
      </w:r>
      <w:r>
        <w:rPr>
          <w:rFonts w:ascii="Arial" w:hAnsi="Arial"/>
          <w:i/>
          <w:sz w:val="20"/>
        </w:rPr>
        <w:t>Koelzsch v État du Grand Duché de Luxembourg (C-29/10) [2012] Q.B. 210</w:t>
      </w:r>
      <w:r>
        <w:rPr>
          <w:sz w:val="20"/>
        </w:rPr>
        <w:t>; Crawford and Carruthers (2014) 63 I.C.L.Q. 1. On issues of territorial scope of the Regulation, see Dickinson [2012] L.M.C.L.Q. 86.</w:t>
      </w:r>
    </w:p>
    <w:p>
      <w:pPr>
        <w:pStyle w:val="BodyText"/>
        <w:spacing w:before="3"/>
      </w:pPr>
    </w:p>
    <w:p>
      <w:pPr>
        <w:pStyle w:val="BodyText"/>
        <w:tabs>
          <w:tab w:pos="705" w:val="left" w:leader="none"/>
        </w:tabs>
        <w:spacing w:before="1"/>
        <w:ind w:left="165"/>
      </w:pPr>
      <w:bookmarkStart w:name="_bookmark1283" w:id="1285"/>
      <w:bookmarkEnd w:id="1285"/>
      <w:r>
        <w:rPr/>
      </w:r>
      <w:hyperlink w:history="true" w:anchor="_bookmark1208">
        <w:r>
          <w:rPr>
            <w:color w:val="005DA1"/>
            <w:spacing w:val="-4"/>
            <w:position w:val="5"/>
            <w:sz w:val="14"/>
            <w:u w:val="single" w:color="005DA1"/>
          </w:rPr>
          <w:t>649</w:t>
        </w:r>
      </w:hyperlink>
      <w:r>
        <w:rPr>
          <w:spacing w:val="-4"/>
          <w:position w:val="5"/>
          <w:sz w:val="14"/>
        </w:rPr>
        <w:t>.</w:t>
      </w:r>
      <w:r>
        <w:rPr>
          <w:position w:val="5"/>
          <w:sz w:val="14"/>
        </w:rPr>
        <w:tab/>
      </w:r>
      <w:r>
        <w:rPr/>
        <w:t>Regulation 864/2007 on law applicable to non-contractual obligations [2007] O.J. </w:t>
      </w:r>
      <w:r>
        <w:rPr>
          <w:spacing w:val="-2"/>
        </w:rPr>
        <w:t>L199/40.</w:t>
      </w:r>
    </w:p>
    <w:p>
      <w:pPr>
        <w:pStyle w:val="BodyText"/>
        <w:spacing w:before="4"/>
      </w:pPr>
    </w:p>
    <w:p>
      <w:pPr>
        <w:tabs>
          <w:tab w:pos="705" w:val="left" w:leader="none"/>
        </w:tabs>
        <w:spacing w:before="1"/>
        <w:ind w:left="165" w:right="0" w:firstLine="0"/>
        <w:jc w:val="left"/>
        <w:rPr>
          <w:sz w:val="20"/>
        </w:rPr>
      </w:pPr>
      <w:bookmarkStart w:name="_bookmark1284" w:id="1286"/>
      <w:bookmarkEnd w:id="1286"/>
      <w:r>
        <w:rPr/>
      </w:r>
      <w:hyperlink w:history="true" w:anchor="_bookmark1209">
        <w:r>
          <w:rPr>
            <w:color w:val="005DA1"/>
            <w:spacing w:val="-4"/>
            <w:position w:val="5"/>
            <w:sz w:val="14"/>
            <w:u w:val="single" w:color="005DA1"/>
          </w:rPr>
          <w:t>650</w:t>
        </w:r>
      </w:hyperlink>
      <w:r>
        <w:rPr>
          <w:spacing w:val="-4"/>
          <w:position w:val="5"/>
          <w:sz w:val="14"/>
        </w:rPr>
        <w:t>.</w:t>
      </w:r>
      <w:r>
        <w:rPr>
          <w:position w:val="5"/>
          <w:sz w:val="14"/>
        </w:rPr>
        <w:tab/>
      </w:r>
      <w:r>
        <w:rPr>
          <w:sz w:val="20"/>
        </w:rPr>
        <w:t>Above, para.30-</w:t>
      </w:r>
      <w:r>
        <w:rPr>
          <w:spacing w:val="-4"/>
          <w:sz w:val="20"/>
        </w:rPr>
        <w:t>019.</w:t>
      </w:r>
    </w:p>
    <w:p>
      <w:pPr>
        <w:pStyle w:val="BodyText"/>
        <w:spacing w:before="4"/>
      </w:pPr>
    </w:p>
    <w:p>
      <w:pPr>
        <w:pStyle w:val="BodyText"/>
        <w:tabs>
          <w:tab w:pos="705" w:val="left" w:leader="none"/>
        </w:tabs>
        <w:spacing w:before="1"/>
        <w:ind w:left="165"/>
      </w:pPr>
      <w:bookmarkStart w:name="_bookmark1285" w:id="1287"/>
      <w:bookmarkEnd w:id="1287"/>
      <w:r>
        <w:rPr/>
      </w:r>
      <w:hyperlink w:history="true" w:anchor="_bookmark1210">
        <w:r>
          <w:rPr>
            <w:color w:val="005DA1"/>
            <w:spacing w:val="-4"/>
            <w:position w:val="5"/>
            <w:sz w:val="14"/>
            <w:u w:val="single" w:color="005DA1"/>
          </w:rPr>
          <w:t>651</w:t>
        </w:r>
      </w:hyperlink>
      <w:r>
        <w:rPr>
          <w:spacing w:val="-4"/>
          <w:position w:val="5"/>
          <w:sz w:val="14"/>
        </w:rPr>
        <w:t>.</w:t>
      </w:r>
      <w:r>
        <w:rPr>
          <w:position w:val="5"/>
          <w:sz w:val="14"/>
        </w:rPr>
        <w:tab/>
      </w:r>
      <w:r>
        <w:rPr/>
        <w:t>See e.g. in Rome I art.3(3), below, para.30-177; Recital </w:t>
      </w:r>
      <w:r>
        <w:rPr>
          <w:spacing w:val="-5"/>
        </w:rPr>
        <w:t>15.</w:t>
      </w:r>
    </w:p>
    <w:p>
      <w:pPr>
        <w:pStyle w:val="BodyText"/>
        <w:spacing w:before="8"/>
      </w:pPr>
    </w:p>
    <w:p>
      <w:pPr>
        <w:pStyle w:val="BodyText"/>
        <w:tabs>
          <w:tab w:pos="705" w:val="left" w:leader="none"/>
        </w:tabs>
        <w:spacing w:line="235" w:lineRule="auto"/>
        <w:ind w:left="705" w:right="168" w:hanging="541"/>
      </w:pPr>
      <w:bookmarkStart w:name="_bookmark1286" w:id="1288"/>
      <w:bookmarkEnd w:id="1288"/>
      <w:r>
        <w:rPr/>
      </w:r>
      <w:hyperlink w:history="true" w:anchor="_bookmark1211">
        <w:r>
          <w:rPr>
            <w:color w:val="005DA1"/>
            <w:spacing w:val="-4"/>
            <w:position w:val="5"/>
            <w:sz w:val="14"/>
            <w:u w:val="single" w:color="005DA1"/>
          </w:rPr>
          <w:t>652</w:t>
        </w:r>
      </w:hyperlink>
      <w:r>
        <w:rPr>
          <w:spacing w:val="-4"/>
          <w:position w:val="5"/>
          <w:sz w:val="14"/>
        </w:rPr>
        <w:t>.</w:t>
      </w:r>
      <w:r>
        <w:rPr>
          <w:position w:val="5"/>
          <w:sz w:val="14"/>
        </w:rPr>
        <w:tab/>
      </w:r>
      <w:r>
        <w:rPr/>
        <w:t>See</w:t>
      </w:r>
      <w:r>
        <w:rPr>
          <w:spacing w:val="26"/>
        </w:rPr>
        <w:t> </w:t>
      </w:r>
      <w:r>
        <w:rPr/>
        <w:t>below,</w:t>
      </w:r>
      <w:r>
        <w:rPr>
          <w:spacing w:val="26"/>
        </w:rPr>
        <w:t> </w:t>
      </w:r>
      <w:r>
        <w:rPr/>
        <w:t>paras</w:t>
      </w:r>
      <w:r>
        <w:rPr>
          <w:spacing w:val="26"/>
        </w:rPr>
        <w:t> </w:t>
      </w:r>
      <w:r>
        <w:rPr/>
        <w:t>30-252</w:t>
      </w:r>
      <w:r>
        <w:rPr>
          <w:spacing w:val="26"/>
        </w:rPr>
        <w:t> </w:t>
      </w:r>
      <w:r>
        <w:rPr/>
        <w:t>et</w:t>
      </w:r>
      <w:r>
        <w:rPr>
          <w:spacing w:val="26"/>
        </w:rPr>
        <w:t> </w:t>
      </w:r>
      <w:r>
        <w:rPr/>
        <w:t>seq.</w:t>
      </w:r>
      <w:r>
        <w:rPr>
          <w:spacing w:val="26"/>
        </w:rPr>
        <w:t> </w:t>
      </w:r>
      <w:r>
        <w:rPr/>
        <w:t>Specific</w:t>
      </w:r>
      <w:r>
        <w:rPr>
          <w:spacing w:val="26"/>
        </w:rPr>
        <w:t> </w:t>
      </w:r>
      <w:r>
        <w:rPr/>
        <w:t>choice</w:t>
      </w:r>
      <w:r>
        <w:rPr>
          <w:spacing w:val="26"/>
        </w:rPr>
        <w:t> </w:t>
      </w:r>
      <w:r>
        <w:rPr/>
        <w:t>of</w:t>
      </w:r>
      <w:r>
        <w:rPr>
          <w:spacing w:val="26"/>
        </w:rPr>
        <w:t> </w:t>
      </w:r>
      <w:r>
        <w:rPr/>
        <w:t>law</w:t>
      </w:r>
      <w:r>
        <w:rPr>
          <w:spacing w:val="26"/>
        </w:rPr>
        <w:t> </w:t>
      </w:r>
      <w:r>
        <w:rPr/>
        <w:t>rules</w:t>
      </w:r>
      <w:r>
        <w:rPr>
          <w:spacing w:val="26"/>
        </w:rPr>
        <w:t> </w:t>
      </w:r>
      <w:r>
        <w:rPr/>
        <w:t>for</w:t>
      </w:r>
      <w:r>
        <w:rPr>
          <w:spacing w:val="26"/>
        </w:rPr>
        <w:t> </w:t>
      </w:r>
      <w:r>
        <w:rPr/>
        <w:t>certain</w:t>
      </w:r>
      <w:r>
        <w:rPr>
          <w:spacing w:val="26"/>
        </w:rPr>
        <w:t> </w:t>
      </w:r>
      <w:r>
        <w:rPr/>
        <w:t>insurance</w:t>
      </w:r>
      <w:r>
        <w:rPr>
          <w:spacing w:val="26"/>
        </w:rPr>
        <w:t> </w:t>
      </w:r>
      <w:r>
        <w:rPr/>
        <w:t>contracts were to be found in a series of Directives. See above, para.30-044.</w:t>
      </w:r>
    </w:p>
    <w:p>
      <w:pPr>
        <w:pStyle w:val="BodyText"/>
        <w:spacing w:before="6"/>
      </w:pPr>
    </w:p>
    <w:p>
      <w:pPr>
        <w:pStyle w:val="BodyText"/>
        <w:tabs>
          <w:tab w:pos="705" w:val="left" w:leader="none"/>
        </w:tabs>
        <w:ind w:left="165"/>
      </w:pPr>
      <w:bookmarkStart w:name="_bookmark1287" w:id="1289"/>
      <w:bookmarkEnd w:id="1289"/>
      <w:r>
        <w:rPr/>
      </w:r>
      <w:hyperlink w:history="true" w:anchor="_bookmark1212">
        <w:r>
          <w:rPr>
            <w:color w:val="005DA1"/>
            <w:spacing w:val="-4"/>
            <w:position w:val="5"/>
            <w:sz w:val="14"/>
            <w:u w:val="single" w:color="005DA1"/>
          </w:rPr>
          <w:t>653</w:t>
        </w:r>
      </w:hyperlink>
      <w:r>
        <w:rPr>
          <w:spacing w:val="-4"/>
          <w:position w:val="5"/>
          <w:sz w:val="14"/>
        </w:rPr>
        <w:t>.</w:t>
      </w:r>
      <w:r>
        <w:rPr>
          <w:position w:val="5"/>
          <w:sz w:val="14"/>
        </w:rPr>
        <w:tab/>
      </w:r>
      <w:r>
        <w:rPr/>
        <w:t>See Rome I Recital 40, first and second </w:t>
      </w:r>
      <w:r>
        <w:rPr>
          <w:spacing w:val="-2"/>
        </w:rPr>
        <w:t>sentences.</w:t>
      </w:r>
    </w:p>
    <w:p>
      <w:pPr>
        <w:pStyle w:val="BodyText"/>
        <w:spacing w:before="5"/>
      </w:pPr>
    </w:p>
    <w:p>
      <w:pPr>
        <w:pStyle w:val="BodyText"/>
        <w:tabs>
          <w:tab w:pos="705" w:val="left" w:leader="none"/>
        </w:tabs>
        <w:ind w:left="165"/>
      </w:pPr>
      <w:bookmarkStart w:name="_bookmark1288" w:id="1290"/>
      <w:bookmarkEnd w:id="1290"/>
      <w:r>
        <w:rPr/>
      </w:r>
      <w:hyperlink w:history="true" w:anchor="_bookmark1213">
        <w:r>
          <w:rPr>
            <w:color w:val="005DA1"/>
            <w:spacing w:val="-4"/>
            <w:position w:val="5"/>
            <w:sz w:val="14"/>
            <w:u w:val="single" w:color="005DA1"/>
          </w:rPr>
          <w:t>654</w:t>
        </w:r>
      </w:hyperlink>
      <w:r>
        <w:rPr>
          <w:spacing w:val="-4"/>
          <w:position w:val="5"/>
          <w:sz w:val="14"/>
        </w:rPr>
        <w:t>.</w:t>
      </w:r>
      <w:r>
        <w:rPr>
          <w:position w:val="5"/>
          <w:sz w:val="14"/>
        </w:rPr>
        <w:tab/>
      </w:r>
      <w:r>
        <w:rPr/>
        <w:t>Rome I Recital 40, third and fourth </w:t>
      </w:r>
      <w:r>
        <w:rPr>
          <w:spacing w:val="-2"/>
        </w:rPr>
        <w:t>sentences.</w:t>
      </w:r>
    </w:p>
    <w:p>
      <w:pPr>
        <w:pStyle w:val="BodyText"/>
        <w:spacing w:before="9"/>
      </w:pPr>
    </w:p>
    <w:p>
      <w:pPr>
        <w:pStyle w:val="BodyText"/>
        <w:spacing w:line="235" w:lineRule="auto"/>
        <w:ind w:left="705" w:right="167" w:hanging="541"/>
        <w:jc w:val="both"/>
      </w:pPr>
      <w:bookmarkStart w:name="_bookmark1289" w:id="1291"/>
      <w:bookmarkEnd w:id="1291"/>
      <w:r>
        <w:rPr/>
      </w:r>
      <w:hyperlink w:history="true" w:anchor="_bookmark1214">
        <w:r>
          <w:rPr>
            <w:color w:val="005DA1"/>
            <w:position w:val="5"/>
            <w:sz w:val="14"/>
            <w:u w:val="single" w:color="005DA1"/>
          </w:rPr>
          <w:t>655</w:t>
        </w:r>
      </w:hyperlink>
      <w:r>
        <w:rPr>
          <w:position w:val="5"/>
          <w:sz w:val="14"/>
        </w:rPr>
        <w:t>.</w:t>
      </w:r>
      <w:r>
        <w:rPr>
          <w:spacing w:val="80"/>
          <w:position w:val="5"/>
          <w:sz w:val="14"/>
        </w:rPr>
        <w:t>  </w:t>
      </w:r>
      <w:r>
        <w:rPr/>
        <w:t>The</w:t>
      </w:r>
      <w:r>
        <w:rPr>
          <w:spacing w:val="-1"/>
        </w:rPr>
        <w:t> </w:t>
      </w:r>
      <w:r>
        <w:rPr/>
        <w:t>example</w:t>
      </w:r>
      <w:r>
        <w:rPr>
          <w:spacing w:val="-1"/>
        </w:rPr>
        <w:t> </w:t>
      </w:r>
      <w:r>
        <w:rPr/>
        <w:t>given</w:t>
      </w:r>
      <w:r>
        <w:rPr>
          <w:spacing w:val="-1"/>
        </w:rPr>
        <w:t> </w:t>
      </w:r>
      <w:r>
        <w:rPr/>
        <w:t>is</w:t>
      </w:r>
      <w:r>
        <w:rPr>
          <w:spacing w:val="-1"/>
        </w:rPr>
        <w:t> </w:t>
      </w:r>
      <w:r>
        <w:rPr/>
        <w:t>Directive</w:t>
      </w:r>
      <w:r>
        <w:rPr>
          <w:spacing w:val="-1"/>
        </w:rPr>
        <w:t> </w:t>
      </w:r>
      <w:r>
        <w:rPr/>
        <w:t>2000/31</w:t>
      </w:r>
      <w:r>
        <w:rPr>
          <w:spacing w:val="-1"/>
        </w:rPr>
        <w:t> </w:t>
      </w:r>
      <w:r>
        <w:rPr/>
        <w:t>on</w:t>
      </w:r>
      <w:r>
        <w:rPr>
          <w:spacing w:val="-1"/>
        </w:rPr>
        <w:t> </w:t>
      </w:r>
      <w:r>
        <w:rPr/>
        <w:t>certain</w:t>
      </w:r>
      <w:r>
        <w:rPr>
          <w:spacing w:val="-1"/>
        </w:rPr>
        <w:t> </w:t>
      </w:r>
      <w:r>
        <w:rPr/>
        <w:t>legal</w:t>
      </w:r>
      <w:r>
        <w:rPr>
          <w:spacing w:val="-1"/>
        </w:rPr>
        <w:t> </w:t>
      </w:r>
      <w:r>
        <w:rPr/>
        <w:t>aspects</w:t>
      </w:r>
      <w:r>
        <w:rPr>
          <w:spacing w:val="-1"/>
        </w:rPr>
        <w:t> </w:t>
      </w:r>
      <w:r>
        <w:rPr/>
        <w:t>of</w:t>
      </w:r>
      <w:r>
        <w:rPr>
          <w:spacing w:val="-1"/>
        </w:rPr>
        <w:t> </w:t>
      </w:r>
      <w:r>
        <w:rPr/>
        <w:t>information</w:t>
      </w:r>
      <w:r>
        <w:rPr>
          <w:spacing w:val="-1"/>
        </w:rPr>
        <w:t> </w:t>
      </w:r>
      <w:r>
        <w:rPr/>
        <w:t>society</w:t>
      </w:r>
      <w:r>
        <w:rPr>
          <w:spacing w:val="-1"/>
        </w:rPr>
        <w:t> </w:t>
      </w:r>
      <w:r>
        <w:rPr/>
        <w:t>services, in particular electronic commerce, in the internal market (Directive on electronic commerce) [2000] O.J. L178/1. See above, para.30-095.</w:t>
      </w:r>
    </w:p>
    <w:p>
      <w:pPr>
        <w:pStyle w:val="BodyText"/>
        <w:spacing w:before="5"/>
      </w:pPr>
    </w:p>
    <w:p>
      <w:pPr>
        <w:tabs>
          <w:tab w:pos="705" w:val="left" w:leader="none"/>
        </w:tabs>
        <w:spacing w:before="0"/>
        <w:ind w:left="165" w:right="0" w:firstLine="0"/>
        <w:jc w:val="left"/>
        <w:rPr>
          <w:sz w:val="20"/>
        </w:rPr>
      </w:pPr>
      <w:bookmarkStart w:name="_bookmark1290" w:id="1292"/>
      <w:bookmarkEnd w:id="1292"/>
      <w:r>
        <w:rPr/>
      </w:r>
      <w:hyperlink w:history="true" w:anchor="_bookmark1215">
        <w:r>
          <w:rPr>
            <w:color w:val="005DA1"/>
            <w:spacing w:val="-4"/>
            <w:position w:val="5"/>
            <w:sz w:val="14"/>
            <w:u w:val="single" w:color="005DA1"/>
          </w:rPr>
          <w:t>656</w:t>
        </w:r>
      </w:hyperlink>
      <w:r>
        <w:rPr>
          <w:spacing w:val="-4"/>
          <w:position w:val="5"/>
          <w:sz w:val="14"/>
        </w:rPr>
        <w:t>.</w:t>
      </w:r>
      <w:r>
        <w:rPr>
          <w:position w:val="5"/>
          <w:sz w:val="14"/>
        </w:rPr>
        <w:tab/>
      </w:r>
      <w:r>
        <w:rPr>
          <w:sz w:val="20"/>
        </w:rPr>
        <w:t>Rome I </w:t>
      </w:r>
      <w:r>
        <w:rPr>
          <w:spacing w:val="-2"/>
          <w:sz w:val="20"/>
        </w:rPr>
        <w:t>art.24(1).</w:t>
      </w:r>
    </w:p>
    <w:p>
      <w:pPr>
        <w:spacing w:after="0"/>
        <w:jc w:val="left"/>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1216">
        <w:r>
          <w:rPr>
            <w:color w:val="005DA1"/>
            <w:spacing w:val="-4"/>
            <w:position w:val="5"/>
            <w:sz w:val="14"/>
            <w:u w:val="single" w:color="005DA1"/>
          </w:rPr>
          <w:t>657</w:t>
        </w:r>
      </w:hyperlink>
      <w:r>
        <w:rPr>
          <w:spacing w:val="-4"/>
          <w:position w:val="5"/>
          <w:sz w:val="14"/>
        </w:rPr>
        <w:t>.</w:t>
      </w:r>
      <w:r>
        <w:rPr>
          <w:position w:val="5"/>
          <w:sz w:val="14"/>
        </w:rPr>
        <w:tab/>
      </w:r>
      <w:r>
        <w:rPr/>
        <w:t>Rome I art.24(2); Dickinson [2012] L.M.C.L.Q. </w:t>
      </w:r>
      <w:r>
        <w:rPr>
          <w:spacing w:val="-5"/>
        </w:rPr>
        <w:t>86.</w:t>
      </w:r>
    </w:p>
    <w:p>
      <w:pPr>
        <w:pStyle w:val="BodyText"/>
        <w:spacing w:before="5"/>
      </w:pPr>
    </w:p>
    <w:p>
      <w:pPr>
        <w:tabs>
          <w:tab w:pos="705" w:val="left" w:leader="none"/>
        </w:tabs>
        <w:spacing w:before="1"/>
        <w:ind w:left="165" w:right="0" w:firstLine="0"/>
        <w:jc w:val="left"/>
        <w:rPr>
          <w:sz w:val="20"/>
        </w:rPr>
      </w:pPr>
      <w:bookmarkStart w:name="_bookmark1291" w:id="1293"/>
      <w:bookmarkEnd w:id="1293"/>
      <w:r>
        <w:rPr/>
      </w:r>
      <w:hyperlink w:history="true" w:anchor="_bookmark1217">
        <w:r>
          <w:rPr>
            <w:color w:val="005DA1"/>
            <w:spacing w:val="-4"/>
            <w:position w:val="5"/>
            <w:sz w:val="14"/>
            <w:u w:val="single" w:color="005DA1"/>
          </w:rPr>
          <w:t>658</w:t>
        </w:r>
      </w:hyperlink>
      <w:r>
        <w:rPr>
          <w:spacing w:val="-4"/>
          <w:position w:val="5"/>
          <w:sz w:val="14"/>
        </w:rPr>
        <w:t>.</w:t>
      </w:r>
      <w:r>
        <w:rPr>
          <w:position w:val="5"/>
          <w:sz w:val="14"/>
        </w:rPr>
        <w:tab/>
      </w:r>
      <w:r>
        <w:rPr>
          <w:sz w:val="20"/>
        </w:rPr>
        <w:t>i.e. June 17, </w:t>
      </w:r>
      <w:r>
        <w:rPr>
          <w:spacing w:val="-2"/>
          <w:sz w:val="20"/>
        </w:rPr>
        <w:t>2008.</w:t>
      </w:r>
    </w:p>
    <w:p>
      <w:pPr>
        <w:pStyle w:val="BodyText"/>
        <w:spacing w:before="8"/>
      </w:pPr>
    </w:p>
    <w:p>
      <w:pPr>
        <w:pStyle w:val="BodyText"/>
        <w:spacing w:line="235" w:lineRule="auto"/>
        <w:ind w:left="705" w:right="167" w:hanging="541"/>
        <w:jc w:val="both"/>
      </w:pPr>
      <w:bookmarkStart w:name="_bookmark1292" w:id="1294"/>
      <w:bookmarkEnd w:id="1294"/>
      <w:r>
        <w:rPr/>
      </w:r>
      <w:hyperlink w:history="true" w:anchor="_bookmark1218">
        <w:r>
          <w:rPr>
            <w:color w:val="005DA1"/>
            <w:position w:val="5"/>
            <w:sz w:val="14"/>
            <w:u w:val="single" w:color="005DA1"/>
          </w:rPr>
          <w:t>659</w:t>
        </w:r>
      </w:hyperlink>
      <w:r>
        <w:rPr>
          <w:position w:val="5"/>
          <w:sz w:val="14"/>
        </w:rPr>
        <w:t>.</w:t>
      </w:r>
      <w:r>
        <w:rPr>
          <w:spacing w:val="80"/>
          <w:position w:val="5"/>
          <w:sz w:val="14"/>
        </w:rPr>
        <w:t>  </w:t>
      </w:r>
      <w:r>
        <w:rPr/>
        <w:t>Rome I art.25(2). See Recital 41. According to Recital 42 the Commission will make a proposal to the European Parliament and the Council concerning the procedures and </w:t>
      </w:r>
      <w:r>
        <w:rPr/>
        <w:t>conditions according to which Member States would be entitled to negotiate and conclude on their own behalf agreements with third countries in individual and exceptional cases, concerning sectoral matters, containing provisions on the law applicable to contractual obligations.</w:t>
      </w:r>
    </w:p>
    <w:p>
      <w:pPr>
        <w:pStyle w:val="BodyText"/>
        <w:spacing w:before="4"/>
      </w:pPr>
    </w:p>
    <w:p>
      <w:pPr>
        <w:pStyle w:val="BodyText"/>
        <w:tabs>
          <w:tab w:pos="705" w:val="left" w:leader="none"/>
        </w:tabs>
        <w:spacing w:before="1"/>
        <w:ind w:left="165"/>
      </w:pPr>
      <w:bookmarkStart w:name="_bookmark1293" w:id="1295"/>
      <w:bookmarkEnd w:id="1295"/>
      <w:r>
        <w:rPr/>
      </w:r>
      <w:hyperlink w:history="true" w:anchor="_bookmark1218">
        <w:r>
          <w:rPr>
            <w:color w:val="005DA1"/>
            <w:spacing w:val="-4"/>
            <w:position w:val="5"/>
            <w:sz w:val="14"/>
            <w:u w:val="single" w:color="005DA1"/>
          </w:rPr>
          <w:t>660</w:t>
        </w:r>
      </w:hyperlink>
      <w:r>
        <w:rPr>
          <w:spacing w:val="-4"/>
          <w:position w:val="5"/>
          <w:sz w:val="14"/>
        </w:rPr>
        <w:t>.</w:t>
      </w:r>
      <w:r>
        <w:rPr>
          <w:position w:val="5"/>
          <w:sz w:val="14"/>
        </w:rPr>
        <w:tab/>
      </w:r>
      <w:r>
        <w:rPr/>
        <w:t>Rome I art.26 applies from June 17, </w:t>
      </w:r>
      <w:r>
        <w:rPr>
          <w:spacing w:val="-2"/>
        </w:rPr>
        <w:t>2009.</w:t>
      </w:r>
    </w:p>
    <w:p>
      <w:pPr>
        <w:pStyle w:val="BodyText"/>
        <w:spacing w:before="5"/>
      </w:pPr>
    </w:p>
    <w:p>
      <w:pPr>
        <w:tabs>
          <w:tab w:pos="705" w:val="left" w:leader="none"/>
        </w:tabs>
        <w:spacing w:before="0"/>
        <w:ind w:left="165" w:right="0" w:firstLine="0"/>
        <w:jc w:val="left"/>
        <w:rPr>
          <w:sz w:val="20"/>
        </w:rPr>
      </w:pPr>
      <w:bookmarkStart w:name="_bookmark1294" w:id="1296"/>
      <w:bookmarkEnd w:id="1296"/>
      <w:r>
        <w:rPr/>
      </w:r>
      <w:hyperlink w:history="true" w:anchor="_bookmark1219">
        <w:r>
          <w:rPr>
            <w:color w:val="005DA1"/>
            <w:spacing w:val="-4"/>
            <w:position w:val="5"/>
            <w:sz w:val="14"/>
            <w:u w:val="single" w:color="005DA1"/>
          </w:rPr>
          <w:t>661</w:t>
        </w:r>
      </w:hyperlink>
      <w:r>
        <w:rPr>
          <w:spacing w:val="-4"/>
          <w:position w:val="5"/>
          <w:sz w:val="14"/>
        </w:rPr>
        <w:t>.</w:t>
      </w:r>
      <w:r>
        <w:rPr>
          <w:position w:val="5"/>
          <w:sz w:val="14"/>
        </w:rPr>
        <w:tab/>
      </w:r>
      <w:r>
        <w:rPr>
          <w:sz w:val="20"/>
        </w:rPr>
        <w:t>Rome I </w:t>
      </w:r>
      <w:r>
        <w:rPr>
          <w:spacing w:val="-2"/>
          <w:sz w:val="20"/>
        </w:rPr>
        <w:t>art.26(2).</w:t>
      </w:r>
    </w:p>
    <w:p>
      <w:pPr>
        <w:pStyle w:val="BodyText"/>
        <w:spacing w:before="5"/>
      </w:pPr>
    </w:p>
    <w:p>
      <w:pPr>
        <w:tabs>
          <w:tab w:pos="705" w:val="left" w:leader="none"/>
        </w:tabs>
        <w:spacing w:before="0"/>
        <w:ind w:left="165" w:right="0" w:firstLine="0"/>
        <w:jc w:val="left"/>
        <w:rPr>
          <w:sz w:val="20"/>
        </w:rPr>
      </w:pPr>
      <w:bookmarkStart w:name="_bookmark1295" w:id="1297"/>
      <w:bookmarkEnd w:id="1297"/>
      <w:r>
        <w:rPr/>
      </w:r>
      <w:hyperlink w:history="true" w:anchor="_bookmark1220">
        <w:r>
          <w:rPr>
            <w:color w:val="005DA1"/>
            <w:spacing w:val="-4"/>
            <w:position w:val="5"/>
            <w:sz w:val="14"/>
            <w:u w:val="single" w:color="005DA1"/>
          </w:rPr>
          <w:t>662</w:t>
        </w:r>
      </w:hyperlink>
      <w:r>
        <w:rPr>
          <w:spacing w:val="-4"/>
          <w:position w:val="5"/>
          <w:sz w:val="14"/>
        </w:rPr>
        <w:t>.</w:t>
      </w:r>
      <w:r>
        <w:rPr>
          <w:position w:val="5"/>
          <w:sz w:val="14"/>
        </w:rPr>
        <w:tab/>
      </w:r>
      <w:r>
        <w:rPr>
          <w:sz w:val="20"/>
        </w:rPr>
        <w:t>i.e. June 17, </w:t>
      </w:r>
      <w:r>
        <w:rPr>
          <w:spacing w:val="-2"/>
          <w:sz w:val="20"/>
        </w:rPr>
        <w:t>2013.</w:t>
      </w:r>
    </w:p>
    <w:p>
      <w:pPr>
        <w:pStyle w:val="BodyText"/>
        <w:spacing w:before="5"/>
      </w:pPr>
    </w:p>
    <w:p>
      <w:pPr>
        <w:tabs>
          <w:tab w:pos="705" w:val="left" w:leader="none"/>
        </w:tabs>
        <w:spacing w:before="0"/>
        <w:ind w:left="165" w:right="0" w:firstLine="0"/>
        <w:jc w:val="left"/>
        <w:rPr>
          <w:sz w:val="20"/>
        </w:rPr>
      </w:pPr>
      <w:bookmarkStart w:name="_bookmark1296" w:id="1298"/>
      <w:bookmarkEnd w:id="1298"/>
      <w:r>
        <w:rPr/>
      </w:r>
      <w:hyperlink w:history="true" w:anchor="_bookmark1221">
        <w:r>
          <w:rPr>
            <w:color w:val="005DA1"/>
            <w:spacing w:val="-4"/>
            <w:position w:val="5"/>
            <w:sz w:val="14"/>
            <w:u w:val="single" w:color="005DA1"/>
          </w:rPr>
          <w:t>663</w:t>
        </w:r>
      </w:hyperlink>
      <w:r>
        <w:rPr>
          <w:spacing w:val="-4"/>
          <w:position w:val="5"/>
          <w:sz w:val="14"/>
        </w:rPr>
        <w:t>.</w:t>
      </w:r>
      <w:r>
        <w:rPr>
          <w:position w:val="5"/>
          <w:sz w:val="14"/>
        </w:rPr>
        <w:tab/>
      </w:r>
      <w:r>
        <w:rPr>
          <w:sz w:val="20"/>
        </w:rPr>
        <w:t>Rome I </w:t>
      </w:r>
      <w:r>
        <w:rPr>
          <w:spacing w:val="-2"/>
          <w:sz w:val="20"/>
        </w:rPr>
        <w:t>art.27(1).</w:t>
      </w:r>
    </w:p>
    <w:p>
      <w:pPr>
        <w:pStyle w:val="BodyText"/>
        <w:spacing w:before="5"/>
      </w:pPr>
    </w:p>
    <w:p>
      <w:pPr>
        <w:pStyle w:val="BodyText"/>
        <w:tabs>
          <w:tab w:pos="705" w:val="left" w:leader="none"/>
        </w:tabs>
        <w:ind w:left="165"/>
      </w:pPr>
      <w:bookmarkStart w:name="_bookmark1297" w:id="1299"/>
      <w:bookmarkEnd w:id="1299"/>
      <w:r>
        <w:rPr/>
      </w:r>
      <w:hyperlink w:history="true" w:anchor="_bookmark1222">
        <w:r>
          <w:rPr>
            <w:color w:val="005DA1"/>
            <w:spacing w:val="-4"/>
            <w:position w:val="5"/>
            <w:sz w:val="14"/>
            <w:u w:val="single" w:color="005DA1"/>
          </w:rPr>
          <w:t>664</w:t>
        </w:r>
      </w:hyperlink>
      <w:r>
        <w:rPr>
          <w:spacing w:val="-4"/>
          <w:position w:val="5"/>
          <w:sz w:val="14"/>
        </w:rPr>
        <w:t>.</w:t>
      </w:r>
      <w:r>
        <w:rPr>
          <w:position w:val="5"/>
          <w:sz w:val="14"/>
        </w:rPr>
        <w:tab/>
      </w:r>
      <w:r>
        <w:rPr/>
        <w:t>Rome</w:t>
      </w:r>
      <w:r>
        <w:rPr>
          <w:spacing w:val="-2"/>
        </w:rPr>
        <w:t> </w:t>
      </w:r>
      <w:r>
        <w:rPr/>
        <w:t>I art.27(1)(a), </w:t>
      </w:r>
      <w:r>
        <w:rPr>
          <w:spacing w:val="-4"/>
        </w:rPr>
        <w:t>(6).</w:t>
      </w:r>
    </w:p>
    <w:p>
      <w:pPr>
        <w:pStyle w:val="BodyText"/>
        <w:spacing w:before="5"/>
      </w:pPr>
    </w:p>
    <w:p>
      <w:pPr>
        <w:pStyle w:val="BodyText"/>
        <w:tabs>
          <w:tab w:pos="705" w:val="left" w:leader="none"/>
        </w:tabs>
        <w:ind w:left="165"/>
      </w:pPr>
      <w:bookmarkStart w:name="_bookmark1298" w:id="1300"/>
      <w:bookmarkEnd w:id="1300"/>
      <w:r>
        <w:rPr/>
      </w:r>
      <w:hyperlink w:history="true" w:anchor="_bookmark1223">
        <w:r>
          <w:rPr>
            <w:color w:val="005DA1"/>
            <w:spacing w:val="-4"/>
            <w:position w:val="5"/>
            <w:sz w:val="14"/>
            <w:u w:val="single" w:color="005DA1"/>
          </w:rPr>
          <w:t>665</w:t>
        </w:r>
      </w:hyperlink>
      <w:r>
        <w:rPr>
          <w:spacing w:val="-4"/>
          <w:position w:val="5"/>
          <w:sz w:val="14"/>
        </w:rPr>
        <w:t>.</w:t>
      </w:r>
      <w:r>
        <w:rPr>
          <w:position w:val="5"/>
          <w:sz w:val="14"/>
        </w:rPr>
        <w:tab/>
      </w:r>
      <w:r>
        <w:rPr/>
        <w:t>See below, paras 30-231 et seq., 30-252 et </w:t>
      </w:r>
      <w:r>
        <w:rPr>
          <w:spacing w:val="-4"/>
        </w:rPr>
        <w:t>seq.</w:t>
      </w:r>
    </w:p>
    <w:p>
      <w:pPr>
        <w:pStyle w:val="BodyText"/>
        <w:spacing w:before="5"/>
      </w:pPr>
    </w:p>
    <w:p>
      <w:pPr>
        <w:pStyle w:val="BodyText"/>
        <w:tabs>
          <w:tab w:pos="705" w:val="left" w:leader="none"/>
        </w:tabs>
        <w:ind w:left="165"/>
      </w:pPr>
      <w:bookmarkStart w:name="_bookmark1299" w:id="1301"/>
      <w:bookmarkEnd w:id="1301"/>
      <w:r>
        <w:rPr/>
      </w:r>
      <w:hyperlink w:history="true" w:anchor="_bookmark1224">
        <w:r>
          <w:rPr>
            <w:color w:val="005DA1"/>
            <w:spacing w:val="-4"/>
            <w:position w:val="5"/>
            <w:sz w:val="14"/>
            <w:u w:val="single" w:color="005DA1"/>
          </w:rPr>
          <w:t>666</w:t>
        </w:r>
      </w:hyperlink>
      <w:r>
        <w:rPr>
          <w:spacing w:val="-4"/>
          <w:position w:val="5"/>
          <w:sz w:val="14"/>
        </w:rPr>
        <w:t>.</w:t>
      </w:r>
      <w:r>
        <w:rPr>
          <w:position w:val="5"/>
          <w:sz w:val="14"/>
        </w:rPr>
        <w:tab/>
      </w:r>
      <w:r>
        <w:rPr/>
        <w:t>Rome I art.27(2). The review has not yet been </w:t>
      </w:r>
      <w:r>
        <w:rPr>
          <w:spacing w:val="-2"/>
        </w:rPr>
        <w:t>concluded.</w:t>
      </w:r>
    </w:p>
    <w:p>
      <w:pPr>
        <w:pStyle w:val="BodyText"/>
        <w:spacing w:before="5"/>
      </w:pPr>
    </w:p>
    <w:p>
      <w:pPr>
        <w:pStyle w:val="BodyText"/>
        <w:tabs>
          <w:tab w:pos="705" w:val="left" w:leader="none"/>
        </w:tabs>
        <w:ind w:left="165"/>
      </w:pPr>
      <w:bookmarkStart w:name="_bookmark1300" w:id="1302"/>
      <w:bookmarkEnd w:id="1302"/>
      <w:r>
        <w:rPr/>
      </w:r>
      <w:hyperlink w:history="true" w:anchor="_bookmark1225">
        <w:r>
          <w:rPr>
            <w:color w:val="005DA1"/>
            <w:spacing w:val="-4"/>
            <w:position w:val="5"/>
            <w:sz w:val="14"/>
            <w:u w:val="single" w:color="005DA1"/>
          </w:rPr>
          <w:t>667</w:t>
        </w:r>
      </w:hyperlink>
      <w:r>
        <w:rPr>
          <w:spacing w:val="-4"/>
          <w:position w:val="5"/>
          <w:sz w:val="14"/>
        </w:rPr>
        <w:t>.</w:t>
      </w:r>
      <w:r>
        <w:rPr>
          <w:position w:val="5"/>
          <w:sz w:val="14"/>
        </w:rPr>
        <w:tab/>
      </w:r>
      <w:r>
        <w:rPr/>
        <w:t>See below, paras 30-289 et </w:t>
      </w:r>
      <w:r>
        <w:rPr>
          <w:spacing w:val="-4"/>
        </w:rPr>
        <w:t>seq.</w:t>
      </w:r>
    </w:p>
    <w:p>
      <w:pPr>
        <w:pStyle w:val="BodyText"/>
        <w:spacing w:before="5"/>
      </w:pPr>
    </w:p>
    <w:p>
      <w:pPr>
        <w:pStyle w:val="BodyText"/>
        <w:tabs>
          <w:tab w:pos="705" w:val="left" w:leader="none"/>
        </w:tabs>
        <w:ind w:left="165"/>
      </w:pPr>
      <w:bookmarkStart w:name="_bookmark1301" w:id="1303"/>
      <w:bookmarkEnd w:id="1303"/>
      <w:r>
        <w:rPr/>
      </w:r>
      <w:hyperlink w:history="true" w:anchor="_bookmark1226">
        <w:r>
          <w:rPr>
            <w:color w:val="005DA1"/>
            <w:spacing w:val="-4"/>
            <w:position w:val="5"/>
            <w:sz w:val="14"/>
            <w:u w:val="single" w:color="005DA1"/>
          </w:rPr>
          <w:t>668</w:t>
        </w:r>
      </w:hyperlink>
      <w:r>
        <w:rPr>
          <w:spacing w:val="-4"/>
          <w:position w:val="5"/>
          <w:sz w:val="14"/>
        </w:rPr>
        <w:t>.</w:t>
      </w:r>
      <w:r>
        <w:rPr>
          <w:position w:val="5"/>
          <w:sz w:val="14"/>
        </w:rPr>
        <w:tab/>
      </w:r>
      <w:r>
        <w:rPr/>
        <w:t>See below, paras 30-351 et </w:t>
      </w:r>
      <w:r>
        <w:rPr>
          <w:spacing w:val="-4"/>
        </w:rPr>
        <w:t>seq.</w:t>
      </w:r>
    </w:p>
    <w:p>
      <w:pPr>
        <w:pStyle w:val="BodyText"/>
        <w:spacing w:before="5"/>
      </w:pPr>
    </w:p>
    <w:p>
      <w:pPr>
        <w:pStyle w:val="BodyText"/>
        <w:tabs>
          <w:tab w:pos="705" w:val="left" w:leader="none"/>
        </w:tabs>
        <w:ind w:left="165"/>
      </w:pPr>
      <w:bookmarkStart w:name="_bookmark1302" w:id="1304"/>
      <w:bookmarkEnd w:id="1304"/>
      <w:r>
        <w:rPr/>
      </w:r>
      <w:hyperlink w:history="true" w:anchor="_bookmark1227">
        <w:r>
          <w:rPr>
            <w:color w:val="005DA1"/>
            <w:spacing w:val="-4"/>
            <w:position w:val="5"/>
            <w:sz w:val="14"/>
            <w:u w:val="single" w:color="005DA1"/>
          </w:rPr>
          <w:t>669</w:t>
        </w:r>
      </w:hyperlink>
      <w:r>
        <w:rPr>
          <w:spacing w:val="-4"/>
          <w:position w:val="5"/>
          <w:sz w:val="14"/>
        </w:rPr>
        <w:t>.</w:t>
      </w:r>
      <w:r>
        <w:rPr>
          <w:position w:val="5"/>
          <w:sz w:val="14"/>
        </w:rPr>
        <w:tab/>
      </w:r>
      <w:r>
        <w:rPr/>
        <w:t>See</w:t>
      </w:r>
      <w:r>
        <w:rPr>
          <w:spacing w:val="-2"/>
        </w:rPr>
        <w:t> </w:t>
      </w:r>
      <w:r>
        <w:rPr/>
        <w:t>above, para.30-</w:t>
      </w:r>
      <w:r>
        <w:rPr>
          <w:spacing w:val="-4"/>
        </w:rPr>
        <w:t>021.</w:t>
      </w:r>
    </w:p>
    <w:p>
      <w:pPr>
        <w:pStyle w:val="BodyText"/>
        <w:spacing w:before="5"/>
      </w:pPr>
    </w:p>
    <w:p>
      <w:pPr>
        <w:pStyle w:val="BodyText"/>
        <w:tabs>
          <w:tab w:pos="705" w:val="left" w:leader="none"/>
        </w:tabs>
        <w:ind w:left="165"/>
      </w:pPr>
      <w:bookmarkStart w:name="_bookmark1303" w:id="1305"/>
      <w:bookmarkEnd w:id="1305"/>
      <w:r>
        <w:rPr/>
      </w:r>
      <w:hyperlink w:history="true" w:anchor="_bookmark1228">
        <w:r>
          <w:rPr>
            <w:color w:val="005DA1"/>
            <w:spacing w:val="-4"/>
            <w:position w:val="5"/>
            <w:sz w:val="14"/>
            <w:u w:val="single" w:color="005DA1"/>
          </w:rPr>
          <w:t>670</w:t>
        </w:r>
      </w:hyperlink>
      <w:r>
        <w:rPr>
          <w:spacing w:val="-4"/>
          <w:position w:val="5"/>
          <w:sz w:val="14"/>
        </w:rPr>
        <w:t>.</w:t>
      </w:r>
      <w:r>
        <w:rPr>
          <w:position w:val="5"/>
          <w:sz w:val="14"/>
        </w:rPr>
        <w:tab/>
      </w:r>
      <w:r>
        <w:rPr/>
        <w:t>See</w:t>
      </w:r>
      <w:r>
        <w:rPr>
          <w:spacing w:val="-2"/>
        </w:rPr>
        <w:t> </w:t>
      </w:r>
      <w:r>
        <w:rPr/>
        <w:t>above, para.30-</w:t>
      </w:r>
      <w:r>
        <w:rPr>
          <w:spacing w:val="-4"/>
        </w:rPr>
        <w:t>017.</w:t>
      </w:r>
    </w:p>
    <w:p>
      <w:pPr>
        <w:pStyle w:val="BodyText"/>
        <w:spacing w:before="5"/>
      </w:pPr>
    </w:p>
    <w:p>
      <w:pPr>
        <w:pStyle w:val="BodyText"/>
        <w:tabs>
          <w:tab w:pos="705" w:val="left" w:leader="none"/>
        </w:tabs>
        <w:ind w:left="165"/>
      </w:pPr>
      <w:bookmarkStart w:name="_bookmark1304" w:id="1306"/>
      <w:bookmarkEnd w:id="1306"/>
      <w:r>
        <w:rPr/>
      </w:r>
      <w:hyperlink w:history="true" w:anchor="_bookmark1229">
        <w:r>
          <w:rPr>
            <w:color w:val="005DA1"/>
            <w:spacing w:val="-4"/>
            <w:position w:val="5"/>
            <w:sz w:val="14"/>
            <w:u w:val="single" w:color="005DA1"/>
          </w:rPr>
          <w:t>671</w:t>
        </w:r>
      </w:hyperlink>
      <w:r>
        <w:rPr>
          <w:spacing w:val="-4"/>
          <w:position w:val="5"/>
          <w:sz w:val="14"/>
        </w:rPr>
        <w:t>.</w:t>
      </w:r>
      <w:r>
        <w:rPr>
          <w:position w:val="5"/>
          <w:sz w:val="14"/>
        </w:rPr>
        <w:tab/>
      </w:r>
      <w:r>
        <w:rPr/>
        <w:t>See above, para.30-121 and below, para.30-</w:t>
      </w:r>
      <w:r>
        <w:rPr>
          <w:spacing w:val="-4"/>
        </w:rPr>
        <w:t>288.</w:t>
      </w:r>
    </w:p>
    <w:p>
      <w:pPr>
        <w:pStyle w:val="BodyText"/>
        <w:spacing w:before="5"/>
      </w:pPr>
    </w:p>
    <w:p>
      <w:pPr>
        <w:tabs>
          <w:tab w:pos="705" w:val="left" w:leader="none"/>
        </w:tabs>
        <w:spacing w:before="0"/>
        <w:ind w:left="165" w:right="0" w:firstLine="0"/>
        <w:jc w:val="left"/>
        <w:rPr>
          <w:sz w:val="20"/>
        </w:rPr>
      </w:pPr>
      <w:bookmarkStart w:name="_bookmark1305" w:id="1307"/>
      <w:bookmarkEnd w:id="1307"/>
      <w:r>
        <w:rPr/>
      </w:r>
      <w:hyperlink w:history="true" w:anchor="_bookmark1230">
        <w:r>
          <w:rPr>
            <w:color w:val="005DA1"/>
            <w:spacing w:val="-4"/>
            <w:position w:val="5"/>
            <w:sz w:val="14"/>
            <w:u w:val="single" w:color="005DA1"/>
          </w:rPr>
          <w:t>672</w:t>
        </w:r>
      </w:hyperlink>
      <w:r>
        <w:rPr>
          <w:spacing w:val="-4"/>
          <w:position w:val="5"/>
          <w:sz w:val="14"/>
        </w:rPr>
        <w:t>.</w:t>
      </w:r>
      <w:r>
        <w:rPr>
          <w:position w:val="5"/>
          <w:sz w:val="14"/>
        </w:rPr>
        <w:tab/>
      </w:r>
      <w:r>
        <w:rPr>
          <w:sz w:val="20"/>
        </w:rPr>
        <w:t>See para.30-</w:t>
      </w:r>
      <w:r>
        <w:rPr>
          <w:spacing w:val="-4"/>
          <w:sz w:val="20"/>
        </w:rPr>
        <w:t>133.</w:t>
      </w:r>
    </w:p>
    <w:p>
      <w:pPr>
        <w:pStyle w:val="BodyText"/>
        <w:spacing w:before="9"/>
      </w:pPr>
    </w:p>
    <w:p>
      <w:pPr>
        <w:pStyle w:val="BodyText"/>
        <w:spacing w:line="235" w:lineRule="auto"/>
        <w:ind w:left="705" w:right="167" w:hanging="541"/>
        <w:jc w:val="both"/>
      </w:pPr>
      <w:bookmarkStart w:name="_bookmark1306" w:id="1308"/>
      <w:bookmarkEnd w:id="1308"/>
      <w:r>
        <w:rPr/>
      </w:r>
      <w:hyperlink w:history="true" w:anchor="_bookmark1231">
        <w:r>
          <w:rPr>
            <w:color w:val="005DA1"/>
            <w:position w:val="5"/>
            <w:sz w:val="14"/>
            <w:u w:val="single" w:color="005DA1"/>
          </w:rPr>
          <w:t>673</w:t>
        </w:r>
      </w:hyperlink>
      <w:r>
        <w:rPr>
          <w:position w:val="5"/>
          <w:sz w:val="14"/>
        </w:rPr>
        <w:t>.</w:t>
      </w:r>
      <w:r>
        <w:rPr>
          <w:spacing w:val="80"/>
          <w:position w:val="5"/>
          <w:sz w:val="14"/>
        </w:rPr>
        <w:t>  </w:t>
      </w:r>
      <w:r>
        <w:rPr/>
        <w:t>Recital</w:t>
      </w:r>
      <w:r>
        <w:rPr>
          <w:spacing w:val="35"/>
        </w:rPr>
        <w:t> </w:t>
      </w:r>
      <w:r>
        <w:rPr/>
        <w:t>7</w:t>
      </w:r>
      <w:r>
        <w:rPr>
          <w:spacing w:val="35"/>
        </w:rPr>
        <w:t> </w:t>
      </w:r>
      <w:r>
        <w:rPr/>
        <w:t>to</w:t>
      </w:r>
      <w:r>
        <w:rPr>
          <w:spacing w:val="35"/>
        </w:rPr>
        <w:t> </w:t>
      </w:r>
      <w:r>
        <w:rPr/>
        <w:t>the</w:t>
      </w:r>
      <w:r>
        <w:rPr>
          <w:spacing w:val="35"/>
        </w:rPr>
        <w:t> </w:t>
      </w:r>
      <w:r>
        <w:rPr/>
        <w:t>Rome</w:t>
      </w:r>
      <w:r>
        <w:rPr>
          <w:spacing w:val="35"/>
        </w:rPr>
        <w:t> </w:t>
      </w:r>
      <w:r>
        <w:rPr/>
        <w:t>I</w:t>
      </w:r>
      <w:r>
        <w:rPr>
          <w:spacing w:val="35"/>
        </w:rPr>
        <w:t> </w:t>
      </w:r>
      <w:r>
        <w:rPr/>
        <w:t>Regulation.</w:t>
      </w:r>
      <w:r>
        <w:rPr>
          <w:spacing w:val="35"/>
        </w:rPr>
        <w:t> </w:t>
      </w:r>
      <w:r>
        <w:rPr/>
        <w:t>See</w:t>
      </w:r>
      <w:r>
        <w:rPr>
          <w:spacing w:val="35"/>
        </w:rPr>
        <w:t> </w:t>
      </w:r>
      <w:r>
        <w:rPr/>
        <w:t>Dicey,</w:t>
      </w:r>
      <w:r>
        <w:rPr>
          <w:spacing w:val="35"/>
        </w:rPr>
        <w:t> </w:t>
      </w:r>
      <w:r>
        <w:rPr/>
        <w:t>Morris</w:t>
      </w:r>
      <w:r>
        <w:rPr>
          <w:spacing w:val="35"/>
        </w:rPr>
        <w:t> </w:t>
      </w:r>
      <w:r>
        <w:rPr/>
        <w:t>and</w:t>
      </w:r>
      <w:r>
        <w:rPr>
          <w:spacing w:val="35"/>
        </w:rPr>
        <w:t> </w:t>
      </w:r>
      <w:r>
        <w:rPr/>
        <w:t>Collins,</w:t>
      </w:r>
      <w:r>
        <w:rPr>
          <w:spacing w:val="35"/>
        </w:rPr>
        <w:t> </w:t>
      </w:r>
      <w:r>
        <w:rPr/>
        <w:t>15th</w:t>
      </w:r>
      <w:r>
        <w:rPr>
          <w:spacing w:val="35"/>
        </w:rPr>
        <w:t> </w:t>
      </w:r>
      <w:r>
        <w:rPr/>
        <w:t>edn</w:t>
      </w:r>
      <w:r>
        <w:rPr>
          <w:spacing w:val="35"/>
        </w:rPr>
        <w:t> </w:t>
      </w:r>
      <w:r>
        <w:rPr/>
        <w:t>(2012),</w:t>
      </w:r>
      <w:r>
        <w:rPr>
          <w:spacing w:val="35"/>
        </w:rPr>
        <w:t> </w:t>
      </w:r>
      <w:r>
        <w:rPr/>
        <w:t>paras 11-029 et seq.; Dicey Morris and Collins, 15th edn (2012), paras 32-025, 34-015. Both the Judgments Regulation recast and the Rome II Regulation specifically exclude from their </w:t>
      </w:r>
      <w:r>
        <w:rPr/>
        <w:t>scope “the liability of the State for acts and omissions in the exercise of State authority” (art.1(1)). See Dicey, Morris and Collins, 15th edn (2012), para.34-015. See generally on the Rome II Regulation, Dickinson, </w:t>
      </w:r>
      <w:r>
        <w:rPr>
          <w:rFonts w:ascii="Arial" w:hAnsi="Arial"/>
          <w:i/>
        </w:rPr>
        <w:t>The Rome II Regulation </w:t>
      </w:r>
      <w:r>
        <w:rPr/>
        <w:t>(2008).</w:t>
      </w:r>
    </w:p>
    <w:p>
      <w:pPr>
        <w:pStyle w:val="BodyText"/>
        <w:spacing w:before="4"/>
      </w:pPr>
    </w:p>
    <w:p>
      <w:pPr>
        <w:pStyle w:val="BodyText"/>
        <w:tabs>
          <w:tab w:pos="705" w:val="left" w:leader="none"/>
        </w:tabs>
        <w:spacing w:line="227" w:lineRule="exact"/>
        <w:ind w:left="165"/>
      </w:pPr>
      <w:bookmarkStart w:name="_bookmark1307" w:id="1309"/>
      <w:bookmarkEnd w:id="1309"/>
      <w:r>
        <w:rPr/>
      </w:r>
      <w:hyperlink w:history="true" w:anchor="_bookmark1232">
        <w:r>
          <w:rPr>
            <w:color w:val="005DA1"/>
            <w:spacing w:val="-4"/>
            <w:position w:val="5"/>
            <w:sz w:val="14"/>
            <w:u w:val="single" w:color="005DA1"/>
          </w:rPr>
          <w:t>674</w:t>
        </w:r>
      </w:hyperlink>
      <w:r>
        <w:rPr>
          <w:spacing w:val="-4"/>
          <w:position w:val="5"/>
          <w:sz w:val="14"/>
        </w:rPr>
        <w:t>.</w:t>
      </w:r>
      <w:r>
        <w:rPr>
          <w:position w:val="5"/>
          <w:sz w:val="14"/>
        </w:rPr>
        <w:tab/>
      </w:r>
      <w:r>
        <w:rPr/>
        <w:t>cf.</w:t>
      </w:r>
      <w:r>
        <w:rPr>
          <w:spacing w:val="34"/>
        </w:rPr>
        <w:t> </w:t>
      </w:r>
      <w:r>
        <w:rPr/>
        <w:t>Dicey,</w:t>
      </w:r>
      <w:r>
        <w:rPr>
          <w:spacing w:val="34"/>
        </w:rPr>
        <w:t> </w:t>
      </w:r>
      <w:r>
        <w:rPr/>
        <w:t>Morris</w:t>
      </w:r>
      <w:r>
        <w:rPr>
          <w:spacing w:val="34"/>
        </w:rPr>
        <w:t> </w:t>
      </w:r>
      <w:r>
        <w:rPr/>
        <w:t>and</w:t>
      </w:r>
      <w:r>
        <w:rPr>
          <w:spacing w:val="34"/>
        </w:rPr>
        <w:t> </w:t>
      </w:r>
      <w:r>
        <w:rPr/>
        <w:t>Collins,</w:t>
      </w:r>
      <w:r>
        <w:rPr>
          <w:spacing w:val="34"/>
        </w:rPr>
        <w:t> </w:t>
      </w:r>
      <w:r>
        <w:rPr/>
        <w:t>15th</w:t>
      </w:r>
      <w:r>
        <w:rPr>
          <w:spacing w:val="34"/>
        </w:rPr>
        <w:t> </w:t>
      </w:r>
      <w:r>
        <w:rPr/>
        <w:t>edn</w:t>
      </w:r>
      <w:r>
        <w:rPr>
          <w:spacing w:val="34"/>
        </w:rPr>
        <w:t> </w:t>
      </w:r>
      <w:r>
        <w:rPr/>
        <w:t>(2012),</w:t>
      </w:r>
      <w:r>
        <w:rPr>
          <w:spacing w:val="34"/>
        </w:rPr>
        <w:t> </w:t>
      </w:r>
      <w:r>
        <w:rPr/>
        <w:t>para.32-015;</w:t>
      </w:r>
      <w:r>
        <w:rPr>
          <w:spacing w:val="34"/>
        </w:rPr>
        <w:t> </w:t>
      </w:r>
      <w:r>
        <w:rPr/>
        <w:t>Foyer,</w:t>
      </w:r>
      <w:r>
        <w:rPr>
          <w:spacing w:val="34"/>
        </w:rPr>
        <w:t> </w:t>
      </w:r>
      <w:r>
        <w:rPr/>
        <w:t>1991</w:t>
      </w:r>
      <w:r>
        <w:rPr>
          <w:spacing w:val="34"/>
        </w:rPr>
        <w:t> </w:t>
      </w:r>
      <w:r>
        <w:rPr/>
        <w:t>Clunet</w:t>
      </w:r>
      <w:r>
        <w:rPr>
          <w:spacing w:val="34"/>
        </w:rPr>
        <w:t> </w:t>
      </w:r>
      <w:r>
        <w:rPr/>
        <w:t>605;</w:t>
      </w:r>
      <w:r>
        <w:rPr>
          <w:spacing w:val="34"/>
        </w:rPr>
        <w:t> </w:t>
      </w:r>
      <w:r>
        <w:rPr>
          <w:spacing w:val="-2"/>
        </w:rPr>
        <w:t>Audit,</w:t>
      </w:r>
    </w:p>
    <w:p>
      <w:pPr>
        <w:spacing w:line="227" w:lineRule="exact" w:before="0"/>
        <w:ind w:left="705" w:right="0" w:firstLine="0"/>
        <w:jc w:val="left"/>
        <w:rPr>
          <w:sz w:val="20"/>
        </w:rPr>
      </w:pPr>
      <w:r>
        <w:rPr>
          <w:rFonts w:ascii="Arial" w:hAnsi="Arial"/>
          <w:i/>
          <w:sz w:val="20"/>
        </w:rPr>
        <w:t>Droit</w:t>
      </w:r>
      <w:r>
        <w:rPr>
          <w:rFonts w:ascii="Arial" w:hAnsi="Arial"/>
          <w:i/>
          <w:spacing w:val="-1"/>
          <w:sz w:val="20"/>
        </w:rPr>
        <w:t> </w:t>
      </w:r>
      <w:r>
        <w:rPr>
          <w:rFonts w:ascii="Arial" w:hAnsi="Arial"/>
          <w:i/>
          <w:sz w:val="20"/>
        </w:rPr>
        <w:t>International Privé</w:t>
      </w:r>
      <w:r>
        <w:rPr>
          <w:sz w:val="20"/>
        </w:rPr>
        <w:t>, 4th edn (2006), </w:t>
      </w:r>
      <w:r>
        <w:rPr>
          <w:spacing w:val="-2"/>
          <w:sz w:val="20"/>
        </w:rPr>
        <w:t>para.829.</w:t>
      </w:r>
    </w:p>
    <w:p>
      <w:pPr>
        <w:pStyle w:val="BodyText"/>
        <w:spacing w:before="5"/>
      </w:pPr>
    </w:p>
    <w:p>
      <w:pPr>
        <w:tabs>
          <w:tab w:pos="705" w:val="left" w:leader="none"/>
        </w:tabs>
        <w:spacing w:before="0"/>
        <w:ind w:left="165" w:right="0" w:firstLine="0"/>
        <w:jc w:val="left"/>
        <w:rPr>
          <w:sz w:val="20"/>
        </w:rPr>
      </w:pPr>
      <w:bookmarkStart w:name="_bookmark1308" w:id="1310"/>
      <w:bookmarkEnd w:id="1310"/>
      <w:r>
        <w:rPr/>
      </w:r>
      <w:hyperlink w:history="true" w:anchor="_bookmark1233">
        <w:r>
          <w:rPr>
            <w:color w:val="005DA1"/>
            <w:spacing w:val="-4"/>
            <w:position w:val="5"/>
            <w:sz w:val="14"/>
            <w:u w:val="single" w:color="005DA1"/>
          </w:rPr>
          <w:t>675</w:t>
        </w:r>
      </w:hyperlink>
      <w:r>
        <w:rPr>
          <w:spacing w:val="-4"/>
          <w:position w:val="5"/>
          <w:sz w:val="14"/>
        </w:rPr>
        <w:t>.</w:t>
      </w:r>
      <w:r>
        <w:rPr>
          <w:position w:val="5"/>
          <w:sz w:val="14"/>
        </w:rPr>
        <w:tab/>
      </w:r>
      <w:r>
        <w:rPr>
          <w:sz w:val="20"/>
        </w:rPr>
        <w:t>See preceding </w:t>
      </w:r>
      <w:r>
        <w:rPr>
          <w:spacing w:val="-2"/>
          <w:sz w:val="20"/>
        </w:rPr>
        <w:t>note.</w:t>
      </w:r>
    </w:p>
    <w:p>
      <w:pPr>
        <w:pStyle w:val="BodyText"/>
        <w:spacing w:before="5"/>
      </w:pPr>
    </w:p>
    <w:p>
      <w:pPr>
        <w:tabs>
          <w:tab w:pos="705" w:val="left" w:leader="none"/>
        </w:tabs>
        <w:spacing w:before="0"/>
        <w:ind w:left="165" w:right="0" w:firstLine="0"/>
        <w:jc w:val="left"/>
        <w:rPr>
          <w:sz w:val="20"/>
        </w:rPr>
      </w:pPr>
      <w:bookmarkStart w:name="_bookmark1309" w:id="1311"/>
      <w:bookmarkEnd w:id="1311"/>
      <w:r>
        <w:rPr/>
      </w:r>
      <w:hyperlink w:history="true" w:anchor="_bookmark1234">
        <w:r>
          <w:rPr>
            <w:color w:val="005DA1"/>
            <w:spacing w:val="-4"/>
            <w:position w:val="5"/>
            <w:sz w:val="14"/>
            <w:u w:val="single" w:color="005DA1"/>
          </w:rPr>
          <w:t>676</w:t>
        </w:r>
      </w:hyperlink>
      <w:r>
        <w:rPr>
          <w:spacing w:val="-4"/>
          <w:position w:val="5"/>
          <w:sz w:val="14"/>
        </w:rPr>
        <w:t>.</w:t>
      </w:r>
      <w:r>
        <w:rPr>
          <w:position w:val="5"/>
          <w:sz w:val="14"/>
        </w:rPr>
        <w:tab/>
      </w:r>
      <w:r>
        <w:rPr>
          <w:sz w:val="20"/>
        </w:rPr>
        <w:t>cf. </w:t>
      </w:r>
      <w:r>
        <w:rPr>
          <w:rFonts w:ascii="Arial"/>
          <w:i/>
          <w:sz w:val="20"/>
        </w:rPr>
        <w:t>Kleinworth Benson Ltd v Glasgow City Council [1999] 1 A.C. </w:t>
      </w:r>
      <w:r>
        <w:rPr>
          <w:rFonts w:ascii="Arial"/>
          <w:i/>
          <w:spacing w:val="-4"/>
          <w:sz w:val="20"/>
        </w:rPr>
        <w:t>153</w:t>
      </w:r>
      <w:r>
        <w:rPr>
          <w:spacing w:val="-4"/>
          <w:sz w:val="20"/>
        </w:rPr>
        <w:t>.</w:t>
      </w:r>
    </w:p>
    <w:p>
      <w:pPr>
        <w:pStyle w:val="BodyText"/>
        <w:spacing w:before="5"/>
      </w:pPr>
    </w:p>
    <w:p>
      <w:pPr>
        <w:pStyle w:val="BodyText"/>
        <w:tabs>
          <w:tab w:pos="705" w:val="left" w:leader="none"/>
        </w:tabs>
        <w:ind w:left="165"/>
      </w:pPr>
      <w:bookmarkStart w:name="_bookmark1310" w:id="1312"/>
      <w:bookmarkEnd w:id="1312"/>
      <w:r>
        <w:rPr/>
      </w:r>
      <w:hyperlink w:history="true" w:anchor="_bookmark1235">
        <w:r>
          <w:rPr>
            <w:color w:val="005DA1"/>
            <w:spacing w:val="-4"/>
            <w:position w:val="5"/>
            <w:sz w:val="14"/>
            <w:u w:val="single" w:color="005DA1"/>
          </w:rPr>
          <w:t>677</w:t>
        </w:r>
      </w:hyperlink>
      <w:r>
        <w:rPr>
          <w:spacing w:val="-4"/>
          <w:position w:val="5"/>
          <w:sz w:val="14"/>
        </w:rPr>
        <w:t>.</w:t>
      </w:r>
      <w:r>
        <w:rPr>
          <w:position w:val="5"/>
          <w:sz w:val="14"/>
        </w:rPr>
        <w:tab/>
      </w:r>
      <w:r>
        <w:rPr/>
        <w:t>See Dicey, Morris and Collins, para.32-</w:t>
      </w:r>
      <w:r>
        <w:rPr>
          <w:spacing w:val="-4"/>
        </w:rPr>
        <w:t>024.</w:t>
      </w:r>
    </w:p>
    <w:p>
      <w:pPr>
        <w:pStyle w:val="BodyText"/>
        <w:spacing w:before="5"/>
      </w:pPr>
    </w:p>
    <w:p>
      <w:pPr>
        <w:pStyle w:val="BodyText"/>
        <w:tabs>
          <w:tab w:pos="705" w:val="left" w:leader="none"/>
        </w:tabs>
        <w:ind w:left="165"/>
      </w:pPr>
      <w:bookmarkStart w:name="_bookmark1311" w:id="1313"/>
      <w:bookmarkEnd w:id="1313"/>
      <w:r>
        <w:rPr/>
      </w:r>
      <w:hyperlink w:history="true" w:anchor="_bookmark1236">
        <w:r>
          <w:rPr>
            <w:color w:val="005DA1"/>
            <w:spacing w:val="-4"/>
            <w:position w:val="5"/>
            <w:sz w:val="14"/>
            <w:u w:val="single" w:color="005DA1"/>
          </w:rPr>
          <w:t>678</w:t>
        </w:r>
      </w:hyperlink>
      <w:r>
        <w:rPr>
          <w:spacing w:val="-4"/>
          <w:position w:val="5"/>
          <w:sz w:val="14"/>
        </w:rPr>
        <w:t>.</w:t>
      </w:r>
      <w:r>
        <w:rPr>
          <w:position w:val="5"/>
          <w:sz w:val="14"/>
        </w:rPr>
        <w:tab/>
      </w:r>
      <w:r>
        <w:rPr/>
        <w:t>Judgments Regulation recast </w:t>
      </w:r>
      <w:r>
        <w:rPr>
          <w:spacing w:val="-2"/>
        </w:rPr>
        <w:t>art.1(1).</w:t>
      </w:r>
    </w:p>
    <w:p>
      <w:pPr>
        <w:pStyle w:val="BodyText"/>
        <w:spacing w:before="5"/>
      </w:pPr>
    </w:p>
    <w:p>
      <w:pPr>
        <w:pStyle w:val="BodyText"/>
        <w:tabs>
          <w:tab w:pos="705" w:val="left" w:leader="none"/>
        </w:tabs>
        <w:ind w:left="165"/>
      </w:pPr>
      <w:bookmarkStart w:name="_bookmark1312" w:id="1314"/>
      <w:bookmarkEnd w:id="1314"/>
      <w:r>
        <w:rPr/>
      </w:r>
      <w:hyperlink w:history="true" w:anchor="_bookmark1236">
        <w:r>
          <w:rPr>
            <w:color w:val="005DA1"/>
            <w:spacing w:val="-4"/>
            <w:position w:val="5"/>
            <w:sz w:val="14"/>
            <w:u w:val="single" w:color="005DA1"/>
          </w:rPr>
          <w:t>679</w:t>
        </w:r>
      </w:hyperlink>
      <w:r>
        <w:rPr>
          <w:spacing w:val="-4"/>
          <w:position w:val="5"/>
          <w:sz w:val="14"/>
        </w:rPr>
        <w:t>.</w:t>
      </w:r>
      <w:r>
        <w:rPr>
          <w:position w:val="5"/>
          <w:sz w:val="14"/>
        </w:rPr>
        <w:tab/>
      </w:r>
      <w:r>
        <w:rPr/>
        <w:t>Rome II Regulation </w:t>
      </w:r>
      <w:r>
        <w:rPr>
          <w:spacing w:val="-2"/>
        </w:rPr>
        <w:t>art.1(1).</w:t>
      </w:r>
    </w:p>
    <w:p>
      <w:pPr>
        <w:pStyle w:val="BodyText"/>
        <w:spacing w:before="5"/>
      </w:pPr>
    </w:p>
    <w:p>
      <w:pPr>
        <w:pStyle w:val="BodyText"/>
        <w:tabs>
          <w:tab w:pos="705" w:val="left" w:leader="none"/>
        </w:tabs>
        <w:ind w:left="165"/>
      </w:pPr>
      <w:bookmarkStart w:name="_bookmark1313" w:id="1315"/>
      <w:bookmarkEnd w:id="1315"/>
      <w:r>
        <w:rPr/>
      </w:r>
      <w:hyperlink w:history="true" w:anchor="_bookmark1237">
        <w:r>
          <w:rPr>
            <w:color w:val="005DA1"/>
            <w:spacing w:val="-4"/>
            <w:position w:val="5"/>
            <w:sz w:val="14"/>
            <w:u w:val="single" w:color="005DA1"/>
          </w:rPr>
          <w:t>680</w:t>
        </w:r>
      </w:hyperlink>
      <w:r>
        <w:rPr>
          <w:spacing w:val="-4"/>
          <w:position w:val="5"/>
          <w:sz w:val="14"/>
        </w:rPr>
        <w:t>.</w:t>
      </w:r>
      <w:r>
        <w:rPr>
          <w:position w:val="5"/>
          <w:sz w:val="14"/>
        </w:rPr>
        <w:tab/>
      </w:r>
      <w:r>
        <w:rPr/>
        <w:t>See Dicey, Morris and Collins, 15th edn (2012), para.11-</w:t>
      </w:r>
      <w:r>
        <w:rPr>
          <w:spacing w:val="-4"/>
        </w:rPr>
        <w:t>032.</w:t>
      </w:r>
    </w:p>
    <w:p>
      <w:pPr>
        <w:pStyle w:val="BodyText"/>
        <w:spacing w:before="9"/>
      </w:pPr>
    </w:p>
    <w:p>
      <w:pPr>
        <w:pStyle w:val="BodyText"/>
        <w:tabs>
          <w:tab w:pos="705" w:val="left" w:leader="none"/>
        </w:tabs>
        <w:spacing w:line="235" w:lineRule="auto"/>
        <w:ind w:left="705" w:right="168" w:hanging="541"/>
      </w:pPr>
      <w:bookmarkStart w:name="_bookmark1314" w:id="1316"/>
      <w:bookmarkEnd w:id="1316"/>
      <w:r>
        <w:rPr/>
      </w:r>
      <w:hyperlink w:history="true" w:anchor="_bookmark1238">
        <w:r>
          <w:rPr>
            <w:color w:val="005DA1"/>
            <w:spacing w:val="-4"/>
            <w:position w:val="5"/>
            <w:sz w:val="14"/>
            <w:u w:val="single" w:color="005DA1"/>
          </w:rPr>
          <w:t>681</w:t>
        </w:r>
      </w:hyperlink>
      <w:r>
        <w:rPr>
          <w:spacing w:val="-4"/>
          <w:position w:val="5"/>
          <w:sz w:val="14"/>
        </w:rPr>
        <w:t>.</w:t>
      </w:r>
      <w:r>
        <w:rPr>
          <w:position w:val="5"/>
          <w:sz w:val="14"/>
        </w:rPr>
        <w:tab/>
      </w:r>
      <w:r>
        <w:rPr/>
        <w:t>Member</w:t>
      </w:r>
      <w:r>
        <w:rPr>
          <w:spacing w:val="40"/>
        </w:rPr>
        <w:t> </w:t>
      </w:r>
      <w:r>
        <w:rPr/>
        <w:t>State</w:t>
      </w:r>
      <w:r>
        <w:rPr>
          <w:spacing w:val="40"/>
        </w:rPr>
        <w:t> </w:t>
      </w:r>
      <w:r>
        <w:rPr/>
        <w:t>for</w:t>
      </w:r>
      <w:r>
        <w:rPr>
          <w:spacing w:val="40"/>
        </w:rPr>
        <w:t> </w:t>
      </w:r>
      <w:r>
        <w:rPr/>
        <w:t>these</w:t>
      </w:r>
      <w:r>
        <w:rPr>
          <w:spacing w:val="40"/>
        </w:rPr>
        <w:t> </w:t>
      </w:r>
      <w:r>
        <w:rPr/>
        <w:t>purposes</w:t>
      </w:r>
      <w:r>
        <w:rPr>
          <w:spacing w:val="40"/>
        </w:rPr>
        <w:t> </w:t>
      </w:r>
      <w:r>
        <w:rPr/>
        <w:t>means</w:t>
      </w:r>
      <w:r>
        <w:rPr>
          <w:spacing w:val="40"/>
        </w:rPr>
        <w:t> </w:t>
      </w:r>
      <w:r>
        <w:rPr/>
        <w:t>all</w:t>
      </w:r>
      <w:r>
        <w:rPr>
          <w:spacing w:val="40"/>
        </w:rPr>
        <w:t> </w:t>
      </w:r>
      <w:r>
        <w:rPr/>
        <w:t>the</w:t>
      </w:r>
      <w:r>
        <w:rPr>
          <w:spacing w:val="40"/>
        </w:rPr>
        <w:t> </w:t>
      </w:r>
      <w:r>
        <w:rPr/>
        <w:t>Member</w:t>
      </w:r>
      <w:r>
        <w:rPr>
          <w:spacing w:val="40"/>
        </w:rPr>
        <w:t> </w:t>
      </w:r>
      <w:r>
        <w:rPr/>
        <w:t>States</w:t>
      </w:r>
      <w:r>
        <w:rPr>
          <w:spacing w:val="40"/>
        </w:rPr>
        <w:t> </w:t>
      </w:r>
      <w:r>
        <w:rPr/>
        <w:t>except</w:t>
      </w:r>
      <w:r>
        <w:rPr>
          <w:spacing w:val="40"/>
        </w:rPr>
        <w:t> </w:t>
      </w:r>
      <w:r>
        <w:rPr/>
        <w:t>Denmark:</w:t>
      </w:r>
      <w:r>
        <w:rPr>
          <w:spacing w:val="40"/>
        </w:rPr>
        <w:t> </w:t>
      </w:r>
      <w:r>
        <w:rPr/>
        <w:t>Rome</w:t>
      </w:r>
      <w:r>
        <w:rPr>
          <w:spacing w:val="40"/>
        </w:rPr>
        <w:t> </w:t>
      </w:r>
      <w:r>
        <w:rPr/>
        <w:t>I art.1(3), subject to arts 3(4) and 7.</w:t>
      </w:r>
    </w:p>
    <w:p>
      <w:pPr>
        <w:pStyle w:val="BodyText"/>
        <w:spacing w:after="0" w:line="235" w:lineRule="auto"/>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239">
        <w:r>
          <w:rPr>
            <w:color w:val="005DA1"/>
            <w:spacing w:val="-4"/>
            <w:position w:val="5"/>
            <w:sz w:val="14"/>
            <w:u w:val="single" w:color="005DA1"/>
          </w:rPr>
          <w:t>682</w:t>
        </w:r>
      </w:hyperlink>
      <w:r>
        <w:rPr>
          <w:spacing w:val="-4"/>
          <w:position w:val="5"/>
          <w:sz w:val="14"/>
        </w:rPr>
        <w:t>.</w:t>
      </w:r>
      <w:r>
        <w:rPr>
          <w:position w:val="5"/>
          <w:sz w:val="14"/>
        </w:rPr>
        <w:tab/>
      </w:r>
      <w:r>
        <w:rPr>
          <w:sz w:val="20"/>
        </w:rPr>
        <w:t>Above, para.30-</w:t>
      </w:r>
      <w:r>
        <w:rPr>
          <w:spacing w:val="-4"/>
          <w:sz w:val="20"/>
        </w:rPr>
        <w:t>022.</w:t>
      </w:r>
    </w:p>
    <w:p>
      <w:pPr>
        <w:pStyle w:val="BodyText"/>
        <w:spacing w:before="5"/>
      </w:pPr>
    </w:p>
    <w:p>
      <w:pPr>
        <w:pStyle w:val="BodyText"/>
        <w:tabs>
          <w:tab w:pos="705" w:val="left" w:leader="none"/>
        </w:tabs>
        <w:spacing w:before="1"/>
        <w:ind w:left="165"/>
      </w:pPr>
      <w:bookmarkStart w:name="_bookmark1315" w:id="1317"/>
      <w:bookmarkEnd w:id="1317"/>
      <w:r>
        <w:rPr/>
      </w:r>
      <w:hyperlink w:history="true" w:anchor="_bookmark1240">
        <w:r>
          <w:rPr>
            <w:color w:val="005DA1"/>
            <w:spacing w:val="-4"/>
            <w:position w:val="5"/>
            <w:sz w:val="14"/>
            <w:u w:val="single" w:color="005DA1"/>
          </w:rPr>
          <w:t>683</w:t>
        </w:r>
      </w:hyperlink>
      <w:r>
        <w:rPr>
          <w:spacing w:val="-4"/>
          <w:position w:val="5"/>
          <w:sz w:val="14"/>
        </w:rPr>
        <w:t>.</w:t>
      </w:r>
      <w:r>
        <w:rPr>
          <w:position w:val="5"/>
          <w:sz w:val="14"/>
        </w:rPr>
        <w:tab/>
      </w:r>
      <w:r>
        <w:rPr/>
        <w:t>See, e.g. Rome I arts 3-</w:t>
      </w:r>
      <w:r>
        <w:rPr>
          <w:spacing w:val="-5"/>
        </w:rPr>
        <w:t>8.</w:t>
      </w:r>
    </w:p>
    <w:p>
      <w:pPr>
        <w:pStyle w:val="BodyText"/>
        <w:spacing w:before="8"/>
      </w:pPr>
    </w:p>
    <w:p>
      <w:pPr>
        <w:pStyle w:val="BodyText"/>
        <w:spacing w:line="235" w:lineRule="auto"/>
        <w:ind w:left="705" w:right="167" w:hanging="541"/>
        <w:jc w:val="both"/>
      </w:pPr>
      <w:bookmarkStart w:name="_bookmark1316" w:id="1318"/>
      <w:bookmarkEnd w:id="1318"/>
      <w:r>
        <w:rPr/>
      </w:r>
      <w:hyperlink w:history="true" w:anchor="_bookmark1241">
        <w:r>
          <w:rPr>
            <w:color w:val="005DA1"/>
            <w:position w:val="5"/>
            <w:sz w:val="14"/>
            <w:u w:val="single" w:color="005DA1"/>
          </w:rPr>
          <w:t>684</w:t>
        </w:r>
      </w:hyperlink>
      <w:r>
        <w:rPr>
          <w:position w:val="5"/>
          <w:sz w:val="14"/>
        </w:rPr>
        <w:t>.</w:t>
      </w:r>
      <w:r>
        <w:rPr>
          <w:spacing w:val="80"/>
          <w:w w:val="150"/>
          <w:position w:val="5"/>
          <w:sz w:val="14"/>
        </w:rPr>
        <w:t> </w:t>
      </w:r>
      <w:r>
        <w:rPr/>
        <w:t>Rome I Recital 13 states that the Regulation does not preclude parties from incorporating </w:t>
      </w:r>
      <w:r>
        <w:rPr/>
        <w:t>by reference into their contract a non-state body or law or an international convention. More generally, incorporation by reference of foreign provisions of law into the contract (above, para.30-028) is also permitted. Recital 14 states that should the Community adopt in an appropriate legal instrument rules of substantive contract law, including standard terms and conditions, such instrument may provide that the parties may choose to apply these rules. cf. Proposal for a Regulation of the European Parliament and of the Council on a Common European Sales Law COM(2011) 635 final. This proposal was withdrawn on December 16, 2014: COM(2014) 910 final.</w:t>
      </w:r>
    </w:p>
    <w:p>
      <w:pPr>
        <w:pStyle w:val="BodyText"/>
        <w:spacing w:before="3"/>
      </w:pPr>
    </w:p>
    <w:p>
      <w:pPr>
        <w:tabs>
          <w:tab w:pos="705" w:val="left" w:leader="none"/>
        </w:tabs>
        <w:spacing w:before="0"/>
        <w:ind w:left="165" w:right="0" w:firstLine="0"/>
        <w:jc w:val="left"/>
        <w:rPr>
          <w:sz w:val="20"/>
        </w:rPr>
      </w:pPr>
      <w:bookmarkStart w:name="_bookmark1317" w:id="1319"/>
      <w:bookmarkEnd w:id="1319"/>
      <w:r>
        <w:rPr/>
      </w:r>
      <w:hyperlink w:history="true" w:anchor="_bookmark1242">
        <w:r>
          <w:rPr>
            <w:color w:val="005DA1"/>
            <w:spacing w:val="-4"/>
            <w:position w:val="5"/>
            <w:sz w:val="14"/>
            <w:u w:val="single" w:color="005DA1"/>
          </w:rPr>
          <w:t>685</w:t>
        </w:r>
      </w:hyperlink>
      <w:r>
        <w:rPr>
          <w:spacing w:val="-4"/>
          <w:position w:val="5"/>
          <w:sz w:val="14"/>
        </w:rPr>
        <w:t>.</w:t>
      </w:r>
      <w:r>
        <w:rPr>
          <w:position w:val="5"/>
          <w:sz w:val="14"/>
        </w:rPr>
        <w:tab/>
      </w:r>
      <w:r>
        <w:rPr>
          <w:sz w:val="20"/>
        </w:rPr>
        <w:t>Above, para.30-</w:t>
      </w:r>
      <w:r>
        <w:rPr>
          <w:spacing w:val="-4"/>
          <w:sz w:val="20"/>
        </w:rPr>
        <w:t>047.</w:t>
      </w:r>
    </w:p>
    <w:p>
      <w:pPr>
        <w:pStyle w:val="BodyText"/>
        <w:spacing w:before="5"/>
      </w:pPr>
    </w:p>
    <w:p>
      <w:pPr>
        <w:pStyle w:val="BodyText"/>
        <w:tabs>
          <w:tab w:pos="705" w:val="left" w:leader="none"/>
        </w:tabs>
        <w:ind w:left="165"/>
      </w:pPr>
      <w:bookmarkStart w:name="_bookmark1318" w:id="1320"/>
      <w:bookmarkEnd w:id="1320"/>
      <w:r>
        <w:rPr/>
      </w:r>
      <w:hyperlink w:history="true" w:anchor="_bookmark1243">
        <w:r>
          <w:rPr>
            <w:color w:val="005DA1"/>
            <w:spacing w:val="-4"/>
            <w:position w:val="5"/>
            <w:sz w:val="14"/>
            <w:u w:val="single" w:color="005DA1"/>
          </w:rPr>
          <w:t>686</w:t>
        </w:r>
      </w:hyperlink>
      <w:r>
        <w:rPr>
          <w:spacing w:val="-4"/>
          <w:position w:val="5"/>
          <w:sz w:val="14"/>
        </w:rPr>
        <w:t>.</w:t>
      </w:r>
      <w:r>
        <w:rPr>
          <w:position w:val="5"/>
          <w:sz w:val="14"/>
        </w:rPr>
        <w:tab/>
      </w:r>
      <w:r>
        <w:rPr/>
        <w:t>Rome I art.22(1). cf. the Rome Convention, above, para.30-</w:t>
      </w:r>
      <w:r>
        <w:rPr>
          <w:spacing w:val="-4"/>
        </w:rPr>
        <w:t>023.</w:t>
      </w:r>
    </w:p>
    <w:p>
      <w:pPr>
        <w:pStyle w:val="BodyText"/>
        <w:spacing w:before="5"/>
      </w:pPr>
    </w:p>
    <w:p>
      <w:pPr>
        <w:pStyle w:val="BodyText"/>
        <w:tabs>
          <w:tab w:pos="705" w:val="left" w:leader="none"/>
        </w:tabs>
        <w:ind w:left="165"/>
      </w:pPr>
      <w:bookmarkStart w:name="_bookmark1319" w:id="1321"/>
      <w:bookmarkEnd w:id="1321"/>
      <w:r>
        <w:rPr/>
      </w:r>
      <w:hyperlink w:history="true" w:anchor="_bookmark1244">
        <w:r>
          <w:rPr>
            <w:color w:val="005DA1"/>
            <w:spacing w:val="-4"/>
            <w:position w:val="5"/>
            <w:sz w:val="14"/>
            <w:u w:val="single" w:color="005DA1"/>
          </w:rPr>
          <w:t>687</w:t>
        </w:r>
      </w:hyperlink>
      <w:r>
        <w:rPr>
          <w:spacing w:val="-4"/>
          <w:position w:val="5"/>
          <w:sz w:val="14"/>
        </w:rPr>
        <w:t>.</w:t>
      </w:r>
      <w:r>
        <w:rPr>
          <w:position w:val="5"/>
          <w:sz w:val="14"/>
        </w:rPr>
        <w:tab/>
      </w:r>
      <w:r>
        <w:rPr/>
        <w:t>See</w:t>
      </w:r>
      <w:r>
        <w:rPr>
          <w:spacing w:val="-2"/>
        </w:rPr>
        <w:t> </w:t>
      </w:r>
      <w:r>
        <w:rPr/>
        <w:t>below, para.30-</w:t>
      </w:r>
      <w:r>
        <w:rPr>
          <w:spacing w:val="-4"/>
        </w:rPr>
        <w:t>272.</w:t>
      </w:r>
    </w:p>
    <w:p>
      <w:pPr>
        <w:pStyle w:val="BodyText"/>
        <w:spacing w:before="5"/>
      </w:pPr>
    </w:p>
    <w:p>
      <w:pPr>
        <w:pStyle w:val="BodyText"/>
        <w:tabs>
          <w:tab w:pos="705" w:val="left" w:leader="none"/>
        </w:tabs>
        <w:ind w:left="165"/>
      </w:pPr>
      <w:bookmarkStart w:name="_bookmark1320" w:id="1322"/>
      <w:bookmarkEnd w:id="1322"/>
      <w:r>
        <w:rPr/>
      </w:r>
      <w:hyperlink w:history="true" w:anchor="_bookmark1245">
        <w:r>
          <w:rPr>
            <w:color w:val="005DA1"/>
            <w:spacing w:val="-4"/>
            <w:position w:val="5"/>
            <w:sz w:val="14"/>
            <w:u w:val="single" w:color="005DA1"/>
          </w:rPr>
          <w:t>688</w:t>
        </w:r>
      </w:hyperlink>
      <w:r>
        <w:rPr>
          <w:spacing w:val="-4"/>
          <w:position w:val="5"/>
          <w:sz w:val="14"/>
        </w:rPr>
        <w:t>.</w:t>
      </w:r>
      <w:r>
        <w:rPr>
          <w:position w:val="5"/>
          <w:sz w:val="14"/>
        </w:rPr>
        <w:tab/>
      </w:r>
      <w:r>
        <w:rPr/>
        <w:t>Above,</w:t>
      </w:r>
      <w:r>
        <w:rPr>
          <w:spacing w:val="-2"/>
        </w:rPr>
        <w:t> </w:t>
      </w:r>
      <w:r>
        <w:rPr/>
        <w:t>paras 30-030 et </w:t>
      </w:r>
      <w:r>
        <w:rPr>
          <w:spacing w:val="-4"/>
        </w:rPr>
        <w:t>seq.</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3216">
            <wp:simplePos x="0" y="0"/>
            <wp:positionH relativeFrom="page">
              <wp:posOffset>1257846</wp:posOffset>
            </wp:positionH>
            <wp:positionV relativeFrom="paragraph">
              <wp:posOffset>160395</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21" w:id="1323"/>
      <w:bookmarkEnd w:id="1323"/>
      <w:r>
        <w:rPr/>
      </w:r>
      <w:hyperlink w:history="true" w:anchor="_bookmark1246">
        <w:r>
          <w:rPr>
            <w:color w:val="005DA1"/>
            <w:spacing w:val="-4"/>
            <w:sz w:val="14"/>
            <w:u w:val="single" w:color="005DA1"/>
          </w:rPr>
          <w:t>689</w:t>
        </w:r>
      </w:hyperlink>
      <w:r>
        <w:rPr>
          <w:spacing w:val="-4"/>
          <w:sz w:val="14"/>
        </w:rPr>
        <w:t>.</w:t>
      </w:r>
    </w:p>
    <w:p>
      <w:pPr>
        <w:spacing w:line="235" w:lineRule="auto" w:before="212"/>
        <w:ind w:left="165" w:right="168" w:firstLine="170"/>
        <w:jc w:val="both"/>
        <w:rPr>
          <w:sz w:val="20"/>
        </w:rPr>
      </w:pPr>
      <w:r>
        <w:rPr/>
        <w:br w:type="column"/>
      </w:r>
      <w:r>
        <w:rPr>
          <w:sz w:val="20"/>
        </w:rPr>
        <w:t>Above, para.30-030. See, for example, in the context of an “implied in law” obligation </w:t>
      </w:r>
      <w:r>
        <w:rPr>
          <w:rFonts w:ascii="Arial" w:hAnsi="Arial"/>
          <w:i/>
          <w:sz w:val="20"/>
        </w:rPr>
        <w:t>Pan Oceanic</w:t>
      </w:r>
      <w:r>
        <w:rPr>
          <w:rFonts w:ascii="Arial" w:hAnsi="Arial"/>
          <w:i/>
          <w:spacing w:val="-2"/>
          <w:sz w:val="20"/>
        </w:rPr>
        <w:t> </w:t>
      </w:r>
      <w:r>
        <w:rPr>
          <w:rFonts w:ascii="Arial" w:hAnsi="Arial"/>
          <w:i/>
          <w:sz w:val="20"/>
        </w:rPr>
        <w:t>Chartering</w:t>
      </w:r>
      <w:r>
        <w:rPr>
          <w:rFonts w:ascii="Arial" w:hAnsi="Arial"/>
          <w:i/>
          <w:spacing w:val="-2"/>
          <w:sz w:val="20"/>
        </w:rPr>
        <w:t> </w:t>
      </w:r>
      <w:r>
        <w:rPr>
          <w:rFonts w:ascii="Arial" w:hAnsi="Arial"/>
          <w:i/>
          <w:sz w:val="20"/>
        </w:rPr>
        <w:t>Inc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UNIPEC</w:t>
      </w:r>
      <w:r>
        <w:rPr>
          <w:rFonts w:ascii="Arial" w:hAnsi="Arial"/>
          <w:i/>
          <w:spacing w:val="-2"/>
          <w:sz w:val="20"/>
        </w:rPr>
        <w:t> </w:t>
      </w:r>
      <w:r>
        <w:rPr>
          <w:rFonts w:ascii="Arial" w:hAnsi="Arial"/>
          <w:i/>
          <w:sz w:val="20"/>
        </w:rPr>
        <w:t>UK</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[2016]</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2774</w:t>
      </w:r>
      <w:r>
        <w:rPr>
          <w:rFonts w:ascii="Arial" w:hAnsi="Arial"/>
          <w:i/>
          <w:spacing w:val="-2"/>
          <w:sz w:val="20"/>
        </w:rPr>
        <w:t> </w:t>
      </w:r>
      <w:r>
        <w:rPr>
          <w:rFonts w:ascii="Arial" w:hAnsi="Arial"/>
          <w:i/>
          <w:sz w:val="20"/>
        </w:rPr>
        <w:t>(Comm)</w:t>
      </w:r>
      <w:r>
        <w:rPr>
          <w:rFonts w:ascii="Arial" w:hAnsi="Arial"/>
          <w:i/>
          <w:spacing w:val="-2"/>
          <w:sz w:val="20"/>
        </w:rPr>
        <w:t> </w:t>
      </w:r>
      <w:r>
        <w:rPr>
          <w:sz w:val="20"/>
        </w:rPr>
        <w:t>and,</w:t>
      </w:r>
      <w:r>
        <w:rPr>
          <w:spacing w:val="-2"/>
          <w:sz w:val="20"/>
        </w:rPr>
        <w:t> </w:t>
      </w:r>
      <w:r>
        <w:rPr>
          <w:sz w:val="20"/>
        </w:rPr>
        <w:t>in</w:t>
      </w:r>
      <w:r>
        <w:rPr>
          <w:spacing w:val="-2"/>
          <w:sz w:val="20"/>
        </w:rPr>
        <w:t> </w:t>
      </w:r>
      <w:r>
        <w:rPr>
          <w:sz w:val="20"/>
        </w:rPr>
        <w:t>the</w:t>
      </w:r>
      <w:r>
        <w:rPr>
          <w:spacing w:val="-2"/>
          <w:sz w:val="20"/>
        </w:rPr>
        <w:t> </w:t>
      </w:r>
      <w:r>
        <w:rPr>
          <w:sz w:val="20"/>
        </w:rPr>
        <w:t>context</w:t>
      </w:r>
      <w:r>
        <w:rPr>
          <w:spacing w:val="-2"/>
          <w:sz w:val="20"/>
        </w:rPr>
        <w:t> </w:t>
      </w:r>
      <w:r>
        <w:rPr>
          <w:sz w:val="20"/>
        </w:rPr>
        <w:t>of a claim made under the French tourism code, </w:t>
      </w:r>
      <w:r>
        <w:rPr>
          <w:rFonts w:ascii="Arial" w:hAnsi="Arial"/>
          <w:i/>
          <w:sz w:val="20"/>
        </w:rPr>
        <w:t>Committeri v Club Mediterranee SA </w:t>
      </w:r>
      <w:r>
        <w:rPr>
          <w:rFonts w:ascii="Arial" w:hAnsi="Arial"/>
          <w:i/>
          <w:sz w:val="20"/>
        </w:rPr>
        <w:t>[2016]</w:t>
      </w:r>
      <w:r>
        <w:rPr>
          <w:rFonts w:ascii="Arial" w:hAnsi="Arial"/>
          <w:i/>
          <w:spacing w:val="40"/>
          <w:sz w:val="20"/>
        </w:rPr>
        <w:t> </w:t>
      </w:r>
      <w:r>
        <w:rPr>
          <w:rFonts w:ascii="Arial" w:hAnsi="Arial"/>
          <w:i/>
          <w:sz w:val="20"/>
        </w:rPr>
        <w:t>EWHC 1510 (QB)</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1"/>
        <w:ind w:left="705" w:right="168" w:hanging="541"/>
        <w:jc w:val="left"/>
        <w:rPr>
          <w:sz w:val="20"/>
        </w:rPr>
      </w:pPr>
      <w:bookmarkStart w:name="_bookmark1322" w:id="1324"/>
      <w:bookmarkEnd w:id="1324"/>
      <w:r>
        <w:rPr/>
      </w:r>
      <w:hyperlink w:history="true" w:anchor="_bookmark1247">
        <w:r>
          <w:rPr>
            <w:color w:val="005DA1"/>
            <w:spacing w:val="-4"/>
            <w:position w:val="5"/>
            <w:sz w:val="14"/>
            <w:u w:val="single" w:color="005DA1"/>
          </w:rPr>
          <w:t>690</w:t>
        </w:r>
      </w:hyperlink>
      <w:r>
        <w:rPr>
          <w:spacing w:val="-4"/>
          <w:position w:val="5"/>
          <w:sz w:val="14"/>
        </w:rPr>
        <w:t>.</w:t>
      </w:r>
      <w:r>
        <w:rPr>
          <w:position w:val="5"/>
          <w:sz w:val="14"/>
        </w:rPr>
        <w:tab/>
      </w:r>
      <w:r>
        <w:rPr>
          <w:sz w:val="20"/>
        </w:rPr>
        <w:t>cf.</w:t>
      </w:r>
      <w:r>
        <w:rPr>
          <w:spacing w:val="30"/>
          <w:sz w:val="20"/>
        </w:rPr>
        <w:t> </w:t>
      </w:r>
      <w:r>
        <w:rPr>
          <w:rFonts w:ascii="Arial"/>
          <w:i/>
          <w:sz w:val="20"/>
        </w:rPr>
        <w:t>Base</w:t>
      </w:r>
      <w:r>
        <w:rPr>
          <w:rFonts w:ascii="Arial"/>
          <w:i/>
          <w:spacing w:val="30"/>
          <w:sz w:val="20"/>
        </w:rPr>
        <w:t> </w:t>
      </w:r>
      <w:r>
        <w:rPr>
          <w:rFonts w:ascii="Arial"/>
          <w:i/>
          <w:sz w:val="20"/>
        </w:rPr>
        <w:t>Metal</w:t>
      </w:r>
      <w:r>
        <w:rPr>
          <w:rFonts w:ascii="Arial"/>
          <w:i/>
          <w:spacing w:val="30"/>
          <w:sz w:val="20"/>
        </w:rPr>
        <w:t> </w:t>
      </w:r>
      <w:r>
        <w:rPr>
          <w:rFonts w:ascii="Arial"/>
          <w:i/>
          <w:sz w:val="20"/>
        </w:rPr>
        <w:t>Trading</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Shamurin</w:t>
      </w:r>
      <w:r>
        <w:rPr>
          <w:rFonts w:ascii="Arial"/>
          <w:i/>
          <w:spacing w:val="30"/>
          <w:sz w:val="20"/>
        </w:rPr>
        <w:t> </w:t>
      </w:r>
      <w:r>
        <w:rPr>
          <w:rFonts w:ascii="Arial"/>
          <w:i/>
          <w:sz w:val="20"/>
        </w:rPr>
        <w:t>[2004]</w:t>
      </w:r>
      <w:r>
        <w:rPr>
          <w:rFonts w:ascii="Arial"/>
          <w:i/>
          <w:spacing w:val="30"/>
          <w:sz w:val="20"/>
        </w:rPr>
        <w:t> </w:t>
      </w:r>
      <w:r>
        <w:rPr>
          <w:rFonts w:ascii="Arial"/>
          <w:i/>
          <w:sz w:val="20"/>
        </w:rPr>
        <w:t>EWCA</w:t>
      </w:r>
      <w:r>
        <w:rPr>
          <w:rFonts w:ascii="Arial"/>
          <w:i/>
          <w:spacing w:val="30"/>
          <w:sz w:val="20"/>
        </w:rPr>
        <w:t> </w:t>
      </w:r>
      <w:r>
        <w:rPr>
          <w:rFonts w:ascii="Arial"/>
          <w:i/>
          <w:sz w:val="20"/>
        </w:rPr>
        <w:t>Civ</w:t>
      </w:r>
      <w:r>
        <w:rPr>
          <w:rFonts w:ascii="Arial"/>
          <w:i/>
          <w:spacing w:val="30"/>
          <w:sz w:val="20"/>
        </w:rPr>
        <w:t> </w:t>
      </w:r>
      <w:r>
        <w:rPr>
          <w:rFonts w:ascii="Arial"/>
          <w:i/>
          <w:sz w:val="20"/>
        </w:rPr>
        <w:t>1316,</w:t>
      </w:r>
      <w:r>
        <w:rPr>
          <w:rFonts w:ascii="Arial"/>
          <w:i/>
          <w:spacing w:val="30"/>
          <w:sz w:val="20"/>
        </w:rPr>
        <w:t> </w:t>
      </w:r>
      <w:r>
        <w:rPr>
          <w:rFonts w:ascii="Arial"/>
          <w:i/>
          <w:sz w:val="20"/>
        </w:rPr>
        <w:t>[2005]</w:t>
      </w:r>
      <w:r>
        <w:rPr>
          <w:rFonts w:ascii="Arial"/>
          <w:i/>
          <w:spacing w:val="30"/>
          <w:sz w:val="20"/>
        </w:rPr>
        <w:t> </w:t>
      </w:r>
      <w:r>
        <w:rPr>
          <w:rFonts w:ascii="Arial"/>
          <w:i/>
          <w:sz w:val="20"/>
        </w:rPr>
        <w:t>1</w:t>
      </w:r>
      <w:r>
        <w:rPr>
          <w:rFonts w:ascii="Arial"/>
          <w:i/>
          <w:spacing w:val="30"/>
          <w:sz w:val="20"/>
        </w:rPr>
        <w:t> </w:t>
      </w:r>
      <w:r>
        <w:rPr>
          <w:rFonts w:ascii="Arial"/>
          <w:i/>
          <w:sz w:val="20"/>
        </w:rPr>
        <w:t>W.L.R.</w:t>
      </w:r>
      <w:r>
        <w:rPr>
          <w:rFonts w:ascii="Arial"/>
          <w:i/>
          <w:spacing w:val="30"/>
          <w:sz w:val="20"/>
        </w:rPr>
        <w:t> </w:t>
      </w:r>
      <w:r>
        <w:rPr>
          <w:rFonts w:ascii="Arial"/>
          <w:i/>
          <w:sz w:val="20"/>
        </w:rPr>
        <w:t>1157</w:t>
      </w:r>
      <w:r>
        <w:rPr>
          <w:sz w:val="20"/>
        </w:rPr>
        <w:t>.</w:t>
      </w:r>
      <w:r>
        <w:rPr>
          <w:spacing w:val="30"/>
          <w:sz w:val="20"/>
        </w:rPr>
        <w:t> </w:t>
      </w:r>
      <w:r>
        <w:rPr>
          <w:sz w:val="20"/>
        </w:rPr>
        <w:t>See Dicey, Morris and Collins, 15th edn (2012), para.32-016; above, para.30-030.</w:t>
      </w:r>
    </w:p>
    <w:p>
      <w:pPr>
        <w:pStyle w:val="BodyText"/>
        <w:spacing w:before="5"/>
      </w:pPr>
    </w:p>
    <w:p>
      <w:pPr>
        <w:pStyle w:val="BodyText"/>
        <w:tabs>
          <w:tab w:pos="705" w:val="left" w:leader="none"/>
        </w:tabs>
        <w:ind w:left="165"/>
      </w:pPr>
      <w:bookmarkStart w:name="_bookmark1323" w:id="1325"/>
      <w:bookmarkEnd w:id="1325"/>
      <w:r>
        <w:rPr/>
      </w:r>
      <w:hyperlink w:history="true" w:anchor="_bookmark1248">
        <w:r>
          <w:rPr>
            <w:color w:val="005DA1"/>
            <w:spacing w:val="-4"/>
            <w:position w:val="5"/>
            <w:sz w:val="14"/>
            <w:u w:val="single" w:color="005DA1"/>
          </w:rPr>
          <w:t>691</w:t>
        </w:r>
      </w:hyperlink>
      <w:r>
        <w:rPr>
          <w:spacing w:val="-4"/>
          <w:position w:val="5"/>
          <w:sz w:val="14"/>
        </w:rPr>
        <w:t>.</w:t>
      </w:r>
      <w:r>
        <w:rPr>
          <w:position w:val="5"/>
          <w:sz w:val="14"/>
        </w:rPr>
        <w:tab/>
      </w:r>
      <w:r>
        <w:rPr/>
        <w:t>For discussion, see Dicey, Morris and Collins, 15th edn (2012), paras 34-016 et </w:t>
      </w:r>
      <w:r>
        <w:rPr>
          <w:spacing w:val="-4"/>
        </w:rPr>
        <w:t>seq.</w:t>
      </w:r>
    </w:p>
    <w:p>
      <w:pPr>
        <w:pStyle w:val="BodyText"/>
        <w:spacing w:before="5"/>
      </w:pPr>
    </w:p>
    <w:p>
      <w:pPr>
        <w:pStyle w:val="BodyText"/>
        <w:tabs>
          <w:tab w:pos="705" w:val="left" w:leader="none"/>
        </w:tabs>
        <w:ind w:left="165"/>
      </w:pPr>
      <w:bookmarkStart w:name="_bookmark1324" w:id="1326"/>
      <w:bookmarkEnd w:id="1326"/>
      <w:r>
        <w:rPr/>
      </w:r>
      <w:hyperlink w:history="true" w:anchor="_bookmark1249">
        <w:r>
          <w:rPr>
            <w:color w:val="005DA1"/>
            <w:spacing w:val="-4"/>
            <w:position w:val="5"/>
            <w:sz w:val="14"/>
            <w:u w:val="single" w:color="005DA1"/>
          </w:rPr>
          <w:t>692</w:t>
        </w:r>
      </w:hyperlink>
      <w:r>
        <w:rPr>
          <w:spacing w:val="-4"/>
          <w:position w:val="5"/>
          <w:sz w:val="14"/>
        </w:rPr>
        <w:t>.</w:t>
      </w:r>
      <w:r>
        <w:rPr>
          <w:position w:val="5"/>
          <w:sz w:val="14"/>
        </w:rPr>
        <w:tab/>
      </w:r>
      <w:r>
        <w:rPr/>
        <w:t>Dicey, Morris and Collins, 15th edn (2012), paras 34-016, et </w:t>
      </w:r>
      <w:r>
        <w:rPr>
          <w:spacing w:val="-4"/>
        </w:rPr>
        <w:t>seq.</w:t>
      </w:r>
    </w:p>
    <w:p>
      <w:pPr>
        <w:pStyle w:val="BodyText"/>
        <w:spacing w:before="9"/>
      </w:pPr>
    </w:p>
    <w:p>
      <w:pPr>
        <w:pStyle w:val="BodyText"/>
        <w:tabs>
          <w:tab w:pos="705" w:val="left" w:leader="none"/>
        </w:tabs>
        <w:spacing w:line="235" w:lineRule="auto"/>
        <w:ind w:left="705" w:right="168" w:hanging="541"/>
      </w:pPr>
      <w:bookmarkStart w:name="_bookmark1325" w:id="1327"/>
      <w:bookmarkEnd w:id="1327"/>
      <w:r>
        <w:rPr/>
      </w:r>
      <w:hyperlink w:history="true" w:anchor="_bookmark1250">
        <w:r>
          <w:rPr>
            <w:color w:val="005DA1"/>
            <w:spacing w:val="-4"/>
            <w:position w:val="5"/>
            <w:sz w:val="14"/>
            <w:u w:val="single" w:color="005DA1"/>
          </w:rPr>
          <w:t>693</w:t>
        </w:r>
      </w:hyperlink>
      <w:r>
        <w:rPr>
          <w:spacing w:val="-4"/>
          <w:position w:val="5"/>
          <w:sz w:val="14"/>
        </w:rPr>
        <w:t>.</w:t>
      </w:r>
      <w:r>
        <w:rPr>
          <w:position w:val="5"/>
          <w:sz w:val="14"/>
        </w:rPr>
        <w:tab/>
      </w:r>
      <w:r>
        <w:rPr/>
        <w:t>For</w:t>
      </w:r>
      <w:r>
        <w:rPr>
          <w:spacing w:val="36"/>
        </w:rPr>
        <w:t> </w:t>
      </w:r>
      <w:r>
        <w:rPr/>
        <w:t>discussion,</w:t>
      </w:r>
      <w:r>
        <w:rPr>
          <w:spacing w:val="36"/>
        </w:rPr>
        <w:t> </w:t>
      </w:r>
      <w:r>
        <w:rPr/>
        <w:t>see</w:t>
      </w:r>
      <w:r>
        <w:rPr>
          <w:spacing w:val="36"/>
        </w:rPr>
        <w:t> </w:t>
      </w:r>
      <w:r>
        <w:rPr/>
        <w:t>Dicey,</w:t>
      </w:r>
      <w:r>
        <w:rPr>
          <w:spacing w:val="36"/>
        </w:rPr>
        <w:t> </w:t>
      </w:r>
      <w:r>
        <w:rPr/>
        <w:t>Morris</w:t>
      </w:r>
      <w:r>
        <w:rPr>
          <w:spacing w:val="36"/>
        </w:rPr>
        <w:t> </w:t>
      </w:r>
      <w:r>
        <w:rPr/>
        <w:t>and</w:t>
      </w:r>
      <w:r>
        <w:rPr>
          <w:spacing w:val="36"/>
        </w:rPr>
        <w:t> </w:t>
      </w:r>
      <w:r>
        <w:rPr/>
        <w:t>Collins,</w:t>
      </w:r>
      <w:r>
        <w:rPr>
          <w:spacing w:val="36"/>
        </w:rPr>
        <w:t> </w:t>
      </w:r>
      <w:r>
        <w:rPr/>
        <w:t>15th</w:t>
      </w:r>
      <w:r>
        <w:rPr>
          <w:spacing w:val="36"/>
        </w:rPr>
        <w:t> </w:t>
      </w:r>
      <w:r>
        <w:rPr/>
        <w:t>edn</w:t>
      </w:r>
      <w:r>
        <w:rPr>
          <w:spacing w:val="36"/>
        </w:rPr>
        <w:t> </w:t>
      </w:r>
      <w:r>
        <w:rPr/>
        <w:t>(2012),</w:t>
      </w:r>
      <w:r>
        <w:rPr>
          <w:spacing w:val="36"/>
        </w:rPr>
        <w:t> </w:t>
      </w:r>
      <w:r>
        <w:rPr/>
        <w:t>at</w:t>
      </w:r>
      <w:r>
        <w:rPr>
          <w:spacing w:val="36"/>
        </w:rPr>
        <w:t> </w:t>
      </w:r>
      <w:r>
        <w:rPr/>
        <w:t>para.43-016</w:t>
      </w:r>
      <w:r>
        <w:rPr>
          <w:spacing w:val="36"/>
        </w:rPr>
        <w:t> </w:t>
      </w:r>
      <w:r>
        <w:rPr/>
        <w:t>and</w:t>
      </w:r>
      <w:r>
        <w:rPr>
          <w:spacing w:val="36"/>
        </w:rPr>
        <w:t> </w:t>
      </w:r>
      <w:r>
        <w:rPr/>
        <w:t>Ch.36; Dickinson, above, Ch.13.</w:t>
      </w:r>
    </w:p>
    <w:p>
      <w:pPr>
        <w:pStyle w:val="BodyText"/>
        <w:spacing w:before="9"/>
      </w:pPr>
    </w:p>
    <w:p>
      <w:pPr>
        <w:pStyle w:val="BodyText"/>
        <w:spacing w:line="235" w:lineRule="auto"/>
        <w:ind w:left="705" w:right="167" w:hanging="541"/>
        <w:jc w:val="both"/>
      </w:pPr>
      <w:bookmarkStart w:name="_bookmark1326" w:id="1328"/>
      <w:bookmarkEnd w:id="1328"/>
      <w:r>
        <w:rPr/>
      </w:r>
      <w:hyperlink w:history="true" w:anchor="_bookmark1251">
        <w:r>
          <w:rPr>
            <w:color w:val="005DA1"/>
            <w:position w:val="5"/>
            <w:sz w:val="14"/>
            <w:u w:val="single" w:color="005DA1"/>
          </w:rPr>
          <w:t>694</w:t>
        </w:r>
      </w:hyperlink>
      <w:r>
        <w:rPr>
          <w:position w:val="5"/>
          <w:sz w:val="14"/>
        </w:rPr>
        <w:t>.</w:t>
      </w:r>
      <w:r>
        <w:rPr>
          <w:spacing w:val="80"/>
          <w:position w:val="5"/>
          <w:sz w:val="14"/>
        </w:rPr>
        <w:t> </w:t>
      </w:r>
      <w:r>
        <w:rPr/>
        <w:t>Rome I art.1(2)(i); Recital 10 to the Rome I Regulation. For the purposes of the Rome </w:t>
      </w:r>
      <w:r>
        <w:rPr/>
        <w:t>II Regulation, culpa in contrahendo must be given an autonomous meaning: see Recital 30 to the latter Regulation.</w:t>
      </w:r>
    </w:p>
    <w:p>
      <w:pPr>
        <w:pStyle w:val="BodyText"/>
        <w:spacing w:before="9"/>
      </w:pPr>
    </w:p>
    <w:p>
      <w:pPr>
        <w:pStyle w:val="BodyText"/>
        <w:tabs>
          <w:tab w:pos="705" w:val="left" w:leader="none"/>
        </w:tabs>
        <w:spacing w:line="235" w:lineRule="auto"/>
        <w:ind w:left="705" w:right="168" w:hanging="541"/>
      </w:pPr>
      <w:bookmarkStart w:name="_bookmark1327" w:id="1329"/>
      <w:bookmarkEnd w:id="1329"/>
      <w:r>
        <w:rPr/>
      </w:r>
      <w:hyperlink w:history="true" w:anchor="_bookmark1252">
        <w:r>
          <w:rPr>
            <w:color w:val="005DA1"/>
            <w:spacing w:val="-4"/>
            <w:position w:val="5"/>
            <w:sz w:val="14"/>
            <w:u w:val="single" w:color="005DA1"/>
          </w:rPr>
          <w:t>695</w:t>
        </w:r>
      </w:hyperlink>
      <w:r>
        <w:rPr>
          <w:spacing w:val="-4"/>
          <w:position w:val="5"/>
          <w:sz w:val="14"/>
        </w:rPr>
        <w:t>.</w:t>
      </w:r>
      <w:r>
        <w:rPr>
          <w:position w:val="5"/>
          <w:sz w:val="14"/>
        </w:rPr>
        <w:tab/>
      </w:r>
      <w:r>
        <w:rPr/>
        <w:t>Rome</w:t>
      </w:r>
      <w:r>
        <w:rPr>
          <w:spacing w:val="62"/>
        </w:rPr>
        <w:t> </w:t>
      </w:r>
      <w:r>
        <w:rPr/>
        <w:t>II</w:t>
      </w:r>
      <w:r>
        <w:rPr>
          <w:spacing w:val="62"/>
        </w:rPr>
        <w:t> </w:t>
      </w:r>
      <w:r>
        <w:rPr/>
        <w:t>art.12(2)</w:t>
      </w:r>
      <w:r>
        <w:rPr>
          <w:spacing w:val="62"/>
        </w:rPr>
        <w:t> </w:t>
      </w:r>
      <w:r>
        <w:rPr/>
        <w:t>supplies</w:t>
      </w:r>
      <w:r>
        <w:rPr>
          <w:spacing w:val="62"/>
        </w:rPr>
        <w:t> </w:t>
      </w:r>
      <w:r>
        <w:rPr/>
        <w:t>a</w:t>
      </w:r>
      <w:r>
        <w:rPr>
          <w:spacing w:val="62"/>
        </w:rPr>
        <w:t> </w:t>
      </w:r>
      <w:r>
        <w:rPr/>
        <w:t>default</w:t>
      </w:r>
      <w:r>
        <w:rPr>
          <w:spacing w:val="62"/>
        </w:rPr>
        <w:t> </w:t>
      </w:r>
      <w:r>
        <w:rPr/>
        <w:t>rule</w:t>
      </w:r>
      <w:r>
        <w:rPr>
          <w:spacing w:val="62"/>
        </w:rPr>
        <w:t> </w:t>
      </w:r>
      <w:r>
        <w:rPr/>
        <w:t>applicable</w:t>
      </w:r>
      <w:r>
        <w:rPr>
          <w:spacing w:val="62"/>
        </w:rPr>
        <w:t> </w:t>
      </w:r>
      <w:r>
        <w:rPr/>
        <w:t>where</w:t>
      </w:r>
      <w:r>
        <w:rPr>
          <w:spacing w:val="62"/>
        </w:rPr>
        <w:t> </w:t>
      </w:r>
      <w:r>
        <w:rPr/>
        <w:t>the</w:t>
      </w:r>
      <w:r>
        <w:rPr>
          <w:spacing w:val="62"/>
        </w:rPr>
        <w:t> </w:t>
      </w:r>
      <w:r>
        <w:rPr/>
        <w:t>governing</w:t>
      </w:r>
      <w:r>
        <w:rPr>
          <w:spacing w:val="62"/>
        </w:rPr>
        <w:t> </w:t>
      </w:r>
      <w:r>
        <w:rPr/>
        <w:t>law</w:t>
      </w:r>
      <w:r>
        <w:rPr>
          <w:spacing w:val="62"/>
        </w:rPr>
        <w:t> </w:t>
      </w:r>
      <w:r>
        <w:rPr/>
        <w:t>cannot</w:t>
      </w:r>
      <w:r>
        <w:rPr>
          <w:spacing w:val="62"/>
        </w:rPr>
        <w:t> </w:t>
      </w:r>
      <w:r>
        <w:rPr/>
        <w:t>be determined by reference to art.12(1).</w:t>
      </w:r>
    </w:p>
    <w:p>
      <w:pPr>
        <w:pStyle w:val="BodyText"/>
        <w:spacing w:before="5"/>
      </w:pPr>
    </w:p>
    <w:p>
      <w:pPr>
        <w:tabs>
          <w:tab w:pos="705" w:val="left" w:leader="none"/>
        </w:tabs>
        <w:spacing w:before="1"/>
        <w:ind w:left="165" w:right="0" w:firstLine="0"/>
        <w:jc w:val="left"/>
        <w:rPr>
          <w:sz w:val="20"/>
        </w:rPr>
      </w:pPr>
      <w:bookmarkStart w:name="_bookmark1328" w:id="1330"/>
      <w:bookmarkEnd w:id="1330"/>
      <w:r>
        <w:rPr/>
      </w:r>
      <w:hyperlink w:history="true" w:anchor="_bookmark1253">
        <w:r>
          <w:rPr>
            <w:color w:val="005DA1"/>
            <w:spacing w:val="-4"/>
            <w:position w:val="5"/>
            <w:sz w:val="14"/>
            <w:u w:val="single" w:color="005DA1"/>
          </w:rPr>
          <w:t>696</w:t>
        </w:r>
      </w:hyperlink>
      <w:r>
        <w:rPr>
          <w:spacing w:val="-4"/>
          <w:position w:val="5"/>
          <w:sz w:val="14"/>
        </w:rPr>
        <w:t>.</w:t>
      </w:r>
      <w:r>
        <w:rPr>
          <w:position w:val="5"/>
          <w:sz w:val="14"/>
        </w:rPr>
        <w:tab/>
      </w:r>
      <w:r>
        <w:rPr>
          <w:sz w:val="20"/>
        </w:rPr>
        <w:t>para.30-</w:t>
      </w:r>
      <w:r>
        <w:rPr>
          <w:spacing w:val="-4"/>
          <w:sz w:val="20"/>
        </w:rPr>
        <w:t>329.</w:t>
      </w:r>
    </w:p>
    <w:p>
      <w:pPr>
        <w:pStyle w:val="BodyText"/>
        <w:spacing w:before="4"/>
      </w:pPr>
    </w:p>
    <w:p>
      <w:pPr>
        <w:pStyle w:val="BodyText"/>
        <w:tabs>
          <w:tab w:pos="705" w:val="left" w:leader="none"/>
        </w:tabs>
        <w:spacing w:before="1"/>
        <w:ind w:left="165"/>
      </w:pPr>
      <w:bookmarkStart w:name="_bookmark1329" w:id="1331"/>
      <w:bookmarkEnd w:id="1331"/>
      <w:r>
        <w:rPr/>
      </w:r>
      <w:hyperlink w:history="true" w:anchor="_bookmark1254">
        <w:r>
          <w:rPr>
            <w:color w:val="005DA1"/>
            <w:spacing w:val="-4"/>
            <w:position w:val="5"/>
            <w:sz w:val="14"/>
            <w:u w:val="single" w:color="005DA1"/>
          </w:rPr>
          <w:t>697</w:t>
        </w:r>
      </w:hyperlink>
      <w:r>
        <w:rPr>
          <w:spacing w:val="-4"/>
          <w:position w:val="5"/>
          <w:sz w:val="14"/>
        </w:rPr>
        <w:t>.</w:t>
      </w:r>
      <w:r>
        <w:rPr>
          <w:position w:val="5"/>
          <w:sz w:val="14"/>
        </w:rPr>
        <w:tab/>
      </w:r>
      <w:r>
        <w:rPr/>
        <w:t>Above,</w:t>
      </w:r>
      <w:r>
        <w:rPr>
          <w:spacing w:val="-2"/>
        </w:rPr>
        <w:t> </w:t>
      </w:r>
      <w:r>
        <w:rPr/>
        <w:t>paras 30-032 et </w:t>
      </w:r>
      <w:r>
        <w:rPr>
          <w:spacing w:val="-4"/>
        </w:rPr>
        <w:t>seq.</w:t>
      </w:r>
    </w:p>
    <w:p>
      <w:pPr>
        <w:pStyle w:val="BodyText"/>
        <w:spacing w:before="4"/>
      </w:pPr>
    </w:p>
    <w:p>
      <w:pPr>
        <w:pStyle w:val="BodyText"/>
        <w:tabs>
          <w:tab w:pos="705" w:val="left" w:leader="none"/>
        </w:tabs>
        <w:spacing w:before="1"/>
        <w:ind w:left="165"/>
      </w:pPr>
      <w:bookmarkStart w:name="_bookmark1330" w:id="1332"/>
      <w:bookmarkEnd w:id="1332"/>
      <w:r>
        <w:rPr/>
      </w:r>
      <w:hyperlink w:history="true" w:anchor="_bookmark1255">
        <w:r>
          <w:rPr>
            <w:color w:val="005DA1"/>
            <w:spacing w:val="-4"/>
            <w:position w:val="5"/>
            <w:sz w:val="14"/>
            <w:u w:val="single" w:color="005DA1"/>
          </w:rPr>
          <w:t>698</w:t>
        </w:r>
      </w:hyperlink>
      <w:r>
        <w:rPr>
          <w:spacing w:val="-4"/>
          <w:position w:val="5"/>
          <w:sz w:val="14"/>
        </w:rPr>
        <w:t>.</w:t>
      </w:r>
      <w:r>
        <w:rPr>
          <w:position w:val="5"/>
          <w:sz w:val="14"/>
        </w:rPr>
        <w:tab/>
      </w:r>
      <w:r>
        <w:rPr/>
        <w:t>For discussion, see Dicey, Morris and Collins, 15th edn (2012), para.30-</w:t>
      </w:r>
      <w:r>
        <w:rPr>
          <w:spacing w:val="-4"/>
        </w:rPr>
        <w:t>162.</w:t>
      </w:r>
    </w:p>
    <w:p>
      <w:pPr>
        <w:pStyle w:val="BodyText"/>
        <w:spacing w:before="8"/>
      </w:pPr>
    </w:p>
    <w:p>
      <w:pPr>
        <w:pStyle w:val="BodyText"/>
        <w:tabs>
          <w:tab w:pos="705" w:val="left" w:leader="none"/>
        </w:tabs>
        <w:spacing w:line="235" w:lineRule="auto"/>
        <w:ind w:left="705" w:right="168" w:hanging="541"/>
      </w:pPr>
      <w:bookmarkStart w:name="_bookmark1331" w:id="1333"/>
      <w:bookmarkEnd w:id="1333"/>
      <w:r>
        <w:rPr/>
      </w:r>
      <w:hyperlink w:history="true" w:anchor="_bookmark1256">
        <w:r>
          <w:rPr>
            <w:color w:val="005DA1"/>
            <w:spacing w:val="-4"/>
            <w:position w:val="5"/>
            <w:sz w:val="14"/>
            <w:u w:val="single" w:color="005DA1"/>
          </w:rPr>
          <w:t>699</w:t>
        </w:r>
      </w:hyperlink>
      <w:r>
        <w:rPr>
          <w:spacing w:val="-4"/>
          <w:position w:val="5"/>
          <w:sz w:val="14"/>
        </w:rPr>
        <w:t>.</w:t>
      </w:r>
      <w:r>
        <w:rPr>
          <w:position w:val="5"/>
          <w:sz w:val="14"/>
        </w:rPr>
        <w:tab/>
      </w:r>
      <w:r>
        <w:rPr/>
        <w:t>Rome</w:t>
      </w:r>
      <w:r>
        <w:rPr>
          <w:spacing w:val="40"/>
        </w:rPr>
        <w:t> </w:t>
      </w:r>
      <w:r>
        <w:rPr/>
        <w:t>II</w:t>
      </w:r>
      <w:r>
        <w:rPr>
          <w:spacing w:val="40"/>
        </w:rPr>
        <w:t> </w:t>
      </w:r>
      <w:r>
        <w:rPr/>
        <w:t>art.10(2)-(4)</w:t>
      </w:r>
      <w:r>
        <w:rPr>
          <w:spacing w:val="40"/>
        </w:rPr>
        <w:t> </w:t>
      </w:r>
      <w:r>
        <w:rPr/>
        <w:t>supplies</w:t>
      </w:r>
      <w:r>
        <w:rPr>
          <w:spacing w:val="40"/>
        </w:rPr>
        <w:t> </w:t>
      </w:r>
      <w:r>
        <w:rPr/>
        <w:t>default</w:t>
      </w:r>
      <w:r>
        <w:rPr>
          <w:spacing w:val="40"/>
        </w:rPr>
        <w:t> </w:t>
      </w:r>
      <w:r>
        <w:rPr/>
        <w:t>rules</w:t>
      </w:r>
      <w:r>
        <w:rPr>
          <w:spacing w:val="40"/>
        </w:rPr>
        <w:t> </w:t>
      </w:r>
      <w:r>
        <w:rPr/>
        <w:t>to</w:t>
      </w:r>
      <w:r>
        <w:rPr>
          <w:spacing w:val="40"/>
        </w:rPr>
        <w:t> </w:t>
      </w:r>
      <w:r>
        <w:rPr/>
        <w:t>be</w:t>
      </w:r>
      <w:r>
        <w:rPr>
          <w:spacing w:val="40"/>
        </w:rPr>
        <w:t> </w:t>
      </w:r>
      <w:r>
        <w:rPr/>
        <w:t>applied</w:t>
      </w:r>
      <w:r>
        <w:rPr>
          <w:spacing w:val="40"/>
        </w:rPr>
        <w:t> </w:t>
      </w:r>
      <w:r>
        <w:rPr/>
        <w:t>if</w:t>
      </w:r>
      <w:r>
        <w:rPr>
          <w:spacing w:val="40"/>
        </w:rPr>
        <w:t> </w:t>
      </w:r>
      <w:r>
        <w:rPr/>
        <w:t>the</w:t>
      </w:r>
      <w:r>
        <w:rPr>
          <w:spacing w:val="40"/>
        </w:rPr>
        <w:t> </w:t>
      </w:r>
      <w:r>
        <w:rPr/>
        <w:t>applicable</w:t>
      </w:r>
      <w:r>
        <w:rPr>
          <w:spacing w:val="40"/>
        </w:rPr>
        <w:t> </w:t>
      </w:r>
      <w:r>
        <w:rPr/>
        <w:t>law</w:t>
      </w:r>
      <w:r>
        <w:rPr>
          <w:spacing w:val="40"/>
        </w:rPr>
        <w:t> </w:t>
      </w:r>
      <w:r>
        <w:rPr/>
        <w:t>cannot</w:t>
      </w:r>
      <w:r>
        <w:rPr>
          <w:spacing w:val="40"/>
        </w:rPr>
        <w:t> </w:t>
      </w:r>
      <w:r>
        <w:rPr/>
        <w:t>be determined on the basis of art.10(1).</w:t>
      </w:r>
    </w:p>
    <w:p>
      <w:pPr>
        <w:pStyle w:val="BodyText"/>
        <w:spacing w:before="6"/>
      </w:pPr>
    </w:p>
    <w:p>
      <w:pPr>
        <w:tabs>
          <w:tab w:pos="705" w:val="left" w:leader="none"/>
        </w:tabs>
        <w:spacing w:before="0"/>
        <w:ind w:left="165" w:right="0" w:firstLine="0"/>
        <w:jc w:val="left"/>
        <w:rPr>
          <w:sz w:val="20"/>
        </w:rPr>
      </w:pPr>
      <w:bookmarkStart w:name="_bookmark1332" w:id="1334"/>
      <w:bookmarkEnd w:id="1334"/>
      <w:r>
        <w:rPr/>
      </w:r>
      <w:hyperlink w:history="true" w:anchor="_bookmark1257">
        <w:r>
          <w:rPr>
            <w:color w:val="005DA1"/>
            <w:spacing w:val="-4"/>
            <w:position w:val="5"/>
            <w:sz w:val="14"/>
            <w:u w:val="single" w:color="005DA1"/>
          </w:rPr>
          <w:t>700</w:t>
        </w:r>
      </w:hyperlink>
      <w:r>
        <w:rPr>
          <w:spacing w:val="-4"/>
          <w:position w:val="5"/>
          <w:sz w:val="14"/>
        </w:rPr>
        <w:t>.</w:t>
      </w:r>
      <w:r>
        <w:rPr>
          <w:position w:val="5"/>
          <w:sz w:val="14"/>
        </w:rPr>
        <w:tab/>
      </w:r>
      <w:r>
        <w:rPr>
          <w:sz w:val="20"/>
        </w:rPr>
        <w:t>Above, para.30-</w:t>
      </w:r>
      <w:r>
        <w:rPr>
          <w:spacing w:val="-4"/>
          <w:sz w:val="20"/>
        </w:rPr>
        <w:t>031.</w:t>
      </w:r>
    </w:p>
    <w:p>
      <w:pPr>
        <w:pStyle w:val="BodyText"/>
        <w:spacing w:before="8"/>
      </w:pPr>
    </w:p>
    <w:p>
      <w:pPr>
        <w:pStyle w:val="BodyText"/>
        <w:tabs>
          <w:tab w:pos="705" w:val="left" w:leader="none"/>
        </w:tabs>
        <w:spacing w:line="235" w:lineRule="auto" w:before="1"/>
        <w:ind w:left="705" w:right="168" w:hanging="541"/>
      </w:pPr>
      <w:bookmarkStart w:name="_bookmark1333" w:id="1335"/>
      <w:bookmarkEnd w:id="1335"/>
      <w:r>
        <w:rPr/>
      </w:r>
      <w:hyperlink w:history="true" w:anchor="_bookmark1258">
        <w:r>
          <w:rPr>
            <w:color w:val="005DA1"/>
            <w:spacing w:val="-4"/>
            <w:position w:val="5"/>
            <w:sz w:val="14"/>
            <w:u w:val="single" w:color="005DA1"/>
          </w:rPr>
          <w:t>701</w:t>
        </w:r>
      </w:hyperlink>
      <w:r>
        <w:rPr>
          <w:spacing w:val="-4"/>
          <w:position w:val="5"/>
          <w:sz w:val="14"/>
        </w:rPr>
        <w:t>.</w:t>
      </w:r>
      <w:r>
        <w:rPr>
          <w:position w:val="5"/>
          <w:sz w:val="14"/>
        </w:rPr>
        <w:tab/>
      </w:r>
      <w:r>
        <w:rPr/>
        <w:t>Dicey, Morris and Collins, 15th edn (2012), paras 34-017 et seq.; Dickinson, above, paras </w:t>
      </w:r>
      <w:r>
        <w:rPr/>
        <w:t>3.86 et seq.</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spacing w:before="194"/>
        <w:ind w:left="3778" w:right="0" w:firstLine="0"/>
        <w:jc w:val="left"/>
        <w:rPr>
          <w:rFonts w:ascii="Arial"/>
          <w:b/>
          <w:sz w:val="24"/>
        </w:rPr>
      </w:pPr>
      <w:r>
        <w:rPr>
          <w:rFonts w:ascii="Arial"/>
          <w:b/>
          <w:sz w:val="24"/>
        </w:rPr>
        <w:t>(b) - </w:t>
      </w:r>
      <w:r>
        <w:rPr>
          <w:rFonts w:ascii="Arial"/>
          <w:b/>
          <w:spacing w:val="-2"/>
          <w:sz w:val="24"/>
        </w:rPr>
        <w:t>Exclusions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Specifically excluded </w:t>
      </w:r>
      <w:r>
        <w:rPr>
          <w:rFonts w:ascii="Arial"/>
          <w:b/>
          <w:spacing w:val="-2"/>
          <w:sz w:val="18"/>
        </w:rPr>
        <w:t>matters</w:t>
      </w:r>
    </w:p>
    <w:p>
      <w:pPr>
        <w:pStyle w:val="BodyText"/>
        <w:spacing w:before="42"/>
        <w:rPr>
          <w:rFonts w:ascii="Arial"/>
          <w:b/>
          <w:sz w:val="18"/>
        </w:rPr>
      </w:pPr>
    </w:p>
    <w:p>
      <w:pPr>
        <w:pStyle w:val="Heading2"/>
      </w:pPr>
      <w:r>
        <w:rPr/>
        <w:t>30-</w:t>
      </w:r>
      <w:r>
        <w:rPr>
          <w:spacing w:val="-5"/>
        </w:rPr>
        <w:t>151</w:t>
      </w:r>
    </w:p>
    <w:p>
      <w:pPr>
        <w:pStyle w:val="BodyText"/>
        <w:spacing w:line="235" w:lineRule="auto" w:before="202"/>
        <w:ind w:left="165" w:right="167"/>
        <w:jc w:val="both"/>
      </w:pPr>
      <w:r>
        <w:rPr/>
        <w:t>Article 1(2) and art.1(3) of the Rome I Regulation specifically exclude certain matters from </w:t>
      </w:r>
      <w:r>
        <w:rPr/>
        <w:t>the</w:t>
      </w:r>
      <w:r>
        <w:rPr>
          <w:spacing w:val="40"/>
        </w:rPr>
        <w:t> </w:t>
      </w:r>
      <w:bookmarkStart w:name="_bookmark1334" w:id="1336"/>
      <w:bookmarkEnd w:id="1336"/>
      <w:r>
        <w:rPr/>
        <w:t>material</w:t>
      </w:r>
      <w:r>
        <w:rPr/>
        <w:t> scope of the Regulation. Since many of these matters replicate the equivalent provisions in the Rome Convention, they will not be discussed in detail here. </w:t>
      </w:r>
      <w:r>
        <w:rPr>
          <w:color w:val="005DA1"/>
          <w:u w:val="single" w:color="005DA1"/>
          <w:vertAlign w:val="superscript"/>
        </w:rPr>
        <w:t>702</w:t>
      </w:r>
      <w:r>
        <w:rPr>
          <w:color w:val="005DA1"/>
          <w:vertAlign w:val="baseline"/>
        </w:rPr>
        <w:t> </w:t>
      </w:r>
      <w:r>
        <w:rPr>
          <w:vertAlign w:val="baseline"/>
        </w:rPr>
        <w:t>The following paragraphs</w:t>
      </w:r>
      <w:r>
        <w:rPr>
          <w:spacing w:val="40"/>
          <w:vertAlign w:val="baseline"/>
        </w:rPr>
        <w:t> </w:t>
      </w:r>
      <w:r>
        <w:rPr>
          <w:vertAlign w:val="baseline"/>
        </w:rPr>
        <w:t>emphasis matters excluded where there are differences between the Rome Convention and the </w:t>
      </w:r>
      <w:r>
        <w:rPr>
          <w:spacing w:val="-2"/>
          <w:vertAlign w:val="baseline"/>
        </w:rPr>
        <w:t>Regulation.</w:t>
      </w:r>
    </w:p>
    <w:p>
      <w:pPr>
        <w:pStyle w:val="BodyText"/>
      </w:pPr>
    </w:p>
    <w:p>
      <w:pPr>
        <w:pStyle w:val="BodyText"/>
        <w:spacing w:before="37"/>
      </w:pPr>
    </w:p>
    <w:p>
      <w:pPr>
        <w:spacing w:before="0"/>
        <w:ind w:left="165" w:right="0" w:firstLine="0"/>
        <w:jc w:val="left"/>
        <w:rPr>
          <w:rFonts w:ascii="Arial"/>
          <w:b/>
          <w:sz w:val="18"/>
        </w:rPr>
      </w:pPr>
      <w:r>
        <w:rPr>
          <w:rFonts w:ascii="Arial"/>
          <w:b/>
          <w:sz w:val="18"/>
        </w:rPr>
        <w:t>Capacity of natural </w:t>
      </w:r>
      <w:r>
        <w:rPr>
          <w:rFonts w:ascii="Arial"/>
          <w:b/>
          <w:spacing w:val="-2"/>
          <w:sz w:val="18"/>
        </w:rPr>
        <w:t>persons</w:t>
      </w:r>
    </w:p>
    <w:p>
      <w:pPr>
        <w:pStyle w:val="BodyText"/>
        <w:spacing w:before="41"/>
        <w:rPr>
          <w:rFonts w:ascii="Arial"/>
          <w:b/>
          <w:sz w:val="18"/>
        </w:rPr>
      </w:pPr>
    </w:p>
    <w:p>
      <w:pPr>
        <w:pStyle w:val="Heading2"/>
      </w:pPr>
      <w:r>
        <w:rPr/>
        <w:t>30-</w:t>
      </w:r>
      <w:r>
        <w:rPr>
          <w:spacing w:val="-5"/>
        </w:rPr>
        <w:t>152</w:t>
      </w:r>
    </w:p>
    <w:p>
      <w:pPr>
        <w:pStyle w:val="BodyText"/>
        <w:spacing w:line="235" w:lineRule="auto" w:before="203"/>
        <w:ind w:left="165" w:right="167"/>
        <w:jc w:val="both"/>
      </w:pPr>
      <w:bookmarkStart w:name="_bookmark1335" w:id="1337"/>
      <w:bookmarkEnd w:id="1337"/>
      <w:r>
        <w:rPr/>
      </w:r>
      <w:r>
        <w:rPr/>
        <w:t>Article 1(2)(a) is in the same terms as art.1(2)(a) of the Rome Convention </w:t>
      </w:r>
      <w:r>
        <w:rPr>
          <w:color w:val="005DA1"/>
          <w:u w:val="single" w:color="005DA1"/>
          <w:vertAlign w:val="superscript"/>
        </w:rPr>
        <w:t>703</w:t>
      </w:r>
      <w:r>
        <w:rPr>
          <w:color w:val="005DA1"/>
          <w:vertAlign w:val="baseline"/>
        </w:rPr>
        <w:t> </w:t>
      </w:r>
      <w:r>
        <w:rPr>
          <w:vertAlign w:val="baseline"/>
        </w:rPr>
        <w:t>and excludes </w:t>
      </w:r>
      <w:r>
        <w:rPr>
          <w:vertAlign w:val="baseline"/>
        </w:rPr>
        <w:t>questions </w:t>
      </w:r>
      <w:bookmarkStart w:name="_bookmark1336" w:id="1338"/>
      <w:bookmarkEnd w:id="1338"/>
      <w:r>
        <w:rPr>
          <w:vertAlign w:val="baseline"/>
        </w:rPr>
        <w:t>involving</w:t>
      </w:r>
      <w:r>
        <w:rPr>
          <w:vertAlign w:val="baseline"/>
        </w:rPr>
        <w:t> the status or legal capacity of natural persons without prejudice to the special rule on incapacity contained in art.13 of the Regulation. </w:t>
      </w:r>
      <w:r>
        <w:rPr>
          <w:color w:val="005DA1"/>
          <w:u w:val="single" w:color="005DA1"/>
          <w:vertAlign w:val="superscript"/>
        </w:rPr>
        <w:t>704</w:t>
      </w:r>
    </w:p>
    <w:p>
      <w:pPr>
        <w:pStyle w:val="BodyText"/>
      </w:pPr>
    </w:p>
    <w:p>
      <w:pPr>
        <w:pStyle w:val="BodyText"/>
        <w:spacing w:before="37"/>
      </w:pPr>
    </w:p>
    <w:p>
      <w:pPr>
        <w:spacing w:before="1"/>
        <w:ind w:left="165" w:right="0" w:firstLine="0"/>
        <w:jc w:val="left"/>
        <w:rPr>
          <w:rFonts w:ascii="Arial"/>
          <w:b/>
          <w:sz w:val="18"/>
        </w:rPr>
      </w:pPr>
      <w:r>
        <w:rPr>
          <w:rFonts w:ascii="Arial"/>
          <w:b/>
          <w:sz w:val="18"/>
        </w:rPr>
        <w:t>Family </w:t>
      </w:r>
      <w:r>
        <w:rPr>
          <w:rFonts w:ascii="Arial"/>
          <w:b/>
          <w:spacing w:val="-2"/>
          <w:sz w:val="18"/>
        </w:rPr>
        <w:t>relationships</w:t>
      </w:r>
    </w:p>
    <w:p>
      <w:pPr>
        <w:pStyle w:val="BodyText"/>
        <w:spacing w:before="41"/>
        <w:rPr>
          <w:rFonts w:ascii="Arial"/>
          <w:b/>
          <w:sz w:val="18"/>
        </w:rPr>
      </w:pPr>
    </w:p>
    <w:p>
      <w:pPr>
        <w:pStyle w:val="Heading2"/>
      </w:pPr>
      <w:r>
        <w:rPr/>
        <w:t>30-</w:t>
      </w:r>
      <w:r>
        <w:rPr>
          <w:spacing w:val="-5"/>
        </w:rPr>
        <w:t>153</w:t>
      </w:r>
    </w:p>
    <w:p>
      <w:pPr>
        <w:pStyle w:val="BodyText"/>
        <w:spacing w:line="235" w:lineRule="auto" w:before="202"/>
        <w:ind w:left="165" w:right="166"/>
        <w:jc w:val="both"/>
      </w:pPr>
      <w:r>
        <w:rPr/>
        <w:t>The choice of law rules contained in the Regulation do not apply to obligations arising out of family relationships, and relationships deemed by the law applicable to such relationships to have </w:t>
      </w:r>
      <w:bookmarkStart w:name="_bookmark1337" w:id="1339"/>
      <w:bookmarkEnd w:id="1339"/>
      <w:r>
        <w:rPr/>
        <w:t>comparable</w:t>
      </w:r>
      <w:r>
        <w:rPr/>
        <w:t> affects, including maintenance obligations. This provision, found in art.1(2)(b) of the Regulation, expresses, in somewhat different terms, part of art.1(2)(b) of the Rome Convention </w:t>
      </w:r>
      <w:r>
        <w:rPr>
          <w:color w:val="005DA1"/>
          <w:u w:val="single" w:color="005DA1"/>
          <w:vertAlign w:val="superscript"/>
        </w:rPr>
        <w:t>705</w:t>
      </w:r>
      <w:r>
        <w:rPr>
          <w:color w:val="005DA1"/>
          <w:vertAlign w:val="baseline"/>
        </w:rPr>
        <w:t> </w:t>
      </w:r>
      <w:r>
        <w:rPr>
          <w:vertAlign w:val="baseline"/>
        </w:rPr>
        <w:t>which also excluded obligations arising out of family relationships. In the Regulation there is </w:t>
      </w:r>
      <w:r>
        <w:rPr>
          <w:vertAlign w:val="baseline"/>
        </w:rPr>
        <w:t>an additional exclusion of obligations arising out of relationships deemed by the law applicable to such relationships</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comparable</w:t>
      </w:r>
      <w:r>
        <w:rPr>
          <w:spacing w:val="-2"/>
          <w:vertAlign w:val="baseline"/>
        </w:rPr>
        <w:t> </w:t>
      </w:r>
      <w:r>
        <w:rPr>
          <w:vertAlign w:val="baseline"/>
        </w:rPr>
        <w:t>effects</w:t>
      </w:r>
      <w:r>
        <w:rPr>
          <w:spacing w:val="-2"/>
          <w:vertAlign w:val="baseline"/>
        </w:rPr>
        <w:t> </w:t>
      </w:r>
      <w:r>
        <w:rPr>
          <w:vertAlign w:val="baseline"/>
        </w:rPr>
        <w:t>to</w:t>
      </w:r>
      <w:r>
        <w:rPr>
          <w:spacing w:val="-2"/>
          <w:vertAlign w:val="baseline"/>
        </w:rPr>
        <w:t> </w:t>
      </w:r>
      <w:r>
        <w:rPr>
          <w:vertAlign w:val="baseline"/>
        </w:rPr>
        <w:t>family</w:t>
      </w:r>
      <w:r>
        <w:rPr>
          <w:spacing w:val="-2"/>
          <w:vertAlign w:val="baseline"/>
        </w:rPr>
        <w:t> </w:t>
      </w:r>
      <w:r>
        <w:rPr>
          <w:vertAlign w:val="baseline"/>
        </w:rPr>
        <w:t>relationships.</w:t>
      </w:r>
      <w:r>
        <w:rPr>
          <w:spacing w:val="-2"/>
          <w:vertAlign w:val="baseline"/>
        </w:rPr>
        <w:t> </w:t>
      </w:r>
      <w:r>
        <w:rPr>
          <w:vertAlign w:val="baseline"/>
        </w:rPr>
        <w:t>Recital</w:t>
      </w:r>
      <w:r>
        <w:rPr>
          <w:spacing w:val="-2"/>
          <w:vertAlign w:val="baseline"/>
        </w:rPr>
        <w:t> </w:t>
      </w:r>
      <w:r>
        <w:rPr>
          <w:vertAlign w:val="baseline"/>
        </w:rPr>
        <w:t>8</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Regulation</w:t>
      </w:r>
      <w:r>
        <w:rPr>
          <w:spacing w:val="-2"/>
          <w:vertAlign w:val="baseline"/>
        </w:rPr>
        <w:t> </w:t>
      </w:r>
      <w:r>
        <w:rPr>
          <w:vertAlign w:val="baseline"/>
        </w:rPr>
        <w:t>states</w:t>
      </w:r>
      <w:r>
        <w:rPr>
          <w:spacing w:val="-2"/>
          <w:vertAlign w:val="baseline"/>
        </w:rPr>
        <w:t> </w:t>
      </w:r>
      <w:r>
        <w:rPr>
          <w:vertAlign w:val="baseline"/>
        </w:rPr>
        <w:t>that “family relationships should cover parentage, marriage, affinity, and collateral relatives” and also states that the reference:</w:t>
      </w:r>
    </w:p>
    <w:p>
      <w:pPr>
        <w:pStyle w:val="BodyText"/>
      </w:pPr>
    </w:p>
    <w:p>
      <w:pPr>
        <w:pStyle w:val="BodyText"/>
        <w:spacing w:before="124"/>
      </w:pPr>
    </w:p>
    <w:p>
      <w:pPr>
        <w:pStyle w:val="BodyText"/>
        <w:spacing w:line="235" w:lineRule="auto"/>
        <w:ind w:left="1245" w:right="167"/>
        <w:jc w:val="both"/>
      </w:pPr>
      <w:r>
        <w:rPr/>
        <w:t>“… to relationships having comparable effects to marriage and other family </w:t>
      </w:r>
      <w:r>
        <w:rPr/>
        <w:t>relationships should be interpreted in accordance with the law of the Member State in which the court</w:t>
      </w:r>
      <w:r>
        <w:rPr>
          <w:spacing w:val="40"/>
        </w:rPr>
        <w:t> </w:t>
      </w:r>
      <w:r>
        <w:rPr/>
        <w:t>is seised.”</w:t>
      </w:r>
    </w:p>
    <w:p>
      <w:pPr>
        <w:pStyle w:val="BodyText"/>
        <w:spacing w:before="111"/>
      </w:pPr>
    </w:p>
    <w:p>
      <w:pPr>
        <w:pStyle w:val="BodyText"/>
        <w:spacing w:before="1"/>
        <w:ind w:left="165"/>
        <w:jc w:val="both"/>
      </w:pPr>
      <w:bookmarkStart w:name="_bookmark1338" w:id="1340"/>
      <w:bookmarkEnd w:id="1340"/>
      <w:r>
        <w:rPr/>
      </w:r>
      <w:r>
        <w:rPr/>
        <w:t>This would be apt to exclude civil partnerships as understood in English law.</w:t>
      </w:r>
      <w:r>
        <w:rPr>
          <w:spacing w:val="-2"/>
        </w:rPr>
        <w:t> </w:t>
      </w:r>
      <w:r>
        <w:rPr>
          <w:color w:val="005DA1"/>
          <w:spacing w:val="-5"/>
          <w:u w:val="single" w:color="005DA1"/>
          <w:vertAlign w:val="superscript"/>
        </w:rPr>
        <w:t>706</w:t>
      </w:r>
    </w:p>
    <w:p>
      <w:pPr>
        <w:pStyle w:val="BodyText"/>
        <w:spacing w:after="0"/>
        <w:jc w:val="both"/>
        <w:sectPr>
          <w:headerReference w:type="default" r:id="rId17"/>
          <w:pgSz w:w="11900" w:h="16840"/>
          <w:pgMar w:header="971" w:footer="0" w:top="1300" w:bottom="280" w:left="1275" w:right="1275"/>
          <w:pgNumType w:start="1"/>
        </w:sectPr>
      </w:pPr>
    </w:p>
    <w:p>
      <w:pPr>
        <w:pStyle w:val="BodyText"/>
        <w:spacing w:before="2"/>
        <w:rPr>
          <w:sz w:val="18"/>
        </w:rPr>
      </w:pPr>
    </w:p>
    <w:p>
      <w:pPr>
        <w:spacing w:before="0"/>
        <w:ind w:left="165" w:right="0" w:firstLine="0"/>
        <w:jc w:val="left"/>
        <w:rPr>
          <w:rFonts w:ascii="Arial"/>
          <w:b/>
          <w:sz w:val="18"/>
        </w:rPr>
      </w:pPr>
      <w:r>
        <w:rPr>
          <w:rFonts w:ascii="Arial"/>
          <w:b/>
          <w:sz w:val="18"/>
        </w:rPr>
        <w:t>Matrimonial property regimes, </w:t>
      </w:r>
      <w:r>
        <w:rPr>
          <w:rFonts w:ascii="Arial"/>
          <w:b/>
          <w:spacing w:val="-5"/>
          <w:sz w:val="18"/>
        </w:rPr>
        <w:t>etc</w:t>
      </w:r>
    </w:p>
    <w:p>
      <w:pPr>
        <w:pStyle w:val="BodyText"/>
        <w:spacing w:before="41"/>
        <w:rPr>
          <w:rFonts w:ascii="Arial"/>
          <w:b/>
          <w:sz w:val="18"/>
        </w:rPr>
      </w:pPr>
    </w:p>
    <w:p>
      <w:pPr>
        <w:pStyle w:val="Heading2"/>
      </w:pPr>
      <w:r>
        <w:rPr/>
        <w:t>30-</w:t>
      </w:r>
      <w:r>
        <w:rPr>
          <w:spacing w:val="-5"/>
        </w:rPr>
        <w:t>154</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Article 1(2)(c) excludes obligations arising out of matrimonial property regimes, property regimes </w:t>
      </w:r>
      <w:r>
        <w:rPr/>
        <w:t>of </w:t>
      </w:r>
      <w:bookmarkStart w:name="_bookmark1339" w:id="1341"/>
      <w:bookmarkEnd w:id="1341"/>
      <w:r>
        <w:rPr/>
        <w:t>relationships</w:t>
      </w:r>
      <w:r>
        <w:rPr>
          <w:spacing w:val="48"/>
        </w:rPr>
        <w:t> </w:t>
      </w:r>
      <w:r>
        <w:rPr/>
        <w:t>deemed</w:t>
      </w:r>
      <w:r>
        <w:rPr>
          <w:spacing w:val="48"/>
        </w:rPr>
        <w:t> </w:t>
      </w:r>
      <w:r>
        <w:rPr/>
        <w:t>by</w:t>
      </w:r>
      <w:r>
        <w:rPr>
          <w:spacing w:val="48"/>
        </w:rPr>
        <w:t> </w:t>
      </w:r>
      <w:r>
        <w:rPr/>
        <w:t>the</w:t>
      </w:r>
      <w:r>
        <w:rPr>
          <w:spacing w:val="48"/>
        </w:rPr>
        <w:t> </w:t>
      </w:r>
      <w:r>
        <w:rPr/>
        <w:t>law</w:t>
      </w:r>
      <w:r>
        <w:rPr>
          <w:spacing w:val="48"/>
        </w:rPr>
        <w:t> </w:t>
      </w:r>
      <w:r>
        <w:rPr/>
        <w:t>applicable</w:t>
      </w:r>
      <w:r>
        <w:rPr>
          <w:spacing w:val="48"/>
        </w:rPr>
        <w:t> </w:t>
      </w:r>
      <w:r>
        <w:rPr/>
        <w:t>to</w:t>
      </w:r>
      <w:r>
        <w:rPr>
          <w:spacing w:val="48"/>
        </w:rPr>
        <w:t> </w:t>
      </w:r>
      <w:r>
        <w:rPr/>
        <w:t>such</w:t>
      </w:r>
      <w:r>
        <w:rPr>
          <w:spacing w:val="48"/>
        </w:rPr>
        <w:t> </w:t>
      </w:r>
      <w:r>
        <w:rPr/>
        <w:t>relationships</w:t>
      </w:r>
      <w:r>
        <w:rPr>
          <w:spacing w:val="48"/>
        </w:rPr>
        <w:t> </w:t>
      </w:r>
      <w:r>
        <w:rPr/>
        <w:t>to</w:t>
      </w:r>
      <w:r>
        <w:rPr>
          <w:spacing w:val="48"/>
        </w:rPr>
        <w:t> </w:t>
      </w:r>
      <w:r>
        <w:rPr/>
        <w:t>have</w:t>
      </w:r>
      <w:r>
        <w:rPr>
          <w:spacing w:val="48"/>
        </w:rPr>
        <w:t> </w:t>
      </w:r>
      <w:r>
        <w:rPr/>
        <w:t>comparable</w:t>
      </w:r>
      <w:r>
        <w:rPr>
          <w:spacing w:val="48"/>
        </w:rPr>
        <w:t> </w:t>
      </w:r>
      <w:r>
        <w:rPr/>
        <w:t>effects</w:t>
      </w:r>
      <w:r>
        <w:rPr>
          <w:spacing w:val="48"/>
        </w:rPr>
        <w:t> </w:t>
      </w:r>
      <w:r>
        <w:rPr>
          <w:spacing w:val="-5"/>
        </w:rPr>
        <w:t>to</w:t>
      </w:r>
    </w:p>
    <w:p>
      <w:pPr>
        <w:pStyle w:val="BodyText"/>
        <w:spacing w:line="235" w:lineRule="auto" w:before="119"/>
        <w:ind w:left="164" w:right="167"/>
        <w:jc w:val="both"/>
      </w:pPr>
      <w:bookmarkStart w:name="_bookmark1340" w:id="1342"/>
      <w:bookmarkEnd w:id="1342"/>
      <w:r>
        <w:rPr/>
      </w:r>
      <w:r>
        <w:rPr/>
        <w:t>marriage, and wills and succession. </w:t>
      </w:r>
      <w:r>
        <w:rPr>
          <w:color w:val="005DA1"/>
          <w:u w:val="single" w:color="005DA1"/>
          <w:vertAlign w:val="superscript"/>
        </w:rPr>
        <w:t>707</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26"/>
          <w:vertAlign w:val="baseline"/>
        </w:rPr>
        <w:t> </w:t>
      </w:r>
      <w:r>
        <w:rPr>
          <w:vertAlign w:val="baseline"/>
        </w:rPr>
        <w:t>Although in part, this provision is based on art.1(2)(b) </w:t>
      </w:r>
      <w:r>
        <w:rPr>
          <w:vertAlign w:val="baseline"/>
        </w:rPr>
        <w:t>of the Rome Convention, </w:t>
      </w:r>
      <w:r>
        <w:rPr>
          <w:color w:val="005DA1"/>
          <w:u w:val="single" w:color="005DA1"/>
          <w:vertAlign w:val="superscript"/>
        </w:rPr>
        <w:t>708</w:t>
      </w:r>
      <w:r>
        <w:rPr>
          <w:color w:val="005DA1"/>
          <w:vertAlign w:val="baseline"/>
        </w:rPr>
        <w:t> </w:t>
      </w:r>
      <w:r>
        <w:rPr>
          <w:vertAlign w:val="baseline"/>
        </w:rPr>
        <w:t>there is a significant addition in that the exclusion is extended to property regimes arising out of relationships deemed to have comparable effects to marriage under the law </w:t>
      </w:r>
      <w:bookmarkStart w:name="_bookmark1341" w:id="1343"/>
      <w:bookmarkEnd w:id="1343"/>
      <w:r>
        <w:rPr>
          <w:vertAlign w:val="baseline"/>
        </w:rPr>
        <w:t>applicable</w:t>
      </w:r>
      <w:r>
        <w:rPr>
          <w:vertAlign w:val="baseline"/>
        </w:rPr>
        <w:t> to such relationships. It will be for the law of the Member State in which the court is seised to determine whether the particular relationship has the necessary comparable effects. </w:t>
      </w:r>
      <w:r>
        <w:rPr>
          <w:color w:val="005DA1"/>
          <w:u w:val="single" w:color="005DA1"/>
          <w:vertAlign w:val="superscript"/>
        </w:rPr>
        <w:t>709</w:t>
      </w:r>
    </w:p>
    <w:p>
      <w:pPr>
        <w:pStyle w:val="BodyText"/>
      </w:pPr>
    </w:p>
    <w:p>
      <w:pPr>
        <w:pStyle w:val="BodyText"/>
        <w:spacing w:before="37"/>
      </w:pPr>
    </w:p>
    <w:p>
      <w:pPr>
        <w:spacing w:before="0"/>
        <w:ind w:left="165" w:right="0" w:firstLine="0"/>
        <w:jc w:val="left"/>
        <w:rPr>
          <w:rFonts w:ascii="Arial"/>
          <w:b/>
          <w:sz w:val="18"/>
        </w:rPr>
      </w:pPr>
      <w:r>
        <w:rPr>
          <w:rFonts w:ascii="Arial"/>
          <w:b/>
          <w:sz w:val="18"/>
        </w:rPr>
        <w:t>Bills of exchange </w:t>
      </w:r>
      <w:r>
        <w:rPr>
          <w:rFonts w:ascii="Arial"/>
          <w:b/>
          <w:spacing w:val="-5"/>
          <w:sz w:val="18"/>
        </w:rPr>
        <w:t>etc</w:t>
      </w:r>
    </w:p>
    <w:p>
      <w:pPr>
        <w:pStyle w:val="BodyText"/>
        <w:spacing w:before="41"/>
        <w:rPr>
          <w:rFonts w:ascii="Arial"/>
          <w:b/>
          <w:sz w:val="18"/>
        </w:rPr>
      </w:pPr>
    </w:p>
    <w:p>
      <w:pPr>
        <w:pStyle w:val="Heading2"/>
      </w:pPr>
      <w:r>
        <w:rPr/>
        <w:t>30-</w:t>
      </w:r>
      <w:r>
        <w:rPr>
          <w:spacing w:val="-5"/>
        </w:rPr>
        <w:t>155</w:t>
      </w:r>
    </w:p>
    <w:p>
      <w:pPr>
        <w:pStyle w:val="BodyText"/>
        <w:spacing w:line="235" w:lineRule="auto" w:before="203"/>
        <w:ind w:left="165" w:right="167"/>
        <w:jc w:val="both"/>
      </w:pPr>
      <w:r>
        <w:rPr/>
        <w:t>Article 1(2)(d) of the Regulation excludes obligations arising under bills of exchange, cheques and promissory notes and other negotiable instruments to the extent that the obligations under such </w:t>
      </w:r>
      <w:r>
        <w:rPr/>
        <w:t>other </w:t>
      </w:r>
      <w:bookmarkStart w:name="_bookmark1342" w:id="1344"/>
      <w:bookmarkEnd w:id="1344"/>
      <w:r>
        <w:rPr/>
        <w:t>negotiable</w:t>
      </w:r>
      <w:r>
        <w:rPr/>
        <w:t> instruments arise out of their negotiable character. This provision is a replica of art.1(2)(c) of the Rome Convention. </w:t>
      </w:r>
      <w:r>
        <w:rPr>
          <w:color w:val="005DA1"/>
          <w:u w:val="single" w:color="005DA1"/>
          <w:vertAlign w:val="superscript"/>
        </w:rPr>
        <w:t>710</w:t>
      </w:r>
      <w:r>
        <w:rPr>
          <w:color w:val="005DA1"/>
          <w:vertAlign w:val="baseline"/>
        </w:rPr>
        <w:t> </w:t>
      </w:r>
      <w:r>
        <w:rPr>
          <w:vertAlign w:val="baseline"/>
        </w:rPr>
        <w:t>Recital 9 to the Regulation states that obligations:</w:t>
      </w:r>
    </w:p>
    <w:p>
      <w:pPr>
        <w:pStyle w:val="BodyText"/>
      </w:pPr>
    </w:p>
    <w:p>
      <w:pPr>
        <w:pStyle w:val="BodyText"/>
        <w:spacing w:before="125"/>
      </w:pPr>
    </w:p>
    <w:p>
      <w:pPr>
        <w:pStyle w:val="BodyText"/>
        <w:spacing w:line="235" w:lineRule="auto"/>
        <w:ind w:left="1245" w:right="167"/>
        <w:jc w:val="both"/>
      </w:pPr>
      <w:r>
        <w:rPr/>
        <w:t>“… under bills of exchange, cheques and promissory notes and other </w:t>
      </w:r>
      <w:r>
        <w:rPr/>
        <w:t>negotiable instruments should also cover bills of lading to the extent that the obligations under the</w:t>
      </w:r>
      <w:r>
        <w:rPr>
          <w:spacing w:val="40"/>
        </w:rPr>
        <w:t> </w:t>
      </w:r>
      <w:r>
        <w:rPr/>
        <w:t>bill of lading arise out of its negotiable character.”</w:t>
      </w:r>
    </w:p>
    <w:p>
      <w:pPr>
        <w:pStyle w:val="BodyText"/>
        <w:spacing w:before="115"/>
      </w:pPr>
    </w:p>
    <w:p>
      <w:pPr>
        <w:pStyle w:val="BodyText"/>
        <w:spacing w:line="235" w:lineRule="auto" w:before="1"/>
        <w:ind w:left="165" w:right="166"/>
        <w:jc w:val="both"/>
      </w:pPr>
      <w:bookmarkStart w:name="_bookmark1343" w:id="1345"/>
      <w:bookmarkEnd w:id="1345"/>
      <w:r>
        <w:rPr/>
      </w:r>
      <w:r>
        <w:rPr/>
        <w:t>Thus, if under the relevant governing law a bill of lading is a negotiable instrument and the </w:t>
      </w:r>
      <w:r>
        <w:rPr/>
        <w:t>obligation in</w:t>
      </w:r>
      <w:r>
        <w:rPr>
          <w:spacing w:val="10"/>
        </w:rPr>
        <w:t> </w:t>
      </w:r>
      <w:r>
        <w:rPr/>
        <w:t>question</w:t>
      </w:r>
      <w:r>
        <w:rPr>
          <w:spacing w:val="10"/>
        </w:rPr>
        <w:t> </w:t>
      </w:r>
      <w:r>
        <w:rPr/>
        <w:t>arises</w:t>
      </w:r>
      <w:r>
        <w:rPr>
          <w:spacing w:val="10"/>
        </w:rPr>
        <w:t> </w:t>
      </w:r>
      <w:r>
        <w:rPr/>
        <w:t>out</w:t>
      </w:r>
      <w:r>
        <w:rPr>
          <w:spacing w:val="10"/>
        </w:rPr>
        <w:t> </w:t>
      </w:r>
      <w:r>
        <w:rPr/>
        <w:t>of</w:t>
      </w:r>
      <w:r>
        <w:rPr>
          <w:spacing w:val="10"/>
        </w:rPr>
        <w:t> </w:t>
      </w:r>
      <w:r>
        <w:rPr/>
        <w:t>its</w:t>
      </w:r>
      <w:r>
        <w:rPr>
          <w:spacing w:val="10"/>
        </w:rPr>
        <w:t> </w:t>
      </w:r>
      <w:r>
        <w:rPr/>
        <w:t>negotiable</w:t>
      </w:r>
      <w:r>
        <w:rPr>
          <w:spacing w:val="10"/>
        </w:rPr>
        <w:t> </w:t>
      </w:r>
      <w:r>
        <w:rPr/>
        <w:t>character,</w:t>
      </w:r>
      <w:r>
        <w:rPr>
          <w:spacing w:val="10"/>
        </w:rPr>
        <w:t> </w:t>
      </w:r>
      <w:r>
        <w:rPr/>
        <w:t>the</w:t>
      </w:r>
      <w:r>
        <w:rPr>
          <w:spacing w:val="10"/>
        </w:rPr>
        <w:t> </w:t>
      </w:r>
      <w:r>
        <w:rPr/>
        <w:t>rules</w:t>
      </w:r>
      <w:r>
        <w:rPr>
          <w:spacing w:val="10"/>
        </w:rPr>
        <w:t> </w:t>
      </w:r>
      <w:r>
        <w:rPr/>
        <w:t>contained</w:t>
      </w:r>
      <w:r>
        <w:rPr>
          <w:spacing w:val="10"/>
        </w:rPr>
        <w:t> </w:t>
      </w:r>
      <w:r>
        <w:rPr/>
        <w:t>in</w:t>
      </w:r>
      <w:r>
        <w:rPr>
          <w:spacing w:val="10"/>
        </w:rPr>
        <w:t> </w:t>
      </w:r>
      <w:r>
        <w:rPr/>
        <w:t>the</w:t>
      </w:r>
      <w:r>
        <w:rPr>
          <w:spacing w:val="10"/>
        </w:rPr>
        <w:t> </w:t>
      </w:r>
      <w:r>
        <w:rPr/>
        <w:t>Regulation</w:t>
      </w:r>
      <w:r>
        <w:rPr>
          <w:spacing w:val="10"/>
        </w:rPr>
        <w:t> </w:t>
      </w:r>
      <w:r>
        <w:rPr/>
        <w:t>will</w:t>
      </w:r>
      <w:r>
        <w:rPr>
          <w:spacing w:val="10"/>
        </w:rPr>
        <w:t> </w:t>
      </w:r>
      <w:r>
        <w:rPr/>
        <w:t>not</w:t>
      </w:r>
      <w:r>
        <w:rPr>
          <w:spacing w:val="10"/>
        </w:rPr>
        <w:t> </w:t>
      </w:r>
      <w:r>
        <w:rPr>
          <w:spacing w:val="-2"/>
        </w:rPr>
        <w:t>apply.</w:t>
      </w:r>
    </w:p>
    <w:p>
      <w:pPr>
        <w:spacing w:line="113" w:lineRule="exact" w:before="0"/>
        <w:ind w:left="165" w:right="0" w:firstLine="0"/>
        <w:jc w:val="left"/>
        <w:rPr>
          <w:sz w:val="12"/>
        </w:rPr>
      </w:pPr>
      <w:r>
        <w:rPr>
          <w:color w:val="005DA1"/>
          <w:spacing w:val="-5"/>
          <w:sz w:val="12"/>
          <w:u w:val="single" w:color="005DA1"/>
        </w:rPr>
        <w:t>711</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Arbitration agreements and agreements on the choice of </w:t>
      </w:r>
      <w:r>
        <w:rPr>
          <w:rFonts w:ascii="Arial"/>
          <w:b/>
          <w:spacing w:val="-2"/>
          <w:sz w:val="18"/>
        </w:rPr>
        <w:t>court</w:t>
      </w:r>
    </w:p>
    <w:p>
      <w:pPr>
        <w:pStyle w:val="BodyText"/>
        <w:spacing w:before="41"/>
        <w:rPr>
          <w:rFonts w:ascii="Arial"/>
          <w:b/>
          <w:sz w:val="18"/>
        </w:rPr>
      </w:pPr>
    </w:p>
    <w:p>
      <w:pPr>
        <w:pStyle w:val="Heading2"/>
      </w:pPr>
      <w:r>
        <w:rPr/>
        <w:t>30-</w:t>
      </w:r>
      <w:r>
        <w:rPr>
          <w:spacing w:val="-5"/>
        </w:rPr>
        <w:t>156</w:t>
      </w:r>
    </w:p>
    <w:p>
      <w:pPr>
        <w:pStyle w:val="BodyText"/>
        <w:spacing w:line="235" w:lineRule="auto" w:before="203"/>
        <w:ind w:left="165" w:right="167"/>
        <w:jc w:val="both"/>
      </w:pPr>
      <w:bookmarkStart w:name="_bookmark1344" w:id="1346"/>
      <w:bookmarkEnd w:id="1346"/>
      <w:r>
        <w:rPr/>
      </w:r>
      <w:r>
        <w:rPr/>
        <w:t>Article 1(2)(e) excludes arbitration agreements and agreements on the choice of court from the scope of the Regulation. The provision replicates art.1(2)(d) of the Rome Convention. </w:t>
      </w:r>
      <w:r>
        <w:rPr>
          <w:color w:val="005DA1"/>
          <w:u w:val="single" w:color="005DA1"/>
          <w:vertAlign w:val="superscript"/>
        </w:rPr>
        <w:t>712</w:t>
      </w:r>
    </w:p>
    <w:p>
      <w:pPr>
        <w:pStyle w:val="BodyText"/>
      </w:pPr>
    </w:p>
    <w:p>
      <w:pPr>
        <w:pStyle w:val="BodyText"/>
        <w:spacing w:before="37"/>
      </w:pPr>
    </w:p>
    <w:p>
      <w:pPr>
        <w:spacing w:before="1"/>
        <w:ind w:left="165" w:right="0" w:firstLine="0"/>
        <w:jc w:val="left"/>
        <w:rPr>
          <w:rFonts w:ascii="Arial"/>
          <w:b/>
          <w:sz w:val="18"/>
        </w:rPr>
      </w:pPr>
      <w:r>
        <w:rPr>
          <w:rFonts w:ascii="Arial"/>
          <w:b/>
          <w:sz w:val="18"/>
        </w:rPr>
        <w:t>Questions governed by the law of companies, </w:t>
      </w:r>
      <w:r>
        <w:rPr>
          <w:rFonts w:ascii="Arial"/>
          <w:b/>
          <w:spacing w:val="-5"/>
          <w:sz w:val="18"/>
        </w:rPr>
        <w:t>etc</w:t>
      </w:r>
    </w:p>
    <w:p>
      <w:pPr>
        <w:pStyle w:val="BodyText"/>
        <w:spacing w:before="41"/>
        <w:rPr>
          <w:rFonts w:ascii="Arial"/>
          <w:b/>
          <w:sz w:val="18"/>
        </w:rPr>
      </w:pPr>
    </w:p>
    <w:p>
      <w:pPr>
        <w:pStyle w:val="Heading2"/>
      </w:pPr>
      <w:r>
        <w:rPr/>
        <w:t>30-</w:t>
      </w:r>
      <w:r>
        <w:rPr>
          <w:spacing w:val="-5"/>
        </w:rPr>
        <w:t>157</w:t>
      </w:r>
    </w:p>
    <w:p>
      <w:pPr>
        <w:pStyle w:val="BodyText"/>
        <w:spacing w:line="235" w:lineRule="auto" w:before="203"/>
        <w:ind w:left="165" w:right="167"/>
        <w:jc w:val="both"/>
      </w:pPr>
      <w:r>
        <w:rPr/>
        <w:t>Article 1(2)(f) excludes questions governed by the law of companies and other bodies corporate or unincorporated such as the creation, by registration or otherwise, legal capacity, internal </w:t>
      </w:r>
      <w:r>
        <w:rPr/>
        <w:t>organisation or winding up of companies and other bodies corporate or unincorporated and the personal liability of officers and members as such for the obligations of the company or body. With one minor linguistic </w:t>
      </w:r>
      <w:bookmarkStart w:name="_bookmark1345" w:id="1347"/>
      <w:bookmarkEnd w:id="1347"/>
      <w:r>
        <w:rPr/>
        <w:t>change,</w:t>
      </w:r>
      <w:r>
        <w:rPr/>
        <w:t> of no substantial effect (body “unincorporate” in the Rome Convention becomes body “unincorporated” in the Regulation), this provision reproduces art.1(2)(e) of the Rome Convention. </w:t>
      </w:r>
      <w:r>
        <w:rPr>
          <w:color w:val="005DA1"/>
          <w:u w:val="single" w:color="005DA1"/>
          <w:vertAlign w:val="superscript"/>
        </w:rPr>
        <w:t>713</w:t>
      </w:r>
    </w:p>
    <w:p>
      <w:pPr>
        <w:pStyle w:val="BodyText"/>
      </w:pPr>
    </w:p>
    <w:p>
      <w:pPr>
        <w:pStyle w:val="BodyText"/>
        <w:spacing w:before="36"/>
      </w:pPr>
    </w:p>
    <w:p>
      <w:pPr>
        <w:spacing w:before="0"/>
        <w:ind w:left="165" w:right="0" w:firstLine="0"/>
        <w:jc w:val="left"/>
        <w:rPr>
          <w:rFonts w:ascii="Arial"/>
          <w:b/>
          <w:sz w:val="18"/>
        </w:rPr>
      </w:pPr>
      <w:r>
        <w:rPr>
          <w:rFonts w:ascii="Arial"/>
          <w:b/>
          <w:sz w:val="18"/>
        </w:rPr>
        <w:t>Power of agent to bind principal, </w:t>
      </w:r>
      <w:r>
        <w:rPr>
          <w:rFonts w:ascii="Arial"/>
          <w:b/>
          <w:spacing w:val="-5"/>
          <w:sz w:val="18"/>
        </w:rPr>
        <w:t>etc</w:t>
      </w:r>
    </w:p>
    <w:p>
      <w:pPr>
        <w:pStyle w:val="BodyText"/>
        <w:spacing w:before="41"/>
        <w:rPr>
          <w:rFonts w:ascii="Arial"/>
          <w:b/>
          <w:sz w:val="18"/>
        </w:rPr>
      </w:pPr>
    </w:p>
    <w:p>
      <w:pPr>
        <w:pStyle w:val="Heading2"/>
      </w:pPr>
      <w:r>
        <w:rPr/>
        <w:t>30-</w:t>
      </w:r>
      <w:r>
        <w:rPr>
          <w:spacing w:val="-5"/>
        </w:rPr>
        <w:t>158</w:t>
      </w:r>
    </w:p>
    <w:p>
      <w:pPr>
        <w:pStyle w:val="BodyText"/>
        <w:spacing w:before="199"/>
        <w:ind w:left="165"/>
        <w:jc w:val="both"/>
      </w:pPr>
      <w:r>
        <w:rPr/>
        <w:t>According</w:t>
      </w:r>
      <w:r>
        <w:rPr>
          <w:spacing w:val="23"/>
        </w:rPr>
        <w:t> </w:t>
      </w:r>
      <w:r>
        <w:rPr/>
        <w:t>to</w:t>
      </w:r>
      <w:r>
        <w:rPr>
          <w:spacing w:val="23"/>
        </w:rPr>
        <w:t> </w:t>
      </w:r>
      <w:r>
        <w:rPr/>
        <w:t>art.1(2)(g),</w:t>
      </w:r>
      <w:r>
        <w:rPr>
          <w:spacing w:val="23"/>
        </w:rPr>
        <w:t> </w:t>
      </w:r>
      <w:r>
        <w:rPr/>
        <w:t>the</w:t>
      </w:r>
      <w:r>
        <w:rPr>
          <w:spacing w:val="23"/>
        </w:rPr>
        <w:t> </w:t>
      </w:r>
      <w:r>
        <w:rPr/>
        <w:t>Regulation</w:t>
      </w:r>
      <w:r>
        <w:rPr>
          <w:spacing w:val="23"/>
        </w:rPr>
        <w:t> </w:t>
      </w:r>
      <w:r>
        <w:rPr/>
        <w:t>does</w:t>
      </w:r>
      <w:r>
        <w:rPr>
          <w:spacing w:val="23"/>
        </w:rPr>
        <w:t> </w:t>
      </w:r>
      <w:r>
        <w:rPr/>
        <w:t>not</w:t>
      </w:r>
      <w:r>
        <w:rPr>
          <w:spacing w:val="23"/>
        </w:rPr>
        <w:t> </w:t>
      </w:r>
      <w:r>
        <w:rPr/>
        <w:t>apply</w:t>
      </w:r>
      <w:r>
        <w:rPr>
          <w:spacing w:val="23"/>
        </w:rPr>
        <w:t> </w:t>
      </w:r>
      <w:r>
        <w:rPr/>
        <w:t>to</w:t>
      </w:r>
      <w:r>
        <w:rPr>
          <w:spacing w:val="23"/>
        </w:rPr>
        <w:t> </w:t>
      </w:r>
      <w:r>
        <w:rPr/>
        <w:t>the</w:t>
      </w:r>
      <w:r>
        <w:rPr>
          <w:spacing w:val="23"/>
        </w:rPr>
        <w:t> </w:t>
      </w:r>
      <w:r>
        <w:rPr/>
        <w:t>question</w:t>
      </w:r>
      <w:r>
        <w:rPr>
          <w:spacing w:val="23"/>
        </w:rPr>
        <w:t> </w:t>
      </w:r>
      <w:r>
        <w:rPr/>
        <w:t>whether</w:t>
      </w:r>
      <w:r>
        <w:rPr>
          <w:spacing w:val="23"/>
        </w:rPr>
        <w:t> </w:t>
      </w:r>
      <w:r>
        <w:rPr/>
        <w:t>an</w:t>
      </w:r>
      <w:r>
        <w:rPr>
          <w:spacing w:val="23"/>
        </w:rPr>
        <w:t> </w:t>
      </w:r>
      <w:r>
        <w:rPr/>
        <w:t>agent</w:t>
      </w:r>
      <w:r>
        <w:rPr>
          <w:spacing w:val="23"/>
        </w:rPr>
        <w:t> </w:t>
      </w:r>
      <w:r>
        <w:rPr/>
        <w:t>is</w:t>
      </w:r>
      <w:r>
        <w:rPr>
          <w:spacing w:val="23"/>
        </w:rPr>
        <w:t> </w:t>
      </w:r>
      <w:r>
        <w:rPr/>
        <w:t>able</w:t>
      </w:r>
      <w:r>
        <w:rPr>
          <w:spacing w:val="23"/>
        </w:rPr>
        <w:t> </w:t>
      </w:r>
      <w:r>
        <w:rPr>
          <w:spacing w:val="-5"/>
        </w:rPr>
        <w:t>to</w:t>
      </w:r>
    </w:p>
    <w:p>
      <w:pPr>
        <w:pStyle w:val="BodyText"/>
        <w:spacing w:after="0"/>
        <w:jc w:val="both"/>
        <w:sectPr>
          <w:pgSz w:w="11900" w:h="16840"/>
          <w:pgMar w:header="971" w:footer="0" w:top="1300" w:bottom="280" w:left="1275" w:right="1275"/>
        </w:sectPr>
      </w:pPr>
    </w:p>
    <w:p>
      <w:pPr>
        <w:pStyle w:val="BodyText"/>
        <w:spacing w:line="235" w:lineRule="auto" w:before="210"/>
        <w:ind w:left="165" w:right="168"/>
        <w:jc w:val="both"/>
      </w:pPr>
      <w:r>
        <w:rPr/>
        <w:t>bind a principal, or an organ to bind a company or body corporate or unincorporated, in relation to a </w:t>
      </w:r>
      <w:bookmarkStart w:name="_bookmark1346" w:id="1348"/>
      <w:bookmarkEnd w:id="1348"/>
      <w:r>
        <w:rPr/>
        <w:t>third</w:t>
      </w:r>
      <w:r>
        <w:rPr/>
        <w:t> party. With minor linguistic changes, of no substantial effect, art.1(2)(g) reproduces art.1(2)(f) </w:t>
      </w:r>
      <w:r>
        <w:rPr/>
        <w:t>of the Rome Convention. </w:t>
      </w:r>
      <w:r>
        <w:rPr>
          <w:color w:val="005DA1"/>
          <w:u w:val="single" w:color="005DA1"/>
          <w:vertAlign w:val="superscript"/>
        </w:rPr>
        <w:t>714</w:t>
      </w:r>
    </w:p>
    <w:p>
      <w:pPr>
        <w:pStyle w:val="BodyText"/>
      </w:pPr>
    </w:p>
    <w:p>
      <w:pPr>
        <w:pStyle w:val="BodyText"/>
        <w:spacing w:before="38"/>
      </w:pPr>
    </w:p>
    <w:p>
      <w:pPr>
        <w:spacing w:before="0"/>
        <w:ind w:left="165" w:right="0" w:firstLine="0"/>
        <w:jc w:val="left"/>
        <w:rPr>
          <w:rFonts w:ascii="Arial"/>
          <w:b/>
          <w:sz w:val="18"/>
        </w:rPr>
      </w:pPr>
      <w:r>
        <w:rPr>
          <w:rFonts w:ascii="Arial"/>
          <w:b/>
          <w:spacing w:val="-2"/>
          <w:sz w:val="18"/>
        </w:rPr>
        <w:t>Trusts</w:t>
      </w:r>
    </w:p>
    <w:p>
      <w:pPr>
        <w:pStyle w:val="BodyText"/>
        <w:spacing w:before="41"/>
        <w:rPr>
          <w:rFonts w:ascii="Arial"/>
          <w:b/>
          <w:sz w:val="18"/>
        </w:rPr>
      </w:pPr>
    </w:p>
    <w:p>
      <w:pPr>
        <w:pStyle w:val="Heading2"/>
      </w:pPr>
      <w:r>
        <w:rPr/>
        <w:t>30-</w:t>
      </w:r>
      <w:r>
        <w:rPr>
          <w:spacing w:val="-5"/>
        </w:rPr>
        <w:t>159</w:t>
      </w:r>
    </w:p>
    <w:p>
      <w:pPr>
        <w:pStyle w:val="BodyText"/>
        <w:spacing w:line="235" w:lineRule="auto" w:before="203"/>
        <w:ind w:left="165" w:right="167"/>
        <w:jc w:val="both"/>
      </w:pPr>
      <w:r>
        <w:rPr/>
        <w:t>Questions concerning the constitution of trusts and the relationship between settlors, trustees and </w:t>
      </w:r>
      <w:bookmarkStart w:name="_bookmark1347" w:id="1349"/>
      <w:bookmarkEnd w:id="1349"/>
      <w:r>
        <w:rPr/>
        <w:t>beneficiaries,</w:t>
      </w:r>
      <w:r>
        <w:rPr/>
        <w:t> are excluded by art.1(2)(h) in terms which are identical with art.1(2)(g) of the </w:t>
      </w:r>
      <w:r>
        <w:rPr/>
        <w:t>Rome convention. </w:t>
      </w:r>
      <w:r>
        <w:rPr>
          <w:color w:val="005DA1"/>
          <w:u w:val="single" w:color="005DA1"/>
          <w:vertAlign w:val="superscript"/>
        </w:rPr>
        <w:t>715</w:t>
      </w:r>
    </w:p>
    <w:p>
      <w:pPr>
        <w:pStyle w:val="BodyText"/>
      </w:pPr>
    </w:p>
    <w:p>
      <w:pPr>
        <w:pStyle w:val="BodyText"/>
        <w:spacing w:before="37"/>
      </w:pPr>
    </w:p>
    <w:p>
      <w:pPr>
        <w:spacing w:before="0"/>
        <w:ind w:left="165" w:right="0" w:firstLine="0"/>
        <w:jc w:val="left"/>
        <w:rPr>
          <w:rFonts w:ascii="Arial"/>
          <w:b/>
          <w:sz w:val="18"/>
        </w:rPr>
      </w:pPr>
      <w:r>
        <w:rPr>
          <w:rFonts w:ascii="Arial"/>
          <w:b/>
          <w:sz w:val="18"/>
        </w:rPr>
        <w:t>Evidence and </w:t>
      </w:r>
      <w:r>
        <w:rPr>
          <w:rFonts w:ascii="Arial"/>
          <w:b/>
          <w:spacing w:val="-2"/>
          <w:sz w:val="18"/>
        </w:rPr>
        <w:t>procedure</w:t>
      </w:r>
    </w:p>
    <w:p>
      <w:pPr>
        <w:pStyle w:val="BodyText"/>
        <w:spacing w:before="41"/>
        <w:rPr>
          <w:rFonts w:ascii="Arial"/>
          <w:b/>
          <w:sz w:val="18"/>
        </w:rPr>
      </w:pPr>
    </w:p>
    <w:p>
      <w:pPr>
        <w:pStyle w:val="Heading2"/>
        <w:spacing w:before="1"/>
      </w:pPr>
      <w:r>
        <w:rPr/>
        <w:t>30-</w:t>
      </w:r>
      <w:r>
        <w:rPr>
          <w:spacing w:val="-5"/>
        </w:rPr>
        <w:t>160</w:t>
      </w:r>
    </w:p>
    <w:p>
      <w:pPr>
        <w:pStyle w:val="BodyText"/>
        <w:spacing w:line="235" w:lineRule="auto" w:before="202"/>
        <w:ind w:left="165" w:right="167"/>
        <w:jc w:val="both"/>
      </w:pPr>
      <w:bookmarkStart w:name="_bookmark1348" w:id="1350"/>
      <w:bookmarkEnd w:id="1350"/>
      <w:r>
        <w:rPr/>
      </w:r>
      <w:r>
        <w:rPr/>
        <w:t>Article 1(3) of the Regulation, reproducing the effect of art.1(2)(h) of the Rome Convention </w:t>
      </w:r>
      <w:r>
        <w:rPr>
          <w:color w:val="005DA1"/>
          <w:u w:val="single" w:color="005DA1"/>
          <w:vertAlign w:val="superscript"/>
        </w:rPr>
        <w:t>716</w:t>
      </w:r>
      <w:r>
        <w:rPr>
          <w:color w:val="005DA1"/>
          <w:spacing w:val="40"/>
          <w:vertAlign w:val="baseline"/>
        </w:rPr>
        <w:t> </w:t>
      </w:r>
      <w:bookmarkStart w:name="_bookmark1349" w:id="1351"/>
      <w:bookmarkEnd w:id="1351"/>
      <w:r>
        <w:rPr>
          <w:color w:val="005DA1"/>
          <w:w w:val="92"/>
          <w:vertAlign w:val="baseline"/>
        </w:rPr>
      </w:r>
      <w:r>
        <w:rPr>
          <w:vertAlign w:val="baseline"/>
        </w:rPr>
        <w:t>provides that the Regulation does not apply to evidence and procedure, without prejudice to art.18, concerned with the burden of proof. </w:t>
      </w:r>
      <w:r>
        <w:rPr>
          <w:color w:val="005DA1"/>
          <w:u w:val="single" w:color="005DA1"/>
          <w:vertAlign w:val="superscript"/>
        </w:rPr>
        <w:t>717</w:t>
      </w:r>
    </w:p>
    <w:p>
      <w:pPr>
        <w:pStyle w:val="BodyText"/>
      </w:pPr>
    </w:p>
    <w:p>
      <w:pPr>
        <w:pStyle w:val="BodyText"/>
        <w:spacing w:before="37"/>
      </w:pPr>
    </w:p>
    <w:p>
      <w:pPr>
        <w:spacing w:before="1"/>
        <w:ind w:left="165" w:right="0" w:firstLine="0"/>
        <w:jc w:val="left"/>
        <w:rPr>
          <w:rFonts w:ascii="Arial"/>
          <w:b/>
          <w:sz w:val="18"/>
        </w:rPr>
      </w:pPr>
      <w:r>
        <w:rPr>
          <w:rFonts w:ascii="Arial"/>
          <w:b/>
          <w:sz w:val="18"/>
        </w:rPr>
        <w:t>Pre-contractual </w:t>
      </w:r>
      <w:r>
        <w:rPr>
          <w:rFonts w:ascii="Arial"/>
          <w:b/>
          <w:spacing w:val="-2"/>
          <w:sz w:val="18"/>
        </w:rPr>
        <w:t>dealings</w:t>
      </w:r>
    </w:p>
    <w:p>
      <w:pPr>
        <w:pStyle w:val="BodyText"/>
        <w:spacing w:before="41"/>
        <w:rPr>
          <w:rFonts w:ascii="Arial"/>
          <w:b/>
          <w:sz w:val="18"/>
        </w:rPr>
      </w:pPr>
    </w:p>
    <w:p>
      <w:pPr>
        <w:pStyle w:val="Heading2"/>
      </w:pPr>
      <w:r>
        <w:rPr/>
        <w:t>30-</w:t>
      </w:r>
      <w:r>
        <w:rPr>
          <w:spacing w:val="-5"/>
        </w:rPr>
        <w:t>161</w:t>
      </w:r>
    </w:p>
    <w:p>
      <w:pPr>
        <w:pStyle w:val="BodyText"/>
        <w:spacing w:line="235" w:lineRule="auto" w:before="203"/>
        <w:ind w:left="165" w:right="167"/>
        <w:jc w:val="both"/>
      </w:pPr>
      <w:bookmarkStart w:name="_bookmark1350" w:id="1352"/>
      <w:bookmarkEnd w:id="1352"/>
      <w:r>
        <w:rPr/>
      </w:r>
      <w:r>
        <w:rPr/>
        <w:t>As pointed out above, </w:t>
      </w:r>
      <w:r>
        <w:rPr>
          <w:color w:val="005DA1"/>
          <w:u w:val="single" w:color="005DA1"/>
          <w:vertAlign w:val="superscript"/>
        </w:rPr>
        <w:t>718</w:t>
      </w:r>
      <w:r>
        <w:rPr>
          <w:color w:val="005DA1"/>
          <w:vertAlign w:val="baseline"/>
        </w:rPr>
        <w:t> </w:t>
      </w:r>
      <w:r>
        <w:rPr>
          <w:vertAlign w:val="baseline"/>
        </w:rPr>
        <w:t>art.1(2)(i) provides that the Regulation does not apply to obligations </w:t>
      </w:r>
      <w:r>
        <w:rPr>
          <w:vertAlign w:val="baseline"/>
        </w:rPr>
        <w:t>arising </w:t>
      </w:r>
      <w:bookmarkStart w:name="_bookmark1351" w:id="1353"/>
      <w:bookmarkEnd w:id="1353"/>
      <w:r>
        <w:rPr>
          <w:vertAlign w:val="baseline"/>
        </w:rPr>
        <w:t>out</w:t>
      </w:r>
      <w:r>
        <w:rPr>
          <w:vertAlign w:val="baseline"/>
        </w:rPr>
        <w:t> of dealings prior to the conclusion of a contract. Such obligations are regarded as non-contractual obligations and thus will fall within art.12 of the Rome II Regulation. </w:t>
      </w:r>
      <w:r>
        <w:rPr>
          <w:color w:val="005DA1"/>
          <w:u w:val="single" w:color="005DA1"/>
          <w:vertAlign w:val="superscript"/>
        </w:rPr>
        <w:t>719</w:t>
      </w:r>
      <w:r>
        <w:rPr>
          <w:color w:val="005DA1"/>
          <w:vertAlign w:val="baseline"/>
        </w:rPr>
        <w:t> </w:t>
      </w:r>
      <w:r>
        <w:rPr>
          <w:vertAlign w:val="baseline"/>
        </w:rPr>
        <w:t>Article 1(2)(j) has no counterpart in the Rome Convention.</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Insurance</w:t>
      </w:r>
    </w:p>
    <w:p>
      <w:pPr>
        <w:pStyle w:val="BodyText"/>
        <w:spacing w:before="41"/>
        <w:rPr>
          <w:rFonts w:ascii="Arial"/>
          <w:b/>
          <w:sz w:val="18"/>
        </w:rPr>
      </w:pPr>
    </w:p>
    <w:p>
      <w:pPr>
        <w:pStyle w:val="Heading2"/>
      </w:pPr>
      <w:r>
        <w:rPr/>
        <w:t>30-</w:t>
      </w:r>
      <w:r>
        <w:rPr>
          <w:spacing w:val="-5"/>
        </w:rPr>
        <w:t>162</w:t>
      </w:r>
    </w:p>
    <w:p>
      <w:pPr>
        <w:pStyle w:val="BodyText"/>
        <w:spacing w:line="235" w:lineRule="auto" w:before="203"/>
        <w:ind w:left="165" w:right="168"/>
        <w:jc w:val="both"/>
      </w:pPr>
      <w:r>
        <w:rPr/>
        <w:t>The Rome Convention contained no discrete rules for determining the law applicable to </w:t>
      </w:r>
      <w:r>
        <w:rPr/>
        <w:t>insurance </w:t>
      </w:r>
      <w:bookmarkStart w:name="_bookmark1352" w:id="1354"/>
      <w:bookmarkEnd w:id="1354"/>
      <w:r>
        <w:rPr/>
        <w:t>contracts</w:t>
      </w:r>
      <w:r>
        <w:rPr/>
        <w:t> and indeed did not apply at all to determine the law applicable to an insurance contract covering risks situated in the territories of the European Community. </w:t>
      </w:r>
      <w:r>
        <w:rPr>
          <w:color w:val="005DA1"/>
          <w:u w:val="single" w:color="005DA1"/>
          <w:vertAlign w:val="superscript"/>
        </w:rPr>
        <w:t>720</w:t>
      </w:r>
      <w:r>
        <w:rPr>
          <w:color w:val="005DA1"/>
          <w:vertAlign w:val="baseline"/>
        </w:rPr>
        <w:t> </w:t>
      </w:r>
      <w:r>
        <w:rPr>
          <w:vertAlign w:val="baseline"/>
        </w:rPr>
        <w:t>In contrast, art.7 of the Rome</w:t>
      </w:r>
      <w:r>
        <w:rPr>
          <w:spacing w:val="40"/>
          <w:vertAlign w:val="baseline"/>
        </w:rPr>
        <w:t> </w:t>
      </w:r>
      <w:bookmarkStart w:name="_bookmark1353" w:id="1355"/>
      <w:bookmarkEnd w:id="1355"/>
      <w:r>
        <w:rPr>
          <w:vertAlign w:val="baseline"/>
        </w:rPr>
        <w:t>I</w:t>
      </w:r>
      <w:r>
        <w:rPr>
          <w:vertAlign w:val="baseline"/>
        </w:rPr>
        <w:t> Regulation contains elaborate choice of law rules for determining the law applicable to insurance contracts</w:t>
      </w:r>
      <w:r>
        <w:rPr>
          <w:spacing w:val="-2"/>
          <w:vertAlign w:val="baseline"/>
        </w:rPr>
        <w:t> </w:t>
      </w:r>
      <w:r>
        <w:rPr>
          <w:vertAlign w:val="baseline"/>
        </w:rPr>
        <w:t>which</w:t>
      </w:r>
      <w:r>
        <w:rPr>
          <w:spacing w:val="-2"/>
          <w:vertAlign w:val="baseline"/>
        </w:rPr>
        <w:t> </w:t>
      </w:r>
      <w:r>
        <w:rPr>
          <w:vertAlign w:val="baseline"/>
        </w:rPr>
        <w:t>are</w:t>
      </w:r>
      <w:r>
        <w:rPr>
          <w:spacing w:val="-2"/>
          <w:vertAlign w:val="baseline"/>
        </w:rPr>
        <w:t> </w:t>
      </w:r>
      <w:r>
        <w:rPr>
          <w:vertAlign w:val="baseline"/>
        </w:rPr>
        <w:t>discussed</w:t>
      </w:r>
      <w:r>
        <w:rPr>
          <w:spacing w:val="-2"/>
          <w:vertAlign w:val="baseline"/>
        </w:rPr>
        <w:t> </w:t>
      </w:r>
      <w:r>
        <w:rPr>
          <w:vertAlign w:val="baseline"/>
        </w:rPr>
        <w:t>later</w:t>
      </w:r>
      <w:r>
        <w:rPr>
          <w:spacing w:val="-2"/>
          <w:vertAlign w:val="baseline"/>
        </w:rPr>
        <w:t> </w:t>
      </w:r>
      <w:r>
        <w:rPr>
          <w:vertAlign w:val="baseline"/>
        </w:rPr>
        <w:t>in</w:t>
      </w:r>
      <w:r>
        <w:rPr>
          <w:spacing w:val="-2"/>
          <w:vertAlign w:val="baseline"/>
        </w:rPr>
        <w:t> </w:t>
      </w:r>
      <w:r>
        <w:rPr>
          <w:vertAlign w:val="baseline"/>
        </w:rPr>
        <w:t>this</w:t>
      </w:r>
      <w:r>
        <w:rPr>
          <w:spacing w:val="-3"/>
          <w:vertAlign w:val="baseline"/>
        </w:rPr>
        <w:t> </w:t>
      </w:r>
      <w:r>
        <w:rPr>
          <w:vertAlign w:val="baseline"/>
        </w:rPr>
        <w:t>section.</w:t>
      </w:r>
      <w:r>
        <w:rPr>
          <w:spacing w:val="-3"/>
          <w:vertAlign w:val="baseline"/>
        </w:rPr>
        <w:t> </w:t>
      </w:r>
      <w:r>
        <w:rPr>
          <w:color w:val="005DA1"/>
          <w:u w:val="single" w:color="005DA1"/>
          <w:vertAlign w:val="superscript"/>
        </w:rPr>
        <w:t>721</w:t>
      </w:r>
      <w:r>
        <w:rPr>
          <w:color w:val="005DA1"/>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however,</w:t>
      </w:r>
      <w:r>
        <w:rPr>
          <w:spacing w:val="-2"/>
          <w:vertAlign w:val="baseline"/>
        </w:rPr>
        <w:t> </w:t>
      </w:r>
      <w:r>
        <w:rPr>
          <w:vertAlign w:val="baseline"/>
        </w:rPr>
        <w:t>in</w:t>
      </w:r>
      <w:r>
        <w:rPr>
          <w:spacing w:val="-2"/>
          <w:vertAlign w:val="baseline"/>
        </w:rPr>
        <w:t> </w:t>
      </w:r>
      <w:r>
        <w:rPr>
          <w:vertAlign w:val="baseline"/>
        </w:rPr>
        <w:t>art.1(2)(j)</w:t>
      </w:r>
      <w:r>
        <w:rPr>
          <w:spacing w:val="-2"/>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Regulation an exclusion of a specific type of insurance from the Regulation regime, namely insurance contracts </w:t>
      </w:r>
      <w:bookmarkStart w:name="_bookmark1354" w:id="1356"/>
      <w:bookmarkEnd w:id="1356"/>
      <w:r>
        <w:rPr>
          <w:vertAlign w:val="baseline"/>
        </w:rPr>
        <w:t>arising</w:t>
      </w:r>
      <w:r>
        <w:rPr>
          <w:vertAlign w:val="baseline"/>
        </w:rPr>
        <w:t> out of operations carried out by organisations other than undertakings referred to in art.2 of Directive 2002/83 concerning life insurance </w:t>
      </w:r>
      <w:r>
        <w:rPr>
          <w:color w:val="005DA1"/>
          <w:u w:val="single" w:color="005DA1"/>
          <w:vertAlign w:val="superscript"/>
        </w:rPr>
        <w:t>722</w:t>
      </w:r>
      <w:r>
        <w:rPr>
          <w:color w:val="005DA1"/>
          <w:vertAlign w:val="baseline"/>
        </w:rPr>
        <w:t> </w:t>
      </w:r>
      <w:r>
        <w:rPr>
          <w:vertAlign w:val="baseline"/>
        </w:rPr>
        <w:t>the object of which is to provide benefits for employed or</w:t>
      </w:r>
      <w:r>
        <w:rPr>
          <w:spacing w:val="-1"/>
          <w:vertAlign w:val="baseline"/>
        </w:rPr>
        <w:t> </w:t>
      </w:r>
      <w:r>
        <w:rPr>
          <w:vertAlign w:val="baseline"/>
        </w:rPr>
        <w:t>self-employed</w:t>
      </w:r>
      <w:r>
        <w:rPr>
          <w:spacing w:val="-1"/>
          <w:vertAlign w:val="baseline"/>
        </w:rPr>
        <w:t> </w:t>
      </w:r>
      <w:r>
        <w:rPr>
          <w:vertAlign w:val="baseline"/>
        </w:rPr>
        <w:t>persons</w:t>
      </w:r>
      <w:r>
        <w:rPr>
          <w:spacing w:val="-1"/>
          <w:vertAlign w:val="baseline"/>
        </w:rPr>
        <w:t> </w:t>
      </w:r>
      <w:r>
        <w:rPr>
          <w:vertAlign w:val="baseline"/>
        </w:rPr>
        <w:t>belonging</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undertaking</w:t>
      </w:r>
      <w:r>
        <w:rPr>
          <w:spacing w:val="-1"/>
          <w:vertAlign w:val="baseline"/>
        </w:rPr>
        <w:t> </w:t>
      </w:r>
      <w:r>
        <w:rPr>
          <w:vertAlign w:val="baseline"/>
        </w:rPr>
        <w:t>or</w:t>
      </w:r>
      <w:r>
        <w:rPr>
          <w:spacing w:val="-1"/>
          <w:vertAlign w:val="baseline"/>
        </w:rPr>
        <w:t> </w:t>
      </w:r>
      <w:r>
        <w:rPr>
          <w:vertAlign w:val="baseline"/>
        </w:rPr>
        <w:t>group</w:t>
      </w:r>
      <w:r>
        <w:rPr>
          <w:spacing w:val="-1"/>
          <w:vertAlign w:val="baseline"/>
        </w:rPr>
        <w:t> </w:t>
      </w:r>
      <w:r>
        <w:rPr>
          <w:vertAlign w:val="baseline"/>
        </w:rPr>
        <w:t>of</w:t>
      </w:r>
      <w:r>
        <w:rPr>
          <w:spacing w:val="-1"/>
          <w:vertAlign w:val="baseline"/>
        </w:rPr>
        <w:t> </w:t>
      </w:r>
      <w:r>
        <w:rPr>
          <w:vertAlign w:val="baseline"/>
        </w:rPr>
        <w:t>undertakings,</w:t>
      </w:r>
      <w:r>
        <w:rPr>
          <w:spacing w:val="-1"/>
          <w:vertAlign w:val="baseline"/>
        </w:rPr>
        <w:t> </w:t>
      </w:r>
      <w:r>
        <w:rPr>
          <w:vertAlign w:val="baseline"/>
        </w:rPr>
        <w:t>or</w:t>
      </w:r>
      <w:r>
        <w:rPr>
          <w:spacing w:val="-1"/>
          <w:vertAlign w:val="baseline"/>
        </w:rPr>
        <w:t> </w:t>
      </w:r>
      <w:r>
        <w:rPr>
          <w:vertAlign w:val="baseline"/>
        </w:rPr>
        <w:t>a</w:t>
      </w:r>
      <w:r>
        <w:rPr>
          <w:spacing w:val="-1"/>
          <w:vertAlign w:val="baseline"/>
        </w:rPr>
        <w:t> </w:t>
      </w:r>
      <w:r>
        <w:rPr>
          <w:vertAlign w:val="baseline"/>
        </w:rPr>
        <w:t>trade</w:t>
      </w:r>
      <w:r>
        <w:rPr>
          <w:spacing w:val="-1"/>
          <w:vertAlign w:val="baseline"/>
        </w:rPr>
        <w:t> </w:t>
      </w:r>
      <w:r>
        <w:rPr>
          <w:vertAlign w:val="baseline"/>
        </w:rPr>
        <w:t>or</w:t>
      </w:r>
      <w:r>
        <w:rPr>
          <w:spacing w:val="-1"/>
          <w:vertAlign w:val="baseline"/>
        </w:rPr>
        <w:t> </w:t>
      </w:r>
      <w:r>
        <w:rPr>
          <w:vertAlign w:val="baseline"/>
        </w:rPr>
        <w:t>group</w:t>
      </w:r>
      <w:r>
        <w:rPr>
          <w:spacing w:val="-1"/>
          <w:vertAlign w:val="baseline"/>
        </w:rPr>
        <w:t> </w:t>
      </w:r>
      <w:r>
        <w:rPr>
          <w:vertAlign w:val="baseline"/>
        </w:rPr>
        <w:t>of </w:t>
      </w:r>
      <w:bookmarkStart w:name="_bookmark1355" w:id="1357"/>
      <w:bookmarkEnd w:id="1357"/>
      <w:r>
        <w:rPr>
          <w:vertAlign w:val="baseline"/>
        </w:rPr>
        <w:t>trades,</w:t>
      </w:r>
      <w:r>
        <w:rPr>
          <w:vertAlign w:val="baseline"/>
        </w:rPr>
        <w:t> in the event of death or survival or of discontinuance or curtailment of activity, or of sickness related to work or accidents at work. </w:t>
      </w:r>
      <w:r>
        <w:rPr>
          <w:color w:val="005DA1"/>
          <w:u w:val="single" w:color="005DA1"/>
          <w:vertAlign w:val="superscript"/>
        </w:rPr>
        <w:t>723</w:t>
      </w:r>
    </w:p>
    <w:p>
      <w:pPr>
        <w:pStyle w:val="BodyText"/>
      </w:pPr>
    </w:p>
    <w:p>
      <w:pPr>
        <w:pStyle w:val="BodyText"/>
        <w:spacing w:before="35"/>
      </w:pPr>
      <w:r>
        <w:rPr/>
        <mc:AlternateContent>
          <mc:Choice Requires="wps">
            <w:drawing>
              <wp:anchor distT="0" distB="0" distL="0" distR="0" allowOverlap="1" layoutInCell="1" locked="0" behindDoc="1" simplePos="0" relativeHeight="487612928">
                <wp:simplePos x="0" y="0"/>
                <wp:positionH relativeFrom="page">
                  <wp:posOffset>914400</wp:posOffset>
                </wp:positionH>
                <wp:positionV relativeFrom="paragraph">
                  <wp:posOffset>183922</wp:posOffset>
                </wp:positionV>
                <wp:extent cx="5724525"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2118pt;width:450.75pt;height:.1pt;mso-position-horizontal-relative:page;mso-position-vertical-relative:paragraph;z-index:-15703552;mso-wrap-distance-left:0;mso-wrap-distance-right:0" id="docshape22"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356" w:id="1358"/>
      <w:bookmarkEnd w:id="1358"/>
      <w:r>
        <w:rPr/>
      </w:r>
      <w:hyperlink w:history="true" w:anchor="_bookmark1334">
        <w:r>
          <w:rPr>
            <w:color w:val="005DA1"/>
            <w:spacing w:val="-4"/>
            <w:position w:val="5"/>
            <w:sz w:val="14"/>
            <w:u w:val="single" w:color="005DA1"/>
          </w:rPr>
          <w:t>702</w:t>
        </w:r>
      </w:hyperlink>
      <w:r>
        <w:rPr>
          <w:spacing w:val="-4"/>
          <w:position w:val="5"/>
          <w:sz w:val="14"/>
        </w:rPr>
        <w:t>.</w:t>
      </w:r>
      <w:r>
        <w:rPr>
          <w:position w:val="5"/>
          <w:sz w:val="14"/>
        </w:rPr>
        <w:tab/>
      </w:r>
      <w:r>
        <w:rPr/>
        <w:t>See above, paras 30-034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357" w:id="1359"/>
      <w:bookmarkEnd w:id="1359"/>
      <w:r>
        <w:rPr/>
      </w:r>
      <w:hyperlink w:history="true" w:anchor="_bookmark1335">
        <w:r>
          <w:rPr>
            <w:color w:val="005DA1"/>
            <w:spacing w:val="-4"/>
            <w:position w:val="5"/>
            <w:sz w:val="14"/>
            <w:u w:val="single" w:color="005DA1"/>
          </w:rPr>
          <w:t>703</w:t>
        </w:r>
      </w:hyperlink>
      <w:r>
        <w:rPr>
          <w:spacing w:val="-4"/>
          <w:position w:val="5"/>
          <w:sz w:val="14"/>
        </w:rPr>
        <w:t>.</w:t>
      </w:r>
      <w:r>
        <w:rPr>
          <w:position w:val="5"/>
          <w:sz w:val="14"/>
        </w:rPr>
        <w:tab/>
      </w:r>
      <w:r>
        <w:rPr>
          <w:sz w:val="20"/>
        </w:rPr>
        <w:t>Above, para.30-</w:t>
      </w:r>
      <w:r>
        <w:rPr>
          <w:spacing w:val="-4"/>
          <w:sz w:val="20"/>
        </w:rPr>
        <w:t>035.</w:t>
      </w:r>
    </w:p>
    <w:p>
      <w:pPr>
        <w:pStyle w:val="BodyText"/>
        <w:spacing w:before="5"/>
      </w:pPr>
    </w:p>
    <w:p>
      <w:pPr>
        <w:pStyle w:val="BodyText"/>
        <w:tabs>
          <w:tab w:pos="705" w:val="left" w:leader="none"/>
        </w:tabs>
        <w:ind w:left="165"/>
      </w:pPr>
      <w:bookmarkStart w:name="_bookmark1358" w:id="1360"/>
      <w:bookmarkEnd w:id="1360"/>
      <w:r>
        <w:rPr/>
      </w:r>
      <w:hyperlink w:history="true" w:anchor="_bookmark1336">
        <w:r>
          <w:rPr>
            <w:color w:val="005DA1"/>
            <w:spacing w:val="-4"/>
            <w:position w:val="5"/>
            <w:sz w:val="14"/>
            <w:u w:val="single" w:color="005DA1"/>
          </w:rPr>
          <w:t>704</w:t>
        </w:r>
      </w:hyperlink>
      <w:r>
        <w:rPr>
          <w:spacing w:val="-4"/>
          <w:position w:val="5"/>
          <w:sz w:val="14"/>
        </w:rPr>
        <w:t>.</w:t>
      </w:r>
      <w:r>
        <w:rPr>
          <w:position w:val="5"/>
          <w:sz w:val="14"/>
        </w:rPr>
        <w:tab/>
      </w:r>
      <w:r>
        <w:rPr/>
        <w:t>Rome I art.13 is discussed below, para.30-</w:t>
      </w:r>
      <w:r>
        <w:rPr>
          <w:spacing w:val="-4"/>
        </w:rPr>
        <w:t>325.</w:t>
      </w:r>
    </w:p>
    <w:p>
      <w:pPr>
        <w:pStyle w:val="BodyText"/>
        <w:spacing w:before="5"/>
      </w:pPr>
    </w:p>
    <w:p>
      <w:pPr>
        <w:tabs>
          <w:tab w:pos="705" w:val="left" w:leader="none"/>
        </w:tabs>
        <w:spacing w:before="0"/>
        <w:ind w:left="165" w:right="0" w:firstLine="0"/>
        <w:jc w:val="left"/>
        <w:rPr>
          <w:sz w:val="20"/>
        </w:rPr>
      </w:pPr>
      <w:bookmarkStart w:name="_bookmark1359" w:id="1361"/>
      <w:bookmarkEnd w:id="1361"/>
      <w:r>
        <w:rPr/>
      </w:r>
      <w:hyperlink w:history="true" w:anchor="_bookmark1337">
        <w:r>
          <w:rPr>
            <w:color w:val="005DA1"/>
            <w:spacing w:val="-4"/>
            <w:position w:val="5"/>
            <w:sz w:val="14"/>
            <w:u w:val="single" w:color="005DA1"/>
          </w:rPr>
          <w:t>705</w:t>
        </w:r>
      </w:hyperlink>
      <w:r>
        <w:rPr>
          <w:spacing w:val="-4"/>
          <w:position w:val="5"/>
          <w:sz w:val="14"/>
        </w:rPr>
        <w:t>.</w:t>
      </w:r>
      <w:r>
        <w:rPr>
          <w:position w:val="5"/>
          <w:sz w:val="14"/>
        </w:rPr>
        <w:tab/>
      </w:r>
      <w:r>
        <w:rPr>
          <w:sz w:val="20"/>
        </w:rPr>
        <w:t>Above, para.30-</w:t>
      </w:r>
      <w:r>
        <w:rPr>
          <w:spacing w:val="-4"/>
          <w:sz w:val="20"/>
        </w:rPr>
        <w:t>036.</w:t>
      </w:r>
    </w:p>
    <w:p>
      <w:pPr>
        <w:spacing w:after="0"/>
        <w:jc w:val="left"/>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1338">
        <w:r>
          <w:rPr>
            <w:color w:val="005DA1"/>
            <w:spacing w:val="-4"/>
            <w:position w:val="5"/>
            <w:sz w:val="14"/>
            <w:u w:val="single" w:color="005DA1"/>
          </w:rPr>
          <w:t>706</w:t>
        </w:r>
      </w:hyperlink>
      <w:r>
        <w:rPr>
          <w:spacing w:val="-4"/>
          <w:position w:val="5"/>
          <w:sz w:val="14"/>
        </w:rPr>
        <w:t>.</w:t>
      </w:r>
      <w:r>
        <w:rPr>
          <w:position w:val="5"/>
          <w:sz w:val="14"/>
        </w:rPr>
        <w:tab/>
      </w:r>
      <w:r>
        <w:rPr/>
        <w:t>Civil Partnerships Act </w:t>
      </w:r>
      <w:r>
        <w:rPr>
          <w:spacing w:val="-2"/>
        </w:rPr>
        <w:t>2004.</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160530</wp:posOffset>
            </wp:positionV>
            <wp:extent cx="107988" cy="107988"/>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60" w:id="1362"/>
      <w:bookmarkEnd w:id="1362"/>
      <w:r>
        <w:rPr/>
      </w:r>
      <w:hyperlink w:history="true" w:anchor="_bookmark1339">
        <w:r>
          <w:rPr>
            <w:color w:val="005DA1"/>
            <w:spacing w:val="-4"/>
            <w:sz w:val="14"/>
            <w:u w:val="single" w:color="005DA1"/>
          </w:rPr>
          <w:t>707</w:t>
        </w:r>
      </w:hyperlink>
      <w:r>
        <w:rPr>
          <w:spacing w:val="-4"/>
          <w:sz w:val="14"/>
        </w:rPr>
        <w:t>.</w:t>
      </w:r>
    </w:p>
    <w:p>
      <w:pPr>
        <w:pStyle w:val="BodyText"/>
        <w:spacing w:line="235" w:lineRule="auto" w:before="212"/>
        <w:ind w:left="165" w:right="167" w:firstLine="170"/>
        <w:jc w:val="both"/>
      </w:pPr>
      <w:r>
        <w:rPr/>
        <w:br w:type="column"/>
      </w:r>
      <w:r>
        <w:rPr/>
        <w:t>See Proposal for Council Regulations for matrimonial property regimes and </w:t>
      </w:r>
      <w:r>
        <w:rPr/>
        <w:t>registered partnerships COM(2011) 126 final; COM(2011) 127 final. Following the failure to reach a political agreement on these proposals, on March 2, 2016, the European Commission adopted</w:t>
      </w:r>
      <w:r>
        <w:rPr>
          <w:spacing w:val="40"/>
        </w:rPr>
        <w:t> </w:t>
      </w:r>
      <w:r>
        <w:rPr/>
        <w:t>a proposal for a Council decision authorising enhanced cooperation in the area of jurisdiction, applicable law and the recognition and enforcement of decisions on the property regimes of international couples, covering both matters of matrimonial property regimes and the property consequences of registered partnerships (COM(2016) 108 final). The Commission also published proposals for two new Regulations, a Council Regulation on jurisdiction, applicable law and the recognition and enforcement of decisions in matters of matrimonial property regimes (COM(2016) 106 final) and a proposal for a Council Regulation on jurisdiction, applicable law and the recognition and enforcement of decisions in matters of the property consequences</w:t>
      </w:r>
      <w:r>
        <w:rPr>
          <w:spacing w:val="-2"/>
        </w:rPr>
        <w:t> </w:t>
      </w:r>
      <w:r>
        <w:rPr/>
        <w:t>of</w:t>
      </w:r>
      <w:r>
        <w:rPr>
          <w:spacing w:val="-2"/>
        </w:rPr>
        <w:t> </w:t>
      </w:r>
      <w:r>
        <w:rPr/>
        <w:t>registered</w:t>
      </w:r>
      <w:r>
        <w:rPr>
          <w:spacing w:val="-2"/>
        </w:rPr>
        <w:t> </w:t>
      </w:r>
      <w:r>
        <w:rPr/>
        <w:t>partnerships</w:t>
      </w:r>
      <w:r>
        <w:rPr>
          <w:spacing w:val="-2"/>
        </w:rPr>
        <w:t> </w:t>
      </w:r>
      <w:r>
        <w:rPr/>
        <w:t>(COM(2016)</w:t>
      </w:r>
      <w:r>
        <w:rPr>
          <w:spacing w:val="-2"/>
        </w:rPr>
        <w:t> </w:t>
      </w:r>
      <w:r>
        <w:rPr/>
        <w:t>107</w:t>
      </w:r>
      <w:r>
        <w:rPr>
          <w:spacing w:val="-2"/>
        </w:rPr>
        <w:t> </w:t>
      </w:r>
      <w:r>
        <w:rPr/>
        <w:t>final).</w:t>
      </w:r>
      <w:r>
        <w:rPr>
          <w:spacing w:val="-2"/>
        </w:rPr>
        <w:t> </w:t>
      </w:r>
      <w:r>
        <w:rPr/>
        <w:t>Council</w:t>
      </w:r>
      <w:r>
        <w:rPr>
          <w:spacing w:val="-2"/>
        </w:rPr>
        <w:t> </w:t>
      </w:r>
      <w:r>
        <w:rPr/>
        <w:t>Regulation</w:t>
      </w:r>
      <w:r>
        <w:rPr>
          <w:spacing w:val="-2"/>
        </w:rPr>
        <w:t> </w:t>
      </w:r>
      <w:r>
        <w:rPr/>
        <w:t>2016/1103 of</w:t>
      </w:r>
      <w:r>
        <w:rPr>
          <w:spacing w:val="-1"/>
        </w:rPr>
        <w:t> </w:t>
      </w:r>
      <w:r>
        <w:rPr/>
        <w:t>24</w:t>
      </w:r>
      <w:r>
        <w:rPr>
          <w:spacing w:val="-1"/>
        </w:rPr>
        <w:t> </w:t>
      </w:r>
      <w:r>
        <w:rPr/>
        <w:t>June</w:t>
      </w:r>
      <w:r>
        <w:rPr>
          <w:spacing w:val="-1"/>
        </w:rPr>
        <w:t> </w:t>
      </w:r>
      <w:r>
        <w:rPr/>
        <w:t>2016</w:t>
      </w:r>
      <w:r>
        <w:rPr>
          <w:spacing w:val="-1"/>
        </w:rPr>
        <w:t> </w:t>
      </w:r>
      <w:r>
        <w:rPr/>
        <w:t>([2016]</w:t>
      </w:r>
      <w:r>
        <w:rPr>
          <w:spacing w:val="-1"/>
        </w:rPr>
        <w:t> </w:t>
      </w:r>
      <w:r>
        <w:rPr/>
        <w:t>O.J.</w:t>
      </w:r>
      <w:r>
        <w:rPr>
          <w:spacing w:val="-1"/>
        </w:rPr>
        <w:t> </w:t>
      </w:r>
      <w:r>
        <w:rPr/>
        <w:t>L183/1)</w:t>
      </w:r>
      <w:r>
        <w:rPr>
          <w:spacing w:val="-1"/>
        </w:rPr>
        <w:t> </w:t>
      </w:r>
      <w:r>
        <w:rPr/>
        <w:t>will</w:t>
      </w:r>
      <w:r>
        <w:rPr>
          <w:spacing w:val="-1"/>
        </w:rPr>
        <w:t> </w:t>
      </w:r>
      <w:r>
        <w:rPr/>
        <w:t>apply</w:t>
      </w:r>
      <w:r>
        <w:rPr>
          <w:spacing w:val="-1"/>
        </w:rPr>
        <w:t> </w:t>
      </w:r>
      <w:r>
        <w:rPr/>
        <w:t>in</w:t>
      </w:r>
      <w:r>
        <w:rPr>
          <w:spacing w:val="-1"/>
        </w:rPr>
        <w:t> </w:t>
      </w:r>
      <w:r>
        <w:rPr/>
        <w:t>Member</w:t>
      </w:r>
      <w:r>
        <w:rPr>
          <w:spacing w:val="-1"/>
        </w:rPr>
        <w:t> </w:t>
      </w:r>
      <w:r>
        <w:rPr/>
        <w:t>States</w:t>
      </w:r>
      <w:r>
        <w:rPr>
          <w:spacing w:val="-1"/>
        </w:rPr>
        <w:t> </w:t>
      </w:r>
      <w:r>
        <w:rPr/>
        <w:t>which</w:t>
      </w:r>
      <w:r>
        <w:rPr>
          <w:spacing w:val="-1"/>
        </w:rPr>
        <w:t> </w:t>
      </w:r>
      <w:r>
        <w:rPr/>
        <w:t>participate</w:t>
      </w:r>
      <w:r>
        <w:rPr>
          <w:spacing w:val="-1"/>
        </w:rPr>
        <w:t> </w:t>
      </w:r>
      <w:r>
        <w:rPr/>
        <w:t>in</w:t>
      </w:r>
      <w:r>
        <w:rPr>
          <w:spacing w:val="-1"/>
        </w:rPr>
        <w:t> </w:t>
      </w:r>
      <w:r>
        <w:rPr/>
        <w:t>advanced cooperation from January 29, 2019 in the context of matrimonial property and the property consequences of registered partners.</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1"/>
      </w:pPr>
    </w:p>
    <w:p>
      <w:pPr>
        <w:tabs>
          <w:tab w:pos="705" w:val="left" w:leader="none"/>
        </w:tabs>
        <w:spacing w:before="0"/>
        <w:ind w:left="165" w:right="0" w:firstLine="0"/>
        <w:jc w:val="left"/>
        <w:rPr>
          <w:sz w:val="20"/>
        </w:rPr>
      </w:pPr>
      <w:bookmarkStart w:name="_bookmark1361" w:id="1363"/>
      <w:bookmarkEnd w:id="1363"/>
      <w:r>
        <w:rPr/>
      </w:r>
      <w:hyperlink w:history="true" w:anchor="_bookmark1340">
        <w:r>
          <w:rPr>
            <w:color w:val="005DA1"/>
            <w:spacing w:val="-4"/>
            <w:position w:val="5"/>
            <w:sz w:val="14"/>
            <w:u w:val="single" w:color="005DA1"/>
          </w:rPr>
          <w:t>708</w:t>
        </w:r>
      </w:hyperlink>
      <w:r>
        <w:rPr>
          <w:spacing w:val="-4"/>
          <w:position w:val="5"/>
          <w:sz w:val="14"/>
        </w:rPr>
        <w:t>.</w:t>
      </w:r>
      <w:r>
        <w:rPr>
          <w:position w:val="5"/>
          <w:sz w:val="14"/>
        </w:rPr>
        <w:tab/>
      </w:r>
      <w:r>
        <w:rPr>
          <w:sz w:val="20"/>
        </w:rPr>
        <w:t>Above, para.30-</w:t>
      </w:r>
      <w:r>
        <w:rPr>
          <w:spacing w:val="-4"/>
          <w:sz w:val="20"/>
        </w:rPr>
        <w:t>036.</w:t>
      </w:r>
    </w:p>
    <w:p>
      <w:pPr>
        <w:pStyle w:val="BodyText"/>
        <w:spacing w:before="8"/>
      </w:pPr>
    </w:p>
    <w:p>
      <w:pPr>
        <w:pStyle w:val="BodyText"/>
        <w:tabs>
          <w:tab w:pos="705" w:val="left" w:leader="none"/>
        </w:tabs>
        <w:spacing w:line="235" w:lineRule="auto" w:before="1"/>
        <w:ind w:left="705" w:right="168" w:hanging="541"/>
      </w:pPr>
      <w:bookmarkStart w:name="_bookmark1362" w:id="1364"/>
      <w:bookmarkEnd w:id="1364"/>
      <w:r>
        <w:rPr/>
      </w:r>
      <w:hyperlink w:history="true" w:anchor="_bookmark1341">
        <w:r>
          <w:rPr>
            <w:color w:val="005DA1"/>
            <w:spacing w:val="-4"/>
            <w:position w:val="5"/>
            <w:sz w:val="14"/>
            <w:u w:val="single" w:color="005DA1"/>
          </w:rPr>
          <w:t>709</w:t>
        </w:r>
      </w:hyperlink>
      <w:r>
        <w:rPr>
          <w:spacing w:val="-4"/>
          <w:position w:val="5"/>
          <w:sz w:val="14"/>
        </w:rPr>
        <w:t>.</w:t>
      </w:r>
      <w:r>
        <w:rPr>
          <w:position w:val="5"/>
          <w:sz w:val="14"/>
        </w:rPr>
        <w:tab/>
      </w:r>
      <w:r>
        <w:rPr/>
        <w:t>Recital</w:t>
      </w:r>
      <w:r>
        <w:rPr>
          <w:spacing w:val="37"/>
        </w:rPr>
        <w:t> </w:t>
      </w:r>
      <w:r>
        <w:rPr/>
        <w:t>8</w:t>
      </w:r>
      <w:r>
        <w:rPr>
          <w:spacing w:val="37"/>
        </w:rPr>
        <w:t> </w:t>
      </w:r>
      <w:r>
        <w:rPr/>
        <w:t>to</w:t>
      </w:r>
      <w:r>
        <w:rPr>
          <w:spacing w:val="37"/>
        </w:rPr>
        <w:t> </w:t>
      </w:r>
      <w:r>
        <w:rPr/>
        <w:t>the</w:t>
      </w:r>
      <w:r>
        <w:rPr>
          <w:spacing w:val="37"/>
        </w:rPr>
        <w:t> </w:t>
      </w:r>
      <w:r>
        <w:rPr/>
        <w:t>Rome</w:t>
      </w:r>
      <w:r>
        <w:rPr>
          <w:spacing w:val="37"/>
        </w:rPr>
        <w:t> </w:t>
      </w:r>
      <w:r>
        <w:rPr/>
        <w:t>I</w:t>
      </w:r>
      <w:r>
        <w:rPr>
          <w:spacing w:val="37"/>
        </w:rPr>
        <w:t> </w:t>
      </w:r>
      <w:r>
        <w:rPr/>
        <w:t>Regulation.</w:t>
      </w:r>
      <w:r>
        <w:rPr>
          <w:spacing w:val="37"/>
        </w:rPr>
        <w:t> </w:t>
      </w:r>
      <w:r>
        <w:rPr/>
        <w:t>For</w:t>
      </w:r>
      <w:r>
        <w:rPr>
          <w:spacing w:val="37"/>
        </w:rPr>
        <w:t> </w:t>
      </w:r>
      <w:r>
        <w:rPr/>
        <w:t>English</w:t>
      </w:r>
      <w:r>
        <w:rPr>
          <w:spacing w:val="37"/>
        </w:rPr>
        <w:t> </w:t>
      </w:r>
      <w:r>
        <w:rPr/>
        <w:t>law,</w:t>
      </w:r>
      <w:r>
        <w:rPr>
          <w:spacing w:val="37"/>
        </w:rPr>
        <w:t> </w:t>
      </w:r>
      <w:r>
        <w:rPr/>
        <w:t>see</w:t>
      </w:r>
      <w:r>
        <w:rPr>
          <w:spacing w:val="37"/>
        </w:rPr>
        <w:t> </w:t>
      </w:r>
      <w:r>
        <w:rPr/>
        <w:t>Dicey,</w:t>
      </w:r>
      <w:r>
        <w:rPr>
          <w:spacing w:val="37"/>
        </w:rPr>
        <w:t> </w:t>
      </w:r>
      <w:r>
        <w:rPr/>
        <w:t>Morris</w:t>
      </w:r>
      <w:r>
        <w:rPr>
          <w:spacing w:val="37"/>
        </w:rPr>
        <w:t> </w:t>
      </w:r>
      <w:r>
        <w:rPr/>
        <w:t>and</w:t>
      </w:r>
      <w:r>
        <w:rPr>
          <w:spacing w:val="37"/>
        </w:rPr>
        <w:t> </w:t>
      </w:r>
      <w:r>
        <w:rPr/>
        <w:t>Collins</w:t>
      </w:r>
      <w:r>
        <w:rPr>
          <w:spacing w:val="37"/>
        </w:rPr>
        <w:t> </w:t>
      </w:r>
      <w:r>
        <w:rPr/>
        <w:t>on</w:t>
      </w:r>
      <w:r>
        <w:rPr>
          <w:spacing w:val="37"/>
        </w:rPr>
        <w:t> </w:t>
      </w:r>
      <w:r>
        <w:rPr/>
        <w:t>the Conflict of Laws, 15th edn (2012), Ch.28.</w:t>
      </w:r>
    </w:p>
    <w:p>
      <w:pPr>
        <w:pStyle w:val="BodyText"/>
        <w:spacing w:before="5"/>
      </w:pPr>
    </w:p>
    <w:p>
      <w:pPr>
        <w:pStyle w:val="BodyText"/>
        <w:tabs>
          <w:tab w:pos="705" w:val="left" w:leader="none"/>
        </w:tabs>
        <w:ind w:left="165"/>
      </w:pPr>
      <w:bookmarkStart w:name="_bookmark1363" w:id="1365"/>
      <w:bookmarkEnd w:id="1365"/>
      <w:r>
        <w:rPr/>
      </w:r>
      <w:hyperlink w:history="true" w:anchor="_bookmark1342">
        <w:r>
          <w:rPr>
            <w:color w:val="005DA1"/>
            <w:spacing w:val="-4"/>
            <w:position w:val="5"/>
            <w:sz w:val="14"/>
            <w:u w:val="single" w:color="005DA1"/>
          </w:rPr>
          <w:t>710</w:t>
        </w:r>
      </w:hyperlink>
      <w:r>
        <w:rPr>
          <w:spacing w:val="-4"/>
          <w:position w:val="5"/>
          <w:sz w:val="14"/>
        </w:rPr>
        <w:t>.</w:t>
      </w:r>
      <w:r>
        <w:rPr>
          <w:position w:val="5"/>
          <w:sz w:val="14"/>
        </w:rPr>
        <w:tab/>
      </w:r>
      <w:r>
        <w:rPr/>
        <w:t>Above, paras 30-037—30-038; Boonk [2011] L.M.C.L.Q. 227; Aikens [2011] L.M.C.L.Q. </w:t>
      </w:r>
      <w:r>
        <w:rPr>
          <w:spacing w:val="-4"/>
        </w:rPr>
        <w:t>482.</w:t>
      </w:r>
    </w:p>
    <w:p>
      <w:pPr>
        <w:pStyle w:val="BodyText"/>
        <w:spacing w:before="5"/>
      </w:pPr>
    </w:p>
    <w:p>
      <w:pPr>
        <w:pStyle w:val="BodyText"/>
        <w:tabs>
          <w:tab w:pos="705" w:val="left" w:leader="none"/>
        </w:tabs>
        <w:ind w:left="165"/>
      </w:pPr>
      <w:bookmarkStart w:name="_bookmark1364" w:id="1366"/>
      <w:bookmarkEnd w:id="1366"/>
      <w:r>
        <w:rPr/>
      </w:r>
      <w:hyperlink w:history="true" w:anchor="_bookmark1343">
        <w:r>
          <w:rPr>
            <w:color w:val="005DA1"/>
            <w:spacing w:val="-4"/>
            <w:position w:val="5"/>
            <w:sz w:val="14"/>
            <w:u w:val="single" w:color="005DA1"/>
          </w:rPr>
          <w:t>711</w:t>
        </w:r>
      </w:hyperlink>
      <w:r>
        <w:rPr>
          <w:spacing w:val="-4"/>
          <w:position w:val="5"/>
          <w:sz w:val="14"/>
        </w:rPr>
        <w:t>.</w:t>
      </w:r>
      <w:r>
        <w:rPr>
          <w:position w:val="5"/>
          <w:sz w:val="14"/>
        </w:rPr>
        <w:tab/>
      </w:r>
      <w:r>
        <w:rPr/>
        <w:t>See, for English law, Dicey, Morris and Collins, 15th edn (2012), para.30-</w:t>
      </w:r>
      <w:r>
        <w:rPr>
          <w:spacing w:val="-4"/>
        </w:rPr>
        <w:t>020.</w:t>
      </w:r>
    </w:p>
    <w:p>
      <w:pPr>
        <w:pStyle w:val="BodyText"/>
        <w:spacing w:before="9"/>
      </w:pPr>
    </w:p>
    <w:p>
      <w:pPr>
        <w:pStyle w:val="BodyText"/>
        <w:spacing w:line="235" w:lineRule="auto"/>
        <w:ind w:left="705" w:right="167" w:hanging="541"/>
        <w:jc w:val="both"/>
      </w:pPr>
      <w:bookmarkStart w:name="_bookmark1365" w:id="1367"/>
      <w:bookmarkEnd w:id="1367"/>
      <w:r>
        <w:rPr/>
      </w:r>
      <w:hyperlink w:history="true" w:anchor="_bookmark1344">
        <w:r>
          <w:rPr>
            <w:color w:val="005DA1"/>
            <w:position w:val="5"/>
            <w:sz w:val="14"/>
            <w:u w:val="single" w:color="005DA1"/>
          </w:rPr>
          <w:t>712</w:t>
        </w:r>
      </w:hyperlink>
      <w:r>
        <w:rPr>
          <w:position w:val="5"/>
          <w:sz w:val="14"/>
        </w:rPr>
        <w:t>.</w:t>
      </w:r>
      <w:r>
        <w:rPr>
          <w:spacing w:val="80"/>
          <w:position w:val="5"/>
          <w:sz w:val="14"/>
        </w:rPr>
        <w:t>  </w:t>
      </w:r>
      <w:r>
        <w:rPr/>
        <w:t>Above, para.30-039. As is pointed out below an arbitration clause or a jurisdiction clause </w:t>
      </w:r>
      <w:r>
        <w:rPr/>
        <w:t>may</w:t>
      </w:r>
      <w:r>
        <w:rPr>
          <w:spacing w:val="40"/>
        </w:rPr>
        <w:t> </w:t>
      </w:r>
      <w:r>
        <w:rPr/>
        <w:t>be relevant in determining whether a choice of law has been made for the purposes of art.3 of the Rome I Regulation: see below, para.30-173; Yuksel (2011) 7 J. Priv. Int. L. 149.</w:t>
      </w:r>
    </w:p>
    <w:p>
      <w:pPr>
        <w:pStyle w:val="BodyText"/>
        <w:spacing w:before="5"/>
      </w:pPr>
    </w:p>
    <w:p>
      <w:pPr>
        <w:tabs>
          <w:tab w:pos="705" w:val="left" w:leader="none"/>
        </w:tabs>
        <w:spacing w:before="0"/>
        <w:ind w:left="165" w:right="0" w:firstLine="0"/>
        <w:jc w:val="left"/>
        <w:rPr>
          <w:sz w:val="20"/>
        </w:rPr>
      </w:pPr>
      <w:bookmarkStart w:name="_bookmark1366" w:id="1368"/>
      <w:bookmarkEnd w:id="1368"/>
      <w:r>
        <w:rPr/>
      </w:r>
      <w:hyperlink w:history="true" w:anchor="_bookmark1345">
        <w:r>
          <w:rPr>
            <w:color w:val="005DA1"/>
            <w:spacing w:val="-4"/>
            <w:position w:val="5"/>
            <w:sz w:val="14"/>
            <w:u w:val="single" w:color="005DA1"/>
          </w:rPr>
          <w:t>713</w:t>
        </w:r>
      </w:hyperlink>
      <w:r>
        <w:rPr>
          <w:spacing w:val="-4"/>
          <w:position w:val="5"/>
          <w:sz w:val="14"/>
        </w:rPr>
        <w:t>.</w:t>
      </w:r>
      <w:r>
        <w:rPr>
          <w:position w:val="5"/>
          <w:sz w:val="14"/>
        </w:rPr>
        <w:tab/>
      </w:r>
      <w:r>
        <w:rPr>
          <w:sz w:val="20"/>
        </w:rPr>
        <w:t>Above, para.30-</w:t>
      </w:r>
      <w:r>
        <w:rPr>
          <w:spacing w:val="-4"/>
          <w:sz w:val="20"/>
        </w:rPr>
        <w:t>040.</w:t>
      </w:r>
    </w:p>
    <w:p>
      <w:pPr>
        <w:pStyle w:val="BodyText"/>
        <w:spacing w:before="9"/>
      </w:pPr>
    </w:p>
    <w:p>
      <w:pPr>
        <w:pStyle w:val="BodyText"/>
        <w:tabs>
          <w:tab w:pos="705" w:val="left" w:leader="none"/>
        </w:tabs>
        <w:spacing w:line="235" w:lineRule="auto"/>
        <w:ind w:left="705" w:right="168" w:hanging="541"/>
      </w:pPr>
      <w:bookmarkStart w:name="_bookmark1367" w:id="1369"/>
      <w:bookmarkEnd w:id="1369"/>
      <w:r>
        <w:rPr/>
      </w:r>
      <w:hyperlink w:history="true" w:anchor="_bookmark1346">
        <w:r>
          <w:rPr>
            <w:color w:val="005DA1"/>
            <w:spacing w:val="-4"/>
            <w:position w:val="5"/>
            <w:sz w:val="14"/>
            <w:u w:val="single" w:color="005DA1"/>
          </w:rPr>
          <w:t>714</w:t>
        </w:r>
      </w:hyperlink>
      <w:r>
        <w:rPr>
          <w:spacing w:val="-4"/>
          <w:position w:val="5"/>
          <w:sz w:val="14"/>
        </w:rPr>
        <w:t>.</w:t>
      </w:r>
      <w:r>
        <w:rPr>
          <w:position w:val="5"/>
          <w:sz w:val="14"/>
        </w:rPr>
        <w:tab/>
      </w:r>
      <w:r>
        <w:rPr/>
        <w:t>Above,</w:t>
      </w:r>
      <w:r>
        <w:rPr>
          <w:spacing w:val="40"/>
        </w:rPr>
        <w:t> </w:t>
      </w:r>
      <w:r>
        <w:rPr/>
        <w:t>para.30-041.</w:t>
      </w:r>
      <w:r>
        <w:rPr>
          <w:spacing w:val="40"/>
        </w:rPr>
        <w:t> </w:t>
      </w:r>
      <w:r>
        <w:rPr/>
        <w:t>The</w:t>
      </w:r>
      <w:r>
        <w:rPr>
          <w:spacing w:val="40"/>
        </w:rPr>
        <w:t> </w:t>
      </w:r>
      <w:r>
        <w:rPr/>
        <w:t>Commission’s</w:t>
      </w:r>
      <w:r>
        <w:rPr>
          <w:spacing w:val="40"/>
        </w:rPr>
        <w:t> </w:t>
      </w:r>
      <w:r>
        <w:rPr/>
        <w:t>original</w:t>
      </w:r>
      <w:r>
        <w:rPr>
          <w:spacing w:val="40"/>
        </w:rPr>
        <w:t> </w:t>
      </w:r>
      <w:r>
        <w:rPr/>
        <w:t>Proposal</w:t>
      </w:r>
      <w:r>
        <w:rPr>
          <w:spacing w:val="40"/>
        </w:rPr>
        <w:t> </w:t>
      </w:r>
      <w:r>
        <w:rPr/>
        <w:t>contained</w:t>
      </w:r>
      <w:r>
        <w:rPr>
          <w:spacing w:val="40"/>
        </w:rPr>
        <w:t> </w:t>
      </w:r>
      <w:r>
        <w:rPr/>
        <w:t>choice</w:t>
      </w:r>
      <w:r>
        <w:rPr>
          <w:spacing w:val="40"/>
        </w:rPr>
        <w:t> </w:t>
      </w:r>
      <w:r>
        <w:rPr/>
        <w:t>of</w:t>
      </w:r>
      <w:r>
        <w:rPr>
          <w:spacing w:val="40"/>
        </w:rPr>
        <w:t> </w:t>
      </w:r>
      <w:r>
        <w:rPr/>
        <w:t>law</w:t>
      </w:r>
      <w:r>
        <w:rPr>
          <w:spacing w:val="40"/>
        </w:rPr>
        <w:t> </w:t>
      </w:r>
      <w:r>
        <w:rPr/>
        <w:t>rules</w:t>
      </w:r>
      <w:r>
        <w:rPr>
          <w:spacing w:val="40"/>
        </w:rPr>
        <w:t> </w:t>
      </w:r>
      <w:r>
        <w:rPr/>
        <w:t>in relation to agency: see art.7 of the Proposal.</w:t>
      </w:r>
    </w:p>
    <w:p>
      <w:pPr>
        <w:pStyle w:val="BodyText"/>
        <w:spacing w:before="5"/>
      </w:pPr>
    </w:p>
    <w:p>
      <w:pPr>
        <w:tabs>
          <w:tab w:pos="705" w:val="left" w:leader="none"/>
        </w:tabs>
        <w:spacing w:before="0"/>
        <w:ind w:left="165" w:right="0" w:firstLine="0"/>
        <w:jc w:val="left"/>
        <w:rPr>
          <w:sz w:val="20"/>
        </w:rPr>
      </w:pPr>
      <w:bookmarkStart w:name="_bookmark1368" w:id="1370"/>
      <w:bookmarkEnd w:id="1370"/>
      <w:r>
        <w:rPr/>
      </w:r>
      <w:hyperlink w:history="true" w:anchor="_bookmark1347">
        <w:r>
          <w:rPr>
            <w:color w:val="005DA1"/>
            <w:spacing w:val="-4"/>
            <w:position w:val="5"/>
            <w:sz w:val="14"/>
            <w:u w:val="single" w:color="005DA1"/>
          </w:rPr>
          <w:t>715</w:t>
        </w:r>
      </w:hyperlink>
      <w:r>
        <w:rPr>
          <w:spacing w:val="-4"/>
          <w:position w:val="5"/>
          <w:sz w:val="14"/>
        </w:rPr>
        <w:t>.</w:t>
      </w:r>
      <w:r>
        <w:rPr>
          <w:position w:val="5"/>
          <w:sz w:val="14"/>
        </w:rPr>
        <w:tab/>
      </w:r>
      <w:r>
        <w:rPr>
          <w:sz w:val="20"/>
        </w:rPr>
        <w:t>Above, para.30-</w:t>
      </w:r>
      <w:r>
        <w:rPr>
          <w:spacing w:val="-4"/>
          <w:sz w:val="20"/>
        </w:rPr>
        <w:t>042.</w:t>
      </w:r>
    </w:p>
    <w:p>
      <w:pPr>
        <w:pStyle w:val="BodyText"/>
        <w:spacing w:before="9"/>
      </w:pPr>
    </w:p>
    <w:p>
      <w:pPr>
        <w:tabs>
          <w:tab w:pos="705" w:val="left" w:leader="none"/>
        </w:tabs>
        <w:spacing w:line="235" w:lineRule="auto" w:before="0"/>
        <w:ind w:left="705" w:right="168" w:hanging="541"/>
        <w:jc w:val="left"/>
        <w:rPr>
          <w:sz w:val="20"/>
        </w:rPr>
      </w:pPr>
      <w:bookmarkStart w:name="_bookmark1369" w:id="1371"/>
      <w:bookmarkEnd w:id="1371"/>
      <w:r>
        <w:rPr/>
      </w:r>
      <w:hyperlink w:history="true" w:anchor="_bookmark1348">
        <w:r>
          <w:rPr>
            <w:color w:val="005DA1"/>
            <w:spacing w:val="-4"/>
            <w:position w:val="5"/>
            <w:sz w:val="14"/>
            <w:u w:val="single" w:color="005DA1"/>
          </w:rPr>
          <w:t>716</w:t>
        </w:r>
      </w:hyperlink>
      <w:r>
        <w:rPr>
          <w:spacing w:val="-4"/>
          <w:position w:val="5"/>
          <w:sz w:val="14"/>
        </w:rPr>
        <w:t>.</w:t>
      </w:r>
      <w:r>
        <w:rPr>
          <w:position w:val="5"/>
          <w:sz w:val="14"/>
        </w:rPr>
        <w:tab/>
      </w:r>
      <w:r>
        <w:rPr>
          <w:sz w:val="20"/>
        </w:rPr>
        <w:t>Above,</w:t>
      </w:r>
      <w:r>
        <w:rPr>
          <w:spacing w:val="35"/>
          <w:sz w:val="20"/>
        </w:rPr>
        <w:t> </w:t>
      </w:r>
      <w:r>
        <w:rPr>
          <w:sz w:val="20"/>
        </w:rPr>
        <w:t>para.30-043;</w:t>
      </w:r>
      <w:r>
        <w:rPr>
          <w:spacing w:val="35"/>
          <w:sz w:val="20"/>
        </w:rPr>
        <w:t> </w:t>
      </w:r>
      <w:r>
        <w:rPr>
          <w:sz w:val="20"/>
        </w:rPr>
        <w:t>Illmer</w:t>
      </w:r>
      <w:r>
        <w:rPr>
          <w:spacing w:val="35"/>
          <w:sz w:val="20"/>
        </w:rPr>
        <w:t> </w:t>
      </w:r>
      <w:r>
        <w:rPr>
          <w:sz w:val="20"/>
        </w:rPr>
        <w:t>[2009]</w:t>
      </w:r>
      <w:r>
        <w:rPr>
          <w:spacing w:val="35"/>
          <w:sz w:val="20"/>
        </w:rPr>
        <w:t> </w:t>
      </w:r>
      <w:r>
        <w:rPr>
          <w:sz w:val="20"/>
        </w:rPr>
        <w:t>C.J.Q.</w:t>
      </w:r>
      <w:r>
        <w:rPr>
          <w:spacing w:val="35"/>
          <w:sz w:val="20"/>
        </w:rPr>
        <w:t> </w:t>
      </w:r>
      <w:r>
        <w:rPr>
          <w:sz w:val="20"/>
        </w:rPr>
        <w:t>237.</w:t>
      </w:r>
      <w:r>
        <w:rPr>
          <w:spacing w:val="35"/>
          <w:sz w:val="20"/>
        </w:rPr>
        <w:t> </w:t>
      </w:r>
      <w:r>
        <w:rPr>
          <w:sz w:val="20"/>
        </w:rPr>
        <w:t>See</w:t>
      </w:r>
      <w:r>
        <w:rPr>
          <w:spacing w:val="35"/>
          <w:sz w:val="20"/>
        </w:rPr>
        <w:t> </w:t>
      </w:r>
      <w:r>
        <w:rPr>
          <w:sz w:val="20"/>
        </w:rPr>
        <w:t>more</w:t>
      </w:r>
      <w:r>
        <w:rPr>
          <w:spacing w:val="35"/>
          <w:sz w:val="20"/>
        </w:rPr>
        <w:t> </w:t>
      </w:r>
      <w:r>
        <w:rPr>
          <w:sz w:val="20"/>
        </w:rPr>
        <w:t>generally,</w:t>
      </w:r>
      <w:r>
        <w:rPr>
          <w:spacing w:val="35"/>
          <w:sz w:val="20"/>
        </w:rPr>
        <w:t> </w:t>
      </w:r>
      <w:r>
        <w:rPr>
          <w:sz w:val="20"/>
        </w:rPr>
        <w:t>Garnett,</w:t>
      </w:r>
      <w:r>
        <w:rPr>
          <w:spacing w:val="34"/>
          <w:sz w:val="20"/>
        </w:rPr>
        <w:t> </w:t>
      </w:r>
      <w:r>
        <w:rPr>
          <w:rFonts w:ascii="Arial"/>
          <w:i/>
          <w:sz w:val="20"/>
        </w:rPr>
        <w:t>Substance</w:t>
      </w:r>
      <w:r>
        <w:rPr>
          <w:rFonts w:ascii="Arial"/>
          <w:i/>
          <w:spacing w:val="35"/>
          <w:sz w:val="20"/>
        </w:rPr>
        <w:t> </w:t>
      </w:r>
      <w:r>
        <w:rPr>
          <w:rFonts w:ascii="Arial"/>
          <w:i/>
          <w:sz w:val="20"/>
        </w:rPr>
        <w:t>and Procedure in Private International Law </w:t>
      </w:r>
      <w:r>
        <w:rPr>
          <w:sz w:val="20"/>
        </w:rPr>
        <w:t>(2012).</w:t>
      </w:r>
    </w:p>
    <w:p>
      <w:pPr>
        <w:pStyle w:val="BodyText"/>
        <w:spacing w:before="5"/>
      </w:pPr>
    </w:p>
    <w:p>
      <w:pPr>
        <w:pStyle w:val="BodyText"/>
        <w:tabs>
          <w:tab w:pos="705" w:val="left" w:leader="none"/>
        </w:tabs>
        <w:spacing w:before="1"/>
        <w:ind w:left="165"/>
      </w:pPr>
      <w:bookmarkStart w:name="_bookmark1370" w:id="1372"/>
      <w:bookmarkEnd w:id="1372"/>
      <w:r>
        <w:rPr/>
      </w:r>
      <w:hyperlink w:history="true" w:anchor="_bookmark1349">
        <w:r>
          <w:rPr>
            <w:color w:val="005DA1"/>
            <w:spacing w:val="-4"/>
            <w:position w:val="5"/>
            <w:sz w:val="14"/>
            <w:u w:val="single" w:color="005DA1"/>
          </w:rPr>
          <w:t>717</w:t>
        </w:r>
      </w:hyperlink>
      <w:r>
        <w:rPr>
          <w:spacing w:val="-4"/>
          <w:position w:val="5"/>
          <w:sz w:val="14"/>
        </w:rPr>
        <w:t>.</w:t>
      </w:r>
      <w:r>
        <w:rPr>
          <w:position w:val="5"/>
          <w:sz w:val="14"/>
        </w:rPr>
        <w:tab/>
      </w:r>
      <w:r>
        <w:rPr/>
        <w:t>Discussed below, paras 30-354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371" w:id="1373"/>
      <w:bookmarkEnd w:id="1373"/>
      <w:r>
        <w:rPr/>
      </w:r>
      <w:hyperlink w:history="true" w:anchor="_bookmark1350">
        <w:r>
          <w:rPr>
            <w:color w:val="005DA1"/>
            <w:spacing w:val="-4"/>
            <w:position w:val="5"/>
            <w:sz w:val="14"/>
            <w:u w:val="single" w:color="005DA1"/>
          </w:rPr>
          <w:t>718</w:t>
        </w:r>
      </w:hyperlink>
      <w:r>
        <w:rPr>
          <w:spacing w:val="-4"/>
          <w:position w:val="5"/>
          <w:sz w:val="14"/>
        </w:rPr>
        <w:t>.</w:t>
      </w:r>
      <w:r>
        <w:rPr>
          <w:position w:val="5"/>
          <w:sz w:val="14"/>
        </w:rPr>
        <w:tab/>
      </w:r>
      <w:r>
        <w:rPr>
          <w:sz w:val="20"/>
        </w:rPr>
        <w:t>Above, para.30-</w:t>
      </w:r>
      <w:r>
        <w:rPr>
          <w:spacing w:val="-4"/>
          <w:sz w:val="20"/>
        </w:rPr>
        <w:t>148.</w:t>
      </w:r>
    </w:p>
    <w:p>
      <w:pPr>
        <w:pStyle w:val="BodyText"/>
        <w:spacing w:before="5"/>
      </w:pPr>
    </w:p>
    <w:p>
      <w:pPr>
        <w:pStyle w:val="BodyText"/>
        <w:tabs>
          <w:tab w:pos="705" w:val="left" w:leader="none"/>
        </w:tabs>
        <w:ind w:left="165"/>
      </w:pPr>
      <w:bookmarkStart w:name="_bookmark1372" w:id="1374"/>
      <w:bookmarkEnd w:id="1374"/>
      <w:r>
        <w:rPr/>
      </w:r>
      <w:hyperlink w:history="true" w:anchor="_bookmark1351">
        <w:r>
          <w:rPr>
            <w:color w:val="005DA1"/>
            <w:spacing w:val="-4"/>
            <w:position w:val="5"/>
            <w:sz w:val="14"/>
            <w:u w:val="single" w:color="005DA1"/>
          </w:rPr>
          <w:t>719</w:t>
        </w:r>
      </w:hyperlink>
      <w:r>
        <w:rPr>
          <w:spacing w:val="-4"/>
          <w:position w:val="5"/>
          <w:sz w:val="14"/>
        </w:rPr>
        <w:t>.</w:t>
      </w:r>
      <w:r>
        <w:rPr>
          <w:position w:val="5"/>
          <w:sz w:val="14"/>
        </w:rPr>
        <w:tab/>
      </w:r>
      <w:r>
        <w:rPr/>
        <w:t>See also Recital 10 to the Rome I </w:t>
      </w:r>
      <w:r>
        <w:rPr>
          <w:spacing w:val="-2"/>
        </w:rPr>
        <w:t>Regulation.</w:t>
      </w:r>
    </w:p>
    <w:p>
      <w:pPr>
        <w:pStyle w:val="BodyText"/>
        <w:spacing w:before="5"/>
      </w:pPr>
    </w:p>
    <w:p>
      <w:pPr>
        <w:pStyle w:val="BodyText"/>
        <w:tabs>
          <w:tab w:pos="705" w:val="left" w:leader="none"/>
        </w:tabs>
        <w:ind w:left="165"/>
      </w:pPr>
      <w:bookmarkStart w:name="_bookmark1373" w:id="1375"/>
      <w:bookmarkEnd w:id="1375"/>
      <w:r>
        <w:rPr/>
      </w:r>
      <w:hyperlink w:history="true" w:anchor="_bookmark1352">
        <w:r>
          <w:rPr>
            <w:color w:val="005DA1"/>
            <w:spacing w:val="-4"/>
            <w:position w:val="5"/>
            <w:sz w:val="14"/>
            <w:u w:val="single" w:color="005DA1"/>
          </w:rPr>
          <w:t>720</w:t>
        </w:r>
      </w:hyperlink>
      <w:r>
        <w:rPr>
          <w:spacing w:val="-4"/>
          <w:position w:val="5"/>
          <w:sz w:val="14"/>
        </w:rPr>
        <w:t>.</w:t>
      </w:r>
      <w:r>
        <w:rPr>
          <w:position w:val="5"/>
          <w:sz w:val="14"/>
        </w:rPr>
        <w:tab/>
      </w:r>
      <w:r>
        <w:rPr/>
        <w:t>Above,</w:t>
      </w:r>
      <w:r>
        <w:rPr>
          <w:spacing w:val="-2"/>
        </w:rPr>
        <w:t> </w:t>
      </w:r>
      <w:r>
        <w:rPr/>
        <w:t>paras 30-044 et </w:t>
      </w:r>
      <w:r>
        <w:rPr>
          <w:spacing w:val="-4"/>
        </w:rPr>
        <w:t>seq.</w:t>
      </w:r>
    </w:p>
    <w:p>
      <w:pPr>
        <w:pStyle w:val="BodyText"/>
        <w:spacing w:before="5"/>
      </w:pPr>
    </w:p>
    <w:p>
      <w:pPr>
        <w:pStyle w:val="BodyText"/>
        <w:tabs>
          <w:tab w:pos="705" w:val="left" w:leader="none"/>
        </w:tabs>
        <w:ind w:left="165"/>
      </w:pPr>
      <w:bookmarkStart w:name="_bookmark1374" w:id="1376"/>
      <w:bookmarkEnd w:id="1376"/>
      <w:r>
        <w:rPr/>
      </w:r>
      <w:hyperlink w:history="true" w:anchor="_bookmark1353">
        <w:r>
          <w:rPr>
            <w:color w:val="005DA1"/>
            <w:spacing w:val="-4"/>
            <w:position w:val="5"/>
            <w:sz w:val="14"/>
            <w:u w:val="single" w:color="005DA1"/>
          </w:rPr>
          <w:t>721</w:t>
        </w:r>
      </w:hyperlink>
      <w:r>
        <w:rPr>
          <w:spacing w:val="-4"/>
          <w:position w:val="5"/>
          <w:sz w:val="14"/>
        </w:rPr>
        <w:t>.</w:t>
      </w:r>
      <w:r>
        <w:rPr>
          <w:position w:val="5"/>
          <w:sz w:val="14"/>
        </w:rPr>
        <w:tab/>
      </w:r>
      <w:r>
        <w:rPr/>
        <w:t>Below,</w:t>
      </w:r>
      <w:r>
        <w:rPr>
          <w:spacing w:val="-2"/>
        </w:rPr>
        <w:t> </w:t>
      </w:r>
      <w:r>
        <w:rPr/>
        <w:t>paras 30-252 et </w:t>
      </w:r>
      <w:r>
        <w:rPr>
          <w:spacing w:val="-4"/>
        </w:rPr>
        <w:t>seq.</w:t>
      </w:r>
    </w:p>
    <w:p>
      <w:pPr>
        <w:pStyle w:val="BodyText"/>
        <w:spacing w:before="5"/>
      </w:pPr>
    </w:p>
    <w:p>
      <w:pPr>
        <w:pStyle w:val="BodyText"/>
        <w:tabs>
          <w:tab w:pos="705" w:val="left" w:leader="none"/>
        </w:tabs>
        <w:ind w:left="165"/>
      </w:pPr>
      <w:bookmarkStart w:name="_bookmark1375" w:id="1377"/>
      <w:bookmarkEnd w:id="1377"/>
      <w:r>
        <w:rPr/>
      </w:r>
      <w:hyperlink w:history="true" w:anchor="_bookmark1354">
        <w:r>
          <w:rPr>
            <w:color w:val="005DA1"/>
            <w:spacing w:val="-4"/>
            <w:position w:val="5"/>
            <w:sz w:val="14"/>
            <w:u w:val="single" w:color="005DA1"/>
          </w:rPr>
          <w:t>722</w:t>
        </w:r>
      </w:hyperlink>
      <w:r>
        <w:rPr>
          <w:spacing w:val="-4"/>
          <w:position w:val="5"/>
          <w:sz w:val="14"/>
        </w:rPr>
        <w:t>.</w:t>
      </w:r>
      <w:r>
        <w:rPr>
          <w:position w:val="5"/>
          <w:sz w:val="14"/>
        </w:rPr>
        <w:tab/>
      </w:r>
      <w:r>
        <w:rPr/>
        <w:t>Directive 2002/83 concerning life insurance [2002] O.J. </w:t>
      </w:r>
      <w:r>
        <w:rPr>
          <w:spacing w:val="-2"/>
        </w:rPr>
        <w:t>L345/1.</w:t>
      </w:r>
    </w:p>
    <w:p>
      <w:pPr>
        <w:pStyle w:val="BodyText"/>
        <w:spacing w:before="5"/>
      </w:pPr>
    </w:p>
    <w:p>
      <w:pPr>
        <w:pStyle w:val="BodyText"/>
        <w:tabs>
          <w:tab w:pos="705" w:val="left" w:leader="none"/>
        </w:tabs>
        <w:ind w:left="165"/>
      </w:pPr>
      <w:bookmarkStart w:name="_bookmark1376" w:id="1378"/>
      <w:bookmarkEnd w:id="1378"/>
      <w:r>
        <w:rPr/>
      </w:r>
      <w:hyperlink w:history="true" w:anchor="_bookmark1355">
        <w:r>
          <w:rPr>
            <w:color w:val="005DA1"/>
            <w:spacing w:val="-4"/>
            <w:position w:val="5"/>
            <w:sz w:val="14"/>
            <w:u w:val="single" w:color="005DA1"/>
          </w:rPr>
          <w:t>723</w:t>
        </w:r>
      </w:hyperlink>
      <w:r>
        <w:rPr>
          <w:spacing w:val="-4"/>
          <w:position w:val="5"/>
          <w:sz w:val="14"/>
        </w:rPr>
        <w:t>.</w:t>
      </w:r>
      <w:r>
        <w:rPr>
          <w:position w:val="5"/>
          <w:sz w:val="14"/>
        </w:rPr>
        <w:tab/>
      </w:r>
      <w:r>
        <w:rPr/>
        <w:t>See art.3(3) of Directive 2002/83, preceding </w:t>
      </w:r>
      <w:r>
        <w:rPr>
          <w:spacing w:val="-2"/>
        </w:rPr>
        <w:t>note.</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spacing w:before="194"/>
        <w:ind w:left="3311" w:right="0" w:firstLine="0"/>
        <w:jc w:val="left"/>
        <w:rPr>
          <w:rFonts w:ascii="Arial"/>
          <w:b/>
          <w:sz w:val="24"/>
        </w:rPr>
      </w:pPr>
      <w:r>
        <w:rPr>
          <w:rFonts w:ascii="Arial"/>
          <w:b/>
          <w:sz w:val="24"/>
        </w:rPr>
        <w:t>(c) - Habitual </w:t>
      </w:r>
      <w:r>
        <w:rPr>
          <w:rFonts w:ascii="Arial"/>
          <w:b/>
          <w:spacing w:val="-2"/>
          <w:sz w:val="24"/>
        </w:rPr>
        <w:t>Residence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2"/>
        <w:rPr>
          <w:rFonts w:ascii="Arial"/>
          <w:b/>
          <w:sz w:val="18"/>
        </w:rPr>
      </w:pPr>
    </w:p>
    <w:p>
      <w:pPr>
        <w:pStyle w:val="Heading2"/>
      </w:pPr>
      <w:r>
        <w:rPr/>
        <w:t>30-</w:t>
      </w:r>
      <w:r>
        <w:rPr>
          <w:spacing w:val="-5"/>
        </w:rPr>
        <w:t>163</w:t>
      </w:r>
    </w:p>
    <w:p>
      <w:pPr>
        <w:pStyle w:val="BodyText"/>
        <w:spacing w:line="235" w:lineRule="auto" w:before="202"/>
        <w:ind w:left="165" w:right="167"/>
        <w:jc w:val="both"/>
      </w:pPr>
      <w:bookmarkStart w:name="_bookmark1377" w:id="1379"/>
      <w:bookmarkEnd w:id="1379"/>
      <w:r>
        <w:rPr/>
      </w:r>
      <w:r>
        <w:rPr/>
        <w:t>The Rome I Regulation makes frequent reference to the law of a party’s habitual residence </w:t>
      </w:r>
      <w:r>
        <w:rPr>
          <w:color w:val="005DA1"/>
          <w:u w:val="single" w:color="005DA1"/>
          <w:vertAlign w:val="superscript"/>
        </w:rPr>
        <w:t>724</w:t>
      </w:r>
      <w:r>
        <w:rPr>
          <w:color w:val="005DA1"/>
          <w:vertAlign w:val="baseline"/>
        </w:rPr>
        <w:t> </w:t>
      </w:r>
      <w:r>
        <w:rPr>
          <w:vertAlign w:val="baseline"/>
        </w:rPr>
        <w:t>and it will be convenient, at this point, to identify and discuss the definition of this concept which is to be found in art.19 of the Regulation. According to Recital 39 to the Regulation for “the sake of certainty there should be a clear definition of habitual residence, in particular for bodies corporate” which:</w:t>
      </w:r>
    </w:p>
    <w:p>
      <w:pPr>
        <w:pStyle w:val="BodyText"/>
      </w:pPr>
    </w:p>
    <w:p>
      <w:pPr>
        <w:pStyle w:val="BodyText"/>
        <w:spacing w:before="125"/>
      </w:pPr>
    </w:p>
    <w:p>
      <w:pPr>
        <w:pStyle w:val="BodyText"/>
        <w:spacing w:line="235" w:lineRule="auto" w:before="1"/>
        <w:ind w:left="1245" w:right="167"/>
        <w:jc w:val="both"/>
      </w:pPr>
      <w:bookmarkStart w:name="_bookmark1378" w:id="1380"/>
      <w:bookmarkEnd w:id="1380"/>
      <w:r>
        <w:rPr/>
      </w:r>
      <w:r>
        <w:rPr/>
        <w:t>“… should proceed on the basis of a single criterion; otherwise, the parties would be unable to foresee the law applicable to their situation.” </w:t>
      </w:r>
      <w:r>
        <w:rPr>
          <w:color w:val="005DA1"/>
          <w:u w:val="single" w:color="005DA1"/>
          <w:vertAlign w:val="superscript"/>
        </w:rPr>
        <w:t>725</w:t>
      </w:r>
    </w:p>
    <w:p>
      <w:pPr>
        <w:pStyle w:val="BodyText"/>
      </w:pPr>
    </w:p>
    <w:p>
      <w:pPr>
        <w:pStyle w:val="BodyText"/>
      </w:pPr>
    </w:p>
    <w:p>
      <w:pPr>
        <w:pStyle w:val="BodyText"/>
        <w:spacing w:before="154"/>
      </w:pPr>
    </w:p>
    <w:p>
      <w:pPr>
        <w:spacing w:before="0"/>
        <w:ind w:left="165" w:right="0" w:firstLine="0"/>
        <w:jc w:val="left"/>
        <w:rPr>
          <w:rFonts w:ascii="Arial"/>
          <w:b/>
          <w:sz w:val="18"/>
        </w:rPr>
      </w:pPr>
      <w:r>
        <w:rPr>
          <w:rFonts w:ascii="Arial"/>
          <w:b/>
          <w:sz w:val="18"/>
        </w:rPr>
        <w:t>Companies, </w:t>
      </w:r>
      <w:r>
        <w:rPr>
          <w:rFonts w:ascii="Arial"/>
          <w:b/>
          <w:spacing w:val="-5"/>
          <w:sz w:val="18"/>
        </w:rPr>
        <w:t>etc</w:t>
      </w:r>
    </w:p>
    <w:p>
      <w:pPr>
        <w:pStyle w:val="BodyText"/>
        <w:spacing w:before="41"/>
        <w:rPr>
          <w:rFonts w:ascii="Arial"/>
          <w:b/>
          <w:sz w:val="18"/>
        </w:rPr>
      </w:pPr>
    </w:p>
    <w:p>
      <w:pPr>
        <w:pStyle w:val="Heading2"/>
        <w:spacing w:before="1"/>
      </w:pPr>
      <w:r>
        <w:rPr/>
        <w:t>30-</w:t>
      </w:r>
      <w:r>
        <w:rPr>
          <w:spacing w:val="-5"/>
        </w:rPr>
        <w:t>164</w:t>
      </w:r>
    </w:p>
    <w:p>
      <w:pPr>
        <w:pStyle w:val="BodyText"/>
        <w:spacing w:line="235" w:lineRule="auto" w:before="202"/>
        <w:ind w:left="165" w:right="167"/>
        <w:jc w:val="both"/>
      </w:pPr>
      <w:r>
        <w:rPr/>
        <w:t>For the purposes of the Regulation, art.19(1) provides that the habitual residence of companies and other bodies, corporate or unincorporated, shall be the place of central administration. “Central administration” will undoubtedly be given an autonomous meaning. It is an expression to be found,</w:t>
      </w:r>
      <w:r>
        <w:rPr>
          <w:spacing w:val="40"/>
        </w:rPr>
        <w:t> </w:t>
      </w:r>
      <w:r>
        <w:rPr/>
        <w:t>but not defined, in the Rome Convention. Some suggestions are made above as to the </w:t>
      </w:r>
      <w:r>
        <w:rPr/>
        <w:t>possible </w:t>
      </w:r>
      <w:bookmarkStart w:name="_bookmark1379" w:id="1381"/>
      <w:bookmarkEnd w:id="1381"/>
      <w:r>
        <w:rPr/>
        <w:t>outlines</w:t>
      </w:r>
      <w:r>
        <w:rPr/>
        <w:t> of an autonomous meaning in the context of the discussion of the expression, as used in the Convention. </w:t>
      </w:r>
      <w:r>
        <w:rPr>
          <w:color w:val="005DA1"/>
          <w:u w:val="single" w:color="005DA1"/>
          <w:vertAlign w:val="superscript"/>
        </w:rPr>
        <w:t>726</w:t>
      </w:r>
    </w:p>
    <w:p>
      <w:pPr>
        <w:pStyle w:val="BodyText"/>
      </w:pPr>
    </w:p>
    <w:p>
      <w:pPr>
        <w:pStyle w:val="BodyText"/>
        <w:spacing w:before="36"/>
      </w:pPr>
    </w:p>
    <w:p>
      <w:pPr>
        <w:spacing w:before="1"/>
        <w:ind w:left="164" w:right="0" w:firstLine="0"/>
        <w:jc w:val="left"/>
        <w:rPr>
          <w:rFonts w:ascii="Arial"/>
          <w:b/>
          <w:sz w:val="18"/>
        </w:rPr>
      </w:pPr>
      <w:r>
        <w:rPr>
          <w:rFonts w:ascii="Arial"/>
          <w:b/>
          <w:sz w:val="18"/>
        </w:rPr>
        <w:t>Branch, agency, </w:t>
      </w:r>
      <w:r>
        <w:rPr>
          <w:rFonts w:ascii="Arial"/>
          <w:b/>
          <w:spacing w:val="-5"/>
          <w:sz w:val="18"/>
        </w:rPr>
        <w:t>etc</w:t>
      </w:r>
    </w:p>
    <w:p>
      <w:pPr>
        <w:pStyle w:val="BodyText"/>
        <w:spacing w:before="41"/>
        <w:rPr>
          <w:rFonts w:ascii="Arial"/>
          <w:b/>
          <w:sz w:val="18"/>
        </w:rPr>
      </w:pPr>
    </w:p>
    <w:p>
      <w:pPr>
        <w:pStyle w:val="Heading2"/>
        <w:ind w:left="164"/>
      </w:pPr>
      <w:r>
        <w:rPr/>
        <w:t>30-</w:t>
      </w:r>
      <w:r>
        <w:rPr>
          <w:spacing w:val="-5"/>
        </w:rPr>
        <w:t>165</w:t>
      </w:r>
    </w:p>
    <w:p>
      <w:pPr>
        <w:pStyle w:val="BodyText"/>
        <w:spacing w:before="199"/>
        <w:ind w:left="164"/>
        <w:jc w:val="both"/>
      </w:pPr>
      <w:r>
        <w:rPr/>
        <w:t>Article 19(2) of the Regulation provides that </w:t>
      </w:r>
      <w:r>
        <w:rPr>
          <w:spacing w:val="-2"/>
        </w:rPr>
        <w:t>where:</w:t>
      </w:r>
    </w:p>
    <w:p>
      <w:pPr>
        <w:pStyle w:val="BodyText"/>
      </w:pPr>
    </w:p>
    <w:p>
      <w:pPr>
        <w:pStyle w:val="BodyText"/>
        <w:spacing w:before="125"/>
      </w:pPr>
    </w:p>
    <w:p>
      <w:pPr>
        <w:pStyle w:val="BodyText"/>
        <w:spacing w:line="235" w:lineRule="auto"/>
        <w:ind w:left="1244" w:right="167"/>
        <w:jc w:val="both"/>
      </w:pPr>
      <w:r>
        <w:rPr/>
        <w:t>“… the contract is concluded in the course of the operations of a branch, agency or any other establishment, or if, under the contract performance is the responsibility of such a </w:t>
      </w:r>
      <w:bookmarkStart w:name="_bookmark1380" w:id="1382"/>
      <w:bookmarkEnd w:id="1382"/>
      <w:r>
        <w:rPr/>
        <w:t>branch,</w:t>
      </w:r>
      <w:r>
        <w:rPr/>
        <w:t> agency or establishment, the place where the branch, agency or any other establishment is located shall be treated as the place of habitual residence.” </w:t>
      </w:r>
      <w:r>
        <w:rPr>
          <w:color w:val="005DA1"/>
          <w:u w:val="single" w:color="005DA1"/>
          <w:vertAlign w:val="superscript"/>
        </w:rPr>
        <w:t>727</w:t>
      </w:r>
    </w:p>
    <w:p>
      <w:pPr>
        <w:pStyle w:val="BodyText"/>
        <w:spacing w:before="115"/>
      </w:pPr>
    </w:p>
    <w:p>
      <w:pPr>
        <w:pStyle w:val="BodyText"/>
        <w:spacing w:line="235" w:lineRule="auto" w:before="1"/>
        <w:ind w:left="165" w:right="167"/>
        <w:jc w:val="both"/>
      </w:pPr>
      <w:r>
        <w:rPr/>
        <w:t>It is unlikely that application of this provision will give rise to any particular difficulty in practice. It is likely,</w:t>
      </w:r>
      <w:r>
        <w:rPr>
          <w:spacing w:val="19"/>
        </w:rPr>
        <w:t> </w:t>
      </w:r>
      <w:r>
        <w:rPr/>
        <w:t>however,</w:t>
      </w:r>
      <w:r>
        <w:rPr>
          <w:spacing w:val="19"/>
        </w:rPr>
        <w:t> </w:t>
      </w:r>
      <w:r>
        <w:rPr/>
        <w:t>that</w:t>
      </w:r>
      <w:r>
        <w:rPr>
          <w:spacing w:val="19"/>
        </w:rPr>
        <w:t> </w:t>
      </w:r>
      <w:r>
        <w:rPr/>
        <w:t>the</w:t>
      </w:r>
      <w:r>
        <w:rPr>
          <w:spacing w:val="19"/>
        </w:rPr>
        <w:t> </w:t>
      </w:r>
      <w:r>
        <w:rPr/>
        <w:t>expression</w:t>
      </w:r>
      <w:r>
        <w:rPr>
          <w:spacing w:val="19"/>
        </w:rPr>
        <w:t> </w:t>
      </w:r>
      <w:r>
        <w:rPr/>
        <w:t>“branch,</w:t>
      </w:r>
      <w:r>
        <w:rPr>
          <w:spacing w:val="19"/>
        </w:rPr>
        <w:t> </w:t>
      </w:r>
      <w:r>
        <w:rPr/>
        <w:t>agency,</w:t>
      </w:r>
      <w:r>
        <w:rPr>
          <w:spacing w:val="19"/>
        </w:rPr>
        <w:t> </w:t>
      </w:r>
      <w:r>
        <w:rPr/>
        <w:t>or</w:t>
      </w:r>
      <w:r>
        <w:rPr>
          <w:spacing w:val="19"/>
        </w:rPr>
        <w:t> </w:t>
      </w:r>
      <w:r>
        <w:rPr/>
        <w:t>any</w:t>
      </w:r>
      <w:r>
        <w:rPr>
          <w:spacing w:val="19"/>
        </w:rPr>
        <w:t> </w:t>
      </w:r>
      <w:r>
        <w:rPr/>
        <w:t>other</w:t>
      </w:r>
      <w:r>
        <w:rPr>
          <w:spacing w:val="19"/>
        </w:rPr>
        <w:t> </w:t>
      </w:r>
      <w:r>
        <w:rPr/>
        <w:t>establishment”</w:t>
      </w:r>
      <w:r>
        <w:rPr>
          <w:spacing w:val="19"/>
        </w:rPr>
        <w:t> </w:t>
      </w:r>
      <w:r>
        <w:rPr/>
        <w:t>will</w:t>
      </w:r>
      <w:r>
        <w:rPr>
          <w:spacing w:val="19"/>
        </w:rPr>
        <w:t> </w:t>
      </w:r>
      <w:r>
        <w:rPr/>
        <w:t>be</w:t>
      </w:r>
      <w:r>
        <w:rPr>
          <w:spacing w:val="19"/>
        </w:rPr>
        <w:t> </w:t>
      </w:r>
      <w:r>
        <w:rPr>
          <w:spacing w:val="-2"/>
        </w:rPr>
        <w:t>interpreted</w:t>
      </w:r>
    </w:p>
    <w:p>
      <w:pPr>
        <w:pStyle w:val="BodyText"/>
        <w:spacing w:after="0" w:line="235" w:lineRule="auto"/>
        <w:jc w:val="both"/>
        <w:sectPr>
          <w:headerReference w:type="default" r:id="rId18"/>
          <w:pgSz w:w="11900" w:h="16840"/>
          <w:pgMar w:header="971" w:footer="0" w:top="1300" w:bottom="280" w:left="1275" w:right="1275"/>
          <w:pgNumType w:start="1"/>
        </w:sectPr>
      </w:pPr>
    </w:p>
    <w:p>
      <w:pPr>
        <w:pStyle w:val="BodyText"/>
        <w:spacing w:before="106"/>
        <w:ind w:left="165"/>
        <w:jc w:val="both"/>
      </w:pPr>
      <w:bookmarkStart w:name="_bookmark1381" w:id="1383"/>
      <w:bookmarkEnd w:id="1383"/>
      <w:r>
        <w:rPr/>
      </w:r>
      <w:r>
        <w:rPr/>
        <w:t>consistently with the same expression as found in art.7(5) of the Judgments Regulation recast.</w:t>
      </w:r>
      <w:r>
        <w:rPr>
          <w:spacing w:val="-2"/>
        </w:rPr>
        <w:t> </w:t>
      </w:r>
      <w:r>
        <w:rPr>
          <w:color w:val="005DA1"/>
          <w:spacing w:val="-5"/>
          <w:u w:val="single" w:color="005DA1"/>
          <w:vertAlign w:val="superscript"/>
        </w:rPr>
        <w:t>728</w:t>
      </w:r>
    </w:p>
    <w:p>
      <w:pPr>
        <w:pStyle w:val="BodyText"/>
      </w:pPr>
    </w:p>
    <w:p>
      <w:pPr>
        <w:pStyle w:val="BodyText"/>
        <w:spacing w:before="38"/>
      </w:pPr>
    </w:p>
    <w:p>
      <w:pPr>
        <w:spacing w:before="0"/>
        <w:ind w:left="165" w:right="0" w:firstLine="0"/>
        <w:jc w:val="left"/>
        <w:rPr>
          <w:rFonts w:ascii="Arial"/>
          <w:b/>
          <w:sz w:val="18"/>
        </w:rPr>
      </w:pPr>
      <w:r>
        <w:rPr>
          <w:rFonts w:ascii="Arial"/>
          <w:b/>
          <w:sz w:val="18"/>
        </w:rPr>
        <w:t>Natural </w:t>
      </w:r>
      <w:r>
        <w:rPr>
          <w:rFonts w:ascii="Arial"/>
          <w:b/>
          <w:spacing w:val="-2"/>
          <w:sz w:val="18"/>
        </w:rPr>
        <w:t>persons</w:t>
      </w:r>
    </w:p>
    <w:p>
      <w:pPr>
        <w:pStyle w:val="BodyText"/>
        <w:spacing w:before="41"/>
        <w:rPr>
          <w:rFonts w:ascii="Arial"/>
          <w:b/>
          <w:sz w:val="18"/>
        </w:rPr>
      </w:pPr>
    </w:p>
    <w:p>
      <w:pPr>
        <w:pStyle w:val="Heading2"/>
      </w:pPr>
      <w:r>
        <w:rPr/>
        <w:t>30-</w:t>
      </w:r>
      <w:r>
        <w:rPr>
          <w:spacing w:val="-5"/>
        </w:rPr>
        <w:t>166</w:t>
      </w:r>
    </w:p>
    <w:p>
      <w:pPr>
        <w:pStyle w:val="BodyText"/>
        <w:spacing w:line="235" w:lineRule="auto" w:before="203"/>
        <w:ind w:left="165" w:right="167"/>
        <w:jc w:val="both"/>
      </w:pPr>
      <w:bookmarkStart w:name="_bookmark1382" w:id="1384"/>
      <w:bookmarkEnd w:id="1384"/>
      <w:r>
        <w:rPr/>
      </w:r>
      <w:r>
        <w:rPr/>
        <w:t>The Regulation provides that the “habitual residence of a natural person acting in the course of his business activity shall be his principal place of business”. </w:t>
      </w:r>
      <w:r>
        <w:rPr>
          <w:color w:val="005DA1"/>
          <w:u w:val="single" w:color="005DA1"/>
          <w:vertAlign w:val="superscript"/>
        </w:rPr>
        <w:t>729</w:t>
      </w:r>
      <w:r>
        <w:rPr>
          <w:color w:val="005DA1"/>
          <w:vertAlign w:val="baseline"/>
        </w:rPr>
        <w:t> </w:t>
      </w:r>
      <w:r>
        <w:rPr>
          <w:vertAlign w:val="baseline"/>
        </w:rPr>
        <w:t>“Principal place of business” will </w:t>
      </w:r>
      <w:r>
        <w:rPr>
          <w:vertAlign w:val="baseline"/>
        </w:rPr>
        <w:t>surely be given an autonomous meaning. Some suggestions as to the possible contours of this are made in </w:t>
      </w:r>
      <w:bookmarkStart w:name="_bookmark1383" w:id="1385"/>
      <w:bookmarkEnd w:id="1385"/>
      <w:r>
        <w:rPr>
          <w:vertAlign w:val="baseline"/>
        </w:rPr>
        <w:t>the</w:t>
      </w:r>
      <w:r>
        <w:rPr>
          <w:vertAlign w:val="baseline"/>
        </w:rPr>
        <w:t> context of the discussion of the expression, as used in the Rome Convention, earlier in this chapter. </w:t>
      </w:r>
      <w:r>
        <w:rPr>
          <w:color w:val="005DA1"/>
          <w:u w:val="single" w:color="005DA1"/>
          <w:vertAlign w:val="superscript"/>
        </w:rPr>
        <w:t>730</w:t>
      </w:r>
    </w:p>
    <w:p>
      <w:pPr>
        <w:pStyle w:val="BodyText"/>
      </w:pPr>
    </w:p>
    <w:p>
      <w:pPr>
        <w:pStyle w:val="BodyText"/>
        <w:spacing w:before="36"/>
      </w:pPr>
    </w:p>
    <w:p>
      <w:pPr>
        <w:spacing w:before="1"/>
        <w:ind w:left="165" w:right="0" w:firstLine="0"/>
        <w:jc w:val="left"/>
        <w:rPr>
          <w:rFonts w:ascii="Arial"/>
          <w:b/>
          <w:sz w:val="18"/>
        </w:rPr>
      </w:pPr>
      <w:r>
        <w:rPr>
          <w:rFonts w:ascii="Arial"/>
          <w:b/>
          <w:sz w:val="18"/>
        </w:rPr>
        <w:t>Natural person not acting in the course of </w:t>
      </w:r>
      <w:r>
        <w:rPr>
          <w:rFonts w:ascii="Arial"/>
          <w:b/>
          <w:spacing w:val="-2"/>
          <w:sz w:val="18"/>
        </w:rPr>
        <w:t>business</w:t>
      </w:r>
    </w:p>
    <w:p>
      <w:pPr>
        <w:pStyle w:val="BodyText"/>
        <w:spacing w:before="41"/>
        <w:rPr>
          <w:rFonts w:ascii="Arial"/>
          <w:b/>
          <w:sz w:val="18"/>
        </w:rPr>
      </w:pPr>
    </w:p>
    <w:p>
      <w:pPr>
        <w:pStyle w:val="Heading2"/>
      </w:pPr>
      <w:r>
        <w:rPr/>
        <w:t>30-</w:t>
      </w:r>
      <w:r>
        <w:rPr>
          <w:spacing w:val="-5"/>
        </w:rPr>
        <w:t>167</w:t>
      </w:r>
    </w:p>
    <w:p>
      <w:pPr>
        <w:pStyle w:val="BodyText"/>
        <w:spacing w:line="235" w:lineRule="auto" w:before="203"/>
        <w:ind w:left="165" w:right="167"/>
        <w:jc w:val="both"/>
      </w:pPr>
      <w:r>
        <w:rPr/>
        <w:t>No</w:t>
      </w:r>
      <w:r>
        <w:rPr>
          <w:spacing w:val="-1"/>
        </w:rPr>
        <w:t> </w:t>
      </w:r>
      <w:r>
        <w:rPr/>
        <w:t>definition</w:t>
      </w:r>
      <w:r>
        <w:rPr>
          <w:spacing w:val="-1"/>
        </w:rPr>
        <w:t> </w:t>
      </w:r>
      <w:r>
        <w:rPr/>
        <w:t>of</w:t>
      </w:r>
      <w:r>
        <w:rPr>
          <w:spacing w:val="-1"/>
        </w:rPr>
        <w:t> </w:t>
      </w:r>
      <w:r>
        <w:rPr/>
        <w:t>habitual</w:t>
      </w:r>
      <w:r>
        <w:rPr>
          <w:spacing w:val="-1"/>
        </w:rPr>
        <w:t> </w:t>
      </w:r>
      <w:r>
        <w:rPr/>
        <w:t>residence</w:t>
      </w:r>
      <w:r>
        <w:rPr>
          <w:spacing w:val="-1"/>
        </w:rPr>
        <w:t> </w:t>
      </w:r>
      <w:r>
        <w:rPr/>
        <w:t>is</w:t>
      </w:r>
      <w:r>
        <w:rPr>
          <w:spacing w:val="-1"/>
        </w:rPr>
        <w:t> </w:t>
      </w:r>
      <w:r>
        <w:rPr/>
        <w:t>provided</w:t>
      </w:r>
      <w:r>
        <w:rPr>
          <w:spacing w:val="-1"/>
        </w:rPr>
        <w:t> </w:t>
      </w:r>
      <w:r>
        <w:rPr/>
        <w:t>in</w:t>
      </w:r>
      <w:r>
        <w:rPr>
          <w:spacing w:val="-1"/>
        </w:rPr>
        <w:t> </w:t>
      </w:r>
      <w:r>
        <w:rPr/>
        <w:t>relation</w:t>
      </w:r>
      <w:r>
        <w:rPr>
          <w:spacing w:val="-1"/>
        </w:rPr>
        <w:t> </w:t>
      </w:r>
      <w:r>
        <w:rPr/>
        <w:t>to</w:t>
      </w:r>
      <w:r>
        <w:rPr>
          <w:spacing w:val="-1"/>
        </w:rPr>
        <w:t> </w:t>
      </w:r>
      <w:r>
        <w:rPr/>
        <w:t>a</w:t>
      </w:r>
      <w:r>
        <w:rPr>
          <w:spacing w:val="-1"/>
        </w:rPr>
        <w:t> </w:t>
      </w:r>
      <w:r>
        <w:rPr/>
        <w:t>person</w:t>
      </w:r>
      <w:r>
        <w:rPr>
          <w:spacing w:val="-1"/>
        </w:rPr>
        <w:t> </w:t>
      </w:r>
      <w:r>
        <w:rPr/>
        <w:t>who</w:t>
      </w:r>
      <w:r>
        <w:rPr>
          <w:spacing w:val="-1"/>
        </w:rPr>
        <w:t> </w:t>
      </w:r>
      <w:r>
        <w:rPr/>
        <w:t>is</w:t>
      </w:r>
      <w:r>
        <w:rPr>
          <w:spacing w:val="-1"/>
        </w:rPr>
        <w:t> </w:t>
      </w:r>
      <w:r>
        <w:rPr/>
        <w:t>not</w:t>
      </w:r>
      <w:r>
        <w:rPr>
          <w:spacing w:val="-1"/>
        </w:rPr>
        <w:t> </w:t>
      </w:r>
      <w:r>
        <w:rPr/>
        <w:t>acting</w:t>
      </w:r>
      <w:r>
        <w:rPr>
          <w:spacing w:val="-1"/>
        </w:rPr>
        <w:t> </w:t>
      </w:r>
      <w:r>
        <w:rPr/>
        <w:t>in</w:t>
      </w:r>
      <w:r>
        <w:rPr>
          <w:spacing w:val="-1"/>
        </w:rPr>
        <w:t> </w:t>
      </w:r>
      <w:r>
        <w:rPr/>
        <w:t>the</w:t>
      </w:r>
      <w:r>
        <w:rPr>
          <w:spacing w:val="-1"/>
        </w:rPr>
        <w:t> </w:t>
      </w:r>
      <w:r>
        <w:rPr/>
        <w:t>course</w:t>
      </w:r>
      <w:r>
        <w:rPr>
          <w:spacing w:val="-1"/>
        </w:rPr>
        <w:t> </w:t>
      </w:r>
      <w:r>
        <w:rPr/>
        <w:t>of </w:t>
      </w:r>
      <w:bookmarkStart w:name="_bookmark1384" w:id="1386"/>
      <w:bookmarkEnd w:id="1386"/>
      <w:r>
        <w:rPr/>
        <w:t>a</w:t>
      </w:r>
      <w:r>
        <w:rPr/>
        <w:t> business activity. Should this question arise for consideration, the solution will have to be found, it would seem, in general principles which will found the basis of an autonomous meaning. </w:t>
      </w:r>
      <w:r>
        <w:rPr>
          <w:color w:val="005DA1"/>
          <w:u w:val="single" w:color="005DA1"/>
          <w:vertAlign w:val="superscript"/>
        </w:rPr>
        <w:t>731</w:t>
      </w:r>
    </w:p>
    <w:p>
      <w:pPr>
        <w:pStyle w:val="BodyText"/>
      </w:pPr>
    </w:p>
    <w:p>
      <w:pPr>
        <w:pStyle w:val="BodyText"/>
        <w:spacing w:before="37"/>
      </w:pPr>
    </w:p>
    <w:p>
      <w:pPr>
        <w:spacing w:before="0"/>
        <w:ind w:left="165" w:right="0" w:firstLine="0"/>
        <w:jc w:val="left"/>
        <w:rPr>
          <w:rFonts w:ascii="Arial"/>
          <w:b/>
          <w:sz w:val="18"/>
        </w:rPr>
      </w:pPr>
      <w:r>
        <w:rPr>
          <w:rFonts w:ascii="Arial"/>
          <w:b/>
          <w:sz w:val="18"/>
        </w:rPr>
        <w:t>Relevant </w:t>
      </w:r>
      <w:r>
        <w:rPr>
          <w:rFonts w:ascii="Arial"/>
          <w:b/>
          <w:spacing w:val="-4"/>
          <w:sz w:val="18"/>
        </w:rPr>
        <w:t>time</w:t>
      </w:r>
    </w:p>
    <w:p>
      <w:pPr>
        <w:pStyle w:val="BodyText"/>
        <w:spacing w:before="41"/>
        <w:rPr>
          <w:rFonts w:ascii="Arial"/>
          <w:b/>
          <w:sz w:val="18"/>
        </w:rPr>
      </w:pPr>
    </w:p>
    <w:p>
      <w:pPr>
        <w:pStyle w:val="Heading2"/>
      </w:pPr>
      <w:r>
        <w:rPr/>
        <w:t>30-</w:t>
      </w:r>
      <w:r>
        <w:rPr>
          <w:spacing w:val="-5"/>
        </w:rPr>
        <w:t>168</w:t>
      </w:r>
    </w:p>
    <w:p>
      <w:pPr>
        <w:pStyle w:val="BodyText"/>
        <w:spacing w:line="235" w:lineRule="auto" w:before="203"/>
        <w:ind w:left="165" w:right="167"/>
        <w:jc w:val="both"/>
      </w:pPr>
      <w:r>
        <w:rPr/>
        <w:t>According to art.19(3) of the Regulation when determining a party’s habitual residence the </w:t>
      </w:r>
      <w:r>
        <w:rPr/>
        <w:t>relevant point in time is to be the time of conclusion of the contract. It would seem that that point in time will </w:t>
      </w:r>
      <w:bookmarkStart w:name="_bookmark1385" w:id="1387"/>
      <w:bookmarkEnd w:id="1387"/>
      <w:r>
        <w:rPr/>
        <w:t>have</w:t>
      </w:r>
      <w:r>
        <w:rPr/>
        <w:t> to be determined by reference to the law which is alleged to be applicable to the contract in question. </w:t>
      </w:r>
      <w:r>
        <w:rPr>
          <w:color w:val="005DA1"/>
          <w:u w:val="single" w:color="005DA1"/>
          <w:vertAlign w:val="superscript"/>
        </w:rPr>
        <w:t>732</w:t>
      </w:r>
    </w:p>
    <w:p>
      <w:pPr>
        <w:pStyle w:val="BodyText"/>
      </w:pPr>
    </w:p>
    <w:p>
      <w:pPr>
        <w:pStyle w:val="BodyText"/>
        <w:spacing w:before="38"/>
      </w:pPr>
      <w:r>
        <w:rPr/>
        <mc:AlternateContent>
          <mc:Choice Requires="wps">
            <w:drawing>
              <wp:anchor distT="0" distB="0" distL="0" distR="0" allowOverlap="1" layoutInCell="1" locked="0" behindDoc="1" simplePos="0" relativeHeight="487613952">
                <wp:simplePos x="0" y="0"/>
                <wp:positionH relativeFrom="page">
                  <wp:posOffset>914400</wp:posOffset>
                </wp:positionH>
                <wp:positionV relativeFrom="paragraph">
                  <wp:posOffset>185822</wp:posOffset>
                </wp:positionV>
                <wp:extent cx="5724525"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1726pt;width:450.75pt;height:.1pt;mso-position-horizontal-relative:page;mso-position-vertical-relative:paragraph;z-index:-15702528;mso-wrap-distance-left:0;mso-wrap-distance-right:0" id="docshape24"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386" w:id="1388"/>
      <w:bookmarkEnd w:id="1388"/>
      <w:r>
        <w:rPr/>
      </w:r>
      <w:hyperlink w:history="true" w:anchor="_bookmark1377">
        <w:r>
          <w:rPr>
            <w:color w:val="005DA1"/>
            <w:spacing w:val="-4"/>
            <w:position w:val="5"/>
            <w:sz w:val="14"/>
            <w:u w:val="single" w:color="005DA1"/>
          </w:rPr>
          <w:t>724</w:t>
        </w:r>
      </w:hyperlink>
      <w:r>
        <w:rPr>
          <w:spacing w:val="-4"/>
          <w:position w:val="5"/>
          <w:sz w:val="14"/>
        </w:rPr>
        <w:t>.</w:t>
      </w:r>
      <w:r>
        <w:rPr>
          <w:position w:val="5"/>
          <w:sz w:val="14"/>
        </w:rPr>
        <w:tab/>
      </w:r>
      <w:r>
        <w:rPr/>
        <w:t>Rome I arts 4, 5, 6, 7, 10 and </w:t>
      </w:r>
      <w:r>
        <w:rPr>
          <w:spacing w:val="-5"/>
        </w:rPr>
        <w:t>11.</w:t>
      </w:r>
    </w:p>
    <w:p>
      <w:pPr>
        <w:pStyle w:val="BodyText"/>
        <w:spacing w:before="9"/>
      </w:pPr>
    </w:p>
    <w:p>
      <w:pPr>
        <w:pStyle w:val="BodyText"/>
        <w:spacing w:line="235" w:lineRule="auto"/>
        <w:ind w:left="705" w:right="167" w:hanging="541"/>
        <w:jc w:val="both"/>
      </w:pPr>
      <w:bookmarkStart w:name="_bookmark1387" w:id="1389"/>
      <w:bookmarkEnd w:id="1389"/>
      <w:r>
        <w:rPr/>
      </w:r>
      <w:hyperlink w:history="true" w:anchor="_bookmark1378">
        <w:r>
          <w:rPr>
            <w:color w:val="005DA1"/>
            <w:position w:val="5"/>
            <w:sz w:val="14"/>
            <w:u w:val="single" w:color="005DA1"/>
          </w:rPr>
          <w:t>725</w:t>
        </w:r>
      </w:hyperlink>
      <w:r>
        <w:rPr>
          <w:position w:val="5"/>
          <w:sz w:val="14"/>
        </w:rPr>
        <w:t>.</w:t>
      </w:r>
      <w:r>
        <w:rPr>
          <w:spacing w:val="80"/>
          <w:position w:val="5"/>
          <w:sz w:val="14"/>
        </w:rPr>
        <w:t>  </w:t>
      </w:r>
      <w:r>
        <w:rPr/>
        <w:t>cf.</w:t>
      </w:r>
      <w:r>
        <w:rPr>
          <w:spacing w:val="24"/>
        </w:rPr>
        <w:t> </w:t>
      </w:r>
      <w:r>
        <w:rPr/>
        <w:t>Judgments</w:t>
      </w:r>
      <w:r>
        <w:rPr>
          <w:spacing w:val="24"/>
        </w:rPr>
        <w:t> </w:t>
      </w:r>
      <w:r>
        <w:rPr/>
        <w:t>Regulation</w:t>
      </w:r>
      <w:r>
        <w:rPr>
          <w:spacing w:val="24"/>
        </w:rPr>
        <w:t> </w:t>
      </w:r>
      <w:r>
        <w:rPr/>
        <w:t>recast</w:t>
      </w:r>
      <w:r>
        <w:rPr>
          <w:spacing w:val="24"/>
        </w:rPr>
        <w:t> </w:t>
      </w:r>
      <w:r>
        <w:rPr/>
        <w:t>art.63(1);</w:t>
      </w:r>
      <w:r>
        <w:rPr>
          <w:spacing w:val="24"/>
        </w:rPr>
        <w:t> </w:t>
      </w:r>
      <w:r>
        <w:rPr/>
        <w:t>Rome</w:t>
      </w:r>
      <w:r>
        <w:rPr>
          <w:spacing w:val="24"/>
        </w:rPr>
        <w:t> </w:t>
      </w:r>
      <w:r>
        <w:rPr/>
        <w:t>II</w:t>
      </w:r>
      <w:r>
        <w:rPr>
          <w:spacing w:val="24"/>
        </w:rPr>
        <w:t> </w:t>
      </w:r>
      <w:r>
        <w:rPr/>
        <w:t>Regulation</w:t>
      </w:r>
      <w:r>
        <w:rPr>
          <w:spacing w:val="24"/>
        </w:rPr>
        <w:t> </w:t>
      </w:r>
      <w:r>
        <w:rPr/>
        <w:t>art.23.</w:t>
      </w:r>
      <w:r>
        <w:rPr>
          <w:spacing w:val="24"/>
        </w:rPr>
        <w:t> </w:t>
      </w:r>
      <w:r>
        <w:rPr/>
        <w:t>The</w:t>
      </w:r>
      <w:r>
        <w:rPr>
          <w:spacing w:val="24"/>
        </w:rPr>
        <w:t> </w:t>
      </w:r>
      <w:r>
        <w:rPr/>
        <w:t>Rome</w:t>
      </w:r>
      <w:r>
        <w:rPr>
          <w:spacing w:val="24"/>
        </w:rPr>
        <w:t> </w:t>
      </w:r>
      <w:r>
        <w:rPr/>
        <w:t>Convention did not contain a specific definition of habitual residence but makes reference to </w:t>
      </w:r>
      <w:r>
        <w:rPr/>
        <w:t>concepts employed in the definition found in art.19 of the Regulation. See above, paras 30-078 et seq.</w:t>
      </w:r>
    </w:p>
    <w:p>
      <w:pPr>
        <w:pStyle w:val="BodyText"/>
        <w:spacing w:before="5"/>
      </w:pPr>
    </w:p>
    <w:p>
      <w:pPr>
        <w:pStyle w:val="BodyText"/>
        <w:tabs>
          <w:tab w:pos="705" w:val="left" w:leader="none"/>
        </w:tabs>
        <w:ind w:left="165"/>
      </w:pPr>
      <w:bookmarkStart w:name="_bookmark1388" w:id="1390"/>
      <w:bookmarkEnd w:id="1390"/>
      <w:r>
        <w:rPr/>
      </w:r>
      <w:hyperlink w:history="true" w:anchor="_bookmark1379">
        <w:r>
          <w:rPr>
            <w:color w:val="005DA1"/>
            <w:spacing w:val="-4"/>
            <w:position w:val="5"/>
            <w:sz w:val="14"/>
            <w:u w:val="single" w:color="005DA1"/>
          </w:rPr>
          <w:t>726</w:t>
        </w:r>
      </w:hyperlink>
      <w:r>
        <w:rPr>
          <w:spacing w:val="-4"/>
          <w:position w:val="5"/>
          <w:sz w:val="14"/>
        </w:rPr>
        <w:t>.</w:t>
      </w:r>
      <w:r>
        <w:rPr>
          <w:position w:val="5"/>
          <w:sz w:val="14"/>
        </w:rPr>
        <w:tab/>
      </w:r>
      <w:r>
        <w:rPr/>
        <w:t>Above,</w:t>
      </w:r>
      <w:r>
        <w:rPr>
          <w:spacing w:val="-2"/>
        </w:rPr>
        <w:t> </w:t>
      </w:r>
      <w:r>
        <w:rPr/>
        <w:t>paras 30-079 et </w:t>
      </w:r>
      <w:r>
        <w:rPr>
          <w:spacing w:val="-4"/>
        </w:rPr>
        <w:t>seq.</w:t>
      </w:r>
    </w:p>
    <w:p>
      <w:pPr>
        <w:pStyle w:val="BodyText"/>
        <w:spacing w:before="9"/>
      </w:pPr>
    </w:p>
    <w:p>
      <w:pPr>
        <w:pStyle w:val="BodyText"/>
        <w:tabs>
          <w:tab w:pos="705" w:val="left" w:leader="none"/>
        </w:tabs>
        <w:spacing w:line="235" w:lineRule="auto"/>
        <w:ind w:left="705" w:right="168" w:hanging="541"/>
      </w:pPr>
      <w:bookmarkStart w:name="_bookmark1389" w:id="1391"/>
      <w:bookmarkEnd w:id="1391"/>
      <w:r>
        <w:rPr/>
      </w:r>
      <w:hyperlink w:history="true" w:anchor="_bookmark1380">
        <w:r>
          <w:rPr>
            <w:color w:val="005DA1"/>
            <w:spacing w:val="-4"/>
            <w:position w:val="5"/>
            <w:sz w:val="14"/>
            <w:u w:val="single" w:color="005DA1"/>
          </w:rPr>
          <w:t>727</w:t>
        </w:r>
      </w:hyperlink>
      <w:r>
        <w:rPr>
          <w:spacing w:val="-4"/>
          <w:position w:val="5"/>
          <w:sz w:val="14"/>
        </w:rPr>
        <w:t>.</w:t>
      </w:r>
      <w:r>
        <w:rPr>
          <w:position w:val="5"/>
          <w:sz w:val="14"/>
        </w:rPr>
        <w:tab/>
      </w:r>
      <w:r>
        <w:rPr/>
        <w:t>There</w:t>
      </w:r>
      <w:r>
        <w:rPr>
          <w:spacing w:val="24"/>
        </w:rPr>
        <w:t> </w:t>
      </w:r>
      <w:r>
        <w:rPr/>
        <w:t>is</w:t>
      </w:r>
      <w:r>
        <w:rPr>
          <w:spacing w:val="24"/>
        </w:rPr>
        <w:t> </w:t>
      </w:r>
      <w:r>
        <w:rPr/>
        <w:t>no</w:t>
      </w:r>
      <w:r>
        <w:rPr>
          <w:spacing w:val="24"/>
        </w:rPr>
        <w:t> </w:t>
      </w:r>
      <w:r>
        <w:rPr/>
        <w:t>comparable</w:t>
      </w:r>
      <w:r>
        <w:rPr>
          <w:spacing w:val="24"/>
        </w:rPr>
        <w:t> </w:t>
      </w:r>
      <w:r>
        <w:rPr/>
        <w:t>provision</w:t>
      </w:r>
      <w:r>
        <w:rPr>
          <w:spacing w:val="24"/>
        </w:rPr>
        <w:t> </w:t>
      </w:r>
      <w:r>
        <w:rPr/>
        <w:t>in</w:t>
      </w:r>
      <w:r>
        <w:rPr>
          <w:spacing w:val="24"/>
        </w:rPr>
        <w:t> </w:t>
      </w:r>
      <w:r>
        <w:rPr/>
        <w:t>the</w:t>
      </w:r>
      <w:r>
        <w:rPr>
          <w:spacing w:val="24"/>
        </w:rPr>
        <w:t> </w:t>
      </w:r>
      <w:r>
        <w:rPr/>
        <w:t>Rome</w:t>
      </w:r>
      <w:r>
        <w:rPr>
          <w:spacing w:val="24"/>
        </w:rPr>
        <w:t> </w:t>
      </w:r>
      <w:r>
        <w:rPr/>
        <w:t>Convention.</w:t>
      </w:r>
      <w:r>
        <w:rPr>
          <w:spacing w:val="24"/>
        </w:rPr>
        <w:t> </w:t>
      </w:r>
      <w:r>
        <w:rPr/>
        <w:t>cf.</w:t>
      </w:r>
      <w:r>
        <w:rPr>
          <w:spacing w:val="24"/>
        </w:rPr>
        <w:t> </w:t>
      </w:r>
      <w:r>
        <w:rPr/>
        <w:t>Rome</w:t>
      </w:r>
      <w:r>
        <w:rPr>
          <w:spacing w:val="24"/>
        </w:rPr>
        <w:t> </w:t>
      </w:r>
      <w:r>
        <w:rPr/>
        <w:t>II</w:t>
      </w:r>
      <w:r>
        <w:rPr>
          <w:spacing w:val="24"/>
        </w:rPr>
        <w:t> </w:t>
      </w:r>
      <w:r>
        <w:rPr/>
        <w:t>Regulation</w:t>
      </w:r>
      <w:r>
        <w:rPr>
          <w:spacing w:val="24"/>
        </w:rPr>
        <w:t> </w:t>
      </w:r>
      <w:r>
        <w:rPr/>
        <w:t>art.23(1), second paragraph.</w:t>
      </w:r>
    </w:p>
    <w:p>
      <w:pPr>
        <w:pStyle w:val="BodyText"/>
        <w:spacing w:before="9"/>
      </w:pPr>
    </w:p>
    <w:p>
      <w:pPr>
        <w:pStyle w:val="BodyText"/>
        <w:tabs>
          <w:tab w:pos="705" w:val="left" w:leader="none"/>
        </w:tabs>
        <w:spacing w:line="235" w:lineRule="auto"/>
        <w:ind w:left="705" w:right="168" w:hanging="541"/>
      </w:pPr>
      <w:bookmarkStart w:name="_bookmark1390" w:id="1392"/>
      <w:bookmarkEnd w:id="1392"/>
      <w:r>
        <w:rPr/>
      </w:r>
      <w:hyperlink w:history="true" w:anchor="_bookmark1381">
        <w:r>
          <w:rPr>
            <w:color w:val="005DA1"/>
            <w:spacing w:val="-4"/>
            <w:position w:val="5"/>
            <w:sz w:val="14"/>
            <w:u w:val="single" w:color="005DA1"/>
          </w:rPr>
          <w:t>728</w:t>
        </w:r>
      </w:hyperlink>
      <w:r>
        <w:rPr>
          <w:spacing w:val="-4"/>
          <w:position w:val="5"/>
          <w:sz w:val="14"/>
        </w:rPr>
        <w:t>.</w:t>
      </w:r>
      <w:r>
        <w:rPr>
          <w:position w:val="5"/>
          <w:sz w:val="14"/>
        </w:rPr>
        <w:tab/>
      </w:r>
      <w:r>
        <w:rPr/>
        <w:t>See Recital 7 to the Rome I Regulation. See Dicey, Morris and Collins on the Conflict of Laws, 15th edn (2012), paras 11-296 et seq.</w:t>
      </w:r>
    </w:p>
    <w:p>
      <w:pPr>
        <w:pStyle w:val="BodyText"/>
        <w:spacing w:before="5"/>
      </w:pPr>
    </w:p>
    <w:p>
      <w:pPr>
        <w:tabs>
          <w:tab w:pos="705" w:val="left" w:leader="none"/>
        </w:tabs>
        <w:spacing w:before="1"/>
        <w:ind w:left="165" w:right="0" w:firstLine="0"/>
        <w:jc w:val="left"/>
        <w:rPr>
          <w:sz w:val="20"/>
        </w:rPr>
      </w:pPr>
      <w:bookmarkStart w:name="_bookmark1391" w:id="1393"/>
      <w:bookmarkEnd w:id="1393"/>
      <w:r>
        <w:rPr/>
      </w:r>
      <w:hyperlink w:history="true" w:anchor="_bookmark1382">
        <w:r>
          <w:rPr>
            <w:color w:val="005DA1"/>
            <w:spacing w:val="-4"/>
            <w:position w:val="5"/>
            <w:sz w:val="14"/>
            <w:u w:val="single" w:color="005DA1"/>
          </w:rPr>
          <w:t>729</w:t>
        </w:r>
      </w:hyperlink>
      <w:r>
        <w:rPr>
          <w:spacing w:val="-4"/>
          <w:position w:val="5"/>
          <w:sz w:val="14"/>
        </w:rPr>
        <w:t>.</w:t>
      </w:r>
      <w:r>
        <w:rPr>
          <w:position w:val="5"/>
          <w:sz w:val="14"/>
        </w:rPr>
        <w:tab/>
      </w:r>
      <w:r>
        <w:rPr>
          <w:sz w:val="20"/>
        </w:rPr>
        <w:t>Rome I </w:t>
      </w:r>
      <w:r>
        <w:rPr>
          <w:spacing w:val="-2"/>
          <w:sz w:val="20"/>
        </w:rPr>
        <w:t>art.19(1).</w:t>
      </w:r>
    </w:p>
    <w:p>
      <w:pPr>
        <w:pStyle w:val="BodyText"/>
        <w:spacing w:before="4"/>
      </w:pPr>
    </w:p>
    <w:p>
      <w:pPr>
        <w:tabs>
          <w:tab w:pos="705" w:val="left" w:leader="none"/>
        </w:tabs>
        <w:spacing w:before="1"/>
        <w:ind w:left="165" w:right="0" w:firstLine="0"/>
        <w:jc w:val="left"/>
        <w:rPr>
          <w:sz w:val="20"/>
        </w:rPr>
      </w:pPr>
      <w:bookmarkStart w:name="_bookmark1392" w:id="1394"/>
      <w:bookmarkEnd w:id="1394"/>
      <w:r>
        <w:rPr/>
      </w:r>
      <w:hyperlink w:history="true" w:anchor="_bookmark1383">
        <w:r>
          <w:rPr>
            <w:color w:val="005DA1"/>
            <w:spacing w:val="-4"/>
            <w:position w:val="5"/>
            <w:sz w:val="14"/>
            <w:u w:val="single" w:color="005DA1"/>
          </w:rPr>
          <w:t>730</w:t>
        </w:r>
      </w:hyperlink>
      <w:r>
        <w:rPr>
          <w:spacing w:val="-4"/>
          <w:position w:val="5"/>
          <w:sz w:val="14"/>
        </w:rPr>
        <w:t>.</w:t>
      </w:r>
      <w:r>
        <w:rPr>
          <w:position w:val="5"/>
          <w:sz w:val="14"/>
        </w:rPr>
        <w:tab/>
      </w:r>
      <w:r>
        <w:rPr>
          <w:sz w:val="20"/>
        </w:rPr>
        <w:t>Above, para.30-</w:t>
      </w:r>
      <w:r>
        <w:rPr>
          <w:spacing w:val="-4"/>
          <w:sz w:val="20"/>
        </w:rPr>
        <w:t>080.</w:t>
      </w:r>
    </w:p>
    <w:p>
      <w:pPr>
        <w:pStyle w:val="BodyText"/>
        <w:spacing w:before="8"/>
      </w:pPr>
    </w:p>
    <w:p>
      <w:pPr>
        <w:pStyle w:val="BodyText"/>
        <w:tabs>
          <w:tab w:pos="705" w:val="left" w:leader="none"/>
        </w:tabs>
        <w:spacing w:line="235" w:lineRule="auto"/>
        <w:ind w:left="705" w:right="167" w:hanging="541"/>
      </w:pPr>
      <w:bookmarkStart w:name="_bookmark1393" w:id="1395"/>
      <w:bookmarkEnd w:id="1395"/>
      <w:r>
        <w:rPr/>
      </w:r>
      <w:hyperlink w:history="true" w:anchor="_bookmark1384">
        <w:r>
          <w:rPr>
            <w:color w:val="005DA1"/>
            <w:spacing w:val="-4"/>
            <w:position w:val="5"/>
            <w:sz w:val="14"/>
            <w:u w:val="single" w:color="005DA1"/>
          </w:rPr>
          <w:t>731</w:t>
        </w:r>
      </w:hyperlink>
      <w:r>
        <w:rPr>
          <w:spacing w:val="-4"/>
          <w:position w:val="5"/>
          <w:sz w:val="14"/>
        </w:rPr>
        <w:t>.</w:t>
      </w:r>
      <w:r>
        <w:rPr>
          <w:position w:val="5"/>
          <w:sz w:val="14"/>
        </w:rPr>
        <w:tab/>
      </w:r>
      <w:r>
        <w:rPr/>
        <w:t>Some of these are identified and discussed in the context of the Rome Convention: see above, </w:t>
      </w:r>
      <w:r>
        <w:rPr>
          <w:spacing w:val="-2"/>
        </w:rPr>
        <w:t>para.30-078.</w:t>
      </w:r>
    </w:p>
    <w:p>
      <w:pPr>
        <w:pStyle w:val="BodyText"/>
        <w:spacing w:before="6"/>
      </w:pPr>
    </w:p>
    <w:p>
      <w:pPr>
        <w:pStyle w:val="BodyText"/>
        <w:tabs>
          <w:tab w:pos="705" w:val="left" w:leader="none"/>
        </w:tabs>
        <w:ind w:left="165"/>
      </w:pPr>
      <w:bookmarkStart w:name="_bookmark1394" w:id="1396"/>
      <w:bookmarkEnd w:id="1396"/>
      <w:r>
        <w:rPr/>
      </w:r>
      <w:hyperlink w:history="true" w:anchor="_bookmark1385">
        <w:r>
          <w:rPr>
            <w:color w:val="005DA1"/>
            <w:spacing w:val="-4"/>
            <w:position w:val="5"/>
            <w:sz w:val="14"/>
            <w:u w:val="single" w:color="005DA1"/>
          </w:rPr>
          <w:t>732</w:t>
        </w:r>
      </w:hyperlink>
      <w:r>
        <w:rPr>
          <w:spacing w:val="-4"/>
          <w:position w:val="5"/>
          <w:sz w:val="14"/>
        </w:rPr>
        <w:t>.</w:t>
      </w:r>
      <w:r>
        <w:rPr>
          <w:position w:val="5"/>
          <w:sz w:val="14"/>
        </w:rPr>
        <w:tab/>
      </w:r>
      <w:r>
        <w:rPr/>
        <w:t>Rome I art.10(1): below, paras 30-305 et </w:t>
      </w:r>
      <w:r>
        <w:rPr>
          <w:spacing w:val="-4"/>
        </w:rPr>
        <w:t>seq.</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pStyle w:val="ListParagraph"/>
        <w:numPr>
          <w:ilvl w:val="0"/>
          <w:numId w:val="2"/>
        </w:numPr>
        <w:tabs>
          <w:tab w:pos="3698" w:val="left" w:leader="none"/>
        </w:tabs>
        <w:spacing w:line="240" w:lineRule="auto" w:before="194" w:after="0"/>
        <w:ind w:left="3698" w:right="0" w:hanging="373"/>
        <w:jc w:val="left"/>
        <w:rPr>
          <w:b/>
          <w:sz w:val="24"/>
        </w:rPr>
      </w:pPr>
      <w:r>
        <w:rPr>
          <w:b/>
          <w:sz w:val="24"/>
        </w:rPr>
        <w:t>- Freedom of </w:t>
      </w:r>
      <w:r>
        <w:rPr>
          <w:b/>
          <w:spacing w:val="-2"/>
          <w:sz w:val="24"/>
        </w:rPr>
        <w:t>Choice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2"/>
        <w:rPr>
          <w:rFonts w:ascii="Arial"/>
          <w:b/>
          <w:sz w:val="18"/>
        </w:rPr>
      </w:pPr>
    </w:p>
    <w:p>
      <w:pPr>
        <w:pStyle w:val="Heading2"/>
      </w:pPr>
      <w:r>
        <w:rPr/>
        <w:t>30-</w:t>
      </w:r>
      <w:r>
        <w:rPr>
          <w:spacing w:val="-5"/>
        </w:rPr>
        <w:t>169</w:t>
      </w:r>
    </w:p>
    <w:p>
      <w:pPr>
        <w:pStyle w:val="BodyText"/>
        <w:spacing w:line="235" w:lineRule="auto" w:before="202"/>
        <w:ind w:left="165" w:right="167"/>
        <w:jc w:val="both"/>
      </w:pPr>
      <w:bookmarkStart w:name="_bookmark1395" w:id="1397"/>
      <w:bookmarkEnd w:id="1397"/>
      <w:r>
        <w:rPr/>
      </w:r>
      <w:bookmarkStart w:name="_bookmark1396" w:id="1398"/>
      <w:bookmarkEnd w:id="1398"/>
      <w:r>
        <w:rPr/>
      </w:r>
      <w:r>
        <w:rPr/>
        <w:t>As is the case in the equivalent provision in the Rome Convention, </w:t>
      </w:r>
      <w:r>
        <w:rPr>
          <w:color w:val="005DA1"/>
          <w:u w:val="single" w:color="005DA1"/>
          <w:vertAlign w:val="superscript"/>
        </w:rPr>
        <w:t>733</w:t>
      </w:r>
      <w:r>
        <w:rPr>
          <w:color w:val="005DA1"/>
          <w:vertAlign w:val="baseline"/>
        </w:rPr>
        <w:t> </w:t>
      </w:r>
      <w:r>
        <w:rPr>
          <w:vertAlign w:val="baseline"/>
        </w:rPr>
        <w:t>art.3 of the Rome I </w:t>
      </w:r>
      <w:r>
        <w:rPr>
          <w:vertAlign w:val="baseline"/>
        </w:rPr>
        <w:t>Regulation enshrines the principle of party autonomy whereby parties may choose the law to govern a contract. </w:t>
      </w:r>
      <w:r>
        <w:rPr>
          <w:color w:val="005DA1"/>
          <w:u w:val="single" w:color="005DA1"/>
          <w:vertAlign w:val="superscript"/>
        </w:rPr>
        <w:t>734</w:t>
      </w:r>
      <w:r>
        <w:rPr>
          <w:color w:val="005DA1"/>
          <w:spacing w:val="-2"/>
          <w:vertAlign w:val="baseline"/>
        </w:rPr>
        <w:t> </w:t>
      </w:r>
      <w:r>
        <w:rPr>
          <w:vertAlign w:val="baseline"/>
        </w:rPr>
        <w:t>The</w:t>
      </w:r>
      <w:r>
        <w:rPr>
          <w:spacing w:val="-2"/>
          <w:vertAlign w:val="baseline"/>
        </w:rPr>
        <w:t> </w:t>
      </w:r>
      <w:r>
        <w:rPr>
          <w:vertAlign w:val="baseline"/>
        </w:rPr>
        <w:t>freedom</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to</w:t>
      </w:r>
      <w:r>
        <w:rPr>
          <w:spacing w:val="-2"/>
          <w:vertAlign w:val="baseline"/>
        </w:rPr>
        <w:t> </w:t>
      </w:r>
      <w:r>
        <w:rPr>
          <w:vertAlign w:val="baseline"/>
        </w:rPr>
        <w:t>choose</w:t>
      </w:r>
      <w:r>
        <w:rPr>
          <w:spacing w:val="-2"/>
          <w:vertAlign w:val="baseline"/>
        </w:rPr>
        <w:t> </w:t>
      </w:r>
      <w:r>
        <w:rPr>
          <w:vertAlign w:val="baseline"/>
        </w:rPr>
        <w:t>the</w:t>
      </w:r>
      <w:r>
        <w:rPr>
          <w:spacing w:val="-2"/>
          <w:vertAlign w:val="baseline"/>
        </w:rPr>
        <w:t> </w:t>
      </w:r>
      <w:r>
        <w:rPr>
          <w:vertAlign w:val="baseline"/>
        </w:rPr>
        <w:t>governing</w:t>
      </w:r>
      <w:r>
        <w:rPr>
          <w:spacing w:val="-2"/>
          <w:vertAlign w:val="baseline"/>
        </w:rPr>
        <w:t> </w:t>
      </w:r>
      <w:r>
        <w:rPr>
          <w:vertAlign w:val="baseline"/>
        </w:rPr>
        <w:t>law</w:t>
      </w:r>
      <w:r>
        <w:rPr>
          <w:spacing w:val="-2"/>
          <w:vertAlign w:val="baseline"/>
        </w:rPr>
        <w:t> </w:t>
      </w:r>
      <w:r>
        <w:rPr>
          <w:vertAlign w:val="baseline"/>
        </w:rPr>
        <w:t>is</w:t>
      </w:r>
      <w:r>
        <w:rPr>
          <w:spacing w:val="-2"/>
          <w:vertAlign w:val="baseline"/>
        </w:rPr>
        <w:t> </w:t>
      </w:r>
      <w:r>
        <w:rPr>
          <w:vertAlign w:val="baseline"/>
        </w:rPr>
        <w:t>described</w:t>
      </w:r>
      <w:r>
        <w:rPr>
          <w:spacing w:val="-2"/>
          <w:vertAlign w:val="baseline"/>
        </w:rPr>
        <w:t> </w:t>
      </w:r>
      <w:r>
        <w:rPr>
          <w:vertAlign w:val="baseline"/>
        </w:rPr>
        <w:t>in</w:t>
      </w:r>
      <w:r>
        <w:rPr>
          <w:spacing w:val="-2"/>
          <w:vertAlign w:val="baseline"/>
        </w:rPr>
        <w:t> </w:t>
      </w:r>
      <w:r>
        <w:rPr>
          <w:vertAlign w:val="baseline"/>
        </w:rPr>
        <w:t>Recital</w:t>
      </w:r>
      <w:r>
        <w:rPr>
          <w:spacing w:val="-2"/>
          <w:vertAlign w:val="baseline"/>
        </w:rPr>
        <w:t> </w:t>
      </w:r>
      <w:r>
        <w:rPr>
          <w:vertAlign w:val="baseline"/>
        </w:rPr>
        <w:t>11</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Regulation as one of the “cornerstones” of the system of conflict of laws rules in matters of contractual obligations. Although art.3 of the Regulation reflects the same philosophy as art.3 of the Convention, there are differences in wording and detail between the two provisions to which attention is drawn in the following paragraphs.</w:t>
      </w:r>
    </w:p>
    <w:p>
      <w:pPr>
        <w:pStyle w:val="BodyText"/>
      </w:pPr>
    </w:p>
    <w:p>
      <w:pPr>
        <w:pStyle w:val="BodyText"/>
        <w:spacing w:before="36"/>
      </w:pPr>
    </w:p>
    <w:p>
      <w:pPr>
        <w:spacing w:before="0"/>
        <w:ind w:left="165" w:right="0" w:firstLine="0"/>
        <w:jc w:val="left"/>
        <w:rPr>
          <w:rFonts w:ascii="Arial"/>
          <w:b/>
          <w:sz w:val="18"/>
        </w:rPr>
      </w:pPr>
      <w:r>
        <w:rPr>
          <w:rFonts w:ascii="Arial"/>
          <w:b/>
          <w:sz w:val="18"/>
        </w:rPr>
        <w:t>General </w:t>
      </w:r>
      <w:r>
        <w:rPr>
          <w:rFonts w:ascii="Arial"/>
          <w:b/>
          <w:spacing w:val="-2"/>
          <w:sz w:val="18"/>
        </w:rPr>
        <w:t>principle</w:t>
      </w:r>
    </w:p>
    <w:p>
      <w:pPr>
        <w:pStyle w:val="BodyText"/>
        <w:spacing w:before="41"/>
        <w:rPr>
          <w:rFonts w:ascii="Arial"/>
          <w:b/>
          <w:sz w:val="18"/>
        </w:rPr>
      </w:pPr>
    </w:p>
    <w:p>
      <w:pPr>
        <w:pStyle w:val="Heading2"/>
        <w:spacing w:before="1"/>
      </w:pPr>
      <w:r>
        <w:rPr/>
        <w:t>30-</w:t>
      </w:r>
      <w:r>
        <w:rPr>
          <w:spacing w:val="-5"/>
        </w:rPr>
        <w:t>170</w:t>
      </w:r>
    </w:p>
    <w:p>
      <w:pPr>
        <w:pStyle w:val="BodyText"/>
        <w:spacing w:line="235" w:lineRule="auto" w:before="202"/>
        <w:ind w:left="164" w:right="167"/>
        <w:jc w:val="both"/>
      </w:pPr>
      <w:r>
        <w:rPr/>
        <w:t>Article 3(1) of the Regulation provides quite generally that a “contract shall be governed by the law chosen by the parties”. The law chosen must be that of a country and it is not open to parties to </w:t>
      </w:r>
      <w:bookmarkStart w:name="_bookmark1397" w:id="1399"/>
      <w:bookmarkEnd w:id="1399"/>
      <w:r>
        <w:rPr/>
        <w:t>choose,</w:t>
      </w:r>
      <w:r>
        <w:rPr/>
        <w:t> for example, a non-State body of law such as the “lex mercatoria” or “general principles of </w:t>
      </w:r>
      <w:bookmarkStart w:name="_bookmark1398" w:id="1400"/>
      <w:bookmarkEnd w:id="1400"/>
      <w:r>
        <w:rPr/>
        <w:t>international</w:t>
      </w:r>
      <w:r>
        <w:rPr/>
        <w:t> commercial law”. </w:t>
      </w:r>
      <w:r>
        <w:rPr>
          <w:color w:val="005DA1"/>
          <w:u w:val="single" w:color="005DA1"/>
          <w:vertAlign w:val="superscript"/>
        </w:rPr>
        <w:t>735</w:t>
      </w:r>
      <w:r>
        <w:rPr>
          <w:color w:val="005DA1"/>
          <w:vertAlign w:val="baseline"/>
        </w:rPr>
        <w:t> </w:t>
      </w:r>
      <w:r>
        <w:rPr>
          <w:vertAlign w:val="baseline"/>
        </w:rPr>
        <w:t>It is, nonetheless, open to the parties to incorporate by reference into the contract a non-State body of law or an international convention. </w:t>
      </w:r>
      <w:r>
        <w:rPr>
          <w:color w:val="005DA1"/>
          <w:u w:val="single" w:color="005DA1"/>
          <w:vertAlign w:val="superscript"/>
        </w:rPr>
        <w:t>736</w:t>
      </w:r>
      <w:r>
        <w:rPr>
          <w:color w:val="005DA1"/>
          <w:vertAlign w:val="baseline"/>
        </w:rPr>
        <w:t> </w:t>
      </w:r>
      <w:r>
        <w:rPr>
          <w:vertAlign w:val="baseline"/>
        </w:rPr>
        <w:t>Further, it would seem </w:t>
      </w:r>
      <w:r>
        <w:rPr>
          <w:color w:val="005DA1"/>
          <w:u w:val="single" w:color="005DA1"/>
          <w:vertAlign w:val="superscript"/>
        </w:rPr>
        <w:t>737</w:t>
      </w:r>
      <w:r>
        <w:rPr>
          <w:color w:val="005DA1"/>
          <w:vertAlign w:val="baseline"/>
        </w:rPr>
        <w:t> </w:t>
      </w:r>
      <w:r>
        <w:rPr>
          <w:vertAlign w:val="baseline"/>
        </w:rPr>
        <w:t>that where the parties have chosen a foreign law to govern the contract, but do not plead or prove the content of the foreign law, then, at least in England, the court will apply English law since the principle </w:t>
      </w:r>
      <w:bookmarkStart w:name="_bookmark1399" w:id="1401"/>
      <w:bookmarkEnd w:id="1401"/>
      <w:r>
        <w:rPr>
          <w:vertAlign w:val="baseline"/>
        </w:rPr>
        <w:t>that</w:t>
      </w:r>
      <w:r>
        <w:rPr>
          <w:vertAlign w:val="baseline"/>
        </w:rPr>
        <w:t> foreign law, as a fact, must be pleaded and proved is a rule of evidence or procedure to which</w:t>
      </w:r>
      <w:r>
        <w:rPr>
          <w:spacing w:val="80"/>
          <w:vertAlign w:val="baseline"/>
        </w:rPr>
        <w:t> </w:t>
      </w:r>
      <w:bookmarkStart w:name="_bookmark1400" w:id="1402"/>
      <w:bookmarkEnd w:id="1402"/>
      <w:r>
        <w:rPr>
          <w:vertAlign w:val="baseline"/>
        </w:rPr>
        <w:t>the</w:t>
      </w:r>
      <w:r>
        <w:rPr>
          <w:vertAlign w:val="baseline"/>
        </w:rPr>
        <w:t> Regulation does not apply. </w:t>
      </w:r>
      <w:r>
        <w:rPr>
          <w:color w:val="005DA1"/>
          <w:u w:val="single" w:color="005DA1"/>
          <w:vertAlign w:val="superscript"/>
        </w:rPr>
        <w:t>738</w:t>
      </w:r>
      <w:r>
        <w:rPr>
          <w:color w:val="005DA1"/>
          <w:vertAlign w:val="baseline"/>
        </w:rPr>
        <w:t> </w:t>
      </w:r>
      <w:r>
        <w:rPr>
          <w:vertAlign w:val="baseline"/>
        </w:rPr>
        <w:t>This could also be seen as a procedural choice of English law</w:t>
      </w:r>
      <w:r>
        <w:rPr>
          <w:spacing w:val="40"/>
          <w:vertAlign w:val="baseline"/>
        </w:rPr>
        <w:t> </w:t>
      </w:r>
      <w:r>
        <w:rPr>
          <w:vertAlign w:val="baseline"/>
        </w:rPr>
        <w:t>made in the course of proceedings, within art.3(2) of the Regulation. </w:t>
      </w:r>
      <w:r>
        <w:rPr>
          <w:color w:val="005DA1"/>
          <w:u w:val="single" w:color="005DA1"/>
          <w:vertAlign w:val="superscript"/>
        </w:rPr>
        <w:t>739</w:t>
      </w:r>
    </w:p>
    <w:p>
      <w:pPr>
        <w:pStyle w:val="BodyText"/>
      </w:pPr>
    </w:p>
    <w:p>
      <w:pPr>
        <w:pStyle w:val="BodyText"/>
        <w:spacing w:before="35"/>
      </w:pPr>
    </w:p>
    <w:p>
      <w:pPr>
        <w:spacing w:before="0"/>
        <w:ind w:left="165" w:right="0" w:firstLine="0"/>
        <w:jc w:val="left"/>
        <w:rPr>
          <w:rFonts w:ascii="Arial"/>
          <w:b/>
          <w:sz w:val="18"/>
        </w:rPr>
      </w:pPr>
      <w:r>
        <w:rPr>
          <w:rFonts w:ascii="Arial"/>
          <w:b/>
          <w:sz w:val="18"/>
        </w:rPr>
        <w:t>Making the </w:t>
      </w:r>
      <w:r>
        <w:rPr>
          <w:rFonts w:ascii="Arial"/>
          <w:b/>
          <w:spacing w:val="-2"/>
          <w:sz w:val="18"/>
        </w:rPr>
        <w:t>choice</w:t>
      </w:r>
    </w:p>
    <w:p>
      <w:pPr>
        <w:pStyle w:val="BodyText"/>
        <w:spacing w:before="41"/>
        <w:rPr>
          <w:rFonts w:ascii="Arial"/>
          <w:b/>
          <w:sz w:val="18"/>
        </w:rPr>
      </w:pPr>
    </w:p>
    <w:p>
      <w:pPr>
        <w:pStyle w:val="Heading2"/>
      </w:pPr>
      <w:r>
        <w:rPr/>
        <w:t>30-</w:t>
      </w:r>
      <w:r>
        <w:rPr>
          <w:spacing w:val="-5"/>
        </w:rPr>
        <w:t>171</w:t>
      </w:r>
    </w:p>
    <w:p>
      <w:pPr>
        <w:pStyle w:val="BodyText"/>
        <w:spacing w:line="235" w:lineRule="auto" w:before="203"/>
        <w:ind w:left="165" w:right="167"/>
        <w:jc w:val="both"/>
      </w:pPr>
      <w:bookmarkStart w:name="_bookmark1401" w:id="1403"/>
      <w:bookmarkEnd w:id="1403"/>
      <w:r>
        <w:rPr/>
      </w:r>
      <w:r>
        <w:rPr/>
        <w:t>The second sentence of art.3(1) provides, first, that the choice may be made expressly. In this</w:t>
      </w:r>
      <w:r>
        <w:rPr>
          <w:spacing w:val="80"/>
        </w:rPr>
        <w:t> </w:t>
      </w:r>
      <w:r>
        <w:rPr/>
        <w:t>respect the Regulation replicates the Rome Convention. </w:t>
      </w:r>
      <w:r>
        <w:rPr>
          <w:color w:val="005DA1"/>
          <w:u w:val="single" w:color="005DA1"/>
          <w:vertAlign w:val="superscript"/>
        </w:rPr>
        <w:t>740</w:t>
      </w:r>
      <w:r>
        <w:rPr>
          <w:color w:val="005DA1"/>
          <w:vertAlign w:val="baseline"/>
        </w:rPr>
        <w:t> </w:t>
      </w:r>
      <w:r>
        <w:rPr>
          <w:vertAlign w:val="baseline"/>
        </w:rPr>
        <w:t>The provision then goes on to state that the choice may also be “clearly demonstrated by the terms of the contract or the circumstances of </w:t>
      </w:r>
      <w:r>
        <w:rPr>
          <w:vertAlign w:val="baseline"/>
        </w:rPr>
        <w:t>the case”. This formula is different to that used in the Rome Convention which required that the choice be </w:t>
      </w:r>
      <w:bookmarkStart w:name="_bookmark1402" w:id="1404"/>
      <w:bookmarkEnd w:id="1404"/>
      <w:r>
        <w:rPr>
          <w:vertAlign w:val="baseline"/>
        </w:rPr>
        <w:t>“demonstrated</w:t>
      </w:r>
      <w:r>
        <w:rPr>
          <w:vertAlign w:val="baseline"/>
        </w:rPr>
        <w:t> with reasonable certainty by the terms of the contract or the circumstances of the case”. </w:t>
      </w:r>
      <w:r>
        <w:rPr>
          <w:color w:val="005DA1"/>
          <w:u w:val="single" w:color="005DA1"/>
          <w:vertAlign w:val="superscript"/>
        </w:rPr>
        <w:t>741</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“Clearly demonstrated” </w:t>
      </w:r>
      <w:r>
        <w:rPr>
          <w:rFonts w:ascii="Arial" w:hAnsi="Arial"/>
          <w:b/>
          <w:spacing w:val="-5"/>
          <w:sz w:val="18"/>
        </w:rPr>
        <w:t>etc</w:t>
      </w:r>
    </w:p>
    <w:p>
      <w:pPr>
        <w:spacing w:after="0"/>
        <w:jc w:val="left"/>
        <w:rPr>
          <w:rFonts w:ascii="Arial" w:hAnsi="Arial"/>
          <w:b/>
          <w:sz w:val="18"/>
        </w:rPr>
        <w:sectPr>
          <w:headerReference w:type="default" r:id="rId19"/>
          <w:pgSz w:w="11900" w:h="16840"/>
          <w:pgMar w:header="971" w:footer="0" w:top="1300" w:bottom="280" w:left="1275" w:right="1275"/>
          <w:pgNumType w:start="1"/>
        </w:sectPr>
      </w:pPr>
    </w:p>
    <w:p>
      <w:pPr>
        <w:pStyle w:val="Heading2"/>
        <w:spacing w:before="262"/>
      </w:pPr>
      <w:r>
        <w:rPr/>
        <w:t>30-</w:t>
      </w:r>
      <w:r>
        <w:rPr>
          <w:spacing w:val="-5"/>
        </w:rPr>
        <w:t>172</w:t>
      </w:r>
    </w:p>
    <w:p>
      <w:pPr>
        <w:pStyle w:val="BodyText"/>
        <w:spacing w:line="235" w:lineRule="auto" w:before="202"/>
        <w:ind w:left="165" w:right="167"/>
        <w:jc w:val="both"/>
      </w:pPr>
      <w:r>
        <w:rPr/>
        <w:t>The change of language to “clearly demonstrated” would appear to be designed to impose a higher </w:t>
      </w:r>
      <w:bookmarkStart w:name="_bookmark1403" w:id="1405"/>
      <w:bookmarkEnd w:id="1405"/>
      <w:r>
        <w:rPr/>
        <w:t>standard</w:t>
      </w:r>
      <w:r>
        <w:rPr/>
        <w:t> of indication that an “implied” choice of law has been made than that imposed by the Rome Convention. </w:t>
      </w:r>
      <w:r>
        <w:rPr>
          <w:color w:val="005DA1"/>
          <w:u w:val="single" w:color="005DA1"/>
          <w:vertAlign w:val="superscript"/>
        </w:rPr>
        <w:t>742</w:t>
      </w:r>
      <w:r>
        <w:rPr>
          <w:color w:val="005DA1"/>
          <w:vertAlign w:val="baseline"/>
        </w:rPr>
        <w:t> </w:t>
      </w:r>
      <w:r>
        <w:rPr>
          <w:vertAlign w:val="baseline"/>
        </w:rPr>
        <w:t>The change in standard may be a response to suggestions that courts in </w:t>
      </w:r>
      <w:r>
        <w:rPr>
          <w:vertAlign w:val="baseline"/>
        </w:rPr>
        <w:t>some </w:t>
      </w:r>
      <w:bookmarkStart w:name="_bookmark1404" w:id="1406"/>
      <w:bookmarkEnd w:id="1406"/>
      <w:r>
        <w:rPr>
          <w:vertAlign w:val="baseline"/>
        </w:rPr>
        <w:t>Member</w:t>
      </w:r>
      <w:r>
        <w:rPr>
          <w:vertAlign w:val="baseline"/>
        </w:rPr>
        <w:t> States were too liberal in, or inconsistent in, finding that a choice of law had been </w:t>
      </w:r>
      <w:bookmarkStart w:name="_bookmark1405" w:id="1407"/>
      <w:bookmarkEnd w:id="1407"/>
      <w:r>
        <w:rPr>
          <w:vertAlign w:val="baseline"/>
        </w:rPr>
        <w:t>demonstrated</w:t>
      </w:r>
      <w:r>
        <w:rPr>
          <w:vertAlign w:val="baseline"/>
        </w:rPr>
        <w:t> with reasonable certainty under the Rome Convention formula, </w:t>
      </w:r>
      <w:r>
        <w:rPr>
          <w:color w:val="005DA1"/>
          <w:u w:val="single" w:color="005DA1"/>
          <w:vertAlign w:val="superscript"/>
        </w:rPr>
        <w:t>743</w:t>
      </w:r>
      <w:r>
        <w:rPr>
          <w:color w:val="005DA1"/>
          <w:vertAlign w:val="baseline"/>
        </w:rPr>
        <w:t> </w:t>
      </w:r>
      <w:r>
        <w:rPr>
          <w:vertAlign w:val="baseline"/>
        </w:rPr>
        <w:t>suggestions which </w:t>
      </w:r>
      <w:bookmarkStart w:name="_bookmark1406" w:id="1408"/>
      <w:bookmarkEnd w:id="1408"/>
      <w:r>
        <w:rPr>
          <w:vertAlign w:val="baseline"/>
        </w:rPr>
        <w:t>themselves</w:t>
      </w:r>
      <w:r>
        <w:rPr>
          <w:vertAlign w:val="baseline"/>
        </w:rPr>
        <w:t> may be questioned. </w:t>
      </w:r>
      <w:r>
        <w:rPr>
          <w:color w:val="005DA1"/>
          <w:u w:val="single" w:color="005DA1"/>
          <w:vertAlign w:val="superscript"/>
        </w:rPr>
        <w:t>744</w:t>
      </w:r>
      <w:r>
        <w:rPr>
          <w:color w:val="005DA1"/>
          <w:vertAlign w:val="baseline"/>
        </w:rPr>
        <w:t> </w:t>
      </w:r>
      <w:r>
        <w:rPr>
          <w:vertAlign w:val="baseline"/>
        </w:rPr>
        <w:t>Whether the wording of art.3(1) of the Regulation will, in practice, produce significantly different outcomes in particular cases is open to doubt. </w:t>
      </w:r>
      <w:r>
        <w:rPr>
          <w:color w:val="005DA1"/>
          <w:u w:val="single" w:color="005DA1"/>
          <w:vertAlign w:val="superscript"/>
        </w:rPr>
        <w:t>745</w:t>
      </w:r>
    </w:p>
    <w:p>
      <w:pPr>
        <w:pStyle w:val="BodyText"/>
      </w:pPr>
    </w:p>
    <w:p>
      <w:pPr>
        <w:pStyle w:val="BodyText"/>
        <w:spacing w:before="36"/>
      </w:pPr>
    </w:p>
    <w:p>
      <w:pPr>
        <w:spacing w:before="0"/>
        <w:ind w:left="165" w:right="0" w:firstLine="0"/>
        <w:jc w:val="left"/>
        <w:rPr>
          <w:rFonts w:ascii="Arial"/>
          <w:b/>
          <w:sz w:val="18"/>
        </w:rPr>
      </w:pPr>
      <w:r>
        <w:rPr>
          <w:rFonts w:ascii="Arial"/>
          <w:b/>
          <w:sz w:val="18"/>
        </w:rPr>
        <w:t>Relevant </w:t>
      </w:r>
      <w:r>
        <w:rPr>
          <w:rFonts w:ascii="Arial"/>
          <w:b/>
          <w:spacing w:val="-2"/>
          <w:sz w:val="18"/>
        </w:rPr>
        <w:t>factors</w:t>
      </w:r>
    </w:p>
    <w:p>
      <w:pPr>
        <w:pStyle w:val="BodyText"/>
        <w:spacing w:before="41"/>
        <w:rPr>
          <w:rFonts w:ascii="Arial"/>
          <w:b/>
          <w:sz w:val="18"/>
        </w:rPr>
      </w:pPr>
    </w:p>
    <w:p>
      <w:pPr>
        <w:pStyle w:val="Heading2"/>
        <w:spacing w:before="1"/>
      </w:pPr>
      <w:r>
        <w:rPr/>
        <w:t>30-</w:t>
      </w:r>
      <w:r>
        <w:rPr>
          <w:spacing w:val="-5"/>
        </w:rPr>
        <w:t>173</w:t>
      </w:r>
    </w:p>
    <w:p>
      <w:pPr>
        <w:pStyle w:val="BodyText"/>
        <w:spacing w:line="235" w:lineRule="auto" w:before="202"/>
        <w:ind w:left="164" w:right="167"/>
        <w:jc w:val="both"/>
      </w:pPr>
      <w:r>
        <w:rPr/>
        <w:t>Subject to the potentially different standard referred to in the previous paragraph, there is no </w:t>
      </w:r>
      <w:r>
        <w:rPr/>
        <w:t>reason</w:t>
      </w:r>
      <w:r>
        <w:rPr>
          <w:spacing w:val="40"/>
        </w:rPr>
        <w:t> </w:t>
      </w:r>
      <w:bookmarkStart w:name="_bookmark1407" w:id="1409"/>
      <w:bookmarkEnd w:id="1409"/>
      <w:r>
        <w:rPr/>
        <w:t>to</w:t>
      </w:r>
      <w:r>
        <w:rPr/>
        <w:t> doubt that the factors which were found to be relevant as indicating an “implied” choice of law</w:t>
      </w:r>
      <w:r>
        <w:rPr>
          <w:spacing w:val="40"/>
        </w:rPr>
        <w:t> </w:t>
      </w:r>
      <w:r>
        <w:rPr/>
        <w:t>under the Rome Convention </w:t>
      </w:r>
      <w:r>
        <w:rPr>
          <w:color w:val="005DA1"/>
          <w:u w:val="single" w:color="005DA1"/>
          <w:vertAlign w:val="superscript"/>
        </w:rPr>
        <w:t>746</w:t>
      </w:r>
      <w:r>
        <w:rPr>
          <w:color w:val="005DA1"/>
          <w:vertAlign w:val="baseline"/>
        </w:rPr>
        <w:t> </w:t>
      </w:r>
      <w:r>
        <w:rPr>
          <w:vertAlign w:val="baseline"/>
        </w:rPr>
        <w:t>will be regarded as relevant in deciding whether a choice of law has been “clearly demonstrated” under the Regulation. It is worth noting that Recital 12 to the Regulation states that an:</w:t>
      </w:r>
    </w:p>
    <w:p>
      <w:pPr>
        <w:pStyle w:val="BodyText"/>
      </w:pPr>
    </w:p>
    <w:p>
      <w:pPr>
        <w:pStyle w:val="BodyText"/>
        <w:spacing w:before="125"/>
      </w:pPr>
    </w:p>
    <w:p>
      <w:pPr>
        <w:pStyle w:val="BodyText"/>
        <w:spacing w:line="235" w:lineRule="auto"/>
        <w:ind w:left="1244" w:right="167"/>
        <w:jc w:val="both"/>
      </w:pPr>
      <w:r>
        <w:rPr/>
        <w:t>“… agreement of the parties to confer exclusive jurisdiction on one or more courts </w:t>
      </w:r>
      <w:r>
        <w:rPr/>
        <w:t>or tribunals of a Member State to determine disputes under the contract should be one of</w:t>
      </w:r>
      <w:r>
        <w:rPr>
          <w:spacing w:val="40"/>
        </w:rPr>
        <w:t> </w:t>
      </w:r>
      <w:bookmarkStart w:name="_bookmark1408" w:id="1410"/>
      <w:bookmarkEnd w:id="1410"/>
      <w:r>
        <w:rPr/>
        <w:t>the</w:t>
      </w:r>
      <w:r>
        <w:rPr/>
        <w:t> factors to be taken into account in determining whether a choice of law was clearly demonstrated.” </w:t>
      </w:r>
      <w:r>
        <w:rPr>
          <w:color w:val="005DA1"/>
          <w:u w:val="single" w:color="005DA1"/>
          <w:vertAlign w:val="superscript"/>
        </w:rPr>
        <w:t>747</w:t>
      </w:r>
    </w:p>
    <w:p>
      <w:pPr>
        <w:pStyle w:val="BodyText"/>
        <w:spacing w:before="115"/>
      </w:pPr>
    </w:p>
    <w:p>
      <w:pPr>
        <w:pStyle w:val="BodyText"/>
        <w:spacing w:line="235" w:lineRule="auto"/>
        <w:ind w:left="165" w:right="167"/>
        <w:jc w:val="both"/>
      </w:pPr>
      <w:r>
        <w:rPr/>
        <w:t>There seems to be no reason, in principle, however, why an exclusive jurisdiction clause </w:t>
      </w:r>
      <w:r>
        <w:rPr/>
        <w:t>conferring jurisdiction on the courts of a non-member State should not, in an appropriate case, have the same </w:t>
      </w:r>
      <w:bookmarkStart w:name="_bookmark1409" w:id="1411"/>
      <w:bookmarkEnd w:id="1411"/>
      <w:r>
        <w:rPr/>
        <w:t>effect.</w:t>
      </w:r>
      <w:r>
        <w:rPr/>
        <w:t> And, further there is no reason to believe that the specific mention of a jurisdiction clause indicates an intention that arbitration clauses should not be relevant. </w:t>
      </w:r>
      <w:r>
        <w:rPr>
          <w:color w:val="005DA1"/>
          <w:u w:val="single" w:color="005DA1"/>
          <w:vertAlign w:val="superscript"/>
        </w:rPr>
        <w:t>748</w:t>
      </w:r>
    </w:p>
    <w:p>
      <w:pPr>
        <w:pStyle w:val="BodyText"/>
      </w:pPr>
    </w:p>
    <w:p>
      <w:pPr>
        <w:pStyle w:val="BodyText"/>
        <w:spacing w:before="37"/>
      </w:pPr>
    </w:p>
    <w:p>
      <w:pPr>
        <w:spacing w:before="0"/>
        <w:ind w:left="165" w:right="0" w:firstLine="0"/>
        <w:jc w:val="left"/>
        <w:rPr>
          <w:rFonts w:ascii="Arial"/>
          <w:b/>
          <w:sz w:val="18"/>
        </w:rPr>
      </w:pPr>
      <w:r>
        <w:rPr>
          <w:rFonts w:ascii="Arial"/>
          <w:b/>
          <w:sz w:val="18"/>
        </w:rPr>
        <w:t>Partial choice of </w:t>
      </w:r>
      <w:r>
        <w:rPr>
          <w:rFonts w:ascii="Arial"/>
          <w:b/>
          <w:spacing w:val="-5"/>
          <w:sz w:val="18"/>
        </w:rPr>
        <w:t>law</w:t>
      </w:r>
    </w:p>
    <w:p>
      <w:pPr>
        <w:pStyle w:val="BodyText"/>
        <w:spacing w:before="42"/>
        <w:rPr>
          <w:rFonts w:ascii="Arial"/>
          <w:b/>
          <w:sz w:val="18"/>
        </w:rPr>
      </w:pPr>
    </w:p>
    <w:p>
      <w:pPr>
        <w:pStyle w:val="Heading2"/>
      </w:pPr>
      <w:r>
        <w:rPr/>
        <w:t>30-</w:t>
      </w:r>
      <w:r>
        <w:rPr>
          <w:spacing w:val="-5"/>
        </w:rPr>
        <w:t>174</w:t>
      </w:r>
    </w:p>
    <w:p>
      <w:pPr>
        <w:pStyle w:val="BodyText"/>
        <w:spacing w:line="235" w:lineRule="auto" w:before="202"/>
        <w:ind w:left="165" w:right="167"/>
        <w:jc w:val="both"/>
      </w:pPr>
      <w:r>
        <w:rPr/>
        <w:t>The</w:t>
      </w:r>
      <w:r>
        <w:rPr>
          <w:spacing w:val="-2"/>
        </w:rPr>
        <w:t> </w:t>
      </w:r>
      <w:r>
        <w:rPr/>
        <w:t>third</w:t>
      </w:r>
      <w:r>
        <w:rPr>
          <w:spacing w:val="-2"/>
        </w:rPr>
        <w:t> </w:t>
      </w:r>
      <w:r>
        <w:rPr/>
        <w:t>sentence</w:t>
      </w:r>
      <w:r>
        <w:rPr>
          <w:spacing w:val="-2"/>
        </w:rPr>
        <w:t> </w:t>
      </w:r>
      <w:r>
        <w:rPr/>
        <w:t>of</w:t>
      </w:r>
      <w:r>
        <w:rPr>
          <w:spacing w:val="-2"/>
        </w:rPr>
        <w:t> </w:t>
      </w:r>
      <w:r>
        <w:rPr/>
        <w:t>art.3(1)</w:t>
      </w:r>
      <w:r>
        <w:rPr>
          <w:spacing w:val="-2"/>
        </w:rPr>
        <w:t> </w:t>
      </w:r>
      <w:r>
        <w:rPr/>
        <w:t>provides</w:t>
      </w:r>
      <w:r>
        <w:rPr>
          <w:spacing w:val="-2"/>
        </w:rPr>
        <w:t> </w:t>
      </w:r>
      <w:r>
        <w:rPr/>
        <w:t>that</w:t>
      </w:r>
      <w:r>
        <w:rPr>
          <w:spacing w:val="-2"/>
        </w:rPr>
        <w:t> </w:t>
      </w:r>
      <w:r>
        <w:rPr/>
        <w:t>by</w:t>
      </w:r>
      <w:r>
        <w:rPr>
          <w:spacing w:val="-2"/>
        </w:rPr>
        <w:t> </w:t>
      </w:r>
      <w:r>
        <w:rPr/>
        <w:t>“their</w:t>
      </w:r>
      <w:r>
        <w:rPr>
          <w:spacing w:val="-2"/>
        </w:rPr>
        <w:t> </w:t>
      </w:r>
      <w:r>
        <w:rPr/>
        <w:t>choice</w:t>
      </w:r>
      <w:r>
        <w:rPr>
          <w:spacing w:val="-2"/>
        </w:rPr>
        <w:t> </w:t>
      </w:r>
      <w:r>
        <w:rPr/>
        <w:t>the</w:t>
      </w:r>
      <w:r>
        <w:rPr>
          <w:spacing w:val="-2"/>
        </w:rPr>
        <w:t> </w:t>
      </w:r>
      <w:r>
        <w:rPr/>
        <w:t>parties</w:t>
      </w:r>
      <w:r>
        <w:rPr>
          <w:spacing w:val="-2"/>
        </w:rPr>
        <w:t> </w:t>
      </w:r>
      <w:r>
        <w:rPr/>
        <w:t>can</w:t>
      </w:r>
      <w:r>
        <w:rPr>
          <w:spacing w:val="-2"/>
        </w:rPr>
        <w:t> </w:t>
      </w:r>
      <w:r>
        <w:rPr/>
        <w:t>select</w:t>
      </w:r>
      <w:r>
        <w:rPr>
          <w:spacing w:val="-2"/>
        </w:rPr>
        <w:t> </w:t>
      </w:r>
      <w:r>
        <w:rPr/>
        <w:t>the</w:t>
      </w:r>
      <w:r>
        <w:rPr>
          <w:spacing w:val="-2"/>
        </w:rPr>
        <w:t> </w:t>
      </w:r>
      <w:r>
        <w:rPr/>
        <w:t>law</w:t>
      </w:r>
      <w:r>
        <w:rPr>
          <w:spacing w:val="-2"/>
        </w:rPr>
        <w:t> </w:t>
      </w:r>
      <w:r>
        <w:rPr/>
        <w:t>applicable</w:t>
      </w:r>
      <w:r>
        <w:rPr>
          <w:spacing w:val="-2"/>
        </w:rPr>
        <w:t> </w:t>
      </w:r>
      <w:r>
        <w:rPr/>
        <w:t>to </w:t>
      </w:r>
      <w:bookmarkStart w:name="_bookmark1410" w:id="1412"/>
      <w:bookmarkEnd w:id="1412"/>
      <w:r>
        <w:rPr/>
        <w:t>the</w:t>
      </w:r>
      <w:r>
        <w:rPr/>
        <w:t> whole or a part only of the contract”. This repeats the equivalent provision of the </w:t>
      </w:r>
      <w:r>
        <w:rPr/>
        <w:t>Rome Convention, discussed earlier in this chapter. </w:t>
      </w:r>
      <w:r>
        <w:rPr>
          <w:color w:val="005DA1"/>
          <w:u w:val="single" w:color="005DA1"/>
          <w:vertAlign w:val="superscript"/>
        </w:rPr>
        <w:t>749</w:t>
      </w:r>
    </w:p>
    <w:p>
      <w:pPr>
        <w:pStyle w:val="BodyText"/>
      </w:pPr>
    </w:p>
    <w:p>
      <w:pPr>
        <w:pStyle w:val="BodyText"/>
        <w:spacing w:before="38"/>
      </w:pPr>
    </w:p>
    <w:p>
      <w:pPr>
        <w:spacing w:before="0"/>
        <w:ind w:left="165" w:right="0" w:firstLine="0"/>
        <w:jc w:val="left"/>
        <w:rPr>
          <w:rFonts w:ascii="Arial"/>
          <w:b/>
          <w:sz w:val="18"/>
        </w:rPr>
      </w:pPr>
      <w:r>
        <w:rPr>
          <w:rFonts w:ascii="Arial"/>
          <w:b/>
          <w:sz w:val="18"/>
        </w:rPr>
        <w:t>Changing the </w:t>
      </w:r>
      <w:r>
        <w:rPr>
          <w:rFonts w:ascii="Arial"/>
          <w:b/>
          <w:spacing w:val="-2"/>
          <w:sz w:val="18"/>
        </w:rPr>
        <w:t>choice</w:t>
      </w:r>
    </w:p>
    <w:p>
      <w:pPr>
        <w:pStyle w:val="BodyText"/>
        <w:spacing w:before="41"/>
        <w:rPr>
          <w:rFonts w:ascii="Arial"/>
          <w:b/>
          <w:sz w:val="18"/>
        </w:rPr>
      </w:pPr>
    </w:p>
    <w:p>
      <w:pPr>
        <w:pStyle w:val="Heading2"/>
      </w:pPr>
      <w:r>
        <w:rPr/>
        <w:t>30-</w:t>
      </w:r>
      <w:r>
        <w:rPr>
          <w:spacing w:val="-5"/>
        </w:rPr>
        <w:t>175</w:t>
      </w:r>
    </w:p>
    <w:p>
      <w:pPr>
        <w:pStyle w:val="BodyText"/>
        <w:spacing w:before="199"/>
        <w:ind w:left="165"/>
        <w:jc w:val="both"/>
      </w:pPr>
      <w:r>
        <w:rPr/>
        <w:t>Article 3(2) of the Regulation provides that </w:t>
      </w:r>
      <w:r>
        <w:rPr>
          <w:spacing w:val="-4"/>
        </w:rPr>
        <w:t>the:</w:t>
      </w:r>
    </w:p>
    <w:p>
      <w:pPr>
        <w:pStyle w:val="BodyText"/>
      </w:pPr>
    </w:p>
    <w:p>
      <w:pPr>
        <w:pStyle w:val="BodyText"/>
        <w:spacing w:before="125"/>
      </w:pPr>
    </w:p>
    <w:p>
      <w:pPr>
        <w:pStyle w:val="BodyText"/>
        <w:spacing w:line="235" w:lineRule="auto" w:before="1"/>
        <w:ind w:left="1245" w:right="167"/>
        <w:jc w:val="both"/>
      </w:pPr>
      <w:r>
        <w:rPr/>
        <w:t>“… parties may at any time agree to subject the contract to a law other than that </w:t>
      </w:r>
      <w:r>
        <w:rPr/>
        <w:t>which previously governed it, whether as a result of an earlier choice under this Article or of other provisions of this Regulation. Any change in the law to be applied that is made after the conclusion of the contract shall not prejudice its formal validity under Article 11 or adversely affect the rights of third parties.”</w:t>
      </w:r>
    </w:p>
    <w:p>
      <w:pPr>
        <w:pStyle w:val="BodyText"/>
        <w:spacing w:before="114"/>
      </w:pPr>
    </w:p>
    <w:p>
      <w:pPr>
        <w:pStyle w:val="BodyText"/>
        <w:spacing w:line="235" w:lineRule="auto" w:before="1"/>
        <w:ind w:left="165" w:right="167"/>
        <w:jc w:val="both"/>
      </w:pPr>
      <w:bookmarkStart w:name="_bookmark1411" w:id="1413"/>
      <w:bookmarkEnd w:id="1413"/>
      <w:r>
        <w:rPr/>
      </w:r>
      <w:r>
        <w:rPr/>
        <w:t>This (with minor differences of wording which have no substantive effect) reproduces art.3(2) of </w:t>
      </w:r>
      <w:r>
        <w:rPr/>
        <w:t>the Rome Convention, discussed earlier in this chapter. </w:t>
      </w:r>
      <w:r>
        <w:rPr>
          <w:color w:val="005DA1"/>
          <w:u w:val="single" w:color="005DA1"/>
          <w:vertAlign w:val="superscript"/>
        </w:rPr>
        <w:t>750</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Limitations on </w:t>
      </w:r>
      <w:r>
        <w:rPr>
          <w:rFonts w:ascii="Arial"/>
          <w:b/>
          <w:spacing w:val="-2"/>
          <w:sz w:val="18"/>
        </w:rPr>
        <w:t>choice</w:t>
      </w:r>
    </w:p>
    <w:p>
      <w:pPr>
        <w:pStyle w:val="BodyText"/>
        <w:spacing w:before="41"/>
        <w:rPr>
          <w:rFonts w:ascii="Arial"/>
          <w:b/>
          <w:sz w:val="18"/>
        </w:rPr>
      </w:pPr>
    </w:p>
    <w:p>
      <w:pPr>
        <w:pStyle w:val="Heading2"/>
      </w:pPr>
      <w:r>
        <w:rPr/>
        <w:t>30-</w:t>
      </w:r>
      <w:r>
        <w:rPr>
          <w:spacing w:val="-5"/>
        </w:rPr>
        <w:t>176</w:t>
      </w:r>
    </w:p>
    <w:p>
      <w:pPr>
        <w:pStyle w:val="BodyText"/>
        <w:spacing w:line="235" w:lineRule="auto" w:before="203"/>
        <w:ind w:left="165" w:right="167"/>
        <w:jc w:val="both"/>
      </w:pPr>
      <w:bookmarkStart w:name="_bookmark1412" w:id="1414"/>
      <w:bookmarkEnd w:id="1414"/>
      <w:r>
        <w:rPr/>
      </w:r>
      <w:r>
        <w:rPr/>
        <w:t>Article 3 of the Rome I Regulation specifies two circumstances in which the effect of a choice of law</w:t>
      </w:r>
      <w:r>
        <w:rPr>
          <w:spacing w:val="40"/>
        </w:rPr>
        <w:t> </w:t>
      </w:r>
      <w:bookmarkStart w:name="_bookmark1413" w:id="1415"/>
      <w:bookmarkEnd w:id="1415"/>
      <w:r>
        <w:rPr/>
        <w:t>by</w:t>
      </w:r>
      <w:r>
        <w:rPr/>
        <w:t> the parties may be limited. The first, reflecting art.3(3) of the Rome Convention </w:t>
      </w:r>
      <w:r>
        <w:rPr>
          <w:color w:val="005DA1"/>
          <w:u w:val="single" w:color="005DA1"/>
          <w:vertAlign w:val="superscript"/>
        </w:rPr>
        <w:t>751</w:t>
      </w:r>
      <w:r>
        <w:rPr>
          <w:color w:val="005DA1"/>
          <w:vertAlign w:val="baseline"/>
        </w:rPr>
        <w:t> </w:t>
      </w:r>
      <w:r>
        <w:rPr>
          <w:vertAlign w:val="baseline"/>
        </w:rPr>
        <w:t>(but differently worded),</w:t>
      </w:r>
      <w:r>
        <w:rPr>
          <w:spacing w:val="-2"/>
          <w:vertAlign w:val="baseline"/>
        </w:rPr>
        <w:t> </w:t>
      </w:r>
      <w:r>
        <w:rPr>
          <w:vertAlign w:val="baseline"/>
        </w:rPr>
        <w:t>limits</w:t>
      </w:r>
      <w:r>
        <w:rPr>
          <w:spacing w:val="-2"/>
          <w:vertAlign w:val="baseline"/>
        </w:rPr>
        <w:t> </w:t>
      </w:r>
      <w:r>
        <w:rPr>
          <w:vertAlign w:val="baseline"/>
        </w:rPr>
        <w:t>the</w:t>
      </w:r>
      <w:r>
        <w:rPr>
          <w:spacing w:val="-2"/>
          <w:vertAlign w:val="baseline"/>
        </w:rPr>
        <w:t> </w:t>
      </w:r>
      <w:r>
        <w:rPr>
          <w:vertAlign w:val="baseline"/>
        </w:rPr>
        <w:t>effect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choice</w:t>
      </w:r>
      <w:r>
        <w:rPr>
          <w:spacing w:val="-2"/>
          <w:vertAlign w:val="baseline"/>
        </w:rPr>
        <w:t> </w:t>
      </w:r>
      <w:r>
        <w:rPr>
          <w:vertAlign w:val="baseline"/>
        </w:rPr>
        <w:t>in</w:t>
      </w:r>
      <w:r>
        <w:rPr>
          <w:spacing w:val="-2"/>
          <w:vertAlign w:val="baseline"/>
        </w:rPr>
        <w:t> </w:t>
      </w:r>
      <w:r>
        <w:rPr>
          <w:vertAlign w:val="baseline"/>
        </w:rPr>
        <w:t>what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described</w:t>
      </w:r>
      <w:r>
        <w:rPr>
          <w:spacing w:val="-2"/>
          <w:vertAlign w:val="baseline"/>
        </w:rPr>
        <w:t> </w:t>
      </w:r>
      <w:r>
        <w:rPr>
          <w:vertAlign w:val="baseline"/>
        </w:rPr>
        <w:t>as</w:t>
      </w:r>
      <w:r>
        <w:rPr>
          <w:spacing w:val="-2"/>
          <w:vertAlign w:val="baseline"/>
        </w:rPr>
        <w:t> </w:t>
      </w:r>
      <w:r>
        <w:rPr>
          <w:vertAlign w:val="baseline"/>
        </w:rPr>
        <w:t>“internal</w:t>
      </w:r>
      <w:r>
        <w:rPr>
          <w:spacing w:val="-2"/>
          <w:vertAlign w:val="baseline"/>
        </w:rPr>
        <w:t> </w:t>
      </w:r>
      <w:r>
        <w:rPr>
          <w:vertAlign w:val="baseline"/>
        </w:rPr>
        <w:t>situations”.</w:t>
      </w:r>
      <w:r>
        <w:rPr>
          <w:spacing w:val="-3"/>
          <w:vertAlign w:val="baseline"/>
        </w:rPr>
        <w:t> </w:t>
      </w:r>
      <w:r>
        <w:rPr>
          <w:color w:val="005DA1"/>
          <w:u w:val="single" w:color="005DA1"/>
          <w:vertAlign w:val="superscript"/>
        </w:rPr>
        <w:t>752</w:t>
      </w:r>
      <w:r>
        <w:rPr>
          <w:color w:val="005DA1"/>
          <w:spacing w:val="-2"/>
          <w:vertAlign w:val="baseline"/>
        </w:rPr>
        <w:t> </w:t>
      </w:r>
      <w:r>
        <w:rPr>
          <w:vertAlign w:val="baseline"/>
        </w:rPr>
        <w:t>The</w:t>
      </w:r>
      <w:r>
        <w:rPr>
          <w:spacing w:val="-2"/>
          <w:vertAlign w:val="baseline"/>
        </w:rPr>
        <w:t> </w:t>
      </w:r>
      <w:r>
        <w:rPr>
          <w:vertAlign w:val="baseline"/>
        </w:rPr>
        <w:t>second, </w:t>
      </w:r>
      <w:bookmarkStart w:name="_bookmark1414" w:id="1416"/>
      <w:bookmarkEnd w:id="1416"/>
      <w:r>
        <w:rPr>
          <w:vertAlign w:val="baseline"/>
        </w:rPr>
        <w:t>which</w:t>
      </w:r>
      <w:r>
        <w:rPr>
          <w:vertAlign w:val="baseline"/>
        </w:rPr>
        <w:t> has no counterpart in the Rome Convention limits the effect of the choice by reference to </w:t>
      </w:r>
      <w:bookmarkStart w:name="_bookmark1415" w:id="1417"/>
      <w:bookmarkEnd w:id="1417"/>
      <w:r>
        <w:rPr>
          <w:vertAlign w:val="baseline"/>
        </w:rPr>
        <w:t>certain</w:t>
      </w:r>
      <w:r>
        <w:rPr>
          <w:vertAlign w:val="baseline"/>
        </w:rPr>
        <w:t> provisions of Community law. </w:t>
      </w:r>
      <w:r>
        <w:rPr>
          <w:color w:val="005DA1"/>
          <w:u w:val="single" w:color="005DA1"/>
          <w:vertAlign w:val="superscript"/>
        </w:rPr>
        <w:t>753</w:t>
      </w:r>
      <w:r>
        <w:rPr>
          <w:color w:val="005DA1"/>
          <w:vertAlign w:val="baseline"/>
        </w:rPr>
        <w:t> </w:t>
      </w:r>
      <w:r>
        <w:rPr>
          <w:vertAlign w:val="baseline"/>
        </w:rPr>
        <w:t>Additionally, the effect of a choice may be limited by “overriding mandatory provisions” </w:t>
      </w:r>
      <w:r>
        <w:rPr>
          <w:color w:val="005DA1"/>
          <w:u w:val="single" w:color="005DA1"/>
          <w:vertAlign w:val="superscript"/>
        </w:rPr>
        <w:t>754</w:t>
      </w:r>
      <w:r>
        <w:rPr>
          <w:color w:val="005DA1"/>
          <w:vertAlign w:val="baseline"/>
        </w:rPr>
        <w:t> </w:t>
      </w:r>
      <w:r>
        <w:rPr>
          <w:vertAlign w:val="baseline"/>
        </w:rPr>
        <w:t>and by reference to public policy. </w:t>
      </w:r>
      <w:r>
        <w:rPr>
          <w:color w:val="005DA1"/>
          <w:u w:val="single" w:color="005DA1"/>
          <w:vertAlign w:val="superscript"/>
        </w:rPr>
        <w:t>755</w:t>
      </w:r>
    </w:p>
    <w:p>
      <w:pPr>
        <w:pStyle w:val="BodyText"/>
      </w:pPr>
    </w:p>
    <w:p>
      <w:pPr>
        <w:pStyle w:val="BodyText"/>
        <w:spacing w:before="36"/>
      </w:pPr>
    </w:p>
    <w:p>
      <w:pPr>
        <w:spacing w:before="0"/>
        <w:ind w:left="165" w:right="0" w:firstLine="0"/>
        <w:jc w:val="left"/>
        <w:rPr>
          <w:rFonts w:ascii="Arial"/>
          <w:b/>
          <w:sz w:val="18"/>
        </w:rPr>
      </w:pPr>
      <w:r>
        <w:rPr>
          <w:rFonts w:ascii="Arial"/>
          <w:b/>
          <w:sz w:val="18"/>
        </w:rPr>
        <w:t>Article 3(3): internal </w:t>
      </w:r>
      <w:r>
        <w:rPr>
          <w:rFonts w:ascii="Arial"/>
          <w:b/>
          <w:spacing w:val="-2"/>
          <w:sz w:val="18"/>
        </w:rPr>
        <w:t>situations</w:t>
      </w:r>
    </w:p>
    <w:p>
      <w:pPr>
        <w:pStyle w:val="BodyText"/>
        <w:spacing w:before="41"/>
        <w:rPr>
          <w:rFonts w:ascii="Arial"/>
          <w:b/>
          <w:sz w:val="18"/>
        </w:rPr>
      </w:pPr>
    </w:p>
    <w:p>
      <w:pPr>
        <w:pStyle w:val="Heading2"/>
        <w:spacing w:before="1"/>
      </w:pPr>
      <w:r>
        <w:rPr/>
        <w:t>30-</w:t>
      </w:r>
      <w:r>
        <w:rPr>
          <w:spacing w:val="-5"/>
        </w:rPr>
        <w:t>177</w:t>
      </w:r>
    </w:p>
    <w:p>
      <w:pPr>
        <w:pStyle w:val="BodyText"/>
        <w:spacing w:before="198"/>
        <w:ind w:left="165"/>
        <w:jc w:val="both"/>
      </w:pPr>
      <w:r>
        <w:rPr/>
        <w:t>Article 3(3) of the Regulation provides </w:t>
      </w:r>
      <w:r>
        <w:rPr>
          <w:spacing w:val="-2"/>
        </w:rPr>
        <w:t>that:</w:t>
      </w:r>
    </w:p>
    <w:p>
      <w:pPr>
        <w:pStyle w:val="BodyText"/>
      </w:pPr>
    </w:p>
    <w:p>
      <w:pPr>
        <w:pStyle w:val="BodyText"/>
        <w:spacing w:before="126"/>
      </w:pPr>
    </w:p>
    <w:p>
      <w:pPr>
        <w:pStyle w:val="BodyText"/>
        <w:spacing w:line="235" w:lineRule="auto"/>
        <w:ind w:left="1245" w:right="167"/>
        <w:jc w:val="both"/>
      </w:pPr>
      <w:r>
        <w:rPr/>
        <w:t>“… where all other elements relevant to the situation at the time of the choice are </w:t>
      </w:r>
      <w:r>
        <w:rPr/>
        <w:t>located in a country other than a country whose law has been chosen, the choice of the parties shall not prejudice the application of provisions of the law of that country which cannot be derogated from by agreement.”</w:t>
      </w:r>
    </w:p>
    <w:p>
      <w:pPr>
        <w:pStyle w:val="BodyText"/>
        <w:spacing w:before="115"/>
      </w:pPr>
    </w:p>
    <w:p>
      <w:pPr>
        <w:pStyle w:val="BodyText"/>
        <w:spacing w:line="235" w:lineRule="auto"/>
        <w:ind w:left="165" w:right="167"/>
        <w:jc w:val="both"/>
      </w:pPr>
      <w:bookmarkStart w:name="_bookmark1416" w:id="1418"/>
      <w:bookmarkEnd w:id="1418"/>
      <w:r>
        <w:rPr/>
      </w:r>
      <w:r>
        <w:rPr/>
        <w:t>The change of wording from that adopted in the Rome Convention is, apparently, designed to bring the language into line, as far as possible, with art.14(2) </w:t>
      </w:r>
      <w:r>
        <w:rPr>
          <w:color w:val="005DA1"/>
          <w:u w:val="single" w:color="005DA1"/>
          <w:vertAlign w:val="superscript"/>
        </w:rPr>
        <w:t>756</w:t>
      </w:r>
      <w:r>
        <w:rPr>
          <w:color w:val="005DA1"/>
          <w:vertAlign w:val="baseline"/>
        </w:rPr>
        <w:t> </w:t>
      </w:r>
      <w:r>
        <w:rPr>
          <w:vertAlign w:val="baseline"/>
        </w:rPr>
        <w:t>of the Rome II Regulation, art.14 of which </w:t>
      </w:r>
      <w:bookmarkStart w:name="_bookmark1417" w:id="1419"/>
      <w:bookmarkEnd w:id="1419"/>
      <w:r>
        <w:rPr>
          <w:vertAlign w:val="baseline"/>
        </w:rPr>
        <w:t>allows</w:t>
      </w:r>
      <w:r>
        <w:rPr>
          <w:vertAlign w:val="baseline"/>
        </w:rPr>
        <w:t> the parties, in certain circumstances, to choose the law applicable to certain non-</w:t>
      </w:r>
      <w:r>
        <w:rPr>
          <w:vertAlign w:val="baseline"/>
        </w:rPr>
        <w:t>contractual obligations.</w:t>
      </w:r>
      <w:r>
        <w:rPr>
          <w:spacing w:val="-2"/>
          <w:vertAlign w:val="baseline"/>
        </w:rPr>
        <w:t> </w:t>
      </w:r>
      <w:r>
        <w:rPr>
          <w:color w:val="005DA1"/>
          <w:u w:val="single" w:color="005DA1"/>
          <w:vertAlign w:val="superscript"/>
        </w:rPr>
        <w:t>757</w:t>
      </w:r>
      <w:r>
        <w:rPr>
          <w:color w:val="005DA1"/>
          <w:spacing w:val="-2"/>
          <w:vertAlign w:val="baseline"/>
        </w:rPr>
        <w:t> </w:t>
      </w:r>
      <w:r>
        <w:rPr>
          <w:vertAlign w:val="baseline"/>
        </w:rPr>
        <w:t>According</w:t>
      </w:r>
      <w:r>
        <w:rPr>
          <w:spacing w:val="-2"/>
          <w:vertAlign w:val="baseline"/>
        </w:rPr>
        <w:t> </w:t>
      </w:r>
      <w:r>
        <w:rPr>
          <w:vertAlign w:val="baseline"/>
        </w:rPr>
        <w:t>to</w:t>
      </w:r>
      <w:r>
        <w:rPr>
          <w:spacing w:val="-2"/>
          <w:vertAlign w:val="baseline"/>
        </w:rPr>
        <w:t> </w:t>
      </w:r>
      <w:r>
        <w:rPr>
          <w:vertAlign w:val="baseline"/>
        </w:rPr>
        <w:t>Recital</w:t>
      </w:r>
      <w:r>
        <w:rPr>
          <w:spacing w:val="-2"/>
          <w:vertAlign w:val="baseline"/>
        </w:rPr>
        <w:t> </w:t>
      </w:r>
      <w:r>
        <w:rPr>
          <w:vertAlign w:val="baseline"/>
        </w:rPr>
        <w:t>15</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Regulation,</w:t>
      </w:r>
      <w:r>
        <w:rPr>
          <w:spacing w:val="-2"/>
          <w:vertAlign w:val="baseline"/>
        </w:rPr>
        <w:t> </w:t>
      </w:r>
      <w:r>
        <w:rPr>
          <w:vertAlign w:val="baseline"/>
        </w:rPr>
        <w:t>the</w:t>
      </w:r>
      <w:r>
        <w:rPr>
          <w:spacing w:val="-2"/>
          <w:vertAlign w:val="baseline"/>
        </w:rPr>
        <w:t> </w:t>
      </w:r>
      <w:r>
        <w:rPr>
          <w:vertAlign w:val="baseline"/>
        </w:rPr>
        <w:t>rule</w:t>
      </w:r>
      <w:r>
        <w:rPr>
          <w:spacing w:val="-2"/>
          <w:vertAlign w:val="baseline"/>
        </w:rPr>
        <w:t> </w:t>
      </w:r>
      <w:r>
        <w:rPr>
          <w:vertAlign w:val="baseline"/>
        </w:rPr>
        <w:t>in</w:t>
      </w:r>
      <w:r>
        <w:rPr>
          <w:spacing w:val="-2"/>
          <w:vertAlign w:val="baseline"/>
        </w:rPr>
        <w:t> </w:t>
      </w:r>
      <w:r>
        <w:rPr>
          <w:vertAlign w:val="baseline"/>
        </w:rPr>
        <w:t>art.3(3)</w:t>
      </w:r>
      <w:r>
        <w:rPr>
          <w:spacing w:val="-2"/>
          <w:vertAlign w:val="baseline"/>
        </w:rPr>
        <w:t> </w:t>
      </w:r>
      <w:r>
        <w:rPr>
          <w:vertAlign w:val="baseline"/>
        </w:rPr>
        <w:t>applies</w:t>
      </w:r>
      <w:r>
        <w:rPr>
          <w:spacing w:val="-2"/>
          <w:vertAlign w:val="baseline"/>
        </w:rPr>
        <w:t> </w:t>
      </w:r>
      <w:r>
        <w:rPr>
          <w:vertAlign w:val="baseline"/>
        </w:rPr>
        <w:t>whether</w:t>
      </w:r>
      <w:r>
        <w:rPr>
          <w:spacing w:val="-2"/>
          <w:vertAlign w:val="baseline"/>
        </w:rPr>
        <w:t> </w:t>
      </w:r>
      <w:r>
        <w:rPr>
          <w:vertAlign w:val="baseline"/>
        </w:rPr>
        <w:t>or</w:t>
      </w:r>
      <w:r>
        <w:rPr>
          <w:spacing w:val="-2"/>
          <w:vertAlign w:val="baseline"/>
        </w:rPr>
        <w:t> </w:t>
      </w:r>
      <w:r>
        <w:rPr>
          <w:vertAlign w:val="baseline"/>
        </w:rPr>
        <w:t>not</w:t>
      </w:r>
      <w:r>
        <w:rPr>
          <w:spacing w:val="-2"/>
          <w:vertAlign w:val="baseline"/>
        </w:rPr>
        <w:t> </w:t>
      </w:r>
      <w:r>
        <w:rPr>
          <w:vertAlign w:val="baseline"/>
        </w:rPr>
        <w:t>the choice of law was accompanied by a choice of court or tribunal and the revised wording is not </w:t>
      </w:r>
      <w:bookmarkStart w:name="_bookmark1418" w:id="1420"/>
      <w:bookmarkEnd w:id="1420"/>
      <w:r>
        <w:rPr>
          <w:vertAlign w:val="baseline"/>
        </w:rPr>
        <w:t>intended</w:t>
      </w:r>
      <w:r>
        <w:rPr>
          <w:vertAlign w:val="baseline"/>
        </w:rPr>
        <w:t> to indicate any substantial change, compared with art.3(3) of the Rome Convention, as discussed earlier in this chapter. </w:t>
      </w:r>
      <w:r>
        <w:rPr>
          <w:color w:val="005DA1"/>
          <w:u w:val="single" w:color="005DA1"/>
          <w:vertAlign w:val="superscript"/>
        </w:rPr>
        <w:t>758</w:t>
      </w:r>
    </w:p>
    <w:p>
      <w:pPr>
        <w:pStyle w:val="BodyText"/>
      </w:pPr>
    </w:p>
    <w:p>
      <w:pPr>
        <w:pStyle w:val="BodyText"/>
        <w:spacing w:before="36"/>
      </w:pPr>
    </w:p>
    <w:p>
      <w:pPr>
        <w:spacing w:before="0"/>
        <w:ind w:left="165" w:right="0" w:firstLine="0"/>
        <w:jc w:val="left"/>
        <w:rPr>
          <w:rFonts w:ascii="Arial"/>
          <w:b/>
          <w:sz w:val="18"/>
        </w:rPr>
      </w:pPr>
      <w:r>
        <w:rPr>
          <w:rFonts w:ascii="Arial"/>
          <w:b/>
          <w:sz w:val="18"/>
        </w:rPr>
        <w:t>Article 3(4): Community </w:t>
      </w:r>
      <w:r>
        <w:rPr>
          <w:rFonts w:ascii="Arial"/>
          <w:b/>
          <w:spacing w:val="-5"/>
          <w:sz w:val="18"/>
        </w:rPr>
        <w:t>law</w:t>
      </w:r>
    </w:p>
    <w:p>
      <w:pPr>
        <w:pStyle w:val="BodyText"/>
        <w:spacing w:before="41"/>
        <w:rPr>
          <w:rFonts w:ascii="Arial"/>
          <w:b/>
          <w:sz w:val="18"/>
        </w:rPr>
      </w:pPr>
    </w:p>
    <w:p>
      <w:pPr>
        <w:pStyle w:val="Heading2"/>
        <w:spacing w:before="1"/>
      </w:pPr>
      <w:r>
        <w:rPr/>
        <w:t>30-</w:t>
      </w:r>
      <w:r>
        <w:rPr>
          <w:spacing w:val="-5"/>
        </w:rPr>
        <w:t>178</w:t>
      </w:r>
    </w:p>
    <w:p>
      <w:pPr>
        <w:pStyle w:val="BodyText"/>
        <w:spacing w:before="198"/>
        <w:ind w:left="165"/>
        <w:jc w:val="both"/>
      </w:pPr>
      <w:r>
        <w:rPr/>
        <w:t>Article 3(4) stipulates that </w:t>
      </w:r>
      <w:r>
        <w:rPr>
          <w:spacing w:val="-2"/>
        </w:rPr>
        <w:t>where:</w:t>
      </w:r>
    </w:p>
    <w:p>
      <w:pPr>
        <w:pStyle w:val="BodyText"/>
      </w:pPr>
    </w:p>
    <w:p>
      <w:pPr>
        <w:pStyle w:val="BodyText"/>
        <w:spacing w:before="126"/>
      </w:pPr>
    </w:p>
    <w:p>
      <w:pPr>
        <w:pStyle w:val="BodyText"/>
        <w:spacing w:line="235" w:lineRule="auto"/>
        <w:ind w:left="1245" w:right="167"/>
        <w:jc w:val="both"/>
      </w:pPr>
      <w:r>
        <w:rPr/>
        <w:t>“… all other elements relevant to the situation at the time of the choice are located in </w:t>
      </w:r>
      <w:r>
        <w:rPr/>
        <w:t>one or more Member States, the parties’ choice of applicable law other than that of a Member State shall not prejudice the application of provisions of Community law, where appropriate, as implemented in the Member State of the forum, which cannot be derogated from by agreement.”</w:t>
      </w:r>
    </w:p>
    <w:p>
      <w:pPr>
        <w:pStyle w:val="BodyText"/>
        <w:spacing w:before="115"/>
      </w:pPr>
    </w:p>
    <w:p>
      <w:pPr>
        <w:pStyle w:val="BodyText"/>
        <w:spacing w:line="235" w:lineRule="auto"/>
        <w:ind w:left="165" w:right="167"/>
        <w:jc w:val="both"/>
      </w:pPr>
      <w:bookmarkStart w:name="_bookmark1419" w:id="1421"/>
      <w:bookmarkEnd w:id="1421"/>
      <w:r>
        <w:rPr/>
      </w:r>
      <w:r>
        <w:rPr/>
        <w:t>The effect of this provision is that where the elements relevant to the situation at the time of the</w:t>
      </w:r>
      <w:r>
        <w:rPr>
          <w:spacing w:val="40"/>
        </w:rPr>
        <w:t> </w:t>
      </w:r>
      <w:r>
        <w:rPr/>
        <w:t>choice </w:t>
      </w:r>
      <w:r>
        <w:rPr>
          <w:color w:val="005DA1"/>
          <w:u w:val="single" w:color="005DA1"/>
          <w:vertAlign w:val="superscript"/>
        </w:rPr>
        <w:t>759</w:t>
      </w:r>
      <w:r>
        <w:rPr>
          <w:color w:val="005DA1"/>
          <w:vertAlign w:val="baseline"/>
        </w:rPr>
        <w:t> </w:t>
      </w:r>
      <w:r>
        <w:rPr>
          <w:vertAlign w:val="baseline"/>
        </w:rPr>
        <w:t>are limited only to Member States, the English forum must apply mandatory provisions of </w:t>
      </w:r>
      <w:bookmarkStart w:name="_bookmark1420" w:id="1422"/>
      <w:bookmarkEnd w:id="1422"/>
      <w:r>
        <w:rPr>
          <w:vertAlign w:val="baseline"/>
        </w:rPr>
        <w:t>Community</w:t>
      </w:r>
      <w:r>
        <w:rPr>
          <w:vertAlign w:val="baseline"/>
        </w:rPr>
        <w:t> law, as implemented in the United Kingdom, where necessary, even if the contract is </w:t>
      </w:r>
      <w:bookmarkStart w:name="_bookmark1421" w:id="1423"/>
      <w:bookmarkEnd w:id="1423"/>
      <w:r>
        <w:rPr>
          <w:vertAlign w:val="baseline"/>
        </w:rPr>
        <w:t>governed</w:t>
      </w:r>
      <w:r>
        <w:rPr>
          <w:vertAlign w:val="baseline"/>
        </w:rPr>
        <w:t> by the law of a non-Member State. </w:t>
      </w:r>
      <w:r>
        <w:rPr>
          <w:color w:val="005DA1"/>
          <w:u w:val="single" w:color="005DA1"/>
          <w:vertAlign w:val="superscript"/>
        </w:rPr>
        <w:t>760</w:t>
      </w:r>
      <w:r>
        <w:rPr>
          <w:color w:val="005DA1"/>
          <w:vertAlign w:val="baseline"/>
        </w:rPr>
        <w:t> </w:t>
      </w:r>
      <w:r>
        <w:rPr>
          <w:vertAlign w:val="baseline"/>
        </w:rPr>
        <w:t>For the purposes of art.3(4) the term “Member </w:t>
      </w:r>
      <w:r>
        <w:rPr>
          <w:vertAlign w:val="baseline"/>
        </w:rPr>
        <w:t>State” means all the Member States, including Denmark. </w:t>
      </w:r>
      <w:r>
        <w:rPr>
          <w:color w:val="005DA1"/>
          <w:u w:val="single" w:color="005DA1"/>
          <w:vertAlign w:val="superscript"/>
        </w:rPr>
        <w:t>761</w:t>
      </w:r>
    </w:p>
    <w:p>
      <w:pPr>
        <w:pStyle w:val="BodyText"/>
      </w:pPr>
    </w:p>
    <w:p>
      <w:pPr>
        <w:pStyle w:val="BodyText"/>
        <w:spacing w:before="36"/>
      </w:pPr>
    </w:p>
    <w:p>
      <w:pPr>
        <w:spacing w:before="1"/>
        <w:ind w:left="165" w:right="0" w:firstLine="0"/>
        <w:jc w:val="left"/>
        <w:rPr>
          <w:rFonts w:ascii="Arial" w:hAnsi="Arial"/>
          <w:b/>
          <w:sz w:val="18"/>
        </w:rPr>
      </w:pPr>
      <w:r>
        <w:rPr>
          <w:rFonts w:ascii="Arial" w:hAnsi="Arial"/>
          <w:b/>
          <w:sz w:val="18"/>
        </w:rPr>
        <w:t>“Overriding mandatory </w:t>
      </w:r>
      <w:r>
        <w:rPr>
          <w:rFonts w:ascii="Arial" w:hAnsi="Arial"/>
          <w:b/>
          <w:spacing w:val="-2"/>
          <w:sz w:val="18"/>
        </w:rPr>
        <w:t>provisions”</w:t>
      </w:r>
    </w:p>
    <w:p>
      <w:pPr>
        <w:pStyle w:val="BodyText"/>
        <w:spacing w:before="41"/>
        <w:rPr>
          <w:rFonts w:ascii="Arial"/>
          <w:b/>
          <w:sz w:val="18"/>
        </w:rPr>
      </w:pPr>
    </w:p>
    <w:p>
      <w:pPr>
        <w:pStyle w:val="Heading2"/>
      </w:pPr>
      <w:r>
        <w:rPr/>
        <w:t>30-</w:t>
      </w:r>
      <w:r>
        <w:rPr>
          <w:spacing w:val="-5"/>
        </w:rPr>
        <w:t>179</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r>
        <w:rPr/>
        <w:t>Article 9 of the Regulation imposes two potential limitations on the effect of a choice of law </w:t>
      </w:r>
      <w:r>
        <w:rPr/>
        <w:t>by reference to “overriding mandatory provisions”. These are defined (or described) in art.9(1) as:</w:t>
      </w:r>
    </w:p>
    <w:p>
      <w:pPr>
        <w:pStyle w:val="BodyText"/>
      </w:pPr>
    </w:p>
    <w:p>
      <w:pPr>
        <w:pStyle w:val="BodyText"/>
        <w:spacing w:before="126"/>
      </w:pPr>
    </w:p>
    <w:p>
      <w:pPr>
        <w:pStyle w:val="BodyText"/>
        <w:spacing w:line="235" w:lineRule="auto"/>
        <w:ind w:left="1245" w:right="167"/>
        <w:jc w:val="both"/>
      </w:pPr>
      <w:r>
        <w:rPr/>
        <w:t>“… provisions the respect for which is regarded as crucial by a country for safeguarding its public interests such as its political, social or economic organisation, to such an </w:t>
      </w:r>
      <w:r>
        <w:rPr/>
        <w:t>extent that they are applicable to any situation falling within their scope, irrespective of the law otherwise applicable to the contract under this Regulation.”</w:t>
      </w:r>
    </w:p>
    <w:p>
      <w:pPr>
        <w:pStyle w:val="BodyText"/>
        <w:spacing w:before="115"/>
      </w:pPr>
    </w:p>
    <w:p>
      <w:pPr>
        <w:pStyle w:val="BodyText"/>
        <w:spacing w:line="235" w:lineRule="auto" w:before="1"/>
        <w:ind w:left="165" w:right="167"/>
        <w:jc w:val="both"/>
      </w:pPr>
      <w:bookmarkStart w:name="_bookmark1422" w:id="1424"/>
      <w:bookmarkEnd w:id="1424"/>
      <w:r>
        <w:rPr/>
      </w:r>
      <w:r>
        <w:rPr/>
        <w:t>It</w:t>
      </w:r>
      <w:r>
        <w:rPr>
          <w:spacing w:val="-1"/>
        </w:rPr>
        <w:t> </w:t>
      </w:r>
      <w:r>
        <w:rPr/>
        <w:t>will</w:t>
      </w:r>
      <w:r>
        <w:rPr>
          <w:spacing w:val="-1"/>
        </w:rPr>
        <w:t> </w:t>
      </w:r>
      <w:r>
        <w:rPr/>
        <w:t>be</w:t>
      </w:r>
      <w:r>
        <w:rPr>
          <w:spacing w:val="-1"/>
        </w:rPr>
        <w:t> </w:t>
      </w:r>
      <w:r>
        <w:rPr/>
        <w:t>noted</w:t>
      </w:r>
      <w:r>
        <w:rPr>
          <w:spacing w:val="-1"/>
        </w:rPr>
        <w:t> </w:t>
      </w:r>
      <w:r>
        <w:rPr/>
        <w:t>that</w:t>
      </w:r>
      <w:r>
        <w:rPr>
          <w:spacing w:val="-1"/>
        </w:rPr>
        <w:t> </w:t>
      </w:r>
      <w:r>
        <w:rPr/>
        <w:t>the</w:t>
      </w:r>
      <w:r>
        <w:rPr>
          <w:spacing w:val="-1"/>
        </w:rPr>
        <w:t> </w:t>
      </w:r>
      <w:r>
        <w:rPr/>
        <w:t>provisions</w:t>
      </w:r>
      <w:r>
        <w:rPr>
          <w:spacing w:val="-1"/>
        </w:rPr>
        <w:t> </w:t>
      </w:r>
      <w:r>
        <w:rPr/>
        <w:t>which</w:t>
      </w:r>
      <w:r>
        <w:rPr>
          <w:spacing w:val="-1"/>
        </w:rPr>
        <w:t> </w:t>
      </w:r>
      <w:r>
        <w:rPr/>
        <w:t>fall</w:t>
      </w:r>
      <w:r>
        <w:rPr>
          <w:spacing w:val="-1"/>
        </w:rPr>
        <w:t> </w:t>
      </w:r>
      <w:r>
        <w:rPr/>
        <w:t>within</w:t>
      </w:r>
      <w:r>
        <w:rPr>
          <w:spacing w:val="-1"/>
        </w:rPr>
        <w:t> </w:t>
      </w:r>
      <w:r>
        <w:rPr/>
        <w:t>art.9</w:t>
      </w:r>
      <w:r>
        <w:rPr>
          <w:spacing w:val="-1"/>
        </w:rPr>
        <w:t> </w:t>
      </w:r>
      <w:r>
        <w:rPr/>
        <w:t>must</w:t>
      </w:r>
      <w:r>
        <w:rPr>
          <w:spacing w:val="-1"/>
        </w:rPr>
        <w:t> </w:t>
      </w:r>
      <w:r>
        <w:rPr/>
        <w:t>be</w:t>
      </w:r>
      <w:r>
        <w:rPr>
          <w:spacing w:val="-1"/>
        </w:rPr>
        <w:t> </w:t>
      </w:r>
      <w:r>
        <w:rPr/>
        <w:t>provisions</w:t>
      </w:r>
      <w:r>
        <w:rPr>
          <w:spacing w:val="-1"/>
        </w:rPr>
        <w:t> </w:t>
      </w:r>
      <w:r>
        <w:rPr/>
        <w:t>which</w:t>
      </w:r>
      <w:r>
        <w:rPr>
          <w:spacing w:val="-1"/>
        </w:rPr>
        <w:t> </w:t>
      </w:r>
      <w:r>
        <w:rPr/>
        <w:t>apply</w:t>
      </w:r>
      <w:r>
        <w:rPr>
          <w:spacing w:val="-1"/>
        </w:rPr>
        <w:t> </w:t>
      </w:r>
      <w:r>
        <w:rPr/>
        <w:t>irrespective</w:t>
      </w:r>
      <w:r>
        <w:rPr>
          <w:spacing w:val="-1"/>
        </w:rPr>
        <w:t> </w:t>
      </w:r>
      <w:r>
        <w:rPr/>
        <w:t>of the law applicable to the contract. </w:t>
      </w:r>
      <w:r>
        <w:rPr>
          <w:color w:val="005DA1"/>
          <w:u w:val="single" w:color="005DA1"/>
          <w:vertAlign w:val="superscript"/>
        </w:rPr>
        <w:t>762</w:t>
      </w:r>
      <w:r>
        <w:rPr>
          <w:color w:val="005DA1"/>
          <w:vertAlign w:val="baseline"/>
        </w:rPr>
        <w:t> </w:t>
      </w:r>
      <w:r>
        <w:rPr>
          <w:vertAlign w:val="baseline"/>
        </w:rPr>
        <w:t>They must be distinguished from “provisions which cannot </w:t>
      </w:r>
      <w:r>
        <w:rPr>
          <w:vertAlign w:val="baseline"/>
        </w:rPr>
        <w:t>be </w:t>
      </w:r>
      <w:bookmarkStart w:name="_bookmark1423" w:id="1425"/>
      <w:bookmarkEnd w:id="1425"/>
      <w:r>
        <w:rPr>
          <w:vertAlign w:val="baseline"/>
        </w:rPr>
        <w:t>derogated</w:t>
      </w:r>
      <w:r>
        <w:rPr>
          <w:vertAlign w:val="baseline"/>
        </w:rPr>
        <w:t> from by agreement” referred to in art.3(3) and (4) and should be construed more restrictively. </w:t>
      </w:r>
      <w:r>
        <w:rPr>
          <w:color w:val="005DA1"/>
          <w:u w:val="single" w:color="005DA1"/>
          <w:vertAlign w:val="superscript"/>
        </w:rPr>
        <w:t>763</w:t>
      </w:r>
    </w:p>
    <w:p>
      <w:pPr>
        <w:pStyle w:val="BodyText"/>
      </w:pPr>
    </w:p>
    <w:p>
      <w:pPr>
        <w:pStyle w:val="BodyText"/>
        <w:spacing w:before="36"/>
      </w:pPr>
    </w:p>
    <w:p>
      <w:pPr>
        <w:spacing w:before="1"/>
        <w:ind w:left="165" w:right="0" w:firstLine="0"/>
        <w:jc w:val="left"/>
        <w:rPr>
          <w:rFonts w:ascii="Arial"/>
          <w:b/>
          <w:sz w:val="18"/>
        </w:rPr>
      </w:pPr>
      <w:r>
        <w:rPr>
          <w:rFonts w:ascii="Arial"/>
          <w:b/>
          <w:sz w:val="18"/>
        </w:rPr>
        <w:t>Overriding mandatory provisions: law of the </w:t>
      </w:r>
      <w:r>
        <w:rPr>
          <w:rFonts w:ascii="Arial"/>
          <w:b/>
          <w:spacing w:val="-2"/>
          <w:sz w:val="18"/>
        </w:rPr>
        <w:t>forum</w:t>
      </w:r>
    </w:p>
    <w:p>
      <w:pPr>
        <w:pStyle w:val="BodyText"/>
        <w:spacing w:before="41"/>
        <w:rPr>
          <w:rFonts w:ascii="Arial"/>
          <w:b/>
          <w:sz w:val="18"/>
        </w:rPr>
      </w:pPr>
    </w:p>
    <w:p>
      <w:pPr>
        <w:pStyle w:val="Heading2"/>
      </w:pPr>
      <w:r>
        <w:rPr/>
        <w:t>30-</w:t>
      </w:r>
      <w:r>
        <w:rPr>
          <w:spacing w:val="-5"/>
        </w:rPr>
        <w:t>180</w:t>
      </w:r>
    </w:p>
    <w:p>
      <w:pPr>
        <w:pStyle w:val="BodyText"/>
        <w:spacing w:line="235" w:lineRule="auto" w:before="203"/>
        <w:ind w:left="165" w:right="167"/>
        <w:jc w:val="both"/>
      </w:pPr>
      <w:r>
        <w:rPr/>
        <w:t>Article 9(2) of the Regulation stipulates that nothing “in this regulation shall restrict the application </w:t>
      </w:r>
      <w:r>
        <w:rPr/>
        <w:t>of the overriding mandatory provisions of the law of the forum”. This provision replicates, in effect, </w:t>
      </w:r>
      <w:bookmarkStart w:name="_bookmark1424" w:id="1426"/>
      <w:bookmarkEnd w:id="1426"/>
      <w:r>
        <w:rPr/>
        <w:t>though</w:t>
      </w:r>
      <w:r>
        <w:rPr/>
        <w:t> with different terminology, art.7(2) of the Rome Convention, as discussed earlier in this chapter. </w:t>
      </w:r>
      <w:r>
        <w:rPr>
          <w:color w:val="005DA1"/>
          <w:u w:val="single" w:color="005DA1"/>
          <w:vertAlign w:val="superscript"/>
        </w:rPr>
        <w:t>764</w:t>
      </w:r>
    </w:p>
    <w:p>
      <w:pPr>
        <w:pStyle w:val="BodyText"/>
      </w:pPr>
    </w:p>
    <w:p>
      <w:pPr>
        <w:pStyle w:val="BodyText"/>
        <w:spacing w:before="37"/>
      </w:pPr>
    </w:p>
    <w:p>
      <w:pPr>
        <w:spacing w:before="0"/>
        <w:ind w:left="165" w:right="0" w:firstLine="0"/>
        <w:jc w:val="left"/>
        <w:rPr>
          <w:rFonts w:ascii="Arial"/>
          <w:b/>
          <w:sz w:val="18"/>
        </w:rPr>
      </w:pPr>
      <w:r>
        <w:rPr>
          <w:rFonts w:ascii="Arial"/>
          <w:b/>
          <w:sz w:val="18"/>
        </w:rPr>
        <w:t>Overriding mandatory provisions: law of country of </w:t>
      </w:r>
      <w:r>
        <w:rPr>
          <w:rFonts w:ascii="Arial"/>
          <w:b/>
          <w:spacing w:val="-2"/>
          <w:sz w:val="18"/>
        </w:rPr>
        <w:t>performance</w:t>
      </w:r>
    </w:p>
    <w:p>
      <w:pPr>
        <w:pStyle w:val="BodyText"/>
        <w:spacing w:before="41"/>
        <w:rPr>
          <w:rFonts w:ascii="Arial"/>
          <w:b/>
          <w:sz w:val="18"/>
        </w:rPr>
      </w:pPr>
    </w:p>
    <w:p>
      <w:pPr>
        <w:pStyle w:val="Heading2"/>
      </w:pPr>
      <w:r>
        <w:rPr/>
        <w:t>30-</w:t>
      </w:r>
      <w:r>
        <w:rPr>
          <w:spacing w:val="-5"/>
        </w:rPr>
        <w:t>181</w:t>
      </w:r>
    </w:p>
    <w:p>
      <w:pPr>
        <w:pStyle w:val="BodyText"/>
        <w:spacing w:line="235" w:lineRule="auto" w:before="203"/>
        <w:ind w:left="165" w:right="167"/>
        <w:jc w:val="both"/>
      </w:pPr>
      <w:bookmarkStart w:name="_bookmark1425" w:id="1427"/>
      <w:bookmarkEnd w:id="1427"/>
      <w:r>
        <w:rPr/>
      </w:r>
      <w:r>
        <w:rPr/>
        <w:t>Article 9(3) of the Regulation contains a limited version of what was art.7(1) of the Rome Convention (which did not apply in the United Kingdom). </w:t>
      </w:r>
      <w:r>
        <w:rPr>
          <w:color w:val="005DA1"/>
          <w:u w:val="single" w:color="005DA1"/>
          <w:vertAlign w:val="superscript"/>
        </w:rPr>
        <w:t>765</w:t>
      </w:r>
      <w:r>
        <w:rPr>
          <w:color w:val="005DA1"/>
          <w:vertAlign w:val="baseline"/>
        </w:rPr>
        <w:t> </w:t>
      </w:r>
      <w:r>
        <w:rPr>
          <w:vertAlign w:val="baseline"/>
        </w:rPr>
        <w:t>It provides that effect:</w:t>
      </w:r>
    </w:p>
    <w:p>
      <w:pPr>
        <w:pStyle w:val="BodyText"/>
      </w:pPr>
    </w:p>
    <w:p>
      <w:pPr>
        <w:pStyle w:val="BodyText"/>
        <w:spacing w:before="126"/>
      </w:pPr>
    </w:p>
    <w:p>
      <w:pPr>
        <w:pStyle w:val="BodyText"/>
        <w:spacing w:line="235" w:lineRule="auto"/>
        <w:ind w:left="1245" w:right="167"/>
        <w:jc w:val="both"/>
      </w:pPr>
      <w:r>
        <w:rPr/>
        <w:t>“… may be given to the overriding mandatory provisions of the country where </w:t>
      </w:r>
      <w:r>
        <w:rPr/>
        <w:t>the obligations arising out of the contract have to be or have been performed, in so far as those</w:t>
      </w:r>
      <w:r>
        <w:rPr>
          <w:spacing w:val="-2"/>
        </w:rPr>
        <w:t> </w:t>
      </w:r>
      <w:r>
        <w:rPr/>
        <w:t>overriding</w:t>
      </w:r>
      <w:r>
        <w:rPr>
          <w:spacing w:val="-2"/>
        </w:rPr>
        <w:t> </w:t>
      </w:r>
      <w:r>
        <w:rPr/>
        <w:t>mandatory</w:t>
      </w:r>
      <w:r>
        <w:rPr>
          <w:spacing w:val="-2"/>
        </w:rPr>
        <w:t> </w:t>
      </w:r>
      <w:r>
        <w:rPr/>
        <w:t>provisions</w:t>
      </w:r>
      <w:r>
        <w:rPr>
          <w:spacing w:val="-2"/>
        </w:rPr>
        <w:t> </w:t>
      </w:r>
      <w:r>
        <w:rPr/>
        <w:t>render</w:t>
      </w:r>
      <w:r>
        <w:rPr>
          <w:spacing w:val="-2"/>
        </w:rPr>
        <w:t> </w:t>
      </w:r>
      <w:r>
        <w:rPr/>
        <w:t>the</w:t>
      </w:r>
      <w:r>
        <w:rPr>
          <w:spacing w:val="-2"/>
        </w:rPr>
        <w:t> </w:t>
      </w:r>
      <w:r>
        <w:rPr/>
        <w:t>performance</w:t>
      </w:r>
      <w:r>
        <w:rPr>
          <w:spacing w:val="-2"/>
        </w:rPr>
        <w:t> </w:t>
      </w:r>
      <w:r>
        <w:rPr/>
        <w:t>of</w:t>
      </w:r>
      <w:r>
        <w:rPr>
          <w:spacing w:val="-2"/>
        </w:rPr>
        <w:t> </w:t>
      </w:r>
      <w:r>
        <w:rPr/>
        <w:t>the</w:t>
      </w:r>
      <w:r>
        <w:rPr>
          <w:spacing w:val="-2"/>
        </w:rPr>
        <w:t> </w:t>
      </w:r>
      <w:r>
        <w:rPr/>
        <w:t>contract</w:t>
      </w:r>
      <w:r>
        <w:rPr>
          <w:spacing w:val="-2"/>
        </w:rPr>
        <w:t> </w:t>
      </w:r>
      <w:r>
        <w:rPr/>
        <w:t>unlawful.</w:t>
      </w:r>
      <w:r>
        <w:rPr>
          <w:spacing w:val="-2"/>
        </w:rPr>
        <w:t> </w:t>
      </w:r>
      <w:r>
        <w:rPr/>
        <w:t>In considering whether to give effect to those provisions, regard shall be had to their nature and purpose and to the consequences of their application or non-application.”</w:t>
      </w:r>
    </w:p>
    <w:p>
      <w:pPr>
        <w:pStyle w:val="BodyText"/>
        <w:spacing w:before="114"/>
      </w:pPr>
    </w:p>
    <w:p>
      <w:pPr>
        <w:pStyle w:val="BodyText"/>
        <w:spacing w:line="235" w:lineRule="auto" w:before="1"/>
        <w:ind w:left="165" w:right="167"/>
        <w:jc w:val="both"/>
      </w:pPr>
      <w:r>
        <w:rPr/>
        <w:t>Article 9(3) imposes a potential limitation on the effect of a choice of law by reference to </w:t>
      </w:r>
      <w:r>
        <w:rPr/>
        <w:t>overriding provisions</w:t>
      </w:r>
      <w:r>
        <w:rPr>
          <w:spacing w:val="-2"/>
        </w:rPr>
        <w:t> </w:t>
      </w:r>
      <w:r>
        <w:rPr/>
        <w:t>of</w:t>
      </w:r>
      <w:r>
        <w:rPr>
          <w:spacing w:val="-2"/>
        </w:rPr>
        <w:t> </w:t>
      </w:r>
      <w:r>
        <w:rPr/>
        <w:t>the</w:t>
      </w:r>
      <w:r>
        <w:rPr>
          <w:spacing w:val="-2"/>
        </w:rPr>
        <w:t> </w:t>
      </w:r>
      <w:r>
        <w:rPr/>
        <w:t>law</w:t>
      </w:r>
      <w:r>
        <w:rPr>
          <w:spacing w:val="-2"/>
        </w:rPr>
        <w:t> </w:t>
      </w:r>
      <w:r>
        <w:rPr/>
        <w:t>of</w:t>
      </w:r>
      <w:r>
        <w:rPr>
          <w:spacing w:val="-2"/>
        </w:rPr>
        <w:t> </w:t>
      </w:r>
      <w:r>
        <w:rPr/>
        <w:t>the</w:t>
      </w:r>
      <w:r>
        <w:rPr>
          <w:spacing w:val="-2"/>
        </w:rPr>
        <w:t> </w:t>
      </w:r>
      <w:r>
        <w:rPr/>
        <w:t>country</w:t>
      </w:r>
      <w:r>
        <w:rPr>
          <w:spacing w:val="-2"/>
        </w:rPr>
        <w:t> </w:t>
      </w:r>
      <w:r>
        <w:rPr/>
        <w:t>of</w:t>
      </w:r>
      <w:r>
        <w:rPr>
          <w:spacing w:val="-2"/>
        </w:rPr>
        <w:t> </w:t>
      </w:r>
      <w:r>
        <w:rPr/>
        <w:t>performance</w:t>
      </w:r>
      <w:r>
        <w:rPr>
          <w:spacing w:val="-2"/>
        </w:rPr>
        <w:t> </w:t>
      </w:r>
      <w:r>
        <w:rPr/>
        <w:t>where</w:t>
      </w:r>
      <w:r>
        <w:rPr>
          <w:spacing w:val="-2"/>
        </w:rPr>
        <w:t> </w:t>
      </w:r>
      <w:r>
        <w:rPr/>
        <w:t>a</w:t>
      </w:r>
      <w:r>
        <w:rPr>
          <w:spacing w:val="-2"/>
        </w:rPr>
        <w:t> </w:t>
      </w:r>
      <w:r>
        <w:rPr/>
        <w:t>contract,</w:t>
      </w:r>
      <w:r>
        <w:rPr>
          <w:spacing w:val="-2"/>
        </w:rPr>
        <w:t> </w:t>
      </w:r>
      <w:r>
        <w:rPr/>
        <w:t>valid</w:t>
      </w:r>
      <w:r>
        <w:rPr>
          <w:spacing w:val="-2"/>
        </w:rPr>
        <w:t> </w:t>
      </w:r>
      <w:r>
        <w:rPr/>
        <w:t>by</w:t>
      </w:r>
      <w:r>
        <w:rPr>
          <w:spacing w:val="-2"/>
        </w:rPr>
        <w:t> </w:t>
      </w:r>
      <w:r>
        <w:rPr/>
        <w:t>its</w:t>
      </w:r>
      <w:r>
        <w:rPr>
          <w:spacing w:val="-2"/>
        </w:rPr>
        <w:t> </w:t>
      </w:r>
      <w:r>
        <w:rPr/>
        <w:t>governing</w:t>
      </w:r>
      <w:r>
        <w:rPr>
          <w:spacing w:val="-2"/>
        </w:rPr>
        <w:t> </w:t>
      </w:r>
      <w:r>
        <w:rPr/>
        <w:t>law,</w:t>
      </w:r>
      <w:r>
        <w:rPr>
          <w:spacing w:val="-2"/>
        </w:rPr>
        <w:t> </w:t>
      </w:r>
      <w:r>
        <w:rPr/>
        <w:t>has</w:t>
      </w:r>
      <w:r>
        <w:rPr>
          <w:spacing w:val="-2"/>
        </w:rPr>
        <w:t> </w:t>
      </w:r>
      <w:r>
        <w:rPr/>
        <w:t>to be or has been performed in a country where such performance would be or was unlawful under that </w:t>
      </w:r>
      <w:bookmarkStart w:name="_bookmark1426" w:id="1428"/>
      <w:bookmarkEnd w:id="1428"/>
      <w:r>
        <w:rPr/>
        <w:t>country’s</w:t>
      </w:r>
      <w:r>
        <w:rPr>
          <w:spacing w:val="-3"/>
        </w:rPr>
        <w:t> </w:t>
      </w:r>
      <w:r>
        <w:rPr/>
        <w:t>law.</w:t>
      </w:r>
      <w:r>
        <w:rPr>
          <w:spacing w:val="-3"/>
        </w:rPr>
        <w:t> </w:t>
      </w:r>
      <w:r>
        <w:rPr/>
        <w:t>The</w:t>
      </w:r>
      <w:r>
        <w:rPr>
          <w:spacing w:val="-3"/>
        </w:rPr>
        <w:t> </w:t>
      </w:r>
      <w:r>
        <w:rPr/>
        <w:t>provision,</w:t>
      </w:r>
      <w:r>
        <w:rPr>
          <w:spacing w:val="-3"/>
        </w:rPr>
        <w:t> </w:t>
      </w:r>
      <w:r>
        <w:rPr/>
        <w:t>the</w:t>
      </w:r>
      <w:r>
        <w:rPr>
          <w:spacing w:val="-3"/>
        </w:rPr>
        <w:t> </w:t>
      </w:r>
      <w:r>
        <w:rPr/>
        <w:t>application</w:t>
      </w:r>
      <w:r>
        <w:rPr>
          <w:spacing w:val="-3"/>
        </w:rPr>
        <w:t> </w:t>
      </w:r>
      <w:r>
        <w:rPr/>
        <w:t>of</w:t>
      </w:r>
      <w:r>
        <w:rPr>
          <w:spacing w:val="-3"/>
        </w:rPr>
        <w:t> </w:t>
      </w:r>
      <w:r>
        <w:rPr/>
        <w:t>which</w:t>
      </w:r>
      <w:r>
        <w:rPr>
          <w:spacing w:val="-3"/>
        </w:rPr>
        <w:t> </w:t>
      </w:r>
      <w:r>
        <w:rPr/>
        <w:t>is</w:t>
      </w:r>
      <w:r>
        <w:rPr>
          <w:spacing w:val="-3"/>
        </w:rPr>
        <w:t> </w:t>
      </w:r>
      <w:r>
        <w:rPr/>
        <w:t>discretionary,</w:t>
      </w:r>
      <w:r>
        <w:rPr>
          <w:spacing w:val="-3"/>
        </w:rPr>
        <w:t> </w:t>
      </w:r>
      <w:r>
        <w:rPr/>
        <w:t>is</w:t>
      </w:r>
      <w:r>
        <w:rPr>
          <w:spacing w:val="-3"/>
        </w:rPr>
        <w:t> </w:t>
      </w:r>
      <w:r>
        <w:rPr/>
        <w:t>discussed</w:t>
      </w:r>
      <w:r>
        <w:rPr>
          <w:spacing w:val="-3"/>
        </w:rPr>
        <w:t> </w:t>
      </w:r>
      <w:r>
        <w:rPr/>
        <w:t>in</w:t>
      </w:r>
      <w:r>
        <w:rPr>
          <w:spacing w:val="-3"/>
        </w:rPr>
        <w:t> </w:t>
      </w:r>
      <w:r>
        <w:rPr/>
        <w:t>detail</w:t>
      </w:r>
      <w:r>
        <w:rPr>
          <w:spacing w:val="-3"/>
        </w:rPr>
        <w:t> </w:t>
      </w:r>
      <w:r>
        <w:rPr/>
        <w:t>later</w:t>
      </w:r>
      <w:r>
        <w:rPr>
          <w:spacing w:val="-3"/>
        </w:rPr>
        <w:t> </w:t>
      </w:r>
      <w:r>
        <w:rPr/>
        <w:t>in</w:t>
      </w:r>
      <w:r>
        <w:rPr>
          <w:spacing w:val="-3"/>
        </w:rPr>
        <w:t> </w:t>
      </w:r>
      <w:r>
        <w:rPr/>
        <w:t>this chapter. </w:t>
      </w:r>
      <w:r>
        <w:rPr>
          <w:color w:val="005DA1"/>
          <w:u w:val="single" w:color="005DA1"/>
          <w:vertAlign w:val="superscript"/>
        </w:rPr>
        <w:t>766</w:t>
      </w:r>
    </w:p>
    <w:p>
      <w:pPr>
        <w:pStyle w:val="BodyText"/>
      </w:pPr>
    </w:p>
    <w:p>
      <w:pPr>
        <w:pStyle w:val="BodyText"/>
        <w:spacing w:before="36"/>
      </w:pPr>
    </w:p>
    <w:p>
      <w:pPr>
        <w:spacing w:before="0"/>
        <w:ind w:left="165" w:right="0" w:firstLine="0"/>
        <w:jc w:val="left"/>
        <w:rPr>
          <w:rFonts w:ascii="Arial"/>
          <w:b/>
          <w:sz w:val="18"/>
        </w:rPr>
      </w:pPr>
      <w:r>
        <w:rPr>
          <w:rFonts w:ascii="Arial"/>
          <w:b/>
          <w:sz w:val="18"/>
        </w:rPr>
        <w:t>Public </w:t>
      </w:r>
      <w:r>
        <w:rPr>
          <w:rFonts w:ascii="Arial"/>
          <w:b/>
          <w:spacing w:val="-2"/>
          <w:sz w:val="18"/>
        </w:rPr>
        <w:t>policy</w:t>
      </w:r>
    </w:p>
    <w:p>
      <w:pPr>
        <w:pStyle w:val="BodyText"/>
        <w:spacing w:before="42"/>
        <w:rPr>
          <w:rFonts w:ascii="Arial"/>
          <w:b/>
          <w:sz w:val="18"/>
        </w:rPr>
      </w:pPr>
    </w:p>
    <w:p>
      <w:pPr>
        <w:pStyle w:val="Heading2"/>
      </w:pPr>
      <w:r>
        <w:rPr/>
        <w:t>30-</w:t>
      </w:r>
      <w:r>
        <w:rPr>
          <w:spacing w:val="-5"/>
        </w:rPr>
        <w:t>182</w:t>
      </w:r>
    </w:p>
    <w:p>
      <w:pPr>
        <w:pStyle w:val="BodyText"/>
        <w:spacing w:before="199"/>
        <w:ind w:left="165"/>
        <w:jc w:val="both"/>
      </w:pPr>
      <w:r>
        <w:rPr/>
        <w:t>Article 21 of the Regulation, headed “[p]ublic policy of the forum” provides that </w:t>
      </w:r>
      <w:r>
        <w:rPr>
          <w:spacing w:val="-4"/>
        </w:rPr>
        <w:t>the:</w:t>
      </w:r>
    </w:p>
    <w:p>
      <w:pPr>
        <w:pStyle w:val="BodyText"/>
      </w:pPr>
    </w:p>
    <w:p>
      <w:pPr>
        <w:pStyle w:val="BodyText"/>
        <w:spacing w:before="125"/>
      </w:pPr>
    </w:p>
    <w:p>
      <w:pPr>
        <w:pStyle w:val="BodyText"/>
        <w:spacing w:line="235" w:lineRule="auto"/>
        <w:ind w:left="1245" w:right="167"/>
        <w:jc w:val="both"/>
      </w:pPr>
      <w:r>
        <w:rPr/>
        <w:t>“… application of a provision of the law of any country specified by this Regulation may</w:t>
      </w:r>
      <w:r>
        <w:rPr>
          <w:spacing w:val="40"/>
        </w:rPr>
        <w:t> </w:t>
      </w:r>
      <w:r>
        <w:rPr/>
        <w:t>be refused only if such application is manifestly incompatible with the public policy </w:t>
      </w:r>
      <w:r>
        <w:rPr/>
        <w:t>(‘ordre public’) of the forum.”</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427" w:id="1429"/>
      <w:bookmarkEnd w:id="1429"/>
      <w:r>
        <w:rPr/>
      </w:r>
      <w:r>
        <w:rPr/>
        <w:t>This provision reproduces the effect of art.16 of the Rome Convention. </w:t>
      </w:r>
      <w:r>
        <w:rPr>
          <w:color w:val="005DA1"/>
          <w:u w:val="single" w:color="005DA1"/>
          <w:vertAlign w:val="superscript"/>
        </w:rPr>
        <w:t>767</w:t>
      </w:r>
      <w:r>
        <w:rPr>
          <w:color w:val="005DA1"/>
          <w:vertAlign w:val="baseline"/>
        </w:rPr>
        <w:t> </w:t>
      </w:r>
      <w:r>
        <w:rPr>
          <w:vertAlign w:val="baseline"/>
        </w:rPr>
        <w:t>It is capable of limiting the </w:t>
      </w:r>
      <w:bookmarkStart w:name="_bookmark1428" w:id="1430"/>
      <w:bookmarkEnd w:id="1430"/>
      <w:r>
        <w:rPr>
          <w:vertAlign w:val="baseline"/>
        </w:rPr>
        <w:t>effect</w:t>
      </w:r>
      <w:r>
        <w:rPr>
          <w:vertAlign w:val="baseline"/>
        </w:rPr>
        <w:t> of a choice of foreign law where the English court would regard that law as manifestly incompatible with English public policy. It is discussed in detail later in this chapter. </w:t>
      </w:r>
      <w:r>
        <w:rPr>
          <w:color w:val="005DA1"/>
          <w:u w:val="single" w:color="005DA1"/>
          <w:vertAlign w:val="superscript"/>
        </w:rPr>
        <w:t>768</w:t>
      </w:r>
    </w:p>
    <w:p>
      <w:pPr>
        <w:pStyle w:val="BodyText"/>
      </w:pPr>
    </w:p>
    <w:p>
      <w:pPr>
        <w:pStyle w:val="BodyText"/>
        <w:spacing w:before="38"/>
      </w:pPr>
    </w:p>
    <w:p>
      <w:pPr>
        <w:spacing w:before="0"/>
        <w:ind w:left="165" w:right="0" w:firstLine="0"/>
        <w:jc w:val="both"/>
        <w:rPr>
          <w:rFonts w:ascii="Arial"/>
          <w:b/>
          <w:sz w:val="18"/>
        </w:rPr>
      </w:pPr>
      <w:r>
        <w:rPr>
          <w:rFonts w:ascii="Arial"/>
          <w:b/>
          <w:sz w:val="18"/>
        </w:rPr>
        <w:t>Consent to the choice of </w:t>
      </w:r>
      <w:r>
        <w:rPr>
          <w:rFonts w:ascii="Arial"/>
          <w:b/>
          <w:spacing w:val="-5"/>
          <w:sz w:val="18"/>
        </w:rPr>
        <w:t>law</w:t>
      </w:r>
    </w:p>
    <w:p>
      <w:pPr>
        <w:pStyle w:val="BodyText"/>
        <w:spacing w:before="41"/>
        <w:rPr>
          <w:rFonts w:ascii="Arial"/>
          <w:b/>
          <w:sz w:val="18"/>
        </w:rPr>
      </w:pPr>
    </w:p>
    <w:p>
      <w:pPr>
        <w:pStyle w:val="Heading2"/>
      </w:pPr>
      <w:r>
        <w:rPr/>
        <w:t>30-</w:t>
      </w:r>
      <w:r>
        <w:rPr>
          <w:spacing w:val="-5"/>
        </w:rPr>
        <w:t>183</w:t>
      </w:r>
    </w:p>
    <w:p>
      <w:pPr>
        <w:pStyle w:val="BodyText"/>
        <w:spacing w:line="235" w:lineRule="auto" w:before="203"/>
        <w:ind w:left="164" w:right="167"/>
        <w:jc w:val="both"/>
      </w:pPr>
      <w:bookmarkStart w:name="_bookmark1429" w:id="1431"/>
      <w:bookmarkEnd w:id="1431"/>
      <w:r>
        <w:rPr/>
      </w:r>
      <w:r>
        <w:rPr/>
        <w:t>Article 3(5) of the Regulation reproduces art.3(4) of the Rome Convention. </w:t>
      </w:r>
      <w:r>
        <w:rPr>
          <w:color w:val="005DA1"/>
          <w:u w:val="single" w:color="005DA1"/>
          <w:vertAlign w:val="superscript"/>
        </w:rPr>
        <w:t>769</w:t>
      </w:r>
      <w:r>
        <w:rPr>
          <w:color w:val="005DA1"/>
          <w:vertAlign w:val="baseline"/>
        </w:rPr>
        <w:t> </w:t>
      </w:r>
      <w:r>
        <w:rPr>
          <w:vertAlign w:val="baseline"/>
        </w:rPr>
        <w:t>According to art.3(5)</w:t>
      </w:r>
      <w:r>
        <w:rPr>
          <w:spacing w:val="40"/>
          <w:vertAlign w:val="baseline"/>
        </w:rPr>
        <w:t> </w:t>
      </w:r>
      <w:r>
        <w:rPr>
          <w:vertAlign w:val="baseline"/>
        </w:rPr>
        <w:t>the existence and validity of the consent of the parties as to the choice of the applicable law shall be determined in accordance with the provisions of arts 10, 11 and 13. As with art.3(4) of the </w:t>
      </w:r>
      <w:r>
        <w:rPr>
          <w:vertAlign w:val="baseline"/>
        </w:rPr>
        <w:t>Rome </w:t>
      </w:r>
      <w:bookmarkStart w:name="_bookmark1430" w:id="1432"/>
      <w:bookmarkEnd w:id="1432"/>
      <w:r>
        <w:rPr>
          <w:vertAlign w:val="baseline"/>
        </w:rPr>
        <w:t>Convention,</w:t>
      </w:r>
      <w:r>
        <w:rPr>
          <w:vertAlign w:val="baseline"/>
        </w:rPr>
        <w:t> discussed earlier in this chapter, the existence and validity of the consent of the parties</w:t>
      </w:r>
      <w:r>
        <w:rPr>
          <w:spacing w:val="80"/>
          <w:vertAlign w:val="baseline"/>
        </w:rPr>
        <w:t> </w:t>
      </w:r>
      <w:r>
        <w:rPr>
          <w:vertAlign w:val="baseline"/>
        </w:rPr>
        <w:t>to the choice of law is governed by the law the parties purported to choose. </w:t>
      </w:r>
      <w:r>
        <w:rPr>
          <w:color w:val="005DA1"/>
          <w:u w:val="single" w:color="005DA1"/>
          <w:vertAlign w:val="superscript"/>
        </w:rPr>
        <w:t>770</w:t>
      </w:r>
    </w:p>
    <w:p>
      <w:pPr>
        <w:pStyle w:val="BodyText"/>
      </w:pPr>
    </w:p>
    <w:p>
      <w:pPr>
        <w:pStyle w:val="BodyText"/>
        <w:spacing w:before="36"/>
      </w:pPr>
    </w:p>
    <w:p>
      <w:pPr>
        <w:spacing w:before="0"/>
        <w:ind w:left="165" w:right="0" w:firstLine="0"/>
        <w:jc w:val="left"/>
        <w:rPr>
          <w:rFonts w:ascii="Arial"/>
          <w:b/>
          <w:sz w:val="18"/>
        </w:rPr>
      </w:pPr>
      <w:r>
        <w:rPr>
          <w:rFonts w:ascii="Arial"/>
          <w:b/>
          <w:sz w:val="18"/>
        </w:rPr>
        <w:t>Party autonomy and particular </w:t>
      </w:r>
      <w:r>
        <w:rPr>
          <w:rFonts w:ascii="Arial"/>
          <w:b/>
          <w:spacing w:val="-2"/>
          <w:sz w:val="18"/>
        </w:rPr>
        <w:t>contracts</w:t>
      </w:r>
    </w:p>
    <w:p>
      <w:pPr>
        <w:pStyle w:val="BodyText"/>
        <w:spacing w:before="42"/>
        <w:rPr>
          <w:rFonts w:ascii="Arial"/>
          <w:b/>
          <w:sz w:val="18"/>
        </w:rPr>
      </w:pPr>
    </w:p>
    <w:p>
      <w:pPr>
        <w:pStyle w:val="Heading2"/>
      </w:pPr>
      <w:r>
        <w:rPr/>
        <w:t>30-</w:t>
      </w:r>
      <w:r>
        <w:rPr>
          <w:spacing w:val="-5"/>
        </w:rPr>
        <w:t>184</w:t>
      </w:r>
    </w:p>
    <w:p>
      <w:pPr>
        <w:pStyle w:val="BodyText"/>
        <w:spacing w:line="235" w:lineRule="auto" w:before="202"/>
        <w:ind w:left="165" w:right="167"/>
        <w:jc w:val="both"/>
      </w:pPr>
      <w:bookmarkStart w:name="_bookmark1431" w:id="1433"/>
      <w:bookmarkEnd w:id="1433"/>
      <w:r>
        <w:rPr/>
      </w:r>
      <w:r>
        <w:rPr/>
        <w:t>The provisions relating to party autonomy in relation to contracts subject to special rules under the Regulation will be discussed in relation to each particular contract so subject. </w:t>
      </w:r>
      <w:r>
        <w:rPr>
          <w:color w:val="005DA1"/>
          <w:u w:val="single" w:color="005DA1"/>
          <w:vertAlign w:val="superscript"/>
        </w:rPr>
        <w:t>771</w:t>
      </w:r>
    </w:p>
    <w:p>
      <w:pPr>
        <w:pStyle w:val="BodyText"/>
      </w:pPr>
    </w:p>
    <w:p>
      <w:pPr>
        <w:pStyle w:val="BodyText"/>
        <w:spacing w:before="39"/>
      </w:pPr>
      <w:r>
        <w:rPr/>
        <mc:AlternateContent>
          <mc:Choice Requires="wps">
            <w:drawing>
              <wp:anchor distT="0" distB="0" distL="0" distR="0" allowOverlap="1" layoutInCell="1" locked="0" behindDoc="1" simplePos="0" relativeHeight="487614464">
                <wp:simplePos x="0" y="0"/>
                <wp:positionH relativeFrom="page">
                  <wp:posOffset>914400</wp:posOffset>
                </wp:positionH>
                <wp:positionV relativeFrom="paragraph">
                  <wp:posOffset>186549</wp:posOffset>
                </wp:positionV>
                <wp:extent cx="5724525"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88953pt;width:450.75pt;height:.1pt;mso-position-horizontal-relative:page;mso-position-vertical-relative:paragraph;z-index:-15702016;mso-wrap-distance-left:0;mso-wrap-distance-right:0" id="docshape26" coordorigin="1440,294" coordsize="9015,0" path="m1440,294l10454,294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432" w:id="1434"/>
      <w:bookmarkEnd w:id="1434"/>
      <w:r>
        <w:rPr/>
      </w:r>
      <w:hyperlink w:history="true" w:anchor="_bookmark1395">
        <w:r>
          <w:rPr>
            <w:color w:val="005DA1"/>
            <w:spacing w:val="-4"/>
            <w:position w:val="5"/>
            <w:sz w:val="14"/>
            <w:u w:val="single" w:color="005DA1"/>
          </w:rPr>
          <w:t>733</w:t>
        </w:r>
      </w:hyperlink>
      <w:r>
        <w:rPr>
          <w:spacing w:val="-4"/>
          <w:position w:val="5"/>
          <w:sz w:val="14"/>
        </w:rPr>
        <w:t>.</w:t>
      </w:r>
      <w:r>
        <w:rPr>
          <w:position w:val="5"/>
          <w:sz w:val="14"/>
        </w:rPr>
        <w:tab/>
      </w:r>
      <w:r>
        <w:rPr/>
        <w:t>Above,</w:t>
      </w:r>
      <w:r>
        <w:rPr>
          <w:spacing w:val="-2"/>
        </w:rPr>
        <w:t> </w:t>
      </w:r>
      <w:r>
        <w:rPr/>
        <w:t>paras 30-046 et </w:t>
      </w:r>
      <w:r>
        <w:rPr>
          <w:spacing w:val="-4"/>
        </w:rPr>
        <w:t>seq.</w:t>
      </w:r>
    </w:p>
    <w:p>
      <w:pPr>
        <w:pStyle w:val="BodyText"/>
        <w:spacing w:before="9"/>
      </w:pPr>
    </w:p>
    <w:p>
      <w:pPr>
        <w:spacing w:line="235" w:lineRule="auto" w:before="0"/>
        <w:ind w:left="705" w:right="167" w:hanging="541"/>
        <w:jc w:val="both"/>
        <w:rPr>
          <w:sz w:val="20"/>
        </w:rPr>
      </w:pPr>
      <w:bookmarkStart w:name="_bookmark1433" w:id="1435"/>
      <w:bookmarkEnd w:id="1435"/>
      <w:r>
        <w:rPr/>
      </w:r>
      <w:hyperlink w:history="true" w:anchor="_bookmark1396">
        <w:r>
          <w:rPr>
            <w:color w:val="005DA1"/>
            <w:position w:val="5"/>
            <w:sz w:val="14"/>
            <w:u w:val="single" w:color="005DA1"/>
          </w:rPr>
          <w:t>734</w:t>
        </w:r>
      </w:hyperlink>
      <w:r>
        <w:rPr>
          <w:position w:val="5"/>
          <w:sz w:val="14"/>
        </w:rPr>
        <w:t>.</w:t>
      </w:r>
      <w:r>
        <w:rPr>
          <w:spacing w:val="80"/>
          <w:w w:val="150"/>
          <w:position w:val="5"/>
          <w:sz w:val="14"/>
        </w:rPr>
        <w:t> </w:t>
      </w:r>
      <w:r>
        <w:rPr>
          <w:sz w:val="20"/>
        </w:rPr>
        <w:t>See Dicey, Morris and Collins on the Conflict of Laws, 15th edn (2012), paras 32-040 et seq.; Plender</w:t>
      </w:r>
      <w:r>
        <w:rPr>
          <w:spacing w:val="-1"/>
          <w:sz w:val="20"/>
        </w:rPr>
        <w:t> </w:t>
      </w:r>
      <w:r>
        <w:rPr>
          <w:sz w:val="20"/>
        </w:rPr>
        <w:t>and</w:t>
      </w:r>
      <w:r>
        <w:rPr>
          <w:spacing w:val="-1"/>
          <w:sz w:val="20"/>
        </w:rPr>
        <w:t> </w:t>
      </w:r>
      <w:r>
        <w:rPr>
          <w:sz w:val="20"/>
        </w:rPr>
        <w:t>Wilderspin,</w:t>
      </w:r>
      <w:r>
        <w:rPr>
          <w:spacing w:val="-2"/>
          <w:sz w:val="20"/>
        </w:rPr>
        <w:t> </w:t>
      </w:r>
      <w:r>
        <w:rPr>
          <w:rFonts w:ascii="Arial"/>
          <w:i/>
          <w:sz w:val="20"/>
        </w:rPr>
        <w:t>The</w:t>
      </w:r>
      <w:r>
        <w:rPr>
          <w:rFonts w:ascii="Arial"/>
          <w:i/>
          <w:spacing w:val="-1"/>
          <w:sz w:val="20"/>
        </w:rPr>
        <w:t> </w:t>
      </w:r>
      <w:r>
        <w:rPr>
          <w:rFonts w:ascii="Arial"/>
          <w:i/>
          <w:sz w:val="20"/>
        </w:rPr>
        <w:t>European</w:t>
      </w:r>
      <w:r>
        <w:rPr>
          <w:rFonts w:ascii="Arial"/>
          <w:i/>
          <w:spacing w:val="-1"/>
          <w:sz w:val="20"/>
        </w:rPr>
        <w:t> </w:t>
      </w:r>
      <w:r>
        <w:rPr>
          <w:rFonts w:ascii="Arial"/>
          <w:i/>
          <w:sz w:val="20"/>
        </w:rPr>
        <w:t>Private</w:t>
      </w:r>
      <w:r>
        <w:rPr>
          <w:rFonts w:ascii="Arial"/>
          <w:i/>
          <w:spacing w:val="-1"/>
          <w:sz w:val="20"/>
        </w:rPr>
        <w:t> </w:t>
      </w:r>
      <w:r>
        <w:rPr>
          <w:rFonts w:ascii="Arial"/>
          <w:i/>
          <w:sz w:val="20"/>
        </w:rPr>
        <w:t>International</w:t>
      </w:r>
      <w:r>
        <w:rPr>
          <w:rFonts w:ascii="Arial"/>
          <w:i/>
          <w:spacing w:val="-1"/>
          <w:sz w:val="20"/>
        </w:rPr>
        <w:t> </w:t>
      </w:r>
      <w:r>
        <w:rPr>
          <w:rFonts w:ascii="Arial"/>
          <w:i/>
          <w:sz w:val="20"/>
        </w:rPr>
        <w:t>Law</w:t>
      </w:r>
      <w:r>
        <w:rPr>
          <w:rFonts w:ascii="Arial"/>
          <w:i/>
          <w:spacing w:val="-1"/>
          <w:sz w:val="20"/>
        </w:rPr>
        <w:t> </w:t>
      </w:r>
      <w:r>
        <w:rPr>
          <w:rFonts w:ascii="Arial"/>
          <w:i/>
          <w:sz w:val="20"/>
        </w:rPr>
        <w:t>of</w:t>
      </w:r>
      <w:r>
        <w:rPr>
          <w:rFonts w:ascii="Arial"/>
          <w:i/>
          <w:spacing w:val="-1"/>
          <w:sz w:val="20"/>
        </w:rPr>
        <w:t> </w:t>
      </w:r>
      <w:r>
        <w:rPr>
          <w:rFonts w:ascii="Arial"/>
          <w:i/>
          <w:sz w:val="20"/>
        </w:rPr>
        <w:t>Obligations</w:t>
      </w:r>
      <w:r>
        <w:rPr>
          <w:sz w:val="20"/>
        </w:rPr>
        <w:t>,</w:t>
      </w:r>
      <w:r>
        <w:rPr>
          <w:spacing w:val="-1"/>
          <w:sz w:val="20"/>
        </w:rPr>
        <w:t> </w:t>
      </w:r>
      <w:r>
        <w:rPr>
          <w:sz w:val="20"/>
        </w:rPr>
        <w:t>4th</w:t>
      </w:r>
      <w:r>
        <w:rPr>
          <w:spacing w:val="-1"/>
          <w:sz w:val="20"/>
        </w:rPr>
        <w:t> </w:t>
      </w:r>
      <w:r>
        <w:rPr>
          <w:sz w:val="20"/>
        </w:rPr>
        <w:t>edn</w:t>
      </w:r>
      <w:r>
        <w:rPr>
          <w:spacing w:val="-1"/>
          <w:sz w:val="20"/>
        </w:rPr>
        <w:t> </w:t>
      </w:r>
      <w:r>
        <w:rPr>
          <w:sz w:val="20"/>
        </w:rPr>
        <w:t>(2015), Ch.6; Cheshire, North and Fawcett, </w:t>
      </w:r>
      <w:r>
        <w:rPr>
          <w:rFonts w:ascii="Arial"/>
          <w:i/>
          <w:sz w:val="20"/>
        </w:rPr>
        <w:t>Private International Law</w:t>
      </w:r>
      <w:r>
        <w:rPr>
          <w:sz w:val="20"/>
        </w:rPr>
        <w:t>, 14th edn (2009), pp.690 et seq.; Fentiman,</w:t>
      </w:r>
      <w:r>
        <w:rPr>
          <w:spacing w:val="-3"/>
          <w:sz w:val="20"/>
        </w:rPr>
        <w:t> </w:t>
      </w:r>
      <w:r>
        <w:rPr>
          <w:rFonts w:ascii="Arial"/>
          <w:i/>
          <w:sz w:val="20"/>
        </w:rPr>
        <w:t>International</w:t>
      </w:r>
      <w:r>
        <w:rPr>
          <w:rFonts w:ascii="Arial"/>
          <w:i/>
          <w:spacing w:val="-3"/>
          <w:sz w:val="20"/>
        </w:rPr>
        <w:t> </w:t>
      </w:r>
      <w:r>
        <w:rPr>
          <w:rFonts w:ascii="Arial"/>
          <w:i/>
          <w:sz w:val="20"/>
        </w:rPr>
        <w:t>Commercial</w:t>
      </w:r>
      <w:r>
        <w:rPr>
          <w:rFonts w:ascii="Arial"/>
          <w:i/>
          <w:spacing w:val="-3"/>
          <w:sz w:val="20"/>
        </w:rPr>
        <w:t> </w:t>
      </w:r>
      <w:r>
        <w:rPr>
          <w:rFonts w:ascii="Arial"/>
          <w:i/>
          <w:sz w:val="20"/>
        </w:rPr>
        <w:t>Litigation</w:t>
      </w:r>
      <w:r>
        <w:rPr>
          <w:rFonts w:ascii="Arial"/>
          <w:i/>
          <w:spacing w:val="-4"/>
          <w:sz w:val="20"/>
        </w:rPr>
        <w:t> </w:t>
      </w:r>
      <w:r>
        <w:rPr>
          <w:sz w:val="20"/>
        </w:rPr>
        <w:t>2nd</w:t>
      </w:r>
      <w:r>
        <w:rPr>
          <w:spacing w:val="-3"/>
          <w:sz w:val="20"/>
        </w:rPr>
        <w:t> </w:t>
      </w:r>
      <w:r>
        <w:rPr>
          <w:sz w:val="20"/>
        </w:rPr>
        <w:t>edn</w:t>
      </w:r>
      <w:r>
        <w:rPr>
          <w:spacing w:val="-3"/>
          <w:sz w:val="20"/>
        </w:rPr>
        <w:t> </w:t>
      </w:r>
      <w:r>
        <w:rPr>
          <w:sz w:val="20"/>
        </w:rPr>
        <w:t>(2015),</w:t>
      </w:r>
      <w:r>
        <w:rPr>
          <w:spacing w:val="-3"/>
          <w:sz w:val="20"/>
        </w:rPr>
        <w:t> </w:t>
      </w:r>
      <w:r>
        <w:rPr>
          <w:sz w:val="20"/>
        </w:rPr>
        <w:t>pp.196</w:t>
      </w:r>
      <w:r>
        <w:rPr>
          <w:spacing w:val="-3"/>
          <w:sz w:val="20"/>
        </w:rPr>
        <w:t> </w:t>
      </w:r>
      <w:r>
        <w:rPr>
          <w:sz w:val="20"/>
        </w:rPr>
        <w:t>et</w:t>
      </w:r>
      <w:r>
        <w:rPr>
          <w:spacing w:val="-3"/>
          <w:sz w:val="20"/>
        </w:rPr>
        <w:t> </w:t>
      </w:r>
      <w:r>
        <w:rPr>
          <w:sz w:val="20"/>
        </w:rPr>
        <w:t>seq.;</w:t>
      </w:r>
      <w:r>
        <w:rPr>
          <w:spacing w:val="-3"/>
          <w:sz w:val="20"/>
        </w:rPr>
        <w:t> </w:t>
      </w:r>
      <w:r>
        <w:rPr>
          <w:sz w:val="20"/>
        </w:rPr>
        <w:t>Heiss,</w:t>
      </w:r>
      <w:r>
        <w:rPr>
          <w:spacing w:val="-4"/>
          <w:sz w:val="20"/>
        </w:rPr>
        <w:t> </w:t>
      </w:r>
      <w:r>
        <w:rPr>
          <w:rFonts w:ascii="Arial"/>
          <w:i/>
          <w:sz w:val="20"/>
        </w:rPr>
        <w:t>The</w:t>
      </w:r>
      <w:r>
        <w:rPr>
          <w:rFonts w:ascii="Arial"/>
          <w:i/>
          <w:spacing w:val="-3"/>
          <w:sz w:val="20"/>
        </w:rPr>
        <w:t> </w:t>
      </w:r>
      <w:r>
        <w:rPr>
          <w:rFonts w:ascii="Arial"/>
          <w:i/>
          <w:sz w:val="20"/>
        </w:rPr>
        <w:t>Rome I Regulation: the Law Applicable to Contractual Obligations in Europe </w:t>
      </w:r>
      <w:r>
        <w:rPr>
          <w:sz w:val="20"/>
        </w:rPr>
        <w:t>(2009), p.1.</w:t>
      </w:r>
    </w:p>
    <w:p>
      <w:pPr>
        <w:pStyle w:val="BodyText"/>
        <w:spacing w:before="8"/>
      </w:pPr>
    </w:p>
    <w:p>
      <w:pPr>
        <w:tabs>
          <w:tab w:pos="705" w:val="left" w:leader="none"/>
        </w:tabs>
        <w:spacing w:line="235" w:lineRule="auto" w:before="0"/>
        <w:ind w:left="705" w:right="168" w:hanging="541"/>
        <w:jc w:val="left"/>
        <w:rPr>
          <w:sz w:val="20"/>
        </w:rPr>
      </w:pPr>
      <w:bookmarkStart w:name="_bookmark1434" w:id="1436"/>
      <w:bookmarkEnd w:id="1436"/>
      <w:r>
        <w:rPr/>
      </w:r>
      <w:hyperlink w:history="true" w:anchor="_bookmark1397">
        <w:r>
          <w:rPr>
            <w:color w:val="005DA1"/>
            <w:spacing w:val="-4"/>
            <w:position w:val="5"/>
            <w:sz w:val="14"/>
            <w:u w:val="single" w:color="005DA1"/>
          </w:rPr>
          <w:t>735</w:t>
        </w:r>
      </w:hyperlink>
      <w:r>
        <w:rPr>
          <w:spacing w:val="-4"/>
          <w:position w:val="5"/>
          <w:sz w:val="14"/>
        </w:rPr>
        <w:t>.</w:t>
      </w:r>
      <w:r>
        <w:rPr>
          <w:position w:val="5"/>
          <w:sz w:val="14"/>
        </w:rPr>
        <w:tab/>
      </w:r>
      <w:r>
        <w:rPr>
          <w:sz w:val="20"/>
        </w:rPr>
        <w:t>See</w:t>
      </w:r>
      <w:r>
        <w:rPr>
          <w:spacing w:val="39"/>
          <w:sz w:val="20"/>
        </w:rPr>
        <w:t> </w:t>
      </w:r>
      <w:r>
        <w:rPr>
          <w:sz w:val="20"/>
        </w:rPr>
        <w:t>above,</w:t>
      </w:r>
      <w:r>
        <w:rPr>
          <w:spacing w:val="39"/>
          <w:sz w:val="20"/>
        </w:rPr>
        <w:t> </w:t>
      </w:r>
      <w:r>
        <w:rPr>
          <w:sz w:val="20"/>
        </w:rPr>
        <w:t>para.30-047.</w:t>
      </w:r>
      <w:r>
        <w:rPr>
          <w:spacing w:val="39"/>
          <w:sz w:val="20"/>
        </w:rPr>
        <w:t> </w:t>
      </w:r>
      <w:r>
        <w:rPr>
          <w:sz w:val="20"/>
        </w:rPr>
        <w:t>Nor,</w:t>
      </w:r>
      <w:r>
        <w:rPr>
          <w:spacing w:val="39"/>
          <w:sz w:val="20"/>
        </w:rPr>
        <w:t> </w:t>
      </w:r>
      <w:r>
        <w:rPr>
          <w:sz w:val="20"/>
        </w:rPr>
        <w:t>apparently,</w:t>
      </w:r>
      <w:r>
        <w:rPr>
          <w:spacing w:val="39"/>
          <w:sz w:val="20"/>
        </w:rPr>
        <w:t> </w:t>
      </w:r>
      <w:r>
        <w:rPr>
          <w:sz w:val="20"/>
        </w:rPr>
        <w:t>a</w:t>
      </w:r>
      <w:r>
        <w:rPr>
          <w:spacing w:val="39"/>
          <w:sz w:val="20"/>
        </w:rPr>
        <w:t> </w:t>
      </w:r>
      <w:r>
        <w:rPr>
          <w:sz w:val="20"/>
        </w:rPr>
        <w:t>religious</w:t>
      </w:r>
      <w:r>
        <w:rPr>
          <w:spacing w:val="39"/>
          <w:sz w:val="20"/>
        </w:rPr>
        <w:t> </w:t>
      </w:r>
      <w:r>
        <w:rPr>
          <w:sz w:val="20"/>
        </w:rPr>
        <w:t>law:</w:t>
      </w:r>
      <w:r>
        <w:rPr>
          <w:spacing w:val="39"/>
          <w:sz w:val="20"/>
        </w:rPr>
        <w:t> </w:t>
      </w:r>
      <w:r>
        <w:rPr>
          <w:sz w:val="20"/>
        </w:rPr>
        <w:t>see</w:t>
      </w:r>
      <w:r>
        <w:rPr>
          <w:spacing w:val="38"/>
          <w:sz w:val="20"/>
        </w:rPr>
        <w:t> </w:t>
      </w:r>
      <w:r>
        <w:rPr>
          <w:rFonts w:ascii="Arial"/>
          <w:i/>
          <w:sz w:val="20"/>
        </w:rPr>
        <w:t>Dubai</w:t>
      </w:r>
      <w:r>
        <w:rPr>
          <w:rFonts w:ascii="Arial"/>
          <w:i/>
          <w:spacing w:val="39"/>
          <w:sz w:val="20"/>
        </w:rPr>
        <w:t> </w:t>
      </w:r>
      <w:r>
        <w:rPr>
          <w:rFonts w:ascii="Arial"/>
          <w:i/>
          <w:sz w:val="20"/>
        </w:rPr>
        <w:t>Islamic</w:t>
      </w:r>
      <w:r>
        <w:rPr>
          <w:rFonts w:ascii="Arial"/>
          <w:i/>
          <w:spacing w:val="39"/>
          <w:sz w:val="20"/>
        </w:rPr>
        <w:t> </w:t>
      </w:r>
      <w:r>
        <w:rPr>
          <w:rFonts w:ascii="Arial"/>
          <w:i/>
          <w:sz w:val="20"/>
        </w:rPr>
        <w:t>Bank</w:t>
      </w:r>
      <w:r>
        <w:rPr>
          <w:rFonts w:ascii="Arial"/>
          <w:i/>
          <w:spacing w:val="39"/>
          <w:sz w:val="20"/>
        </w:rPr>
        <w:t> </w:t>
      </w:r>
      <w:r>
        <w:rPr>
          <w:rFonts w:ascii="Arial"/>
          <w:i/>
          <w:sz w:val="20"/>
        </w:rPr>
        <w:t>PJSC</w:t>
      </w:r>
      <w:r>
        <w:rPr>
          <w:rFonts w:ascii="Arial"/>
          <w:i/>
          <w:spacing w:val="39"/>
          <w:sz w:val="20"/>
        </w:rPr>
        <w:t> </w:t>
      </w:r>
      <w:r>
        <w:rPr>
          <w:rFonts w:ascii="Arial"/>
          <w:i/>
          <w:sz w:val="20"/>
        </w:rPr>
        <w:t>v Energy Holding BSC [2013] EWHC 3186 (Comm)</w:t>
      </w:r>
      <w:r>
        <w:rPr>
          <w:sz w:val="20"/>
        </w:rPr>
        <w:t>.</w:t>
      </w:r>
    </w:p>
    <w:p>
      <w:pPr>
        <w:pStyle w:val="BodyText"/>
        <w:spacing w:before="9"/>
      </w:pPr>
    </w:p>
    <w:p>
      <w:pPr>
        <w:pStyle w:val="BodyText"/>
        <w:spacing w:line="235" w:lineRule="auto"/>
        <w:ind w:left="705" w:right="167" w:hanging="541"/>
        <w:jc w:val="both"/>
      </w:pPr>
      <w:bookmarkStart w:name="_bookmark1435" w:id="1437"/>
      <w:bookmarkEnd w:id="1437"/>
      <w:r>
        <w:rPr/>
      </w:r>
      <w:hyperlink w:history="true" w:anchor="_bookmark1398">
        <w:r>
          <w:rPr>
            <w:color w:val="005DA1"/>
            <w:position w:val="5"/>
            <w:sz w:val="14"/>
            <w:u w:val="single" w:color="005DA1"/>
          </w:rPr>
          <w:t>736</w:t>
        </w:r>
      </w:hyperlink>
      <w:r>
        <w:rPr>
          <w:position w:val="5"/>
          <w:sz w:val="14"/>
        </w:rPr>
        <w:t>.</w:t>
      </w:r>
      <w:r>
        <w:rPr>
          <w:spacing w:val="80"/>
          <w:position w:val="5"/>
          <w:sz w:val="14"/>
        </w:rPr>
        <w:t>  </w:t>
      </w:r>
      <w:r>
        <w:rPr/>
        <w:t>Recital 13 to the Regulation. Should the Community adopt in an appropriate legal </w:t>
      </w:r>
      <w:r>
        <w:rPr/>
        <w:t>instrument rules of substantive contract law, including standard terms and conditions, such instrument may provide that the parties may choose to apply those rules: Recital 14.</w:t>
      </w:r>
    </w:p>
    <w:p>
      <w:pPr>
        <w:pStyle w:val="BodyText"/>
        <w:spacing w:before="5"/>
      </w:pPr>
    </w:p>
    <w:p>
      <w:pPr>
        <w:pStyle w:val="BodyText"/>
        <w:tabs>
          <w:tab w:pos="705" w:val="left" w:leader="none"/>
        </w:tabs>
        <w:ind w:left="165"/>
      </w:pPr>
      <w:bookmarkStart w:name="_bookmark1436" w:id="1438"/>
      <w:bookmarkEnd w:id="1438"/>
      <w:r>
        <w:rPr/>
      </w:r>
      <w:hyperlink w:history="true" w:anchor="_bookmark1398">
        <w:r>
          <w:rPr>
            <w:color w:val="005DA1"/>
            <w:spacing w:val="-4"/>
            <w:position w:val="5"/>
            <w:sz w:val="14"/>
            <w:u w:val="single" w:color="005DA1"/>
          </w:rPr>
          <w:t>737</w:t>
        </w:r>
      </w:hyperlink>
      <w:r>
        <w:rPr>
          <w:spacing w:val="-4"/>
          <w:position w:val="5"/>
          <w:sz w:val="14"/>
        </w:rPr>
        <w:t>.</w:t>
      </w:r>
      <w:r>
        <w:rPr>
          <w:position w:val="5"/>
          <w:sz w:val="14"/>
        </w:rPr>
        <w:tab/>
      </w:r>
      <w:r>
        <w:rPr/>
        <w:t>Subject to the possibility that the European Court may take a different </w:t>
      </w:r>
      <w:r>
        <w:rPr>
          <w:spacing w:val="-2"/>
        </w:rPr>
        <w:t>view.</w:t>
      </w:r>
    </w:p>
    <w:p>
      <w:pPr>
        <w:pStyle w:val="BodyText"/>
        <w:spacing w:before="5"/>
      </w:pPr>
    </w:p>
    <w:p>
      <w:pPr>
        <w:pStyle w:val="BodyText"/>
        <w:tabs>
          <w:tab w:pos="705" w:val="left" w:leader="none"/>
        </w:tabs>
        <w:ind w:left="165"/>
      </w:pPr>
      <w:bookmarkStart w:name="_bookmark1437" w:id="1439"/>
      <w:bookmarkEnd w:id="1439"/>
      <w:r>
        <w:rPr/>
      </w:r>
      <w:hyperlink w:history="true" w:anchor="_bookmark1399">
        <w:r>
          <w:rPr>
            <w:color w:val="005DA1"/>
            <w:spacing w:val="-4"/>
            <w:position w:val="5"/>
            <w:sz w:val="14"/>
            <w:u w:val="single" w:color="005DA1"/>
          </w:rPr>
          <w:t>738</w:t>
        </w:r>
      </w:hyperlink>
      <w:r>
        <w:rPr>
          <w:spacing w:val="-4"/>
          <w:position w:val="5"/>
          <w:sz w:val="14"/>
        </w:rPr>
        <w:t>.</w:t>
      </w:r>
      <w:r>
        <w:rPr>
          <w:position w:val="5"/>
          <w:sz w:val="14"/>
        </w:rPr>
        <w:tab/>
      </w:r>
      <w:r>
        <w:rPr/>
        <w:t>Rome I art.1(3). Above, paras 30-048, 30-</w:t>
      </w:r>
      <w:r>
        <w:rPr>
          <w:spacing w:val="-4"/>
        </w:rPr>
        <w:t>160.</w:t>
      </w:r>
    </w:p>
    <w:p>
      <w:pPr>
        <w:pStyle w:val="BodyText"/>
        <w:spacing w:before="9"/>
      </w:pPr>
    </w:p>
    <w:p>
      <w:pPr>
        <w:tabs>
          <w:tab w:pos="705" w:val="left" w:leader="none"/>
        </w:tabs>
        <w:spacing w:line="235" w:lineRule="auto" w:before="0"/>
        <w:ind w:left="705" w:right="168" w:hanging="541"/>
        <w:jc w:val="left"/>
        <w:rPr>
          <w:sz w:val="20"/>
        </w:rPr>
      </w:pPr>
      <w:bookmarkStart w:name="_bookmark1438" w:id="1440"/>
      <w:bookmarkEnd w:id="1440"/>
      <w:r>
        <w:rPr/>
      </w:r>
      <w:hyperlink w:history="true" w:anchor="_bookmark1400">
        <w:r>
          <w:rPr>
            <w:color w:val="005DA1"/>
            <w:spacing w:val="-4"/>
            <w:position w:val="5"/>
            <w:sz w:val="14"/>
            <w:u w:val="single" w:color="005DA1"/>
          </w:rPr>
          <w:t>739</w:t>
        </w:r>
      </w:hyperlink>
      <w:r>
        <w:rPr>
          <w:spacing w:val="-4"/>
          <w:position w:val="5"/>
          <w:sz w:val="14"/>
        </w:rPr>
        <w:t>.</w:t>
      </w:r>
      <w:r>
        <w:rPr>
          <w:position w:val="5"/>
          <w:sz w:val="14"/>
        </w:rPr>
        <w:tab/>
      </w:r>
      <w:r>
        <w:rPr>
          <w:sz w:val="20"/>
        </w:rPr>
        <w:t>See</w:t>
      </w:r>
      <w:r>
        <w:rPr>
          <w:spacing w:val="40"/>
          <w:sz w:val="20"/>
        </w:rPr>
        <w:t> </w:t>
      </w:r>
      <w:r>
        <w:rPr>
          <w:sz w:val="20"/>
        </w:rPr>
        <w:t>below</w:t>
      </w:r>
      <w:r>
        <w:rPr>
          <w:spacing w:val="40"/>
          <w:sz w:val="20"/>
        </w:rPr>
        <w:t> </w:t>
      </w:r>
      <w:r>
        <w:rPr>
          <w:sz w:val="20"/>
        </w:rPr>
        <w:t>para.30-175;</w:t>
      </w:r>
      <w:r>
        <w:rPr>
          <w:spacing w:val="40"/>
          <w:sz w:val="20"/>
        </w:rPr>
        <w:t> </w:t>
      </w:r>
      <w:r>
        <w:rPr>
          <w:sz w:val="20"/>
        </w:rPr>
        <w:t>and</w:t>
      </w:r>
      <w:r>
        <w:rPr>
          <w:spacing w:val="40"/>
          <w:sz w:val="20"/>
        </w:rPr>
        <w:t> </w:t>
      </w:r>
      <w:r>
        <w:rPr>
          <w:sz w:val="20"/>
        </w:rPr>
        <w:t>see</w:t>
      </w:r>
      <w:r>
        <w:rPr>
          <w:spacing w:val="40"/>
          <w:sz w:val="20"/>
        </w:rPr>
        <w:t> </w:t>
      </w:r>
      <w:r>
        <w:rPr>
          <w:sz w:val="20"/>
        </w:rPr>
        <w:t>Fentiman,</w:t>
      </w:r>
      <w:r>
        <w:rPr>
          <w:spacing w:val="40"/>
          <w:sz w:val="20"/>
        </w:rPr>
        <w:t> </w:t>
      </w:r>
      <w:r>
        <w:rPr>
          <w:rFonts w:ascii="Arial"/>
          <w:i/>
          <w:sz w:val="20"/>
        </w:rPr>
        <w:t>International</w:t>
      </w:r>
      <w:r>
        <w:rPr>
          <w:rFonts w:ascii="Arial"/>
          <w:i/>
          <w:spacing w:val="40"/>
          <w:sz w:val="20"/>
        </w:rPr>
        <w:t> </w:t>
      </w:r>
      <w:r>
        <w:rPr>
          <w:rFonts w:ascii="Arial"/>
          <w:i/>
          <w:sz w:val="20"/>
        </w:rPr>
        <w:t>Commercial</w:t>
      </w:r>
      <w:r>
        <w:rPr>
          <w:rFonts w:ascii="Arial"/>
          <w:i/>
          <w:spacing w:val="40"/>
          <w:sz w:val="20"/>
        </w:rPr>
        <w:t> </w:t>
      </w:r>
      <w:r>
        <w:rPr>
          <w:rFonts w:ascii="Arial"/>
          <w:i/>
          <w:sz w:val="20"/>
        </w:rPr>
        <w:t>Litigation</w:t>
      </w:r>
      <w:r>
        <w:rPr>
          <w:sz w:val="20"/>
        </w:rPr>
        <w:t>,</w:t>
      </w:r>
      <w:r>
        <w:rPr>
          <w:spacing w:val="40"/>
          <w:sz w:val="20"/>
        </w:rPr>
        <w:t> </w:t>
      </w:r>
      <w:r>
        <w:rPr>
          <w:sz w:val="20"/>
        </w:rPr>
        <w:t>2nd</w:t>
      </w:r>
      <w:r>
        <w:rPr>
          <w:spacing w:val="40"/>
          <w:sz w:val="20"/>
        </w:rPr>
        <w:t> </w:t>
      </w:r>
      <w:r>
        <w:rPr>
          <w:sz w:val="20"/>
        </w:rPr>
        <w:t>edn</w:t>
      </w:r>
      <w:r>
        <w:rPr>
          <w:spacing w:val="40"/>
          <w:sz w:val="20"/>
        </w:rPr>
        <w:t> </w:t>
      </w:r>
      <w:r>
        <w:rPr>
          <w:sz w:val="20"/>
        </w:rPr>
        <w:t>(2015), paras 5.77-5.78.</w:t>
      </w:r>
    </w:p>
    <w:p>
      <w:pPr>
        <w:pStyle w:val="BodyText"/>
        <w:spacing w:before="6"/>
      </w:pPr>
    </w:p>
    <w:p>
      <w:pPr>
        <w:tabs>
          <w:tab w:pos="705" w:val="left" w:leader="none"/>
        </w:tabs>
        <w:spacing w:before="0"/>
        <w:ind w:left="165" w:right="0" w:firstLine="0"/>
        <w:jc w:val="left"/>
        <w:rPr>
          <w:sz w:val="20"/>
        </w:rPr>
      </w:pPr>
      <w:bookmarkStart w:name="_bookmark1439" w:id="1441"/>
      <w:bookmarkEnd w:id="1441"/>
      <w:r>
        <w:rPr/>
      </w:r>
      <w:hyperlink w:history="true" w:anchor="_bookmark1401">
        <w:r>
          <w:rPr>
            <w:color w:val="005DA1"/>
            <w:spacing w:val="-4"/>
            <w:position w:val="5"/>
            <w:sz w:val="14"/>
            <w:u w:val="single" w:color="005DA1"/>
          </w:rPr>
          <w:t>740</w:t>
        </w:r>
      </w:hyperlink>
      <w:r>
        <w:rPr>
          <w:spacing w:val="-4"/>
          <w:position w:val="5"/>
          <w:sz w:val="14"/>
        </w:rPr>
        <w:t>.</w:t>
      </w:r>
      <w:r>
        <w:rPr>
          <w:position w:val="5"/>
          <w:sz w:val="14"/>
        </w:rPr>
        <w:tab/>
      </w:r>
      <w:r>
        <w:rPr>
          <w:sz w:val="20"/>
        </w:rPr>
        <w:t>Above, para.30-</w:t>
      </w:r>
      <w:r>
        <w:rPr>
          <w:spacing w:val="-4"/>
          <w:sz w:val="20"/>
        </w:rPr>
        <w:t>049.</w:t>
      </w:r>
    </w:p>
    <w:p>
      <w:pPr>
        <w:pStyle w:val="BodyText"/>
        <w:spacing w:before="5"/>
      </w:pPr>
    </w:p>
    <w:p>
      <w:pPr>
        <w:pStyle w:val="BodyText"/>
        <w:tabs>
          <w:tab w:pos="705" w:val="left" w:leader="none"/>
        </w:tabs>
        <w:ind w:left="165"/>
      </w:pPr>
      <w:bookmarkStart w:name="_bookmark1440" w:id="1442"/>
      <w:bookmarkEnd w:id="1442"/>
      <w:r>
        <w:rPr/>
      </w:r>
      <w:hyperlink w:history="true" w:anchor="_bookmark1402">
        <w:r>
          <w:rPr>
            <w:color w:val="005DA1"/>
            <w:spacing w:val="-4"/>
            <w:position w:val="5"/>
            <w:sz w:val="14"/>
            <w:u w:val="single" w:color="005DA1"/>
          </w:rPr>
          <w:t>741</w:t>
        </w:r>
      </w:hyperlink>
      <w:r>
        <w:rPr>
          <w:spacing w:val="-4"/>
          <w:position w:val="5"/>
          <w:sz w:val="14"/>
        </w:rPr>
        <w:t>.</w:t>
      </w:r>
      <w:r>
        <w:rPr>
          <w:position w:val="5"/>
          <w:sz w:val="14"/>
        </w:rPr>
        <w:tab/>
      </w:r>
      <w:r>
        <w:rPr/>
        <w:t>Above,</w:t>
      </w:r>
      <w:r>
        <w:rPr>
          <w:spacing w:val="-2"/>
        </w:rPr>
        <w:t> </w:t>
      </w:r>
      <w:r>
        <w:rPr/>
        <w:t>paras 30-050 et </w:t>
      </w:r>
      <w:r>
        <w:rPr>
          <w:spacing w:val="-4"/>
        </w:rPr>
        <w:t>seq.</w:t>
      </w:r>
    </w:p>
    <w:p>
      <w:pPr>
        <w:pStyle w:val="BodyText"/>
        <w:spacing w:before="8"/>
      </w:pPr>
    </w:p>
    <w:p>
      <w:pPr>
        <w:spacing w:line="235" w:lineRule="auto" w:before="1"/>
        <w:ind w:left="705" w:right="167" w:hanging="541"/>
        <w:jc w:val="both"/>
        <w:rPr>
          <w:sz w:val="20"/>
        </w:rPr>
      </w:pPr>
      <w:bookmarkStart w:name="_bookmark1441" w:id="1443"/>
      <w:bookmarkEnd w:id="1443"/>
      <w:r>
        <w:rPr/>
      </w:r>
      <w:hyperlink w:history="true" w:anchor="_bookmark1403">
        <w:r>
          <w:rPr>
            <w:color w:val="005DA1"/>
            <w:position w:val="5"/>
            <w:sz w:val="14"/>
            <w:u w:val="single" w:color="005DA1"/>
          </w:rPr>
          <w:t>742</w:t>
        </w:r>
      </w:hyperlink>
      <w:r>
        <w:rPr>
          <w:position w:val="5"/>
          <w:sz w:val="14"/>
        </w:rPr>
        <w:t>.</w:t>
      </w:r>
      <w:r>
        <w:rPr>
          <w:spacing w:val="80"/>
          <w:position w:val="5"/>
          <w:sz w:val="14"/>
        </w:rPr>
        <w:t>  </w:t>
      </w:r>
      <w:r>
        <w:rPr>
          <w:sz w:val="20"/>
        </w:rPr>
        <w:t>There is no Recital in the Regulation which indicates that this is the intention. cf. Dicey, </w:t>
      </w:r>
      <w:r>
        <w:rPr>
          <w:sz w:val="20"/>
        </w:rPr>
        <w:t>Morris and Collins, 15th edn (2012), p.1809, n.217 (no significance in change of language in Rome I which was intended to bring the English and German text into line with the French text of the Rome Convention). The same view was expressed in </w:t>
      </w:r>
      <w:r>
        <w:rPr>
          <w:rFonts w:ascii="Arial" w:hAnsi="Arial"/>
          <w:i/>
          <w:sz w:val="20"/>
        </w:rPr>
        <w:t>Lawlor v Sandvik Mining and</w:t>
      </w:r>
      <w:r>
        <w:rPr>
          <w:rFonts w:ascii="Arial" w:hAnsi="Arial"/>
          <w:i/>
          <w:spacing w:val="40"/>
          <w:sz w:val="20"/>
        </w:rPr>
        <w:t> </w:t>
      </w:r>
      <w:r>
        <w:rPr>
          <w:rFonts w:ascii="Arial" w:hAnsi="Arial"/>
          <w:i/>
          <w:sz w:val="20"/>
        </w:rPr>
        <w:t>Construction Mobile Crushers &amp; Screens Ltd [2013] EWCA Civ 365 </w:t>
      </w:r>
      <w:r>
        <w:rPr>
          <w:sz w:val="20"/>
        </w:rPr>
        <w:t>at [3], relying on this authority. And see </w:t>
      </w:r>
      <w:r>
        <w:rPr>
          <w:rFonts w:ascii="Arial" w:hAnsi="Arial"/>
          <w:i/>
          <w:sz w:val="20"/>
        </w:rPr>
        <w:t>Caresse Navigation Ltd v Office National De L’Electricite [2013] EWHC 3081 (Comm), [2014] 1 Lloyd’s Rep. 337</w:t>
      </w:r>
      <w:r>
        <w:rPr>
          <w:sz w:val="20"/>
        </w:rPr>
        <w:t>.</w:t>
      </w:r>
    </w:p>
    <w:p>
      <w:pPr>
        <w:spacing w:after="0" w:line="235" w:lineRule="auto"/>
        <w:jc w:val="both"/>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1404">
        <w:r>
          <w:rPr>
            <w:color w:val="005DA1"/>
            <w:spacing w:val="-4"/>
            <w:position w:val="5"/>
            <w:sz w:val="14"/>
            <w:u w:val="single" w:color="005DA1"/>
          </w:rPr>
          <w:t>743</w:t>
        </w:r>
      </w:hyperlink>
      <w:r>
        <w:rPr>
          <w:spacing w:val="-4"/>
          <w:position w:val="5"/>
          <w:sz w:val="14"/>
        </w:rPr>
        <w:t>.</w:t>
      </w:r>
      <w:r>
        <w:rPr>
          <w:position w:val="5"/>
          <w:sz w:val="14"/>
        </w:rPr>
        <w:tab/>
      </w:r>
      <w:r>
        <w:rPr/>
        <w:t>See Consultation Paper, </w:t>
      </w:r>
      <w:r>
        <w:rPr>
          <w:spacing w:val="-2"/>
        </w:rPr>
        <w:t>para.50.</w:t>
      </w:r>
    </w:p>
    <w:p>
      <w:pPr>
        <w:pStyle w:val="BodyText"/>
        <w:spacing w:before="5"/>
      </w:pPr>
    </w:p>
    <w:p>
      <w:pPr>
        <w:tabs>
          <w:tab w:pos="705" w:val="left" w:leader="none"/>
        </w:tabs>
        <w:spacing w:before="1"/>
        <w:ind w:left="165" w:right="0" w:firstLine="0"/>
        <w:jc w:val="left"/>
        <w:rPr>
          <w:sz w:val="20"/>
        </w:rPr>
      </w:pPr>
      <w:bookmarkStart w:name="_bookmark1442" w:id="1444"/>
      <w:bookmarkEnd w:id="1444"/>
      <w:r>
        <w:rPr/>
      </w:r>
      <w:hyperlink w:history="true" w:anchor="_bookmark1405">
        <w:r>
          <w:rPr>
            <w:color w:val="005DA1"/>
            <w:spacing w:val="-4"/>
            <w:position w:val="5"/>
            <w:sz w:val="14"/>
            <w:u w:val="single" w:color="005DA1"/>
          </w:rPr>
          <w:t>744</w:t>
        </w:r>
      </w:hyperlink>
      <w:r>
        <w:rPr>
          <w:spacing w:val="-4"/>
          <w:position w:val="5"/>
          <w:sz w:val="14"/>
        </w:rPr>
        <w:t>.</w:t>
      </w:r>
      <w:r>
        <w:rPr>
          <w:position w:val="5"/>
          <w:sz w:val="14"/>
        </w:rPr>
        <w:tab/>
      </w:r>
      <w:r>
        <w:rPr>
          <w:sz w:val="20"/>
        </w:rPr>
        <w:t>See Morse,</w:t>
      </w:r>
      <w:r>
        <w:rPr>
          <w:spacing w:val="-1"/>
          <w:sz w:val="20"/>
        </w:rPr>
        <w:t> </w:t>
      </w:r>
      <w:r>
        <w:rPr>
          <w:rFonts w:ascii="Arial"/>
          <w:i/>
          <w:sz w:val="20"/>
        </w:rPr>
        <w:t>The Enforcement of International Contracts in the European Union</w:t>
      </w:r>
      <w:r>
        <w:rPr>
          <w:rFonts w:ascii="Arial"/>
          <w:i/>
          <w:spacing w:val="-1"/>
          <w:sz w:val="20"/>
        </w:rPr>
        <w:t> </w:t>
      </w:r>
      <w:r>
        <w:rPr>
          <w:sz w:val="20"/>
        </w:rPr>
        <w:t>(2004), </w:t>
      </w:r>
      <w:r>
        <w:rPr>
          <w:spacing w:val="-2"/>
          <w:sz w:val="20"/>
        </w:rPr>
        <w:t>p.191.</w:t>
      </w:r>
    </w:p>
    <w:p>
      <w:pPr>
        <w:pStyle w:val="BodyText"/>
        <w:spacing w:before="8"/>
      </w:pPr>
    </w:p>
    <w:p>
      <w:pPr>
        <w:spacing w:line="235" w:lineRule="auto" w:before="0"/>
        <w:ind w:left="705" w:right="167" w:hanging="541"/>
        <w:jc w:val="both"/>
        <w:rPr>
          <w:sz w:val="20"/>
        </w:rPr>
      </w:pPr>
      <w:bookmarkStart w:name="_bookmark1443" w:id="1445"/>
      <w:bookmarkEnd w:id="1445"/>
      <w:r>
        <w:rPr/>
      </w:r>
      <w:hyperlink w:history="true" w:anchor="_bookmark1406">
        <w:r>
          <w:rPr>
            <w:color w:val="005DA1"/>
            <w:position w:val="5"/>
            <w:sz w:val="14"/>
            <w:u w:val="single" w:color="005DA1"/>
          </w:rPr>
          <w:t>745</w:t>
        </w:r>
      </w:hyperlink>
      <w:r>
        <w:rPr>
          <w:position w:val="5"/>
          <w:sz w:val="14"/>
        </w:rPr>
        <w:t>.</w:t>
      </w:r>
      <w:r>
        <w:rPr>
          <w:spacing w:val="40"/>
          <w:position w:val="5"/>
          <w:sz w:val="14"/>
        </w:rPr>
        <w:t>  </w:t>
      </w:r>
      <w:r>
        <w:rPr>
          <w:sz w:val="20"/>
        </w:rPr>
        <w:t>What</w:t>
      </w:r>
      <w:r>
        <w:rPr>
          <w:spacing w:val="-1"/>
          <w:sz w:val="20"/>
        </w:rPr>
        <w:t> </w:t>
      </w:r>
      <w:r>
        <w:rPr>
          <w:sz w:val="20"/>
        </w:rPr>
        <w:t>were</w:t>
      </w:r>
      <w:r>
        <w:rPr>
          <w:spacing w:val="-1"/>
          <w:sz w:val="20"/>
        </w:rPr>
        <w:t> </w:t>
      </w:r>
      <w:r>
        <w:rPr>
          <w:sz w:val="20"/>
        </w:rPr>
        <w:t>“marginal”</w:t>
      </w:r>
      <w:r>
        <w:rPr>
          <w:spacing w:val="-1"/>
          <w:sz w:val="20"/>
        </w:rPr>
        <w:t> </w:t>
      </w:r>
      <w:r>
        <w:rPr>
          <w:sz w:val="20"/>
        </w:rPr>
        <w:t>cases</w:t>
      </w:r>
      <w:r>
        <w:rPr>
          <w:spacing w:val="-1"/>
          <w:sz w:val="20"/>
        </w:rPr>
        <w:t> </w:t>
      </w:r>
      <w:r>
        <w:rPr>
          <w:sz w:val="20"/>
        </w:rPr>
        <w:t>under</w:t>
      </w:r>
      <w:r>
        <w:rPr>
          <w:spacing w:val="-1"/>
          <w:sz w:val="20"/>
        </w:rPr>
        <w:t> </w:t>
      </w:r>
      <w:r>
        <w:rPr>
          <w:sz w:val="20"/>
        </w:rPr>
        <w:t>the</w:t>
      </w:r>
      <w:r>
        <w:rPr>
          <w:spacing w:val="-1"/>
          <w:sz w:val="20"/>
        </w:rPr>
        <w:t> </w:t>
      </w:r>
      <w:r>
        <w:rPr>
          <w:sz w:val="20"/>
        </w:rPr>
        <w:t>Rome</w:t>
      </w:r>
      <w:r>
        <w:rPr>
          <w:spacing w:val="-1"/>
          <w:sz w:val="20"/>
        </w:rPr>
        <w:t> </w:t>
      </w:r>
      <w:r>
        <w:rPr>
          <w:sz w:val="20"/>
        </w:rPr>
        <w:t>Convention</w:t>
      </w:r>
      <w:r>
        <w:rPr>
          <w:spacing w:val="-1"/>
          <w:sz w:val="20"/>
        </w:rPr>
        <w:t> </w:t>
      </w:r>
      <w:r>
        <w:rPr>
          <w:sz w:val="20"/>
        </w:rPr>
        <w:t>might</w:t>
      </w:r>
      <w:r>
        <w:rPr>
          <w:spacing w:val="-1"/>
          <w:sz w:val="20"/>
        </w:rPr>
        <w:t> </w:t>
      </w:r>
      <w:r>
        <w:rPr>
          <w:sz w:val="20"/>
        </w:rPr>
        <w:t>be</w:t>
      </w:r>
      <w:r>
        <w:rPr>
          <w:spacing w:val="-1"/>
          <w:sz w:val="20"/>
        </w:rPr>
        <w:t> </w:t>
      </w:r>
      <w:r>
        <w:rPr>
          <w:sz w:val="20"/>
        </w:rPr>
        <w:t>decided</w:t>
      </w:r>
      <w:r>
        <w:rPr>
          <w:spacing w:val="-1"/>
          <w:sz w:val="20"/>
        </w:rPr>
        <w:t> </w:t>
      </w:r>
      <w:r>
        <w:rPr>
          <w:sz w:val="20"/>
        </w:rPr>
        <w:t>differently</w:t>
      </w:r>
      <w:r>
        <w:rPr>
          <w:spacing w:val="-1"/>
          <w:sz w:val="20"/>
        </w:rPr>
        <w:t> </w:t>
      </w:r>
      <w:r>
        <w:rPr>
          <w:sz w:val="20"/>
        </w:rPr>
        <w:t>under</w:t>
      </w:r>
      <w:r>
        <w:rPr>
          <w:spacing w:val="-1"/>
          <w:sz w:val="20"/>
        </w:rPr>
        <w:t> </w:t>
      </w:r>
      <w:r>
        <w:rPr>
          <w:sz w:val="20"/>
        </w:rPr>
        <w:t>the Regulation: see, e.g. </w:t>
      </w:r>
      <w:r>
        <w:rPr>
          <w:rFonts w:ascii="Arial" w:hAnsi="Arial"/>
          <w:i/>
          <w:sz w:val="20"/>
        </w:rPr>
        <w:t>Marubeni Hong Kong and South China Ltd v Mongolian Government [2002] 2 All E.R (Comm) 873</w:t>
      </w:r>
      <w:r>
        <w:rPr>
          <w:sz w:val="20"/>
        </w:rPr>
        <w:t>. But whether this would be an inevitable or, indeed, desirable, outcome is far from clear.</w:t>
      </w:r>
    </w:p>
    <w:p>
      <w:pPr>
        <w:pStyle w:val="BodyText"/>
        <w:spacing w:before="5"/>
      </w:pPr>
    </w:p>
    <w:p>
      <w:pPr>
        <w:pStyle w:val="BodyText"/>
        <w:tabs>
          <w:tab w:pos="705" w:val="left" w:leader="none"/>
        </w:tabs>
        <w:ind w:left="165"/>
      </w:pPr>
      <w:bookmarkStart w:name="_bookmark1444" w:id="1446"/>
      <w:bookmarkEnd w:id="1446"/>
      <w:r>
        <w:rPr/>
      </w:r>
      <w:hyperlink w:history="true" w:anchor="_bookmark1407">
        <w:r>
          <w:rPr>
            <w:color w:val="005DA1"/>
            <w:spacing w:val="-4"/>
            <w:position w:val="5"/>
            <w:sz w:val="14"/>
            <w:u w:val="single" w:color="005DA1"/>
          </w:rPr>
          <w:t>746</w:t>
        </w:r>
      </w:hyperlink>
      <w:r>
        <w:rPr>
          <w:spacing w:val="-4"/>
          <w:position w:val="5"/>
          <w:sz w:val="14"/>
        </w:rPr>
        <w:t>.</w:t>
      </w:r>
      <w:r>
        <w:rPr>
          <w:position w:val="5"/>
          <w:sz w:val="14"/>
        </w:rPr>
        <w:tab/>
      </w:r>
      <w:r>
        <w:rPr/>
        <w:t>Above,</w:t>
      </w:r>
      <w:r>
        <w:rPr>
          <w:spacing w:val="-2"/>
        </w:rPr>
        <w:t> </w:t>
      </w:r>
      <w:r>
        <w:rPr/>
        <w:t>paras 30-050 et </w:t>
      </w:r>
      <w:r>
        <w:rPr>
          <w:spacing w:val="-4"/>
        </w:rPr>
        <w:t>seq.</w:t>
      </w:r>
    </w:p>
    <w:p>
      <w:pPr>
        <w:pStyle w:val="BodyText"/>
        <w:spacing w:before="5"/>
      </w:pPr>
    </w:p>
    <w:p>
      <w:pPr>
        <w:pStyle w:val="BodyText"/>
        <w:tabs>
          <w:tab w:pos="705" w:val="left" w:leader="none"/>
        </w:tabs>
        <w:ind w:left="165"/>
      </w:pPr>
      <w:bookmarkStart w:name="_bookmark1445" w:id="1447"/>
      <w:bookmarkEnd w:id="1447"/>
      <w:r>
        <w:rPr/>
      </w:r>
      <w:hyperlink w:history="true" w:anchor="_bookmark1408">
        <w:r>
          <w:rPr>
            <w:color w:val="005DA1"/>
            <w:spacing w:val="-4"/>
            <w:position w:val="5"/>
            <w:sz w:val="14"/>
            <w:u w:val="single" w:color="005DA1"/>
          </w:rPr>
          <w:t>747</w:t>
        </w:r>
      </w:hyperlink>
      <w:r>
        <w:rPr>
          <w:spacing w:val="-4"/>
          <w:position w:val="5"/>
          <w:sz w:val="14"/>
        </w:rPr>
        <w:t>.</w:t>
      </w:r>
      <w:r>
        <w:rPr>
          <w:position w:val="5"/>
          <w:sz w:val="14"/>
        </w:rPr>
        <w:tab/>
      </w:r>
      <w:r>
        <w:rPr/>
        <w:t>It is not clear whether this means that a non-exclusive jurisdiction clause cannot be </w:t>
      </w:r>
      <w:r>
        <w:rPr>
          <w:spacing w:val="-2"/>
        </w:rPr>
        <w:t>relevant.</w:t>
      </w:r>
    </w:p>
    <w:p>
      <w:pPr>
        <w:pStyle w:val="BodyText"/>
        <w:spacing w:before="5"/>
      </w:pPr>
    </w:p>
    <w:p>
      <w:pPr>
        <w:pStyle w:val="BodyText"/>
        <w:tabs>
          <w:tab w:pos="705" w:val="left" w:leader="none"/>
        </w:tabs>
        <w:ind w:left="165"/>
      </w:pPr>
      <w:bookmarkStart w:name="_bookmark1446" w:id="1448"/>
      <w:bookmarkEnd w:id="1448"/>
      <w:r>
        <w:rPr/>
      </w:r>
      <w:hyperlink w:history="true" w:anchor="_bookmark1409">
        <w:r>
          <w:rPr>
            <w:color w:val="005DA1"/>
            <w:spacing w:val="-4"/>
            <w:position w:val="5"/>
            <w:sz w:val="14"/>
            <w:u w:val="single" w:color="005DA1"/>
          </w:rPr>
          <w:t>748</w:t>
        </w:r>
      </w:hyperlink>
      <w:r>
        <w:rPr>
          <w:spacing w:val="-4"/>
          <w:position w:val="5"/>
          <w:sz w:val="14"/>
        </w:rPr>
        <w:t>.</w:t>
      </w:r>
      <w:r>
        <w:rPr>
          <w:position w:val="5"/>
          <w:sz w:val="14"/>
        </w:rPr>
        <w:tab/>
      </w:r>
      <w:r>
        <w:rPr/>
        <w:t>Above, para.30-051. As to the relevance of subsequent conduct, see above, para.30-</w:t>
      </w:r>
      <w:r>
        <w:rPr>
          <w:spacing w:val="-4"/>
        </w:rPr>
        <w:t>053.</w:t>
      </w:r>
    </w:p>
    <w:p>
      <w:pPr>
        <w:pStyle w:val="BodyText"/>
        <w:spacing w:before="5"/>
      </w:pPr>
    </w:p>
    <w:p>
      <w:pPr>
        <w:pStyle w:val="BodyText"/>
        <w:tabs>
          <w:tab w:pos="705" w:val="left" w:leader="none"/>
        </w:tabs>
        <w:ind w:left="165"/>
      </w:pPr>
      <w:bookmarkStart w:name="_bookmark1447" w:id="1449"/>
      <w:bookmarkEnd w:id="1449"/>
      <w:r>
        <w:rPr/>
      </w:r>
      <w:hyperlink w:history="true" w:anchor="_bookmark1410">
        <w:r>
          <w:rPr>
            <w:color w:val="005DA1"/>
            <w:spacing w:val="-4"/>
            <w:position w:val="5"/>
            <w:sz w:val="14"/>
            <w:u w:val="single" w:color="005DA1"/>
          </w:rPr>
          <w:t>749</w:t>
        </w:r>
      </w:hyperlink>
      <w:r>
        <w:rPr>
          <w:spacing w:val="-4"/>
          <w:position w:val="5"/>
          <w:sz w:val="14"/>
        </w:rPr>
        <w:t>.</w:t>
      </w:r>
      <w:r>
        <w:rPr>
          <w:position w:val="5"/>
          <w:sz w:val="14"/>
        </w:rPr>
        <w:tab/>
      </w:r>
      <w:r>
        <w:rPr/>
        <w:t>Above,</w:t>
      </w:r>
      <w:r>
        <w:rPr>
          <w:spacing w:val="-2"/>
        </w:rPr>
        <w:t> </w:t>
      </w:r>
      <w:r>
        <w:rPr/>
        <w:t>paras 30-055 et </w:t>
      </w:r>
      <w:r>
        <w:rPr>
          <w:spacing w:val="-4"/>
        </w:rPr>
        <w:t>seq.</w:t>
      </w:r>
    </w:p>
    <w:p>
      <w:pPr>
        <w:pStyle w:val="BodyText"/>
        <w:spacing w:before="9"/>
      </w:pPr>
    </w:p>
    <w:p>
      <w:pPr>
        <w:tabs>
          <w:tab w:pos="705" w:val="left" w:leader="none"/>
        </w:tabs>
        <w:spacing w:line="235" w:lineRule="auto" w:before="0"/>
        <w:ind w:left="705" w:right="168" w:hanging="541"/>
        <w:jc w:val="left"/>
        <w:rPr>
          <w:sz w:val="20"/>
        </w:rPr>
      </w:pPr>
      <w:bookmarkStart w:name="_bookmark1448" w:id="1450"/>
      <w:bookmarkEnd w:id="1450"/>
      <w:r>
        <w:rPr/>
      </w:r>
      <w:hyperlink w:history="true" w:anchor="_bookmark1411">
        <w:r>
          <w:rPr>
            <w:color w:val="005DA1"/>
            <w:spacing w:val="-4"/>
            <w:position w:val="5"/>
            <w:sz w:val="14"/>
            <w:u w:val="single" w:color="005DA1"/>
          </w:rPr>
          <w:t>750</w:t>
        </w:r>
      </w:hyperlink>
      <w:r>
        <w:rPr>
          <w:spacing w:val="-4"/>
          <w:position w:val="5"/>
          <w:sz w:val="14"/>
        </w:rPr>
        <w:t>.</w:t>
      </w:r>
      <w:r>
        <w:rPr>
          <w:position w:val="5"/>
          <w:sz w:val="14"/>
        </w:rPr>
        <w:tab/>
      </w:r>
      <w:r>
        <w:rPr>
          <w:sz w:val="20"/>
        </w:rPr>
        <w:t>Above, para.30-057. This provision was discussed and applied in </w:t>
      </w:r>
      <w:r>
        <w:rPr>
          <w:rFonts w:ascii="Arial"/>
          <w:i/>
          <w:sz w:val="20"/>
        </w:rPr>
        <w:t>Re Apcoa Parking Holdings GmbH [2014] EWHC 3849 (Ch)</w:t>
      </w:r>
      <w:r>
        <w:rPr>
          <w:sz w:val="20"/>
        </w:rPr>
        <w:t>.</w:t>
      </w:r>
    </w:p>
    <w:p>
      <w:pPr>
        <w:pStyle w:val="BodyText"/>
        <w:spacing w:before="9"/>
      </w:pPr>
    </w:p>
    <w:p>
      <w:pPr>
        <w:pStyle w:val="BodyText"/>
        <w:tabs>
          <w:tab w:pos="705" w:val="left" w:leader="none"/>
        </w:tabs>
        <w:spacing w:line="235" w:lineRule="auto"/>
        <w:ind w:left="705" w:right="168" w:hanging="541"/>
      </w:pPr>
      <w:bookmarkStart w:name="_bookmark1449" w:id="1451"/>
      <w:bookmarkEnd w:id="1451"/>
      <w:r>
        <w:rPr/>
      </w:r>
      <w:hyperlink w:history="true" w:anchor="_bookmark1412">
        <w:r>
          <w:rPr>
            <w:color w:val="005DA1"/>
            <w:spacing w:val="-4"/>
            <w:position w:val="5"/>
            <w:sz w:val="14"/>
            <w:u w:val="single" w:color="005DA1"/>
          </w:rPr>
          <w:t>751</w:t>
        </w:r>
      </w:hyperlink>
      <w:r>
        <w:rPr>
          <w:spacing w:val="-4"/>
          <w:position w:val="5"/>
          <w:sz w:val="14"/>
        </w:rPr>
        <w:t>.</w:t>
      </w:r>
      <w:r>
        <w:rPr>
          <w:position w:val="5"/>
          <w:sz w:val="14"/>
        </w:rPr>
        <w:tab/>
      </w:r>
      <w:r>
        <w:rPr/>
        <w:t>Above,</w:t>
      </w:r>
      <w:r>
        <w:rPr>
          <w:spacing w:val="-1"/>
        </w:rPr>
        <w:t> </w:t>
      </w:r>
      <w:r>
        <w:rPr/>
        <w:t>paras</w:t>
      </w:r>
      <w:r>
        <w:rPr>
          <w:spacing w:val="-1"/>
        </w:rPr>
        <w:t> </w:t>
      </w:r>
      <w:r>
        <w:rPr/>
        <w:t>30-060</w:t>
      </w:r>
      <w:r>
        <w:rPr>
          <w:spacing w:val="-1"/>
        </w:rPr>
        <w:t> </w:t>
      </w:r>
      <w:r>
        <w:rPr/>
        <w:t>et</w:t>
      </w:r>
      <w:r>
        <w:rPr>
          <w:spacing w:val="-1"/>
        </w:rPr>
        <w:t> </w:t>
      </w:r>
      <w:r>
        <w:rPr/>
        <w:t>seq.;</w:t>
      </w:r>
      <w:r>
        <w:rPr>
          <w:spacing w:val="-1"/>
        </w:rPr>
        <w:t> </w:t>
      </w:r>
      <w:r>
        <w:rPr/>
        <w:t>Plender</w:t>
      </w:r>
      <w:r>
        <w:rPr>
          <w:spacing w:val="-1"/>
        </w:rPr>
        <w:t> </w:t>
      </w:r>
      <w:r>
        <w:rPr/>
        <w:t>and</w:t>
      </w:r>
      <w:r>
        <w:rPr>
          <w:spacing w:val="-1"/>
        </w:rPr>
        <w:t> </w:t>
      </w:r>
      <w:r>
        <w:rPr/>
        <w:t>Wilderspin,</w:t>
      </w:r>
      <w:r>
        <w:rPr>
          <w:spacing w:val="-1"/>
        </w:rPr>
        <w:t> </w:t>
      </w:r>
      <w:r>
        <w:rPr/>
        <w:t>4th</w:t>
      </w:r>
      <w:r>
        <w:rPr>
          <w:spacing w:val="-1"/>
        </w:rPr>
        <w:t> </w:t>
      </w:r>
      <w:r>
        <w:rPr/>
        <w:t>edn</w:t>
      </w:r>
      <w:r>
        <w:rPr>
          <w:spacing w:val="-1"/>
        </w:rPr>
        <w:t> </w:t>
      </w:r>
      <w:r>
        <w:rPr/>
        <w:t>(2015),</w:t>
      </w:r>
      <w:r>
        <w:rPr>
          <w:spacing w:val="-1"/>
        </w:rPr>
        <w:t> </w:t>
      </w:r>
      <w:r>
        <w:rPr/>
        <w:t>pp.163</w:t>
      </w:r>
      <w:r>
        <w:rPr>
          <w:spacing w:val="-1"/>
        </w:rPr>
        <w:t> </w:t>
      </w:r>
      <w:r>
        <w:rPr/>
        <w:t>et</w:t>
      </w:r>
      <w:r>
        <w:rPr>
          <w:spacing w:val="-1"/>
        </w:rPr>
        <w:t> </w:t>
      </w:r>
      <w:r>
        <w:rPr/>
        <w:t>seq.;</w:t>
      </w:r>
      <w:r>
        <w:rPr>
          <w:spacing w:val="-1"/>
        </w:rPr>
        <w:t> </w:t>
      </w:r>
      <w:r>
        <w:rPr/>
        <w:t>Cheshire, North and Fawcett, pp.694 et seq.; Bonomi (2008) 10 Y.B.I.L. 285.</w:t>
      </w:r>
    </w:p>
    <w:p>
      <w:pPr>
        <w:pStyle w:val="BodyText"/>
        <w:spacing w:before="6"/>
      </w:pPr>
    </w:p>
    <w:p>
      <w:pPr>
        <w:tabs>
          <w:tab w:pos="705" w:val="left" w:leader="none"/>
        </w:tabs>
        <w:spacing w:before="0"/>
        <w:ind w:left="165" w:right="0" w:firstLine="0"/>
        <w:jc w:val="left"/>
        <w:rPr>
          <w:sz w:val="20"/>
        </w:rPr>
      </w:pPr>
      <w:bookmarkStart w:name="_bookmark1450" w:id="1452"/>
      <w:bookmarkEnd w:id="1452"/>
      <w:r>
        <w:rPr/>
      </w:r>
      <w:hyperlink w:history="true" w:anchor="_bookmark1413">
        <w:r>
          <w:rPr>
            <w:color w:val="005DA1"/>
            <w:spacing w:val="-4"/>
            <w:position w:val="5"/>
            <w:sz w:val="14"/>
            <w:u w:val="single" w:color="005DA1"/>
          </w:rPr>
          <w:t>752</w:t>
        </w:r>
      </w:hyperlink>
      <w:r>
        <w:rPr>
          <w:spacing w:val="-4"/>
          <w:position w:val="5"/>
          <w:sz w:val="14"/>
        </w:rPr>
        <w:t>.</w:t>
      </w:r>
      <w:r>
        <w:rPr>
          <w:position w:val="5"/>
          <w:sz w:val="14"/>
        </w:rPr>
        <w:tab/>
      </w:r>
      <w:r>
        <w:rPr>
          <w:sz w:val="20"/>
        </w:rPr>
        <w:t>Rome I </w:t>
      </w:r>
      <w:r>
        <w:rPr>
          <w:spacing w:val="-2"/>
          <w:sz w:val="20"/>
        </w:rPr>
        <w:t>art.3(3).</w:t>
      </w:r>
    </w:p>
    <w:p>
      <w:pPr>
        <w:pStyle w:val="BodyText"/>
        <w:spacing w:before="5"/>
      </w:pPr>
    </w:p>
    <w:p>
      <w:pPr>
        <w:tabs>
          <w:tab w:pos="705" w:val="left" w:leader="none"/>
        </w:tabs>
        <w:spacing w:before="0"/>
        <w:ind w:left="165" w:right="0" w:firstLine="0"/>
        <w:jc w:val="left"/>
        <w:rPr>
          <w:sz w:val="20"/>
        </w:rPr>
      </w:pPr>
      <w:bookmarkStart w:name="_bookmark1451" w:id="1453"/>
      <w:bookmarkEnd w:id="1453"/>
      <w:r>
        <w:rPr/>
      </w:r>
      <w:hyperlink w:history="true" w:anchor="_bookmark1414">
        <w:r>
          <w:rPr>
            <w:color w:val="005DA1"/>
            <w:spacing w:val="-4"/>
            <w:position w:val="5"/>
            <w:sz w:val="14"/>
            <w:u w:val="single" w:color="005DA1"/>
          </w:rPr>
          <w:t>753</w:t>
        </w:r>
      </w:hyperlink>
      <w:r>
        <w:rPr>
          <w:spacing w:val="-4"/>
          <w:position w:val="5"/>
          <w:sz w:val="14"/>
        </w:rPr>
        <w:t>.</w:t>
      </w:r>
      <w:r>
        <w:rPr>
          <w:position w:val="5"/>
          <w:sz w:val="14"/>
        </w:rPr>
        <w:tab/>
      </w:r>
      <w:r>
        <w:rPr>
          <w:sz w:val="20"/>
        </w:rPr>
        <w:t>Rome I </w:t>
      </w:r>
      <w:r>
        <w:rPr>
          <w:spacing w:val="-2"/>
          <w:sz w:val="20"/>
        </w:rPr>
        <w:t>art.3(4).</w:t>
      </w:r>
    </w:p>
    <w:p>
      <w:pPr>
        <w:pStyle w:val="BodyText"/>
        <w:spacing w:before="5"/>
      </w:pPr>
    </w:p>
    <w:p>
      <w:pPr>
        <w:tabs>
          <w:tab w:pos="705" w:val="left" w:leader="none"/>
        </w:tabs>
        <w:spacing w:before="0"/>
        <w:ind w:left="165" w:right="0" w:firstLine="0"/>
        <w:jc w:val="left"/>
        <w:rPr>
          <w:sz w:val="20"/>
        </w:rPr>
      </w:pPr>
      <w:bookmarkStart w:name="_bookmark1452" w:id="1454"/>
      <w:bookmarkEnd w:id="1454"/>
      <w:r>
        <w:rPr/>
      </w:r>
      <w:hyperlink w:history="true" w:anchor="_bookmark1415">
        <w:r>
          <w:rPr>
            <w:color w:val="005DA1"/>
            <w:spacing w:val="-4"/>
            <w:position w:val="5"/>
            <w:sz w:val="14"/>
            <w:u w:val="single" w:color="005DA1"/>
          </w:rPr>
          <w:t>754</w:t>
        </w:r>
      </w:hyperlink>
      <w:r>
        <w:rPr>
          <w:spacing w:val="-4"/>
          <w:position w:val="5"/>
          <w:sz w:val="14"/>
        </w:rPr>
        <w:t>.</w:t>
      </w:r>
      <w:r>
        <w:rPr>
          <w:position w:val="5"/>
          <w:sz w:val="14"/>
        </w:rPr>
        <w:tab/>
      </w:r>
      <w:r>
        <w:rPr>
          <w:sz w:val="20"/>
        </w:rPr>
        <w:t>Rome I </w:t>
      </w:r>
      <w:r>
        <w:rPr>
          <w:spacing w:val="-2"/>
          <w:sz w:val="20"/>
        </w:rPr>
        <w:t>art.9.</w:t>
      </w:r>
    </w:p>
    <w:p>
      <w:pPr>
        <w:pStyle w:val="BodyText"/>
        <w:spacing w:before="5"/>
      </w:pPr>
    </w:p>
    <w:p>
      <w:pPr>
        <w:tabs>
          <w:tab w:pos="705" w:val="left" w:leader="none"/>
        </w:tabs>
        <w:spacing w:before="0"/>
        <w:ind w:left="165" w:right="0" w:firstLine="0"/>
        <w:jc w:val="left"/>
        <w:rPr>
          <w:sz w:val="20"/>
        </w:rPr>
      </w:pPr>
      <w:bookmarkStart w:name="_bookmark1453" w:id="1455"/>
      <w:bookmarkEnd w:id="1455"/>
      <w:r>
        <w:rPr/>
      </w:r>
      <w:hyperlink w:history="true" w:anchor="_bookmark1415">
        <w:r>
          <w:rPr>
            <w:color w:val="005DA1"/>
            <w:spacing w:val="-4"/>
            <w:position w:val="5"/>
            <w:sz w:val="14"/>
            <w:u w:val="single" w:color="005DA1"/>
          </w:rPr>
          <w:t>755</w:t>
        </w:r>
      </w:hyperlink>
      <w:r>
        <w:rPr>
          <w:spacing w:val="-4"/>
          <w:position w:val="5"/>
          <w:sz w:val="14"/>
        </w:rPr>
        <w:t>.</w:t>
      </w:r>
      <w:r>
        <w:rPr>
          <w:position w:val="5"/>
          <w:sz w:val="14"/>
        </w:rPr>
        <w:tab/>
      </w:r>
      <w:r>
        <w:rPr>
          <w:sz w:val="20"/>
        </w:rPr>
        <w:t>Rome I </w:t>
      </w:r>
      <w:r>
        <w:rPr>
          <w:spacing w:val="-2"/>
          <w:sz w:val="20"/>
        </w:rPr>
        <w:t>art.21.</w:t>
      </w:r>
    </w:p>
    <w:p>
      <w:pPr>
        <w:pStyle w:val="BodyText"/>
        <w:spacing w:before="5"/>
      </w:pPr>
    </w:p>
    <w:p>
      <w:pPr>
        <w:pStyle w:val="BodyText"/>
        <w:tabs>
          <w:tab w:pos="705" w:val="left" w:leader="none"/>
        </w:tabs>
        <w:ind w:left="165"/>
      </w:pPr>
      <w:bookmarkStart w:name="_bookmark1454" w:id="1456"/>
      <w:bookmarkEnd w:id="1456"/>
      <w:r>
        <w:rPr/>
      </w:r>
      <w:hyperlink w:history="true" w:anchor="_bookmark1416">
        <w:r>
          <w:rPr>
            <w:color w:val="005DA1"/>
            <w:spacing w:val="-4"/>
            <w:position w:val="5"/>
            <w:sz w:val="14"/>
            <w:u w:val="single" w:color="005DA1"/>
          </w:rPr>
          <w:t>756</w:t>
        </w:r>
      </w:hyperlink>
      <w:r>
        <w:rPr>
          <w:spacing w:val="-4"/>
          <w:position w:val="5"/>
          <w:sz w:val="14"/>
        </w:rPr>
        <w:t>.</w:t>
      </w:r>
      <w:r>
        <w:rPr>
          <w:position w:val="5"/>
          <w:sz w:val="14"/>
        </w:rPr>
        <w:tab/>
      </w:r>
      <w:r>
        <w:rPr/>
        <w:t>Recital 12 to the Rome I </w:t>
      </w:r>
      <w:r>
        <w:rPr>
          <w:spacing w:val="-2"/>
        </w:rPr>
        <w:t>Regulation.</w:t>
      </w:r>
    </w:p>
    <w:p>
      <w:pPr>
        <w:pStyle w:val="BodyText"/>
        <w:spacing w:before="5"/>
      </w:pPr>
    </w:p>
    <w:p>
      <w:pPr>
        <w:pStyle w:val="BodyText"/>
        <w:tabs>
          <w:tab w:pos="705" w:val="left" w:leader="none"/>
        </w:tabs>
        <w:ind w:left="165"/>
      </w:pPr>
      <w:bookmarkStart w:name="_bookmark1455" w:id="1457"/>
      <w:bookmarkEnd w:id="1457"/>
      <w:r>
        <w:rPr/>
      </w:r>
      <w:hyperlink w:history="true" w:anchor="_bookmark1417">
        <w:r>
          <w:rPr>
            <w:color w:val="005DA1"/>
            <w:spacing w:val="-4"/>
            <w:position w:val="5"/>
            <w:sz w:val="14"/>
            <w:u w:val="single" w:color="005DA1"/>
          </w:rPr>
          <w:t>757</w:t>
        </w:r>
      </w:hyperlink>
      <w:r>
        <w:rPr>
          <w:spacing w:val="-4"/>
          <w:position w:val="5"/>
          <w:sz w:val="14"/>
        </w:rPr>
        <w:t>.</w:t>
      </w:r>
      <w:r>
        <w:rPr>
          <w:position w:val="5"/>
          <w:sz w:val="14"/>
        </w:rPr>
        <w:tab/>
      </w:r>
      <w:r>
        <w:rPr/>
        <w:t>For discussion see Dicey, Morris and Collins, 15th edn (2012), para.32-</w:t>
      </w:r>
      <w:r>
        <w:rPr>
          <w:spacing w:val="-4"/>
        </w:rPr>
        <w:t>087.</w:t>
      </w:r>
    </w:p>
    <w:p>
      <w:pPr>
        <w:pStyle w:val="BodyText"/>
        <w:spacing w:before="5"/>
      </w:pPr>
    </w:p>
    <w:p>
      <w:pPr>
        <w:pStyle w:val="BodyText"/>
        <w:tabs>
          <w:tab w:pos="705" w:val="left" w:leader="none"/>
        </w:tabs>
        <w:ind w:left="165"/>
      </w:pPr>
      <w:bookmarkStart w:name="_bookmark1456" w:id="1458"/>
      <w:bookmarkEnd w:id="1458"/>
      <w:r>
        <w:rPr/>
      </w:r>
      <w:hyperlink w:history="true" w:anchor="_bookmark1418">
        <w:r>
          <w:rPr>
            <w:color w:val="005DA1"/>
            <w:spacing w:val="-4"/>
            <w:position w:val="5"/>
            <w:sz w:val="14"/>
            <w:u w:val="single" w:color="005DA1"/>
          </w:rPr>
          <w:t>758</w:t>
        </w:r>
      </w:hyperlink>
      <w:r>
        <w:rPr>
          <w:spacing w:val="-4"/>
          <w:position w:val="5"/>
          <w:sz w:val="14"/>
        </w:rPr>
        <w:t>.</w:t>
      </w:r>
      <w:r>
        <w:rPr>
          <w:position w:val="5"/>
          <w:sz w:val="14"/>
        </w:rPr>
        <w:tab/>
      </w:r>
      <w:r>
        <w:rPr/>
        <w:t>Above,</w:t>
      </w:r>
      <w:r>
        <w:rPr>
          <w:spacing w:val="-2"/>
        </w:rPr>
        <w:t> </w:t>
      </w:r>
      <w:r>
        <w:rPr/>
        <w:t>paras 30-060 et </w:t>
      </w:r>
      <w:r>
        <w:rPr>
          <w:spacing w:val="-4"/>
        </w:rPr>
        <w:t>seq.</w:t>
      </w:r>
    </w:p>
    <w:p>
      <w:pPr>
        <w:pStyle w:val="BodyText"/>
        <w:spacing w:before="5"/>
      </w:pPr>
    </w:p>
    <w:p>
      <w:pPr>
        <w:pStyle w:val="BodyText"/>
        <w:tabs>
          <w:tab w:pos="705" w:val="left" w:leader="none"/>
        </w:tabs>
        <w:ind w:left="165"/>
      </w:pPr>
      <w:bookmarkStart w:name="_bookmark1457" w:id="1459"/>
      <w:bookmarkEnd w:id="1459"/>
      <w:r>
        <w:rPr/>
      </w:r>
      <w:hyperlink w:history="true" w:anchor="_bookmark1419">
        <w:r>
          <w:rPr>
            <w:color w:val="005DA1"/>
            <w:spacing w:val="-4"/>
            <w:position w:val="5"/>
            <w:sz w:val="14"/>
            <w:u w:val="single" w:color="005DA1"/>
          </w:rPr>
          <w:t>759</w:t>
        </w:r>
      </w:hyperlink>
      <w:r>
        <w:rPr>
          <w:spacing w:val="-4"/>
          <w:position w:val="5"/>
          <w:sz w:val="14"/>
        </w:rPr>
        <w:t>.</w:t>
      </w:r>
      <w:r>
        <w:rPr>
          <w:position w:val="5"/>
          <w:sz w:val="14"/>
        </w:rPr>
        <w:tab/>
      </w:r>
      <w:r>
        <w:rPr/>
        <w:t>For discussion of this expression, see above, para.30-</w:t>
      </w:r>
      <w:r>
        <w:rPr>
          <w:spacing w:val="-4"/>
        </w:rPr>
        <w:t>061.</w:t>
      </w:r>
    </w:p>
    <w:p>
      <w:pPr>
        <w:pStyle w:val="BodyText"/>
        <w:spacing w:before="5"/>
      </w:pPr>
    </w:p>
    <w:p>
      <w:pPr>
        <w:tabs>
          <w:tab w:pos="705" w:val="left" w:leader="none"/>
        </w:tabs>
        <w:spacing w:before="0"/>
        <w:ind w:left="165" w:right="0" w:firstLine="0"/>
        <w:jc w:val="left"/>
        <w:rPr>
          <w:sz w:val="20"/>
        </w:rPr>
      </w:pPr>
      <w:bookmarkStart w:name="_bookmark1458" w:id="1460"/>
      <w:bookmarkEnd w:id="1460"/>
      <w:r>
        <w:rPr/>
      </w:r>
      <w:hyperlink w:history="true" w:anchor="_bookmark1420">
        <w:r>
          <w:rPr>
            <w:color w:val="005DA1"/>
            <w:spacing w:val="-4"/>
            <w:position w:val="5"/>
            <w:sz w:val="14"/>
            <w:u w:val="single" w:color="005DA1"/>
          </w:rPr>
          <w:t>760</w:t>
        </w:r>
      </w:hyperlink>
      <w:r>
        <w:rPr>
          <w:spacing w:val="-4"/>
          <w:position w:val="5"/>
          <w:sz w:val="14"/>
        </w:rPr>
        <w:t>.</w:t>
      </w:r>
      <w:r>
        <w:rPr>
          <w:position w:val="5"/>
          <w:sz w:val="14"/>
        </w:rPr>
        <w:tab/>
      </w:r>
      <w:r>
        <w:rPr>
          <w:sz w:val="20"/>
        </w:rPr>
        <w:t>cf.</w:t>
      </w:r>
      <w:r>
        <w:rPr>
          <w:spacing w:val="-2"/>
          <w:sz w:val="20"/>
        </w:rPr>
        <w:t> </w:t>
      </w:r>
      <w:r>
        <w:rPr>
          <w:rFonts w:ascii="Arial"/>
          <w:i/>
          <w:sz w:val="20"/>
        </w:rPr>
        <w:t>Ingmar GB Ltd v Eaton Leonard Technologies Inc (C-381/98) [2000] E.C.R. I-</w:t>
      </w:r>
      <w:r>
        <w:rPr>
          <w:rFonts w:ascii="Arial"/>
          <w:i/>
          <w:spacing w:val="-2"/>
          <w:sz w:val="20"/>
        </w:rPr>
        <w:t>9305</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459" w:id="1461"/>
      <w:bookmarkEnd w:id="1461"/>
      <w:r>
        <w:rPr/>
      </w:r>
      <w:hyperlink w:history="true" w:anchor="_bookmark1421">
        <w:r>
          <w:rPr>
            <w:color w:val="005DA1"/>
            <w:spacing w:val="-4"/>
            <w:position w:val="5"/>
            <w:sz w:val="14"/>
            <w:u w:val="single" w:color="005DA1"/>
          </w:rPr>
          <w:t>761</w:t>
        </w:r>
      </w:hyperlink>
      <w:r>
        <w:rPr>
          <w:spacing w:val="-4"/>
          <w:position w:val="5"/>
          <w:sz w:val="14"/>
        </w:rPr>
        <w:t>.</w:t>
      </w:r>
      <w:r>
        <w:rPr>
          <w:position w:val="5"/>
          <w:sz w:val="14"/>
        </w:rPr>
        <w:tab/>
      </w:r>
      <w:r>
        <w:rPr>
          <w:sz w:val="20"/>
        </w:rPr>
        <w:t>Rome I </w:t>
      </w:r>
      <w:r>
        <w:rPr>
          <w:spacing w:val="-2"/>
          <w:sz w:val="20"/>
        </w:rPr>
        <w:t>art.1(3).</w:t>
      </w:r>
    </w:p>
    <w:p>
      <w:pPr>
        <w:pStyle w:val="BodyText"/>
        <w:spacing w:before="5"/>
      </w:pPr>
    </w:p>
    <w:p>
      <w:pPr>
        <w:pStyle w:val="BodyText"/>
        <w:tabs>
          <w:tab w:pos="705" w:val="left" w:leader="none"/>
        </w:tabs>
        <w:ind w:left="165"/>
      </w:pPr>
      <w:bookmarkStart w:name="_bookmark1460" w:id="1462"/>
      <w:bookmarkEnd w:id="1462"/>
      <w:r>
        <w:rPr/>
      </w:r>
      <w:hyperlink w:history="true" w:anchor="_bookmark1422">
        <w:r>
          <w:rPr>
            <w:color w:val="005DA1"/>
            <w:spacing w:val="-4"/>
            <w:position w:val="5"/>
            <w:sz w:val="14"/>
            <w:u w:val="single" w:color="005DA1"/>
          </w:rPr>
          <w:t>762</w:t>
        </w:r>
      </w:hyperlink>
      <w:r>
        <w:rPr>
          <w:spacing w:val="-4"/>
          <w:position w:val="5"/>
          <w:sz w:val="14"/>
        </w:rPr>
        <w:t>.</w:t>
      </w:r>
      <w:r>
        <w:rPr>
          <w:position w:val="5"/>
          <w:sz w:val="14"/>
        </w:rPr>
        <w:tab/>
      </w:r>
      <w:r>
        <w:rPr/>
        <w:t>Discussed below, para.30-</w:t>
      </w:r>
      <w:r>
        <w:rPr>
          <w:spacing w:val="-4"/>
        </w:rPr>
        <w:t>363.</w:t>
      </w:r>
    </w:p>
    <w:p>
      <w:pPr>
        <w:pStyle w:val="BodyText"/>
        <w:spacing w:before="5"/>
      </w:pPr>
    </w:p>
    <w:p>
      <w:pPr>
        <w:pStyle w:val="BodyText"/>
        <w:tabs>
          <w:tab w:pos="705" w:val="left" w:leader="none"/>
        </w:tabs>
        <w:ind w:left="165"/>
      </w:pPr>
      <w:bookmarkStart w:name="_bookmark1461" w:id="1463"/>
      <w:bookmarkEnd w:id="1463"/>
      <w:r>
        <w:rPr/>
      </w:r>
      <w:hyperlink w:history="true" w:anchor="_bookmark1423">
        <w:r>
          <w:rPr>
            <w:color w:val="005DA1"/>
            <w:spacing w:val="-4"/>
            <w:position w:val="5"/>
            <w:sz w:val="14"/>
            <w:u w:val="single" w:color="005DA1"/>
          </w:rPr>
          <w:t>763</w:t>
        </w:r>
      </w:hyperlink>
      <w:r>
        <w:rPr>
          <w:spacing w:val="-4"/>
          <w:position w:val="5"/>
          <w:sz w:val="14"/>
        </w:rPr>
        <w:t>.</w:t>
      </w:r>
      <w:r>
        <w:rPr>
          <w:position w:val="5"/>
          <w:sz w:val="14"/>
        </w:rPr>
        <w:tab/>
      </w:r>
      <w:r>
        <w:rPr/>
        <w:t>Recital 37 to the Regulation. See below, para.30-</w:t>
      </w:r>
      <w:r>
        <w:rPr>
          <w:spacing w:val="-4"/>
        </w:rPr>
        <w:t>363.</w:t>
      </w:r>
    </w:p>
    <w:p>
      <w:pPr>
        <w:pStyle w:val="BodyText"/>
        <w:spacing w:before="5"/>
      </w:pPr>
    </w:p>
    <w:p>
      <w:pPr>
        <w:tabs>
          <w:tab w:pos="705" w:val="left" w:leader="none"/>
        </w:tabs>
        <w:spacing w:before="0"/>
        <w:ind w:left="165" w:right="0" w:firstLine="0"/>
        <w:jc w:val="left"/>
        <w:rPr>
          <w:sz w:val="20"/>
        </w:rPr>
      </w:pPr>
      <w:bookmarkStart w:name="_bookmark1462" w:id="1464"/>
      <w:bookmarkEnd w:id="1464"/>
      <w:r>
        <w:rPr/>
      </w:r>
      <w:hyperlink w:history="true" w:anchor="_bookmark1424">
        <w:r>
          <w:rPr>
            <w:color w:val="005DA1"/>
            <w:spacing w:val="-4"/>
            <w:position w:val="5"/>
            <w:sz w:val="14"/>
            <w:u w:val="single" w:color="005DA1"/>
          </w:rPr>
          <w:t>764</w:t>
        </w:r>
      </w:hyperlink>
      <w:r>
        <w:rPr>
          <w:spacing w:val="-4"/>
          <w:position w:val="5"/>
          <w:sz w:val="14"/>
        </w:rPr>
        <w:t>.</w:t>
      </w:r>
      <w:r>
        <w:rPr>
          <w:position w:val="5"/>
          <w:sz w:val="14"/>
        </w:rPr>
        <w:tab/>
      </w:r>
      <w:r>
        <w:rPr>
          <w:sz w:val="20"/>
        </w:rPr>
        <w:t>Above, para.30-</w:t>
      </w:r>
      <w:r>
        <w:rPr>
          <w:spacing w:val="-4"/>
          <w:sz w:val="20"/>
        </w:rPr>
        <w:t>062.</w:t>
      </w:r>
    </w:p>
    <w:p>
      <w:pPr>
        <w:pStyle w:val="BodyText"/>
        <w:spacing w:before="5"/>
      </w:pPr>
    </w:p>
    <w:p>
      <w:pPr>
        <w:tabs>
          <w:tab w:pos="705" w:val="left" w:leader="none"/>
        </w:tabs>
        <w:spacing w:before="0"/>
        <w:ind w:left="165" w:right="0" w:firstLine="0"/>
        <w:jc w:val="left"/>
        <w:rPr>
          <w:sz w:val="20"/>
        </w:rPr>
      </w:pPr>
      <w:bookmarkStart w:name="_bookmark1463" w:id="1465"/>
      <w:bookmarkEnd w:id="1465"/>
      <w:r>
        <w:rPr/>
      </w:r>
      <w:hyperlink w:history="true" w:anchor="_bookmark1425">
        <w:r>
          <w:rPr>
            <w:color w:val="005DA1"/>
            <w:spacing w:val="-4"/>
            <w:position w:val="5"/>
            <w:sz w:val="14"/>
            <w:u w:val="single" w:color="005DA1"/>
          </w:rPr>
          <w:t>765</w:t>
        </w:r>
      </w:hyperlink>
      <w:r>
        <w:rPr>
          <w:spacing w:val="-4"/>
          <w:position w:val="5"/>
          <w:sz w:val="14"/>
        </w:rPr>
        <w:t>.</w:t>
      </w:r>
      <w:r>
        <w:rPr>
          <w:position w:val="5"/>
          <w:sz w:val="14"/>
        </w:rPr>
        <w:tab/>
      </w:r>
      <w:r>
        <w:rPr>
          <w:sz w:val="20"/>
        </w:rPr>
        <w:t>Above, para.30-</w:t>
      </w:r>
      <w:r>
        <w:rPr>
          <w:spacing w:val="-4"/>
          <w:sz w:val="20"/>
        </w:rPr>
        <w:t>062.</w:t>
      </w:r>
    </w:p>
    <w:p>
      <w:pPr>
        <w:pStyle w:val="BodyText"/>
        <w:spacing w:before="5"/>
      </w:pPr>
    </w:p>
    <w:p>
      <w:pPr>
        <w:pStyle w:val="BodyText"/>
        <w:tabs>
          <w:tab w:pos="705" w:val="left" w:leader="none"/>
        </w:tabs>
        <w:ind w:left="165"/>
      </w:pPr>
      <w:bookmarkStart w:name="_bookmark1464" w:id="1466"/>
      <w:bookmarkEnd w:id="1466"/>
      <w:r>
        <w:rPr/>
      </w:r>
      <w:hyperlink w:history="true" w:anchor="_bookmark1426">
        <w:r>
          <w:rPr>
            <w:color w:val="005DA1"/>
            <w:spacing w:val="-4"/>
            <w:position w:val="5"/>
            <w:sz w:val="14"/>
            <w:u w:val="single" w:color="005DA1"/>
          </w:rPr>
          <w:t>766</w:t>
        </w:r>
      </w:hyperlink>
      <w:r>
        <w:rPr>
          <w:spacing w:val="-4"/>
          <w:position w:val="5"/>
          <w:sz w:val="14"/>
        </w:rPr>
        <w:t>.</w:t>
      </w:r>
      <w:r>
        <w:rPr>
          <w:position w:val="5"/>
          <w:sz w:val="14"/>
        </w:rPr>
        <w:tab/>
      </w:r>
      <w:r>
        <w:rPr/>
        <w:t>Below,</w:t>
      </w:r>
      <w:r>
        <w:rPr>
          <w:spacing w:val="-2"/>
        </w:rPr>
        <w:t> </w:t>
      </w:r>
      <w:r>
        <w:rPr/>
        <w:t>paras 30-362 et </w:t>
      </w:r>
      <w:r>
        <w:rPr>
          <w:spacing w:val="-4"/>
        </w:rPr>
        <w:t>seq.</w:t>
      </w:r>
    </w:p>
    <w:p>
      <w:pPr>
        <w:pStyle w:val="BodyText"/>
        <w:spacing w:before="5"/>
      </w:pPr>
    </w:p>
    <w:p>
      <w:pPr>
        <w:pStyle w:val="BodyText"/>
        <w:tabs>
          <w:tab w:pos="705" w:val="left" w:leader="none"/>
        </w:tabs>
        <w:ind w:left="165"/>
      </w:pPr>
      <w:bookmarkStart w:name="_bookmark1465" w:id="1467"/>
      <w:bookmarkEnd w:id="1467"/>
      <w:r>
        <w:rPr/>
      </w:r>
      <w:hyperlink w:history="true" w:anchor="_bookmark1427">
        <w:r>
          <w:rPr>
            <w:color w:val="005DA1"/>
            <w:spacing w:val="-4"/>
            <w:position w:val="5"/>
            <w:sz w:val="14"/>
            <w:u w:val="single" w:color="005DA1"/>
          </w:rPr>
          <w:t>767</w:t>
        </w:r>
      </w:hyperlink>
      <w:r>
        <w:rPr>
          <w:spacing w:val="-4"/>
          <w:position w:val="5"/>
          <w:sz w:val="14"/>
        </w:rPr>
        <w:t>.</w:t>
      </w:r>
      <w:r>
        <w:rPr>
          <w:position w:val="5"/>
          <w:sz w:val="14"/>
        </w:rPr>
        <w:tab/>
      </w:r>
      <w:r>
        <w:rPr/>
        <w:t>Above, para.30-068; below, paras 30-368 et </w:t>
      </w:r>
      <w:r>
        <w:rPr>
          <w:spacing w:val="-4"/>
        </w:rPr>
        <w:t>seq.</w:t>
      </w:r>
    </w:p>
    <w:p>
      <w:pPr>
        <w:pStyle w:val="BodyText"/>
        <w:spacing w:before="5"/>
      </w:pPr>
    </w:p>
    <w:p>
      <w:pPr>
        <w:pStyle w:val="BodyText"/>
        <w:tabs>
          <w:tab w:pos="705" w:val="left" w:leader="none"/>
        </w:tabs>
        <w:ind w:left="165"/>
      </w:pPr>
      <w:bookmarkStart w:name="_bookmark1466" w:id="1468"/>
      <w:bookmarkEnd w:id="1468"/>
      <w:r>
        <w:rPr/>
      </w:r>
      <w:hyperlink w:history="true" w:anchor="_bookmark1428">
        <w:r>
          <w:rPr>
            <w:color w:val="005DA1"/>
            <w:spacing w:val="-4"/>
            <w:position w:val="5"/>
            <w:sz w:val="14"/>
            <w:u w:val="single" w:color="005DA1"/>
          </w:rPr>
          <w:t>768</w:t>
        </w:r>
      </w:hyperlink>
      <w:r>
        <w:rPr>
          <w:spacing w:val="-4"/>
          <w:position w:val="5"/>
          <w:sz w:val="14"/>
        </w:rPr>
        <w:t>.</w:t>
      </w:r>
      <w:r>
        <w:rPr>
          <w:position w:val="5"/>
          <w:sz w:val="14"/>
        </w:rPr>
        <w:tab/>
      </w:r>
      <w:r>
        <w:rPr/>
        <w:t>Below,</w:t>
      </w:r>
      <w:r>
        <w:rPr>
          <w:spacing w:val="-2"/>
        </w:rPr>
        <w:t> </w:t>
      </w:r>
      <w:r>
        <w:rPr/>
        <w:t>paras 30-368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467" w:id="1469"/>
      <w:bookmarkEnd w:id="1469"/>
      <w:r>
        <w:rPr/>
      </w:r>
      <w:hyperlink w:history="true" w:anchor="_bookmark1429">
        <w:r>
          <w:rPr>
            <w:color w:val="005DA1"/>
            <w:spacing w:val="-4"/>
            <w:position w:val="5"/>
            <w:sz w:val="14"/>
            <w:u w:val="single" w:color="005DA1"/>
          </w:rPr>
          <w:t>769</w:t>
        </w:r>
      </w:hyperlink>
      <w:r>
        <w:rPr>
          <w:spacing w:val="-4"/>
          <w:position w:val="5"/>
          <w:sz w:val="14"/>
        </w:rPr>
        <w:t>.</w:t>
      </w:r>
      <w:r>
        <w:rPr>
          <w:position w:val="5"/>
          <w:sz w:val="14"/>
        </w:rPr>
        <w:tab/>
      </w:r>
      <w:r>
        <w:rPr>
          <w:sz w:val="20"/>
        </w:rPr>
        <w:t>Above, para.30-</w:t>
      </w:r>
      <w:r>
        <w:rPr>
          <w:spacing w:val="-4"/>
          <w:sz w:val="20"/>
        </w:rPr>
        <w:t>058.</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430">
        <w:r>
          <w:rPr>
            <w:color w:val="005DA1"/>
            <w:spacing w:val="-4"/>
            <w:position w:val="5"/>
            <w:sz w:val="14"/>
            <w:u w:val="single" w:color="005DA1"/>
          </w:rPr>
          <w:t>770</w:t>
        </w:r>
      </w:hyperlink>
      <w:r>
        <w:rPr>
          <w:spacing w:val="-4"/>
          <w:position w:val="5"/>
          <w:sz w:val="14"/>
        </w:rPr>
        <w:t>.</w:t>
      </w:r>
      <w:r>
        <w:rPr>
          <w:position w:val="5"/>
          <w:sz w:val="14"/>
        </w:rPr>
        <w:tab/>
      </w:r>
      <w:r>
        <w:rPr>
          <w:sz w:val="20"/>
        </w:rPr>
        <w:t>Above, para.30-</w:t>
      </w:r>
      <w:r>
        <w:rPr>
          <w:spacing w:val="-4"/>
          <w:sz w:val="20"/>
        </w:rPr>
        <w:t>058.</w:t>
      </w:r>
    </w:p>
    <w:p>
      <w:pPr>
        <w:pStyle w:val="BodyText"/>
        <w:spacing w:before="5"/>
      </w:pPr>
    </w:p>
    <w:p>
      <w:pPr>
        <w:pStyle w:val="BodyText"/>
        <w:tabs>
          <w:tab w:pos="705" w:val="left" w:leader="none"/>
        </w:tabs>
        <w:spacing w:before="1"/>
        <w:ind w:left="165"/>
      </w:pPr>
      <w:bookmarkStart w:name="_bookmark1468" w:id="1470"/>
      <w:bookmarkEnd w:id="1470"/>
      <w:r>
        <w:rPr/>
      </w:r>
      <w:hyperlink w:history="true" w:anchor="_bookmark1431">
        <w:r>
          <w:rPr>
            <w:color w:val="005DA1"/>
            <w:spacing w:val="-4"/>
            <w:position w:val="5"/>
            <w:sz w:val="14"/>
            <w:u w:val="single" w:color="005DA1"/>
          </w:rPr>
          <w:t>771</w:t>
        </w:r>
      </w:hyperlink>
      <w:r>
        <w:rPr>
          <w:spacing w:val="-4"/>
          <w:position w:val="5"/>
          <w:sz w:val="14"/>
        </w:rPr>
        <w:t>.</w:t>
      </w:r>
      <w:r>
        <w:rPr>
          <w:position w:val="5"/>
          <w:sz w:val="14"/>
        </w:rPr>
        <w:tab/>
      </w:r>
      <w:r>
        <w:rPr/>
        <w:t>Below,</w:t>
      </w:r>
      <w:r>
        <w:rPr>
          <w:spacing w:val="-2"/>
        </w:rPr>
        <w:t> </w:t>
      </w:r>
      <w:r>
        <w:rPr/>
        <w:t>paras 30-209 et </w:t>
      </w:r>
      <w:r>
        <w:rPr>
          <w:spacing w:val="-4"/>
        </w:rPr>
        <w:t>seq.</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pStyle w:val="ListParagraph"/>
        <w:numPr>
          <w:ilvl w:val="0"/>
          <w:numId w:val="2"/>
        </w:numPr>
        <w:tabs>
          <w:tab w:pos="2438" w:val="left" w:leader="none"/>
        </w:tabs>
        <w:spacing w:line="240" w:lineRule="auto" w:before="194" w:after="0"/>
        <w:ind w:left="2438" w:right="0" w:hanging="360"/>
        <w:jc w:val="left"/>
        <w:rPr>
          <w:b/>
          <w:sz w:val="24"/>
        </w:rPr>
      </w:pPr>
      <w:r>
        <w:rPr>
          <w:b/>
          <w:sz w:val="24"/>
        </w:rPr>
        <w:t>- Applicable Law in the Absence of </w:t>
      </w:r>
      <w:r>
        <w:rPr>
          <w:b/>
          <w:spacing w:val="-2"/>
          <w:sz w:val="24"/>
        </w:rPr>
        <w:t>Choice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Background</w:t>
      </w:r>
    </w:p>
    <w:p>
      <w:pPr>
        <w:pStyle w:val="BodyText"/>
        <w:spacing w:before="42"/>
        <w:rPr>
          <w:rFonts w:ascii="Arial"/>
          <w:b/>
          <w:sz w:val="18"/>
        </w:rPr>
      </w:pPr>
    </w:p>
    <w:p>
      <w:pPr>
        <w:pStyle w:val="Heading2"/>
        <w:ind w:left="164"/>
      </w:pPr>
      <w:r>
        <w:rPr/>
        <w:t>30-</w:t>
      </w:r>
      <w:r>
        <w:rPr>
          <w:spacing w:val="-5"/>
        </w:rPr>
        <w:t>185</w:t>
      </w:r>
    </w:p>
    <w:p>
      <w:pPr>
        <w:pStyle w:val="BodyText"/>
        <w:spacing w:line="235" w:lineRule="auto" w:before="202"/>
        <w:ind w:left="164" w:right="167"/>
        <w:jc w:val="both"/>
      </w:pPr>
      <w:bookmarkStart w:name="_bookmark1469" w:id="1471"/>
      <w:bookmarkEnd w:id="1471"/>
      <w:r>
        <w:rPr/>
      </w:r>
      <w:r>
        <w:rPr/>
        <w:t>The Rome Convention established, as a general principle, that in the absence of choice, a </w:t>
      </w:r>
      <w:r>
        <w:rPr/>
        <w:t>contract should be governed by the law of the country with which it was most closely connected. </w:t>
      </w:r>
      <w:r>
        <w:rPr>
          <w:color w:val="005DA1"/>
          <w:u w:val="single" w:color="005DA1"/>
          <w:vertAlign w:val="superscript"/>
        </w:rPr>
        <w:t>772</w:t>
      </w:r>
      <w:r>
        <w:rPr>
          <w:color w:val="005DA1"/>
          <w:vertAlign w:val="baseline"/>
        </w:rPr>
        <w:t> </w:t>
      </w:r>
      <w:r>
        <w:rPr>
          <w:vertAlign w:val="baseline"/>
        </w:rPr>
        <w:t>This law was to be discovered by reference to a general presumption pointing to the characteristic performer’s </w:t>
      </w:r>
      <w:bookmarkStart w:name="_bookmark1470" w:id="1472"/>
      <w:bookmarkEnd w:id="1472"/>
      <w:r>
        <w:rPr>
          <w:vertAlign w:val="baseline"/>
        </w:rPr>
        <w:t>habitual</w:t>
      </w:r>
      <w:r>
        <w:rPr>
          <w:vertAlign w:val="baseline"/>
        </w:rPr>
        <w:t> residence, central administration, principal place of business or place of business, as the </w:t>
      </w:r>
      <w:bookmarkStart w:name="_bookmark1471" w:id="1473"/>
      <w:bookmarkEnd w:id="1473"/>
      <w:r>
        <w:rPr>
          <w:vertAlign w:val="baseline"/>
        </w:rPr>
        <w:t>case</w:t>
      </w:r>
      <w:r>
        <w:rPr>
          <w:vertAlign w:val="baseline"/>
        </w:rPr>
        <w:t> may be, </w:t>
      </w:r>
      <w:r>
        <w:rPr>
          <w:color w:val="005DA1"/>
          <w:u w:val="single" w:color="005DA1"/>
          <w:vertAlign w:val="superscript"/>
        </w:rPr>
        <w:t>773</w:t>
      </w:r>
      <w:r>
        <w:rPr>
          <w:color w:val="005DA1"/>
          <w:vertAlign w:val="baseline"/>
        </w:rPr>
        <w:t> </w:t>
      </w:r>
      <w:r>
        <w:rPr>
          <w:vertAlign w:val="baseline"/>
        </w:rPr>
        <w:t>or by reference to specific presumptions in respect of contracts the subject matter of </w:t>
      </w:r>
      <w:bookmarkStart w:name="_bookmark1472" w:id="1474"/>
      <w:bookmarkEnd w:id="1474"/>
      <w:r>
        <w:rPr>
          <w:vertAlign w:val="baseline"/>
        </w:rPr>
        <w:t>which</w:t>
      </w:r>
      <w:r>
        <w:rPr>
          <w:vertAlign w:val="baseline"/>
        </w:rPr>
        <w:t> is a right in immovable property or a right to use immovable property </w:t>
      </w:r>
      <w:r>
        <w:rPr>
          <w:color w:val="005DA1"/>
          <w:u w:val="single" w:color="005DA1"/>
          <w:vertAlign w:val="superscript"/>
        </w:rPr>
        <w:t>774</w:t>
      </w:r>
      <w:r>
        <w:rPr>
          <w:color w:val="005DA1"/>
          <w:vertAlign w:val="baseline"/>
        </w:rPr>
        <w:t> </w:t>
      </w:r>
      <w:r>
        <w:rPr>
          <w:vertAlign w:val="baseline"/>
        </w:rPr>
        <w:t>and contracts for the carriage of goods. </w:t>
      </w:r>
      <w:r>
        <w:rPr>
          <w:color w:val="005DA1"/>
          <w:u w:val="single" w:color="005DA1"/>
          <w:vertAlign w:val="superscript"/>
        </w:rPr>
        <w:t>775</w:t>
      </w:r>
      <w:r>
        <w:rPr>
          <w:color w:val="005DA1"/>
          <w:vertAlign w:val="baseline"/>
        </w:rPr>
        <w:t> </w:t>
      </w:r>
      <w:r>
        <w:rPr>
          <w:vertAlign w:val="baseline"/>
        </w:rPr>
        <w:t>The general presumption did not apply if the characteristic performance could </w:t>
      </w:r>
      <w:bookmarkStart w:name="_bookmark1473" w:id="1475"/>
      <w:bookmarkEnd w:id="1475"/>
      <w:r>
        <w:rPr>
          <w:vertAlign w:val="baseline"/>
        </w:rPr>
        <w:t>not</w:t>
      </w:r>
      <w:r>
        <w:rPr>
          <w:vertAlign w:val="baseline"/>
        </w:rPr>
        <w:t> be determined and the presumption could be disregarded if it appeared from the circumstances</w:t>
      </w:r>
      <w:r>
        <w:rPr>
          <w:spacing w:val="80"/>
          <w:vertAlign w:val="baseline"/>
        </w:rPr>
        <w:t> </w:t>
      </w:r>
      <w:r>
        <w:rPr>
          <w:vertAlign w:val="baseline"/>
        </w:rPr>
        <w:t>as a whole that the contract was more closely connected with another country. </w:t>
      </w:r>
      <w:r>
        <w:rPr>
          <w:color w:val="005DA1"/>
          <w:u w:val="single" w:color="005DA1"/>
          <w:vertAlign w:val="superscript"/>
        </w:rPr>
        <w:t>776</w:t>
      </w:r>
      <w:r>
        <w:rPr>
          <w:color w:val="005DA1"/>
          <w:vertAlign w:val="baseline"/>
        </w:rPr>
        <w:t> </w:t>
      </w:r>
      <w:r>
        <w:rPr>
          <w:vertAlign w:val="baseline"/>
        </w:rPr>
        <w:t>Article 4 of the Rome I Regulation, however, adopts a somewhat different structure.</w:t>
      </w:r>
    </w:p>
    <w:p>
      <w:pPr>
        <w:pStyle w:val="BodyText"/>
      </w:pPr>
    </w:p>
    <w:p>
      <w:pPr>
        <w:pStyle w:val="BodyText"/>
        <w:spacing w:before="35"/>
      </w:pPr>
    </w:p>
    <w:p>
      <w:pPr>
        <w:spacing w:before="0"/>
        <w:ind w:left="165" w:right="0" w:firstLine="0"/>
        <w:jc w:val="left"/>
        <w:rPr>
          <w:rFonts w:ascii="Arial"/>
          <w:b/>
          <w:sz w:val="18"/>
        </w:rPr>
      </w:pPr>
      <w:r>
        <w:rPr>
          <w:rFonts w:ascii="Arial"/>
          <w:b/>
          <w:sz w:val="18"/>
        </w:rPr>
        <w:t>Structure of art.4 of the </w:t>
      </w:r>
      <w:r>
        <w:rPr>
          <w:rFonts w:ascii="Arial"/>
          <w:b/>
          <w:spacing w:val="-2"/>
          <w:sz w:val="18"/>
        </w:rPr>
        <w:t>Regulation</w:t>
      </w:r>
    </w:p>
    <w:p>
      <w:pPr>
        <w:pStyle w:val="BodyText"/>
        <w:spacing w:before="41"/>
        <w:rPr>
          <w:rFonts w:ascii="Arial"/>
          <w:b/>
          <w:sz w:val="18"/>
        </w:rPr>
      </w:pPr>
    </w:p>
    <w:p>
      <w:pPr>
        <w:pStyle w:val="Heading2"/>
      </w:pPr>
      <w:r>
        <w:rPr/>
        <w:t>30-</w:t>
      </w:r>
      <w:r>
        <w:rPr>
          <w:spacing w:val="-5"/>
        </w:rPr>
        <w:t>186</w:t>
      </w:r>
    </w:p>
    <w:p>
      <w:pPr>
        <w:pStyle w:val="BodyText"/>
        <w:spacing w:line="235" w:lineRule="auto" w:before="203"/>
        <w:ind w:left="165" w:right="167"/>
        <w:jc w:val="both"/>
      </w:pPr>
      <w:r>
        <w:rPr/>
        <w:t>Article 4(1) of the Regulation provides, to the extent that the applicable law has not been chosen </w:t>
      </w:r>
      <w:r>
        <w:rPr/>
        <w:t>and subject to the choice of law rules applicable to particular contracts contained in arts 5-8, a series of rules for specific contracts. Where the contract is not covered by art.4(1) or where the elements of the contract would be covered by more than one of the types of contract referred to in art.4(1), art.4(2) provides that the contract will be governed by the law of the country where the party required to effect the characteristic performance of the contract has his habitual residence. Article 4(3) provides a rule</w:t>
      </w:r>
      <w:r>
        <w:rPr>
          <w:spacing w:val="40"/>
        </w:rPr>
        <w:t> </w:t>
      </w:r>
      <w:r>
        <w:rPr/>
        <w:t>of displacement whereby where it is clear from all the circumstances that the contract is manifestly more closely connected with a country other than that indicated in art.4(1) or (2), the law of that other country shall apply. Article 4(4) provides a “default rule” to the effect that where the applicable law cannot be determined pursuant to art.4(1) or 4(2), the contract shall be governed by the law of the country with which it is most closely connected. After examining the principles behind art.4 of the Regulation, the following paragraphs will discuss the various elements in this structure.</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Principles</w:t>
      </w:r>
    </w:p>
    <w:p>
      <w:pPr>
        <w:pStyle w:val="BodyText"/>
        <w:spacing w:before="41"/>
        <w:rPr>
          <w:rFonts w:ascii="Arial"/>
          <w:b/>
          <w:sz w:val="18"/>
        </w:rPr>
      </w:pPr>
    </w:p>
    <w:p>
      <w:pPr>
        <w:pStyle w:val="Heading2"/>
        <w:spacing w:before="1"/>
      </w:pPr>
      <w:r>
        <w:rPr/>
        <w:t>30-</w:t>
      </w:r>
      <w:r>
        <w:rPr>
          <w:spacing w:val="-5"/>
        </w:rPr>
        <w:t>187</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474" w:id="1476"/>
      <w:bookmarkEnd w:id="1476"/>
      <w:r>
        <w:rPr>
          <w:rFonts w:ascii="Times New Roman"/>
          <w:spacing w:val="-24"/>
        </w:rPr>
      </w:r>
      <w:r>
        <w:rPr/>
        <w:t>The approach taken in art.4 of the Rome Convention was an attempt to reconcile the competing requirements of certainty and flexibility in the determination of the applicable law. </w:t>
      </w:r>
      <w:r>
        <w:rPr>
          <w:color w:val="005DA1"/>
          <w:u w:val="single" w:color="005DA1"/>
          <w:vertAlign w:val="superscript"/>
        </w:rPr>
        <w:t>777</w:t>
      </w:r>
      <w:r>
        <w:rPr>
          <w:color w:val="005DA1"/>
          <w:vertAlign w:val="baseline"/>
        </w:rPr>
        <w:t> </w:t>
      </w:r>
      <w:r>
        <w:rPr>
          <w:vertAlign w:val="baseline"/>
        </w:rPr>
        <w:t>However, it appears to have been thought that the conceptual structure of art.4 of the Convention was</w:t>
      </w:r>
      <w:r>
        <w:rPr>
          <w:spacing w:val="40"/>
          <w:vertAlign w:val="baseline"/>
        </w:rPr>
        <w:t> </w:t>
      </w:r>
      <w:bookmarkStart w:name="_bookmark1475" w:id="1477"/>
      <w:bookmarkEnd w:id="1477"/>
      <w:r>
        <w:rPr>
          <w:vertAlign w:val="baseline"/>
        </w:rPr>
        <w:t>undesirably</w:t>
      </w:r>
      <w:r>
        <w:rPr>
          <w:vertAlign w:val="baseline"/>
        </w:rPr>
        <w:t> complex and inherently uncertain, allowing national courts in Member States to interpret the</w:t>
      </w:r>
      <w:r>
        <w:rPr>
          <w:spacing w:val="10"/>
          <w:vertAlign w:val="baseline"/>
        </w:rPr>
        <w:t> </w:t>
      </w:r>
      <w:r>
        <w:rPr>
          <w:vertAlign w:val="baseline"/>
        </w:rPr>
        <w:t>provision</w:t>
      </w:r>
      <w:r>
        <w:rPr>
          <w:spacing w:val="11"/>
          <w:vertAlign w:val="baseline"/>
        </w:rPr>
        <w:t> </w:t>
      </w:r>
      <w:r>
        <w:rPr>
          <w:vertAlign w:val="baseline"/>
        </w:rPr>
        <w:t>in</w:t>
      </w:r>
      <w:r>
        <w:rPr>
          <w:spacing w:val="11"/>
          <w:vertAlign w:val="baseline"/>
        </w:rPr>
        <w:t> </w:t>
      </w:r>
      <w:r>
        <w:rPr>
          <w:vertAlign w:val="baseline"/>
        </w:rPr>
        <w:t>divergent</w:t>
      </w:r>
      <w:r>
        <w:rPr>
          <w:spacing w:val="11"/>
          <w:vertAlign w:val="baseline"/>
        </w:rPr>
        <w:t> </w:t>
      </w:r>
      <w:r>
        <w:rPr>
          <w:vertAlign w:val="baseline"/>
        </w:rPr>
        <w:t>ways.</w:t>
      </w:r>
      <w:r>
        <w:rPr>
          <w:spacing w:val="10"/>
          <w:vertAlign w:val="baseline"/>
        </w:rPr>
        <w:t> </w:t>
      </w:r>
      <w:r>
        <w:rPr>
          <w:color w:val="005DA1"/>
          <w:u w:val="single" w:color="005DA1"/>
          <w:vertAlign w:val="superscript"/>
        </w:rPr>
        <w:t>778</w:t>
      </w:r>
      <w:r>
        <w:rPr>
          <w:color w:val="005DA1"/>
          <w:spacing w:val="11"/>
          <w:vertAlign w:val="baseline"/>
        </w:rPr>
        <w:t> </w:t>
      </w:r>
      <w:r>
        <w:rPr>
          <w:vertAlign w:val="baseline"/>
        </w:rPr>
        <w:t>Thus,</w:t>
      </w:r>
      <w:r>
        <w:rPr>
          <w:spacing w:val="11"/>
          <w:vertAlign w:val="baseline"/>
        </w:rPr>
        <w:t> </w:t>
      </w:r>
      <w:r>
        <w:rPr>
          <w:vertAlign w:val="baseline"/>
        </w:rPr>
        <w:t>for</w:t>
      </w:r>
      <w:r>
        <w:rPr>
          <w:spacing w:val="11"/>
          <w:vertAlign w:val="baseline"/>
        </w:rPr>
        <w:t> </w:t>
      </w:r>
      <w:r>
        <w:rPr>
          <w:vertAlign w:val="baseline"/>
        </w:rPr>
        <w:t>example,</w:t>
      </w:r>
      <w:r>
        <w:rPr>
          <w:spacing w:val="10"/>
          <w:vertAlign w:val="baseline"/>
        </w:rPr>
        <w:t> </w:t>
      </w:r>
      <w:r>
        <w:rPr>
          <w:vertAlign w:val="baseline"/>
        </w:rPr>
        <w:t>English</w:t>
      </w:r>
      <w:r>
        <w:rPr>
          <w:spacing w:val="11"/>
          <w:vertAlign w:val="baseline"/>
        </w:rPr>
        <w:t> </w:t>
      </w:r>
      <w:r>
        <w:rPr>
          <w:vertAlign w:val="baseline"/>
        </w:rPr>
        <w:t>courts</w:t>
      </w:r>
      <w:r>
        <w:rPr>
          <w:spacing w:val="11"/>
          <w:vertAlign w:val="baseline"/>
        </w:rPr>
        <w:t> </w:t>
      </w:r>
      <w:r>
        <w:rPr>
          <w:vertAlign w:val="baseline"/>
        </w:rPr>
        <w:t>have</w:t>
      </w:r>
      <w:r>
        <w:rPr>
          <w:spacing w:val="11"/>
          <w:vertAlign w:val="baseline"/>
        </w:rPr>
        <w:t> </w:t>
      </w:r>
      <w:r>
        <w:rPr>
          <w:vertAlign w:val="baseline"/>
        </w:rPr>
        <w:t>emphasised</w:t>
      </w:r>
      <w:r>
        <w:rPr>
          <w:spacing w:val="10"/>
          <w:vertAlign w:val="baseline"/>
        </w:rPr>
        <w:t> </w:t>
      </w:r>
      <w:r>
        <w:rPr>
          <w:vertAlign w:val="baseline"/>
        </w:rPr>
        <w:t>the</w:t>
      </w:r>
      <w:r>
        <w:rPr>
          <w:spacing w:val="11"/>
          <w:vertAlign w:val="baseline"/>
        </w:rPr>
        <w:t> </w:t>
      </w:r>
      <w:r>
        <w:rPr>
          <w:spacing w:val="-2"/>
          <w:vertAlign w:val="baseline"/>
        </w:rPr>
        <w:t>flexibility</w:t>
      </w:r>
    </w:p>
    <w:p>
      <w:pPr>
        <w:pStyle w:val="BodyText"/>
        <w:spacing w:after="0" w:line="235" w:lineRule="auto"/>
        <w:jc w:val="both"/>
        <w:sectPr>
          <w:headerReference w:type="default" r:id="rId20"/>
          <w:pgSz w:w="11900" w:h="16840"/>
          <w:pgMar w:header="971" w:footer="0" w:top="1300" w:bottom="280" w:left="1275" w:right="1275"/>
          <w:pgNumType w:start="1"/>
        </w:sectPr>
      </w:pPr>
    </w:p>
    <w:p>
      <w:pPr>
        <w:pStyle w:val="BodyText"/>
        <w:spacing w:line="235" w:lineRule="auto" w:before="110"/>
        <w:ind w:left="164" w:right="167"/>
        <w:jc w:val="both"/>
      </w:pPr>
      <w:bookmarkStart w:name="_bookmark1476" w:id="1478"/>
      <w:bookmarkEnd w:id="1478"/>
      <w:r>
        <w:rPr/>
      </w:r>
      <w:r>
        <w:rPr/>
        <w:t>of art.4 and have tended to place greater weight on the closest connection principle at the expense of </w:t>
      </w:r>
      <w:bookmarkStart w:name="_bookmark1477" w:id="1479"/>
      <w:bookmarkEnd w:id="1479"/>
      <w:r>
        <w:rPr/>
        <w:t>the</w:t>
      </w:r>
      <w:r>
        <w:rPr/>
        <w:t> presumptions. </w:t>
      </w:r>
      <w:r>
        <w:rPr>
          <w:color w:val="005DA1"/>
          <w:u w:val="single" w:color="005DA1"/>
          <w:vertAlign w:val="superscript"/>
        </w:rPr>
        <w:t>779</w:t>
      </w:r>
      <w:r>
        <w:rPr>
          <w:color w:val="005DA1"/>
          <w:vertAlign w:val="baseline"/>
        </w:rPr>
        <w:t> </w:t>
      </w:r>
      <w:r>
        <w:rPr>
          <w:vertAlign w:val="baseline"/>
        </w:rPr>
        <w:t>In contrast, Scottish courts and some continental courts have tended to </w:t>
      </w:r>
      <w:bookmarkStart w:name="_bookmark1478" w:id="1480"/>
      <w:bookmarkEnd w:id="1480"/>
      <w:r>
        <w:rPr>
          <w:vertAlign w:val="baseline"/>
        </w:rPr>
        <w:t>emphasise</w:t>
      </w:r>
      <w:r>
        <w:rPr>
          <w:vertAlign w:val="baseline"/>
        </w:rPr>
        <w:t> the presumptions at the expense of the flexibility of the closest connection principle. </w:t>
      </w:r>
      <w:r>
        <w:rPr>
          <w:color w:val="005DA1"/>
          <w:u w:val="single" w:color="005DA1"/>
          <w:vertAlign w:val="superscript"/>
        </w:rPr>
        <w:t>780</w:t>
      </w:r>
      <w:r>
        <w:rPr>
          <w:color w:val="005DA1"/>
          <w:vertAlign w:val="baseline"/>
        </w:rPr>
        <w:t> </w:t>
      </w:r>
      <w:r>
        <w:rPr>
          <w:vertAlign w:val="baseline"/>
        </w:rPr>
        <w:t>Divergent approaches have lead to uncertainty. </w:t>
      </w:r>
      <w:r>
        <w:rPr>
          <w:color w:val="005DA1"/>
          <w:u w:val="single" w:color="005DA1"/>
          <w:vertAlign w:val="superscript"/>
        </w:rPr>
        <w:t>781</w:t>
      </w:r>
      <w:r>
        <w:rPr>
          <w:color w:val="005DA1"/>
          <w:vertAlign w:val="baseline"/>
        </w:rPr>
        <w:t> </w:t>
      </w:r>
      <w:r>
        <w:rPr>
          <w:vertAlign w:val="baseline"/>
        </w:rPr>
        <w:t>The approach taken in art.4 of the Regulation is to </w:t>
      </w:r>
      <w:bookmarkStart w:name="_bookmark1479" w:id="1481"/>
      <w:bookmarkEnd w:id="1481"/>
      <w:r>
        <w:rPr>
          <w:vertAlign w:val="baseline"/>
        </w:rPr>
        <w:t>tighten</w:t>
      </w:r>
      <w:r>
        <w:rPr>
          <w:spacing w:val="36"/>
          <w:vertAlign w:val="baseline"/>
        </w:rPr>
        <w:t> </w:t>
      </w:r>
      <w:r>
        <w:rPr>
          <w:vertAlign w:val="baseline"/>
        </w:rPr>
        <w:t>the</w:t>
      </w:r>
      <w:r>
        <w:rPr>
          <w:spacing w:val="38"/>
          <w:vertAlign w:val="baseline"/>
        </w:rPr>
        <w:t> </w:t>
      </w:r>
      <w:r>
        <w:rPr>
          <w:vertAlign w:val="baseline"/>
        </w:rPr>
        <w:t>balance</w:t>
      </w:r>
      <w:r>
        <w:rPr>
          <w:spacing w:val="38"/>
          <w:vertAlign w:val="baseline"/>
        </w:rPr>
        <w:t> </w:t>
      </w:r>
      <w:r>
        <w:rPr>
          <w:vertAlign w:val="baseline"/>
        </w:rPr>
        <w:t>between</w:t>
      </w:r>
      <w:r>
        <w:rPr>
          <w:spacing w:val="38"/>
          <w:vertAlign w:val="baseline"/>
        </w:rPr>
        <w:t> </w:t>
      </w:r>
      <w:r>
        <w:rPr>
          <w:vertAlign w:val="baseline"/>
        </w:rPr>
        <w:t>flexibility</w:t>
      </w:r>
      <w:r>
        <w:rPr>
          <w:spacing w:val="38"/>
          <w:vertAlign w:val="baseline"/>
        </w:rPr>
        <w:t> </w:t>
      </w:r>
      <w:r>
        <w:rPr>
          <w:vertAlign w:val="baseline"/>
        </w:rPr>
        <w:t>and</w:t>
      </w:r>
      <w:r>
        <w:rPr>
          <w:spacing w:val="38"/>
          <w:vertAlign w:val="baseline"/>
        </w:rPr>
        <w:t> </w:t>
      </w:r>
      <w:r>
        <w:rPr>
          <w:vertAlign w:val="baseline"/>
        </w:rPr>
        <w:t>certainty</w:t>
      </w:r>
      <w:r>
        <w:rPr>
          <w:spacing w:val="38"/>
          <w:vertAlign w:val="baseline"/>
        </w:rPr>
        <w:t> </w:t>
      </w:r>
      <w:r>
        <w:rPr>
          <w:vertAlign w:val="baseline"/>
        </w:rPr>
        <w:t>with</w:t>
      </w:r>
      <w:r>
        <w:rPr>
          <w:spacing w:val="38"/>
          <w:vertAlign w:val="baseline"/>
        </w:rPr>
        <w:t> </w:t>
      </w:r>
      <w:r>
        <w:rPr>
          <w:vertAlign w:val="baseline"/>
        </w:rPr>
        <w:t>a</w:t>
      </w:r>
      <w:r>
        <w:rPr>
          <w:spacing w:val="38"/>
          <w:vertAlign w:val="baseline"/>
        </w:rPr>
        <w:t> </w:t>
      </w:r>
      <w:r>
        <w:rPr>
          <w:vertAlign w:val="baseline"/>
        </w:rPr>
        <w:t>view,</w:t>
      </w:r>
      <w:r>
        <w:rPr>
          <w:spacing w:val="38"/>
          <w:vertAlign w:val="baseline"/>
        </w:rPr>
        <w:t> </w:t>
      </w:r>
      <w:r>
        <w:rPr>
          <w:vertAlign w:val="baseline"/>
        </w:rPr>
        <w:t>also,</w:t>
      </w:r>
      <w:r>
        <w:rPr>
          <w:spacing w:val="38"/>
          <w:vertAlign w:val="baseline"/>
        </w:rPr>
        <w:t> </w:t>
      </w:r>
      <w:r>
        <w:rPr>
          <w:vertAlign w:val="baseline"/>
        </w:rPr>
        <w:t>to</w:t>
      </w:r>
      <w:r>
        <w:rPr>
          <w:spacing w:val="38"/>
          <w:vertAlign w:val="baseline"/>
        </w:rPr>
        <w:t> </w:t>
      </w:r>
      <w:r>
        <w:rPr>
          <w:vertAlign w:val="baseline"/>
        </w:rPr>
        <w:t>producing</w:t>
      </w:r>
      <w:r>
        <w:rPr>
          <w:spacing w:val="38"/>
          <w:vertAlign w:val="baseline"/>
        </w:rPr>
        <w:t> </w:t>
      </w:r>
      <w:r>
        <w:rPr>
          <w:vertAlign w:val="baseline"/>
        </w:rPr>
        <w:t>more</w:t>
      </w:r>
      <w:r>
        <w:rPr>
          <w:spacing w:val="38"/>
          <w:vertAlign w:val="baseline"/>
        </w:rPr>
        <w:t> </w:t>
      </w:r>
      <w:r>
        <w:rPr>
          <w:spacing w:val="-2"/>
          <w:vertAlign w:val="baseline"/>
        </w:rPr>
        <w:t>uniform</w:t>
      </w:r>
    </w:p>
    <w:p>
      <w:pPr>
        <w:pStyle w:val="BodyText"/>
        <w:spacing w:line="235" w:lineRule="auto" w:before="118"/>
        <w:ind w:left="165" w:right="168"/>
        <w:jc w:val="both"/>
      </w:pPr>
      <w:r>
        <w:rPr/>
        <w:t>outcomes</w:t>
      </w:r>
      <w:r>
        <w:rPr>
          <w:spacing w:val="-1"/>
        </w:rPr>
        <w:t> </w:t>
      </w:r>
      <w:r>
        <w:rPr/>
        <w:t>in</w:t>
      </w:r>
      <w:r>
        <w:rPr>
          <w:spacing w:val="-1"/>
        </w:rPr>
        <w:t> </w:t>
      </w:r>
      <w:r>
        <w:rPr/>
        <w:t>the</w:t>
      </w:r>
      <w:r>
        <w:rPr>
          <w:spacing w:val="-1"/>
        </w:rPr>
        <w:t> </w:t>
      </w:r>
      <w:r>
        <w:rPr/>
        <w:t>national</w:t>
      </w:r>
      <w:r>
        <w:rPr>
          <w:spacing w:val="-1"/>
        </w:rPr>
        <w:t> </w:t>
      </w:r>
      <w:r>
        <w:rPr/>
        <w:t>courts</w:t>
      </w:r>
      <w:r>
        <w:rPr>
          <w:spacing w:val="-1"/>
        </w:rPr>
        <w:t> </w:t>
      </w:r>
      <w:r>
        <w:rPr/>
        <w:t>of</w:t>
      </w:r>
      <w:r>
        <w:rPr>
          <w:spacing w:val="-1"/>
        </w:rPr>
        <w:t> </w:t>
      </w:r>
      <w:r>
        <w:rPr/>
        <w:t>Member</w:t>
      </w:r>
      <w:r>
        <w:rPr>
          <w:spacing w:val="-1"/>
        </w:rPr>
        <w:t> </w:t>
      </w:r>
      <w:r>
        <w:rPr/>
        <w:t>States.</w:t>
      </w:r>
      <w:r>
        <w:rPr>
          <w:spacing w:val="-2"/>
        </w:rPr>
        <w:t> </w:t>
      </w:r>
      <w:r>
        <w:rPr>
          <w:color w:val="005DA1"/>
          <w:u w:val="single" w:color="005DA1"/>
          <w:vertAlign w:val="superscript"/>
        </w:rPr>
        <w:t>782</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2"/>
          <w:vertAlign w:val="baseline"/>
        </w:rPr>
        <w:t> </w:t>
      </w:r>
      <w:r>
        <w:rPr>
          <w:vertAlign w:val="baseline"/>
        </w:rPr>
        <w:t>This</w:t>
      </w:r>
      <w:r>
        <w:rPr>
          <w:spacing w:val="-1"/>
          <w:vertAlign w:val="baseline"/>
        </w:rPr>
        <w:t> </w:t>
      </w:r>
      <w:r>
        <w:rPr>
          <w:vertAlign w:val="baseline"/>
        </w:rPr>
        <w:t>much</w:t>
      </w:r>
      <w:r>
        <w:rPr>
          <w:spacing w:val="-1"/>
          <w:vertAlign w:val="baseline"/>
        </w:rPr>
        <w:t> </w:t>
      </w:r>
      <w:r>
        <w:rPr>
          <w:vertAlign w:val="baseline"/>
        </w:rPr>
        <w:t>is</w:t>
      </w:r>
      <w:r>
        <w:rPr>
          <w:spacing w:val="-1"/>
          <w:vertAlign w:val="baseline"/>
        </w:rPr>
        <w:t> </w:t>
      </w:r>
      <w:r>
        <w:rPr>
          <w:vertAlign w:val="baseline"/>
        </w:rPr>
        <w:t>recognised</w:t>
      </w:r>
      <w:r>
        <w:rPr>
          <w:spacing w:val="-1"/>
          <w:vertAlign w:val="baseline"/>
        </w:rPr>
        <w:t> </w:t>
      </w:r>
      <w:r>
        <w:rPr>
          <w:vertAlign w:val="baseline"/>
        </w:rPr>
        <w:t>in</w:t>
      </w:r>
      <w:r>
        <w:rPr>
          <w:spacing w:val="-1"/>
          <w:vertAlign w:val="baseline"/>
        </w:rPr>
        <w:t> </w:t>
      </w:r>
      <w:r>
        <w:rPr>
          <w:vertAlign w:val="baseline"/>
        </w:rPr>
        <w:t>Recital</w:t>
      </w:r>
      <w:r>
        <w:rPr>
          <w:spacing w:val="-1"/>
          <w:vertAlign w:val="baseline"/>
        </w:rPr>
        <w:t> </w:t>
      </w:r>
      <w:r>
        <w:rPr>
          <w:vertAlign w:val="baseline"/>
        </w:rPr>
        <w:t>16</w:t>
      </w:r>
      <w:r>
        <w:rPr>
          <w:spacing w:val="-1"/>
          <w:vertAlign w:val="baseline"/>
        </w:rPr>
        <w:t> </w:t>
      </w:r>
      <w:r>
        <w:rPr>
          <w:vertAlign w:val="baseline"/>
        </w:rPr>
        <w:t>to</w:t>
      </w:r>
      <w:r>
        <w:rPr>
          <w:spacing w:val="-1"/>
          <w:vertAlign w:val="baseline"/>
        </w:rPr>
        <w:t> </w:t>
      </w:r>
      <w:r>
        <w:rPr>
          <w:vertAlign w:val="baseline"/>
        </w:rPr>
        <w:t>the Regulation where it is stated that to:</w:t>
      </w:r>
    </w:p>
    <w:p>
      <w:pPr>
        <w:pStyle w:val="BodyText"/>
      </w:pPr>
    </w:p>
    <w:p>
      <w:pPr>
        <w:pStyle w:val="BodyText"/>
        <w:spacing w:before="126"/>
      </w:pPr>
    </w:p>
    <w:p>
      <w:pPr>
        <w:pStyle w:val="BodyText"/>
        <w:spacing w:line="235" w:lineRule="auto"/>
        <w:ind w:left="1245" w:right="167"/>
        <w:jc w:val="both"/>
      </w:pPr>
      <w:r>
        <w:rPr/>
        <w:t>“… contribute to the general objective of this Regulation, legal certainty in the </w:t>
      </w:r>
      <w:r>
        <w:rPr/>
        <w:t>European judicial area, the conflict-of-law rules should be highly foreseeable. The courts should, however,</w:t>
      </w:r>
      <w:r>
        <w:rPr>
          <w:spacing w:val="-3"/>
        </w:rPr>
        <w:t> </w:t>
      </w:r>
      <w:r>
        <w:rPr/>
        <w:t>retain</w:t>
      </w:r>
      <w:r>
        <w:rPr>
          <w:spacing w:val="-3"/>
        </w:rPr>
        <w:t> </w:t>
      </w:r>
      <w:r>
        <w:rPr/>
        <w:t>a</w:t>
      </w:r>
      <w:r>
        <w:rPr>
          <w:spacing w:val="-3"/>
        </w:rPr>
        <w:t> </w:t>
      </w:r>
      <w:r>
        <w:rPr/>
        <w:t>degree</w:t>
      </w:r>
      <w:r>
        <w:rPr>
          <w:spacing w:val="-3"/>
        </w:rPr>
        <w:t> </w:t>
      </w:r>
      <w:r>
        <w:rPr/>
        <w:t>of</w:t>
      </w:r>
      <w:r>
        <w:rPr>
          <w:spacing w:val="-3"/>
        </w:rPr>
        <w:t> </w:t>
      </w:r>
      <w:r>
        <w:rPr/>
        <w:t>discretion</w:t>
      </w:r>
      <w:r>
        <w:rPr>
          <w:spacing w:val="-3"/>
        </w:rPr>
        <w:t> </w:t>
      </w:r>
      <w:r>
        <w:rPr/>
        <w:t>to</w:t>
      </w:r>
      <w:r>
        <w:rPr>
          <w:spacing w:val="-3"/>
        </w:rPr>
        <w:t> </w:t>
      </w:r>
      <w:r>
        <w:rPr/>
        <w:t>determine</w:t>
      </w:r>
      <w:r>
        <w:rPr>
          <w:spacing w:val="-3"/>
        </w:rPr>
        <w:t> </w:t>
      </w:r>
      <w:r>
        <w:rPr/>
        <w:t>the</w:t>
      </w:r>
      <w:r>
        <w:rPr>
          <w:spacing w:val="-3"/>
        </w:rPr>
        <w:t> </w:t>
      </w:r>
      <w:r>
        <w:rPr/>
        <w:t>law</w:t>
      </w:r>
      <w:r>
        <w:rPr>
          <w:spacing w:val="-3"/>
        </w:rPr>
        <w:t> </w:t>
      </w:r>
      <w:r>
        <w:rPr/>
        <w:t>that</w:t>
      </w:r>
      <w:r>
        <w:rPr>
          <w:spacing w:val="-3"/>
        </w:rPr>
        <w:t> </w:t>
      </w:r>
      <w:r>
        <w:rPr/>
        <w:t>is</w:t>
      </w:r>
      <w:r>
        <w:rPr>
          <w:spacing w:val="-3"/>
        </w:rPr>
        <w:t> </w:t>
      </w:r>
      <w:r>
        <w:rPr/>
        <w:t>most</w:t>
      </w:r>
      <w:r>
        <w:rPr>
          <w:spacing w:val="-3"/>
        </w:rPr>
        <w:t> </w:t>
      </w:r>
      <w:r>
        <w:rPr/>
        <w:t>closely</w:t>
      </w:r>
      <w:r>
        <w:rPr>
          <w:spacing w:val="-3"/>
        </w:rPr>
        <w:t> </w:t>
      </w:r>
      <w:r>
        <w:rPr/>
        <w:t>connected to the situation.”</w:t>
      </w:r>
    </w:p>
    <w:p>
      <w:pPr>
        <w:pStyle w:val="BodyText"/>
      </w:pPr>
    </w:p>
    <w:p>
      <w:pPr>
        <w:pStyle w:val="BodyText"/>
      </w:pPr>
    </w:p>
    <w:p>
      <w:pPr>
        <w:pStyle w:val="BodyText"/>
        <w:spacing w:before="154"/>
      </w:pPr>
    </w:p>
    <w:p>
      <w:pPr>
        <w:spacing w:before="0"/>
        <w:ind w:left="165" w:right="0" w:firstLine="0"/>
        <w:jc w:val="both"/>
        <w:rPr>
          <w:rFonts w:ascii="Arial"/>
          <w:b/>
          <w:sz w:val="18"/>
        </w:rPr>
      </w:pPr>
      <w:r>
        <w:rPr>
          <w:rFonts w:ascii="Arial"/>
          <w:b/>
          <w:sz w:val="18"/>
        </w:rPr>
        <w:t>Specific </w:t>
      </w:r>
      <w:r>
        <w:rPr>
          <w:rFonts w:ascii="Arial"/>
          <w:b/>
          <w:spacing w:val="-2"/>
          <w:sz w:val="18"/>
        </w:rPr>
        <w:t>rules</w:t>
      </w:r>
    </w:p>
    <w:p>
      <w:pPr>
        <w:pStyle w:val="BodyText"/>
        <w:spacing w:before="41"/>
        <w:rPr>
          <w:rFonts w:ascii="Arial"/>
          <w:b/>
          <w:sz w:val="18"/>
        </w:rPr>
      </w:pPr>
    </w:p>
    <w:p>
      <w:pPr>
        <w:pStyle w:val="Heading2"/>
        <w:spacing w:before="1"/>
      </w:pPr>
      <w:r>
        <w:rPr/>
        <w:t>30-</w:t>
      </w:r>
      <w:r>
        <w:rPr>
          <w:spacing w:val="-5"/>
        </w:rPr>
        <w:t>188</w:t>
      </w:r>
    </w:p>
    <w:p>
      <w:pPr>
        <w:pStyle w:val="BodyText"/>
        <w:spacing w:line="235" w:lineRule="auto" w:before="202"/>
        <w:ind w:left="165" w:right="167"/>
        <w:jc w:val="both"/>
      </w:pPr>
      <w:bookmarkStart w:name="_bookmark1480" w:id="1482"/>
      <w:bookmarkEnd w:id="1482"/>
      <w:r>
        <w:rPr/>
      </w:r>
      <w:r>
        <w:rPr/>
        <w:t>Article 4(1) of the Regulation provides that to the extent that the law applicable to the contract has </w:t>
      </w:r>
      <w:r>
        <w:rPr/>
        <w:t>not been chosen in accordance with art.3, </w:t>
      </w:r>
      <w:r>
        <w:rPr>
          <w:color w:val="005DA1"/>
          <w:u w:val="single" w:color="005DA1"/>
          <w:vertAlign w:val="superscript"/>
        </w:rPr>
        <w:t>783</w:t>
      </w:r>
      <w:r>
        <w:rPr>
          <w:color w:val="005DA1"/>
          <w:vertAlign w:val="baseline"/>
        </w:rPr>
        <w:t> </w:t>
      </w:r>
      <w:r>
        <w:rPr>
          <w:vertAlign w:val="baseline"/>
        </w:rPr>
        <w:t>the law applicable to the contract shall be determined, in </w:t>
      </w:r>
      <w:bookmarkStart w:name="_bookmark1481" w:id="1483"/>
      <w:bookmarkEnd w:id="1483"/>
      <w:r>
        <w:rPr>
          <w:vertAlign w:val="baseline"/>
        </w:rPr>
        <w:t>respect</w:t>
      </w:r>
      <w:r>
        <w:rPr>
          <w:vertAlign w:val="baseline"/>
        </w:rPr>
        <w:t> of certain identified contracts, as follows. It is likely that an autonomous meaning will be attributed to the contracts so identified where necessary. </w:t>
      </w:r>
      <w:r>
        <w:rPr>
          <w:color w:val="005DA1"/>
          <w:u w:val="single" w:color="005DA1"/>
          <w:vertAlign w:val="superscript"/>
        </w:rPr>
        <w:t>784</w:t>
      </w:r>
    </w:p>
    <w:p>
      <w:pPr>
        <w:pStyle w:val="BodyText"/>
      </w:pPr>
    </w:p>
    <w:p>
      <w:pPr>
        <w:pStyle w:val="BodyText"/>
        <w:spacing w:before="37"/>
      </w:pPr>
    </w:p>
    <w:p>
      <w:pPr>
        <w:spacing w:before="0"/>
        <w:ind w:left="164" w:right="0" w:firstLine="0"/>
        <w:jc w:val="left"/>
        <w:rPr>
          <w:rFonts w:ascii="Arial"/>
          <w:b/>
          <w:sz w:val="18"/>
        </w:rPr>
      </w:pPr>
      <w:r>
        <w:rPr>
          <w:rFonts w:ascii="Arial"/>
          <w:b/>
          <w:sz w:val="18"/>
        </w:rPr>
        <w:t>Sale of </w:t>
      </w:r>
      <w:r>
        <w:rPr>
          <w:rFonts w:ascii="Arial"/>
          <w:b/>
          <w:spacing w:val="-2"/>
          <w:sz w:val="18"/>
        </w:rPr>
        <w:t>goods</w:t>
      </w:r>
    </w:p>
    <w:p>
      <w:pPr>
        <w:pStyle w:val="BodyText"/>
        <w:spacing w:before="42"/>
        <w:rPr>
          <w:rFonts w:ascii="Arial"/>
          <w:b/>
          <w:sz w:val="18"/>
        </w:rPr>
      </w:pPr>
    </w:p>
    <w:p>
      <w:pPr>
        <w:pStyle w:val="Heading2"/>
        <w:ind w:left="164"/>
      </w:pPr>
      <w:r>
        <w:rPr/>
        <w:t>30-</w:t>
      </w:r>
      <w:r>
        <w:rPr>
          <w:spacing w:val="-5"/>
        </w:rPr>
        <w:t>189</w:t>
      </w:r>
    </w:p>
    <w:p>
      <w:pPr>
        <w:pStyle w:val="BodyText"/>
        <w:spacing w:before="212"/>
        <w:rPr>
          <w:rFonts w:ascii="Arial"/>
          <w:b/>
        </w:rPr>
      </w:pPr>
    </w:p>
    <w:p>
      <w:pPr>
        <w:pStyle w:val="BodyText"/>
        <w:spacing w:line="235" w:lineRule="auto"/>
        <w:ind w:left="165" w:right="168"/>
        <w:jc w:val="both"/>
      </w:pPr>
      <w:r>
        <w:rPr>
          <w:position w:val="-2"/>
        </w:rPr>
        <w:drawing>
          <wp:inline distT="0" distB="0" distL="0" distR="0">
            <wp:extent cx="107988" cy="10798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482" w:id="1484"/>
      <w:bookmarkEnd w:id="1484"/>
      <w:r>
        <w:rPr>
          <w:rFonts w:ascii="Times New Roman"/>
          <w:spacing w:val="13"/>
        </w:rPr>
      </w:r>
      <w:bookmarkStart w:name="_bookmark1483" w:id="1485"/>
      <w:bookmarkEnd w:id="1485"/>
      <w:r>
        <w:rPr>
          <w:rFonts w:ascii="Times New Roman"/>
          <w:spacing w:val="13"/>
        </w:rPr>
      </w:r>
      <w:r>
        <w:rPr/>
        <w:t>Article 4(1)(a) provides that a contract for the sale of goods </w:t>
      </w:r>
      <w:r>
        <w:rPr>
          <w:color w:val="005DA1"/>
          <w:u w:val="single" w:color="005DA1"/>
          <w:vertAlign w:val="superscript"/>
        </w:rPr>
        <w:t>785</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11"/>
          <w:vertAlign w:val="baseline"/>
        </w:rPr>
        <w:t> </w:t>
      </w:r>
      <w:r>
        <w:rPr>
          <w:vertAlign w:val="baseline"/>
        </w:rPr>
        <w:t>shall be governed by the law of </w:t>
      </w:r>
      <w:bookmarkStart w:name="_bookmark1484" w:id="1486"/>
      <w:bookmarkEnd w:id="1486"/>
      <w:r>
        <w:rPr>
          <w:vertAlign w:val="baseline"/>
        </w:rPr>
        <w:t>the</w:t>
      </w:r>
      <w:r>
        <w:rPr>
          <w:vertAlign w:val="baseline"/>
        </w:rPr>
        <w:t> country </w:t>
      </w:r>
      <w:r>
        <w:rPr>
          <w:color w:val="005DA1"/>
          <w:u w:val="single" w:color="005DA1"/>
          <w:vertAlign w:val="superscript"/>
        </w:rPr>
        <w:t>786</w:t>
      </w:r>
      <w:r>
        <w:rPr>
          <w:color w:val="005DA1"/>
          <w:vertAlign w:val="baseline"/>
        </w:rPr>
        <w:t> </w:t>
      </w:r>
      <w:r>
        <w:rPr>
          <w:vertAlign w:val="baseline"/>
        </w:rPr>
        <w:t>where the seller has his habitual residence. </w:t>
      </w:r>
      <w:r>
        <w:rPr>
          <w:color w:val="005DA1"/>
          <w:u w:val="single" w:color="005DA1"/>
          <w:vertAlign w:val="superscript"/>
        </w:rPr>
        <w:t>787</w:t>
      </w:r>
      <w:r>
        <w:rPr>
          <w:color w:val="005DA1"/>
          <w:vertAlign w:val="baseline"/>
        </w:rPr>
        <w:t> </w:t>
      </w:r>
      <w:r>
        <w:rPr>
          <w:vertAlign w:val="baseline"/>
        </w:rPr>
        <w:t>In effect, this reproduces in concrete form the outcome reached under art.4(2) of the Rome Convention. </w:t>
      </w:r>
      <w:r>
        <w:rPr>
          <w:color w:val="005DA1"/>
          <w:u w:val="single" w:color="005DA1"/>
          <w:vertAlign w:val="superscript"/>
        </w:rPr>
        <w:t>788</w:t>
      </w:r>
    </w:p>
    <w:p>
      <w:pPr>
        <w:pStyle w:val="BodyText"/>
      </w:pPr>
    </w:p>
    <w:p>
      <w:pPr>
        <w:pStyle w:val="BodyText"/>
        <w:spacing w:before="38"/>
      </w:pPr>
    </w:p>
    <w:p>
      <w:pPr>
        <w:spacing w:before="0"/>
        <w:ind w:left="165" w:right="0" w:firstLine="0"/>
        <w:jc w:val="both"/>
        <w:rPr>
          <w:rFonts w:ascii="Arial"/>
          <w:b/>
          <w:sz w:val="18"/>
        </w:rPr>
      </w:pPr>
      <w:r>
        <w:rPr>
          <w:rFonts w:ascii="Arial"/>
          <w:b/>
          <w:sz w:val="18"/>
        </w:rPr>
        <w:t>Provision of </w:t>
      </w:r>
      <w:r>
        <w:rPr>
          <w:rFonts w:ascii="Arial"/>
          <w:b/>
          <w:spacing w:val="-2"/>
          <w:sz w:val="18"/>
        </w:rPr>
        <w:t>services</w:t>
      </w:r>
    </w:p>
    <w:p>
      <w:pPr>
        <w:pStyle w:val="BodyText"/>
        <w:spacing w:before="41"/>
        <w:rPr>
          <w:rFonts w:ascii="Arial"/>
          <w:b/>
          <w:sz w:val="18"/>
        </w:rPr>
      </w:pPr>
    </w:p>
    <w:p>
      <w:pPr>
        <w:pStyle w:val="Heading2"/>
      </w:pPr>
      <w:r>
        <w:rPr/>
        <w:t>30-</w:t>
      </w:r>
      <w:r>
        <w:rPr>
          <w:spacing w:val="-5"/>
        </w:rPr>
        <w:t>190</w:t>
      </w:r>
    </w:p>
    <w:p>
      <w:pPr>
        <w:pStyle w:val="BodyText"/>
        <w:spacing w:line="235" w:lineRule="auto" w:before="203"/>
        <w:ind w:left="165" w:right="168"/>
        <w:jc w:val="both"/>
      </w:pPr>
      <w:bookmarkStart w:name="_bookmark1485" w:id="1487"/>
      <w:bookmarkEnd w:id="1487"/>
      <w:r>
        <w:rPr/>
      </w:r>
      <w:bookmarkStart w:name="_bookmark1486" w:id="1488"/>
      <w:bookmarkEnd w:id="1488"/>
      <w:r>
        <w:rPr/>
      </w:r>
      <w:r>
        <w:rPr/>
        <w:t>According to art.4(1)(b) a contract for the provision of services </w:t>
      </w:r>
      <w:r>
        <w:rPr>
          <w:color w:val="005DA1"/>
          <w:u w:val="single" w:color="005DA1"/>
          <w:vertAlign w:val="superscript"/>
        </w:rPr>
        <w:t>789</w:t>
      </w:r>
      <w:r>
        <w:rPr>
          <w:color w:val="005DA1"/>
          <w:vertAlign w:val="baseline"/>
        </w:rPr>
        <w:t> </w:t>
      </w:r>
      <w:r>
        <w:rPr>
          <w:vertAlign w:val="baseline"/>
        </w:rPr>
        <w:t>shall be governed by the law of </w:t>
      </w:r>
      <w:r>
        <w:rPr>
          <w:vertAlign w:val="baseline"/>
        </w:rPr>
        <w:t>the </w:t>
      </w:r>
      <w:bookmarkStart w:name="_bookmark1487" w:id="1489"/>
      <w:bookmarkEnd w:id="1489"/>
      <w:r>
        <w:rPr>
          <w:vertAlign w:val="baseline"/>
        </w:rPr>
        <w:t>country</w:t>
      </w:r>
      <w:r>
        <w:rPr>
          <w:vertAlign w:val="baseline"/>
        </w:rPr>
        <w:t> where the service provider has his habitual residence. </w:t>
      </w:r>
      <w:r>
        <w:rPr>
          <w:color w:val="005DA1"/>
          <w:u w:val="single" w:color="005DA1"/>
          <w:vertAlign w:val="superscript"/>
        </w:rPr>
        <w:t>790</w:t>
      </w:r>
      <w:r>
        <w:rPr>
          <w:color w:val="005DA1"/>
          <w:vertAlign w:val="baseline"/>
        </w:rPr>
        <w:t> </w:t>
      </w:r>
      <w:r>
        <w:rPr>
          <w:vertAlign w:val="baseline"/>
        </w:rPr>
        <w:t>This specific rule reaches the same outcome as would application of art.4(2) of the Rome Convention. </w:t>
      </w:r>
      <w:r>
        <w:rPr>
          <w:color w:val="005DA1"/>
          <w:u w:val="single" w:color="005DA1"/>
          <w:vertAlign w:val="superscript"/>
        </w:rPr>
        <w:t>791</w:t>
      </w:r>
    </w:p>
    <w:p>
      <w:pPr>
        <w:pStyle w:val="BodyText"/>
      </w:pPr>
    </w:p>
    <w:p>
      <w:pPr>
        <w:pStyle w:val="BodyText"/>
        <w:spacing w:before="37"/>
      </w:pPr>
    </w:p>
    <w:p>
      <w:pPr>
        <w:spacing w:before="0"/>
        <w:ind w:left="165" w:right="0" w:firstLine="0"/>
        <w:jc w:val="left"/>
        <w:rPr>
          <w:rFonts w:ascii="Arial"/>
          <w:b/>
          <w:sz w:val="18"/>
        </w:rPr>
      </w:pPr>
      <w:r>
        <w:rPr>
          <w:rFonts w:ascii="Arial"/>
          <w:b/>
          <w:sz w:val="18"/>
        </w:rPr>
        <w:t>Sale of goods or provision of </w:t>
      </w:r>
      <w:r>
        <w:rPr>
          <w:rFonts w:ascii="Arial"/>
          <w:b/>
          <w:spacing w:val="-2"/>
          <w:sz w:val="18"/>
        </w:rPr>
        <w:t>services?</w:t>
      </w:r>
    </w:p>
    <w:p>
      <w:pPr>
        <w:pStyle w:val="BodyText"/>
        <w:spacing w:before="41"/>
        <w:rPr>
          <w:rFonts w:ascii="Arial"/>
          <w:b/>
          <w:sz w:val="18"/>
        </w:rPr>
      </w:pPr>
    </w:p>
    <w:p>
      <w:pPr>
        <w:pStyle w:val="Heading2"/>
        <w:spacing w:before="1"/>
      </w:pPr>
      <w:r>
        <w:rPr/>
        <w:t>30-</w:t>
      </w:r>
      <w:r>
        <w:rPr>
          <w:spacing w:val="-5"/>
        </w:rPr>
        <w:t>191</w:t>
      </w:r>
    </w:p>
    <w:p>
      <w:pPr>
        <w:pStyle w:val="BodyText"/>
        <w:spacing w:line="235" w:lineRule="auto" w:before="202"/>
        <w:ind w:left="165" w:right="167"/>
        <w:jc w:val="both"/>
      </w:pPr>
      <w:r>
        <w:rPr/>
        <w:t>In some cases it may be necessary to determine whether the relevant contract is a contract for the sale of goods or one for the provision of services. In the context of the Brussels I </w:t>
      </w:r>
      <w:r>
        <w:rPr/>
        <w:t>Regulation art.5(1)(b), it has been held that the latter provision must be interpreted as meaning that where the purpose of the contract is the supply of goods to be manufactured or produced and, even though the purchaser has specified certain requirements with regard to the provision, fabrication and delivery of the components to be produced, the purchaser has not supplied the materials and the supplier is </w:t>
      </w:r>
      <w:bookmarkStart w:name="_bookmark1488" w:id="1490"/>
      <w:bookmarkEnd w:id="1490"/>
      <w:r>
        <w:rPr/>
        <w:t>responsible</w:t>
      </w:r>
      <w:r>
        <w:rPr/>
        <w:t> for the quality of the goods and their compliance with the contract, the contract must be classified as a contract for the sale of goods. </w:t>
      </w:r>
      <w:r>
        <w:rPr>
          <w:color w:val="005DA1"/>
          <w:u w:val="single" w:color="005DA1"/>
          <w:vertAlign w:val="superscript"/>
        </w:rPr>
        <w:t>792</w:t>
      </w:r>
      <w:r>
        <w:rPr>
          <w:color w:val="005DA1"/>
          <w:vertAlign w:val="baseline"/>
        </w:rPr>
        <w:t> </w:t>
      </w:r>
      <w:r>
        <w:rPr>
          <w:vertAlign w:val="baseline"/>
        </w:rPr>
        <w:t>In the context of the Rome I Regulation, however, a contract</w:t>
      </w:r>
      <w:r>
        <w:rPr>
          <w:spacing w:val="13"/>
          <w:vertAlign w:val="baseline"/>
        </w:rPr>
        <w:t> </w:t>
      </w:r>
      <w:r>
        <w:rPr>
          <w:vertAlign w:val="baseline"/>
        </w:rPr>
        <w:t>of</w:t>
      </w:r>
      <w:r>
        <w:rPr>
          <w:spacing w:val="13"/>
          <w:vertAlign w:val="baseline"/>
        </w:rPr>
        <w:t> </w:t>
      </w:r>
      <w:r>
        <w:rPr>
          <w:vertAlign w:val="baseline"/>
        </w:rPr>
        <w:t>this</w:t>
      </w:r>
      <w:r>
        <w:rPr>
          <w:spacing w:val="13"/>
          <w:vertAlign w:val="baseline"/>
        </w:rPr>
        <w:t> </w:t>
      </w:r>
      <w:r>
        <w:rPr>
          <w:vertAlign w:val="baseline"/>
        </w:rPr>
        <w:t>character</w:t>
      </w:r>
      <w:r>
        <w:rPr>
          <w:spacing w:val="13"/>
          <w:vertAlign w:val="baseline"/>
        </w:rPr>
        <w:t> </w:t>
      </w:r>
      <w:r>
        <w:rPr>
          <w:vertAlign w:val="baseline"/>
        </w:rPr>
        <w:t>might</w:t>
      </w:r>
      <w:r>
        <w:rPr>
          <w:spacing w:val="13"/>
          <w:vertAlign w:val="baseline"/>
        </w:rPr>
        <w:t> </w:t>
      </w:r>
      <w:r>
        <w:rPr>
          <w:vertAlign w:val="baseline"/>
        </w:rPr>
        <w:t>be</w:t>
      </w:r>
      <w:r>
        <w:rPr>
          <w:spacing w:val="13"/>
          <w:vertAlign w:val="baseline"/>
        </w:rPr>
        <w:t> </w:t>
      </w:r>
      <w:r>
        <w:rPr>
          <w:vertAlign w:val="baseline"/>
        </w:rPr>
        <w:t>regarded</w:t>
      </w:r>
      <w:r>
        <w:rPr>
          <w:spacing w:val="13"/>
          <w:vertAlign w:val="baseline"/>
        </w:rPr>
        <w:t> </w:t>
      </w:r>
      <w:r>
        <w:rPr>
          <w:vertAlign w:val="baseline"/>
        </w:rPr>
        <w:t>as</w:t>
      </w:r>
      <w:r>
        <w:rPr>
          <w:spacing w:val="13"/>
          <w:vertAlign w:val="baseline"/>
        </w:rPr>
        <w:t> </w:t>
      </w:r>
      <w:r>
        <w:rPr>
          <w:vertAlign w:val="baseline"/>
        </w:rPr>
        <w:t>falling</w:t>
      </w:r>
      <w:r>
        <w:rPr>
          <w:spacing w:val="13"/>
          <w:vertAlign w:val="baseline"/>
        </w:rPr>
        <w:t> </w:t>
      </w:r>
      <w:r>
        <w:rPr>
          <w:vertAlign w:val="baseline"/>
        </w:rPr>
        <w:t>within</w:t>
      </w:r>
      <w:r>
        <w:rPr>
          <w:spacing w:val="13"/>
          <w:vertAlign w:val="baseline"/>
        </w:rPr>
        <w:t> </w:t>
      </w:r>
      <w:r>
        <w:rPr>
          <w:vertAlign w:val="baseline"/>
        </w:rPr>
        <w:t>art.4(2)</w:t>
      </w:r>
      <w:r>
        <w:rPr>
          <w:spacing w:val="13"/>
          <w:vertAlign w:val="baseline"/>
        </w:rPr>
        <w:t> </w:t>
      </w:r>
      <w:r>
        <w:rPr>
          <w:vertAlign w:val="baseline"/>
        </w:rPr>
        <w:t>of</w:t>
      </w:r>
      <w:r>
        <w:rPr>
          <w:spacing w:val="13"/>
          <w:vertAlign w:val="baseline"/>
        </w:rPr>
        <w:t> </w:t>
      </w:r>
      <w:r>
        <w:rPr>
          <w:vertAlign w:val="baseline"/>
        </w:rPr>
        <w:t>that</w:t>
      </w:r>
      <w:r>
        <w:rPr>
          <w:spacing w:val="13"/>
          <w:vertAlign w:val="baseline"/>
        </w:rPr>
        <w:t> </w:t>
      </w:r>
      <w:r>
        <w:rPr>
          <w:vertAlign w:val="baseline"/>
        </w:rPr>
        <w:t>Regulation</w:t>
      </w:r>
      <w:r>
        <w:rPr>
          <w:spacing w:val="13"/>
          <w:vertAlign w:val="baseline"/>
        </w:rPr>
        <w:t> </w:t>
      </w:r>
      <w:r>
        <w:rPr>
          <w:vertAlign w:val="baseline"/>
        </w:rPr>
        <w:t>as</w:t>
      </w:r>
      <w:r>
        <w:rPr>
          <w:spacing w:val="13"/>
          <w:vertAlign w:val="baseline"/>
        </w:rPr>
        <w:t> </w:t>
      </w:r>
      <w:r>
        <w:rPr>
          <w:vertAlign w:val="baseline"/>
        </w:rPr>
        <w:t>a</w:t>
      </w:r>
      <w:r>
        <w:rPr>
          <w:spacing w:val="13"/>
          <w:vertAlign w:val="baseline"/>
        </w:rPr>
        <w:t> </w:t>
      </w:r>
      <w:r>
        <w:rPr>
          <w:spacing w:val="-2"/>
          <w:vertAlign w:val="baseline"/>
        </w:rPr>
        <w:t>contract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489" w:id="1491"/>
      <w:bookmarkEnd w:id="1491"/>
      <w:r>
        <w:rPr/>
      </w:r>
      <w:r>
        <w:rPr/>
        <w:t>where the “elements of the contract would be covered by more than one of points (a) to (h)” of</w:t>
      </w:r>
      <w:r>
        <w:rPr>
          <w:spacing w:val="40"/>
        </w:rPr>
        <w:t> </w:t>
      </w:r>
      <w:r>
        <w:rPr/>
        <w:t>art.4(1). </w:t>
      </w:r>
      <w:r>
        <w:rPr>
          <w:color w:val="005DA1"/>
          <w:u w:val="single" w:color="005DA1"/>
          <w:vertAlign w:val="superscript"/>
        </w:rPr>
        <w:t>793</w:t>
      </w:r>
    </w:p>
    <w:p>
      <w:pPr>
        <w:pStyle w:val="BodyText"/>
      </w:pPr>
    </w:p>
    <w:p>
      <w:pPr>
        <w:pStyle w:val="BodyText"/>
        <w:spacing w:before="38"/>
      </w:pPr>
    </w:p>
    <w:p>
      <w:pPr>
        <w:spacing w:before="0"/>
        <w:ind w:left="165" w:right="0" w:firstLine="0"/>
        <w:jc w:val="left"/>
        <w:rPr>
          <w:rFonts w:ascii="Arial"/>
          <w:b/>
          <w:sz w:val="18"/>
        </w:rPr>
      </w:pPr>
      <w:r>
        <w:rPr>
          <w:rFonts w:ascii="Arial"/>
          <w:b/>
          <w:spacing w:val="-2"/>
          <w:sz w:val="18"/>
        </w:rPr>
        <w:t>Immovables</w:t>
      </w:r>
    </w:p>
    <w:p>
      <w:pPr>
        <w:pStyle w:val="BodyText"/>
        <w:spacing w:before="41"/>
        <w:rPr>
          <w:rFonts w:ascii="Arial"/>
          <w:b/>
          <w:sz w:val="18"/>
        </w:rPr>
      </w:pPr>
    </w:p>
    <w:p>
      <w:pPr>
        <w:pStyle w:val="Heading2"/>
      </w:pPr>
      <w:r>
        <w:rPr/>
        <w:t>30-</w:t>
      </w:r>
      <w:r>
        <w:rPr>
          <w:spacing w:val="-5"/>
        </w:rPr>
        <w:t>192</w:t>
      </w:r>
    </w:p>
    <w:p>
      <w:pPr>
        <w:pStyle w:val="BodyText"/>
        <w:spacing w:line="235" w:lineRule="auto" w:before="203"/>
        <w:ind w:left="165" w:right="167"/>
        <w:jc w:val="both"/>
      </w:pPr>
      <w:r>
        <w:rPr/>
        <w:t>Article</w:t>
      </w:r>
      <w:r>
        <w:rPr>
          <w:spacing w:val="-1"/>
        </w:rPr>
        <w:t> </w:t>
      </w:r>
      <w:r>
        <w:rPr/>
        <w:t>4(1)(c)</w:t>
      </w:r>
      <w:r>
        <w:rPr>
          <w:spacing w:val="-1"/>
        </w:rPr>
        <w:t> </w:t>
      </w:r>
      <w:r>
        <w:rPr/>
        <w:t>stipulates</w:t>
      </w:r>
      <w:r>
        <w:rPr>
          <w:spacing w:val="-1"/>
        </w:rPr>
        <w:t> </w:t>
      </w:r>
      <w:r>
        <w:rPr/>
        <w:t>that</w:t>
      </w:r>
      <w:r>
        <w:rPr>
          <w:spacing w:val="-1"/>
        </w:rPr>
        <w:t> </w:t>
      </w:r>
      <w:r>
        <w:rPr/>
        <w:t>a</w:t>
      </w:r>
      <w:r>
        <w:rPr>
          <w:spacing w:val="-1"/>
        </w:rPr>
        <w:t> </w:t>
      </w:r>
      <w:r>
        <w:rPr/>
        <w:t>contract</w:t>
      </w:r>
      <w:r>
        <w:rPr>
          <w:spacing w:val="-1"/>
        </w:rPr>
        <w:t> </w:t>
      </w:r>
      <w:r>
        <w:rPr/>
        <w:t>relating</w:t>
      </w:r>
      <w:r>
        <w:rPr>
          <w:spacing w:val="-1"/>
        </w:rPr>
        <w:t> </w:t>
      </w:r>
      <w:r>
        <w:rPr/>
        <w:t>to</w:t>
      </w:r>
      <w:r>
        <w:rPr>
          <w:spacing w:val="-1"/>
        </w:rPr>
        <w:t> </w:t>
      </w:r>
      <w:r>
        <w:rPr/>
        <w:t>a</w:t>
      </w:r>
      <w:r>
        <w:rPr>
          <w:spacing w:val="-1"/>
        </w:rPr>
        <w:t> </w:t>
      </w:r>
      <w:r>
        <w:rPr/>
        <w:t>right</w:t>
      </w:r>
      <w:r>
        <w:rPr>
          <w:spacing w:val="-1"/>
        </w:rPr>
        <w:t> </w:t>
      </w:r>
      <w:r>
        <w:rPr/>
        <w:t>in</w:t>
      </w:r>
      <w:r>
        <w:rPr>
          <w:spacing w:val="-1"/>
        </w:rPr>
        <w:t> </w:t>
      </w:r>
      <w:r>
        <w:rPr/>
        <w:t>rem</w:t>
      </w:r>
      <w:r>
        <w:rPr>
          <w:spacing w:val="-1"/>
        </w:rPr>
        <w:t> </w:t>
      </w:r>
      <w:r>
        <w:rPr/>
        <w:t>in</w:t>
      </w:r>
      <w:r>
        <w:rPr>
          <w:spacing w:val="-1"/>
        </w:rPr>
        <w:t> </w:t>
      </w:r>
      <w:r>
        <w:rPr/>
        <w:t>immovable</w:t>
      </w:r>
      <w:r>
        <w:rPr>
          <w:spacing w:val="-1"/>
        </w:rPr>
        <w:t> </w:t>
      </w:r>
      <w:r>
        <w:rPr/>
        <w:t>property</w:t>
      </w:r>
      <w:r>
        <w:rPr>
          <w:spacing w:val="-1"/>
        </w:rPr>
        <w:t> </w:t>
      </w:r>
      <w:r>
        <w:rPr/>
        <w:t>or</w:t>
      </w:r>
      <w:r>
        <w:rPr>
          <w:spacing w:val="-1"/>
        </w:rPr>
        <w:t> </w:t>
      </w:r>
      <w:r>
        <w:rPr/>
        <w:t>to</w:t>
      </w:r>
      <w:r>
        <w:rPr>
          <w:spacing w:val="-1"/>
        </w:rPr>
        <w:t> </w:t>
      </w:r>
      <w:r>
        <w:rPr/>
        <w:t>a</w:t>
      </w:r>
      <w:r>
        <w:rPr>
          <w:spacing w:val="-1"/>
        </w:rPr>
        <w:t> </w:t>
      </w:r>
      <w:r>
        <w:rPr/>
        <w:t>tenancy of</w:t>
      </w:r>
      <w:r>
        <w:rPr>
          <w:spacing w:val="-2"/>
        </w:rPr>
        <w:t> </w:t>
      </w:r>
      <w:r>
        <w:rPr/>
        <w:t>immovable</w:t>
      </w:r>
      <w:r>
        <w:rPr>
          <w:spacing w:val="-2"/>
        </w:rPr>
        <w:t> </w:t>
      </w:r>
      <w:r>
        <w:rPr/>
        <w:t>property</w:t>
      </w:r>
      <w:r>
        <w:rPr>
          <w:spacing w:val="-2"/>
        </w:rPr>
        <w:t> </w:t>
      </w:r>
      <w:r>
        <w:rPr/>
        <w:t>shall</w:t>
      </w:r>
      <w:r>
        <w:rPr>
          <w:spacing w:val="-2"/>
        </w:rPr>
        <w:t> </w:t>
      </w:r>
      <w:r>
        <w:rPr/>
        <w:t>be</w:t>
      </w:r>
      <w:r>
        <w:rPr>
          <w:spacing w:val="-2"/>
        </w:rPr>
        <w:t> </w:t>
      </w:r>
      <w:r>
        <w:rPr/>
        <w:t>governed</w:t>
      </w:r>
      <w:r>
        <w:rPr>
          <w:spacing w:val="-2"/>
        </w:rPr>
        <w:t> </w:t>
      </w:r>
      <w:r>
        <w:rPr/>
        <w:t>by</w:t>
      </w:r>
      <w:r>
        <w:rPr>
          <w:spacing w:val="-2"/>
        </w:rPr>
        <w:t> </w:t>
      </w:r>
      <w:r>
        <w:rPr/>
        <w:t>the</w:t>
      </w:r>
      <w:r>
        <w:rPr>
          <w:spacing w:val="-2"/>
        </w:rPr>
        <w:t> </w:t>
      </w:r>
      <w:r>
        <w:rPr/>
        <w:t>law</w:t>
      </w:r>
      <w:r>
        <w:rPr>
          <w:spacing w:val="-2"/>
        </w:rPr>
        <w:t> </w:t>
      </w:r>
      <w:r>
        <w:rPr/>
        <w:t>of</w:t>
      </w:r>
      <w:r>
        <w:rPr>
          <w:spacing w:val="-2"/>
        </w:rPr>
        <w:t> </w:t>
      </w:r>
      <w:r>
        <w:rPr/>
        <w:t>the</w:t>
      </w:r>
      <w:r>
        <w:rPr>
          <w:spacing w:val="-2"/>
        </w:rPr>
        <w:t> </w:t>
      </w:r>
      <w:r>
        <w:rPr/>
        <w:t>country</w:t>
      </w:r>
      <w:r>
        <w:rPr>
          <w:spacing w:val="-2"/>
        </w:rPr>
        <w:t> </w:t>
      </w:r>
      <w:r>
        <w:rPr/>
        <w:t>where</w:t>
      </w:r>
      <w:r>
        <w:rPr>
          <w:spacing w:val="-2"/>
        </w:rPr>
        <w:t> </w:t>
      </w:r>
      <w:r>
        <w:rPr/>
        <w:t>the</w:t>
      </w:r>
      <w:r>
        <w:rPr>
          <w:spacing w:val="-2"/>
        </w:rPr>
        <w:t> </w:t>
      </w:r>
      <w:r>
        <w:rPr/>
        <w:t>property</w:t>
      </w:r>
      <w:r>
        <w:rPr>
          <w:spacing w:val="-2"/>
        </w:rPr>
        <w:t> </w:t>
      </w:r>
      <w:r>
        <w:rPr/>
        <w:t>is</w:t>
      </w:r>
      <w:r>
        <w:rPr>
          <w:spacing w:val="-2"/>
        </w:rPr>
        <w:t> </w:t>
      </w:r>
      <w:r>
        <w:rPr/>
        <w:t>situated.</w:t>
      </w:r>
      <w:r>
        <w:rPr>
          <w:spacing w:val="-2"/>
        </w:rPr>
        <w:t> </w:t>
      </w:r>
      <w:r>
        <w:rPr/>
        <w:t>This is subject to an exception in art.4(1)(d) where it is provided that a tenancy of immovable property concluded for a temporary period of no more than six consecutive months shall be governed by the </w:t>
      </w:r>
      <w:bookmarkStart w:name="_bookmark1490" w:id="1492"/>
      <w:bookmarkEnd w:id="1492"/>
      <w:r>
        <w:rPr/>
        <w:t>law</w:t>
      </w:r>
      <w:r>
        <w:rPr/>
        <w:t> of the country where the landlord has his habitual residence, provided that the tenant is a natural person and has his habitual residence in the same country. </w:t>
      </w:r>
      <w:r>
        <w:rPr>
          <w:color w:val="005DA1"/>
          <w:u w:val="single" w:color="005DA1"/>
          <w:vertAlign w:val="superscript"/>
        </w:rPr>
        <w:t>794</w:t>
      </w:r>
      <w:r>
        <w:rPr>
          <w:color w:val="005DA1"/>
          <w:vertAlign w:val="baseline"/>
        </w:rPr>
        <w:t> </w:t>
      </w:r>
      <w:r>
        <w:rPr>
          <w:vertAlign w:val="baseline"/>
        </w:rPr>
        <w:t>It will be noted that neither provision </w:t>
      </w:r>
      <w:bookmarkStart w:name="_bookmark1491" w:id="1493"/>
      <w:bookmarkEnd w:id="1493"/>
      <w:r>
        <w:rPr>
          <w:vertAlign w:val="baseline"/>
        </w:rPr>
        <w:t>requires</w:t>
      </w:r>
      <w:r>
        <w:rPr>
          <w:vertAlign w:val="baseline"/>
        </w:rPr>
        <w:t> that the immovable be situated in a Member State. Article 4(1)(c) is a rather </w:t>
      </w:r>
      <w:r>
        <w:rPr>
          <w:vertAlign w:val="baseline"/>
        </w:rPr>
        <w:t>different formulation</w:t>
      </w:r>
      <w:r>
        <w:rPr>
          <w:spacing w:val="-2"/>
          <w:vertAlign w:val="baseline"/>
        </w:rPr>
        <w:t> </w:t>
      </w:r>
      <w:r>
        <w:rPr>
          <w:vertAlign w:val="baseline"/>
        </w:rPr>
        <w:t>to</w:t>
      </w:r>
      <w:r>
        <w:rPr>
          <w:spacing w:val="-2"/>
          <w:vertAlign w:val="baseline"/>
        </w:rPr>
        <w:t> </w:t>
      </w:r>
      <w:r>
        <w:rPr>
          <w:vertAlign w:val="baseline"/>
        </w:rPr>
        <w:t>that</w:t>
      </w:r>
      <w:r>
        <w:rPr>
          <w:spacing w:val="-2"/>
          <w:vertAlign w:val="baseline"/>
        </w:rPr>
        <w:t> </w:t>
      </w:r>
      <w:r>
        <w:rPr>
          <w:vertAlign w:val="baseline"/>
        </w:rPr>
        <w:t>found</w:t>
      </w:r>
      <w:r>
        <w:rPr>
          <w:spacing w:val="-2"/>
          <w:vertAlign w:val="baseline"/>
        </w:rPr>
        <w:t> </w:t>
      </w:r>
      <w:r>
        <w:rPr>
          <w:vertAlign w:val="baseline"/>
        </w:rPr>
        <w:t>in</w:t>
      </w:r>
      <w:r>
        <w:rPr>
          <w:spacing w:val="-2"/>
          <w:vertAlign w:val="baseline"/>
        </w:rPr>
        <w:t> </w:t>
      </w:r>
      <w:r>
        <w:rPr>
          <w:vertAlign w:val="baseline"/>
        </w:rPr>
        <w:t>art.4(3)</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Rome</w:t>
      </w:r>
      <w:r>
        <w:rPr>
          <w:spacing w:val="-2"/>
          <w:vertAlign w:val="baseline"/>
        </w:rPr>
        <w:t> </w:t>
      </w:r>
      <w:r>
        <w:rPr>
          <w:vertAlign w:val="baseline"/>
        </w:rPr>
        <w:t>Convention,</w:t>
      </w:r>
      <w:r>
        <w:rPr>
          <w:spacing w:val="-3"/>
          <w:vertAlign w:val="baseline"/>
        </w:rPr>
        <w:t> </w:t>
      </w:r>
      <w:r>
        <w:rPr>
          <w:color w:val="005DA1"/>
          <w:u w:val="single" w:color="005DA1"/>
          <w:vertAlign w:val="superscript"/>
        </w:rPr>
        <w:t>795</w:t>
      </w:r>
      <w:r>
        <w:rPr>
          <w:color w:val="005DA1"/>
          <w:spacing w:val="-2"/>
          <w:vertAlign w:val="baseline"/>
        </w:rPr>
        <w:t> </w:t>
      </w:r>
      <w:r>
        <w:rPr>
          <w:vertAlign w:val="baseline"/>
        </w:rPr>
        <w:t>while</w:t>
      </w:r>
      <w:r>
        <w:rPr>
          <w:spacing w:val="-2"/>
          <w:vertAlign w:val="baseline"/>
        </w:rPr>
        <w:t> </w:t>
      </w:r>
      <w:r>
        <w:rPr>
          <w:vertAlign w:val="baseline"/>
        </w:rPr>
        <w:t>art.4(1)(d)</w:t>
      </w:r>
      <w:r>
        <w:rPr>
          <w:spacing w:val="-2"/>
          <w:vertAlign w:val="baseline"/>
        </w:rPr>
        <w:t> </w:t>
      </w:r>
      <w:r>
        <w:rPr>
          <w:vertAlign w:val="baseline"/>
        </w:rPr>
        <w:t>has</w:t>
      </w:r>
      <w:r>
        <w:rPr>
          <w:spacing w:val="-2"/>
          <w:vertAlign w:val="baseline"/>
        </w:rPr>
        <w:t> </w:t>
      </w:r>
      <w:r>
        <w:rPr>
          <w:vertAlign w:val="baseline"/>
        </w:rPr>
        <w:t>no</w:t>
      </w:r>
      <w:r>
        <w:rPr>
          <w:spacing w:val="-2"/>
          <w:vertAlign w:val="baseline"/>
        </w:rPr>
        <w:t> </w:t>
      </w:r>
      <w:r>
        <w:rPr>
          <w:vertAlign w:val="baseline"/>
        </w:rPr>
        <w:t>counterpart</w:t>
      </w:r>
      <w:r>
        <w:rPr>
          <w:spacing w:val="-2"/>
          <w:vertAlign w:val="baseline"/>
        </w:rPr>
        <w:t> </w:t>
      </w:r>
      <w:r>
        <w:rPr>
          <w:vertAlign w:val="baseline"/>
        </w:rPr>
        <w:t>in that</w:t>
      </w:r>
      <w:r>
        <w:rPr>
          <w:spacing w:val="-2"/>
          <w:vertAlign w:val="baseline"/>
        </w:rPr>
        <w:t> </w:t>
      </w:r>
      <w:r>
        <w:rPr>
          <w:vertAlign w:val="baseline"/>
        </w:rPr>
        <w:t>Convention.</w:t>
      </w:r>
      <w:r>
        <w:rPr>
          <w:spacing w:val="-2"/>
          <w:vertAlign w:val="baseline"/>
        </w:rPr>
        <w:t> </w:t>
      </w:r>
      <w:r>
        <w:rPr>
          <w:vertAlign w:val="baseline"/>
        </w:rPr>
        <w:t>Taken</w:t>
      </w:r>
      <w:r>
        <w:rPr>
          <w:spacing w:val="-2"/>
          <w:vertAlign w:val="baseline"/>
        </w:rPr>
        <w:t> </w:t>
      </w:r>
      <w:r>
        <w:rPr>
          <w:vertAlign w:val="baseline"/>
        </w:rPr>
        <w:t>together,</w:t>
      </w:r>
      <w:r>
        <w:rPr>
          <w:spacing w:val="-2"/>
          <w:vertAlign w:val="baseline"/>
        </w:rPr>
        <w:t> </w:t>
      </w:r>
      <w:r>
        <w:rPr>
          <w:vertAlign w:val="baseline"/>
        </w:rPr>
        <w:t>art.4(1)(c)</w:t>
      </w:r>
      <w:r>
        <w:rPr>
          <w:spacing w:val="-2"/>
          <w:vertAlign w:val="baseline"/>
        </w:rPr>
        <w:t> </w:t>
      </w:r>
      <w:r>
        <w:rPr>
          <w:vertAlign w:val="baseline"/>
        </w:rPr>
        <w:t>and</w:t>
      </w:r>
      <w:r>
        <w:rPr>
          <w:spacing w:val="-2"/>
          <w:vertAlign w:val="baseline"/>
        </w:rPr>
        <w:t> </w:t>
      </w:r>
      <w:r>
        <w:rPr>
          <w:vertAlign w:val="baseline"/>
        </w:rPr>
        <w:t>(d)</w:t>
      </w:r>
      <w:r>
        <w:rPr>
          <w:spacing w:val="-2"/>
          <w:vertAlign w:val="baseline"/>
        </w:rPr>
        <w:t> </w:t>
      </w:r>
      <w:r>
        <w:rPr>
          <w:vertAlign w:val="baseline"/>
        </w:rPr>
        <w:t>appear</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based</w:t>
      </w:r>
      <w:r>
        <w:rPr>
          <w:spacing w:val="-2"/>
          <w:vertAlign w:val="baseline"/>
        </w:rPr>
        <w:t> </w:t>
      </w:r>
      <w:r>
        <w:rPr>
          <w:vertAlign w:val="baseline"/>
        </w:rPr>
        <w:t>on</w:t>
      </w:r>
      <w:r>
        <w:rPr>
          <w:spacing w:val="-2"/>
          <w:vertAlign w:val="baseline"/>
        </w:rPr>
        <w:t> </w:t>
      </w:r>
      <w:r>
        <w:rPr>
          <w:vertAlign w:val="baseline"/>
        </w:rPr>
        <w:t>art.24(1)</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Judgments </w:t>
      </w:r>
      <w:bookmarkStart w:name="_bookmark1492" w:id="1494"/>
      <w:bookmarkEnd w:id="1494"/>
      <w:r>
        <w:rPr>
          <w:vertAlign w:val="baseline"/>
        </w:rPr>
        <w:t>Regulation</w:t>
      </w:r>
      <w:r>
        <w:rPr>
          <w:vertAlign w:val="baseline"/>
        </w:rPr>
        <w:t> recast which is in very similar terms, and is likely to be interpreted consistently with the latter provision so far as possible. </w:t>
      </w:r>
      <w:r>
        <w:rPr>
          <w:color w:val="005DA1"/>
          <w:u w:val="single" w:color="005DA1"/>
          <w:vertAlign w:val="superscript"/>
        </w:rPr>
        <w:t>796</w:t>
      </w:r>
    </w:p>
    <w:p>
      <w:pPr>
        <w:pStyle w:val="BodyText"/>
      </w:pPr>
    </w:p>
    <w:p>
      <w:pPr>
        <w:pStyle w:val="BodyText"/>
        <w:spacing w:before="34"/>
      </w:pPr>
    </w:p>
    <w:p>
      <w:pPr>
        <w:spacing w:before="1"/>
        <w:ind w:left="165" w:right="0" w:firstLine="0"/>
        <w:jc w:val="left"/>
        <w:rPr>
          <w:rFonts w:ascii="Arial"/>
          <w:b/>
          <w:sz w:val="18"/>
        </w:rPr>
      </w:pPr>
      <w:r>
        <w:rPr>
          <w:rFonts w:ascii="Arial"/>
          <w:b/>
          <w:sz w:val="18"/>
        </w:rPr>
        <w:t>Franchise </w:t>
      </w:r>
      <w:r>
        <w:rPr>
          <w:rFonts w:ascii="Arial"/>
          <w:b/>
          <w:spacing w:val="-2"/>
          <w:sz w:val="18"/>
        </w:rPr>
        <w:t>contract</w:t>
      </w:r>
    </w:p>
    <w:p>
      <w:pPr>
        <w:pStyle w:val="BodyText"/>
        <w:spacing w:before="41"/>
        <w:rPr>
          <w:rFonts w:ascii="Arial"/>
          <w:b/>
          <w:sz w:val="18"/>
        </w:rPr>
      </w:pPr>
    </w:p>
    <w:p>
      <w:pPr>
        <w:pStyle w:val="Heading2"/>
      </w:pPr>
      <w:r>
        <w:rPr/>
        <w:t>30-</w:t>
      </w:r>
      <w:r>
        <w:rPr>
          <w:spacing w:val="-5"/>
        </w:rPr>
        <w:t>193</w:t>
      </w:r>
    </w:p>
    <w:p>
      <w:pPr>
        <w:pStyle w:val="BodyText"/>
        <w:spacing w:line="235" w:lineRule="auto" w:before="202"/>
        <w:ind w:left="165" w:right="167"/>
        <w:jc w:val="both"/>
      </w:pPr>
      <w:bookmarkStart w:name="_bookmark1493" w:id="1495"/>
      <w:bookmarkEnd w:id="1495"/>
      <w:r>
        <w:rPr/>
      </w:r>
      <w:r>
        <w:rPr/>
        <w:t>A franchise contract, according to art.4(2)(e), shall be governed by the law of the country where the </w:t>
      </w:r>
      <w:bookmarkStart w:name="_bookmark1494" w:id="1496"/>
      <w:bookmarkEnd w:id="1496"/>
      <w:r>
        <w:rPr/>
        <w:t>franchisee</w:t>
      </w:r>
      <w:r>
        <w:rPr/>
        <w:t> has his habitual residence. </w:t>
      </w:r>
      <w:r>
        <w:rPr>
          <w:color w:val="005DA1"/>
          <w:u w:val="single" w:color="005DA1"/>
          <w:vertAlign w:val="superscript"/>
        </w:rPr>
        <w:t>797</w:t>
      </w:r>
      <w:r>
        <w:rPr>
          <w:color w:val="005DA1"/>
          <w:vertAlign w:val="baseline"/>
        </w:rPr>
        <w:t> </w:t>
      </w:r>
      <w:r>
        <w:rPr>
          <w:vertAlign w:val="baseline"/>
        </w:rPr>
        <w:t>It is likely, although the question has not been decided, that the same outcome would be reached under art.4(2) of the Rome Convention. </w:t>
      </w:r>
      <w:r>
        <w:rPr>
          <w:color w:val="005DA1"/>
          <w:u w:val="single" w:color="005DA1"/>
          <w:vertAlign w:val="superscript"/>
        </w:rPr>
        <w:t>798</w:t>
      </w:r>
    </w:p>
    <w:p>
      <w:pPr>
        <w:pStyle w:val="BodyText"/>
      </w:pPr>
    </w:p>
    <w:p>
      <w:pPr>
        <w:pStyle w:val="BodyText"/>
        <w:spacing w:before="38"/>
      </w:pPr>
    </w:p>
    <w:p>
      <w:pPr>
        <w:spacing w:before="0"/>
        <w:ind w:left="165" w:right="0" w:firstLine="0"/>
        <w:jc w:val="left"/>
        <w:rPr>
          <w:rFonts w:ascii="Arial"/>
          <w:b/>
          <w:sz w:val="18"/>
        </w:rPr>
      </w:pPr>
      <w:r>
        <w:rPr>
          <w:rFonts w:ascii="Arial"/>
          <w:b/>
          <w:sz w:val="18"/>
        </w:rPr>
        <w:t>Distribution </w:t>
      </w:r>
      <w:r>
        <w:rPr>
          <w:rFonts w:ascii="Arial"/>
          <w:b/>
          <w:spacing w:val="-2"/>
          <w:sz w:val="18"/>
        </w:rPr>
        <w:t>contract</w:t>
      </w:r>
    </w:p>
    <w:p>
      <w:pPr>
        <w:pStyle w:val="BodyText"/>
        <w:spacing w:before="41"/>
        <w:rPr>
          <w:rFonts w:ascii="Arial"/>
          <w:b/>
          <w:sz w:val="18"/>
        </w:rPr>
      </w:pPr>
    </w:p>
    <w:p>
      <w:pPr>
        <w:pStyle w:val="Heading2"/>
      </w:pPr>
      <w:r>
        <w:rPr/>
        <w:t>30-</w:t>
      </w:r>
      <w:r>
        <w:rPr>
          <w:spacing w:val="-5"/>
        </w:rPr>
        <w:t>194</w:t>
      </w:r>
    </w:p>
    <w:p>
      <w:pPr>
        <w:pStyle w:val="BodyText"/>
        <w:spacing w:line="235" w:lineRule="auto" w:before="203"/>
        <w:ind w:left="165" w:right="167"/>
        <w:jc w:val="both"/>
      </w:pPr>
      <w:bookmarkStart w:name="_bookmark1495" w:id="1497"/>
      <w:bookmarkEnd w:id="1497"/>
      <w:r>
        <w:rPr/>
      </w:r>
      <w:r>
        <w:rPr/>
        <w:t>Article 4(1)(f) deals with a distribution contract and provides that such a contract shall be governed </w:t>
      </w:r>
      <w:r>
        <w:rPr/>
        <w:t>by the law of the country where the distributor has his habitual residence. </w:t>
      </w:r>
      <w:r>
        <w:rPr>
          <w:color w:val="005DA1"/>
          <w:u w:val="single" w:color="005DA1"/>
          <w:vertAlign w:val="superscript"/>
        </w:rPr>
        <w:t>799</w:t>
      </w:r>
      <w:r>
        <w:rPr>
          <w:color w:val="005DA1"/>
          <w:vertAlign w:val="baseline"/>
        </w:rPr>
        <w:t> </w:t>
      </w:r>
      <w:r>
        <w:rPr>
          <w:vertAlign w:val="baseline"/>
        </w:rPr>
        <w:t>It is likely, however, that where a “distribution” contract is to be fulfilled by individual contracts of sale and purchase, the </w:t>
      </w:r>
      <w:bookmarkStart w:name="_bookmark1496" w:id="1498"/>
      <w:bookmarkEnd w:id="1498"/>
      <w:r>
        <w:rPr>
          <w:vertAlign w:val="baseline"/>
        </w:rPr>
        <w:t>applicable</w:t>
      </w:r>
      <w:r>
        <w:rPr>
          <w:vertAlign w:val="baseline"/>
        </w:rPr>
        <w:t> law will be determined by art.4(2) rather than by art.4(1)(f) since the elements of the contract are covered by art.4(1)(a) and art.4(1)(f). </w:t>
      </w:r>
      <w:r>
        <w:rPr>
          <w:color w:val="005DA1"/>
          <w:u w:val="single" w:color="005DA1"/>
          <w:vertAlign w:val="superscript"/>
        </w:rPr>
        <w:t>800</w:t>
      </w:r>
    </w:p>
    <w:p>
      <w:pPr>
        <w:pStyle w:val="BodyText"/>
      </w:pPr>
    </w:p>
    <w:p>
      <w:pPr>
        <w:pStyle w:val="BodyText"/>
        <w:spacing w:before="37"/>
      </w:pPr>
    </w:p>
    <w:p>
      <w:pPr>
        <w:spacing w:before="0"/>
        <w:ind w:left="165" w:right="0" w:firstLine="0"/>
        <w:jc w:val="left"/>
        <w:rPr>
          <w:rFonts w:ascii="Arial"/>
          <w:b/>
          <w:sz w:val="18"/>
        </w:rPr>
      </w:pPr>
      <w:r>
        <w:rPr>
          <w:rFonts w:ascii="Arial"/>
          <w:b/>
          <w:sz w:val="18"/>
        </w:rPr>
        <w:t>Sale of goods by </w:t>
      </w:r>
      <w:r>
        <w:rPr>
          <w:rFonts w:ascii="Arial"/>
          <w:b/>
          <w:spacing w:val="-2"/>
          <w:sz w:val="18"/>
        </w:rPr>
        <w:t>auction</w:t>
      </w:r>
    </w:p>
    <w:p>
      <w:pPr>
        <w:pStyle w:val="BodyText"/>
        <w:spacing w:before="41"/>
        <w:rPr>
          <w:rFonts w:ascii="Arial"/>
          <w:b/>
          <w:sz w:val="18"/>
        </w:rPr>
      </w:pPr>
    </w:p>
    <w:p>
      <w:pPr>
        <w:pStyle w:val="Heading2"/>
      </w:pPr>
      <w:r>
        <w:rPr/>
        <w:t>30-</w:t>
      </w:r>
      <w:r>
        <w:rPr>
          <w:spacing w:val="-5"/>
        </w:rPr>
        <w:t>195</w:t>
      </w:r>
    </w:p>
    <w:p>
      <w:pPr>
        <w:pStyle w:val="BodyText"/>
        <w:spacing w:line="235" w:lineRule="auto" w:before="203"/>
        <w:ind w:left="165" w:right="167"/>
        <w:jc w:val="both"/>
      </w:pPr>
      <w:r>
        <w:rPr/>
        <w:t>Article 4(1)(g) provides a specific rule for a contract for the sale of goods by auction. It stipulates </w:t>
      </w:r>
      <w:r>
        <w:rPr/>
        <w:t>that such a contract shall be governed by the law of the country where the auction takes place, if such a </w:t>
      </w:r>
      <w:bookmarkStart w:name="_bookmark1497" w:id="1499"/>
      <w:bookmarkEnd w:id="1499"/>
      <w:r>
        <w:rPr/>
        <w:t>place</w:t>
      </w:r>
      <w:r>
        <w:rPr/>
        <w:t> can be determined. It may not be possible to determine where an auction takes place, in some situations, where the auction is conducted over the internet. </w:t>
      </w:r>
      <w:r>
        <w:rPr>
          <w:color w:val="005DA1"/>
          <w:u w:val="single" w:color="005DA1"/>
          <w:vertAlign w:val="superscript"/>
        </w:rPr>
        <w:t>801</w:t>
      </w:r>
    </w:p>
    <w:p>
      <w:pPr>
        <w:pStyle w:val="BodyText"/>
      </w:pPr>
    </w:p>
    <w:p>
      <w:pPr>
        <w:pStyle w:val="BodyText"/>
        <w:spacing w:before="37"/>
      </w:pPr>
    </w:p>
    <w:p>
      <w:pPr>
        <w:spacing w:before="0"/>
        <w:ind w:left="165" w:right="0" w:firstLine="0"/>
        <w:jc w:val="left"/>
        <w:rPr>
          <w:rFonts w:ascii="Arial"/>
          <w:b/>
          <w:sz w:val="18"/>
        </w:rPr>
      </w:pPr>
      <w:r>
        <w:rPr>
          <w:rFonts w:ascii="Arial"/>
          <w:b/>
          <w:sz w:val="18"/>
        </w:rPr>
        <w:t>Contract concluded within multilateral </w:t>
      </w:r>
      <w:r>
        <w:rPr>
          <w:rFonts w:ascii="Arial"/>
          <w:b/>
          <w:spacing w:val="-2"/>
          <w:sz w:val="18"/>
        </w:rPr>
        <w:t>system</w:t>
      </w:r>
    </w:p>
    <w:p>
      <w:pPr>
        <w:pStyle w:val="BodyText"/>
        <w:spacing w:before="41"/>
        <w:rPr>
          <w:rFonts w:ascii="Arial"/>
          <w:b/>
          <w:sz w:val="18"/>
        </w:rPr>
      </w:pPr>
    </w:p>
    <w:p>
      <w:pPr>
        <w:pStyle w:val="Heading2"/>
      </w:pPr>
      <w:r>
        <w:rPr/>
        <w:t>30-</w:t>
      </w:r>
      <w:r>
        <w:rPr>
          <w:spacing w:val="-5"/>
        </w:rPr>
        <w:t>196</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7"/>
        </w:rPr>
        <w:t> </w:t>
      </w:r>
      <w:r>
        <w:rPr/>
        <w:t>Article 4(1)(h) of the Regulation provides that:</w:t>
      </w:r>
    </w:p>
    <w:p>
      <w:pPr>
        <w:pStyle w:val="BodyText"/>
        <w:spacing w:after="0"/>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 a contract concluded within a multilateral system which brings together or </w:t>
      </w:r>
      <w:r>
        <w:rPr/>
        <w:t>facilitates the bringing together of multiple third-party buying and selling interests in financial instruments, as defined by Article 4(1), point 17, of Directive 2004/39/EC, in accordance with non-discretionary rules and governed by a single law, shall be governed by that </w:t>
      </w:r>
      <w:r>
        <w:rPr>
          <w:spacing w:val="-2"/>
        </w:rPr>
        <w:t>law.”</w:t>
      </w:r>
    </w:p>
    <w:p>
      <w:pPr>
        <w:pStyle w:val="BodyText"/>
        <w:spacing w:before="111"/>
      </w:pPr>
    </w:p>
    <w:p>
      <w:pPr>
        <w:pStyle w:val="BodyText"/>
        <w:spacing w:before="1"/>
        <w:ind w:left="165"/>
      </w:pPr>
      <w:bookmarkStart w:name="_bookmark1498" w:id="1500"/>
      <w:bookmarkEnd w:id="1500"/>
      <w:r>
        <w:rPr/>
      </w:r>
      <w:r>
        <w:rPr/>
        <w:t>This</w:t>
      </w:r>
      <w:r>
        <w:rPr>
          <w:spacing w:val="11"/>
        </w:rPr>
        <w:t> </w:t>
      </w:r>
      <w:r>
        <w:rPr/>
        <w:t>choice</w:t>
      </w:r>
      <w:r>
        <w:rPr>
          <w:spacing w:val="11"/>
        </w:rPr>
        <w:t> </w:t>
      </w:r>
      <w:r>
        <w:rPr/>
        <w:t>of</w:t>
      </w:r>
      <w:r>
        <w:rPr>
          <w:spacing w:val="11"/>
        </w:rPr>
        <w:t> </w:t>
      </w:r>
      <w:r>
        <w:rPr/>
        <w:t>law</w:t>
      </w:r>
      <w:r>
        <w:rPr>
          <w:spacing w:val="11"/>
        </w:rPr>
        <w:t> </w:t>
      </w:r>
      <w:r>
        <w:rPr/>
        <w:t>rule</w:t>
      </w:r>
      <w:r>
        <w:rPr>
          <w:spacing w:val="11"/>
        </w:rPr>
        <w:t> </w:t>
      </w:r>
      <w:r>
        <w:rPr/>
        <w:t>creates</w:t>
      </w:r>
      <w:r>
        <w:rPr>
          <w:spacing w:val="11"/>
        </w:rPr>
        <w:t> </w:t>
      </w:r>
      <w:r>
        <w:rPr/>
        <w:t>a</w:t>
      </w:r>
      <w:r>
        <w:rPr>
          <w:spacing w:val="11"/>
        </w:rPr>
        <w:t> </w:t>
      </w:r>
      <w:r>
        <w:rPr/>
        <w:t>specific</w:t>
      </w:r>
      <w:r>
        <w:rPr>
          <w:spacing w:val="11"/>
        </w:rPr>
        <w:t> </w:t>
      </w:r>
      <w:r>
        <w:rPr/>
        <w:t>rule</w:t>
      </w:r>
      <w:r>
        <w:rPr>
          <w:spacing w:val="11"/>
        </w:rPr>
        <w:t> </w:t>
      </w:r>
      <w:r>
        <w:rPr/>
        <w:t>for</w:t>
      </w:r>
      <w:r>
        <w:rPr>
          <w:spacing w:val="11"/>
        </w:rPr>
        <w:t> </w:t>
      </w:r>
      <w:r>
        <w:rPr/>
        <w:t>certain</w:t>
      </w:r>
      <w:r>
        <w:rPr>
          <w:spacing w:val="11"/>
        </w:rPr>
        <w:t> </w:t>
      </w:r>
      <w:r>
        <w:rPr/>
        <w:t>types</w:t>
      </w:r>
      <w:r>
        <w:rPr>
          <w:spacing w:val="11"/>
        </w:rPr>
        <w:t> </w:t>
      </w:r>
      <w:r>
        <w:rPr/>
        <w:t>of</w:t>
      </w:r>
      <w:r>
        <w:rPr>
          <w:spacing w:val="11"/>
        </w:rPr>
        <w:t> </w:t>
      </w:r>
      <w:r>
        <w:rPr/>
        <w:t>financial</w:t>
      </w:r>
      <w:r>
        <w:rPr>
          <w:spacing w:val="11"/>
        </w:rPr>
        <w:t> </w:t>
      </w:r>
      <w:r>
        <w:rPr/>
        <w:t>contract,</w:t>
      </w:r>
      <w:r>
        <w:rPr>
          <w:spacing w:val="11"/>
        </w:rPr>
        <w:t> </w:t>
      </w:r>
      <w:r>
        <w:rPr/>
        <w:t>as</w:t>
      </w:r>
      <w:r>
        <w:rPr>
          <w:spacing w:val="11"/>
        </w:rPr>
        <w:t> </w:t>
      </w:r>
      <w:r>
        <w:rPr/>
        <w:t>defined</w:t>
      </w:r>
      <w:r>
        <w:rPr>
          <w:spacing w:val="11"/>
        </w:rPr>
        <w:t> </w:t>
      </w:r>
      <w:r>
        <w:rPr/>
        <w:t>in</w:t>
      </w:r>
      <w:r>
        <w:rPr>
          <w:spacing w:val="11"/>
        </w:rPr>
        <w:t> </w:t>
      </w:r>
      <w:r>
        <w:rPr>
          <w:spacing w:val="-5"/>
        </w:rPr>
        <w:t>the</w:t>
      </w:r>
    </w:p>
    <w:p>
      <w:pPr>
        <w:pStyle w:val="BodyText"/>
        <w:spacing w:line="235" w:lineRule="auto" w:before="118"/>
        <w:ind w:left="164" w:right="167"/>
        <w:jc w:val="both"/>
      </w:pPr>
      <w:bookmarkStart w:name="_bookmark1499" w:id="1501"/>
      <w:bookmarkEnd w:id="1501"/>
      <w:r>
        <w:rPr/>
      </w:r>
      <w:bookmarkStart w:name="_bookmark1500" w:id="1502"/>
      <w:bookmarkEnd w:id="1502"/>
      <w:r>
        <w:rPr/>
      </w:r>
      <w:r>
        <w:rPr/>
        <w:t>Markets in Financial Instruments Directive 2004 (MiFlD) </w:t>
      </w:r>
      <w:r>
        <w:rPr>
          <w:color w:val="005DA1"/>
          <w:u w:val="single" w:color="005DA1"/>
          <w:vertAlign w:val="superscript"/>
        </w:rPr>
        <w:t>802</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vertAlign w:val="baseline"/>
        </w:rPr>
        <w:t> </w:t>
      </w:r>
      <w:r>
        <w:rPr>
          <w:vertAlign w:val="baseline"/>
        </w:rPr>
        <w:t>art.4(1)(17). </w:t>
      </w:r>
      <w:r>
        <w:rPr>
          <w:color w:val="005DA1"/>
          <w:u w:val="single" w:color="005DA1"/>
          <w:vertAlign w:val="superscript"/>
        </w:rPr>
        <w:t>803</w:t>
      </w:r>
      <w:r>
        <w:rPr>
          <w:color w:val="005DA1"/>
          <w:vertAlign w:val="baseline"/>
        </w:rPr>
        <w:t> </w:t>
      </w:r>
      <w:r>
        <w:rPr>
          <w:vertAlign w:val="baseline"/>
        </w:rPr>
        <w:t>Normally, </w:t>
      </w:r>
      <w:r>
        <w:rPr>
          <w:vertAlign w:val="baseline"/>
        </w:rPr>
        <w:t>such contracts</w:t>
      </w:r>
      <w:r>
        <w:rPr>
          <w:spacing w:val="-3"/>
          <w:vertAlign w:val="baseline"/>
        </w:rPr>
        <w:t> </w:t>
      </w:r>
      <w:r>
        <w:rPr>
          <w:vertAlign w:val="baseline"/>
        </w:rPr>
        <w:t>will</w:t>
      </w:r>
      <w:r>
        <w:rPr>
          <w:spacing w:val="-3"/>
          <w:vertAlign w:val="baseline"/>
        </w:rPr>
        <w:t> </w:t>
      </w:r>
      <w:r>
        <w:rPr>
          <w:vertAlign w:val="baseline"/>
        </w:rPr>
        <w:t>contain</w:t>
      </w:r>
      <w:r>
        <w:rPr>
          <w:spacing w:val="-3"/>
          <w:vertAlign w:val="baseline"/>
        </w:rPr>
        <w:t> </w:t>
      </w:r>
      <w:r>
        <w:rPr>
          <w:vertAlign w:val="baseline"/>
        </w:rPr>
        <w:t>a</w:t>
      </w:r>
      <w:r>
        <w:rPr>
          <w:spacing w:val="-3"/>
          <w:vertAlign w:val="baseline"/>
        </w:rPr>
        <w:t> </w:t>
      </w:r>
      <w:r>
        <w:rPr>
          <w:vertAlign w:val="baseline"/>
        </w:rPr>
        <w:t>choice</w:t>
      </w:r>
      <w:r>
        <w:rPr>
          <w:spacing w:val="-3"/>
          <w:vertAlign w:val="baseline"/>
        </w:rPr>
        <w:t> </w:t>
      </w:r>
      <w:r>
        <w:rPr>
          <w:vertAlign w:val="baseline"/>
        </w:rPr>
        <w:t>of</w:t>
      </w:r>
      <w:r>
        <w:rPr>
          <w:spacing w:val="-3"/>
          <w:vertAlign w:val="baseline"/>
        </w:rPr>
        <w:t> </w:t>
      </w:r>
      <w:r>
        <w:rPr>
          <w:vertAlign w:val="baseline"/>
        </w:rPr>
        <w:t>law</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parties.</w:t>
      </w:r>
      <w:r>
        <w:rPr>
          <w:spacing w:val="-4"/>
          <w:vertAlign w:val="baseline"/>
        </w:rPr>
        <w:t> </w:t>
      </w:r>
      <w:r>
        <w:rPr>
          <w:color w:val="005DA1"/>
          <w:u w:val="single" w:color="005DA1"/>
          <w:vertAlign w:val="superscript"/>
        </w:rPr>
        <w:t>804</w:t>
      </w:r>
      <w:r>
        <w:rPr>
          <w:color w:val="005DA1"/>
          <w:spacing w:val="-3"/>
          <w:vertAlign w:val="baseline"/>
        </w:rPr>
        <w:t> </w:t>
      </w:r>
      <w:r>
        <w:rPr>
          <w:vertAlign w:val="baseline"/>
        </w:rPr>
        <w:t>However,</w:t>
      </w:r>
      <w:r>
        <w:rPr>
          <w:spacing w:val="-3"/>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felt</w:t>
      </w:r>
      <w:r>
        <w:rPr>
          <w:spacing w:val="-3"/>
          <w:vertAlign w:val="baseline"/>
        </w:rPr>
        <w:t> </w:t>
      </w:r>
      <w:r>
        <w:rPr>
          <w:vertAlign w:val="baseline"/>
        </w:rPr>
        <w:t>that</w:t>
      </w:r>
      <w:r>
        <w:rPr>
          <w:spacing w:val="-3"/>
          <w:vertAlign w:val="baseline"/>
        </w:rPr>
        <w:t> </w:t>
      </w:r>
      <w:r>
        <w:rPr>
          <w:vertAlign w:val="baseline"/>
        </w:rPr>
        <w:t>this</w:t>
      </w:r>
      <w:r>
        <w:rPr>
          <w:spacing w:val="-3"/>
          <w:vertAlign w:val="baseline"/>
        </w:rPr>
        <w:t> </w:t>
      </w:r>
      <w:r>
        <w:rPr>
          <w:vertAlign w:val="baseline"/>
        </w:rPr>
        <w:t>rule</w:t>
      </w:r>
      <w:r>
        <w:rPr>
          <w:spacing w:val="-3"/>
          <w:vertAlign w:val="baseline"/>
        </w:rPr>
        <w:t> </w:t>
      </w:r>
      <w:r>
        <w:rPr>
          <w:vertAlign w:val="baseline"/>
        </w:rPr>
        <w:t>was</w:t>
      </w:r>
      <w:r>
        <w:rPr>
          <w:spacing w:val="-3"/>
          <w:vertAlign w:val="baseline"/>
        </w:rPr>
        <w:t> </w:t>
      </w:r>
      <w:r>
        <w:rPr>
          <w:vertAlign w:val="baseline"/>
        </w:rPr>
        <w:t>desirable </w:t>
      </w:r>
      <w:bookmarkStart w:name="_bookmark1501" w:id="1503"/>
      <w:bookmarkEnd w:id="1503"/>
      <w:r>
        <w:rPr>
          <w:vertAlign w:val="baseline"/>
        </w:rPr>
        <w:t>in</w:t>
      </w:r>
      <w:r>
        <w:rPr>
          <w:spacing w:val="-2"/>
          <w:vertAlign w:val="baseline"/>
        </w:rPr>
        <w:t> </w:t>
      </w:r>
      <w:r>
        <w:rPr>
          <w:vertAlign w:val="baseline"/>
        </w:rPr>
        <w:t>order</w:t>
      </w:r>
      <w:r>
        <w:rPr>
          <w:spacing w:val="-2"/>
          <w:vertAlign w:val="baseline"/>
        </w:rPr>
        <w:t> </w:t>
      </w:r>
      <w:r>
        <w:rPr>
          <w:vertAlign w:val="baseline"/>
        </w:rPr>
        <w:t>to</w:t>
      </w:r>
      <w:r>
        <w:rPr>
          <w:spacing w:val="-2"/>
          <w:vertAlign w:val="baseline"/>
        </w:rPr>
        <w:t> </w:t>
      </w:r>
      <w:r>
        <w:rPr>
          <w:vertAlign w:val="baseline"/>
        </w:rPr>
        <w:t>preserve</w:t>
      </w:r>
      <w:r>
        <w:rPr>
          <w:spacing w:val="-2"/>
          <w:vertAlign w:val="baseline"/>
        </w:rPr>
        <w:t> </w:t>
      </w:r>
      <w:r>
        <w:rPr>
          <w:vertAlign w:val="baseline"/>
        </w:rPr>
        <w:t>the</w:t>
      </w:r>
      <w:r>
        <w:rPr>
          <w:spacing w:val="-2"/>
          <w:vertAlign w:val="baseline"/>
        </w:rPr>
        <w:t> </w:t>
      </w:r>
      <w:r>
        <w:rPr>
          <w:vertAlign w:val="baseline"/>
        </w:rPr>
        <w:t>high</w:t>
      </w:r>
      <w:r>
        <w:rPr>
          <w:spacing w:val="-2"/>
          <w:vertAlign w:val="baseline"/>
        </w:rPr>
        <w:t> </w:t>
      </w:r>
      <w:r>
        <w:rPr>
          <w:vertAlign w:val="baseline"/>
        </w:rPr>
        <w:t>degree</w:t>
      </w:r>
      <w:r>
        <w:rPr>
          <w:spacing w:val="-2"/>
          <w:vertAlign w:val="baseline"/>
        </w:rPr>
        <w:t> </w:t>
      </w:r>
      <w:r>
        <w:rPr>
          <w:vertAlign w:val="baseline"/>
        </w:rPr>
        <w:t>of</w:t>
      </w:r>
      <w:r>
        <w:rPr>
          <w:spacing w:val="-2"/>
          <w:vertAlign w:val="baseline"/>
        </w:rPr>
        <w:t> </w:t>
      </w:r>
      <w:r>
        <w:rPr>
          <w:vertAlign w:val="baseline"/>
        </w:rPr>
        <w:t>legal</w:t>
      </w:r>
      <w:r>
        <w:rPr>
          <w:spacing w:val="-2"/>
          <w:vertAlign w:val="baseline"/>
        </w:rPr>
        <w:t> </w:t>
      </w:r>
      <w:r>
        <w:rPr>
          <w:vertAlign w:val="baseline"/>
        </w:rPr>
        <w:t>certainty</w:t>
      </w:r>
      <w:r>
        <w:rPr>
          <w:spacing w:val="-2"/>
          <w:vertAlign w:val="baseline"/>
        </w:rPr>
        <w:t> </w:t>
      </w:r>
      <w:r>
        <w:rPr>
          <w:vertAlign w:val="baseline"/>
        </w:rPr>
        <w:t>required</w:t>
      </w:r>
      <w:r>
        <w:rPr>
          <w:spacing w:val="-2"/>
          <w:vertAlign w:val="baseline"/>
        </w:rPr>
        <w:t> </w:t>
      </w:r>
      <w:r>
        <w:rPr>
          <w:vertAlign w:val="baseline"/>
        </w:rPr>
        <w:t>in</w:t>
      </w:r>
      <w:r>
        <w:rPr>
          <w:spacing w:val="-2"/>
          <w:vertAlign w:val="baseline"/>
        </w:rPr>
        <w:t> </w:t>
      </w:r>
      <w:r>
        <w:rPr>
          <w:vertAlign w:val="baseline"/>
        </w:rPr>
        <w:t>international</w:t>
      </w:r>
      <w:r>
        <w:rPr>
          <w:spacing w:val="-2"/>
          <w:vertAlign w:val="baseline"/>
        </w:rPr>
        <w:t> </w:t>
      </w:r>
      <w:r>
        <w:rPr>
          <w:vertAlign w:val="baseline"/>
        </w:rPr>
        <w:t>financial</w:t>
      </w:r>
      <w:r>
        <w:rPr>
          <w:spacing w:val="-2"/>
          <w:vertAlign w:val="baseline"/>
        </w:rPr>
        <w:t> </w:t>
      </w:r>
      <w:r>
        <w:rPr>
          <w:vertAlign w:val="baseline"/>
        </w:rPr>
        <w:t>systems</w:t>
      </w:r>
      <w:r>
        <w:rPr>
          <w:spacing w:val="-2"/>
          <w:vertAlign w:val="baseline"/>
        </w:rPr>
        <w:t> </w:t>
      </w:r>
      <w:r>
        <w:rPr>
          <w:vertAlign w:val="baseline"/>
        </w:rPr>
        <w:t>of</w:t>
      </w:r>
      <w:r>
        <w:rPr>
          <w:spacing w:val="-2"/>
          <w:vertAlign w:val="baseline"/>
        </w:rPr>
        <w:t> </w:t>
      </w:r>
      <w:r>
        <w:rPr>
          <w:vertAlign w:val="baseline"/>
        </w:rPr>
        <w:t>this </w:t>
      </w:r>
      <w:bookmarkStart w:name="_bookmark1502" w:id="1504"/>
      <w:bookmarkEnd w:id="1504"/>
      <w:r>
        <w:rPr>
          <w:vertAlign w:val="baseline"/>
        </w:rPr>
        <w:t>character.</w:t>
      </w:r>
      <w:r>
        <w:rPr>
          <w:vertAlign w:val="baseline"/>
        </w:rPr>
        <w:t> </w:t>
      </w:r>
      <w:r>
        <w:rPr>
          <w:color w:val="005DA1"/>
          <w:u w:val="single" w:color="005DA1"/>
          <w:vertAlign w:val="superscript"/>
        </w:rPr>
        <w:t>805</w:t>
      </w:r>
      <w:r>
        <w:rPr>
          <w:color w:val="005DA1"/>
          <w:vertAlign w:val="baseline"/>
        </w:rPr>
        <w:t> </w:t>
      </w:r>
      <w:r>
        <w:rPr>
          <w:vertAlign w:val="baseline"/>
        </w:rPr>
        <w:t>Article 4(1)(h) is designed to ensure that, in the absence of a choice of law by the</w:t>
      </w:r>
      <w:r>
        <w:rPr>
          <w:spacing w:val="40"/>
          <w:vertAlign w:val="baseline"/>
        </w:rPr>
        <w:t> </w:t>
      </w:r>
      <w:r>
        <w:rPr>
          <w:vertAlign w:val="baseline"/>
        </w:rPr>
        <w:t>parties to the contract, a single law will nonetheless govern the contract. </w:t>
      </w:r>
      <w:r>
        <w:rPr>
          <w:color w:val="005DA1"/>
          <w:u w:val="single" w:color="005DA1"/>
          <w:vertAlign w:val="superscript"/>
        </w:rPr>
        <w:t>806</w:t>
      </w:r>
    </w:p>
    <w:p>
      <w:pPr>
        <w:pStyle w:val="BodyText"/>
      </w:pPr>
    </w:p>
    <w:p>
      <w:pPr>
        <w:pStyle w:val="BodyText"/>
        <w:spacing w:before="37"/>
      </w:pPr>
    </w:p>
    <w:p>
      <w:pPr>
        <w:spacing w:before="0"/>
        <w:ind w:left="165" w:right="0" w:firstLine="0"/>
        <w:jc w:val="left"/>
        <w:rPr>
          <w:rFonts w:ascii="Arial"/>
          <w:b/>
          <w:sz w:val="18"/>
        </w:rPr>
      </w:pPr>
      <w:r>
        <w:rPr>
          <w:rFonts w:ascii="Arial"/>
          <w:b/>
          <w:sz w:val="18"/>
        </w:rPr>
        <w:t>Contract not covered by art.4(1), </w:t>
      </w:r>
      <w:r>
        <w:rPr>
          <w:rFonts w:ascii="Arial"/>
          <w:b/>
          <w:spacing w:val="-5"/>
          <w:sz w:val="18"/>
        </w:rPr>
        <w:t>etc</w:t>
      </w:r>
    </w:p>
    <w:p>
      <w:pPr>
        <w:pStyle w:val="BodyText"/>
        <w:spacing w:before="41"/>
        <w:rPr>
          <w:rFonts w:ascii="Arial"/>
          <w:b/>
          <w:sz w:val="18"/>
        </w:rPr>
      </w:pPr>
    </w:p>
    <w:p>
      <w:pPr>
        <w:pStyle w:val="Heading2"/>
      </w:pPr>
      <w:r>
        <w:rPr/>
        <w:t>30-</w:t>
      </w:r>
      <w:r>
        <w:rPr>
          <w:spacing w:val="-5"/>
        </w:rPr>
        <w:t>197</w:t>
      </w:r>
    </w:p>
    <w:p>
      <w:pPr>
        <w:pStyle w:val="BodyText"/>
        <w:spacing w:before="199"/>
        <w:ind w:left="165"/>
      </w:pPr>
      <w:r>
        <w:rPr/>
        <w:t>According to art.4(2) of the Regulation </w:t>
      </w:r>
      <w:r>
        <w:rPr>
          <w:spacing w:val="-2"/>
        </w:rPr>
        <w:t>where:</w:t>
      </w:r>
    </w:p>
    <w:p>
      <w:pPr>
        <w:pStyle w:val="BodyText"/>
      </w:pPr>
    </w:p>
    <w:p>
      <w:pPr>
        <w:pStyle w:val="BodyText"/>
        <w:spacing w:before="126"/>
      </w:pPr>
    </w:p>
    <w:p>
      <w:pPr>
        <w:pStyle w:val="BodyText"/>
        <w:spacing w:line="235" w:lineRule="auto"/>
        <w:ind w:left="1245" w:right="167"/>
        <w:jc w:val="both"/>
      </w:pPr>
      <w:r>
        <w:rPr/>
        <w:t>“… the contract is not covered by paragraph 1 [of art.4] or where the elements of the contract would be covered by more than one of points (a) to (h) of paragraph 1, the </w:t>
      </w:r>
      <w:bookmarkStart w:name="_bookmark1503" w:id="1505"/>
      <w:bookmarkEnd w:id="1505"/>
      <w:r>
        <w:rPr/>
        <w:t>contract</w:t>
      </w:r>
      <w:r>
        <w:rPr/>
        <w:t> shall be governed by the law of the country where the party required to effect the characteristic performance of the contract has his habitual residence.” </w:t>
      </w:r>
      <w:r>
        <w:rPr>
          <w:color w:val="005DA1"/>
          <w:u w:val="single" w:color="005DA1"/>
          <w:vertAlign w:val="superscript"/>
        </w:rPr>
        <w:t>807</w:t>
      </w:r>
    </w:p>
    <w:p>
      <w:pPr>
        <w:pStyle w:val="BodyText"/>
        <w:spacing w:before="111"/>
      </w:pPr>
    </w:p>
    <w:p>
      <w:pPr>
        <w:pStyle w:val="BodyText"/>
        <w:ind w:left="165"/>
      </w:pPr>
      <w:r>
        <w:rPr/>
        <w:t>This choice of law rule deals with two different situations as described </w:t>
      </w:r>
      <w:r>
        <w:rPr>
          <w:spacing w:val="-2"/>
        </w:rPr>
        <w:t>below.</w:t>
      </w:r>
    </w:p>
    <w:p>
      <w:pPr>
        <w:pStyle w:val="BodyText"/>
      </w:pPr>
    </w:p>
    <w:p>
      <w:pPr>
        <w:pStyle w:val="BodyText"/>
        <w:spacing w:before="38"/>
      </w:pPr>
    </w:p>
    <w:p>
      <w:pPr>
        <w:spacing w:before="0"/>
        <w:ind w:left="165" w:right="0" w:firstLine="0"/>
        <w:jc w:val="left"/>
        <w:rPr>
          <w:rFonts w:ascii="Arial"/>
          <w:b/>
          <w:sz w:val="18"/>
        </w:rPr>
      </w:pPr>
      <w:r>
        <w:rPr>
          <w:rFonts w:ascii="Arial"/>
          <w:b/>
          <w:sz w:val="18"/>
        </w:rPr>
        <w:t>Contract outside </w:t>
      </w:r>
      <w:r>
        <w:rPr>
          <w:rFonts w:ascii="Arial"/>
          <w:b/>
          <w:spacing w:val="-2"/>
          <w:sz w:val="18"/>
        </w:rPr>
        <w:t>art.4(1)</w:t>
      </w:r>
    </w:p>
    <w:p>
      <w:pPr>
        <w:pStyle w:val="BodyText"/>
        <w:spacing w:before="41"/>
        <w:rPr>
          <w:rFonts w:ascii="Arial"/>
          <w:b/>
          <w:sz w:val="18"/>
        </w:rPr>
      </w:pPr>
    </w:p>
    <w:p>
      <w:pPr>
        <w:pStyle w:val="Heading2"/>
      </w:pPr>
      <w:r>
        <w:rPr/>
        <w:t>30-</w:t>
      </w:r>
      <w:r>
        <w:rPr>
          <w:spacing w:val="-5"/>
        </w:rPr>
        <w:t>198</w:t>
      </w:r>
    </w:p>
    <w:p>
      <w:pPr>
        <w:pStyle w:val="BodyText"/>
        <w:spacing w:line="235" w:lineRule="auto" w:before="203"/>
        <w:ind w:left="164" w:right="167"/>
        <w:jc w:val="both"/>
      </w:pPr>
      <w:r>
        <w:rPr/>
        <w:t>Where the contract is not a specific contract identified in art.4(1), the contract will be governed by the law</w:t>
      </w:r>
      <w:r>
        <w:rPr>
          <w:spacing w:val="-2"/>
        </w:rPr>
        <w:t> </w:t>
      </w:r>
      <w:r>
        <w:rPr/>
        <w:t>of</w:t>
      </w:r>
      <w:r>
        <w:rPr>
          <w:spacing w:val="-2"/>
        </w:rPr>
        <w:t> </w:t>
      </w:r>
      <w:r>
        <w:rPr/>
        <w:t>the</w:t>
      </w:r>
      <w:r>
        <w:rPr>
          <w:spacing w:val="-2"/>
        </w:rPr>
        <w:t> </w:t>
      </w:r>
      <w:r>
        <w:rPr/>
        <w:t>country</w:t>
      </w:r>
      <w:r>
        <w:rPr>
          <w:spacing w:val="-2"/>
        </w:rPr>
        <w:t> </w:t>
      </w:r>
      <w:r>
        <w:rPr/>
        <w:t>where</w:t>
      </w:r>
      <w:r>
        <w:rPr>
          <w:spacing w:val="-2"/>
        </w:rPr>
        <w:t> </w:t>
      </w:r>
      <w:r>
        <w:rPr/>
        <w:t>the</w:t>
      </w:r>
      <w:r>
        <w:rPr>
          <w:spacing w:val="-2"/>
        </w:rPr>
        <w:t> </w:t>
      </w:r>
      <w:r>
        <w:rPr/>
        <w:t>party</w:t>
      </w:r>
      <w:r>
        <w:rPr>
          <w:spacing w:val="-2"/>
        </w:rPr>
        <w:t> </w:t>
      </w:r>
      <w:r>
        <w:rPr/>
        <w:t>required</w:t>
      </w:r>
      <w:r>
        <w:rPr>
          <w:spacing w:val="-2"/>
        </w:rPr>
        <w:t> </w:t>
      </w:r>
      <w:r>
        <w:rPr/>
        <w:t>to</w:t>
      </w:r>
      <w:r>
        <w:rPr>
          <w:spacing w:val="-2"/>
        </w:rPr>
        <w:t> </w:t>
      </w:r>
      <w:r>
        <w:rPr/>
        <w:t>effect</w:t>
      </w:r>
      <w:r>
        <w:rPr>
          <w:spacing w:val="-2"/>
        </w:rPr>
        <w:t> </w:t>
      </w:r>
      <w:r>
        <w:rPr/>
        <w:t>the</w:t>
      </w:r>
      <w:r>
        <w:rPr>
          <w:spacing w:val="-2"/>
        </w:rPr>
        <w:t> </w:t>
      </w:r>
      <w:r>
        <w:rPr/>
        <w:t>characteristic</w:t>
      </w:r>
      <w:r>
        <w:rPr>
          <w:spacing w:val="-2"/>
        </w:rPr>
        <w:t> </w:t>
      </w:r>
      <w:r>
        <w:rPr/>
        <w:t>performance</w:t>
      </w:r>
      <w:r>
        <w:rPr>
          <w:spacing w:val="-2"/>
        </w:rPr>
        <w:t> </w:t>
      </w:r>
      <w:r>
        <w:rPr/>
        <w:t>of</w:t>
      </w:r>
      <w:r>
        <w:rPr>
          <w:spacing w:val="-2"/>
        </w:rPr>
        <w:t> </w:t>
      </w:r>
      <w:r>
        <w:rPr/>
        <w:t>the</w:t>
      </w:r>
      <w:r>
        <w:rPr>
          <w:spacing w:val="-2"/>
        </w:rPr>
        <w:t> </w:t>
      </w:r>
      <w:r>
        <w:rPr/>
        <w:t>contract</w:t>
      </w:r>
      <w:r>
        <w:rPr>
          <w:spacing w:val="-2"/>
        </w:rPr>
        <w:t> </w:t>
      </w:r>
      <w:r>
        <w:rPr/>
        <w:t>has his habitual residence. First, it is likely that many contracts not specifically listed, as such, in art.4(1) will</w:t>
      </w:r>
      <w:r>
        <w:rPr>
          <w:spacing w:val="-2"/>
        </w:rPr>
        <w:t> </w:t>
      </w:r>
      <w:r>
        <w:rPr/>
        <w:t>be</w:t>
      </w:r>
      <w:r>
        <w:rPr>
          <w:spacing w:val="-2"/>
        </w:rPr>
        <w:t> </w:t>
      </w:r>
      <w:r>
        <w:rPr/>
        <w:t>regarded</w:t>
      </w:r>
      <w:r>
        <w:rPr>
          <w:spacing w:val="-2"/>
        </w:rPr>
        <w:t> </w:t>
      </w:r>
      <w:r>
        <w:rPr/>
        <w:t>as</w:t>
      </w:r>
      <w:r>
        <w:rPr>
          <w:spacing w:val="-2"/>
        </w:rPr>
        <w:t> </w:t>
      </w:r>
      <w:r>
        <w:rPr/>
        <w:t>contracts</w:t>
      </w:r>
      <w:r>
        <w:rPr>
          <w:spacing w:val="-2"/>
        </w:rPr>
        <w:t> </w:t>
      </w:r>
      <w:r>
        <w:rPr/>
        <w:t>for</w:t>
      </w:r>
      <w:r>
        <w:rPr>
          <w:spacing w:val="-2"/>
        </w:rPr>
        <w:t> </w:t>
      </w:r>
      <w:r>
        <w:rPr/>
        <w:t>the</w:t>
      </w:r>
      <w:r>
        <w:rPr>
          <w:spacing w:val="-2"/>
        </w:rPr>
        <w:t> </w:t>
      </w:r>
      <w:r>
        <w:rPr/>
        <w:t>provision</w:t>
      </w:r>
      <w:r>
        <w:rPr>
          <w:spacing w:val="-2"/>
        </w:rPr>
        <w:t> </w:t>
      </w:r>
      <w:r>
        <w:rPr/>
        <w:t>of</w:t>
      </w:r>
      <w:r>
        <w:rPr>
          <w:spacing w:val="-2"/>
        </w:rPr>
        <w:t> </w:t>
      </w:r>
      <w:r>
        <w:rPr/>
        <w:t>services</w:t>
      </w:r>
      <w:r>
        <w:rPr>
          <w:spacing w:val="-2"/>
        </w:rPr>
        <w:t> </w:t>
      </w:r>
      <w:r>
        <w:rPr/>
        <w:t>and</w:t>
      </w:r>
      <w:r>
        <w:rPr>
          <w:spacing w:val="-2"/>
        </w:rPr>
        <w:t> </w:t>
      </w:r>
      <w:r>
        <w:rPr/>
        <w:t>thus</w:t>
      </w:r>
      <w:r>
        <w:rPr>
          <w:spacing w:val="-2"/>
        </w:rPr>
        <w:t> </w:t>
      </w:r>
      <w:r>
        <w:rPr/>
        <w:t>will</w:t>
      </w:r>
      <w:r>
        <w:rPr>
          <w:spacing w:val="-2"/>
        </w:rPr>
        <w:t> </w:t>
      </w:r>
      <w:r>
        <w:rPr/>
        <w:t>be</w:t>
      </w:r>
      <w:r>
        <w:rPr>
          <w:spacing w:val="-2"/>
        </w:rPr>
        <w:t> </w:t>
      </w:r>
      <w:r>
        <w:rPr/>
        <w:t>covered</w:t>
      </w:r>
      <w:r>
        <w:rPr>
          <w:spacing w:val="-2"/>
        </w:rPr>
        <w:t> </w:t>
      </w:r>
      <w:r>
        <w:rPr/>
        <w:t>by</w:t>
      </w:r>
      <w:r>
        <w:rPr>
          <w:spacing w:val="-2"/>
        </w:rPr>
        <w:t> </w:t>
      </w:r>
      <w:r>
        <w:rPr/>
        <w:t>art.4(1)(b)</w:t>
      </w:r>
      <w:r>
        <w:rPr>
          <w:spacing w:val="-2"/>
        </w:rPr>
        <w:t> </w:t>
      </w:r>
      <w:r>
        <w:rPr/>
        <w:t>of</w:t>
      </w:r>
      <w:r>
        <w:rPr>
          <w:spacing w:val="-2"/>
        </w:rPr>
        <w:t> </w:t>
      </w:r>
      <w:r>
        <w:rPr/>
        <w:t>the Regulation. This may be true, for example, of a contract of hire; a contract between banker </w:t>
      </w:r>
      <w:r>
        <w:rPr/>
        <w:t>and </w:t>
      </w:r>
      <w:bookmarkStart w:name="_bookmark1504" w:id="1506"/>
      <w:bookmarkEnd w:id="1506"/>
      <w:r>
        <w:rPr/>
        <w:t>customer;</w:t>
      </w:r>
      <w:r>
        <w:rPr/>
        <w:t> a contract of loan; a contract between lawyer and client; a contract between principal and </w:t>
      </w:r>
      <w:bookmarkStart w:name="_bookmark1505" w:id="1507"/>
      <w:bookmarkEnd w:id="1507"/>
      <w:r>
        <w:rPr/>
        <w:t>agent,</w:t>
      </w:r>
      <w:r>
        <w:rPr>
          <w:spacing w:val="-2"/>
        </w:rPr>
        <w:t> </w:t>
      </w:r>
      <w:r>
        <w:rPr/>
        <w:t>unless</w:t>
      </w:r>
      <w:r>
        <w:rPr>
          <w:spacing w:val="-2"/>
        </w:rPr>
        <w:t> </w:t>
      </w:r>
      <w:r>
        <w:rPr/>
        <w:t>it</w:t>
      </w:r>
      <w:r>
        <w:rPr>
          <w:spacing w:val="-2"/>
        </w:rPr>
        <w:t> </w:t>
      </w:r>
      <w:r>
        <w:rPr/>
        <w:t>is</w:t>
      </w:r>
      <w:r>
        <w:rPr>
          <w:spacing w:val="-2"/>
        </w:rPr>
        <w:t> </w:t>
      </w:r>
      <w:r>
        <w:rPr/>
        <w:t>a</w:t>
      </w:r>
      <w:r>
        <w:rPr>
          <w:spacing w:val="-2"/>
        </w:rPr>
        <w:t> </w:t>
      </w:r>
      <w:r>
        <w:rPr/>
        <w:t>distribution</w:t>
      </w:r>
      <w:r>
        <w:rPr>
          <w:spacing w:val="-2"/>
        </w:rPr>
        <w:t> </w:t>
      </w:r>
      <w:r>
        <w:rPr/>
        <w:t>contract</w:t>
      </w:r>
      <w:r>
        <w:rPr>
          <w:spacing w:val="-3"/>
        </w:rPr>
        <w:t> </w:t>
      </w:r>
      <w:r>
        <w:rPr>
          <w:color w:val="005DA1"/>
          <w:u w:val="single" w:color="005DA1"/>
          <w:vertAlign w:val="superscript"/>
        </w:rPr>
        <w:t>808</w:t>
      </w:r>
      <w:r>
        <w:rPr>
          <w:vertAlign w:val="baseline"/>
        </w:rPr>
        <w:t>;</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of</w:t>
      </w:r>
      <w:r>
        <w:rPr>
          <w:spacing w:val="-2"/>
          <w:vertAlign w:val="baseline"/>
        </w:rPr>
        <w:t> </w:t>
      </w:r>
      <w:r>
        <w:rPr>
          <w:vertAlign w:val="baseline"/>
        </w:rPr>
        <w:t>bailment;</w:t>
      </w:r>
      <w:r>
        <w:rPr>
          <w:spacing w:val="-2"/>
          <w:vertAlign w:val="baseline"/>
        </w:rPr>
        <w:t> </w:t>
      </w:r>
      <w:r>
        <w:rPr>
          <w:vertAlign w:val="baseline"/>
        </w:rPr>
        <w:t>a</w:t>
      </w:r>
      <w:r>
        <w:rPr>
          <w:spacing w:val="-2"/>
          <w:vertAlign w:val="baseline"/>
        </w:rPr>
        <w:t> </w:t>
      </w:r>
      <w:r>
        <w:rPr>
          <w:vertAlign w:val="baseline"/>
        </w:rPr>
        <w:t>construction</w:t>
      </w:r>
      <w:r>
        <w:rPr>
          <w:spacing w:val="-2"/>
          <w:vertAlign w:val="baseline"/>
        </w:rPr>
        <w:t> </w:t>
      </w:r>
      <w:r>
        <w:rPr>
          <w:vertAlign w:val="baseline"/>
        </w:rPr>
        <w:t>contract;</w:t>
      </w:r>
      <w:r>
        <w:rPr>
          <w:spacing w:val="-2"/>
          <w:vertAlign w:val="baseline"/>
        </w:rPr>
        <w:t> </w:t>
      </w:r>
      <w:r>
        <w:rPr>
          <w:vertAlign w:val="baseline"/>
        </w:rPr>
        <w:t>a</w:t>
      </w:r>
      <w:r>
        <w:rPr>
          <w:spacing w:val="-2"/>
          <w:vertAlign w:val="baseline"/>
        </w:rPr>
        <w:t> </w:t>
      </w:r>
      <w:r>
        <w:rPr>
          <w:vertAlign w:val="baseline"/>
        </w:rPr>
        <w:t>wagering </w:t>
      </w:r>
      <w:bookmarkStart w:name="_bookmark1506" w:id="1508"/>
      <w:bookmarkEnd w:id="1508"/>
      <w:r>
        <w:rPr>
          <w:vertAlign w:val="baseline"/>
        </w:rPr>
        <w:t>contract;</w:t>
      </w:r>
      <w:r>
        <w:rPr>
          <w:vertAlign w:val="baseline"/>
        </w:rPr>
        <w:t> and, probably, a reinsurance contract </w:t>
      </w:r>
      <w:r>
        <w:rPr>
          <w:color w:val="005DA1"/>
          <w:u w:val="single" w:color="005DA1"/>
          <w:vertAlign w:val="superscript"/>
        </w:rPr>
        <w:t>809</w:t>
      </w:r>
      <w:r>
        <w:rPr>
          <w:vertAlign w:val="baseline"/>
        </w:rPr>
        <w:t>; a contract of guarantee; and at least certain aspects of a letter of credit. </w:t>
      </w:r>
      <w:r>
        <w:rPr>
          <w:color w:val="005DA1"/>
          <w:u w:val="single" w:color="005DA1"/>
          <w:vertAlign w:val="superscript"/>
        </w:rPr>
        <w:t>810</w:t>
      </w:r>
      <w:r>
        <w:rPr>
          <w:color w:val="005DA1"/>
          <w:vertAlign w:val="baseline"/>
        </w:rPr>
        <w:t> </w:t>
      </w:r>
      <w:r>
        <w:rPr>
          <w:vertAlign w:val="baseline"/>
        </w:rPr>
        <w:t>Secondly, if the contract is one in which this conclusion cannot be drawn, the characteristic performance of the contract will have to be identified. There is no reason to </w:t>
      </w:r>
      <w:bookmarkStart w:name="_bookmark1507" w:id="1509"/>
      <w:bookmarkEnd w:id="1509"/>
      <w:r>
        <w:rPr>
          <w:vertAlign w:val="baseline"/>
        </w:rPr>
        <w:t>think</w:t>
      </w:r>
      <w:r>
        <w:rPr>
          <w:vertAlign w:val="baseline"/>
        </w:rPr>
        <w:t> that the concept of characteristic performance under the Regulation will be interpreted any differently to the way it was interpreted under art.4(2) of the Rome Convention. </w:t>
      </w:r>
      <w:r>
        <w:rPr>
          <w:color w:val="005DA1"/>
          <w:u w:val="single" w:color="005DA1"/>
          <w:vertAlign w:val="superscript"/>
        </w:rPr>
        <w:t>811</w:t>
      </w:r>
      <w:r>
        <w:rPr>
          <w:color w:val="005DA1"/>
          <w:vertAlign w:val="baseline"/>
        </w:rPr>
        <w:t> </w:t>
      </w:r>
      <w:r>
        <w:rPr>
          <w:vertAlign w:val="baseline"/>
        </w:rPr>
        <w:t>Thirdly, the </w:t>
      </w:r>
      <w:bookmarkStart w:name="_bookmark1508" w:id="1510"/>
      <w:bookmarkEnd w:id="1510"/>
      <w:r>
        <w:rPr>
          <w:vertAlign w:val="baseline"/>
        </w:rPr>
        <w:t>applicable</w:t>
      </w:r>
      <w:r>
        <w:rPr>
          <w:vertAlign w:val="baseline"/>
        </w:rPr>
        <w:t> law in respect of such a contract will then be that of the country where the party who is to effect that performance has his habitual residence, as defined in the Regulation. </w:t>
      </w:r>
      <w:r>
        <w:rPr>
          <w:color w:val="005DA1"/>
          <w:u w:val="single" w:color="005DA1"/>
          <w:vertAlign w:val="superscript"/>
        </w:rPr>
        <w:t>812</w:t>
      </w:r>
    </w:p>
    <w:p>
      <w:pPr>
        <w:pStyle w:val="BodyText"/>
      </w:pPr>
    </w:p>
    <w:p>
      <w:pPr>
        <w:pStyle w:val="BodyText"/>
        <w:spacing w:before="33"/>
      </w:pPr>
    </w:p>
    <w:p>
      <w:pPr>
        <w:spacing w:before="0"/>
        <w:ind w:left="165" w:right="0" w:firstLine="0"/>
        <w:jc w:val="left"/>
        <w:rPr>
          <w:rFonts w:ascii="Arial"/>
          <w:b/>
          <w:sz w:val="18"/>
        </w:rPr>
      </w:pPr>
      <w:r>
        <w:rPr>
          <w:rFonts w:ascii="Arial"/>
          <w:b/>
          <w:sz w:val="18"/>
        </w:rPr>
        <w:t>Elements of contract covered by more than one point of </w:t>
      </w:r>
      <w:r>
        <w:rPr>
          <w:rFonts w:ascii="Arial"/>
          <w:b/>
          <w:spacing w:val="-2"/>
          <w:sz w:val="18"/>
        </w:rPr>
        <w:t>art.4(1)</w:t>
      </w:r>
    </w:p>
    <w:p>
      <w:pPr>
        <w:pStyle w:val="BodyText"/>
        <w:spacing w:before="41"/>
        <w:rPr>
          <w:rFonts w:ascii="Arial"/>
          <w:b/>
          <w:sz w:val="18"/>
        </w:rPr>
      </w:pPr>
    </w:p>
    <w:p>
      <w:pPr>
        <w:pStyle w:val="Heading2"/>
      </w:pPr>
      <w:r>
        <w:rPr/>
        <w:t>30-</w:t>
      </w:r>
      <w:r>
        <w:rPr>
          <w:spacing w:val="-5"/>
        </w:rPr>
        <w:t>199</w:t>
      </w:r>
    </w:p>
    <w:p>
      <w:pPr>
        <w:pStyle w:val="BodyText"/>
        <w:spacing w:line="235" w:lineRule="auto" w:before="203"/>
        <w:ind w:left="165" w:right="167"/>
        <w:jc w:val="both"/>
      </w:pPr>
      <w:r>
        <w:rPr/>
        <w:t>Article 4(2) of the Regulation also supplies a choice of law rule to deal with situations where the “elements</w:t>
      </w:r>
      <w:r>
        <w:rPr>
          <w:spacing w:val="-1"/>
        </w:rPr>
        <w:t> </w:t>
      </w:r>
      <w:r>
        <w:rPr/>
        <w:t>of</w:t>
      </w:r>
      <w:r>
        <w:rPr>
          <w:spacing w:val="-1"/>
        </w:rPr>
        <w:t> </w:t>
      </w:r>
      <w:r>
        <w:rPr/>
        <w:t>the</w:t>
      </w:r>
      <w:r>
        <w:rPr>
          <w:spacing w:val="-1"/>
        </w:rPr>
        <w:t> </w:t>
      </w:r>
      <w:r>
        <w:rPr/>
        <w:t>contract</w:t>
      </w:r>
      <w:r>
        <w:rPr>
          <w:spacing w:val="-1"/>
        </w:rPr>
        <w:t> </w:t>
      </w:r>
      <w:r>
        <w:rPr/>
        <w:t>would</w:t>
      </w:r>
      <w:r>
        <w:rPr>
          <w:spacing w:val="-1"/>
        </w:rPr>
        <w:t> </w:t>
      </w:r>
      <w:r>
        <w:rPr/>
        <w:t>be</w:t>
      </w:r>
      <w:r>
        <w:rPr>
          <w:spacing w:val="-1"/>
        </w:rPr>
        <w:t> </w:t>
      </w:r>
      <w:r>
        <w:rPr/>
        <w:t>covered</w:t>
      </w:r>
      <w:r>
        <w:rPr>
          <w:spacing w:val="-1"/>
        </w:rPr>
        <w:t> </w:t>
      </w:r>
      <w:r>
        <w:rPr/>
        <w:t>by</w:t>
      </w:r>
      <w:r>
        <w:rPr>
          <w:spacing w:val="-1"/>
        </w:rPr>
        <w:t> </w:t>
      </w:r>
      <w:r>
        <w:rPr/>
        <w:t>more</w:t>
      </w:r>
      <w:r>
        <w:rPr>
          <w:spacing w:val="-1"/>
        </w:rPr>
        <w:t> </w:t>
      </w:r>
      <w:r>
        <w:rPr/>
        <w:t>than</w:t>
      </w:r>
      <w:r>
        <w:rPr>
          <w:spacing w:val="-1"/>
        </w:rPr>
        <w:t> </w:t>
      </w:r>
      <w:r>
        <w:rPr/>
        <w:t>one</w:t>
      </w:r>
      <w:r>
        <w:rPr>
          <w:spacing w:val="-1"/>
        </w:rPr>
        <w:t> </w:t>
      </w:r>
      <w:r>
        <w:rPr/>
        <w:t>of</w:t>
      </w:r>
      <w:r>
        <w:rPr>
          <w:spacing w:val="-1"/>
        </w:rPr>
        <w:t> </w:t>
      </w:r>
      <w:r>
        <w:rPr/>
        <w:t>points</w:t>
      </w:r>
      <w:r>
        <w:rPr>
          <w:spacing w:val="-1"/>
        </w:rPr>
        <w:t> </w:t>
      </w:r>
      <w:r>
        <w:rPr/>
        <w:t>(a)</w:t>
      </w:r>
      <w:r>
        <w:rPr>
          <w:spacing w:val="-1"/>
        </w:rPr>
        <w:t> </w:t>
      </w:r>
      <w:r>
        <w:rPr/>
        <w:t>to</w:t>
      </w:r>
      <w:r>
        <w:rPr>
          <w:spacing w:val="-1"/>
        </w:rPr>
        <w:t> </w:t>
      </w:r>
      <w:r>
        <w:rPr/>
        <w:t>(h)”</w:t>
      </w:r>
      <w:r>
        <w:rPr>
          <w:spacing w:val="-1"/>
        </w:rPr>
        <w:t> </w:t>
      </w:r>
      <w:r>
        <w:rPr/>
        <w:t>of</w:t>
      </w:r>
      <w:r>
        <w:rPr>
          <w:spacing w:val="-1"/>
        </w:rPr>
        <w:t> </w:t>
      </w:r>
      <w:r>
        <w:rPr/>
        <w:t>art.4(1).</w:t>
      </w:r>
      <w:r>
        <w:rPr>
          <w:spacing w:val="-1"/>
        </w:rPr>
        <w:t> </w:t>
      </w:r>
      <w:r>
        <w:rPr/>
        <w:t>In</w:t>
      </w:r>
      <w:r>
        <w:rPr>
          <w:spacing w:val="-1"/>
        </w:rPr>
        <w:t> </w:t>
      </w:r>
      <w:r>
        <w:rPr/>
        <w:t>such</w:t>
      </w:r>
      <w:r>
        <w:rPr>
          <w:spacing w:val="-1"/>
        </w:rPr>
        <w:t> </w:t>
      </w:r>
      <w:r>
        <w:rPr/>
        <w:t>a </w:t>
      </w:r>
      <w:bookmarkStart w:name="_bookmark1509" w:id="1511"/>
      <w:bookmarkEnd w:id="1511"/>
      <w:r>
        <w:rPr/>
        <w:t>situation</w:t>
      </w:r>
      <w:r>
        <w:rPr/>
        <w:t> the contract shall be governed by the law of the country where the party required to effect</w:t>
      </w:r>
      <w:r>
        <w:rPr>
          <w:spacing w:val="40"/>
        </w:rPr>
        <w:t> </w:t>
      </w:r>
      <w:r>
        <w:rPr/>
        <w:t>the characteristic performance of the contract has his habitual residence. </w:t>
      </w:r>
      <w:r>
        <w:rPr>
          <w:color w:val="005DA1"/>
          <w:u w:val="single" w:color="005DA1"/>
          <w:vertAlign w:val="superscript"/>
        </w:rPr>
        <w:t>813</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Scope of </w:t>
      </w:r>
      <w:r>
        <w:rPr>
          <w:rFonts w:ascii="Arial"/>
          <w:b/>
          <w:spacing w:val="-2"/>
          <w:sz w:val="18"/>
        </w:rPr>
        <w:t>provision</w:t>
      </w:r>
    </w:p>
    <w:p>
      <w:pPr>
        <w:pStyle w:val="BodyText"/>
        <w:spacing w:before="41"/>
        <w:rPr>
          <w:rFonts w:ascii="Arial"/>
          <w:b/>
          <w:sz w:val="18"/>
        </w:rPr>
      </w:pPr>
    </w:p>
    <w:p>
      <w:pPr>
        <w:pStyle w:val="Heading2"/>
      </w:pPr>
      <w:r>
        <w:rPr/>
        <w:t>30-</w:t>
      </w:r>
      <w:r>
        <w:rPr>
          <w:spacing w:val="-5"/>
        </w:rPr>
        <w:t>200</w:t>
      </w:r>
    </w:p>
    <w:p>
      <w:pPr>
        <w:pStyle w:val="BodyText"/>
        <w:spacing w:line="235" w:lineRule="auto" w:before="203"/>
        <w:ind w:left="165" w:right="167"/>
        <w:jc w:val="both"/>
      </w:pPr>
      <w:r>
        <w:rPr/>
        <w:t>The type of situation envisaged by the second aspect of art.4(2) is one in which the contractual </w:t>
      </w:r>
      <w:bookmarkStart w:name="_bookmark1510" w:id="1512"/>
      <w:bookmarkEnd w:id="1512"/>
      <w:r>
        <w:rPr/>
        <w:t>relationship</w:t>
      </w:r>
      <w:r>
        <w:rPr/>
        <w:t> between the parties involves rights and obligations which are capable of being </w:t>
      </w:r>
      <w:bookmarkStart w:name="_bookmark1511" w:id="1513"/>
      <w:bookmarkEnd w:id="1513"/>
      <w:r>
        <w:rPr/>
        <w:t>categorised</w:t>
      </w:r>
      <w:r>
        <w:rPr/>
        <w:t> as falling within more than one of the specified types of contract in art.4(1). </w:t>
      </w:r>
      <w:r>
        <w:rPr>
          <w:color w:val="005DA1"/>
          <w:u w:val="single" w:color="005DA1"/>
          <w:vertAlign w:val="superscript"/>
        </w:rPr>
        <w:t>814</w:t>
      </w:r>
      <w:r>
        <w:rPr>
          <w:color w:val="005DA1"/>
          <w:vertAlign w:val="baseline"/>
        </w:rPr>
        <w:t> </w:t>
      </w:r>
      <w:r>
        <w:rPr>
          <w:vertAlign w:val="baseline"/>
        </w:rPr>
        <w:t>An example might be a contract of sale and distributorship, </w:t>
      </w:r>
      <w:r>
        <w:rPr>
          <w:color w:val="005DA1"/>
          <w:u w:val="single" w:color="005DA1"/>
          <w:vertAlign w:val="superscript"/>
        </w:rPr>
        <w:t>815</w:t>
      </w:r>
      <w:r>
        <w:rPr>
          <w:color w:val="005DA1"/>
          <w:vertAlign w:val="baseline"/>
        </w:rPr>
        <w:t> </w:t>
      </w:r>
      <w:r>
        <w:rPr>
          <w:vertAlign w:val="baseline"/>
        </w:rPr>
        <w:t>which is covered by art.4(1)(a) and (b). </w:t>
      </w:r>
      <w:r>
        <w:rPr>
          <w:color w:val="005DA1"/>
          <w:u w:val="single" w:color="005DA1"/>
          <w:vertAlign w:val="superscript"/>
        </w:rPr>
        <w:t>816</w:t>
      </w:r>
      <w:r>
        <w:rPr>
          <w:color w:val="005DA1"/>
          <w:vertAlign w:val="baseline"/>
        </w:rPr>
        <w:t> </w:t>
      </w:r>
      <w:r>
        <w:rPr>
          <w:vertAlign w:val="baseline"/>
        </w:rPr>
        <w:t>The provision takes account of the possibility that a particular contractual relationship may not fall</w:t>
      </w:r>
      <w:r>
        <w:rPr>
          <w:spacing w:val="40"/>
          <w:vertAlign w:val="baseline"/>
        </w:rPr>
        <w:t> </w:t>
      </w:r>
      <w:r>
        <w:rPr>
          <w:vertAlign w:val="baseline"/>
        </w:rPr>
        <w:t>tidily into one category or another.</w:t>
      </w:r>
    </w:p>
    <w:p>
      <w:pPr>
        <w:pStyle w:val="BodyText"/>
      </w:pPr>
    </w:p>
    <w:p>
      <w:pPr>
        <w:pStyle w:val="BodyText"/>
        <w:spacing w:before="36"/>
      </w:pPr>
    </w:p>
    <w:p>
      <w:pPr>
        <w:spacing w:before="0"/>
        <w:ind w:left="165" w:right="0" w:firstLine="0"/>
        <w:jc w:val="left"/>
        <w:rPr>
          <w:rFonts w:ascii="Arial"/>
          <w:b/>
          <w:sz w:val="18"/>
        </w:rPr>
      </w:pPr>
      <w:r>
        <w:rPr>
          <w:rFonts w:ascii="Arial"/>
          <w:b/>
          <w:sz w:val="18"/>
        </w:rPr>
        <w:t>Characteristic </w:t>
      </w:r>
      <w:r>
        <w:rPr>
          <w:rFonts w:ascii="Arial"/>
          <w:b/>
          <w:spacing w:val="-2"/>
          <w:sz w:val="18"/>
        </w:rPr>
        <w:t>performance</w:t>
      </w:r>
    </w:p>
    <w:p>
      <w:pPr>
        <w:pStyle w:val="BodyText"/>
        <w:spacing w:before="41"/>
        <w:rPr>
          <w:rFonts w:ascii="Arial"/>
          <w:b/>
          <w:sz w:val="18"/>
        </w:rPr>
      </w:pPr>
    </w:p>
    <w:p>
      <w:pPr>
        <w:pStyle w:val="Heading2"/>
        <w:spacing w:before="1"/>
      </w:pPr>
      <w:r>
        <w:rPr/>
        <w:t>30-</w:t>
      </w:r>
      <w:r>
        <w:rPr>
          <w:spacing w:val="-5"/>
        </w:rPr>
        <w:t>201</w:t>
      </w:r>
    </w:p>
    <w:p>
      <w:pPr>
        <w:pStyle w:val="BodyText"/>
        <w:spacing w:line="235" w:lineRule="auto" w:before="202"/>
        <w:ind w:left="165" w:right="167"/>
        <w:jc w:val="both"/>
      </w:pPr>
      <w:r>
        <w:rPr/>
        <w:t>Application of the concept of characteristic performance in this situation is not, however, </w:t>
      </w:r>
      <w:r>
        <w:rPr/>
        <w:t>without difficulty since the characteristic performance of each contract covered may be different. The point is addressed to some extent, in Recital 19 to the Regulation which states that, in such situations, “the </w:t>
      </w:r>
      <w:bookmarkStart w:name="_bookmark1512" w:id="1514"/>
      <w:bookmarkEnd w:id="1514"/>
      <w:r>
        <w:rPr/>
        <w:t>characteristic</w:t>
      </w:r>
      <w:r>
        <w:rPr/>
        <w:t> performance of the contract should be determined having regard to its </w:t>
      </w:r>
      <w:r>
        <w:rPr>
          <w:rFonts w:ascii="Arial" w:hAnsi="Arial"/>
          <w:i/>
        </w:rPr>
        <w:t>centre of gravity </w:t>
      </w:r>
      <w:r>
        <w:rPr/>
        <w:t>”. </w:t>
      </w:r>
      <w:r>
        <w:rPr>
          <w:color w:val="005DA1"/>
          <w:u w:val="single" w:color="005DA1"/>
          <w:vertAlign w:val="superscript"/>
        </w:rPr>
        <w:t>817</w:t>
      </w:r>
      <w:r>
        <w:rPr>
          <w:color w:val="005DA1"/>
          <w:vertAlign w:val="baseline"/>
        </w:rPr>
        <w:t> </w:t>
      </w:r>
      <w:r>
        <w:rPr>
          <w:vertAlign w:val="baseline"/>
        </w:rPr>
        <w:t>The obvious question which arises is as to how the “centre of gravity” is to be determined. It may be that it will be taken to be the performance of the substantial or principal obligations under the </w:t>
      </w:r>
      <w:bookmarkStart w:name="_bookmark1513" w:id="1515"/>
      <w:bookmarkEnd w:id="1515"/>
      <w:r>
        <w:rPr>
          <w:vertAlign w:val="baseline"/>
        </w:rPr>
        <w:t>contract,</w:t>
      </w:r>
      <w:r>
        <w:rPr>
          <w:vertAlign w:val="baseline"/>
        </w:rPr>
        <w:t> but even if this is correct, it may not necessarily be easy to determine, in any given case, what these obligations are to be taken to be. </w:t>
      </w:r>
      <w:r>
        <w:rPr>
          <w:color w:val="005DA1"/>
          <w:u w:val="single" w:color="005DA1"/>
          <w:vertAlign w:val="superscript"/>
        </w:rPr>
        <w:t>818</w:t>
      </w:r>
      <w:r>
        <w:rPr>
          <w:color w:val="005DA1"/>
          <w:vertAlign w:val="baseline"/>
        </w:rPr>
        <w:t> </w:t>
      </w:r>
      <w:r>
        <w:rPr>
          <w:vertAlign w:val="baseline"/>
        </w:rPr>
        <w:t>It may also be that in the case of complex contracts it </w:t>
      </w:r>
      <w:bookmarkStart w:name="_bookmark1514" w:id="1516"/>
      <w:bookmarkEnd w:id="1516"/>
      <w:r>
        <w:rPr>
          <w:vertAlign w:val="baseline"/>
        </w:rPr>
        <w:t>will</w:t>
      </w:r>
      <w:r>
        <w:rPr>
          <w:vertAlign w:val="baseline"/>
        </w:rPr>
        <w:t> not be possible to determine the characteristic performance so that the choice of law rule contained in art.4(4) </w:t>
      </w:r>
      <w:r>
        <w:rPr>
          <w:color w:val="005DA1"/>
          <w:u w:val="single" w:color="005DA1"/>
          <w:vertAlign w:val="superscript"/>
        </w:rPr>
        <w:t>819</w:t>
      </w:r>
      <w:r>
        <w:rPr>
          <w:color w:val="005DA1"/>
          <w:vertAlign w:val="baseline"/>
        </w:rPr>
        <w:t> </w:t>
      </w:r>
      <w:r>
        <w:rPr>
          <w:vertAlign w:val="baseline"/>
        </w:rPr>
        <w:t>will come into play.</w:t>
      </w:r>
    </w:p>
    <w:p>
      <w:pPr>
        <w:pStyle w:val="BodyText"/>
      </w:pPr>
    </w:p>
    <w:p>
      <w:pPr>
        <w:pStyle w:val="BodyText"/>
        <w:spacing w:before="35"/>
      </w:pPr>
    </w:p>
    <w:p>
      <w:pPr>
        <w:spacing w:before="0"/>
        <w:ind w:left="165" w:right="0" w:firstLine="0"/>
        <w:jc w:val="left"/>
        <w:rPr>
          <w:rFonts w:ascii="Arial"/>
          <w:b/>
          <w:sz w:val="18"/>
        </w:rPr>
      </w:pPr>
      <w:r>
        <w:rPr>
          <w:rFonts w:ascii="Arial"/>
          <w:b/>
          <w:sz w:val="18"/>
        </w:rPr>
        <w:t>Applicable </w:t>
      </w:r>
      <w:r>
        <w:rPr>
          <w:rFonts w:ascii="Arial"/>
          <w:b/>
          <w:spacing w:val="-5"/>
          <w:sz w:val="18"/>
        </w:rPr>
        <w:t>law</w:t>
      </w:r>
    </w:p>
    <w:p>
      <w:pPr>
        <w:pStyle w:val="BodyText"/>
        <w:spacing w:before="41"/>
        <w:rPr>
          <w:rFonts w:ascii="Arial"/>
          <w:b/>
          <w:sz w:val="18"/>
        </w:rPr>
      </w:pPr>
    </w:p>
    <w:p>
      <w:pPr>
        <w:pStyle w:val="Heading2"/>
      </w:pPr>
      <w:r>
        <w:rPr/>
        <w:t>30-</w:t>
      </w:r>
      <w:r>
        <w:rPr>
          <w:spacing w:val="-5"/>
        </w:rPr>
        <w:t>202</w:t>
      </w:r>
    </w:p>
    <w:p>
      <w:pPr>
        <w:pStyle w:val="BodyText"/>
        <w:spacing w:line="235" w:lineRule="auto" w:before="203"/>
        <w:ind w:left="165" w:right="167"/>
        <w:jc w:val="both"/>
      </w:pPr>
      <w:r>
        <w:rPr/>
        <w:t>If it is possible to determine the characteristic performance of the contract in the situation </w:t>
      </w:r>
      <w:r>
        <w:rPr/>
        <w:t>under </w:t>
      </w:r>
      <w:bookmarkStart w:name="_bookmark1515" w:id="1517"/>
      <w:bookmarkEnd w:id="1517"/>
      <w:r>
        <w:rPr/>
        <w:t>consideration,</w:t>
      </w:r>
      <w:r>
        <w:rPr/>
        <w:t> the applicable law will be that of the country in which the party who is to effect that performance has his habitual residence, as defined in the Regulation. </w:t>
      </w:r>
      <w:r>
        <w:rPr>
          <w:color w:val="005DA1"/>
          <w:u w:val="single" w:color="005DA1"/>
          <w:vertAlign w:val="superscript"/>
        </w:rPr>
        <w:t>820</w:t>
      </w:r>
    </w:p>
    <w:p>
      <w:pPr>
        <w:pStyle w:val="BodyText"/>
      </w:pPr>
    </w:p>
    <w:p>
      <w:pPr>
        <w:pStyle w:val="BodyText"/>
        <w:spacing w:before="37"/>
      </w:pPr>
    </w:p>
    <w:p>
      <w:pPr>
        <w:spacing w:before="0"/>
        <w:ind w:left="165" w:right="0" w:firstLine="0"/>
        <w:jc w:val="left"/>
        <w:rPr>
          <w:rFonts w:ascii="Arial"/>
          <w:b/>
          <w:sz w:val="18"/>
        </w:rPr>
      </w:pPr>
      <w:r>
        <w:rPr>
          <w:rFonts w:ascii="Arial"/>
          <w:b/>
          <w:sz w:val="18"/>
        </w:rPr>
        <w:t>Rule of </w:t>
      </w:r>
      <w:r>
        <w:rPr>
          <w:rFonts w:ascii="Arial"/>
          <w:b/>
          <w:spacing w:val="-2"/>
          <w:sz w:val="18"/>
        </w:rPr>
        <w:t>displacement</w:t>
      </w:r>
    </w:p>
    <w:p>
      <w:pPr>
        <w:pStyle w:val="BodyText"/>
        <w:spacing w:before="42"/>
        <w:rPr>
          <w:rFonts w:ascii="Arial"/>
          <w:b/>
          <w:sz w:val="18"/>
        </w:rPr>
      </w:pPr>
    </w:p>
    <w:p>
      <w:pPr>
        <w:pStyle w:val="Heading2"/>
      </w:pPr>
      <w:r>
        <w:rPr/>
        <w:t>30-</w:t>
      </w:r>
      <w:r>
        <w:rPr>
          <w:spacing w:val="-5"/>
        </w:rPr>
        <w:t>203</w:t>
      </w:r>
    </w:p>
    <w:p>
      <w:pPr>
        <w:pStyle w:val="BodyText"/>
        <w:spacing w:before="88"/>
        <w:rPr>
          <w:rFonts w:ascii="Arial"/>
          <w:b/>
        </w:rPr>
      </w:pPr>
    </w:p>
    <w:p>
      <w:pPr>
        <w:pStyle w:val="BodyText"/>
        <w:spacing w:before="1"/>
        <w:ind w:left="165"/>
      </w:pPr>
      <w:r>
        <w:rPr>
          <w:position w:val="-2"/>
        </w:rPr>
        <w:drawing>
          <wp:inline distT="0" distB="0" distL="0" distR="0">
            <wp:extent cx="107988" cy="10798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r>
        <w:rPr/>
        <w:t>Article 4(3) of the Regulation provides that where:</w:t>
      </w:r>
    </w:p>
    <w:p>
      <w:pPr>
        <w:pStyle w:val="BodyText"/>
      </w:pPr>
    </w:p>
    <w:p>
      <w:pPr>
        <w:pStyle w:val="BodyText"/>
        <w:spacing w:before="125"/>
      </w:pPr>
    </w:p>
    <w:p>
      <w:pPr>
        <w:pStyle w:val="BodyText"/>
        <w:spacing w:line="235" w:lineRule="auto"/>
        <w:ind w:left="1245" w:right="167"/>
        <w:jc w:val="both"/>
      </w:pPr>
      <w:r>
        <w:rPr/>
        <w:t>“… it is </w:t>
      </w:r>
      <w:r>
        <w:rPr>
          <w:rFonts w:ascii="Arial" w:hAnsi="Arial"/>
          <w:i/>
        </w:rPr>
        <w:t>clear </w:t>
      </w:r>
      <w:r>
        <w:rPr/>
        <w:t>from all the circumstances of the case that the contract is </w:t>
      </w:r>
      <w:r>
        <w:rPr>
          <w:rFonts w:ascii="Arial" w:hAnsi="Arial"/>
          <w:i/>
        </w:rPr>
        <w:t>manifestly </w:t>
      </w:r>
      <w:r>
        <w:rPr/>
        <w:t>more </w:t>
      </w:r>
      <w:bookmarkStart w:name="_bookmark1516" w:id="1518"/>
      <w:bookmarkEnd w:id="1518"/>
      <w:r>
        <w:rPr/>
        <w:t>closely</w:t>
      </w:r>
      <w:r>
        <w:rPr/>
        <w:t> connected with a country other than that indicated in paragraphs 1 or 2, the law of that other country shall apply.” </w:t>
      </w:r>
      <w:r>
        <w:rPr>
          <w:color w:val="005DA1"/>
          <w:u w:val="single" w:color="005DA1"/>
          <w:vertAlign w:val="superscript"/>
        </w:rPr>
        <w:t>821</w:t>
      </w:r>
    </w:p>
    <w:p>
      <w:pPr>
        <w:pStyle w:val="BodyText"/>
        <w:spacing w:before="116"/>
      </w:pPr>
    </w:p>
    <w:p>
      <w:pPr>
        <w:pStyle w:val="BodyText"/>
        <w:spacing w:line="235" w:lineRule="auto"/>
        <w:ind w:left="164" w:right="167"/>
        <w:jc w:val="both"/>
      </w:pPr>
      <w:bookmarkStart w:name="_bookmark1517" w:id="1519"/>
      <w:bookmarkEnd w:id="1519"/>
      <w:r>
        <w:rPr/>
      </w:r>
      <w:r>
        <w:rPr/>
        <w:t>The purpose of this provision, described in Recital 20 to the Regulation as an “escape clause”, is </w:t>
      </w:r>
      <w:r>
        <w:rPr/>
        <w:t>to </w:t>
      </w:r>
      <w:bookmarkStart w:name="_bookmark1518" w:id="1520"/>
      <w:bookmarkEnd w:id="1520"/>
      <w:r>
        <w:rPr/>
        <w:t>permit</w:t>
      </w:r>
      <w:r>
        <w:rPr/>
        <w:t> a degree of flexibility </w:t>
      </w:r>
      <w:r>
        <w:rPr>
          <w:color w:val="005DA1"/>
          <w:u w:val="single" w:color="005DA1"/>
          <w:vertAlign w:val="superscript"/>
        </w:rPr>
        <w:t>822</w:t>
      </w:r>
      <w:r>
        <w:rPr>
          <w:color w:val="005DA1"/>
          <w:vertAlign w:val="baseline"/>
        </w:rPr>
        <w:t> </w:t>
      </w:r>
      <w:r>
        <w:rPr>
          <w:vertAlign w:val="baseline"/>
        </w:rPr>
        <w:t>in cases where application of the law indicated by art.4(1) or (2), as</w:t>
      </w:r>
      <w:r>
        <w:rPr>
          <w:spacing w:val="40"/>
          <w:vertAlign w:val="baseline"/>
        </w:rPr>
        <w:t> </w:t>
      </w:r>
      <w:r>
        <w:rPr>
          <w:vertAlign w:val="baseline"/>
        </w:rPr>
        <w:t>the case may be, would not, for various possible reasons, produce appropriate results. </w:t>
      </w:r>
      <w:r>
        <w:rPr>
          <w:color w:val="005DA1"/>
          <w:u w:val="single" w:color="005DA1"/>
          <w:vertAlign w:val="superscript"/>
        </w:rPr>
        <w:t>823</w:t>
      </w:r>
      <w:r>
        <w:rPr>
          <w:color w:val="005DA1"/>
          <w:vertAlign w:val="baseline"/>
        </w:rPr>
        <w:t> </w:t>
      </w:r>
      <w:r>
        <w:rPr>
          <w:vertAlign w:val="baseline"/>
        </w:rPr>
        <w:t>It will be noted, however, as indicated by the words emphasised in the provision, set out above, that art.4(3) is more tightly drawn than the equivalent provision in art.4(5) of the Rome Convention which permitted </w:t>
      </w:r>
      <w:bookmarkStart w:name="_bookmark1519" w:id="1521"/>
      <w:bookmarkEnd w:id="1521"/>
      <w:r>
        <w:rPr>
          <w:vertAlign w:val="baseline"/>
        </w:rPr>
        <w:t>the</w:t>
      </w:r>
      <w:r>
        <w:rPr>
          <w:vertAlign w:val="baseline"/>
        </w:rPr>
        <w:t> presumptions in art.4(2)–(4) of the Convention to be disregarded if it appeared from the circumstances as a whole that the contract was more closely connected with another country. </w:t>
      </w:r>
      <w:r>
        <w:rPr>
          <w:color w:val="005DA1"/>
          <w:u w:val="single" w:color="005DA1"/>
          <w:vertAlign w:val="superscript"/>
        </w:rPr>
        <w:t>824</w:t>
      </w:r>
      <w:r>
        <w:rPr>
          <w:color w:val="005DA1"/>
          <w:vertAlign w:val="baseline"/>
        </w:rPr>
        <w:t> </w:t>
      </w:r>
      <w:r>
        <w:rPr>
          <w:vertAlign w:val="baseline"/>
        </w:rPr>
        <w:t>The </w:t>
      </w:r>
      <w:bookmarkStart w:name="_bookmark1520" w:id="1522"/>
      <w:bookmarkEnd w:id="1522"/>
      <w:r>
        <w:rPr>
          <w:vertAlign w:val="baseline"/>
        </w:rPr>
        <w:t>introduction</w:t>
      </w:r>
      <w:r>
        <w:rPr>
          <w:spacing w:val="41"/>
          <w:vertAlign w:val="baseline"/>
        </w:rPr>
        <w:t> </w:t>
      </w:r>
      <w:r>
        <w:rPr>
          <w:vertAlign w:val="baseline"/>
        </w:rPr>
        <w:t>of</w:t>
      </w:r>
      <w:r>
        <w:rPr>
          <w:spacing w:val="41"/>
          <w:vertAlign w:val="baseline"/>
        </w:rPr>
        <w:t> </w:t>
      </w:r>
      <w:r>
        <w:rPr>
          <w:vertAlign w:val="baseline"/>
        </w:rPr>
        <w:t>the</w:t>
      </w:r>
      <w:r>
        <w:rPr>
          <w:spacing w:val="41"/>
          <w:vertAlign w:val="baseline"/>
        </w:rPr>
        <w:t> </w:t>
      </w:r>
      <w:r>
        <w:rPr>
          <w:vertAlign w:val="baseline"/>
        </w:rPr>
        <w:t>words</w:t>
      </w:r>
      <w:r>
        <w:rPr>
          <w:spacing w:val="41"/>
          <w:vertAlign w:val="baseline"/>
        </w:rPr>
        <w:t> </w:t>
      </w:r>
      <w:r>
        <w:rPr>
          <w:vertAlign w:val="baseline"/>
        </w:rPr>
        <w:t>“clear”</w:t>
      </w:r>
      <w:r>
        <w:rPr>
          <w:spacing w:val="41"/>
          <w:vertAlign w:val="baseline"/>
        </w:rPr>
        <w:t> </w:t>
      </w:r>
      <w:r>
        <w:rPr>
          <w:vertAlign w:val="baseline"/>
        </w:rPr>
        <w:t>and</w:t>
      </w:r>
      <w:r>
        <w:rPr>
          <w:spacing w:val="41"/>
          <w:vertAlign w:val="baseline"/>
        </w:rPr>
        <w:t> </w:t>
      </w:r>
      <w:r>
        <w:rPr>
          <w:vertAlign w:val="baseline"/>
        </w:rPr>
        <w:t>“manifestly”</w:t>
      </w:r>
      <w:r>
        <w:rPr>
          <w:spacing w:val="41"/>
          <w:vertAlign w:val="baseline"/>
        </w:rPr>
        <w:t> </w:t>
      </w:r>
      <w:r>
        <w:rPr>
          <w:vertAlign w:val="baseline"/>
        </w:rPr>
        <w:t>appear</w:t>
      </w:r>
      <w:r>
        <w:rPr>
          <w:spacing w:val="41"/>
          <w:vertAlign w:val="baseline"/>
        </w:rPr>
        <w:t> </w:t>
      </w:r>
      <w:r>
        <w:rPr>
          <w:vertAlign w:val="baseline"/>
        </w:rPr>
        <w:t>to</w:t>
      </w:r>
      <w:r>
        <w:rPr>
          <w:spacing w:val="41"/>
          <w:vertAlign w:val="baseline"/>
        </w:rPr>
        <w:t> </w:t>
      </w:r>
      <w:r>
        <w:rPr>
          <w:vertAlign w:val="baseline"/>
        </w:rPr>
        <w:t>include</w:t>
      </w:r>
      <w:r>
        <w:rPr>
          <w:spacing w:val="41"/>
          <w:vertAlign w:val="baseline"/>
        </w:rPr>
        <w:t> </w:t>
      </w:r>
      <w:r>
        <w:rPr>
          <w:vertAlign w:val="baseline"/>
        </w:rPr>
        <w:t>an</w:t>
      </w:r>
      <w:r>
        <w:rPr>
          <w:spacing w:val="41"/>
          <w:vertAlign w:val="baseline"/>
        </w:rPr>
        <w:t> </w:t>
      </w:r>
      <w:r>
        <w:rPr>
          <w:vertAlign w:val="baseline"/>
        </w:rPr>
        <w:t>intention</w:t>
      </w:r>
      <w:r>
        <w:rPr>
          <w:spacing w:val="41"/>
          <w:vertAlign w:val="baseline"/>
        </w:rPr>
        <w:t> </w:t>
      </w:r>
      <w:r>
        <w:rPr>
          <w:vertAlign w:val="baseline"/>
        </w:rPr>
        <w:t>that</w:t>
      </w:r>
      <w:r>
        <w:rPr>
          <w:spacing w:val="41"/>
          <w:vertAlign w:val="baseline"/>
        </w:rPr>
        <w:t> </w:t>
      </w:r>
      <w:r>
        <w:rPr>
          <w:vertAlign w:val="baseline"/>
        </w:rPr>
        <w:t>the</w:t>
      </w:r>
      <w:r>
        <w:rPr>
          <w:spacing w:val="41"/>
          <w:vertAlign w:val="baseline"/>
        </w:rPr>
        <w:t> </w:t>
      </w:r>
      <w:r>
        <w:rPr>
          <w:vertAlign w:val="baseline"/>
        </w:rPr>
        <w:t>rules</w:t>
      </w:r>
      <w:r>
        <w:rPr>
          <w:spacing w:val="41"/>
          <w:vertAlign w:val="baseline"/>
        </w:rPr>
        <w:t> </w:t>
      </w:r>
      <w:r>
        <w:rPr>
          <w:spacing w:val="-5"/>
          <w:vertAlign w:val="baseline"/>
        </w:rPr>
        <w:t>in</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line="235" w:lineRule="auto"/>
        <w:ind w:left="165"/>
      </w:pPr>
      <w:r>
        <w:rPr>
          <w:position w:val="-2"/>
        </w:rPr>
        <w:drawing>
          <wp:inline distT="0" distB="0" distL="0" distR="0">
            <wp:extent cx="107988" cy="10798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Nonetheless, application, even of this language, involves a margin of appreciation in the context </w:t>
      </w:r>
      <w:r>
        <w:rPr/>
        <w:t>of particular cases and how it will be applied in particular cases remains to be seen.</w:t>
      </w:r>
    </w:p>
    <w:p>
      <w:pPr>
        <w:pStyle w:val="BodyText"/>
      </w:pPr>
    </w:p>
    <w:p>
      <w:pPr>
        <w:pStyle w:val="BodyText"/>
        <w:spacing w:before="38"/>
      </w:pPr>
    </w:p>
    <w:p>
      <w:pPr>
        <w:spacing w:before="0"/>
        <w:ind w:left="165" w:right="0" w:firstLine="0"/>
        <w:jc w:val="left"/>
        <w:rPr>
          <w:rFonts w:ascii="Arial"/>
          <w:b/>
          <w:sz w:val="18"/>
        </w:rPr>
      </w:pPr>
      <w:r>
        <w:rPr>
          <w:rFonts w:ascii="Arial"/>
          <w:b/>
          <w:sz w:val="18"/>
        </w:rPr>
        <w:t>Relevant </w:t>
      </w:r>
      <w:r>
        <w:rPr>
          <w:rFonts w:ascii="Arial"/>
          <w:b/>
          <w:spacing w:val="-2"/>
          <w:sz w:val="18"/>
        </w:rPr>
        <w:t>factors</w:t>
      </w:r>
    </w:p>
    <w:p>
      <w:pPr>
        <w:pStyle w:val="BodyText"/>
        <w:spacing w:before="41"/>
        <w:rPr>
          <w:rFonts w:ascii="Arial"/>
          <w:b/>
          <w:sz w:val="18"/>
        </w:rPr>
      </w:pPr>
    </w:p>
    <w:p>
      <w:pPr>
        <w:pStyle w:val="Heading2"/>
        <w:spacing w:before="1"/>
      </w:pPr>
      <w:r>
        <w:rPr/>
        <w:t>30-</w:t>
      </w:r>
      <w:r>
        <w:rPr>
          <w:spacing w:val="-5"/>
        </w:rPr>
        <w:t>204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order to determine whether it is clear that the contract is manifestly more closely connected </w:t>
      </w:r>
      <w:r>
        <w:rPr/>
        <w:t>with a country other than that indicated in art.4(1) or (2), account may be taken of “all the circumstances of </w:t>
      </w:r>
      <w:bookmarkStart w:name="_bookmark1521" w:id="1523"/>
      <w:bookmarkEnd w:id="1523"/>
      <w:r>
        <w:rPr/>
        <w:t>the</w:t>
      </w:r>
      <w:r>
        <w:rPr/>
        <w:t> case”. These would include, but are not necessarily limited to, factors which were regarded as relevant for this purpose in cases falling within the Rome Convention. </w:t>
      </w:r>
      <w:r>
        <w:rPr>
          <w:color w:val="005DA1"/>
          <w:u w:val="single" w:color="005DA1"/>
          <w:vertAlign w:val="superscript"/>
        </w:rPr>
        <w:t>826</w:t>
      </w:r>
      <w:r>
        <w:rPr>
          <w:color w:val="005DA1"/>
          <w:vertAlign w:val="baseline"/>
        </w:rPr>
        <w:t> </w:t>
      </w:r>
      <w:r>
        <w:rPr>
          <w:vertAlign w:val="baseline"/>
        </w:rPr>
        <w:t>More specifically, Recital 20 to the Regulation states that “account should be taken inter alia of whether the contract in question has a very close relationship with another contract or contracts”. The advice in this Recital may be of particular importance in respect of related contracts such as letters of credit or guarantees where it is </w:t>
      </w:r>
      <w:bookmarkStart w:name="_bookmark1522" w:id="1524"/>
      <w:bookmarkEnd w:id="1524"/>
      <w:r>
        <w:rPr>
          <w:vertAlign w:val="baseline"/>
        </w:rPr>
        <w:t>of</w:t>
      </w:r>
      <w:r>
        <w:rPr>
          <w:spacing w:val="25"/>
          <w:vertAlign w:val="baseline"/>
        </w:rPr>
        <w:t> </w:t>
      </w:r>
      <w:r>
        <w:rPr>
          <w:vertAlign w:val="baseline"/>
        </w:rPr>
        <w:t>commercial</w:t>
      </w:r>
      <w:r>
        <w:rPr>
          <w:spacing w:val="25"/>
          <w:vertAlign w:val="baseline"/>
        </w:rPr>
        <w:t> </w:t>
      </w:r>
      <w:r>
        <w:rPr>
          <w:vertAlign w:val="baseline"/>
        </w:rPr>
        <w:t>importance</w:t>
      </w:r>
      <w:r>
        <w:rPr>
          <w:spacing w:val="25"/>
          <w:vertAlign w:val="baseline"/>
        </w:rPr>
        <w:t> </w:t>
      </w:r>
      <w:r>
        <w:rPr>
          <w:vertAlign w:val="baseline"/>
        </w:rPr>
        <w:t>that</w:t>
      </w:r>
      <w:r>
        <w:rPr>
          <w:spacing w:val="25"/>
          <w:vertAlign w:val="baseline"/>
        </w:rPr>
        <w:t> </w:t>
      </w:r>
      <w:r>
        <w:rPr>
          <w:vertAlign w:val="baseline"/>
        </w:rPr>
        <w:t>a</w:t>
      </w:r>
      <w:r>
        <w:rPr>
          <w:spacing w:val="25"/>
          <w:vertAlign w:val="baseline"/>
        </w:rPr>
        <w:t> </w:t>
      </w:r>
      <w:r>
        <w:rPr>
          <w:vertAlign w:val="baseline"/>
        </w:rPr>
        <w:t>single</w:t>
      </w:r>
      <w:r>
        <w:rPr>
          <w:spacing w:val="25"/>
          <w:vertAlign w:val="baseline"/>
        </w:rPr>
        <w:t> </w:t>
      </w:r>
      <w:r>
        <w:rPr>
          <w:vertAlign w:val="baseline"/>
        </w:rPr>
        <w:t>law</w:t>
      </w:r>
      <w:r>
        <w:rPr>
          <w:spacing w:val="25"/>
          <w:vertAlign w:val="baseline"/>
        </w:rPr>
        <w:t> </w:t>
      </w:r>
      <w:r>
        <w:rPr>
          <w:vertAlign w:val="baseline"/>
        </w:rPr>
        <w:t>be</w:t>
      </w:r>
      <w:r>
        <w:rPr>
          <w:spacing w:val="25"/>
          <w:vertAlign w:val="baseline"/>
        </w:rPr>
        <w:t> </w:t>
      </w:r>
      <w:r>
        <w:rPr>
          <w:vertAlign w:val="baseline"/>
        </w:rPr>
        <w:t>applied</w:t>
      </w:r>
      <w:r>
        <w:rPr>
          <w:spacing w:val="25"/>
          <w:vertAlign w:val="baseline"/>
        </w:rPr>
        <w:t> </w:t>
      </w:r>
      <w:r>
        <w:rPr>
          <w:vertAlign w:val="baseline"/>
        </w:rPr>
        <w:t>to</w:t>
      </w:r>
      <w:r>
        <w:rPr>
          <w:spacing w:val="25"/>
          <w:vertAlign w:val="baseline"/>
        </w:rPr>
        <w:t> </w:t>
      </w:r>
      <w:r>
        <w:rPr>
          <w:vertAlign w:val="baseline"/>
        </w:rPr>
        <w:t>a</w:t>
      </w:r>
      <w:r>
        <w:rPr>
          <w:spacing w:val="25"/>
          <w:vertAlign w:val="baseline"/>
        </w:rPr>
        <w:t> </w:t>
      </w:r>
      <w:r>
        <w:rPr>
          <w:vertAlign w:val="baseline"/>
        </w:rPr>
        <w:t>transaction</w:t>
      </w:r>
      <w:r>
        <w:rPr>
          <w:spacing w:val="25"/>
          <w:vertAlign w:val="baseline"/>
        </w:rPr>
        <w:t> </w:t>
      </w:r>
      <w:r>
        <w:rPr>
          <w:vertAlign w:val="baseline"/>
        </w:rPr>
        <w:t>rather</w:t>
      </w:r>
      <w:r>
        <w:rPr>
          <w:spacing w:val="25"/>
          <w:vertAlign w:val="baseline"/>
        </w:rPr>
        <w:t> </w:t>
      </w:r>
      <w:r>
        <w:rPr>
          <w:vertAlign w:val="baseline"/>
        </w:rPr>
        <w:t>than</w:t>
      </w:r>
      <w:r>
        <w:rPr>
          <w:spacing w:val="25"/>
          <w:vertAlign w:val="baseline"/>
        </w:rPr>
        <w:t> </w:t>
      </w:r>
      <w:r>
        <w:rPr>
          <w:vertAlign w:val="baseline"/>
        </w:rPr>
        <w:t>having</w:t>
      </w:r>
      <w:r>
        <w:rPr>
          <w:spacing w:val="25"/>
          <w:vertAlign w:val="baseline"/>
        </w:rPr>
        <w:t> </w:t>
      </w:r>
      <w:r>
        <w:rPr>
          <w:spacing w:val="-2"/>
          <w:vertAlign w:val="baseline"/>
        </w:rPr>
        <w:t>different</w:t>
      </w:r>
    </w:p>
    <w:p>
      <w:pPr>
        <w:pStyle w:val="BodyText"/>
        <w:spacing w:before="113"/>
        <w:ind w:left="165"/>
        <w:jc w:val="both"/>
        <w:rPr>
          <w:position w:val="-2"/>
        </w:rPr>
      </w:pPr>
      <w:r>
        <w:rPr/>
        <w:t>laws applying to the component parts of the transaction. </w:t>
      </w:r>
      <w:r>
        <w:rPr>
          <w:color w:val="005DA1"/>
          <w:u w:val="single" w:color="005DA1"/>
          <w:vertAlign w:val="superscript"/>
        </w:rPr>
        <w:t>827</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Applicable </w:t>
      </w:r>
      <w:r>
        <w:rPr>
          <w:rFonts w:ascii="Arial"/>
          <w:b/>
          <w:spacing w:val="-5"/>
          <w:sz w:val="18"/>
        </w:rPr>
        <w:t>law</w:t>
      </w:r>
    </w:p>
    <w:p>
      <w:pPr>
        <w:pStyle w:val="BodyText"/>
        <w:spacing w:before="41"/>
        <w:rPr>
          <w:rFonts w:ascii="Arial"/>
          <w:b/>
          <w:sz w:val="18"/>
        </w:rPr>
      </w:pPr>
    </w:p>
    <w:p>
      <w:pPr>
        <w:pStyle w:val="Heading2"/>
      </w:pPr>
      <w:r>
        <w:rPr/>
        <w:t>30-</w:t>
      </w:r>
      <w:r>
        <w:rPr>
          <w:spacing w:val="-5"/>
        </w:rPr>
        <w:t>205</w:t>
      </w:r>
    </w:p>
    <w:p>
      <w:pPr>
        <w:pStyle w:val="BodyText"/>
        <w:spacing w:line="235" w:lineRule="auto" w:before="203"/>
        <w:ind w:left="165" w:right="167"/>
        <w:jc w:val="both"/>
      </w:pPr>
      <w:r>
        <w:rPr/>
        <w:t>Where art.4(3) operates to displace the rules in art.4(1) and (2), the applicable law will be the law of the country with which the contract is manifestly more closely connected.</w:t>
      </w:r>
    </w:p>
    <w:p>
      <w:pPr>
        <w:pStyle w:val="BodyText"/>
      </w:pPr>
    </w:p>
    <w:p>
      <w:pPr>
        <w:pStyle w:val="BodyText"/>
        <w:spacing w:before="37"/>
      </w:pPr>
    </w:p>
    <w:p>
      <w:pPr>
        <w:spacing w:before="1"/>
        <w:ind w:left="165" w:right="0" w:firstLine="0"/>
        <w:jc w:val="left"/>
        <w:rPr>
          <w:rFonts w:ascii="Arial"/>
          <w:b/>
          <w:sz w:val="18"/>
        </w:rPr>
      </w:pPr>
      <w:r>
        <w:rPr>
          <w:rFonts w:ascii="Arial"/>
          <w:b/>
          <w:sz w:val="18"/>
        </w:rPr>
        <w:t>Residual </w:t>
      </w:r>
      <w:r>
        <w:rPr>
          <w:rFonts w:ascii="Arial"/>
          <w:b/>
          <w:spacing w:val="-4"/>
          <w:sz w:val="18"/>
        </w:rPr>
        <w:t>rule</w:t>
      </w:r>
    </w:p>
    <w:p>
      <w:pPr>
        <w:pStyle w:val="BodyText"/>
        <w:spacing w:before="41"/>
        <w:rPr>
          <w:rFonts w:ascii="Arial"/>
          <w:b/>
          <w:sz w:val="18"/>
        </w:rPr>
      </w:pPr>
    </w:p>
    <w:p>
      <w:pPr>
        <w:pStyle w:val="Heading2"/>
      </w:pPr>
      <w:r>
        <w:rPr/>
        <w:t>30-</w:t>
      </w:r>
      <w:r>
        <w:rPr>
          <w:spacing w:val="-5"/>
        </w:rPr>
        <w:t>206</w:t>
      </w:r>
    </w:p>
    <w:p>
      <w:pPr>
        <w:pStyle w:val="BodyText"/>
        <w:spacing w:line="235" w:lineRule="auto" w:before="203"/>
        <w:ind w:left="165" w:right="167"/>
        <w:jc w:val="both"/>
      </w:pPr>
      <w:r>
        <w:rPr/>
        <w:t>Article 4(4) of the Regulation supplies what might be called a residual choice of law rule in </w:t>
      </w:r>
      <w:r>
        <w:rPr/>
        <w:t>the following terms:</w:t>
      </w:r>
    </w:p>
    <w:p>
      <w:pPr>
        <w:pStyle w:val="BodyText"/>
      </w:pPr>
    </w:p>
    <w:p>
      <w:pPr>
        <w:pStyle w:val="BodyText"/>
        <w:spacing w:before="125"/>
      </w:pPr>
    </w:p>
    <w:p>
      <w:pPr>
        <w:pStyle w:val="BodyText"/>
        <w:spacing w:line="235" w:lineRule="auto" w:before="1"/>
        <w:ind w:left="1245" w:right="167"/>
        <w:jc w:val="both"/>
      </w:pPr>
      <w:r>
        <w:rPr/>
        <w:t>“Where the applicable law cannot be determined pursuant to paragraphs 1 or 2, the contract shall be governed by the law of the country with which it is most closely </w:t>
      </w:r>
      <w:r>
        <w:rPr>
          <w:spacing w:val="-2"/>
        </w:rPr>
        <w:t>connected.”</w:t>
      </w:r>
    </w:p>
    <w:p>
      <w:pPr>
        <w:pStyle w:val="BodyText"/>
        <w:spacing w:before="111"/>
      </w:pPr>
    </w:p>
    <w:p>
      <w:pPr>
        <w:pStyle w:val="BodyText"/>
        <w:ind w:left="165"/>
        <w:jc w:val="both"/>
      </w:pPr>
      <w:r>
        <w:rPr/>
        <w:t>The effect of this rule is explained in Recital 21 to the </w:t>
      </w:r>
      <w:r>
        <w:rPr>
          <w:spacing w:val="-2"/>
        </w:rPr>
        <w:t>Regulation.</w:t>
      </w:r>
    </w:p>
    <w:p>
      <w:pPr>
        <w:pStyle w:val="BodyText"/>
      </w:pPr>
    </w:p>
    <w:p>
      <w:pPr>
        <w:pStyle w:val="BodyText"/>
        <w:spacing w:before="126"/>
      </w:pPr>
    </w:p>
    <w:p>
      <w:pPr>
        <w:pStyle w:val="BodyText"/>
        <w:spacing w:line="235" w:lineRule="auto"/>
        <w:ind w:left="1245" w:right="167"/>
        <w:jc w:val="both"/>
      </w:pPr>
      <w:r>
        <w:rPr/>
        <w:t>“In the absence of choice, where the applicable law cannot be determined either on </w:t>
      </w:r>
      <w:r>
        <w:rPr/>
        <w:t>the basis of the fact that the contract can be categorised as one of the specified types or as being the law of the country of habitual residence of the party required to effect the characteristic performance of the contract, the contract should be governed by the law of the country with which it is most closely connected.”</w:t>
      </w:r>
    </w:p>
    <w:p>
      <w:pPr>
        <w:pStyle w:val="BodyText"/>
        <w:spacing w:before="115"/>
      </w:pPr>
    </w:p>
    <w:p>
      <w:pPr>
        <w:pStyle w:val="BodyText"/>
        <w:spacing w:line="235" w:lineRule="auto"/>
        <w:ind w:left="165" w:right="167"/>
        <w:jc w:val="both"/>
      </w:pPr>
      <w:r>
        <w:rPr/>
        <w:t>This provision will prove of importance in relation to a contract which is not specified in art.4(1), or which</w:t>
      </w:r>
      <w:r>
        <w:rPr>
          <w:spacing w:val="-1"/>
        </w:rPr>
        <w:t> </w:t>
      </w:r>
      <w:r>
        <w:rPr/>
        <w:t>is</w:t>
      </w:r>
      <w:r>
        <w:rPr>
          <w:spacing w:val="-1"/>
        </w:rPr>
        <w:t> </w:t>
      </w:r>
      <w:r>
        <w:rPr/>
        <w:t>a</w:t>
      </w:r>
      <w:r>
        <w:rPr>
          <w:spacing w:val="-1"/>
        </w:rPr>
        <w:t> </w:t>
      </w:r>
      <w:r>
        <w:rPr/>
        <w:t>complex</w:t>
      </w:r>
      <w:r>
        <w:rPr>
          <w:spacing w:val="-1"/>
        </w:rPr>
        <w:t> </w:t>
      </w:r>
      <w:r>
        <w:rPr/>
        <w:t>contract</w:t>
      </w:r>
      <w:r>
        <w:rPr>
          <w:spacing w:val="-1"/>
        </w:rPr>
        <w:t> </w:t>
      </w:r>
      <w:r>
        <w:rPr/>
        <w:t>made</w:t>
      </w:r>
      <w:r>
        <w:rPr>
          <w:spacing w:val="-1"/>
        </w:rPr>
        <w:t> </w:t>
      </w:r>
      <w:r>
        <w:rPr/>
        <w:t>up</w:t>
      </w:r>
      <w:r>
        <w:rPr>
          <w:spacing w:val="-1"/>
        </w:rPr>
        <w:t> </w:t>
      </w:r>
      <w:r>
        <w:rPr/>
        <w:t>of</w:t>
      </w:r>
      <w:r>
        <w:rPr>
          <w:spacing w:val="-1"/>
        </w:rPr>
        <w:t> </w:t>
      </w:r>
      <w:r>
        <w:rPr/>
        <w:t>more</w:t>
      </w:r>
      <w:r>
        <w:rPr>
          <w:spacing w:val="-1"/>
        </w:rPr>
        <w:t> </w:t>
      </w:r>
      <w:r>
        <w:rPr/>
        <w:t>than</w:t>
      </w:r>
      <w:r>
        <w:rPr>
          <w:spacing w:val="-1"/>
        </w:rPr>
        <w:t> </w:t>
      </w:r>
      <w:r>
        <w:rPr/>
        <w:t>one</w:t>
      </w:r>
      <w:r>
        <w:rPr>
          <w:spacing w:val="-1"/>
        </w:rPr>
        <w:t> </w:t>
      </w:r>
      <w:r>
        <w:rPr/>
        <w:t>contract</w:t>
      </w:r>
      <w:r>
        <w:rPr>
          <w:spacing w:val="-1"/>
        </w:rPr>
        <w:t> </w:t>
      </w:r>
      <w:r>
        <w:rPr/>
        <w:t>specified</w:t>
      </w:r>
      <w:r>
        <w:rPr>
          <w:spacing w:val="-1"/>
        </w:rPr>
        <w:t> </w:t>
      </w:r>
      <w:r>
        <w:rPr/>
        <w:t>in</w:t>
      </w:r>
      <w:r>
        <w:rPr>
          <w:spacing w:val="-1"/>
        </w:rPr>
        <w:t> </w:t>
      </w:r>
      <w:r>
        <w:rPr/>
        <w:t>art.4(1),</w:t>
      </w:r>
      <w:r>
        <w:rPr>
          <w:spacing w:val="-1"/>
        </w:rPr>
        <w:t> </w:t>
      </w:r>
      <w:r>
        <w:rPr/>
        <w:t>the</w:t>
      </w:r>
      <w:r>
        <w:rPr>
          <w:spacing w:val="-1"/>
        </w:rPr>
        <w:t> </w:t>
      </w:r>
      <w:r>
        <w:rPr/>
        <w:t>characteristic </w:t>
      </w:r>
      <w:bookmarkStart w:name="_bookmark1523" w:id="1525"/>
      <w:bookmarkEnd w:id="1525"/>
      <w:r>
        <w:rPr/>
        <w:t>performance</w:t>
      </w:r>
      <w:r>
        <w:rPr/>
        <w:t> of which cannot be determined under art.4(2). More obviously, it will be of importance in relation to contracts which do not have a characteristic performance, e.g. barter or exchange. </w:t>
      </w:r>
      <w:r>
        <w:rPr>
          <w:color w:val="005DA1"/>
          <w:u w:val="single" w:color="005DA1"/>
          <w:vertAlign w:val="superscript"/>
        </w:rPr>
        <w:t>828</w:t>
      </w:r>
    </w:p>
    <w:p>
      <w:pPr>
        <w:pStyle w:val="BodyText"/>
      </w:pPr>
    </w:p>
    <w:p>
      <w:pPr>
        <w:pStyle w:val="BodyText"/>
        <w:spacing w:before="37"/>
      </w:pPr>
    </w:p>
    <w:p>
      <w:pPr>
        <w:spacing w:before="0"/>
        <w:ind w:left="165" w:right="0" w:firstLine="0"/>
        <w:jc w:val="left"/>
        <w:rPr>
          <w:rFonts w:ascii="Arial"/>
          <w:b/>
          <w:sz w:val="18"/>
        </w:rPr>
      </w:pPr>
      <w:r>
        <w:rPr>
          <w:rFonts w:ascii="Arial"/>
          <w:b/>
          <w:sz w:val="18"/>
        </w:rPr>
        <w:t>Relevant </w:t>
      </w:r>
      <w:r>
        <w:rPr>
          <w:rFonts w:ascii="Arial"/>
          <w:b/>
          <w:spacing w:val="-2"/>
          <w:sz w:val="18"/>
        </w:rPr>
        <w:t>factors</w:t>
      </w:r>
    </w:p>
    <w:p>
      <w:pPr>
        <w:spacing w:after="0"/>
        <w:jc w:val="left"/>
        <w:rPr>
          <w:rFonts w:ascii="Arial"/>
          <w:b/>
          <w:sz w:val="18"/>
        </w:rPr>
        <w:sectPr>
          <w:pgSz w:w="11900" w:h="16840"/>
          <w:pgMar w:header="971" w:footer="0" w:top="1300" w:bottom="280" w:left="1275" w:right="1275"/>
        </w:sectPr>
      </w:pPr>
    </w:p>
    <w:p>
      <w:pPr>
        <w:pStyle w:val="Heading2"/>
        <w:spacing w:before="262"/>
      </w:pPr>
      <w:r>
        <w:rPr/>
        <w:t>30-</w:t>
      </w:r>
      <w:r>
        <w:rPr>
          <w:spacing w:val="-5"/>
        </w:rPr>
        <w:t>207</w:t>
      </w:r>
    </w:p>
    <w:p>
      <w:pPr>
        <w:pStyle w:val="BodyText"/>
        <w:spacing w:line="235" w:lineRule="auto" w:before="202"/>
        <w:ind w:left="165" w:right="167"/>
        <w:jc w:val="both"/>
      </w:pPr>
      <w:r>
        <w:rPr/>
        <w:t>Article 4(4) does not in terms place any limits on the factors which may be taken into account in determining the law of the country with which the contract is most closely connected. Although all will </w:t>
      </w:r>
      <w:bookmarkStart w:name="_bookmark1524" w:id="1526"/>
      <w:bookmarkEnd w:id="1526"/>
      <w:r>
        <w:rPr/>
        <w:t>depend</w:t>
      </w:r>
      <w:r>
        <w:rPr/>
        <w:t> on the particular circumstances of the case, generally, factors regarded for this purpose</w:t>
      </w:r>
      <w:r>
        <w:rPr>
          <w:spacing w:val="80"/>
        </w:rPr>
        <w:t> </w:t>
      </w:r>
      <w:r>
        <w:rPr/>
        <w:t>under art.4(5)</w:t>
      </w:r>
      <w:r>
        <w:rPr>
          <w:spacing w:val="1"/>
        </w:rPr>
        <w:t> </w:t>
      </w:r>
      <w:r>
        <w:rPr/>
        <w:t>of</w:t>
      </w:r>
      <w:r>
        <w:rPr>
          <w:spacing w:val="1"/>
        </w:rPr>
        <w:t> </w:t>
      </w:r>
      <w:r>
        <w:rPr/>
        <w:t>the</w:t>
      </w:r>
      <w:r>
        <w:rPr>
          <w:spacing w:val="1"/>
        </w:rPr>
        <w:t> </w:t>
      </w:r>
      <w:r>
        <w:rPr/>
        <w:t>Rome</w:t>
      </w:r>
      <w:r>
        <w:rPr>
          <w:spacing w:val="1"/>
        </w:rPr>
        <w:t> </w:t>
      </w:r>
      <w:r>
        <w:rPr/>
        <w:t>Convention</w:t>
      </w:r>
      <w:r>
        <w:rPr>
          <w:spacing w:val="1"/>
        </w:rPr>
        <w:t> </w:t>
      </w:r>
      <w:r>
        <w:rPr/>
        <w:t>may surely</w:t>
      </w:r>
      <w:r>
        <w:rPr>
          <w:spacing w:val="1"/>
        </w:rPr>
        <w:t> </w:t>
      </w:r>
      <w:r>
        <w:rPr/>
        <w:t>be</w:t>
      </w:r>
      <w:r>
        <w:rPr>
          <w:spacing w:val="1"/>
        </w:rPr>
        <w:t> </w:t>
      </w:r>
      <w:r>
        <w:rPr/>
        <w:t>taken</w:t>
      </w:r>
      <w:r>
        <w:rPr>
          <w:spacing w:val="1"/>
        </w:rPr>
        <w:t> </w:t>
      </w:r>
      <w:r>
        <w:rPr/>
        <w:t>into</w:t>
      </w:r>
      <w:r>
        <w:rPr>
          <w:spacing w:val="1"/>
        </w:rPr>
        <w:t> </w:t>
      </w:r>
      <w:r>
        <w:rPr/>
        <w:t>account.</w:t>
      </w:r>
      <w:r>
        <w:rPr>
          <w:spacing w:val="1"/>
        </w:rPr>
        <w:t> </w:t>
      </w:r>
      <w:r>
        <w:rPr>
          <w:color w:val="005DA1"/>
          <w:u w:val="single" w:color="005DA1"/>
          <w:vertAlign w:val="superscript"/>
        </w:rPr>
        <w:t>829</w:t>
      </w:r>
      <w:r>
        <w:rPr>
          <w:color w:val="005DA1"/>
          <w:vertAlign w:val="baseline"/>
        </w:rPr>
        <w:t> </w:t>
      </w:r>
      <w:r>
        <w:rPr>
          <w:vertAlign w:val="baseline"/>
        </w:rPr>
        <w:t>More</w:t>
      </w:r>
      <w:r>
        <w:rPr>
          <w:spacing w:val="1"/>
          <w:vertAlign w:val="baseline"/>
        </w:rPr>
        <w:t> </w:t>
      </w:r>
      <w:r>
        <w:rPr>
          <w:vertAlign w:val="baseline"/>
        </w:rPr>
        <w:t>specifically,</w:t>
      </w:r>
      <w:r>
        <w:rPr>
          <w:spacing w:val="1"/>
          <w:vertAlign w:val="baseline"/>
        </w:rPr>
        <w:t> </w:t>
      </w:r>
      <w:r>
        <w:rPr>
          <w:spacing w:val="-2"/>
          <w:vertAlign w:val="baseline"/>
        </w:rPr>
        <w:t>Recital</w:t>
      </w:r>
    </w:p>
    <w:p>
      <w:pPr>
        <w:pStyle w:val="BodyText"/>
        <w:spacing w:line="235" w:lineRule="auto"/>
        <w:ind w:left="165" w:right="167"/>
        <w:jc w:val="both"/>
      </w:pPr>
      <w:r>
        <w:rPr/>
        <w:t>21 to the Regulation states that “account should be taken, inter alia, of whether the contract </w:t>
      </w:r>
      <w:r>
        <w:rPr/>
        <w:t>in question has a very close relationship with another contract or contracts”. Article 4(4) clearly involves </w:t>
      </w:r>
      <w:bookmarkStart w:name="_bookmark1525" w:id="1527"/>
      <w:bookmarkEnd w:id="1527"/>
      <w:r>
        <w:rPr/>
        <w:t>a</w:t>
      </w:r>
      <w:r>
        <w:rPr/>
        <w:t> margin of appreciation, depending on the circumstances of the case, as to the weight to be attributed to the various factors involved. </w:t>
      </w:r>
      <w:r>
        <w:rPr>
          <w:color w:val="005DA1"/>
          <w:u w:val="single" w:color="005DA1"/>
          <w:vertAlign w:val="superscript"/>
        </w:rPr>
        <w:t>830</w:t>
      </w:r>
    </w:p>
    <w:p>
      <w:pPr>
        <w:pStyle w:val="BodyText"/>
      </w:pPr>
    </w:p>
    <w:p>
      <w:pPr>
        <w:pStyle w:val="BodyText"/>
        <w:spacing w:before="36"/>
      </w:pPr>
    </w:p>
    <w:p>
      <w:pPr>
        <w:spacing w:before="0"/>
        <w:ind w:left="165" w:right="0" w:firstLine="0"/>
        <w:jc w:val="both"/>
        <w:rPr>
          <w:rFonts w:ascii="Arial"/>
          <w:b/>
          <w:sz w:val="18"/>
        </w:rPr>
      </w:pPr>
      <w:r>
        <w:rPr>
          <w:rFonts w:ascii="Arial"/>
          <w:b/>
          <w:sz w:val="18"/>
        </w:rPr>
        <w:t>Applicable </w:t>
      </w:r>
      <w:r>
        <w:rPr>
          <w:rFonts w:ascii="Arial"/>
          <w:b/>
          <w:spacing w:val="-5"/>
          <w:sz w:val="18"/>
        </w:rPr>
        <w:t>law</w:t>
      </w:r>
    </w:p>
    <w:p>
      <w:pPr>
        <w:pStyle w:val="BodyText"/>
        <w:spacing w:before="41"/>
        <w:rPr>
          <w:rFonts w:ascii="Arial"/>
          <w:b/>
          <w:sz w:val="18"/>
        </w:rPr>
      </w:pPr>
    </w:p>
    <w:p>
      <w:pPr>
        <w:pStyle w:val="Heading2"/>
      </w:pPr>
      <w:r>
        <w:rPr/>
        <w:t>30-</w:t>
      </w:r>
      <w:r>
        <w:rPr>
          <w:spacing w:val="-5"/>
        </w:rPr>
        <w:t>208</w:t>
      </w:r>
    </w:p>
    <w:p>
      <w:pPr>
        <w:pStyle w:val="BodyText"/>
        <w:spacing w:line="235" w:lineRule="auto" w:before="203"/>
        <w:ind w:left="165" w:right="167"/>
        <w:jc w:val="both"/>
      </w:pPr>
      <w:r>
        <w:rPr/>
        <w:t>Where art.4(4) of the Regulation is applicable, the applicable law is, obviously, the law of the </w:t>
      </w:r>
      <w:r>
        <w:rPr/>
        <w:t>country with which the contract is most closely connected.</w:t>
      </w:r>
    </w:p>
    <w:p>
      <w:pPr>
        <w:pStyle w:val="BodyText"/>
      </w:pPr>
    </w:p>
    <w:p>
      <w:pPr>
        <w:pStyle w:val="BodyText"/>
        <w:spacing w:before="39"/>
      </w:pPr>
      <w:r>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186185</wp:posOffset>
                </wp:positionV>
                <wp:extent cx="5724525"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0242pt;width:450.75pt;height:.1pt;mso-position-horizontal-relative:page;mso-position-vertical-relative:paragraph;z-index:-15701504;mso-wrap-distance-left:0;mso-wrap-distance-right:0" id="docshape28"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1526" w:id="1528"/>
      <w:bookmarkEnd w:id="1528"/>
      <w:r>
        <w:rPr/>
      </w:r>
      <w:hyperlink w:history="true" w:anchor="_bookmark1469">
        <w:r>
          <w:rPr>
            <w:color w:val="005DA1"/>
            <w:spacing w:val="-4"/>
            <w:position w:val="5"/>
            <w:sz w:val="14"/>
            <w:u w:val="single" w:color="005DA1"/>
          </w:rPr>
          <w:t>772</w:t>
        </w:r>
      </w:hyperlink>
      <w:r>
        <w:rPr>
          <w:spacing w:val="-4"/>
          <w:position w:val="5"/>
          <w:sz w:val="14"/>
        </w:rPr>
        <w:t>.</w:t>
      </w:r>
      <w:r>
        <w:rPr>
          <w:position w:val="5"/>
          <w:sz w:val="14"/>
        </w:rPr>
        <w:tab/>
      </w:r>
      <w:r>
        <w:rPr>
          <w:sz w:val="20"/>
        </w:rPr>
        <w:t>Above, para.30-</w:t>
      </w:r>
      <w:r>
        <w:rPr>
          <w:spacing w:val="-4"/>
          <w:sz w:val="20"/>
        </w:rPr>
        <w:t>070.</w:t>
      </w:r>
    </w:p>
    <w:p>
      <w:pPr>
        <w:pStyle w:val="BodyText"/>
        <w:spacing w:before="5"/>
      </w:pPr>
    </w:p>
    <w:p>
      <w:pPr>
        <w:pStyle w:val="BodyText"/>
        <w:tabs>
          <w:tab w:pos="705" w:val="left" w:leader="none"/>
        </w:tabs>
        <w:ind w:left="165"/>
      </w:pPr>
      <w:bookmarkStart w:name="_bookmark1527" w:id="1529"/>
      <w:bookmarkEnd w:id="1529"/>
      <w:r>
        <w:rPr/>
      </w:r>
      <w:hyperlink w:history="true" w:anchor="_bookmark1470">
        <w:r>
          <w:rPr>
            <w:color w:val="005DA1"/>
            <w:spacing w:val="-4"/>
            <w:position w:val="5"/>
            <w:sz w:val="14"/>
            <w:u w:val="single" w:color="005DA1"/>
          </w:rPr>
          <w:t>773</w:t>
        </w:r>
      </w:hyperlink>
      <w:r>
        <w:rPr>
          <w:spacing w:val="-4"/>
          <w:position w:val="5"/>
          <w:sz w:val="14"/>
        </w:rPr>
        <w:t>.</w:t>
      </w:r>
      <w:r>
        <w:rPr>
          <w:position w:val="5"/>
          <w:sz w:val="14"/>
        </w:rPr>
        <w:tab/>
      </w:r>
      <w:r>
        <w:rPr/>
        <w:t>Above,</w:t>
      </w:r>
      <w:r>
        <w:rPr>
          <w:spacing w:val="-2"/>
        </w:rPr>
        <w:t> </w:t>
      </w:r>
      <w:r>
        <w:rPr/>
        <w:t>paras 30-071 et </w:t>
      </w:r>
      <w:r>
        <w:rPr>
          <w:spacing w:val="-4"/>
        </w:rPr>
        <w:t>seq.</w:t>
      </w:r>
    </w:p>
    <w:p>
      <w:pPr>
        <w:pStyle w:val="BodyText"/>
        <w:spacing w:before="5"/>
      </w:pPr>
    </w:p>
    <w:p>
      <w:pPr>
        <w:pStyle w:val="BodyText"/>
        <w:tabs>
          <w:tab w:pos="705" w:val="left" w:leader="none"/>
        </w:tabs>
        <w:ind w:left="165"/>
      </w:pPr>
      <w:bookmarkStart w:name="_bookmark1528" w:id="1530"/>
      <w:bookmarkEnd w:id="1530"/>
      <w:r>
        <w:rPr/>
      </w:r>
      <w:hyperlink w:history="true" w:anchor="_bookmark1471">
        <w:r>
          <w:rPr>
            <w:color w:val="005DA1"/>
            <w:spacing w:val="-4"/>
            <w:position w:val="5"/>
            <w:sz w:val="14"/>
            <w:u w:val="single" w:color="005DA1"/>
          </w:rPr>
          <w:t>774</w:t>
        </w:r>
      </w:hyperlink>
      <w:r>
        <w:rPr>
          <w:spacing w:val="-4"/>
          <w:position w:val="5"/>
          <w:sz w:val="14"/>
        </w:rPr>
        <w:t>.</w:t>
      </w:r>
      <w:r>
        <w:rPr>
          <w:position w:val="5"/>
          <w:sz w:val="14"/>
        </w:rPr>
        <w:tab/>
      </w:r>
      <w:r>
        <w:rPr/>
        <w:t>Above,</w:t>
      </w:r>
      <w:r>
        <w:rPr>
          <w:spacing w:val="-2"/>
        </w:rPr>
        <w:t> </w:t>
      </w:r>
      <w:r>
        <w:rPr/>
        <w:t>paras 30-081 et </w:t>
      </w:r>
      <w:r>
        <w:rPr>
          <w:spacing w:val="-4"/>
        </w:rPr>
        <w:t>seq.</w:t>
      </w:r>
    </w:p>
    <w:p>
      <w:pPr>
        <w:pStyle w:val="BodyText"/>
        <w:spacing w:before="5"/>
      </w:pPr>
    </w:p>
    <w:p>
      <w:pPr>
        <w:pStyle w:val="BodyText"/>
        <w:tabs>
          <w:tab w:pos="705" w:val="left" w:leader="none"/>
        </w:tabs>
        <w:ind w:left="165"/>
      </w:pPr>
      <w:bookmarkStart w:name="_bookmark1529" w:id="1531"/>
      <w:bookmarkEnd w:id="1531"/>
      <w:r>
        <w:rPr/>
      </w:r>
      <w:hyperlink w:history="true" w:anchor="_bookmark1472">
        <w:r>
          <w:rPr>
            <w:color w:val="005DA1"/>
            <w:spacing w:val="-4"/>
            <w:position w:val="5"/>
            <w:sz w:val="14"/>
            <w:u w:val="single" w:color="005DA1"/>
          </w:rPr>
          <w:t>775</w:t>
        </w:r>
      </w:hyperlink>
      <w:r>
        <w:rPr>
          <w:spacing w:val="-4"/>
          <w:position w:val="5"/>
          <w:sz w:val="14"/>
        </w:rPr>
        <w:t>.</w:t>
      </w:r>
      <w:r>
        <w:rPr>
          <w:position w:val="5"/>
          <w:sz w:val="14"/>
        </w:rPr>
        <w:tab/>
      </w:r>
      <w:r>
        <w:rPr/>
        <w:t>Above,</w:t>
      </w:r>
      <w:r>
        <w:rPr>
          <w:spacing w:val="-2"/>
        </w:rPr>
        <w:t> </w:t>
      </w:r>
      <w:r>
        <w:rPr/>
        <w:t>paras 30-084 et </w:t>
      </w:r>
      <w:r>
        <w:rPr>
          <w:spacing w:val="-4"/>
        </w:rPr>
        <w:t>seq.</w:t>
      </w:r>
    </w:p>
    <w:p>
      <w:pPr>
        <w:pStyle w:val="BodyText"/>
        <w:spacing w:before="5"/>
      </w:pPr>
    </w:p>
    <w:p>
      <w:pPr>
        <w:pStyle w:val="BodyText"/>
        <w:tabs>
          <w:tab w:pos="705" w:val="left" w:leader="none"/>
        </w:tabs>
        <w:ind w:left="165"/>
      </w:pPr>
      <w:bookmarkStart w:name="_bookmark1530" w:id="1532"/>
      <w:bookmarkEnd w:id="1532"/>
      <w:r>
        <w:rPr/>
      </w:r>
      <w:hyperlink w:history="true" w:anchor="_bookmark1473">
        <w:r>
          <w:rPr>
            <w:color w:val="005DA1"/>
            <w:spacing w:val="-4"/>
            <w:position w:val="5"/>
            <w:sz w:val="14"/>
            <w:u w:val="single" w:color="005DA1"/>
          </w:rPr>
          <w:t>776</w:t>
        </w:r>
      </w:hyperlink>
      <w:r>
        <w:rPr>
          <w:spacing w:val="-4"/>
          <w:position w:val="5"/>
          <w:sz w:val="14"/>
        </w:rPr>
        <w:t>.</w:t>
      </w:r>
      <w:r>
        <w:rPr>
          <w:position w:val="5"/>
          <w:sz w:val="14"/>
        </w:rPr>
        <w:tab/>
      </w:r>
      <w:r>
        <w:rPr/>
        <w:t>Above,</w:t>
      </w:r>
      <w:r>
        <w:rPr>
          <w:spacing w:val="-2"/>
        </w:rPr>
        <w:t> </w:t>
      </w:r>
      <w:r>
        <w:rPr/>
        <w:t>paras 30-087 et </w:t>
      </w:r>
      <w:r>
        <w:rPr>
          <w:spacing w:val="-4"/>
        </w:rPr>
        <w:t>seq.</w:t>
      </w:r>
    </w:p>
    <w:p>
      <w:pPr>
        <w:pStyle w:val="BodyText"/>
        <w:spacing w:before="5"/>
      </w:pPr>
    </w:p>
    <w:p>
      <w:pPr>
        <w:pStyle w:val="BodyText"/>
        <w:tabs>
          <w:tab w:pos="705" w:val="left" w:leader="none"/>
        </w:tabs>
        <w:ind w:left="165"/>
      </w:pPr>
      <w:bookmarkStart w:name="_bookmark1531" w:id="1533"/>
      <w:bookmarkEnd w:id="1533"/>
      <w:r>
        <w:rPr/>
      </w:r>
      <w:hyperlink w:history="true" w:anchor="_bookmark1474">
        <w:r>
          <w:rPr>
            <w:color w:val="005DA1"/>
            <w:spacing w:val="-4"/>
            <w:position w:val="5"/>
            <w:sz w:val="14"/>
            <w:u w:val="single" w:color="005DA1"/>
          </w:rPr>
          <w:t>777</w:t>
        </w:r>
      </w:hyperlink>
      <w:r>
        <w:rPr>
          <w:spacing w:val="-4"/>
          <w:position w:val="5"/>
          <w:sz w:val="14"/>
        </w:rPr>
        <w:t>.</w:t>
      </w:r>
      <w:r>
        <w:rPr>
          <w:position w:val="5"/>
          <w:sz w:val="14"/>
        </w:rPr>
        <w:tab/>
      </w:r>
      <w:r>
        <w:rPr/>
        <w:t>See</w:t>
      </w:r>
      <w:r>
        <w:rPr>
          <w:spacing w:val="-2"/>
        </w:rPr>
        <w:t> </w:t>
      </w:r>
      <w:r>
        <w:rPr/>
        <w:t>above, para.30-</w:t>
      </w:r>
      <w:r>
        <w:rPr>
          <w:spacing w:val="-4"/>
        </w:rPr>
        <w:t>089.</w:t>
      </w:r>
    </w:p>
    <w:p>
      <w:pPr>
        <w:pStyle w:val="BodyText"/>
        <w:spacing w:before="9"/>
      </w:pPr>
    </w:p>
    <w:p>
      <w:pPr>
        <w:pStyle w:val="BodyText"/>
        <w:spacing w:line="235" w:lineRule="auto"/>
        <w:ind w:left="705" w:right="167" w:hanging="541"/>
        <w:jc w:val="both"/>
      </w:pPr>
      <w:bookmarkStart w:name="_bookmark1532" w:id="1534"/>
      <w:bookmarkEnd w:id="1534"/>
      <w:r>
        <w:rPr/>
      </w:r>
      <w:hyperlink w:history="true" w:anchor="_bookmark1475">
        <w:r>
          <w:rPr>
            <w:color w:val="005DA1"/>
            <w:position w:val="5"/>
            <w:sz w:val="14"/>
            <w:u w:val="single" w:color="005DA1"/>
          </w:rPr>
          <w:t>778</w:t>
        </w:r>
      </w:hyperlink>
      <w:r>
        <w:rPr>
          <w:position w:val="5"/>
          <w:sz w:val="14"/>
        </w:rPr>
        <w:t>.</w:t>
      </w:r>
      <w:r>
        <w:rPr>
          <w:spacing w:val="80"/>
          <w:w w:val="150"/>
          <w:position w:val="5"/>
          <w:sz w:val="14"/>
        </w:rPr>
        <w:t> </w:t>
      </w:r>
      <w:r>
        <w:rPr/>
        <w:t>Ministry of Justice, Consultation Paper, Rome I—Should the UK opt in? (April 2008) </w:t>
      </w:r>
      <w:r>
        <w:rPr/>
        <w:t>(hereafter “Consultation Paper”) para.50. cf. Dicey, Morris and Collins, 15th edn (2012), paras 32-072 et </w:t>
      </w:r>
      <w:r>
        <w:rPr>
          <w:spacing w:val="-4"/>
        </w:rPr>
        <w:t>seq.</w:t>
      </w:r>
    </w:p>
    <w:p>
      <w:pPr>
        <w:pStyle w:val="BodyText"/>
        <w:spacing w:before="9"/>
      </w:pPr>
    </w:p>
    <w:p>
      <w:pPr>
        <w:spacing w:line="235" w:lineRule="auto" w:before="0"/>
        <w:ind w:left="705" w:right="167" w:hanging="541"/>
        <w:jc w:val="both"/>
        <w:rPr>
          <w:sz w:val="20"/>
        </w:rPr>
      </w:pPr>
      <w:bookmarkStart w:name="_bookmark1533" w:id="1535"/>
      <w:bookmarkEnd w:id="1535"/>
      <w:r>
        <w:rPr/>
      </w:r>
      <w:hyperlink w:history="true" w:anchor="_bookmark1476">
        <w:r>
          <w:rPr>
            <w:color w:val="005DA1"/>
            <w:position w:val="5"/>
            <w:sz w:val="14"/>
            <w:u w:val="single" w:color="005DA1"/>
          </w:rPr>
          <w:t>779</w:t>
        </w:r>
      </w:hyperlink>
      <w:r>
        <w:rPr>
          <w:position w:val="5"/>
          <w:sz w:val="14"/>
        </w:rPr>
        <w:t>.</w:t>
      </w:r>
      <w:r>
        <w:rPr>
          <w:spacing w:val="80"/>
          <w:w w:val="150"/>
          <w:position w:val="5"/>
          <w:sz w:val="14"/>
        </w:rPr>
        <w:t> </w:t>
      </w:r>
      <w:r>
        <w:rPr>
          <w:sz w:val="20"/>
        </w:rPr>
        <w:t>See, e.g. </w:t>
      </w:r>
      <w:r>
        <w:rPr>
          <w:rFonts w:ascii="Arial"/>
          <w:i/>
          <w:sz w:val="20"/>
        </w:rPr>
        <w:t>Samcrete Egypt Engineers and Contractors SAE v Land Rover Exports Ltd [2001] EWCA Civ 2019, [2002] C.L.C. 533</w:t>
      </w:r>
      <w:r>
        <w:rPr>
          <w:sz w:val="20"/>
        </w:rPr>
        <w:t>; above, paras 30-089 et seq. See generally Plender </w:t>
      </w:r>
      <w:r>
        <w:rPr>
          <w:sz w:val="20"/>
        </w:rPr>
        <w:t>and Wilderspin, 4th edn (2015), pp.175 et seq.; Cheshire, North and Fawcett, pp.707 et seq.; Fentiman, </w:t>
      </w:r>
      <w:r>
        <w:rPr>
          <w:rFonts w:ascii="Arial"/>
          <w:i/>
          <w:sz w:val="20"/>
        </w:rPr>
        <w:t>International Commercial Litigation </w:t>
      </w:r>
      <w:r>
        <w:rPr>
          <w:sz w:val="20"/>
        </w:rPr>
        <w:t>2nd edn (2015), pp.207 et seq.; Magnus, </w:t>
      </w:r>
      <w:r>
        <w:rPr>
          <w:rFonts w:ascii="Arial"/>
          <w:i/>
          <w:sz w:val="20"/>
        </w:rPr>
        <w:t>The Rome I Regulation: the Law Applicable to Contractual Obligations in Europe </w:t>
      </w:r>
      <w:r>
        <w:rPr>
          <w:sz w:val="20"/>
        </w:rPr>
        <w:t>(2009), p.51; Ferrari, 2009 Rev. Crit. d.i.p. 459.</w:t>
      </w:r>
    </w:p>
    <w:p>
      <w:pPr>
        <w:pStyle w:val="BodyText"/>
        <w:spacing w:before="8"/>
      </w:pPr>
    </w:p>
    <w:p>
      <w:pPr>
        <w:spacing w:line="235" w:lineRule="auto" w:before="0"/>
        <w:ind w:left="705" w:right="168" w:hanging="541"/>
        <w:jc w:val="both"/>
        <w:rPr>
          <w:sz w:val="20"/>
        </w:rPr>
      </w:pPr>
      <w:bookmarkStart w:name="_bookmark1534" w:id="1536"/>
      <w:bookmarkEnd w:id="1536"/>
      <w:r>
        <w:rPr/>
      </w:r>
      <w:hyperlink w:history="true" w:anchor="_bookmark1477">
        <w:r>
          <w:rPr>
            <w:color w:val="005DA1"/>
            <w:position w:val="5"/>
            <w:sz w:val="14"/>
            <w:u w:val="single" w:color="005DA1"/>
          </w:rPr>
          <w:t>780</w:t>
        </w:r>
      </w:hyperlink>
      <w:r>
        <w:rPr>
          <w:position w:val="5"/>
          <w:sz w:val="14"/>
        </w:rPr>
        <w:t>.</w:t>
      </w:r>
      <w:r>
        <w:rPr>
          <w:spacing w:val="80"/>
          <w:position w:val="5"/>
          <w:sz w:val="14"/>
        </w:rPr>
        <w:t> </w:t>
      </w:r>
      <w:r>
        <w:rPr>
          <w:sz w:val="20"/>
        </w:rPr>
        <w:t>See, e.g. </w:t>
      </w:r>
      <w:r>
        <w:rPr>
          <w:rFonts w:ascii="Arial" w:hAnsi="Arial"/>
          <w:i/>
          <w:sz w:val="20"/>
        </w:rPr>
        <w:t>Caledonia Subsea Ltd v Microperi Srl (2002) S.L.T. 1022</w:t>
      </w:r>
      <w:r>
        <w:rPr>
          <w:sz w:val="20"/>
        </w:rPr>
        <w:t>; </w:t>
      </w:r>
      <w:r>
        <w:rPr>
          <w:rFonts w:ascii="Arial" w:hAnsi="Arial"/>
          <w:i/>
          <w:sz w:val="20"/>
        </w:rPr>
        <w:t>Societe Nouvelle des Papeteries de l’Aa v BV Machinefabriek BOA (1992) N.J. 750</w:t>
      </w:r>
      <w:r>
        <w:rPr>
          <w:rFonts w:ascii="Arial" w:hAnsi="Arial"/>
          <w:i/>
          <w:spacing w:val="-1"/>
          <w:sz w:val="20"/>
        </w:rPr>
        <w:t> </w:t>
      </w:r>
      <w:r>
        <w:rPr>
          <w:sz w:val="20"/>
        </w:rPr>
        <w:t>(Dutch Hoge Raad); above, </w:t>
      </w:r>
      <w:r>
        <w:rPr>
          <w:sz w:val="20"/>
        </w:rPr>
        <w:t>para. 30-089 et seq.</w:t>
      </w:r>
    </w:p>
    <w:p>
      <w:pPr>
        <w:pStyle w:val="BodyText"/>
        <w:spacing w:before="8"/>
      </w:pPr>
    </w:p>
    <w:p>
      <w:pPr>
        <w:tabs>
          <w:tab w:pos="705" w:val="left" w:leader="none"/>
        </w:tabs>
        <w:spacing w:line="235" w:lineRule="auto" w:before="1"/>
        <w:ind w:left="705" w:right="168" w:hanging="541"/>
        <w:jc w:val="left"/>
        <w:rPr>
          <w:sz w:val="20"/>
        </w:rPr>
      </w:pPr>
      <w:bookmarkStart w:name="_bookmark1535" w:id="1537"/>
      <w:bookmarkEnd w:id="1537"/>
      <w:r>
        <w:rPr/>
      </w:r>
      <w:hyperlink w:history="true" w:anchor="_bookmark1478">
        <w:r>
          <w:rPr>
            <w:color w:val="005DA1"/>
            <w:spacing w:val="-4"/>
            <w:position w:val="5"/>
            <w:sz w:val="14"/>
            <w:u w:val="single" w:color="005DA1"/>
          </w:rPr>
          <w:t>781</w:t>
        </w:r>
      </w:hyperlink>
      <w:r>
        <w:rPr>
          <w:spacing w:val="-4"/>
          <w:position w:val="5"/>
          <w:sz w:val="14"/>
        </w:rPr>
        <w:t>.</w:t>
      </w:r>
      <w:r>
        <w:rPr>
          <w:position w:val="5"/>
          <w:sz w:val="14"/>
        </w:rPr>
        <w:tab/>
      </w:r>
      <w:r>
        <w:rPr>
          <w:sz w:val="20"/>
        </w:rPr>
        <w:t>Consultation Paper, para.50. See </w:t>
      </w:r>
      <w:r>
        <w:rPr>
          <w:rFonts w:ascii="Arial"/>
          <w:i/>
          <w:sz w:val="20"/>
        </w:rPr>
        <w:t>Intercontainer Interfrigo (ICF) SC v Balkenende </w:t>
      </w:r>
      <w:r>
        <w:rPr>
          <w:rFonts w:ascii="Arial"/>
          <w:i/>
          <w:sz w:val="20"/>
        </w:rPr>
        <w:t>Oosthuisen BV (C-133/08) [2010] Q.B. 411</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6288">
            <wp:simplePos x="0" y="0"/>
            <wp:positionH relativeFrom="page">
              <wp:posOffset>1257846</wp:posOffset>
            </wp:positionH>
            <wp:positionV relativeFrom="paragraph">
              <wp:posOffset>160269</wp:posOffset>
            </wp:positionV>
            <wp:extent cx="107988" cy="107988"/>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36" w:id="1538"/>
      <w:bookmarkEnd w:id="1538"/>
      <w:r>
        <w:rPr/>
      </w:r>
      <w:hyperlink w:history="true" w:anchor="_bookmark1479">
        <w:r>
          <w:rPr>
            <w:color w:val="005DA1"/>
            <w:spacing w:val="-4"/>
            <w:sz w:val="14"/>
            <w:u w:val="single" w:color="005DA1"/>
          </w:rPr>
          <w:t>782</w:t>
        </w:r>
      </w:hyperlink>
      <w:r>
        <w:rPr>
          <w:spacing w:val="-4"/>
          <w:sz w:val="14"/>
        </w:rPr>
        <w:t>.</w:t>
      </w:r>
    </w:p>
    <w:p>
      <w:pPr>
        <w:pStyle w:val="BodyText"/>
        <w:spacing w:line="235" w:lineRule="auto" w:before="212"/>
        <w:ind w:left="165" w:right="191" w:firstLine="170"/>
      </w:pPr>
      <w:r>
        <w:rPr/>
        <w:br w:type="column"/>
      </w:r>
      <w:r>
        <w:rPr/>
        <w:t>Consultation Paper, para.51. See generally on choice of law governing commercial </w:t>
      </w:r>
      <w:r>
        <w:rPr/>
        <w:t>disputes</w:t>
      </w:r>
      <w:r>
        <w:rPr>
          <w:spacing w:val="40"/>
        </w:rPr>
        <w:t> </w:t>
      </w:r>
      <w:r>
        <w:rPr/>
        <w:t>in the absence of express choice Arzandeh [2015] L.M.C.L.Q. 525</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1537" w:id="1539"/>
      <w:bookmarkEnd w:id="1539"/>
      <w:r>
        <w:rPr/>
      </w:r>
      <w:hyperlink w:history="true" w:anchor="_bookmark1480">
        <w:r>
          <w:rPr>
            <w:color w:val="005DA1"/>
            <w:spacing w:val="-4"/>
            <w:position w:val="5"/>
            <w:sz w:val="14"/>
            <w:u w:val="single" w:color="005DA1"/>
          </w:rPr>
          <w:t>783</w:t>
        </w:r>
      </w:hyperlink>
      <w:r>
        <w:rPr>
          <w:spacing w:val="-4"/>
          <w:position w:val="5"/>
          <w:sz w:val="14"/>
        </w:rPr>
        <w:t>.</w:t>
      </w:r>
      <w:r>
        <w:rPr>
          <w:position w:val="5"/>
          <w:sz w:val="14"/>
        </w:rPr>
        <w:tab/>
      </w:r>
      <w:r>
        <w:rPr/>
        <w:t>Without prejudice to the particular contracts dealt with in Rome I arts 5 to </w:t>
      </w:r>
      <w:r>
        <w:rPr>
          <w:spacing w:val="-5"/>
        </w:rPr>
        <w:t>8.</w:t>
      </w:r>
    </w:p>
    <w:p>
      <w:pPr>
        <w:pStyle w:val="BodyText"/>
        <w:spacing w:before="9"/>
      </w:pPr>
    </w:p>
    <w:p>
      <w:pPr>
        <w:pStyle w:val="BodyText"/>
        <w:tabs>
          <w:tab w:pos="705" w:val="left" w:leader="none"/>
        </w:tabs>
        <w:spacing w:line="235" w:lineRule="auto"/>
        <w:ind w:left="705" w:right="168" w:hanging="541"/>
      </w:pPr>
      <w:bookmarkStart w:name="_bookmark1538" w:id="1540"/>
      <w:bookmarkEnd w:id="1540"/>
      <w:r>
        <w:rPr/>
      </w:r>
      <w:hyperlink w:history="true" w:anchor="_bookmark1481">
        <w:r>
          <w:rPr>
            <w:color w:val="005DA1"/>
            <w:spacing w:val="-4"/>
            <w:position w:val="5"/>
            <w:sz w:val="14"/>
            <w:u w:val="single" w:color="005DA1"/>
          </w:rPr>
          <w:t>784</w:t>
        </w:r>
      </w:hyperlink>
      <w:r>
        <w:rPr>
          <w:spacing w:val="-4"/>
          <w:position w:val="5"/>
          <w:sz w:val="14"/>
        </w:rPr>
        <w:t>.</w:t>
      </w:r>
      <w:r>
        <w:rPr>
          <w:position w:val="5"/>
          <w:sz w:val="14"/>
        </w:rPr>
        <w:tab/>
      </w:r>
      <w:r>
        <w:rPr/>
        <w:t>cf. Recital 17. It should be noted that these specific rules are not described as “presumptions”. cf. Rome Convention art.4(2), above, para.30-071.</w:t>
      </w:r>
    </w:p>
    <w:p>
      <w:pPr>
        <w:pStyle w:val="BodyText"/>
        <w:spacing w:after="0" w:line="235" w:lineRule="auto"/>
        <w:sectPr>
          <w:type w:val="continuous"/>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1482">
        <w:r>
          <w:rPr>
            <w:color w:val="005DA1"/>
            <w:spacing w:val="-4"/>
            <w:sz w:val="14"/>
            <w:u w:val="single" w:color="005DA1"/>
          </w:rPr>
          <w:t>785</w:t>
        </w:r>
      </w:hyperlink>
      <w:r>
        <w:rPr>
          <w:spacing w:val="-4"/>
          <w:sz w:val="14"/>
        </w:rPr>
        <w:t>.</w:t>
      </w:r>
    </w:p>
    <w:p>
      <w:pPr>
        <w:spacing w:line="240" w:lineRule="auto" w:before="60"/>
        <w:rPr>
          <w:sz w:val="20"/>
        </w:rPr>
      </w:pPr>
      <w:r>
        <w:rPr/>
        <w:br w:type="column"/>
      </w:r>
      <w:r>
        <w:rPr>
          <w:sz w:val="20"/>
        </w:rPr>
      </w:r>
    </w:p>
    <w:p>
      <w:pPr>
        <w:spacing w:line="235" w:lineRule="auto" w:before="0"/>
        <w:ind w:left="165" w:right="167" w:firstLine="170"/>
        <w:jc w:val="both"/>
        <w:rPr>
          <w:sz w:val="20"/>
        </w:rPr>
      </w:pPr>
      <w:r>
        <w:rPr>
          <w:sz w:val="20"/>
        </w:rPr>
        <w:drawing>
          <wp:anchor distT="0" distB="0" distL="0" distR="0" allowOverlap="1" layoutInCell="1" locked="0" behindDoc="0" simplePos="0" relativeHeight="15756800">
            <wp:simplePos x="0" y="0"/>
            <wp:positionH relativeFrom="page">
              <wp:posOffset>1257846</wp:posOffset>
            </wp:positionH>
            <wp:positionV relativeFrom="paragraph">
              <wp:posOffset>25903</wp:posOffset>
            </wp:positionV>
            <wp:extent cx="107988" cy="107988"/>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6" cstate="print"/>
                    <a:stretch>
                      <a:fillRect/>
                    </a:stretch>
                  </pic:blipFill>
                  <pic:spPr>
                    <a:xfrm>
                      <a:off x="0" y="0"/>
                      <a:ext cx="107988" cy="107988"/>
                    </a:xfrm>
                    <a:prstGeom prst="rect">
                      <a:avLst/>
                    </a:prstGeom>
                  </pic:spPr>
                </pic:pic>
              </a:graphicData>
            </a:graphic>
          </wp:anchor>
        </w:drawing>
      </w:r>
      <w:r>
        <w:rPr>
          <w:sz w:val="20"/>
        </w:rPr>
        <w:t>According to Recital 17, the concept of “sale of goods” should be interpreted in the same </w:t>
      </w:r>
      <w:r>
        <w:rPr>
          <w:sz w:val="20"/>
        </w:rPr>
        <w:t>way as when applying art.5 of Regulation 44/2001 (the Judgments Regulation, now art.7 of Regulation 1215/2012 the Judgments Regulation recast) in so far as sale of goods is covered</w:t>
      </w:r>
      <w:r>
        <w:rPr>
          <w:spacing w:val="40"/>
          <w:sz w:val="20"/>
        </w:rPr>
        <w:t> </w:t>
      </w:r>
      <w:r>
        <w:rPr>
          <w:sz w:val="20"/>
        </w:rPr>
        <w:t>by that Regulation. As to sale of goods by auction, see below, para.30-195. The autonomous Community meaning of “sale of goods” is likely to be broad enough to encompass the sui generis supply contracts of the sort considered in </w:t>
      </w:r>
      <w:r>
        <w:rPr>
          <w:rFonts w:ascii="Arial" w:hAnsi="Arial"/>
          <w:i/>
          <w:sz w:val="20"/>
        </w:rPr>
        <w:t>PST Energy Shipping LLC v OW Bunker Malta Ltd (The Res Cogitans) [2016] UKSC 23</w:t>
      </w:r>
      <w:r>
        <w:rPr>
          <w:sz w:val="20"/>
        </w:rPr>
        <w:t>, given that such contracts are “in commercial terms” regarded as contracts for the sale of goods (</w:t>
      </w:r>
      <w:r>
        <w:rPr>
          <w:rFonts w:ascii="Arial" w:hAnsi="Arial"/>
          <w:i/>
          <w:sz w:val="20"/>
        </w:rPr>
        <w:t>[2015] EWCA Civ 1058 at [33], [2016] 2 W.L.R. 1072</w:t>
      </w:r>
      <w:r>
        <w:rPr>
          <w:sz w:val="20"/>
        </w:rPr>
        <w:t>). In </w:t>
      </w:r>
      <w:r>
        <w:rPr>
          <w:rFonts w:ascii="Arial" w:hAnsi="Arial"/>
          <w:i/>
          <w:sz w:val="20"/>
        </w:rPr>
        <w:t>Molton Street Capital LLP v Shooters Hill Capital Partners LLP [2015] EWHC 3419 (Comm) </w:t>
      </w:r>
      <w:r>
        <w:rPr>
          <w:sz w:val="20"/>
        </w:rPr>
        <w:t>it was disputed whether a sale of junk bonds was a sale of “goods” within the meaning of art.4(1)(a) but it was unnecessary to decide the point as the seller of the bonds was also the characteristic performer under the default in art.4(2).</w:t>
      </w:r>
    </w:p>
    <w:p>
      <w:pPr>
        <w:spacing w:after="0" w:line="235" w:lineRule="auto"/>
        <w:jc w:val="both"/>
        <w:rPr>
          <w:sz w:val="20"/>
        </w:rPr>
        <w:sectPr>
          <w:pgSz w:w="11900" w:h="16840"/>
          <w:pgMar w:header="971" w:footer="0" w:top="1300" w:bottom="280" w:left="1275" w:right="1275"/>
          <w:cols w:num="2" w:equalWidth="0">
            <w:col w:w="478" w:space="63"/>
            <w:col w:w="8809"/>
          </w:cols>
        </w:sectPr>
      </w:pPr>
    </w:p>
    <w:p>
      <w:pPr>
        <w:pStyle w:val="BodyText"/>
        <w:spacing w:before="6"/>
      </w:pPr>
    </w:p>
    <w:p>
      <w:pPr>
        <w:pStyle w:val="BodyText"/>
        <w:tabs>
          <w:tab w:pos="705" w:val="left" w:leader="none"/>
        </w:tabs>
        <w:spacing w:line="235" w:lineRule="auto"/>
        <w:ind w:left="705" w:right="168" w:hanging="541"/>
      </w:pPr>
      <w:bookmarkStart w:name="_bookmark1539" w:id="1541"/>
      <w:bookmarkEnd w:id="1541"/>
      <w:r>
        <w:rPr/>
      </w:r>
      <w:hyperlink w:history="true" w:anchor="_bookmark1483">
        <w:r>
          <w:rPr>
            <w:color w:val="005DA1"/>
            <w:spacing w:val="-4"/>
            <w:position w:val="5"/>
            <w:sz w:val="14"/>
            <w:u w:val="single" w:color="005DA1"/>
          </w:rPr>
          <w:t>786</w:t>
        </w:r>
      </w:hyperlink>
      <w:r>
        <w:rPr>
          <w:spacing w:val="-4"/>
          <w:position w:val="5"/>
          <w:sz w:val="14"/>
        </w:rPr>
        <w:t>.</w:t>
      </w:r>
      <w:r>
        <w:rPr>
          <w:position w:val="5"/>
          <w:sz w:val="14"/>
        </w:rPr>
        <w:tab/>
      </w:r>
      <w:r>
        <w:rPr/>
        <w:t>i.e. the applicable law cannot be, say a religious law in this or in any other provision of Rome </w:t>
      </w:r>
      <w:r>
        <w:rPr/>
        <w:t>I </w:t>
      </w:r>
      <w:r>
        <w:rPr>
          <w:spacing w:val="-2"/>
        </w:rPr>
        <w:t>art.4.</w:t>
      </w:r>
    </w:p>
    <w:p>
      <w:pPr>
        <w:pStyle w:val="BodyText"/>
        <w:spacing w:before="5"/>
      </w:pPr>
    </w:p>
    <w:p>
      <w:pPr>
        <w:pStyle w:val="BodyText"/>
        <w:tabs>
          <w:tab w:pos="705" w:val="left" w:leader="none"/>
        </w:tabs>
        <w:ind w:left="165"/>
      </w:pPr>
      <w:bookmarkStart w:name="_bookmark1540" w:id="1542"/>
      <w:bookmarkEnd w:id="1542"/>
      <w:r>
        <w:rPr/>
      </w:r>
      <w:hyperlink w:history="true" w:anchor="_bookmark1483">
        <w:r>
          <w:rPr>
            <w:color w:val="005DA1"/>
            <w:spacing w:val="-4"/>
            <w:position w:val="5"/>
            <w:sz w:val="14"/>
            <w:u w:val="single" w:color="005DA1"/>
          </w:rPr>
          <w:t>787</w:t>
        </w:r>
      </w:hyperlink>
      <w:r>
        <w:rPr>
          <w:spacing w:val="-4"/>
          <w:position w:val="5"/>
          <w:sz w:val="14"/>
        </w:rPr>
        <w:t>.</w:t>
      </w:r>
      <w:r>
        <w:rPr>
          <w:position w:val="5"/>
          <w:sz w:val="14"/>
        </w:rPr>
        <w:tab/>
      </w:r>
      <w:r>
        <w:rPr/>
        <w:t>As to the meaning of which, see above, paras 30-163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541" w:id="1543"/>
      <w:bookmarkEnd w:id="1543"/>
      <w:r>
        <w:rPr/>
      </w:r>
      <w:hyperlink w:history="true" w:anchor="_bookmark1484">
        <w:r>
          <w:rPr>
            <w:color w:val="005DA1"/>
            <w:spacing w:val="-4"/>
            <w:position w:val="5"/>
            <w:sz w:val="14"/>
            <w:u w:val="single" w:color="005DA1"/>
          </w:rPr>
          <w:t>788</w:t>
        </w:r>
      </w:hyperlink>
      <w:r>
        <w:rPr>
          <w:spacing w:val="-4"/>
          <w:position w:val="5"/>
          <w:sz w:val="14"/>
        </w:rPr>
        <w:t>.</w:t>
      </w:r>
      <w:r>
        <w:rPr>
          <w:position w:val="5"/>
          <w:sz w:val="14"/>
        </w:rPr>
        <w:tab/>
      </w:r>
      <w:r>
        <w:rPr>
          <w:sz w:val="20"/>
        </w:rPr>
        <w:t>Above, para.30-</w:t>
      </w:r>
      <w:r>
        <w:rPr>
          <w:spacing w:val="-4"/>
          <w:sz w:val="20"/>
        </w:rPr>
        <w:t>076.</w:t>
      </w:r>
    </w:p>
    <w:p>
      <w:pPr>
        <w:pStyle w:val="BodyText"/>
        <w:spacing w:before="9"/>
      </w:pPr>
    </w:p>
    <w:p>
      <w:pPr>
        <w:pStyle w:val="BodyText"/>
        <w:spacing w:line="235" w:lineRule="auto"/>
        <w:ind w:left="705" w:right="167" w:hanging="541"/>
        <w:jc w:val="both"/>
      </w:pPr>
      <w:bookmarkStart w:name="_bookmark1542" w:id="1544"/>
      <w:bookmarkEnd w:id="1544"/>
      <w:r>
        <w:rPr/>
      </w:r>
      <w:hyperlink w:history="true" w:anchor="_bookmark1485">
        <w:r>
          <w:rPr>
            <w:color w:val="005DA1"/>
            <w:position w:val="5"/>
            <w:sz w:val="14"/>
            <w:u w:val="single" w:color="005DA1"/>
          </w:rPr>
          <w:t>789</w:t>
        </w:r>
      </w:hyperlink>
      <w:r>
        <w:rPr>
          <w:position w:val="5"/>
          <w:sz w:val="14"/>
        </w:rPr>
        <w:t>.</w:t>
      </w:r>
      <w:r>
        <w:rPr>
          <w:spacing w:val="80"/>
          <w:position w:val="5"/>
          <w:sz w:val="14"/>
        </w:rPr>
        <w:t>  </w:t>
      </w:r>
      <w:r>
        <w:rPr/>
        <w:t>According to Rome I Recital 17, the concept of “provision of services” should be interpreted in the same way as when applying art.5 of the Judgments Regulation (now art.7 Judgments Regulation recast) in so far as provision of services is governed by that Regulation. Two</w:t>
      </w:r>
      <w:r>
        <w:rPr>
          <w:spacing w:val="40"/>
        </w:rPr>
        <w:t> </w:t>
      </w:r>
      <w:r>
        <w:rPr/>
        <w:t>specific contracts for the provision of services, franchise contracts and distribution contracts </w:t>
      </w:r>
      <w:r>
        <w:rPr/>
        <w:t>are dealt with separately: see below, paras 30-193, 30-194.</w:t>
      </w:r>
    </w:p>
    <w:p>
      <w:pPr>
        <w:pStyle w:val="BodyText"/>
        <w:spacing w:before="4"/>
      </w:pPr>
    </w:p>
    <w:p>
      <w:pPr>
        <w:pStyle w:val="BodyText"/>
        <w:tabs>
          <w:tab w:pos="705" w:val="left" w:leader="none"/>
        </w:tabs>
        <w:ind w:left="165"/>
      </w:pPr>
      <w:bookmarkStart w:name="_bookmark1543" w:id="1545"/>
      <w:bookmarkEnd w:id="1545"/>
      <w:r>
        <w:rPr/>
      </w:r>
      <w:hyperlink w:history="true" w:anchor="_bookmark1486">
        <w:r>
          <w:rPr>
            <w:color w:val="005DA1"/>
            <w:spacing w:val="-4"/>
            <w:position w:val="5"/>
            <w:sz w:val="14"/>
            <w:u w:val="single" w:color="005DA1"/>
          </w:rPr>
          <w:t>790</w:t>
        </w:r>
      </w:hyperlink>
      <w:r>
        <w:rPr>
          <w:spacing w:val="-4"/>
          <w:position w:val="5"/>
          <w:sz w:val="14"/>
        </w:rPr>
        <w:t>.</w:t>
      </w:r>
      <w:r>
        <w:rPr>
          <w:position w:val="5"/>
          <w:sz w:val="14"/>
        </w:rPr>
        <w:tab/>
      </w:r>
      <w:r>
        <w:rPr/>
        <w:t>As to the meaning of which, see above, paras 30-163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544" w:id="1546"/>
      <w:bookmarkEnd w:id="1546"/>
      <w:r>
        <w:rPr/>
      </w:r>
      <w:hyperlink w:history="true" w:anchor="_bookmark1487">
        <w:r>
          <w:rPr>
            <w:color w:val="005DA1"/>
            <w:spacing w:val="-4"/>
            <w:position w:val="5"/>
            <w:sz w:val="14"/>
            <w:u w:val="single" w:color="005DA1"/>
          </w:rPr>
          <w:t>791</w:t>
        </w:r>
      </w:hyperlink>
      <w:r>
        <w:rPr>
          <w:spacing w:val="-4"/>
          <w:position w:val="5"/>
          <w:sz w:val="14"/>
        </w:rPr>
        <w:t>.</w:t>
      </w:r>
      <w:r>
        <w:rPr>
          <w:position w:val="5"/>
          <w:sz w:val="14"/>
        </w:rPr>
        <w:tab/>
      </w:r>
      <w:r>
        <w:rPr>
          <w:sz w:val="20"/>
        </w:rPr>
        <w:t>Above, para.30-</w:t>
      </w:r>
      <w:r>
        <w:rPr>
          <w:spacing w:val="-4"/>
          <w:sz w:val="20"/>
        </w:rPr>
        <w:t>076.</w:t>
      </w:r>
    </w:p>
    <w:p>
      <w:pPr>
        <w:pStyle w:val="BodyText"/>
        <w:spacing w:before="9"/>
      </w:pPr>
    </w:p>
    <w:p>
      <w:pPr>
        <w:spacing w:line="235" w:lineRule="auto" w:before="0"/>
        <w:ind w:left="705" w:right="167" w:hanging="541"/>
        <w:jc w:val="both"/>
        <w:rPr>
          <w:sz w:val="20"/>
        </w:rPr>
      </w:pPr>
      <w:bookmarkStart w:name="_bookmark1545" w:id="1547"/>
      <w:bookmarkEnd w:id="1547"/>
      <w:r>
        <w:rPr/>
      </w:r>
      <w:hyperlink w:history="true" w:anchor="_bookmark1488">
        <w:r>
          <w:rPr>
            <w:color w:val="005DA1"/>
            <w:position w:val="5"/>
            <w:sz w:val="14"/>
            <w:u w:val="single" w:color="005DA1"/>
          </w:rPr>
          <w:t>792</w:t>
        </w:r>
      </w:hyperlink>
      <w:r>
        <w:rPr>
          <w:position w:val="5"/>
          <w:sz w:val="14"/>
        </w:rPr>
        <w:t>.</w:t>
      </w:r>
      <w:r>
        <w:rPr>
          <w:spacing w:val="40"/>
          <w:position w:val="5"/>
          <w:sz w:val="14"/>
        </w:rPr>
        <w:t>  </w:t>
      </w:r>
      <w:r>
        <w:rPr>
          <w:sz w:val="20"/>
        </w:rPr>
        <w:t>See </w:t>
      </w:r>
      <w:r>
        <w:rPr>
          <w:rFonts w:ascii="Arial" w:hAnsi="Arial"/>
          <w:i/>
          <w:sz w:val="20"/>
        </w:rPr>
        <w:t>Car Trim GmbH v KeySafety Systems SRL (C-381/08) [2010] 2 All E.R. (Comm) 770</w:t>
      </w:r>
      <w:r>
        <w:rPr>
          <w:sz w:val="20"/>
        </w:rPr>
        <w:t>. cf. </w:t>
      </w:r>
      <w:r>
        <w:rPr>
          <w:rFonts w:ascii="Arial" w:hAnsi="Arial"/>
          <w:i/>
          <w:sz w:val="20"/>
        </w:rPr>
        <w:t>Falco Privatstiftung v Weller-Lindhorst (C-533/07) [2009] E.C.R. I–3327 </w:t>
      </w:r>
      <w:r>
        <w:rPr>
          <w:sz w:val="20"/>
        </w:rPr>
        <w:t>(contract under </w:t>
      </w:r>
      <w:r>
        <w:rPr>
          <w:sz w:val="20"/>
        </w:rPr>
        <w:t>which owner of an intellectual property right grants its contractual partner the right to use that right in return for remuneration is not a contract for the provision of services within the meaning of art.5(1)(b) of the Brussels I Regulation). On intellectual property and Rome I, see Nishitani in Leible and Ferrari, </w:t>
      </w:r>
      <w:r>
        <w:rPr>
          <w:rFonts w:ascii="Arial" w:hAnsi="Arial"/>
          <w:i/>
          <w:sz w:val="20"/>
        </w:rPr>
        <w:t>The Rome I Regulation: the Law Applicable to Contractual Obligations in Europe </w:t>
      </w:r>
      <w:r>
        <w:rPr>
          <w:sz w:val="20"/>
        </w:rPr>
        <w:t>(2009), p.51. On assignment of intellectual property rights under Rome I, see</w:t>
      </w:r>
      <w:r>
        <w:rPr>
          <w:spacing w:val="40"/>
          <w:sz w:val="20"/>
        </w:rPr>
        <w:t> </w:t>
      </w:r>
      <w:r>
        <w:rPr>
          <w:sz w:val="20"/>
        </w:rPr>
        <w:t>Torremans (2008) 4 J. Priv. Int. L. 397.</w:t>
      </w:r>
    </w:p>
    <w:p>
      <w:pPr>
        <w:pStyle w:val="BodyText"/>
        <w:spacing w:before="3"/>
      </w:pPr>
    </w:p>
    <w:p>
      <w:pPr>
        <w:pStyle w:val="BodyText"/>
        <w:tabs>
          <w:tab w:pos="705" w:val="left" w:leader="none"/>
        </w:tabs>
        <w:ind w:left="165"/>
      </w:pPr>
      <w:bookmarkStart w:name="_bookmark1546" w:id="1548"/>
      <w:bookmarkEnd w:id="1548"/>
      <w:r>
        <w:rPr/>
      </w:r>
      <w:hyperlink w:history="true" w:anchor="_bookmark1489">
        <w:r>
          <w:rPr>
            <w:color w:val="005DA1"/>
            <w:spacing w:val="-4"/>
            <w:position w:val="5"/>
            <w:sz w:val="14"/>
            <w:u w:val="single" w:color="005DA1"/>
          </w:rPr>
          <w:t>793</w:t>
        </w:r>
      </w:hyperlink>
      <w:r>
        <w:rPr>
          <w:spacing w:val="-4"/>
          <w:position w:val="5"/>
          <w:sz w:val="14"/>
        </w:rPr>
        <w:t>.</w:t>
      </w:r>
      <w:r>
        <w:rPr>
          <w:position w:val="5"/>
          <w:sz w:val="14"/>
        </w:rPr>
        <w:tab/>
      </w:r>
      <w:r>
        <w:rPr/>
        <w:t>See below, paras 30-199 et </w:t>
      </w:r>
      <w:r>
        <w:rPr>
          <w:spacing w:val="-4"/>
        </w:rPr>
        <w:t>seq.</w:t>
      </w:r>
    </w:p>
    <w:p>
      <w:pPr>
        <w:pStyle w:val="BodyText"/>
        <w:spacing w:before="5"/>
      </w:pPr>
    </w:p>
    <w:p>
      <w:pPr>
        <w:pStyle w:val="BodyText"/>
        <w:tabs>
          <w:tab w:pos="705" w:val="left" w:leader="none"/>
        </w:tabs>
        <w:ind w:left="165"/>
      </w:pPr>
      <w:bookmarkStart w:name="_bookmark1547" w:id="1549"/>
      <w:bookmarkEnd w:id="1549"/>
      <w:r>
        <w:rPr/>
      </w:r>
      <w:hyperlink w:history="true" w:anchor="_bookmark1490">
        <w:r>
          <w:rPr>
            <w:color w:val="005DA1"/>
            <w:spacing w:val="-4"/>
            <w:position w:val="5"/>
            <w:sz w:val="14"/>
            <w:u w:val="single" w:color="005DA1"/>
          </w:rPr>
          <w:t>794</w:t>
        </w:r>
      </w:hyperlink>
      <w:r>
        <w:rPr>
          <w:spacing w:val="-4"/>
          <w:position w:val="5"/>
          <w:sz w:val="14"/>
        </w:rPr>
        <w:t>.</w:t>
      </w:r>
      <w:r>
        <w:rPr>
          <w:position w:val="5"/>
          <w:sz w:val="14"/>
        </w:rPr>
        <w:tab/>
      </w:r>
      <w:r>
        <w:rPr/>
        <w:t>As to the meaning of habitual residence, see above, paras 30-163 et </w:t>
      </w:r>
      <w:r>
        <w:rPr>
          <w:spacing w:val="-4"/>
        </w:rPr>
        <w:t>seq.</w:t>
      </w:r>
    </w:p>
    <w:p>
      <w:pPr>
        <w:pStyle w:val="BodyText"/>
        <w:spacing w:before="5"/>
      </w:pPr>
    </w:p>
    <w:p>
      <w:pPr>
        <w:tabs>
          <w:tab w:pos="705" w:val="left" w:leader="none"/>
        </w:tabs>
        <w:spacing w:before="1"/>
        <w:ind w:left="165" w:right="0" w:firstLine="0"/>
        <w:jc w:val="left"/>
        <w:rPr>
          <w:sz w:val="20"/>
        </w:rPr>
      </w:pPr>
      <w:bookmarkStart w:name="_bookmark1548" w:id="1550"/>
      <w:bookmarkEnd w:id="1550"/>
      <w:r>
        <w:rPr/>
      </w:r>
      <w:hyperlink w:history="true" w:anchor="_bookmark1491">
        <w:r>
          <w:rPr>
            <w:color w:val="005DA1"/>
            <w:spacing w:val="-4"/>
            <w:position w:val="5"/>
            <w:sz w:val="14"/>
            <w:u w:val="single" w:color="005DA1"/>
          </w:rPr>
          <w:t>795</w:t>
        </w:r>
      </w:hyperlink>
      <w:r>
        <w:rPr>
          <w:spacing w:val="-4"/>
          <w:position w:val="5"/>
          <w:sz w:val="14"/>
        </w:rPr>
        <w:t>.</w:t>
      </w:r>
      <w:r>
        <w:rPr>
          <w:position w:val="5"/>
          <w:sz w:val="14"/>
        </w:rPr>
        <w:tab/>
      </w:r>
      <w:r>
        <w:rPr>
          <w:sz w:val="20"/>
        </w:rPr>
        <w:t>Above, para.30-</w:t>
      </w:r>
      <w:r>
        <w:rPr>
          <w:spacing w:val="-4"/>
          <w:sz w:val="20"/>
        </w:rPr>
        <w:t>081.</w:t>
      </w:r>
    </w:p>
    <w:p>
      <w:pPr>
        <w:pStyle w:val="BodyText"/>
        <w:spacing w:before="8"/>
      </w:pPr>
    </w:p>
    <w:p>
      <w:pPr>
        <w:pStyle w:val="BodyText"/>
        <w:spacing w:line="235" w:lineRule="auto"/>
        <w:ind w:left="705" w:right="167" w:hanging="541"/>
        <w:jc w:val="both"/>
      </w:pPr>
      <w:bookmarkStart w:name="_bookmark1549" w:id="1551"/>
      <w:bookmarkEnd w:id="1551"/>
      <w:r>
        <w:rPr/>
      </w:r>
      <w:hyperlink w:history="true" w:anchor="_bookmark1492">
        <w:r>
          <w:rPr>
            <w:color w:val="005DA1"/>
            <w:position w:val="5"/>
            <w:sz w:val="14"/>
            <w:u w:val="single" w:color="005DA1"/>
          </w:rPr>
          <w:t>796</w:t>
        </w:r>
      </w:hyperlink>
      <w:r>
        <w:rPr>
          <w:position w:val="5"/>
          <w:sz w:val="14"/>
        </w:rPr>
        <w:t>.</w:t>
      </w:r>
      <w:r>
        <w:rPr>
          <w:spacing w:val="80"/>
          <w:w w:val="150"/>
          <w:position w:val="5"/>
          <w:sz w:val="14"/>
        </w:rPr>
        <w:t> </w:t>
      </w:r>
      <w:r>
        <w:rPr/>
        <w:t>See</w:t>
      </w:r>
      <w:r>
        <w:rPr>
          <w:spacing w:val="40"/>
        </w:rPr>
        <w:t> </w:t>
      </w:r>
      <w:r>
        <w:rPr/>
        <w:t>Recital</w:t>
      </w:r>
      <w:r>
        <w:rPr>
          <w:spacing w:val="40"/>
        </w:rPr>
        <w:t> </w:t>
      </w:r>
      <w:r>
        <w:rPr/>
        <w:t>7</w:t>
      </w:r>
      <w:r>
        <w:rPr>
          <w:spacing w:val="40"/>
        </w:rPr>
        <w:t> </w:t>
      </w:r>
      <w:r>
        <w:rPr/>
        <w:t>to</w:t>
      </w:r>
      <w:r>
        <w:rPr>
          <w:spacing w:val="40"/>
        </w:rPr>
        <w:t> </w:t>
      </w:r>
      <w:r>
        <w:rPr/>
        <w:t>the</w:t>
      </w:r>
      <w:r>
        <w:rPr>
          <w:spacing w:val="40"/>
        </w:rPr>
        <w:t> </w:t>
      </w:r>
      <w:r>
        <w:rPr/>
        <w:t>Rome</w:t>
      </w:r>
      <w:r>
        <w:rPr>
          <w:spacing w:val="40"/>
        </w:rPr>
        <w:t> </w:t>
      </w:r>
      <w:r>
        <w:rPr/>
        <w:t>I</w:t>
      </w:r>
      <w:r>
        <w:rPr>
          <w:spacing w:val="40"/>
        </w:rPr>
        <w:t> </w:t>
      </w:r>
      <w:r>
        <w:rPr/>
        <w:t>Regulation.</w:t>
      </w:r>
      <w:r>
        <w:rPr>
          <w:spacing w:val="40"/>
        </w:rPr>
        <w:t> </w:t>
      </w:r>
      <w:r>
        <w:rPr/>
        <w:t>For</w:t>
      </w:r>
      <w:r>
        <w:rPr>
          <w:spacing w:val="40"/>
        </w:rPr>
        <w:t> </w:t>
      </w:r>
      <w:r>
        <w:rPr/>
        <w:t>discussion</w:t>
      </w:r>
      <w:r>
        <w:rPr>
          <w:spacing w:val="40"/>
        </w:rPr>
        <w:t> </w:t>
      </w:r>
      <w:r>
        <w:rPr/>
        <w:t>of</w:t>
      </w:r>
      <w:r>
        <w:rPr>
          <w:spacing w:val="40"/>
        </w:rPr>
        <w:t> </w:t>
      </w:r>
      <w:r>
        <w:rPr/>
        <w:t>art.22(1)</w:t>
      </w:r>
      <w:r>
        <w:rPr>
          <w:spacing w:val="40"/>
        </w:rPr>
        <w:t> </w:t>
      </w:r>
      <w:r>
        <w:rPr/>
        <w:t>of</w:t>
      </w:r>
      <w:r>
        <w:rPr>
          <w:spacing w:val="40"/>
        </w:rPr>
        <w:t> </w:t>
      </w:r>
      <w:r>
        <w:rPr/>
        <w:t>the</w:t>
      </w:r>
      <w:r>
        <w:rPr>
          <w:spacing w:val="40"/>
        </w:rPr>
        <w:t> </w:t>
      </w:r>
      <w:r>
        <w:rPr/>
        <w:t>Judgments Regulation (now art.24(1) of the Judgments Regulation recast), see Dicey, Morris and Collins</w:t>
      </w:r>
      <w:r>
        <w:rPr>
          <w:spacing w:val="40"/>
        </w:rPr>
        <w:t> </w:t>
      </w:r>
      <w:r>
        <w:rPr/>
        <w:t>on the Conflict of Laws, 15th edn (2012), Ch.23. See generally, Dicey, Morris and Collins, 15th edn (2012), paras 33-038 et seq.</w:t>
      </w:r>
    </w:p>
    <w:p>
      <w:pPr>
        <w:pStyle w:val="BodyText"/>
        <w:spacing w:before="9"/>
      </w:pPr>
    </w:p>
    <w:p>
      <w:pPr>
        <w:pStyle w:val="BodyText"/>
        <w:spacing w:line="235" w:lineRule="auto"/>
        <w:ind w:left="705" w:right="167" w:hanging="541"/>
        <w:jc w:val="both"/>
      </w:pPr>
      <w:bookmarkStart w:name="_bookmark1550" w:id="1552"/>
      <w:bookmarkEnd w:id="1552"/>
      <w:r>
        <w:rPr/>
      </w:r>
      <w:hyperlink w:history="true" w:anchor="_bookmark1493">
        <w:r>
          <w:rPr>
            <w:color w:val="005DA1"/>
            <w:position w:val="5"/>
            <w:sz w:val="14"/>
            <w:u w:val="single" w:color="005DA1"/>
          </w:rPr>
          <w:t>797</w:t>
        </w:r>
      </w:hyperlink>
      <w:r>
        <w:rPr>
          <w:position w:val="5"/>
          <w:sz w:val="14"/>
        </w:rPr>
        <w:t>.</w:t>
      </w:r>
      <w:r>
        <w:rPr>
          <w:spacing w:val="80"/>
          <w:w w:val="150"/>
          <w:position w:val="5"/>
          <w:sz w:val="14"/>
        </w:rPr>
        <w:t> </w:t>
      </w:r>
      <w:r>
        <w:rPr/>
        <w:t>As</w:t>
      </w:r>
      <w:r>
        <w:rPr>
          <w:spacing w:val="40"/>
        </w:rPr>
        <w:t> </w:t>
      </w:r>
      <w:r>
        <w:rPr/>
        <w:t>to</w:t>
      </w:r>
      <w:r>
        <w:rPr>
          <w:spacing w:val="40"/>
        </w:rPr>
        <w:t> </w:t>
      </w:r>
      <w:r>
        <w:rPr/>
        <w:t>the</w:t>
      </w:r>
      <w:r>
        <w:rPr>
          <w:spacing w:val="40"/>
        </w:rPr>
        <w:t> </w:t>
      </w:r>
      <w:r>
        <w:rPr/>
        <w:t>meaning</w:t>
      </w:r>
      <w:r>
        <w:rPr>
          <w:spacing w:val="40"/>
        </w:rPr>
        <w:t> </w:t>
      </w:r>
      <w:r>
        <w:rPr/>
        <w:t>of</w:t>
      </w:r>
      <w:r>
        <w:rPr>
          <w:spacing w:val="40"/>
        </w:rPr>
        <w:t> </w:t>
      </w:r>
      <w:r>
        <w:rPr/>
        <w:t>habitual</w:t>
      </w:r>
      <w:r>
        <w:rPr>
          <w:spacing w:val="40"/>
        </w:rPr>
        <w:t> </w:t>
      </w:r>
      <w:r>
        <w:rPr/>
        <w:t>residence,</w:t>
      </w:r>
      <w:r>
        <w:rPr>
          <w:spacing w:val="40"/>
        </w:rPr>
        <w:t> </w:t>
      </w:r>
      <w:r>
        <w:rPr/>
        <w:t>see</w:t>
      </w:r>
      <w:r>
        <w:rPr>
          <w:spacing w:val="40"/>
        </w:rPr>
        <w:t> </w:t>
      </w:r>
      <w:r>
        <w:rPr/>
        <w:t>above,</w:t>
      </w:r>
      <w:r>
        <w:rPr>
          <w:spacing w:val="40"/>
        </w:rPr>
        <w:t> </w:t>
      </w:r>
      <w:r>
        <w:rPr/>
        <w:t>paras</w:t>
      </w:r>
      <w:r>
        <w:rPr>
          <w:spacing w:val="40"/>
        </w:rPr>
        <w:t> </w:t>
      </w:r>
      <w:r>
        <w:rPr/>
        <w:t>30-163</w:t>
      </w:r>
      <w:r>
        <w:rPr>
          <w:spacing w:val="40"/>
        </w:rPr>
        <w:t> </w:t>
      </w:r>
      <w:r>
        <w:rPr/>
        <w:t>et</w:t>
      </w:r>
      <w:r>
        <w:rPr>
          <w:spacing w:val="40"/>
        </w:rPr>
        <w:t> </w:t>
      </w:r>
      <w:r>
        <w:rPr/>
        <w:t>seq.</w:t>
      </w:r>
      <w:r>
        <w:rPr>
          <w:spacing w:val="40"/>
        </w:rPr>
        <w:t> </w:t>
      </w:r>
      <w:r>
        <w:rPr/>
        <w:t>On</w:t>
      </w:r>
      <w:r>
        <w:rPr>
          <w:spacing w:val="40"/>
        </w:rPr>
        <w:t> </w:t>
      </w:r>
      <w:r>
        <w:rPr/>
        <w:t>franchise contracts and Rome I, see Gutierrez (2008) 10 Yb. P.I.L. 233; Dicey, Morris and Collins, </w:t>
      </w:r>
      <w:r>
        <w:rPr/>
        <w:t>15th edn (2012), paras 33-063 et seq.</w:t>
      </w:r>
    </w:p>
    <w:p>
      <w:pPr>
        <w:pStyle w:val="BodyText"/>
        <w:spacing w:before="5"/>
      </w:pPr>
    </w:p>
    <w:p>
      <w:pPr>
        <w:pStyle w:val="BodyText"/>
        <w:tabs>
          <w:tab w:pos="705" w:val="left" w:leader="none"/>
        </w:tabs>
        <w:ind w:left="165"/>
      </w:pPr>
      <w:bookmarkStart w:name="_bookmark1551" w:id="1553"/>
      <w:bookmarkEnd w:id="1553"/>
      <w:r>
        <w:rPr/>
      </w:r>
      <w:hyperlink w:history="true" w:anchor="_bookmark1494">
        <w:r>
          <w:rPr>
            <w:color w:val="005DA1"/>
            <w:spacing w:val="-4"/>
            <w:position w:val="5"/>
            <w:sz w:val="14"/>
            <w:u w:val="single" w:color="005DA1"/>
          </w:rPr>
          <w:t>798</w:t>
        </w:r>
      </w:hyperlink>
      <w:r>
        <w:rPr>
          <w:spacing w:val="-4"/>
          <w:position w:val="5"/>
          <w:sz w:val="14"/>
        </w:rPr>
        <w:t>.</w:t>
      </w:r>
      <w:r>
        <w:rPr>
          <w:position w:val="5"/>
          <w:sz w:val="14"/>
        </w:rPr>
        <w:tab/>
      </w:r>
      <w:r>
        <w:rPr/>
        <w:t>cf.</w:t>
      </w:r>
      <w:r>
        <w:rPr>
          <w:spacing w:val="-2"/>
        </w:rPr>
        <w:t> </w:t>
      </w:r>
      <w:r>
        <w:rPr/>
        <w:t>above, para.30-</w:t>
      </w:r>
      <w:r>
        <w:rPr>
          <w:spacing w:val="-4"/>
        </w:rPr>
        <w:t>076.</w:t>
      </w:r>
    </w:p>
    <w:p>
      <w:pPr>
        <w:pStyle w:val="BodyText"/>
        <w:spacing w:before="9"/>
      </w:pPr>
    </w:p>
    <w:p>
      <w:pPr>
        <w:spacing w:line="235" w:lineRule="auto" w:before="0"/>
        <w:ind w:left="705" w:right="167" w:hanging="541"/>
        <w:jc w:val="both"/>
        <w:rPr>
          <w:rFonts w:ascii="Arial"/>
          <w:i/>
          <w:sz w:val="20"/>
        </w:rPr>
      </w:pPr>
      <w:bookmarkStart w:name="_bookmark1552" w:id="1554"/>
      <w:bookmarkEnd w:id="1554"/>
      <w:r>
        <w:rPr/>
      </w:r>
      <w:hyperlink w:history="true" w:anchor="_bookmark1495">
        <w:r>
          <w:rPr>
            <w:color w:val="005DA1"/>
            <w:position w:val="5"/>
            <w:sz w:val="14"/>
            <w:u w:val="single" w:color="005DA1"/>
          </w:rPr>
          <w:t>799</w:t>
        </w:r>
      </w:hyperlink>
      <w:r>
        <w:rPr>
          <w:position w:val="5"/>
          <w:sz w:val="14"/>
        </w:rPr>
        <w:t>.</w:t>
      </w:r>
      <w:r>
        <w:rPr>
          <w:spacing w:val="80"/>
          <w:w w:val="150"/>
          <w:position w:val="5"/>
          <w:sz w:val="14"/>
        </w:rPr>
        <w:t> </w:t>
      </w:r>
      <w:r>
        <w:rPr>
          <w:sz w:val="20"/>
        </w:rPr>
        <w:t>As to the meaning of habitual residence, see above, paras 30-163 et seq. On distribution contracts and Rome I, see Ancel (2008) 10 Yb. P.I.L. 221; Dicey, Morris and Collins, 15th </w:t>
      </w:r>
      <w:r>
        <w:rPr>
          <w:sz w:val="20"/>
        </w:rPr>
        <w:t>edn (2012),</w:t>
      </w:r>
      <w:r>
        <w:rPr>
          <w:spacing w:val="6"/>
          <w:sz w:val="20"/>
        </w:rPr>
        <w:t> </w:t>
      </w:r>
      <w:r>
        <w:rPr>
          <w:sz w:val="20"/>
        </w:rPr>
        <w:t>paras</w:t>
      </w:r>
      <w:r>
        <w:rPr>
          <w:spacing w:val="6"/>
          <w:sz w:val="20"/>
        </w:rPr>
        <w:t> </w:t>
      </w:r>
      <w:r>
        <w:rPr>
          <w:sz w:val="20"/>
        </w:rPr>
        <w:t>33-063</w:t>
      </w:r>
      <w:r>
        <w:rPr>
          <w:spacing w:val="6"/>
          <w:sz w:val="20"/>
        </w:rPr>
        <w:t> </w:t>
      </w:r>
      <w:r>
        <w:rPr>
          <w:sz w:val="20"/>
        </w:rPr>
        <w:t>et</w:t>
      </w:r>
      <w:r>
        <w:rPr>
          <w:spacing w:val="6"/>
          <w:sz w:val="20"/>
        </w:rPr>
        <w:t> </w:t>
      </w:r>
      <w:r>
        <w:rPr>
          <w:sz w:val="20"/>
        </w:rPr>
        <w:t>seq.</w:t>
      </w:r>
      <w:r>
        <w:rPr>
          <w:spacing w:val="6"/>
          <w:sz w:val="20"/>
        </w:rPr>
        <w:t> </w:t>
      </w:r>
      <w:r>
        <w:rPr>
          <w:sz w:val="20"/>
        </w:rPr>
        <w:t>cf.</w:t>
      </w:r>
      <w:r>
        <w:rPr>
          <w:spacing w:val="5"/>
          <w:sz w:val="20"/>
        </w:rPr>
        <w:t> </w:t>
      </w:r>
      <w:r>
        <w:rPr>
          <w:rFonts w:ascii="Arial"/>
          <w:i/>
          <w:sz w:val="20"/>
        </w:rPr>
        <w:t>Corman-Collins</w:t>
      </w:r>
      <w:r>
        <w:rPr>
          <w:rFonts w:ascii="Arial"/>
          <w:i/>
          <w:spacing w:val="6"/>
          <w:sz w:val="20"/>
        </w:rPr>
        <w:t> </w:t>
      </w:r>
      <w:r>
        <w:rPr>
          <w:rFonts w:ascii="Arial"/>
          <w:i/>
          <w:sz w:val="20"/>
        </w:rPr>
        <w:t>SA</w:t>
      </w:r>
      <w:r>
        <w:rPr>
          <w:rFonts w:ascii="Arial"/>
          <w:i/>
          <w:spacing w:val="6"/>
          <w:sz w:val="20"/>
        </w:rPr>
        <w:t> </w:t>
      </w:r>
      <w:r>
        <w:rPr>
          <w:rFonts w:ascii="Arial"/>
          <w:i/>
          <w:sz w:val="20"/>
        </w:rPr>
        <w:t>v</w:t>
      </w:r>
      <w:r>
        <w:rPr>
          <w:rFonts w:ascii="Arial"/>
          <w:i/>
          <w:spacing w:val="6"/>
          <w:sz w:val="20"/>
        </w:rPr>
        <w:t> </w:t>
      </w:r>
      <w:r>
        <w:rPr>
          <w:rFonts w:ascii="Arial"/>
          <w:i/>
          <w:sz w:val="20"/>
        </w:rPr>
        <w:t>La</w:t>
      </w:r>
      <w:r>
        <w:rPr>
          <w:rFonts w:ascii="Arial"/>
          <w:i/>
          <w:spacing w:val="6"/>
          <w:sz w:val="20"/>
        </w:rPr>
        <w:t> </w:t>
      </w:r>
      <w:r>
        <w:rPr>
          <w:rFonts w:ascii="Arial"/>
          <w:i/>
          <w:sz w:val="20"/>
        </w:rPr>
        <w:t>Maison</w:t>
      </w:r>
      <w:r>
        <w:rPr>
          <w:rFonts w:ascii="Arial"/>
          <w:i/>
          <w:spacing w:val="6"/>
          <w:sz w:val="20"/>
        </w:rPr>
        <w:t> </w:t>
      </w:r>
      <w:r>
        <w:rPr>
          <w:rFonts w:ascii="Arial"/>
          <w:i/>
          <w:sz w:val="20"/>
        </w:rPr>
        <w:t>du</w:t>
      </w:r>
      <w:r>
        <w:rPr>
          <w:rFonts w:ascii="Arial"/>
          <w:i/>
          <w:spacing w:val="6"/>
          <w:sz w:val="20"/>
        </w:rPr>
        <w:t> </w:t>
      </w:r>
      <w:r>
        <w:rPr>
          <w:rFonts w:ascii="Arial"/>
          <w:i/>
          <w:sz w:val="20"/>
        </w:rPr>
        <w:t>Whisky</w:t>
      </w:r>
      <w:r>
        <w:rPr>
          <w:rFonts w:ascii="Arial"/>
          <w:i/>
          <w:spacing w:val="6"/>
          <w:sz w:val="20"/>
        </w:rPr>
        <w:t> </w:t>
      </w:r>
      <w:r>
        <w:rPr>
          <w:rFonts w:ascii="Arial"/>
          <w:i/>
          <w:sz w:val="20"/>
        </w:rPr>
        <w:t>SA</w:t>
      </w:r>
      <w:r>
        <w:rPr>
          <w:rFonts w:ascii="Arial"/>
          <w:i/>
          <w:spacing w:val="6"/>
          <w:sz w:val="20"/>
        </w:rPr>
        <w:t> </w:t>
      </w:r>
      <w:r>
        <w:rPr>
          <w:rFonts w:ascii="Arial"/>
          <w:i/>
          <w:sz w:val="20"/>
        </w:rPr>
        <w:t>(C-9/12)</w:t>
      </w:r>
      <w:r>
        <w:rPr>
          <w:rFonts w:ascii="Arial"/>
          <w:i/>
          <w:spacing w:val="6"/>
          <w:sz w:val="20"/>
        </w:rPr>
        <w:t> </w:t>
      </w:r>
      <w:r>
        <w:rPr>
          <w:rFonts w:ascii="Arial"/>
          <w:i/>
          <w:spacing w:val="-2"/>
          <w:sz w:val="20"/>
        </w:rPr>
        <w:t>[2014]</w:t>
      </w:r>
    </w:p>
    <w:p>
      <w:pPr>
        <w:pStyle w:val="BodyText"/>
        <w:spacing w:line="225" w:lineRule="exact"/>
        <w:ind w:left="705"/>
        <w:jc w:val="both"/>
      </w:pPr>
      <w:r>
        <w:rPr>
          <w:rFonts w:ascii="Arial" w:hAnsi="Arial"/>
          <w:i/>
        </w:rPr>
        <w:t>Q.B.</w:t>
      </w:r>
      <w:r>
        <w:rPr>
          <w:rFonts w:ascii="Arial" w:hAnsi="Arial"/>
          <w:i/>
          <w:spacing w:val="77"/>
        </w:rPr>
        <w:t> </w:t>
      </w:r>
      <w:r>
        <w:rPr>
          <w:rFonts w:ascii="Arial" w:hAnsi="Arial"/>
          <w:i/>
        </w:rPr>
        <w:t>31</w:t>
      </w:r>
      <w:r>
        <w:rPr>
          <w:rFonts w:ascii="Arial" w:hAnsi="Arial"/>
          <w:i/>
          <w:spacing w:val="77"/>
        </w:rPr>
        <w:t> </w:t>
      </w:r>
      <w:r>
        <w:rPr/>
        <w:t>(discussing</w:t>
      </w:r>
      <w:r>
        <w:rPr>
          <w:spacing w:val="77"/>
        </w:rPr>
        <w:t> </w:t>
      </w:r>
      <w:r>
        <w:rPr/>
        <w:t>meaning</w:t>
      </w:r>
      <w:r>
        <w:rPr>
          <w:spacing w:val="77"/>
        </w:rPr>
        <w:t> </w:t>
      </w:r>
      <w:r>
        <w:rPr/>
        <w:t>of</w:t>
      </w:r>
      <w:r>
        <w:rPr>
          <w:spacing w:val="77"/>
        </w:rPr>
        <w:t> </w:t>
      </w:r>
      <w:r>
        <w:rPr/>
        <w:t>“distribution</w:t>
      </w:r>
      <w:r>
        <w:rPr>
          <w:spacing w:val="77"/>
        </w:rPr>
        <w:t> </w:t>
      </w:r>
      <w:r>
        <w:rPr/>
        <w:t>contract”</w:t>
      </w:r>
      <w:r>
        <w:rPr>
          <w:spacing w:val="77"/>
        </w:rPr>
        <w:t> </w:t>
      </w:r>
      <w:r>
        <w:rPr/>
        <w:t>in</w:t>
      </w:r>
      <w:r>
        <w:rPr>
          <w:spacing w:val="77"/>
        </w:rPr>
        <w:t> </w:t>
      </w:r>
      <w:r>
        <w:rPr/>
        <w:t>the</w:t>
      </w:r>
      <w:r>
        <w:rPr>
          <w:spacing w:val="77"/>
        </w:rPr>
        <w:t> </w:t>
      </w:r>
      <w:r>
        <w:rPr/>
        <w:t>context</w:t>
      </w:r>
      <w:r>
        <w:rPr>
          <w:spacing w:val="77"/>
        </w:rPr>
        <w:t> </w:t>
      </w:r>
      <w:r>
        <w:rPr/>
        <w:t>of</w:t>
      </w:r>
      <w:r>
        <w:rPr>
          <w:spacing w:val="77"/>
        </w:rPr>
        <w:t> </w:t>
      </w:r>
      <w:r>
        <w:rPr/>
        <w:t>the</w:t>
      </w:r>
      <w:r>
        <w:rPr>
          <w:spacing w:val="77"/>
        </w:rPr>
        <w:t> </w:t>
      </w:r>
      <w:r>
        <w:rPr>
          <w:spacing w:val="-2"/>
        </w:rPr>
        <w:t>Judgments</w:t>
      </w:r>
    </w:p>
    <w:p>
      <w:pPr>
        <w:pStyle w:val="BodyText"/>
        <w:spacing w:after="0" w:line="225" w:lineRule="exact"/>
        <w:jc w:val="both"/>
        <w:sectPr>
          <w:type w:val="continuous"/>
          <w:pgSz w:w="11900" w:h="16840"/>
          <w:pgMar w:header="971" w:footer="0" w:top="1300" w:bottom="280" w:left="1275" w:right="1275"/>
        </w:sectPr>
      </w:pPr>
    </w:p>
    <w:p>
      <w:pPr>
        <w:pStyle w:val="BodyText"/>
        <w:spacing w:before="106"/>
        <w:ind w:left="705"/>
      </w:pPr>
      <w:r>
        <w:rPr>
          <w:spacing w:val="-2"/>
        </w:rPr>
        <w:t>Regulation).</w:t>
      </w:r>
    </w:p>
    <w:p>
      <w:pPr>
        <w:pStyle w:val="BodyText"/>
        <w:spacing w:before="9"/>
      </w:pPr>
    </w:p>
    <w:p>
      <w:pPr>
        <w:pStyle w:val="BodyText"/>
        <w:tabs>
          <w:tab w:pos="705" w:val="left" w:leader="none"/>
        </w:tabs>
        <w:spacing w:line="235" w:lineRule="auto"/>
        <w:ind w:left="705" w:right="168" w:hanging="541"/>
      </w:pPr>
      <w:bookmarkStart w:name="_bookmark1553" w:id="1555"/>
      <w:bookmarkEnd w:id="1555"/>
      <w:r>
        <w:rPr/>
      </w:r>
      <w:hyperlink w:history="true" w:anchor="_bookmark1496">
        <w:r>
          <w:rPr>
            <w:color w:val="005DA1"/>
            <w:spacing w:val="-4"/>
            <w:position w:val="5"/>
            <w:sz w:val="14"/>
            <w:u w:val="single" w:color="005DA1"/>
          </w:rPr>
          <w:t>800</w:t>
        </w:r>
      </w:hyperlink>
      <w:r>
        <w:rPr>
          <w:spacing w:val="-4"/>
          <w:position w:val="5"/>
          <w:sz w:val="14"/>
        </w:rPr>
        <w:t>.</w:t>
      </w:r>
      <w:r>
        <w:rPr>
          <w:position w:val="5"/>
          <w:sz w:val="14"/>
        </w:rPr>
        <w:tab/>
      </w:r>
      <w:r>
        <w:rPr/>
        <w:t>See</w:t>
      </w:r>
      <w:r>
        <w:rPr>
          <w:spacing w:val="27"/>
        </w:rPr>
        <w:t> </w:t>
      </w:r>
      <w:r>
        <w:rPr/>
        <w:t>below,</w:t>
      </w:r>
      <w:r>
        <w:rPr>
          <w:spacing w:val="27"/>
        </w:rPr>
        <w:t> </w:t>
      </w:r>
      <w:r>
        <w:rPr/>
        <w:t>paras</w:t>
      </w:r>
      <w:r>
        <w:rPr>
          <w:spacing w:val="27"/>
        </w:rPr>
        <w:t> </w:t>
      </w:r>
      <w:r>
        <w:rPr/>
        <w:t>30-199</w:t>
      </w:r>
      <w:r>
        <w:rPr>
          <w:spacing w:val="27"/>
        </w:rPr>
        <w:t> </w:t>
      </w:r>
      <w:r>
        <w:rPr/>
        <w:t>et</w:t>
      </w:r>
      <w:r>
        <w:rPr>
          <w:spacing w:val="27"/>
        </w:rPr>
        <w:t> </w:t>
      </w:r>
      <w:r>
        <w:rPr/>
        <w:t>seq.</w:t>
      </w:r>
      <w:r>
        <w:rPr>
          <w:spacing w:val="27"/>
        </w:rPr>
        <w:t> </w:t>
      </w:r>
      <w:r>
        <w:rPr/>
        <w:t>Distribution</w:t>
      </w:r>
      <w:r>
        <w:rPr>
          <w:spacing w:val="27"/>
        </w:rPr>
        <w:t> </w:t>
      </w:r>
      <w:r>
        <w:rPr/>
        <w:t>contracts</w:t>
      </w:r>
      <w:r>
        <w:rPr>
          <w:spacing w:val="27"/>
        </w:rPr>
        <w:t> </w:t>
      </w:r>
      <w:r>
        <w:rPr/>
        <w:t>give</w:t>
      </w:r>
      <w:r>
        <w:rPr>
          <w:spacing w:val="27"/>
        </w:rPr>
        <w:t> </w:t>
      </w:r>
      <w:r>
        <w:rPr/>
        <w:t>rise</w:t>
      </w:r>
      <w:r>
        <w:rPr>
          <w:spacing w:val="27"/>
        </w:rPr>
        <w:t> </w:t>
      </w:r>
      <w:r>
        <w:rPr/>
        <w:t>to</w:t>
      </w:r>
      <w:r>
        <w:rPr>
          <w:spacing w:val="27"/>
        </w:rPr>
        <w:t> </w:t>
      </w:r>
      <w:r>
        <w:rPr/>
        <w:t>some</w:t>
      </w:r>
      <w:r>
        <w:rPr>
          <w:spacing w:val="27"/>
        </w:rPr>
        <w:t> </w:t>
      </w:r>
      <w:r>
        <w:rPr/>
        <w:t>difficulty</w:t>
      </w:r>
      <w:r>
        <w:rPr>
          <w:spacing w:val="27"/>
        </w:rPr>
        <w:t> </w:t>
      </w:r>
      <w:r>
        <w:rPr/>
        <w:t>under</w:t>
      </w:r>
      <w:r>
        <w:rPr>
          <w:spacing w:val="27"/>
        </w:rPr>
        <w:t> </w:t>
      </w:r>
      <w:r>
        <w:rPr/>
        <w:t>the Rome Convention: see above, para.30-076.</w:t>
      </w:r>
    </w:p>
    <w:p>
      <w:pPr>
        <w:pStyle w:val="BodyText"/>
        <w:spacing w:before="9"/>
      </w:pPr>
    </w:p>
    <w:p>
      <w:pPr>
        <w:pStyle w:val="BodyText"/>
        <w:tabs>
          <w:tab w:pos="705" w:val="left" w:leader="none"/>
        </w:tabs>
        <w:spacing w:line="235" w:lineRule="auto" w:before="1"/>
        <w:ind w:left="705" w:right="168" w:hanging="541"/>
      </w:pPr>
      <w:bookmarkStart w:name="_bookmark1554" w:id="1556"/>
      <w:bookmarkEnd w:id="1556"/>
      <w:r>
        <w:rPr/>
      </w:r>
      <w:hyperlink w:history="true" w:anchor="_bookmark1497">
        <w:r>
          <w:rPr>
            <w:color w:val="005DA1"/>
            <w:spacing w:val="-4"/>
            <w:position w:val="5"/>
            <w:sz w:val="14"/>
            <w:u w:val="single" w:color="005DA1"/>
          </w:rPr>
          <w:t>801</w:t>
        </w:r>
      </w:hyperlink>
      <w:r>
        <w:rPr>
          <w:spacing w:val="-4"/>
          <w:position w:val="5"/>
          <w:sz w:val="14"/>
        </w:rPr>
        <w:t>.</w:t>
      </w:r>
      <w:r>
        <w:rPr>
          <w:position w:val="5"/>
          <w:sz w:val="14"/>
        </w:rPr>
        <w:tab/>
      </w:r>
      <w:r>
        <w:rPr/>
        <w:t>Some contracts of this character may be consumer contracts subject to art.6 of the </w:t>
      </w:r>
      <w:r>
        <w:rPr/>
        <w:t>Regulation: see below, paras 30-231 et seq.; Dicey, Morris and Collins, 15th edn (2012), para.33-011.</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7312">
            <wp:simplePos x="0" y="0"/>
            <wp:positionH relativeFrom="page">
              <wp:posOffset>1257846</wp:posOffset>
            </wp:positionH>
            <wp:positionV relativeFrom="paragraph">
              <wp:posOffset>160222</wp:posOffset>
            </wp:positionV>
            <wp:extent cx="107988" cy="107988"/>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55" w:id="1557"/>
      <w:bookmarkEnd w:id="1557"/>
      <w:r>
        <w:rPr/>
      </w:r>
      <w:hyperlink w:history="true" w:anchor="_bookmark1498">
        <w:r>
          <w:rPr>
            <w:color w:val="005DA1"/>
            <w:spacing w:val="-4"/>
            <w:sz w:val="14"/>
            <w:u w:val="single" w:color="005DA1"/>
          </w:rPr>
          <w:t>802</w:t>
        </w:r>
      </w:hyperlink>
      <w:r>
        <w:rPr>
          <w:spacing w:val="-4"/>
          <w:sz w:val="14"/>
        </w:rPr>
        <w:t>.</w:t>
      </w:r>
    </w:p>
    <w:p>
      <w:pPr>
        <w:pStyle w:val="BodyText"/>
        <w:spacing w:line="235" w:lineRule="auto" w:before="212"/>
        <w:ind w:left="165" w:right="167" w:firstLine="170"/>
        <w:jc w:val="both"/>
      </w:pPr>
      <w:r>
        <w:rPr/>
        <w:br w:type="column"/>
      </w:r>
      <w:r>
        <w:rPr/>
        <w:t>Directive 2004/39 on markets in financial instruments, amending Council Directives </w:t>
      </w:r>
      <w:r>
        <w:rPr/>
        <w:t>85/611 and Directive 2000/12 and repealing Council Directive 93/22: [2004] O.J. L145/1. The Directive purports to provide a harmonised regulatory regime for investment services across the Member States of the European Economic Area. See generally Garcimartin Alferez (2008) 10 Yb. P.I.L. 245; Nishitani in Leible and Ferrari, </w:t>
      </w:r>
      <w:r>
        <w:rPr>
          <w:rFonts w:ascii="Arial"/>
          <w:i/>
        </w:rPr>
        <w:t>The Rome I Regulation: the Law Applicable to Contractual Obligations in Europe </w:t>
      </w:r>
      <w:r>
        <w:rPr/>
        <w:t>(2009), p.85; Nishitani in Leible and Ferrari, </w:t>
      </w:r>
      <w:r>
        <w:rPr>
          <w:rFonts w:ascii="Arial"/>
          <w:i/>
        </w:rPr>
        <w:t>The Rome I Regulation: the Law</w:t>
      </w:r>
      <w:r>
        <w:rPr>
          <w:rFonts w:ascii="Arial"/>
          <w:i/>
          <w:spacing w:val="-1"/>
        </w:rPr>
        <w:t> </w:t>
      </w:r>
      <w:r>
        <w:rPr>
          <w:rFonts w:ascii="Arial"/>
          <w:i/>
        </w:rPr>
        <w:t>Applicable</w:t>
      </w:r>
      <w:r>
        <w:rPr>
          <w:rFonts w:ascii="Arial"/>
          <w:i/>
          <w:spacing w:val="-1"/>
        </w:rPr>
        <w:t> </w:t>
      </w:r>
      <w:r>
        <w:rPr>
          <w:rFonts w:ascii="Arial"/>
          <w:i/>
        </w:rPr>
        <w:t>to</w:t>
      </w:r>
      <w:r>
        <w:rPr>
          <w:rFonts w:ascii="Arial"/>
          <w:i/>
          <w:spacing w:val="-1"/>
        </w:rPr>
        <w:t> </w:t>
      </w:r>
      <w:r>
        <w:rPr>
          <w:rFonts w:ascii="Arial"/>
          <w:i/>
        </w:rPr>
        <w:t>Contractual</w:t>
      </w:r>
      <w:r>
        <w:rPr>
          <w:rFonts w:ascii="Arial"/>
          <w:i/>
          <w:spacing w:val="-1"/>
        </w:rPr>
        <w:t> </w:t>
      </w:r>
      <w:r>
        <w:rPr>
          <w:rFonts w:ascii="Arial"/>
          <w:i/>
        </w:rPr>
        <w:t>Obligations</w:t>
      </w:r>
      <w:r>
        <w:rPr>
          <w:rFonts w:ascii="Arial"/>
          <w:i/>
          <w:spacing w:val="-1"/>
        </w:rPr>
        <w:t> </w:t>
      </w:r>
      <w:r>
        <w:rPr>
          <w:rFonts w:ascii="Arial"/>
          <w:i/>
        </w:rPr>
        <w:t>in</w:t>
      </w:r>
      <w:r>
        <w:rPr>
          <w:rFonts w:ascii="Arial"/>
          <w:i/>
          <w:spacing w:val="-1"/>
        </w:rPr>
        <w:t> </w:t>
      </w:r>
      <w:r>
        <w:rPr>
          <w:rFonts w:ascii="Arial"/>
          <w:i/>
        </w:rPr>
        <w:t>Europe</w:t>
      </w:r>
      <w:r>
        <w:rPr/>
        <w:t>,</w:t>
      </w:r>
      <w:r>
        <w:rPr>
          <w:spacing w:val="-1"/>
        </w:rPr>
        <w:t> </w:t>
      </w:r>
      <w:r>
        <w:rPr/>
        <w:t>p.129;</w:t>
      </w:r>
      <w:r>
        <w:rPr>
          <w:spacing w:val="-1"/>
        </w:rPr>
        <w:t> </w:t>
      </w:r>
      <w:r>
        <w:rPr/>
        <w:t>Dicey,</w:t>
      </w:r>
      <w:r>
        <w:rPr>
          <w:spacing w:val="-1"/>
        </w:rPr>
        <w:t> </w:t>
      </w:r>
      <w:r>
        <w:rPr/>
        <w:t>Morris</w:t>
      </w:r>
      <w:r>
        <w:rPr>
          <w:spacing w:val="-1"/>
        </w:rPr>
        <w:t> </w:t>
      </w:r>
      <w:r>
        <w:rPr/>
        <w:t>and</w:t>
      </w:r>
      <w:r>
        <w:rPr>
          <w:spacing w:val="-1"/>
        </w:rPr>
        <w:t> </w:t>
      </w:r>
      <w:r>
        <w:rPr/>
        <w:t>Collins,</w:t>
      </w:r>
      <w:r>
        <w:rPr>
          <w:spacing w:val="-1"/>
        </w:rPr>
        <w:t> </w:t>
      </w:r>
      <w:r>
        <w:rPr/>
        <w:t>15th</w:t>
      </w:r>
      <w:r>
        <w:rPr>
          <w:spacing w:val="-1"/>
        </w:rPr>
        <w:t> </w:t>
      </w:r>
      <w:r>
        <w:rPr/>
        <w:t>edn (2012), paras 33-391 et seq. The original Directive has been replaced by Directive 2014/65/EU (MiFID 2) although the deadline for compliance with the new Directive has been extended to January 2018 (COM(2016) 56 final).</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6"/>
      </w:pPr>
    </w:p>
    <w:p>
      <w:pPr>
        <w:pStyle w:val="BodyText"/>
        <w:spacing w:line="235" w:lineRule="auto"/>
        <w:ind w:left="705" w:right="167" w:hanging="541"/>
        <w:jc w:val="both"/>
      </w:pPr>
      <w:bookmarkStart w:name="_bookmark1556" w:id="1558"/>
      <w:bookmarkEnd w:id="1558"/>
      <w:r>
        <w:rPr/>
      </w:r>
      <w:hyperlink w:history="true" w:anchor="_bookmark1499">
        <w:r>
          <w:rPr>
            <w:color w:val="005DA1"/>
            <w:position w:val="5"/>
            <w:sz w:val="14"/>
            <w:u w:val="single" w:color="005DA1"/>
          </w:rPr>
          <w:t>803</w:t>
        </w:r>
      </w:hyperlink>
      <w:r>
        <w:rPr>
          <w:position w:val="5"/>
          <w:sz w:val="14"/>
        </w:rPr>
        <w:t>.</w:t>
      </w:r>
      <w:r>
        <w:rPr>
          <w:spacing w:val="80"/>
          <w:position w:val="5"/>
          <w:sz w:val="14"/>
        </w:rPr>
        <w:t>  </w:t>
      </w:r>
      <w:r>
        <w:rPr/>
        <w:t>MiFID art.4(1)(17) defines these financial instruments by reference to Section C of Annex I </w:t>
      </w:r>
      <w:r>
        <w:rPr/>
        <w:t>to</w:t>
      </w:r>
      <w:r>
        <w:rPr>
          <w:spacing w:val="40"/>
        </w:rPr>
        <w:t> </w:t>
      </w:r>
      <w:r>
        <w:rPr/>
        <w:t>the Directive. Relevant financial instruments are: transferable securities; money-market instruments; units in collective investment undertakings; various forms of options, futures, swaps, forward rate agreements, and other derivative contracts; derivative instruments for the transfer of credit risk; and financial contracts for differences. As to the meaning of “multilateral trading facility” (“MTF”), for the purposes of the Directive, see art.4(1)(15). See, too, Recitals 18 and 30 to the Regulation.</w:t>
      </w:r>
    </w:p>
    <w:p>
      <w:pPr>
        <w:pStyle w:val="BodyText"/>
        <w:spacing w:before="3"/>
      </w:pPr>
    </w:p>
    <w:p>
      <w:pPr>
        <w:pStyle w:val="BodyText"/>
        <w:tabs>
          <w:tab w:pos="705" w:val="left" w:leader="none"/>
        </w:tabs>
        <w:spacing w:before="1"/>
        <w:ind w:left="165"/>
      </w:pPr>
      <w:bookmarkStart w:name="_bookmark1557" w:id="1559"/>
      <w:bookmarkEnd w:id="1559"/>
      <w:r>
        <w:rPr/>
      </w:r>
      <w:hyperlink w:history="true" w:anchor="_bookmark1500">
        <w:r>
          <w:rPr>
            <w:color w:val="005DA1"/>
            <w:spacing w:val="-4"/>
            <w:position w:val="5"/>
            <w:sz w:val="14"/>
            <w:u w:val="single" w:color="005DA1"/>
          </w:rPr>
          <w:t>804</w:t>
        </w:r>
      </w:hyperlink>
      <w:r>
        <w:rPr>
          <w:spacing w:val="-4"/>
          <w:position w:val="5"/>
          <w:sz w:val="14"/>
        </w:rPr>
        <w:t>.</w:t>
      </w:r>
      <w:r>
        <w:rPr>
          <w:position w:val="5"/>
          <w:sz w:val="14"/>
        </w:rPr>
        <w:tab/>
      </w:r>
      <w:r>
        <w:rPr/>
        <w:t>Consultation Paper, </w:t>
      </w:r>
      <w:r>
        <w:rPr>
          <w:spacing w:val="-2"/>
        </w:rPr>
        <w:t>para.52.</w:t>
      </w:r>
    </w:p>
    <w:p>
      <w:pPr>
        <w:pStyle w:val="BodyText"/>
        <w:spacing w:before="4"/>
      </w:pPr>
    </w:p>
    <w:p>
      <w:pPr>
        <w:pStyle w:val="BodyText"/>
        <w:tabs>
          <w:tab w:pos="705" w:val="left" w:leader="none"/>
        </w:tabs>
        <w:spacing w:before="1"/>
        <w:ind w:left="165"/>
      </w:pPr>
      <w:bookmarkStart w:name="_bookmark1558" w:id="1560"/>
      <w:bookmarkEnd w:id="1560"/>
      <w:r>
        <w:rPr/>
      </w:r>
      <w:hyperlink w:history="true" w:anchor="_bookmark1501">
        <w:r>
          <w:rPr>
            <w:color w:val="005DA1"/>
            <w:spacing w:val="-4"/>
            <w:position w:val="5"/>
            <w:sz w:val="14"/>
            <w:u w:val="single" w:color="005DA1"/>
          </w:rPr>
          <w:t>805</w:t>
        </w:r>
      </w:hyperlink>
      <w:r>
        <w:rPr>
          <w:spacing w:val="-4"/>
          <w:position w:val="5"/>
          <w:sz w:val="14"/>
        </w:rPr>
        <w:t>.</w:t>
      </w:r>
      <w:r>
        <w:rPr>
          <w:position w:val="5"/>
          <w:sz w:val="14"/>
        </w:rPr>
        <w:tab/>
      </w:r>
      <w:r>
        <w:rPr/>
        <w:t>Consultation Paper, </w:t>
      </w:r>
      <w:r>
        <w:rPr>
          <w:spacing w:val="-2"/>
        </w:rPr>
        <w:t>para.52.</w:t>
      </w:r>
    </w:p>
    <w:p>
      <w:pPr>
        <w:pStyle w:val="BodyText"/>
        <w:spacing w:before="4"/>
      </w:pPr>
    </w:p>
    <w:p>
      <w:pPr>
        <w:pStyle w:val="BodyText"/>
        <w:tabs>
          <w:tab w:pos="705" w:val="left" w:leader="none"/>
        </w:tabs>
        <w:spacing w:before="1"/>
        <w:ind w:left="165"/>
      </w:pPr>
      <w:bookmarkStart w:name="_bookmark1559" w:id="1561"/>
      <w:bookmarkEnd w:id="1561"/>
      <w:r>
        <w:rPr/>
      </w:r>
      <w:hyperlink w:history="true" w:anchor="_bookmark1502">
        <w:r>
          <w:rPr>
            <w:color w:val="005DA1"/>
            <w:spacing w:val="-4"/>
            <w:position w:val="5"/>
            <w:sz w:val="14"/>
            <w:u w:val="single" w:color="005DA1"/>
          </w:rPr>
          <w:t>806</w:t>
        </w:r>
      </w:hyperlink>
      <w:r>
        <w:rPr>
          <w:spacing w:val="-4"/>
          <w:position w:val="5"/>
          <w:sz w:val="14"/>
        </w:rPr>
        <w:t>.</w:t>
      </w:r>
      <w:r>
        <w:rPr>
          <w:position w:val="5"/>
          <w:sz w:val="14"/>
        </w:rPr>
        <w:tab/>
      </w:r>
      <w:r>
        <w:rPr/>
        <w:t>Consultation Paper, </w:t>
      </w:r>
      <w:r>
        <w:rPr>
          <w:spacing w:val="-2"/>
        </w:rPr>
        <w:t>para.52.</w:t>
      </w:r>
    </w:p>
    <w:p>
      <w:pPr>
        <w:pStyle w:val="BodyText"/>
        <w:spacing w:before="8"/>
      </w:pPr>
    </w:p>
    <w:p>
      <w:pPr>
        <w:pStyle w:val="BodyText"/>
        <w:tabs>
          <w:tab w:pos="705" w:val="left" w:leader="none"/>
        </w:tabs>
        <w:spacing w:line="235" w:lineRule="auto"/>
        <w:ind w:left="705" w:right="168" w:hanging="541"/>
      </w:pPr>
      <w:bookmarkStart w:name="_bookmark1560" w:id="1562"/>
      <w:bookmarkEnd w:id="1562"/>
      <w:r>
        <w:rPr/>
      </w:r>
      <w:hyperlink w:history="true" w:anchor="_bookmark1503">
        <w:r>
          <w:rPr>
            <w:color w:val="005DA1"/>
            <w:spacing w:val="-4"/>
            <w:position w:val="5"/>
            <w:sz w:val="14"/>
            <w:u w:val="single" w:color="005DA1"/>
          </w:rPr>
          <w:t>807</w:t>
        </w:r>
      </w:hyperlink>
      <w:r>
        <w:rPr>
          <w:spacing w:val="-4"/>
          <w:position w:val="5"/>
          <w:sz w:val="14"/>
        </w:rPr>
        <w:t>.</w:t>
      </w:r>
      <w:r>
        <w:rPr>
          <w:position w:val="5"/>
          <w:sz w:val="14"/>
        </w:rPr>
        <w:tab/>
      </w:r>
      <w:r>
        <w:rPr/>
        <w:t>See Rome I Recital 19. As to the meaning of habitual residence, see above, paras 30-163 et</w:t>
      </w:r>
      <w:r>
        <w:rPr>
          <w:spacing w:val="80"/>
        </w:rPr>
        <w:t> </w:t>
      </w:r>
      <w:r>
        <w:rPr/>
        <w:t>seq. See on these Dicey, Morris and Collins, 15th edn (2012), paras 32-075 et seq.</w:t>
      </w:r>
    </w:p>
    <w:p>
      <w:pPr>
        <w:pStyle w:val="BodyText"/>
        <w:spacing w:before="6"/>
      </w:pPr>
    </w:p>
    <w:p>
      <w:pPr>
        <w:pStyle w:val="BodyText"/>
        <w:tabs>
          <w:tab w:pos="705" w:val="left" w:leader="none"/>
        </w:tabs>
        <w:ind w:left="165"/>
      </w:pPr>
      <w:bookmarkStart w:name="_bookmark1561" w:id="1563"/>
      <w:bookmarkEnd w:id="1563"/>
      <w:r>
        <w:rPr/>
      </w:r>
      <w:hyperlink w:history="true" w:anchor="_bookmark1504">
        <w:r>
          <w:rPr>
            <w:color w:val="005DA1"/>
            <w:spacing w:val="-4"/>
            <w:position w:val="5"/>
            <w:sz w:val="14"/>
            <w:u w:val="single" w:color="005DA1"/>
          </w:rPr>
          <w:t>808</w:t>
        </w:r>
      </w:hyperlink>
      <w:r>
        <w:rPr>
          <w:spacing w:val="-4"/>
          <w:position w:val="5"/>
          <w:sz w:val="14"/>
        </w:rPr>
        <w:t>.</w:t>
      </w:r>
      <w:r>
        <w:rPr>
          <w:position w:val="5"/>
          <w:sz w:val="14"/>
        </w:rPr>
        <w:tab/>
      </w:r>
      <w:r>
        <w:rPr/>
        <w:t>See</w:t>
      </w:r>
      <w:r>
        <w:rPr>
          <w:spacing w:val="-2"/>
        </w:rPr>
        <w:t> </w:t>
      </w:r>
      <w:r>
        <w:rPr/>
        <w:t>above, para.30-</w:t>
      </w:r>
      <w:r>
        <w:rPr>
          <w:spacing w:val="-4"/>
        </w:rPr>
        <w:t>076.</w:t>
      </w:r>
    </w:p>
    <w:p>
      <w:pPr>
        <w:pStyle w:val="BodyText"/>
        <w:spacing w:before="5"/>
      </w:pPr>
    </w:p>
    <w:p>
      <w:pPr>
        <w:pStyle w:val="BodyText"/>
        <w:tabs>
          <w:tab w:pos="705" w:val="left" w:leader="none"/>
        </w:tabs>
        <w:ind w:left="165"/>
      </w:pPr>
      <w:bookmarkStart w:name="_bookmark1562" w:id="1564"/>
      <w:bookmarkEnd w:id="1564"/>
      <w:r>
        <w:rPr/>
      </w:r>
      <w:hyperlink w:history="true" w:anchor="_bookmark1505">
        <w:r>
          <w:rPr>
            <w:color w:val="005DA1"/>
            <w:spacing w:val="-4"/>
            <w:position w:val="5"/>
            <w:sz w:val="14"/>
            <w:u w:val="single" w:color="005DA1"/>
          </w:rPr>
          <w:t>809</w:t>
        </w:r>
      </w:hyperlink>
      <w:r>
        <w:rPr>
          <w:spacing w:val="-4"/>
          <w:position w:val="5"/>
          <w:sz w:val="14"/>
        </w:rPr>
        <w:t>.</w:t>
      </w:r>
      <w:r>
        <w:rPr>
          <w:position w:val="5"/>
          <w:sz w:val="14"/>
        </w:rPr>
        <w:tab/>
      </w:r>
      <w:r>
        <w:rPr/>
        <w:t>Rome I art.7 (below, paras 30-252 et seq.) does not apply to reinsurance </w:t>
      </w:r>
      <w:r>
        <w:rPr>
          <w:spacing w:val="-2"/>
        </w:rPr>
        <w:t>contracts.</w:t>
      </w:r>
    </w:p>
    <w:p>
      <w:pPr>
        <w:pStyle w:val="BodyText"/>
        <w:spacing w:before="9"/>
      </w:pPr>
    </w:p>
    <w:p>
      <w:pPr>
        <w:tabs>
          <w:tab w:pos="705" w:val="left" w:leader="none"/>
        </w:tabs>
        <w:spacing w:line="235" w:lineRule="auto" w:before="0"/>
        <w:ind w:left="705" w:right="168" w:hanging="541"/>
        <w:jc w:val="left"/>
        <w:rPr>
          <w:sz w:val="20"/>
        </w:rPr>
      </w:pPr>
      <w:bookmarkStart w:name="_bookmark1563" w:id="1565"/>
      <w:bookmarkEnd w:id="1565"/>
      <w:r>
        <w:rPr/>
      </w:r>
      <w:hyperlink w:history="true" w:anchor="_bookmark1506">
        <w:r>
          <w:rPr>
            <w:color w:val="005DA1"/>
            <w:spacing w:val="-4"/>
            <w:position w:val="5"/>
            <w:sz w:val="14"/>
            <w:u w:val="single" w:color="005DA1"/>
          </w:rPr>
          <w:t>810</w:t>
        </w:r>
      </w:hyperlink>
      <w:r>
        <w:rPr>
          <w:spacing w:val="-4"/>
          <w:position w:val="5"/>
          <w:sz w:val="14"/>
        </w:rPr>
        <w:t>.</w:t>
      </w:r>
      <w:r>
        <w:rPr>
          <w:position w:val="5"/>
          <w:sz w:val="14"/>
        </w:rPr>
        <w:tab/>
      </w:r>
      <w:r>
        <w:rPr>
          <w:sz w:val="20"/>
        </w:rPr>
        <w:t>See below, para.30-206. cf. on letters of credit </w:t>
      </w:r>
      <w:r>
        <w:rPr>
          <w:rFonts w:ascii="Arial"/>
          <w:i/>
          <w:sz w:val="20"/>
        </w:rPr>
        <w:t>Taurus Petroleum Ltd v State Oil Marketing </w:t>
      </w:r>
      <w:r>
        <w:rPr>
          <w:rFonts w:ascii="Arial"/>
          <w:i/>
          <w:sz w:val="20"/>
        </w:rPr>
        <w:t>Co</w:t>
      </w:r>
      <w:r>
        <w:rPr>
          <w:rFonts w:ascii="Arial"/>
          <w:i/>
          <w:spacing w:val="40"/>
          <w:sz w:val="20"/>
        </w:rPr>
        <w:t> </w:t>
      </w:r>
      <w:r>
        <w:rPr>
          <w:rFonts w:ascii="Arial"/>
          <w:i/>
          <w:sz w:val="20"/>
        </w:rPr>
        <w:t>of the Ministry of Oil Iraq [2013] EWHC 3494 (Comm), [2014] 1 All E.R. (Comm) 942</w:t>
      </w:r>
      <w:r>
        <w:rPr>
          <w:sz w:val="20"/>
        </w:rPr>
        <w:t>.</w:t>
      </w:r>
    </w:p>
    <w:p>
      <w:pPr>
        <w:pStyle w:val="BodyText"/>
        <w:spacing w:before="5"/>
      </w:pPr>
    </w:p>
    <w:p>
      <w:pPr>
        <w:pStyle w:val="BodyText"/>
        <w:tabs>
          <w:tab w:pos="705" w:val="left" w:leader="none"/>
        </w:tabs>
        <w:ind w:left="165"/>
      </w:pPr>
      <w:bookmarkStart w:name="_bookmark1564" w:id="1566"/>
      <w:bookmarkEnd w:id="1566"/>
      <w:r>
        <w:rPr/>
      </w:r>
      <w:hyperlink w:history="true" w:anchor="_bookmark1507">
        <w:r>
          <w:rPr>
            <w:color w:val="005DA1"/>
            <w:spacing w:val="-4"/>
            <w:position w:val="5"/>
            <w:sz w:val="14"/>
            <w:u w:val="single" w:color="005DA1"/>
          </w:rPr>
          <w:t>811</w:t>
        </w:r>
      </w:hyperlink>
      <w:r>
        <w:rPr>
          <w:spacing w:val="-4"/>
          <w:position w:val="5"/>
          <w:sz w:val="14"/>
        </w:rPr>
        <w:t>.</w:t>
      </w:r>
      <w:r>
        <w:rPr>
          <w:position w:val="5"/>
          <w:sz w:val="14"/>
        </w:rPr>
        <w:tab/>
      </w:r>
      <w:r>
        <w:rPr/>
        <w:t>Above,</w:t>
      </w:r>
      <w:r>
        <w:rPr>
          <w:spacing w:val="-2"/>
        </w:rPr>
        <w:t> </w:t>
      </w:r>
      <w:r>
        <w:rPr/>
        <w:t>paras 30-072 et </w:t>
      </w:r>
      <w:r>
        <w:rPr>
          <w:spacing w:val="-4"/>
        </w:rPr>
        <w:t>seq.</w:t>
      </w:r>
    </w:p>
    <w:p>
      <w:pPr>
        <w:pStyle w:val="BodyText"/>
        <w:spacing w:before="5"/>
      </w:pPr>
    </w:p>
    <w:p>
      <w:pPr>
        <w:pStyle w:val="BodyText"/>
        <w:tabs>
          <w:tab w:pos="705" w:val="left" w:leader="none"/>
        </w:tabs>
        <w:ind w:left="165"/>
      </w:pPr>
      <w:bookmarkStart w:name="_bookmark1565" w:id="1567"/>
      <w:bookmarkEnd w:id="1567"/>
      <w:r>
        <w:rPr/>
      </w:r>
      <w:hyperlink w:history="true" w:anchor="_bookmark1508">
        <w:r>
          <w:rPr>
            <w:color w:val="005DA1"/>
            <w:spacing w:val="-4"/>
            <w:position w:val="5"/>
            <w:sz w:val="14"/>
            <w:u w:val="single" w:color="005DA1"/>
          </w:rPr>
          <w:t>812</w:t>
        </w:r>
      </w:hyperlink>
      <w:r>
        <w:rPr>
          <w:spacing w:val="-4"/>
          <w:position w:val="5"/>
          <w:sz w:val="14"/>
        </w:rPr>
        <w:t>.</w:t>
      </w:r>
      <w:r>
        <w:rPr>
          <w:position w:val="5"/>
          <w:sz w:val="14"/>
        </w:rPr>
        <w:tab/>
      </w:r>
      <w:r>
        <w:rPr/>
        <w:t>Above,</w:t>
      </w:r>
      <w:r>
        <w:rPr>
          <w:spacing w:val="-2"/>
        </w:rPr>
        <w:t> </w:t>
      </w:r>
      <w:r>
        <w:rPr/>
        <w:t>paras 30-163 et </w:t>
      </w:r>
      <w:r>
        <w:rPr>
          <w:spacing w:val="-4"/>
        </w:rPr>
        <w:t>seq.</w:t>
      </w:r>
    </w:p>
    <w:p>
      <w:pPr>
        <w:pStyle w:val="BodyText"/>
        <w:spacing w:before="5"/>
      </w:pPr>
    </w:p>
    <w:p>
      <w:pPr>
        <w:pStyle w:val="BodyText"/>
        <w:tabs>
          <w:tab w:pos="705" w:val="left" w:leader="none"/>
        </w:tabs>
        <w:ind w:left="165"/>
      </w:pPr>
      <w:bookmarkStart w:name="_bookmark1566" w:id="1568"/>
      <w:bookmarkEnd w:id="1568"/>
      <w:r>
        <w:rPr/>
      </w:r>
      <w:hyperlink w:history="true" w:anchor="_bookmark1509">
        <w:r>
          <w:rPr>
            <w:color w:val="005DA1"/>
            <w:spacing w:val="-4"/>
            <w:position w:val="5"/>
            <w:sz w:val="14"/>
            <w:u w:val="single" w:color="005DA1"/>
          </w:rPr>
          <w:t>813</w:t>
        </w:r>
      </w:hyperlink>
      <w:r>
        <w:rPr>
          <w:spacing w:val="-4"/>
          <w:position w:val="5"/>
          <w:sz w:val="14"/>
        </w:rPr>
        <w:t>.</w:t>
      </w:r>
      <w:r>
        <w:rPr>
          <w:position w:val="5"/>
          <w:sz w:val="14"/>
        </w:rPr>
        <w:tab/>
      </w:r>
      <w:r>
        <w:rPr/>
        <w:t>As to the meaning of habitual residence, see above, paras 30-163 et </w:t>
      </w:r>
      <w:r>
        <w:rPr>
          <w:spacing w:val="-4"/>
        </w:rPr>
        <w:t>seq.</w:t>
      </w:r>
    </w:p>
    <w:p>
      <w:pPr>
        <w:pStyle w:val="BodyText"/>
        <w:spacing w:before="5"/>
      </w:pPr>
    </w:p>
    <w:p>
      <w:pPr>
        <w:pStyle w:val="BodyText"/>
        <w:tabs>
          <w:tab w:pos="705" w:val="left" w:leader="none"/>
        </w:tabs>
        <w:ind w:left="165"/>
      </w:pPr>
      <w:bookmarkStart w:name="_bookmark1567" w:id="1569"/>
      <w:bookmarkEnd w:id="1569"/>
      <w:r>
        <w:rPr/>
      </w:r>
      <w:hyperlink w:history="true" w:anchor="_bookmark1510">
        <w:r>
          <w:rPr>
            <w:color w:val="005DA1"/>
            <w:spacing w:val="-4"/>
            <w:position w:val="5"/>
            <w:sz w:val="14"/>
            <w:u w:val="single" w:color="005DA1"/>
          </w:rPr>
          <w:t>814</w:t>
        </w:r>
      </w:hyperlink>
      <w:r>
        <w:rPr>
          <w:spacing w:val="-4"/>
          <w:position w:val="5"/>
          <w:sz w:val="14"/>
        </w:rPr>
        <w:t>.</w:t>
      </w:r>
      <w:r>
        <w:rPr>
          <w:position w:val="5"/>
          <w:sz w:val="14"/>
        </w:rPr>
        <w:tab/>
      </w:r>
      <w:r>
        <w:rPr/>
        <w:t>See Recital 19 to the </w:t>
      </w:r>
      <w:r>
        <w:rPr>
          <w:spacing w:val="-2"/>
        </w:rPr>
        <w:t>Regulation.</w:t>
      </w:r>
    </w:p>
    <w:p>
      <w:pPr>
        <w:pStyle w:val="BodyText"/>
        <w:spacing w:before="9"/>
      </w:pPr>
    </w:p>
    <w:p>
      <w:pPr>
        <w:tabs>
          <w:tab w:pos="705" w:val="left" w:leader="none"/>
        </w:tabs>
        <w:spacing w:line="235" w:lineRule="auto" w:before="0"/>
        <w:ind w:left="705" w:right="168" w:hanging="541"/>
        <w:jc w:val="left"/>
        <w:rPr>
          <w:sz w:val="20"/>
        </w:rPr>
      </w:pPr>
      <w:bookmarkStart w:name="_bookmark1568" w:id="1570"/>
      <w:bookmarkEnd w:id="1570"/>
      <w:r>
        <w:rPr/>
      </w:r>
      <w:hyperlink w:history="true" w:anchor="_bookmark1511">
        <w:r>
          <w:rPr>
            <w:color w:val="005DA1"/>
            <w:spacing w:val="-4"/>
            <w:position w:val="5"/>
            <w:sz w:val="14"/>
            <w:u w:val="single" w:color="005DA1"/>
          </w:rPr>
          <w:t>815</w:t>
        </w:r>
      </w:hyperlink>
      <w:r>
        <w:rPr>
          <w:spacing w:val="-4"/>
          <w:position w:val="5"/>
          <w:sz w:val="14"/>
        </w:rPr>
        <w:t>.</w:t>
      </w:r>
      <w:r>
        <w:rPr>
          <w:position w:val="5"/>
          <w:sz w:val="14"/>
        </w:rPr>
        <w:tab/>
      </w:r>
      <w:r>
        <w:rPr>
          <w:sz w:val="20"/>
        </w:rPr>
        <w:t>See</w:t>
      </w:r>
      <w:r>
        <w:rPr>
          <w:spacing w:val="20"/>
          <w:sz w:val="20"/>
        </w:rPr>
        <w:t> </w:t>
      </w:r>
      <w:r>
        <w:rPr>
          <w:rFonts w:ascii="Arial"/>
          <w:i/>
          <w:sz w:val="20"/>
        </w:rPr>
        <w:t>Print</w:t>
      </w:r>
      <w:r>
        <w:rPr>
          <w:rFonts w:ascii="Arial"/>
          <w:i/>
          <w:spacing w:val="19"/>
          <w:sz w:val="20"/>
        </w:rPr>
        <w:t> </w:t>
      </w:r>
      <w:r>
        <w:rPr>
          <w:rFonts w:ascii="Arial"/>
          <w:i/>
          <w:sz w:val="20"/>
        </w:rPr>
        <w:t>Concept</w:t>
      </w:r>
      <w:r>
        <w:rPr>
          <w:rFonts w:ascii="Arial"/>
          <w:i/>
          <w:spacing w:val="20"/>
          <w:sz w:val="20"/>
        </w:rPr>
        <w:t> </w:t>
      </w:r>
      <w:r>
        <w:rPr>
          <w:rFonts w:ascii="Arial"/>
          <w:i/>
          <w:sz w:val="20"/>
        </w:rPr>
        <w:t>GmbH</w:t>
      </w:r>
      <w:r>
        <w:rPr>
          <w:rFonts w:ascii="Arial"/>
          <w:i/>
          <w:spacing w:val="19"/>
          <w:sz w:val="20"/>
        </w:rPr>
        <w:t> </w:t>
      </w:r>
      <w:r>
        <w:rPr>
          <w:rFonts w:ascii="Arial"/>
          <w:i/>
          <w:sz w:val="20"/>
        </w:rPr>
        <w:t>v</w:t>
      </w:r>
      <w:r>
        <w:rPr>
          <w:rFonts w:ascii="Arial"/>
          <w:i/>
          <w:spacing w:val="20"/>
          <w:sz w:val="20"/>
        </w:rPr>
        <w:t> </w:t>
      </w:r>
      <w:r>
        <w:rPr>
          <w:rFonts w:ascii="Arial"/>
          <w:i/>
          <w:sz w:val="20"/>
        </w:rPr>
        <w:t>GEW</w:t>
      </w:r>
      <w:r>
        <w:rPr>
          <w:rFonts w:ascii="Arial"/>
          <w:i/>
          <w:spacing w:val="19"/>
          <w:sz w:val="20"/>
        </w:rPr>
        <w:t> </w:t>
      </w:r>
      <w:r>
        <w:rPr>
          <w:rFonts w:ascii="Arial"/>
          <w:i/>
          <w:sz w:val="20"/>
        </w:rPr>
        <w:t>(EC)</w:t>
      </w:r>
      <w:r>
        <w:rPr>
          <w:rFonts w:ascii="Arial"/>
          <w:i/>
          <w:spacing w:val="20"/>
          <w:sz w:val="20"/>
        </w:rPr>
        <w:t> </w:t>
      </w:r>
      <w:r>
        <w:rPr>
          <w:rFonts w:ascii="Arial"/>
          <w:i/>
          <w:sz w:val="20"/>
        </w:rPr>
        <w:t>Ltd</w:t>
      </w:r>
      <w:r>
        <w:rPr>
          <w:rFonts w:ascii="Arial"/>
          <w:i/>
          <w:spacing w:val="19"/>
          <w:sz w:val="20"/>
        </w:rPr>
        <w:t> </w:t>
      </w:r>
      <w:r>
        <w:rPr>
          <w:rFonts w:ascii="Arial"/>
          <w:i/>
          <w:sz w:val="20"/>
        </w:rPr>
        <w:t>[2001]</w:t>
      </w:r>
      <w:r>
        <w:rPr>
          <w:rFonts w:ascii="Arial"/>
          <w:i/>
          <w:spacing w:val="20"/>
          <w:sz w:val="20"/>
        </w:rPr>
        <w:t> </w:t>
      </w:r>
      <w:r>
        <w:rPr>
          <w:rFonts w:ascii="Arial"/>
          <w:i/>
          <w:sz w:val="20"/>
        </w:rPr>
        <w:t>EWCA</w:t>
      </w:r>
      <w:r>
        <w:rPr>
          <w:rFonts w:ascii="Arial"/>
          <w:i/>
          <w:spacing w:val="19"/>
          <w:sz w:val="20"/>
        </w:rPr>
        <w:t> </w:t>
      </w:r>
      <w:r>
        <w:rPr>
          <w:rFonts w:ascii="Arial"/>
          <w:i/>
          <w:sz w:val="20"/>
        </w:rPr>
        <w:t>Civ</w:t>
      </w:r>
      <w:r>
        <w:rPr>
          <w:rFonts w:ascii="Arial"/>
          <w:i/>
          <w:spacing w:val="20"/>
          <w:sz w:val="20"/>
        </w:rPr>
        <w:t> </w:t>
      </w:r>
      <w:r>
        <w:rPr>
          <w:rFonts w:ascii="Arial"/>
          <w:i/>
          <w:sz w:val="20"/>
        </w:rPr>
        <w:t>352,</w:t>
      </w:r>
      <w:r>
        <w:rPr>
          <w:rFonts w:ascii="Arial"/>
          <w:i/>
          <w:spacing w:val="19"/>
          <w:sz w:val="20"/>
        </w:rPr>
        <w:t> </w:t>
      </w:r>
      <w:r>
        <w:rPr>
          <w:rFonts w:ascii="Arial"/>
          <w:i/>
          <w:sz w:val="20"/>
        </w:rPr>
        <w:t>[2002]</w:t>
      </w:r>
      <w:r>
        <w:rPr>
          <w:rFonts w:ascii="Arial"/>
          <w:i/>
          <w:spacing w:val="20"/>
          <w:sz w:val="20"/>
        </w:rPr>
        <w:t> </w:t>
      </w:r>
      <w:r>
        <w:rPr>
          <w:rFonts w:ascii="Arial"/>
          <w:i/>
          <w:sz w:val="20"/>
        </w:rPr>
        <w:t>C.L.C.</w:t>
      </w:r>
      <w:r>
        <w:rPr>
          <w:rFonts w:ascii="Arial"/>
          <w:i/>
          <w:spacing w:val="19"/>
          <w:sz w:val="20"/>
        </w:rPr>
        <w:t> </w:t>
      </w:r>
      <w:r>
        <w:rPr>
          <w:rFonts w:ascii="Arial"/>
          <w:i/>
          <w:sz w:val="20"/>
        </w:rPr>
        <w:t>352</w:t>
      </w:r>
      <w:r>
        <w:rPr>
          <w:sz w:val="20"/>
        </w:rPr>
        <w:t>;</w:t>
      </w:r>
      <w:r>
        <w:rPr>
          <w:spacing w:val="20"/>
          <w:sz w:val="20"/>
        </w:rPr>
        <w:t> </w:t>
      </w:r>
      <w:r>
        <w:rPr>
          <w:sz w:val="20"/>
        </w:rPr>
        <w:t>above, paras 30-075, 30-076.</w:t>
      </w:r>
    </w:p>
    <w:p>
      <w:pPr>
        <w:pStyle w:val="BodyText"/>
        <w:spacing w:before="6"/>
      </w:pPr>
    </w:p>
    <w:p>
      <w:pPr>
        <w:pStyle w:val="BodyText"/>
        <w:tabs>
          <w:tab w:pos="705" w:val="left" w:leader="none"/>
        </w:tabs>
        <w:ind w:left="165"/>
      </w:pPr>
      <w:bookmarkStart w:name="_bookmark1569" w:id="1571"/>
      <w:bookmarkEnd w:id="1571"/>
      <w:r>
        <w:rPr/>
      </w:r>
      <w:hyperlink w:history="true" w:anchor="_bookmark1511">
        <w:r>
          <w:rPr>
            <w:color w:val="005DA1"/>
            <w:spacing w:val="-4"/>
            <w:position w:val="5"/>
            <w:sz w:val="14"/>
            <w:u w:val="single" w:color="005DA1"/>
          </w:rPr>
          <w:t>816</w:t>
        </w:r>
      </w:hyperlink>
      <w:r>
        <w:rPr>
          <w:spacing w:val="-4"/>
          <w:position w:val="5"/>
          <w:sz w:val="14"/>
        </w:rPr>
        <w:t>.</w:t>
      </w:r>
      <w:r>
        <w:rPr>
          <w:position w:val="5"/>
          <w:sz w:val="14"/>
        </w:rPr>
        <w:tab/>
      </w:r>
      <w:r>
        <w:rPr/>
        <w:t>Above,</w:t>
      </w:r>
      <w:r>
        <w:rPr>
          <w:spacing w:val="-2"/>
        </w:rPr>
        <w:t> </w:t>
      </w:r>
      <w:r>
        <w:rPr/>
        <w:t>paras 30-199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570" w:id="1572"/>
      <w:bookmarkEnd w:id="1572"/>
      <w:r>
        <w:rPr/>
      </w:r>
      <w:hyperlink w:history="true" w:anchor="_bookmark1512">
        <w:r>
          <w:rPr>
            <w:color w:val="005DA1"/>
            <w:spacing w:val="-4"/>
            <w:position w:val="5"/>
            <w:sz w:val="14"/>
            <w:u w:val="single" w:color="005DA1"/>
          </w:rPr>
          <w:t>817</w:t>
        </w:r>
      </w:hyperlink>
      <w:r>
        <w:rPr>
          <w:spacing w:val="-4"/>
          <w:position w:val="5"/>
          <w:sz w:val="14"/>
        </w:rPr>
        <w:t>.</w:t>
      </w:r>
      <w:r>
        <w:rPr>
          <w:position w:val="5"/>
          <w:sz w:val="14"/>
        </w:rPr>
        <w:tab/>
      </w:r>
      <w:r>
        <w:rPr>
          <w:sz w:val="20"/>
        </w:rPr>
        <w:t>Emphasis </w:t>
      </w:r>
      <w:r>
        <w:rPr>
          <w:spacing w:val="-2"/>
          <w:sz w:val="20"/>
        </w:rPr>
        <w:t>added.</w:t>
      </w:r>
    </w:p>
    <w:p>
      <w:pPr>
        <w:pStyle w:val="BodyText"/>
        <w:spacing w:before="8"/>
      </w:pPr>
    </w:p>
    <w:p>
      <w:pPr>
        <w:tabs>
          <w:tab w:pos="705" w:val="left" w:leader="none"/>
        </w:tabs>
        <w:spacing w:line="235" w:lineRule="auto" w:before="1"/>
        <w:ind w:left="705" w:right="168" w:hanging="541"/>
        <w:jc w:val="left"/>
        <w:rPr>
          <w:sz w:val="20"/>
        </w:rPr>
      </w:pPr>
      <w:bookmarkStart w:name="_bookmark1571" w:id="1573"/>
      <w:bookmarkEnd w:id="1573"/>
      <w:r>
        <w:rPr/>
      </w:r>
      <w:hyperlink w:history="true" w:anchor="_bookmark1513">
        <w:r>
          <w:rPr>
            <w:color w:val="005DA1"/>
            <w:spacing w:val="-4"/>
            <w:position w:val="5"/>
            <w:sz w:val="14"/>
            <w:u w:val="single" w:color="005DA1"/>
          </w:rPr>
          <w:t>818</w:t>
        </w:r>
      </w:hyperlink>
      <w:r>
        <w:rPr>
          <w:spacing w:val="-4"/>
          <w:position w:val="5"/>
          <w:sz w:val="14"/>
        </w:rPr>
        <w:t>.</w:t>
      </w:r>
      <w:r>
        <w:rPr>
          <w:position w:val="5"/>
          <w:sz w:val="14"/>
        </w:rPr>
        <w:tab/>
      </w:r>
      <w:r>
        <w:rPr>
          <w:sz w:val="20"/>
        </w:rPr>
        <w:t>cf.</w:t>
      </w:r>
      <w:r>
        <w:rPr>
          <w:spacing w:val="37"/>
          <w:sz w:val="20"/>
        </w:rPr>
        <w:t> </w:t>
      </w:r>
      <w:r>
        <w:rPr>
          <w:rFonts w:ascii="Arial"/>
          <w:i/>
          <w:sz w:val="20"/>
        </w:rPr>
        <w:t>Shenavai</w:t>
      </w:r>
      <w:r>
        <w:rPr>
          <w:rFonts w:ascii="Arial"/>
          <w:i/>
          <w:spacing w:val="37"/>
          <w:sz w:val="20"/>
        </w:rPr>
        <w:t> </w:t>
      </w:r>
      <w:r>
        <w:rPr>
          <w:rFonts w:ascii="Arial"/>
          <w:i/>
          <w:sz w:val="20"/>
        </w:rPr>
        <w:t>v</w:t>
      </w:r>
      <w:r>
        <w:rPr>
          <w:rFonts w:ascii="Arial"/>
          <w:i/>
          <w:spacing w:val="37"/>
          <w:sz w:val="20"/>
        </w:rPr>
        <w:t> </w:t>
      </w:r>
      <w:r>
        <w:rPr>
          <w:rFonts w:ascii="Arial"/>
          <w:i/>
          <w:sz w:val="20"/>
        </w:rPr>
        <w:t>Kreischer</w:t>
      </w:r>
      <w:r>
        <w:rPr>
          <w:rFonts w:ascii="Arial"/>
          <w:i/>
          <w:spacing w:val="37"/>
          <w:sz w:val="20"/>
        </w:rPr>
        <w:t> </w:t>
      </w:r>
      <w:r>
        <w:rPr>
          <w:rFonts w:ascii="Arial"/>
          <w:i/>
          <w:sz w:val="20"/>
        </w:rPr>
        <w:t>(C-266/85)</w:t>
      </w:r>
      <w:r>
        <w:rPr>
          <w:rFonts w:ascii="Arial"/>
          <w:i/>
          <w:spacing w:val="37"/>
          <w:sz w:val="20"/>
        </w:rPr>
        <w:t> </w:t>
      </w:r>
      <w:r>
        <w:rPr>
          <w:rFonts w:ascii="Arial"/>
          <w:i/>
          <w:sz w:val="20"/>
        </w:rPr>
        <w:t>[1987]</w:t>
      </w:r>
      <w:r>
        <w:rPr>
          <w:rFonts w:ascii="Arial"/>
          <w:i/>
          <w:spacing w:val="37"/>
          <w:sz w:val="20"/>
        </w:rPr>
        <w:t> </w:t>
      </w:r>
      <w:r>
        <w:rPr>
          <w:rFonts w:ascii="Arial"/>
          <w:i/>
          <w:sz w:val="20"/>
        </w:rPr>
        <w:t>E.C.R.</w:t>
      </w:r>
      <w:r>
        <w:rPr>
          <w:rFonts w:ascii="Arial"/>
          <w:i/>
          <w:spacing w:val="37"/>
          <w:sz w:val="20"/>
        </w:rPr>
        <w:t> </w:t>
      </w:r>
      <w:r>
        <w:rPr>
          <w:rFonts w:ascii="Arial"/>
          <w:i/>
          <w:sz w:val="20"/>
        </w:rPr>
        <w:t>239</w:t>
      </w:r>
      <w:r>
        <w:rPr>
          <w:sz w:val="20"/>
        </w:rPr>
        <w:t>;</w:t>
      </w:r>
      <w:r>
        <w:rPr>
          <w:spacing w:val="37"/>
          <w:sz w:val="20"/>
        </w:rPr>
        <w:t> </w:t>
      </w:r>
      <w:r>
        <w:rPr>
          <w:rFonts w:ascii="Arial"/>
          <w:i/>
          <w:sz w:val="20"/>
        </w:rPr>
        <w:t>Intercontainer</w:t>
      </w:r>
      <w:r>
        <w:rPr>
          <w:rFonts w:ascii="Arial"/>
          <w:i/>
          <w:spacing w:val="37"/>
          <w:sz w:val="20"/>
        </w:rPr>
        <w:t> </w:t>
      </w:r>
      <w:r>
        <w:rPr>
          <w:rFonts w:ascii="Arial"/>
          <w:i/>
          <w:sz w:val="20"/>
        </w:rPr>
        <w:t>Interfrigo</w:t>
      </w:r>
      <w:r>
        <w:rPr>
          <w:rFonts w:ascii="Arial"/>
          <w:i/>
          <w:spacing w:val="37"/>
          <w:sz w:val="20"/>
        </w:rPr>
        <w:t> </w:t>
      </w:r>
      <w:r>
        <w:rPr>
          <w:rFonts w:ascii="Arial"/>
          <w:i/>
          <w:sz w:val="20"/>
        </w:rPr>
        <w:t>SC</w:t>
      </w:r>
      <w:r>
        <w:rPr>
          <w:rFonts w:ascii="Arial"/>
          <w:i/>
          <w:spacing w:val="37"/>
          <w:sz w:val="20"/>
        </w:rPr>
        <w:t> </w:t>
      </w:r>
      <w:r>
        <w:rPr>
          <w:rFonts w:ascii="Arial"/>
          <w:i/>
          <w:sz w:val="20"/>
        </w:rPr>
        <w:t>(ICF)</w:t>
      </w:r>
      <w:r>
        <w:rPr>
          <w:rFonts w:ascii="Arial"/>
          <w:i/>
          <w:spacing w:val="37"/>
          <w:sz w:val="20"/>
        </w:rPr>
        <w:t> </w:t>
      </w:r>
      <w:r>
        <w:rPr>
          <w:rFonts w:ascii="Arial"/>
          <w:i/>
          <w:sz w:val="20"/>
        </w:rPr>
        <w:t>v Balkenende Oosthuizen BV (C-133/08) [2010] Q.B. 411</w:t>
      </w:r>
      <w:r>
        <w:rPr>
          <w:sz w:val="20"/>
        </w:rPr>
        <w:t>.</w:t>
      </w:r>
    </w:p>
    <w:p>
      <w:pPr>
        <w:spacing w:after="0" w:line="235" w:lineRule="auto"/>
        <w:jc w:val="left"/>
        <w:rPr>
          <w:sz w:val="20"/>
        </w:rPr>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1514">
        <w:r>
          <w:rPr>
            <w:color w:val="005DA1"/>
            <w:spacing w:val="-4"/>
            <w:position w:val="5"/>
            <w:sz w:val="14"/>
            <w:u w:val="single" w:color="005DA1"/>
          </w:rPr>
          <w:t>819</w:t>
        </w:r>
      </w:hyperlink>
      <w:r>
        <w:rPr>
          <w:spacing w:val="-4"/>
          <w:position w:val="5"/>
          <w:sz w:val="14"/>
        </w:rPr>
        <w:t>.</w:t>
      </w:r>
      <w:r>
        <w:rPr>
          <w:position w:val="5"/>
          <w:sz w:val="14"/>
        </w:rPr>
        <w:tab/>
      </w:r>
      <w:r>
        <w:rPr/>
        <w:t>See below, paras 30-206 et </w:t>
      </w:r>
      <w:r>
        <w:rPr>
          <w:spacing w:val="-4"/>
        </w:rPr>
        <w:t>seq.</w:t>
      </w:r>
    </w:p>
    <w:p>
      <w:pPr>
        <w:pStyle w:val="BodyText"/>
        <w:spacing w:before="5"/>
      </w:pPr>
    </w:p>
    <w:p>
      <w:pPr>
        <w:pStyle w:val="BodyText"/>
        <w:tabs>
          <w:tab w:pos="705" w:val="left" w:leader="none"/>
        </w:tabs>
        <w:spacing w:before="1"/>
        <w:ind w:left="165"/>
      </w:pPr>
      <w:bookmarkStart w:name="_bookmark1572" w:id="1574"/>
      <w:bookmarkEnd w:id="1574"/>
      <w:r>
        <w:rPr/>
      </w:r>
      <w:hyperlink w:history="true" w:anchor="_bookmark1515">
        <w:r>
          <w:rPr>
            <w:color w:val="005DA1"/>
            <w:spacing w:val="-4"/>
            <w:position w:val="5"/>
            <w:sz w:val="14"/>
            <w:u w:val="single" w:color="005DA1"/>
          </w:rPr>
          <w:t>820</w:t>
        </w:r>
      </w:hyperlink>
      <w:r>
        <w:rPr>
          <w:spacing w:val="-4"/>
          <w:position w:val="5"/>
          <w:sz w:val="14"/>
        </w:rPr>
        <w:t>.</w:t>
      </w:r>
      <w:r>
        <w:rPr>
          <w:position w:val="5"/>
          <w:sz w:val="14"/>
        </w:rPr>
        <w:tab/>
      </w:r>
      <w:r>
        <w:rPr/>
        <w:t>Above,</w:t>
      </w:r>
      <w:r>
        <w:rPr>
          <w:spacing w:val="-2"/>
        </w:rPr>
        <w:t> </w:t>
      </w:r>
      <w:r>
        <w:rPr/>
        <w:t>paras 30-163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1573" w:id="1575"/>
      <w:bookmarkEnd w:id="1575"/>
      <w:r>
        <w:rPr/>
      </w:r>
      <w:hyperlink w:history="true" w:anchor="_bookmark1516">
        <w:r>
          <w:rPr>
            <w:color w:val="005DA1"/>
            <w:spacing w:val="-4"/>
            <w:position w:val="5"/>
            <w:sz w:val="14"/>
            <w:u w:val="single" w:color="005DA1"/>
          </w:rPr>
          <w:t>821</w:t>
        </w:r>
      </w:hyperlink>
      <w:r>
        <w:rPr>
          <w:spacing w:val="-4"/>
          <w:position w:val="5"/>
          <w:sz w:val="14"/>
        </w:rPr>
        <w:t>.</w:t>
      </w:r>
      <w:r>
        <w:rPr>
          <w:position w:val="5"/>
          <w:sz w:val="14"/>
        </w:rPr>
        <w:tab/>
      </w:r>
      <w:r>
        <w:rPr>
          <w:sz w:val="20"/>
        </w:rPr>
        <w:t>Emphasis </w:t>
      </w:r>
      <w:r>
        <w:rPr>
          <w:spacing w:val="-2"/>
          <w:sz w:val="20"/>
        </w:rPr>
        <w:t>added.</w:t>
      </w:r>
    </w:p>
    <w:p>
      <w:pPr>
        <w:pStyle w:val="BodyText"/>
        <w:spacing w:before="8"/>
      </w:pPr>
    </w:p>
    <w:p>
      <w:pPr>
        <w:pStyle w:val="BodyText"/>
        <w:tabs>
          <w:tab w:pos="705" w:val="left" w:leader="none"/>
        </w:tabs>
        <w:spacing w:line="235" w:lineRule="auto"/>
        <w:ind w:left="705" w:right="168" w:hanging="541"/>
      </w:pPr>
      <w:bookmarkStart w:name="_bookmark1574" w:id="1576"/>
      <w:bookmarkEnd w:id="1576"/>
      <w:r>
        <w:rPr/>
      </w:r>
      <w:hyperlink w:history="true" w:anchor="_bookmark1517">
        <w:r>
          <w:rPr>
            <w:color w:val="005DA1"/>
            <w:spacing w:val="-4"/>
            <w:position w:val="5"/>
            <w:sz w:val="14"/>
            <w:u w:val="single" w:color="005DA1"/>
          </w:rPr>
          <w:t>822</w:t>
        </w:r>
      </w:hyperlink>
      <w:r>
        <w:rPr>
          <w:spacing w:val="-4"/>
          <w:position w:val="5"/>
          <w:sz w:val="14"/>
        </w:rPr>
        <w:t>.</w:t>
      </w:r>
      <w:r>
        <w:rPr>
          <w:position w:val="5"/>
          <w:sz w:val="14"/>
        </w:rPr>
        <w:tab/>
      </w:r>
      <w:r>
        <w:rPr/>
        <w:t>See Recital 16 to the Regulation. See Dicey, Morris and Collins, 15th edn (2012), paras 32-078 et seq.; Okoli and Arishe (2012) 8 J. Priv. Int. L. 513.</w:t>
      </w:r>
    </w:p>
    <w:p>
      <w:pPr>
        <w:pStyle w:val="BodyText"/>
        <w:spacing w:before="6"/>
      </w:pPr>
    </w:p>
    <w:p>
      <w:pPr>
        <w:pStyle w:val="BodyText"/>
        <w:tabs>
          <w:tab w:pos="705" w:val="left" w:leader="none"/>
        </w:tabs>
        <w:ind w:left="165"/>
      </w:pPr>
      <w:bookmarkStart w:name="_bookmark1575" w:id="1577"/>
      <w:bookmarkEnd w:id="1577"/>
      <w:r>
        <w:rPr/>
      </w:r>
      <w:hyperlink w:history="true" w:anchor="_bookmark1518">
        <w:r>
          <w:rPr>
            <w:color w:val="005DA1"/>
            <w:spacing w:val="-4"/>
            <w:position w:val="5"/>
            <w:sz w:val="14"/>
            <w:u w:val="single" w:color="005DA1"/>
          </w:rPr>
          <w:t>823</w:t>
        </w:r>
      </w:hyperlink>
      <w:r>
        <w:rPr>
          <w:spacing w:val="-4"/>
          <w:position w:val="5"/>
          <w:sz w:val="14"/>
        </w:rPr>
        <w:t>.</w:t>
      </w:r>
      <w:r>
        <w:rPr>
          <w:position w:val="5"/>
          <w:sz w:val="14"/>
        </w:rPr>
        <w:tab/>
      </w:r>
      <w:r>
        <w:rPr/>
        <w:t>Consultation Paper, </w:t>
      </w:r>
      <w:r>
        <w:rPr>
          <w:spacing w:val="-2"/>
        </w:rPr>
        <w:t>para.51.</w:t>
      </w:r>
    </w:p>
    <w:p>
      <w:pPr>
        <w:pStyle w:val="BodyText"/>
        <w:spacing w:before="5"/>
      </w:pPr>
    </w:p>
    <w:p>
      <w:pPr>
        <w:pStyle w:val="BodyText"/>
        <w:tabs>
          <w:tab w:pos="705" w:val="left" w:leader="none"/>
        </w:tabs>
        <w:ind w:left="165"/>
      </w:pPr>
      <w:bookmarkStart w:name="_bookmark1576" w:id="1578"/>
      <w:bookmarkEnd w:id="1578"/>
      <w:r>
        <w:rPr/>
      </w:r>
      <w:hyperlink w:history="true" w:anchor="_bookmark1519">
        <w:r>
          <w:rPr>
            <w:color w:val="005DA1"/>
            <w:spacing w:val="-4"/>
            <w:position w:val="5"/>
            <w:sz w:val="14"/>
            <w:u w:val="single" w:color="005DA1"/>
          </w:rPr>
          <w:t>824</w:t>
        </w:r>
      </w:hyperlink>
      <w:r>
        <w:rPr>
          <w:spacing w:val="-4"/>
          <w:position w:val="5"/>
          <w:sz w:val="14"/>
        </w:rPr>
        <w:t>.</w:t>
      </w:r>
      <w:r>
        <w:rPr>
          <w:position w:val="5"/>
          <w:sz w:val="14"/>
        </w:rPr>
        <w:tab/>
      </w:r>
      <w:r>
        <w:rPr/>
        <w:t>Above,</w:t>
      </w:r>
      <w:r>
        <w:rPr>
          <w:spacing w:val="-2"/>
        </w:rPr>
        <w:t> </w:t>
      </w:r>
      <w:r>
        <w:rPr/>
        <w:t>paras 30-089 et </w:t>
      </w:r>
      <w:r>
        <w:rPr>
          <w:spacing w:val="-4"/>
        </w:rPr>
        <w:t>seq.</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7824">
            <wp:simplePos x="0" y="0"/>
            <wp:positionH relativeFrom="page">
              <wp:posOffset>1257846</wp:posOffset>
            </wp:positionH>
            <wp:positionV relativeFrom="paragraph">
              <wp:posOffset>160158</wp:posOffset>
            </wp:positionV>
            <wp:extent cx="107988" cy="107988"/>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77" w:id="1579"/>
      <w:bookmarkEnd w:id="1579"/>
      <w:r>
        <w:rPr/>
      </w:r>
      <w:hyperlink w:history="true" w:anchor="_bookmark1520">
        <w:r>
          <w:rPr>
            <w:color w:val="005DA1"/>
            <w:spacing w:val="-4"/>
            <w:sz w:val="14"/>
            <w:u w:val="single" w:color="005DA1"/>
          </w:rPr>
          <w:t>825</w:t>
        </w:r>
      </w:hyperlink>
      <w:r>
        <w:rPr>
          <w:spacing w:val="-4"/>
          <w:sz w:val="14"/>
        </w:rPr>
        <w:t>.</w:t>
      </w:r>
    </w:p>
    <w:p>
      <w:pPr>
        <w:spacing w:line="235" w:lineRule="auto" w:before="212"/>
        <w:ind w:left="165" w:right="167" w:firstLine="170"/>
        <w:jc w:val="both"/>
        <w:rPr>
          <w:sz w:val="20"/>
        </w:rPr>
      </w:pPr>
      <w:r>
        <w:rPr/>
        <w:br w:type="column"/>
      </w:r>
      <w:r>
        <w:rPr>
          <w:sz w:val="20"/>
        </w:rPr>
        <w:t>This would be consistent with the policy of casting art.4(1) and (2) in the form of rules, </w:t>
      </w:r>
      <w:r>
        <w:rPr>
          <w:sz w:val="20"/>
        </w:rPr>
        <w:t>rather than presumptions. See </w:t>
      </w:r>
      <w:r>
        <w:rPr>
          <w:rFonts w:ascii="Arial" w:hAnsi="Arial"/>
          <w:i/>
          <w:sz w:val="20"/>
        </w:rPr>
        <w:t>BNP Paribas SA v Anchorage Capital Europe LLP [2013] EWHC 3073 (Comm) </w:t>
      </w:r>
      <w:r>
        <w:rPr>
          <w:sz w:val="20"/>
        </w:rPr>
        <w:t>at [64] (art.4(3) “deliberately places a high hurdle in the way of a party seeking to displace the primary rule”); </w:t>
      </w:r>
      <w:r>
        <w:rPr>
          <w:rFonts w:ascii="Arial" w:hAnsi="Arial"/>
          <w:i/>
          <w:sz w:val="20"/>
        </w:rPr>
        <w:t>Molton Street Capital LLP v Shooters Hill Capital Partners LLP [2015] EWHC 3419 (Comm) </w:t>
      </w:r>
      <w:r>
        <w:rPr>
          <w:sz w:val="20"/>
        </w:rPr>
        <w:t>at [94] (“The new language and structure suggests a higher threshold, which requires that the cumulative weight of the factors connecting the contract to another country must clearly and decisively outweigh the desideratum of certainty in applying the relevant test in Article 4.1 or 4.2”) and </w:t>
      </w:r>
      <w:r>
        <w:rPr>
          <w:rFonts w:ascii="Arial" w:hAnsi="Arial"/>
          <w:i/>
          <w:sz w:val="20"/>
        </w:rPr>
        <w:t>Schlecker v Boedeker (C-64/12) [2014] Q.B. 320</w:t>
      </w:r>
      <w:r>
        <w:rPr>
          <w:rFonts w:ascii="Arial" w:hAnsi="Arial"/>
          <w:i/>
          <w:spacing w:val="40"/>
          <w:sz w:val="20"/>
        </w:rPr>
        <w:t> </w:t>
      </w:r>
      <w:r>
        <w:rPr>
          <w:sz w:val="20"/>
        </w:rPr>
        <w:t>(rule of displacement in art.6(2) of Rome Convention and art.8(4) of the Rome I Regulation dealing with employment contracts).</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2"/>
      </w:pPr>
    </w:p>
    <w:p>
      <w:pPr>
        <w:pStyle w:val="BodyText"/>
        <w:tabs>
          <w:tab w:pos="705" w:val="left" w:leader="none"/>
        </w:tabs>
        <w:ind w:left="165"/>
      </w:pPr>
      <w:bookmarkStart w:name="_bookmark1578" w:id="1580"/>
      <w:bookmarkEnd w:id="1580"/>
      <w:r>
        <w:rPr/>
      </w:r>
      <w:hyperlink w:history="true" w:anchor="_bookmark1521">
        <w:r>
          <w:rPr>
            <w:color w:val="005DA1"/>
            <w:spacing w:val="-4"/>
            <w:position w:val="5"/>
            <w:sz w:val="14"/>
            <w:u w:val="single" w:color="005DA1"/>
          </w:rPr>
          <w:t>826</w:t>
        </w:r>
      </w:hyperlink>
      <w:r>
        <w:rPr>
          <w:spacing w:val="-4"/>
          <w:position w:val="5"/>
          <w:sz w:val="14"/>
        </w:rPr>
        <w:t>.</w:t>
      </w:r>
      <w:r>
        <w:rPr>
          <w:position w:val="5"/>
          <w:sz w:val="14"/>
        </w:rPr>
        <w:tab/>
      </w:r>
      <w:r>
        <w:rPr/>
        <w:t>Above,</w:t>
      </w:r>
      <w:r>
        <w:rPr>
          <w:spacing w:val="-2"/>
        </w:rPr>
        <w:t> </w:t>
      </w:r>
      <w:r>
        <w:rPr/>
        <w:t>paras 30-089 et </w:t>
      </w:r>
      <w:r>
        <w:rPr>
          <w:spacing w:val="-4"/>
        </w:rPr>
        <w:t>seq.</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8336">
            <wp:simplePos x="0" y="0"/>
            <wp:positionH relativeFrom="page">
              <wp:posOffset>1257846</wp:posOffset>
            </wp:positionH>
            <wp:positionV relativeFrom="paragraph">
              <wp:posOffset>160312</wp:posOffset>
            </wp:positionV>
            <wp:extent cx="107988" cy="107988"/>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79" w:id="1581"/>
      <w:bookmarkEnd w:id="1581"/>
      <w:r>
        <w:rPr/>
      </w:r>
      <w:hyperlink w:history="true" w:anchor="_bookmark1522">
        <w:r>
          <w:rPr>
            <w:color w:val="005DA1"/>
            <w:spacing w:val="-4"/>
            <w:sz w:val="14"/>
            <w:u w:val="single" w:color="005DA1"/>
          </w:rPr>
          <w:t>827</w:t>
        </w:r>
      </w:hyperlink>
      <w:r>
        <w:rPr>
          <w:spacing w:val="-4"/>
          <w:sz w:val="14"/>
        </w:rPr>
        <w:t>.</w:t>
      </w:r>
    </w:p>
    <w:p>
      <w:pPr>
        <w:spacing w:line="235" w:lineRule="auto" w:before="212"/>
        <w:ind w:left="165" w:right="167" w:firstLine="170"/>
        <w:jc w:val="both"/>
        <w:rPr>
          <w:sz w:val="20"/>
        </w:rPr>
      </w:pPr>
      <w:r>
        <w:rPr/>
        <w:br w:type="column"/>
      </w:r>
      <w:r>
        <w:rPr>
          <w:sz w:val="20"/>
        </w:rPr>
        <w:t>Consultation Paper, para.54. cf. </w:t>
      </w:r>
      <w:r>
        <w:rPr>
          <w:rFonts w:ascii="Arial" w:hAnsi="Arial"/>
          <w:i/>
          <w:sz w:val="20"/>
        </w:rPr>
        <w:t>Bank of Baroda v Vysya Bank Ltd [1994] 2 Lloyd’s Rep. 87</w:t>
      </w:r>
      <w:r>
        <w:rPr>
          <w:sz w:val="20"/>
        </w:rPr>
        <w:t>; </w:t>
      </w:r>
      <w:r>
        <w:rPr>
          <w:rFonts w:ascii="Arial" w:hAnsi="Arial"/>
          <w:i/>
          <w:sz w:val="20"/>
        </w:rPr>
        <w:t>PT Pan Indonesia Bank Ltd Tbk v Marconi Communications International Ltd [2005] EWCA </w:t>
      </w:r>
      <w:r>
        <w:rPr>
          <w:rFonts w:ascii="Arial" w:hAnsi="Arial"/>
          <w:i/>
          <w:sz w:val="20"/>
        </w:rPr>
        <w:t>Civ 422,</w:t>
      </w:r>
      <w:r>
        <w:rPr>
          <w:rFonts w:ascii="Arial" w:hAnsi="Arial"/>
          <w:i/>
          <w:spacing w:val="-3"/>
          <w:sz w:val="20"/>
        </w:rPr>
        <w:t> </w:t>
      </w:r>
      <w:r>
        <w:rPr>
          <w:rFonts w:ascii="Arial" w:hAnsi="Arial"/>
          <w:i/>
          <w:sz w:val="20"/>
        </w:rPr>
        <w:t>[2005]</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All</w:t>
      </w:r>
      <w:r>
        <w:rPr>
          <w:rFonts w:ascii="Arial" w:hAnsi="Arial"/>
          <w:i/>
          <w:spacing w:val="-3"/>
          <w:sz w:val="20"/>
        </w:rPr>
        <w:t> </w:t>
      </w:r>
      <w:r>
        <w:rPr>
          <w:rFonts w:ascii="Arial" w:hAnsi="Arial"/>
          <w:i/>
          <w:sz w:val="20"/>
        </w:rPr>
        <w:t>E.R</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325</w:t>
      </w:r>
      <w:r>
        <w:rPr>
          <w:rFonts w:ascii="Arial" w:hAnsi="Arial"/>
          <w:i/>
          <w:spacing w:val="-4"/>
          <w:sz w:val="20"/>
        </w:rPr>
        <w:t> </w:t>
      </w:r>
      <w:r>
        <w:rPr>
          <w:sz w:val="20"/>
        </w:rPr>
        <w:t>(letters</w:t>
      </w:r>
      <w:r>
        <w:rPr>
          <w:spacing w:val="-3"/>
          <w:sz w:val="20"/>
        </w:rPr>
        <w:t> </w:t>
      </w:r>
      <w:r>
        <w:rPr>
          <w:sz w:val="20"/>
        </w:rPr>
        <w:t>of</w:t>
      </w:r>
      <w:r>
        <w:rPr>
          <w:spacing w:val="-3"/>
          <w:sz w:val="20"/>
        </w:rPr>
        <w:t> </w:t>
      </w:r>
      <w:r>
        <w:rPr>
          <w:sz w:val="20"/>
        </w:rPr>
        <w:t>credit);</w:t>
      </w:r>
      <w:r>
        <w:rPr>
          <w:spacing w:val="-3"/>
          <w:sz w:val="20"/>
        </w:rPr>
        <w:t> </w:t>
      </w:r>
      <w:r>
        <w:rPr>
          <w:rFonts w:ascii="Arial" w:hAnsi="Arial"/>
          <w:i/>
          <w:sz w:val="20"/>
        </w:rPr>
        <w:t>Samcrete</w:t>
      </w:r>
      <w:r>
        <w:rPr>
          <w:rFonts w:ascii="Arial" w:hAnsi="Arial"/>
          <w:i/>
          <w:spacing w:val="-3"/>
          <w:sz w:val="20"/>
        </w:rPr>
        <w:t> </w:t>
      </w:r>
      <w:r>
        <w:rPr>
          <w:rFonts w:ascii="Arial" w:hAnsi="Arial"/>
          <w:i/>
          <w:sz w:val="20"/>
        </w:rPr>
        <w:t>Egypt</w:t>
      </w:r>
      <w:r>
        <w:rPr>
          <w:rFonts w:ascii="Arial" w:hAnsi="Arial"/>
          <w:i/>
          <w:spacing w:val="-3"/>
          <w:sz w:val="20"/>
        </w:rPr>
        <w:t> </w:t>
      </w:r>
      <w:r>
        <w:rPr>
          <w:rFonts w:ascii="Arial" w:hAnsi="Arial"/>
          <w:i/>
          <w:sz w:val="20"/>
        </w:rPr>
        <w:t>Engineers</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z w:val="20"/>
        </w:rPr>
        <w:t>Contractors SAE v Land Rover Exports Ltd [2002] EWCA Civ 2019, [2002] C.L.C. 533 </w:t>
      </w:r>
      <w:r>
        <w:rPr>
          <w:sz w:val="20"/>
        </w:rPr>
        <w:t>(guarantee); and see </w:t>
      </w:r>
      <w:r>
        <w:rPr>
          <w:rFonts w:ascii="Arial" w:hAnsi="Arial"/>
          <w:i/>
          <w:sz w:val="20"/>
        </w:rPr>
        <w:t>Golden Ocean Group Ltd v Salgaocar Mining Industries Pvt Ltd [2012] EWCA Civ 265</w:t>
      </w:r>
      <w:r>
        <w:rPr>
          <w:sz w:val="20"/>
        </w:rPr>
        <w:t>;</w:t>
      </w:r>
      <w:r>
        <w:rPr>
          <w:spacing w:val="40"/>
          <w:sz w:val="20"/>
        </w:rPr>
        <w:t> </w:t>
      </w:r>
      <w:r>
        <w:rPr>
          <w:rFonts w:ascii="Arial" w:hAnsi="Arial"/>
          <w:i/>
          <w:sz w:val="20"/>
        </w:rPr>
        <w:t>Aquavita International SA v Ashapura Minechem Ltd [2015] EWHC 2807 (QB) </w:t>
      </w:r>
      <w:r>
        <w:rPr>
          <w:sz w:val="20"/>
        </w:rPr>
        <w:t>and Enonchong [2015] L.M.C.L.Q. 194; above, para.30-089.</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pPr>
    </w:p>
    <w:p>
      <w:pPr>
        <w:tabs>
          <w:tab w:pos="705" w:val="left" w:leader="none"/>
        </w:tabs>
        <w:spacing w:line="235" w:lineRule="auto" w:before="0"/>
        <w:ind w:left="705" w:right="168" w:hanging="541"/>
        <w:jc w:val="left"/>
        <w:rPr>
          <w:sz w:val="20"/>
        </w:rPr>
      </w:pPr>
      <w:bookmarkStart w:name="_bookmark1580" w:id="1582"/>
      <w:bookmarkEnd w:id="1582"/>
      <w:r>
        <w:rPr/>
      </w:r>
      <w:hyperlink w:history="true" w:anchor="_bookmark1523">
        <w:r>
          <w:rPr>
            <w:color w:val="005DA1"/>
            <w:spacing w:val="-4"/>
            <w:position w:val="5"/>
            <w:sz w:val="14"/>
            <w:u w:val="single" w:color="005DA1"/>
          </w:rPr>
          <w:t>828</w:t>
        </w:r>
      </w:hyperlink>
      <w:r>
        <w:rPr>
          <w:spacing w:val="-4"/>
          <w:position w:val="5"/>
          <w:sz w:val="14"/>
        </w:rPr>
        <w:t>.</w:t>
      </w:r>
      <w:r>
        <w:rPr>
          <w:position w:val="5"/>
          <w:sz w:val="14"/>
        </w:rPr>
        <w:tab/>
      </w:r>
      <w:r>
        <w:rPr>
          <w:sz w:val="20"/>
        </w:rPr>
        <w:t>cf. above, para.30-075. And see </w:t>
      </w:r>
      <w:r>
        <w:rPr>
          <w:rFonts w:ascii="Arial"/>
          <w:i/>
          <w:sz w:val="20"/>
        </w:rPr>
        <w:t>Golden Ocean Group Ltd v Salgaocar Mining Industries </w:t>
      </w:r>
      <w:r>
        <w:rPr>
          <w:rFonts w:ascii="Arial"/>
          <w:i/>
          <w:sz w:val="20"/>
        </w:rPr>
        <w:t>Pvt</w:t>
      </w:r>
      <w:r>
        <w:rPr>
          <w:rFonts w:ascii="Arial"/>
          <w:i/>
          <w:spacing w:val="80"/>
          <w:w w:val="150"/>
          <w:sz w:val="20"/>
        </w:rPr>
        <w:t> </w:t>
      </w:r>
      <w:r>
        <w:rPr>
          <w:rFonts w:ascii="Arial"/>
          <w:i/>
          <w:sz w:val="20"/>
        </w:rPr>
        <w:t>Ltd [2012] EWCA Civ 265</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1581" w:id="1583"/>
      <w:bookmarkEnd w:id="1583"/>
      <w:r>
        <w:rPr/>
      </w:r>
      <w:hyperlink w:history="true" w:anchor="_bookmark1524">
        <w:r>
          <w:rPr>
            <w:color w:val="005DA1"/>
            <w:spacing w:val="-4"/>
            <w:position w:val="5"/>
            <w:sz w:val="14"/>
            <w:u w:val="single" w:color="005DA1"/>
          </w:rPr>
          <w:t>829</w:t>
        </w:r>
      </w:hyperlink>
      <w:r>
        <w:rPr>
          <w:spacing w:val="-4"/>
          <w:position w:val="5"/>
          <w:sz w:val="14"/>
        </w:rPr>
        <w:t>.</w:t>
      </w:r>
      <w:r>
        <w:rPr>
          <w:position w:val="5"/>
          <w:sz w:val="14"/>
        </w:rPr>
        <w:tab/>
      </w:r>
      <w:r>
        <w:rPr>
          <w:sz w:val="20"/>
        </w:rPr>
        <w:t>Above, paras 30-089 et seq. cf. </w:t>
      </w:r>
      <w:r>
        <w:rPr>
          <w:rFonts w:ascii="Arial"/>
          <w:i/>
          <w:sz w:val="20"/>
        </w:rPr>
        <w:t>Intercontainer Interfrigo SC (ICF) v Balkenende Oosthuizen </w:t>
      </w:r>
      <w:r>
        <w:rPr>
          <w:rFonts w:ascii="Arial"/>
          <w:i/>
          <w:sz w:val="20"/>
        </w:rPr>
        <w:t>BV (C-133/08) [2010] Q.B. 411</w:t>
      </w:r>
      <w:r>
        <w:rPr>
          <w:sz w:val="20"/>
        </w:rPr>
        <w:t>.</w:t>
      </w:r>
    </w:p>
    <w:p>
      <w:pPr>
        <w:pStyle w:val="BodyText"/>
        <w:spacing w:before="5"/>
      </w:pPr>
    </w:p>
    <w:p>
      <w:pPr>
        <w:pStyle w:val="BodyText"/>
        <w:tabs>
          <w:tab w:pos="705" w:val="left" w:leader="none"/>
        </w:tabs>
        <w:ind w:left="165"/>
      </w:pPr>
      <w:bookmarkStart w:name="_bookmark1582" w:id="1584"/>
      <w:bookmarkEnd w:id="1584"/>
      <w:r>
        <w:rPr/>
      </w:r>
      <w:hyperlink w:history="true" w:anchor="_bookmark1525">
        <w:r>
          <w:rPr>
            <w:color w:val="005DA1"/>
            <w:spacing w:val="-4"/>
            <w:position w:val="5"/>
            <w:sz w:val="14"/>
            <w:u w:val="single" w:color="005DA1"/>
          </w:rPr>
          <w:t>830</w:t>
        </w:r>
      </w:hyperlink>
      <w:r>
        <w:rPr>
          <w:spacing w:val="-4"/>
          <w:position w:val="5"/>
          <w:sz w:val="14"/>
        </w:rPr>
        <w:t>.</w:t>
      </w:r>
      <w:r>
        <w:rPr>
          <w:position w:val="5"/>
          <w:sz w:val="14"/>
        </w:rPr>
        <w:tab/>
      </w:r>
      <w:r>
        <w:rPr/>
        <w:t>cf.</w:t>
      </w:r>
      <w:r>
        <w:rPr>
          <w:spacing w:val="-2"/>
        </w:rPr>
        <w:t> </w:t>
      </w:r>
      <w:r>
        <w:rPr/>
        <w:t>above, para.30-</w:t>
      </w:r>
      <w:r>
        <w:rPr>
          <w:spacing w:val="-4"/>
        </w:rPr>
        <w:t>203.</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spacing w:before="194"/>
        <w:ind w:left="3085" w:right="0" w:firstLine="0"/>
        <w:jc w:val="left"/>
        <w:rPr>
          <w:rFonts w:ascii="Arial"/>
          <w:b/>
          <w:position w:val="11"/>
          <w:sz w:val="12"/>
        </w:rPr>
      </w:pPr>
      <w:bookmarkStart w:name="_bookmark1583" w:id="1585"/>
      <w:bookmarkEnd w:id="1585"/>
      <w:r>
        <w:rPr/>
      </w:r>
      <w:r>
        <w:rPr>
          <w:rFonts w:ascii="Arial"/>
          <w:b/>
          <w:sz w:val="24"/>
        </w:rPr>
        <w:t>(f) - Contracts of Carriage</w:t>
      </w:r>
      <w:r>
        <w:rPr>
          <w:rFonts w:ascii="Arial"/>
          <w:b/>
          <w:spacing w:val="-1"/>
          <w:sz w:val="24"/>
        </w:rPr>
        <w:t> </w:t>
      </w:r>
      <w:r>
        <w:rPr>
          <w:rFonts w:ascii="Arial"/>
          <w:b/>
          <w:color w:val="005DA1"/>
          <w:spacing w:val="-5"/>
          <w:position w:val="11"/>
          <w:sz w:val="12"/>
          <w:u w:val="single" w:color="005DA1"/>
        </w:rPr>
        <w:t>831</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165" w:right="0" w:firstLine="0"/>
        <w:jc w:val="left"/>
        <w:rPr>
          <w:rFonts w:ascii="Arial"/>
          <w:b/>
          <w:sz w:val="18"/>
        </w:rPr>
      </w:pPr>
      <w:r>
        <w:rPr>
          <w:rFonts w:ascii="Arial"/>
          <w:b/>
          <w:spacing w:val="-2"/>
          <w:sz w:val="18"/>
        </w:rPr>
        <w:t>Background</w:t>
      </w:r>
    </w:p>
    <w:p>
      <w:pPr>
        <w:pStyle w:val="BodyText"/>
        <w:spacing w:before="42"/>
        <w:rPr>
          <w:rFonts w:ascii="Arial"/>
          <w:b/>
          <w:sz w:val="18"/>
        </w:rPr>
      </w:pPr>
    </w:p>
    <w:p>
      <w:pPr>
        <w:pStyle w:val="Heading2"/>
      </w:pPr>
      <w:r>
        <w:rPr/>
        <w:t>30-</w:t>
      </w:r>
      <w:r>
        <w:rPr>
          <w:spacing w:val="-5"/>
        </w:rPr>
        <w:t>209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584" w:id="1586"/>
      <w:bookmarkEnd w:id="1586"/>
      <w:r>
        <w:rPr>
          <w:rFonts w:ascii="Times New Roman" w:hAnsi="Times New Roman"/>
          <w:spacing w:val="11"/>
        </w:rPr>
      </w:r>
      <w:r>
        <w:rPr/>
        <w:t>As explained earlier in this chapter, the Rome Convention, with one exception, provided no special </w:t>
      </w:r>
      <w:bookmarkStart w:name="_bookmark1585" w:id="1587"/>
      <w:bookmarkEnd w:id="1587"/>
      <w:r>
        <w:rPr/>
        <w:t>rules</w:t>
      </w:r>
      <w:r>
        <w:rPr/>
        <w:t> relating to contracts of carriage. </w:t>
      </w:r>
      <w:r>
        <w:rPr>
          <w:color w:val="005DA1"/>
          <w:u w:val="single" w:color="005DA1"/>
          <w:vertAlign w:val="superscript"/>
        </w:rPr>
        <w:t>832</w:t>
      </w:r>
      <w:r>
        <w:rPr>
          <w:color w:val="005DA1"/>
          <w:vertAlign w:val="baseline"/>
        </w:rPr>
        <w:t> </w:t>
      </w:r>
      <w:r>
        <w:rPr>
          <w:vertAlign w:val="baseline"/>
        </w:rPr>
        <w:t>Thus, party autonomy was permitted under the general </w:t>
      </w:r>
      <w:r>
        <w:rPr>
          <w:vertAlign w:val="baseline"/>
        </w:rPr>
        <w:t>rule </w:t>
      </w:r>
      <w:bookmarkStart w:name="_bookmark1586" w:id="1588"/>
      <w:bookmarkEnd w:id="1588"/>
      <w:r>
        <w:rPr>
          <w:vertAlign w:val="baseline"/>
        </w:rPr>
        <w:t>in</w:t>
      </w:r>
      <w:r>
        <w:rPr>
          <w:vertAlign w:val="baseline"/>
        </w:rPr>
        <w:t> art.3 of the Rome Convention. </w:t>
      </w:r>
      <w:r>
        <w:rPr>
          <w:color w:val="005DA1"/>
          <w:u w:val="single" w:color="005DA1"/>
          <w:vertAlign w:val="superscript"/>
        </w:rPr>
        <w:t>833</w:t>
      </w:r>
      <w:r>
        <w:rPr>
          <w:color w:val="005DA1"/>
          <w:vertAlign w:val="baseline"/>
        </w:rPr>
        <w:t> </w:t>
      </w:r>
      <w:r>
        <w:rPr>
          <w:vertAlign w:val="baseline"/>
        </w:rPr>
        <w:t>In the absence of a choice of law, art.4(4) of the Convention established a special presumption relating to contracts for the carriage of goods, </w:t>
      </w:r>
      <w:r>
        <w:rPr>
          <w:color w:val="005DA1"/>
          <w:u w:val="single" w:color="005DA1"/>
          <w:vertAlign w:val="superscript"/>
        </w:rPr>
        <w:t>834</w:t>
      </w:r>
      <w:r>
        <w:rPr>
          <w:color w:val="005DA1"/>
          <w:vertAlign w:val="baseline"/>
        </w:rPr>
        <w:t> </w:t>
      </w:r>
      <w:r>
        <w:rPr>
          <w:vertAlign w:val="baseline"/>
        </w:rPr>
        <w:t>which </w:t>
      </w:r>
      <w:bookmarkStart w:name="_bookmark1587" w:id="1589"/>
      <w:bookmarkEnd w:id="1589"/>
      <w:r>
        <w:rPr>
          <w:vertAlign w:val="baseline"/>
        </w:rPr>
        <w:t>presumption</w:t>
      </w:r>
      <w:r>
        <w:rPr>
          <w:vertAlign w:val="baseline"/>
        </w:rPr>
        <w:t> could be displaced by reference to art.4(5) of the Convention. Article 3 applied also to permit party autonomy in relation to contracts for the carriage of passengers. </w:t>
      </w:r>
      <w:r>
        <w:rPr>
          <w:color w:val="005DA1"/>
          <w:u w:val="single" w:color="005DA1"/>
          <w:vertAlign w:val="superscript"/>
        </w:rPr>
        <w:t>835</w:t>
      </w:r>
      <w:r>
        <w:rPr>
          <w:color w:val="005DA1"/>
          <w:vertAlign w:val="baseline"/>
        </w:rPr>
        <w:t> </w:t>
      </w:r>
      <w:r>
        <w:rPr>
          <w:vertAlign w:val="baseline"/>
        </w:rPr>
        <w:t>In the absence of a choice of law, the relevant presumption was, in relation to a contract for the carriage of passengers, that stated in art.4(2) of the Convention, which would normally lead to the application of the law of the </w:t>
      </w:r>
      <w:bookmarkStart w:name="_bookmark1588" w:id="1590"/>
      <w:bookmarkEnd w:id="1590"/>
      <w:r>
        <w:rPr>
          <w:vertAlign w:val="baseline"/>
        </w:rPr>
        <w:t>carrier’s</w:t>
      </w:r>
      <w:r>
        <w:rPr>
          <w:vertAlign w:val="baseline"/>
        </w:rPr>
        <w:t> habitual residence, central administration, principal place of business or place of business,</w:t>
      </w:r>
      <w:r>
        <w:rPr>
          <w:spacing w:val="80"/>
          <w:vertAlign w:val="baseline"/>
        </w:rPr>
        <w:t> </w:t>
      </w:r>
      <w:bookmarkStart w:name="_bookmark1589" w:id="1591"/>
      <w:bookmarkEnd w:id="1591"/>
      <w:r>
        <w:rPr>
          <w:vertAlign w:val="baseline"/>
        </w:rPr>
        <w:t>as</w:t>
      </w:r>
      <w:r>
        <w:rPr>
          <w:vertAlign w:val="baseline"/>
        </w:rPr>
        <w:t> the case may be, </w:t>
      </w:r>
      <w:r>
        <w:rPr>
          <w:color w:val="005DA1"/>
          <w:u w:val="single" w:color="005DA1"/>
          <w:vertAlign w:val="superscript"/>
        </w:rPr>
        <w:t>836</w:t>
      </w:r>
      <w:r>
        <w:rPr>
          <w:color w:val="005DA1"/>
          <w:vertAlign w:val="baseline"/>
        </w:rPr>
        <w:t> </w:t>
      </w:r>
      <w:r>
        <w:rPr>
          <w:vertAlign w:val="baseline"/>
        </w:rPr>
        <w:t>but this presumption could, of course, be displaced by reference to art.4(5) of </w:t>
      </w:r>
      <w:bookmarkStart w:name="_bookmark1590" w:id="1592"/>
      <w:bookmarkEnd w:id="1592"/>
      <w:r>
        <w:rPr>
          <w:vertAlign w:val="baseline"/>
        </w:rPr>
        <w:t>the</w:t>
      </w:r>
      <w:r>
        <w:rPr>
          <w:vertAlign w:val="baseline"/>
        </w:rPr>
        <w:t> Convention. </w:t>
      </w:r>
      <w:r>
        <w:rPr>
          <w:color w:val="005DA1"/>
          <w:u w:val="single" w:color="005DA1"/>
          <w:vertAlign w:val="superscript"/>
        </w:rPr>
        <w:t>837</w:t>
      </w:r>
      <w:r>
        <w:rPr>
          <w:color w:val="005DA1"/>
          <w:vertAlign w:val="baseline"/>
        </w:rPr>
        <w:t> </w:t>
      </w:r>
      <w:r>
        <w:rPr>
          <w:vertAlign w:val="baseline"/>
        </w:rPr>
        <w:t>The choice of law rules for consumer contracts contained in art.5 of the Convention did not apply to contracts of carriage, subject to an exception for so called package tours. </w:t>
      </w:r>
      <w:r>
        <w:rPr>
          <w:color w:val="005DA1"/>
          <w:u w:val="single" w:color="005DA1"/>
          <w:vertAlign w:val="superscript"/>
        </w:rPr>
        <w:t>838</w:t>
      </w:r>
      <w:r>
        <w:rPr>
          <w:color w:val="005DA1"/>
          <w:vertAlign w:val="baseline"/>
        </w:rPr>
        <w:t> </w:t>
      </w:r>
      <w:r>
        <w:rPr>
          <w:vertAlign w:val="baseline"/>
        </w:rPr>
        <w:t>In contrast, at least generally, to the position under the Convention, art.5 of the Rome I Regulation provides more specific choice of law rules for contracts of carriage, the effect of which is explained in the following paragraphs.</w:t>
      </w:r>
    </w:p>
    <w:p>
      <w:pPr>
        <w:pStyle w:val="BodyText"/>
      </w:pPr>
    </w:p>
    <w:p>
      <w:pPr>
        <w:pStyle w:val="BodyText"/>
        <w:spacing w:before="33"/>
      </w:pPr>
    </w:p>
    <w:p>
      <w:pPr>
        <w:spacing w:before="0"/>
        <w:ind w:left="165" w:right="0" w:firstLine="0"/>
        <w:jc w:val="both"/>
        <w:rPr>
          <w:rFonts w:ascii="Arial"/>
          <w:b/>
          <w:sz w:val="18"/>
        </w:rPr>
      </w:pPr>
      <w:r>
        <w:rPr>
          <w:rFonts w:ascii="Arial"/>
          <w:b/>
          <w:sz w:val="18"/>
        </w:rPr>
        <w:t>Structure and scope of </w:t>
      </w:r>
      <w:r>
        <w:rPr>
          <w:rFonts w:ascii="Arial"/>
          <w:b/>
          <w:spacing w:val="-2"/>
          <w:sz w:val="18"/>
        </w:rPr>
        <w:t>art.5</w:t>
      </w:r>
    </w:p>
    <w:p>
      <w:pPr>
        <w:pStyle w:val="BodyText"/>
        <w:spacing w:before="41"/>
        <w:rPr>
          <w:rFonts w:ascii="Arial"/>
          <w:b/>
          <w:sz w:val="18"/>
        </w:rPr>
      </w:pPr>
    </w:p>
    <w:p>
      <w:pPr>
        <w:pStyle w:val="Heading2"/>
        <w:spacing w:before="1"/>
      </w:pPr>
      <w:r>
        <w:rPr/>
        <w:t>30-</w:t>
      </w:r>
      <w:r>
        <w:rPr>
          <w:spacing w:val="-5"/>
        </w:rPr>
        <w:t>210</w:t>
      </w:r>
    </w:p>
    <w:p>
      <w:pPr>
        <w:pStyle w:val="BodyText"/>
        <w:spacing w:line="235" w:lineRule="auto" w:before="202"/>
        <w:ind w:left="164" w:right="167"/>
        <w:jc w:val="both"/>
      </w:pPr>
      <w:r>
        <w:rPr/>
        <w:t>Article 5 of the Rome I Regulation applies to determine the law applicable to a contract of carriage </w:t>
      </w:r>
      <w:r>
        <w:rPr/>
        <w:t>of </w:t>
      </w:r>
      <w:bookmarkStart w:name="_bookmark1591" w:id="1593"/>
      <w:bookmarkEnd w:id="1593"/>
      <w:r>
        <w:rPr/>
        <w:t>goods</w:t>
      </w:r>
      <w:r>
        <w:rPr/>
        <w:t> and to a contract for the carriage of passengers. In the absence of any contrary indication in</w:t>
      </w:r>
      <w:r>
        <w:rPr>
          <w:spacing w:val="40"/>
        </w:rPr>
        <w:t> </w:t>
      </w:r>
      <w:r>
        <w:rPr/>
        <w:t>the provision, it also seems to apply to carriage irrespective of the means of transport involved. </w:t>
      </w:r>
      <w:r>
        <w:rPr>
          <w:color w:val="005DA1"/>
          <w:u w:val="single" w:color="005DA1"/>
          <w:vertAlign w:val="superscript"/>
        </w:rPr>
        <w:t>839</w:t>
      </w:r>
      <w:r>
        <w:rPr>
          <w:color w:val="005DA1"/>
          <w:vertAlign w:val="baseline"/>
        </w:rPr>
        <w:t> </w:t>
      </w:r>
      <w:bookmarkStart w:name="_bookmark1592" w:id="1594"/>
      <w:bookmarkEnd w:id="1594"/>
      <w:r>
        <w:rPr>
          <w:color w:val="005DA1"/>
          <w:w w:val="92"/>
          <w:vertAlign w:val="baseline"/>
        </w:rPr>
      </w:r>
      <w:r>
        <w:rPr>
          <w:vertAlign w:val="baseline"/>
        </w:rPr>
        <w:t>Article 5(1) is concerned with the choice of law rules applicable to contracts for the carriage of goods. It supplies a rule, not unlike the presumption contained in art.4(4) of the Rome Convention, </w:t>
      </w:r>
      <w:r>
        <w:rPr>
          <w:color w:val="005DA1"/>
          <w:u w:val="single" w:color="005DA1"/>
          <w:vertAlign w:val="superscript"/>
        </w:rPr>
        <w:t>840</w:t>
      </w:r>
      <w:r>
        <w:rPr>
          <w:color w:val="005DA1"/>
          <w:vertAlign w:val="baseline"/>
        </w:rPr>
        <w:t> </w:t>
      </w:r>
      <w:r>
        <w:rPr>
          <w:vertAlign w:val="baseline"/>
        </w:rPr>
        <w:t>and based, broadly, on a combination of connecting factors, to determine the law applicable to the</w:t>
      </w:r>
      <w:r>
        <w:rPr>
          <w:spacing w:val="40"/>
          <w:vertAlign w:val="baseline"/>
        </w:rPr>
        <w:t> </w:t>
      </w:r>
      <w:r>
        <w:rPr>
          <w:vertAlign w:val="baseline"/>
        </w:rPr>
        <w:t>contract in the absence of a choice of law satisfying art.3 of the Regulation. Article 5(2) deals with the choice of law rules applicable to a contract for the carriage of passengers. This allows a more limited </w:t>
      </w:r>
      <w:bookmarkStart w:name="_bookmark1593" w:id="1595"/>
      <w:bookmarkEnd w:id="1595"/>
      <w:r>
        <w:rPr>
          <w:vertAlign w:val="baseline"/>
        </w:rPr>
        <w:t>form</w:t>
      </w:r>
      <w:r>
        <w:rPr>
          <w:vertAlign w:val="baseline"/>
        </w:rPr>
        <w:t> of freedom to choose the applicable law designed to achieve an adequate level of protection of passengers. </w:t>
      </w:r>
      <w:r>
        <w:rPr>
          <w:color w:val="005DA1"/>
          <w:u w:val="single" w:color="005DA1"/>
          <w:vertAlign w:val="superscript"/>
        </w:rPr>
        <w:t>841</w:t>
      </w:r>
      <w:r>
        <w:rPr>
          <w:color w:val="005DA1"/>
          <w:vertAlign w:val="baseline"/>
        </w:rPr>
        <w:t> </w:t>
      </w:r>
      <w:r>
        <w:rPr>
          <w:vertAlign w:val="baseline"/>
        </w:rPr>
        <w:t>In the absence of a choice of law, which complies with the provision, the</w:t>
      </w:r>
      <w:r>
        <w:rPr>
          <w:spacing w:val="40"/>
          <w:vertAlign w:val="baseline"/>
        </w:rPr>
        <w:t> </w:t>
      </w:r>
      <w:r>
        <w:rPr>
          <w:vertAlign w:val="baseline"/>
        </w:rPr>
        <w:t>determination of the applicable law is based, broadly, on a combination of connecting factors and not </w:t>
      </w:r>
      <w:bookmarkStart w:name="_bookmark1594" w:id="1596"/>
      <w:bookmarkEnd w:id="1596"/>
      <w:r>
        <w:rPr>
          <w:vertAlign w:val="baseline"/>
        </w:rPr>
        <w:t>on</w:t>
      </w:r>
      <w:r>
        <w:rPr>
          <w:vertAlign w:val="baseline"/>
        </w:rPr>
        <w:t> the approach involved in the more general presumption, applicable to a variety of contracts, which is found in art.4(2) of the Rome Convention. </w:t>
      </w:r>
      <w:r>
        <w:rPr>
          <w:color w:val="005DA1"/>
          <w:u w:val="single" w:color="005DA1"/>
          <w:vertAlign w:val="superscript"/>
        </w:rPr>
        <w:t>842</w:t>
      </w:r>
      <w:r>
        <w:rPr>
          <w:color w:val="005DA1"/>
          <w:vertAlign w:val="baseline"/>
        </w:rPr>
        <w:t> </w:t>
      </w:r>
      <w:r>
        <w:rPr>
          <w:vertAlign w:val="baseline"/>
        </w:rPr>
        <w:t>Article 5(3) of the Regulation provides a rule of displacement (or “escape clause”) allowing displacement of the law of the country indicated, in the absence of choice, by art.5(1) or (2), where it is clear from all the circumstances of the case that the </w:t>
      </w:r>
      <w:bookmarkStart w:name="_bookmark1595" w:id="1597"/>
      <w:bookmarkEnd w:id="1597"/>
      <w:r>
        <w:rPr>
          <w:vertAlign w:val="baseline"/>
        </w:rPr>
        <w:t>contract</w:t>
      </w:r>
      <w:r>
        <w:rPr>
          <w:vertAlign w:val="baseline"/>
        </w:rPr>
        <w:t> is manifestly more closely connected with another country. In such cases the applicable law </w:t>
      </w:r>
      <w:bookmarkStart w:name="_bookmark1596" w:id="1598"/>
      <w:bookmarkEnd w:id="1598"/>
      <w:r>
        <w:rPr>
          <w:vertAlign w:val="baseline"/>
        </w:rPr>
        <w:t>will</w:t>
      </w:r>
      <w:r>
        <w:rPr>
          <w:vertAlign w:val="baseline"/>
        </w:rPr>
        <w:t> be the law of the other country. </w:t>
      </w:r>
      <w:r>
        <w:rPr>
          <w:color w:val="005DA1"/>
          <w:u w:val="single" w:color="005DA1"/>
          <w:vertAlign w:val="superscript"/>
        </w:rPr>
        <w:t>843</w:t>
      </w:r>
      <w:r>
        <w:rPr>
          <w:color w:val="005DA1"/>
          <w:vertAlign w:val="baseline"/>
        </w:rPr>
        <w:t> </w:t>
      </w:r>
      <w:r>
        <w:rPr>
          <w:vertAlign w:val="baseline"/>
        </w:rPr>
        <w:t>A contract of carriage (with one limited exception) is not a consumer</w:t>
      </w:r>
      <w:r>
        <w:rPr>
          <w:spacing w:val="22"/>
          <w:vertAlign w:val="baseline"/>
        </w:rPr>
        <w:t> </w:t>
      </w:r>
      <w:r>
        <w:rPr>
          <w:vertAlign w:val="baseline"/>
        </w:rPr>
        <w:t>contract</w:t>
      </w:r>
      <w:r>
        <w:rPr>
          <w:spacing w:val="23"/>
          <w:vertAlign w:val="baseline"/>
        </w:rPr>
        <w:t> </w:t>
      </w:r>
      <w:r>
        <w:rPr>
          <w:vertAlign w:val="baseline"/>
        </w:rPr>
        <w:t>for</w:t>
      </w:r>
      <w:r>
        <w:rPr>
          <w:spacing w:val="23"/>
          <w:vertAlign w:val="baseline"/>
        </w:rPr>
        <w:t> </w:t>
      </w:r>
      <w:r>
        <w:rPr>
          <w:vertAlign w:val="baseline"/>
        </w:rPr>
        <w:t>the</w:t>
      </w:r>
      <w:r>
        <w:rPr>
          <w:spacing w:val="23"/>
          <w:vertAlign w:val="baseline"/>
        </w:rPr>
        <w:t> </w:t>
      </w:r>
      <w:r>
        <w:rPr>
          <w:vertAlign w:val="baseline"/>
        </w:rPr>
        <w:t>purposes</w:t>
      </w:r>
      <w:r>
        <w:rPr>
          <w:spacing w:val="23"/>
          <w:vertAlign w:val="baseline"/>
        </w:rPr>
        <w:t> </w:t>
      </w:r>
      <w:r>
        <w:rPr>
          <w:vertAlign w:val="baseline"/>
        </w:rPr>
        <w:t>of</w:t>
      </w:r>
      <w:r>
        <w:rPr>
          <w:spacing w:val="23"/>
          <w:vertAlign w:val="baseline"/>
        </w:rPr>
        <w:t> </w:t>
      </w:r>
      <w:r>
        <w:rPr>
          <w:vertAlign w:val="baseline"/>
        </w:rPr>
        <w:t>the</w:t>
      </w:r>
      <w:r>
        <w:rPr>
          <w:spacing w:val="22"/>
          <w:vertAlign w:val="baseline"/>
        </w:rPr>
        <w:t> </w:t>
      </w:r>
      <w:r>
        <w:rPr>
          <w:vertAlign w:val="baseline"/>
        </w:rPr>
        <w:t>Regulation.</w:t>
      </w:r>
      <w:r>
        <w:rPr>
          <w:spacing w:val="22"/>
          <w:vertAlign w:val="baseline"/>
        </w:rPr>
        <w:t> </w:t>
      </w:r>
      <w:r>
        <w:rPr>
          <w:color w:val="005DA1"/>
          <w:u w:val="single" w:color="005DA1"/>
          <w:vertAlign w:val="superscript"/>
        </w:rPr>
        <w:t>844</w:t>
      </w:r>
      <w:r>
        <w:rPr>
          <w:color w:val="005DA1"/>
          <w:spacing w:val="23"/>
          <w:vertAlign w:val="baseline"/>
        </w:rPr>
        <w:t> </w:t>
      </w:r>
      <w:r>
        <w:rPr>
          <w:vertAlign w:val="baseline"/>
        </w:rPr>
        <w:t>Where,</w:t>
      </w:r>
      <w:r>
        <w:rPr>
          <w:spacing w:val="23"/>
          <w:vertAlign w:val="baseline"/>
        </w:rPr>
        <w:t> </w:t>
      </w:r>
      <w:r>
        <w:rPr>
          <w:vertAlign w:val="baseline"/>
        </w:rPr>
        <w:t>however,</w:t>
      </w:r>
      <w:r>
        <w:rPr>
          <w:spacing w:val="23"/>
          <w:vertAlign w:val="baseline"/>
        </w:rPr>
        <w:t> </w:t>
      </w:r>
      <w:r>
        <w:rPr>
          <w:vertAlign w:val="baseline"/>
        </w:rPr>
        <w:t>the</w:t>
      </w:r>
      <w:r>
        <w:rPr>
          <w:spacing w:val="23"/>
          <w:vertAlign w:val="baseline"/>
        </w:rPr>
        <w:t> </w:t>
      </w:r>
      <w:r>
        <w:rPr>
          <w:vertAlign w:val="baseline"/>
        </w:rPr>
        <w:t>contract</w:t>
      </w:r>
      <w:r>
        <w:rPr>
          <w:spacing w:val="22"/>
          <w:vertAlign w:val="baseline"/>
        </w:rPr>
        <w:t> </w:t>
      </w:r>
      <w:r>
        <w:rPr>
          <w:vertAlign w:val="baseline"/>
        </w:rPr>
        <w:t>is</w:t>
      </w:r>
      <w:r>
        <w:rPr>
          <w:spacing w:val="23"/>
          <w:vertAlign w:val="baseline"/>
        </w:rPr>
        <w:t> </w:t>
      </w:r>
      <w:r>
        <w:rPr>
          <w:vertAlign w:val="baseline"/>
        </w:rPr>
        <w:t>a</w:t>
      </w:r>
      <w:r>
        <w:rPr>
          <w:spacing w:val="23"/>
          <w:vertAlign w:val="baseline"/>
        </w:rPr>
        <w:t> </w:t>
      </w:r>
      <w:r>
        <w:rPr>
          <w:spacing w:val="-2"/>
          <w:vertAlign w:val="baseline"/>
        </w:rPr>
        <w:t>mixed</w:t>
      </w:r>
    </w:p>
    <w:p>
      <w:pPr>
        <w:pStyle w:val="BodyText"/>
        <w:spacing w:after="0" w:line="235" w:lineRule="auto"/>
        <w:jc w:val="both"/>
        <w:sectPr>
          <w:headerReference w:type="default" r:id="rId21"/>
          <w:pgSz w:w="11900" w:h="16840"/>
          <w:pgMar w:header="971" w:footer="0" w:top="1300" w:bottom="280" w:left="1275" w:right="1275"/>
          <w:pgNumType w:start="1"/>
        </w:sectPr>
      </w:pPr>
    </w:p>
    <w:p>
      <w:pPr>
        <w:pStyle w:val="BodyText"/>
        <w:spacing w:line="235" w:lineRule="auto" w:before="110"/>
        <w:ind w:left="165" w:right="167"/>
        <w:jc w:val="both"/>
      </w:pPr>
      <w:r>
        <w:rPr/>
        <w:t>contract</w:t>
      </w:r>
      <w:r>
        <w:rPr>
          <w:spacing w:val="-1"/>
        </w:rPr>
        <w:t> </w:t>
      </w:r>
      <w:r>
        <w:rPr/>
        <w:t>for</w:t>
      </w:r>
      <w:r>
        <w:rPr>
          <w:spacing w:val="-1"/>
        </w:rPr>
        <w:t> </w:t>
      </w:r>
      <w:r>
        <w:rPr/>
        <w:t>the</w:t>
      </w:r>
      <w:r>
        <w:rPr>
          <w:spacing w:val="-1"/>
        </w:rPr>
        <w:t> </w:t>
      </w:r>
      <w:r>
        <w:rPr/>
        <w:t>carriage</w:t>
      </w:r>
      <w:r>
        <w:rPr>
          <w:spacing w:val="-1"/>
        </w:rPr>
        <w:t> </w:t>
      </w:r>
      <w:r>
        <w:rPr/>
        <w:t>of</w:t>
      </w:r>
      <w:r>
        <w:rPr>
          <w:spacing w:val="-1"/>
        </w:rPr>
        <w:t> </w:t>
      </w:r>
      <w:r>
        <w:rPr/>
        <w:t>goods</w:t>
      </w:r>
      <w:r>
        <w:rPr>
          <w:spacing w:val="-1"/>
        </w:rPr>
        <w:t> </w:t>
      </w:r>
      <w:r>
        <w:rPr/>
        <w:t>and</w:t>
      </w:r>
      <w:r>
        <w:rPr>
          <w:spacing w:val="-1"/>
        </w:rPr>
        <w:t> </w:t>
      </w:r>
      <w:r>
        <w:rPr/>
        <w:t>passengers</w:t>
      </w:r>
      <w:r>
        <w:rPr>
          <w:spacing w:val="-1"/>
        </w:rPr>
        <w:t> </w:t>
      </w:r>
      <w:r>
        <w:rPr/>
        <w:t>it</w:t>
      </w:r>
      <w:r>
        <w:rPr>
          <w:spacing w:val="-1"/>
        </w:rPr>
        <w:t> </w:t>
      </w:r>
      <w:r>
        <w:rPr/>
        <w:t>is</w:t>
      </w:r>
      <w:r>
        <w:rPr>
          <w:spacing w:val="-1"/>
        </w:rPr>
        <w:t> </w:t>
      </w:r>
      <w:r>
        <w:rPr/>
        <w:t>conceivable,</w:t>
      </w:r>
      <w:r>
        <w:rPr>
          <w:spacing w:val="-1"/>
        </w:rPr>
        <w:t> </w:t>
      </w:r>
      <w:r>
        <w:rPr/>
        <w:t>that,</w:t>
      </w:r>
      <w:r>
        <w:rPr>
          <w:spacing w:val="-1"/>
        </w:rPr>
        <w:t> </w:t>
      </w:r>
      <w:r>
        <w:rPr/>
        <w:t>in</w:t>
      </w:r>
      <w:r>
        <w:rPr>
          <w:spacing w:val="-1"/>
        </w:rPr>
        <w:t> </w:t>
      </w:r>
      <w:r>
        <w:rPr/>
        <w:t>the</w:t>
      </w:r>
      <w:r>
        <w:rPr>
          <w:spacing w:val="-1"/>
        </w:rPr>
        <w:t> </w:t>
      </w:r>
      <w:r>
        <w:rPr/>
        <w:t>absence</w:t>
      </w:r>
      <w:r>
        <w:rPr>
          <w:spacing w:val="-1"/>
        </w:rPr>
        <w:t> </w:t>
      </w:r>
      <w:r>
        <w:rPr/>
        <w:t>of</w:t>
      </w:r>
      <w:r>
        <w:rPr>
          <w:spacing w:val="-1"/>
        </w:rPr>
        <w:t> </w:t>
      </w:r>
      <w:r>
        <w:rPr/>
        <w:t>a</w:t>
      </w:r>
      <w:r>
        <w:rPr>
          <w:spacing w:val="-1"/>
        </w:rPr>
        <w:t> </w:t>
      </w:r>
      <w:r>
        <w:rPr/>
        <w:t>choice</w:t>
      </w:r>
      <w:r>
        <w:rPr>
          <w:spacing w:val="-1"/>
        </w:rPr>
        <w:t> </w:t>
      </w:r>
      <w:r>
        <w:rPr/>
        <w:t>of </w:t>
      </w:r>
      <w:bookmarkStart w:name="_bookmark1597" w:id="1599"/>
      <w:bookmarkEnd w:id="1599"/>
      <w:r>
        <w:rPr/>
        <w:t>law</w:t>
      </w:r>
      <w:r>
        <w:rPr/>
        <w:t> governing the contract as a whole, the application of art.5(1) and (2) might result in the </w:t>
      </w:r>
      <w:r>
        <w:rPr/>
        <w:t>contract having two different applicable laws. </w:t>
      </w:r>
      <w:r>
        <w:rPr>
          <w:color w:val="005DA1"/>
          <w:u w:val="single" w:color="005DA1"/>
          <w:vertAlign w:val="superscript"/>
        </w:rPr>
        <w:t>845</w:t>
      </w:r>
    </w:p>
    <w:p>
      <w:pPr>
        <w:pStyle w:val="BodyText"/>
      </w:pPr>
    </w:p>
    <w:p>
      <w:pPr>
        <w:pStyle w:val="BodyText"/>
        <w:spacing w:before="38"/>
      </w:pPr>
    </w:p>
    <w:p>
      <w:pPr>
        <w:spacing w:before="0"/>
        <w:ind w:left="165" w:right="0" w:firstLine="0"/>
        <w:jc w:val="left"/>
        <w:rPr>
          <w:rFonts w:ascii="Arial"/>
          <w:b/>
          <w:sz w:val="18"/>
        </w:rPr>
      </w:pPr>
      <w:r>
        <w:rPr>
          <w:rFonts w:ascii="Arial"/>
          <w:b/>
          <w:sz w:val="18"/>
        </w:rPr>
        <w:t>International </w:t>
      </w:r>
      <w:r>
        <w:rPr>
          <w:rFonts w:ascii="Arial"/>
          <w:b/>
          <w:spacing w:val="-2"/>
          <w:sz w:val="18"/>
        </w:rPr>
        <w:t>conventions</w:t>
      </w:r>
    </w:p>
    <w:p>
      <w:pPr>
        <w:pStyle w:val="BodyText"/>
        <w:spacing w:before="41"/>
        <w:rPr>
          <w:rFonts w:ascii="Arial"/>
          <w:b/>
          <w:sz w:val="18"/>
        </w:rPr>
      </w:pPr>
    </w:p>
    <w:p>
      <w:pPr>
        <w:pStyle w:val="Heading2"/>
      </w:pPr>
      <w:r>
        <w:rPr/>
        <w:t>30-</w:t>
      </w:r>
      <w:r>
        <w:rPr>
          <w:spacing w:val="-5"/>
        </w:rPr>
        <w:t>211</w:t>
      </w:r>
    </w:p>
    <w:p>
      <w:pPr>
        <w:pStyle w:val="BodyText"/>
        <w:spacing w:line="235" w:lineRule="auto" w:before="203"/>
        <w:ind w:left="165" w:right="167"/>
        <w:jc w:val="both"/>
      </w:pPr>
      <w:bookmarkStart w:name="_bookmark1598" w:id="1600"/>
      <w:bookmarkEnd w:id="1600"/>
      <w:r>
        <w:rPr/>
      </w:r>
      <w:r>
        <w:rPr/>
        <w:t>Many aspects of international transport are governed by international conventions to which </w:t>
      </w:r>
      <w:r>
        <w:rPr/>
        <w:t>Member States may be parties. </w:t>
      </w:r>
      <w:r>
        <w:rPr>
          <w:color w:val="005DA1"/>
          <w:u w:val="single" w:color="005DA1"/>
          <w:vertAlign w:val="superscript"/>
        </w:rPr>
        <w:t>846</w:t>
      </w:r>
      <w:r>
        <w:rPr>
          <w:color w:val="005DA1"/>
          <w:vertAlign w:val="baseline"/>
        </w:rPr>
        <w:t> </w:t>
      </w:r>
      <w:r>
        <w:rPr>
          <w:vertAlign w:val="baseline"/>
        </w:rPr>
        <w:t>As pointed out above, </w:t>
      </w:r>
      <w:r>
        <w:rPr>
          <w:color w:val="005DA1"/>
          <w:u w:val="single" w:color="005DA1"/>
          <w:vertAlign w:val="superscript"/>
        </w:rPr>
        <w:t>847</w:t>
      </w:r>
      <w:r>
        <w:rPr>
          <w:color w:val="005DA1"/>
          <w:vertAlign w:val="baseline"/>
        </w:rPr>
        <w:t> </w:t>
      </w:r>
      <w:r>
        <w:rPr>
          <w:vertAlign w:val="baseline"/>
        </w:rPr>
        <w:t>art.25(1) of the Regulation shall not prejudice the </w:t>
      </w:r>
      <w:bookmarkStart w:name="_bookmark1599" w:id="1601"/>
      <w:bookmarkEnd w:id="1601"/>
      <w:r>
        <w:rPr>
          <w:vertAlign w:val="baseline"/>
        </w:rPr>
        <w:t>application</w:t>
      </w:r>
      <w:r>
        <w:rPr>
          <w:spacing w:val="-1"/>
          <w:vertAlign w:val="baseline"/>
        </w:rPr>
        <w:t> </w:t>
      </w:r>
      <w:r>
        <w:rPr>
          <w:vertAlign w:val="baseline"/>
        </w:rPr>
        <w:t>of</w:t>
      </w:r>
      <w:r>
        <w:rPr>
          <w:spacing w:val="-1"/>
          <w:vertAlign w:val="baseline"/>
        </w:rPr>
        <w:t> </w:t>
      </w:r>
      <w:r>
        <w:rPr>
          <w:vertAlign w:val="baseline"/>
        </w:rPr>
        <w:t>international</w:t>
      </w:r>
      <w:r>
        <w:rPr>
          <w:spacing w:val="-1"/>
          <w:vertAlign w:val="baseline"/>
        </w:rPr>
        <w:t> </w:t>
      </w:r>
      <w:r>
        <w:rPr>
          <w:vertAlign w:val="baseline"/>
        </w:rPr>
        <w:t>conventions</w:t>
      </w:r>
      <w:r>
        <w:rPr>
          <w:spacing w:val="-1"/>
          <w:vertAlign w:val="baseline"/>
        </w:rPr>
        <w:t> </w:t>
      </w:r>
      <w:r>
        <w:rPr>
          <w:vertAlign w:val="baseline"/>
        </w:rPr>
        <w:t>to</w:t>
      </w:r>
      <w:r>
        <w:rPr>
          <w:spacing w:val="-1"/>
          <w:vertAlign w:val="baseline"/>
        </w:rPr>
        <w:t> </w:t>
      </w:r>
      <w:r>
        <w:rPr>
          <w:vertAlign w:val="baseline"/>
        </w:rPr>
        <w:t>which</w:t>
      </w:r>
      <w:r>
        <w:rPr>
          <w:spacing w:val="-1"/>
          <w:vertAlign w:val="baseline"/>
        </w:rPr>
        <w:t> </w:t>
      </w:r>
      <w:r>
        <w:rPr>
          <w:vertAlign w:val="baseline"/>
        </w:rPr>
        <w:t>one</w:t>
      </w:r>
      <w:r>
        <w:rPr>
          <w:spacing w:val="-1"/>
          <w:vertAlign w:val="baseline"/>
        </w:rPr>
        <w:t> </w:t>
      </w:r>
      <w:r>
        <w:rPr>
          <w:vertAlign w:val="baseline"/>
        </w:rPr>
        <w:t>or</w:t>
      </w:r>
      <w:r>
        <w:rPr>
          <w:spacing w:val="-1"/>
          <w:vertAlign w:val="baseline"/>
        </w:rPr>
        <w:t> </w:t>
      </w:r>
      <w:r>
        <w:rPr>
          <w:vertAlign w:val="baseline"/>
        </w:rPr>
        <w:t>more</w:t>
      </w:r>
      <w:r>
        <w:rPr>
          <w:spacing w:val="-1"/>
          <w:vertAlign w:val="baseline"/>
        </w:rPr>
        <w:t> </w:t>
      </w:r>
      <w:r>
        <w:rPr>
          <w:vertAlign w:val="baseline"/>
        </w:rPr>
        <w:t>Member</w:t>
      </w:r>
      <w:r>
        <w:rPr>
          <w:spacing w:val="-1"/>
          <w:vertAlign w:val="baseline"/>
        </w:rPr>
        <w:t> </w:t>
      </w:r>
      <w:r>
        <w:rPr>
          <w:vertAlign w:val="baseline"/>
        </w:rPr>
        <w:t>States</w:t>
      </w:r>
      <w:r>
        <w:rPr>
          <w:spacing w:val="-1"/>
          <w:vertAlign w:val="baseline"/>
        </w:rPr>
        <w:t> </w:t>
      </w:r>
      <w:r>
        <w:rPr>
          <w:vertAlign w:val="baseline"/>
        </w:rPr>
        <w:t>are</w:t>
      </w:r>
      <w:r>
        <w:rPr>
          <w:spacing w:val="-1"/>
          <w:vertAlign w:val="baseline"/>
        </w:rPr>
        <w:t> </w:t>
      </w:r>
      <w:r>
        <w:rPr>
          <w:vertAlign w:val="baseline"/>
        </w:rPr>
        <w:t>parties</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time</w:t>
      </w:r>
      <w:r>
        <w:rPr>
          <w:spacing w:val="-1"/>
          <w:vertAlign w:val="baseline"/>
        </w:rPr>
        <w:t> </w:t>
      </w:r>
      <w:r>
        <w:rPr>
          <w:vertAlign w:val="baseline"/>
        </w:rPr>
        <w:t>of the adoption of the Regulation </w:t>
      </w:r>
      <w:r>
        <w:rPr>
          <w:color w:val="005DA1"/>
          <w:u w:val="single" w:color="005DA1"/>
          <w:vertAlign w:val="superscript"/>
        </w:rPr>
        <w:t>848</w:t>
      </w:r>
      <w:r>
        <w:rPr>
          <w:color w:val="005DA1"/>
          <w:vertAlign w:val="baseline"/>
        </w:rPr>
        <w:t> </w:t>
      </w:r>
      <w:r>
        <w:rPr>
          <w:vertAlign w:val="baseline"/>
        </w:rPr>
        <w:t>and “which lay down conflict-of-laws rules relating to contractual obligations”. Most conventions concerning international transport contain uniform substantive law</w:t>
      </w:r>
      <w:r>
        <w:rPr>
          <w:spacing w:val="40"/>
          <w:vertAlign w:val="baseline"/>
        </w:rPr>
        <w:t> </w:t>
      </w:r>
      <w:bookmarkStart w:name="_bookmark1600" w:id="1602"/>
      <w:bookmarkEnd w:id="1602"/>
      <w:r>
        <w:rPr>
          <w:vertAlign w:val="baseline"/>
        </w:rPr>
        <w:t>rules</w:t>
      </w:r>
      <w:r>
        <w:rPr>
          <w:vertAlign w:val="baseline"/>
        </w:rPr>
        <w:t> rather than conflict of laws rules and thus it would seem that these conventions continue to apply, irrespective of the Regulation. </w:t>
      </w:r>
      <w:r>
        <w:rPr>
          <w:color w:val="005DA1"/>
          <w:u w:val="single" w:color="005DA1"/>
          <w:vertAlign w:val="superscript"/>
        </w:rPr>
        <w:t>849</w:t>
      </w:r>
      <w:r>
        <w:rPr>
          <w:color w:val="005DA1"/>
          <w:vertAlign w:val="baseline"/>
        </w:rPr>
        <w:t> </w:t>
      </w:r>
      <w:r>
        <w:rPr>
          <w:vertAlign w:val="baseline"/>
        </w:rPr>
        <w:t>Rules contained in international conventions may also be </w:t>
      </w:r>
      <w:bookmarkStart w:name="_bookmark1601" w:id="1603"/>
      <w:bookmarkEnd w:id="1603"/>
      <w:r>
        <w:rPr>
          <w:vertAlign w:val="baseline"/>
        </w:rPr>
        <w:t>regarded</w:t>
      </w:r>
      <w:r>
        <w:rPr>
          <w:vertAlign w:val="baseline"/>
        </w:rPr>
        <w:t> as overriding mandatory provisions of the law of the forum, applicable by virtue of art.9(2) of the Regulation. </w:t>
      </w:r>
      <w:r>
        <w:rPr>
          <w:color w:val="005DA1"/>
          <w:u w:val="single" w:color="005DA1"/>
          <w:vertAlign w:val="superscript"/>
        </w:rPr>
        <w:t>850</w:t>
      </w:r>
    </w:p>
    <w:p>
      <w:pPr>
        <w:pStyle w:val="BodyText"/>
      </w:pPr>
    </w:p>
    <w:p>
      <w:pPr>
        <w:pStyle w:val="BodyText"/>
        <w:spacing w:before="35"/>
      </w:pPr>
    </w:p>
    <w:p>
      <w:pPr>
        <w:spacing w:before="0"/>
        <w:ind w:left="164" w:right="0" w:firstLine="0"/>
        <w:jc w:val="left"/>
        <w:rPr>
          <w:rFonts w:ascii="Arial"/>
          <w:b/>
          <w:sz w:val="18"/>
        </w:rPr>
      </w:pPr>
      <w:r>
        <w:rPr>
          <w:rFonts w:ascii="Arial"/>
          <w:b/>
          <w:sz w:val="18"/>
        </w:rPr>
        <w:t>Carriage of </w:t>
      </w:r>
      <w:r>
        <w:rPr>
          <w:rFonts w:ascii="Arial"/>
          <w:b/>
          <w:spacing w:val="-2"/>
          <w:sz w:val="18"/>
        </w:rPr>
        <w:t>goods</w:t>
      </w:r>
    </w:p>
    <w:p>
      <w:pPr>
        <w:pStyle w:val="BodyText"/>
        <w:spacing w:before="41"/>
        <w:rPr>
          <w:rFonts w:ascii="Arial"/>
          <w:b/>
          <w:sz w:val="18"/>
        </w:rPr>
      </w:pPr>
    </w:p>
    <w:p>
      <w:pPr>
        <w:pStyle w:val="Heading2"/>
        <w:ind w:left="164"/>
      </w:pPr>
      <w:r>
        <w:rPr/>
        <w:t>30-</w:t>
      </w:r>
      <w:r>
        <w:rPr>
          <w:spacing w:val="-5"/>
        </w:rPr>
        <w:t>212</w:t>
      </w:r>
    </w:p>
    <w:p>
      <w:pPr>
        <w:pStyle w:val="BodyText"/>
        <w:spacing w:before="199"/>
        <w:ind w:left="164"/>
        <w:jc w:val="both"/>
      </w:pPr>
      <w:r>
        <w:rPr/>
        <w:t>Article 5(1) of the Regulation provides as </w:t>
      </w:r>
      <w:r>
        <w:rPr>
          <w:spacing w:val="-2"/>
        </w:rPr>
        <w:t>follows:</w:t>
      </w:r>
    </w:p>
    <w:p>
      <w:pPr>
        <w:pStyle w:val="BodyText"/>
      </w:pPr>
    </w:p>
    <w:p>
      <w:pPr>
        <w:pStyle w:val="BodyText"/>
        <w:spacing w:before="125"/>
      </w:pPr>
    </w:p>
    <w:p>
      <w:pPr>
        <w:pStyle w:val="BodyText"/>
        <w:spacing w:line="235" w:lineRule="auto" w:before="1"/>
        <w:ind w:left="1244" w:right="167"/>
        <w:jc w:val="both"/>
      </w:pPr>
      <w:r>
        <w:rPr/>
        <w:t>“To the extent that the law applicable to a contract for the carriage of goods has not been chosen in accordance with Article 3, the law applicable shall be the law of the country of habitual residence of the carrier, provided that the place of receipt or the place of delivery or the habitual residence of the consignor is also situated in that country. If </w:t>
      </w:r>
      <w:r>
        <w:rPr/>
        <w:t>those requirements are not met, the law of the country where the place of delivery as agreed by the parties is situated shall apply.”</w:t>
      </w:r>
    </w:p>
    <w:p>
      <w:pPr>
        <w:pStyle w:val="BodyText"/>
        <w:spacing w:before="114"/>
      </w:pPr>
    </w:p>
    <w:p>
      <w:pPr>
        <w:pStyle w:val="BodyText"/>
        <w:spacing w:line="235" w:lineRule="auto"/>
        <w:ind w:left="164" w:right="167"/>
        <w:jc w:val="both"/>
      </w:pPr>
      <w:bookmarkStart w:name="_bookmark1602" w:id="1604"/>
      <w:bookmarkEnd w:id="1604"/>
      <w:r>
        <w:rPr/>
      </w:r>
      <w:r>
        <w:rPr/>
        <w:t>The law applicable in the absence of choice under art.5(1) may be displaced by reference to the </w:t>
      </w:r>
      <w:r>
        <w:rPr/>
        <w:t>rule of displacement contained in art.5(3). </w:t>
      </w:r>
      <w:r>
        <w:rPr>
          <w:color w:val="005DA1"/>
          <w:u w:val="single" w:color="005DA1"/>
          <w:vertAlign w:val="superscript"/>
        </w:rPr>
        <w:t>851</w:t>
      </w:r>
    </w:p>
    <w:p>
      <w:pPr>
        <w:pStyle w:val="BodyText"/>
      </w:pPr>
    </w:p>
    <w:p>
      <w:pPr>
        <w:pStyle w:val="BodyText"/>
        <w:spacing w:before="38"/>
      </w:pPr>
    </w:p>
    <w:p>
      <w:pPr>
        <w:spacing w:before="0"/>
        <w:ind w:left="165" w:right="0" w:firstLine="0"/>
        <w:jc w:val="left"/>
        <w:rPr>
          <w:rFonts w:ascii="Arial"/>
          <w:b/>
          <w:sz w:val="18"/>
        </w:rPr>
      </w:pPr>
      <w:r>
        <w:rPr>
          <w:rFonts w:ascii="Arial"/>
          <w:b/>
          <w:sz w:val="18"/>
        </w:rPr>
        <w:t>Meaning of contract for carriage of </w:t>
      </w:r>
      <w:r>
        <w:rPr>
          <w:rFonts w:ascii="Arial"/>
          <w:b/>
          <w:spacing w:val="-2"/>
          <w:sz w:val="18"/>
        </w:rPr>
        <w:t>goods</w:t>
      </w:r>
    </w:p>
    <w:p>
      <w:pPr>
        <w:pStyle w:val="BodyText"/>
        <w:spacing w:before="41"/>
        <w:rPr>
          <w:rFonts w:ascii="Arial"/>
          <w:b/>
          <w:sz w:val="18"/>
        </w:rPr>
      </w:pPr>
    </w:p>
    <w:p>
      <w:pPr>
        <w:pStyle w:val="Heading2"/>
      </w:pPr>
      <w:r>
        <w:rPr/>
        <w:t>30-</w:t>
      </w:r>
      <w:r>
        <w:rPr>
          <w:spacing w:val="-5"/>
        </w:rPr>
        <w:t>213</w:t>
      </w:r>
    </w:p>
    <w:p>
      <w:pPr>
        <w:pStyle w:val="BodyText"/>
        <w:spacing w:line="235" w:lineRule="auto" w:before="203"/>
        <w:ind w:left="165" w:right="167"/>
        <w:jc w:val="both"/>
      </w:pPr>
      <w:r>
        <w:rPr/>
        <w:t>The meaning of “contract for the carriage of goods” is not defined in the text of the </w:t>
      </w:r>
      <w:r>
        <w:rPr/>
        <w:t>Regulation. However, Recital 22 to the Regulation states that in this regard:</w:t>
      </w:r>
    </w:p>
    <w:p>
      <w:pPr>
        <w:pStyle w:val="BodyText"/>
      </w:pPr>
    </w:p>
    <w:p>
      <w:pPr>
        <w:pStyle w:val="BodyText"/>
        <w:spacing w:before="126"/>
      </w:pPr>
    </w:p>
    <w:p>
      <w:pPr>
        <w:pStyle w:val="BodyText"/>
        <w:spacing w:line="235" w:lineRule="auto"/>
        <w:ind w:left="1245" w:right="167"/>
        <w:jc w:val="both"/>
      </w:pPr>
      <w:r>
        <w:rPr/>
        <w:t>“… no change is intended with respect to Article 4(4), third sentence, of the Rome Convention. Consequently, single voyage charter parties and other contracts the </w:t>
      </w:r>
      <w:r>
        <w:rPr/>
        <w:t>main purpose of which is the carriage of goods should be treated as contracts for the carriage of goods.”</w:t>
      </w:r>
    </w:p>
    <w:p>
      <w:pPr>
        <w:pStyle w:val="BodyText"/>
        <w:spacing w:before="115"/>
      </w:pPr>
    </w:p>
    <w:p>
      <w:pPr>
        <w:pStyle w:val="BodyText"/>
        <w:spacing w:line="235" w:lineRule="auto"/>
        <w:ind w:left="165" w:right="167"/>
        <w:jc w:val="both"/>
      </w:pPr>
      <w:bookmarkStart w:name="_bookmark1603" w:id="1605"/>
      <w:bookmarkEnd w:id="1605"/>
      <w:r>
        <w:rPr/>
      </w:r>
      <w:r>
        <w:rPr/>
        <w:t>One may deduce from this that “contract for the carriage of goods” has the same meaning under </w:t>
      </w:r>
      <w:r>
        <w:rPr/>
        <w:t>the Regulation as it has under the Convention, as discussed earlier in this chapter. </w:t>
      </w:r>
      <w:r>
        <w:rPr>
          <w:color w:val="005DA1"/>
          <w:u w:val="single" w:color="005DA1"/>
          <w:vertAlign w:val="superscript"/>
        </w:rPr>
        <w:t>852</w:t>
      </w:r>
    </w:p>
    <w:p>
      <w:pPr>
        <w:pStyle w:val="BodyText"/>
      </w:pPr>
    </w:p>
    <w:p>
      <w:pPr>
        <w:pStyle w:val="BodyText"/>
        <w:spacing w:before="38"/>
      </w:pPr>
    </w:p>
    <w:p>
      <w:pPr>
        <w:spacing w:before="0"/>
        <w:ind w:left="165" w:right="0" w:firstLine="0"/>
        <w:jc w:val="left"/>
        <w:rPr>
          <w:rFonts w:ascii="Arial"/>
          <w:b/>
          <w:sz w:val="18"/>
        </w:rPr>
      </w:pPr>
      <w:r>
        <w:rPr>
          <w:rFonts w:ascii="Arial"/>
          <w:b/>
          <w:sz w:val="18"/>
        </w:rPr>
        <w:t>Choice of law by the </w:t>
      </w:r>
      <w:r>
        <w:rPr>
          <w:rFonts w:ascii="Arial"/>
          <w:b/>
          <w:spacing w:val="-2"/>
          <w:sz w:val="18"/>
        </w:rPr>
        <w:t>parties</w:t>
      </w:r>
    </w:p>
    <w:p>
      <w:pPr>
        <w:pStyle w:val="BodyText"/>
        <w:spacing w:before="41"/>
        <w:rPr>
          <w:rFonts w:ascii="Arial"/>
          <w:b/>
          <w:sz w:val="18"/>
        </w:rPr>
      </w:pPr>
    </w:p>
    <w:p>
      <w:pPr>
        <w:pStyle w:val="Heading2"/>
        <w:spacing w:before="1"/>
      </w:pPr>
      <w:r>
        <w:rPr/>
        <w:t>30-</w:t>
      </w:r>
      <w:r>
        <w:rPr>
          <w:spacing w:val="-5"/>
        </w:rPr>
        <w:t>214</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r>
        <w:rPr/>
        <w:t>In accordance with art.3(1) of the Regulation, the parties to a contract for the carriage of goods </w:t>
      </w:r>
      <w:r>
        <w:rPr/>
        <w:t>are </w:t>
      </w:r>
      <w:bookmarkStart w:name="_bookmark1604" w:id="1606"/>
      <w:bookmarkEnd w:id="1606"/>
      <w:r>
        <w:rPr/>
        <w:t>free</w:t>
      </w:r>
      <w:r>
        <w:rPr/>
        <w:t> to choose the law applicable to it subject to any constraints on that freedom imposed by other provisions of the Regulation. </w:t>
      </w:r>
      <w:r>
        <w:rPr>
          <w:color w:val="005DA1"/>
          <w:u w:val="single" w:color="005DA1"/>
          <w:vertAlign w:val="superscript"/>
        </w:rPr>
        <w:t>853</w:t>
      </w:r>
      <w:r>
        <w:rPr>
          <w:color w:val="005DA1"/>
          <w:vertAlign w:val="baseline"/>
        </w:rPr>
        <w:t> </w:t>
      </w:r>
      <w:r>
        <w:rPr>
          <w:vertAlign w:val="baseline"/>
        </w:rPr>
        <w:t>The choice will often be made expressly, </w:t>
      </w:r>
      <w:r>
        <w:rPr>
          <w:color w:val="005DA1"/>
          <w:u w:val="single" w:color="005DA1"/>
          <w:vertAlign w:val="superscript"/>
        </w:rPr>
        <w:t>854</w:t>
      </w:r>
      <w:r>
        <w:rPr>
          <w:color w:val="005DA1"/>
          <w:vertAlign w:val="baseline"/>
        </w:rPr>
        <w:t> </w:t>
      </w:r>
      <w:r>
        <w:rPr>
          <w:vertAlign w:val="baseline"/>
        </w:rPr>
        <w:t>but if it is not it will be necessary to enquire whether a choice has been clearly demonstrated by the terms of the contract or </w:t>
      </w:r>
      <w:bookmarkStart w:name="_bookmark1605" w:id="1607"/>
      <w:bookmarkEnd w:id="1607"/>
      <w:r>
        <w:rPr>
          <w:vertAlign w:val="baseline"/>
        </w:rPr>
        <w:t>the</w:t>
      </w:r>
      <w:r>
        <w:rPr>
          <w:vertAlign w:val="baseline"/>
        </w:rPr>
        <w:t> circumstances of the case. The use of arbitration clauses, often contained in standard forms intimately linked to the law of a particular country may well be relevant factors, </w:t>
      </w:r>
      <w:r>
        <w:rPr>
          <w:color w:val="005DA1"/>
          <w:u w:val="single" w:color="005DA1"/>
          <w:vertAlign w:val="superscript"/>
        </w:rPr>
        <w:t>855</w:t>
      </w:r>
      <w:r>
        <w:rPr>
          <w:color w:val="005DA1"/>
          <w:vertAlign w:val="baseline"/>
        </w:rPr>
        <w:t> </w:t>
      </w:r>
      <w:r>
        <w:rPr>
          <w:vertAlign w:val="baseline"/>
        </w:rPr>
        <w:t>but the outcome in any given case will ultimately depend on the particular circumstances of the case.</w:t>
      </w:r>
    </w:p>
    <w:p>
      <w:pPr>
        <w:pStyle w:val="BodyText"/>
      </w:pPr>
    </w:p>
    <w:p>
      <w:pPr>
        <w:pStyle w:val="BodyText"/>
        <w:spacing w:before="36"/>
      </w:pPr>
    </w:p>
    <w:p>
      <w:pPr>
        <w:spacing w:before="0"/>
        <w:ind w:left="165" w:right="0" w:firstLine="0"/>
        <w:jc w:val="left"/>
        <w:rPr>
          <w:rFonts w:ascii="Arial"/>
          <w:b/>
          <w:sz w:val="18"/>
        </w:rPr>
      </w:pPr>
      <w:r>
        <w:rPr>
          <w:rFonts w:ascii="Arial"/>
          <w:b/>
          <w:sz w:val="18"/>
        </w:rPr>
        <w:t>Applicable law in the absence of </w:t>
      </w:r>
      <w:r>
        <w:rPr>
          <w:rFonts w:ascii="Arial"/>
          <w:b/>
          <w:spacing w:val="-2"/>
          <w:sz w:val="18"/>
        </w:rPr>
        <w:t>choice</w:t>
      </w:r>
    </w:p>
    <w:p>
      <w:pPr>
        <w:pStyle w:val="BodyText"/>
        <w:spacing w:before="41"/>
        <w:rPr>
          <w:rFonts w:ascii="Arial"/>
          <w:b/>
          <w:sz w:val="18"/>
        </w:rPr>
      </w:pPr>
    </w:p>
    <w:p>
      <w:pPr>
        <w:pStyle w:val="Heading2"/>
        <w:spacing w:before="1"/>
      </w:pPr>
      <w:r>
        <w:rPr/>
        <w:t>30-</w:t>
      </w:r>
      <w:r>
        <w:rPr>
          <w:spacing w:val="-5"/>
        </w:rPr>
        <w:t>215</w:t>
      </w:r>
    </w:p>
    <w:p>
      <w:pPr>
        <w:pStyle w:val="BodyText"/>
        <w:spacing w:line="235" w:lineRule="auto" w:before="202"/>
        <w:ind w:left="165" w:right="167"/>
        <w:jc w:val="both"/>
      </w:pPr>
      <w:r>
        <w:rPr/>
        <w:t>To the extent that the applicable law has not been chosen in accordance with art.3, art.5(1) supplies choice of law rules for determining the applicable law. These consist of what may be called a “general rule” and a “residual rule”.</w:t>
      </w:r>
    </w:p>
    <w:p>
      <w:pPr>
        <w:pStyle w:val="BodyText"/>
      </w:pPr>
    </w:p>
    <w:p>
      <w:pPr>
        <w:pStyle w:val="BodyText"/>
        <w:spacing w:before="38"/>
      </w:pPr>
    </w:p>
    <w:p>
      <w:pPr>
        <w:spacing w:before="0"/>
        <w:ind w:left="165" w:right="0" w:firstLine="0"/>
        <w:jc w:val="left"/>
        <w:rPr>
          <w:rFonts w:ascii="Arial"/>
          <w:b/>
          <w:sz w:val="18"/>
        </w:rPr>
      </w:pPr>
      <w:r>
        <w:rPr>
          <w:rFonts w:ascii="Arial"/>
          <w:b/>
          <w:sz w:val="18"/>
        </w:rPr>
        <w:t>General </w:t>
      </w:r>
      <w:r>
        <w:rPr>
          <w:rFonts w:ascii="Arial"/>
          <w:b/>
          <w:spacing w:val="-4"/>
          <w:sz w:val="18"/>
        </w:rPr>
        <w:t>rule</w:t>
      </w:r>
    </w:p>
    <w:p>
      <w:pPr>
        <w:pStyle w:val="BodyText"/>
        <w:spacing w:before="41"/>
        <w:rPr>
          <w:rFonts w:ascii="Arial"/>
          <w:b/>
          <w:sz w:val="18"/>
        </w:rPr>
      </w:pPr>
    </w:p>
    <w:p>
      <w:pPr>
        <w:pStyle w:val="Heading2"/>
      </w:pPr>
      <w:r>
        <w:rPr/>
        <w:t>30-</w:t>
      </w:r>
      <w:r>
        <w:rPr>
          <w:spacing w:val="-5"/>
        </w:rPr>
        <w:t>216</w:t>
      </w:r>
    </w:p>
    <w:p>
      <w:pPr>
        <w:pStyle w:val="BodyText"/>
        <w:spacing w:line="235" w:lineRule="auto" w:before="203"/>
        <w:ind w:left="164" w:right="167"/>
        <w:jc w:val="both"/>
      </w:pPr>
      <w:bookmarkStart w:name="_bookmark1606" w:id="1608"/>
      <w:bookmarkEnd w:id="1608"/>
      <w:r>
        <w:rPr/>
      </w:r>
      <w:bookmarkStart w:name="_bookmark1607" w:id="1609"/>
      <w:bookmarkEnd w:id="1609"/>
      <w:r>
        <w:rPr/>
      </w:r>
      <w:r>
        <w:rPr/>
        <w:t>Generally, the applicable law will be the law of the country of the habitual residence </w:t>
      </w:r>
      <w:r>
        <w:rPr>
          <w:color w:val="005DA1"/>
          <w:u w:val="single" w:color="005DA1"/>
          <w:vertAlign w:val="superscript"/>
        </w:rPr>
        <w:t>856</w:t>
      </w:r>
      <w:r>
        <w:rPr>
          <w:color w:val="005DA1"/>
          <w:vertAlign w:val="baseline"/>
        </w:rPr>
        <w:t> </w:t>
      </w:r>
      <w:r>
        <w:rPr>
          <w:vertAlign w:val="baseline"/>
        </w:rPr>
        <w:t>of the </w:t>
      </w:r>
      <w:r>
        <w:rPr>
          <w:vertAlign w:val="baseline"/>
        </w:rPr>
        <w:t>carrier, </w:t>
      </w:r>
      <w:r>
        <w:rPr>
          <w:color w:val="005DA1"/>
          <w:u w:val="single" w:color="005DA1"/>
          <w:vertAlign w:val="superscript"/>
        </w:rPr>
        <w:t>857</w:t>
      </w:r>
      <w:r>
        <w:rPr>
          <w:color w:val="005DA1"/>
          <w:vertAlign w:val="baseline"/>
        </w:rPr>
        <w:t> </w:t>
      </w:r>
      <w:bookmarkStart w:name="_bookmark1608" w:id="1610"/>
      <w:bookmarkEnd w:id="1610"/>
      <w:r>
        <w:rPr>
          <w:color w:val="005DA1"/>
          <w:spacing w:val="-15"/>
          <w:vertAlign w:val="baseline"/>
        </w:rPr>
      </w:r>
      <w:r>
        <w:rPr>
          <w:vertAlign w:val="baseline"/>
        </w:rPr>
        <w:t>provided that the place of receipt or the place of delivery or the habitual residence </w:t>
      </w:r>
      <w:r>
        <w:rPr>
          <w:color w:val="005DA1"/>
          <w:u w:val="single" w:color="005DA1"/>
          <w:vertAlign w:val="superscript"/>
        </w:rPr>
        <w:t>858</w:t>
      </w:r>
      <w:r>
        <w:rPr>
          <w:color w:val="005DA1"/>
          <w:vertAlign w:val="baseline"/>
        </w:rPr>
        <w:t> </w:t>
      </w:r>
      <w:r>
        <w:rPr>
          <w:vertAlign w:val="baseline"/>
        </w:rPr>
        <w:t>of the </w:t>
      </w:r>
      <w:bookmarkStart w:name="_bookmark1609" w:id="1611"/>
      <w:bookmarkEnd w:id="1611"/>
      <w:r>
        <w:rPr>
          <w:vertAlign w:val="baseline"/>
        </w:rPr>
        <w:t>consignor</w:t>
      </w:r>
      <w:r>
        <w:rPr>
          <w:vertAlign w:val="baseline"/>
        </w:rPr>
        <w:t> </w:t>
      </w:r>
      <w:r>
        <w:rPr>
          <w:color w:val="005DA1"/>
          <w:u w:val="single" w:color="005DA1"/>
          <w:vertAlign w:val="superscript"/>
        </w:rPr>
        <w:t>859</w:t>
      </w:r>
      <w:r>
        <w:rPr>
          <w:color w:val="005DA1"/>
          <w:vertAlign w:val="baseline"/>
        </w:rPr>
        <w:t> </w:t>
      </w:r>
      <w:r>
        <w:rPr>
          <w:vertAlign w:val="baseline"/>
        </w:rPr>
        <w:t>is </w:t>
      </w:r>
      <w:r>
        <w:rPr>
          <w:rFonts w:ascii="Arial" w:hAnsi="Arial"/>
          <w:i/>
          <w:vertAlign w:val="baseline"/>
        </w:rPr>
        <w:t>also </w:t>
      </w:r>
      <w:r>
        <w:rPr>
          <w:vertAlign w:val="baseline"/>
        </w:rPr>
        <w:t>situated in that country. The “place of receipt” would seem to mean the place </w:t>
      </w:r>
      <w:bookmarkStart w:name="_bookmark1610" w:id="1612"/>
      <w:bookmarkEnd w:id="1612"/>
      <w:r>
        <w:rPr>
          <w:vertAlign w:val="baseline"/>
        </w:rPr>
        <w:t>where</w:t>
      </w:r>
      <w:r>
        <w:rPr>
          <w:vertAlign w:val="baseline"/>
        </w:rPr>
        <w:t> the carrier receives the goods from the consignor. </w:t>
      </w:r>
      <w:r>
        <w:rPr>
          <w:color w:val="005DA1"/>
          <w:u w:val="single" w:color="005DA1"/>
          <w:vertAlign w:val="superscript"/>
        </w:rPr>
        <w:t>860</w:t>
      </w:r>
      <w:r>
        <w:rPr>
          <w:color w:val="005DA1"/>
          <w:vertAlign w:val="baseline"/>
        </w:rPr>
        <w:t> </w:t>
      </w:r>
      <w:r>
        <w:rPr>
          <w:vertAlign w:val="baseline"/>
        </w:rPr>
        <w:t>The “place of delivery” would seem to mean</w:t>
      </w:r>
      <w:r>
        <w:rPr>
          <w:spacing w:val="-1"/>
          <w:vertAlign w:val="baseline"/>
        </w:rPr>
        <w:t> </w:t>
      </w:r>
      <w:r>
        <w:rPr>
          <w:vertAlign w:val="baseline"/>
        </w:rPr>
        <w:t>the</w:t>
      </w:r>
      <w:r>
        <w:rPr>
          <w:spacing w:val="-1"/>
          <w:vertAlign w:val="baseline"/>
        </w:rPr>
        <w:t> </w:t>
      </w:r>
      <w:r>
        <w:rPr>
          <w:vertAlign w:val="baseline"/>
        </w:rPr>
        <w:t>place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carrier</w:t>
      </w:r>
      <w:r>
        <w:rPr>
          <w:spacing w:val="-1"/>
          <w:vertAlign w:val="baseline"/>
        </w:rPr>
        <w:t> </w:t>
      </w:r>
      <w:r>
        <w:rPr>
          <w:vertAlign w:val="baseline"/>
        </w:rPr>
        <w:t>is</w:t>
      </w:r>
      <w:r>
        <w:rPr>
          <w:spacing w:val="-1"/>
          <w:vertAlign w:val="baseline"/>
        </w:rPr>
        <w:t> </w:t>
      </w:r>
      <w:r>
        <w:rPr>
          <w:vertAlign w:val="baseline"/>
        </w:rPr>
        <w:t>required</w:t>
      </w:r>
      <w:r>
        <w:rPr>
          <w:spacing w:val="-1"/>
          <w:vertAlign w:val="baseline"/>
        </w:rPr>
        <w:t> </w:t>
      </w:r>
      <w:r>
        <w:rPr>
          <w:vertAlign w:val="baseline"/>
        </w:rPr>
        <w:t>to</w:t>
      </w:r>
      <w:r>
        <w:rPr>
          <w:spacing w:val="-1"/>
          <w:vertAlign w:val="baseline"/>
        </w:rPr>
        <w:t> </w:t>
      </w:r>
      <w:r>
        <w:rPr>
          <w:vertAlign w:val="baseline"/>
        </w:rPr>
        <w:t>deliver</w:t>
      </w:r>
      <w:r>
        <w:rPr>
          <w:spacing w:val="-1"/>
          <w:vertAlign w:val="baseline"/>
        </w:rPr>
        <w:t> </w:t>
      </w:r>
      <w:r>
        <w:rPr>
          <w:vertAlign w:val="baseline"/>
        </w:rPr>
        <w:t>the</w:t>
      </w:r>
      <w:r>
        <w:rPr>
          <w:spacing w:val="-1"/>
          <w:vertAlign w:val="baseline"/>
        </w:rPr>
        <w:t> </w:t>
      </w:r>
      <w:r>
        <w:rPr>
          <w:vertAlign w:val="baseline"/>
        </w:rPr>
        <w:t>goods.</w:t>
      </w:r>
      <w:r>
        <w:rPr>
          <w:spacing w:val="-2"/>
          <w:vertAlign w:val="baseline"/>
        </w:rPr>
        <w:t> </w:t>
      </w:r>
      <w:r>
        <w:rPr>
          <w:color w:val="005DA1"/>
          <w:u w:val="single" w:color="005DA1"/>
          <w:vertAlign w:val="superscript"/>
        </w:rPr>
        <w:t>861</w:t>
      </w:r>
      <w:r>
        <w:rPr>
          <w:color w:val="005DA1"/>
          <w:spacing w:val="-1"/>
          <w:vertAlign w:val="baseline"/>
        </w:rPr>
        <w:t> </w:t>
      </w:r>
      <w:r>
        <w:rPr>
          <w:vertAlign w:val="baseline"/>
        </w:rPr>
        <w:t>Although</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explicitly</w:t>
      </w:r>
      <w:r>
        <w:rPr>
          <w:spacing w:val="-1"/>
          <w:vertAlign w:val="baseline"/>
        </w:rPr>
        <w:t> </w:t>
      </w:r>
      <w:r>
        <w:rPr>
          <w:vertAlign w:val="baseline"/>
        </w:rPr>
        <w:t>stated </w:t>
      </w:r>
      <w:bookmarkStart w:name="_bookmark1611" w:id="1613"/>
      <w:bookmarkEnd w:id="1613"/>
      <w:r>
        <w:rPr>
          <w:vertAlign w:val="baseline"/>
        </w:rPr>
        <w:t>in</w:t>
      </w:r>
      <w:r>
        <w:rPr>
          <w:vertAlign w:val="baseline"/>
        </w:rPr>
        <w:t> the Regulation, it would also seem that the place of receipt and place of delivery are those agreed at the time of the conclusion of the contract. </w:t>
      </w:r>
      <w:r>
        <w:rPr>
          <w:color w:val="005DA1"/>
          <w:u w:val="single" w:color="005DA1"/>
          <w:vertAlign w:val="superscript"/>
        </w:rPr>
        <w:t>862</w:t>
      </w:r>
    </w:p>
    <w:p>
      <w:pPr>
        <w:pStyle w:val="BodyText"/>
      </w:pPr>
    </w:p>
    <w:p>
      <w:pPr>
        <w:pStyle w:val="BodyText"/>
        <w:spacing w:before="35"/>
      </w:pPr>
    </w:p>
    <w:p>
      <w:pPr>
        <w:spacing w:before="1"/>
        <w:ind w:left="165" w:right="0" w:firstLine="0"/>
        <w:jc w:val="left"/>
        <w:rPr>
          <w:rFonts w:ascii="Arial" w:hAnsi="Arial"/>
          <w:b/>
          <w:sz w:val="18"/>
        </w:rPr>
      </w:pPr>
      <w:r>
        <w:rPr>
          <w:rFonts w:ascii="Arial" w:hAnsi="Arial"/>
          <w:b/>
          <w:sz w:val="18"/>
        </w:rPr>
        <w:t>Meaning of </w:t>
      </w:r>
      <w:r>
        <w:rPr>
          <w:rFonts w:ascii="Arial" w:hAnsi="Arial"/>
          <w:b/>
          <w:spacing w:val="-2"/>
          <w:sz w:val="18"/>
        </w:rPr>
        <w:t>“carrier”</w:t>
      </w:r>
    </w:p>
    <w:p>
      <w:pPr>
        <w:pStyle w:val="BodyText"/>
        <w:spacing w:before="41"/>
        <w:rPr>
          <w:rFonts w:ascii="Arial"/>
          <w:b/>
          <w:sz w:val="18"/>
        </w:rPr>
      </w:pPr>
    </w:p>
    <w:p>
      <w:pPr>
        <w:pStyle w:val="Heading2"/>
      </w:pPr>
      <w:r>
        <w:rPr/>
        <w:t>30-</w:t>
      </w:r>
      <w:r>
        <w:rPr>
          <w:spacing w:val="-5"/>
        </w:rPr>
        <w:t>217</w:t>
      </w:r>
    </w:p>
    <w:p>
      <w:pPr>
        <w:pStyle w:val="BodyText"/>
        <w:spacing w:before="199"/>
        <w:ind w:left="165"/>
      </w:pPr>
      <w:r>
        <w:rPr/>
        <w:t>The meaning of “carrier” is not defined in the text of the Regulation. However, Recital 22 states </w:t>
      </w:r>
      <w:r>
        <w:rPr>
          <w:spacing w:val="-2"/>
        </w:rPr>
        <w:t>that:</w:t>
      </w:r>
    </w:p>
    <w:p>
      <w:pPr>
        <w:pStyle w:val="BodyText"/>
      </w:pPr>
    </w:p>
    <w:p>
      <w:pPr>
        <w:pStyle w:val="BodyText"/>
        <w:spacing w:before="125"/>
      </w:pPr>
    </w:p>
    <w:p>
      <w:pPr>
        <w:pStyle w:val="BodyText"/>
        <w:spacing w:line="235" w:lineRule="auto"/>
        <w:ind w:left="1245"/>
      </w:pPr>
      <w:r>
        <w:rPr/>
        <w:t>“… the term ‘carrier’ should refer to the party to the contract who undertakes to carry the goods, whether or not he performs the carriage itself.”</w:t>
      </w:r>
    </w:p>
    <w:p>
      <w:pPr>
        <w:pStyle w:val="BodyText"/>
        <w:spacing w:before="112"/>
      </w:pPr>
    </w:p>
    <w:p>
      <w:pPr>
        <w:pStyle w:val="BodyText"/>
        <w:spacing w:before="1"/>
        <w:ind w:left="165"/>
      </w:pPr>
      <w:bookmarkStart w:name="_bookmark1612" w:id="1614"/>
      <w:bookmarkEnd w:id="1614"/>
      <w:r>
        <w:rPr/>
      </w:r>
      <w:r>
        <w:rPr/>
        <w:t>This reflects the position under the Rome Convention.</w:t>
      </w:r>
      <w:r>
        <w:rPr>
          <w:spacing w:val="-1"/>
        </w:rPr>
        <w:t> </w:t>
      </w:r>
      <w:r>
        <w:rPr>
          <w:color w:val="005DA1"/>
          <w:spacing w:val="-5"/>
          <w:u w:val="single" w:color="005DA1"/>
          <w:vertAlign w:val="superscript"/>
        </w:rPr>
        <w:t>863</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Meaning of </w:t>
      </w:r>
      <w:r>
        <w:rPr>
          <w:rFonts w:ascii="Arial" w:hAnsi="Arial"/>
          <w:b/>
          <w:spacing w:val="-2"/>
          <w:sz w:val="18"/>
        </w:rPr>
        <w:t>“consignor”</w:t>
      </w:r>
    </w:p>
    <w:p>
      <w:pPr>
        <w:pStyle w:val="BodyText"/>
        <w:spacing w:before="41"/>
        <w:rPr>
          <w:rFonts w:ascii="Arial"/>
          <w:b/>
          <w:sz w:val="18"/>
        </w:rPr>
      </w:pPr>
    </w:p>
    <w:p>
      <w:pPr>
        <w:pStyle w:val="Heading2"/>
      </w:pPr>
      <w:r>
        <w:rPr/>
        <w:t>30-</w:t>
      </w:r>
      <w:r>
        <w:rPr>
          <w:spacing w:val="-5"/>
        </w:rPr>
        <w:t>218</w:t>
      </w:r>
    </w:p>
    <w:p>
      <w:pPr>
        <w:pStyle w:val="BodyText"/>
        <w:spacing w:line="235" w:lineRule="auto" w:before="203"/>
        <w:ind w:left="165" w:right="167"/>
        <w:jc w:val="both"/>
      </w:pPr>
      <w:r>
        <w:rPr/>
        <w:t>The meaning of consignor, also, is not defined in the text of the Regulation. Recital 22, </w:t>
      </w:r>
      <w:r>
        <w:rPr/>
        <w:t>however, </w:t>
      </w:r>
      <w:bookmarkStart w:name="_bookmark1613" w:id="1615"/>
      <w:bookmarkEnd w:id="1615"/>
      <w:r>
        <w:rPr/>
        <w:t>explains</w:t>
      </w:r>
      <w:r>
        <w:rPr/>
        <w:t> that “the term ‘consignor’ should refer to any person who enters into a contract of carriage with the carrier”. </w:t>
      </w:r>
      <w:r>
        <w:rPr>
          <w:color w:val="005DA1"/>
          <w:u w:val="single" w:color="005DA1"/>
          <w:vertAlign w:val="superscript"/>
        </w:rPr>
        <w:t>864</w:t>
      </w:r>
    </w:p>
    <w:p>
      <w:pPr>
        <w:pStyle w:val="BodyText"/>
      </w:pPr>
    </w:p>
    <w:p>
      <w:pPr>
        <w:pStyle w:val="BodyText"/>
        <w:spacing w:before="37"/>
      </w:pPr>
    </w:p>
    <w:p>
      <w:pPr>
        <w:spacing w:before="1"/>
        <w:ind w:left="165" w:right="0" w:firstLine="0"/>
        <w:jc w:val="left"/>
        <w:rPr>
          <w:rFonts w:ascii="Arial"/>
          <w:b/>
          <w:sz w:val="18"/>
        </w:rPr>
      </w:pPr>
      <w:r>
        <w:rPr>
          <w:rFonts w:ascii="Arial"/>
          <w:b/>
          <w:sz w:val="18"/>
        </w:rPr>
        <w:t>Residual </w:t>
      </w:r>
      <w:r>
        <w:rPr>
          <w:rFonts w:ascii="Arial"/>
          <w:b/>
          <w:spacing w:val="-4"/>
          <w:sz w:val="18"/>
        </w:rPr>
        <w:t>rule</w:t>
      </w:r>
    </w:p>
    <w:p>
      <w:pPr>
        <w:pStyle w:val="BodyText"/>
        <w:spacing w:before="41"/>
        <w:rPr>
          <w:rFonts w:ascii="Arial"/>
          <w:b/>
          <w:sz w:val="18"/>
        </w:rPr>
      </w:pPr>
    </w:p>
    <w:p>
      <w:pPr>
        <w:pStyle w:val="Heading2"/>
      </w:pPr>
      <w:r>
        <w:rPr/>
        <w:t>30-</w:t>
      </w:r>
      <w:r>
        <w:rPr>
          <w:spacing w:val="-5"/>
        </w:rPr>
        <w:t>219</w:t>
      </w:r>
    </w:p>
    <w:p>
      <w:pPr>
        <w:pStyle w:val="BodyText"/>
        <w:spacing w:before="199"/>
        <w:ind w:left="165"/>
      </w:pPr>
      <w:r>
        <w:rPr/>
        <w:t>If</w:t>
      </w:r>
      <w:r>
        <w:rPr>
          <w:spacing w:val="18"/>
        </w:rPr>
        <w:t> </w:t>
      </w:r>
      <w:r>
        <w:rPr/>
        <w:t>the</w:t>
      </w:r>
      <w:r>
        <w:rPr>
          <w:spacing w:val="18"/>
        </w:rPr>
        <w:t> </w:t>
      </w:r>
      <w:r>
        <w:rPr/>
        <w:t>requirements</w:t>
      </w:r>
      <w:r>
        <w:rPr>
          <w:spacing w:val="18"/>
        </w:rPr>
        <w:t> </w:t>
      </w:r>
      <w:r>
        <w:rPr/>
        <w:t>in</w:t>
      </w:r>
      <w:r>
        <w:rPr>
          <w:spacing w:val="18"/>
        </w:rPr>
        <w:t> </w:t>
      </w:r>
      <w:r>
        <w:rPr/>
        <w:t>art.5(1),</w:t>
      </w:r>
      <w:r>
        <w:rPr>
          <w:spacing w:val="18"/>
        </w:rPr>
        <w:t> </w:t>
      </w:r>
      <w:r>
        <w:rPr/>
        <w:t>referred</w:t>
      </w:r>
      <w:r>
        <w:rPr>
          <w:spacing w:val="18"/>
        </w:rPr>
        <w:t> </w:t>
      </w:r>
      <w:r>
        <w:rPr/>
        <w:t>to</w:t>
      </w:r>
      <w:r>
        <w:rPr>
          <w:spacing w:val="18"/>
        </w:rPr>
        <w:t> </w:t>
      </w:r>
      <w:r>
        <w:rPr/>
        <w:t>above</w:t>
      </w:r>
      <w:r>
        <w:rPr>
          <w:spacing w:val="18"/>
        </w:rPr>
        <w:t> </w:t>
      </w:r>
      <w:r>
        <w:rPr/>
        <w:t>are</w:t>
      </w:r>
      <w:r>
        <w:rPr>
          <w:spacing w:val="18"/>
        </w:rPr>
        <w:t> </w:t>
      </w:r>
      <w:r>
        <w:rPr/>
        <w:t>not</w:t>
      </w:r>
      <w:r>
        <w:rPr>
          <w:spacing w:val="18"/>
        </w:rPr>
        <w:t> </w:t>
      </w:r>
      <w:r>
        <w:rPr/>
        <w:t>met,</w:t>
      </w:r>
      <w:r>
        <w:rPr>
          <w:spacing w:val="18"/>
        </w:rPr>
        <w:t> </w:t>
      </w:r>
      <w:r>
        <w:rPr/>
        <w:t>art.5(1)</w:t>
      </w:r>
      <w:r>
        <w:rPr>
          <w:spacing w:val="18"/>
        </w:rPr>
        <w:t> </w:t>
      </w:r>
      <w:r>
        <w:rPr/>
        <w:t>supplies</w:t>
      </w:r>
      <w:r>
        <w:rPr>
          <w:spacing w:val="18"/>
        </w:rPr>
        <w:t> </w:t>
      </w:r>
      <w:r>
        <w:rPr/>
        <w:t>a</w:t>
      </w:r>
      <w:r>
        <w:rPr>
          <w:spacing w:val="18"/>
        </w:rPr>
        <w:t> </w:t>
      </w:r>
      <w:r>
        <w:rPr/>
        <w:t>residual</w:t>
      </w:r>
      <w:r>
        <w:rPr>
          <w:spacing w:val="18"/>
        </w:rPr>
        <w:t> </w:t>
      </w:r>
      <w:r>
        <w:rPr/>
        <w:t>rule</w:t>
      </w:r>
      <w:r>
        <w:rPr>
          <w:spacing w:val="18"/>
        </w:rPr>
        <w:t> </w:t>
      </w:r>
      <w:r>
        <w:rPr/>
        <w:t>to</w:t>
      </w:r>
      <w:r>
        <w:rPr>
          <w:spacing w:val="18"/>
        </w:rPr>
        <w:t> </w:t>
      </w:r>
      <w:r>
        <w:rPr>
          <w:spacing w:val="-5"/>
        </w:rPr>
        <w:t>the</w:t>
      </w:r>
    </w:p>
    <w:p>
      <w:pPr>
        <w:pStyle w:val="BodyText"/>
        <w:spacing w:after="0"/>
        <w:sectPr>
          <w:pgSz w:w="11900" w:h="16840"/>
          <w:pgMar w:header="971" w:footer="0" w:top="1300" w:bottom="280" w:left="1275" w:right="1275"/>
        </w:sectPr>
      </w:pPr>
    </w:p>
    <w:p>
      <w:pPr>
        <w:pStyle w:val="BodyText"/>
        <w:spacing w:line="235" w:lineRule="auto" w:before="210"/>
        <w:ind w:left="165" w:right="167"/>
        <w:jc w:val="both"/>
      </w:pPr>
      <w:r>
        <w:rPr/>
        <w:t>effect that “the law of the country where the place of delivery as agreed by the parties shall apply”. It</w:t>
      </w:r>
      <w:r>
        <w:rPr>
          <w:spacing w:val="40"/>
        </w:rPr>
        <w:t> </w:t>
      </w:r>
      <w:r>
        <w:rPr/>
        <w:t>is not clear whether the relevant place of delivery agreed by the parties is that agreed upon at </w:t>
      </w:r>
      <w:r>
        <w:rPr/>
        <w:t>the</w:t>
      </w:r>
      <w:r>
        <w:rPr>
          <w:spacing w:val="40"/>
        </w:rPr>
        <w:t> </w:t>
      </w:r>
      <w:r>
        <w:rPr/>
        <w:t>time the contract is concluded or whether, if the parties subsequently agree on a different place of delivery, that different place may be the relevant place. Consistency with the general rule suggests</w:t>
      </w:r>
      <w:r>
        <w:rPr>
          <w:spacing w:val="40"/>
        </w:rPr>
        <w:t> </w:t>
      </w:r>
      <w:r>
        <w:rPr/>
        <w:t>the place originally agreed upon, but this conclusion might be thought to be unrealistic. Alternatively a subsequent agreement to change the place of delivery may be a relevant factor in determining </w:t>
      </w:r>
      <w:bookmarkStart w:name="_bookmark1614" w:id="1616"/>
      <w:bookmarkEnd w:id="1616"/>
      <w:r>
        <w:rPr/>
        <w:t>whether</w:t>
      </w:r>
      <w:r>
        <w:rPr/>
        <w:t> the residual rule (or indeed the general rule) may be displaced by reference to art.5(3) of the Regulation. </w:t>
      </w:r>
      <w:r>
        <w:rPr>
          <w:color w:val="005DA1"/>
          <w:u w:val="single" w:color="005DA1"/>
          <w:vertAlign w:val="superscript"/>
        </w:rPr>
        <w:t>865</w:t>
      </w:r>
    </w:p>
    <w:p>
      <w:pPr>
        <w:pStyle w:val="BodyText"/>
      </w:pPr>
    </w:p>
    <w:p>
      <w:pPr>
        <w:pStyle w:val="BodyText"/>
        <w:spacing w:before="36"/>
      </w:pPr>
    </w:p>
    <w:p>
      <w:pPr>
        <w:spacing w:before="0"/>
        <w:ind w:left="165" w:right="0" w:firstLine="0"/>
        <w:jc w:val="left"/>
        <w:rPr>
          <w:rFonts w:ascii="Arial"/>
          <w:b/>
          <w:sz w:val="18"/>
        </w:rPr>
      </w:pPr>
      <w:r>
        <w:rPr>
          <w:rFonts w:ascii="Arial"/>
          <w:b/>
          <w:sz w:val="18"/>
        </w:rPr>
        <w:t>Rule of </w:t>
      </w:r>
      <w:r>
        <w:rPr>
          <w:rFonts w:ascii="Arial"/>
          <w:b/>
          <w:spacing w:val="-2"/>
          <w:sz w:val="18"/>
        </w:rPr>
        <w:t>displacement</w:t>
      </w:r>
    </w:p>
    <w:p>
      <w:pPr>
        <w:pStyle w:val="BodyText"/>
        <w:spacing w:before="41"/>
        <w:rPr>
          <w:rFonts w:ascii="Arial"/>
          <w:b/>
          <w:sz w:val="18"/>
        </w:rPr>
      </w:pPr>
    </w:p>
    <w:p>
      <w:pPr>
        <w:pStyle w:val="Heading2"/>
      </w:pPr>
      <w:r>
        <w:rPr/>
        <w:t>30-</w:t>
      </w:r>
      <w:r>
        <w:rPr>
          <w:spacing w:val="-5"/>
        </w:rPr>
        <w:t>220</w:t>
      </w:r>
    </w:p>
    <w:p>
      <w:pPr>
        <w:pStyle w:val="BodyText"/>
        <w:spacing w:before="199"/>
        <w:ind w:left="165"/>
        <w:jc w:val="both"/>
      </w:pPr>
      <w:r>
        <w:rPr/>
        <w:t>Article 5(3) provides that </w:t>
      </w:r>
      <w:r>
        <w:rPr>
          <w:spacing w:val="-2"/>
        </w:rPr>
        <w:t>where:</w:t>
      </w:r>
    </w:p>
    <w:p>
      <w:pPr>
        <w:pStyle w:val="BodyText"/>
      </w:pPr>
    </w:p>
    <w:p>
      <w:pPr>
        <w:pStyle w:val="BodyText"/>
        <w:spacing w:before="125"/>
      </w:pPr>
    </w:p>
    <w:p>
      <w:pPr>
        <w:pStyle w:val="BodyText"/>
        <w:spacing w:line="235" w:lineRule="auto" w:before="1"/>
        <w:ind w:left="1245" w:right="167"/>
        <w:jc w:val="both"/>
      </w:pPr>
      <w:r>
        <w:rPr/>
        <w:t>“… it is clear from all the circumstances of the case that the contract, in the absence of a choice of law is manifestly more closely connected with a country other than </w:t>
      </w:r>
      <w:r>
        <w:rPr/>
        <w:t>that</w:t>
      </w:r>
      <w:r>
        <w:rPr>
          <w:spacing w:val="40"/>
        </w:rPr>
        <w:t> </w:t>
      </w:r>
      <w:r>
        <w:rPr/>
        <w:t>indicated in paragraphs 1 or 2, the law of that other country shall apply.”</w:t>
      </w:r>
    </w:p>
    <w:p>
      <w:pPr>
        <w:pStyle w:val="BodyText"/>
        <w:spacing w:before="115"/>
      </w:pPr>
    </w:p>
    <w:p>
      <w:pPr>
        <w:pStyle w:val="BodyText"/>
        <w:spacing w:line="235" w:lineRule="auto"/>
        <w:ind w:left="165" w:right="167"/>
        <w:jc w:val="both"/>
      </w:pPr>
      <w:r>
        <w:rPr/>
        <w:t>This rule of displacement is formulated in terms which are to the same effect as those contained in </w:t>
      </w:r>
      <w:bookmarkStart w:name="_bookmark1615" w:id="1617"/>
      <w:bookmarkEnd w:id="1617"/>
      <w:r>
        <w:rPr/>
        <w:t>art.4(3)</w:t>
      </w:r>
      <w:r>
        <w:rPr/>
        <w:t> of the Regulation. The rule attempts to address the need for certainty (as established by art.5(1)) and the need for flexibility in appropriate cases. </w:t>
      </w:r>
      <w:r>
        <w:rPr>
          <w:color w:val="005DA1"/>
          <w:u w:val="single" w:color="005DA1"/>
          <w:vertAlign w:val="superscript"/>
        </w:rPr>
        <w:t>866</w:t>
      </w:r>
    </w:p>
    <w:p>
      <w:pPr>
        <w:pStyle w:val="BodyText"/>
      </w:pPr>
    </w:p>
    <w:p>
      <w:pPr>
        <w:pStyle w:val="BodyText"/>
        <w:spacing w:before="38"/>
      </w:pPr>
    </w:p>
    <w:p>
      <w:pPr>
        <w:spacing w:before="0"/>
        <w:ind w:left="165" w:right="0" w:firstLine="0"/>
        <w:jc w:val="left"/>
        <w:rPr>
          <w:rFonts w:ascii="Arial"/>
          <w:b/>
          <w:sz w:val="18"/>
        </w:rPr>
      </w:pPr>
      <w:r>
        <w:rPr>
          <w:rFonts w:ascii="Arial"/>
          <w:b/>
          <w:sz w:val="18"/>
        </w:rPr>
        <w:t>Carriage of </w:t>
      </w:r>
      <w:r>
        <w:rPr>
          <w:rFonts w:ascii="Arial"/>
          <w:b/>
          <w:spacing w:val="-2"/>
          <w:sz w:val="18"/>
        </w:rPr>
        <w:t>passengers</w:t>
      </w:r>
    </w:p>
    <w:p>
      <w:pPr>
        <w:pStyle w:val="BodyText"/>
        <w:spacing w:before="41"/>
        <w:rPr>
          <w:rFonts w:ascii="Arial"/>
          <w:b/>
          <w:sz w:val="18"/>
        </w:rPr>
      </w:pPr>
    </w:p>
    <w:p>
      <w:pPr>
        <w:pStyle w:val="Heading2"/>
      </w:pPr>
      <w:r>
        <w:rPr/>
        <w:t>30-</w:t>
      </w:r>
      <w:r>
        <w:rPr>
          <w:spacing w:val="-5"/>
        </w:rPr>
        <w:t>221</w:t>
      </w:r>
    </w:p>
    <w:p>
      <w:pPr>
        <w:pStyle w:val="BodyText"/>
        <w:spacing w:line="235" w:lineRule="auto" w:before="203"/>
        <w:ind w:left="165" w:right="167"/>
        <w:jc w:val="both"/>
      </w:pPr>
      <w:r>
        <w:rPr/>
        <w:t>The Rome Convention contained no specific rule relating to contracts for the carriage of </w:t>
      </w:r>
      <w:r>
        <w:rPr/>
        <w:t>passengers, </w:t>
      </w:r>
      <w:bookmarkStart w:name="_bookmark1616" w:id="1618"/>
      <w:bookmarkEnd w:id="1618"/>
      <w:r>
        <w:rPr/>
        <w:t>and</w:t>
      </w:r>
      <w:r>
        <w:rPr/>
        <w:t> dealt with the question through the application of the general rules contained in arts 3, 4(2) and 4(5) of the Convention. </w:t>
      </w:r>
      <w:r>
        <w:rPr>
          <w:color w:val="005DA1"/>
          <w:u w:val="single" w:color="005DA1"/>
          <w:vertAlign w:val="superscript"/>
        </w:rPr>
        <w:t>867</w:t>
      </w:r>
      <w:r>
        <w:rPr>
          <w:color w:val="005DA1"/>
          <w:vertAlign w:val="baseline"/>
        </w:rPr>
        <w:t> </w:t>
      </w:r>
      <w:r>
        <w:rPr>
          <w:vertAlign w:val="baseline"/>
        </w:rPr>
        <w:t>In contrast art.5(2), in conjunction with art.5(3), of the Regulation seeks to take specific account of this matter.</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Principles</w:t>
      </w:r>
    </w:p>
    <w:p>
      <w:pPr>
        <w:pStyle w:val="BodyText"/>
        <w:spacing w:before="41"/>
        <w:rPr>
          <w:rFonts w:ascii="Arial"/>
          <w:b/>
          <w:sz w:val="18"/>
        </w:rPr>
      </w:pPr>
    </w:p>
    <w:p>
      <w:pPr>
        <w:pStyle w:val="Heading2"/>
      </w:pPr>
      <w:r>
        <w:rPr/>
        <w:t>30-</w:t>
      </w:r>
      <w:r>
        <w:rPr>
          <w:spacing w:val="-5"/>
        </w:rPr>
        <w:t>222</w:t>
      </w:r>
    </w:p>
    <w:p>
      <w:pPr>
        <w:pStyle w:val="BodyText"/>
        <w:spacing w:line="235" w:lineRule="auto" w:before="203"/>
        <w:ind w:left="165" w:right="168"/>
        <w:jc w:val="both"/>
      </w:pPr>
      <w:r>
        <w:rPr/>
        <w:t>Article 5(2) of the Regulation addresses two questions, namely the freedom to choose the </w:t>
      </w:r>
      <w:r>
        <w:rPr/>
        <w:t>applicable law and the question of the law applicable in the absence of choice. The provision restricts the power </w:t>
      </w:r>
      <w:bookmarkStart w:name="_bookmark1617" w:id="1619"/>
      <w:bookmarkEnd w:id="1619"/>
      <w:r>
        <w:rPr/>
        <w:t>of</w:t>
      </w:r>
      <w:r>
        <w:rPr/>
        <w:t> the parties to choose the governing law by limiting the laws which may be chosen. This is with a view to ensuring an adequate level of protection for passengers. </w:t>
      </w:r>
      <w:r>
        <w:rPr>
          <w:color w:val="005DA1"/>
          <w:u w:val="single" w:color="005DA1"/>
          <w:vertAlign w:val="superscript"/>
        </w:rPr>
        <w:t>868</w:t>
      </w:r>
      <w:r>
        <w:rPr>
          <w:color w:val="005DA1"/>
          <w:vertAlign w:val="baseline"/>
        </w:rPr>
        <w:t> </w:t>
      </w:r>
      <w:r>
        <w:rPr>
          <w:vertAlign w:val="baseline"/>
        </w:rPr>
        <w:t>Determination of the law applicable in the absence of choice is based on what can be called a general rule establishing a combination of connecting factors and what may be called a residual rule, applicable if such factors are not present. Both the general rule and the residual rule are subject to displacement under art.5(3) of the Regulation.</w:t>
      </w:r>
    </w:p>
    <w:p>
      <w:pPr>
        <w:pStyle w:val="BodyText"/>
      </w:pPr>
    </w:p>
    <w:p>
      <w:pPr>
        <w:pStyle w:val="BodyText"/>
        <w:spacing w:before="35"/>
      </w:pPr>
    </w:p>
    <w:p>
      <w:pPr>
        <w:spacing w:before="0"/>
        <w:ind w:left="165" w:right="0" w:firstLine="0"/>
        <w:jc w:val="left"/>
        <w:rPr>
          <w:rFonts w:ascii="Arial"/>
          <w:b/>
          <w:sz w:val="18"/>
        </w:rPr>
      </w:pPr>
      <w:r>
        <w:rPr>
          <w:rFonts w:ascii="Arial"/>
          <w:b/>
          <w:sz w:val="18"/>
        </w:rPr>
        <w:t>Choice of law by the </w:t>
      </w:r>
      <w:r>
        <w:rPr>
          <w:rFonts w:ascii="Arial"/>
          <w:b/>
          <w:spacing w:val="-2"/>
          <w:sz w:val="18"/>
        </w:rPr>
        <w:t>parties</w:t>
      </w:r>
    </w:p>
    <w:p>
      <w:pPr>
        <w:pStyle w:val="BodyText"/>
        <w:spacing w:before="42"/>
        <w:rPr>
          <w:rFonts w:ascii="Arial"/>
          <w:b/>
          <w:sz w:val="18"/>
        </w:rPr>
      </w:pPr>
    </w:p>
    <w:p>
      <w:pPr>
        <w:pStyle w:val="Heading2"/>
      </w:pPr>
      <w:r>
        <w:rPr/>
        <w:t>30-</w:t>
      </w:r>
      <w:r>
        <w:rPr>
          <w:spacing w:val="-5"/>
        </w:rPr>
        <w:t>223</w:t>
      </w:r>
    </w:p>
    <w:p>
      <w:pPr>
        <w:pStyle w:val="BodyText"/>
        <w:spacing w:line="235" w:lineRule="auto" w:before="202"/>
        <w:ind w:left="165" w:right="167"/>
        <w:jc w:val="both"/>
      </w:pPr>
      <w:r>
        <w:rPr/>
        <w:t>The principle of party autonomy in the context of contracts for the carriage of passengers is found in the second paragraph of art.5(2). This provides that the:</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bookmarkStart w:name="_bookmark1618" w:id="1620"/>
      <w:bookmarkEnd w:id="1620"/>
      <w:r>
        <w:rPr/>
      </w:r>
      <w:r>
        <w:rPr/>
        <w:t>“… parties may choose as the law applicable to the contract in accordance with Article </w:t>
      </w:r>
      <w:r>
        <w:rPr/>
        <w:t>3 </w:t>
      </w:r>
      <w:bookmarkStart w:name="_bookmark1619" w:id="1621"/>
      <w:bookmarkEnd w:id="1621"/>
      <w:r>
        <w:rPr/>
        <w:t>only</w:t>
      </w:r>
      <w:r>
        <w:rPr/>
        <w:t> the law of the country where: (a) the passenger has his habitual residence </w:t>
      </w:r>
      <w:r>
        <w:rPr>
          <w:color w:val="005DA1"/>
          <w:u w:val="single" w:color="005DA1"/>
          <w:vertAlign w:val="superscript"/>
        </w:rPr>
        <w:t>869</w:t>
      </w:r>
      <w:r>
        <w:rPr>
          <w:vertAlign w:val="baseline"/>
        </w:rPr>
        <w:t>; or (b) </w:t>
      </w:r>
      <w:bookmarkStart w:name="_bookmark1620" w:id="1622"/>
      <w:bookmarkEnd w:id="1622"/>
      <w:r>
        <w:rPr>
          <w:vertAlign w:val="baseline"/>
        </w:rPr>
        <w:t>the</w:t>
      </w:r>
      <w:r>
        <w:rPr>
          <w:vertAlign w:val="baseline"/>
        </w:rPr>
        <w:t> carrier has his habitual residence </w:t>
      </w:r>
      <w:r>
        <w:rPr>
          <w:color w:val="005DA1"/>
          <w:u w:val="single" w:color="005DA1"/>
          <w:vertAlign w:val="superscript"/>
        </w:rPr>
        <w:t>870</w:t>
      </w:r>
      <w:r>
        <w:rPr>
          <w:vertAlign w:val="baseline"/>
        </w:rPr>
        <w:t>; or (c) the carrier has his place of central administration </w:t>
      </w:r>
      <w:r>
        <w:rPr>
          <w:color w:val="005DA1"/>
          <w:u w:val="single" w:color="005DA1"/>
          <w:vertAlign w:val="superscript"/>
        </w:rPr>
        <w:t>871</w:t>
      </w:r>
      <w:r>
        <w:rPr>
          <w:vertAlign w:val="baseline"/>
        </w:rPr>
        <w:t>; or (d) the place of departure is situated; or (e) the place of destination</w:t>
      </w:r>
      <w:r>
        <w:rPr>
          <w:spacing w:val="40"/>
          <w:vertAlign w:val="baseline"/>
        </w:rPr>
        <w:t> </w:t>
      </w:r>
      <w:r>
        <w:rPr>
          <w:vertAlign w:val="baseline"/>
        </w:rPr>
        <w:t>is situated.”</w:t>
      </w:r>
    </w:p>
    <w:p>
      <w:pPr>
        <w:pStyle w:val="BodyText"/>
        <w:spacing w:before="115"/>
      </w:pPr>
    </w:p>
    <w:p>
      <w:pPr>
        <w:pStyle w:val="BodyText"/>
        <w:spacing w:line="235" w:lineRule="auto"/>
        <w:ind w:left="165" w:right="167"/>
        <w:jc w:val="both"/>
      </w:pPr>
      <w:r>
        <w:rPr/>
        <w:t>The provisions at (d) and (e) do not require comment. Some brief remarks may usefully be made on the provisions at (a), (b) and (c).</w:t>
      </w:r>
    </w:p>
    <w:p>
      <w:pPr>
        <w:pStyle w:val="BodyText"/>
      </w:pPr>
    </w:p>
    <w:p>
      <w:pPr>
        <w:pStyle w:val="BodyText"/>
        <w:spacing w:before="38"/>
      </w:pPr>
    </w:p>
    <w:p>
      <w:pPr>
        <w:spacing w:before="0"/>
        <w:ind w:left="165" w:right="0" w:firstLine="0"/>
        <w:jc w:val="left"/>
        <w:rPr>
          <w:rFonts w:ascii="Arial"/>
          <w:b/>
          <w:sz w:val="18"/>
        </w:rPr>
      </w:pPr>
      <w:r>
        <w:rPr>
          <w:rFonts w:ascii="Arial"/>
          <w:b/>
          <w:sz w:val="18"/>
        </w:rPr>
        <w:t>Habitual residence of </w:t>
      </w:r>
      <w:r>
        <w:rPr>
          <w:rFonts w:ascii="Arial"/>
          <w:b/>
          <w:spacing w:val="-2"/>
          <w:sz w:val="18"/>
        </w:rPr>
        <w:t>passenger</w:t>
      </w:r>
    </w:p>
    <w:p>
      <w:pPr>
        <w:pStyle w:val="BodyText"/>
        <w:spacing w:before="41"/>
        <w:rPr>
          <w:rFonts w:ascii="Arial"/>
          <w:b/>
          <w:sz w:val="18"/>
        </w:rPr>
      </w:pPr>
    </w:p>
    <w:p>
      <w:pPr>
        <w:pStyle w:val="Heading2"/>
      </w:pPr>
      <w:r>
        <w:rPr/>
        <w:t>30-</w:t>
      </w:r>
      <w:r>
        <w:rPr>
          <w:spacing w:val="-5"/>
        </w:rPr>
        <w:t>224</w:t>
      </w:r>
    </w:p>
    <w:p>
      <w:pPr>
        <w:pStyle w:val="BodyText"/>
        <w:spacing w:line="235" w:lineRule="auto" w:before="203"/>
        <w:ind w:left="164" w:right="167"/>
        <w:jc w:val="both"/>
      </w:pPr>
      <w:bookmarkStart w:name="_bookmark1621" w:id="1623"/>
      <w:bookmarkEnd w:id="1623"/>
      <w:r>
        <w:rPr/>
      </w:r>
      <w:r>
        <w:rPr/>
        <w:t>As pointed out earlier in this section, art.19(1) of the Regulation defines the habitual residence of </w:t>
      </w:r>
      <w:r>
        <w:rPr/>
        <w:t>a natural person acting in the course of his business activity as his principal place of business. </w:t>
      </w:r>
      <w:r>
        <w:rPr>
          <w:color w:val="005DA1"/>
          <w:u w:val="single" w:color="005DA1"/>
          <w:vertAlign w:val="superscript"/>
        </w:rPr>
        <w:t>872</w:t>
      </w:r>
      <w:r>
        <w:rPr>
          <w:color w:val="005DA1"/>
          <w:vertAlign w:val="baseline"/>
        </w:rPr>
        <w:t> </w:t>
      </w:r>
      <w:bookmarkStart w:name="_bookmark1622" w:id="1624"/>
      <w:bookmarkEnd w:id="1624"/>
      <w:r>
        <w:rPr>
          <w:color w:val="005DA1"/>
          <w:w w:val="92"/>
          <w:vertAlign w:val="baseline"/>
        </w:rPr>
      </w:r>
      <w:r>
        <w:rPr>
          <w:vertAlign w:val="baseline"/>
        </w:rPr>
        <w:t>Where, however, as will commonly be the case, a passenger is not so acting, then the habitual residence of that natural person will have to be identified by reference to general principles. </w:t>
      </w:r>
      <w:r>
        <w:rPr>
          <w:color w:val="005DA1"/>
          <w:u w:val="single" w:color="005DA1"/>
          <w:vertAlign w:val="superscript"/>
        </w:rPr>
        <w:t>873</w:t>
      </w:r>
    </w:p>
    <w:p>
      <w:pPr>
        <w:pStyle w:val="BodyText"/>
      </w:pPr>
    </w:p>
    <w:p>
      <w:pPr>
        <w:pStyle w:val="BodyText"/>
        <w:spacing w:before="37"/>
      </w:pPr>
    </w:p>
    <w:p>
      <w:pPr>
        <w:spacing w:before="0"/>
        <w:ind w:left="165" w:right="0" w:firstLine="0"/>
        <w:jc w:val="left"/>
        <w:rPr>
          <w:rFonts w:ascii="Arial"/>
          <w:b/>
          <w:sz w:val="18"/>
        </w:rPr>
      </w:pPr>
      <w:r>
        <w:rPr>
          <w:rFonts w:ascii="Arial"/>
          <w:b/>
          <w:sz w:val="18"/>
        </w:rPr>
        <w:t>Habitual residence and central administration of </w:t>
      </w:r>
      <w:r>
        <w:rPr>
          <w:rFonts w:ascii="Arial"/>
          <w:b/>
          <w:spacing w:val="-2"/>
          <w:sz w:val="18"/>
        </w:rPr>
        <w:t>carrier</w:t>
      </w:r>
    </w:p>
    <w:p>
      <w:pPr>
        <w:pStyle w:val="BodyText"/>
        <w:spacing w:before="41"/>
        <w:rPr>
          <w:rFonts w:ascii="Arial"/>
          <w:b/>
          <w:sz w:val="18"/>
        </w:rPr>
      </w:pPr>
    </w:p>
    <w:p>
      <w:pPr>
        <w:pStyle w:val="Heading2"/>
      </w:pPr>
      <w:r>
        <w:rPr/>
        <w:t>30-</w:t>
      </w:r>
      <w:r>
        <w:rPr>
          <w:spacing w:val="-5"/>
        </w:rPr>
        <w:t>225</w:t>
      </w:r>
    </w:p>
    <w:p>
      <w:pPr>
        <w:pStyle w:val="BodyText"/>
        <w:spacing w:line="235" w:lineRule="auto" w:before="203"/>
        <w:ind w:left="165" w:right="167"/>
        <w:jc w:val="both"/>
      </w:pPr>
      <w:bookmarkStart w:name="_bookmark1623" w:id="1625"/>
      <w:bookmarkEnd w:id="1625"/>
      <w:r>
        <w:rPr/>
      </w:r>
      <w:r>
        <w:rPr/>
        <w:t>Paragraph two of art.5(2) refers, in points (b) and (c), to the habitual residence and central administration of the carrier </w:t>
      </w:r>
      <w:r>
        <w:rPr>
          <w:color w:val="005DA1"/>
          <w:u w:val="single" w:color="005DA1"/>
          <w:vertAlign w:val="superscript"/>
        </w:rPr>
        <w:t>874</w:t>
      </w:r>
      <w:r>
        <w:rPr>
          <w:color w:val="005DA1"/>
          <w:vertAlign w:val="baseline"/>
        </w:rPr>
        <w:t> </w:t>
      </w:r>
      <w:r>
        <w:rPr>
          <w:vertAlign w:val="baseline"/>
        </w:rPr>
        <w:t>as separate places, the laws of which may be chosen to govern the contract.</w:t>
      </w:r>
      <w:r>
        <w:rPr>
          <w:spacing w:val="-2"/>
          <w:vertAlign w:val="baseline"/>
        </w:rPr>
        <w:t> </w:t>
      </w:r>
      <w:r>
        <w:rPr>
          <w:vertAlign w:val="baseline"/>
        </w:rPr>
        <w:t>At</w:t>
      </w:r>
      <w:r>
        <w:rPr>
          <w:spacing w:val="-2"/>
          <w:vertAlign w:val="baseline"/>
        </w:rPr>
        <w:t> </w:t>
      </w:r>
      <w:r>
        <w:rPr>
          <w:vertAlign w:val="baseline"/>
        </w:rPr>
        <w:t>first</w:t>
      </w:r>
      <w:r>
        <w:rPr>
          <w:spacing w:val="-2"/>
          <w:vertAlign w:val="baseline"/>
        </w:rPr>
        <w:t> </w:t>
      </w:r>
      <w:r>
        <w:rPr>
          <w:vertAlign w:val="baseline"/>
        </w:rPr>
        <w:t>sight</w:t>
      </w:r>
      <w:r>
        <w:rPr>
          <w:spacing w:val="-2"/>
          <w:vertAlign w:val="baseline"/>
        </w:rPr>
        <w:t> </w:t>
      </w:r>
      <w:r>
        <w:rPr>
          <w:vertAlign w:val="baseline"/>
        </w:rPr>
        <w:t>this</w:t>
      </w:r>
      <w:r>
        <w:rPr>
          <w:spacing w:val="-2"/>
          <w:vertAlign w:val="baseline"/>
        </w:rPr>
        <w:t> </w:t>
      </w:r>
      <w:r>
        <w:rPr>
          <w:vertAlign w:val="baseline"/>
        </w:rPr>
        <w:t>appears</w:t>
      </w:r>
      <w:r>
        <w:rPr>
          <w:spacing w:val="-2"/>
          <w:vertAlign w:val="baseline"/>
        </w:rPr>
        <w:t> </w:t>
      </w:r>
      <w:r>
        <w:rPr>
          <w:vertAlign w:val="baseline"/>
        </w:rPr>
        <w:t>curious</w:t>
      </w:r>
      <w:r>
        <w:rPr>
          <w:spacing w:val="-2"/>
          <w:vertAlign w:val="baseline"/>
        </w:rPr>
        <w:t> </w:t>
      </w:r>
      <w:r>
        <w:rPr>
          <w:vertAlign w:val="baseline"/>
        </w:rPr>
        <w:t>since</w:t>
      </w:r>
      <w:r>
        <w:rPr>
          <w:spacing w:val="-2"/>
          <w:vertAlign w:val="baseline"/>
        </w:rPr>
        <w:t> </w:t>
      </w:r>
      <w:r>
        <w:rPr>
          <w:vertAlign w:val="baseline"/>
        </w:rPr>
        <w:t>art.19(1)</w:t>
      </w:r>
      <w:r>
        <w:rPr>
          <w:spacing w:val="-2"/>
          <w:vertAlign w:val="baseline"/>
        </w:rPr>
        <w:t> </w:t>
      </w:r>
      <w:r>
        <w:rPr>
          <w:vertAlign w:val="baseline"/>
        </w:rPr>
        <w:t>defines</w:t>
      </w:r>
      <w:r>
        <w:rPr>
          <w:spacing w:val="-2"/>
          <w:vertAlign w:val="baseline"/>
        </w:rPr>
        <w:t> </w:t>
      </w:r>
      <w:r>
        <w:rPr>
          <w:vertAlign w:val="baseline"/>
        </w:rPr>
        <w:t>the</w:t>
      </w:r>
      <w:r>
        <w:rPr>
          <w:spacing w:val="-2"/>
          <w:vertAlign w:val="baseline"/>
        </w:rPr>
        <w:t> </w:t>
      </w:r>
      <w:r>
        <w:rPr>
          <w:vertAlign w:val="baseline"/>
        </w:rPr>
        <w:t>habitual</w:t>
      </w:r>
      <w:r>
        <w:rPr>
          <w:spacing w:val="-2"/>
          <w:vertAlign w:val="baseline"/>
        </w:rPr>
        <w:t> </w:t>
      </w:r>
      <w:r>
        <w:rPr>
          <w:vertAlign w:val="baseline"/>
        </w:rPr>
        <w:t>residence</w:t>
      </w:r>
      <w:r>
        <w:rPr>
          <w:spacing w:val="-2"/>
          <w:vertAlign w:val="baseline"/>
        </w:rPr>
        <w:t> </w:t>
      </w:r>
      <w:r>
        <w:rPr>
          <w:vertAlign w:val="baseline"/>
        </w:rPr>
        <w:t>of</w:t>
      </w:r>
      <w:r>
        <w:rPr>
          <w:spacing w:val="-2"/>
          <w:vertAlign w:val="baseline"/>
        </w:rPr>
        <w:t> </w:t>
      </w:r>
      <w:r>
        <w:rPr>
          <w:vertAlign w:val="baseline"/>
        </w:rPr>
        <w:t>companies </w:t>
      </w:r>
      <w:bookmarkStart w:name="_bookmark1624" w:id="1626"/>
      <w:bookmarkEnd w:id="1626"/>
      <w:r>
        <w:rPr>
          <w:vertAlign w:val="baseline"/>
        </w:rPr>
        <w:t>and</w:t>
      </w:r>
      <w:r>
        <w:rPr>
          <w:vertAlign w:val="baseline"/>
        </w:rPr>
        <w:t> other bodies corporate or unincorporated (which the carrier will normally be) as the place </w:t>
      </w:r>
      <w:r>
        <w:rPr>
          <w:vertAlign w:val="baseline"/>
        </w:rPr>
        <w:t>of central administration. </w:t>
      </w:r>
      <w:r>
        <w:rPr>
          <w:color w:val="005DA1"/>
          <w:u w:val="single" w:color="005DA1"/>
          <w:vertAlign w:val="superscript"/>
        </w:rPr>
        <w:t>875</w:t>
      </w:r>
      <w:r>
        <w:rPr>
          <w:color w:val="005DA1"/>
          <w:vertAlign w:val="baseline"/>
        </w:rPr>
        <w:t> </w:t>
      </w:r>
      <w:r>
        <w:rPr>
          <w:vertAlign w:val="baseline"/>
        </w:rPr>
        <w:t>Article 19(2) of the Regulation, however, provides that where:</w:t>
      </w:r>
    </w:p>
    <w:p>
      <w:pPr>
        <w:pStyle w:val="BodyText"/>
      </w:pPr>
    </w:p>
    <w:p>
      <w:pPr>
        <w:pStyle w:val="BodyText"/>
        <w:spacing w:before="124"/>
      </w:pPr>
    </w:p>
    <w:p>
      <w:pPr>
        <w:pStyle w:val="BodyText"/>
        <w:spacing w:line="235" w:lineRule="auto" w:before="1"/>
        <w:ind w:left="1245" w:right="167"/>
        <w:jc w:val="both"/>
      </w:pPr>
      <w:r>
        <w:rPr/>
        <w:t>“… the contract is concluded in the course of the operations of a branch, agency, or any other establishment, or if under the contract, performance is the responsibility of such a </w:t>
      </w:r>
      <w:bookmarkStart w:name="_bookmark1625" w:id="1627"/>
      <w:bookmarkEnd w:id="1627"/>
      <w:r>
        <w:rPr/>
        <w:t>branch,</w:t>
      </w:r>
      <w:r>
        <w:rPr/>
        <w:t> agency or establishment, the place where the branch agency or any </w:t>
      </w:r>
      <w:r>
        <w:rPr/>
        <w:t>other establishment is located shall be treated as the place of habitual residence.” </w:t>
      </w:r>
      <w:r>
        <w:rPr>
          <w:color w:val="005DA1"/>
          <w:u w:val="single" w:color="005DA1"/>
          <w:vertAlign w:val="superscript"/>
        </w:rPr>
        <w:t>876</w:t>
      </w:r>
    </w:p>
    <w:p>
      <w:pPr>
        <w:pStyle w:val="BodyText"/>
        <w:spacing w:before="115"/>
      </w:pPr>
    </w:p>
    <w:p>
      <w:pPr>
        <w:pStyle w:val="BodyText"/>
        <w:spacing w:line="235" w:lineRule="auto"/>
        <w:ind w:left="164" w:right="167"/>
        <w:jc w:val="both"/>
      </w:pPr>
      <w:r>
        <w:rPr/>
        <w:t>In relation to an international carrier with branches, etc. in many different countries, it would be possible to choose, as the governing law, the country in which the branch, etc. is situated if the </w:t>
      </w:r>
      <w:bookmarkStart w:name="_bookmark1626" w:id="1628"/>
      <w:bookmarkEnd w:id="1628"/>
      <w:r>
        <w:rPr/>
        <w:t>passenger’s</w:t>
      </w:r>
      <w:r>
        <w:rPr/>
        <w:t> ticket is issued through that branch, etc. This could lead to a proliferation of possibly applicable laws in respect of contracts of passengers in relation to the same carriage. </w:t>
      </w:r>
      <w:r>
        <w:rPr>
          <w:color w:val="005DA1"/>
          <w:u w:val="single" w:color="005DA1"/>
          <w:vertAlign w:val="superscript"/>
        </w:rPr>
        <w:t>877</w:t>
      </w:r>
      <w:r>
        <w:rPr>
          <w:color w:val="005DA1"/>
          <w:vertAlign w:val="baseline"/>
        </w:rPr>
        <w:t> </w:t>
      </w:r>
      <w:r>
        <w:rPr>
          <w:vertAlign w:val="baseline"/>
        </w:rPr>
        <w:t>Point (c) of art.5(2)</w:t>
      </w:r>
      <w:r>
        <w:rPr>
          <w:spacing w:val="-1"/>
          <w:vertAlign w:val="baseline"/>
        </w:rPr>
        <w:t> </w:t>
      </w:r>
      <w:r>
        <w:rPr>
          <w:vertAlign w:val="baseline"/>
        </w:rPr>
        <w:t>avoids</w:t>
      </w:r>
      <w:r>
        <w:rPr>
          <w:spacing w:val="-1"/>
          <w:vertAlign w:val="baseline"/>
        </w:rPr>
        <w:t> </w:t>
      </w:r>
      <w:r>
        <w:rPr>
          <w:vertAlign w:val="baseline"/>
        </w:rPr>
        <w:t>this</w:t>
      </w:r>
      <w:r>
        <w:rPr>
          <w:spacing w:val="-1"/>
          <w:vertAlign w:val="baseline"/>
        </w:rPr>
        <w:t> </w:t>
      </w:r>
      <w:r>
        <w:rPr>
          <w:vertAlign w:val="baseline"/>
        </w:rPr>
        <w:t>outcome</w:t>
      </w:r>
      <w:r>
        <w:rPr>
          <w:spacing w:val="-1"/>
          <w:vertAlign w:val="baseline"/>
        </w:rPr>
        <w:t> </w:t>
      </w:r>
      <w:r>
        <w:rPr>
          <w:vertAlign w:val="baseline"/>
        </w:rPr>
        <w:t>by</w:t>
      </w:r>
      <w:r>
        <w:rPr>
          <w:spacing w:val="-1"/>
          <w:vertAlign w:val="baseline"/>
        </w:rPr>
        <w:t> </w:t>
      </w:r>
      <w:r>
        <w:rPr>
          <w:vertAlign w:val="baseline"/>
        </w:rPr>
        <w:t>focussing</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place</w:t>
      </w:r>
      <w:r>
        <w:rPr>
          <w:spacing w:val="-1"/>
          <w:vertAlign w:val="baseline"/>
        </w:rPr>
        <w:t> </w:t>
      </w:r>
      <w:r>
        <w:rPr>
          <w:vertAlign w:val="baseline"/>
        </w:rPr>
        <w:t>of</w:t>
      </w:r>
      <w:r>
        <w:rPr>
          <w:spacing w:val="-1"/>
          <w:vertAlign w:val="baseline"/>
        </w:rPr>
        <w:t> </w:t>
      </w:r>
      <w:r>
        <w:rPr>
          <w:vertAlign w:val="baseline"/>
        </w:rPr>
        <w:t>central</w:t>
      </w:r>
      <w:r>
        <w:rPr>
          <w:spacing w:val="-1"/>
          <w:vertAlign w:val="baseline"/>
        </w:rPr>
        <w:t> </w:t>
      </w:r>
      <w:r>
        <w:rPr>
          <w:vertAlign w:val="baseline"/>
        </w:rPr>
        <w:t>administration</w:t>
      </w:r>
      <w:r>
        <w:rPr>
          <w:spacing w:val="-1"/>
          <w:vertAlign w:val="baseline"/>
        </w:rPr>
        <w:t> </w:t>
      </w:r>
      <w:r>
        <w:rPr>
          <w:vertAlign w:val="baseline"/>
        </w:rPr>
        <w:t>only,</w:t>
      </w:r>
      <w:r>
        <w:rPr>
          <w:spacing w:val="-1"/>
          <w:vertAlign w:val="baseline"/>
        </w:rPr>
        <w:t> </w:t>
      </w:r>
      <w:r>
        <w:rPr>
          <w:vertAlign w:val="baseline"/>
        </w:rPr>
        <w:t>usually</w:t>
      </w:r>
      <w:r>
        <w:rPr>
          <w:spacing w:val="-1"/>
          <w:vertAlign w:val="baseline"/>
        </w:rPr>
        <w:t> </w:t>
      </w:r>
      <w:r>
        <w:rPr>
          <w:vertAlign w:val="baseline"/>
        </w:rPr>
        <w:t>the</w:t>
      </w:r>
      <w:r>
        <w:rPr>
          <w:spacing w:val="-1"/>
          <w:vertAlign w:val="baseline"/>
        </w:rPr>
        <w:t> </w:t>
      </w:r>
      <w:r>
        <w:rPr>
          <w:vertAlign w:val="baseline"/>
        </w:rPr>
        <w:t>place </w:t>
      </w:r>
      <w:bookmarkStart w:name="_bookmark1627" w:id="1629"/>
      <w:bookmarkEnd w:id="1629"/>
      <w:r>
        <w:rPr>
          <w:vertAlign w:val="baseline"/>
        </w:rPr>
        <w:t>where</w:t>
      </w:r>
      <w:r>
        <w:rPr>
          <w:vertAlign w:val="baseline"/>
        </w:rPr>
        <w:t> the head office is situated, thus implicitly excluding the application of art.19(2) of the </w:t>
      </w:r>
      <w:bookmarkStart w:name="_bookmark1628" w:id="1630"/>
      <w:bookmarkEnd w:id="1630"/>
      <w:r>
        <w:rPr>
          <w:vertAlign w:val="baseline"/>
        </w:rPr>
        <w:t>Regulation.</w:t>
      </w:r>
      <w:r>
        <w:rPr>
          <w:vertAlign w:val="baseline"/>
        </w:rPr>
        <w:t> </w:t>
      </w:r>
      <w:r>
        <w:rPr>
          <w:color w:val="005DA1"/>
          <w:u w:val="single" w:color="005DA1"/>
          <w:vertAlign w:val="superscript"/>
        </w:rPr>
        <w:t>878</w:t>
      </w:r>
      <w:r>
        <w:rPr>
          <w:color w:val="005DA1"/>
          <w:vertAlign w:val="baseline"/>
        </w:rPr>
        <w:t> </w:t>
      </w:r>
      <w:r>
        <w:rPr>
          <w:vertAlign w:val="baseline"/>
        </w:rPr>
        <w:t>Point (c) of art.5(2), of course, will cover situations where the ticket is issued through the carrier’s place of central administration, i.e. the head office. </w:t>
      </w:r>
      <w:r>
        <w:rPr>
          <w:color w:val="005DA1"/>
          <w:u w:val="single" w:color="005DA1"/>
          <w:vertAlign w:val="superscript"/>
        </w:rPr>
        <w:t>879</w:t>
      </w:r>
    </w:p>
    <w:p>
      <w:pPr>
        <w:pStyle w:val="BodyText"/>
      </w:pPr>
    </w:p>
    <w:p>
      <w:pPr>
        <w:pStyle w:val="BodyText"/>
        <w:spacing w:before="35"/>
      </w:pPr>
    </w:p>
    <w:p>
      <w:pPr>
        <w:spacing w:before="1"/>
        <w:ind w:left="165" w:right="0" w:firstLine="0"/>
        <w:jc w:val="left"/>
        <w:rPr>
          <w:rFonts w:ascii="Arial"/>
          <w:b/>
          <w:sz w:val="18"/>
        </w:rPr>
      </w:pPr>
      <w:r>
        <w:rPr>
          <w:rFonts w:ascii="Arial"/>
          <w:b/>
          <w:sz w:val="18"/>
        </w:rPr>
        <w:t>Making the </w:t>
      </w:r>
      <w:r>
        <w:rPr>
          <w:rFonts w:ascii="Arial"/>
          <w:b/>
          <w:spacing w:val="-2"/>
          <w:sz w:val="18"/>
        </w:rPr>
        <w:t>choice</w:t>
      </w:r>
    </w:p>
    <w:p>
      <w:pPr>
        <w:pStyle w:val="BodyText"/>
        <w:spacing w:before="41"/>
        <w:rPr>
          <w:rFonts w:ascii="Arial"/>
          <w:b/>
          <w:sz w:val="18"/>
        </w:rPr>
      </w:pPr>
    </w:p>
    <w:p>
      <w:pPr>
        <w:pStyle w:val="Heading2"/>
      </w:pPr>
      <w:r>
        <w:rPr/>
        <w:t>30-</w:t>
      </w:r>
      <w:r>
        <w:rPr>
          <w:spacing w:val="-5"/>
        </w:rPr>
        <w:t>226</w:t>
      </w:r>
    </w:p>
    <w:p>
      <w:pPr>
        <w:pStyle w:val="BodyText"/>
        <w:spacing w:line="235" w:lineRule="auto" w:before="202"/>
        <w:ind w:left="165" w:right="167"/>
        <w:jc w:val="both"/>
      </w:pPr>
      <w:r>
        <w:rPr/>
        <w:t>Any choice of the laws of the countries available under art.5(2) must, of course, satisfy the requirements of art.3 of the Regulation.</w:t>
      </w:r>
    </w:p>
    <w:p>
      <w:pPr>
        <w:pStyle w:val="BodyText"/>
      </w:pPr>
    </w:p>
    <w:p>
      <w:pPr>
        <w:pStyle w:val="BodyText"/>
        <w:spacing w:before="38"/>
      </w:pPr>
    </w:p>
    <w:p>
      <w:pPr>
        <w:spacing w:before="0"/>
        <w:ind w:left="165" w:right="0" w:firstLine="0"/>
        <w:jc w:val="left"/>
        <w:rPr>
          <w:rFonts w:ascii="Arial"/>
          <w:b/>
          <w:sz w:val="18"/>
        </w:rPr>
      </w:pPr>
      <w:r>
        <w:rPr>
          <w:rFonts w:ascii="Arial"/>
          <w:b/>
          <w:sz w:val="18"/>
        </w:rPr>
        <w:t>Applicable law in the absence of </w:t>
      </w:r>
      <w:r>
        <w:rPr>
          <w:rFonts w:ascii="Arial"/>
          <w:b/>
          <w:spacing w:val="-2"/>
          <w:sz w:val="18"/>
        </w:rPr>
        <w:t>choice</w:t>
      </w:r>
    </w:p>
    <w:p>
      <w:pPr>
        <w:pStyle w:val="BodyText"/>
        <w:spacing w:before="42"/>
        <w:rPr>
          <w:rFonts w:ascii="Arial"/>
          <w:b/>
          <w:sz w:val="18"/>
        </w:rPr>
      </w:pPr>
    </w:p>
    <w:p>
      <w:pPr>
        <w:pStyle w:val="Heading2"/>
      </w:pPr>
      <w:r>
        <w:rPr/>
        <w:t>30-</w:t>
      </w:r>
      <w:r>
        <w:rPr>
          <w:spacing w:val="-5"/>
        </w:rPr>
        <w:t>227</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r>
        <w:rPr/>
        <w:t>To the extent that the applicable law has not been chosen, as described in the previous paragraphs (which is perhaps unlikely in the case of a contract for the carriage of passengers) art.5(2) contains a choice of law rule to cover the situation. This choice of law rule may be broken up into what might </w:t>
      </w:r>
      <w:r>
        <w:rPr/>
        <w:t>be described as a “general rule” and a “residual rule”.</w:t>
      </w:r>
    </w:p>
    <w:p>
      <w:pPr>
        <w:pStyle w:val="BodyText"/>
      </w:pPr>
    </w:p>
    <w:p>
      <w:pPr>
        <w:pStyle w:val="BodyText"/>
        <w:spacing w:before="37"/>
      </w:pPr>
    </w:p>
    <w:p>
      <w:pPr>
        <w:spacing w:before="0"/>
        <w:ind w:left="165" w:right="0" w:firstLine="0"/>
        <w:jc w:val="left"/>
        <w:rPr>
          <w:rFonts w:ascii="Arial"/>
          <w:b/>
          <w:sz w:val="18"/>
        </w:rPr>
      </w:pPr>
      <w:r>
        <w:rPr>
          <w:rFonts w:ascii="Arial"/>
          <w:b/>
          <w:sz w:val="18"/>
        </w:rPr>
        <w:t>General </w:t>
      </w:r>
      <w:r>
        <w:rPr>
          <w:rFonts w:ascii="Arial"/>
          <w:b/>
          <w:spacing w:val="-4"/>
          <w:sz w:val="18"/>
        </w:rPr>
        <w:t>rule</w:t>
      </w:r>
    </w:p>
    <w:p>
      <w:pPr>
        <w:pStyle w:val="BodyText"/>
        <w:spacing w:before="42"/>
        <w:rPr>
          <w:rFonts w:ascii="Arial"/>
          <w:b/>
          <w:sz w:val="18"/>
        </w:rPr>
      </w:pPr>
    </w:p>
    <w:p>
      <w:pPr>
        <w:pStyle w:val="Heading2"/>
      </w:pPr>
      <w:r>
        <w:rPr/>
        <w:t>30-</w:t>
      </w:r>
      <w:r>
        <w:rPr>
          <w:spacing w:val="-5"/>
        </w:rPr>
        <w:t>228</w:t>
      </w:r>
    </w:p>
    <w:p>
      <w:pPr>
        <w:pStyle w:val="BodyText"/>
        <w:spacing w:before="199"/>
        <w:ind w:left="165"/>
        <w:jc w:val="both"/>
      </w:pPr>
      <w:r>
        <w:rPr/>
        <w:t>Article 5(2) first stipulates that the applicable law, in the absence of </w:t>
      </w:r>
      <w:r>
        <w:rPr>
          <w:spacing w:val="-2"/>
        </w:rPr>
        <w:t>choice:</w:t>
      </w:r>
    </w:p>
    <w:p>
      <w:pPr>
        <w:pStyle w:val="BodyText"/>
      </w:pPr>
    </w:p>
    <w:p>
      <w:pPr>
        <w:pStyle w:val="BodyText"/>
        <w:spacing w:before="121"/>
      </w:pPr>
    </w:p>
    <w:p>
      <w:pPr>
        <w:pStyle w:val="BodyText"/>
        <w:spacing w:line="227" w:lineRule="exact"/>
        <w:ind w:left="1245"/>
      </w:pPr>
      <w:bookmarkStart w:name="_bookmark1629" w:id="1631"/>
      <w:bookmarkEnd w:id="1631"/>
      <w:r>
        <w:rPr/>
      </w:r>
      <w:r>
        <w:rPr/>
        <w:t>“…</w:t>
      </w:r>
      <w:r>
        <w:rPr>
          <w:spacing w:val="24"/>
        </w:rPr>
        <w:t> </w:t>
      </w:r>
      <w:r>
        <w:rPr/>
        <w:t>shall</w:t>
      </w:r>
      <w:r>
        <w:rPr>
          <w:spacing w:val="24"/>
        </w:rPr>
        <w:t> </w:t>
      </w:r>
      <w:r>
        <w:rPr/>
        <w:t>be</w:t>
      </w:r>
      <w:r>
        <w:rPr>
          <w:spacing w:val="24"/>
        </w:rPr>
        <w:t> </w:t>
      </w:r>
      <w:r>
        <w:rPr/>
        <w:t>the</w:t>
      </w:r>
      <w:r>
        <w:rPr>
          <w:spacing w:val="24"/>
        </w:rPr>
        <w:t> </w:t>
      </w:r>
      <w:r>
        <w:rPr/>
        <w:t>law</w:t>
      </w:r>
      <w:r>
        <w:rPr>
          <w:spacing w:val="24"/>
        </w:rPr>
        <w:t> </w:t>
      </w:r>
      <w:r>
        <w:rPr/>
        <w:t>of</w:t>
      </w:r>
      <w:r>
        <w:rPr>
          <w:spacing w:val="24"/>
        </w:rPr>
        <w:t> </w:t>
      </w:r>
      <w:r>
        <w:rPr/>
        <w:t>the</w:t>
      </w:r>
      <w:r>
        <w:rPr>
          <w:spacing w:val="24"/>
        </w:rPr>
        <w:t> </w:t>
      </w:r>
      <w:r>
        <w:rPr/>
        <w:t>country</w:t>
      </w:r>
      <w:r>
        <w:rPr>
          <w:spacing w:val="24"/>
        </w:rPr>
        <w:t> </w:t>
      </w:r>
      <w:r>
        <w:rPr/>
        <w:t>where</w:t>
      </w:r>
      <w:r>
        <w:rPr>
          <w:spacing w:val="24"/>
        </w:rPr>
        <w:t> </w:t>
      </w:r>
      <w:r>
        <w:rPr/>
        <w:t>the</w:t>
      </w:r>
      <w:r>
        <w:rPr>
          <w:spacing w:val="24"/>
        </w:rPr>
        <w:t> </w:t>
      </w:r>
      <w:r>
        <w:rPr/>
        <w:t>passenger</w:t>
      </w:r>
      <w:r>
        <w:rPr>
          <w:spacing w:val="24"/>
        </w:rPr>
        <w:t> </w:t>
      </w:r>
      <w:r>
        <w:rPr/>
        <w:t>has</w:t>
      </w:r>
      <w:r>
        <w:rPr>
          <w:spacing w:val="24"/>
        </w:rPr>
        <w:t> </w:t>
      </w:r>
      <w:r>
        <w:rPr/>
        <w:t>his</w:t>
      </w:r>
      <w:r>
        <w:rPr>
          <w:spacing w:val="24"/>
        </w:rPr>
        <w:t> </w:t>
      </w:r>
      <w:r>
        <w:rPr/>
        <w:t>habitual</w:t>
      </w:r>
      <w:r>
        <w:rPr>
          <w:spacing w:val="24"/>
        </w:rPr>
        <w:t> </w:t>
      </w:r>
      <w:r>
        <w:rPr/>
        <w:t>residence,</w:t>
      </w:r>
      <w:r>
        <w:rPr>
          <w:spacing w:val="23"/>
        </w:rPr>
        <w:t> </w:t>
      </w:r>
      <w:r>
        <w:rPr>
          <w:color w:val="005DA1"/>
          <w:spacing w:val="-5"/>
          <w:u w:val="single" w:color="005DA1"/>
          <w:vertAlign w:val="superscript"/>
        </w:rPr>
        <w:t>880</w:t>
      </w:r>
    </w:p>
    <w:p>
      <w:pPr>
        <w:pStyle w:val="BodyText"/>
        <w:spacing w:line="597" w:lineRule="auto"/>
        <w:ind w:left="165" w:right="168" w:firstLine="1080"/>
      </w:pPr>
      <w:r>
        <w:rPr/>
        <w:t>provided</w:t>
      </w:r>
      <w:r>
        <w:rPr>
          <w:spacing w:val="-3"/>
        </w:rPr>
        <w:t> </w:t>
      </w:r>
      <w:r>
        <w:rPr/>
        <w:t>that</w:t>
      </w:r>
      <w:r>
        <w:rPr>
          <w:spacing w:val="-3"/>
        </w:rPr>
        <w:t> </w:t>
      </w:r>
      <w:r>
        <w:rPr/>
        <w:t>either</w:t>
      </w:r>
      <w:r>
        <w:rPr>
          <w:spacing w:val="-3"/>
        </w:rPr>
        <w:t> </w:t>
      </w:r>
      <w:r>
        <w:rPr/>
        <w:t>the</w:t>
      </w:r>
      <w:r>
        <w:rPr>
          <w:spacing w:val="-3"/>
        </w:rPr>
        <w:t> </w:t>
      </w:r>
      <w:r>
        <w:rPr/>
        <w:t>place</w:t>
      </w:r>
      <w:r>
        <w:rPr>
          <w:spacing w:val="-3"/>
        </w:rPr>
        <w:t> </w:t>
      </w:r>
      <w:r>
        <w:rPr/>
        <w:t>of</w:t>
      </w:r>
      <w:r>
        <w:rPr>
          <w:spacing w:val="-3"/>
        </w:rPr>
        <w:t> </w:t>
      </w:r>
      <w:r>
        <w:rPr/>
        <w:t>departure</w:t>
      </w:r>
      <w:r>
        <w:rPr>
          <w:spacing w:val="-3"/>
        </w:rPr>
        <w:t> </w:t>
      </w:r>
      <w:r>
        <w:rPr/>
        <w:t>or</w:t>
      </w:r>
      <w:r>
        <w:rPr>
          <w:spacing w:val="-3"/>
        </w:rPr>
        <w:t> </w:t>
      </w:r>
      <w:r>
        <w:rPr/>
        <w:t>the</w:t>
      </w:r>
      <w:r>
        <w:rPr>
          <w:spacing w:val="-3"/>
        </w:rPr>
        <w:t> </w:t>
      </w:r>
      <w:r>
        <w:rPr/>
        <w:t>place</w:t>
      </w:r>
      <w:r>
        <w:rPr>
          <w:spacing w:val="-3"/>
        </w:rPr>
        <w:t> </w:t>
      </w:r>
      <w:r>
        <w:rPr/>
        <w:t>of</w:t>
      </w:r>
      <w:r>
        <w:rPr>
          <w:spacing w:val="-3"/>
        </w:rPr>
        <w:t> </w:t>
      </w:r>
      <w:r>
        <w:rPr/>
        <w:t>destination</w:t>
      </w:r>
      <w:r>
        <w:rPr>
          <w:spacing w:val="-3"/>
        </w:rPr>
        <w:t> </w:t>
      </w:r>
      <w:r>
        <w:rPr/>
        <w:t>is</w:t>
      </w:r>
      <w:r>
        <w:rPr>
          <w:spacing w:val="-3"/>
        </w:rPr>
        <w:t> </w:t>
      </w:r>
      <w:r>
        <w:rPr/>
        <w:t>in</w:t>
      </w:r>
      <w:r>
        <w:rPr>
          <w:spacing w:val="-3"/>
        </w:rPr>
        <w:t> </w:t>
      </w:r>
      <w:r>
        <w:rPr/>
        <w:t>that</w:t>
      </w:r>
      <w:r>
        <w:rPr>
          <w:spacing w:val="-3"/>
        </w:rPr>
        <w:t> </w:t>
      </w:r>
      <w:r>
        <w:rPr/>
        <w:t>country.” This rule is, it seems, designed to reflect the interests of passengers.</w:t>
      </w:r>
    </w:p>
    <w:p>
      <w:pPr>
        <w:spacing w:before="152"/>
        <w:ind w:left="165" w:right="0" w:firstLine="0"/>
        <w:jc w:val="left"/>
        <w:rPr>
          <w:rFonts w:ascii="Arial"/>
          <w:b/>
          <w:sz w:val="18"/>
        </w:rPr>
      </w:pPr>
      <w:r>
        <w:rPr>
          <w:rFonts w:ascii="Arial"/>
          <w:b/>
          <w:sz w:val="18"/>
        </w:rPr>
        <w:t>Residual </w:t>
      </w:r>
      <w:r>
        <w:rPr>
          <w:rFonts w:ascii="Arial"/>
          <w:b/>
          <w:spacing w:val="-4"/>
          <w:sz w:val="18"/>
        </w:rPr>
        <w:t>rule</w:t>
      </w:r>
    </w:p>
    <w:p>
      <w:pPr>
        <w:pStyle w:val="BodyText"/>
        <w:spacing w:before="41"/>
        <w:rPr>
          <w:rFonts w:ascii="Arial"/>
          <w:b/>
          <w:sz w:val="18"/>
        </w:rPr>
      </w:pPr>
    </w:p>
    <w:p>
      <w:pPr>
        <w:pStyle w:val="Heading2"/>
      </w:pPr>
      <w:r>
        <w:rPr/>
        <w:t>30-</w:t>
      </w:r>
      <w:r>
        <w:rPr>
          <w:spacing w:val="-5"/>
        </w:rPr>
        <w:t>229</w:t>
      </w:r>
    </w:p>
    <w:p>
      <w:pPr>
        <w:pStyle w:val="BodyText"/>
        <w:spacing w:line="235" w:lineRule="auto" w:before="203"/>
        <w:ind w:left="164" w:right="167"/>
        <w:jc w:val="both"/>
      </w:pPr>
      <w:r>
        <w:rPr/>
        <w:t>If the requirements of the general rule are not met, art.5(2) goes on to provide that “the law of the </w:t>
      </w:r>
      <w:bookmarkStart w:name="_bookmark1630" w:id="1632"/>
      <w:bookmarkEnd w:id="1632"/>
      <w:r>
        <w:rPr/>
        <w:t>country</w:t>
      </w:r>
      <w:r>
        <w:rPr/>
        <w:t> where the carrier has his habitual residence shall apply”. For these purposes, it appears </w:t>
      </w:r>
      <w:r>
        <w:rPr/>
        <w:t>that </w:t>
      </w:r>
      <w:bookmarkStart w:name="_bookmark1631" w:id="1633"/>
      <w:bookmarkEnd w:id="1633"/>
      <w:r>
        <w:rPr/>
        <w:t>habitual</w:t>
      </w:r>
      <w:r>
        <w:rPr/>
        <w:t> residence means what it is defined to mean in art.19 of the Regulation</w:t>
      </w:r>
      <w:r>
        <w:rPr>
          <w:spacing w:val="-1"/>
        </w:rPr>
        <w:t> </w:t>
      </w:r>
      <w:r>
        <w:rPr>
          <w:color w:val="005DA1"/>
          <w:u w:val="single" w:color="005DA1"/>
          <w:vertAlign w:val="superscript"/>
        </w:rPr>
        <w:t>881</w:t>
      </w:r>
      <w:r>
        <w:rPr>
          <w:color w:val="005DA1"/>
          <w:vertAlign w:val="baseline"/>
        </w:rPr>
        <w:t> </w:t>
      </w:r>
      <w:r>
        <w:rPr>
          <w:vertAlign w:val="baseline"/>
        </w:rPr>
        <w:t>and, thus, art.19(2) will also apply and is not excluded, as earlier discussed. </w:t>
      </w:r>
      <w:r>
        <w:rPr>
          <w:color w:val="005DA1"/>
          <w:u w:val="single" w:color="005DA1"/>
          <w:vertAlign w:val="superscript"/>
        </w:rPr>
        <w:t>882</w:t>
      </w:r>
    </w:p>
    <w:p>
      <w:pPr>
        <w:pStyle w:val="BodyText"/>
      </w:pPr>
    </w:p>
    <w:p>
      <w:pPr>
        <w:pStyle w:val="BodyText"/>
        <w:spacing w:before="37"/>
      </w:pPr>
    </w:p>
    <w:p>
      <w:pPr>
        <w:spacing w:before="0"/>
        <w:ind w:left="165" w:right="0" w:firstLine="0"/>
        <w:jc w:val="left"/>
        <w:rPr>
          <w:rFonts w:ascii="Arial"/>
          <w:b/>
          <w:sz w:val="18"/>
        </w:rPr>
      </w:pPr>
      <w:r>
        <w:rPr>
          <w:rFonts w:ascii="Arial"/>
          <w:b/>
          <w:sz w:val="18"/>
        </w:rPr>
        <w:t>Rule of </w:t>
      </w:r>
      <w:r>
        <w:rPr>
          <w:rFonts w:ascii="Arial"/>
          <w:b/>
          <w:spacing w:val="-2"/>
          <w:sz w:val="18"/>
        </w:rPr>
        <w:t>displacement</w:t>
      </w:r>
    </w:p>
    <w:p>
      <w:pPr>
        <w:pStyle w:val="BodyText"/>
        <w:spacing w:before="41"/>
        <w:rPr>
          <w:rFonts w:ascii="Arial"/>
          <w:b/>
          <w:sz w:val="18"/>
        </w:rPr>
      </w:pPr>
    </w:p>
    <w:p>
      <w:pPr>
        <w:pStyle w:val="Heading2"/>
      </w:pPr>
      <w:r>
        <w:rPr/>
        <w:t>30-</w:t>
      </w:r>
      <w:r>
        <w:rPr>
          <w:spacing w:val="-5"/>
        </w:rPr>
        <w:t>230</w:t>
      </w:r>
    </w:p>
    <w:p>
      <w:pPr>
        <w:pStyle w:val="BodyText"/>
        <w:spacing w:line="235" w:lineRule="auto" w:before="203"/>
        <w:ind w:left="165" w:right="167"/>
        <w:jc w:val="both"/>
      </w:pPr>
      <w:r>
        <w:rPr/>
        <w:t>The law applicable in the absence of choice under art.5(2) may be displaced by reference to </w:t>
      </w:r>
      <w:r>
        <w:rPr/>
        <w:t>art.5(3) where it is clear from all the circumstances of the case that the contract is manifestly more closely connected</w:t>
      </w:r>
      <w:r>
        <w:rPr>
          <w:spacing w:val="-2"/>
        </w:rPr>
        <w:t> </w:t>
      </w:r>
      <w:r>
        <w:rPr/>
        <w:t>with</w:t>
      </w:r>
      <w:r>
        <w:rPr>
          <w:spacing w:val="-2"/>
        </w:rPr>
        <w:t> </w:t>
      </w:r>
      <w:r>
        <w:rPr/>
        <w:t>a</w:t>
      </w:r>
      <w:r>
        <w:rPr>
          <w:spacing w:val="-2"/>
        </w:rPr>
        <w:t> </w:t>
      </w:r>
      <w:r>
        <w:rPr/>
        <w:t>country</w:t>
      </w:r>
      <w:r>
        <w:rPr>
          <w:spacing w:val="-2"/>
        </w:rPr>
        <w:t> </w:t>
      </w:r>
      <w:r>
        <w:rPr/>
        <w:t>other</w:t>
      </w:r>
      <w:r>
        <w:rPr>
          <w:spacing w:val="-2"/>
        </w:rPr>
        <w:t> </w:t>
      </w:r>
      <w:r>
        <w:rPr/>
        <w:t>than</w:t>
      </w:r>
      <w:r>
        <w:rPr>
          <w:spacing w:val="-2"/>
        </w:rPr>
        <w:t> </w:t>
      </w:r>
      <w:r>
        <w:rPr/>
        <w:t>that</w:t>
      </w:r>
      <w:r>
        <w:rPr>
          <w:spacing w:val="-2"/>
        </w:rPr>
        <w:t> </w:t>
      </w:r>
      <w:r>
        <w:rPr/>
        <w:t>found</w:t>
      </w:r>
      <w:r>
        <w:rPr>
          <w:spacing w:val="-2"/>
        </w:rPr>
        <w:t> </w:t>
      </w:r>
      <w:r>
        <w:rPr/>
        <w:t>to</w:t>
      </w:r>
      <w:r>
        <w:rPr>
          <w:spacing w:val="-2"/>
        </w:rPr>
        <w:t> </w:t>
      </w:r>
      <w:r>
        <w:rPr/>
        <w:t>be</w:t>
      </w:r>
      <w:r>
        <w:rPr>
          <w:spacing w:val="-2"/>
        </w:rPr>
        <w:t> </w:t>
      </w:r>
      <w:r>
        <w:rPr/>
        <w:t>applicable</w:t>
      </w:r>
      <w:r>
        <w:rPr>
          <w:spacing w:val="-2"/>
        </w:rPr>
        <w:t> </w:t>
      </w:r>
      <w:r>
        <w:rPr/>
        <w:t>under</w:t>
      </w:r>
      <w:r>
        <w:rPr>
          <w:spacing w:val="-2"/>
        </w:rPr>
        <w:t> </w:t>
      </w:r>
      <w:r>
        <w:rPr/>
        <w:t>art.5(2)</w:t>
      </w:r>
      <w:r>
        <w:rPr>
          <w:spacing w:val="-2"/>
        </w:rPr>
        <w:t> </w:t>
      </w:r>
      <w:r>
        <w:rPr/>
        <w:t>in</w:t>
      </w:r>
      <w:r>
        <w:rPr>
          <w:spacing w:val="-2"/>
        </w:rPr>
        <w:t> </w:t>
      </w:r>
      <w:r>
        <w:rPr/>
        <w:t>which</w:t>
      </w:r>
      <w:r>
        <w:rPr>
          <w:spacing w:val="-2"/>
        </w:rPr>
        <w:t> </w:t>
      </w:r>
      <w:r>
        <w:rPr/>
        <w:t>case</w:t>
      </w:r>
      <w:r>
        <w:rPr>
          <w:spacing w:val="-2"/>
        </w:rPr>
        <w:t> </w:t>
      </w:r>
      <w:r>
        <w:rPr/>
        <w:t>the</w:t>
      </w:r>
      <w:r>
        <w:rPr>
          <w:spacing w:val="-2"/>
        </w:rPr>
        <w:t> </w:t>
      </w:r>
      <w:r>
        <w:rPr/>
        <w:t>law</w:t>
      </w:r>
      <w:r>
        <w:rPr>
          <w:spacing w:val="-2"/>
        </w:rPr>
        <w:t> </w:t>
      </w:r>
      <w:r>
        <w:rPr/>
        <w:t>of the other country will apply. As is the case with art.5(1) and art.5(3), this serves the needs of certainty (supplied by art.5(2)) and the need for flexibility in appropriate cases.</w:t>
      </w:r>
    </w:p>
    <w:p>
      <w:pPr>
        <w:pStyle w:val="BodyText"/>
      </w:pPr>
    </w:p>
    <w:p>
      <w:pPr>
        <w:pStyle w:val="BodyText"/>
        <w:spacing w:before="38"/>
      </w:pPr>
      <w:r>
        <w:rPr/>
        <mc:AlternateContent>
          <mc:Choice Requires="wps">
            <w:drawing>
              <wp:anchor distT="0" distB="0" distL="0" distR="0" allowOverlap="1" layoutInCell="1" locked="0" behindDoc="1" simplePos="0" relativeHeight="487618048">
                <wp:simplePos x="0" y="0"/>
                <wp:positionH relativeFrom="page">
                  <wp:posOffset>914400</wp:posOffset>
                </wp:positionH>
                <wp:positionV relativeFrom="paragraph">
                  <wp:posOffset>185407</wp:posOffset>
                </wp:positionV>
                <wp:extent cx="5724525"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9035pt;width:450.75pt;height:.1pt;mso-position-horizontal-relative:page;mso-position-vertical-relative:paragraph;z-index:-15698432;mso-wrap-distance-left:0;mso-wrap-distance-right:0" id="docshape30"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1632" w:id="1634"/>
      <w:bookmarkEnd w:id="1634"/>
      <w:r>
        <w:rPr/>
      </w:r>
      <w:hyperlink w:history="true" w:anchor="_bookmark1583">
        <w:r>
          <w:rPr>
            <w:color w:val="005DA1"/>
            <w:position w:val="5"/>
            <w:sz w:val="14"/>
            <w:u w:val="single" w:color="005DA1"/>
          </w:rPr>
          <w:t>831</w:t>
        </w:r>
      </w:hyperlink>
      <w:r>
        <w:rPr>
          <w:position w:val="5"/>
          <w:sz w:val="14"/>
        </w:rPr>
        <w:t>.</w:t>
      </w:r>
      <w:r>
        <w:rPr>
          <w:spacing w:val="80"/>
          <w:position w:val="5"/>
          <w:sz w:val="14"/>
        </w:rPr>
        <w:t>  </w:t>
      </w:r>
      <w:r>
        <w:rPr>
          <w:sz w:val="20"/>
        </w:rPr>
        <w:t>Dicey, Morris and Collins, 15th edn (2012), paras 33R-071 et seq., 33R-091 et seq.; Plender and Wilderspin, 4th edn (2015), Ch.8; Nishitani in Leible and Ferrari, </w:t>
      </w:r>
      <w:r>
        <w:rPr>
          <w:rFonts w:ascii="Arial"/>
          <w:i/>
          <w:sz w:val="20"/>
        </w:rPr>
        <w:t>The Rome I </w:t>
      </w:r>
      <w:r>
        <w:rPr>
          <w:rFonts w:ascii="Arial"/>
          <w:i/>
          <w:sz w:val="20"/>
        </w:rPr>
        <w:t>Regulation: the Law Applicable to Contractual Obligations in Europe </w:t>
      </w:r>
      <w:r>
        <w:rPr>
          <w:sz w:val="20"/>
        </w:rPr>
        <w:t>(2009), p.99; Kenfack, 2009 Clunet 3; Okoli [2015] L.M.C.L.Q. 512.</w:t>
      </w:r>
    </w:p>
    <w:p>
      <w:pPr>
        <w:pStyle w:val="BodyText"/>
        <w:spacing w:before="4"/>
      </w:pPr>
    </w:p>
    <w:p>
      <w:pPr>
        <w:pStyle w:val="BodyText"/>
        <w:tabs>
          <w:tab w:pos="705" w:val="left" w:leader="none"/>
        </w:tabs>
        <w:spacing w:before="1"/>
        <w:ind w:left="165"/>
      </w:pPr>
      <w:bookmarkStart w:name="_bookmark1633" w:id="1635"/>
      <w:bookmarkEnd w:id="1635"/>
      <w:r>
        <w:rPr/>
      </w:r>
      <w:hyperlink w:history="true" w:anchor="_bookmark1584">
        <w:r>
          <w:rPr>
            <w:color w:val="005DA1"/>
            <w:spacing w:val="-4"/>
            <w:position w:val="5"/>
            <w:sz w:val="14"/>
            <w:u w:val="single" w:color="005DA1"/>
          </w:rPr>
          <w:t>832</w:t>
        </w:r>
      </w:hyperlink>
      <w:r>
        <w:rPr>
          <w:spacing w:val="-4"/>
          <w:position w:val="5"/>
          <w:sz w:val="14"/>
        </w:rPr>
        <w:t>.</w:t>
      </w:r>
      <w:r>
        <w:rPr>
          <w:position w:val="5"/>
          <w:sz w:val="14"/>
        </w:rPr>
        <w:tab/>
      </w:r>
      <w:r>
        <w:rPr/>
        <w:t>Above,</w:t>
      </w:r>
      <w:r>
        <w:rPr>
          <w:spacing w:val="-2"/>
        </w:rPr>
        <w:t> </w:t>
      </w:r>
      <w:r>
        <w:rPr/>
        <w:t>paras 30-084 et </w:t>
      </w:r>
      <w:r>
        <w:rPr>
          <w:spacing w:val="-4"/>
        </w:rPr>
        <w:t>seq.</w:t>
      </w:r>
    </w:p>
    <w:p>
      <w:pPr>
        <w:pStyle w:val="BodyText"/>
        <w:spacing w:before="4"/>
      </w:pPr>
    </w:p>
    <w:p>
      <w:pPr>
        <w:pStyle w:val="BodyText"/>
        <w:tabs>
          <w:tab w:pos="705" w:val="left" w:leader="none"/>
        </w:tabs>
        <w:spacing w:before="1"/>
        <w:ind w:left="165"/>
      </w:pPr>
      <w:bookmarkStart w:name="_bookmark1634" w:id="1636"/>
      <w:bookmarkEnd w:id="1636"/>
      <w:r>
        <w:rPr/>
      </w:r>
      <w:hyperlink w:history="true" w:anchor="_bookmark1585">
        <w:r>
          <w:rPr>
            <w:color w:val="005DA1"/>
            <w:spacing w:val="-4"/>
            <w:position w:val="5"/>
            <w:sz w:val="14"/>
            <w:u w:val="single" w:color="005DA1"/>
          </w:rPr>
          <w:t>833</w:t>
        </w:r>
      </w:hyperlink>
      <w:r>
        <w:rPr>
          <w:spacing w:val="-4"/>
          <w:position w:val="5"/>
          <w:sz w:val="14"/>
        </w:rPr>
        <w:t>.</w:t>
      </w:r>
      <w:r>
        <w:rPr>
          <w:position w:val="5"/>
          <w:sz w:val="14"/>
        </w:rPr>
        <w:tab/>
      </w:r>
      <w:r>
        <w:rPr/>
        <w:t>Above,</w:t>
      </w:r>
      <w:r>
        <w:rPr>
          <w:spacing w:val="-2"/>
        </w:rPr>
        <w:t> </w:t>
      </w:r>
      <w:r>
        <w:rPr/>
        <w:t>paras 30-046 et </w:t>
      </w:r>
      <w:r>
        <w:rPr>
          <w:spacing w:val="-4"/>
        </w:rPr>
        <w:t>seq.</w:t>
      </w:r>
    </w:p>
    <w:p>
      <w:pPr>
        <w:pStyle w:val="BodyText"/>
        <w:spacing w:before="5"/>
      </w:pPr>
    </w:p>
    <w:p>
      <w:pPr>
        <w:pStyle w:val="BodyText"/>
        <w:tabs>
          <w:tab w:pos="705" w:val="left" w:leader="none"/>
        </w:tabs>
        <w:ind w:left="165"/>
      </w:pPr>
      <w:bookmarkStart w:name="_bookmark1635" w:id="1637"/>
      <w:bookmarkEnd w:id="1637"/>
      <w:r>
        <w:rPr/>
      </w:r>
      <w:hyperlink w:history="true" w:anchor="_bookmark1586">
        <w:r>
          <w:rPr>
            <w:color w:val="005DA1"/>
            <w:spacing w:val="-4"/>
            <w:position w:val="5"/>
            <w:sz w:val="14"/>
            <w:u w:val="single" w:color="005DA1"/>
          </w:rPr>
          <w:t>834</w:t>
        </w:r>
      </w:hyperlink>
      <w:r>
        <w:rPr>
          <w:spacing w:val="-4"/>
          <w:position w:val="5"/>
          <w:sz w:val="14"/>
        </w:rPr>
        <w:t>.</w:t>
      </w:r>
      <w:r>
        <w:rPr>
          <w:position w:val="5"/>
          <w:sz w:val="14"/>
        </w:rPr>
        <w:tab/>
      </w:r>
      <w:r>
        <w:rPr/>
        <w:t>Above,</w:t>
      </w:r>
      <w:r>
        <w:rPr>
          <w:spacing w:val="-2"/>
        </w:rPr>
        <w:t> </w:t>
      </w:r>
      <w:r>
        <w:rPr/>
        <w:t>paras 30-084 et </w:t>
      </w:r>
      <w:r>
        <w:rPr>
          <w:spacing w:val="-4"/>
        </w:rPr>
        <w:t>seq.</w:t>
      </w:r>
    </w:p>
    <w:p>
      <w:pPr>
        <w:pStyle w:val="BodyText"/>
        <w:spacing w:before="5"/>
      </w:pPr>
    </w:p>
    <w:p>
      <w:pPr>
        <w:pStyle w:val="BodyText"/>
        <w:tabs>
          <w:tab w:pos="705" w:val="left" w:leader="none"/>
        </w:tabs>
        <w:ind w:left="165"/>
      </w:pPr>
      <w:bookmarkStart w:name="_bookmark1636" w:id="1638"/>
      <w:bookmarkEnd w:id="1638"/>
      <w:r>
        <w:rPr/>
      </w:r>
      <w:hyperlink w:history="true" w:anchor="_bookmark1587">
        <w:r>
          <w:rPr>
            <w:color w:val="005DA1"/>
            <w:spacing w:val="-4"/>
            <w:position w:val="5"/>
            <w:sz w:val="14"/>
            <w:u w:val="single" w:color="005DA1"/>
          </w:rPr>
          <w:t>835</w:t>
        </w:r>
      </w:hyperlink>
      <w:r>
        <w:rPr>
          <w:spacing w:val="-4"/>
          <w:position w:val="5"/>
          <w:sz w:val="14"/>
        </w:rPr>
        <w:t>.</w:t>
      </w:r>
      <w:r>
        <w:rPr>
          <w:position w:val="5"/>
          <w:sz w:val="14"/>
        </w:rPr>
        <w:tab/>
      </w:r>
      <w:r>
        <w:rPr/>
        <w:t>Above,</w:t>
      </w:r>
      <w:r>
        <w:rPr>
          <w:spacing w:val="-2"/>
        </w:rPr>
        <w:t> </w:t>
      </w:r>
      <w:r>
        <w:rPr/>
        <w:t>paras 30-046 et </w:t>
      </w:r>
      <w:r>
        <w:rPr>
          <w:spacing w:val="-4"/>
        </w:rPr>
        <w:t>seq.</w:t>
      </w:r>
    </w:p>
    <w:p>
      <w:pPr>
        <w:pStyle w:val="BodyText"/>
        <w:spacing w:before="5"/>
      </w:pPr>
    </w:p>
    <w:p>
      <w:pPr>
        <w:pStyle w:val="BodyText"/>
        <w:tabs>
          <w:tab w:pos="705" w:val="left" w:leader="none"/>
        </w:tabs>
        <w:ind w:left="165"/>
      </w:pPr>
      <w:bookmarkStart w:name="_bookmark1637" w:id="1639"/>
      <w:bookmarkEnd w:id="1639"/>
      <w:r>
        <w:rPr/>
      </w:r>
      <w:hyperlink w:history="true" w:anchor="_bookmark1588">
        <w:r>
          <w:rPr>
            <w:color w:val="005DA1"/>
            <w:spacing w:val="-4"/>
            <w:position w:val="5"/>
            <w:sz w:val="14"/>
            <w:u w:val="single" w:color="005DA1"/>
          </w:rPr>
          <w:t>836</w:t>
        </w:r>
      </w:hyperlink>
      <w:r>
        <w:rPr>
          <w:spacing w:val="-4"/>
          <w:position w:val="5"/>
          <w:sz w:val="14"/>
        </w:rPr>
        <w:t>.</w:t>
      </w:r>
      <w:r>
        <w:rPr>
          <w:position w:val="5"/>
          <w:sz w:val="14"/>
        </w:rPr>
        <w:tab/>
      </w:r>
      <w:r>
        <w:rPr/>
        <w:t>Above,</w:t>
      </w:r>
      <w:r>
        <w:rPr>
          <w:spacing w:val="-2"/>
        </w:rPr>
        <w:t> </w:t>
      </w:r>
      <w:r>
        <w:rPr/>
        <w:t>paras 30-072 et </w:t>
      </w:r>
      <w:r>
        <w:rPr>
          <w:spacing w:val="-4"/>
        </w:rPr>
        <w:t>seq.</w:t>
      </w:r>
    </w:p>
    <w:p>
      <w:pPr>
        <w:pStyle w:val="BodyText"/>
        <w:spacing w:before="5"/>
      </w:pPr>
    </w:p>
    <w:p>
      <w:pPr>
        <w:pStyle w:val="BodyText"/>
        <w:tabs>
          <w:tab w:pos="705" w:val="left" w:leader="none"/>
        </w:tabs>
        <w:ind w:left="165"/>
      </w:pPr>
      <w:bookmarkStart w:name="_bookmark1638" w:id="1640"/>
      <w:bookmarkEnd w:id="1640"/>
      <w:r>
        <w:rPr/>
      </w:r>
      <w:hyperlink w:history="true" w:anchor="_bookmark1589">
        <w:r>
          <w:rPr>
            <w:color w:val="005DA1"/>
            <w:spacing w:val="-4"/>
            <w:position w:val="5"/>
            <w:sz w:val="14"/>
            <w:u w:val="single" w:color="005DA1"/>
          </w:rPr>
          <w:t>837</w:t>
        </w:r>
      </w:hyperlink>
      <w:r>
        <w:rPr>
          <w:spacing w:val="-4"/>
          <w:position w:val="5"/>
          <w:sz w:val="14"/>
        </w:rPr>
        <w:t>.</w:t>
      </w:r>
      <w:r>
        <w:rPr>
          <w:position w:val="5"/>
          <w:sz w:val="14"/>
        </w:rPr>
        <w:tab/>
      </w:r>
      <w:r>
        <w:rPr/>
        <w:t>Above,</w:t>
      </w:r>
      <w:r>
        <w:rPr>
          <w:spacing w:val="-2"/>
        </w:rPr>
        <w:t> </w:t>
      </w:r>
      <w:r>
        <w:rPr/>
        <w:t>paras 30-089 et </w:t>
      </w:r>
      <w:r>
        <w:rPr>
          <w:spacing w:val="-4"/>
        </w:rPr>
        <w:t>seq.</w:t>
      </w:r>
    </w:p>
    <w:p>
      <w:pPr>
        <w:pStyle w:val="BodyText"/>
        <w:spacing w:after="0"/>
        <w:sectPr>
          <w:pgSz w:w="11900" w:h="16840"/>
          <w:pgMar w:header="971" w:footer="0" w:top="1300" w:bottom="280" w:left="1275" w:right="1275"/>
        </w:sectPr>
      </w:pPr>
    </w:p>
    <w:p>
      <w:pPr>
        <w:pStyle w:val="BodyText"/>
        <w:tabs>
          <w:tab w:pos="705" w:val="left" w:leader="none"/>
        </w:tabs>
        <w:spacing w:before="166"/>
        <w:ind w:left="165"/>
      </w:pPr>
      <w:hyperlink w:history="true" w:anchor="_bookmark1590">
        <w:r>
          <w:rPr>
            <w:color w:val="005DA1"/>
            <w:spacing w:val="-4"/>
            <w:position w:val="5"/>
            <w:sz w:val="14"/>
            <w:u w:val="single" w:color="005DA1"/>
          </w:rPr>
          <w:t>838</w:t>
        </w:r>
      </w:hyperlink>
      <w:r>
        <w:rPr>
          <w:spacing w:val="-4"/>
          <w:position w:val="5"/>
          <w:sz w:val="14"/>
        </w:rPr>
        <w:t>.</w:t>
      </w:r>
      <w:r>
        <w:rPr>
          <w:position w:val="5"/>
          <w:sz w:val="14"/>
        </w:rPr>
        <w:tab/>
      </w:r>
      <w:r>
        <w:rPr/>
        <w:t>Above,</w:t>
      </w:r>
      <w:r>
        <w:rPr>
          <w:spacing w:val="-2"/>
        </w:rPr>
        <w:t> </w:t>
      </w:r>
      <w:r>
        <w:rPr/>
        <w:t>paras 30-092 et </w:t>
      </w:r>
      <w:r>
        <w:rPr>
          <w:spacing w:val="-4"/>
        </w:rPr>
        <w:t>seq.</w:t>
      </w:r>
    </w:p>
    <w:p>
      <w:pPr>
        <w:pStyle w:val="BodyText"/>
        <w:spacing w:before="5"/>
      </w:pPr>
    </w:p>
    <w:p>
      <w:pPr>
        <w:pStyle w:val="BodyText"/>
        <w:tabs>
          <w:tab w:pos="705" w:val="left" w:leader="none"/>
        </w:tabs>
        <w:spacing w:before="1"/>
        <w:ind w:left="165"/>
      </w:pPr>
      <w:bookmarkStart w:name="_bookmark1639" w:id="1641"/>
      <w:bookmarkEnd w:id="1641"/>
      <w:r>
        <w:rPr/>
      </w:r>
      <w:hyperlink w:history="true" w:anchor="_bookmark1591">
        <w:r>
          <w:rPr>
            <w:color w:val="005DA1"/>
            <w:spacing w:val="-4"/>
            <w:position w:val="5"/>
            <w:sz w:val="14"/>
            <w:u w:val="single" w:color="005DA1"/>
          </w:rPr>
          <w:t>839</w:t>
        </w:r>
      </w:hyperlink>
      <w:r>
        <w:rPr>
          <w:spacing w:val="-4"/>
          <w:position w:val="5"/>
          <w:sz w:val="14"/>
        </w:rPr>
        <w:t>.</w:t>
      </w:r>
      <w:r>
        <w:rPr>
          <w:position w:val="5"/>
          <w:sz w:val="14"/>
        </w:rPr>
        <w:tab/>
      </w:r>
      <w:r>
        <w:rPr/>
        <w:t>cf.</w:t>
      </w:r>
      <w:r>
        <w:rPr>
          <w:spacing w:val="-2"/>
        </w:rPr>
        <w:t> </w:t>
      </w:r>
      <w:r>
        <w:rPr/>
        <w:t>above, para.30-</w:t>
      </w:r>
      <w:r>
        <w:rPr>
          <w:spacing w:val="-4"/>
        </w:rPr>
        <w:t>084.</w:t>
      </w:r>
    </w:p>
    <w:p>
      <w:pPr>
        <w:pStyle w:val="BodyText"/>
        <w:spacing w:before="4"/>
      </w:pPr>
    </w:p>
    <w:p>
      <w:pPr>
        <w:pStyle w:val="BodyText"/>
        <w:tabs>
          <w:tab w:pos="705" w:val="left" w:leader="none"/>
        </w:tabs>
        <w:spacing w:before="1"/>
        <w:ind w:left="165"/>
      </w:pPr>
      <w:bookmarkStart w:name="_bookmark1640" w:id="1642"/>
      <w:bookmarkEnd w:id="1642"/>
      <w:r>
        <w:rPr/>
      </w:r>
      <w:hyperlink w:history="true" w:anchor="_bookmark1592">
        <w:r>
          <w:rPr>
            <w:color w:val="005DA1"/>
            <w:spacing w:val="-4"/>
            <w:position w:val="5"/>
            <w:sz w:val="14"/>
            <w:u w:val="single" w:color="005DA1"/>
          </w:rPr>
          <w:t>840</w:t>
        </w:r>
      </w:hyperlink>
      <w:r>
        <w:rPr>
          <w:spacing w:val="-4"/>
          <w:position w:val="5"/>
          <w:sz w:val="14"/>
        </w:rPr>
        <w:t>.</w:t>
      </w:r>
      <w:r>
        <w:rPr>
          <w:position w:val="5"/>
          <w:sz w:val="14"/>
        </w:rPr>
        <w:tab/>
      </w:r>
      <w:r>
        <w:rPr/>
        <w:t>Above,</w:t>
      </w:r>
      <w:r>
        <w:rPr>
          <w:spacing w:val="-2"/>
        </w:rPr>
        <w:t> </w:t>
      </w:r>
      <w:r>
        <w:rPr/>
        <w:t>paras 30-084 et </w:t>
      </w:r>
      <w:r>
        <w:rPr>
          <w:spacing w:val="-4"/>
        </w:rPr>
        <w:t>seq.</w:t>
      </w:r>
    </w:p>
    <w:p>
      <w:pPr>
        <w:pStyle w:val="BodyText"/>
        <w:spacing w:before="4"/>
      </w:pPr>
    </w:p>
    <w:p>
      <w:pPr>
        <w:pStyle w:val="BodyText"/>
        <w:tabs>
          <w:tab w:pos="705" w:val="left" w:leader="none"/>
        </w:tabs>
        <w:spacing w:before="1"/>
        <w:ind w:left="165"/>
      </w:pPr>
      <w:bookmarkStart w:name="_bookmark1641" w:id="1643"/>
      <w:bookmarkEnd w:id="1643"/>
      <w:r>
        <w:rPr/>
      </w:r>
      <w:hyperlink w:history="true" w:anchor="_bookmark1593">
        <w:r>
          <w:rPr>
            <w:color w:val="005DA1"/>
            <w:spacing w:val="-4"/>
            <w:position w:val="5"/>
            <w:sz w:val="14"/>
            <w:u w:val="single" w:color="005DA1"/>
          </w:rPr>
          <w:t>841</w:t>
        </w:r>
      </w:hyperlink>
      <w:r>
        <w:rPr>
          <w:spacing w:val="-4"/>
          <w:position w:val="5"/>
          <w:sz w:val="14"/>
        </w:rPr>
        <w:t>.</w:t>
      </w:r>
      <w:r>
        <w:rPr>
          <w:position w:val="5"/>
          <w:sz w:val="14"/>
        </w:rPr>
        <w:tab/>
      </w:r>
      <w:r>
        <w:rPr/>
        <w:t>See Recital 32 to the </w:t>
      </w:r>
      <w:r>
        <w:rPr>
          <w:spacing w:val="-2"/>
        </w:rPr>
        <w:t>Regulation.</w:t>
      </w:r>
    </w:p>
    <w:p>
      <w:pPr>
        <w:pStyle w:val="BodyText"/>
        <w:spacing w:before="4"/>
      </w:pPr>
    </w:p>
    <w:p>
      <w:pPr>
        <w:pStyle w:val="BodyText"/>
        <w:tabs>
          <w:tab w:pos="705" w:val="left" w:leader="none"/>
        </w:tabs>
        <w:spacing w:before="1"/>
        <w:ind w:left="165"/>
      </w:pPr>
      <w:bookmarkStart w:name="_bookmark1642" w:id="1644"/>
      <w:bookmarkEnd w:id="1644"/>
      <w:r>
        <w:rPr/>
      </w:r>
      <w:hyperlink w:history="true" w:anchor="_bookmark1594">
        <w:r>
          <w:rPr>
            <w:color w:val="005DA1"/>
            <w:spacing w:val="-4"/>
            <w:position w:val="5"/>
            <w:sz w:val="14"/>
            <w:u w:val="single" w:color="005DA1"/>
          </w:rPr>
          <w:t>842</w:t>
        </w:r>
      </w:hyperlink>
      <w:r>
        <w:rPr>
          <w:spacing w:val="-4"/>
          <w:position w:val="5"/>
          <w:sz w:val="14"/>
        </w:rPr>
        <w:t>.</w:t>
      </w:r>
      <w:r>
        <w:rPr>
          <w:position w:val="5"/>
          <w:sz w:val="14"/>
        </w:rPr>
        <w:tab/>
      </w:r>
      <w:r>
        <w:rPr/>
        <w:t>Above,</w:t>
      </w:r>
      <w:r>
        <w:rPr>
          <w:spacing w:val="-2"/>
        </w:rPr>
        <w:t> </w:t>
      </w:r>
      <w:r>
        <w:rPr/>
        <w:t>paras 30-072 et </w:t>
      </w:r>
      <w:r>
        <w:rPr>
          <w:spacing w:val="-4"/>
        </w:rPr>
        <w:t>seq.</w:t>
      </w:r>
    </w:p>
    <w:p>
      <w:pPr>
        <w:pStyle w:val="BodyText"/>
        <w:spacing w:before="4"/>
      </w:pPr>
    </w:p>
    <w:p>
      <w:pPr>
        <w:pStyle w:val="BodyText"/>
        <w:tabs>
          <w:tab w:pos="705" w:val="left" w:leader="none"/>
        </w:tabs>
        <w:spacing w:before="1"/>
        <w:ind w:left="165"/>
      </w:pPr>
      <w:bookmarkStart w:name="_bookmark1643" w:id="1645"/>
      <w:bookmarkEnd w:id="1645"/>
      <w:r>
        <w:rPr/>
      </w:r>
      <w:hyperlink w:history="true" w:anchor="_bookmark1595">
        <w:r>
          <w:rPr>
            <w:color w:val="005DA1"/>
            <w:spacing w:val="-4"/>
            <w:position w:val="5"/>
            <w:sz w:val="14"/>
            <w:u w:val="single" w:color="005DA1"/>
          </w:rPr>
          <w:t>843</w:t>
        </w:r>
      </w:hyperlink>
      <w:r>
        <w:rPr>
          <w:spacing w:val="-4"/>
          <w:position w:val="5"/>
          <w:sz w:val="14"/>
        </w:rPr>
        <w:t>.</w:t>
      </w:r>
      <w:r>
        <w:rPr>
          <w:position w:val="5"/>
          <w:sz w:val="14"/>
        </w:rPr>
        <w:tab/>
      </w:r>
      <w:r>
        <w:rPr/>
        <w:t>cf.</w:t>
      </w:r>
      <w:r>
        <w:rPr>
          <w:spacing w:val="-2"/>
        </w:rPr>
        <w:t> </w:t>
      </w:r>
      <w:r>
        <w:rPr/>
        <w:t>above, para.30-</w:t>
      </w:r>
      <w:r>
        <w:rPr>
          <w:spacing w:val="-4"/>
        </w:rPr>
        <w:t>087.</w:t>
      </w:r>
    </w:p>
    <w:p>
      <w:pPr>
        <w:pStyle w:val="BodyText"/>
        <w:spacing w:before="8"/>
      </w:pPr>
    </w:p>
    <w:p>
      <w:pPr>
        <w:pStyle w:val="BodyText"/>
        <w:tabs>
          <w:tab w:pos="705" w:val="left" w:leader="none"/>
        </w:tabs>
        <w:spacing w:line="235" w:lineRule="auto"/>
        <w:ind w:left="705" w:right="168" w:hanging="541"/>
      </w:pPr>
      <w:bookmarkStart w:name="_bookmark1644" w:id="1646"/>
      <w:bookmarkEnd w:id="1646"/>
      <w:r>
        <w:rPr/>
      </w:r>
      <w:hyperlink w:history="true" w:anchor="_bookmark1596">
        <w:r>
          <w:rPr>
            <w:color w:val="005DA1"/>
            <w:spacing w:val="-4"/>
            <w:position w:val="5"/>
            <w:sz w:val="14"/>
            <w:u w:val="single" w:color="005DA1"/>
          </w:rPr>
          <w:t>844</w:t>
        </w:r>
      </w:hyperlink>
      <w:r>
        <w:rPr>
          <w:spacing w:val="-4"/>
          <w:position w:val="5"/>
          <w:sz w:val="14"/>
        </w:rPr>
        <w:t>.</w:t>
      </w:r>
      <w:r>
        <w:rPr>
          <w:position w:val="5"/>
          <w:sz w:val="14"/>
        </w:rPr>
        <w:tab/>
      </w:r>
      <w:r>
        <w:rPr/>
        <w:t>Rome</w:t>
      </w:r>
      <w:r>
        <w:rPr>
          <w:spacing w:val="40"/>
        </w:rPr>
        <w:t> </w:t>
      </w:r>
      <w:r>
        <w:rPr/>
        <w:t>I</w:t>
      </w:r>
      <w:r>
        <w:rPr>
          <w:spacing w:val="40"/>
        </w:rPr>
        <w:t> </w:t>
      </w:r>
      <w:r>
        <w:rPr/>
        <w:t>art.6(4)(b),</w:t>
      </w:r>
      <w:r>
        <w:rPr>
          <w:spacing w:val="40"/>
        </w:rPr>
        <w:t> </w:t>
      </w:r>
      <w:r>
        <w:rPr/>
        <w:t>discussed</w:t>
      </w:r>
      <w:r>
        <w:rPr>
          <w:spacing w:val="40"/>
        </w:rPr>
        <w:t> </w:t>
      </w:r>
      <w:r>
        <w:rPr/>
        <w:t>below,</w:t>
      </w:r>
      <w:r>
        <w:rPr>
          <w:spacing w:val="40"/>
        </w:rPr>
        <w:t> </w:t>
      </w:r>
      <w:r>
        <w:rPr/>
        <w:t>para.30-235.</w:t>
      </w:r>
      <w:r>
        <w:rPr>
          <w:spacing w:val="40"/>
        </w:rPr>
        <w:t> </w:t>
      </w:r>
      <w:r>
        <w:rPr/>
        <w:t>The</w:t>
      </w:r>
      <w:r>
        <w:rPr>
          <w:spacing w:val="40"/>
        </w:rPr>
        <w:t> </w:t>
      </w:r>
      <w:r>
        <w:rPr/>
        <w:t>exception</w:t>
      </w:r>
      <w:r>
        <w:rPr>
          <w:spacing w:val="40"/>
        </w:rPr>
        <w:t> </w:t>
      </w:r>
      <w:r>
        <w:rPr/>
        <w:t>is</w:t>
      </w:r>
      <w:r>
        <w:rPr>
          <w:spacing w:val="40"/>
        </w:rPr>
        <w:t> </w:t>
      </w:r>
      <w:r>
        <w:rPr/>
        <w:t>in</w:t>
      </w:r>
      <w:r>
        <w:rPr>
          <w:spacing w:val="40"/>
        </w:rPr>
        <w:t> </w:t>
      </w:r>
      <w:r>
        <w:rPr/>
        <w:t>relation</w:t>
      </w:r>
      <w:r>
        <w:rPr>
          <w:spacing w:val="40"/>
        </w:rPr>
        <w:t> </w:t>
      </w:r>
      <w:r>
        <w:rPr/>
        <w:t>to</w:t>
      </w:r>
      <w:r>
        <w:rPr>
          <w:spacing w:val="40"/>
        </w:rPr>
        <w:t> </w:t>
      </w:r>
      <w:r>
        <w:rPr/>
        <w:t>“package tours”. See too Recital 32.</w:t>
      </w:r>
    </w:p>
    <w:p>
      <w:pPr>
        <w:pStyle w:val="BodyText"/>
        <w:spacing w:before="10"/>
      </w:pPr>
    </w:p>
    <w:p>
      <w:pPr>
        <w:tabs>
          <w:tab w:pos="705" w:val="left" w:leader="none"/>
        </w:tabs>
        <w:spacing w:line="235" w:lineRule="auto" w:before="0"/>
        <w:ind w:left="705" w:right="168" w:hanging="541"/>
        <w:jc w:val="left"/>
        <w:rPr>
          <w:sz w:val="20"/>
        </w:rPr>
      </w:pPr>
      <w:bookmarkStart w:name="_bookmark1645" w:id="1647"/>
      <w:bookmarkEnd w:id="1647"/>
      <w:r>
        <w:rPr/>
      </w:r>
      <w:hyperlink w:history="true" w:anchor="_bookmark1597">
        <w:r>
          <w:rPr>
            <w:color w:val="005DA1"/>
            <w:spacing w:val="-4"/>
            <w:position w:val="5"/>
            <w:sz w:val="14"/>
            <w:u w:val="single" w:color="005DA1"/>
          </w:rPr>
          <w:t>845</w:t>
        </w:r>
      </w:hyperlink>
      <w:r>
        <w:rPr>
          <w:spacing w:val="-4"/>
          <w:position w:val="5"/>
          <w:sz w:val="14"/>
        </w:rPr>
        <w:t>.</w:t>
      </w:r>
      <w:r>
        <w:rPr>
          <w:position w:val="5"/>
          <w:sz w:val="14"/>
        </w:rPr>
        <w:tab/>
      </w:r>
      <w:r>
        <w:rPr>
          <w:sz w:val="20"/>
        </w:rPr>
        <w:t>cf.</w:t>
      </w:r>
      <w:r>
        <w:rPr>
          <w:spacing w:val="75"/>
          <w:sz w:val="20"/>
        </w:rPr>
        <w:t> </w:t>
      </w:r>
      <w:r>
        <w:rPr>
          <w:sz w:val="20"/>
        </w:rPr>
        <w:t>above,</w:t>
      </w:r>
      <w:r>
        <w:rPr>
          <w:spacing w:val="75"/>
          <w:sz w:val="20"/>
        </w:rPr>
        <w:t> </w:t>
      </w:r>
      <w:r>
        <w:rPr>
          <w:sz w:val="20"/>
        </w:rPr>
        <w:t>para.30-084;</w:t>
      </w:r>
      <w:r>
        <w:rPr>
          <w:spacing w:val="75"/>
          <w:sz w:val="20"/>
        </w:rPr>
        <w:t> </w:t>
      </w:r>
      <w:r>
        <w:rPr>
          <w:rFonts w:ascii="Arial"/>
          <w:i/>
          <w:sz w:val="20"/>
        </w:rPr>
        <w:t>Intercontainer</w:t>
      </w:r>
      <w:r>
        <w:rPr>
          <w:rFonts w:ascii="Arial"/>
          <w:i/>
          <w:spacing w:val="75"/>
          <w:sz w:val="20"/>
        </w:rPr>
        <w:t> </w:t>
      </w:r>
      <w:r>
        <w:rPr>
          <w:rFonts w:ascii="Arial"/>
          <w:i/>
          <w:sz w:val="20"/>
        </w:rPr>
        <w:t>Interfrigo</w:t>
      </w:r>
      <w:r>
        <w:rPr>
          <w:rFonts w:ascii="Arial"/>
          <w:i/>
          <w:spacing w:val="75"/>
          <w:sz w:val="20"/>
        </w:rPr>
        <w:t> </w:t>
      </w:r>
      <w:r>
        <w:rPr>
          <w:rFonts w:ascii="Arial"/>
          <w:i/>
          <w:sz w:val="20"/>
        </w:rPr>
        <w:t>SC</w:t>
      </w:r>
      <w:r>
        <w:rPr>
          <w:rFonts w:ascii="Arial"/>
          <w:i/>
          <w:spacing w:val="75"/>
          <w:sz w:val="20"/>
        </w:rPr>
        <w:t> </w:t>
      </w:r>
      <w:r>
        <w:rPr>
          <w:rFonts w:ascii="Arial"/>
          <w:i/>
          <w:sz w:val="20"/>
        </w:rPr>
        <w:t>(ICF)</w:t>
      </w:r>
      <w:r>
        <w:rPr>
          <w:rFonts w:ascii="Arial"/>
          <w:i/>
          <w:spacing w:val="75"/>
          <w:sz w:val="20"/>
        </w:rPr>
        <w:t> </w:t>
      </w:r>
      <w:r>
        <w:rPr>
          <w:rFonts w:ascii="Arial"/>
          <w:i/>
          <w:sz w:val="20"/>
        </w:rPr>
        <w:t>v</w:t>
      </w:r>
      <w:r>
        <w:rPr>
          <w:rFonts w:ascii="Arial"/>
          <w:i/>
          <w:spacing w:val="75"/>
          <w:sz w:val="20"/>
        </w:rPr>
        <w:t> </w:t>
      </w:r>
      <w:r>
        <w:rPr>
          <w:rFonts w:ascii="Arial"/>
          <w:i/>
          <w:sz w:val="20"/>
        </w:rPr>
        <w:t>Balkenende</w:t>
      </w:r>
      <w:r>
        <w:rPr>
          <w:rFonts w:ascii="Arial"/>
          <w:i/>
          <w:spacing w:val="75"/>
          <w:sz w:val="20"/>
        </w:rPr>
        <w:t> </w:t>
      </w:r>
      <w:r>
        <w:rPr>
          <w:rFonts w:ascii="Arial"/>
          <w:i/>
          <w:sz w:val="20"/>
        </w:rPr>
        <w:t>Oosthuizen</w:t>
      </w:r>
      <w:r>
        <w:rPr>
          <w:rFonts w:ascii="Arial"/>
          <w:i/>
          <w:spacing w:val="75"/>
          <w:sz w:val="20"/>
        </w:rPr>
        <w:t> </w:t>
      </w:r>
      <w:r>
        <w:rPr>
          <w:rFonts w:ascii="Arial"/>
          <w:i/>
          <w:sz w:val="20"/>
        </w:rPr>
        <w:t>BV (C-133/08) [2010] Q.B. 411</w:t>
      </w:r>
      <w:r>
        <w:rPr>
          <w:sz w:val="20"/>
        </w:rPr>
        <w:t>.</w:t>
      </w:r>
    </w:p>
    <w:p>
      <w:pPr>
        <w:pStyle w:val="BodyText"/>
        <w:spacing w:before="9"/>
      </w:pPr>
    </w:p>
    <w:p>
      <w:pPr>
        <w:pStyle w:val="BodyText"/>
        <w:tabs>
          <w:tab w:pos="705" w:val="left" w:leader="none"/>
        </w:tabs>
        <w:spacing w:line="235" w:lineRule="auto"/>
        <w:ind w:left="705" w:right="168" w:hanging="541"/>
      </w:pPr>
      <w:bookmarkStart w:name="_bookmark1646" w:id="1648"/>
      <w:bookmarkEnd w:id="1648"/>
      <w:r>
        <w:rPr/>
      </w:r>
      <w:hyperlink w:history="true" w:anchor="_bookmark1598">
        <w:r>
          <w:rPr>
            <w:color w:val="005DA1"/>
            <w:spacing w:val="-4"/>
            <w:position w:val="5"/>
            <w:sz w:val="14"/>
            <w:u w:val="single" w:color="005DA1"/>
          </w:rPr>
          <w:t>846</w:t>
        </w:r>
      </w:hyperlink>
      <w:r>
        <w:rPr>
          <w:spacing w:val="-4"/>
          <w:position w:val="5"/>
          <w:sz w:val="14"/>
        </w:rPr>
        <w:t>.</w:t>
      </w:r>
      <w:r>
        <w:rPr>
          <w:position w:val="5"/>
          <w:sz w:val="14"/>
        </w:rPr>
        <w:tab/>
      </w:r>
      <w:r>
        <w:rPr/>
        <w:t>See</w:t>
      </w:r>
      <w:r>
        <w:rPr>
          <w:spacing w:val="-3"/>
        </w:rPr>
        <w:t> </w:t>
      </w:r>
      <w:r>
        <w:rPr/>
        <w:t>Vol.II,</w:t>
      </w:r>
      <w:r>
        <w:rPr>
          <w:spacing w:val="-3"/>
        </w:rPr>
        <w:t> </w:t>
      </w:r>
      <w:r>
        <w:rPr/>
        <w:t>Chs</w:t>
      </w:r>
      <w:r>
        <w:rPr>
          <w:spacing w:val="-3"/>
        </w:rPr>
        <w:t> </w:t>
      </w:r>
      <w:r>
        <w:rPr/>
        <w:t>35,</w:t>
      </w:r>
      <w:r>
        <w:rPr>
          <w:spacing w:val="-3"/>
        </w:rPr>
        <w:t> </w:t>
      </w:r>
      <w:r>
        <w:rPr/>
        <w:t>36;</w:t>
      </w:r>
      <w:r>
        <w:rPr>
          <w:spacing w:val="-3"/>
        </w:rPr>
        <w:t> </w:t>
      </w:r>
      <w:r>
        <w:rPr/>
        <w:t>Dicey,</w:t>
      </w:r>
      <w:r>
        <w:rPr>
          <w:spacing w:val="-3"/>
        </w:rPr>
        <w:t> </w:t>
      </w:r>
      <w:r>
        <w:rPr/>
        <w:t>Morris</w:t>
      </w:r>
      <w:r>
        <w:rPr>
          <w:spacing w:val="-3"/>
        </w:rPr>
        <w:t> </w:t>
      </w:r>
      <w:r>
        <w:rPr/>
        <w:t>and</w:t>
      </w:r>
      <w:r>
        <w:rPr>
          <w:spacing w:val="-3"/>
        </w:rPr>
        <w:t> </w:t>
      </w:r>
      <w:r>
        <w:rPr/>
        <w:t>Collins,</w:t>
      </w:r>
      <w:r>
        <w:rPr>
          <w:spacing w:val="-3"/>
        </w:rPr>
        <w:t> </w:t>
      </w:r>
      <w:r>
        <w:rPr/>
        <w:t>15th</w:t>
      </w:r>
      <w:r>
        <w:rPr>
          <w:spacing w:val="-3"/>
        </w:rPr>
        <w:t> </w:t>
      </w:r>
      <w:r>
        <w:rPr/>
        <w:t>edn</w:t>
      </w:r>
      <w:r>
        <w:rPr>
          <w:spacing w:val="-3"/>
        </w:rPr>
        <w:t> </w:t>
      </w:r>
      <w:r>
        <w:rPr/>
        <w:t>(2012),</w:t>
      </w:r>
      <w:r>
        <w:rPr>
          <w:spacing w:val="-3"/>
        </w:rPr>
        <w:t> </w:t>
      </w:r>
      <w:r>
        <w:rPr/>
        <w:t>paras</w:t>
      </w:r>
      <w:r>
        <w:rPr>
          <w:spacing w:val="-3"/>
        </w:rPr>
        <w:t> </w:t>
      </w:r>
      <w:r>
        <w:rPr/>
        <w:t>33-080</w:t>
      </w:r>
      <w:r>
        <w:rPr>
          <w:spacing w:val="-3"/>
        </w:rPr>
        <w:t> </w:t>
      </w:r>
      <w:r>
        <w:rPr/>
        <w:t>et</w:t>
      </w:r>
      <w:r>
        <w:rPr>
          <w:spacing w:val="-3"/>
        </w:rPr>
        <w:t> </w:t>
      </w:r>
      <w:r>
        <w:rPr/>
        <w:t>seq.,</w:t>
      </w:r>
      <w:r>
        <w:rPr>
          <w:spacing w:val="-3"/>
        </w:rPr>
        <w:t> </w:t>
      </w:r>
      <w:r>
        <w:rPr/>
        <w:t>33-</w:t>
      </w:r>
      <w:r>
        <w:rPr/>
        <w:t>111 et seq.</w:t>
      </w:r>
    </w:p>
    <w:p>
      <w:pPr>
        <w:pStyle w:val="BodyText"/>
        <w:spacing w:before="5"/>
      </w:pPr>
    </w:p>
    <w:p>
      <w:pPr>
        <w:tabs>
          <w:tab w:pos="705" w:val="left" w:leader="none"/>
        </w:tabs>
        <w:spacing w:before="0"/>
        <w:ind w:left="165" w:right="0" w:firstLine="0"/>
        <w:jc w:val="left"/>
        <w:rPr>
          <w:sz w:val="20"/>
        </w:rPr>
      </w:pPr>
      <w:bookmarkStart w:name="_bookmark1647" w:id="1649"/>
      <w:bookmarkEnd w:id="1649"/>
      <w:r>
        <w:rPr/>
      </w:r>
      <w:hyperlink w:history="true" w:anchor="_bookmark1598">
        <w:r>
          <w:rPr>
            <w:color w:val="005DA1"/>
            <w:spacing w:val="-4"/>
            <w:position w:val="5"/>
            <w:sz w:val="14"/>
            <w:u w:val="single" w:color="005DA1"/>
          </w:rPr>
          <w:t>847</w:t>
        </w:r>
      </w:hyperlink>
      <w:r>
        <w:rPr>
          <w:spacing w:val="-4"/>
          <w:position w:val="5"/>
          <w:sz w:val="14"/>
        </w:rPr>
        <w:t>.</w:t>
      </w:r>
      <w:r>
        <w:rPr>
          <w:position w:val="5"/>
          <w:sz w:val="14"/>
        </w:rPr>
        <w:tab/>
      </w:r>
      <w:r>
        <w:rPr>
          <w:sz w:val="20"/>
        </w:rPr>
        <w:t>See para.30-</w:t>
      </w:r>
      <w:r>
        <w:rPr>
          <w:spacing w:val="-4"/>
          <w:sz w:val="20"/>
        </w:rPr>
        <w:t>136.</w:t>
      </w:r>
    </w:p>
    <w:p>
      <w:pPr>
        <w:pStyle w:val="BodyText"/>
        <w:spacing w:before="9"/>
      </w:pPr>
    </w:p>
    <w:p>
      <w:pPr>
        <w:pStyle w:val="BodyText"/>
        <w:tabs>
          <w:tab w:pos="705" w:val="left" w:leader="none"/>
        </w:tabs>
        <w:spacing w:line="235" w:lineRule="auto"/>
        <w:ind w:left="705" w:right="168" w:hanging="541"/>
      </w:pPr>
      <w:bookmarkStart w:name="_bookmark1648" w:id="1650"/>
      <w:bookmarkEnd w:id="1650"/>
      <w:r>
        <w:rPr/>
      </w:r>
      <w:hyperlink w:history="true" w:anchor="_bookmark1599">
        <w:r>
          <w:rPr>
            <w:color w:val="005DA1"/>
            <w:spacing w:val="-4"/>
            <w:position w:val="5"/>
            <w:sz w:val="14"/>
            <w:u w:val="single" w:color="005DA1"/>
          </w:rPr>
          <w:t>848</w:t>
        </w:r>
      </w:hyperlink>
      <w:r>
        <w:rPr>
          <w:spacing w:val="-4"/>
          <w:position w:val="5"/>
          <w:sz w:val="14"/>
        </w:rPr>
        <w:t>.</w:t>
      </w:r>
      <w:r>
        <w:rPr>
          <w:position w:val="5"/>
          <w:sz w:val="14"/>
        </w:rPr>
        <w:tab/>
      </w:r>
      <w:r>
        <w:rPr/>
        <w:t>i.e. July 24, 2008, the date of entry into force, as opposed to December 17, 2009, the date </w:t>
      </w:r>
      <w:r>
        <w:rPr/>
        <w:t>of</w:t>
      </w:r>
      <w:r>
        <w:rPr>
          <w:spacing w:val="80"/>
        </w:rPr>
        <w:t> </w:t>
      </w:r>
      <w:r>
        <w:rPr/>
        <w:t>application. See arts 25-29.</w:t>
      </w:r>
    </w:p>
    <w:p>
      <w:pPr>
        <w:pStyle w:val="BodyText"/>
        <w:spacing w:before="9"/>
      </w:pPr>
    </w:p>
    <w:p>
      <w:pPr>
        <w:pStyle w:val="BodyText"/>
        <w:spacing w:line="235" w:lineRule="auto" w:before="1"/>
        <w:ind w:left="705" w:right="167" w:hanging="541"/>
        <w:jc w:val="both"/>
      </w:pPr>
      <w:bookmarkStart w:name="_bookmark1649" w:id="1651"/>
      <w:bookmarkEnd w:id="1651"/>
      <w:r>
        <w:rPr/>
      </w:r>
      <w:hyperlink w:history="true" w:anchor="_bookmark1600">
        <w:r>
          <w:rPr>
            <w:color w:val="005DA1"/>
            <w:position w:val="5"/>
            <w:sz w:val="14"/>
            <w:u w:val="single" w:color="005DA1"/>
          </w:rPr>
          <w:t>849</w:t>
        </w:r>
      </w:hyperlink>
      <w:r>
        <w:rPr>
          <w:position w:val="5"/>
          <w:sz w:val="14"/>
        </w:rPr>
        <w:t>.</w:t>
      </w:r>
      <w:r>
        <w:rPr>
          <w:spacing w:val="80"/>
          <w:position w:val="5"/>
          <w:sz w:val="14"/>
        </w:rPr>
        <w:t>  </w:t>
      </w:r>
      <w:r>
        <w:rPr/>
        <w:t>It</w:t>
      </w:r>
      <w:r>
        <w:rPr>
          <w:spacing w:val="-1"/>
        </w:rPr>
        <w:t> </w:t>
      </w:r>
      <w:r>
        <w:rPr/>
        <w:t>may</w:t>
      </w:r>
      <w:r>
        <w:rPr>
          <w:spacing w:val="-1"/>
        </w:rPr>
        <w:t> </w:t>
      </w:r>
      <w:r>
        <w:rPr/>
        <w:t>also</w:t>
      </w:r>
      <w:r>
        <w:rPr>
          <w:spacing w:val="-1"/>
        </w:rPr>
        <w:t> </w:t>
      </w:r>
      <w:r>
        <w:rPr/>
        <w:t>be</w:t>
      </w:r>
      <w:r>
        <w:rPr>
          <w:spacing w:val="-1"/>
        </w:rPr>
        <w:t> </w:t>
      </w:r>
      <w:r>
        <w:rPr/>
        <w:t>doubted</w:t>
      </w:r>
      <w:r>
        <w:rPr>
          <w:spacing w:val="-1"/>
        </w:rPr>
        <w:t> </w:t>
      </w:r>
      <w:r>
        <w:rPr/>
        <w:t>whether</w:t>
      </w:r>
      <w:r>
        <w:rPr>
          <w:spacing w:val="-1"/>
        </w:rPr>
        <w:t> </w:t>
      </w:r>
      <w:r>
        <w:rPr/>
        <w:t>conventions</w:t>
      </w:r>
      <w:r>
        <w:rPr>
          <w:spacing w:val="-1"/>
        </w:rPr>
        <w:t> </w:t>
      </w:r>
      <w:r>
        <w:rPr/>
        <w:t>establishing</w:t>
      </w:r>
      <w:r>
        <w:rPr>
          <w:spacing w:val="-1"/>
        </w:rPr>
        <w:t> </w:t>
      </w:r>
      <w:r>
        <w:rPr/>
        <w:t>uniform</w:t>
      </w:r>
      <w:r>
        <w:rPr>
          <w:spacing w:val="-1"/>
        </w:rPr>
        <w:t> </w:t>
      </w:r>
      <w:r>
        <w:rPr/>
        <w:t>substantive</w:t>
      </w:r>
      <w:r>
        <w:rPr>
          <w:spacing w:val="-1"/>
        </w:rPr>
        <w:t> </w:t>
      </w:r>
      <w:r>
        <w:rPr/>
        <w:t>rules,</w:t>
      </w:r>
      <w:r>
        <w:rPr>
          <w:spacing w:val="-1"/>
        </w:rPr>
        <w:t> </w:t>
      </w:r>
      <w:r>
        <w:rPr/>
        <w:t>as</w:t>
      </w:r>
      <w:r>
        <w:rPr>
          <w:spacing w:val="-1"/>
        </w:rPr>
        <w:t> </w:t>
      </w:r>
      <w:r>
        <w:rPr/>
        <w:t>opposed to choice of law rules, fall within art.25(2) where it is provided (see above, para.30-136) that the Regulation shall, as between Member States, take precedence over conventions concluded exclusively between two or more of them in so far as such conventions concern matters governed by the Regulation. This is because the Regulation is concerned with choice of applicable law, rather than uniform substantive law. And see Recital 41.</w:t>
      </w:r>
    </w:p>
    <w:p>
      <w:pPr>
        <w:pStyle w:val="BodyText"/>
        <w:spacing w:before="7"/>
      </w:pPr>
    </w:p>
    <w:p>
      <w:pPr>
        <w:tabs>
          <w:tab w:pos="705" w:val="left" w:leader="none"/>
        </w:tabs>
        <w:spacing w:line="235" w:lineRule="auto" w:before="0"/>
        <w:ind w:left="705" w:right="168" w:hanging="541"/>
        <w:jc w:val="left"/>
        <w:rPr>
          <w:sz w:val="20"/>
        </w:rPr>
      </w:pPr>
      <w:bookmarkStart w:name="_bookmark1650" w:id="1652"/>
      <w:bookmarkEnd w:id="1652"/>
      <w:r>
        <w:rPr/>
      </w:r>
      <w:hyperlink w:history="true" w:anchor="_bookmark1601">
        <w:r>
          <w:rPr>
            <w:color w:val="005DA1"/>
            <w:spacing w:val="-4"/>
            <w:position w:val="5"/>
            <w:sz w:val="14"/>
            <w:u w:val="single" w:color="005DA1"/>
          </w:rPr>
          <w:t>850</w:t>
        </w:r>
      </w:hyperlink>
      <w:r>
        <w:rPr>
          <w:spacing w:val="-4"/>
          <w:position w:val="5"/>
          <w:sz w:val="14"/>
        </w:rPr>
        <w:t>.</w:t>
      </w:r>
      <w:r>
        <w:rPr>
          <w:position w:val="5"/>
          <w:sz w:val="14"/>
        </w:rPr>
        <w:tab/>
      </w:r>
      <w:r>
        <w:rPr>
          <w:sz w:val="20"/>
        </w:rPr>
        <w:t>cf. </w:t>
      </w:r>
      <w:r>
        <w:rPr>
          <w:rFonts w:ascii="Arial"/>
          <w:i/>
          <w:sz w:val="20"/>
        </w:rPr>
        <w:t>The Hollandia [1983] 1 A.C. 565</w:t>
      </w:r>
      <w:r>
        <w:rPr>
          <w:sz w:val="20"/>
        </w:rPr>
        <w:t>; above, para.30-067; Dicey, Morris and Collins, 15th edn</w:t>
      </w:r>
      <w:r>
        <w:rPr>
          <w:spacing w:val="80"/>
          <w:sz w:val="20"/>
        </w:rPr>
        <w:t> </w:t>
      </w:r>
      <w:r>
        <w:rPr>
          <w:sz w:val="20"/>
        </w:rPr>
        <w:t>(2012) paras 33-080 et seq., 33-111 et seq.</w:t>
      </w:r>
    </w:p>
    <w:p>
      <w:pPr>
        <w:pStyle w:val="BodyText"/>
        <w:spacing w:before="6"/>
      </w:pPr>
    </w:p>
    <w:p>
      <w:pPr>
        <w:tabs>
          <w:tab w:pos="705" w:val="left" w:leader="none"/>
        </w:tabs>
        <w:spacing w:before="0"/>
        <w:ind w:left="165" w:right="0" w:firstLine="0"/>
        <w:jc w:val="left"/>
        <w:rPr>
          <w:sz w:val="20"/>
        </w:rPr>
      </w:pPr>
      <w:bookmarkStart w:name="_bookmark1651" w:id="1653"/>
      <w:bookmarkEnd w:id="1653"/>
      <w:r>
        <w:rPr/>
      </w:r>
      <w:hyperlink w:history="true" w:anchor="_bookmark1602">
        <w:r>
          <w:rPr>
            <w:color w:val="005DA1"/>
            <w:spacing w:val="-4"/>
            <w:position w:val="5"/>
            <w:sz w:val="14"/>
            <w:u w:val="single" w:color="005DA1"/>
          </w:rPr>
          <w:t>851</w:t>
        </w:r>
      </w:hyperlink>
      <w:r>
        <w:rPr>
          <w:spacing w:val="-4"/>
          <w:position w:val="5"/>
          <w:sz w:val="14"/>
        </w:rPr>
        <w:t>.</w:t>
      </w:r>
      <w:r>
        <w:rPr>
          <w:position w:val="5"/>
          <w:sz w:val="14"/>
        </w:rPr>
        <w:tab/>
      </w:r>
      <w:r>
        <w:rPr>
          <w:sz w:val="20"/>
        </w:rPr>
        <w:t>Below, para.30-</w:t>
      </w:r>
      <w:r>
        <w:rPr>
          <w:spacing w:val="-4"/>
          <w:sz w:val="20"/>
        </w:rPr>
        <w:t>220.</w:t>
      </w:r>
    </w:p>
    <w:p>
      <w:pPr>
        <w:pStyle w:val="BodyText"/>
        <w:spacing w:before="8"/>
      </w:pPr>
    </w:p>
    <w:p>
      <w:pPr>
        <w:spacing w:line="235" w:lineRule="auto" w:before="1"/>
        <w:ind w:left="705" w:right="168" w:hanging="541"/>
        <w:jc w:val="both"/>
        <w:rPr>
          <w:sz w:val="20"/>
        </w:rPr>
      </w:pPr>
      <w:bookmarkStart w:name="_bookmark1652" w:id="1654"/>
      <w:bookmarkEnd w:id="1654"/>
      <w:r>
        <w:rPr/>
      </w:r>
      <w:hyperlink w:history="true" w:anchor="_bookmark1603">
        <w:r>
          <w:rPr>
            <w:color w:val="005DA1"/>
            <w:position w:val="5"/>
            <w:sz w:val="14"/>
            <w:u w:val="single" w:color="005DA1"/>
          </w:rPr>
          <w:t>852</w:t>
        </w:r>
      </w:hyperlink>
      <w:r>
        <w:rPr>
          <w:position w:val="5"/>
          <w:sz w:val="14"/>
        </w:rPr>
        <w:t>.</w:t>
      </w:r>
      <w:r>
        <w:rPr>
          <w:spacing w:val="80"/>
          <w:position w:val="5"/>
          <w:sz w:val="14"/>
        </w:rPr>
        <w:t> </w:t>
      </w:r>
      <w:r>
        <w:rPr>
          <w:sz w:val="20"/>
        </w:rPr>
        <w:t>Above, paras 30-084 et seq. And see </w:t>
      </w:r>
      <w:r>
        <w:rPr>
          <w:rFonts w:ascii="Arial"/>
          <w:i/>
          <w:sz w:val="20"/>
        </w:rPr>
        <w:t>Intercontainer Interfrigo SC (ICF) v </w:t>
      </w:r>
      <w:r>
        <w:rPr>
          <w:rFonts w:ascii="Arial"/>
          <w:i/>
          <w:sz w:val="20"/>
        </w:rPr>
        <w:t>Balkenende</w:t>
      </w:r>
      <w:r>
        <w:rPr>
          <w:rFonts w:ascii="Arial"/>
          <w:i/>
          <w:spacing w:val="80"/>
          <w:sz w:val="20"/>
        </w:rPr>
        <w:t> </w:t>
      </w:r>
      <w:r>
        <w:rPr>
          <w:rFonts w:ascii="Arial"/>
          <w:i/>
          <w:sz w:val="20"/>
        </w:rPr>
        <w:t>Oosthuizen BV (C-133/08) [2010] Q.B. 411 </w:t>
      </w:r>
      <w:r>
        <w:rPr>
          <w:sz w:val="20"/>
        </w:rPr>
        <w:t>at [33]-[35], [37]. For more detail see Dicey, Morris and Collins, 15th edn (2012), paras 33-092 et seq.</w:t>
      </w:r>
    </w:p>
    <w:p>
      <w:pPr>
        <w:pStyle w:val="BodyText"/>
        <w:spacing w:before="4"/>
      </w:pPr>
    </w:p>
    <w:p>
      <w:pPr>
        <w:pStyle w:val="BodyText"/>
        <w:tabs>
          <w:tab w:pos="705" w:val="left" w:leader="none"/>
        </w:tabs>
        <w:spacing w:before="1"/>
        <w:ind w:left="165"/>
      </w:pPr>
      <w:bookmarkStart w:name="_bookmark1653" w:id="1655"/>
      <w:bookmarkEnd w:id="1655"/>
      <w:r>
        <w:rPr/>
      </w:r>
      <w:hyperlink w:history="true" w:anchor="_bookmark1604">
        <w:r>
          <w:rPr>
            <w:color w:val="005DA1"/>
            <w:spacing w:val="-4"/>
            <w:position w:val="5"/>
            <w:sz w:val="14"/>
            <w:u w:val="single" w:color="005DA1"/>
          </w:rPr>
          <w:t>853</w:t>
        </w:r>
      </w:hyperlink>
      <w:r>
        <w:rPr>
          <w:spacing w:val="-4"/>
          <w:position w:val="5"/>
          <w:sz w:val="14"/>
        </w:rPr>
        <w:t>.</w:t>
      </w:r>
      <w:r>
        <w:rPr>
          <w:position w:val="5"/>
          <w:sz w:val="14"/>
        </w:rPr>
        <w:tab/>
      </w:r>
      <w:r>
        <w:rPr/>
        <w:t>Above,</w:t>
      </w:r>
      <w:r>
        <w:rPr>
          <w:spacing w:val="-2"/>
        </w:rPr>
        <w:t> </w:t>
      </w:r>
      <w:r>
        <w:rPr/>
        <w:t>paras 30-176 et </w:t>
      </w:r>
      <w:r>
        <w:rPr>
          <w:spacing w:val="-4"/>
        </w:rPr>
        <w:t>seq.</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654" w:id="1656"/>
      <w:bookmarkEnd w:id="1656"/>
      <w:r>
        <w:rPr/>
      </w:r>
      <w:hyperlink w:history="true" w:anchor="_bookmark1604">
        <w:r>
          <w:rPr>
            <w:color w:val="005DA1"/>
            <w:spacing w:val="-4"/>
            <w:position w:val="5"/>
            <w:sz w:val="14"/>
            <w:u w:val="single" w:color="005DA1"/>
          </w:rPr>
          <w:t>854</w:t>
        </w:r>
      </w:hyperlink>
      <w:r>
        <w:rPr>
          <w:spacing w:val="-4"/>
          <w:position w:val="5"/>
          <w:sz w:val="14"/>
        </w:rPr>
        <w:t>.</w:t>
      </w:r>
      <w:r>
        <w:rPr>
          <w:position w:val="5"/>
          <w:sz w:val="14"/>
        </w:rPr>
        <w:tab/>
      </w:r>
      <w:r>
        <w:rPr>
          <w:sz w:val="20"/>
        </w:rPr>
        <w:t>cf. </w:t>
      </w:r>
      <w:r>
        <w:rPr>
          <w:rFonts w:ascii="Arial" w:hAnsi="Arial"/>
          <w:i/>
          <w:sz w:val="20"/>
        </w:rPr>
        <w:t>OT Africa Line Ltd v Magic Sportwear Corp [2005] EWCA Civ 710, [2005] 2 Lloyd’s Rep. </w:t>
      </w:r>
      <w:r>
        <w:rPr>
          <w:rFonts w:ascii="Arial" w:hAnsi="Arial"/>
          <w:i/>
          <w:spacing w:val="-5"/>
          <w:sz w:val="20"/>
        </w:rPr>
        <w:t>170</w:t>
      </w:r>
    </w:p>
    <w:p>
      <w:pPr>
        <w:spacing w:line="227" w:lineRule="exact" w:before="0"/>
        <w:ind w:left="705" w:right="0" w:firstLine="0"/>
        <w:jc w:val="left"/>
        <w:rPr>
          <w:sz w:val="20"/>
        </w:rPr>
      </w:pPr>
      <w:r>
        <w:rPr>
          <w:spacing w:val="-10"/>
          <w:sz w:val="20"/>
        </w:rPr>
        <w:t>.</w:t>
      </w:r>
    </w:p>
    <w:p>
      <w:pPr>
        <w:pStyle w:val="BodyText"/>
        <w:spacing w:before="5"/>
      </w:pPr>
    </w:p>
    <w:p>
      <w:pPr>
        <w:pStyle w:val="BodyText"/>
        <w:tabs>
          <w:tab w:pos="705" w:val="left" w:leader="none"/>
        </w:tabs>
        <w:spacing w:line="227" w:lineRule="exact"/>
        <w:ind w:left="165"/>
      </w:pPr>
      <w:bookmarkStart w:name="_bookmark1655" w:id="1657"/>
      <w:bookmarkEnd w:id="1657"/>
      <w:r>
        <w:rPr/>
      </w:r>
      <w:hyperlink w:history="true" w:anchor="_bookmark1605">
        <w:r>
          <w:rPr>
            <w:color w:val="005DA1"/>
            <w:spacing w:val="-4"/>
            <w:position w:val="5"/>
            <w:sz w:val="14"/>
            <w:u w:val="single" w:color="005DA1"/>
          </w:rPr>
          <w:t>855</w:t>
        </w:r>
      </w:hyperlink>
      <w:r>
        <w:rPr>
          <w:spacing w:val="-4"/>
          <w:position w:val="5"/>
          <w:sz w:val="14"/>
        </w:rPr>
        <w:t>.</w:t>
      </w:r>
      <w:r>
        <w:rPr>
          <w:position w:val="5"/>
          <w:sz w:val="14"/>
        </w:rPr>
        <w:tab/>
      </w:r>
      <w:r>
        <w:rPr/>
        <w:t>See</w:t>
      </w:r>
      <w:r>
        <w:rPr>
          <w:spacing w:val="25"/>
        </w:rPr>
        <w:t> </w:t>
      </w:r>
      <w:r>
        <w:rPr/>
        <w:t>Giuliano-Lagarde</w:t>
      </w:r>
      <w:r>
        <w:rPr>
          <w:spacing w:val="25"/>
        </w:rPr>
        <w:t> </w:t>
      </w:r>
      <w:r>
        <w:rPr/>
        <w:t>Report,</w:t>
      </w:r>
      <w:r>
        <w:rPr>
          <w:spacing w:val="25"/>
        </w:rPr>
        <w:t> </w:t>
      </w:r>
      <w:r>
        <w:rPr/>
        <w:t>p.17;</w:t>
      </w:r>
      <w:r>
        <w:rPr>
          <w:spacing w:val="25"/>
        </w:rPr>
        <w:t> </w:t>
      </w:r>
      <w:r>
        <w:rPr/>
        <w:t>Dicey,</w:t>
      </w:r>
      <w:r>
        <w:rPr>
          <w:spacing w:val="25"/>
        </w:rPr>
        <w:t> </w:t>
      </w:r>
      <w:r>
        <w:rPr/>
        <w:t>Morris</w:t>
      </w:r>
      <w:r>
        <w:rPr>
          <w:spacing w:val="25"/>
        </w:rPr>
        <w:t> </w:t>
      </w:r>
      <w:r>
        <w:rPr/>
        <w:t>and</w:t>
      </w:r>
      <w:r>
        <w:rPr>
          <w:spacing w:val="25"/>
        </w:rPr>
        <w:t> </w:t>
      </w:r>
      <w:r>
        <w:rPr/>
        <w:t>Collins,</w:t>
      </w:r>
      <w:r>
        <w:rPr>
          <w:spacing w:val="25"/>
        </w:rPr>
        <w:t> </w:t>
      </w:r>
      <w:r>
        <w:rPr/>
        <w:t>15th</w:t>
      </w:r>
      <w:r>
        <w:rPr>
          <w:spacing w:val="25"/>
        </w:rPr>
        <w:t> </w:t>
      </w:r>
      <w:r>
        <w:rPr/>
        <w:t>edn</w:t>
      </w:r>
      <w:r>
        <w:rPr>
          <w:spacing w:val="25"/>
        </w:rPr>
        <w:t> </w:t>
      </w:r>
      <w:r>
        <w:rPr/>
        <w:t>(2012),</w:t>
      </w:r>
      <w:r>
        <w:rPr>
          <w:spacing w:val="25"/>
        </w:rPr>
        <w:t> </w:t>
      </w:r>
      <w:r>
        <w:rPr/>
        <w:t>para.33-</w:t>
      </w:r>
      <w:r>
        <w:rPr>
          <w:spacing w:val="-4"/>
        </w:rPr>
        <w:t>098.</w:t>
      </w:r>
    </w:p>
    <w:p>
      <w:pPr>
        <w:pStyle w:val="BodyText"/>
        <w:spacing w:line="227" w:lineRule="exact"/>
        <w:ind w:left="705"/>
      </w:pPr>
      <w:r>
        <w:rPr/>
        <w:t>See also Recital 12 (exclusive jurisdiction clause); above, para.30-</w:t>
      </w:r>
      <w:r>
        <w:rPr>
          <w:spacing w:val="-4"/>
        </w:rPr>
        <w:t>173.</w:t>
      </w:r>
    </w:p>
    <w:p>
      <w:pPr>
        <w:pStyle w:val="BodyText"/>
        <w:spacing w:before="8"/>
      </w:pPr>
    </w:p>
    <w:p>
      <w:pPr>
        <w:pStyle w:val="BodyText"/>
        <w:tabs>
          <w:tab w:pos="705" w:val="left" w:leader="none"/>
        </w:tabs>
        <w:spacing w:line="235" w:lineRule="auto" w:before="1"/>
        <w:ind w:left="705" w:right="168" w:hanging="541"/>
      </w:pPr>
      <w:bookmarkStart w:name="_bookmark1656" w:id="1658"/>
      <w:bookmarkEnd w:id="1658"/>
      <w:r>
        <w:rPr/>
      </w:r>
      <w:hyperlink w:history="true" w:anchor="_bookmark1606">
        <w:r>
          <w:rPr>
            <w:color w:val="005DA1"/>
            <w:spacing w:val="-4"/>
            <w:position w:val="5"/>
            <w:sz w:val="14"/>
            <w:u w:val="single" w:color="005DA1"/>
          </w:rPr>
          <w:t>856</w:t>
        </w:r>
      </w:hyperlink>
      <w:r>
        <w:rPr>
          <w:spacing w:val="-4"/>
          <w:position w:val="5"/>
          <w:sz w:val="14"/>
        </w:rPr>
        <w:t>.</w:t>
      </w:r>
      <w:r>
        <w:rPr>
          <w:position w:val="5"/>
          <w:sz w:val="14"/>
        </w:rPr>
        <w:tab/>
      </w:r>
      <w:r>
        <w:rPr/>
        <w:t>As</w:t>
      </w:r>
      <w:r>
        <w:rPr>
          <w:spacing w:val="-1"/>
        </w:rPr>
        <w:t> </w:t>
      </w:r>
      <w:r>
        <w:rPr/>
        <w:t>to</w:t>
      </w:r>
      <w:r>
        <w:rPr>
          <w:spacing w:val="-1"/>
        </w:rPr>
        <w:t> </w:t>
      </w:r>
      <w:r>
        <w:rPr/>
        <w:t>the</w:t>
      </w:r>
      <w:r>
        <w:rPr>
          <w:spacing w:val="-1"/>
        </w:rPr>
        <w:t> </w:t>
      </w:r>
      <w:r>
        <w:rPr/>
        <w:t>meaning</w:t>
      </w:r>
      <w:r>
        <w:rPr>
          <w:spacing w:val="-1"/>
        </w:rPr>
        <w:t> </w:t>
      </w:r>
      <w:r>
        <w:rPr/>
        <w:t>of</w:t>
      </w:r>
      <w:r>
        <w:rPr>
          <w:spacing w:val="-1"/>
        </w:rPr>
        <w:t> </w:t>
      </w:r>
      <w:r>
        <w:rPr/>
        <w:t>which,</w:t>
      </w:r>
      <w:r>
        <w:rPr>
          <w:spacing w:val="-1"/>
        </w:rPr>
        <w:t> </w:t>
      </w:r>
      <w:r>
        <w:rPr/>
        <w:t>see</w:t>
      </w:r>
      <w:r>
        <w:rPr>
          <w:spacing w:val="-1"/>
        </w:rPr>
        <w:t> </w:t>
      </w:r>
      <w:r>
        <w:rPr/>
        <w:t>above,</w:t>
      </w:r>
      <w:r>
        <w:rPr>
          <w:spacing w:val="-1"/>
        </w:rPr>
        <w:t> </w:t>
      </w:r>
      <w:r>
        <w:rPr/>
        <w:t>paras</w:t>
      </w:r>
      <w:r>
        <w:rPr>
          <w:spacing w:val="-1"/>
        </w:rPr>
        <w:t> </w:t>
      </w:r>
      <w:r>
        <w:rPr/>
        <w:t>30-163</w:t>
      </w:r>
      <w:r>
        <w:rPr>
          <w:spacing w:val="-1"/>
        </w:rPr>
        <w:t> </w:t>
      </w:r>
      <w:r>
        <w:rPr/>
        <w:t>et</w:t>
      </w:r>
      <w:r>
        <w:rPr>
          <w:spacing w:val="-1"/>
        </w:rPr>
        <w:t> </w:t>
      </w:r>
      <w:r>
        <w:rPr/>
        <w:t>seq.</w:t>
      </w:r>
      <w:r>
        <w:rPr>
          <w:spacing w:val="-1"/>
        </w:rPr>
        <w:t> </w:t>
      </w:r>
      <w:r>
        <w:rPr/>
        <w:t>Other</w:t>
      </w:r>
      <w:r>
        <w:rPr>
          <w:spacing w:val="-1"/>
        </w:rPr>
        <w:t> </w:t>
      </w:r>
      <w:r>
        <w:rPr/>
        <w:t>concepts</w:t>
      </w:r>
      <w:r>
        <w:rPr>
          <w:spacing w:val="-1"/>
        </w:rPr>
        <w:t> </w:t>
      </w:r>
      <w:r>
        <w:rPr/>
        <w:t>mentioned</w:t>
      </w:r>
      <w:r>
        <w:rPr>
          <w:spacing w:val="-1"/>
        </w:rPr>
        <w:t> </w:t>
      </w:r>
      <w:r>
        <w:rPr/>
        <w:t>in</w:t>
      </w:r>
      <w:r>
        <w:rPr>
          <w:spacing w:val="-1"/>
        </w:rPr>
        <w:t> </w:t>
      </w:r>
      <w:r>
        <w:rPr/>
        <w:t>art.5 which are not specifically defined should be given an autonomous meaning.</w:t>
      </w:r>
    </w:p>
    <w:p>
      <w:pPr>
        <w:pStyle w:val="BodyText"/>
        <w:spacing w:before="5"/>
      </w:pPr>
    </w:p>
    <w:p>
      <w:pPr>
        <w:pStyle w:val="BodyText"/>
        <w:tabs>
          <w:tab w:pos="705" w:val="left" w:leader="none"/>
        </w:tabs>
        <w:ind w:left="165"/>
      </w:pPr>
      <w:bookmarkStart w:name="_bookmark1657" w:id="1659"/>
      <w:bookmarkEnd w:id="1659"/>
      <w:r>
        <w:rPr/>
      </w:r>
      <w:hyperlink w:history="true" w:anchor="_bookmark1606">
        <w:r>
          <w:rPr>
            <w:color w:val="005DA1"/>
            <w:spacing w:val="-4"/>
            <w:position w:val="5"/>
            <w:sz w:val="14"/>
            <w:u w:val="single" w:color="005DA1"/>
          </w:rPr>
          <w:t>857</w:t>
        </w:r>
      </w:hyperlink>
      <w:r>
        <w:rPr>
          <w:spacing w:val="-4"/>
          <w:position w:val="5"/>
          <w:sz w:val="14"/>
        </w:rPr>
        <w:t>.</w:t>
      </w:r>
      <w:r>
        <w:rPr>
          <w:position w:val="5"/>
          <w:sz w:val="14"/>
        </w:rPr>
        <w:tab/>
      </w:r>
      <w:r>
        <w:rPr/>
        <w:t>As to the meaning of which, see below, para.30-</w:t>
      </w:r>
      <w:r>
        <w:rPr>
          <w:spacing w:val="-4"/>
        </w:rPr>
        <w:t>217.</w:t>
      </w:r>
    </w:p>
    <w:p>
      <w:pPr>
        <w:pStyle w:val="BodyText"/>
        <w:spacing w:before="5"/>
      </w:pPr>
    </w:p>
    <w:p>
      <w:pPr>
        <w:pStyle w:val="BodyText"/>
        <w:tabs>
          <w:tab w:pos="705" w:val="left" w:leader="none"/>
        </w:tabs>
        <w:ind w:left="165"/>
      </w:pPr>
      <w:bookmarkStart w:name="_bookmark1658" w:id="1660"/>
      <w:bookmarkEnd w:id="1660"/>
      <w:r>
        <w:rPr/>
      </w:r>
      <w:hyperlink w:history="true" w:anchor="_bookmark1607">
        <w:r>
          <w:rPr>
            <w:color w:val="005DA1"/>
            <w:spacing w:val="-4"/>
            <w:position w:val="5"/>
            <w:sz w:val="14"/>
            <w:u w:val="single" w:color="005DA1"/>
          </w:rPr>
          <w:t>858</w:t>
        </w:r>
      </w:hyperlink>
      <w:r>
        <w:rPr>
          <w:spacing w:val="-4"/>
          <w:position w:val="5"/>
          <w:sz w:val="14"/>
        </w:rPr>
        <w:t>.</w:t>
      </w:r>
      <w:r>
        <w:rPr>
          <w:position w:val="5"/>
          <w:sz w:val="14"/>
        </w:rPr>
        <w:tab/>
      </w:r>
      <w:r>
        <w:rPr/>
        <w:t>As defined above, paras 30-163 et </w:t>
      </w:r>
      <w:r>
        <w:rPr>
          <w:spacing w:val="-4"/>
        </w:rPr>
        <w:t>seq.</w:t>
      </w:r>
    </w:p>
    <w:p>
      <w:pPr>
        <w:pStyle w:val="BodyText"/>
        <w:spacing w:before="5"/>
      </w:pPr>
    </w:p>
    <w:p>
      <w:pPr>
        <w:pStyle w:val="BodyText"/>
        <w:tabs>
          <w:tab w:pos="705" w:val="left" w:leader="none"/>
        </w:tabs>
        <w:ind w:left="165"/>
      </w:pPr>
      <w:bookmarkStart w:name="_bookmark1659" w:id="1661"/>
      <w:bookmarkEnd w:id="1661"/>
      <w:r>
        <w:rPr/>
      </w:r>
      <w:hyperlink w:history="true" w:anchor="_bookmark1608">
        <w:r>
          <w:rPr>
            <w:color w:val="005DA1"/>
            <w:spacing w:val="-4"/>
            <w:position w:val="5"/>
            <w:sz w:val="14"/>
            <w:u w:val="single" w:color="005DA1"/>
          </w:rPr>
          <w:t>859</w:t>
        </w:r>
      </w:hyperlink>
      <w:r>
        <w:rPr>
          <w:spacing w:val="-4"/>
          <w:position w:val="5"/>
          <w:sz w:val="14"/>
        </w:rPr>
        <w:t>.</w:t>
      </w:r>
      <w:r>
        <w:rPr>
          <w:position w:val="5"/>
          <w:sz w:val="14"/>
        </w:rPr>
        <w:tab/>
      </w:r>
      <w:r>
        <w:rPr/>
        <w:t>As to the meaning of which see below, para.30-</w:t>
      </w:r>
      <w:r>
        <w:rPr>
          <w:spacing w:val="-4"/>
        </w:rPr>
        <w:t>218.</w:t>
      </w:r>
    </w:p>
    <w:p>
      <w:pPr>
        <w:pStyle w:val="BodyText"/>
        <w:spacing w:before="5"/>
      </w:pPr>
    </w:p>
    <w:p>
      <w:pPr>
        <w:pStyle w:val="BodyText"/>
        <w:tabs>
          <w:tab w:pos="705" w:val="left" w:leader="none"/>
        </w:tabs>
        <w:ind w:left="165"/>
      </w:pPr>
      <w:bookmarkStart w:name="_bookmark1660" w:id="1662"/>
      <w:bookmarkEnd w:id="1662"/>
      <w:r>
        <w:rPr/>
      </w:r>
      <w:hyperlink w:history="true" w:anchor="_bookmark1609">
        <w:r>
          <w:rPr>
            <w:color w:val="005DA1"/>
            <w:spacing w:val="-4"/>
            <w:position w:val="5"/>
            <w:sz w:val="14"/>
            <w:u w:val="single" w:color="005DA1"/>
          </w:rPr>
          <w:t>860</w:t>
        </w:r>
      </w:hyperlink>
      <w:r>
        <w:rPr>
          <w:spacing w:val="-4"/>
          <w:position w:val="5"/>
          <w:sz w:val="14"/>
        </w:rPr>
        <w:t>.</w:t>
      </w:r>
      <w:r>
        <w:rPr>
          <w:position w:val="5"/>
          <w:sz w:val="14"/>
        </w:rPr>
        <w:tab/>
      </w:r>
      <w:r>
        <w:rPr/>
        <w:t>This</w:t>
      </w:r>
      <w:r>
        <w:rPr>
          <w:spacing w:val="11"/>
        </w:rPr>
        <w:t> </w:t>
      </w:r>
      <w:r>
        <w:rPr/>
        <w:t>expression</w:t>
      </w:r>
      <w:r>
        <w:rPr>
          <w:spacing w:val="11"/>
        </w:rPr>
        <w:t> </w:t>
      </w:r>
      <w:r>
        <w:rPr/>
        <w:t>seems</w:t>
      </w:r>
      <w:r>
        <w:rPr>
          <w:spacing w:val="11"/>
        </w:rPr>
        <w:t> </w:t>
      </w:r>
      <w:r>
        <w:rPr/>
        <w:t>to</w:t>
      </w:r>
      <w:r>
        <w:rPr>
          <w:spacing w:val="11"/>
        </w:rPr>
        <w:t> </w:t>
      </w:r>
      <w:r>
        <w:rPr/>
        <w:t>correspond</w:t>
      </w:r>
      <w:r>
        <w:rPr>
          <w:spacing w:val="11"/>
        </w:rPr>
        <w:t> </w:t>
      </w:r>
      <w:r>
        <w:rPr/>
        <w:t>to</w:t>
      </w:r>
      <w:r>
        <w:rPr>
          <w:spacing w:val="11"/>
        </w:rPr>
        <w:t> </w:t>
      </w:r>
      <w:r>
        <w:rPr/>
        <w:t>“place</w:t>
      </w:r>
      <w:r>
        <w:rPr>
          <w:spacing w:val="11"/>
        </w:rPr>
        <w:t> </w:t>
      </w:r>
      <w:r>
        <w:rPr/>
        <w:t>of</w:t>
      </w:r>
      <w:r>
        <w:rPr>
          <w:spacing w:val="11"/>
        </w:rPr>
        <w:t> </w:t>
      </w:r>
      <w:r>
        <w:rPr/>
        <w:t>loading”</w:t>
      </w:r>
      <w:r>
        <w:rPr>
          <w:spacing w:val="11"/>
        </w:rPr>
        <w:t> </w:t>
      </w:r>
      <w:r>
        <w:rPr/>
        <w:t>in</w:t>
      </w:r>
      <w:r>
        <w:rPr>
          <w:spacing w:val="11"/>
        </w:rPr>
        <w:t> </w:t>
      </w:r>
      <w:r>
        <w:rPr/>
        <w:t>art.4(4)</w:t>
      </w:r>
      <w:r>
        <w:rPr>
          <w:spacing w:val="11"/>
        </w:rPr>
        <w:t> </w:t>
      </w:r>
      <w:r>
        <w:rPr/>
        <w:t>of</w:t>
      </w:r>
      <w:r>
        <w:rPr>
          <w:spacing w:val="11"/>
        </w:rPr>
        <w:t> </w:t>
      </w:r>
      <w:r>
        <w:rPr/>
        <w:t>the</w:t>
      </w:r>
      <w:r>
        <w:rPr>
          <w:spacing w:val="11"/>
        </w:rPr>
        <w:t> </w:t>
      </w:r>
      <w:r>
        <w:rPr/>
        <w:t>Rome</w:t>
      </w:r>
      <w:r>
        <w:rPr>
          <w:spacing w:val="11"/>
        </w:rPr>
        <w:t> </w:t>
      </w:r>
      <w:r>
        <w:rPr>
          <w:spacing w:val="-2"/>
        </w:rPr>
        <w:t>Convention.</w:t>
      </w:r>
    </w:p>
    <w:p>
      <w:pPr>
        <w:pStyle w:val="BodyText"/>
        <w:spacing w:after="0"/>
        <w:sectPr>
          <w:pgSz w:w="11900" w:h="16840"/>
          <w:pgMar w:header="971" w:footer="0" w:top="1300" w:bottom="280" w:left="1275" w:right="1275"/>
        </w:sectPr>
      </w:pPr>
    </w:p>
    <w:p>
      <w:pPr>
        <w:pStyle w:val="BodyText"/>
        <w:spacing w:before="166"/>
        <w:ind w:left="705"/>
      </w:pPr>
      <w:r>
        <w:rPr/>
        <w:t>See above, para.30-</w:t>
      </w:r>
      <w:r>
        <w:rPr>
          <w:spacing w:val="-4"/>
        </w:rPr>
        <w:t>084.</w:t>
      </w:r>
    </w:p>
    <w:p>
      <w:pPr>
        <w:pStyle w:val="BodyText"/>
        <w:spacing w:before="9"/>
      </w:pPr>
    </w:p>
    <w:p>
      <w:pPr>
        <w:pStyle w:val="BodyText"/>
        <w:tabs>
          <w:tab w:pos="705" w:val="left" w:leader="none"/>
        </w:tabs>
        <w:spacing w:line="235" w:lineRule="auto"/>
        <w:ind w:left="705" w:right="168" w:hanging="541"/>
      </w:pPr>
      <w:bookmarkStart w:name="_bookmark1661" w:id="1663"/>
      <w:bookmarkEnd w:id="1663"/>
      <w:r>
        <w:rPr/>
      </w:r>
      <w:hyperlink w:history="true" w:anchor="_bookmark1610">
        <w:r>
          <w:rPr>
            <w:color w:val="005DA1"/>
            <w:spacing w:val="-4"/>
            <w:position w:val="5"/>
            <w:sz w:val="14"/>
            <w:u w:val="single" w:color="005DA1"/>
          </w:rPr>
          <w:t>861</w:t>
        </w:r>
      </w:hyperlink>
      <w:r>
        <w:rPr>
          <w:spacing w:val="-4"/>
          <w:position w:val="5"/>
          <w:sz w:val="14"/>
        </w:rPr>
        <w:t>.</w:t>
      </w:r>
      <w:r>
        <w:rPr>
          <w:position w:val="5"/>
          <w:sz w:val="14"/>
        </w:rPr>
        <w:tab/>
      </w:r>
      <w:r>
        <w:rPr/>
        <w:t>This</w:t>
      </w:r>
      <w:r>
        <w:rPr>
          <w:spacing w:val="78"/>
        </w:rPr>
        <w:t> </w:t>
      </w:r>
      <w:r>
        <w:rPr/>
        <w:t>expression</w:t>
      </w:r>
      <w:r>
        <w:rPr>
          <w:spacing w:val="78"/>
        </w:rPr>
        <w:t> </w:t>
      </w:r>
      <w:r>
        <w:rPr/>
        <w:t>seems</w:t>
      </w:r>
      <w:r>
        <w:rPr>
          <w:spacing w:val="78"/>
        </w:rPr>
        <w:t> </w:t>
      </w:r>
      <w:r>
        <w:rPr/>
        <w:t>to</w:t>
      </w:r>
      <w:r>
        <w:rPr>
          <w:spacing w:val="78"/>
        </w:rPr>
        <w:t> </w:t>
      </w:r>
      <w:r>
        <w:rPr/>
        <w:t>correspond</w:t>
      </w:r>
      <w:r>
        <w:rPr>
          <w:spacing w:val="78"/>
        </w:rPr>
        <w:t> </w:t>
      </w:r>
      <w:r>
        <w:rPr/>
        <w:t>to</w:t>
      </w:r>
      <w:r>
        <w:rPr>
          <w:spacing w:val="78"/>
        </w:rPr>
        <w:t> </w:t>
      </w:r>
      <w:r>
        <w:rPr/>
        <w:t>“place</w:t>
      </w:r>
      <w:r>
        <w:rPr>
          <w:spacing w:val="78"/>
        </w:rPr>
        <w:t> </w:t>
      </w:r>
      <w:r>
        <w:rPr/>
        <w:t>of</w:t>
      </w:r>
      <w:r>
        <w:rPr>
          <w:spacing w:val="78"/>
        </w:rPr>
        <w:t> </w:t>
      </w:r>
      <w:r>
        <w:rPr/>
        <w:t>discharge”</w:t>
      </w:r>
      <w:r>
        <w:rPr>
          <w:spacing w:val="78"/>
        </w:rPr>
        <w:t> </w:t>
      </w:r>
      <w:r>
        <w:rPr/>
        <w:t>in</w:t>
      </w:r>
      <w:r>
        <w:rPr>
          <w:spacing w:val="78"/>
        </w:rPr>
        <w:t> </w:t>
      </w:r>
      <w:r>
        <w:rPr/>
        <w:t>art.4(4)</w:t>
      </w:r>
      <w:r>
        <w:rPr>
          <w:spacing w:val="78"/>
        </w:rPr>
        <w:t> </w:t>
      </w:r>
      <w:r>
        <w:rPr/>
        <w:t>of</w:t>
      </w:r>
      <w:r>
        <w:rPr>
          <w:spacing w:val="78"/>
        </w:rPr>
        <w:t> </w:t>
      </w:r>
      <w:r>
        <w:rPr/>
        <w:t>the</w:t>
      </w:r>
      <w:r>
        <w:rPr>
          <w:spacing w:val="78"/>
        </w:rPr>
        <w:t> </w:t>
      </w:r>
      <w:r>
        <w:rPr/>
        <w:t>Rome Convention. See above, para.30-084.</w:t>
      </w:r>
    </w:p>
    <w:p>
      <w:pPr>
        <w:pStyle w:val="BodyText"/>
        <w:spacing w:before="6"/>
      </w:pPr>
    </w:p>
    <w:p>
      <w:pPr>
        <w:pStyle w:val="BodyText"/>
        <w:tabs>
          <w:tab w:pos="705" w:val="left" w:leader="none"/>
        </w:tabs>
        <w:ind w:left="165"/>
      </w:pPr>
      <w:bookmarkStart w:name="_bookmark1662" w:id="1664"/>
      <w:bookmarkEnd w:id="1664"/>
      <w:r>
        <w:rPr/>
      </w:r>
      <w:hyperlink w:history="true" w:anchor="_bookmark1611">
        <w:r>
          <w:rPr>
            <w:color w:val="005DA1"/>
            <w:spacing w:val="-4"/>
            <w:position w:val="5"/>
            <w:sz w:val="14"/>
            <w:u w:val="single" w:color="005DA1"/>
          </w:rPr>
          <w:t>862</w:t>
        </w:r>
      </w:hyperlink>
      <w:r>
        <w:rPr>
          <w:spacing w:val="-4"/>
          <w:position w:val="5"/>
          <w:sz w:val="14"/>
        </w:rPr>
        <w:t>.</w:t>
      </w:r>
      <w:r>
        <w:rPr>
          <w:position w:val="5"/>
          <w:sz w:val="14"/>
        </w:rPr>
        <w:tab/>
      </w:r>
      <w:r>
        <w:rPr/>
        <w:t>cf. Giuliano-Lagarde Report, </w:t>
      </w:r>
      <w:r>
        <w:rPr>
          <w:spacing w:val="-2"/>
        </w:rPr>
        <w:t>p.22.</w:t>
      </w:r>
    </w:p>
    <w:p>
      <w:pPr>
        <w:pStyle w:val="BodyText"/>
        <w:spacing w:before="5"/>
      </w:pPr>
    </w:p>
    <w:p>
      <w:pPr>
        <w:pStyle w:val="BodyText"/>
        <w:tabs>
          <w:tab w:pos="705" w:val="left" w:leader="none"/>
        </w:tabs>
        <w:ind w:left="165"/>
      </w:pPr>
      <w:bookmarkStart w:name="_bookmark1663" w:id="1665"/>
      <w:bookmarkEnd w:id="1665"/>
      <w:r>
        <w:rPr/>
      </w:r>
      <w:hyperlink w:history="true" w:anchor="_bookmark1612">
        <w:r>
          <w:rPr>
            <w:color w:val="005DA1"/>
            <w:spacing w:val="-4"/>
            <w:position w:val="5"/>
            <w:sz w:val="14"/>
            <w:u w:val="single" w:color="005DA1"/>
          </w:rPr>
          <w:t>863</w:t>
        </w:r>
      </w:hyperlink>
      <w:r>
        <w:rPr>
          <w:spacing w:val="-4"/>
          <w:position w:val="5"/>
          <w:sz w:val="14"/>
        </w:rPr>
        <w:t>.</w:t>
      </w:r>
      <w:r>
        <w:rPr>
          <w:position w:val="5"/>
          <w:sz w:val="14"/>
        </w:rPr>
        <w:tab/>
      </w:r>
      <w:r>
        <w:rPr/>
        <w:t>See</w:t>
      </w:r>
      <w:r>
        <w:rPr>
          <w:spacing w:val="-2"/>
        </w:rPr>
        <w:t> </w:t>
      </w:r>
      <w:r>
        <w:rPr/>
        <w:t>above, para.30-</w:t>
      </w:r>
      <w:r>
        <w:rPr>
          <w:spacing w:val="-4"/>
        </w:rPr>
        <w:t>084.</w:t>
      </w:r>
    </w:p>
    <w:p>
      <w:pPr>
        <w:pStyle w:val="BodyText"/>
        <w:spacing w:before="5"/>
      </w:pPr>
    </w:p>
    <w:p>
      <w:pPr>
        <w:pStyle w:val="BodyText"/>
        <w:tabs>
          <w:tab w:pos="705" w:val="left" w:leader="none"/>
        </w:tabs>
        <w:ind w:left="165"/>
      </w:pPr>
      <w:bookmarkStart w:name="_bookmark1664" w:id="1666"/>
      <w:bookmarkEnd w:id="1666"/>
      <w:r>
        <w:rPr/>
      </w:r>
      <w:hyperlink w:history="true" w:anchor="_bookmark1613">
        <w:r>
          <w:rPr>
            <w:color w:val="005DA1"/>
            <w:spacing w:val="-4"/>
            <w:position w:val="5"/>
            <w:sz w:val="14"/>
            <w:u w:val="single" w:color="005DA1"/>
          </w:rPr>
          <w:t>864</w:t>
        </w:r>
      </w:hyperlink>
      <w:r>
        <w:rPr>
          <w:spacing w:val="-4"/>
          <w:position w:val="5"/>
          <w:sz w:val="14"/>
        </w:rPr>
        <w:t>.</w:t>
      </w:r>
      <w:r>
        <w:rPr>
          <w:position w:val="5"/>
          <w:sz w:val="14"/>
        </w:rPr>
        <w:tab/>
      </w:r>
      <w:r>
        <w:rPr/>
        <w:t>As to the position under the Rome Convention, see above, para.30-</w:t>
      </w:r>
      <w:r>
        <w:rPr>
          <w:spacing w:val="-4"/>
        </w:rPr>
        <w:t>084.</w:t>
      </w:r>
    </w:p>
    <w:p>
      <w:pPr>
        <w:pStyle w:val="BodyText"/>
        <w:spacing w:before="8"/>
      </w:pPr>
    </w:p>
    <w:p>
      <w:pPr>
        <w:pStyle w:val="BodyText"/>
        <w:spacing w:line="235" w:lineRule="auto" w:before="1"/>
        <w:ind w:left="705" w:right="167" w:hanging="541"/>
        <w:jc w:val="both"/>
      </w:pPr>
      <w:bookmarkStart w:name="_bookmark1665" w:id="1667"/>
      <w:bookmarkEnd w:id="1667"/>
      <w:r>
        <w:rPr/>
      </w:r>
      <w:hyperlink w:history="true" w:anchor="_bookmark1614">
        <w:r>
          <w:rPr>
            <w:color w:val="005DA1"/>
            <w:position w:val="5"/>
            <w:sz w:val="14"/>
            <w:u w:val="single" w:color="005DA1"/>
          </w:rPr>
          <w:t>865</w:t>
        </w:r>
      </w:hyperlink>
      <w:r>
        <w:rPr>
          <w:position w:val="5"/>
          <w:sz w:val="14"/>
        </w:rPr>
        <w:t>.</w:t>
      </w:r>
      <w:r>
        <w:rPr>
          <w:spacing w:val="80"/>
          <w:position w:val="5"/>
          <w:sz w:val="14"/>
        </w:rPr>
        <w:t>  </w:t>
      </w:r>
      <w:r>
        <w:rPr/>
        <w:t>There seems to be no reason why events subsequent to the conclusion of the contract should not be taken into account in the application of art.5(3) and also, possibly, in the application of art.5(1). cf. above, para.30-053; Dicey, Morris and Collins, 15th edn (2012), para.33-106.</w:t>
      </w:r>
    </w:p>
    <w:p>
      <w:pPr>
        <w:pStyle w:val="BodyText"/>
        <w:spacing w:before="5"/>
      </w:pPr>
    </w:p>
    <w:p>
      <w:pPr>
        <w:pStyle w:val="BodyText"/>
        <w:tabs>
          <w:tab w:pos="705" w:val="left" w:leader="none"/>
        </w:tabs>
        <w:ind w:left="165"/>
      </w:pPr>
      <w:bookmarkStart w:name="_bookmark1666" w:id="1668"/>
      <w:bookmarkEnd w:id="1668"/>
      <w:r>
        <w:rPr/>
      </w:r>
      <w:hyperlink w:history="true" w:anchor="_bookmark1615">
        <w:r>
          <w:rPr>
            <w:color w:val="005DA1"/>
            <w:spacing w:val="-4"/>
            <w:position w:val="5"/>
            <w:sz w:val="14"/>
            <w:u w:val="single" w:color="005DA1"/>
          </w:rPr>
          <w:t>866</w:t>
        </w:r>
      </w:hyperlink>
      <w:r>
        <w:rPr>
          <w:spacing w:val="-4"/>
          <w:position w:val="5"/>
          <w:sz w:val="14"/>
        </w:rPr>
        <w:t>.</w:t>
      </w:r>
      <w:r>
        <w:rPr>
          <w:position w:val="5"/>
          <w:sz w:val="14"/>
        </w:rPr>
        <w:tab/>
      </w:r>
      <w:r>
        <w:rPr/>
        <w:t>See Rome I Recital </w:t>
      </w:r>
      <w:r>
        <w:rPr>
          <w:spacing w:val="-5"/>
        </w:rPr>
        <w:t>16.</w:t>
      </w:r>
    </w:p>
    <w:p>
      <w:pPr>
        <w:pStyle w:val="BodyText"/>
        <w:spacing w:before="8"/>
      </w:pPr>
    </w:p>
    <w:p>
      <w:pPr>
        <w:pStyle w:val="BodyText"/>
        <w:spacing w:line="235" w:lineRule="auto" w:before="1"/>
        <w:ind w:left="705" w:right="167" w:hanging="541"/>
        <w:jc w:val="both"/>
      </w:pPr>
      <w:bookmarkStart w:name="_bookmark1667" w:id="1669"/>
      <w:bookmarkEnd w:id="1669"/>
      <w:r>
        <w:rPr/>
      </w:r>
      <w:hyperlink w:history="true" w:anchor="_bookmark1616">
        <w:r>
          <w:rPr>
            <w:color w:val="005DA1"/>
            <w:position w:val="5"/>
            <w:sz w:val="14"/>
            <w:u w:val="single" w:color="005DA1"/>
          </w:rPr>
          <w:t>867</w:t>
        </w:r>
      </w:hyperlink>
      <w:r>
        <w:rPr>
          <w:position w:val="5"/>
          <w:sz w:val="14"/>
        </w:rPr>
        <w:t>.</w:t>
      </w:r>
      <w:r>
        <w:rPr>
          <w:spacing w:val="80"/>
          <w:w w:val="150"/>
          <w:position w:val="5"/>
          <w:sz w:val="14"/>
        </w:rPr>
        <w:t> </w:t>
      </w:r>
      <w:r>
        <w:rPr/>
        <w:t>Above, paras 30-046 et seq. A contract for the carriage of passengers was not a </w:t>
      </w:r>
      <w:r>
        <w:rPr/>
        <w:t>consumer contract</w:t>
      </w:r>
      <w:r>
        <w:rPr>
          <w:spacing w:val="-1"/>
        </w:rPr>
        <w:t> </w:t>
      </w:r>
      <w:r>
        <w:rPr/>
        <w:t>for</w:t>
      </w:r>
      <w:r>
        <w:rPr>
          <w:spacing w:val="-1"/>
        </w:rPr>
        <w:t> </w:t>
      </w:r>
      <w:r>
        <w:rPr/>
        <w:t>the</w:t>
      </w:r>
      <w:r>
        <w:rPr>
          <w:spacing w:val="-1"/>
        </w:rPr>
        <w:t> </w:t>
      </w:r>
      <w:r>
        <w:rPr/>
        <w:t>purposes</w:t>
      </w:r>
      <w:r>
        <w:rPr>
          <w:spacing w:val="-1"/>
        </w:rPr>
        <w:t> </w:t>
      </w:r>
      <w:r>
        <w:rPr/>
        <w:t>of</w:t>
      </w:r>
      <w:r>
        <w:rPr>
          <w:spacing w:val="-1"/>
        </w:rPr>
        <w:t> </w:t>
      </w:r>
      <w:r>
        <w:rPr/>
        <w:t>art.5</w:t>
      </w:r>
      <w:r>
        <w:rPr>
          <w:spacing w:val="-1"/>
        </w:rPr>
        <w:t> </w:t>
      </w:r>
      <w:r>
        <w:rPr/>
        <w:t>of</w:t>
      </w:r>
      <w:r>
        <w:rPr>
          <w:spacing w:val="-1"/>
        </w:rPr>
        <w:t> </w:t>
      </w:r>
      <w:r>
        <w:rPr/>
        <w:t>the</w:t>
      </w:r>
      <w:r>
        <w:rPr>
          <w:spacing w:val="-1"/>
        </w:rPr>
        <w:t> </w:t>
      </w:r>
      <w:r>
        <w:rPr/>
        <w:t>Rome</w:t>
      </w:r>
      <w:r>
        <w:rPr>
          <w:spacing w:val="-1"/>
        </w:rPr>
        <w:t> </w:t>
      </w:r>
      <w:r>
        <w:rPr/>
        <w:t>Convention:</w:t>
      </w:r>
      <w:r>
        <w:rPr>
          <w:spacing w:val="-1"/>
        </w:rPr>
        <w:t> </w:t>
      </w:r>
      <w:r>
        <w:rPr/>
        <w:t>art.5(4)(a)</w:t>
      </w:r>
      <w:r>
        <w:rPr>
          <w:spacing w:val="-1"/>
        </w:rPr>
        <w:t> </w:t>
      </w:r>
      <w:r>
        <w:rPr/>
        <w:t>of</w:t>
      </w:r>
      <w:r>
        <w:rPr>
          <w:spacing w:val="-1"/>
        </w:rPr>
        <w:t> </w:t>
      </w:r>
      <w:r>
        <w:rPr/>
        <w:t>the</w:t>
      </w:r>
      <w:r>
        <w:rPr>
          <w:spacing w:val="-1"/>
        </w:rPr>
        <w:t> </w:t>
      </w:r>
      <w:r>
        <w:rPr/>
        <w:t>Convention:</w:t>
      </w:r>
      <w:r>
        <w:rPr>
          <w:spacing w:val="-1"/>
        </w:rPr>
        <w:t> </w:t>
      </w:r>
      <w:r>
        <w:rPr/>
        <w:t>above, </w:t>
      </w:r>
      <w:r>
        <w:rPr>
          <w:spacing w:val="-2"/>
        </w:rPr>
        <w:t>para.30-092.</w:t>
      </w:r>
    </w:p>
    <w:p>
      <w:pPr>
        <w:pStyle w:val="BodyText"/>
        <w:spacing w:before="8"/>
      </w:pPr>
    </w:p>
    <w:p>
      <w:pPr>
        <w:pStyle w:val="BodyText"/>
        <w:spacing w:line="235" w:lineRule="auto"/>
        <w:ind w:left="705" w:right="167" w:hanging="541"/>
        <w:jc w:val="both"/>
      </w:pPr>
      <w:bookmarkStart w:name="_bookmark1668" w:id="1670"/>
      <w:bookmarkEnd w:id="1670"/>
      <w:r>
        <w:rPr/>
      </w:r>
      <w:hyperlink w:history="true" w:anchor="_bookmark1617">
        <w:r>
          <w:rPr>
            <w:color w:val="005DA1"/>
            <w:position w:val="5"/>
            <w:sz w:val="14"/>
            <w:u w:val="single" w:color="005DA1"/>
          </w:rPr>
          <w:t>868</w:t>
        </w:r>
      </w:hyperlink>
      <w:r>
        <w:rPr>
          <w:position w:val="5"/>
          <w:sz w:val="14"/>
        </w:rPr>
        <w:t>.</w:t>
      </w:r>
      <w:r>
        <w:rPr>
          <w:spacing w:val="40"/>
          <w:position w:val="5"/>
          <w:sz w:val="14"/>
        </w:rPr>
        <w:t>  </w:t>
      </w:r>
      <w:r>
        <w:rPr/>
        <w:t>Rome I Recital 32 where it also stated (as it is in art.6(4)(b) of the Regulation itself) that art.6, dealing with consumer contracts, does not generally apply to contracts of carriage. And </w:t>
      </w:r>
      <w:r>
        <w:rPr/>
        <w:t>see Consultation Paper, para.57.</w:t>
      </w:r>
    </w:p>
    <w:p>
      <w:pPr>
        <w:pStyle w:val="BodyText"/>
        <w:spacing w:before="5"/>
      </w:pPr>
    </w:p>
    <w:p>
      <w:pPr>
        <w:pStyle w:val="BodyText"/>
        <w:tabs>
          <w:tab w:pos="705" w:val="left" w:leader="none"/>
        </w:tabs>
        <w:spacing w:before="1"/>
        <w:ind w:left="165"/>
      </w:pPr>
      <w:bookmarkStart w:name="_bookmark1669" w:id="1671"/>
      <w:bookmarkEnd w:id="1671"/>
      <w:r>
        <w:rPr/>
      </w:r>
      <w:hyperlink w:history="true" w:anchor="_bookmark1618">
        <w:r>
          <w:rPr>
            <w:color w:val="005DA1"/>
            <w:spacing w:val="-4"/>
            <w:position w:val="5"/>
            <w:sz w:val="14"/>
            <w:u w:val="single" w:color="005DA1"/>
          </w:rPr>
          <w:t>869</w:t>
        </w:r>
      </w:hyperlink>
      <w:r>
        <w:rPr>
          <w:spacing w:val="-4"/>
          <w:position w:val="5"/>
          <w:sz w:val="14"/>
        </w:rPr>
        <w:t>.</w:t>
      </w:r>
      <w:r>
        <w:rPr>
          <w:position w:val="5"/>
          <w:sz w:val="14"/>
        </w:rPr>
        <w:tab/>
      </w:r>
      <w:r>
        <w:rPr/>
        <w:t>See</w:t>
      </w:r>
      <w:r>
        <w:rPr>
          <w:spacing w:val="-2"/>
        </w:rPr>
        <w:t> </w:t>
      </w:r>
      <w:r>
        <w:rPr/>
        <w:t>below, para.30-</w:t>
      </w:r>
      <w:r>
        <w:rPr>
          <w:spacing w:val="-4"/>
        </w:rPr>
        <w:t>224.</w:t>
      </w:r>
    </w:p>
    <w:p>
      <w:pPr>
        <w:pStyle w:val="BodyText"/>
        <w:spacing w:before="4"/>
      </w:pPr>
    </w:p>
    <w:p>
      <w:pPr>
        <w:pStyle w:val="BodyText"/>
        <w:tabs>
          <w:tab w:pos="705" w:val="left" w:leader="none"/>
        </w:tabs>
        <w:spacing w:before="1"/>
        <w:ind w:left="165"/>
      </w:pPr>
      <w:bookmarkStart w:name="_bookmark1670" w:id="1672"/>
      <w:bookmarkEnd w:id="1672"/>
      <w:r>
        <w:rPr/>
      </w:r>
      <w:hyperlink w:history="true" w:anchor="_bookmark1619">
        <w:r>
          <w:rPr>
            <w:color w:val="005DA1"/>
            <w:spacing w:val="-4"/>
            <w:position w:val="5"/>
            <w:sz w:val="14"/>
            <w:u w:val="single" w:color="005DA1"/>
          </w:rPr>
          <w:t>870</w:t>
        </w:r>
      </w:hyperlink>
      <w:r>
        <w:rPr>
          <w:spacing w:val="-4"/>
          <w:position w:val="5"/>
          <w:sz w:val="14"/>
        </w:rPr>
        <w:t>.</w:t>
      </w:r>
      <w:r>
        <w:rPr>
          <w:position w:val="5"/>
          <w:sz w:val="14"/>
        </w:rPr>
        <w:tab/>
      </w:r>
      <w:r>
        <w:rPr/>
        <w:t>See</w:t>
      </w:r>
      <w:r>
        <w:rPr>
          <w:spacing w:val="-2"/>
        </w:rPr>
        <w:t> </w:t>
      </w:r>
      <w:r>
        <w:rPr/>
        <w:t>below, para.30-</w:t>
      </w:r>
      <w:r>
        <w:rPr>
          <w:spacing w:val="-4"/>
        </w:rPr>
        <w:t>225.</w:t>
      </w:r>
    </w:p>
    <w:p>
      <w:pPr>
        <w:pStyle w:val="BodyText"/>
        <w:spacing w:before="4"/>
      </w:pPr>
    </w:p>
    <w:p>
      <w:pPr>
        <w:pStyle w:val="BodyText"/>
        <w:tabs>
          <w:tab w:pos="705" w:val="left" w:leader="none"/>
        </w:tabs>
        <w:spacing w:before="1"/>
        <w:ind w:left="165"/>
      </w:pPr>
      <w:bookmarkStart w:name="_bookmark1671" w:id="1673"/>
      <w:bookmarkEnd w:id="1673"/>
      <w:r>
        <w:rPr/>
      </w:r>
      <w:hyperlink w:history="true" w:anchor="_bookmark1620">
        <w:r>
          <w:rPr>
            <w:color w:val="005DA1"/>
            <w:spacing w:val="-4"/>
            <w:position w:val="5"/>
            <w:sz w:val="14"/>
            <w:u w:val="single" w:color="005DA1"/>
          </w:rPr>
          <w:t>871</w:t>
        </w:r>
      </w:hyperlink>
      <w:r>
        <w:rPr>
          <w:spacing w:val="-4"/>
          <w:position w:val="5"/>
          <w:sz w:val="14"/>
        </w:rPr>
        <w:t>.</w:t>
      </w:r>
      <w:r>
        <w:rPr>
          <w:position w:val="5"/>
          <w:sz w:val="14"/>
        </w:rPr>
        <w:tab/>
      </w:r>
      <w:r>
        <w:rPr/>
        <w:t>See</w:t>
      </w:r>
      <w:r>
        <w:rPr>
          <w:spacing w:val="-2"/>
        </w:rPr>
        <w:t> </w:t>
      </w:r>
      <w:r>
        <w:rPr/>
        <w:t>below, para.30-</w:t>
      </w:r>
      <w:r>
        <w:rPr>
          <w:spacing w:val="-4"/>
        </w:rPr>
        <w:t>225.</w:t>
      </w:r>
    </w:p>
    <w:p>
      <w:pPr>
        <w:pStyle w:val="BodyText"/>
        <w:spacing w:before="4"/>
      </w:pPr>
    </w:p>
    <w:p>
      <w:pPr>
        <w:tabs>
          <w:tab w:pos="705" w:val="left" w:leader="none"/>
        </w:tabs>
        <w:spacing w:before="1"/>
        <w:ind w:left="165" w:right="0" w:firstLine="0"/>
        <w:jc w:val="left"/>
        <w:rPr>
          <w:sz w:val="20"/>
        </w:rPr>
      </w:pPr>
      <w:bookmarkStart w:name="_bookmark1672" w:id="1674"/>
      <w:bookmarkEnd w:id="1674"/>
      <w:r>
        <w:rPr/>
      </w:r>
      <w:hyperlink w:history="true" w:anchor="_bookmark1621">
        <w:r>
          <w:rPr>
            <w:color w:val="005DA1"/>
            <w:spacing w:val="-4"/>
            <w:position w:val="5"/>
            <w:sz w:val="14"/>
            <w:u w:val="single" w:color="005DA1"/>
          </w:rPr>
          <w:t>872</w:t>
        </w:r>
      </w:hyperlink>
      <w:r>
        <w:rPr>
          <w:spacing w:val="-4"/>
          <w:position w:val="5"/>
          <w:sz w:val="14"/>
        </w:rPr>
        <w:t>.</w:t>
      </w:r>
      <w:r>
        <w:rPr>
          <w:position w:val="5"/>
          <w:sz w:val="14"/>
        </w:rPr>
        <w:tab/>
      </w:r>
      <w:r>
        <w:rPr>
          <w:sz w:val="20"/>
        </w:rPr>
        <w:t>Above, para.30-</w:t>
      </w:r>
      <w:r>
        <w:rPr>
          <w:spacing w:val="-4"/>
          <w:sz w:val="20"/>
        </w:rPr>
        <w:t>166.</w:t>
      </w:r>
    </w:p>
    <w:p>
      <w:pPr>
        <w:pStyle w:val="BodyText"/>
        <w:spacing w:before="8"/>
      </w:pPr>
    </w:p>
    <w:p>
      <w:pPr>
        <w:pStyle w:val="BodyText"/>
        <w:tabs>
          <w:tab w:pos="705" w:val="left" w:leader="none"/>
        </w:tabs>
        <w:spacing w:line="235" w:lineRule="auto"/>
        <w:ind w:left="705" w:right="168" w:hanging="541"/>
      </w:pPr>
      <w:bookmarkStart w:name="_bookmark1673" w:id="1675"/>
      <w:bookmarkEnd w:id="1675"/>
      <w:r>
        <w:rPr/>
      </w:r>
      <w:hyperlink w:history="true" w:anchor="_bookmark1622">
        <w:r>
          <w:rPr>
            <w:color w:val="005DA1"/>
            <w:spacing w:val="-4"/>
            <w:position w:val="5"/>
            <w:sz w:val="14"/>
            <w:u w:val="single" w:color="005DA1"/>
          </w:rPr>
          <w:t>873</w:t>
        </w:r>
      </w:hyperlink>
      <w:r>
        <w:rPr>
          <w:spacing w:val="-4"/>
          <w:position w:val="5"/>
          <w:sz w:val="14"/>
        </w:rPr>
        <w:t>.</w:t>
      </w:r>
      <w:r>
        <w:rPr>
          <w:position w:val="5"/>
          <w:sz w:val="14"/>
        </w:rPr>
        <w:tab/>
      </w:r>
      <w:r>
        <w:rPr/>
        <w:t>Above,</w:t>
      </w:r>
      <w:r>
        <w:rPr>
          <w:spacing w:val="63"/>
        </w:rPr>
        <w:t> </w:t>
      </w:r>
      <w:r>
        <w:rPr/>
        <w:t>para.30-167.</w:t>
      </w:r>
      <w:r>
        <w:rPr>
          <w:spacing w:val="63"/>
        </w:rPr>
        <w:t> </w:t>
      </w:r>
      <w:r>
        <w:rPr/>
        <w:t>The</w:t>
      </w:r>
      <w:r>
        <w:rPr>
          <w:spacing w:val="63"/>
        </w:rPr>
        <w:t> </w:t>
      </w:r>
      <w:r>
        <w:rPr/>
        <w:t>relevant</w:t>
      </w:r>
      <w:r>
        <w:rPr>
          <w:spacing w:val="63"/>
        </w:rPr>
        <w:t> </w:t>
      </w:r>
      <w:r>
        <w:rPr/>
        <w:t>time</w:t>
      </w:r>
      <w:r>
        <w:rPr>
          <w:spacing w:val="63"/>
        </w:rPr>
        <w:t> </w:t>
      </w:r>
      <w:r>
        <w:rPr/>
        <w:t>for</w:t>
      </w:r>
      <w:r>
        <w:rPr>
          <w:spacing w:val="63"/>
        </w:rPr>
        <w:t> </w:t>
      </w:r>
      <w:r>
        <w:rPr/>
        <w:t>determining</w:t>
      </w:r>
      <w:r>
        <w:rPr>
          <w:spacing w:val="63"/>
        </w:rPr>
        <w:t> </w:t>
      </w:r>
      <w:r>
        <w:rPr/>
        <w:t>habitual</w:t>
      </w:r>
      <w:r>
        <w:rPr>
          <w:spacing w:val="63"/>
        </w:rPr>
        <w:t> </w:t>
      </w:r>
      <w:r>
        <w:rPr/>
        <w:t>residence</w:t>
      </w:r>
      <w:r>
        <w:rPr>
          <w:spacing w:val="63"/>
        </w:rPr>
        <w:t> </w:t>
      </w:r>
      <w:r>
        <w:rPr/>
        <w:t>is</w:t>
      </w:r>
      <w:r>
        <w:rPr>
          <w:spacing w:val="63"/>
        </w:rPr>
        <w:t> </w:t>
      </w:r>
      <w:r>
        <w:rPr/>
        <w:t>the</w:t>
      </w:r>
      <w:r>
        <w:rPr>
          <w:spacing w:val="63"/>
        </w:rPr>
        <w:t> </w:t>
      </w:r>
      <w:r>
        <w:rPr/>
        <w:t>time</w:t>
      </w:r>
      <w:r>
        <w:rPr>
          <w:spacing w:val="63"/>
        </w:rPr>
        <w:t> </w:t>
      </w:r>
      <w:r>
        <w:rPr/>
        <w:t>of conclusion of the contract: Rome I art.19(3).</w:t>
      </w:r>
    </w:p>
    <w:p>
      <w:pPr>
        <w:pStyle w:val="BodyText"/>
        <w:spacing w:before="10"/>
      </w:pPr>
    </w:p>
    <w:p>
      <w:pPr>
        <w:pStyle w:val="BodyText"/>
        <w:tabs>
          <w:tab w:pos="705" w:val="left" w:leader="none"/>
        </w:tabs>
        <w:spacing w:line="235" w:lineRule="auto"/>
        <w:ind w:left="705" w:right="168" w:hanging="541"/>
      </w:pPr>
      <w:bookmarkStart w:name="_bookmark1674" w:id="1676"/>
      <w:bookmarkEnd w:id="1676"/>
      <w:r>
        <w:rPr/>
      </w:r>
      <w:hyperlink w:history="true" w:anchor="_bookmark1623">
        <w:r>
          <w:rPr>
            <w:color w:val="005DA1"/>
            <w:spacing w:val="-4"/>
            <w:position w:val="5"/>
            <w:sz w:val="14"/>
            <w:u w:val="single" w:color="005DA1"/>
          </w:rPr>
          <w:t>874</w:t>
        </w:r>
      </w:hyperlink>
      <w:r>
        <w:rPr>
          <w:spacing w:val="-4"/>
          <w:position w:val="5"/>
          <w:sz w:val="14"/>
        </w:rPr>
        <w:t>.</w:t>
      </w:r>
      <w:r>
        <w:rPr>
          <w:position w:val="5"/>
          <w:sz w:val="14"/>
        </w:rPr>
        <w:tab/>
      </w:r>
      <w:r>
        <w:rPr/>
        <w:t>Carrier</w:t>
      </w:r>
      <w:r>
        <w:rPr>
          <w:spacing w:val="20"/>
        </w:rPr>
        <w:t> </w:t>
      </w:r>
      <w:r>
        <w:rPr/>
        <w:t>would</w:t>
      </w:r>
      <w:r>
        <w:rPr>
          <w:spacing w:val="20"/>
        </w:rPr>
        <w:t> </w:t>
      </w:r>
      <w:r>
        <w:rPr/>
        <w:t>seem</w:t>
      </w:r>
      <w:r>
        <w:rPr>
          <w:spacing w:val="20"/>
        </w:rPr>
        <w:t> </w:t>
      </w:r>
      <w:r>
        <w:rPr/>
        <w:t>to</w:t>
      </w:r>
      <w:r>
        <w:rPr>
          <w:spacing w:val="20"/>
        </w:rPr>
        <w:t> </w:t>
      </w:r>
      <w:r>
        <w:rPr/>
        <w:t>bear</w:t>
      </w:r>
      <w:r>
        <w:rPr>
          <w:spacing w:val="20"/>
        </w:rPr>
        <w:t> </w:t>
      </w:r>
      <w:r>
        <w:rPr/>
        <w:t>the</w:t>
      </w:r>
      <w:r>
        <w:rPr>
          <w:spacing w:val="20"/>
        </w:rPr>
        <w:t> </w:t>
      </w:r>
      <w:r>
        <w:rPr/>
        <w:t>same</w:t>
      </w:r>
      <w:r>
        <w:rPr>
          <w:spacing w:val="20"/>
        </w:rPr>
        <w:t> </w:t>
      </w:r>
      <w:r>
        <w:rPr/>
        <w:t>meaning</w:t>
      </w:r>
      <w:r>
        <w:rPr>
          <w:spacing w:val="20"/>
        </w:rPr>
        <w:t> </w:t>
      </w:r>
      <w:r>
        <w:rPr/>
        <w:t>in</w:t>
      </w:r>
      <w:r>
        <w:rPr>
          <w:spacing w:val="20"/>
        </w:rPr>
        <w:t> </w:t>
      </w:r>
      <w:r>
        <w:rPr/>
        <w:t>Rome</w:t>
      </w:r>
      <w:r>
        <w:rPr>
          <w:spacing w:val="20"/>
        </w:rPr>
        <w:t> </w:t>
      </w:r>
      <w:r>
        <w:rPr/>
        <w:t>I</w:t>
      </w:r>
      <w:r>
        <w:rPr>
          <w:spacing w:val="20"/>
        </w:rPr>
        <w:t> </w:t>
      </w:r>
      <w:r>
        <w:rPr/>
        <w:t>art.5(2)</w:t>
      </w:r>
      <w:r>
        <w:rPr>
          <w:spacing w:val="20"/>
        </w:rPr>
        <w:t> </w:t>
      </w:r>
      <w:r>
        <w:rPr/>
        <w:t>as</w:t>
      </w:r>
      <w:r>
        <w:rPr>
          <w:spacing w:val="20"/>
        </w:rPr>
        <w:t> </w:t>
      </w:r>
      <w:r>
        <w:rPr/>
        <w:t>it</w:t>
      </w:r>
      <w:r>
        <w:rPr>
          <w:spacing w:val="20"/>
        </w:rPr>
        <w:t> </w:t>
      </w:r>
      <w:r>
        <w:rPr/>
        <w:t>bears</w:t>
      </w:r>
      <w:r>
        <w:rPr>
          <w:spacing w:val="20"/>
        </w:rPr>
        <w:t> </w:t>
      </w:r>
      <w:r>
        <w:rPr/>
        <w:t>in</w:t>
      </w:r>
      <w:r>
        <w:rPr>
          <w:spacing w:val="20"/>
        </w:rPr>
        <w:t> </w:t>
      </w:r>
      <w:r>
        <w:rPr/>
        <w:t>art.5(1).</w:t>
      </w:r>
      <w:r>
        <w:rPr>
          <w:spacing w:val="20"/>
        </w:rPr>
        <w:t> </w:t>
      </w:r>
      <w:r>
        <w:rPr/>
        <w:t>See above, para.30-217.</w:t>
      </w:r>
    </w:p>
    <w:p>
      <w:pPr>
        <w:pStyle w:val="BodyText"/>
        <w:spacing w:before="5"/>
      </w:pPr>
    </w:p>
    <w:p>
      <w:pPr>
        <w:pStyle w:val="BodyText"/>
        <w:tabs>
          <w:tab w:pos="705" w:val="left" w:leader="none"/>
        </w:tabs>
        <w:ind w:left="165"/>
      </w:pPr>
      <w:bookmarkStart w:name="_bookmark1675" w:id="1677"/>
      <w:bookmarkEnd w:id="1677"/>
      <w:r>
        <w:rPr/>
      </w:r>
      <w:hyperlink w:history="true" w:anchor="_bookmark1624">
        <w:r>
          <w:rPr>
            <w:color w:val="005DA1"/>
            <w:spacing w:val="-4"/>
            <w:position w:val="5"/>
            <w:sz w:val="14"/>
            <w:u w:val="single" w:color="005DA1"/>
          </w:rPr>
          <w:t>875</w:t>
        </w:r>
      </w:hyperlink>
      <w:r>
        <w:rPr>
          <w:spacing w:val="-4"/>
          <w:position w:val="5"/>
          <w:sz w:val="14"/>
        </w:rPr>
        <w:t>.</w:t>
      </w:r>
      <w:r>
        <w:rPr>
          <w:position w:val="5"/>
          <w:sz w:val="14"/>
        </w:rPr>
        <w:tab/>
      </w:r>
      <w:r>
        <w:rPr/>
        <w:t>See</w:t>
      </w:r>
      <w:r>
        <w:rPr>
          <w:spacing w:val="-2"/>
        </w:rPr>
        <w:t> </w:t>
      </w:r>
      <w:r>
        <w:rPr/>
        <w:t>above, para.30-</w:t>
      </w:r>
      <w:r>
        <w:rPr>
          <w:spacing w:val="-4"/>
        </w:rPr>
        <w:t>164.</w:t>
      </w:r>
    </w:p>
    <w:p>
      <w:pPr>
        <w:pStyle w:val="BodyText"/>
        <w:spacing w:before="5"/>
      </w:pPr>
    </w:p>
    <w:p>
      <w:pPr>
        <w:pStyle w:val="BodyText"/>
        <w:tabs>
          <w:tab w:pos="705" w:val="left" w:leader="none"/>
        </w:tabs>
        <w:ind w:left="165"/>
      </w:pPr>
      <w:bookmarkStart w:name="_bookmark1676" w:id="1678"/>
      <w:bookmarkEnd w:id="1678"/>
      <w:r>
        <w:rPr/>
      </w:r>
      <w:hyperlink w:history="true" w:anchor="_bookmark1625">
        <w:r>
          <w:rPr>
            <w:color w:val="005DA1"/>
            <w:spacing w:val="-4"/>
            <w:position w:val="5"/>
            <w:sz w:val="14"/>
            <w:u w:val="single" w:color="005DA1"/>
          </w:rPr>
          <w:t>876</w:t>
        </w:r>
      </w:hyperlink>
      <w:r>
        <w:rPr>
          <w:spacing w:val="-4"/>
          <w:position w:val="5"/>
          <w:sz w:val="14"/>
        </w:rPr>
        <w:t>.</w:t>
      </w:r>
      <w:r>
        <w:rPr>
          <w:position w:val="5"/>
          <w:sz w:val="14"/>
        </w:rPr>
        <w:tab/>
      </w:r>
      <w:r>
        <w:rPr/>
        <w:t>See</w:t>
      </w:r>
      <w:r>
        <w:rPr>
          <w:spacing w:val="-2"/>
        </w:rPr>
        <w:t> </w:t>
      </w:r>
      <w:r>
        <w:rPr/>
        <w:t>above, para.30-</w:t>
      </w:r>
      <w:r>
        <w:rPr>
          <w:spacing w:val="-4"/>
        </w:rPr>
        <w:t>165.</w:t>
      </w:r>
    </w:p>
    <w:p>
      <w:pPr>
        <w:pStyle w:val="BodyText"/>
        <w:spacing w:before="5"/>
      </w:pPr>
    </w:p>
    <w:p>
      <w:pPr>
        <w:pStyle w:val="BodyText"/>
        <w:tabs>
          <w:tab w:pos="705" w:val="left" w:leader="none"/>
        </w:tabs>
        <w:ind w:left="165"/>
      </w:pPr>
      <w:bookmarkStart w:name="_bookmark1677" w:id="1679"/>
      <w:bookmarkEnd w:id="1679"/>
      <w:r>
        <w:rPr/>
      </w:r>
      <w:hyperlink w:history="true" w:anchor="_bookmark1626">
        <w:r>
          <w:rPr>
            <w:color w:val="005DA1"/>
            <w:spacing w:val="-4"/>
            <w:position w:val="5"/>
            <w:sz w:val="14"/>
            <w:u w:val="single" w:color="005DA1"/>
          </w:rPr>
          <w:t>877</w:t>
        </w:r>
      </w:hyperlink>
      <w:r>
        <w:rPr>
          <w:spacing w:val="-4"/>
          <w:position w:val="5"/>
          <w:sz w:val="14"/>
        </w:rPr>
        <w:t>.</w:t>
      </w:r>
      <w:r>
        <w:rPr>
          <w:position w:val="5"/>
          <w:sz w:val="14"/>
        </w:rPr>
        <w:tab/>
      </w:r>
      <w:r>
        <w:rPr/>
        <w:t>Consultation Paper, </w:t>
      </w:r>
      <w:r>
        <w:rPr>
          <w:spacing w:val="-2"/>
        </w:rPr>
        <w:t>para.59.</w:t>
      </w:r>
    </w:p>
    <w:p>
      <w:pPr>
        <w:pStyle w:val="BodyText"/>
        <w:spacing w:before="9"/>
      </w:pPr>
    </w:p>
    <w:p>
      <w:pPr>
        <w:pStyle w:val="BodyText"/>
        <w:tabs>
          <w:tab w:pos="705" w:val="left" w:leader="none"/>
        </w:tabs>
        <w:spacing w:line="235" w:lineRule="auto"/>
        <w:ind w:left="705" w:right="168" w:hanging="541"/>
      </w:pPr>
      <w:bookmarkStart w:name="_bookmark1678" w:id="1680"/>
      <w:bookmarkEnd w:id="1680"/>
      <w:r>
        <w:rPr/>
      </w:r>
      <w:hyperlink w:history="true" w:anchor="_bookmark1627">
        <w:r>
          <w:rPr>
            <w:color w:val="005DA1"/>
            <w:spacing w:val="-4"/>
            <w:position w:val="5"/>
            <w:sz w:val="14"/>
            <w:u w:val="single" w:color="005DA1"/>
          </w:rPr>
          <w:t>878</w:t>
        </w:r>
      </w:hyperlink>
      <w:r>
        <w:rPr>
          <w:spacing w:val="-4"/>
          <w:position w:val="5"/>
          <w:sz w:val="14"/>
        </w:rPr>
        <w:t>.</w:t>
      </w:r>
      <w:r>
        <w:rPr>
          <w:position w:val="5"/>
          <w:sz w:val="14"/>
        </w:rPr>
        <w:tab/>
      </w:r>
      <w:r>
        <w:rPr/>
        <w:t>Consultation</w:t>
      </w:r>
      <w:r>
        <w:rPr>
          <w:spacing w:val="-1"/>
        </w:rPr>
        <w:t> </w:t>
      </w:r>
      <w:r>
        <w:rPr/>
        <w:t>Paper,</w:t>
      </w:r>
      <w:r>
        <w:rPr>
          <w:spacing w:val="-1"/>
        </w:rPr>
        <w:t> </w:t>
      </w:r>
      <w:r>
        <w:rPr/>
        <w:t>para.59.</w:t>
      </w:r>
      <w:r>
        <w:rPr>
          <w:spacing w:val="-1"/>
        </w:rPr>
        <w:t> </w:t>
      </w:r>
      <w:r>
        <w:rPr/>
        <w:t>One</w:t>
      </w:r>
      <w:r>
        <w:rPr>
          <w:spacing w:val="-1"/>
        </w:rPr>
        <w:t> </w:t>
      </w:r>
      <w:r>
        <w:rPr/>
        <w:t>suspects</w:t>
      </w:r>
      <w:r>
        <w:rPr>
          <w:spacing w:val="-1"/>
        </w:rPr>
        <w:t> </w:t>
      </w:r>
      <w:r>
        <w:rPr/>
        <w:t>that,</w:t>
      </w:r>
      <w:r>
        <w:rPr>
          <w:spacing w:val="-1"/>
        </w:rPr>
        <w:t> </w:t>
      </w:r>
      <w:r>
        <w:rPr/>
        <w:t>normally,</w:t>
      </w:r>
      <w:r>
        <w:rPr>
          <w:spacing w:val="-1"/>
        </w:rPr>
        <w:t> </w:t>
      </w:r>
      <w:r>
        <w:rPr/>
        <w:t>the</w:t>
      </w:r>
      <w:r>
        <w:rPr>
          <w:spacing w:val="-1"/>
        </w:rPr>
        <w:t> </w:t>
      </w:r>
      <w:r>
        <w:rPr/>
        <w:t>carrier’s</w:t>
      </w:r>
      <w:r>
        <w:rPr>
          <w:spacing w:val="-1"/>
        </w:rPr>
        <w:t> </w:t>
      </w:r>
      <w:r>
        <w:rPr/>
        <w:t>law</w:t>
      </w:r>
      <w:r>
        <w:rPr>
          <w:spacing w:val="-1"/>
        </w:rPr>
        <w:t> </w:t>
      </w:r>
      <w:r>
        <w:rPr/>
        <w:t>will</w:t>
      </w:r>
      <w:r>
        <w:rPr>
          <w:spacing w:val="-1"/>
        </w:rPr>
        <w:t> </w:t>
      </w:r>
      <w:r>
        <w:rPr/>
        <w:t>be</w:t>
      </w:r>
      <w:r>
        <w:rPr>
          <w:spacing w:val="-1"/>
        </w:rPr>
        <w:t> </w:t>
      </w:r>
      <w:r>
        <w:rPr/>
        <w:t>chosen</w:t>
      </w:r>
      <w:r>
        <w:rPr>
          <w:spacing w:val="-1"/>
        </w:rPr>
        <w:t> </w:t>
      </w:r>
      <w:r>
        <w:rPr/>
        <w:t>in</w:t>
      </w:r>
      <w:r>
        <w:rPr>
          <w:spacing w:val="-1"/>
        </w:rPr>
        <w:t> </w:t>
      </w:r>
      <w:r>
        <w:rPr/>
        <w:t>the </w:t>
      </w:r>
      <w:r>
        <w:rPr>
          <w:spacing w:val="-2"/>
        </w:rPr>
        <w:t>contract.</w:t>
      </w:r>
    </w:p>
    <w:p>
      <w:pPr>
        <w:pStyle w:val="BodyText"/>
        <w:spacing w:before="5"/>
      </w:pPr>
    </w:p>
    <w:p>
      <w:pPr>
        <w:pStyle w:val="BodyText"/>
        <w:tabs>
          <w:tab w:pos="705" w:val="left" w:leader="none"/>
        </w:tabs>
        <w:spacing w:before="1"/>
        <w:ind w:left="165"/>
      </w:pPr>
      <w:bookmarkStart w:name="_bookmark1679" w:id="1681"/>
      <w:bookmarkEnd w:id="1681"/>
      <w:r>
        <w:rPr/>
      </w:r>
      <w:hyperlink w:history="true" w:anchor="_bookmark1628">
        <w:r>
          <w:rPr>
            <w:color w:val="005DA1"/>
            <w:spacing w:val="-4"/>
            <w:position w:val="5"/>
            <w:sz w:val="14"/>
            <w:u w:val="single" w:color="005DA1"/>
          </w:rPr>
          <w:t>879</w:t>
        </w:r>
      </w:hyperlink>
      <w:r>
        <w:rPr>
          <w:spacing w:val="-4"/>
          <w:position w:val="5"/>
          <w:sz w:val="14"/>
        </w:rPr>
        <w:t>.</w:t>
      </w:r>
      <w:r>
        <w:rPr>
          <w:position w:val="5"/>
          <w:sz w:val="14"/>
        </w:rPr>
        <w:tab/>
      </w:r>
      <w:r>
        <w:rPr/>
        <w:t>Consultation Paper, </w:t>
      </w:r>
      <w:r>
        <w:rPr>
          <w:spacing w:val="-2"/>
        </w:rPr>
        <w:t>para.59.</w:t>
      </w:r>
    </w:p>
    <w:p>
      <w:pPr>
        <w:pStyle w:val="BodyText"/>
        <w:spacing w:before="4"/>
      </w:pPr>
    </w:p>
    <w:p>
      <w:pPr>
        <w:pStyle w:val="BodyText"/>
        <w:tabs>
          <w:tab w:pos="705" w:val="left" w:leader="none"/>
        </w:tabs>
        <w:spacing w:before="1"/>
        <w:ind w:left="165"/>
      </w:pPr>
      <w:bookmarkStart w:name="_bookmark1680" w:id="1682"/>
      <w:bookmarkEnd w:id="1682"/>
      <w:r>
        <w:rPr/>
      </w:r>
      <w:hyperlink w:history="true" w:anchor="_bookmark1629">
        <w:r>
          <w:rPr>
            <w:color w:val="005DA1"/>
            <w:spacing w:val="-4"/>
            <w:position w:val="5"/>
            <w:sz w:val="14"/>
            <w:u w:val="single" w:color="005DA1"/>
          </w:rPr>
          <w:t>880</w:t>
        </w:r>
      </w:hyperlink>
      <w:r>
        <w:rPr>
          <w:spacing w:val="-4"/>
          <w:position w:val="5"/>
          <w:sz w:val="14"/>
        </w:rPr>
        <w:t>.</w:t>
      </w:r>
      <w:r>
        <w:rPr>
          <w:position w:val="5"/>
          <w:sz w:val="14"/>
        </w:rPr>
        <w:tab/>
      </w:r>
      <w:r>
        <w:rPr/>
        <w:t>As defined above, para.30-</w:t>
      </w:r>
      <w:r>
        <w:rPr>
          <w:spacing w:val="-4"/>
        </w:rPr>
        <w:t>167.</w:t>
      </w:r>
    </w:p>
    <w:p>
      <w:pPr>
        <w:pStyle w:val="BodyText"/>
        <w:spacing w:before="4"/>
      </w:pPr>
    </w:p>
    <w:p>
      <w:pPr>
        <w:pStyle w:val="BodyText"/>
        <w:tabs>
          <w:tab w:pos="705" w:val="left" w:leader="none"/>
        </w:tabs>
        <w:spacing w:before="1"/>
        <w:ind w:left="165"/>
      </w:pPr>
      <w:bookmarkStart w:name="_bookmark1681" w:id="1683"/>
      <w:bookmarkEnd w:id="1683"/>
      <w:r>
        <w:rPr/>
      </w:r>
      <w:hyperlink w:history="true" w:anchor="_bookmark1630">
        <w:r>
          <w:rPr>
            <w:color w:val="005DA1"/>
            <w:spacing w:val="-4"/>
            <w:position w:val="5"/>
            <w:sz w:val="14"/>
            <w:u w:val="single" w:color="005DA1"/>
          </w:rPr>
          <w:t>881</w:t>
        </w:r>
      </w:hyperlink>
      <w:r>
        <w:rPr>
          <w:spacing w:val="-4"/>
          <w:position w:val="5"/>
          <w:sz w:val="14"/>
        </w:rPr>
        <w:t>.</w:t>
      </w:r>
      <w:r>
        <w:rPr>
          <w:position w:val="5"/>
          <w:sz w:val="14"/>
        </w:rPr>
        <w:tab/>
      </w:r>
      <w:r>
        <w:rPr/>
        <w:t>Above,</w:t>
      </w:r>
      <w:r>
        <w:rPr>
          <w:spacing w:val="-2"/>
        </w:rPr>
        <w:t> </w:t>
      </w:r>
      <w:r>
        <w:rPr/>
        <w:t>paras 30-164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682" w:id="1684"/>
      <w:bookmarkEnd w:id="1684"/>
      <w:r>
        <w:rPr/>
      </w:r>
      <w:hyperlink w:history="true" w:anchor="_bookmark1631">
        <w:r>
          <w:rPr>
            <w:color w:val="005DA1"/>
            <w:spacing w:val="-4"/>
            <w:position w:val="5"/>
            <w:sz w:val="14"/>
            <w:u w:val="single" w:color="005DA1"/>
          </w:rPr>
          <w:t>882</w:t>
        </w:r>
      </w:hyperlink>
      <w:r>
        <w:rPr>
          <w:spacing w:val="-4"/>
          <w:position w:val="5"/>
          <w:sz w:val="14"/>
        </w:rPr>
        <w:t>.</w:t>
      </w:r>
      <w:r>
        <w:rPr>
          <w:position w:val="5"/>
          <w:sz w:val="14"/>
        </w:rPr>
        <w:tab/>
      </w:r>
      <w:r>
        <w:rPr>
          <w:sz w:val="20"/>
        </w:rPr>
        <w:t>Above, para.30-</w:t>
      </w:r>
      <w:r>
        <w:rPr>
          <w:spacing w:val="-4"/>
          <w:sz w:val="20"/>
        </w:rPr>
        <w:t>225.</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spacing w:before="194"/>
        <w:ind w:left="3225" w:right="0" w:firstLine="0"/>
        <w:jc w:val="left"/>
        <w:rPr>
          <w:rFonts w:ascii="Arial"/>
          <w:b/>
          <w:sz w:val="24"/>
        </w:rPr>
      </w:pPr>
      <w:r>
        <w:rPr>
          <w:rFonts w:ascii="Arial"/>
          <w:b/>
          <w:sz w:val="24"/>
        </w:rPr>
        <w:t>(g) - Consumer </w:t>
      </w:r>
      <w:r>
        <w:rPr>
          <w:rFonts w:ascii="Arial"/>
          <w:b/>
          <w:spacing w:val="-2"/>
          <w:sz w:val="24"/>
        </w:rPr>
        <w:t>Contracts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Background</w:t>
      </w:r>
    </w:p>
    <w:p>
      <w:pPr>
        <w:pStyle w:val="BodyText"/>
        <w:spacing w:before="42"/>
        <w:rPr>
          <w:rFonts w:ascii="Arial"/>
          <w:b/>
          <w:sz w:val="18"/>
        </w:rPr>
      </w:pPr>
    </w:p>
    <w:p>
      <w:pPr>
        <w:pStyle w:val="Heading2"/>
      </w:pPr>
      <w:r>
        <w:rPr/>
        <w:t>30-</w:t>
      </w:r>
      <w:r>
        <w:rPr>
          <w:spacing w:val="-5"/>
        </w:rPr>
        <w:t>231</w:t>
      </w:r>
    </w:p>
    <w:p>
      <w:pPr>
        <w:pStyle w:val="BodyText"/>
        <w:spacing w:line="235" w:lineRule="auto" w:before="202"/>
        <w:ind w:left="164" w:right="167"/>
        <w:jc w:val="both"/>
      </w:pPr>
      <w:bookmarkStart w:name="_bookmark1683" w:id="1685"/>
      <w:bookmarkEnd w:id="1685"/>
      <w:r>
        <w:rPr/>
      </w:r>
      <w:r>
        <w:rPr/>
        <w:t>Article 5 of the Rome Convention made particular provision for “certain consumer contracts”. </w:t>
      </w:r>
      <w:r>
        <w:rPr>
          <w:color w:val="005DA1"/>
          <w:u w:val="single" w:color="005DA1"/>
          <w:vertAlign w:val="superscript"/>
        </w:rPr>
        <w:t>883</w:t>
      </w:r>
      <w:r>
        <w:rPr>
          <w:color w:val="005DA1"/>
          <w:vertAlign w:val="baseline"/>
        </w:rPr>
        <w:t> </w:t>
      </w:r>
      <w:r>
        <w:rPr>
          <w:vertAlign w:val="baseline"/>
        </w:rPr>
        <w:t>Generally, such contracts (which were somewhat narrowly defined and from the category of </w:t>
      </w:r>
      <w:r>
        <w:rPr>
          <w:vertAlign w:val="baseline"/>
        </w:rPr>
        <w:t>which certain types of contract were excluded) were governed by the law chosen by the parties subject to the limitation that a choice of law could not have the effect of depriving the consumer of the protection </w:t>
      </w:r>
      <w:bookmarkStart w:name="_bookmark1684" w:id="1686"/>
      <w:bookmarkEnd w:id="1686"/>
      <w:r>
        <w:rPr>
          <w:vertAlign w:val="baseline"/>
        </w:rPr>
        <w:t>of</w:t>
      </w:r>
      <w:r>
        <w:rPr>
          <w:vertAlign w:val="baseline"/>
        </w:rPr>
        <w:t> the mandatory rules of the law of the country in which the consumer had his habitual residence in certain (narrowly defined) situations. </w:t>
      </w:r>
      <w:r>
        <w:rPr>
          <w:color w:val="005DA1"/>
          <w:u w:val="single" w:color="005DA1"/>
          <w:vertAlign w:val="superscript"/>
        </w:rPr>
        <w:t>884</w:t>
      </w:r>
      <w:r>
        <w:rPr>
          <w:color w:val="005DA1"/>
          <w:vertAlign w:val="baseline"/>
        </w:rPr>
        <w:t> </w:t>
      </w:r>
      <w:r>
        <w:rPr>
          <w:vertAlign w:val="baseline"/>
        </w:rPr>
        <w:t>In the absence of choice, the contract was governed by the law of the consumer’s habitual residence if one of the situations where a choice of law would be </w:t>
      </w:r>
      <w:bookmarkStart w:name="_bookmark1685" w:id="1687"/>
      <w:bookmarkEnd w:id="1687"/>
      <w:r>
        <w:rPr>
          <w:vertAlign w:val="baseline"/>
        </w:rPr>
        <w:t>controlled</w:t>
      </w:r>
      <w:r>
        <w:rPr>
          <w:vertAlign w:val="baseline"/>
        </w:rPr>
        <w:t> by reference to mandatory rules was present, but in other cases the applicable law in the absence of choice was governed by the general rule in art.4 of the Convention. </w:t>
      </w:r>
      <w:r>
        <w:rPr>
          <w:color w:val="005DA1"/>
          <w:u w:val="single" w:color="005DA1"/>
          <w:vertAlign w:val="superscript"/>
        </w:rPr>
        <w:t>885</w:t>
      </w:r>
      <w:r>
        <w:rPr>
          <w:color w:val="005DA1"/>
          <w:vertAlign w:val="baseline"/>
        </w:rPr>
        <w:t> </w:t>
      </w:r>
      <w:r>
        <w:rPr>
          <w:vertAlign w:val="baseline"/>
        </w:rPr>
        <w:t>It was seen in the earlier discussion of art.5 of the Convention that it was particularly difficult to apply the provision to </w:t>
      </w:r>
      <w:bookmarkStart w:name="_bookmark1686" w:id="1688"/>
      <w:bookmarkEnd w:id="1688"/>
      <w:r>
        <w:rPr>
          <w:vertAlign w:val="baseline"/>
        </w:rPr>
        <w:t>contracts</w:t>
      </w:r>
      <w:r>
        <w:rPr>
          <w:vertAlign w:val="baseline"/>
        </w:rPr>
        <w:t> concluded “on-line” and also that the provision supplied a somewhat limited degree of protection to consumers. </w:t>
      </w:r>
      <w:r>
        <w:rPr>
          <w:color w:val="005DA1"/>
          <w:u w:val="single" w:color="005DA1"/>
          <w:vertAlign w:val="superscript"/>
        </w:rPr>
        <w:t>886</w:t>
      </w:r>
      <w:r>
        <w:rPr>
          <w:color w:val="005DA1"/>
          <w:vertAlign w:val="baseline"/>
        </w:rPr>
        <w:t> </w:t>
      </w:r>
      <w:r>
        <w:rPr>
          <w:vertAlign w:val="baseline"/>
        </w:rPr>
        <w:t>Article 6 of the Regulation makes fresh provision for consumer contracts </w:t>
      </w:r>
      <w:bookmarkStart w:name="_bookmark1687" w:id="1689"/>
      <w:bookmarkEnd w:id="1689"/>
      <w:r>
        <w:rPr>
          <w:vertAlign w:val="baseline"/>
        </w:rPr>
        <w:t>endeavouring</w:t>
      </w:r>
      <w:r>
        <w:rPr>
          <w:vertAlign w:val="baseline"/>
        </w:rPr>
        <w:t> to take account, amongst other things, of the effect of electronic commerce on consumer transactions and the need for increased levels of consumer protection. </w:t>
      </w:r>
      <w:r>
        <w:rPr>
          <w:color w:val="005DA1"/>
          <w:u w:val="single" w:color="005DA1"/>
          <w:vertAlign w:val="superscript"/>
        </w:rPr>
        <w:t>887</w:t>
      </w:r>
    </w:p>
    <w:p>
      <w:pPr>
        <w:pStyle w:val="BodyText"/>
      </w:pPr>
    </w:p>
    <w:p>
      <w:pPr>
        <w:pStyle w:val="BodyText"/>
        <w:spacing w:before="33"/>
      </w:pPr>
    </w:p>
    <w:p>
      <w:pPr>
        <w:spacing w:before="1"/>
        <w:ind w:left="165" w:right="0" w:firstLine="0"/>
        <w:jc w:val="left"/>
        <w:rPr>
          <w:rFonts w:ascii="Arial"/>
          <w:b/>
          <w:sz w:val="18"/>
        </w:rPr>
      </w:pPr>
      <w:r>
        <w:rPr>
          <w:rFonts w:ascii="Arial"/>
          <w:b/>
          <w:sz w:val="18"/>
        </w:rPr>
        <w:t>Structure of </w:t>
      </w:r>
      <w:r>
        <w:rPr>
          <w:rFonts w:ascii="Arial"/>
          <w:b/>
          <w:spacing w:val="-2"/>
          <w:sz w:val="18"/>
        </w:rPr>
        <w:t>art.6</w:t>
      </w:r>
    </w:p>
    <w:p>
      <w:pPr>
        <w:pStyle w:val="BodyText"/>
        <w:spacing w:before="41"/>
        <w:rPr>
          <w:rFonts w:ascii="Arial"/>
          <w:b/>
          <w:sz w:val="18"/>
        </w:rPr>
      </w:pPr>
    </w:p>
    <w:p>
      <w:pPr>
        <w:pStyle w:val="Heading2"/>
      </w:pPr>
      <w:r>
        <w:rPr/>
        <w:t>30-</w:t>
      </w:r>
      <w:r>
        <w:rPr>
          <w:spacing w:val="-5"/>
        </w:rPr>
        <w:t>232</w:t>
      </w:r>
    </w:p>
    <w:p>
      <w:pPr>
        <w:pStyle w:val="BodyText"/>
        <w:spacing w:line="235" w:lineRule="auto" w:before="203"/>
        <w:ind w:left="164" w:right="167"/>
        <w:jc w:val="both"/>
      </w:pPr>
      <w:bookmarkStart w:name="_bookmark1688" w:id="1690"/>
      <w:bookmarkEnd w:id="1690"/>
      <w:r>
        <w:rPr/>
      </w:r>
      <w:bookmarkStart w:name="_bookmark1689" w:id="1691"/>
      <w:bookmarkEnd w:id="1691"/>
      <w:r>
        <w:rPr/>
      </w:r>
      <w:r>
        <w:rPr/>
        <w:t>Article 6(1) of the Regulation deals, firstly, with the definition of contracts to which art.6 applies, </w:t>
      </w:r>
      <w:r>
        <w:rPr>
          <w:color w:val="005DA1"/>
          <w:u w:val="single" w:color="005DA1"/>
          <w:vertAlign w:val="superscript"/>
        </w:rPr>
        <w:t>888</w:t>
      </w:r>
      <w:r>
        <w:rPr>
          <w:color w:val="005DA1"/>
          <w:vertAlign w:val="baseline"/>
        </w:rPr>
        <w:t> </w:t>
      </w:r>
      <w:r>
        <w:rPr>
          <w:vertAlign w:val="baseline"/>
        </w:rPr>
        <w:t>excluding certain contracts which are not covered by art.6(1) as a result of art.6(4) of the </w:t>
      </w:r>
      <w:r>
        <w:rPr>
          <w:vertAlign w:val="baseline"/>
        </w:rPr>
        <w:t>Regulation, </w:t>
      </w:r>
      <w:r>
        <w:rPr>
          <w:color w:val="005DA1"/>
          <w:u w:val="single" w:color="005DA1"/>
          <w:vertAlign w:val="superscript"/>
        </w:rPr>
        <w:t>889</w:t>
      </w:r>
      <w:r>
        <w:rPr>
          <w:color w:val="005DA1"/>
          <w:vertAlign w:val="baseline"/>
        </w:rPr>
        <w:t> </w:t>
      </w:r>
      <w:bookmarkStart w:name="_bookmark1690" w:id="1692"/>
      <w:bookmarkEnd w:id="1692"/>
      <w:r>
        <w:rPr>
          <w:color w:val="005DA1"/>
          <w:spacing w:val="-20"/>
          <w:vertAlign w:val="baseline"/>
        </w:rPr>
      </w:r>
      <w:r>
        <w:rPr>
          <w:vertAlign w:val="baseline"/>
        </w:rPr>
        <w:t>and also stipulates that where art.6(1) applies the contract will be governed by the law of the country in which the consumer is habitually resident. </w:t>
      </w:r>
      <w:r>
        <w:rPr>
          <w:color w:val="005DA1"/>
          <w:u w:val="single" w:color="005DA1"/>
          <w:vertAlign w:val="superscript"/>
        </w:rPr>
        <w:t>890</w:t>
      </w:r>
      <w:r>
        <w:rPr>
          <w:color w:val="005DA1"/>
          <w:vertAlign w:val="baseline"/>
        </w:rPr>
        <w:t> </w:t>
      </w:r>
      <w:r>
        <w:rPr>
          <w:vertAlign w:val="baseline"/>
        </w:rPr>
        <w:t>Article 6(2) allows the parties to choose the </w:t>
      </w:r>
      <w:bookmarkStart w:name="_bookmark1691" w:id="1693"/>
      <w:bookmarkEnd w:id="1693"/>
      <w:r>
        <w:rPr>
          <w:vertAlign w:val="baseline"/>
        </w:rPr>
        <w:t>applicable</w:t>
      </w:r>
      <w:r>
        <w:rPr>
          <w:vertAlign w:val="baseline"/>
        </w:rPr>
        <w:t> law, but restricts that capacity by reference to provisions which the law of the country</w:t>
      </w:r>
      <w:r>
        <w:rPr>
          <w:spacing w:val="80"/>
          <w:vertAlign w:val="baseline"/>
        </w:rPr>
        <w:t> </w:t>
      </w:r>
      <w:r>
        <w:rPr>
          <w:vertAlign w:val="baseline"/>
        </w:rPr>
        <w:t>which would be applicable in the absence of choice, which cannot be derogated from by agreement. </w:t>
      </w:r>
      <w:r>
        <w:rPr>
          <w:color w:val="005DA1"/>
          <w:u w:val="single" w:color="005DA1"/>
          <w:vertAlign w:val="superscript"/>
        </w:rPr>
        <w:t>891</w:t>
      </w:r>
      <w:r>
        <w:rPr>
          <w:color w:val="005DA1"/>
          <w:vertAlign w:val="baseline"/>
        </w:rPr>
        <w:t> </w:t>
      </w:r>
      <w:bookmarkStart w:name="_bookmark1692" w:id="1694"/>
      <w:bookmarkEnd w:id="1694"/>
      <w:r>
        <w:rPr>
          <w:color w:val="005DA1"/>
          <w:spacing w:val="6"/>
          <w:vertAlign w:val="baseline"/>
        </w:rPr>
      </w:r>
      <w:r>
        <w:rPr>
          <w:vertAlign w:val="baseline"/>
        </w:rPr>
        <w:t>If the requirements of art.6(1)(a) or (b) are not fulfilled and the contract is not excluded by virtue of art.6(4), the applicable law will be determined by art.6(3) of the Regulation. </w:t>
      </w:r>
      <w:r>
        <w:rPr>
          <w:color w:val="005DA1"/>
          <w:u w:val="single" w:color="005DA1"/>
          <w:vertAlign w:val="superscript"/>
        </w:rPr>
        <w:t>892</w:t>
      </w:r>
      <w:r>
        <w:rPr>
          <w:color w:val="005DA1"/>
          <w:vertAlign w:val="baseline"/>
        </w:rPr>
        <w:t> </w:t>
      </w:r>
      <w:r>
        <w:rPr>
          <w:vertAlign w:val="baseline"/>
        </w:rPr>
        <w:t>There is no escape clause, as such, based on the principle that a contract within art.6 may be governed by the law of another country, when it is clear that the contract is manifestly more closely connected with a country other than that the law of which would be applicable under other provisions of art.6. The article thus </w:t>
      </w:r>
      <w:bookmarkStart w:name="_bookmark1693" w:id="1695"/>
      <w:bookmarkEnd w:id="1695"/>
      <w:r>
        <w:rPr>
          <w:vertAlign w:val="baseline"/>
        </w:rPr>
        <w:t>seeks,</w:t>
      </w:r>
      <w:r>
        <w:rPr>
          <w:vertAlign w:val="baseline"/>
        </w:rPr>
        <w:t> as will be seen below, to achieve the purpose of protecting consumers. In addition, art.6(1) seeks to deal with consumer transactions involving electronic commerce. </w:t>
      </w:r>
      <w:r>
        <w:rPr>
          <w:color w:val="005DA1"/>
          <w:u w:val="single" w:color="005DA1"/>
          <w:vertAlign w:val="superscript"/>
        </w:rPr>
        <w:t>893</w:t>
      </w:r>
    </w:p>
    <w:p>
      <w:pPr>
        <w:pStyle w:val="BodyText"/>
      </w:pPr>
    </w:p>
    <w:p>
      <w:pPr>
        <w:pStyle w:val="BodyText"/>
        <w:spacing w:before="33"/>
      </w:pPr>
    </w:p>
    <w:p>
      <w:pPr>
        <w:spacing w:before="0"/>
        <w:ind w:left="165" w:right="0" w:firstLine="0"/>
        <w:jc w:val="left"/>
        <w:rPr>
          <w:rFonts w:ascii="Arial"/>
          <w:b/>
          <w:sz w:val="18"/>
        </w:rPr>
      </w:pPr>
      <w:r>
        <w:rPr>
          <w:rFonts w:ascii="Arial"/>
          <w:b/>
          <w:sz w:val="18"/>
        </w:rPr>
        <w:t>Specific </w:t>
      </w:r>
      <w:r>
        <w:rPr>
          <w:rFonts w:ascii="Arial"/>
          <w:b/>
          <w:spacing w:val="-2"/>
          <w:sz w:val="18"/>
        </w:rPr>
        <w:t>exclusions</w:t>
      </w:r>
    </w:p>
    <w:p>
      <w:pPr>
        <w:pStyle w:val="BodyText"/>
        <w:spacing w:before="41"/>
        <w:rPr>
          <w:rFonts w:ascii="Arial"/>
          <w:b/>
          <w:sz w:val="18"/>
        </w:rPr>
      </w:pPr>
    </w:p>
    <w:p>
      <w:pPr>
        <w:pStyle w:val="Heading2"/>
        <w:spacing w:before="1"/>
      </w:pPr>
      <w:r>
        <w:rPr/>
        <w:t>30-</w:t>
      </w:r>
      <w:r>
        <w:rPr>
          <w:spacing w:val="-5"/>
        </w:rPr>
        <w:t>233</w:t>
      </w:r>
    </w:p>
    <w:p>
      <w:pPr>
        <w:pStyle w:val="Heading2"/>
        <w:spacing w:after="0"/>
        <w:sectPr>
          <w:headerReference w:type="default" r:id="rId22"/>
          <w:pgSz w:w="11900" w:h="16840"/>
          <w:pgMar w:header="971" w:footer="0" w:top="1300" w:bottom="280" w:left="1275" w:right="1275"/>
          <w:pgNumType w:start="1"/>
        </w:sectPr>
      </w:pPr>
    </w:p>
    <w:p>
      <w:pPr>
        <w:pStyle w:val="BodyText"/>
        <w:spacing w:line="235" w:lineRule="auto" w:before="210"/>
        <w:ind w:left="165" w:right="167"/>
        <w:jc w:val="both"/>
      </w:pPr>
      <w:r>
        <w:rPr/>
        <w:t>Before considering the general scope of, and the provisions of, art.6 of the Regulation, it is </w:t>
      </w:r>
      <w:r>
        <w:rPr/>
        <w:t>necessary to draw attention to certain types of contract which are specifically excluded from the scope of the article, by art.6(4).</w:t>
      </w:r>
    </w:p>
    <w:p>
      <w:pPr>
        <w:pStyle w:val="BodyText"/>
      </w:pPr>
    </w:p>
    <w:p>
      <w:pPr>
        <w:pStyle w:val="BodyText"/>
        <w:spacing w:before="38"/>
      </w:pPr>
    </w:p>
    <w:p>
      <w:pPr>
        <w:spacing w:before="0"/>
        <w:ind w:left="165" w:right="0" w:firstLine="0"/>
        <w:jc w:val="both"/>
        <w:rPr>
          <w:rFonts w:ascii="Arial"/>
          <w:b/>
          <w:sz w:val="18"/>
        </w:rPr>
      </w:pPr>
      <w:r>
        <w:rPr>
          <w:rFonts w:ascii="Arial"/>
          <w:b/>
          <w:sz w:val="18"/>
        </w:rPr>
        <w:t>Contract for the supply of </w:t>
      </w:r>
      <w:r>
        <w:rPr>
          <w:rFonts w:ascii="Arial"/>
          <w:b/>
          <w:spacing w:val="-2"/>
          <w:sz w:val="18"/>
        </w:rPr>
        <w:t>services</w:t>
      </w:r>
    </w:p>
    <w:p>
      <w:pPr>
        <w:pStyle w:val="BodyText"/>
        <w:spacing w:before="41"/>
        <w:rPr>
          <w:rFonts w:ascii="Arial"/>
          <w:b/>
          <w:sz w:val="18"/>
        </w:rPr>
      </w:pPr>
    </w:p>
    <w:p>
      <w:pPr>
        <w:pStyle w:val="Heading2"/>
      </w:pPr>
      <w:r>
        <w:rPr/>
        <w:t>30-</w:t>
      </w:r>
      <w:r>
        <w:rPr>
          <w:spacing w:val="-5"/>
        </w:rPr>
        <w:t>234</w:t>
      </w:r>
    </w:p>
    <w:p>
      <w:pPr>
        <w:pStyle w:val="BodyText"/>
        <w:spacing w:line="235" w:lineRule="auto" w:before="203"/>
        <w:ind w:left="165" w:right="167"/>
        <w:jc w:val="both"/>
      </w:pPr>
      <w:r>
        <w:rPr/>
        <w:t>The special rules in art.6 do not apply, first, to contracts for the supply of services where the services </w:t>
      </w:r>
      <w:bookmarkStart w:name="_bookmark1694" w:id="1696"/>
      <w:bookmarkEnd w:id="1696"/>
      <w:r>
        <w:rPr/>
        <w:t>are</w:t>
      </w:r>
      <w:r>
        <w:rPr/>
        <w:t> to be supplied to the consumer exclusively in a country other than that in which he has </w:t>
      </w:r>
      <w:r>
        <w:rPr/>
        <w:t>his</w:t>
      </w:r>
      <w:r>
        <w:rPr>
          <w:spacing w:val="40"/>
        </w:rPr>
        <w:t> </w:t>
      </w:r>
      <w:bookmarkStart w:name="_bookmark1695" w:id="1697"/>
      <w:bookmarkEnd w:id="1697"/>
      <w:r>
        <w:rPr/>
        <w:t>habitual</w:t>
      </w:r>
      <w:r>
        <w:rPr/>
        <w:t> residence. </w:t>
      </w:r>
      <w:r>
        <w:rPr>
          <w:color w:val="005DA1"/>
          <w:u w:val="single" w:color="005DA1"/>
          <w:vertAlign w:val="superscript"/>
        </w:rPr>
        <w:t>894</w:t>
      </w:r>
      <w:r>
        <w:rPr>
          <w:color w:val="005DA1"/>
          <w:vertAlign w:val="baseline"/>
        </w:rPr>
        <w:t> </w:t>
      </w:r>
      <w:r>
        <w:rPr>
          <w:vertAlign w:val="baseline"/>
        </w:rPr>
        <w:t>This reflects the exclusion of such contracts from art.5 of the Rome</w:t>
      </w:r>
      <w:r>
        <w:rPr>
          <w:spacing w:val="40"/>
          <w:vertAlign w:val="baseline"/>
        </w:rPr>
        <w:t> </w:t>
      </w:r>
      <w:bookmarkStart w:name="_bookmark1696" w:id="1698"/>
      <w:bookmarkEnd w:id="1698"/>
      <w:r>
        <w:rPr>
          <w:vertAlign w:val="baseline"/>
        </w:rPr>
        <w:t>Convention.</w:t>
      </w:r>
      <w:r>
        <w:rPr>
          <w:vertAlign w:val="baseline"/>
        </w:rPr>
        <w:t> </w:t>
      </w:r>
      <w:r>
        <w:rPr>
          <w:color w:val="005DA1"/>
          <w:u w:val="single" w:color="005DA1"/>
          <w:vertAlign w:val="superscript"/>
        </w:rPr>
        <w:t>895</w:t>
      </w:r>
      <w:r>
        <w:rPr>
          <w:color w:val="005DA1"/>
          <w:vertAlign w:val="baseline"/>
        </w:rPr>
        <w:t> </w:t>
      </w:r>
      <w:r>
        <w:rPr>
          <w:vertAlign w:val="baseline"/>
        </w:rPr>
        <w:t>The law applicable to such contracts will thus be determined by art.3 or 4 of the Regulation, as the case may be. </w:t>
      </w:r>
      <w:r>
        <w:rPr>
          <w:color w:val="005DA1"/>
          <w:u w:val="single" w:color="005DA1"/>
          <w:vertAlign w:val="superscript"/>
        </w:rPr>
        <w:t>896</w:t>
      </w:r>
    </w:p>
    <w:p>
      <w:pPr>
        <w:pStyle w:val="BodyText"/>
      </w:pPr>
    </w:p>
    <w:p>
      <w:pPr>
        <w:pStyle w:val="BodyText"/>
        <w:spacing w:before="36"/>
      </w:pPr>
    </w:p>
    <w:p>
      <w:pPr>
        <w:spacing w:before="0"/>
        <w:ind w:left="165" w:right="0" w:firstLine="0"/>
        <w:jc w:val="left"/>
        <w:rPr>
          <w:rFonts w:ascii="Arial"/>
          <w:b/>
          <w:sz w:val="18"/>
        </w:rPr>
      </w:pPr>
      <w:r>
        <w:rPr>
          <w:rFonts w:ascii="Arial"/>
          <w:b/>
          <w:sz w:val="18"/>
        </w:rPr>
        <w:t>Contract of </w:t>
      </w:r>
      <w:r>
        <w:rPr>
          <w:rFonts w:ascii="Arial"/>
          <w:b/>
          <w:spacing w:val="-2"/>
          <w:sz w:val="18"/>
        </w:rPr>
        <w:t>carriage</w:t>
      </w:r>
    </w:p>
    <w:p>
      <w:pPr>
        <w:pStyle w:val="BodyText"/>
        <w:spacing w:before="42"/>
        <w:rPr>
          <w:rFonts w:ascii="Arial"/>
          <w:b/>
          <w:sz w:val="18"/>
        </w:rPr>
      </w:pPr>
    </w:p>
    <w:p>
      <w:pPr>
        <w:pStyle w:val="Heading2"/>
      </w:pPr>
      <w:r>
        <w:rPr/>
        <w:t>30-</w:t>
      </w:r>
      <w:r>
        <w:rPr>
          <w:spacing w:val="-5"/>
        </w:rPr>
        <w:t>235</w:t>
      </w:r>
    </w:p>
    <w:p>
      <w:pPr>
        <w:pStyle w:val="BodyText"/>
        <w:spacing w:before="88"/>
        <w:rPr>
          <w:rFonts w:ascii="Arial"/>
          <w:b/>
        </w:rPr>
      </w:pPr>
    </w:p>
    <w:p>
      <w:pPr>
        <w:pStyle w:val="BodyText"/>
        <w:spacing w:before="1"/>
        <w:ind w:left="165"/>
      </w:pPr>
      <w:r>
        <w:rPr>
          <w:position w:val="-2"/>
        </w:rPr>
        <w:drawing>
          <wp:inline distT="0" distB="0" distL="0" distR="0">
            <wp:extent cx="107988" cy="107988"/>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7"/>
        </w:rPr>
        <w:t> </w:t>
      </w:r>
      <w:r>
        <w:rPr/>
        <w:t>Secondly, art.6. does not apply to:</w:t>
      </w:r>
    </w:p>
    <w:p>
      <w:pPr>
        <w:pStyle w:val="BodyText"/>
      </w:pPr>
    </w:p>
    <w:p>
      <w:pPr>
        <w:pStyle w:val="BodyText"/>
        <w:spacing w:before="125"/>
      </w:pPr>
    </w:p>
    <w:p>
      <w:pPr>
        <w:pStyle w:val="BodyText"/>
        <w:spacing w:line="235" w:lineRule="auto"/>
        <w:ind w:left="1245"/>
      </w:pPr>
      <w:r>
        <w:rPr/>
        <w:t>“…</w:t>
      </w:r>
      <w:r>
        <w:rPr>
          <w:spacing w:val="40"/>
        </w:rPr>
        <w:t> </w:t>
      </w:r>
      <w:r>
        <w:rPr/>
        <w:t>a</w:t>
      </w:r>
      <w:r>
        <w:rPr>
          <w:spacing w:val="40"/>
        </w:rPr>
        <w:t> </w:t>
      </w:r>
      <w:r>
        <w:rPr/>
        <w:t>contract</w:t>
      </w:r>
      <w:r>
        <w:rPr>
          <w:spacing w:val="40"/>
        </w:rPr>
        <w:t> </w:t>
      </w:r>
      <w:r>
        <w:rPr/>
        <w:t>of</w:t>
      </w:r>
      <w:r>
        <w:rPr>
          <w:spacing w:val="40"/>
        </w:rPr>
        <w:t> </w:t>
      </w:r>
      <w:r>
        <w:rPr/>
        <w:t>carriage</w:t>
      </w:r>
      <w:r>
        <w:rPr>
          <w:spacing w:val="40"/>
        </w:rPr>
        <w:t> </w:t>
      </w:r>
      <w:r>
        <w:rPr/>
        <w:t>other</w:t>
      </w:r>
      <w:r>
        <w:rPr>
          <w:spacing w:val="40"/>
        </w:rPr>
        <w:t> </w:t>
      </w:r>
      <w:r>
        <w:rPr/>
        <w:t>than</w:t>
      </w:r>
      <w:r>
        <w:rPr>
          <w:spacing w:val="40"/>
        </w:rPr>
        <w:t> </w:t>
      </w:r>
      <w:r>
        <w:rPr/>
        <w:t>a</w:t>
      </w:r>
      <w:r>
        <w:rPr>
          <w:spacing w:val="40"/>
        </w:rPr>
        <w:t> </w:t>
      </w:r>
      <w:r>
        <w:rPr/>
        <w:t>contract</w:t>
      </w:r>
      <w:r>
        <w:rPr>
          <w:spacing w:val="40"/>
        </w:rPr>
        <w:t> </w:t>
      </w:r>
      <w:r>
        <w:rPr/>
        <w:t>relating</w:t>
      </w:r>
      <w:r>
        <w:rPr>
          <w:spacing w:val="40"/>
        </w:rPr>
        <w:t> </w:t>
      </w:r>
      <w:r>
        <w:rPr/>
        <w:t>to</w:t>
      </w:r>
      <w:r>
        <w:rPr>
          <w:spacing w:val="40"/>
        </w:rPr>
        <w:t> </w:t>
      </w:r>
      <w:r>
        <w:rPr/>
        <w:t>package</w:t>
      </w:r>
      <w:r>
        <w:rPr>
          <w:spacing w:val="40"/>
        </w:rPr>
        <w:t> </w:t>
      </w:r>
      <w:r>
        <w:rPr/>
        <w:t>travel</w:t>
      </w:r>
      <w:r>
        <w:rPr>
          <w:spacing w:val="40"/>
        </w:rPr>
        <w:t> </w:t>
      </w:r>
      <w:r>
        <w:rPr/>
        <w:t>within</w:t>
      </w:r>
      <w:r>
        <w:rPr>
          <w:spacing w:val="40"/>
        </w:rPr>
        <w:t> </w:t>
      </w:r>
      <w:r>
        <w:rPr/>
        <w:t>the </w:t>
      </w:r>
      <w:bookmarkStart w:name="_bookmark1697" w:id="1699"/>
      <w:bookmarkEnd w:id="1699"/>
      <w:r>
        <w:rPr/>
        <w:t>meaning</w:t>
      </w:r>
      <w:r>
        <w:rPr>
          <w:spacing w:val="15"/>
        </w:rPr>
        <w:t> </w:t>
      </w:r>
      <w:r>
        <w:rPr/>
        <w:t>of</w:t>
      </w:r>
      <w:r>
        <w:rPr>
          <w:spacing w:val="17"/>
        </w:rPr>
        <w:t> </w:t>
      </w:r>
      <w:r>
        <w:rPr/>
        <w:t>Council</w:t>
      </w:r>
      <w:r>
        <w:rPr>
          <w:spacing w:val="17"/>
        </w:rPr>
        <w:t> </w:t>
      </w:r>
      <w:r>
        <w:rPr/>
        <w:t>Directive</w:t>
      </w:r>
      <w:r>
        <w:rPr>
          <w:spacing w:val="17"/>
        </w:rPr>
        <w:t> </w:t>
      </w:r>
      <w:r>
        <w:rPr/>
        <w:t>90/314/EEC</w:t>
      </w:r>
      <w:r>
        <w:rPr>
          <w:spacing w:val="17"/>
        </w:rPr>
        <w:t> </w:t>
      </w:r>
      <w:r>
        <w:rPr/>
        <w:t>of</w:t>
      </w:r>
      <w:r>
        <w:rPr>
          <w:spacing w:val="17"/>
        </w:rPr>
        <w:t> </w:t>
      </w:r>
      <w:r>
        <w:rPr/>
        <w:t>June</w:t>
      </w:r>
      <w:r>
        <w:rPr>
          <w:spacing w:val="17"/>
        </w:rPr>
        <w:t> </w:t>
      </w:r>
      <w:r>
        <w:rPr/>
        <w:t>13,</w:t>
      </w:r>
      <w:r>
        <w:rPr>
          <w:spacing w:val="17"/>
        </w:rPr>
        <w:t> </w:t>
      </w:r>
      <w:r>
        <w:rPr/>
        <w:t>1990</w:t>
      </w:r>
      <w:r>
        <w:rPr>
          <w:spacing w:val="17"/>
        </w:rPr>
        <w:t> </w:t>
      </w:r>
      <w:r>
        <w:rPr/>
        <w:t>on</w:t>
      </w:r>
      <w:r>
        <w:rPr>
          <w:spacing w:val="17"/>
        </w:rPr>
        <w:t> </w:t>
      </w:r>
      <w:r>
        <w:rPr/>
        <w:t>package</w:t>
      </w:r>
      <w:r>
        <w:rPr>
          <w:spacing w:val="17"/>
        </w:rPr>
        <w:t> </w:t>
      </w:r>
      <w:r>
        <w:rPr/>
        <w:t>travel,</w:t>
      </w:r>
      <w:r>
        <w:rPr>
          <w:spacing w:val="17"/>
        </w:rPr>
        <w:t> </w:t>
      </w:r>
      <w:r>
        <w:rPr>
          <w:spacing w:val="-2"/>
        </w:rPr>
        <w:t>package</w:t>
      </w:r>
    </w:p>
    <w:p>
      <w:pPr>
        <w:pStyle w:val="BodyText"/>
        <w:spacing w:before="116"/>
        <w:ind w:left="1245"/>
        <w:rPr>
          <w:position w:val="-2"/>
        </w:rPr>
      </w:pPr>
      <w:r>
        <w:rPr/>
        <w:t>holidays and package tours.” </w:t>
      </w:r>
      <w:r>
        <w:rPr>
          <w:color w:val="005DA1"/>
          <w:u w:val="single" w:color="005DA1"/>
          <w:vertAlign w:val="superscript"/>
        </w:rPr>
        <w:t>897</w:t>
      </w:r>
      <w:r>
        <w:rPr>
          <w:color w:val="005DA1"/>
          <w:spacing w:val="80"/>
          <w:w w:val="150"/>
          <w:vertAlign w:val="baseline"/>
        </w:rPr>
        <w:t> </w:t>
      </w:r>
      <w:r>
        <w:rPr>
          <w:color w:val="005DA1"/>
          <w:position w:val="-2"/>
          <w:vertAlign w:val="baseline"/>
        </w:rPr>
        <w:drawing>
          <wp:inline distT="0" distB="0" distL="0" distR="0">
            <wp:extent cx="107988" cy="107988"/>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5"/>
      </w:pPr>
    </w:p>
    <w:p>
      <w:pPr>
        <w:pStyle w:val="BodyText"/>
        <w:spacing w:line="235" w:lineRule="auto"/>
        <w:ind w:left="165" w:right="167"/>
        <w:jc w:val="both"/>
      </w:pPr>
      <w:bookmarkStart w:name="_bookmark1698" w:id="1700"/>
      <w:bookmarkEnd w:id="1700"/>
      <w:r>
        <w:rPr/>
      </w:r>
      <w:r>
        <w:rPr/>
        <w:t>Unless, therefore, the contract of carriage relates to package travel, art.6 will not apply and the </w:t>
      </w:r>
      <w:r>
        <w:rPr/>
        <w:t>law applicable to the contract of carriage will be determined in accordance with art.5 of the Regulation. </w:t>
      </w:r>
      <w:r>
        <w:rPr>
          <w:color w:val="005DA1"/>
          <w:u w:val="single" w:color="005DA1"/>
          <w:vertAlign w:val="superscript"/>
        </w:rPr>
        <w:t>898</w:t>
      </w:r>
      <w:r>
        <w:rPr>
          <w:color w:val="005DA1"/>
          <w:vertAlign w:val="baseline"/>
        </w:rPr>
        <w:t> </w:t>
      </w:r>
      <w:bookmarkStart w:name="_bookmark1699" w:id="1701"/>
      <w:bookmarkEnd w:id="1701"/>
      <w:r>
        <w:rPr>
          <w:color w:val="005DA1"/>
          <w:w w:val="92"/>
          <w:vertAlign w:val="baseline"/>
        </w:rPr>
      </w:r>
      <w:r>
        <w:rPr>
          <w:vertAlign w:val="baseline"/>
        </w:rPr>
        <w:t>Broadly speaking, a contract relates to package travel if it is a contract which, for an inclusive price, </w:t>
      </w:r>
      <w:bookmarkStart w:name="_bookmark1700" w:id="1702"/>
      <w:bookmarkEnd w:id="1702"/>
      <w:r>
        <w:rPr>
          <w:vertAlign w:val="baseline"/>
        </w:rPr>
        <w:t>provides</w:t>
      </w:r>
      <w:r>
        <w:rPr>
          <w:vertAlign w:val="baseline"/>
        </w:rPr>
        <w:t> for a combination of travel and accommodation. </w:t>
      </w:r>
      <w:r>
        <w:rPr>
          <w:color w:val="005DA1"/>
          <w:u w:val="single" w:color="005DA1"/>
          <w:vertAlign w:val="superscript"/>
        </w:rPr>
        <w:t>899</w:t>
      </w:r>
      <w:r>
        <w:rPr>
          <w:color w:val="005DA1"/>
          <w:vertAlign w:val="baseline"/>
        </w:rPr>
        <w:t> </w:t>
      </w:r>
      <w:r>
        <w:rPr>
          <w:vertAlign w:val="baseline"/>
        </w:rPr>
        <w:t>This exclusion generally reflects the position under the Rome Convention. </w:t>
      </w:r>
      <w:r>
        <w:rPr>
          <w:color w:val="005DA1"/>
          <w:u w:val="single" w:color="005DA1"/>
          <w:vertAlign w:val="superscript"/>
        </w:rPr>
        <w:t>900</w:t>
      </w:r>
    </w:p>
    <w:p>
      <w:pPr>
        <w:pStyle w:val="BodyText"/>
      </w:pPr>
    </w:p>
    <w:p>
      <w:pPr>
        <w:pStyle w:val="BodyText"/>
        <w:spacing w:before="37"/>
      </w:pPr>
    </w:p>
    <w:p>
      <w:pPr>
        <w:spacing w:before="0"/>
        <w:ind w:left="165" w:right="0" w:firstLine="0"/>
        <w:jc w:val="both"/>
        <w:rPr>
          <w:rFonts w:ascii="Arial"/>
          <w:b/>
          <w:sz w:val="18"/>
        </w:rPr>
      </w:pPr>
      <w:r>
        <w:rPr>
          <w:rFonts w:ascii="Arial"/>
          <w:b/>
          <w:sz w:val="18"/>
        </w:rPr>
        <w:t>Immovable property, </w:t>
      </w:r>
      <w:r>
        <w:rPr>
          <w:rFonts w:ascii="Arial"/>
          <w:b/>
          <w:spacing w:val="-5"/>
          <w:sz w:val="18"/>
        </w:rPr>
        <w:t>etc</w:t>
      </w:r>
    </w:p>
    <w:p>
      <w:pPr>
        <w:pStyle w:val="BodyText"/>
        <w:spacing w:before="41"/>
        <w:rPr>
          <w:rFonts w:ascii="Arial"/>
          <w:b/>
          <w:sz w:val="18"/>
        </w:rPr>
      </w:pPr>
    </w:p>
    <w:p>
      <w:pPr>
        <w:pStyle w:val="Heading2"/>
      </w:pPr>
      <w:r>
        <w:rPr/>
        <w:t>30-</w:t>
      </w:r>
      <w:r>
        <w:rPr>
          <w:spacing w:val="-5"/>
        </w:rPr>
        <w:t>236</w:t>
      </w:r>
    </w:p>
    <w:p>
      <w:pPr>
        <w:pStyle w:val="BodyText"/>
        <w:spacing w:before="199"/>
        <w:ind w:left="165"/>
        <w:jc w:val="both"/>
      </w:pPr>
      <w:r>
        <w:rPr/>
        <w:t>Thirdly, art.6(4)(c) of the Regulation excludes </w:t>
      </w:r>
      <w:r>
        <w:rPr>
          <w:spacing w:val="-5"/>
        </w:rPr>
        <w:t>a:</w:t>
      </w:r>
    </w:p>
    <w:p>
      <w:pPr>
        <w:pStyle w:val="BodyText"/>
      </w:pPr>
    </w:p>
    <w:p>
      <w:pPr>
        <w:pStyle w:val="BodyText"/>
        <w:spacing w:before="126"/>
      </w:pPr>
    </w:p>
    <w:p>
      <w:pPr>
        <w:pStyle w:val="BodyText"/>
        <w:spacing w:line="235" w:lineRule="auto"/>
        <w:ind w:left="1245" w:right="167"/>
        <w:jc w:val="both"/>
      </w:pPr>
      <w:r>
        <w:rPr/>
        <w:t>“… contract relating to a right in rem in immovable property other than a contract </w:t>
      </w:r>
      <w:r>
        <w:rPr/>
        <w:t>relating </w:t>
      </w:r>
      <w:bookmarkStart w:name="_bookmark1701" w:id="1703"/>
      <w:bookmarkEnd w:id="1703"/>
      <w:r>
        <w:rPr/>
        <w:t>to</w:t>
      </w:r>
      <w:r>
        <w:rPr/>
        <w:t> the right to use immovable properties on a timeshare basis within the meaning of Directive 94/47/EC.” </w:t>
      </w:r>
      <w:r>
        <w:rPr>
          <w:color w:val="005DA1"/>
          <w:u w:val="single" w:color="005DA1"/>
          <w:vertAlign w:val="superscript"/>
        </w:rPr>
        <w:t>901</w:t>
      </w:r>
    </w:p>
    <w:p>
      <w:pPr>
        <w:pStyle w:val="BodyText"/>
        <w:spacing w:before="115"/>
      </w:pPr>
    </w:p>
    <w:p>
      <w:pPr>
        <w:pStyle w:val="BodyText"/>
        <w:spacing w:line="235" w:lineRule="auto"/>
        <w:ind w:left="165" w:right="167"/>
        <w:jc w:val="both"/>
      </w:pPr>
      <w:bookmarkStart w:name="_bookmark1702" w:id="1704"/>
      <w:bookmarkEnd w:id="1704"/>
      <w:r>
        <w:rPr/>
      </w:r>
      <w:r>
        <w:rPr/>
        <w:t>Unless, therefore, the contract relates to the right to use immovable property on a timeshare basis, as defined in the Directive, </w:t>
      </w:r>
      <w:r>
        <w:rPr>
          <w:color w:val="005DA1"/>
          <w:u w:val="single" w:color="005DA1"/>
          <w:vertAlign w:val="superscript"/>
        </w:rPr>
        <w:t>902</w:t>
      </w:r>
      <w:r>
        <w:rPr>
          <w:color w:val="005DA1"/>
          <w:vertAlign w:val="baseline"/>
        </w:rPr>
        <w:t> </w:t>
      </w:r>
      <w:r>
        <w:rPr>
          <w:vertAlign w:val="baseline"/>
        </w:rPr>
        <w:t>art.6 will not apply and the applicable law in such circumstances will </w:t>
      </w:r>
      <w:r>
        <w:rPr>
          <w:vertAlign w:val="baseline"/>
        </w:rPr>
        <w:t>be </w:t>
      </w:r>
      <w:bookmarkStart w:name="_bookmark1703" w:id="1705"/>
      <w:bookmarkEnd w:id="1705"/>
      <w:r>
        <w:rPr>
          <w:vertAlign w:val="baseline"/>
        </w:rPr>
        <w:t>determined</w:t>
      </w:r>
      <w:r>
        <w:rPr>
          <w:spacing w:val="-2"/>
          <w:vertAlign w:val="baseline"/>
        </w:rPr>
        <w:t> </w:t>
      </w:r>
      <w:r>
        <w:rPr>
          <w:vertAlign w:val="baseline"/>
        </w:rPr>
        <w:t>in</w:t>
      </w:r>
      <w:r>
        <w:rPr>
          <w:spacing w:val="-2"/>
          <w:vertAlign w:val="baseline"/>
        </w:rPr>
        <w:t> </w:t>
      </w:r>
      <w:r>
        <w:rPr>
          <w:vertAlign w:val="baseline"/>
        </w:rPr>
        <w:t>accordance</w:t>
      </w:r>
      <w:r>
        <w:rPr>
          <w:spacing w:val="-2"/>
          <w:vertAlign w:val="baseline"/>
        </w:rPr>
        <w:t> </w:t>
      </w:r>
      <w:r>
        <w:rPr>
          <w:vertAlign w:val="baseline"/>
        </w:rPr>
        <w:t>with</w:t>
      </w:r>
      <w:r>
        <w:rPr>
          <w:spacing w:val="-2"/>
          <w:vertAlign w:val="baseline"/>
        </w:rPr>
        <w:t> </w:t>
      </w:r>
      <w:r>
        <w:rPr>
          <w:vertAlign w:val="baseline"/>
        </w:rPr>
        <w:t>art.3</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Regulation,</w:t>
      </w:r>
      <w:r>
        <w:rPr>
          <w:spacing w:val="-2"/>
          <w:vertAlign w:val="baseline"/>
        </w:rPr>
        <w:t> </w:t>
      </w:r>
      <w:r>
        <w:rPr>
          <w:vertAlign w:val="baseline"/>
        </w:rPr>
        <w:t>or,</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art.4</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Regulation, in particular art.4(1)(c) and (d). </w:t>
      </w:r>
      <w:r>
        <w:rPr>
          <w:color w:val="005DA1"/>
          <w:u w:val="single" w:color="005DA1"/>
          <w:vertAlign w:val="superscript"/>
        </w:rPr>
        <w:t>903</w:t>
      </w:r>
    </w:p>
    <w:p>
      <w:pPr>
        <w:pStyle w:val="BodyText"/>
      </w:pPr>
    </w:p>
    <w:p>
      <w:pPr>
        <w:pStyle w:val="BodyText"/>
        <w:spacing w:before="37"/>
      </w:pPr>
    </w:p>
    <w:p>
      <w:pPr>
        <w:spacing w:before="1"/>
        <w:ind w:left="165" w:right="0" w:firstLine="0"/>
        <w:jc w:val="left"/>
        <w:rPr>
          <w:rFonts w:ascii="Arial"/>
          <w:b/>
          <w:sz w:val="18"/>
        </w:rPr>
      </w:pPr>
      <w:r>
        <w:rPr>
          <w:rFonts w:ascii="Arial"/>
          <w:b/>
          <w:sz w:val="18"/>
        </w:rPr>
        <w:t>Rights and obligations constituting a financial instrument, </w:t>
      </w:r>
      <w:r>
        <w:rPr>
          <w:rFonts w:ascii="Arial"/>
          <w:b/>
          <w:spacing w:val="-5"/>
          <w:sz w:val="18"/>
        </w:rPr>
        <w:t>etc</w:t>
      </w:r>
    </w:p>
    <w:p>
      <w:pPr>
        <w:pStyle w:val="BodyText"/>
        <w:spacing w:before="41"/>
        <w:rPr>
          <w:rFonts w:ascii="Arial"/>
          <w:b/>
          <w:sz w:val="18"/>
        </w:rPr>
      </w:pPr>
    </w:p>
    <w:p>
      <w:pPr>
        <w:pStyle w:val="Heading2"/>
      </w:pPr>
      <w:r>
        <w:rPr/>
        <w:t>30-</w:t>
      </w:r>
      <w:r>
        <w:rPr>
          <w:spacing w:val="-5"/>
        </w:rPr>
        <w:t>237</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r>
        <w:rPr/>
        <w:t>Fourthly, art.6(4)(d) excludes the choice of law rules in art.6 in relation to:</w:t>
      </w:r>
    </w:p>
    <w:p>
      <w:pPr>
        <w:pStyle w:val="BodyText"/>
        <w:spacing w:after="0"/>
        <w:sectPr>
          <w:pgSz w:w="11900" w:h="16840"/>
          <w:pgMar w:header="971" w:footer="0" w:top="1300" w:bottom="280" w:left="1275" w:right="1275"/>
        </w:sectPr>
      </w:pPr>
    </w:p>
    <w:p>
      <w:pPr>
        <w:pStyle w:val="BodyText"/>
      </w:pPr>
    </w:p>
    <w:p>
      <w:pPr>
        <w:pStyle w:val="BodyText"/>
        <w:spacing w:before="177"/>
      </w:pPr>
    </w:p>
    <w:p>
      <w:pPr>
        <w:pStyle w:val="BodyText"/>
        <w:spacing w:line="235" w:lineRule="auto"/>
        <w:ind w:left="1245" w:right="167"/>
        <w:jc w:val="both"/>
      </w:pPr>
      <w:r>
        <w:rPr/>
        <w:t>“… rights and obligations which constitute a financial instrument and rights </w:t>
      </w:r>
      <w:r>
        <w:rPr/>
        <w:t>and</w:t>
      </w:r>
      <w:r>
        <w:rPr>
          <w:spacing w:val="40"/>
        </w:rPr>
        <w:t> </w:t>
      </w:r>
      <w:r>
        <w:rPr/>
        <w:t>obligations constituting the terms and conditions governing the issuance or offer to the public and public take-over bids of transferable securities, and the subscription and redemption of units in collective investment undertakings, in so far as these activities do not constitute provision of a financial service.”</w:t>
      </w:r>
    </w:p>
    <w:p>
      <w:pPr>
        <w:pStyle w:val="BodyText"/>
        <w:spacing w:before="115"/>
      </w:pPr>
    </w:p>
    <w:p>
      <w:pPr>
        <w:pStyle w:val="BodyText"/>
        <w:spacing w:line="235" w:lineRule="auto"/>
        <w:ind w:left="165" w:right="167"/>
        <w:jc w:val="both"/>
      </w:pPr>
      <w:r>
        <w:rPr/>
        <w:t>The scope of this exclusion is explained in Recitals to the Regulation. Financial services such as </w:t>
      </w:r>
      <w:bookmarkStart w:name="_bookmark1704" w:id="1706"/>
      <w:bookmarkEnd w:id="1706"/>
      <w:r>
        <w:rPr/>
        <w:t>investment</w:t>
      </w:r>
      <w:r>
        <w:rPr>
          <w:spacing w:val="4"/>
        </w:rPr>
        <w:t> </w:t>
      </w:r>
      <w:r>
        <w:rPr/>
        <w:t>services</w:t>
      </w:r>
      <w:r>
        <w:rPr>
          <w:spacing w:val="4"/>
        </w:rPr>
        <w:t> </w:t>
      </w:r>
      <w:r>
        <w:rPr/>
        <w:t>and</w:t>
      </w:r>
      <w:r>
        <w:rPr>
          <w:spacing w:val="4"/>
        </w:rPr>
        <w:t> </w:t>
      </w:r>
      <w:r>
        <w:rPr/>
        <w:t>ancillary</w:t>
      </w:r>
      <w:r>
        <w:rPr>
          <w:spacing w:val="4"/>
        </w:rPr>
        <w:t> </w:t>
      </w:r>
      <w:r>
        <w:rPr/>
        <w:t>services</w:t>
      </w:r>
      <w:r>
        <w:rPr>
          <w:spacing w:val="4"/>
        </w:rPr>
        <w:t> </w:t>
      </w:r>
      <w:r>
        <w:rPr/>
        <w:t>provided</w:t>
      </w:r>
      <w:r>
        <w:rPr>
          <w:spacing w:val="4"/>
        </w:rPr>
        <w:t> </w:t>
      </w:r>
      <w:r>
        <w:rPr/>
        <w:t>by</w:t>
      </w:r>
      <w:r>
        <w:rPr>
          <w:spacing w:val="4"/>
        </w:rPr>
        <w:t> </w:t>
      </w:r>
      <w:r>
        <w:rPr/>
        <w:t>a</w:t>
      </w:r>
      <w:r>
        <w:rPr>
          <w:spacing w:val="4"/>
        </w:rPr>
        <w:t> </w:t>
      </w:r>
      <w:r>
        <w:rPr/>
        <w:t>professional</w:t>
      </w:r>
      <w:r>
        <w:rPr>
          <w:spacing w:val="4"/>
        </w:rPr>
        <w:t> </w:t>
      </w:r>
      <w:r>
        <w:rPr/>
        <w:t>to</w:t>
      </w:r>
      <w:r>
        <w:rPr>
          <w:spacing w:val="4"/>
        </w:rPr>
        <w:t> </w:t>
      </w:r>
      <w:r>
        <w:rPr/>
        <w:t>a</w:t>
      </w:r>
      <w:r>
        <w:rPr>
          <w:spacing w:val="4"/>
        </w:rPr>
        <w:t> </w:t>
      </w:r>
      <w:r>
        <w:rPr/>
        <w:t>consumer,</w:t>
      </w:r>
      <w:r>
        <w:rPr>
          <w:spacing w:val="4"/>
        </w:rPr>
        <w:t> </w:t>
      </w:r>
      <w:r>
        <w:rPr/>
        <w:t>as</w:t>
      </w:r>
      <w:r>
        <w:rPr>
          <w:spacing w:val="4"/>
        </w:rPr>
        <w:t> </w:t>
      </w:r>
      <w:r>
        <w:rPr/>
        <w:t>referred</w:t>
      </w:r>
      <w:r>
        <w:rPr>
          <w:spacing w:val="4"/>
        </w:rPr>
        <w:t> </w:t>
      </w:r>
      <w:r>
        <w:rPr/>
        <w:t>to</w:t>
      </w:r>
      <w:r>
        <w:rPr>
          <w:spacing w:val="4"/>
        </w:rPr>
        <w:t> </w:t>
      </w:r>
      <w:r>
        <w:rPr>
          <w:spacing w:val="-5"/>
        </w:rPr>
        <w:t>in</w:t>
      </w:r>
    </w:p>
    <w:p>
      <w:pPr>
        <w:pStyle w:val="BodyText"/>
        <w:spacing w:line="235" w:lineRule="auto" w:before="119"/>
        <w:ind w:left="165" w:right="167"/>
        <w:jc w:val="both"/>
      </w:pPr>
      <w:r>
        <w:rPr/>
        <w:t>sections A and B of Annex I to Directive 2004/29 (MiFID), </w:t>
      </w:r>
      <w:r>
        <w:rPr>
          <w:color w:val="005DA1"/>
          <w:u w:val="single" w:color="005DA1"/>
          <w:vertAlign w:val="superscript"/>
        </w:rPr>
        <w:t>904</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9"/>
          <w:vertAlign w:val="baseline"/>
        </w:rPr>
        <w:t> </w:t>
      </w:r>
      <w:r>
        <w:rPr>
          <w:vertAlign w:val="baseline"/>
        </w:rPr>
        <w:t>and contracts for the sale of units in collective</w:t>
      </w:r>
      <w:r>
        <w:rPr>
          <w:spacing w:val="40"/>
          <w:vertAlign w:val="baseline"/>
        </w:rPr>
        <w:t> </w:t>
      </w:r>
      <w:r>
        <w:rPr>
          <w:vertAlign w:val="baseline"/>
        </w:rPr>
        <w:t>investment</w:t>
      </w:r>
      <w:r>
        <w:rPr>
          <w:spacing w:val="40"/>
          <w:vertAlign w:val="baseline"/>
        </w:rPr>
        <w:t> </w:t>
      </w:r>
      <w:r>
        <w:rPr>
          <w:vertAlign w:val="baseline"/>
        </w:rPr>
        <w:t>undertakings,</w:t>
      </w:r>
      <w:r>
        <w:rPr>
          <w:spacing w:val="40"/>
          <w:vertAlign w:val="baseline"/>
        </w:rPr>
        <w:t> </w:t>
      </w:r>
      <w:r>
        <w:rPr>
          <w:vertAlign w:val="baseline"/>
        </w:rPr>
        <w:t>whether</w:t>
      </w:r>
      <w:r>
        <w:rPr>
          <w:spacing w:val="40"/>
          <w:vertAlign w:val="baseline"/>
        </w:rPr>
        <w:t> </w:t>
      </w:r>
      <w:r>
        <w:rPr>
          <w:vertAlign w:val="baseline"/>
        </w:rPr>
        <w:t>or</w:t>
      </w:r>
      <w:r>
        <w:rPr>
          <w:spacing w:val="40"/>
          <w:vertAlign w:val="baseline"/>
        </w:rPr>
        <w:t> </w:t>
      </w:r>
      <w:r>
        <w:rPr>
          <w:vertAlign w:val="baseline"/>
        </w:rPr>
        <w:t>not</w:t>
      </w:r>
      <w:r>
        <w:rPr>
          <w:spacing w:val="40"/>
          <w:vertAlign w:val="baseline"/>
        </w:rPr>
        <w:t> </w:t>
      </w:r>
      <w:r>
        <w:rPr>
          <w:vertAlign w:val="baseline"/>
        </w:rPr>
        <w:t>covered</w:t>
      </w:r>
      <w:r>
        <w:rPr>
          <w:spacing w:val="40"/>
          <w:vertAlign w:val="baseline"/>
        </w:rPr>
        <w:t> </w:t>
      </w:r>
      <w:r>
        <w:rPr>
          <w:vertAlign w:val="baseline"/>
        </w:rPr>
        <w:t>by</w:t>
      </w:r>
      <w:r>
        <w:rPr>
          <w:spacing w:val="40"/>
          <w:vertAlign w:val="baseline"/>
        </w:rPr>
        <w:t> </w:t>
      </w:r>
      <w:r>
        <w:rPr>
          <w:vertAlign w:val="baseline"/>
        </w:rPr>
        <w:t>Council</w:t>
      </w:r>
      <w:r>
        <w:rPr>
          <w:spacing w:val="40"/>
          <w:vertAlign w:val="baseline"/>
        </w:rPr>
        <w:t> </w:t>
      </w:r>
      <w:r>
        <w:rPr>
          <w:vertAlign w:val="baseline"/>
        </w:rPr>
        <w:t>Directive</w:t>
      </w:r>
      <w:r>
        <w:rPr>
          <w:spacing w:val="40"/>
          <w:vertAlign w:val="baseline"/>
        </w:rPr>
        <w:t> </w:t>
      </w:r>
      <w:r>
        <w:rPr>
          <w:vertAlign w:val="baseline"/>
        </w:rPr>
        <w:t>85/611</w:t>
      </w:r>
      <w:r>
        <w:rPr>
          <w:spacing w:val="40"/>
          <w:vertAlign w:val="baseline"/>
        </w:rPr>
        <w:t> </w:t>
      </w:r>
      <w:r>
        <w:rPr>
          <w:vertAlign w:val="baseline"/>
        </w:rPr>
        <w:t>on</w:t>
      </w:r>
      <w:r>
        <w:rPr>
          <w:spacing w:val="40"/>
          <w:vertAlign w:val="baseline"/>
        </w:rPr>
        <w:t> </w:t>
      </w:r>
      <w:r>
        <w:rPr>
          <w:vertAlign w:val="baseline"/>
        </w:rPr>
        <w:t>the </w:t>
      </w:r>
      <w:bookmarkStart w:name="_bookmark1705" w:id="1707"/>
      <w:bookmarkEnd w:id="1707"/>
      <w:r>
        <w:rPr>
          <w:vertAlign w:val="baseline"/>
        </w:rPr>
        <w:t>co</w:t>
      </w:r>
      <w:r>
        <w:rPr>
          <w:vertAlign w:val="baseline"/>
        </w:rPr>
        <w:t>-ordination</w:t>
      </w:r>
      <w:r>
        <w:rPr>
          <w:spacing w:val="36"/>
          <w:vertAlign w:val="baseline"/>
        </w:rPr>
        <w:t> </w:t>
      </w:r>
      <w:r>
        <w:rPr>
          <w:vertAlign w:val="baseline"/>
        </w:rPr>
        <w:t>of</w:t>
      </w:r>
      <w:r>
        <w:rPr>
          <w:spacing w:val="36"/>
          <w:vertAlign w:val="baseline"/>
        </w:rPr>
        <w:t> </w:t>
      </w:r>
      <w:r>
        <w:rPr>
          <w:vertAlign w:val="baseline"/>
        </w:rPr>
        <w:t>laws,</w:t>
      </w:r>
      <w:r>
        <w:rPr>
          <w:spacing w:val="36"/>
          <w:vertAlign w:val="baseline"/>
        </w:rPr>
        <w:t> </w:t>
      </w:r>
      <w:r>
        <w:rPr>
          <w:vertAlign w:val="baseline"/>
        </w:rPr>
        <w:t>regulations</w:t>
      </w:r>
      <w:r>
        <w:rPr>
          <w:spacing w:val="36"/>
          <w:vertAlign w:val="baseline"/>
        </w:rPr>
        <w:t> </w:t>
      </w:r>
      <w:r>
        <w:rPr>
          <w:vertAlign w:val="baseline"/>
        </w:rPr>
        <w:t>and</w:t>
      </w:r>
      <w:r>
        <w:rPr>
          <w:spacing w:val="36"/>
          <w:vertAlign w:val="baseline"/>
        </w:rPr>
        <w:t> </w:t>
      </w:r>
      <w:r>
        <w:rPr>
          <w:vertAlign w:val="baseline"/>
        </w:rPr>
        <w:t>administrative</w:t>
      </w:r>
      <w:r>
        <w:rPr>
          <w:spacing w:val="36"/>
          <w:vertAlign w:val="baseline"/>
        </w:rPr>
        <w:t> </w:t>
      </w:r>
      <w:r>
        <w:rPr>
          <w:vertAlign w:val="baseline"/>
        </w:rPr>
        <w:t>provisions</w:t>
      </w:r>
      <w:r>
        <w:rPr>
          <w:spacing w:val="36"/>
          <w:vertAlign w:val="baseline"/>
        </w:rPr>
        <w:t> </w:t>
      </w:r>
      <w:r>
        <w:rPr>
          <w:vertAlign w:val="baseline"/>
        </w:rPr>
        <w:t>relating</w:t>
      </w:r>
      <w:r>
        <w:rPr>
          <w:spacing w:val="36"/>
          <w:vertAlign w:val="baseline"/>
        </w:rPr>
        <w:t> </w:t>
      </w:r>
      <w:r>
        <w:rPr>
          <w:vertAlign w:val="baseline"/>
        </w:rPr>
        <w:t>to</w:t>
      </w:r>
      <w:r>
        <w:rPr>
          <w:spacing w:val="36"/>
          <w:vertAlign w:val="baseline"/>
        </w:rPr>
        <w:t> </w:t>
      </w:r>
      <w:r>
        <w:rPr>
          <w:vertAlign w:val="baseline"/>
        </w:rPr>
        <w:t>collective</w:t>
      </w:r>
      <w:r>
        <w:rPr>
          <w:spacing w:val="36"/>
          <w:vertAlign w:val="baseline"/>
        </w:rPr>
        <w:t> </w:t>
      </w:r>
      <w:r>
        <w:rPr>
          <w:vertAlign w:val="baseline"/>
        </w:rPr>
        <w:t>investment</w:t>
      </w:r>
      <w:r>
        <w:rPr>
          <w:spacing w:val="36"/>
          <w:vertAlign w:val="baseline"/>
        </w:rPr>
        <w:t> </w:t>
      </w:r>
      <w:r>
        <w:rPr>
          <w:spacing w:val="-5"/>
          <w:vertAlign w:val="baseline"/>
        </w:rPr>
        <w:t>in</w:t>
      </w:r>
    </w:p>
    <w:p>
      <w:pPr>
        <w:pStyle w:val="BodyText"/>
        <w:spacing w:line="235" w:lineRule="auto" w:before="119"/>
        <w:ind w:left="164" w:right="167"/>
        <w:jc w:val="both"/>
      </w:pPr>
      <w:r>
        <w:rPr/>
        <w:t>transferable securities (UCITS) </w:t>
      </w:r>
      <w:r>
        <w:rPr>
          <w:color w:val="005DA1"/>
          <w:u w:val="single" w:color="005DA1"/>
          <w:vertAlign w:val="superscript"/>
        </w:rPr>
        <w:t>905</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40"/>
          <w:vertAlign w:val="baseline"/>
        </w:rPr>
        <w:t> </w:t>
      </w:r>
      <w:r>
        <w:rPr>
          <w:vertAlign w:val="baseline"/>
        </w:rPr>
        <w:t>should be subject to art.6 of the Regulation. </w:t>
      </w:r>
      <w:r>
        <w:rPr>
          <w:vertAlign w:val="baseline"/>
        </w:rPr>
        <w:t>Consequently, </w:t>
      </w:r>
      <w:bookmarkStart w:name="_bookmark1706" w:id="1708"/>
      <w:bookmarkEnd w:id="1708"/>
      <w:r>
        <w:rPr>
          <w:vertAlign w:val="baseline"/>
        </w:rPr>
        <w:t>when</w:t>
      </w:r>
      <w:r>
        <w:rPr>
          <w:vertAlign w:val="baseline"/>
        </w:rPr>
        <w:t> a reference is made to terms and conditions governing the issuance or offer to the public of transferable securities </w:t>
      </w:r>
      <w:r>
        <w:rPr>
          <w:color w:val="005DA1"/>
          <w:u w:val="single" w:color="005DA1"/>
          <w:vertAlign w:val="superscript"/>
        </w:rPr>
        <w:t>906</w:t>
      </w:r>
      <w:r>
        <w:rPr>
          <w:color w:val="005DA1"/>
          <w:vertAlign w:val="baseline"/>
        </w:rPr>
        <w:t> </w:t>
      </w:r>
      <w:r>
        <w:rPr>
          <w:vertAlign w:val="baseline"/>
        </w:rPr>
        <w:t>or to the subscription and redemption of units in collective investment </w:t>
      </w:r>
      <w:bookmarkStart w:name="_bookmark1707" w:id="1709"/>
      <w:bookmarkEnd w:id="1709"/>
      <w:r>
        <w:rPr>
          <w:vertAlign w:val="baseline"/>
        </w:rPr>
        <w:t>undertakings,</w:t>
      </w:r>
      <w:r>
        <w:rPr>
          <w:vertAlign w:val="baseline"/>
        </w:rPr>
        <w:t> that reference should </w:t>
      </w:r>
      <w:r>
        <w:rPr>
          <w:rFonts w:ascii="Arial" w:hAnsi="Arial"/>
          <w:i/>
          <w:vertAlign w:val="baseline"/>
        </w:rPr>
        <w:t>include </w:t>
      </w:r>
      <w:r>
        <w:rPr>
          <w:vertAlign w:val="baseline"/>
        </w:rPr>
        <w:t>all aspects binding the issuer or the offeror to the </w:t>
      </w:r>
      <w:bookmarkStart w:name="_bookmark1708" w:id="1710"/>
      <w:bookmarkEnd w:id="1710"/>
      <w:r>
        <w:rPr>
          <w:vertAlign w:val="baseline"/>
        </w:rPr>
        <w:t>consumer,</w:t>
      </w:r>
      <w:r>
        <w:rPr>
          <w:spacing w:val="-1"/>
          <w:vertAlign w:val="baseline"/>
        </w:rPr>
        <w:t> </w:t>
      </w:r>
      <w:r>
        <w:rPr>
          <w:vertAlign w:val="baseline"/>
        </w:rPr>
        <w:t>but</w:t>
      </w:r>
      <w:r>
        <w:rPr>
          <w:spacing w:val="-1"/>
          <w:vertAlign w:val="baseline"/>
        </w:rPr>
        <w:t> </w:t>
      </w:r>
      <w:r>
        <w:rPr>
          <w:vertAlign w:val="baseline"/>
        </w:rPr>
        <w:t>should</w:t>
      </w:r>
      <w:r>
        <w:rPr>
          <w:spacing w:val="-2"/>
          <w:vertAlign w:val="baseline"/>
        </w:rPr>
        <w:t> </w:t>
      </w:r>
      <w:r>
        <w:rPr>
          <w:rFonts w:ascii="Arial" w:hAnsi="Arial"/>
          <w:i/>
          <w:vertAlign w:val="baseline"/>
        </w:rPr>
        <w:t>not</w:t>
      </w:r>
      <w:r>
        <w:rPr>
          <w:rFonts w:ascii="Arial" w:hAnsi="Arial"/>
          <w:i/>
          <w:spacing w:val="-1"/>
          <w:vertAlign w:val="baseline"/>
        </w:rPr>
        <w:t> </w:t>
      </w:r>
      <w:r>
        <w:rPr>
          <w:rFonts w:ascii="Arial" w:hAnsi="Arial"/>
          <w:i/>
          <w:vertAlign w:val="baseline"/>
        </w:rPr>
        <w:t>include</w:t>
      </w:r>
      <w:r>
        <w:rPr>
          <w:rFonts w:ascii="Arial" w:hAnsi="Arial"/>
          <w:i/>
          <w:spacing w:val="-2"/>
          <w:vertAlign w:val="baseline"/>
        </w:rPr>
        <w:t> </w:t>
      </w:r>
      <w:r>
        <w:rPr>
          <w:vertAlign w:val="baseline"/>
        </w:rPr>
        <w:t>those</w:t>
      </w:r>
      <w:r>
        <w:rPr>
          <w:spacing w:val="-1"/>
          <w:vertAlign w:val="baseline"/>
        </w:rPr>
        <w:t> </w:t>
      </w:r>
      <w:r>
        <w:rPr>
          <w:vertAlign w:val="baseline"/>
        </w:rPr>
        <w:t>aspects</w:t>
      </w:r>
      <w:r>
        <w:rPr>
          <w:spacing w:val="-1"/>
          <w:vertAlign w:val="baseline"/>
        </w:rPr>
        <w:t> </w:t>
      </w:r>
      <w:r>
        <w:rPr>
          <w:vertAlign w:val="baseline"/>
        </w:rPr>
        <w:t>involving</w:t>
      </w:r>
      <w:r>
        <w:rPr>
          <w:spacing w:val="-1"/>
          <w:vertAlign w:val="baseline"/>
        </w:rPr>
        <w:t> </w:t>
      </w:r>
      <w:r>
        <w:rPr>
          <w:vertAlign w:val="baseline"/>
        </w:rPr>
        <w:t>provision</w:t>
      </w:r>
      <w:r>
        <w:rPr>
          <w:spacing w:val="-1"/>
          <w:vertAlign w:val="baseline"/>
        </w:rPr>
        <w:t> </w:t>
      </w:r>
      <w:r>
        <w:rPr>
          <w:vertAlign w:val="baseline"/>
        </w:rPr>
        <w:t>of</w:t>
      </w:r>
      <w:r>
        <w:rPr>
          <w:spacing w:val="-1"/>
          <w:vertAlign w:val="baseline"/>
        </w:rPr>
        <w:t> </w:t>
      </w:r>
      <w:r>
        <w:rPr>
          <w:vertAlign w:val="baseline"/>
        </w:rPr>
        <w:t>financial</w:t>
      </w:r>
      <w:r>
        <w:rPr>
          <w:spacing w:val="-1"/>
          <w:vertAlign w:val="baseline"/>
        </w:rPr>
        <w:t> </w:t>
      </w:r>
      <w:r>
        <w:rPr>
          <w:vertAlign w:val="baseline"/>
        </w:rPr>
        <w:t>services.</w:t>
      </w:r>
      <w:r>
        <w:rPr>
          <w:spacing w:val="-2"/>
          <w:vertAlign w:val="baseline"/>
        </w:rPr>
        <w:t> </w:t>
      </w:r>
      <w:r>
        <w:rPr>
          <w:color w:val="005DA1"/>
          <w:u w:val="single" w:color="005DA1"/>
          <w:vertAlign w:val="superscript"/>
        </w:rPr>
        <w:t>907</w:t>
      </w:r>
      <w:r>
        <w:rPr>
          <w:color w:val="005DA1"/>
          <w:spacing w:val="-1"/>
          <w:vertAlign w:val="baseline"/>
        </w:rPr>
        <w:t> </w:t>
      </w:r>
      <w:r>
        <w:rPr>
          <w:vertAlign w:val="baseline"/>
        </w:rPr>
        <w:t>Recital</w:t>
      </w:r>
      <w:r>
        <w:rPr>
          <w:spacing w:val="-1"/>
          <w:vertAlign w:val="baseline"/>
        </w:rPr>
        <w:t> </w:t>
      </w:r>
      <w:r>
        <w:rPr>
          <w:vertAlign w:val="baseline"/>
        </w:rPr>
        <w:t>28 states that it is important to ensure that rights and obligations which constitute a financial instrument </w:t>
      </w:r>
      <w:r>
        <w:rPr>
          <w:color w:val="005DA1"/>
          <w:u w:val="single" w:color="005DA1"/>
          <w:vertAlign w:val="superscript"/>
        </w:rPr>
        <w:t>908</w:t>
      </w:r>
      <w:r>
        <w:rPr>
          <w:color w:val="005DA1"/>
          <w:vertAlign w:val="baseline"/>
        </w:rPr>
        <w:t> </w:t>
      </w:r>
      <w:r>
        <w:rPr>
          <w:vertAlign w:val="baseline"/>
        </w:rPr>
        <w:t>are not covered by the general rule applicable to consumer contracts, as that could lead to</w:t>
      </w:r>
      <w:r>
        <w:rPr>
          <w:spacing w:val="40"/>
          <w:vertAlign w:val="baseline"/>
        </w:rPr>
        <w:t> </w:t>
      </w:r>
      <w:r>
        <w:rPr>
          <w:vertAlign w:val="baseline"/>
        </w:rPr>
        <w:t>different laws being applicable to each of the instruments issued, therefore changing their nature and preventing their fungible trading and offering. Further, wherever such instruments are issued or offered, the contractual relationship between the issuer or the offeror and the consumer should not </w:t>
      </w:r>
      <w:bookmarkStart w:name="_bookmark1709" w:id="1711"/>
      <w:bookmarkEnd w:id="1711"/>
      <w:r>
        <w:rPr>
          <w:vertAlign w:val="baseline"/>
        </w:rPr>
        <w:t>necessarily</w:t>
      </w:r>
      <w:r>
        <w:rPr>
          <w:spacing w:val="-1"/>
          <w:vertAlign w:val="baseline"/>
        </w:rPr>
        <w:t> </w:t>
      </w:r>
      <w:r>
        <w:rPr>
          <w:vertAlign w:val="baseline"/>
        </w:rPr>
        <w:t>be</w:t>
      </w:r>
      <w:r>
        <w:rPr>
          <w:spacing w:val="-2"/>
          <w:vertAlign w:val="baseline"/>
        </w:rPr>
        <w:t> </w:t>
      </w:r>
      <w:r>
        <w:rPr>
          <w:vertAlign w:val="baseline"/>
        </w:rPr>
        <w:t>subject</w:t>
      </w:r>
      <w:r>
        <w:rPr>
          <w:spacing w:val="-1"/>
          <w:vertAlign w:val="baseline"/>
        </w:rPr>
        <w:t> </w:t>
      </w:r>
      <w:r>
        <w:rPr>
          <w:vertAlign w:val="baseline"/>
        </w:rPr>
        <w:t>to</w:t>
      </w:r>
      <w:r>
        <w:rPr>
          <w:spacing w:val="-2"/>
          <w:vertAlign w:val="baseline"/>
        </w:rPr>
        <w:t> </w:t>
      </w:r>
      <w:r>
        <w:rPr>
          <w:vertAlign w:val="baseline"/>
        </w:rPr>
        <w:t>the</w:t>
      </w:r>
      <w:r>
        <w:rPr>
          <w:spacing w:val="-1"/>
          <w:vertAlign w:val="baseline"/>
        </w:rPr>
        <w:t> </w:t>
      </w:r>
      <w:r>
        <w:rPr>
          <w:vertAlign w:val="baseline"/>
        </w:rPr>
        <w:t>mandatory</w:t>
      </w:r>
      <w:r>
        <w:rPr>
          <w:spacing w:val="-2"/>
          <w:vertAlign w:val="baseline"/>
        </w:rPr>
        <w:t> </w:t>
      </w:r>
      <w:r>
        <w:rPr>
          <w:vertAlign w:val="baseline"/>
        </w:rPr>
        <w:t>application</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law</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consumer’s</w:t>
      </w:r>
      <w:r>
        <w:rPr>
          <w:spacing w:val="-1"/>
          <w:vertAlign w:val="baseline"/>
        </w:rPr>
        <w:t> </w:t>
      </w:r>
      <w:r>
        <w:rPr>
          <w:vertAlign w:val="baseline"/>
        </w:rPr>
        <w:t>habitual</w:t>
      </w:r>
      <w:r>
        <w:rPr>
          <w:spacing w:val="-2"/>
          <w:vertAlign w:val="baseline"/>
        </w:rPr>
        <w:t> </w:t>
      </w:r>
      <w:r>
        <w:rPr>
          <w:vertAlign w:val="baseline"/>
        </w:rPr>
        <w:t>residence</w:t>
      </w:r>
      <w:r>
        <w:rPr>
          <w:spacing w:val="-1"/>
          <w:vertAlign w:val="baseline"/>
        </w:rPr>
        <w:t> </w:t>
      </w:r>
      <w:r>
        <w:rPr>
          <w:vertAlign w:val="baseline"/>
        </w:rPr>
        <w:t>(a </w:t>
      </w:r>
      <w:bookmarkStart w:name="_bookmark1710" w:id="1712"/>
      <w:bookmarkEnd w:id="1712"/>
      <w:r>
        <w:rPr>
          <w:vertAlign w:val="baseline"/>
        </w:rPr>
        <w:t>principal</w:t>
      </w:r>
      <w:r>
        <w:rPr>
          <w:vertAlign w:val="baseline"/>
        </w:rPr>
        <w:t> feature of the choice of law rules in art.6 </w:t>
      </w:r>
      <w:r>
        <w:rPr>
          <w:color w:val="005DA1"/>
          <w:u w:val="single" w:color="005DA1"/>
          <w:vertAlign w:val="superscript"/>
        </w:rPr>
        <w:t>909</w:t>
      </w:r>
      <w:r>
        <w:rPr>
          <w:vertAlign w:val="baseline"/>
        </w:rPr>
        <w:t>) as there is a need to ensure uniformity in the terms and conditions of an issuance or offer. </w:t>
      </w:r>
      <w:r>
        <w:rPr>
          <w:color w:val="005DA1"/>
          <w:u w:val="single" w:color="005DA1"/>
          <w:vertAlign w:val="superscript"/>
        </w:rPr>
        <w:t>910</w:t>
      </w:r>
      <w:r>
        <w:rPr>
          <w:color w:val="005DA1"/>
          <w:vertAlign w:val="baseline"/>
        </w:rPr>
        <w:t> </w:t>
      </w:r>
      <w:r>
        <w:rPr>
          <w:vertAlign w:val="baseline"/>
        </w:rPr>
        <w:t>Recital 29 states that for the purposes of the Regulation, references to rights and obligations constituting the terms and conditions governing the issuance, offers to the public or public take-over bids of transferable securities and references to the subscriptions and redemption of units in collective investment undertakings should include the terms governing</w:t>
      </w:r>
      <w:r>
        <w:rPr>
          <w:spacing w:val="80"/>
          <w:vertAlign w:val="baseline"/>
        </w:rPr>
        <w:t> </w:t>
      </w:r>
      <w:r>
        <w:rPr>
          <w:vertAlign w:val="baseline"/>
        </w:rPr>
        <w:t>amongst</w:t>
      </w:r>
      <w:r>
        <w:rPr>
          <w:spacing w:val="80"/>
          <w:vertAlign w:val="baseline"/>
        </w:rPr>
        <w:t> </w:t>
      </w:r>
      <w:r>
        <w:rPr>
          <w:vertAlign w:val="baseline"/>
        </w:rPr>
        <w:t>other</w:t>
      </w:r>
      <w:r>
        <w:rPr>
          <w:spacing w:val="80"/>
          <w:vertAlign w:val="baseline"/>
        </w:rPr>
        <w:t> </w:t>
      </w:r>
      <w:r>
        <w:rPr>
          <w:vertAlign w:val="baseline"/>
        </w:rPr>
        <w:t>things,</w:t>
      </w:r>
      <w:r>
        <w:rPr>
          <w:spacing w:val="80"/>
          <w:vertAlign w:val="baseline"/>
        </w:rPr>
        <w:t> </w:t>
      </w:r>
      <w:r>
        <w:rPr>
          <w:vertAlign w:val="baseline"/>
        </w:rPr>
        <w:t>the</w:t>
      </w:r>
      <w:r>
        <w:rPr>
          <w:spacing w:val="80"/>
          <w:vertAlign w:val="baseline"/>
        </w:rPr>
        <w:t> </w:t>
      </w:r>
      <w:r>
        <w:rPr>
          <w:vertAlign w:val="baseline"/>
        </w:rPr>
        <w:t>allocation</w:t>
      </w:r>
      <w:r>
        <w:rPr>
          <w:spacing w:val="80"/>
          <w:vertAlign w:val="baseline"/>
        </w:rPr>
        <w:t> </w:t>
      </w:r>
      <w:r>
        <w:rPr>
          <w:vertAlign w:val="baseline"/>
        </w:rPr>
        <w:t>of</w:t>
      </w:r>
      <w:r>
        <w:rPr>
          <w:spacing w:val="80"/>
          <w:vertAlign w:val="baseline"/>
        </w:rPr>
        <w:t> </w:t>
      </w:r>
      <w:r>
        <w:rPr>
          <w:vertAlign w:val="baseline"/>
        </w:rPr>
        <w:t>securities</w:t>
      </w:r>
      <w:r>
        <w:rPr>
          <w:spacing w:val="80"/>
          <w:vertAlign w:val="baseline"/>
        </w:rPr>
        <w:t> </w:t>
      </w:r>
      <w:r>
        <w:rPr>
          <w:vertAlign w:val="baseline"/>
        </w:rPr>
        <w:t>or</w:t>
      </w:r>
      <w:r>
        <w:rPr>
          <w:spacing w:val="80"/>
          <w:vertAlign w:val="baseline"/>
        </w:rPr>
        <w:t> </w:t>
      </w:r>
      <w:r>
        <w:rPr>
          <w:vertAlign w:val="baseline"/>
        </w:rPr>
        <w:t>units,</w:t>
      </w:r>
      <w:r>
        <w:rPr>
          <w:spacing w:val="80"/>
          <w:vertAlign w:val="baseline"/>
        </w:rPr>
        <w:t> </w:t>
      </w:r>
      <w:r>
        <w:rPr>
          <w:vertAlign w:val="baseline"/>
        </w:rPr>
        <w:t>rights</w:t>
      </w:r>
      <w:r>
        <w:rPr>
          <w:spacing w:val="80"/>
          <w:vertAlign w:val="baseline"/>
        </w:rPr>
        <w:t> </w:t>
      </w:r>
      <w:r>
        <w:rPr>
          <w:vertAlign w:val="baseline"/>
        </w:rPr>
        <w:t>in</w:t>
      </w:r>
      <w:r>
        <w:rPr>
          <w:spacing w:val="80"/>
          <w:vertAlign w:val="baseline"/>
        </w:rPr>
        <w:t> </w:t>
      </w:r>
      <w:r>
        <w:rPr>
          <w:vertAlign w:val="baseline"/>
        </w:rPr>
        <w:t>the</w:t>
      </w:r>
      <w:r>
        <w:rPr>
          <w:spacing w:val="80"/>
          <w:vertAlign w:val="baseline"/>
        </w:rPr>
        <w:t> </w:t>
      </w:r>
      <w:r>
        <w:rPr>
          <w:vertAlign w:val="baseline"/>
        </w:rPr>
        <w:t>event</w:t>
      </w:r>
      <w:r>
        <w:rPr>
          <w:spacing w:val="80"/>
          <w:vertAlign w:val="baseline"/>
        </w:rPr>
        <w:t> </w:t>
      </w:r>
      <w:r>
        <w:rPr>
          <w:vertAlign w:val="baseline"/>
        </w:rPr>
        <w:t>of </w:t>
      </w:r>
      <w:bookmarkStart w:name="_bookmark1711" w:id="1713"/>
      <w:bookmarkEnd w:id="1713"/>
      <w:r>
        <w:rPr>
          <w:vertAlign w:val="baseline"/>
        </w:rPr>
        <w:t>over</w:t>
      </w:r>
      <w:r>
        <w:rPr>
          <w:vertAlign w:val="baseline"/>
        </w:rPr>
        <w:t>-subscription, withdrawal rights and similar matters in the context of the offer as well as those matters referred to in arts 10, 11, 12 and 13 of the Regulation, </w:t>
      </w:r>
      <w:r>
        <w:rPr>
          <w:color w:val="005DA1"/>
          <w:u w:val="single" w:color="005DA1"/>
          <w:vertAlign w:val="superscript"/>
        </w:rPr>
        <w:t>911</w:t>
      </w:r>
      <w:r>
        <w:rPr>
          <w:color w:val="005DA1"/>
          <w:vertAlign w:val="baseline"/>
        </w:rPr>
        <w:t> </w:t>
      </w:r>
      <w:r>
        <w:rPr>
          <w:vertAlign w:val="baseline"/>
        </w:rPr>
        <w:t>thus ensuring that all relevant </w:t>
      </w:r>
      <w:bookmarkStart w:name="_bookmark1712" w:id="1714"/>
      <w:bookmarkEnd w:id="1714"/>
      <w:r>
        <w:rPr>
          <w:vertAlign w:val="baseline"/>
        </w:rPr>
        <w:t>contractual</w:t>
      </w:r>
      <w:r>
        <w:rPr>
          <w:vertAlign w:val="baseline"/>
        </w:rPr>
        <w:t> aspects of an offer binding the issuer or the offeror to the consumer are governed by a single law. </w:t>
      </w:r>
      <w:r>
        <w:rPr>
          <w:color w:val="005DA1"/>
          <w:u w:val="single" w:color="005DA1"/>
          <w:vertAlign w:val="superscript"/>
        </w:rPr>
        <w:t>912</w:t>
      </w:r>
    </w:p>
    <w:p>
      <w:pPr>
        <w:pStyle w:val="BodyText"/>
      </w:pPr>
    </w:p>
    <w:p>
      <w:pPr>
        <w:pStyle w:val="BodyText"/>
        <w:spacing w:before="30"/>
      </w:pPr>
    </w:p>
    <w:p>
      <w:pPr>
        <w:spacing w:before="1"/>
        <w:ind w:left="165" w:right="0" w:firstLine="0"/>
        <w:jc w:val="both"/>
        <w:rPr>
          <w:rFonts w:ascii="Arial"/>
          <w:b/>
          <w:sz w:val="18"/>
        </w:rPr>
      </w:pPr>
      <w:r>
        <w:rPr>
          <w:rFonts w:ascii="Arial"/>
          <w:b/>
          <w:sz w:val="18"/>
        </w:rPr>
        <w:t>Contract concluded within system falling within </w:t>
      </w:r>
      <w:r>
        <w:rPr>
          <w:rFonts w:ascii="Arial"/>
          <w:b/>
          <w:spacing w:val="-2"/>
          <w:sz w:val="18"/>
        </w:rPr>
        <w:t>art.4(1)(h)</w:t>
      </w:r>
    </w:p>
    <w:p>
      <w:pPr>
        <w:pStyle w:val="BodyText"/>
        <w:spacing w:before="41"/>
        <w:rPr>
          <w:rFonts w:ascii="Arial"/>
          <w:b/>
          <w:sz w:val="18"/>
        </w:rPr>
      </w:pPr>
    </w:p>
    <w:p>
      <w:pPr>
        <w:pStyle w:val="Heading2"/>
      </w:pPr>
      <w:r>
        <w:rPr/>
        <w:t>30-</w:t>
      </w:r>
      <w:r>
        <w:rPr>
          <w:spacing w:val="-5"/>
        </w:rPr>
        <w:t>238</w:t>
      </w:r>
    </w:p>
    <w:p>
      <w:pPr>
        <w:pStyle w:val="BodyText"/>
        <w:spacing w:line="235" w:lineRule="auto" w:before="203"/>
        <w:ind w:left="165" w:right="167"/>
        <w:jc w:val="both"/>
      </w:pPr>
      <w:bookmarkStart w:name="_bookmark1713" w:id="1715"/>
      <w:bookmarkEnd w:id="1715"/>
      <w:r>
        <w:rPr/>
      </w:r>
      <w:bookmarkStart w:name="_bookmark1714" w:id="1716"/>
      <w:bookmarkEnd w:id="1716"/>
      <w:r>
        <w:rPr/>
      </w:r>
      <w:r>
        <w:rPr/>
        <w:t>A contract falling within the scope of art.4(1)(h) of the Regulation, </w:t>
      </w:r>
      <w:r>
        <w:rPr>
          <w:color w:val="005DA1"/>
          <w:u w:val="single" w:color="005DA1"/>
          <w:vertAlign w:val="superscript"/>
        </w:rPr>
        <w:t>913</w:t>
      </w:r>
      <w:r>
        <w:rPr>
          <w:color w:val="005DA1"/>
          <w:vertAlign w:val="baseline"/>
        </w:rPr>
        <w:t> </w:t>
      </w:r>
      <w:r>
        <w:rPr>
          <w:vertAlign w:val="baseline"/>
        </w:rPr>
        <w:t>is, finally, excluded from </w:t>
      </w:r>
      <w:r>
        <w:rPr>
          <w:vertAlign w:val="baseline"/>
        </w:rPr>
        <w:t>the scope of art.6. </w:t>
      </w:r>
      <w:r>
        <w:rPr>
          <w:color w:val="005DA1"/>
          <w:u w:val="single" w:color="005DA1"/>
          <w:vertAlign w:val="superscript"/>
        </w:rPr>
        <w:t>914</w:t>
      </w:r>
      <w:r>
        <w:rPr>
          <w:color w:val="005DA1"/>
          <w:vertAlign w:val="baseline"/>
        </w:rPr>
        <w:t> </w:t>
      </w:r>
      <w:r>
        <w:rPr>
          <w:vertAlign w:val="baseline"/>
        </w:rPr>
        <w:t>The rationale for excluding contracts concluded within such multilateral systems is </w:t>
      </w:r>
      <w:bookmarkStart w:name="_bookmark1715" w:id="1717"/>
      <w:bookmarkEnd w:id="1717"/>
      <w:r>
        <w:rPr>
          <w:vertAlign w:val="baseline"/>
        </w:rPr>
        <w:t>to</w:t>
      </w:r>
      <w:r>
        <w:rPr>
          <w:vertAlign w:val="baseline"/>
        </w:rPr>
        <w:t> ensure that the law of the country of habitual residence of the consumer will not interfere with the rules applicable to contracts concluded within such systems or with the operator of such systems. </w:t>
      </w:r>
      <w:r>
        <w:rPr>
          <w:color w:val="005DA1"/>
          <w:u w:val="single" w:color="005DA1"/>
          <w:vertAlign w:val="superscript"/>
        </w:rPr>
        <w:t>915</w:t>
      </w:r>
    </w:p>
    <w:p>
      <w:pPr>
        <w:pStyle w:val="BodyText"/>
      </w:pPr>
    </w:p>
    <w:p>
      <w:pPr>
        <w:pStyle w:val="BodyText"/>
        <w:spacing w:before="37"/>
      </w:pPr>
    </w:p>
    <w:p>
      <w:pPr>
        <w:spacing w:before="0"/>
        <w:ind w:left="165" w:right="0" w:firstLine="0"/>
        <w:jc w:val="left"/>
        <w:rPr>
          <w:rFonts w:ascii="Arial"/>
          <w:b/>
          <w:sz w:val="18"/>
        </w:rPr>
      </w:pPr>
      <w:r>
        <w:rPr>
          <w:rFonts w:ascii="Arial"/>
          <w:b/>
          <w:sz w:val="18"/>
        </w:rPr>
        <w:t>Scope of, and general rule in, </w:t>
      </w:r>
      <w:r>
        <w:rPr>
          <w:rFonts w:ascii="Arial"/>
          <w:b/>
          <w:spacing w:val="-2"/>
          <w:sz w:val="18"/>
        </w:rPr>
        <w:t>art.6</w:t>
      </w:r>
    </w:p>
    <w:p>
      <w:pPr>
        <w:pStyle w:val="BodyText"/>
        <w:spacing w:before="41"/>
        <w:rPr>
          <w:rFonts w:ascii="Arial"/>
          <w:b/>
          <w:sz w:val="18"/>
        </w:rPr>
      </w:pPr>
    </w:p>
    <w:p>
      <w:pPr>
        <w:pStyle w:val="Heading2"/>
      </w:pPr>
      <w:r>
        <w:rPr/>
        <w:t>30-</w:t>
      </w:r>
      <w:r>
        <w:rPr>
          <w:spacing w:val="-5"/>
        </w:rPr>
        <w:t>239</w:t>
      </w:r>
    </w:p>
    <w:p>
      <w:pPr>
        <w:pStyle w:val="BodyText"/>
        <w:spacing w:line="235" w:lineRule="auto" w:before="203"/>
        <w:ind w:left="165" w:right="167"/>
        <w:jc w:val="both"/>
      </w:pPr>
      <w:r>
        <w:rPr/>
        <w:t>The overall scope of art.6 and the general rule which it establishes are dealt with in art.6(1) which provides as follows:</w:t>
      </w:r>
    </w:p>
    <w:p>
      <w:pPr>
        <w:pStyle w:val="BodyText"/>
      </w:pPr>
    </w:p>
    <w:p>
      <w:pPr>
        <w:pStyle w:val="BodyText"/>
        <w:spacing w:before="126"/>
      </w:pPr>
    </w:p>
    <w:p>
      <w:pPr>
        <w:pStyle w:val="BodyText"/>
        <w:spacing w:line="235" w:lineRule="auto"/>
        <w:ind w:left="1245" w:right="167"/>
        <w:jc w:val="both"/>
      </w:pPr>
      <w:r>
        <w:rPr/>
        <w:t>“Without prejudice to Articles 5 and 7, a contract concluded by a natural person for a purpose which can be regarded as being outside his trade or profession (‘the </w:t>
      </w:r>
      <w:r>
        <w:rPr/>
        <w:t>consumer’) with another person acting in the exercise of his trade or profession (‘the professional’) shall</w:t>
      </w:r>
      <w:r>
        <w:rPr>
          <w:spacing w:val="58"/>
        </w:rPr>
        <w:t> </w:t>
      </w:r>
      <w:r>
        <w:rPr/>
        <w:t>be</w:t>
      </w:r>
      <w:r>
        <w:rPr>
          <w:spacing w:val="58"/>
        </w:rPr>
        <w:t> </w:t>
      </w:r>
      <w:r>
        <w:rPr/>
        <w:t>governed</w:t>
      </w:r>
      <w:r>
        <w:rPr>
          <w:spacing w:val="58"/>
        </w:rPr>
        <w:t> </w:t>
      </w:r>
      <w:r>
        <w:rPr/>
        <w:t>by</w:t>
      </w:r>
      <w:r>
        <w:rPr>
          <w:spacing w:val="58"/>
        </w:rPr>
        <w:t> </w:t>
      </w:r>
      <w:r>
        <w:rPr/>
        <w:t>the</w:t>
      </w:r>
      <w:r>
        <w:rPr>
          <w:spacing w:val="58"/>
        </w:rPr>
        <w:t> </w:t>
      </w:r>
      <w:r>
        <w:rPr/>
        <w:t>law</w:t>
      </w:r>
      <w:r>
        <w:rPr>
          <w:spacing w:val="58"/>
        </w:rPr>
        <w:t> </w:t>
      </w:r>
      <w:r>
        <w:rPr/>
        <w:t>of</w:t>
      </w:r>
      <w:r>
        <w:rPr>
          <w:spacing w:val="58"/>
        </w:rPr>
        <w:t> </w:t>
      </w:r>
      <w:r>
        <w:rPr/>
        <w:t>the</w:t>
      </w:r>
      <w:r>
        <w:rPr>
          <w:spacing w:val="58"/>
        </w:rPr>
        <w:t> </w:t>
      </w:r>
      <w:r>
        <w:rPr/>
        <w:t>country</w:t>
      </w:r>
      <w:r>
        <w:rPr>
          <w:spacing w:val="58"/>
        </w:rPr>
        <w:t> </w:t>
      </w:r>
      <w:r>
        <w:rPr/>
        <w:t>where</w:t>
      </w:r>
      <w:r>
        <w:rPr>
          <w:spacing w:val="58"/>
        </w:rPr>
        <w:t> </w:t>
      </w:r>
      <w:r>
        <w:rPr/>
        <w:t>the</w:t>
      </w:r>
      <w:r>
        <w:rPr>
          <w:spacing w:val="58"/>
        </w:rPr>
        <w:t> </w:t>
      </w:r>
      <w:r>
        <w:rPr/>
        <w:t>consumer</w:t>
      </w:r>
      <w:r>
        <w:rPr>
          <w:spacing w:val="58"/>
        </w:rPr>
        <w:t> </w:t>
      </w:r>
      <w:r>
        <w:rPr/>
        <w:t>has</w:t>
      </w:r>
      <w:r>
        <w:rPr>
          <w:spacing w:val="58"/>
        </w:rPr>
        <w:t> </w:t>
      </w:r>
      <w:r>
        <w:rPr/>
        <w:t>his</w:t>
      </w:r>
      <w:r>
        <w:rPr>
          <w:spacing w:val="58"/>
        </w:rPr>
        <w:t> </w:t>
      </w:r>
      <w:r>
        <w:rPr>
          <w:spacing w:val="-2"/>
        </w:rPr>
        <w:t>habitual</w:t>
      </w:r>
    </w:p>
    <w:p>
      <w:pPr>
        <w:pStyle w:val="BodyText"/>
        <w:spacing w:after="0" w:line="235" w:lineRule="auto"/>
        <w:jc w:val="both"/>
        <w:sectPr>
          <w:pgSz w:w="11900" w:h="16840"/>
          <w:pgMar w:header="971" w:footer="0" w:top="1300" w:bottom="280" w:left="1275" w:right="1275"/>
        </w:sectPr>
      </w:pPr>
    </w:p>
    <w:p>
      <w:pPr>
        <w:pStyle w:val="BodyText"/>
        <w:spacing w:before="163"/>
      </w:pPr>
    </w:p>
    <w:p>
      <w:pPr>
        <w:pStyle w:val="BodyText"/>
        <w:ind w:left="1245"/>
      </w:pPr>
      <w:r>
        <w:rPr/>
        <w:t>residence, provided that the </w:t>
      </w:r>
      <w:r>
        <w:rPr>
          <w:spacing w:val="-2"/>
        </w:rPr>
        <w:t>professional:</w:t>
      </w:r>
    </w:p>
    <w:p>
      <w:pPr>
        <w:pStyle w:val="BodyText"/>
      </w:pPr>
    </w:p>
    <w:p>
      <w:pPr>
        <w:pStyle w:val="BodyText"/>
        <w:spacing w:before="195"/>
      </w:pPr>
    </w:p>
    <w:p>
      <w:pPr>
        <w:pStyle w:val="BodyText"/>
        <w:ind w:left="1245"/>
      </w:pPr>
      <w:r>
        <w:rPr>
          <w:spacing w:val="-5"/>
        </w:rPr>
        <w:t>(a)</w:t>
      </w:r>
    </w:p>
    <w:p>
      <w:pPr>
        <w:pStyle w:val="BodyText"/>
        <w:spacing w:line="235" w:lineRule="auto" w:before="114"/>
        <w:ind w:left="1725"/>
      </w:pPr>
      <w:r>
        <w:rPr/>
        <w:t>pursues his commercial or professional activities in the country where the consumer has his habitual residence, or</w:t>
      </w:r>
    </w:p>
    <w:p>
      <w:pPr>
        <w:pStyle w:val="BodyText"/>
      </w:pPr>
    </w:p>
    <w:p>
      <w:pPr>
        <w:pStyle w:val="BodyText"/>
        <w:spacing w:before="35"/>
      </w:pPr>
    </w:p>
    <w:p>
      <w:pPr>
        <w:pStyle w:val="BodyText"/>
        <w:spacing w:before="1"/>
        <w:ind w:left="1245"/>
      </w:pPr>
      <w:r>
        <w:rPr>
          <w:spacing w:val="-5"/>
        </w:rPr>
        <w:t>(b)</w:t>
      </w:r>
    </w:p>
    <w:p>
      <w:pPr>
        <w:pStyle w:val="BodyText"/>
        <w:spacing w:line="235" w:lineRule="auto" w:before="113"/>
        <w:ind w:left="1725"/>
      </w:pPr>
      <w:r>
        <w:rPr/>
        <w:t>by any means directs such activities to that country or to several countries including that country,</w:t>
      </w:r>
    </w:p>
    <w:p>
      <w:pPr>
        <w:pStyle w:val="BodyText"/>
        <w:spacing w:before="206"/>
      </w:pPr>
    </w:p>
    <w:p>
      <w:pPr>
        <w:pStyle w:val="BodyText"/>
        <w:ind w:left="1245"/>
      </w:pPr>
      <w:r>
        <w:rPr/>
        <w:t>and the contract falls within the scope of such </w:t>
      </w:r>
      <w:r>
        <w:rPr>
          <w:spacing w:val="-2"/>
        </w:rPr>
        <w:t>activities.”</w:t>
      </w:r>
    </w:p>
    <w:p>
      <w:pPr>
        <w:pStyle w:val="BodyText"/>
        <w:spacing w:before="115"/>
      </w:pPr>
    </w:p>
    <w:p>
      <w:pPr>
        <w:pStyle w:val="BodyText"/>
        <w:spacing w:line="235" w:lineRule="auto"/>
        <w:ind w:left="165" w:right="167"/>
        <w:jc w:val="both"/>
      </w:pPr>
      <w:bookmarkStart w:name="_bookmark1716" w:id="1718"/>
      <w:bookmarkEnd w:id="1718"/>
      <w:r>
        <w:rPr/>
      </w:r>
      <w:r>
        <w:rPr/>
        <w:t>It will be noted that, subject to the excluded matters referred to earlier, to which must be added, </w:t>
      </w:r>
      <w:bookmarkStart w:name="_bookmark1717" w:id="1719"/>
      <w:bookmarkEnd w:id="1719"/>
      <w:r>
        <w:rPr/>
        <w:t>contracts</w:t>
      </w:r>
      <w:r>
        <w:rPr/>
        <w:t> of insurance covered by art.7, </w:t>
      </w:r>
      <w:r>
        <w:rPr>
          <w:color w:val="005DA1"/>
          <w:u w:val="single" w:color="005DA1"/>
          <w:vertAlign w:val="superscript"/>
        </w:rPr>
        <w:t>916</w:t>
      </w:r>
      <w:r>
        <w:rPr>
          <w:color w:val="005DA1"/>
          <w:vertAlign w:val="baseline"/>
        </w:rPr>
        <w:t> </w:t>
      </w:r>
      <w:r>
        <w:rPr>
          <w:vertAlign w:val="baseline"/>
        </w:rPr>
        <w:t>there is no particular restriction on scope based on category of the contract. </w:t>
      </w:r>
      <w:r>
        <w:rPr>
          <w:color w:val="005DA1"/>
          <w:u w:val="single" w:color="005DA1"/>
          <w:vertAlign w:val="superscript"/>
        </w:rPr>
        <w:t>917</w:t>
      </w:r>
      <w:r>
        <w:rPr>
          <w:color w:val="005DA1"/>
          <w:vertAlign w:val="baseline"/>
        </w:rPr>
        <w:t> </w:t>
      </w:r>
      <w:r>
        <w:rPr>
          <w:vertAlign w:val="baseline"/>
        </w:rPr>
        <w:t>It is sufficient to bring art.6 into operation that the contract be </w:t>
      </w:r>
      <w:r>
        <w:rPr>
          <w:vertAlign w:val="baseline"/>
        </w:rPr>
        <w:t>concluded within the principles established in the provision.</w:t>
      </w:r>
    </w:p>
    <w:p>
      <w:pPr>
        <w:pStyle w:val="BodyText"/>
      </w:pPr>
    </w:p>
    <w:p>
      <w:pPr>
        <w:pStyle w:val="BodyText"/>
        <w:spacing w:before="37"/>
      </w:pPr>
    </w:p>
    <w:p>
      <w:pPr>
        <w:spacing w:before="1"/>
        <w:ind w:left="165" w:right="0" w:firstLine="0"/>
        <w:jc w:val="left"/>
        <w:rPr>
          <w:rFonts w:ascii="Arial"/>
          <w:b/>
          <w:sz w:val="18"/>
        </w:rPr>
      </w:pPr>
      <w:r>
        <w:rPr>
          <w:rFonts w:ascii="Arial"/>
          <w:b/>
          <w:sz w:val="18"/>
        </w:rPr>
        <w:t>Contract between consumer and </w:t>
      </w:r>
      <w:r>
        <w:rPr>
          <w:rFonts w:ascii="Arial"/>
          <w:b/>
          <w:spacing w:val="-2"/>
          <w:sz w:val="18"/>
        </w:rPr>
        <w:t>professional</w:t>
      </w:r>
    </w:p>
    <w:p>
      <w:pPr>
        <w:pStyle w:val="BodyText"/>
        <w:spacing w:before="41"/>
        <w:rPr>
          <w:rFonts w:ascii="Arial"/>
          <w:b/>
          <w:sz w:val="18"/>
        </w:rPr>
      </w:pPr>
    </w:p>
    <w:p>
      <w:pPr>
        <w:pStyle w:val="Heading2"/>
      </w:pPr>
      <w:r>
        <w:rPr/>
        <w:t>30-</w:t>
      </w:r>
      <w:r>
        <w:rPr>
          <w:spacing w:val="-5"/>
        </w:rPr>
        <w:t>240</w:t>
      </w:r>
    </w:p>
    <w:p>
      <w:pPr>
        <w:pStyle w:val="BodyText"/>
        <w:spacing w:line="235" w:lineRule="auto" w:before="203"/>
        <w:ind w:left="164" w:right="167"/>
        <w:jc w:val="both"/>
      </w:pPr>
      <w:r>
        <w:rPr/>
        <w:t>First, to be covered by art.6, the contract must be concluded by a consumer, who must be a natural person, for a purpose which can be regarded as being outside his trade or profession, with a </w:t>
      </w:r>
      <w:bookmarkStart w:name="_bookmark1718" w:id="1720"/>
      <w:bookmarkEnd w:id="1720"/>
      <w:r>
        <w:rPr/>
        <w:t>professional,</w:t>
      </w:r>
      <w:r>
        <w:rPr/>
        <w:t> who may be a natural or legal person, but who must be acting in the course of his trade or profession. </w:t>
      </w:r>
      <w:r>
        <w:rPr>
          <w:color w:val="005DA1"/>
          <w:u w:val="single" w:color="005DA1"/>
          <w:vertAlign w:val="superscript"/>
        </w:rPr>
        <w:t>918</w:t>
      </w:r>
      <w:r>
        <w:rPr>
          <w:color w:val="005DA1"/>
          <w:vertAlign w:val="baseline"/>
        </w:rPr>
        <w:t> </w:t>
      </w:r>
      <w:r>
        <w:rPr>
          <w:vertAlign w:val="baseline"/>
        </w:rPr>
        <w:t>This part (and other parts) of art.6(1) will, doubtless, be given an </w:t>
      </w:r>
      <w:r>
        <w:rPr>
          <w:vertAlign w:val="baseline"/>
        </w:rPr>
        <w:t>autonomous </w:t>
      </w:r>
      <w:bookmarkStart w:name="_bookmark1719" w:id="1721"/>
      <w:bookmarkEnd w:id="1721"/>
      <w:r>
        <w:rPr>
          <w:vertAlign w:val="baseline"/>
        </w:rPr>
        <w:t>meaning</w:t>
      </w:r>
      <w:r>
        <w:rPr>
          <w:spacing w:val="-2"/>
          <w:vertAlign w:val="baseline"/>
        </w:rPr>
        <w:t> </w:t>
      </w:r>
      <w:r>
        <w:rPr>
          <w:vertAlign w:val="baseline"/>
        </w:rPr>
        <w:t>which,</w:t>
      </w:r>
      <w:r>
        <w:rPr>
          <w:spacing w:val="-2"/>
          <w:vertAlign w:val="baseline"/>
        </w:rPr>
        <w:t> </w:t>
      </w:r>
      <w:r>
        <w:rPr>
          <w:vertAlign w:val="baseline"/>
        </w:rPr>
        <w:t>in</w:t>
      </w:r>
      <w:r>
        <w:rPr>
          <w:spacing w:val="-2"/>
          <w:vertAlign w:val="baseline"/>
        </w:rPr>
        <w:t> </w:t>
      </w:r>
      <w:r>
        <w:rPr>
          <w:vertAlign w:val="baseline"/>
        </w:rPr>
        <w:t>so</w:t>
      </w:r>
      <w:r>
        <w:rPr>
          <w:spacing w:val="-2"/>
          <w:vertAlign w:val="baseline"/>
        </w:rPr>
        <w:t> </w:t>
      </w:r>
      <w:r>
        <w:rPr>
          <w:vertAlign w:val="baseline"/>
        </w:rPr>
        <w:t>far</w:t>
      </w:r>
      <w:r>
        <w:rPr>
          <w:spacing w:val="-2"/>
          <w:vertAlign w:val="baseline"/>
        </w:rPr>
        <w:t> </w:t>
      </w:r>
      <w:r>
        <w:rPr>
          <w:vertAlign w:val="baseline"/>
        </w:rPr>
        <w:t>as</w:t>
      </w:r>
      <w:r>
        <w:rPr>
          <w:spacing w:val="-2"/>
          <w:vertAlign w:val="baseline"/>
        </w:rPr>
        <w:t> </w:t>
      </w:r>
      <w:r>
        <w:rPr>
          <w:vertAlign w:val="baseline"/>
        </w:rPr>
        <w:t>possible,</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consistent</w:t>
      </w:r>
      <w:r>
        <w:rPr>
          <w:spacing w:val="-2"/>
          <w:vertAlign w:val="baseline"/>
        </w:rPr>
        <w:t> </w:t>
      </w:r>
      <w:r>
        <w:rPr>
          <w:vertAlign w:val="baseline"/>
        </w:rPr>
        <w:t>with</w:t>
      </w:r>
      <w:r>
        <w:rPr>
          <w:spacing w:val="-2"/>
          <w:vertAlign w:val="baseline"/>
        </w:rPr>
        <w:t> </w:t>
      </w:r>
      <w:r>
        <w:rPr>
          <w:vertAlign w:val="baseline"/>
        </w:rPr>
        <w:t>that</w:t>
      </w:r>
      <w:r>
        <w:rPr>
          <w:spacing w:val="-2"/>
          <w:vertAlign w:val="baseline"/>
        </w:rPr>
        <w:t> </w:t>
      </w:r>
      <w:r>
        <w:rPr>
          <w:vertAlign w:val="baseline"/>
        </w:rPr>
        <w:t>given</w:t>
      </w:r>
      <w:r>
        <w:rPr>
          <w:spacing w:val="-2"/>
          <w:vertAlign w:val="baseline"/>
        </w:rPr>
        <w:t> </w:t>
      </w:r>
      <w:r>
        <w:rPr>
          <w:vertAlign w:val="baseline"/>
        </w:rPr>
        <w:t>to</w:t>
      </w:r>
      <w:r>
        <w:rPr>
          <w:spacing w:val="-2"/>
          <w:vertAlign w:val="baseline"/>
        </w:rPr>
        <w:t> </w:t>
      </w:r>
      <w:r>
        <w:rPr>
          <w:vertAlign w:val="baseline"/>
        </w:rPr>
        <w:t>similar</w:t>
      </w:r>
      <w:r>
        <w:rPr>
          <w:spacing w:val="-2"/>
          <w:vertAlign w:val="baseline"/>
        </w:rPr>
        <w:t> </w:t>
      </w:r>
      <w:r>
        <w:rPr>
          <w:vertAlign w:val="baseline"/>
        </w:rPr>
        <w:t>provisions</w:t>
      </w:r>
      <w:r>
        <w:rPr>
          <w:spacing w:val="-2"/>
          <w:vertAlign w:val="baseline"/>
        </w:rPr>
        <w:t> </w:t>
      </w:r>
      <w:r>
        <w:rPr>
          <w:vertAlign w:val="baseline"/>
        </w:rPr>
        <w:t>in</w:t>
      </w:r>
      <w:r>
        <w:rPr>
          <w:spacing w:val="-2"/>
          <w:vertAlign w:val="baseline"/>
        </w:rPr>
        <w:t> </w:t>
      </w:r>
      <w:r>
        <w:rPr>
          <w:vertAlign w:val="baseline"/>
        </w:rPr>
        <w:t>art.17(1) </w:t>
      </w:r>
      <w:bookmarkStart w:name="_bookmark1720" w:id="1722"/>
      <w:bookmarkEnd w:id="1722"/>
      <w:r>
        <w:rPr>
          <w:vertAlign w:val="baseline"/>
        </w:rPr>
        <w:t>of</w:t>
      </w:r>
      <w:r>
        <w:rPr>
          <w:spacing w:val="-2"/>
          <w:vertAlign w:val="baseline"/>
        </w:rPr>
        <w:t> </w:t>
      </w:r>
      <w:r>
        <w:rPr>
          <w:vertAlign w:val="baseline"/>
        </w:rPr>
        <w:t>the</w:t>
      </w:r>
      <w:r>
        <w:rPr>
          <w:spacing w:val="-2"/>
          <w:vertAlign w:val="baseline"/>
        </w:rPr>
        <w:t> </w:t>
      </w:r>
      <w:r>
        <w:rPr>
          <w:vertAlign w:val="baseline"/>
        </w:rPr>
        <w:t>Judgments</w:t>
      </w:r>
      <w:r>
        <w:rPr>
          <w:spacing w:val="-2"/>
          <w:vertAlign w:val="baseline"/>
        </w:rPr>
        <w:t> </w:t>
      </w:r>
      <w:r>
        <w:rPr>
          <w:vertAlign w:val="baseline"/>
        </w:rPr>
        <w:t>Regulation</w:t>
      </w:r>
      <w:r>
        <w:rPr>
          <w:spacing w:val="-2"/>
          <w:vertAlign w:val="baseline"/>
        </w:rPr>
        <w:t> </w:t>
      </w:r>
      <w:r>
        <w:rPr>
          <w:vertAlign w:val="baseline"/>
        </w:rPr>
        <w:t>recast</w:t>
      </w:r>
      <w:r>
        <w:rPr>
          <w:spacing w:val="-3"/>
          <w:vertAlign w:val="baseline"/>
        </w:rPr>
        <w:t> </w:t>
      </w:r>
      <w:r>
        <w:rPr>
          <w:color w:val="005DA1"/>
          <w:u w:val="single" w:color="005DA1"/>
          <w:vertAlign w:val="superscript"/>
        </w:rPr>
        <w:t>919</w:t>
      </w:r>
      <w:r>
        <w:rPr>
          <w:color w:val="005DA1"/>
          <w:spacing w:val="-2"/>
          <w:vertAlign w:val="baseline"/>
        </w:rPr>
        <w:t> </w:t>
      </w:r>
      <w:r>
        <w:rPr>
          <w:vertAlign w:val="baseline"/>
        </w:rPr>
        <w:t>and</w:t>
      </w:r>
      <w:r>
        <w:rPr>
          <w:spacing w:val="-2"/>
          <w:vertAlign w:val="baseline"/>
        </w:rPr>
        <w:t> </w:t>
      </w:r>
      <w:r>
        <w:rPr>
          <w:vertAlign w:val="baseline"/>
        </w:rPr>
        <w:t>which</w:t>
      </w:r>
      <w:r>
        <w:rPr>
          <w:spacing w:val="-2"/>
          <w:vertAlign w:val="baseline"/>
        </w:rPr>
        <w:t> </w:t>
      </w:r>
      <w:r>
        <w:rPr>
          <w:vertAlign w:val="baseline"/>
        </w:rPr>
        <w:t>may</w:t>
      </w:r>
      <w:r>
        <w:rPr>
          <w:spacing w:val="-2"/>
          <w:vertAlign w:val="baseline"/>
        </w:rPr>
        <w:t> </w:t>
      </w:r>
      <w:r>
        <w:rPr>
          <w:vertAlign w:val="baseline"/>
        </w:rPr>
        <w:t>reflect</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consumer</w:t>
      </w:r>
      <w:r>
        <w:rPr>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weaker party to the contract. </w:t>
      </w:r>
      <w:r>
        <w:rPr>
          <w:color w:val="005DA1"/>
          <w:u w:val="single" w:color="005DA1"/>
          <w:vertAlign w:val="superscript"/>
        </w:rPr>
        <w:t>920</w:t>
      </w:r>
      <w:r>
        <w:rPr>
          <w:color w:val="005DA1"/>
          <w:vertAlign w:val="baseline"/>
        </w:rPr>
        <w:t> </w:t>
      </w:r>
      <w:r>
        <w:rPr>
          <w:vertAlign w:val="baseline"/>
        </w:rPr>
        <w:t>Following the approach of the European Court to the Judgments Regulation,</w:t>
      </w:r>
      <w:r>
        <w:rPr>
          <w:spacing w:val="40"/>
          <w:vertAlign w:val="baseline"/>
        </w:rPr>
        <w:t> </w:t>
      </w:r>
      <w:bookmarkStart w:name="_bookmark1721" w:id="1723"/>
      <w:bookmarkEnd w:id="1723"/>
      <w:r>
        <w:rPr>
          <w:vertAlign w:val="baseline"/>
        </w:rPr>
        <w:t>it</w:t>
      </w:r>
      <w:r>
        <w:rPr>
          <w:vertAlign w:val="baseline"/>
        </w:rPr>
        <w:t> is possible that: (a) the provision will not apply to a contract which a natural person has concluded </w:t>
      </w:r>
      <w:bookmarkStart w:name="_bookmark1722" w:id="1724"/>
      <w:bookmarkEnd w:id="1724"/>
      <w:r>
        <w:rPr>
          <w:vertAlign w:val="baseline"/>
        </w:rPr>
        <w:t>with</w:t>
      </w:r>
      <w:r>
        <w:rPr>
          <w:vertAlign w:val="baseline"/>
        </w:rPr>
        <w:t> a view to pursuing a trade in the future </w:t>
      </w:r>
      <w:r>
        <w:rPr>
          <w:color w:val="005DA1"/>
          <w:u w:val="single" w:color="005DA1"/>
          <w:vertAlign w:val="superscript"/>
        </w:rPr>
        <w:t>921</w:t>
      </w:r>
      <w:r>
        <w:rPr>
          <w:vertAlign w:val="baseline"/>
        </w:rPr>
        <w:t>; (b) the provision will not apply to a claim by an assignee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consumer,</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assignee</w:t>
      </w:r>
      <w:r>
        <w:rPr>
          <w:spacing w:val="-1"/>
          <w:vertAlign w:val="baseline"/>
        </w:rPr>
        <w:t> </w:t>
      </w:r>
      <w:r>
        <w:rPr>
          <w:vertAlign w:val="baseline"/>
        </w:rPr>
        <w:t>is</w:t>
      </w:r>
      <w:r>
        <w:rPr>
          <w:spacing w:val="-1"/>
          <w:vertAlign w:val="baseline"/>
        </w:rPr>
        <w:t> </w:t>
      </w:r>
      <w:r>
        <w:rPr>
          <w:vertAlign w:val="baseline"/>
        </w:rPr>
        <w:t>acting</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course</w:t>
      </w:r>
      <w:r>
        <w:rPr>
          <w:spacing w:val="-1"/>
          <w:vertAlign w:val="baseline"/>
        </w:rPr>
        <w:t> </w:t>
      </w:r>
      <w:r>
        <w:rPr>
          <w:vertAlign w:val="baseline"/>
        </w:rPr>
        <w:t>of</w:t>
      </w:r>
      <w:r>
        <w:rPr>
          <w:spacing w:val="-1"/>
          <w:vertAlign w:val="baseline"/>
        </w:rPr>
        <w:t> </w:t>
      </w:r>
      <w:r>
        <w:rPr>
          <w:vertAlign w:val="baseline"/>
        </w:rPr>
        <w:t>its</w:t>
      </w:r>
      <w:r>
        <w:rPr>
          <w:spacing w:val="-1"/>
          <w:vertAlign w:val="baseline"/>
        </w:rPr>
        <w:t> </w:t>
      </w:r>
      <w:r>
        <w:rPr>
          <w:vertAlign w:val="baseline"/>
        </w:rPr>
        <w:t>trade</w:t>
      </w:r>
      <w:r>
        <w:rPr>
          <w:spacing w:val="-1"/>
          <w:vertAlign w:val="baseline"/>
        </w:rPr>
        <w:t> </w:t>
      </w:r>
      <w:r>
        <w:rPr>
          <w:vertAlign w:val="baseline"/>
        </w:rPr>
        <w:t>or</w:t>
      </w:r>
      <w:r>
        <w:rPr>
          <w:spacing w:val="-1"/>
          <w:vertAlign w:val="baseline"/>
        </w:rPr>
        <w:t> </w:t>
      </w:r>
      <w:r>
        <w:rPr>
          <w:vertAlign w:val="baseline"/>
        </w:rPr>
        <w:t>professional</w:t>
      </w:r>
      <w:r>
        <w:rPr>
          <w:spacing w:val="-1"/>
          <w:vertAlign w:val="baseline"/>
        </w:rPr>
        <w:t> </w:t>
      </w:r>
      <w:r>
        <w:rPr>
          <w:vertAlign w:val="baseline"/>
        </w:rPr>
        <w:t>activity </w:t>
      </w:r>
      <w:r>
        <w:rPr>
          <w:color w:val="005DA1"/>
          <w:u w:val="single" w:color="005DA1"/>
          <w:vertAlign w:val="superscript"/>
        </w:rPr>
        <w:t>922</w:t>
      </w:r>
      <w:r>
        <w:rPr>
          <w:vertAlign w:val="baseline"/>
        </w:rPr>
        <w:t>; and (c) that the provision will not apply where a natural person concludes a contract for purposes </w:t>
      </w:r>
      <w:bookmarkStart w:name="_bookmark1723" w:id="1725"/>
      <w:bookmarkEnd w:id="1725"/>
      <w:r>
        <w:rPr>
          <w:vertAlign w:val="baseline"/>
        </w:rPr>
        <w:t>which</w:t>
      </w:r>
      <w:r>
        <w:rPr>
          <w:vertAlign w:val="baseline"/>
        </w:rPr>
        <w:t> are in part within, and in part outside his trade or profession, unless the trade, or professional purpose is so limited as to be negligible in the context of the overall supply. </w:t>
      </w:r>
      <w:r>
        <w:rPr>
          <w:color w:val="005DA1"/>
          <w:u w:val="single" w:color="005DA1"/>
          <w:vertAlign w:val="superscript"/>
        </w:rPr>
        <w:t>923</w:t>
      </w:r>
    </w:p>
    <w:p>
      <w:pPr>
        <w:pStyle w:val="BodyText"/>
      </w:pPr>
    </w:p>
    <w:p>
      <w:pPr>
        <w:pStyle w:val="BodyText"/>
        <w:spacing w:before="33"/>
      </w:pPr>
    </w:p>
    <w:p>
      <w:pPr>
        <w:spacing w:before="0"/>
        <w:ind w:left="165" w:right="0" w:firstLine="0"/>
        <w:jc w:val="left"/>
        <w:rPr>
          <w:rFonts w:ascii="Arial"/>
          <w:b/>
          <w:sz w:val="18"/>
        </w:rPr>
      </w:pPr>
      <w:r>
        <w:rPr>
          <w:rFonts w:ascii="Arial"/>
          <w:b/>
          <w:sz w:val="18"/>
        </w:rPr>
        <w:t>Habitual </w:t>
      </w:r>
      <w:r>
        <w:rPr>
          <w:rFonts w:ascii="Arial"/>
          <w:b/>
          <w:spacing w:val="-2"/>
          <w:sz w:val="18"/>
        </w:rPr>
        <w:t>residence</w:t>
      </w:r>
    </w:p>
    <w:p>
      <w:pPr>
        <w:pStyle w:val="BodyText"/>
        <w:spacing w:before="41"/>
        <w:rPr>
          <w:rFonts w:ascii="Arial"/>
          <w:b/>
          <w:sz w:val="18"/>
        </w:rPr>
      </w:pPr>
    </w:p>
    <w:p>
      <w:pPr>
        <w:pStyle w:val="Heading2"/>
        <w:spacing w:before="1"/>
      </w:pPr>
      <w:r>
        <w:rPr/>
        <w:t>30-</w:t>
      </w:r>
      <w:r>
        <w:rPr>
          <w:spacing w:val="-5"/>
        </w:rPr>
        <w:t>241</w:t>
      </w:r>
    </w:p>
    <w:p>
      <w:pPr>
        <w:pStyle w:val="BodyText"/>
        <w:spacing w:line="235" w:lineRule="auto" w:before="202"/>
        <w:ind w:left="165" w:right="167"/>
        <w:jc w:val="both"/>
      </w:pPr>
      <w:bookmarkStart w:name="_bookmark1724" w:id="1726"/>
      <w:bookmarkEnd w:id="1726"/>
      <w:r>
        <w:rPr/>
      </w:r>
      <w:r>
        <w:rPr/>
        <w:t>If the contract falls within the scope of the principle identified in the previous paragraph, the </w:t>
      </w:r>
      <w:r>
        <w:rPr/>
        <w:t>law applicable to the contract will be the law of the consumer’s habitual residence </w:t>
      </w:r>
      <w:r>
        <w:rPr>
          <w:color w:val="005DA1"/>
          <w:u w:val="single" w:color="005DA1"/>
          <w:vertAlign w:val="superscript"/>
        </w:rPr>
        <w:t>924</w:t>
      </w:r>
      <w:r>
        <w:rPr>
          <w:color w:val="005DA1"/>
          <w:vertAlign w:val="baseline"/>
        </w:rPr>
        <w:t> </w:t>
      </w:r>
      <w:r>
        <w:rPr>
          <w:vertAlign w:val="baseline"/>
        </w:rPr>
        <w:t>provided one of the additional</w:t>
      </w:r>
      <w:r>
        <w:rPr>
          <w:spacing w:val="-2"/>
          <w:vertAlign w:val="baseline"/>
        </w:rPr>
        <w:t> </w:t>
      </w:r>
      <w:r>
        <w:rPr>
          <w:vertAlign w:val="baseline"/>
        </w:rPr>
        <w:t>requirements</w:t>
      </w:r>
      <w:r>
        <w:rPr>
          <w:spacing w:val="-2"/>
          <w:vertAlign w:val="baseline"/>
        </w:rPr>
        <w:t> </w:t>
      </w:r>
      <w:r>
        <w:rPr>
          <w:vertAlign w:val="baseline"/>
        </w:rPr>
        <w:t>in</w:t>
      </w:r>
      <w:r>
        <w:rPr>
          <w:spacing w:val="-2"/>
          <w:vertAlign w:val="baseline"/>
        </w:rPr>
        <w:t> </w:t>
      </w:r>
      <w:r>
        <w:rPr>
          <w:vertAlign w:val="baseline"/>
        </w:rPr>
        <w:t>art.6(1)(a)</w:t>
      </w:r>
      <w:r>
        <w:rPr>
          <w:spacing w:val="-2"/>
          <w:vertAlign w:val="baseline"/>
        </w:rPr>
        <w:t> </w:t>
      </w:r>
      <w:r>
        <w:rPr>
          <w:vertAlign w:val="baseline"/>
        </w:rPr>
        <w:t>or</w:t>
      </w:r>
      <w:r>
        <w:rPr>
          <w:spacing w:val="-2"/>
          <w:vertAlign w:val="baseline"/>
        </w:rPr>
        <w:t> </w:t>
      </w:r>
      <w:r>
        <w:rPr>
          <w:vertAlign w:val="baseline"/>
        </w:rPr>
        <w:t>(b)</w:t>
      </w:r>
      <w:r>
        <w:rPr>
          <w:spacing w:val="-2"/>
          <w:vertAlign w:val="baseline"/>
        </w:rPr>
        <w:t> </w:t>
      </w:r>
      <w:r>
        <w:rPr>
          <w:vertAlign w:val="baseline"/>
        </w:rPr>
        <w:t>are</w:t>
      </w:r>
      <w:r>
        <w:rPr>
          <w:spacing w:val="-2"/>
          <w:vertAlign w:val="baseline"/>
        </w:rPr>
        <w:t> </w:t>
      </w:r>
      <w:r>
        <w:rPr>
          <w:vertAlign w:val="baseline"/>
        </w:rPr>
        <w:t>met.</w:t>
      </w:r>
      <w:r>
        <w:rPr>
          <w:spacing w:val="-2"/>
          <w:vertAlign w:val="baseline"/>
        </w:rPr>
        <w:t> </w:t>
      </w:r>
      <w:r>
        <w:rPr>
          <w:vertAlign w:val="baseline"/>
        </w:rPr>
        <w:t>“Habitual</w:t>
      </w:r>
      <w:r>
        <w:rPr>
          <w:spacing w:val="-2"/>
          <w:vertAlign w:val="baseline"/>
        </w:rPr>
        <w:t> </w:t>
      </w:r>
      <w:r>
        <w:rPr>
          <w:vertAlign w:val="baseline"/>
        </w:rPr>
        <w:t>residence”</w:t>
      </w:r>
      <w:r>
        <w:rPr>
          <w:spacing w:val="-2"/>
          <w:vertAlign w:val="baseline"/>
        </w:rPr>
        <w:t> </w:t>
      </w:r>
      <w:r>
        <w:rPr>
          <w:vertAlign w:val="baseline"/>
        </w:rPr>
        <w:t>for</w:t>
      </w:r>
      <w:r>
        <w:rPr>
          <w:spacing w:val="-2"/>
          <w:vertAlign w:val="baseline"/>
        </w:rPr>
        <w:t> </w:t>
      </w:r>
      <w:r>
        <w:rPr>
          <w:vertAlign w:val="baseline"/>
        </w:rPr>
        <w:t>these</w:t>
      </w:r>
      <w:r>
        <w:rPr>
          <w:spacing w:val="-2"/>
          <w:vertAlign w:val="baseline"/>
        </w:rPr>
        <w:t> </w:t>
      </w:r>
      <w:r>
        <w:rPr>
          <w:vertAlign w:val="baseline"/>
        </w:rPr>
        <w:t>purposes,</w:t>
      </w:r>
      <w:r>
        <w:rPr>
          <w:spacing w:val="-2"/>
          <w:vertAlign w:val="baseline"/>
        </w:rPr>
        <w:t> </w:t>
      </w:r>
      <w:r>
        <w:rPr>
          <w:vertAlign w:val="baseline"/>
        </w:rPr>
        <w:t>will</w:t>
      </w:r>
      <w:r>
        <w:rPr>
          <w:spacing w:val="-2"/>
          <w:vertAlign w:val="baseline"/>
        </w:rPr>
        <w:t> </w:t>
      </w:r>
      <w:r>
        <w:rPr>
          <w:vertAlign w:val="baseline"/>
        </w:rPr>
        <w:t>have </w:t>
      </w:r>
      <w:bookmarkStart w:name="_bookmark1725" w:id="1727"/>
      <w:bookmarkEnd w:id="1727"/>
      <w:r>
        <w:rPr>
          <w:vertAlign w:val="baseline"/>
        </w:rPr>
        <w:t>to</w:t>
      </w:r>
      <w:r>
        <w:rPr>
          <w:vertAlign w:val="baseline"/>
        </w:rPr>
        <w:t> be determined by reference to general principles since art.19(1) of the Regulation only defines the habitual residence of a natural person acting in the course of a business activity </w:t>
      </w:r>
      <w:r>
        <w:rPr>
          <w:color w:val="005DA1"/>
          <w:u w:val="single" w:color="005DA1"/>
          <w:vertAlign w:val="superscript"/>
        </w:rPr>
        <w:t>925</w:t>
      </w:r>
      <w:r>
        <w:rPr>
          <w:color w:val="005DA1"/>
          <w:vertAlign w:val="baseline"/>
        </w:rPr>
        <w:t> </w:t>
      </w:r>
      <w:r>
        <w:rPr>
          <w:vertAlign w:val="baseline"/>
        </w:rPr>
        <w:t>and a natural person so acting cannot be a consumer.</w:t>
      </w:r>
    </w:p>
    <w:p>
      <w:pPr>
        <w:pStyle w:val="BodyText"/>
      </w:pPr>
    </w:p>
    <w:p>
      <w:pPr>
        <w:pStyle w:val="BodyText"/>
        <w:spacing w:before="36"/>
      </w:pPr>
    </w:p>
    <w:p>
      <w:pPr>
        <w:spacing w:before="1"/>
        <w:ind w:left="165" w:right="0" w:firstLine="0"/>
        <w:jc w:val="left"/>
        <w:rPr>
          <w:rFonts w:ascii="Arial" w:hAnsi="Arial"/>
          <w:b/>
          <w:sz w:val="18"/>
        </w:rPr>
      </w:pPr>
      <w:r>
        <w:rPr>
          <w:rFonts w:ascii="Arial" w:hAnsi="Arial"/>
          <w:b/>
          <w:sz w:val="18"/>
        </w:rPr>
        <w:t>“Pursues his commercial or professional activities”, </w:t>
      </w:r>
      <w:r>
        <w:rPr>
          <w:rFonts w:ascii="Arial" w:hAnsi="Arial"/>
          <w:b/>
          <w:spacing w:val="-5"/>
          <w:sz w:val="18"/>
        </w:rPr>
        <w:t>etc</w:t>
      </w:r>
    </w:p>
    <w:p>
      <w:pPr>
        <w:pStyle w:val="BodyText"/>
        <w:spacing w:before="41"/>
        <w:rPr>
          <w:rFonts w:ascii="Arial"/>
          <w:b/>
          <w:sz w:val="18"/>
        </w:rPr>
      </w:pPr>
    </w:p>
    <w:p>
      <w:pPr>
        <w:pStyle w:val="Heading2"/>
      </w:pPr>
      <w:r>
        <w:rPr/>
        <w:t>30-</w:t>
      </w:r>
      <w:r>
        <w:rPr>
          <w:spacing w:val="-5"/>
        </w:rPr>
        <w:t>242</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bookmarkStart w:name="_bookmark1726" w:id="1728"/>
      <w:bookmarkEnd w:id="1728"/>
      <w:r>
        <w:rPr/>
      </w:r>
      <w:r>
        <w:rPr/>
        <w:t>Article 6(1)(a) will lead to the application of the law of the consumer’s habitual residence if the professional pursues his commercial or professional activities in the country </w:t>
      </w:r>
      <w:r>
        <w:rPr>
          <w:color w:val="005DA1"/>
          <w:u w:val="single" w:color="005DA1"/>
          <w:vertAlign w:val="superscript"/>
        </w:rPr>
        <w:t>926</w:t>
      </w:r>
      <w:r>
        <w:rPr>
          <w:color w:val="005DA1"/>
          <w:vertAlign w:val="baseline"/>
        </w:rPr>
        <w:t> </w:t>
      </w:r>
      <w:r>
        <w:rPr>
          <w:vertAlign w:val="baseline"/>
        </w:rPr>
        <w:t>where the </w:t>
      </w:r>
      <w:r>
        <w:rPr>
          <w:vertAlign w:val="baseline"/>
        </w:rPr>
        <w:t>consumer has his habitual residence. This provision would appear to cover cases where the professional pursues his commercial or professional activities directly in the country of the consumer’s habitual residence by carrying out those activities there at a place of business there. It would also seem to cover cases where the professional pursues the relevant activities in the country where the consumer </w:t>
      </w:r>
      <w:bookmarkStart w:name="_bookmark1727" w:id="1729"/>
      <w:bookmarkEnd w:id="1729"/>
      <w:r>
        <w:rPr>
          <w:vertAlign w:val="baseline"/>
        </w:rPr>
        <w:t>is</w:t>
      </w:r>
      <w:r>
        <w:rPr>
          <w:vertAlign w:val="baseline"/>
        </w:rPr>
        <w:t> habitually resident through a branch, agency or other establishment which is situated in that </w:t>
      </w:r>
      <w:bookmarkStart w:name="_bookmark1728" w:id="1730"/>
      <w:bookmarkEnd w:id="1730"/>
      <w:r>
        <w:rPr>
          <w:vertAlign w:val="baseline"/>
        </w:rPr>
        <w:t>country.</w:t>
      </w:r>
      <w:r>
        <w:rPr>
          <w:vertAlign w:val="baseline"/>
        </w:rPr>
        <w:t> </w:t>
      </w:r>
      <w:r>
        <w:rPr>
          <w:color w:val="005DA1"/>
          <w:u w:val="single" w:color="005DA1"/>
          <w:vertAlign w:val="superscript"/>
        </w:rPr>
        <w:t>927</w:t>
      </w:r>
      <w:r>
        <w:rPr>
          <w:color w:val="005DA1"/>
          <w:vertAlign w:val="baseline"/>
        </w:rPr>
        <w:t> </w:t>
      </w:r>
      <w:r>
        <w:rPr>
          <w:vertAlign w:val="baseline"/>
        </w:rPr>
        <w:t>It is also necessary that the contract falls within the scope of relevant activities pursued in the country where the consumer is habitually resident. </w:t>
      </w:r>
      <w:r>
        <w:rPr>
          <w:color w:val="005DA1"/>
          <w:u w:val="single" w:color="005DA1"/>
          <w:vertAlign w:val="superscript"/>
        </w:rPr>
        <w:t>928</w:t>
      </w:r>
      <w:r>
        <w:rPr>
          <w:color w:val="005DA1"/>
          <w:vertAlign w:val="baseline"/>
        </w:rPr>
        <w:t> </w:t>
      </w:r>
      <w:r>
        <w:rPr>
          <w:vertAlign w:val="baseline"/>
        </w:rPr>
        <w:t>Article 6(1)(a) of the Rome 1 Regulation is inspired by art.15(1)(c) of the Judgments Regulation (now art. 17(1)(c) of the Judgments Regulation </w:t>
      </w:r>
      <w:bookmarkStart w:name="_bookmark1729" w:id="1731"/>
      <w:bookmarkEnd w:id="1731"/>
      <w:r>
        <w:rPr>
          <w:vertAlign w:val="baseline"/>
        </w:rPr>
        <w:t>recast)</w:t>
      </w:r>
      <w:r>
        <w:rPr>
          <w:vertAlign w:val="baseline"/>
        </w:rPr>
        <w:t> concerned with jurisdiction in respect of consumer contracts, and, so far as possible, should</w:t>
      </w:r>
      <w:r>
        <w:rPr>
          <w:spacing w:val="40"/>
          <w:vertAlign w:val="baseline"/>
        </w:rPr>
        <w:t> </w:t>
      </w:r>
      <w:r>
        <w:rPr>
          <w:vertAlign w:val="baseline"/>
        </w:rPr>
        <w:t>be interpreted consistently with that provision. </w:t>
      </w:r>
      <w:r>
        <w:rPr>
          <w:color w:val="005DA1"/>
          <w:u w:val="single" w:color="005DA1"/>
          <w:vertAlign w:val="superscript"/>
        </w:rPr>
        <w:t>929</w:t>
      </w:r>
    </w:p>
    <w:p>
      <w:pPr>
        <w:pStyle w:val="BodyText"/>
      </w:pPr>
    </w:p>
    <w:p>
      <w:pPr>
        <w:pStyle w:val="BodyText"/>
        <w:spacing w:before="34"/>
      </w:pPr>
    </w:p>
    <w:p>
      <w:pPr>
        <w:spacing w:before="0"/>
        <w:ind w:left="164" w:right="0" w:firstLine="0"/>
        <w:jc w:val="left"/>
        <w:rPr>
          <w:rFonts w:ascii="Arial" w:hAnsi="Arial"/>
          <w:b/>
          <w:sz w:val="18"/>
        </w:rPr>
      </w:pPr>
      <w:r>
        <w:rPr>
          <w:rFonts w:ascii="Arial" w:hAnsi="Arial"/>
          <w:b/>
          <w:sz w:val="18"/>
        </w:rPr>
        <w:t>“By any means directs such activities”, </w:t>
      </w:r>
      <w:r>
        <w:rPr>
          <w:rFonts w:ascii="Arial" w:hAnsi="Arial"/>
          <w:b/>
          <w:spacing w:val="-5"/>
          <w:sz w:val="18"/>
        </w:rPr>
        <w:t>etc</w:t>
      </w:r>
    </w:p>
    <w:p>
      <w:pPr>
        <w:pStyle w:val="BodyText"/>
        <w:spacing w:before="41"/>
        <w:rPr>
          <w:rFonts w:ascii="Arial"/>
          <w:b/>
          <w:sz w:val="18"/>
        </w:rPr>
      </w:pPr>
    </w:p>
    <w:p>
      <w:pPr>
        <w:pStyle w:val="Heading2"/>
        <w:spacing w:before="1"/>
        <w:ind w:left="164"/>
      </w:pPr>
      <w:r>
        <w:rPr/>
        <w:t>30-</w:t>
      </w:r>
      <w:r>
        <w:rPr>
          <w:spacing w:val="-5"/>
        </w:rPr>
        <w:t>243</w:t>
      </w:r>
    </w:p>
    <w:p>
      <w:pPr>
        <w:pStyle w:val="BodyText"/>
        <w:spacing w:line="235" w:lineRule="auto" w:before="202"/>
        <w:ind w:left="164" w:right="167"/>
        <w:jc w:val="both"/>
      </w:pPr>
      <w:r>
        <w:rPr/>
        <w:t>Article 6(1)(b) will lead to the application of the law of the consumer’s habitual residence if the </w:t>
      </w:r>
      <w:bookmarkStart w:name="_bookmark1730" w:id="1732"/>
      <w:bookmarkEnd w:id="1732"/>
      <w:r>
        <w:rPr/>
        <w:t>professional</w:t>
      </w:r>
      <w:r>
        <w:rPr/>
        <w:t> by “any means directs his professional or commercial activities to that country or to several countries including that country” and the contract falls within the scope of such activities. </w:t>
      </w:r>
      <w:r>
        <w:rPr>
          <w:color w:val="005DA1"/>
          <w:u w:val="single" w:color="005DA1"/>
          <w:vertAlign w:val="superscript"/>
        </w:rPr>
        <w:t>930</w:t>
      </w:r>
      <w:r>
        <w:rPr>
          <w:color w:val="005DA1"/>
          <w:vertAlign w:val="baseline"/>
        </w:rPr>
        <w:t> </w:t>
      </w:r>
      <w:r>
        <w:rPr>
          <w:vertAlign w:val="baseline"/>
        </w:rPr>
        <w:t>This provision is also inspired by art.15(1)(c) of the Judgments Regulation (now art.17(1)(c) of </w:t>
      </w:r>
      <w:r>
        <w:rPr>
          <w:vertAlign w:val="baseline"/>
        </w:rPr>
        <w:t>the </w:t>
      </w:r>
      <w:bookmarkStart w:name="_bookmark1731" w:id="1733"/>
      <w:bookmarkEnd w:id="1733"/>
      <w:r>
        <w:rPr>
          <w:vertAlign w:val="baseline"/>
        </w:rPr>
        <w:t>Judgments</w:t>
      </w:r>
      <w:r>
        <w:rPr>
          <w:vertAlign w:val="baseline"/>
        </w:rPr>
        <w:t> Regulation recast) and should, so far as possible, be interpreted consistently with that </w:t>
      </w:r>
      <w:bookmarkStart w:name="_bookmark1732" w:id="1734"/>
      <w:bookmarkEnd w:id="1734"/>
      <w:r>
        <w:rPr>
          <w:vertAlign w:val="baseline"/>
        </w:rPr>
        <w:t>article.</w:t>
      </w:r>
      <w:r>
        <w:rPr>
          <w:vertAlign w:val="baseline"/>
        </w:rPr>
        <w:t> </w:t>
      </w:r>
      <w:r>
        <w:rPr>
          <w:color w:val="005DA1"/>
          <w:u w:val="single" w:color="005DA1"/>
          <w:vertAlign w:val="superscript"/>
        </w:rPr>
        <w:t>931</w:t>
      </w:r>
      <w:r>
        <w:rPr>
          <w:color w:val="005DA1"/>
          <w:vertAlign w:val="baseline"/>
        </w:rPr>
        <w:t> </w:t>
      </w:r>
      <w:r>
        <w:rPr>
          <w:vertAlign w:val="baseline"/>
        </w:rPr>
        <w:t>This aspect of art.6(1) is designed to take account of the development of distance selling </w:t>
      </w:r>
      <w:bookmarkStart w:name="_bookmark1733" w:id="1735"/>
      <w:bookmarkEnd w:id="1735"/>
      <w:r>
        <w:rPr>
          <w:vertAlign w:val="baseline"/>
        </w:rPr>
        <w:t>techniques,</w:t>
      </w:r>
      <w:r>
        <w:rPr>
          <w:vertAlign w:val="baseline"/>
        </w:rPr>
        <w:t> particularly techniques involving electronic commerce. </w:t>
      </w:r>
      <w:r>
        <w:rPr>
          <w:color w:val="005DA1"/>
          <w:u w:val="single" w:color="005DA1"/>
          <w:vertAlign w:val="superscript"/>
        </w:rPr>
        <w:t>932</w:t>
      </w:r>
      <w:r>
        <w:rPr>
          <w:color w:val="005DA1"/>
          <w:vertAlign w:val="baseline"/>
        </w:rPr>
        <w:t> </w:t>
      </w:r>
      <w:r>
        <w:rPr>
          <w:vertAlign w:val="baseline"/>
        </w:rPr>
        <w:t>The latter form of technique could</w:t>
      </w:r>
      <w:r>
        <w:rPr>
          <w:spacing w:val="-3"/>
          <w:vertAlign w:val="baseline"/>
        </w:rPr>
        <w:t> </w:t>
      </w:r>
      <w:r>
        <w:rPr>
          <w:vertAlign w:val="baseline"/>
        </w:rPr>
        <w:t>not</w:t>
      </w:r>
      <w:r>
        <w:rPr>
          <w:spacing w:val="-3"/>
          <w:vertAlign w:val="baseline"/>
        </w:rPr>
        <w:t> </w:t>
      </w:r>
      <w:r>
        <w:rPr>
          <w:vertAlign w:val="baseline"/>
        </w:rPr>
        <w:t>realistically</w:t>
      </w:r>
      <w:r>
        <w:rPr>
          <w:spacing w:val="-3"/>
          <w:vertAlign w:val="baseline"/>
        </w:rPr>
        <w:t> </w:t>
      </w:r>
      <w:r>
        <w:rPr>
          <w:vertAlign w:val="baseline"/>
        </w:rPr>
        <w:t>be</w:t>
      </w:r>
      <w:r>
        <w:rPr>
          <w:spacing w:val="-3"/>
          <w:vertAlign w:val="baseline"/>
        </w:rPr>
        <w:t> </w:t>
      </w:r>
      <w:r>
        <w:rPr>
          <w:vertAlign w:val="baseline"/>
        </w:rPr>
        <w:t>accommodated</w:t>
      </w:r>
      <w:r>
        <w:rPr>
          <w:spacing w:val="-3"/>
          <w:vertAlign w:val="baseline"/>
        </w:rPr>
        <w:t> </w:t>
      </w:r>
      <w:r>
        <w:rPr>
          <w:vertAlign w:val="baseline"/>
        </w:rPr>
        <w:t>within</w:t>
      </w:r>
      <w:r>
        <w:rPr>
          <w:spacing w:val="-3"/>
          <w:vertAlign w:val="baseline"/>
        </w:rPr>
        <w:t> </w:t>
      </w:r>
      <w:r>
        <w:rPr>
          <w:vertAlign w:val="baseline"/>
        </w:rPr>
        <w:t>the</w:t>
      </w:r>
      <w:r>
        <w:rPr>
          <w:spacing w:val="-3"/>
          <w:vertAlign w:val="baseline"/>
        </w:rPr>
        <w:t> </w:t>
      </w:r>
      <w:r>
        <w:rPr>
          <w:vertAlign w:val="baseline"/>
        </w:rPr>
        <w:t>provisions</w:t>
      </w:r>
      <w:r>
        <w:rPr>
          <w:spacing w:val="-3"/>
          <w:vertAlign w:val="baseline"/>
        </w:rPr>
        <w:t> </w:t>
      </w:r>
      <w:r>
        <w:rPr>
          <w:vertAlign w:val="baseline"/>
        </w:rPr>
        <w:t>of</w:t>
      </w:r>
      <w:r>
        <w:rPr>
          <w:spacing w:val="-3"/>
          <w:vertAlign w:val="baseline"/>
        </w:rPr>
        <w:t> </w:t>
      </w:r>
      <w:r>
        <w:rPr>
          <w:vertAlign w:val="baseline"/>
        </w:rPr>
        <w:t>art.5</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Rome</w:t>
      </w:r>
      <w:r>
        <w:rPr>
          <w:spacing w:val="-3"/>
          <w:vertAlign w:val="baseline"/>
        </w:rPr>
        <w:t> </w:t>
      </w:r>
      <w:r>
        <w:rPr>
          <w:vertAlign w:val="baseline"/>
        </w:rPr>
        <w:t>Convention.</w:t>
      </w:r>
      <w:r>
        <w:rPr>
          <w:spacing w:val="-4"/>
          <w:vertAlign w:val="baseline"/>
        </w:rPr>
        <w:t> </w:t>
      </w:r>
      <w:r>
        <w:rPr>
          <w:color w:val="005DA1"/>
          <w:u w:val="single" w:color="005DA1"/>
          <w:vertAlign w:val="superscript"/>
        </w:rPr>
        <w:t>933</w:t>
      </w:r>
      <w:r>
        <w:rPr>
          <w:color w:val="005DA1"/>
          <w:spacing w:val="-3"/>
          <w:vertAlign w:val="baseline"/>
        </w:rPr>
        <w:t> </w:t>
      </w:r>
      <w:r>
        <w:rPr>
          <w:vertAlign w:val="baseline"/>
        </w:rPr>
        <w:t>The key concept in art.6(1)(b) is that of “directs such activities”, an expression which requires further elucidation. It will be convenient to consider “traditional” techniques for directing activities and those involving electronic commerce, separately.</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“Traditional” </w:t>
      </w:r>
      <w:r>
        <w:rPr>
          <w:rFonts w:ascii="Arial" w:hAnsi="Arial"/>
          <w:b/>
          <w:spacing w:val="-2"/>
          <w:sz w:val="18"/>
        </w:rPr>
        <w:t>techniques</w:t>
      </w:r>
    </w:p>
    <w:p>
      <w:pPr>
        <w:pStyle w:val="BodyText"/>
        <w:spacing w:before="41"/>
        <w:rPr>
          <w:rFonts w:ascii="Arial"/>
          <w:b/>
          <w:sz w:val="18"/>
        </w:rPr>
      </w:pPr>
    </w:p>
    <w:p>
      <w:pPr>
        <w:pStyle w:val="Heading2"/>
      </w:pPr>
      <w:r>
        <w:rPr/>
        <w:t>30-</w:t>
      </w:r>
      <w:r>
        <w:rPr>
          <w:spacing w:val="-5"/>
        </w:rPr>
        <w:t>244</w:t>
      </w:r>
    </w:p>
    <w:p>
      <w:pPr>
        <w:pStyle w:val="BodyText"/>
        <w:spacing w:line="235" w:lineRule="auto" w:before="203"/>
        <w:ind w:left="164" w:right="167"/>
        <w:jc w:val="both"/>
      </w:pPr>
      <w:bookmarkStart w:name="_bookmark1734" w:id="1736"/>
      <w:bookmarkEnd w:id="1736"/>
      <w:r>
        <w:rPr/>
      </w:r>
      <w:r>
        <w:rPr/>
        <w:t>Traditional distance techniques would include specific invitations to a consumer to purchase </w:t>
      </w:r>
      <w:r>
        <w:rPr>
          <w:color w:val="005DA1"/>
          <w:u w:val="single" w:color="005DA1"/>
          <w:vertAlign w:val="superscript"/>
        </w:rPr>
        <w:t>934</w:t>
      </w:r>
      <w:r>
        <w:rPr>
          <w:color w:val="005DA1"/>
          <w:vertAlign w:val="baseline"/>
        </w:rPr>
        <w:t> </w:t>
      </w:r>
      <w:r>
        <w:rPr>
          <w:vertAlign w:val="baseline"/>
        </w:rPr>
        <w:t>which </w:t>
      </w:r>
      <w:bookmarkStart w:name="_bookmark1735" w:id="1737"/>
      <w:bookmarkEnd w:id="1737"/>
      <w:r>
        <w:rPr>
          <w:vertAlign w:val="baseline"/>
        </w:rPr>
        <w:t>invitation</w:t>
      </w:r>
      <w:r>
        <w:rPr>
          <w:vertAlign w:val="baseline"/>
        </w:rPr>
        <w:t> is received by the consumer in the country where he is habitually resident. Such an</w:t>
      </w:r>
      <w:r>
        <w:rPr>
          <w:spacing w:val="40"/>
          <w:vertAlign w:val="baseline"/>
        </w:rPr>
        <w:t> </w:t>
      </w:r>
      <w:r>
        <w:rPr>
          <w:vertAlign w:val="baseline"/>
        </w:rPr>
        <w:t>invitation</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by</w:t>
      </w:r>
      <w:r>
        <w:rPr>
          <w:spacing w:val="-2"/>
          <w:vertAlign w:val="baseline"/>
        </w:rPr>
        <w:t> </w:t>
      </w:r>
      <w:r>
        <w:rPr>
          <w:vertAlign w:val="baseline"/>
        </w:rPr>
        <w:t>mail</w:t>
      </w:r>
      <w:r>
        <w:rPr>
          <w:spacing w:val="-2"/>
          <w:vertAlign w:val="baseline"/>
        </w:rPr>
        <w:t> </w:t>
      </w:r>
      <w:r>
        <w:rPr>
          <w:vertAlign w:val="baseline"/>
        </w:rPr>
        <w:t>order</w:t>
      </w:r>
      <w:r>
        <w:rPr>
          <w:spacing w:val="-2"/>
          <w:vertAlign w:val="baseline"/>
        </w:rPr>
        <w:t> </w:t>
      </w:r>
      <w:r>
        <w:rPr>
          <w:vertAlign w:val="baseline"/>
        </w:rPr>
        <w:t>or</w:t>
      </w:r>
      <w:r>
        <w:rPr>
          <w:spacing w:val="-2"/>
          <w:vertAlign w:val="baseline"/>
        </w:rPr>
        <w:t> </w:t>
      </w:r>
      <w:r>
        <w:rPr>
          <w:vertAlign w:val="baseline"/>
        </w:rPr>
        <w:t>by</w:t>
      </w:r>
      <w:r>
        <w:rPr>
          <w:spacing w:val="-2"/>
          <w:vertAlign w:val="baseline"/>
        </w:rPr>
        <w:t> </w:t>
      </w:r>
      <w:r>
        <w:rPr>
          <w:vertAlign w:val="baseline"/>
        </w:rPr>
        <w:t>door-step</w:t>
      </w:r>
      <w:r>
        <w:rPr>
          <w:spacing w:val="-2"/>
          <w:vertAlign w:val="baseline"/>
        </w:rPr>
        <w:t> </w:t>
      </w:r>
      <w:r>
        <w:rPr>
          <w:vertAlign w:val="baseline"/>
        </w:rPr>
        <w:t>selling.</w:t>
      </w:r>
      <w:r>
        <w:rPr>
          <w:spacing w:val="-2"/>
          <w:vertAlign w:val="baseline"/>
        </w:rPr>
        <w:t> </w:t>
      </w:r>
      <w:r>
        <w:rPr>
          <w:color w:val="005DA1"/>
          <w:u w:val="single" w:color="005DA1"/>
          <w:vertAlign w:val="superscript"/>
        </w:rPr>
        <w:t>935</w:t>
      </w:r>
      <w:r>
        <w:rPr>
          <w:color w:val="005DA1"/>
          <w:spacing w:val="-2"/>
          <w:vertAlign w:val="baseline"/>
        </w:rPr>
        <w:t> </w:t>
      </w:r>
      <w:r>
        <w:rPr>
          <w:vertAlign w:val="baseline"/>
        </w:rPr>
        <w:t>Advertising</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country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consumer’s habitual residence (even if accompanied by advertising in other countries) would also be </w:t>
      </w:r>
      <w:r>
        <w:rPr>
          <w:vertAlign w:val="baseline"/>
        </w:rPr>
        <w:t>covered: </w:t>
      </w:r>
      <w:bookmarkStart w:name="_bookmark1736" w:id="1738"/>
      <w:bookmarkEnd w:id="1738"/>
      <w:r>
        <w:rPr>
          <w:vertAlign w:val="baseline"/>
        </w:rPr>
        <w:t>such</w:t>
      </w:r>
      <w:r>
        <w:rPr>
          <w:vertAlign w:val="baseline"/>
        </w:rPr>
        <w:t> advertising might be through general dissemination in the press or by radio, television or mail order catalogue. </w:t>
      </w:r>
      <w:r>
        <w:rPr>
          <w:color w:val="005DA1"/>
          <w:u w:val="single" w:color="005DA1"/>
          <w:vertAlign w:val="superscript"/>
        </w:rPr>
        <w:t>936</w:t>
      </w:r>
      <w:r>
        <w:rPr>
          <w:color w:val="005DA1"/>
          <w:vertAlign w:val="baseline"/>
        </w:rPr>
        <w:t> </w:t>
      </w:r>
      <w:r>
        <w:rPr>
          <w:vertAlign w:val="baseline"/>
        </w:rPr>
        <w:t>The notion of advertising may also cover offers made to a consumer in person </w:t>
      </w:r>
      <w:bookmarkStart w:name="_bookmark1737" w:id="1739"/>
      <w:bookmarkEnd w:id="1739"/>
      <w:r>
        <w:rPr>
          <w:vertAlign w:val="baseline"/>
        </w:rPr>
        <w:t>through</w:t>
      </w:r>
      <w:r>
        <w:rPr>
          <w:vertAlign w:val="baseline"/>
        </w:rPr>
        <w:t> an agent or door-to-door salesman, if or to the extent that, this technique does not fall within </w:t>
      </w:r>
      <w:bookmarkStart w:name="_bookmark1738" w:id="1740"/>
      <w:bookmarkEnd w:id="1740"/>
      <w:r>
        <w:rPr>
          <w:vertAlign w:val="baseline"/>
        </w:rPr>
        <w:t>art.6(1)(a).</w:t>
      </w:r>
      <w:r>
        <w:rPr>
          <w:vertAlign w:val="baseline"/>
        </w:rPr>
        <w:t> </w:t>
      </w:r>
      <w:r>
        <w:rPr>
          <w:color w:val="005DA1"/>
          <w:u w:val="single" w:color="005DA1"/>
          <w:vertAlign w:val="superscript"/>
        </w:rPr>
        <w:t>937</w:t>
      </w:r>
      <w:r>
        <w:rPr>
          <w:color w:val="005DA1"/>
          <w:vertAlign w:val="baseline"/>
        </w:rPr>
        <w:t> </w:t>
      </w:r>
      <w:r>
        <w:rPr>
          <w:vertAlign w:val="baseline"/>
        </w:rPr>
        <w:t>It also seems that the notion of directing activities by such means involves some </w:t>
      </w:r>
      <w:bookmarkStart w:name="_bookmark1739" w:id="1741"/>
      <w:bookmarkEnd w:id="1741"/>
      <w:r>
        <w:rPr>
          <w:vertAlign w:val="baseline"/>
        </w:rPr>
        <w:t>specific</w:t>
      </w:r>
      <w:r>
        <w:rPr>
          <w:vertAlign w:val="baseline"/>
        </w:rPr>
        <w:t> intent to advertise in the consumer’s country of habitual residence </w:t>
      </w:r>
      <w:r>
        <w:rPr>
          <w:color w:val="005DA1"/>
          <w:u w:val="single" w:color="005DA1"/>
          <w:vertAlign w:val="superscript"/>
        </w:rPr>
        <w:t>938</w:t>
      </w:r>
      <w:r>
        <w:rPr>
          <w:color w:val="005DA1"/>
          <w:vertAlign w:val="baseline"/>
        </w:rPr>
        <w:t> </w:t>
      </w:r>
      <w:r>
        <w:rPr>
          <w:vertAlign w:val="baseline"/>
        </w:rPr>
        <w:t>an intention the existence of which may be derived from the nature of the publication in an appropriate case. </w:t>
      </w:r>
      <w:r>
        <w:rPr>
          <w:color w:val="005DA1"/>
          <w:u w:val="single" w:color="005DA1"/>
          <w:vertAlign w:val="superscript"/>
        </w:rPr>
        <w:t>939</w:t>
      </w:r>
      <w:r>
        <w:rPr>
          <w:color w:val="005DA1"/>
          <w:vertAlign w:val="baseline"/>
        </w:rPr>
        <w:t> </w:t>
      </w:r>
      <w:r>
        <w:rPr>
          <w:vertAlign w:val="baseline"/>
        </w:rPr>
        <w:t>It will </w:t>
      </w:r>
      <w:bookmarkStart w:name="_bookmark1740" w:id="1742"/>
      <w:bookmarkEnd w:id="1742"/>
      <w:r>
        <w:rPr>
          <w:vertAlign w:val="baseline"/>
        </w:rPr>
        <w:t>be</w:t>
      </w:r>
      <w:r>
        <w:rPr>
          <w:vertAlign w:val="baseline"/>
        </w:rPr>
        <w:t> noted that art.6(1)(a) of the Regulation does not require, unlike the position under the Rome Convention,</w:t>
      </w:r>
      <w:r>
        <w:rPr>
          <w:spacing w:val="-1"/>
          <w:vertAlign w:val="baseline"/>
        </w:rPr>
        <w:t> </w:t>
      </w:r>
      <w:r>
        <w:rPr>
          <w:color w:val="005DA1"/>
          <w:u w:val="single" w:color="005DA1"/>
          <w:vertAlign w:val="superscript"/>
        </w:rPr>
        <w:t>940</w:t>
      </w:r>
      <w:r>
        <w:rPr>
          <w:color w:val="005DA1"/>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consumer</w:t>
      </w:r>
      <w:r>
        <w:rPr>
          <w:spacing w:val="-1"/>
          <w:vertAlign w:val="baseline"/>
        </w:rPr>
        <w:t> </w:t>
      </w:r>
      <w:r>
        <w:rPr>
          <w:vertAlign w:val="baseline"/>
        </w:rPr>
        <w:t>take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country</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habitual</w:t>
      </w:r>
      <w:r>
        <w:rPr>
          <w:spacing w:val="-1"/>
          <w:vertAlign w:val="baseline"/>
        </w:rPr>
        <w:t> </w:t>
      </w:r>
      <w:r>
        <w:rPr>
          <w:vertAlign w:val="baseline"/>
        </w:rPr>
        <w:t>residence</w:t>
      </w:r>
      <w:r>
        <w:rPr>
          <w:spacing w:val="-1"/>
          <w:vertAlign w:val="baseline"/>
        </w:rPr>
        <w:t> </w:t>
      </w:r>
      <w:r>
        <w:rPr>
          <w:vertAlign w:val="baseline"/>
        </w:rPr>
        <w:t>all</w:t>
      </w:r>
      <w:r>
        <w:rPr>
          <w:spacing w:val="-1"/>
          <w:vertAlign w:val="baseline"/>
        </w:rPr>
        <w:t> </w:t>
      </w:r>
      <w:r>
        <w:rPr>
          <w:vertAlign w:val="baseline"/>
        </w:rPr>
        <w:t>the</w:t>
      </w:r>
      <w:r>
        <w:rPr>
          <w:spacing w:val="-1"/>
          <w:vertAlign w:val="baseline"/>
        </w:rPr>
        <w:t> </w:t>
      </w:r>
      <w:r>
        <w:rPr>
          <w:vertAlign w:val="baseline"/>
        </w:rPr>
        <w:t>steps</w:t>
      </w:r>
      <w:r>
        <w:rPr>
          <w:spacing w:val="-1"/>
          <w:vertAlign w:val="baseline"/>
        </w:rPr>
        <w:t> </w:t>
      </w:r>
      <w:r>
        <w:rPr>
          <w:vertAlign w:val="baseline"/>
        </w:rPr>
        <w:t>necessary on his part for the conclusion of the contract.</w:t>
      </w:r>
    </w:p>
    <w:p>
      <w:pPr>
        <w:pStyle w:val="BodyText"/>
      </w:pPr>
    </w:p>
    <w:p>
      <w:pPr>
        <w:pStyle w:val="BodyText"/>
        <w:spacing w:before="33"/>
      </w:pPr>
    </w:p>
    <w:p>
      <w:pPr>
        <w:spacing w:before="0"/>
        <w:ind w:left="165" w:right="0" w:firstLine="0"/>
        <w:jc w:val="left"/>
        <w:rPr>
          <w:rFonts w:ascii="Arial"/>
          <w:b/>
          <w:sz w:val="18"/>
        </w:rPr>
      </w:pPr>
      <w:r>
        <w:rPr>
          <w:rFonts w:ascii="Arial"/>
          <w:b/>
          <w:sz w:val="18"/>
        </w:rPr>
        <w:t>Techniques involving electronic </w:t>
      </w:r>
      <w:r>
        <w:rPr>
          <w:rFonts w:ascii="Arial"/>
          <w:b/>
          <w:spacing w:val="-2"/>
          <w:sz w:val="18"/>
        </w:rPr>
        <w:t>commerce</w:t>
      </w:r>
    </w:p>
    <w:p>
      <w:pPr>
        <w:pStyle w:val="BodyText"/>
        <w:spacing w:before="42"/>
        <w:rPr>
          <w:rFonts w:ascii="Arial"/>
          <w:b/>
          <w:sz w:val="18"/>
        </w:rPr>
      </w:pPr>
    </w:p>
    <w:p>
      <w:pPr>
        <w:pStyle w:val="Heading2"/>
      </w:pPr>
      <w:r>
        <w:rPr/>
        <w:t>30-</w:t>
      </w:r>
      <w:r>
        <w:rPr>
          <w:spacing w:val="-5"/>
        </w:rPr>
        <w:t>245</w:t>
      </w:r>
    </w:p>
    <w:p>
      <w:pPr>
        <w:pStyle w:val="BodyText"/>
        <w:spacing w:line="235" w:lineRule="auto" w:before="202"/>
        <w:ind w:left="165" w:right="167"/>
        <w:jc w:val="both"/>
      </w:pPr>
      <w:bookmarkStart w:name="_bookmark1741" w:id="1743"/>
      <w:bookmarkEnd w:id="1743"/>
      <w:r>
        <w:rPr/>
      </w:r>
      <w:r>
        <w:rPr/>
        <w:t>It has already been pointed out that it was only possible to accommodate developments in electronic </w:t>
      </w:r>
      <w:bookmarkStart w:name="_bookmark1742" w:id="1744"/>
      <w:bookmarkEnd w:id="1744"/>
      <w:r>
        <w:rPr/>
        <w:t>commerce</w:t>
      </w:r>
      <w:r>
        <w:rPr/>
        <w:t> within art.5 of the Rome Convention with considerable artifice. </w:t>
      </w:r>
      <w:r>
        <w:rPr>
          <w:color w:val="005DA1"/>
          <w:u w:val="single" w:color="005DA1"/>
          <w:vertAlign w:val="superscript"/>
        </w:rPr>
        <w:t>941</w:t>
      </w:r>
      <w:r>
        <w:rPr>
          <w:color w:val="005DA1"/>
          <w:vertAlign w:val="baseline"/>
        </w:rPr>
        <w:t> </w:t>
      </w:r>
      <w:r>
        <w:rPr>
          <w:vertAlign w:val="baseline"/>
        </w:rPr>
        <w:t>It was, in particular, the need to take account of these developments that prompted art.6(1) of the Regulation. </w:t>
      </w:r>
      <w:r>
        <w:rPr>
          <w:color w:val="005DA1"/>
          <w:u w:val="single" w:color="005DA1"/>
          <w:vertAlign w:val="superscript"/>
        </w:rPr>
        <w:t>942</w:t>
      </w:r>
      <w:r>
        <w:rPr>
          <w:color w:val="005DA1"/>
          <w:vertAlign w:val="baseline"/>
        </w:rPr>
        <w:t> </w:t>
      </w:r>
      <w:r>
        <w:rPr>
          <w:vertAlign w:val="baseline"/>
        </w:rPr>
        <w:t>The more general and flexible character of art.6(1)(b) enables electronic techniques to be accommodated within </w:t>
      </w:r>
      <w:bookmarkStart w:name="_bookmark1743" w:id="1745"/>
      <w:bookmarkEnd w:id="1745"/>
      <w:r>
        <w:rPr>
          <w:vertAlign w:val="baseline"/>
        </w:rPr>
        <w:t>art.6</w:t>
      </w:r>
      <w:r>
        <w:rPr>
          <w:vertAlign w:val="baseline"/>
        </w:rPr>
        <w:t> with greater ease. However, the precise way in which the requirement of “directs” activities applies in this context is uncertain, </w:t>
      </w:r>
      <w:r>
        <w:rPr>
          <w:color w:val="005DA1"/>
          <w:u w:val="single" w:color="005DA1"/>
          <w:vertAlign w:val="superscript"/>
        </w:rPr>
        <w:t>943</w:t>
      </w:r>
      <w:r>
        <w:rPr>
          <w:color w:val="005DA1"/>
          <w:vertAlign w:val="baseline"/>
        </w:rPr>
        <w:t> </w:t>
      </w:r>
      <w:r>
        <w:rPr>
          <w:vertAlign w:val="baseline"/>
        </w:rPr>
        <w:t>although the following suggestions may be made.</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Electronic </w:t>
      </w:r>
      <w:r>
        <w:rPr>
          <w:rFonts w:ascii="Arial"/>
          <w:b/>
          <w:spacing w:val="-4"/>
          <w:sz w:val="18"/>
        </w:rPr>
        <w:t>mail</w:t>
      </w:r>
    </w:p>
    <w:p>
      <w:pPr>
        <w:pStyle w:val="BodyText"/>
        <w:spacing w:before="41"/>
        <w:rPr>
          <w:rFonts w:ascii="Arial"/>
          <w:b/>
          <w:sz w:val="18"/>
        </w:rPr>
      </w:pPr>
    </w:p>
    <w:p>
      <w:pPr>
        <w:pStyle w:val="Heading2"/>
      </w:pPr>
      <w:r>
        <w:rPr/>
        <w:t>30-</w:t>
      </w:r>
      <w:r>
        <w:rPr>
          <w:spacing w:val="-5"/>
        </w:rPr>
        <w:t>246</w:t>
      </w:r>
    </w:p>
    <w:p>
      <w:pPr>
        <w:pStyle w:val="BodyText"/>
        <w:spacing w:line="235" w:lineRule="auto" w:before="203"/>
        <w:ind w:left="165" w:right="167"/>
        <w:jc w:val="both"/>
      </w:pPr>
      <w:r>
        <w:rPr/>
        <w:t>Where a professional sends specific invitations or advertisements to a particular consumer or </w:t>
      </w:r>
      <w:r>
        <w:rPr/>
        <w:t>group</w:t>
      </w:r>
      <w:r>
        <w:rPr>
          <w:spacing w:val="80"/>
        </w:rPr>
        <w:t> </w:t>
      </w:r>
      <w:bookmarkStart w:name="_bookmark1744" w:id="1746"/>
      <w:bookmarkEnd w:id="1746"/>
      <w:r>
        <w:rPr/>
        <w:t>of</w:t>
      </w:r>
      <w:r>
        <w:rPr/>
        <w:t> consumers in the country of habitual residence, there seems little doubt that art.6 will come into play provided a contract is concluded as a consequence. </w:t>
      </w:r>
      <w:r>
        <w:rPr>
          <w:color w:val="005DA1"/>
          <w:u w:val="single" w:color="005DA1"/>
          <w:vertAlign w:val="superscript"/>
        </w:rPr>
        <w:t>944</w:t>
      </w:r>
      <w:r>
        <w:rPr>
          <w:color w:val="005DA1"/>
          <w:vertAlign w:val="baseline"/>
        </w:rPr>
        <w:t> </w:t>
      </w:r>
      <w:r>
        <w:rPr>
          <w:vertAlign w:val="baseline"/>
        </w:rPr>
        <w:t>This will be so whether or not the</w:t>
      </w:r>
      <w:r>
        <w:rPr>
          <w:spacing w:val="40"/>
          <w:vertAlign w:val="baseline"/>
        </w:rPr>
        <w:t> </w:t>
      </w:r>
      <w:bookmarkStart w:name="_bookmark1745" w:id="1747"/>
      <w:bookmarkEnd w:id="1747"/>
      <w:r>
        <w:rPr>
          <w:vertAlign w:val="baseline"/>
        </w:rPr>
        <w:t>contract</w:t>
      </w:r>
      <w:r>
        <w:rPr>
          <w:vertAlign w:val="baseline"/>
        </w:rPr>
        <w:t> is concluded by traditional means (e.g. by a response from the consumer by letter or facsimile) or “on-line”. </w:t>
      </w:r>
      <w:r>
        <w:rPr>
          <w:color w:val="005DA1"/>
          <w:u w:val="single" w:color="005DA1"/>
          <w:vertAlign w:val="superscript"/>
        </w:rPr>
        <w:t>945</w:t>
      </w:r>
    </w:p>
    <w:p>
      <w:pPr>
        <w:pStyle w:val="BodyText"/>
      </w:pPr>
    </w:p>
    <w:p>
      <w:pPr>
        <w:pStyle w:val="BodyText"/>
        <w:spacing w:before="36"/>
      </w:pPr>
    </w:p>
    <w:p>
      <w:pPr>
        <w:spacing w:before="1"/>
        <w:ind w:left="165" w:right="0" w:firstLine="0"/>
        <w:jc w:val="left"/>
        <w:rPr>
          <w:rFonts w:ascii="Arial"/>
          <w:b/>
          <w:sz w:val="18"/>
        </w:rPr>
      </w:pPr>
      <w:r>
        <w:rPr>
          <w:rFonts w:ascii="Arial"/>
          <w:b/>
          <w:spacing w:val="-2"/>
          <w:sz w:val="18"/>
        </w:rPr>
        <w:t>Websites</w:t>
      </w:r>
    </w:p>
    <w:p>
      <w:pPr>
        <w:pStyle w:val="BodyText"/>
        <w:spacing w:before="41"/>
        <w:rPr>
          <w:rFonts w:ascii="Arial"/>
          <w:b/>
          <w:sz w:val="18"/>
        </w:rPr>
      </w:pPr>
    </w:p>
    <w:p>
      <w:pPr>
        <w:pStyle w:val="Heading2"/>
      </w:pPr>
      <w:r>
        <w:rPr/>
        <w:t>30-</w:t>
      </w:r>
      <w:r>
        <w:rPr>
          <w:spacing w:val="-5"/>
        </w:rPr>
        <w:t>247</w:t>
      </w:r>
    </w:p>
    <w:p>
      <w:pPr>
        <w:pStyle w:val="BodyText"/>
        <w:spacing w:line="235" w:lineRule="auto" w:before="203"/>
        <w:ind w:left="165" w:right="167"/>
        <w:jc w:val="both"/>
      </w:pPr>
      <w:bookmarkStart w:name="_bookmark1746" w:id="1748"/>
      <w:bookmarkEnd w:id="1748"/>
      <w:r>
        <w:rPr/>
      </w:r>
      <w:r>
        <w:rPr/>
        <w:t>It would seem clear that promotional material available on a professional’s website can amount, </w:t>
      </w:r>
      <w:r>
        <w:rPr/>
        <w:t>in principle, to advertising. </w:t>
      </w:r>
      <w:r>
        <w:rPr>
          <w:color w:val="005DA1"/>
          <w:u w:val="single" w:color="005DA1"/>
          <w:vertAlign w:val="superscript"/>
        </w:rPr>
        <w:t>946</w:t>
      </w:r>
      <w:r>
        <w:rPr>
          <w:color w:val="005DA1"/>
          <w:vertAlign w:val="baseline"/>
        </w:rPr>
        <w:t> </w:t>
      </w:r>
      <w:r>
        <w:rPr>
          <w:vertAlign w:val="baseline"/>
        </w:rPr>
        <w:t>More difficult, however, is when the availability of this material in the country of the consumer’s habitual residence will be a consequence of the professional directing activities to that country. There is some (but not much) guidance in Recital 24 which invokes a joint </w:t>
      </w:r>
      <w:bookmarkStart w:name="_bookmark1747" w:id="1749"/>
      <w:bookmarkEnd w:id="1749"/>
      <w:r>
        <w:rPr>
          <w:vertAlign w:val="baseline"/>
        </w:rPr>
        <w:t>declaration</w:t>
      </w:r>
      <w:r>
        <w:rPr>
          <w:vertAlign w:val="baseline"/>
        </w:rPr>
        <w:t> by the Council and Commission on art.15(1)(c) of the Judgments Regulation (now art.17(1)(c) of the Judgments Regulation recast). According to this </w:t>
      </w:r>
      <w:r>
        <w:rPr>
          <w:color w:val="005DA1"/>
          <w:u w:val="single" w:color="005DA1"/>
          <w:vertAlign w:val="superscript"/>
        </w:rPr>
        <w:t>947</w:t>
      </w:r>
      <w:r>
        <w:rPr>
          <w:vertAlign w:val="baseline"/>
        </w:rPr>
        <w:t>:</w:t>
      </w:r>
    </w:p>
    <w:p>
      <w:pPr>
        <w:pStyle w:val="BodyText"/>
      </w:pPr>
    </w:p>
    <w:p>
      <w:pPr>
        <w:pStyle w:val="BodyText"/>
        <w:spacing w:before="124"/>
      </w:pPr>
    </w:p>
    <w:p>
      <w:pPr>
        <w:pStyle w:val="BodyText"/>
        <w:spacing w:line="235" w:lineRule="auto"/>
        <w:ind w:left="1245" w:right="167"/>
        <w:jc w:val="both"/>
      </w:pPr>
      <w:r>
        <w:rPr/>
        <w:t>“… for Article 15(1)(c) to be applicable it is not sufficient for an undertaking to target </w:t>
      </w:r>
      <w:r>
        <w:rPr/>
        <w:t>its activities at the Member State of the consumer’s residence, or at a number of Member </w:t>
      </w:r>
      <w:bookmarkStart w:name="_bookmark1748" w:id="1750"/>
      <w:bookmarkEnd w:id="1750"/>
      <w:r>
        <w:rPr/>
        <w:t>States</w:t>
      </w:r>
      <w:r>
        <w:rPr/>
        <w:t> including that Member State; a contract must also be concluded within the framework of its activities.” </w:t>
      </w:r>
      <w:r>
        <w:rPr>
          <w:color w:val="005DA1"/>
          <w:u w:val="single" w:color="005DA1"/>
          <w:vertAlign w:val="superscript"/>
        </w:rPr>
        <w:t>948</w:t>
      </w:r>
    </w:p>
    <w:p>
      <w:pPr>
        <w:pStyle w:val="BodyText"/>
        <w:spacing w:before="111"/>
      </w:pPr>
    </w:p>
    <w:p>
      <w:pPr>
        <w:pStyle w:val="BodyText"/>
        <w:spacing w:before="1"/>
        <w:ind w:left="165"/>
        <w:jc w:val="both"/>
      </w:pPr>
      <w:r>
        <w:rPr/>
        <w:t>Further, the declaration also states that </w:t>
      </w:r>
      <w:r>
        <w:rPr>
          <w:spacing w:val="-4"/>
        </w:rPr>
        <w:t>the:</w:t>
      </w:r>
    </w:p>
    <w:p>
      <w:pPr>
        <w:pStyle w:val="BodyText"/>
      </w:pPr>
    </w:p>
    <w:p>
      <w:pPr>
        <w:pStyle w:val="BodyText"/>
        <w:spacing w:before="125"/>
      </w:pPr>
    </w:p>
    <w:p>
      <w:pPr>
        <w:pStyle w:val="BodyText"/>
        <w:spacing w:line="235" w:lineRule="auto"/>
        <w:ind w:left="1245" w:right="167"/>
        <w:jc w:val="both"/>
      </w:pPr>
      <w:bookmarkStart w:name="_bookmark1749" w:id="1751"/>
      <w:bookmarkEnd w:id="1751"/>
      <w:r>
        <w:rPr/>
      </w:r>
      <w:r>
        <w:rPr/>
        <w:t>“… mere fact that an internet site is accessible is not sufficient for Article 15 to be applicable </w:t>
      </w:r>
      <w:r>
        <w:rPr>
          <w:color w:val="005DA1"/>
          <w:u w:val="single" w:color="005DA1"/>
          <w:vertAlign w:val="superscript"/>
        </w:rPr>
        <w:t>949</w:t>
      </w:r>
      <w:r>
        <w:rPr>
          <w:color w:val="005DA1"/>
          <w:vertAlign w:val="baseline"/>
        </w:rPr>
        <w:t> </w:t>
      </w:r>
      <w:r>
        <w:rPr>
          <w:vertAlign w:val="baseline"/>
        </w:rPr>
        <w:t>although a factor will be that this internet site solicits the conclusion of distance contracts and that a contract has actually been concluded at a distance, </w:t>
      </w:r>
      <w:r>
        <w:rPr>
          <w:vertAlign w:val="baseline"/>
        </w:rPr>
        <w:t>by </w:t>
      </w:r>
      <w:bookmarkStart w:name="_bookmark1750" w:id="1752"/>
      <w:bookmarkEnd w:id="1752"/>
      <w:r>
        <w:rPr>
          <w:vertAlign w:val="baseline"/>
        </w:rPr>
        <w:t>whatever</w:t>
      </w:r>
      <w:r>
        <w:rPr>
          <w:spacing w:val="-2"/>
          <w:vertAlign w:val="baseline"/>
        </w:rPr>
        <w:t> </w:t>
      </w:r>
      <w:r>
        <w:rPr>
          <w:vertAlign w:val="baseline"/>
        </w:rPr>
        <w:t>means.</w:t>
      </w:r>
      <w:r>
        <w:rPr>
          <w:spacing w:val="-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respect,</w:t>
      </w:r>
      <w:r>
        <w:rPr>
          <w:spacing w:val="-2"/>
          <w:vertAlign w:val="baseline"/>
        </w:rPr>
        <w:t> </w:t>
      </w:r>
      <w:r>
        <w:rPr>
          <w:vertAlign w:val="baseline"/>
        </w:rPr>
        <w:t>the</w:t>
      </w:r>
      <w:r>
        <w:rPr>
          <w:spacing w:val="-2"/>
          <w:vertAlign w:val="baseline"/>
        </w:rPr>
        <w:t> </w:t>
      </w:r>
      <w:r>
        <w:rPr>
          <w:vertAlign w:val="baseline"/>
        </w:rPr>
        <w:t>language</w:t>
      </w:r>
      <w:r>
        <w:rPr>
          <w:spacing w:val="-2"/>
          <w:vertAlign w:val="baseline"/>
        </w:rPr>
        <w:t> </w:t>
      </w:r>
      <w:r>
        <w:rPr>
          <w:vertAlign w:val="baseline"/>
        </w:rPr>
        <w:t>or</w:t>
      </w:r>
      <w:r>
        <w:rPr>
          <w:spacing w:val="-2"/>
          <w:vertAlign w:val="baseline"/>
        </w:rPr>
        <w:t> </w:t>
      </w:r>
      <w:r>
        <w:rPr>
          <w:vertAlign w:val="baseline"/>
        </w:rPr>
        <w:t>currency</w:t>
      </w:r>
      <w:r>
        <w:rPr>
          <w:spacing w:val="-2"/>
          <w:vertAlign w:val="baseline"/>
        </w:rPr>
        <w:t> </w:t>
      </w:r>
      <w:r>
        <w:rPr>
          <w:vertAlign w:val="baseline"/>
        </w:rPr>
        <w:t>which</w:t>
      </w:r>
      <w:r>
        <w:rPr>
          <w:spacing w:val="-2"/>
          <w:vertAlign w:val="baseline"/>
        </w:rPr>
        <w:t> </w:t>
      </w:r>
      <w:r>
        <w:rPr>
          <w:vertAlign w:val="baseline"/>
        </w:rPr>
        <w:t>a</w:t>
      </w:r>
      <w:r>
        <w:rPr>
          <w:spacing w:val="-2"/>
          <w:vertAlign w:val="baseline"/>
        </w:rPr>
        <w:t> </w:t>
      </w:r>
      <w:r>
        <w:rPr>
          <w:vertAlign w:val="baseline"/>
        </w:rPr>
        <w:t>website</w:t>
      </w:r>
      <w:r>
        <w:rPr>
          <w:spacing w:val="-2"/>
          <w:vertAlign w:val="baseline"/>
        </w:rPr>
        <w:t> </w:t>
      </w:r>
      <w:r>
        <w:rPr>
          <w:vertAlign w:val="baseline"/>
        </w:rPr>
        <w:t>uses</w:t>
      </w:r>
      <w:r>
        <w:rPr>
          <w:spacing w:val="-2"/>
          <w:vertAlign w:val="baseline"/>
        </w:rPr>
        <w:t> </w:t>
      </w:r>
      <w:r>
        <w:rPr>
          <w:vertAlign w:val="baseline"/>
        </w:rPr>
        <w:t>does</w:t>
      </w:r>
      <w:r>
        <w:rPr>
          <w:spacing w:val="-2"/>
          <w:vertAlign w:val="baseline"/>
        </w:rPr>
        <w:t> </w:t>
      </w:r>
      <w:r>
        <w:rPr>
          <w:vertAlign w:val="baseline"/>
        </w:rPr>
        <w:t>not constitute a relevant factor.” </w:t>
      </w:r>
      <w:r>
        <w:rPr>
          <w:color w:val="005DA1"/>
          <w:u w:val="single" w:color="005DA1"/>
          <w:vertAlign w:val="superscript"/>
        </w:rPr>
        <w:t>950</w:t>
      </w:r>
    </w:p>
    <w:p>
      <w:pPr>
        <w:pStyle w:val="BodyText"/>
        <w:spacing w:before="115"/>
      </w:pPr>
    </w:p>
    <w:p>
      <w:pPr>
        <w:pStyle w:val="BodyText"/>
        <w:spacing w:line="235" w:lineRule="auto"/>
        <w:ind w:left="164" w:right="167"/>
        <w:jc w:val="both"/>
      </w:pPr>
      <w:r>
        <w:rPr/>
        <w:t>From these remarks it is possible to draw the following conclusions, as regards art.6(1)(b). First, </w:t>
      </w:r>
      <w:r>
        <w:rPr/>
        <w:t>the </w:t>
      </w:r>
      <w:bookmarkStart w:name="_bookmark1751" w:id="1753"/>
      <w:bookmarkEnd w:id="1753"/>
      <w:r>
        <w:rPr/>
        <w:t>concept</w:t>
      </w:r>
      <w:r>
        <w:rPr/>
        <w:t> of targeted activity only becomes relevant where a contract is concluded at a distance (by whatever means) as a result of those activities. </w:t>
      </w:r>
      <w:r>
        <w:rPr>
          <w:color w:val="005DA1"/>
          <w:u w:val="single" w:color="005DA1"/>
          <w:vertAlign w:val="superscript"/>
        </w:rPr>
        <w:t>951</w:t>
      </w:r>
      <w:r>
        <w:rPr>
          <w:color w:val="005DA1"/>
          <w:vertAlign w:val="baseline"/>
        </w:rPr>
        <w:t> </w:t>
      </w:r>
      <w:r>
        <w:rPr>
          <w:vertAlign w:val="baseline"/>
        </w:rPr>
        <w:t>Secondly, the website need not necessarily be an </w:t>
      </w:r>
      <w:bookmarkStart w:name="_bookmark1752" w:id="1754"/>
      <w:bookmarkEnd w:id="1754"/>
      <w:r>
        <w:rPr>
          <w:vertAlign w:val="baseline"/>
        </w:rPr>
        <w:t>interactive</w:t>
      </w:r>
      <w:r>
        <w:rPr>
          <w:vertAlign w:val="baseline"/>
        </w:rPr>
        <w:t> one: if the site invites consumers to mail or fax orders then it aims to conclude distance contracts. </w:t>
      </w:r>
      <w:r>
        <w:rPr>
          <w:color w:val="005DA1"/>
          <w:u w:val="single" w:color="005DA1"/>
          <w:vertAlign w:val="superscript"/>
        </w:rPr>
        <w:t>952</w:t>
      </w:r>
      <w:r>
        <w:rPr>
          <w:color w:val="005DA1"/>
          <w:vertAlign w:val="baseline"/>
        </w:rPr>
        <w:t> </w:t>
      </w:r>
      <w:r>
        <w:rPr>
          <w:vertAlign w:val="baseline"/>
        </w:rPr>
        <w:t>Thirdly, however, a site which offers information to potential consumers all over the</w:t>
      </w:r>
      <w:r>
        <w:rPr>
          <w:spacing w:val="40"/>
          <w:vertAlign w:val="baseline"/>
        </w:rPr>
        <w:t> </w:t>
      </w:r>
      <w:r>
        <w:rPr>
          <w:vertAlign w:val="baseline"/>
        </w:rPr>
        <w:t>world but, say, refers them to a local distributor or agent for the purpose of concluding the actual contract does not aim to conclude distance contracts. Furthermore, art.6(1)(b) is not subject to any condition that the consumer has taken, in the country of his habitual residence, all the steps</w:t>
      </w:r>
      <w:r>
        <w:rPr>
          <w:spacing w:val="40"/>
          <w:vertAlign w:val="baseline"/>
        </w:rPr>
        <w:t> </w:t>
      </w:r>
      <w:bookmarkStart w:name="_bookmark1753" w:id="1755"/>
      <w:bookmarkEnd w:id="1755"/>
      <w:r>
        <w:rPr>
          <w:vertAlign w:val="baseline"/>
        </w:rPr>
        <w:t>necessary</w:t>
      </w:r>
      <w:r>
        <w:rPr>
          <w:vertAlign w:val="baseline"/>
        </w:rPr>
        <w:t> on his part for the conclusion of the contract. This will reduce the difficulties encountered,</w:t>
      </w:r>
      <w:r>
        <w:rPr>
          <w:spacing w:val="40"/>
          <w:vertAlign w:val="baseline"/>
        </w:rPr>
        <w:t> </w:t>
      </w:r>
      <w:bookmarkStart w:name="_bookmark1754" w:id="1756"/>
      <w:bookmarkEnd w:id="1756"/>
      <w:r>
        <w:rPr>
          <w:vertAlign w:val="baseline"/>
        </w:rPr>
        <w:t>in</w:t>
      </w:r>
      <w:r>
        <w:rPr>
          <w:vertAlign w:val="baseline"/>
        </w:rPr>
        <w:t> this respect, in the application of the Rome Convention. </w:t>
      </w:r>
      <w:r>
        <w:rPr>
          <w:color w:val="005DA1"/>
          <w:u w:val="single" w:color="005DA1"/>
          <w:vertAlign w:val="superscript"/>
        </w:rPr>
        <w:t>953</w:t>
      </w:r>
      <w:r>
        <w:rPr>
          <w:color w:val="005DA1"/>
          <w:vertAlign w:val="baseline"/>
        </w:rPr>
        <w:t> </w:t>
      </w:r>
      <w:r>
        <w:rPr>
          <w:vertAlign w:val="baseline"/>
        </w:rPr>
        <w:t>In the joined cases </w:t>
      </w:r>
      <w:r>
        <w:rPr>
          <w:rFonts w:ascii="Arial" w:hAnsi="Arial"/>
          <w:i/>
          <w:vertAlign w:val="baseline"/>
        </w:rPr>
        <w:t>Pammer v Reederei Schlüter GmbH &amp; Co KG (C-585/08) </w:t>
      </w:r>
      <w:r>
        <w:rPr>
          <w:vertAlign w:val="baseline"/>
        </w:rPr>
        <w:t>and </w:t>
      </w:r>
      <w:r>
        <w:rPr>
          <w:rFonts w:ascii="Arial" w:hAnsi="Arial"/>
          <w:i/>
          <w:vertAlign w:val="baseline"/>
        </w:rPr>
        <w:t>Alpenhof v Heller (C-144/09) </w:t>
      </w:r>
      <w:r>
        <w:rPr>
          <w:color w:val="005DA1"/>
          <w:u w:val="single" w:color="005DA1"/>
          <w:vertAlign w:val="superscript"/>
        </w:rPr>
        <w:t>954</w:t>
      </w:r>
      <w:r>
        <w:rPr>
          <w:color w:val="005DA1"/>
          <w:vertAlign w:val="baseline"/>
        </w:rPr>
        <w:t> </w:t>
      </w:r>
      <w:r>
        <w:rPr>
          <w:vertAlign w:val="baseline"/>
        </w:rPr>
        <w:t>the European Court considered the application of art.15(1)(c) of the Judgments Regulation, which is in the same terms as the pre-conditions in art.6. The European Court considered when a business using a website can be considered</w:t>
      </w:r>
      <w:r>
        <w:rPr>
          <w:spacing w:val="-1"/>
          <w:vertAlign w:val="baseline"/>
        </w:rPr>
        <w:t> </w:t>
      </w:r>
      <w:r>
        <w:rPr>
          <w:vertAlign w:val="baseline"/>
        </w:rPr>
        <w:t>to</w:t>
      </w:r>
      <w:r>
        <w:rPr>
          <w:spacing w:val="-1"/>
          <w:vertAlign w:val="baseline"/>
        </w:rPr>
        <w:t> </w:t>
      </w:r>
      <w:r>
        <w:rPr>
          <w:vertAlign w:val="baseline"/>
        </w:rPr>
        <w:t>“direct”</w:t>
      </w:r>
      <w:r>
        <w:rPr>
          <w:spacing w:val="-1"/>
          <w:vertAlign w:val="baseline"/>
        </w:rPr>
        <w:t> </w:t>
      </w:r>
      <w:r>
        <w:rPr>
          <w:vertAlign w:val="baseline"/>
        </w:rPr>
        <w:t>its</w:t>
      </w:r>
      <w:r>
        <w:rPr>
          <w:spacing w:val="-1"/>
          <w:vertAlign w:val="baseline"/>
        </w:rPr>
        <w:t> </w:t>
      </w:r>
      <w:r>
        <w:rPr>
          <w:vertAlign w:val="baseline"/>
        </w:rPr>
        <w:t>activity</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particular</w:t>
      </w:r>
      <w:r>
        <w:rPr>
          <w:spacing w:val="-1"/>
          <w:vertAlign w:val="baseline"/>
        </w:rPr>
        <w:t> </w:t>
      </w:r>
      <w:r>
        <w:rPr>
          <w:vertAlign w:val="baseline"/>
        </w:rPr>
        <w:t>state.</w:t>
      </w:r>
      <w:r>
        <w:rPr>
          <w:spacing w:val="-1"/>
          <w:vertAlign w:val="baseline"/>
        </w:rPr>
        <w:t> </w:t>
      </w:r>
      <w:r>
        <w:rPr>
          <w:vertAlign w:val="baseline"/>
        </w:rPr>
        <w:t>The</w:t>
      </w:r>
      <w:r>
        <w:rPr>
          <w:spacing w:val="-1"/>
          <w:vertAlign w:val="baseline"/>
        </w:rPr>
        <w:t> </w:t>
      </w:r>
      <w:r>
        <w:rPr>
          <w:vertAlign w:val="baseline"/>
        </w:rPr>
        <w:t>European</w:t>
      </w:r>
      <w:r>
        <w:rPr>
          <w:spacing w:val="-1"/>
          <w:vertAlign w:val="baseline"/>
        </w:rPr>
        <w:t> </w:t>
      </w:r>
      <w:r>
        <w:rPr>
          <w:vertAlign w:val="baseline"/>
        </w:rPr>
        <w:t>Court</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decided whether,</w:t>
      </w:r>
      <w:r>
        <w:rPr>
          <w:spacing w:val="-1"/>
          <w:vertAlign w:val="baseline"/>
        </w:rPr>
        <w:t> </w:t>
      </w:r>
      <w:r>
        <w:rPr>
          <w:vertAlign w:val="baseline"/>
        </w:rPr>
        <w:t>prior</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conclusion</w:t>
      </w:r>
      <w:r>
        <w:rPr>
          <w:spacing w:val="-1"/>
          <w:vertAlign w:val="baseline"/>
        </w:rPr>
        <w:t> </w:t>
      </w:r>
      <w:r>
        <w:rPr>
          <w:vertAlign w:val="baseline"/>
        </w:rPr>
        <w:t>of</w:t>
      </w:r>
      <w:r>
        <w:rPr>
          <w:spacing w:val="-1"/>
          <w:vertAlign w:val="baseline"/>
        </w:rPr>
        <w:t> </w:t>
      </w:r>
      <w:r>
        <w:rPr>
          <w:vertAlign w:val="baseline"/>
        </w:rPr>
        <w:t>any</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consumer,</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apparent</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website</w:t>
      </w:r>
      <w:r>
        <w:rPr>
          <w:spacing w:val="-1"/>
          <w:vertAlign w:val="baseline"/>
        </w:rPr>
        <w:t> </w:t>
      </w:r>
      <w:r>
        <w:rPr>
          <w:vertAlign w:val="baseline"/>
        </w:rPr>
        <w:t>and the trader’s overall activity that the trader was envisaging doing business with consumers in Member States including the consumer’s home Member State. It went on to provide a non-exhaustive list of potentially relevant indicators including:</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“the international nature of the activity at issue, such as certain tourist activities; mention of telephone numbers with the international code; use of a top-level domain name </w:t>
      </w:r>
      <w:r>
        <w:rPr/>
        <w:t>other than that of the Member State in which the trader is established, for example ‘.de’, or use of neutral top-level domain names such as ‘.com’ or ‘.eu’; the description of itineraries from one or more other Member States to the place where the service is provided; and </w:t>
      </w:r>
      <w:bookmarkStart w:name="_bookmark1755" w:id="1757"/>
      <w:bookmarkEnd w:id="1757"/>
      <w:r>
        <w:rPr/>
        <w:t>mention</w:t>
      </w:r>
      <w:r>
        <w:rPr>
          <w:spacing w:val="-3"/>
        </w:rPr>
        <w:t> </w:t>
      </w:r>
      <w:r>
        <w:rPr/>
        <w:t>of</w:t>
      </w:r>
      <w:r>
        <w:rPr>
          <w:spacing w:val="-3"/>
        </w:rPr>
        <w:t> </w:t>
      </w:r>
      <w:r>
        <w:rPr/>
        <w:t>an</w:t>
      </w:r>
      <w:r>
        <w:rPr>
          <w:spacing w:val="-3"/>
        </w:rPr>
        <w:t> </w:t>
      </w:r>
      <w:r>
        <w:rPr/>
        <w:t>international</w:t>
      </w:r>
      <w:r>
        <w:rPr>
          <w:spacing w:val="-3"/>
        </w:rPr>
        <w:t> </w:t>
      </w:r>
      <w:r>
        <w:rPr/>
        <w:t>clientele</w:t>
      </w:r>
      <w:r>
        <w:rPr>
          <w:spacing w:val="-3"/>
        </w:rPr>
        <w:t> </w:t>
      </w:r>
      <w:r>
        <w:rPr/>
        <w:t>composed</w:t>
      </w:r>
      <w:r>
        <w:rPr>
          <w:spacing w:val="-3"/>
        </w:rPr>
        <w:t> </w:t>
      </w:r>
      <w:r>
        <w:rPr/>
        <w:t>of</w:t>
      </w:r>
      <w:r>
        <w:rPr>
          <w:spacing w:val="-3"/>
        </w:rPr>
        <w:t> </w:t>
      </w:r>
      <w:r>
        <w:rPr/>
        <w:t>customers</w:t>
      </w:r>
      <w:r>
        <w:rPr>
          <w:spacing w:val="-3"/>
        </w:rPr>
        <w:t> </w:t>
      </w:r>
      <w:r>
        <w:rPr/>
        <w:t>domiciled</w:t>
      </w:r>
      <w:r>
        <w:rPr>
          <w:spacing w:val="-3"/>
        </w:rPr>
        <w:t> </w:t>
      </w:r>
      <w:r>
        <w:rPr/>
        <w:t>in</w:t>
      </w:r>
      <w:r>
        <w:rPr>
          <w:spacing w:val="-3"/>
        </w:rPr>
        <w:t> </w:t>
      </w:r>
      <w:r>
        <w:rPr/>
        <w:t>various</w:t>
      </w:r>
      <w:r>
        <w:rPr>
          <w:spacing w:val="-3"/>
        </w:rPr>
        <w:t> </w:t>
      </w:r>
      <w:r>
        <w:rPr/>
        <w:t>Member States, in particular by presentation of accounts written by such customers.” </w:t>
      </w:r>
      <w:r>
        <w:rPr>
          <w:color w:val="005DA1"/>
          <w:u w:val="single" w:color="005DA1"/>
          <w:vertAlign w:val="superscript"/>
        </w:rPr>
        <w:t>955</w:t>
      </w:r>
    </w:p>
    <w:p>
      <w:pPr>
        <w:pStyle w:val="BodyText"/>
        <w:spacing w:before="110"/>
      </w:pPr>
    </w:p>
    <w:p>
      <w:pPr>
        <w:pStyle w:val="BodyText"/>
        <w:ind w:left="165"/>
        <w:jc w:val="both"/>
      </w:pPr>
      <w:r>
        <w:rPr/>
        <w:t>In relation to the relevance of language or currency the European Court </w:t>
      </w:r>
      <w:r>
        <w:rPr>
          <w:spacing w:val="-2"/>
        </w:rPr>
        <w:t>noted:</w:t>
      </w:r>
    </w:p>
    <w:p>
      <w:pPr>
        <w:pStyle w:val="BodyText"/>
      </w:pPr>
    </w:p>
    <w:p>
      <w:pPr>
        <w:pStyle w:val="BodyText"/>
        <w:spacing w:before="126"/>
      </w:pPr>
    </w:p>
    <w:p>
      <w:pPr>
        <w:pStyle w:val="BodyText"/>
        <w:spacing w:line="235" w:lineRule="auto"/>
        <w:ind w:left="1245" w:right="167"/>
        <w:jc w:val="both"/>
      </w:pPr>
      <w:r>
        <w:rPr/>
        <w:t>“So far as concerns the language or the currency used, the joint declaration of </w:t>
      </w:r>
      <w:r>
        <w:rPr/>
        <w:t>the</w:t>
      </w:r>
      <w:r>
        <w:rPr>
          <w:spacing w:val="40"/>
        </w:rPr>
        <w:t> </w:t>
      </w:r>
      <w:r>
        <w:rPr/>
        <w:t>Council and the Commission mentioned in paragraph 11 of the present judgment and reproduced in recital 24 in the preamble to Regulation No 593/2008 states that they do not constitute relevant factors for the purpose of determining whether an activity is directed to one or more other Member States. That is indeed true where they correspond to the languages generally used in the Member State from which the trader pursues its activity and to the currency of that Member State. If, on the other hand, the website permits consumers to use a different language or a different currency, the language </w:t>
      </w:r>
      <w:bookmarkStart w:name="_bookmark1756" w:id="1758"/>
      <w:bookmarkEnd w:id="1758"/>
      <w:r>
        <w:rPr/>
        <w:t>and/or</w:t>
      </w:r>
      <w:r>
        <w:rPr/>
        <w:t> currency can be taken into consideration and constitute evidence from which it may be concluded that the trader’s activity is directed to other Member States.” </w:t>
      </w:r>
      <w:r>
        <w:rPr>
          <w:color w:val="005DA1"/>
          <w:u w:val="single" w:color="005DA1"/>
          <w:vertAlign w:val="superscript"/>
        </w:rPr>
        <w:t>956</w:t>
      </w:r>
    </w:p>
    <w:p>
      <w:pPr>
        <w:pStyle w:val="BodyText"/>
        <w:spacing w:before="113"/>
      </w:pPr>
    </w:p>
    <w:p>
      <w:pPr>
        <w:pStyle w:val="BodyText"/>
        <w:spacing w:line="235" w:lineRule="auto"/>
        <w:ind w:left="165" w:right="167"/>
        <w:jc w:val="both"/>
      </w:pPr>
      <w:r>
        <w:rPr/>
        <w:t>By contrast, the mere accessibility of a website in a Member State is insufficient. The same is true of the mention of an email address or other contact details as those factors would be present even if the trader intended to trade only with consumers in its own Member State.</w:t>
      </w:r>
    </w:p>
    <w:p>
      <w:pPr>
        <w:pStyle w:val="BodyText"/>
      </w:pPr>
    </w:p>
    <w:p>
      <w:pPr>
        <w:pStyle w:val="BodyText"/>
        <w:spacing w:before="37"/>
      </w:pPr>
    </w:p>
    <w:p>
      <w:pPr>
        <w:spacing w:before="0"/>
        <w:ind w:left="165" w:right="0" w:firstLine="0"/>
        <w:jc w:val="both"/>
        <w:rPr>
          <w:rFonts w:ascii="Arial"/>
          <w:b/>
          <w:sz w:val="18"/>
        </w:rPr>
      </w:pPr>
      <w:r>
        <w:rPr>
          <w:rFonts w:ascii="Arial"/>
          <w:b/>
          <w:sz w:val="18"/>
        </w:rPr>
        <w:t>Contract falls within scope of such </w:t>
      </w:r>
      <w:r>
        <w:rPr>
          <w:rFonts w:ascii="Arial"/>
          <w:b/>
          <w:spacing w:val="-2"/>
          <w:sz w:val="18"/>
        </w:rPr>
        <w:t>activities</w:t>
      </w:r>
    </w:p>
    <w:p>
      <w:pPr>
        <w:pStyle w:val="BodyText"/>
        <w:spacing w:before="42"/>
        <w:rPr>
          <w:rFonts w:ascii="Arial"/>
          <w:b/>
          <w:sz w:val="18"/>
        </w:rPr>
      </w:pPr>
    </w:p>
    <w:p>
      <w:pPr>
        <w:pStyle w:val="Heading2"/>
      </w:pPr>
      <w:r>
        <w:rPr/>
        <w:t>30-</w:t>
      </w:r>
      <w:r>
        <w:rPr>
          <w:spacing w:val="-5"/>
        </w:rPr>
        <w:t>248</w:t>
      </w:r>
    </w:p>
    <w:p>
      <w:pPr>
        <w:pStyle w:val="BodyText"/>
        <w:spacing w:line="235" w:lineRule="auto" w:before="202"/>
        <w:ind w:left="165" w:right="167"/>
        <w:jc w:val="both"/>
      </w:pPr>
      <w:r>
        <w:rPr/>
        <w:t>Both art.6(1)(a) and art.6(1)(b) are subject to the condition that the contract falls within the scope of the relevant activities which are pursued in, or directed towards, the country where the consumer is habitually resident. As pointed out in the preceding paragraph, this is an important limitation on </w:t>
      </w:r>
      <w:r>
        <w:rPr/>
        <w:t>the scope</w:t>
      </w:r>
      <w:r>
        <w:rPr>
          <w:spacing w:val="-1"/>
        </w:rPr>
        <w:t> </w:t>
      </w:r>
      <w:r>
        <w:rPr/>
        <w:t>of</w:t>
      </w:r>
      <w:r>
        <w:rPr>
          <w:spacing w:val="-1"/>
        </w:rPr>
        <w:t> </w:t>
      </w:r>
      <w:r>
        <w:rPr/>
        <w:t>art.6(1)</w:t>
      </w:r>
      <w:r>
        <w:rPr>
          <w:spacing w:val="-1"/>
        </w:rPr>
        <w:t> </w:t>
      </w:r>
      <w:r>
        <w:rPr/>
        <w:t>in</w:t>
      </w:r>
      <w:r>
        <w:rPr>
          <w:spacing w:val="-1"/>
        </w:rPr>
        <w:t> </w:t>
      </w:r>
      <w:r>
        <w:rPr/>
        <w:t>the</w:t>
      </w:r>
      <w:r>
        <w:rPr>
          <w:spacing w:val="-1"/>
        </w:rPr>
        <w:t> </w:t>
      </w:r>
      <w:r>
        <w:rPr/>
        <w:t>particular</w:t>
      </w:r>
      <w:r>
        <w:rPr>
          <w:spacing w:val="-1"/>
        </w:rPr>
        <w:t> </w:t>
      </w:r>
      <w:r>
        <w:rPr/>
        <w:t>matter</w:t>
      </w:r>
      <w:r>
        <w:rPr>
          <w:spacing w:val="-1"/>
        </w:rPr>
        <w:t> </w:t>
      </w:r>
      <w:r>
        <w:rPr/>
        <w:t>of</w:t>
      </w:r>
      <w:r>
        <w:rPr>
          <w:spacing w:val="-1"/>
        </w:rPr>
        <w:t> </w:t>
      </w:r>
      <w:r>
        <w:rPr/>
        <w:t>electronic</w:t>
      </w:r>
      <w:r>
        <w:rPr>
          <w:spacing w:val="-1"/>
        </w:rPr>
        <w:t> </w:t>
      </w:r>
      <w:r>
        <w:rPr/>
        <w:t>commerce.</w:t>
      </w:r>
      <w:r>
        <w:rPr>
          <w:spacing w:val="-1"/>
        </w:rPr>
        <w:t> </w:t>
      </w:r>
      <w:r>
        <w:rPr/>
        <w:t>Beyond</w:t>
      </w:r>
      <w:r>
        <w:rPr>
          <w:spacing w:val="-1"/>
        </w:rPr>
        <w:t> </w:t>
      </w:r>
      <w:r>
        <w:rPr/>
        <w:t>this,</w:t>
      </w:r>
      <w:r>
        <w:rPr>
          <w:spacing w:val="-1"/>
        </w:rPr>
        <w:t> </w:t>
      </w:r>
      <w:r>
        <w:rPr/>
        <w:t>however,</w:t>
      </w:r>
      <w:r>
        <w:rPr>
          <w:spacing w:val="-1"/>
        </w:rPr>
        <w:t> </w:t>
      </w:r>
      <w:r>
        <w:rPr/>
        <w:t>much</w:t>
      </w:r>
      <w:r>
        <w:rPr>
          <w:spacing w:val="-1"/>
        </w:rPr>
        <w:t> </w:t>
      </w:r>
      <w:r>
        <w:rPr/>
        <w:t>is</w:t>
      </w:r>
      <w:r>
        <w:rPr>
          <w:spacing w:val="-1"/>
        </w:rPr>
        <w:t> </w:t>
      </w:r>
      <w:r>
        <w:rPr/>
        <w:t>left</w:t>
      </w:r>
      <w:r>
        <w:rPr>
          <w:spacing w:val="-1"/>
        </w:rPr>
        <w:t> </w:t>
      </w:r>
      <w:r>
        <w:rPr/>
        <w:t>to the courts of Member States and to the European Court, in identifying the scope of the provision with </w:t>
      </w:r>
      <w:bookmarkStart w:name="_bookmark1757" w:id="1759"/>
      <w:bookmarkEnd w:id="1759"/>
      <w:r>
        <w:rPr/>
        <w:t>a</w:t>
      </w:r>
      <w:r>
        <w:rPr/>
        <w:t> view to producing certainty of outcome in what are likely, for the most part, to be relatively small claims. </w:t>
      </w:r>
      <w:r>
        <w:rPr>
          <w:color w:val="005DA1"/>
          <w:u w:val="single" w:color="005DA1"/>
          <w:vertAlign w:val="superscript"/>
        </w:rPr>
        <w:t>957</w:t>
      </w:r>
    </w:p>
    <w:p>
      <w:pPr>
        <w:pStyle w:val="BodyText"/>
      </w:pPr>
    </w:p>
    <w:p>
      <w:pPr>
        <w:pStyle w:val="BodyText"/>
        <w:spacing w:before="36"/>
      </w:pPr>
    </w:p>
    <w:p>
      <w:pPr>
        <w:spacing w:before="0"/>
        <w:ind w:left="165" w:right="0" w:firstLine="0"/>
        <w:jc w:val="left"/>
        <w:rPr>
          <w:rFonts w:ascii="Arial"/>
          <w:b/>
          <w:sz w:val="18"/>
        </w:rPr>
      </w:pPr>
      <w:r>
        <w:rPr>
          <w:rFonts w:ascii="Arial"/>
          <w:b/>
          <w:sz w:val="18"/>
        </w:rPr>
        <w:t>Choice of law by the </w:t>
      </w:r>
      <w:r>
        <w:rPr>
          <w:rFonts w:ascii="Arial"/>
          <w:b/>
          <w:spacing w:val="-2"/>
          <w:sz w:val="18"/>
        </w:rPr>
        <w:t>parties</w:t>
      </w:r>
    </w:p>
    <w:p>
      <w:pPr>
        <w:pStyle w:val="BodyText"/>
        <w:spacing w:before="42"/>
        <w:rPr>
          <w:rFonts w:ascii="Arial"/>
          <w:b/>
          <w:sz w:val="18"/>
        </w:rPr>
      </w:pPr>
    </w:p>
    <w:p>
      <w:pPr>
        <w:pStyle w:val="Heading2"/>
      </w:pPr>
      <w:r>
        <w:rPr/>
        <w:t>30-</w:t>
      </w:r>
      <w:r>
        <w:rPr>
          <w:spacing w:val="-5"/>
        </w:rPr>
        <w:t>249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is well known that contracts between professionals and consumers often, if not generally: (a) contain</w:t>
      </w:r>
      <w:r>
        <w:rPr>
          <w:spacing w:val="8"/>
        </w:rPr>
        <w:t> </w:t>
      </w:r>
      <w:r>
        <w:rPr/>
        <w:t>a</w:t>
      </w:r>
      <w:r>
        <w:rPr>
          <w:spacing w:val="8"/>
        </w:rPr>
        <w:t> </w:t>
      </w:r>
      <w:r>
        <w:rPr/>
        <w:t>choice</w:t>
      </w:r>
      <w:r>
        <w:rPr>
          <w:spacing w:val="8"/>
        </w:rPr>
        <w:t> </w:t>
      </w:r>
      <w:r>
        <w:rPr/>
        <w:t>of</w:t>
      </w:r>
      <w:r>
        <w:rPr>
          <w:spacing w:val="8"/>
        </w:rPr>
        <w:t> </w:t>
      </w:r>
      <w:r>
        <w:rPr/>
        <w:t>law</w:t>
      </w:r>
      <w:r>
        <w:rPr>
          <w:spacing w:val="8"/>
        </w:rPr>
        <w:t> </w:t>
      </w:r>
      <w:r>
        <w:rPr/>
        <w:t>which;</w:t>
      </w:r>
      <w:r>
        <w:rPr>
          <w:spacing w:val="8"/>
        </w:rPr>
        <w:t> </w:t>
      </w:r>
      <w:r>
        <w:rPr/>
        <w:t>(b)</w:t>
      </w:r>
      <w:r>
        <w:rPr>
          <w:spacing w:val="8"/>
        </w:rPr>
        <w:t> </w:t>
      </w:r>
      <w:r>
        <w:rPr/>
        <w:t>is</w:t>
      </w:r>
      <w:r>
        <w:rPr>
          <w:spacing w:val="8"/>
        </w:rPr>
        <w:t> </w:t>
      </w:r>
      <w:r>
        <w:rPr/>
        <w:t>found</w:t>
      </w:r>
      <w:r>
        <w:rPr>
          <w:spacing w:val="8"/>
        </w:rPr>
        <w:t> </w:t>
      </w:r>
      <w:r>
        <w:rPr/>
        <w:t>in</w:t>
      </w:r>
      <w:r>
        <w:rPr>
          <w:spacing w:val="8"/>
        </w:rPr>
        <w:t> </w:t>
      </w:r>
      <w:r>
        <w:rPr/>
        <w:t>the</w:t>
      </w:r>
      <w:r>
        <w:rPr>
          <w:spacing w:val="8"/>
        </w:rPr>
        <w:t> </w:t>
      </w:r>
      <w:r>
        <w:rPr/>
        <w:t>professional’s</w:t>
      </w:r>
      <w:r>
        <w:rPr>
          <w:spacing w:val="8"/>
        </w:rPr>
        <w:t> </w:t>
      </w:r>
      <w:r>
        <w:rPr/>
        <w:t>standard</w:t>
      </w:r>
      <w:r>
        <w:rPr>
          <w:spacing w:val="8"/>
        </w:rPr>
        <w:t> </w:t>
      </w:r>
      <w:r>
        <w:rPr/>
        <w:t>terms</w:t>
      </w:r>
      <w:r>
        <w:rPr>
          <w:spacing w:val="8"/>
        </w:rPr>
        <w:t> </w:t>
      </w:r>
      <w:r>
        <w:rPr/>
        <w:t>and</w:t>
      </w:r>
      <w:r>
        <w:rPr>
          <w:spacing w:val="8"/>
        </w:rPr>
        <w:t> </w:t>
      </w:r>
      <w:r>
        <w:rPr/>
        <w:t>conditions;</w:t>
      </w:r>
      <w:r>
        <w:rPr>
          <w:spacing w:val="8"/>
        </w:rPr>
        <w:t> </w:t>
      </w:r>
      <w:r>
        <w:rPr>
          <w:spacing w:val="-2"/>
        </w:rPr>
        <w:t>which</w:t>
      </w:r>
    </w:p>
    <w:p>
      <w:pPr>
        <w:pStyle w:val="BodyText"/>
        <w:spacing w:line="225" w:lineRule="exact"/>
        <w:ind w:left="165"/>
      </w:pPr>
      <w:bookmarkStart w:name="_bookmark1758" w:id="1760"/>
      <w:bookmarkEnd w:id="1760"/>
      <w:r>
        <w:rPr/>
      </w:r>
      <w:r>
        <w:rPr/>
        <w:t>(c)</w:t>
      </w:r>
      <w:r>
        <w:rPr>
          <w:spacing w:val="2"/>
        </w:rPr>
        <w:t> </w:t>
      </w:r>
      <w:r>
        <w:rPr/>
        <w:t>applies</w:t>
      </w:r>
      <w:r>
        <w:rPr>
          <w:spacing w:val="2"/>
        </w:rPr>
        <w:t> </w:t>
      </w:r>
      <w:r>
        <w:rPr/>
        <w:t>the</w:t>
      </w:r>
      <w:r>
        <w:rPr>
          <w:spacing w:val="2"/>
        </w:rPr>
        <w:t> </w:t>
      </w:r>
      <w:r>
        <w:rPr/>
        <w:t>law</w:t>
      </w:r>
      <w:r>
        <w:rPr>
          <w:spacing w:val="2"/>
        </w:rPr>
        <w:t> </w:t>
      </w:r>
      <w:r>
        <w:rPr/>
        <w:t>of</w:t>
      </w:r>
      <w:r>
        <w:rPr>
          <w:spacing w:val="2"/>
        </w:rPr>
        <w:t> </w:t>
      </w:r>
      <w:r>
        <w:rPr/>
        <w:t>the</w:t>
      </w:r>
      <w:r>
        <w:rPr>
          <w:spacing w:val="2"/>
        </w:rPr>
        <w:t> </w:t>
      </w:r>
      <w:r>
        <w:rPr/>
        <w:t>professional’s</w:t>
      </w:r>
      <w:r>
        <w:rPr>
          <w:spacing w:val="2"/>
        </w:rPr>
        <w:t> </w:t>
      </w:r>
      <w:r>
        <w:rPr/>
        <w:t>“country”;</w:t>
      </w:r>
      <w:r>
        <w:rPr>
          <w:spacing w:val="2"/>
        </w:rPr>
        <w:t> </w:t>
      </w:r>
      <w:r>
        <w:rPr/>
        <w:t>and</w:t>
      </w:r>
      <w:r>
        <w:rPr>
          <w:spacing w:val="2"/>
        </w:rPr>
        <w:t> </w:t>
      </w:r>
      <w:r>
        <w:rPr/>
        <w:t>which</w:t>
      </w:r>
      <w:r>
        <w:rPr>
          <w:spacing w:val="2"/>
        </w:rPr>
        <w:t> </w:t>
      </w:r>
      <w:r>
        <w:rPr/>
        <w:t>(d)</w:t>
      </w:r>
      <w:r>
        <w:rPr>
          <w:spacing w:val="2"/>
        </w:rPr>
        <w:t> </w:t>
      </w:r>
      <w:r>
        <w:rPr/>
        <w:t>is</w:t>
      </w:r>
      <w:r>
        <w:rPr>
          <w:spacing w:val="2"/>
        </w:rPr>
        <w:t> </w:t>
      </w:r>
      <w:r>
        <w:rPr/>
        <w:t>not</w:t>
      </w:r>
      <w:r>
        <w:rPr>
          <w:spacing w:val="2"/>
        </w:rPr>
        <w:t> </w:t>
      </w:r>
      <w:r>
        <w:rPr/>
        <w:t>normally</w:t>
      </w:r>
      <w:r>
        <w:rPr>
          <w:spacing w:val="2"/>
        </w:rPr>
        <w:t> </w:t>
      </w:r>
      <w:r>
        <w:rPr/>
        <w:t>open</w:t>
      </w:r>
      <w:r>
        <w:rPr>
          <w:spacing w:val="2"/>
        </w:rPr>
        <w:t> </w:t>
      </w:r>
      <w:r>
        <w:rPr/>
        <w:t>to</w:t>
      </w:r>
      <w:r>
        <w:rPr>
          <w:spacing w:val="2"/>
        </w:rPr>
        <w:t> </w:t>
      </w:r>
      <w:r>
        <w:rPr/>
        <w:t>negotiation</w:t>
      </w:r>
      <w:r>
        <w:rPr>
          <w:spacing w:val="2"/>
        </w:rPr>
        <w:t> </w:t>
      </w:r>
      <w:r>
        <w:rPr>
          <w:spacing w:val="-5"/>
        </w:rPr>
        <w:t>by</w:t>
      </w:r>
    </w:p>
    <w:p>
      <w:pPr>
        <w:pStyle w:val="BodyText"/>
        <w:spacing w:line="235" w:lineRule="auto" w:before="119"/>
        <w:ind w:left="165" w:right="167"/>
        <w:jc w:val="both"/>
      </w:pPr>
      <w:r>
        <w:rPr/>
        <w:t>the consumer (assuming the consumer was even aware of it </w:t>
      </w:r>
      <w:r>
        <w:rPr>
          <w:color w:val="005DA1"/>
          <w:u w:val="single" w:color="005DA1"/>
          <w:vertAlign w:val="superscript"/>
        </w:rPr>
        <w:t>958</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vertAlign w:val="baseline"/>
        </w:rPr>
        <w:t>). The original Proposal from the </w:t>
      </w:r>
      <w:bookmarkStart w:name="_bookmark1759" w:id="1761"/>
      <w:bookmarkEnd w:id="1761"/>
      <w:r>
        <w:rPr>
          <w:vertAlign w:val="baseline"/>
        </w:rPr>
        <w:t>Commission</w:t>
      </w:r>
      <w:r>
        <w:rPr>
          <w:vertAlign w:val="baseline"/>
        </w:rPr>
        <w:t> did not permit, in effect, a choice of law in a consumer contract, and the only law </w:t>
      </w:r>
      <w:r>
        <w:rPr>
          <w:vertAlign w:val="baseline"/>
        </w:rPr>
        <w:t>that </w:t>
      </w:r>
      <w:bookmarkStart w:name="_bookmark1760" w:id="1762"/>
      <w:bookmarkEnd w:id="1762"/>
      <w:r>
        <w:rPr>
          <w:vertAlign w:val="baseline"/>
        </w:rPr>
        <w:t>would</w:t>
      </w:r>
      <w:r>
        <w:rPr>
          <w:vertAlign w:val="baseline"/>
        </w:rPr>
        <w:t> be applicable under the Proposal would be the law of the consumer’s habitual residence. </w:t>
      </w:r>
      <w:r>
        <w:rPr>
          <w:color w:val="005DA1"/>
          <w:u w:val="single" w:color="005DA1"/>
          <w:vertAlign w:val="superscript"/>
        </w:rPr>
        <w:t>959</w:t>
      </w:r>
      <w:r>
        <w:rPr>
          <w:color w:val="005DA1"/>
          <w:vertAlign w:val="baseline"/>
        </w:rPr>
        <w:t> </w:t>
      </w:r>
      <w:r>
        <w:rPr>
          <w:vertAlign w:val="baseline"/>
        </w:rPr>
        <w:t>This was in contrast to art.5 of the Rome Convention which allowed a limited form of party autonomy </w:t>
      </w:r>
      <w:r>
        <w:rPr>
          <w:color w:val="005DA1"/>
          <w:u w:val="single" w:color="005DA1"/>
          <w:vertAlign w:val="superscript"/>
        </w:rPr>
        <w:t>960</w:t>
      </w:r>
      <w:r>
        <w:rPr>
          <w:color w:val="005DA1"/>
          <w:vertAlign w:val="baseline"/>
        </w:rPr>
        <w:t> </w:t>
      </w:r>
      <w:bookmarkStart w:name="_bookmark1761" w:id="1763"/>
      <w:bookmarkEnd w:id="1763"/>
      <w:r>
        <w:rPr>
          <w:color w:val="005DA1"/>
          <w:spacing w:val="10"/>
          <w:vertAlign w:val="baseline"/>
        </w:rPr>
      </w:r>
      <w:r>
        <w:rPr>
          <w:vertAlign w:val="baseline"/>
        </w:rPr>
        <w:t>and caused concern in business sectors, particularly the small business and electronic commerce sectors which routinely provide goods and services to consumers in the European Union. </w:t>
      </w:r>
      <w:r>
        <w:rPr>
          <w:color w:val="005DA1"/>
          <w:u w:val="single" w:color="005DA1"/>
          <w:vertAlign w:val="superscript"/>
        </w:rPr>
        <w:t>961</w:t>
      </w:r>
      <w:r>
        <w:rPr>
          <w:color w:val="005DA1"/>
          <w:vertAlign w:val="baseline"/>
        </w:rPr>
        <w:t> </w:t>
      </w:r>
      <w:r>
        <w:rPr>
          <w:vertAlign w:val="baseline"/>
        </w:rPr>
        <w:t>In consequence, art.6(2) of the Regulation provides that notwithstanding art.6(1), the parties may</w:t>
      </w:r>
      <w:r>
        <w:rPr>
          <w:spacing w:val="40"/>
          <w:vertAlign w:val="baseline"/>
        </w:rPr>
        <w:t> </w:t>
      </w:r>
      <w:r>
        <w:rPr>
          <w:vertAlign w:val="baseline"/>
        </w:rPr>
        <w:t>choose the law applicable to a contract which fulfils the requirements of art.6(1), in accordance with art.3 of the Regulation. Such:</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before="177"/>
      </w:pPr>
    </w:p>
    <w:p>
      <w:pPr>
        <w:pStyle w:val="BodyText"/>
        <w:spacing w:line="235" w:lineRule="auto"/>
        <w:ind w:left="1245" w:right="167"/>
        <w:jc w:val="both"/>
      </w:pPr>
      <w:r>
        <w:rPr/>
        <w:t>“… a choice may not, however, have the result of depriving the consumer of the</w:t>
      </w:r>
      <w:r>
        <w:rPr>
          <w:spacing w:val="40"/>
        </w:rPr>
        <w:t> </w:t>
      </w:r>
      <w:r>
        <w:rPr/>
        <w:t>protection afforded to him by provisions that cannot be derogated from by agreement by virtue of the law, which, in the absence of choice, would have been applicable on the basis of [art.6(1)].”</w:t>
      </w:r>
    </w:p>
    <w:p>
      <w:pPr>
        <w:pStyle w:val="BodyText"/>
        <w:spacing w:before="115"/>
      </w:pPr>
    </w:p>
    <w:p>
      <w:pPr>
        <w:pStyle w:val="BodyText"/>
        <w:spacing w:line="235" w:lineRule="auto"/>
        <w:ind w:left="165" w:right="167"/>
        <w:jc w:val="both"/>
      </w:pPr>
      <w:r>
        <w:rPr/>
        <w:t>This, in effect, permits the limited autonomy recognised in art.5 of the Convention and prevents </w:t>
      </w:r>
      <w:bookmarkStart w:name="_bookmark1762" w:id="1764"/>
      <w:bookmarkEnd w:id="1764"/>
      <w:r>
        <w:rPr/>
        <w:t>avoidance</w:t>
      </w:r>
      <w:r>
        <w:rPr/>
        <w:t> of compulsory provisions of the law of the country which would be applicable in </w:t>
      </w:r>
      <w:r>
        <w:rPr/>
        <w:t>the absence of choice, by the choice of another country’s law. </w:t>
      </w:r>
      <w:r>
        <w:rPr>
          <w:color w:val="005DA1"/>
          <w:u w:val="single" w:color="005DA1"/>
          <w:vertAlign w:val="superscript"/>
        </w:rPr>
        <w:t>962</w:t>
      </w:r>
    </w:p>
    <w:p>
      <w:pPr>
        <w:pStyle w:val="BodyText"/>
      </w:pPr>
    </w:p>
    <w:p>
      <w:pPr>
        <w:pStyle w:val="BodyText"/>
        <w:spacing w:before="38"/>
      </w:pPr>
    </w:p>
    <w:p>
      <w:pPr>
        <w:spacing w:before="0"/>
        <w:ind w:left="165" w:right="0" w:firstLine="0"/>
        <w:jc w:val="both"/>
        <w:rPr>
          <w:rFonts w:ascii="Arial"/>
          <w:b/>
          <w:sz w:val="18"/>
        </w:rPr>
      </w:pPr>
      <w:r>
        <w:rPr>
          <w:rFonts w:ascii="Arial"/>
          <w:b/>
          <w:sz w:val="18"/>
        </w:rPr>
        <w:t>Application of arts 3 and </w:t>
      </w:r>
      <w:r>
        <w:rPr>
          <w:rFonts w:ascii="Arial"/>
          <w:b/>
          <w:spacing w:val="-10"/>
          <w:sz w:val="18"/>
        </w:rPr>
        <w:t>4</w:t>
      </w:r>
    </w:p>
    <w:p>
      <w:pPr>
        <w:pStyle w:val="BodyText"/>
        <w:spacing w:before="41"/>
        <w:rPr>
          <w:rFonts w:ascii="Arial"/>
          <w:b/>
          <w:sz w:val="18"/>
        </w:rPr>
      </w:pPr>
    </w:p>
    <w:p>
      <w:pPr>
        <w:pStyle w:val="Heading2"/>
      </w:pPr>
      <w:r>
        <w:rPr/>
        <w:t>30-</w:t>
      </w:r>
      <w:r>
        <w:rPr>
          <w:spacing w:val="-5"/>
        </w:rPr>
        <w:t>250</w:t>
      </w:r>
    </w:p>
    <w:p>
      <w:pPr>
        <w:pStyle w:val="BodyText"/>
        <w:spacing w:line="235" w:lineRule="auto" w:before="203"/>
        <w:ind w:left="165" w:right="167"/>
        <w:jc w:val="both"/>
      </w:pPr>
      <w:r>
        <w:rPr/>
        <w:t>If the requirements of art.6(1)(a) or (b) are not fulfilled art.6(3) provides that the law applicable to a </w:t>
      </w:r>
      <w:bookmarkStart w:name="_bookmark1763" w:id="1765"/>
      <w:bookmarkEnd w:id="1765"/>
      <w:r>
        <w:rPr/>
        <w:t>contract</w:t>
      </w:r>
      <w:r>
        <w:rPr/>
        <w:t> between a consumer and professional shall be determined pursuant to arts 3 and 4 of the Rome I Regulation, i.e. by the general rule governing choice of law by the parties </w:t>
      </w:r>
      <w:r>
        <w:rPr>
          <w:color w:val="005DA1"/>
          <w:u w:val="single" w:color="005DA1"/>
          <w:vertAlign w:val="superscript"/>
        </w:rPr>
        <w:t>963</w:t>
      </w:r>
      <w:r>
        <w:rPr>
          <w:color w:val="005DA1"/>
          <w:vertAlign w:val="baseline"/>
        </w:rPr>
        <w:t> </w:t>
      </w:r>
      <w:r>
        <w:rPr>
          <w:vertAlign w:val="baseline"/>
        </w:rPr>
        <w:t>or, in the </w:t>
      </w:r>
      <w:bookmarkStart w:name="_bookmark1764" w:id="1766"/>
      <w:bookmarkEnd w:id="1766"/>
      <w:r>
        <w:rPr>
          <w:vertAlign w:val="baseline"/>
        </w:rPr>
        <w:t>absence</w:t>
      </w:r>
      <w:r>
        <w:rPr>
          <w:vertAlign w:val="baseline"/>
        </w:rPr>
        <w:t> of a choice of law, by the general rule governing the determination of the law applicable </w:t>
      </w:r>
      <w:r>
        <w:rPr>
          <w:vertAlign w:val="baseline"/>
        </w:rPr>
        <w:t>in the absence of choice. </w:t>
      </w:r>
      <w:r>
        <w:rPr>
          <w:color w:val="005DA1"/>
          <w:u w:val="single" w:color="005DA1"/>
          <w:vertAlign w:val="superscript"/>
        </w:rPr>
        <w:t>964</w:t>
      </w:r>
    </w:p>
    <w:p>
      <w:pPr>
        <w:pStyle w:val="BodyText"/>
      </w:pPr>
    </w:p>
    <w:p>
      <w:pPr>
        <w:pStyle w:val="BodyText"/>
        <w:spacing w:before="36"/>
      </w:pPr>
    </w:p>
    <w:p>
      <w:pPr>
        <w:spacing w:before="1"/>
        <w:ind w:left="165" w:right="0" w:firstLine="0"/>
        <w:jc w:val="left"/>
        <w:rPr>
          <w:rFonts w:ascii="Arial"/>
          <w:b/>
          <w:sz w:val="18"/>
        </w:rPr>
      </w:pPr>
      <w:r>
        <w:rPr>
          <w:rFonts w:ascii="Arial"/>
          <w:b/>
          <w:sz w:val="18"/>
        </w:rPr>
        <w:t>Review </w:t>
      </w:r>
      <w:r>
        <w:rPr>
          <w:rFonts w:ascii="Arial"/>
          <w:b/>
          <w:spacing w:val="-2"/>
          <w:sz w:val="18"/>
        </w:rPr>
        <w:t>clause</w:t>
      </w:r>
    </w:p>
    <w:p>
      <w:pPr>
        <w:pStyle w:val="BodyText"/>
        <w:spacing w:before="41"/>
        <w:rPr>
          <w:rFonts w:ascii="Arial"/>
          <w:b/>
          <w:sz w:val="18"/>
        </w:rPr>
      </w:pPr>
    </w:p>
    <w:p>
      <w:pPr>
        <w:pStyle w:val="Heading2"/>
      </w:pPr>
      <w:r>
        <w:rPr/>
        <w:t>30-</w:t>
      </w:r>
      <w:r>
        <w:rPr>
          <w:spacing w:val="-5"/>
        </w:rPr>
        <w:t>251</w:t>
      </w:r>
    </w:p>
    <w:p>
      <w:pPr>
        <w:pStyle w:val="BodyText"/>
        <w:spacing w:line="235" w:lineRule="auto" w:before="202"/>
        <w:ind w:left="165" w:right="167"/>
        <w:jc w:val="both"/>
      </w:pPr>
      <w:bookmarkStart w:name="_bookmark1765" w:id="1767"/>
      <w:bookmarkEnd w:id="1767"/>
      <w:r>
        <w:rPr/>
      </w:r>
      <w:r>
        <w:rPr/>
        <w:t>As already pointed out, </w:t>
      </w:r>
      <w:r>
        <w:rPr>
          <w:color w:val="005DA1"/>
          <w:u w:val="single" w:color="005DA1"/>
          <w:vertAlign w:val="superscript"/>
        </w:rPr>
        <w:t>965</w:t>
      </w:r>
      <w:r>
        <w:rPr>
          <w:color w:val="005DA1"/>
          <w:vertAlign w:val="baseline"/>
        </w:rPr>
        <w:t> </w:t>
      </w:r>
      <w:r>
        <w:rPr>
          <w:vertAlign w:val="baseline"/>
        </w:rPr>
        <w:t>art.27(1) of the Regulation contains a review clause which requires the Commission to submit to the European Parliament, the Council and the European Economic </w:t>
      </w:r>
      <w:r>
        <w:rPr>
          <w:vertAlign w:val="baseline"/>
        </w:rPr>
        <w:t>and Social Committee a report on the application of the Rome I Regulation, that Report to be accompanied, if appropriate, by proposals to amend the Regulation. Explicitly, art.27(1)(b) requires </w:t>
      </w:r>
      <w:bookmarkStart w:name="_bookmark1766" w:id="1768"/>
      <w:bookmarkEnd w:id="1768"/>
      <w:r>
        <w:rPr>
          <w:vertAlign w:val="baseline"/>
        </w:rPr>
        <w:t>the</w:t>
      </w:r>
      <w:r>
        <w:rPr>
          <w:vertAlign w:val="baseline"/>
        </w:rPr>
        <w:t> report to include an evaluation of the application of art.6, in particular as regards the coherence of Community law in the field of consumer protection. </w:t>
      </w:r>
      <w:r>
        <w:rPr>
          <w:color w:val="005DA1"/>
          <w:u w:val="single" w:color="005DA1"/>
          <w:vertAlign w:val="superscript"/>
        </w:rPr>
        <w:t>966</w:t>
      </w:r>
    </w:p>
    <w:p>
      <w:pPr>
        <w:pStyle w:val="BodyText"/>
      </w:pPr>
    </w:p>
    <w:p>
      <w:pPr>
        <w:pStyle w:val="BodyText"/>
        <w:spacing w:before="38"/>
      </w:pPr>
      <w:r>
        <w:rPr/>
        <mc:AlternateContent>
          <mc:Choice Requires="wps">
            <w:drawing>
              <wp:anchor distT="0" distB="0" distL="0" distR="0" allowOverlap="1" layoutInCell="1" locked="0" behindDoc="1" simplePos="0" relativeHeight="487618560">
                <wp:simplePos x="0" y="0"/>
                <wp:positionH relativeFrom="page">
                  <wp:posOffset>914400</wp:posOffset>
                </wp:positionH>
                <wp:positionV relativeFrom="paragraph">
                  <wp:posOffset>185617</wp:posOffset>
                </wp:positionV>
                <wp:extent cx="5724525"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5539pt;width:450.75pt;height:.1pt;mso-position-horizontal-relative:page;mso-position-vertical-relative:paragraph;z-index:-15697920;mso-wrap-distance-left:0;mso-wrap-distance-right:0" id="docshape32"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767" w:id="1769"/>
      <w:bookmarkEnd w:id="1769"/>
      <w:r>
        <w:rPr/>
      </w:r>
      <w:hyperlink w:history="true" w:anchor="_bookmark1683">
        <w:r>
          <w:rPr>
            <w:color w:val="005DA1"/>
            <w:spacing w:val="-4"/>
            <w:position w:val="5"/>
            <w:sz w:val="14"/>
            <w:u w:val="single" w:color="005DA1"/>
          </w:rPr>
          <w:t>883</w:t>
        </w:r>
      </w:hyperlink>
      <w:r>
        <w:rPr>
          <w:spacing w:val="-4"/>
          <w:position w:val="5"/>
          <w:sz w:val="14"/>
        </w:rPr>
        <w:t>.</w:t>
      </w:r>
      <w:r>
        <w:rPr>
          <w:position w:val="5"/>
          <w:sz w:val="14"/>
        </w:rPr>
        <w:tab/>
      </w:r>
      <w:r>
        <w:rPr/>
        <w:t>See above, paras 30-092 et </w:t>
      </w:r>
      <w:r>
        <w:rPr>
          <w:spacing w:val="-4"/>
        </w:rPr>
        <w:t>seq.</w:t>
      </w:r>
    </w:p>
    <w:p>
      <w:pPr>
        <w:pStyle w:val="BodyText"/>
        <w:spacing w:before="5"/>
      </w:pPr>
    </w:p>
    <w:p>
      <w:pPr>
        <w:pStyle w:val="BodyText"/>
        <w:tabs>
          <w:tab w:pos="705" w:val="left" w:leader="none"/>
        </w:tabs>
        <w:ind w:left="165"/>
      </w:pPr>
      <w:bookmarkStart w:name="_bookmark1768" w:id="1770"/>
      <w:bookmarkEnd w:id="1770"/>
      <w:r>
        <w:rPr/>
      </w:r>
      <w:hyperlink w:history="true" w:anchor="_bookmark1684">
        <w:r>
          <w:rPr>
            <w:color w:val="005DA1"/>
            <w:spacing w:val="-4"/>
            <w:position w:val="5"/>
            <w:sz w:val="14"/>
            <w:u w:val="single" w:color="005DA1"/>
          </w:rPr>
          <w:t>884</w:t>
        </w:r>
      </w:hyperlink>
      <w:r>
        <w:rPr>
          <w:spacing w:val="-4"/>
          <w:position w:val="5"/>
          <w:sz w:val="14"/>
        </w:rPr>
        <w:t>.</w:t>
      </w:r>
      <w:r>
        <w:rPr>
          <w:position w:val="5"/>
          <w:sz w:val="14"/>
        </w:rPr>
        <w:tab/>
      </w:r>
      <w:r>
        <w:rPr/>
        <w:t>Above,</w:t>
      </w:r>
      <w:r>
        <w:rPr>
          <w:spacing w:val="-2"/>
        </w:rPr>
        <w:t> </w:t>
      </w:r>
      <w:r>
        <w:rPr/>
        <w:t>paras 30-093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769" w:id="1771"/>
      <w:bookmarkEnd w:id="1771"/>
      <w:r>
        <w:rPr/>
      </w:r>
      <w:hyperlink w:history="true" w:anchor="_bookmark1685">
        <w:r>
          <w:rPr>
            <w:color w:val="005DA1"/>
            <w:spacing w:val="-4"/>
            <w:position w:val="5"/>
            <w:sz w:val="14"/>
            <w:u w:val="single" w:color="005DA1"/>
          </w:rPr>
          <w:t>885</w:t>
        </w:r>
      </w:hyperlink>
      <w:r>
        <w:rPr>
          <w:spacing w:val="-4"/>
          <w:position w:val="5"/>
          <w:sz w:val="14"/>
        </w:rPr>
        <w:t>.</w:t>
      </w:r>
      <w:r>
        <w:rPr>
          <w:position w:val="5"/>
          <w:sz w:val="14"/>
        </w:rPr>
        <w:tab/>
      </w:r>
      <w:r>
        <w:rPr>
          <w:sz w:val="20"/>
        </w:rPr>
        <w:t>Above, para.30-</w:t>
      </w:r>
      <w:r>
        <w:rPr>
          <w:spacing w:val="-4"/>
          <w:sz w:val="20"/>
        </w:rPr>
        <w:t>106.</w:t>
      </w:r>
    </w:p>
    <w:p>
      <w:pPr>
        <w:pStyle w:val="BodyText"/>
        <w:spacing w:before="5"/>
      </w:pPr>
    </w:p>
    <w:p>
      <w:pPr>
        <w:pStyle w:val="BodyText"/>
        <w:tabs>
          <w:tab w:pos="705" w:val="left" w:leader="none"/>
        </w:tabs>
        <w:ind w:left="165"/>
      </w:pPr>
      <w:bookmarkStart w:name="_bookmark1770" w:id="1772"/>
      <w:bookmarkEnd w:id="1772"/>
      <w:r>
        <w:rPr/>
      </w:r>
      <w:hyperlink w:history="true" w:anchor="_bookmark1686">
        <w:r>
          <w:rPr>
            <w:color w:val="005DA1"/>
            <w:spacing w:val="-4"/>
            <w:position w:val="5"/>
            <w:sz w:val="14"/>
            <w:u w:val="single" w:color="005DA1"/>
          </w:rPr>
          <w:t>886</w:t>
        </w:r>
      </w:hyperlink>
      <w:r>
        <w:rPr>
          <w:spacing w:val="-4"/>
          <w:position w:val="5"/>
          <w:sz w:val="14"/>
        </w:rPr>
        <w:t>.</w:t>
      </w:r>
      <w:r>
        <w:rPr>
          <w:position w:val="5"/>
          <w:sz w:val="14"/>
        </w:rPr>
        <w:tab/>
      </w:r>
      <w:r>
        <w:rPr/>
        <w:t>Above,</w:t>
      </w:r>
      <w:r>
        <w:rPr>
          <w:spacing w:val="-2"/>
        </w:rPr>
        <w:t> </w:t>
      </w:r>
      <w:r>
        <w:rPr/>
        <w:t>paras 30-094 et </w:t>
      </w:r>
      <w:r>
        <w:rPr>
          <w:spacing w:val="-4"/>
        </w:rPr>
        <w:t>seq.</w:t>
      </w:r>
    </w:p>
    <w:p>
      <w:pPr>
        <w:pStyle w:val="BodyText"/>
        <w:spacing w:before="9"/>
      </w:pPr>
    </w:p>
    <w:p>
      <w:pPr>
        <w:pStyle w:val="BodyText"/>
        <w:spacing w:line="235" w:lineRule="auto"/>
        <w:ind w:left="705" w:right="167" w:hanging="541"/>
        <w:jc w:val="both"/>
      </w:pPr>
      <w:bookmarkStart w:name="_bookmark1771" w:id="1773"/>
      <w:bookmarkEnd w:id="1773"/>
      <w:r>
        <w:rPr/>
      </w:r>
      <w:hyperlink w:history="true" w:anchor="_bookmark1687">
        <w:r>
          <w:rPr>
            <w:color w:val="005DA1"/>
            <w:position w:val="5"/>
            <w:sz w:val="14"/>
            <w:u w:val="single" w:color="005DA1"/>
          </w:rPr>
          <w:t>887</w:t>
        </w:r>
      </w:hyperlink>
      <w:r>
        <w:rPr>
          <w:position w:val="5"/>
          <w:sz w:val="14"/>
        </w:rPr>
        <w:t>.</w:t>
      </w:r>
      <w:r>
        <w:rPr>
          <w:spacing w:val="80"/>
          <w:w w:val="150"/>
          <w:position w:val="5"/>
          <w:sz w:val="14"/>
        </w:rPr>
        <w:t> </w:t>
      </w:r>
      <w:r>
        <w:rPr/>
        <w:t>See Recitals 23 and 24 to the Regulation. See generally, Dicey, Morris and Collins, 15th edn (2012), paras 33R-125 et seq.; Plender and Wilderspin, 4th edn (2015), Ch.9; Tang, </w:t>
      </w:r>
      <w:r>
        <w:rPr>
          <w:rFonts w:ascii="Arial"/>
          <w:i/>
        </w:rPr>
        <w:t>Electronic Consumer Contracts in the Conflict of Laws </w:t>
      </w:r>
      <w:r>
        <w:rPr/>
        <w:t>(2009); J. Hill, </w:t>
      </w:r>
      <w:r>
        <w:rPr>
          <w:rFonts w:ascii="Arial"/>
          <w:i/>
        </w:rPr>
        <w:t>Cross-Border Consumer </w:t>
      </w:r>
      <w:r>
        <w:rPr>
          <w:rFonts w:ascii="Arial"/>
          <w:i/>
        </w:rPr>
        <w:t>Contracts </w:t>
      </w:r>
      <w:r>
        <w:rPr/>
        <w:t>(2008), especially Ch.12; Gillies (2008) 16 International Journal of Law and Information Technology 242; Garcimartin Alferez (2009) 5 J. Priv. Int. L. 85. And see Proposal for a Regulation of the European Parliament and of the Council on a Common European Sales Law, COM(2011) 635 final. This proposal was withdrawn on December 16, 2014: COM(2014) 910 </w:t>
      </w:r>
      <w:r>
        <w:rPr>
          <w:spacing w:val="-2"/>
        </w:rPr>
        <w:t>final.</w:t>
      </w:r>
    </w:p>
    <w:p>
      <w:pPr>
        <w:pStyle w:val="BodyText"/>
        <w:spacing w:before="3"/>
      </w:pPr>
    </w:p>
    <w:p>
      <w:pPr>
        <w:pStyle w:val="BodyText"/>
        <w:tabs>
          <w:tab w:pos="705" w:val="left" w:leader="none"/>
        </w:tabs>
        <w:ind w:left="165"/>
      </w:pPr>
      <w:bookmarkStart w:name="_bookmark1772" w:id="1774"/>
      <w:bookmarkEnd w:id="1774"/>
      <w:r>
        <w:rPr/>
      </w:r>
      <w:hyperlink w:history="true" w:anchor="_bookmark1688">
        <w:r>
          <w:rPr>
            <w:color w:val="005DA1"/>
            <w:spacing w:val="-4"/>
            <w:position w:val="5"/>
            <w:sz w:val="14"/>
            <w:u w:val="single" w:color="005DA1"/>
          </w:rPr>
          <w:t>888</w:t>
        </w:r>
      </w:hyperlink>
      <w:r>
        <w:rPr>
          <w:spacing w:val="-4"/>
          <w:position w:val="5"/>
          <w:sz w:val="14"/>
        </w:rPr>
        <w:t>.</w:t>
      </w:r>
      <w:r>
        <w:rPr>
          <w:position w:val="5"/>
          <w:sz w:val="14"/>
        </w:rPr>
        <w:tab/>
      </w:r>
      <w:r>
        <w:rPr/>
        <w:t>Below,</w:t>
      </w:r>
      <w:r>
        <w:rPr>
          <w:spacing w:val="-2"/>
        </w:rPr>
        <w:t> </w:t>
      </w:r>
      <w:r>
        <w:rPr/>
        <w:t>paras 30-239 et </w:t>
      </w:r>
      <w:r>
        <w:rPr>
          <w:spacing w:val="-4"/>
        </w:rPr>
        <w:t>seq.</w:t>
      </w:r>
    </w:p>
    <w:p>
      <w:pPr>
        <w:pStyle w:val="BodyText"/>
        <w:spacing w:before="5"/>
      </w:pPr>
    </w:p>
    <w:p>
      <w:pPr>
        <w:pStyle w:val="BodyText"/>
        <w:tabs>
          <w:tab w:pos="705" w:val="left" w:leader="none"/>
        </w:tabs>
        <w:ind w:left="165"/>
      </w:pPr>
      <w:bookmarkStart w:name="_bookmark1773" w:id="1775"/>
      <w:bookmarkEnd w:id="1775"/>
      <w:r>
        <w:rPr/>
      </w:r>
      <w:hyperlink w:history="true" w:anchor="_bookmark1689">
        <w:r>
          <w:rPr>
            <w:color w:val="005DA1"/>
            <w:spacing w:val="-4"/>
            <w:position w:val="5"/>
            <w:sz w:val="14"/>
            <w:u w:val="single" w:color="005DA1"/>
          </w:rPr>
          <w:t>889</w:t>
        </w:r>
      </w:hyperlink>
      <w:r>
        <w:rPr>
          <w:spacing w:val="-4"/>
          <w:position w:val="5"/>
          <w:sz w:val="14"/>
        </w:rPr>
        <w:t>.</w:t>
      </w:r>
      <w:r>
        <w:rPr>
          <w:position w:val="5"/>
          <w:sz w:val="14"/>
        </w:rPr>
        <w:tab/>
      </w:r>
      <w:r>
        <w:rPr/>
        <w:t>Below,</w:t>
      </w:r>
      <w:r>
        <w:rPr>
          <w:spacing w:val="-2"/>
        </w:rPr>
        <w:t> </w:t>
      </w:r>
      <w:r>
        <w:rPr/>
        <w:t>paras 30-233 et </w:t>
      </w:r>
      <w:r>
        <w:rPr>
          <w:spacing w:val="-4"/>
        </w:rPr>
        <w:t>seq.</w:t>
      </w:r>
    </w:p>
    <w:p>
      <w:pPr>
        <w:pStyle w:val="BodyText"/>
        <w:spacing w:before="5"/>
      </w:pPr>
    </w:p>
    <w:p>
      <w:pPr>
        <w:pStyle w:val="BodyText"/>
        <w:tabs>
          <w:tab w:pos="705" w:val="left" w:leader="none"/>
        </w:tabs>
        <w:ind w:left="165"/>
      </w:pPr>
      <w:bookmarkStart w:name="_bookmark1774" w:id="1776"/>
      <w:bookmarkEnd w:id="1776"/>
      <w:r>
        <w:rPr/>
      </w:r>
      <w:hyperlink w:history="true" w:anchor="_bookmark1690">
        <w:r>
          <w:rPr>
            <w:color w:val="005DA1"/>
            <w:spacing w:val="-4"/>
            <w:position w:val="5"/>
            <w:sz w:val="14"/>
            <w:u w:val="single" w:color="005DA1"/>
          </w:rPr>
          <w:t>890</w:t>
        </w:r>
      </w:hyperlink>
      <w:r>
        <w:rPr>
          <w:spacing w:val="-4"/>
          <w:position w:val="5"/>
          <w:sz w:val="14"/>
        </w:rPr>
        <w:t>.</w:t>
      </w:r>
      <w:r>
        <w:rPr>
          <w:position w:val="5"/>
          <w:sz w:val="14"/>
        </w:rPr>
        <w:tab/>
      </w:r>
      <w:r>
        <w:rPr/>
        <w:t>Below,</w:t>
      </w:r>
      <w:r>
        <w:rPr>
          <w:spacing w:val="-2"/>
        </w:rPr>
        <w:t> </w:t>
      </w:r>
      <w:r>
        <w:rPr/>
        <w:t>paras 30-239 et </w:t>
      </w:r>
      <w:r>
        <w:rPr>
          <w:spacing w:val="-4"/>
        </w:rPr>
        <w:t>seq.</w:t>
      </w:r>
    </w:p>
    <w:p>
      <w:pPr>
        <w:pStyle w:val="BodyText"/>
        <w:spacing w:after="0"/>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691">
        <w:r>
          <w:rPr>
            <w:color w:val="005DA1"/>
            <w:spacing w:val="-4"/>
            <w:position w:val="5"/>
            <w:sz w:val="14"/>
            <w:u w:val="single" w:color="005DA1"/>
          </w:rPr>
          <w:t>891</w:t>
        </w:r>
      </w:hyperlink>
      <w:r>
        <w:rPr>
          <w:spacing w:val="-4"/>
          <w:position w:val="5"/>
          <w:sz w:val="14"/>
        </w:rPr>
        <w:t>.</w:t>
      </w:r>
      <w:r>
        <w:rPr>
          <w:position w:val="5"/>
          <w:sz w:val="14"/>
        </w:rPr>
        <w:tab/>
      </w:r>
      <w:r>
        <w:rPr>
          <w:sz w:val="20"/>
        </w:rPr>
        <w:t>Below, para.30-</w:t>
      </w:r>
      <w:r>
        <w:rPr>
          <w:spacing w:val="-4"/>
          <w:sz w:val="20"/>
        </w:rPr>
        <w:t>249.</w:t>
      </w:r>
    </w:p>
    <w:p>
      <w:pPr>
        <w:pStyle w:val="BodyText"/>
        <w:spacing w:before="5"/>
      </w:pPr>
    </w:p>
    <w:p>
      <w:pPr>
        <w:tabs>
          <w:tab w:pos="705" w:val="left" w:leader="none"/>
        </w:tabs>
        <w:spacing w:before="1"/>
        <w:ind w:left="165" w:right="0" w:firstLine="0"/>
        <w:jc w:val="left"/>
        <w:rPr>
          <w:sz w:val="20"/>
        </w:rPr>
      </w:pPr>
      <w:bookmarkStart w:name="_bookmark1775" w:id="1777"/>
      <w:bookmarkEnd w:id="1777"/>
      <w:r>
        <w:rPr/>
      </w:r>
      <w:hyperlink w:history="true" w:anchor="_bookmark1692">
        <w:r>
          <w:rPr>
            <w:color w:val="005DA1"/>
            <w:spacing w:val="-4"/>
            <w:position w:val="5"/>
            <w:sz w:val="14"/>
            <w:u w:val="single" w:color="005DA1"/>
          </w:rPr>
          <w:t>892</w:t>
        </w:r>
      </w:hyperlink>
      <w:r>
        <w:rPr>
          <w:spacing w:val="-4"/>
          <w:position w:val="5"/>
          <w:sz w:val="14"/>
        </w:rPr>
        <w:t>.</w:t>
      </w:r>
      <w:r>
        <w:rPr>
          <w:position w:val="5"/>
          <w:sz w:val="14"/>
        </w:rPr>
        <w:tab/>
      </w:r>
      <w:r>
        <w:rPr>
          <w:sz w:val="20"/>
        </w:rPr>
        <w:t>Below, para.30-</w:t>
      </w:r>
      <w:r>
        <w:rPr>
          <w:spacing w:val="-4"/>
          <w:sz w:val="20"/>
        </w:rPr>
        <w:t>250.</w:t>
      </w:r>
    </w:p>
    <w:p>
      <w:pPr>
        <w:pStyle w:val="BodyText"/>
        <w:spacing w:before="4"/>
      </w:pPr>
    </w:p>
    <w:p>
      <w:pPr>
        <w:pStyle w:val="BodyText"/>
        <w:tabs>
          <w:tab w:pos="705" w:val="left" w:leader="none"/>
        </w:tabs>
        <w:spacing w:before="1"/>
        <w:ind w:left="165"/>
      </w:pPr>
      <w:bookmarkStart w:name="_bookmark1776" w:id="1778"/>
      <w:bookmarkEnd w:id="1778"/>
      <w:r>
        <w:rPr/>
      </w:r>
      <w:hyperlink w:history="true" w:anchor="_bookmark1693">
        <w:r>
          <w:rPr>
            <w:color w:val="005DA1"/>
            <w:spacing w:val="-4"/>
            <w:position w:val="5"/>
            <w:sz w:val="14"/>
            <w:u w:val="single" w:color="005DA1"/>
          </w:rPr>
          <w:t>893</w:t>
        </w:r>
      </w:hyperlink>
      <w:r>
        <w:rPr>
          <w:spacing w:val="-4"/>
          <w:position w:val="5"/>
          <w:sz w:val="14"/>
        </w:rPr>
        <w:t>.</w:t>
      </w:r>
      <w:r>
        <w:rPr>
          <w:position w:val="5"/>
          <w:sz w:val="14"/>
        </w:rPr>
        <w:tab/>
      </w:r>
      <w:r>
        <w:rPr/>
        <w:t>Recital</w:t>
      </w:r>
      <w:r>
        <w:rPr>
          <w:spacing w:val="-2"/>
        </w:rPr>
        <w:t> </w:t>
      </w:r>
      <w:r>
        <w:rPr/>
        <w:t>24 to the </w:t>
      </w:r>
      <w:r>
        <w:rPr>
          <w:spacing w:val="-2"/>
        </w:rPr>
        <w:t>Regulation.</w:t>
      </w:r>
    </w:p>
    <w:p>
      <w:pPr>
        <w:pStyle w:val="BodyText"/>
        <w:spacing w:before="4"/>
      </w:pPr>
    </w:p>
    <w:p>
      <w:pPr>
        <w:pStyle w:val="BodyText"/>
        <w:tabs>
          <w:tab w:pos="705" w:val="left" w:leader="none"/>
        </w:tabs>
        <w:spacing w:before="1"/>
        <w:ind w:left="165"/>
      </w:pPr>
      <w:bookmarkStart w:name="_bookmark1777" w:id="1779"/>
      <w:bookmarkEnd w:id="1779"/>
      <w:r>
        <w:rPr/>
      </w:r>
      <w:hyperlink w:history="true" w:anchor="_bookmark1694">
        <w:r>
          <w:rPr>
            <w:color w:val="005DA1"/>
            <w:spacing w:val="-4"/>
            <w:position w:val="5"/>
            <w:sz w:val="14"/>
            <w:u w:val="single" w:color="005DA1"/>
          </w:rPr>
          <w:t>894</w:t>
        </w:r>
      </w:hyperlink>
      <w:r>
        <w:rPr>
          <w:spacing w:val="-4"/>
          <w:position w:val="5"/>
          <w:sz w:val="14"/>
        </w:rPr>
        <w:t>.</w:t>
      </w:r>
      <w:r>
        <w:rPr>
          <w:position w:val="5"/>
          <w:sz w:val="14"/>
        </w:rPr>
        <w:tab/>
      </w:r>
      <w:r>
        <w:rPr/>
        <w:t>Rome I art.6(4)(a). As to the meaning of habitual residence, see above, paras 30-163 et </w:t>
      </w:r>
      <w:r>
        <w:rPr>
          <w:spacing w:val="-4"/>
        </w:rPr>
        <w:t>seq.</w:t>
      </w:r>
    </w:p>
    <w:p>
      <w:pPr>
        <w:pStyle w:val="BodyText"/>
        <w:spacing w:before="4"/>
      </w:pPr>
    </w:p>
    <w:p>
      <w:pPr>
        <w:pStyle w:val="BodyText"/>
        <w:tabs>
          <w:tab w:pos="705" w:val="left" w:leader="none"/>
        </w:tabs>
        <w:spacing w:before="1"/>
        <w:ind w:left="165"/>
      </w:pPr>
      <w:bookmarkStart w:name="_bookmark1778" w:id="1780"/>
      <w:bookmarkEnd w:id="1780"/>
      <w:r>
        <w:rPr/>
      </w:r>
      <w:hyperlink w:history="true" w:anchor="_bookmark1695">
        <w:r>
          <w:rPr>
            <w:color w:val="005DA1"/>
            <w:spacing w:val="-4"/>
            <w:position w:val="5"/>
            <w:sz w:val="14"/>
            <w:u w:val="single" w:color="005DA1"/>
          </w:rPr>
          <w:t>895</w:t>
        </w:r>
      </w:hyperlink>
      <w:r>
        <w:rPr>
          <w:spacing w:val="-4"/>
          <w:position w:val="5"/>
          <w:sz w:val="14"/>
        </w:rPr>
        <w:t>.</w:t>
      </w:r>
      <w:r>
        <w:rPr>
          <w:position w:val="5"/>
          <w:sz w:val="14"/>
        </w:rPr>
        <w:tab/>
      </w:r>
      <w:r>
        <w:rPr/>
        <w:t>art.5(4)(b) of the Convention; above, para.30-</w:t>
      </w:r>
      <w:r>
        <w:rPr>
          <w:spacing w:val="-4"/>
        </w:rPr>
        <w:t>092.</w:t>
      </w:r>
    </w:p>
    <w:p>
      <w:pPr>
        <w:pStyle w:val="BodyText"/>
        <w:spacing w:before="4"/>
      </w:pPr>
    </w:p>
    <w:p>
      <w:pPr>
        <w:pStyle w:val="BodyText"/>
        <w:tabs>
          <w:tab w:pos="705" w:val="left" w:leader="none"/>
        </w:tabs>
        <w:spacing w:before="1"/>
        <w:ind w:left="165"/>
      </w:pPr>
      <w:bookmarkStart w:name="_bookmark1779" w:id="1781"/>
      <w:bookmarkEnd w:id="1781"/>
      <w:r>
        <w:rPr/>
      </w:r>
      <w:hyperlink w:history="true" w:anchor="_bookmark1696">
        <w:r>
          <w:rPr>
            <w:color w:val="005DA1"/>
            <w:spacing w:val="-4"/>
            <w:position w:val="5"/>
            <w:sz w:val="14"/>
            <w:u w:val="single" w:color="005DA1"/>
          </w:rPr>
          <w:t>896</w:t>
        </w:r>
      </w:hyperlink>
      <w:r>
        <w:rPr>
          <w:spacing w:val="-4"/>
          <w:position w:val="5"/>
          <w:sz w:val="14"/>
        </w:rPr>
        <w:t>.</w:t>
      </w:r>
      <w:r>
        <w:rPr>
          <w:position w:val="5"/>
          <w:sz w:val="14"/>
        </w:rPr>
        <w:tab/>
      </w:r>
      <w:r>
        <w:rPr/>
        <w:t>Above,</w:t>
      </w:r>
      <w:r>
        <w:rPr>
          <w:spacing w:val="-2"/>
        </w:rPr>
        <w:t> </w:t>
      </w:r>
      <w:r>
        <w:rPr/>
        <w:t>paras 30-169 et </w:t>
      </w:r>
      <w:r>
        <w:rPr>
          <w:spacing w:val="-4"/>
        </w:rPr>
        <w:t>seq.</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9872">
            <wp:simplePos x="0" y="0"/>
            <wp:positionH relativeFrom="page">
              <wp:posOffset>1257846</wp:posOffset>
            </wp:positionH>
            <wp:positionV relativeFrom="paragraph">
              <wp:posOffset>160654</wp:posOffset>
            </wp:positionV>
            <wp:extent cx="107988" cy="107988"/>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780" w:id="1782"/>
      <w:bookmarkEnd w:id="1782"/>
      <w:r>
        <w:rPr/>
      </w:r>
      <w:hyperlink w:history="true" w:anchor="_bookmark1697">
        <w:r>
          <w:rPr>
            <w:color w:val="005DA1"/>
            <w:spacing w:val="-4"/>
            <w:sz w:val="14"/>
            <w:u w:val="single" w:color="005DA1"/>
          </w:rPr>
          <w:t>897</w:t>
        </w:r>
      </w:hyperlink>
      <w:r>
        <w:rPr>
          <w:spacing w:val="-4"/>
          <w:sz w:val="14"/>
        </w:rPr>
        <w:t>.</w:t>
      </w:r>
    </w:p>
    <w:p>
      <w:pPr>
        <w:pStyle w:val="BodyText"/>
        <w:spacing w:line="235" w:lineRule="auto" w:before="212"/>
        <w:ind w:left="165" w:right="167" w:firstLine="170"/>
        <w:jc w:val="both"/>
      </w:pPr>
      <w:r>
        <w:rPr/>
        <w:br w:type="column"/>
      </w:r>
      <w:r>
        <w:rPr/>
        <w:t>Directive 90/314 on package travel [1990] O.J. L158/59 art.6(4)(b). The Directive is implemented in the United Kingdom by the Package Travel, Package Holidays and </w:t>
      </w:r>
      <w:r>
        <w:rPr/>
        <w:t>Package Tours Regulations 1992 (SI 1992/3288). A new Package Travel Directive (2015/2302/EU) entered into force on December 31, 2015 and must be implemented by July 1, 2018.</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1781" w:id="1783"/>
      <w:bookmarkEnd w:id="1783"/>
      <w:r>
        <w:rPr/>
      </w:r>
      <w:hyperlink w:history="true" w:anchor="_bookmark1698">
        <w:r>
          <w:rPr>
            <w:color w:val="005DA1"/>
            <w:spacing w:val="-4"/>
            <w:position w:val="5"/>
            <w:sz w:val="14"/>
            <w:u w:val="single" w:color="005DA1"/>
          </w:rPr>
          <w:t>898</w:t>
        </w:r>
      </w:hyperlink>
      <w:r>
        <w:rPr>
          <w:spacing w:val="-4"/>
          <w:position w:val="5"/>
          <w:sz w:val="14"/>
        </w:rPr>
        <w:t>.</w:t>
      </w:r>
      <w:r>
        <w:rPr>
          <w:position w:val="5"/>
          <w:sz w:val="14"/>
        </w:rPr>
        <w:tab/>
      </w:r>
      <w:r>
        <w:rPr/>
        <w:t>Above,</w:t>
      </w:r>
      <w:r>
        <w:rPr>
          <w:spacing w:val="-2"/>
        </w:rPr>
        <w:t> </w:t>
      </w:r>
      <w:r>
        <w:rPr/>
        <w:t>paras 30-209 et </w:t>
      </w:r>
      <w:r>
        <w:rPr>
          <w:spacing w:val="-4"/>
        </w:rPr>
        <w:t>seq.</w:t>
      </w:r>
    </w:p>
    <w:p>
      <w:pPr>
        <w:pStyle w:val="BodyText"/>
        <w:spacing w:before="9"/>
      </w:pPr>
    </w:p>
    <w:p>
      <w:pPr>
        <w:tabs>
          <w:tab w:pos="705" w:val="left" w:leader="none"/>
        </w:tabs>
        <w:spacing w:line="235" w:lineRule="auto" w:before="0"/>
        <w:ind w:left="705" w:right="168" w:hanging="541"/>
        <w:jc w:val="left"/>
        <w:rPr>
          <w:sz w:val="20"/>
        </w:rPr>
      </w:pPr>
      <w:bookmarkStart w:name="_bookmark1782" w:id="1784"/>
      <w:bookmarkEnd w:id="1784"/>
      <w:r>
        <w:rPr/>
      </w:r>
      <w:hyperlink w:history="true" w:anchor="_bookmark1699">
        <w:r>
          <w:rPr>
            <w:color w:val="005DA1"/>
            <w:spacing w:val="-4"/>
            <w:position w:val="5"/>
            <w:sz w:val="14"/>
            <w:u w:val="single" w:color="005DA1"/>
          </w:rPr>
          <w:t>899</w:t>
        </w:r>
      </w:hyperlink>
      <w:r>
        <w:rPr>
          <w:spacing w:val="-4"/>
          <w:position w:val="5"/>
          <w:sz w:val="14"/>
        </w:rPr>
        <w:t>.</w:t>
      </w:r>
      <w:r>
        <w:rPr>
          <w:position w:val="5"/>
          <w:sz w:val="14"/>
        </w:rPr>
        <w:tab/>
      </w:r>
      <w:r>
        <w:rPr>
          <w:sz w:val="20"/>
        </w:rPr>
        <w:t>cf. Rome Convention art.5(4)(b) and (5); above, para.30-092. See</w:t>
      </w:r>
      <w:r>
        <w:rPr>
          <w:spacing w:val="-1"/>
          <w:sz w:val="20"/>
        </w:rPr>
        <w:t> </w:t>
      </w:r>
      <w:r>
        <w:rPr>
          <w:rFonts w:ascii="Arial" w:hAnsi="Arial"/>
          <w:i/>
          <w:sz w:val="20"/>
        </w:rPr>
        <w:t>Pammer v Reederei </w:t>
      </w:r>
      <w:r>
        <w:rPr>
          <w:rFonts w:ascii="Arial" w:hAnsi="Arial"/>
          <w:i/>
          <w:sz w:val="20"/>
        </w:rPr>
        <w:t>Schlüter GmbH &amp; Co KG (C-585/08) </w:t>
      </w:r>
      <w:r>
        <w:rPr>
          <w:sz w:val="20"/>
        </w:rPr>
        <w:t>and </w:t>
      </w:r>
      <w:r>
        <w:rPr>
          <w:rFonts w:ascii="Arial" w:hAnsi="Arial"/>
          <w:i/>
          <w:sz w:val="20"/>
        </w:rPr>
        <w:t>Pammer v Hotel Alpenhof (C-144/09) [2010] ECR I-12527</w:t>
      </w:r>
      <w:r>
        <w:rPr>
          <w:sz w:val="20"/>
        </w:rPr>
        <w:t>.</w:t>
      </w:r>
    </w:p>
    <w:p>
      <w:pPr>
        <w:pStyle w:val="BodyText"/>
        <w:spacing w:before="5"/>
      </w:pPr>
    </w:p>
    <w:p>
      <w:pPr>
        <w:tabs>
          <w:tab w:pos="705" w:val="left" w:leader="none"/>
        </w:tabs>
        <w:spacing w:before="0"/>
        <w:ind w:left="165" w:right="0" w:firstLine="0"/>
        <w:jc w:val="left"/>
        <w:rPr>
          <w:sz w:val="20"/>
        </w:rPr>
      </w:pPr>
      <w:bookmarkStart w:name="_bookmark1783" w:id="1785"/>
      <w:bookmarkEnd w:id="1785"/>
      <w:r>
        <w:rPr/>
      </w:r>
      <w:hyperlink w:history="true" w:anchor="_bookmark1700">
        <w:r>
          <w:rPr>
            <w:color w:val="005DA1"/>
            <w:spacing w:val="-4"/>
            <w:position w:val="5"/>
            <w:sz w:val="14"/>
            <w:u w:val="single" w:color="005DA1"/>
          </w:rPr>
          <w:t>900</w:t>
        </w:r>
      </w:hyperlink>
      <w:r>
        <w:rPr>
          <w:spacing w:val="-4"/>
          <w:position w:val="5"/>
          <w:sz w:val="14"/>
        </w:rPr>
        <w:t>.</w:t>
      </w:r>
      <w:r>
        <w:rPr>
          <w:position w:val="5"/>
          <w:sz w:val="14"/>
        </w:rPr>
        <w:tab/>
      </w:r>
      <w:r>
        <w:rPr>
          <w:sz w:val="20"/>
        </w:rPr>
        <w:t>Above, para.30-</w:t>
      </w:r>
      <w:r>
        <w:rPr>
          <w:spacing w:val="-4"/>
          <w:sz w:val="20"/>
        </w:rPr>
        <w:t>092.</w:t>
      </w:r>
    </w:p>
    <w:p>
      <w:pPr>
        <w:pStyle w:val="BodyText"/>
        <w:spacing w:before="9"/>
      </w:pPr>
    </w:p>
    <w:p>
      <w:pPr>
        <w:pStyle w:val="BodyText"/>
        <w:spacing w:line="235" w:lineRule="auto"/>
        <w:ind w:left="705" w:right="167" w:hanging="541"/>
        <w:jc w:val="both"/>
      </w:pPr>
      <w:bookmarkStart w:name="_bookmark1784" w:id="1786"/>
      <w:bookmarkEnd w:id="1786"/>
      <w:r>
        <w:rPr/>
      </w:r>
      <w:hyperlink w:history="true" w:anchor="_bookmark1701">
        <w:r>
          <w:rPr>
            <w:color w:val="005DA1"/>
            <w:position w:val="5"/>
            <w:sz w:val="14"/>
            <w:u w:val="single" w:color="005DA1"/>
          </w:rPr>
          <w:t>901</w:t>
        </w:r>
      </w:hyperlink>
      <w:r>
        <w:rPr>
          <w:position w:val="5"/>
          <w:sz w:val="14"/>
        </w:rPr>
        <w:t>.</w:t>
      </w:r>
      <w:r>
        <w:rPr>
          <w:spacing w:val="80"/>
          <w:position w:val="5"/>
          <w:sz w:val="14"/>
        </w:rPr>
        <w:t>  </w:t>
      </w:r>
      <w:r>
        <w:rPr/>
        <w:t>This Directive must now be taken to mean Directive 2008/122 of the European Parliament and of the Council of January 14, 2009 on the protection of consumers in respect of certain </w:t>
      </w:r>
      <w:r>
        <w:rPr/>
        <w:t>aspects of timeshare, long-term holiday product, resale and exchange contracts [2009] O.J. L33/10, implemented in the UK by SI 2010/2960, as amended by SI 2011/1065 and repealing Timeshare Act 1992. See Recital 27 to the Rome I Regulation.</w:t>
      </w:r>
    </w:p>
    <w:p>
      <w:pPr>
        <w:pStyle w:val="BodyText"/>
        <w:spacing w:before="4"/>
      </w:pPr>
    </w:p>
    <w:p>
      <w:pPr>
        <w:pStyle w:val="BodyText"/>
        <w:tabs>
          <w:tab w:pos="705" w:val="left" w:leader="none"/>
        </w:tabs>
        <w:spacing w:before="1"/>
        <w:ind w:left="165"/>
      </w:pPr>
      <w:bookmarkStart w:name="_bookmark1785" w:id="1787"/>
      <w:bookmarkEnd w:id="1787"/>
      <w:r>
        <w:rPr/>
      </w:r>
      <w:hyperlink w:history="true" w:anchor="_bookmark1702">
        <w:r>
          <w:rPr>
            <w:color w:val="005DA1"/>
            <w:spacing w:val="-4"/>
            <w:position w:val="5"/>
            <w:sz w:val="14"/>
            <w:u w:val="single" w:color="005DA1"/>
          </w:rPr>
          <w:t>902</w:t>
        </w:r>
      </w:hyperlink>
      <w:r>
        <w:rPr>
          <w:spacing w:val="-4"/>
          <w:position w:val="5"/>
          <w:sz w:val="14"/>
        </w:rPr>
        <w:t>.</w:t>
      </w:r>
      <w:r>
        <w:rPr>
          <w:position w:val="5"/>
          <w:sz w:val="14"/>
        </w:rPr>
        <w:tab/>
      </w:r>
      <w:r>
        <w:rPr/>
        <w:t>See SI 2011/2960 Pt </w:t>
      </w:r>
      <w:r>
        <w:rPr>
          <w:spacing w:val="-5"/>
        </w:rPr>
        <w:t>2.</w:t>
      </w:r>
    </w:p>
    <w:p>
      <w:pPr>
        <w:pStyle w:val="BodyText"/>
        <w:spacing w:before="4"/>
      </w:pPr>
    </w:p>
    <w:p>
      <w:pPr>
        <w:pStyle w:val="BodyText"/>
        <w:tabs>
          <w:tab w:pos="705" w:val="left" w:leader="none"/>
        </w:tabs>
        <w:spacing w:before="1"/>
        <w:ind w:left="165"/>
      </w:pPr>
      <w:bookmarkStart w:name="_bookmark1786" w:id="1788"/>
      <w:bookmarkEnd w:id="1788"/>
      <w:r>
        <w:rPr/>
      </w:r>
      <w:hyperlink w:history="true" w:anchor="_bookmark1703">
        <w:r>
          <w:rPr>
            <w:color w:val="005DA1"/>
            <w:spacing w:val="-4"/>
            <w:position w:val="5"/>
            <w:sz w:val="14"/>
            <w:u w:val="single" w:color="005DA1"/>
          </w:rPr>
          <w:t>903</w:t>
        </w:r>
      </w:hyperlink>
      <w:r>
        <w:rPr>
          <w:spacing w:val="-4"/>
          <w:position w:val="5"/>
          <w:sz w:val="14"/>
        </w:rPr>
        <w:t>.</w:t>
      </w:r>
      <w:r>
        <w:rPr>
          <w:position w:val="5"/>
          <w:sz w:val="14"/>
        </w:rPr>
        <w:tab/>
      </w:r>
      <w:r>
        <w:rPr/>
        <w:t>Above,</w:t>
      </w:r>
      <w:r>
        <w:rPr>
          <w:spacing w:val="-2"/>
        </w:rPr>
        <w:t> </w:t>
      </w:r>
      <w:r>
        <w:rPr/>
        <w:t>paras 30-169 et </w:t>
      </w:r>
      <w:r>
        <w:rPr>
          <w:spacing w:val="-4"/>
        </w:rPr>
        <w:t>seq.</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0384">
            <wp:simplePos x="0" y="0"/>
            <wp:positionH relativeFrom="page">
              <wp:posOffset>1257846</wp:posOffset>
            </wp:positionH>
            <wp:positionV relativeFrom="paragraph">
              <wp:posOffset>160665</wp:posOffset>
            </wp:positionV>
            <wp:extent cx="107988" cy="107988"/>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787" w:id="1789"/>
      <w:bookmarkEnd w:id="1789"/>
      <w:r>
        <w:rPr/>
      </w:r>
      <w:hyperlink w:history="true" w:anchor="_bookmark1704">
        <w:r>
          <w:rPr>
            <w:color w:val="005DA1"/>
            <w:spacing w:val="-4"/>
            <w:sz w:val="14"/>
            <w:u w:val="single" w:color="005DA1"/>
          </w:rPr>
          <w:t>904</w:t>
        </w:r>
      </w:hyperlink>
      <w:r>
        <w:rPr>
          <w:spacing w:val="-4"/>
          <w:sz w:val="14"/>
        </w:rPr>
        <w:t>.</w:t>
      </w:r>
    </w:p>
    <w:p>
      <w:pPr>
        <w:pStyle w:val="BodyText"/>
        <w:spacing w:line="235" w:lineRule="auto" w:before="212"/>
        <w:ind w:left="165" w:right="167" w:firstLine="170"/>
        <w:jc w:val="both"/>
      </w:pPr>
      <w:r>
        <w:rPr/>
        <w:br w:type="column"/>
      </w:r>
      <w:r>
        <w:rPr/>
        <w:t>Directive 2004/29 [2004] O.J. L145/1. Very broadly, section A covers: reception </w:t>
      </w:r>
      <w:r>
        <w:rPr/>
        <w:t>and transmission of orders in relation to financial instruments; execution of orders on behalf of clients; dealing on own account; portfolio management; investment advice; underwriting and/or placement of financial instruments on a firm commitment basis; placing of financial instruments without a firm commitment basis; and the operation of multilateral trading facilities. In general terms section B covers: safekeeping and administration of financial instruments and related matters; granting credits and loans to an investor in certain cases in relation to a transaction involving a financial instrument; advice to undertakings on capital structure, industrial strategy, and related matters and advice and services relating to mergers and acquisitions; foreign exchange services connected with the provision of investment services; investment research, financial analysis and other recommendations relating to transactions in financial instruments; services relating to underwriting; and certain investment services and activities related to derivatives. As to the meaning of “financial instrument”, see below, n.910. The original Directive has been replaced by Directive 2014/65/EU (MiFID 2) although the deadline for compliance</w:t>
      </w:r>
      <w:r>
        <w:rPr>
          <w:spacing w:val="40"/>
        </w:rPr>
        <w:t> </w:t>
      </w:r>
      <w:r>
        <w:rPr/>
        <w:t>with the new Directive has been extended to January 2018 (COM(2016) 56 final).</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0896">
            <wp:simplePos x="0" y="0"/>
            <wp:positionH relativeFrom="page">
              <wp:posOffset>1257846</wp:posOffset>
            </wp:positionH>
            <wp:positionV relativeFrom="paragraph">
              <wp:posOffset>160220</wp:posOffset>
            </wp:positionV>
            <wp:extent cx="107988" cy="107988"/>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788" w:id="1790"/>
      <w:bookmarkEnd w:id="1790"/>
      <w:r>
        <w:rPr/>
      </w:r>
      <w:hyperlink w:history="true" w:anchor="_bookmark1705">
        <w:r>
          <w:rPr>
            <w:color w:val="005DA1"/>
            <w:spacing w:val="-4"/>
            <w:sz w:val="14"/>
            <w:u w:val="single" w:color="005DA1"/>
          </w:rPr>
          <w:t>905</w:t>
        </w:r>
      </w:hyperlink>
      <w:r>
        <w:rPr>
          <w:spacing w:val="-4"/>
          <w:sz w:val="14"/>
        </w:rPr>
        <w:t>.</w:t>
      </w:r>
    </w:p>
    <w:p>
      <w:pPr>
        <w:pStyle w:val="BodyText"/>
        <w:spacing w:line="235" w:lineRule="auto" w:before="212"/>
        <w:ind w:left="165" w:right="167" w:firstLine="170"/>
        <w:jc w:val="both"/>
      </w:pPr>
      <w:r>
        <w:rPr/>
        <w:br w:type="column"/>
      </w:r>
      <w:r>
        <w:rPr/>
        <w:t>Directive 85/611 on the co-ordination of laws relating to collective investment in transferable securities [1985] O.J. L375/3, as amended by Directive 2005/1 [2005] O.J. L79/9. In July </w:t>
      </w:r>
      <w:r>
        <w:rPr/>
        <w:t>2012, the European Commission formally adopted a reform of the UCITS Directive, commonly</w:t>
      </w:r>
      <w:r>
        <w:rPr>
          <w:spacing w:val="40"/>
        </w:rPr>
        <w:t> </w:t>
      </w:r>
      <w:r>
        <w:rPr/>
        <w:t>referred to as UCITS V, which was enacted and published in July 2014. UCITS V (Directive 2014/91/EU) amends the previous version of the UCITS Directive, known as UCITS IV (Directive 2009/65/EC). The UCITS V Directive has an implementation deadline of March 18, 2016. Unlike the UCITS IV Directive, the UCITS V Directive does not recast the UCITS Directive. Instead, it amends and stands alongside the UCITS IV Directive.</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line="235" w:lineRule="auto" w:before="170"/>
        <w:ind w:left="705" w:right="167" w:hanging="541"/>
        <w:jc w:val="both"/>
      </w:pPr>
      <w:hyperlink w:history="true" w:anchor="_bookmark1706">
        <w:r>
          <w:rPr>
            <w:color w:val="005DA1"/>
            <w:position w:val="5"/>
            <w:sz w:val="14"/>
            <w:u w:val="single" w:color="005DA1"/>
          </w:rPr>
          <w:t>906</w:t>
        </w:r>
      </w:hyperlink>
      <w:r>
        <w:rPr>
          <w:position w:val="5"/>
          <w:sz w:val="14"/>
        </w:rPr>
        <w:t>.</w:t>
      </w:r>
      <w:r>
        <w:rPr>
          <w:spacing w:val="40"/>
          <w:position w:val="5"/>
          <w:sz w:val="14"/>
        </w:rPr>
        <w:t>  </w:t>
      </w:r>
      <w:r>
        <w:rPr/>
        <w:t>According to Recital 30 “transferable securities” are instruments referred to in Directive </w:t>
      </w:r>
      <w:r>
        <w:rPr/>
        <w:t>2004/39 (MiFID) art.4. These are, broadly, defined in art.4(18) as: shares and other securities equivalent to shares; bonds or other forms of securitised debt; and any other securities giving the right to acquire or sell any such transferable securities.</w:t>
      </w:r>
    </w:p>
    <w:p>
      <w:pPr>
        <w:pStyle w:val="BodyText"/>
        <w:spacing w:before="9"/>
      </w:pPr>
    </w:p>
    <w:p>
      <w:pPr>
        <w:spacing w:line="235" w:lineRule="auto" w:before="0"/>
        <w:ind w:left="705" w:right="167" w:hanging="541"/>
        <w:jc w:val="both"/>
        <w:rPr>
          <w:sz w:val="20"/>
        </w:rPr>
      </w:pPr>
      <w:bookmarkStart w:name="_bookmark1789" w:id="1791"/>
      <w:bookmarkEnd w:id="1791"/>
      <w:r>
        <w:rPr/>
      </w:r>
      <w:hyperlink w:history="true" w:anchor="_bookmark1707">
        <w:r>
          <w:rPr>
            <w:color w:val="005DA1"/>
            <w:position w:val="5"/>
            <w:sz w:val="14"/>
            <w:u w:val="single" w:color="005DA1"/>
          </w:rPr>
          <w:t>907</w:t>
        </w:r>
      </w:hyperlink>
      <w:r>
        <w:rPr>
          <w:position w:val="5"/>
          <w:sz w:val="14"/>
        </w:rPr>
        <w:t>.</w:t>
      </w:r>
      <w:r>
        <w:rPr>
          <w:spacing w:val="80"/>
          <w:position w:val="5"/>
          <w:sz w:val="14"/>
        </w:rPr>
        <w:t>  </w:t>
      </w:r>
      <w:r>
        <w:rPr>
          <w:sz w:val="20"/>
        </w:rPr>
        <w:t>Rome I Recital 26. And see Consultation Paper, para.66. See Nishitani in Leible and Ferrari, </w:t>
      </w:r>
      <w:r>
        <w:rPr>
          <w:rFonts w:ascii="Arial"/>
          <w:i/>
          <w:sz w:val="20"/>
        </w:rPr>
        <w:t>The Rome I Regulation: the Law Applicable to Contractual Obligations in Europe </w:t>
      </w:r>
      <w:r>
        <w:rPr>
          <w:sz w:val="20"/>
        </w:rPr>
        <w:t>(2009), </w:t>
      </w:r>
      <w:r>
        <w:rPr>
          <w:sz w:val="20"/>
        </w:rPr>
        <w:t>p.85; Garcimartin Alferez (2008) 10 Yb. P.I.L. 245; (2009) 5 J. Priv. Int. L. 85.</w:t>
      </w:r>
    </w:p>
    <w:p>
      <w:pPr>
        <w:pStyle w:val="BodyText"/>
        <w:spacing w:before="8"/>
      </w:pPr>
    </w:p>
    <w:p>
      <w:pPr>
        <w:pStyle w:val="BodyText"/>
        <w:spacing w:line="235" w:lineRule="auto" w:before="1"/>
        <w:ind w:left="705" w:right="167" w:hanging="541"/>
        <w:jc w:val="both"/>
      </w:pPr>
      <w:bookmarkStart w:name="_bookmark1790" w:id="1792"/>
      <w:bookmarkEnd w:id="1792"/>
      <w:r>
        <w:rPr/>
      </w:r>
      <w:hyperlink w:history="true" w:anchor="_bookmark1708">
        <w:r>
          <w:rPr>
            <w:color w:val="005DA1"/>
            <w:position w:val="5"/>
            <w:sz w:val="14"/>
            <w:u w:val="single" w:color="005DA1"/>
          </w:rPr>
          <w:t>908</w:t>
        </w:r>
      </w:hyperlink>
      <w:r>
        <w:rPr>
          <w:position w:val="5"/>
          <w:sz w:val="14"/>
        </w:rPr>
        <w:t>.</w:t>
      </w:r>
      <w:r>
        <w:rPr>
          <w:spacing w:val="80"/>
          <w:position w:val="5"/>
          <w:sz w:val="14"/>
        </w:rPr>
        <w:t> </w:t>
      </w:r>
      <w:r>
        <w:rPr/>
        <w:t>According to Recital 3 “financial instruments” are instruments referred to in art.4 of Directive 2004/39 (MiFlD). According to art.4(17) such instruments are those specified in Annex C to </w:t>
      </w:r>
      <w:r>
        <w:rPr/>
        <w:t>the Directive. Very broadly, these are: transferable securities; money market instruments, units in collective investment undertakings; certain options, futures, swaps, forward rate agreements and derivative contracts; derivative instruments for the transfer of credit risk; and financial contracts for differences.</w:t>
      </w:r>
    </w:p>
    <w:p>
      <w:pPr>
        <w:pStyle w:val="BodyText"/>
        <w:spacing w:before="3"/>
      </w:pPr>
    </w:p>
    <w:p>
      <w:pPr>
        <w:pStyle w:val="BodyText"/>
        <w:tabs>
          <w:tab w:pos="705" w:val="left" w:leader="none"/>
        </w:tabs>
        <w:spacing w:before="1"/>
        <w:ind w:left="165"/>
      </w:pPr>
      <w:bookmarkStart w:name="_bookmark1791" w:id="1793"/>
      <w:bookmarkEnd w:id="1793"/>
      <w:r>
        <w:rPr/>
      </w:r>
      <w:hyperlink w:history="true" w:anchor="_bookmark1709">
        <w:r>
          <w:rPr>
            <w:color w:val="005DA1"/>
            <w:spacing w:val="-4"/>
            <w:position w:val="5"/>
            <w:sz w:val="14"/>
            <w:u w:val="single" w:color="005DA1"/>
          </w:rPr>
          <w:t>909</w:t>
        </w:r>
      </w:hyperlink>
      <w:r>
        <w:rPr>
          <w:spacing w:val="-4"/>
          <w:position w:val="5"/>
          <w:sz w:val="14"/>
        </w:rPr>
        <w:t>.</w:t>
      </w:r>
      <w:r>
        <w:rPr>
          <w:position w:val="5"/>
          <w:sz w:val="14"/>
        </w:rPr>
        <w:tab/>
      </w:r>
      <w:r>
        <w:rPr/>
        <w:t>See below, paras 30-241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1792" w:id="1794"/>
      <w:bookmarkEnd w:id="1794"/>
      <w:r>
        <w:rPr/>
      </w:r>
      <w:hyperlink w:history="true" w:anchor="_bookmark1710">
        <w:r>
          <w:rPr>
            <w:color w:val="005DA1"/>
            <w:spacing w:val="-4"/>
            <w:position w:val="5"/>
            <w:sz w:val="14"/>
            <w:u w:val="single" w:color="005DA1"/>
          </w:rPr>
          <w:t>910</w:t>
        </w:r>
      </w:hyperlink>
      <w:r>
        <w:rPr>
          <w:spacing w:val="-4"/>
          <w:position w:val="5"/>
          <w:sz w:val="14"/>
        </w:rPr>
        <w:t>.</w:t>
      </w:r>
      <w:r>
        <w:rPr>
          <w:position w:val="5"/>
          <w:sz w:val="14"/>
        </w:rPr>
        <w:tab/>
      </w:r>
      <w:r>
        <w:rPr>
          <w:sz w:val="20"/>
        </w:rPr>
        <w:t>Rome I Recital </w:t>
      </w:r>
      <w:r>
        <w:rPr>
          <w:spacing w:val="-5"/>
          <w:sz w:val="20"/>
        </w:rPr>
        <w:t>28.</w:t>
      </w:r>
    </w:p>
    <w:p>
      <w:pPr>
        <w:pStyle w:val="BodyText"/>
        <w:spacing w:before="4"/>
      </w:pPr>
    </w:p>
    <w:p>
      <w:pPr>
        <w:pStyle w:val="BodyText"/>
        <w:tabs>
          <w:tab w:pos="705" w:val="left" w:leader="none"/>
        </w:tabs>
        <w:spacing w:before="1"/>
        <w:ind w:left="165"/>
      </w:pPr>
      <w:bookmarkStart w:name="_bookmark1793" w:id="1795"/>
      <w:bookmarkEnd w:id="1795"/>
      <w:r>
        <w:rPr/>
      </w:r>
      <w:hyperlink w:history="true" w:anchor="_bookmark1711">
        <w:r>
          <w:rPr>
            <w:color w:val="005DA1"/>
            <w:spacing w:val="-4"/>
            <w:position w:val="5"/>
            <w:sz w:val="14"/>
            <w:u w:val="single" w:color="005DA1"/>
          </w:rPr>
          <w:t>911</w:t>
        </w:r>
      </w:hyperlink>
      <w:r>
        <w:rPr>
          <w:spacing w:val="-4"/>
          <w:position w:val="5"/>
          <w:sz w:val="14"/>
        </w:rPr>
        <w:t>.</w:t>
      </w:r>
      <w:r>
        <w:rPr>
          <w:position w:val="5"/>
          <w:sz w:val="14"/>
        </w:rPr>
        <w:tab/>
      </w:r>
      <w:r>
        <w:rPr/>
        <w:t>Below,</w:t>
      </w:r>
      <w:r>
        <w:rPr>
          <w:spacing w:val="-2"/>
        </w:rPr>
        <w:t> </w:t>
      </w:r>
      <w:r>
        <w:rPr/>
        <w:t>paras 30-289 et </w:t>
      </w:r>
      <w:r>
        <w:rPr>
          <w:spacing w:val="-4"/>
        </w:rPr>
        <w:t>seq.</w:t>
      </w:r>
    </w:p>
    <w:p>
      <w:pPr>
        <w:pStyle w:val="BodyText"/>
        <w:spacing w:before="8"/>
      </w:pPr>
    </w:p>
    <w:p>
      <w:pPr>
        <w:pStyle w:val="BodyText"/>
        <w:tabs>
          <w:tab w:pos="705" w:val="left" w:leader="none"/>
        </w:tabs>
        <w:spacing w:line="235" w:lineRule="auto"/>
        <w:ind w:left="705" w:right="168" w:hanging="541"/>
      </w:pPr>
      <w:bookmarkStart w:name="_bookmark1794" w:id="1796"/>
      <w:bookmarkEnd w:id="1796"/>
      <w:r>
        <w:rPr/>
      </w:r>
      <w:hyperlink w:history="true" w:anchor="_bookmark1712">
        <w:r>
          <w:rPr>
            <w:color w:val="005DA1"/>
            <w:spacing w:val="-4"/>
            <w:position w:val="5"/>
            <w:sz w:val="14"/>
            <w:u w:val="single" w:color="005DA1"/>
          </w:rPr>
          <w:t>912</w:t>
        </w:r>
      </w:hyperlink>
      <w:r>
        <w:rPr>
          <w:spacing w:val="-4"/>
          <w:position w:val="5"/>
          <w:sz w:val="14"/>
        </w:rPr>
        <w:t>.</w:t>
      </w:r>
      <w:r>
        <w:rPr>
          <w:position w:val="5"/>
          <w:sz w:val="14"/>
        </w:rPr>
        <w:tab/>
      </w:r>
      <w:r>
        <w:rPr/>
        <w:t>See</w:t>
      </w:r>
      <w:r>
        <w:rPr>
          <w:spacing w:val="34"/>
        </w:rPr>
        <w:t> </w:t>
      </w:r>
      <w:r>
        <w:rPr/>
        <w:t>also</w:t>
      </w:r>
      <w:r>
        <w:rPr>
          <w:spacing w:val="34"/>
        </w:rPr>
        <w:t> </w:t>
      </w:r>
      <w:r>
        <w:rPr/>
        <w:t>Consultation</w:t>
      </w:r>
      <w:r>
        <w:rPr>
          <w:spacing w:val="34"/>
        </w:rPr>
        <w:t> </w:t>
      </w:r>
      <w:r>
        <w:rPr/>
        <w:t>paper,</w:t>
      </w:r>
      <w:r>
        <w:rPr>
          <w:spacing w:val="34"/>
        </w:rPr>
        <w:t> </w:t>
      </w:r>
      <w:r>
        <w:rPr/>
        <w:t>para.66.</w:t>
      </w:r>
      <w:r>
        <w:rPr>
          <w:spacing w:val="34"/>
        </w:rPr>
        <w:t> </w:t>
      </w:r>
      <w:r>
        <w:rPr/>
        <w:t>There</w:t>
      </w:r>
      <w:r>
        <w:rPr>
          <w:spacing w:val="34"/>
        </w:rPr>
        <w:t> </w:t>
      </w:r>
      <w:r>
        <w:rPr/>
        <w:t>is</w:t>
      </w:r>
      <w:r>
        <w:rPr>
          <w:spacing w:val="34"/>
        </w:rPr>
        <w:t> </w:t>
      </w:r>
      <w:r>
        <w:rPr/>
        <w:t>no</w:t>
      </w:r>
      <w:r>
        <w:rPr>
          <w:spacing w:val="34"/>
        </w:rPr>
        <w:t> </w:t>
      </w:r>
      <w:r>
        <w:rPr/>
        <w:t>exclusion</w:t>
      </w:r>
      <w:r>
        <w:rPr>
          <w:spacing w:val="34"/>
        </w:rPr>
        <w:t> </w:t>
      </w:r>
      <w:r>
        <w:rPr/>
        <w:t>equivalent</w:t>
      </w:r>
      <w:r>
        <w:rPr>
          <w:spacing w:val="34"/>
        </w:rPr>
        <w:t> </w:t>
      </w:r>
      <w:r>
        <w:rPr/>
        <w:t>to</w:t>
      </w:r>
      <w:r>
        <w:rPr>
          <w:spacing w:val="34"/>
        </w:rPr>
        <w:t> </w:t>
      </w:r>
      <w:r>
        <w:rPr/>
        <w:t>art.6(4)(d)</w:t>
      </w:r>
      <w:r>
        <w:rPr>
          <w:spacing w:val="34"/>
        </w:rPr>
        <w:t> </w:t>
      </w:r>
      <w:r>
        <w:rPr/>
        <w:t>of</w:t>
      </w:r>
      <w:r>
        <w:rPr>
          <w:spacing w:val="34"/>
        </w:rPr>
        <w:t> </w:t>
      </w:r>
      <w:r>
        <w:rPr/>
        <w:t>the Rome I Regulation in the Rome Convention.</w:t>
      </w:r>
    </w:p>
    <w:p>
      <w:pPr>
        <w:pStyle w:val="BodyText"/>
        <w:spacing w:before="6"/>
      </w:pPr>
    </w:p>
    <w:p>
      <w:pPr>
        <w:tabs>
          <w:tab w:pos="705" w:val="left" w:leader="none"/>
        </w:tabs>
        <w:spacing w:before="0"/>
        <w:ind w:left="165" w:right="0" w:firstLine="0"/>
        <w:jc w:val="left"/>
        <w:rPr>
          <w:sz w:val="20"/>
        </w:rPr>
      </w:pPr>
      <w:bookmarkStart w:name="_bookmark1795" w:id="1797"/>
      <w:bookmarkEnd w:id="1797"/>
      <w:r>
        <w:rPr/>
      </w:r>
      <w:hyperlink w:history="true" w:anchor="_bookmark1713">
        <w:r>
          <w:rPr>
            <w:color w:val="005DA1"/>
            <w:spacing w:val="-4"/>
            <w:position w:val="5"/>
            <w:sz w:val="14"/>
            <w:u w:val="single" w:color="005DA1"/>
          </w:rPr>
          <w:t>913</w:t>
        </w:r>
      </w:hyperlink>
      <w:r>
        <w:rPr>
          <w:spacing w:val="-4"/>
          <w:position w:val="5"/>
          <w:sz w:val="14"/>
        </w:rPr>
        <w:t>.</w:t>
      </w:r>
      <w:r>
        <w:rPr>
          <w:position w:val="5"/>
          <w:sz w:val="14"/>
        </w:rPr>
        <w:tab/>
      </w:r>
      <w:r>
        <w:rPr>
          <w:sz w:val="20"/>
        </w:rPr>
        <w:t>Above, para.30-</w:t>
      </w:r>
      <w:r>
        <w:rPr>
          <w:spacing w:val="-4"/>
          <w:sz w:val="20"/>
        </w:rPr>
        <w:t>196.</w:t>
      </w:r>
    </w:p>
    <w:p>
      <w:pPr>
        <w:pStyle w:val="BodyText"/>
        <w:spacing w:before="5"/>
      </w:pPr>
    </w:p>
    <w:p>
      <w:pPr>
        <w:tabs>
          <w:tab w:pos="705" w:val="left" w:leader="none"/>
        </w:tabs>
        <w:spacing w:before="0"/>
        <w:ind w:left="165" w:right="0" w:firstLine="0"/>
        <w:jc w:val="left"/>
        <w:rPr>
          <w:sz w:val="20"/>
        </w:rPr>
      </w:pPr>
      <w:bookmarkStart w:name="_bookmark1796" w:id="1798"/>
      <w:bookmarkEnd w:id="1798"/>
      <w:r>
        <w:rPr/>
      </w:r>
      <w:hyperlink w:history="true" w:anchor="_bookmark1714">
        <w:r>
          <w:rPr>
            <w:color w:val="005DA1"/>
            <w:spacing w:val="-4"/>
            <w:position w:val="5"/>
            <w:sz w:val="14"/>
            <w:u w:val="single" w:color="005DA1"/>
          </w:rPr>
          <w:t>914</w:t>
        </w:r>
      </w:hyperlink>
      <w:r>
        <w:rPr>
          <w:spacing w:val="-4"/>
          <w:position w:val="5"/>
          <w:sz w:val="14"/>
        </w:rPr>
        <w:t>.</w:t>
      </w:r>
      <w:r>
        <w:rPr>
          <w:position w:val="5"/>
          <w:sz w:val="14"/>
        </w:rPr>
        <w:tab/>
      </w:r>
      <w:r>
        <w:rPr>
          <w:sz w:val="20"/>
        </w:rPr>
        <w:t>Rome I </w:t>
      </w:r>
      <w:r>
        <w:rPr>
          <w:spacing w:val="-2"/>
          <w:sz w:val="20"/>
        </w:rPr>
        <w:t>art.6(4)(e).</w:t>
      </w:r>
    </w:p>
    <w:p>
      <w:pPr>
        <w:pStyle w:val="BodyText"/>
        <w:spacing w:before="9"/>
      </w:pPr>
    </w:p>
    <w:p>
      <w:pPr>
        <w:pStyle w:val="BodyText"/>
        <w:spacing w:line="235" w:lineRule="auto"/>
        <w:ind w:left="705" w:right="167" w:hanging="541"/>
        <w:jc w:val="both"/>
      </w:pPr>
      <w:bookmarkStart w:name="_bookmark1797" w:id="1799"/>
      <w:bookmarkEnd w:id="1799"/>
      <w:r>
        <w:rPr/>
      </w:r>
      <w:hyperlink w:history="true" w:anchor="_bookmark1715">
        <w:r>
          <w:rPr>
            <w:color w:val="005DA1"/>
            <w:position w:val="5"/>
            <w:sz w:val="14"/>
            <w:u w:val="single" w:color="005DA1"/>
          </w:rPr>
          <w:t>915</w:t>
        </w:r>
      </w:hyperlink>
      <w:r>
        <w:rPr>
          <w:position w:val="5"/>
          <w:sz w:val="14"/>
        </w:rPr>
        <w:t>.</w:t>
      </w:r>
      <w:r>
        <w:rPr>
          <w:spacing w:val="80"/>
          <w:position w:val="5"/>
          <w:sz w:val="14"/>
        </w:rPr>
        <w:t>  </w:t>
      </w:r>
      <w:r>
        <w:rPr/>
        <w:t>Rome I Recital 28. Recital 31 states that nothing in the Regulation shall prejudice the operation of a formal arrangement designated as a system under art.2(a) of Directive 98/26 on </w:t>
      </w:r>
      <w:r>
        <w:rPr/>
        <w:t>settlement finality in payment and securities settlement systems [1998] O.J. L166/45. And see</w:t>
      </w:r>
      <w:r>
        <w:rPr>
          <w:spacing w:val="40"/>
        </w:rPr>
        <w:t> </w:t>
      </w:r>
      <w:r>
        <w:rPr/>
        <w:t>Consultation Paper, para.67.</w:t>
      </w:r>
    </w:p>
    <w:p>
      <w:pPr>
        <w:pStyle w:val="BodyText"/>
        <w:spacing w:before="8"/>
      </w:pPr>
    </w:p>
    <w:p>
      <w:pPr>
        <w:pStyle w:val="BodyText"/>
        <w:tabs>
          <w:tab w:pos="705" w:val="left" w:leader="none"/>
        </w:tabs>
        <w:spacing w:line="235" w:lineRule="auto"/>
        <w:ind w:left="705" w:right="168" w:hanging="541"/>
      </w:pPr>
      <w:bookmarkStart w:name="_bookmark1798" w:id="1800"/>
      <w:bookmarkEnd w:id="1800"/>
      <w:r>
        <w:rPr/>
      </w:r>
      <w:hyperlink w:history="true" w:anchor="_bookmark1716">
        <w:r>
          <w:rPr>
            <w:color w:val="005DA1"/>
            <w:spacing w:val="-4"/>
            <w:position w:val="5"/>
            <w:sz w:val="14"/>
            <w:u w:val="single" w:color="005DA1"/>
          </w:rPr>
          <w:t>916</w:t>
        </w:r>
      </w:hyperlink>
      <w:r>
        <w:rPr>
          <w:spacing w:val="-4"/>
          <w:position w:val="5"/>
          <w:sz w:val="14"/>
        </w:rPr>
        <w:t>.</w:t>
      </w:r>
      <w:r>
        <w:rPr>
          <w:position w:val="5"/>
          <w:sz w:val="14"/>
        </w:rPr>
        <w:tab/>
      </w:r>
      <w:r>
        <w:rPr/>
        <w:t>See also Rome I Recital 32. But see Financial Services and Markets Act 2000 (Law Applicable to Contracts of Insurance) Regulations 2009 (SI 2009/3075) reg.4.</w:t>
      </w:r>
    </w:p>
    <w:p>
      <w:pPr>
        <w:pStyle w:val="BodyText"/>
        <w:spacing w:before="6"/>
      </w:pPr>
    </w:p>
    <w:p>
      <w:pPr>
        <w:pStyle w:val="BodyText"/>
        <w:tabs>
          <w:tab w:pos="705" w:val="left" w:leader="none"/>
        </w:tabs>
        <w:ind w:left="165"/>
      </w:pPr>
      <w:bookmarkStart w:name="_bookmark1799" w:id="1801"/>
      <w:bookmarkEnd w:id="1801"/>
      <w:r>
        <w:rPr/>
      </w:r>
      <w:hyperlink w:history="true" w:anchor="_bookmark1717">
        <w:r>
          <w:rPr>
            <w:color w:val="005DA1"/>
            <w:spacing w:val="-4"/>
            <w:position w:val="5"/>
            <w:sz w:val="14"/>
            <w:u w:val="single" w:color="005DA1"/>
          </w:rPr>
          <w:t>917</w:t>
        </w:r>
      </w:hyperlink>
      <w:r>
        <w:rPr>
          <w:spacing w:val="-4"/>
          <w:position w:val="5"/>
          <w:sz w:val="14"/>
        </w:rPr>
        <w:t>.</w:t>
      </w:r>
      <w:r>
        <w:rPr>
          <w:position w:val="5"/>
          <w:sz w:val="14"/>
        </w:rPr>
        <w:tab/>
      </w:r>
      <w:r>
        <w:rPr/>
        <w:t>cf. the position under the Rome Convention, above, para.30-</w:t>
      </w:r>
      <w:r>
        <w:rPr>
          <w:spacing w:val="-4"/>
        </w:rPr>
        <w:t>092.</w:t>
      </w:r>
    </w:p>
    <w:p>
      <w:pPr>
        <w:pStyle w:val="BodyText"/>
        <w:spacing w:before="5"/>
      </w:pPr>
    </w:p>
    <w:p>
      <w:pPr>
        <w:pStyle w:val="BodyText"/>
        <w:tabs>
          <w:tab w:pos="705" w:val="left" w:leader="none"/>
        </w:tabs>
        <w:ind w:left="165"/>
      </w:pPr>
      <w:bookmarkStart w:name="_bookmark1800" w:id="1802"/>
      <w:bookmarkEnd w:id="1802"/>
      <w:r>
        <w:rPr/>
      </w:r>
      <w:hyperlink w:history="true" w:anchor="_bookmark1718">
        <w:r>
          <w:rPr>
            <w:color w:val="005DA1"/>
            <w:spacing w:val="-4"/>
            <w:position w:val="5"/>
            <w:sz w:val="14"/>
            <w:u w:val="single" w:color="005DA1"/>
          </w:rPr>
          <w:t>918</w:t>
        </w:r>
      </w:hyperlink>
      <w:r>
        <w:rPr>
          <w:spacing w:val="-4"/>
          <w:position w:val="5"/>
          <w:sz w:val="14"/>
        </w:rPr>
        <w:t>.</w:t>
      </w:r>
      <w:r>
        <w:rPr>
          <w:position w:val="5"/>
          <w:sz w:val="14"/>
        </w:rPr>
        <w:tab/>
      </w:r>
      <w:r>
        <w:rPr/>
        <w:t>cf. the Rome Convention art.5(1), above para.30-</w:t>
      </w:r>
      <w:r>
        <w:rPr>
          <w:spacing w:val="-4"/>
        </w:rPr>
        <w:t>092.</w:t>
      </w:r>
    </w:p>
    <w:p>
      <w:pPr>
        <w:pStyle w:val="BodyText"/>
        <w:spacing w:before="5"/>
      </w:pPr>
    </w:p>
    <w:p>
      <w:pPr>
        <w:pStyle w:val="BodyText"/>
        <w:tabs>
          <w:tab w:pos="705" w:val="left" w:leader="none"/>
        </w:tabs>
        <w:ind w:left="165"/>
      </w:pPr>
      <w:bookmarkStart w:name="_bookmark1801" w:id="1803"/>
      <w:bookmarkEnd w:id="1803"/>
      <w:r>
        <w:rPr/>
      </w:r>
      <w:hyperlink w:history="true" w:anchor="_bookmark1719">
        <w:r>
          <w:rPr>
            <w:color w:val="005DA1"/>
            <w:spacing w:val="-4"/>
            <w:position w:val="5"/>
            <w:sz w:val="14"/>
            <w:u w:val="single" w:color="005DA1"/>
          </w:rPr>
          <w:t>919</w:t>
        </w:r>
      </w:hyperlink>
      <w:r>
        <w:rPr>
          <w:spacing w:val="-4"/>
          <w:position w:val="5"/>
          <w:sz w:val="14"/>
        </w:rPr>
        <w:t>.</w:t>
      </w:r>
      <w:r>
        <w:rPr>
          <w:position w:val="5"/>
          <w:sz w:val="14"/>
        </w:rPr>
        <w:tab/>
      </w:r>
      <w:r>
        <w:rPr/>
        <w:t>See Recitals 7 and 24 to the Rome </w:t>
      </w:r>
      <w:r>
        <w:rPr>
          <w:spacing w:val="-2"/>
        </w:rPr>
        <w:t>Regulation.</w:t>
      </w:r>
    </w:p>
    <w:p>
      <w:pPr>
        <w:pStyle w:val="BodyText"/>
        <w:spacing w:before="5"/>
      </w:pPr>
    </w:p>
    <w:p>
      <w:pPr>
        <w:pStyle w:val="BodyText"/>
        <w:tabs>
          <w:tab w:pos="705" w:val="left" w:leader="none"/>
        </w:tabs>
        <w:ind w:left="165"/>
      </w:pPr>
      <w:bookmarkStart w:name="_bookmark1802" w:id="1804"/>
      <w:bookmarkEnd w:id="1804"/>
      <w:r>
        <w:rPr/>
      </w:r>
      <w:hyperlink w:history="true" w:anchor="_bookmark1720">
        <w:r>
          <w:rPr>
            <w:color w:val="005DA1"/>
            <w:spacing w:val="-4"/>
            <w:position w:val="5"/>
            <w:sz w:val="14"/>
            <w:u w:val="single" w:color="005DA1"/>
          </w:rPr>
          <w:t>920</w:t>
        </w:r>
      </w:hyperlink>
      <w:r>
        <w:rPr>
          <w:spacing w:val="-4"/>
          <w:position w:val="5"/>
          <w:sz w:val="14"/>
        </w:rPr>
        <w:t>.</w:t>
      </w:r>
      <w:r>
        <w:rPr>
          <w:position w:val="5"/>
          <w:sz w:val="14"/>
        </w:rPr>
        <w:tab/>
      </w:r>
      <w:r>
        <w:rPr/>
        <w:t>See Recital 23 to the Rome </w:t>
      </w:r>
      <w:r>
        <w:rPr>
          <w:spacing w:val="-2"/>
        </w:rPr>
        <w:t>Regulation.</w:t>
      </w:r>
    </w:p>
    <w:p>
      <w:pPr>
        <w:pStyle w:val="BodyText"/>
        <w:spacing w:before="5"/>
      </w:pPr>
    </w:p>
    <w:p>
      <w:pPr>
        <w:tabs>
          <w:tab w:pos="705" w:val="left" w:leader="none"/>
        </w:tabs>
        <w:spacing w:before="0"/>
        <w:ind w:left="165" w:right="0" w:firstLine="0"/>
        <w:jc w:val="left"/>
        <w:rPr>
          <w:sz w:val="20"/>
        </w:rPr>
      </w:pPr>
      <w:bookmarkStart w:name="_bookmark1803" w:id="1805"/>
      <w:bookmarkEnd w:id="1805"/>
      <w:r>
        <w:rPr/>
      </w:r>
      <w:hyperlink w:history="true" w:anchor="_bookmark1721">
        <w:r>
          <w:rPr>
            <w:color w:val="005DA1"/>
            <w:spacing w:val="-4"/>
            <w:position w:val="5"/>
            <w:sz w:val="14"/>
            <w:u w:val="single" w:color="005DA1"/>
          </w:rPr>
          <w:t>921</w:t>
        </w:r>
      </w:hyperlink>
      <w:r>
        <w:rPr>
          <w:spacing w:val="-4"/>
          <w:position w:val="5"/>
          <w:sz w:val="14"/>
        </w:rPr>
        <w:t>.</w:t>
      </w:r>
      <w:r>
        <w:rPr>
          <w:position w:val="5"/>
          <w:sz w:val="14"/>
        </w:rPr>
        <w:tab/>
      </w:r>
      <w:r>
        <w:rPr>
          <w:sz w:val="20"/>
        </w:rPr>
        <w:t>See</w:t>
      </w:r>
      <w:r>
        <w:rPr>
          <w:spacing w:val="-3"/>
          <w:sz w:val="20"/>
        </w:rPr>
        <w:t> </w:t>
      </w:r>
      <w:r>
        <w:rPr>
          <w:rFonts w:ascii="Arial"/>
          <w:i/>
          <w:sz w:val="20"/>
        </w:rPr>
        <w:t>Benincasa v Dentalkit Srl (C-269/95) [1997] E.C.R. I-</w:t>
      </w:r>
      <w:r>
        <w:rPr>
          <w:rFonts w:ascii="Arial"/>
          <w:i/>
          <w:spacing w:val="-2"/>
          <w:sz w:val="20"/>
        </w:rPr>
        <w:t>3767</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804" w:id="1806"/>
      <w:bookmarkEnd w:id="1806"/>
      <w:r>
        <w:rPr/>
      </w:r>
      <w:hyperlink w:history="true" w:anchor="_bookmark1722">
        <w:r>
          <w:rPr>
            <w:color w:val="005DA1"/>
            <w:spacing w:val="-4"/>
            <w:position w:val="5"/>
            <w:sz w:val="14"/>
            <w:u w:val="single" w:color="005DA1"/>
          </w:rPr>
          <w:t>922</w:t>
        </w:r>
      </w:hyperlink>
      <w:r>
        <w:rPr>
          <w:spacing w:val="-4"/>
          <w:position w:val="5"/>
          <w:sz w:val="14"/>
        </w:rPr>
        <w:t>.</w:t>
      </w:r>
      <w:r>
        <w:rPr>
          <w:position w:val="5"/>
          <w:sz w:val="14"/>
        </w:rPr>
        <w:tab/>
      </w:r>
      <w:r>
        <w:rPr>
          <w:sz w:val="20"/>
        </w:rPr>
        <w:t>See</w:t>
      </w:r>
      <w:r>
        <w:rPr>
          <w:spacing w:val="-1"/>
          <w:sz w:val="20"/>
        </w:rPr>
        <w:t> </w:t>
      </w:r>
      <w:r>
        <w:rPr>
          <w:rFonts w:ascii="Arial"/>
          <w:i/>
          <w:sz w:val="20"/>
        </w:rPr>
        <w:t>Shearson Lehman Hutton Inc v TVB (C-89/91) [1993] E.C.R. I-</w:t>
      </w:r>
      <w:r>
        <w:rPr>
          <w:rFonts w:ascii="Arial"/>
          <w:i/>
          <w:spacing w:val="-4"/>
          <w:sz w:val="20"/>
        </w:rPr>
        <w:t>139</w:t>
      </w:r>
      <w:r>
        <w:rPr>
          <w:spacing w:val="-4"/>
          <w:sz w:val="20"/>
        </w:rPr>
        <w:t>.</w:t>
      </w:r>
    </w:p>
    <w:p>
      <w:pPr>
        <w:pStyle w:val="BodyText"/>
        <w:spacing w:before="5"/>
      </w:pPr>
    </w:p>
    <w:p>
      <w:pPr>
        <w:spacing w:line="227" w:lineRule="exact" w:before="0"/>
        <w:ind w:left="165" w:right="0" w:firstLine="0"/>
        <w:jc w:val="both"/>
        <w:rPr>
          <w:sz w:val="20"/>
        </w:rPr>
      </w:pPr>
      <w:bookmarkStart w:name="_bookmark1805" w:id="1807"/>
      <w:bookmarkEnd w:id="1807"/>
      <w:r>
        <w:rPr/>
      </w:r>
      <w:hyperlink w:history="true" w:anchor="_bookmark1723">
        <w:r>
          <w:rPr>
            <w:color w:val="005DA1"/>
            <w:position w:val="5"/>
            <w:sz w:val="14"/>
            <w:u w:val="single" w:color="005DA1"/>
          </w:rPr>
          <w:t>923</w:t>
        </w:r>
      </w:hyperlink>
      <w:r>
        <w:rPr>
          <w:position w:val="5"/>
          <w:sz w:val="14"/>
        </w:rPr>
        <w:t>.</w:t>
      </w:r>
      <w:r>
        <w:rPr>
          <w:spacing w:val="75"/>
          <w:w w:val="150"/>
          <w:position w:val="5"/>
          <w:sz w:val="14"/>
        </w:rPr>
        <w:t>  </w:t>
      </w:r>
      <w:r>
        <w:rPr>
          <w:sz w:val="20"/>
        </w:rPr>
        <w:t>See,</w:t>
      </w:r>
      <w:r>
        <w:rPr>
          <w:spacing w:val="11"/>
          <w:sz w:val="20"/>
        </w:rPr>
        <w:t> </w:t>
      </w:r>
      <w:r>
        <w:rPr>
          <w:sz w:val="20"/>
        </w:rPr>
        <w:t>e.g.</w:t>
      </w:r>
      <w:r>
        <w:rPr>
          <w:spacing w:val="11"/>
          <w:sz w:val="20"/>
        </w:rPr>
        <w:t> </w:t>
      </w:r>
      <w:r>
        <w:rPr>
          <w:rFonts w:ascii="Arial"/>
          <w:i/>
          <w:sz w:val="20"/>
        </w:rPr>
        <w:t>Gruber</w:t>
      </w:r>
      <w:r>
        <w:rPr>
          <w:rFonts w:ascii="Arial"/>
          <w:i/>
          <w:spacing w:val="11"/>
          <w:sz w:val="20"/>
        </w:rPr>
        <w:t> </w:t>
      </w:r>
      <w:r>
        <w:rPr>
          <w:rFonts w:ascii="Arial"/>
          <w:i/>
          <w:sz w:val="20"/>
        </w:rPr>
        <w:t>v</w:t>
      </w:r>
      <w:r>
        <w:rPr>
          <w:rFonts w:ascii="Arial"/>
          <w:i/>
          <w:spacing w:val="11"/>
          <w:sz w:val="20"/>
        </w:rPr>
        <w:t> </w:t>
      </w:r>
      <w:r>
        <w:rPr>
          <w:rFonts w:ascii="Arial"/>
          <w:i/>
          <w:sz w:val="20"/>
        </w:rPr>
        <w:t>Bay</w:t>
      </w:r>
      <w:r>
        <w:rPr>
          <w:rFonts w:ascii="Arial"/>
          <w:i/>
          <w:spacing w:val="11"/>
          <w:sz w:val="20"/>
        </w:rPr>
        <w:t> </w:t>
      </w:r>
      <w:r>
        <w:rPr>
          <w:rFonts w:ascii="Arial"/>
          <w:i/>
          <w:sz w:val="20"/>
        </w:rPr>
        <w:t>Wa</w:t>
      </w:r>
      <w:r>
        <w:rPr>
          <w:rFonts w:ascii="Arial"/>
          <w:i/>
          <w:spacing w:val="11"/>
          <w:sz w:val="20"/>
        </w:rPr>
        <w:t> </w:t>
      </w:r>
      <w:r>
        <w:rPr>
          <w:rFonts w:ascii="Arial"/>
          <w:i/>
          <w:sz w:val="20"/>
        </w:rPr>
        <w:t>AG</w:t>
      </w:r>
      <w:r>
        <w:rPr>
          <w:rFonts w:ascii="Arial"/>
          <w:i/>
          <w:spacing w:val="11"/>
          <w:sz w:val="20"/>
        </w:rPr>
        <w:t> </w:t>
      </w:r>
      <w:r>
        <w:rPr>
          <w:rFonts w:ascii="Arial"/>
          <w:i/>
          <w:sz w:val="20"/>
        </w:rPr>
        <w:t>(C-464/01)</w:t>
      </w:r>
      <w:r>
        <w:rPr>
          <w:rFonts w:ascii="Arial"/>
          <w:i/>
          <w:spacing w:val="11"/>
          <w:sz w:val="20"/>
        </w:rPr>
        <w:t> </w:t>
      </w:r>
      <w:r>
        <w:rPr>
          <w:rFonts w:ascii="Arial"/>
          <w:i/>
          <w:sz w:val="20"/>
        </w:rPr>
        <w:t>[2005]</w:t>
      </w:r>
      <w:r>
        <w:rPr>
          <w:rFonts w:ascii="Arial"/>
          <w:i/>
          <w:spacing w:val="10"/>
          <w:sz w:val="20"/>
        </w:rPr>
        <w:t> </w:t>
      </w:r>
      <w:r>
        <w:rPr>
          <w:rFonts w:ascii="Arial"/>
          <w:i/>
          <w:sz w:val="20"/>
        </w:rPr>
        <w:t>E.C.R.</w:t>
      </w:r>
      <w:r>
        <w:rPr>
          <w:rFonts w:ascii="Arial"/>
          <w:i/>
          <w:spacing w:val="11"/>
          <w:sz w:val="20"/>
        </w:rPr>
        <w:t> </w:t>
      </w:r>
      <w:r>
        <w:rPr>
          <w:rFonts w:ascii="Arial"/>
          <w:i/>
          <w:sz w:val="20"/>
        </w:rPr>
        <w:t>I-439,</w:t>
      </w:r>
      <w:r>
        <w:rPr>
          <w:rFonts w:ascii="Arial"/>
          <w:i/>
          <w:spacing w:val="11"/>
          <w:sz w:val="20"/>
        </w:rPr>
        <w:t> </w:t>
      </w:r>
      <w:r>
        <w:rPr>
          <w:rFonts w:ascii="Arial"/>
          <w:i/>
          <w:sz w:val="20"/>
        </w:rPr>
        <w:t>[2006]</w:t>
      </w:r>
      <w:r>
        <w:rPr>
          <w:rFonts w:ascii="Arial"/>
          <w:i/>
          <w:spacing w:val="11"/>
          <w:sz w:val="20"/>
        </w:rPr>
        <w:t> </w:t>
      </w:r>
      <w:r>
        <w:rPr>
          <w:rFonts w:ascii="Arial"/>
          <w:i/>
          <w:sz w:val="20"/>
        </w:rPr>
        <w:t>2</w:t>
      </w:r>
      <w:r>
        <w:rPr>
          <w:rFonts w:ascii="Arial"/>
          <w:i/>
          <w:spacing w:val="11"/>
          <w:sz w:val="20"/>
        </w:rPr>
        <w:t> </w:t>
      </w:r>
      <w:r>
        <w:rPr>
          <w:rFonts w:ascii="Arial"/>
          <w:i/>
          <w:sz w:val="20"/>
        </w:rPr>
        <w:t>W.L.R.</w:t>
      </w:r>
      <w:r>
        <w:rPr>
          <w:rFonts w:ascii="Arial"/>
          <w:i/>
          <w:spacing w:val="11"/>
          <w:sz w:val="20"/>
        </w:rPr>
        <w:t> </w:t>
      </w:r>
      <w:r>
        <w:rPr>
          <w:rFonts w:ascii="Arial"/>
          <w:i/>
          <w:sz w:val="20"/>
        </w:rPr>
        <w:t>205</w:t>
      </w:r>
      <w:r>
        <w:rPr>
          <w:sz w:val="20"/>
        </w:rPr>
        <w:t>.</w:t>
      </w:r>
      <w:r>
        <w:rPr>
          <w:spacing w:val="11"/>
          <w:sz w:val="20"/>
        </w:rPr>
        <w:t> </w:t>
      </w:r>
      <w:r>
        <w:rPr>
          <w:sz w:val="20"/>
        </w:rPr>
        <w:t>See</w:t>
      </w:r>
      <w:r>
        <w:rPr>
          <w:spacing w:val="11"/>
          <w:sz w:val="20"/>
        </w:rPr>
        <w:t> </w:t>
      </w:r>
      <w:r>
        <w:rPr>
          <w:spacing w:val="-4"/>
          <w:sz w:val="20"/>
        </w:rPr>
        <w:t>also</w:t>
      </w:r>
    </w:p>
    <w:p>
      <w:pPr>
        <w:spacing w:line="235" w:lineRule="auto" w:before="1"/>
        <w:ind w:left="705" w:right="167" w:firstLine="0"/>
        <w:jc w:val="both"/>
        <w:rPr>
          <w:sz w:val="20"/>
        </w:rPr>
      </w:pPr>
      <w:r>
        <w:rPr>
          <w:rFonts w:ascii="Arial" w:hAnsi="Arial"/>
          <w:i/>
          <w:sz w:val="20"/>
        </w:rPr>
        <w:t>Gabriel</w:t>
      </w:r>
      <w:r>
        <w:rPr>
          <w:rFonts w:ascii="Arial" w:hAnsi="Arial"/>
          <w:i/>
          <w:spacing w:val="80"/>
          <w:sz w:val="20"/>
        </w:rPr>
        <w:t> </w:t>
      </w:r>
      <w:r>
        <w:rPr>
          <w:rFonts w:ascii="Arial" w:hAnsi="Arial"/>
          <w:i/>
          <w:sz w:val="20"/>
        </w:rPr>
        <w:t>v</w:t>
      </w:r>
      <w:r>
        <w:rPr>
          <w:rFonts w:ascii="Arial" w:hAnsi="Arial"/>
          <w:i/>
          <w:spacing w:val="80"/>
          <w:sz w:val="20"/>
        </w:rPr>
        <w:t> </w:t>
      </w:r>
      <w:r>
        <w:rPr>
          <w:rFonts w:ascii="Arial" w:hAnsi="Arial"/>
          <w:i/>
          <w:sz w:val="20"/>
        </w:rPr>
        <w:t>Schlank</w:t>
      </w:r>
      <w:r>
        <w:rPr>
          <w:rFonts w:ascii="Arial" w:hAnsi="Arial"/>
          <w:i/>
          <w:spacing w:val="80"/>
          <w:sz w:val="20"/>
        </w:rPr>
        <w:t> </w:t>
      </w:r>
      <w:r>
        <w:rPr>
          <w:rFonts w:ascii="Arial" w:hAnsi="Arial"/>
          <w:i/>
          <w:sz w:val="20"/>
        </w:rPr>
        <w:t>&amp;</w:t>
      </w:r>
      <w:r>
        <w:rPr>
          <w:rFonts w:ascii="Arial" w:hAnsi="Arial"/>
          <w:i/>
          <w:spacing w:val="80"/>
          <w:sz w:val="20"/>
        </w:rPr>
        <w:t> </w:t>
      </w:r>
      <w:r>
        <w:rPr>
          <w:rFonts w:ascii="Arial" w:hAnsi="Arial"/>
          <w:i/>
          <w:sz w:val="20"/>
        </w:rPr>
        <w:t>Schick</w:t>
      </w:r>
      <w:r>
        <w:rPr>
          <w:rFonts w:ascii="Arial" w:hAnsi="Arial"/>
          <w:i/>
          <w:spacing w:val="80"/>
          <w:sz w:val="20"/>
        </w:rPr>
        <w:t> </w:t>
      </w:r>
      <w:r>
        <w:rPr>
          <w:rFonts w:ascii="Arial" w:hAnsi="Arial"/>
          <w:i/>
          <w:sz w:val="20"/>
        </w:rPr>
        <w:t>GmbH</w:t>
      </w:r>
      <w:r>
        <w:rPr>
          <w:rFonts w:ascii="Arial" w:hAnsi="Arial"/>
          <w:i/>
          <w:spacing w:val="80"/>
          <w:sz w:val="20"/>
        </w:rPr>
        <w:t> </w:t>
      </w:r>
      <w:r>
        <w:rPr>
          <w:rFonts w:ascii="Arial" w:hAnsi="Arial"/>
          <w:i/>
          <w:sz w:val="20"/>
        </w:rPr>
        <w:t>(C-96/00)</w:t>
      </w:r>
      <w:r>
        <w:rPr>
          <w:rFonts w:ascii="Arial" w:hAnsi="Arial"/>
          <w:i/>
          <w:spacing w:val="80"/>
          <w:sz w:val="20"/>
        </w:rPr>
        <w:t> </w:t>
      </w:r>
      <w:r>
        <w:rPr>
          <w:rFonts w:ascii="Arial" w:hAnsi="Arial"/>
          <w:i/>
          <w:sz w:val="20"/>
        </w:rPr>
        <w:t>[2002]</w:t>
      </w:r>
      <w:r>
        <w:rPr>
          <w:rFonts w:ascii="Arial" w:hAnsi="Arial"/>
          <w:i/>
          <w:spacing w:val="80"/>
          <w:sz w:val="20"/>
        </w:rPr>
        <w:t> </w:t>
      </w:r>
      <w:r>
        <w:rPr>
          <w:rFonts w:ascii="Arial" w:hAnsi="Arial"/>
          <w:i/>
          <w:sz w:val="20"/>
        </w:rPr>
        <w:t>E.C.R.</w:t>
      </w:r>
      <w:r>
        <w:rPr>
          <w:rFonts w:ascii="Arial" w:hAnsi="Arial"/>
          <w:i/>
          <w:spacing w:val="80"/>
          <w:sz w:val="20"/>
        </w:rPr>
        <w:t> </w:t>
      </w:r>
      <w:r>
        <w:rPr>
          <w:rFonts w:ascii="Arial" w:hAnsi="Arial"/>
          <w:i/>
          <w:sz w:val="20"/>
        </w:rPr>
        <w:t>I-6367</w:t>
      </w:r>
      <w:r>
        <w:rPr>
          <w:sz w:val="20"/>
        </w:rPr>
        <w:t>;</w:t>
      </w:r>
      <w:r>
        <w:rPr>
          <w:spacing w:val="80"/>
          <w:sz w:val="20"/>
        </w:rPr>
        <w:t> </w:t>
      </w:r>
      <w:r>
        <w:rPr>
          <w:rFonts w:ascii="Arial" w:hAnsi="Arial"/>
          <w:i/>
          <w:sz w:val="20"/>
        </w:rPr>
        <w:t>Verein</w:t>
      </w:r>
      <w:r>
        <w:rPr>
          <w:rFonts w:ascii="Arial" w:hAnsi="Arial"/>
          <w:i/>
          <w:spacing w:val="80"/>
          <w:sz w:val="20"/>
        </w:rPr>
        <w:t> </w:t>
      </w:r>
      <w:r>
        <w:rPr>
          <w:rFonts w:ascii="Arial" w:hAnsi="Arial"/>
          <w:i/>
          <w:sz w:val="20"/>
        </w:rPr>
        <w:t>für Konsumen-teninformation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Henkel</w:t>
      </w:r>
      <w:r>
        <w:rPr>
          <w:rFonts w:ascii="Arial" w:hAnsi="Arial"/>
          <w:i/>
          <w:spacing w:val="-2"/>
          <w:sz w:val="20"/>
        </w:rPr>
        <w:t> </w:t>
      </w:r>
      <w:r>
        <w:rPr>
          <w:rFonts w:ascii="Arial" w:hAnsi="Arial"/>
          <w:i/>
          <w:sz w:val="20"/>
        </w:rPr>
        <w:t>(C-167/00)</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E.C.R</w:t>
      </w:r>
      <w:r>
        <w:rPr>
          <w:rFonts w:ascii="Arial" w:hAnsi="Arial"/>
          <w:i/>
          <w:spacing w:val="-2"/>
          <w:sz w:val="20"/>
        </w:rPr>
        <w:t> </w:t>
      </w:r>
      <w:r>
        <w:rPr>
          <w:rFonts w:ascii="Arial" w:hAnsi="Arial"/>
          <w:i/>
          <w:sz w:val="20"/>
        </w:rPr>
        <w:t>I-8111</w:t>
      </w:r>
      <w:r>
        <w:rPr>
          <w:sz w:val="20"/>
        </w:rPr>
        <w:t>;</w:t>
      </w:r>
      <w:r>
        <w:rPr>
          <w:spacing w:val="-2"/>
          <w:sz w:val="20"/>
        </w:rPr>
        <w:t> </w:t>
      </w:r>
      <w:r>
        <w:rPr>
          <w:rFonts w:ascii="Arial" w:hAnsi="Arial"/>
          <w:i/>
          <w:sz w:val="20"/>
        </w:rPr>
        <w:t>Standard</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London</w:t>
      </w:r>
      <w:r>
        <w:rPr>
          <w:rFonts w:ascii="Arial" w:hAnsi="Arial"/>
          <w:i/>
          <w:spacing w:val="-2"/>
          <w:sz w:val="20"/>
        </w:rPr>
        <w:t> </w:t>
      </w:r>
      <w:r>
        <w:rPr>
          <w:rFonts w:ascii="Arial" w:hAnsi="Arial"/>
          <w:i/>
          <w:sz w:val="20"/>
        </w:rPr>
        <w:t>Ltd v Apostolakis [2000] I.L.Pr. 766</w:t>
      </w:r>
      <w:r>
        <w:rPr>
          <w:sz w:val="20"/>
        </w:rPr>
        <w:t>; </w:t>
      </w:r>
      <w:r>
        <w:rPr>
          <w:rFonts w:ascii="Arial" w:hAnsi="Arial"/>
          <w:i/>
          <w:sz w:val="20"/>
        </w:rPr>
        <w:t>Standard Bank London Ltd v Apostolakis (No.2) [2001] Lloyd’s Rep. Bank. 240</w:t>
      </w:r>
      <w:r>
        <w:rPr>
          <w:sz w:val="20"/>
        </w:rPr>
        <w:t>.</w:t>
      </w:r>
    </w:p>
    <w:p>
      <w:pPr>
        <w:pStyle w:val="BodyText"/>
        <w:spacing w:before="9"/>
      </w:pPr>
    </w:p>
    <w:p>
      <w:pPr>
        <w:pStyle w:val="BodyText"/>
        <w:tabs>
          <w:tab w:pos="705" w:val="left" w:leader="none"/>
        </w:tabs>
        <w:spacing w:line="235" w:lineRule="auto"/>
        <w:ind w:left="705" w:right="168" w:hanging="541"/>
      </w:pPr>
      <w:bookmarkStart w:name="_bookmark1806" w:id="1808"/>
      <w:bookmarkEnd w:id="1808"/>
      <w:r>
        <w:rPr/>
      </w:r>
      <w:hyperlink w:history="true" w:anchor="_bookmark1724">
        <w:r>
          <w:rPr>
            <w:color w:val="005DA1"/>
            <w:spacing w:val="-4"/>
            <w:position w:val="5"/>
            <w:sz w:val="14"/>
            <w:u w:val="single" w:color="005DA1"/>
          </w:rPr>
          <w:t>924</w:t>
        </w:r>
      </w:hyperlink>
      <w:r>
        <w:rPr>
          <w:spacing w:val="-4"/>
          <w:position w:val="5"/>
          <w:sz w:val="14"/>
        </w:rPr>
        <w:t>.</w:t>
      </w:r>
      <w:r>
        <w:rPr>
          <w:position w:val="5"/>
          <w:sz w:val="14"/>
        </w:rPr>
        <w:tab/>
      </w:r>
      <w:r>
        <w:rPr/>
        <w:t>And see Rome I art.6(2), below, para.30-249. The law of the consumer’s habitual residence </w:t>
      </w:r>
      <w:r>
        <w:rPr/>
        <w:t>will also govern the formal validity of the contract: see art.11(4), below, para.30-314.</w:t>
      </w:r>
    </w:p>
    <w:p>
      <w:pPr>
        <w:pStyle w:val="BodyText"/>
        <w:spacing w:before="5"/>
      </w:pPr>
    </w:p>
    <w:p>
      <w:pPr>
        <w:pStyle w:val="BodyText"/>
        <w:tabs>
          <w:tab w:pos="705" w:val="left" w:leader="none"/>
        </w:tabs>
        <w:ind w:left="165"/>
      </w:pPr>
      <w:bookmarkStart w:name="_bookmark1807" w:id="1809"/>
      <w:bookmarkEnd w:id="1809"/>
      <w:r>
        <w:rPr/>
      </w:r>
      <w:hyperlink w:history="true" w:anchor="_bookmark1725">
        <w:r>
          <w:rPr>
            <w:color w:val="005DA1"/>
            <w:spacing w:val="-4"/>
            <w:position w:val="5"/>
            <w:sz w:val="14"/>
            <w:u w:val="single" w:color="005DA1"/>
          </w:rPr>
          <w:t>925</w:t>
        </w:r>
      </w:hyperlink>
      <w:r>
        <w:rPr>
          <w:spacing w:val="-4"/>
          <w:position w:val="5"/>
          <w:sz w:val="14"/>
        </w:rPr>
        <w:t>.</w:t>
      </w:r>
      <w:r>
        <w:rPr>
          <w:position w:val="5"/>
          <w:sz w:val="14"/>
        </w:rPr>
        <w:tab/>
      </w:r>
      <w:r>
        <w:rPr/>
        <w:t>Above,</w:t>
      </w:r>
      <w:r>
        <w:rPr>
          <w:spacing w:val="-2"/>
        </w:rPr>
        <w:t> </w:t>
      </w:r>
      <w:r>
        <w:rPr/>
        <w:t>paras 30-166 et </w:t>
      </w:r>
      <w:r>
        <w:rPr>
          <w:spacing w:val="-4"/>
        </w:rPr>
        <w:t>seq.</w:t>
      </w:r>
    </w:p>
    <w:p>
      <w:pPr>
        <w:pStyle w:val="BodyText"/>
        <w:spacing w:after="0"/>
        <w:sectPr>
          <w:pgSz w:w="11900" w:h="16840"/>
          <w:pgMar w:header="971" w:footer="0" w:top="1300" w:bottom="280" w:left="1275" w:right="1275"/>
        </w:sectPr>
      </w:pPr>
    </w:p>
    <w:p>
      <w:pPr>
        <w:pStyle w:val="BodyText"/>
        <w:tabs>
          <w:tab w:pos="705" w:val="left" w:leader="none"/>
        </w:tabs>
        <w:spacing w:before="166"/>
        <w:ind w:left="165"/>
      </w:pPr>
      <w:hyperlink w:history="true" w:anchor="_bookmark1726">
        <w:r>
          <w:rPr>
            <w:color w:val="005DA1"/>
            <w:spacing w:val="-4"/>
            <w:position w:val="5"/>
            <w:sz w:val="14"/>
            <w:u w:val="single" w:color="005DA1"/>
          </w:rPr>
          <w:t>926</w:t>
        </w:r>
      </w:hyperlink>
      <w:r>
        <w:rPr>
          <w:spacing w:val="-4"/>
          <w:position w:val="5"/>
          <w:sz w:val="14"/>
        </w:rPr>
        <w:t>.</w:t>
      </w:r>
      <w:r>
        <w:rPr>
          <w:position w:val="5"/>
          <w:sz w:val="14"/>
        </w:rPr>
        <w:tab/>
      </w:r>
      <w:r>
        <w:rPr/>
        <w:t>Which need not be a Member </w:t>
      </w:r>
      <w:r>
        <w:rPr>
          <w:spacing w:val="-2"/>
        </w:rPr>
        <w:t>State.</w:t>
      </w:r>
    </w:p>
    <w:p>
      <w:pPr>
        <w:pStyle w:val="BodyText"/>
        <w:spacing w:before="9"/>
      </w:pPr>
    </w:p>
    <w:p>
      <w:pPr>
        <w:spacing w:line="235" w:lineRule="auto" w:before="0"/>
        <w:ind w:left="705" w:right="167" w:hanging="541"/>
        <w:jc w:val="both"/>
        <w:rPr>
          <w:sz w:val="20"/>
        </w:rPr>
      </w:pPr>
      <w:bookmarkStart w:name="_bookmark1808" w:id="1810"/>
      <w:bookmarkEnd w:id="1810"/>
      <w:r>
        <w:rPr/>
      </w:r>
      <w:hyperlink w:history="true" w:anchor="_bookmark1727">
        <w:r>
          <w:rPr>
            <w:color w:val="005DA1"/>
            <w:position w:val="5"/>
            <w:sz w:val="14"/>
            <w:u w:val="single" w:color="005DA1"/>
          </w:rPr>
          <w:t>927</w:t>
        </w:r>
      </w:hyperlink>
      <w:r>
        <w:rPr>
          <w:position w:val="5"/>
          <w:sz w:val="14"/>
        </w:rPr>
        <w:t>.</w:t>
      </w:r>
      <w:r>
        <w:rPr>
          <w:spacing w:val="80"/>
          <w:w w:val="150"/>
          <w:position w:val="5"/>
          <w:sz w:val="14"/>
        </w:rPr>
        <w:t> </w:t>
      </w:r>
      <w:r>
        <w:rPr>
          <w:sz w:val="20"/>
        </w:rPr>
        <w:t>cf. art.19(2) of the Regulation, above, para.30-165. For these purposes, “agency” ought </w:t>
      </w:r>
      <w:r>
        <w:rPr>
          <w:sz w:val="20"/>
        </w:rPr>
        <w:t>to</w:t>
      </w:r>
      <w:r>
        <w:rPr>
          <w:spacing w:val="40"/>
          <w:sz w:val="20"/>
        </w:rPr>
        <w:t> </w:t>
      </w:r>
      <w:r>
        <w:rPr>
          <w:sz w:val="20"/>
        </w:rPr>
        <w:t>include appointment of a commercial agent who receives orders, on behalf of the professional, in the country where the consumer is habitually resident: cf. Rome Convention art.5(2), second indent,</w:t>
      </w:r>
      <w:r>
        <w:rPr>
          <w:spacing w:val="40"/>
          <w:sz w:val="20"/>
        </w:rPr>
        <w:t> </w:t>
      </w:r>
      <w:r>
        <w:rPr>
          <w:sz w:val="20"/>
        </w:rPr>
        <w:t>above,</w:t>
      </w:r>
      <w:r>
        <w:rPr>
          <w:spacing w:val="40"/>
          <w:sz w:val="20"/>
        </w:rPr>
        <w:t> </w:t>
      </w:r>
      <w:r>
        <w:rPr>
          <w:sz w:val="20"/>
        </w:rPr>
        <w:t>para.30-094.</w:t>
      </w:r>
      <w:r>
        <w:rPr>
          <w:spacing w:val="40"/>
          <w:sz w:val="20"/>
        </w:rPr>
        <w:t> </w:t>
      </w:r>
      <w:r>
        <w:rPr>
          <w:sz w:val="20"/>
        </w:rPr>
        <w:t>See</w:t>
      </w:r>
      <w:r>
        <w:rPr>
          <w:spacing w:val="40"/>
          <w:sz w:val="20"/>
        </w:rPr>
        <w:t> </w:t>
      </w:r>
      <w:r>
        <w:rPr>
          <w:sz w:val="20"/>
        </w:rPr>
        <w:t>also</w:t>
      </w:r>
      <w:r>
        <w:rPr>
          <w:spacing w:val="40"/>
          <w:sz w:val="20"/>
        </w:rPr>
        <w:t> </w:t>
      </w:r>
      <w:r>
        <w:rPr>
          <w:rFonts w:ascii="Arial" w:hAnsi="Arial"/>
          <w:i/>
          <w:sz w:val="20"/>
        </w:rPr>
        <w:t>Ingmar</w:t>
      </w:r>
      <w:r>
        <w:rPr>
          <w:rFonts w:ascii="Arial" w:hAnsi="Arial"/>
          <w:i/>
          <w:spacing w:val="40"/>
          <w:sz w:val="20"/>
        </w:rPr>
        <w:t> </w:t>
      </w:r>
      <w:r>
        <w:rPr>
          <w:rFonts w:ascii="Arial" w:hAnsi="Arial"/>
          <w:i/>
          <w:sz w:val="20"/>
        </w:rPr>
        <w:t>GB</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Eaton</w:t>
      </w:r>
      <w:r>
        <w:rPr>
          <w:rFonts w:ascii="Arial" w:hAnsi="Arial"/>
          <w:i/>
          <w:spacing w:val="40"/>
          <w:sz w:val="20"/>
        </w:rPr>
        <w:t> </w:t>
      </w:r>
      <w:r>
        <w:rPr>
          <w:rFonts w:ascii="Arial" w:hAnsi="Arial"/>
          <w:i/>
          <w:sz w:val="20"/>
        </w:rPr>
        <w:t>Leonard</w:t>
      </w:r>
      <w:r>
        <w:rPr>
          <w:rFonts w:ascii="Arial" w:hAnsi="Arial"/>
          <w:i/>
          <w:spacing w:val="40"/>
          <w:sz w:val="20"/>
        </w:rPr>
        <w:t> </w:t>
      </w:r>
      <w:r>
        <w:rPr>
          <w:rFonts w:ascii="Arial" w:hAnsi="Arial"/>
          <w:i/>
          <w:sz w:val="20"/>
        </w:rPr>
        <w:t>Technologies</w:t>
      </w:r>
      <w:r>
        <w:rPr>
          <w:rFonts w:ascii="Arial" w:hAnsi="Arial"/>
          <w:i/>
          <w:spacing w:val="40"/>
          <w:sz w:val="20"/>
        </w:rPr>
        <w:t> </w:t>
      </w:r>
      <w:r>
        <w:rPr>
          <w:rFonts w:ascii="Arial" w:hAnsi="Arial"/>
          <w:i/>
          <w:sz w:val="20"/>
        </w:rPr>
        <w:t>Inc (C-381/98) [2000] E.C.R. I-9305</w:t>
      </w:r>
      <w:r>
        <w:rPr>
          <w:sz w:val="20"/>
        </w:rPr>
        <w:t>; but contrast </w:t>
      </w:r>
      <w:r>
        <w:rPr>
          <w:rFonts w:ascii="Arial" w:hAnsi="Arial"/>
          <w:i/>
          <w:sz w:val="20"/>
        </w:rPr>
        <w:t>Blanckaert and Willems PVBA v Trost (139/80) [1981] E.C.R. 819</w:t>
      </w:r>
      <w:r>
        <w:rPr>
          <w:rFonts w:ascii="Arial" w:hAnsi="Arial"/>
          <w:i/>
          <w:spacing w:val="-1"/>
          <w:sz w:val="20"/>
        </w:rPr>
        <w:t> </w:t>
      </w:r>
      <w:r>
        <w:rPr>
          <w:sz w:val="20"/>
        </w:rPr>
        <w:t>(independent commercial agent not an “agency” for the purposes of art.5(5)).</w:t>
      </w:r>
    </w:p>
    <w:p>
      <w:pPr>
        <w:pStyle w:val="BodyText"/>
        <w:spacing w:before="4"/>
      </w:pPr>
    </w:p>
    <w:p>
      <w:pPr>
        <w:pStyle w:val="BodyText"/>
        <w:tabs>
          <w:tab w:pos="705" w:val="left" w:leader="none"/>
        </w:tabs>
        <w:ind w:left="165"/>
      </w:pPr>
      <w:bookmarkStart w:name="_bookmark1809" w:id="1811"/>
      <w:bookmarkEnd w:id="1811"/>
      <w:r>
        <w:rPr/>
      </w:r>
      <w:hyperlink w:history="true" w:anchor="_bookmark1728">
        <w:r>
          <w:rPr>
            <w:color w:val="005DA1"/>
            <w:spacing w:val="-4"/>
            <w:position w:val="5"/>
            <w:sz w:val="14"/>
            <w:u w:val="single" w:color="005DA1"/>
          </w:rPr>
          <w:t>928</w:t>
        </w:r>
      </w:hyperlink>
      <w:r>
        <w:rPr>
          <w:spacing w:val="-4"/>
          <w:position w:val="5"/>
          <w:sz w:val="14"/>
        </w:rPr>
        <w:t>.</w:t>
      </w:r>
      <w:r>
        <w:rPr>
          <w:position w:val="5"/>
          <w:sz w:val="14"/>
        </w:rPr>
        <w:tab/>
      </w:r>
      <w:r>
        <w:rPr/>
        <w:t>See</w:t>
      </w:r>
      <w:r>
        <w:rPr>
          <w:spacing w:val="-2"/>
        </w:rPr>
        <w:t> </w:t>
      </w:r>
      <w:r>
        <w:rPr/>
        <w:t>below, para.30-</w:t>
      </w:r>
      <w:r>
        <w:rPr>
          <w:spacing w:val="-4"/>
        </w:rPr>
        <w:t>248.</w:t>
      </w:r>
    </w:p>
    <w:p>
      <w:pPr>
        <w:pStyle w:val="BodyText"/>
        <w:spacing w:before="5"/>
      </w:pPr>
    </w:p>
    <w:p>
      <w:pPr>
        <w:pStyle w:val="BodyText"/>
        <w:tabs>
          <w:tab w:pos="705" w:val="left" w:leader="none"/>
        </w:tabs>
        <w:ind w:left="165"/>
      </w:pPr>
      <w:bookmarkStart w:name="_bookmark1810" w:id="1812"/>
      <w:bookmarkEnd w:id="1812"/>
      <w:r>
        <w:rPr/>
      </w:r>
      <w:hyperlink w:history="true" w:anchor="_bookmark1729">
        <w:r>
          <w:rPr>
            <w:color w:val="005DA1"/>
            <w:spacing w:val="-4"/>
            <w:position w:val="5"/>
            <w:sz w:val="14"/>
            <w:u w:val="single" w:color="005DA1"/>
          </w:rPr>
          <w:t>929</w:t>
        </w:r>
      </w:hyperlink>
      <w:r>
        <w:rPr>
          <w:spacing w:val="-4"/>
          <w:position w:val="5"/>
          <w:sz w:val="14"/>
        </w:rPr>
        <w:t>.</w:t>
      </w:r>
      <w:r>
        <w:rPr>
          <w:position w:val="5"/>
          <w:sz w:val="14"/>
        </w:rPr>
        <w:tab/>
      </w:r>
      <w:r>
        <w:rPr/>
        <w:t>See Recitals 7 and 24 to the Rome I </w:t>
      </w:r>
      <w:r>
        <w:rPr>
          <w:spacing w:val="-2"/>
        </w:rPr>
        <w:t>Regulation.</w:t>
      </w:r>
    </w:p>
    <w:p>
      <w:pPr>
        <w:pStyle w:val="BodyText"/>
        <w:spacing w:before="9"/>
      </w:pPr>
    </w:p>
    <w:p>
      <w:pPr>
        <w:tabs>
          <w:tab w:pos="705" w:val="left" w:leader="none"/>
        </w:tabs>
        <w:spacing w:line="235" w:lineRule="auto" w:before="0"/>
        <w:ind w:left="705" w:right="168" w:hanging="541"/>
        <w:jc w:val="left"/>
        <w:rPr>
          <w:sz w:val="20"/>
        </w:rPr>
      </w:pPr>
      <w:bookmarkStart w:name="_bookmark1811" w:id="1813"/>
      <w:bookmarkEnd w:id="1813"/>
      <w:r>
        <w:rPr/>
      </w:r>
      <w:hyperlink w:history="true" w:anchor="_bookmark1730">
        <w:r>
          <w:rPr>
            <w:color w:val="005DA1"/>
            <w:spacing w:val="-4"/>
            <w:position w:val="5"/>
            <w:sz w:val="14"/>
            <w:u w:val="single" w:color="005DA1"/>
          </w:rPr>
          <w:t>930</w:t>
        </w:r>
      </w:hyperlink>
      <w:r>
        <w:rPr>
          <w:spacing w:val="-4"/>
          <w:position w:val="5"/>
          <w:sz w:val="14"/>
        </w:rPr>
        <w:t>.</w:t>
      </w:r>
      <w:r>
        <w:rPr>
          <w:position w:val="5"/>
          <w:sz w:val="14"/>
        </w:rPr>
        <w:tab/>
      </w:r>
      <w:r>
        <w:rPr>
          <w:sz w:val="20"/>
        </w:rPr>
        <w:t>See</w:t>
      </w:r>
      <w:r>
        <w:rPr>
          <w:spacing w:val="27"/>
          <w:sz w:val="20"/>
        </w:rPr>
        <w:t> </w:t>
      </w:r>
      <w:r>
        <w:rPr>
          <w:sz w:val="20"/>
        </w:rPr>
        <w:t>below,</w:t>
      </w:r>
      <w:r>
        <w:rPr>
          <w:spacing w:val="27"/>
          <w:sz w:val="20"/>
        </w:rPr>
        <w:t> </w:t>
      </w:r>
      <w:r>
        <w:rPr>
          <w:sz w:val="20"/>
        </w:rPr>
        <w:t>para.30-248.</w:t>
      </w:r>
      <w:r>
        <w:rPr>
          <w:spacing w:val="27"/>
          <w:sz w:val="20"/>
        </w:rPr>
        <w:t> </w:t>
      </w:r>
      <w:r>
        <w:rPr>
          <w:sz w:val="20"/>
        </w:rPr>
        <w:t>There</w:t>
      </w:r>
      <w:r>
        <w:rPr>
          <w:spacing w:val="27"/>
          <w:sz w:val="20"/>
        </w:rPr>
        <w:t> </w:t>
      </w:r>
      <w:r>
        <w:rPr>
          <w:sz w:val="20"/>
        </w:rPr>
        <w:t>need</w:t>
      </w:r>
      <w:r>
        <w:rPr>
          <w:spacing w:val="27"/>
          <w:sz w:val="20"/>
        </w:rPr>
        <w:t> </w:t>
      </w:r>
      <w:r>
        <w:rPr>
          <w:sz w:val="20"/>
        </w:rPr>
        <w:t>not</w:t>
      </w:r>
      <w:r>
        <w:rPr>
          <w:spacing w:val="27"/>
          <w:sz w:val="20"/>
        </w:rPr>
        <w:t> </w:t>
      </w:r>
      <w:r>
        <w:rPr>
          <w:sz w:val="20"/>
        </w:rPr>
        <w:t>be</w:t>
      </w:r>
      <w:r>
        <w:rPr>
          <w:spacing w:val="27"/>
          <w:sz w:val="20"/>
        </w:rPr>
        <w:t> </w:t>
      </w:r>
      <w:r>
        <w:rPr>
          <w:sz w:val="20"/>
        </w:rPr>
        <w:t>any</w:t>
      </w:r>
      <w:r>
        <w:rPr>
          <w:spacing w:val="27"/>
          <w:sz w:val="20"/>
        </w:rPr>
        <w:t> </w:t>
      </w:r>
      <w:r>
        <w:rPr>
          <w:sz w:val="20"/>
        </w:rPr>
        <w:t>causal</w:t>
      </w:r>
      <w:r>
        <w:rPr>
          <w:spacing w:val="27"/>
          <w:sz w:val="20"/>
        </w:rPr>
        <w:t> </w:t>
      </w:r>
      <w:r>
        <w:rPr>
          <w:sz w:val="20"/>
        </w:rPr>
        <w:t>connection:</w:t>
      </w:r>
      <w:r>
        <w:rPr>
          <w:spacing w:val="26"/>
          <w:sz w:val="20"/>
        </w:rPr>
        <w:t> </w:t>
      </w:r>
      <w:r>
        <w:rPr>
          <w:rFonts w:ascii="Arial"/>
          <w:i/>
          <w:sz w:val="20"/>
        </w:rPr>
        <w:t>Lokman</w:t>
      </w:r>
      <w:r>
        <w:rPr>
          <w:rFonts w:ascii="Arial"/>
          <w:i/>
          <w:spacing w:val="27"/>
          <w:sz w:val="20"/>
        </w:rPr>
        <w:t> </w:t>
      </w:r>
      <w:r>
        <w:rPr>
          <w:rFonts w:ascii="Arial"/>
          <w:i/>
          <w:sz w:val="20"/>
        </w:rPr>
        <w:t>Emrek</w:t>
      </w:r>
      <w:r>
        <w:rPr>
          <w:rFonts w:ascii="Arial"/>
          <w:i/>
          <w:spacing w:val="27"/>
          <w:sz w:val="20"/>
        </w:rPr>
        <w:t> </w:t>
      </w:r>
      <w:r>
        <w:rPr>
          <w:rFonts w:ascii="Arial"/>
          <w:i/>
          <w:sz w:val="20"/>
        </w:rPr>
        <w:t>v</w:t>
      </w:r>
      <w:r>
        <w:rPr>
          <w:rFonts w:ascii="Arial"/>
          <w:i/>
          <w:spacing w:val="27"/>
          <w:sz w:val="20"/>
        </w:rPr>
        <w:t> </w:t>
      </w:r>
      <w:r>
        <w:rPr>
          <w:rFonts w:ascii="Arial"/>
          <w:i/>
          <w:sz w:val="20"/>
        </w:rPr>
        <w:t>Vlado Sabranovic (C-218/12)</w:t>
      </w:r>
      <w:r>
        <w:rPr>
          <w:sz w:val="20"/>
        </w:rPr>
        <w:t>.</w:t>
      </w:r>
    </w:p>
    <w:p>
      <w:pPr>
        <w:pStyle w:val="BodyText"/>
        <w:spacing w:before="5"/>
      </w:pPr>
    </w:p>
    <w:p>
      <w:pPr>
        <w:pStyle w:val="BodyText"/>
        <w:tabs>
          <w:tab w:pos="705" w:val="left" w:leader="none"/>
        </w:tabs>
        <w:spacing w:before="1"/>
        <w:ind w:left="165"/>
      </w:pPr>
      <w:bookmarkStart w:name="_bookmark1812" w:id="1814"/>
      <w:bookmarkEnd w:id="1814"/>
      <w:r>
        <w:rPr/>
      </w:r>
      <w:hyperlink w:history="true" w:anchor="_bookmark1731">
        <w:r>
          <w:rPr>
            <w:color w:val="005DA1"/>
            <w:spacing w:val="-4"/>
            <w:position w:val="5"/>
            <w:sz w:val="14"/>
            <w:u w:val="single" w:color="005DA1"/>
          </w:rPr>
          <w:t>931</w:t>
        </w:r>
      </w:hyperlink>
      <w:r>
        <w:rPr>
          <w:spacing w:val="-4"/>
          <w:position w:val="5"/>
          <w:sz w:val="14"/>
        </w:rPr>
        <w:t>.</w:t>
      </w:r>
      <w:r>
        <w:rPr>
          <w:position w:val="5"/>
          <w:sz w:val="14"/>
        </w:rPr>
        <w:tab/>
      </w:r>
      <w:r>
        <w:rPr/>
        <w:t>See Recitals 7 and 24 to the Rome I </w:t>
      </w:r>
      <w:r>
        <w:rPr>
          <w:spacing w:val="-2"/>
        </w:rPr>
        <w:t>Regulation.</w:t>
      </w:r>
    </w:p>
    <w:p>
      <w:pPr>
        <w:pStyle w:val="BodyText"/>
        <w:spacing w:before="4"/>
      </w:pPr>
    </w:p>
    <w:p>
      <w:pPr>
        <w:pStyle w:val="BodyText"/>
        <w:tabs>
          <w:tab w:pos="705" w:val="left" w:leader="none"/>
        </w:tabs>
        <w:spacing w:before="1"/>
        <w:ind w:left="165"/>
      </w:pPr>
      <w:bookmarkStart w:name="_bookmark1813" w:id="1815"/>
      <w:bookmarkEnd w:id="1815"/>
      <w:r>
        <w:rPr/>
      </w:r>
      <w:hyperlink w:history="true" w:anchor="_bookmark1732">
        <w:r>
          <w:rPr>
            <w:color w:val="005DA1"/>
            <w:spacing w:val="-4"/>
            <w:position w:val="5"/>
            <w:sz w:val="14"/>
            <w:u w:val="single" w:color="005DA1"/>
          </w:rPr>
          <w:t>932</w:t>
        </w:r>
      </w:hyperlink>
      <w:r>
        <w:rPr>
          <w:spacing w:val="-4"/>
          <w:position w:val="5"/>
          <w:sz w:val="14"/>
        </w:rPr>
        <w:t>.</w:t>
      </w:r>
      <w:r>
        <w:rPr>
          <w:position w:val="5"/>
          <w:sz w:val="14"/>
        </w:rPr>
        <w:tab/>
      </w:r>
      <w:r>
        <w:rPr/>
        <w:t>Recital</w:t>
      </w:r>
      <w:r>
        <w:rPr>
          <w:spacing w:val="-2"/>
        </w:rPr>
        <w:t> </w:t>
      </w:r>
      <w:r>
        <w:rPr/>
        <w:t>24 to the </w:t>
      </w:r>
      <w:r>
        <w:rPr>
          <w:spacing w:val="-2"/>
        </w:rPr>
        <w:t>Regulation.</w:t>
      </w:r>
    </w:p>
    <w:p>
      <w:pPr>
        <w:pStyle w:val="BodyText"/>
        <w:spacing w:before="4"/>
      </w:pPr>
    </w:p>
    <w:p>
      <w:pPr>
        <w:pStyle w:val="BodyText"/>
        <w:tabs>
          <w:tab w:pos="705" w:val="left" w:leader="none"/>
        </w:tabs>
        <w:spacing w:before="1"/>
        <w:ind w:left="165"/>
      </w:pPr>
      <w:bookmarkStart w:name="_bookmark1814" w:id="1816"/>
      <w:bookmarkEnd w:id="1816"/>
      <w:r>
        <w:rPr/>
      </w:r>
      <w:hyperlink w:history="true" w:anchor="_bookmark1733">
        <w:r>
          <w:rPr>
            <w:color w:val="005DA1"/>
            <w:spacing w:val="-4"/>
            <w:position w:val="5"/>
            <w:sz w:val="14"/>
            <w:u w:val="single" w:color="005DA1"/>
          </w:rPr>
          <w:t>933</w:t>
        </w:r>
      </w:hyperlink>
      <w:r>
        <w:rPr>
          <w:spacing w:val="-4"/>
          <w:position w:val="5"/>
          <w:sz w:val="14"/>
        </w:rPr>
        <w:t>.</w:t>
      </w:r>
      <w:r>
        <w:rPr>
          <w:position w:val="5"/>
          <w:sz w:val="14"/>
        </w:rPr>
        <w:tab/>
      </w:r>
      <w:r>
        <w:rPr/>
        <w:t>Above,</w:t>
      </w:r>
      <w:r>
        <w:rPr>
          <w:spacing w:val="-2"/>
        </w:rPr>
        <w:t> </w:t>
      </w:r>
      <w:r>
        <w:rPr/>
        <w:t>paras 30-094 et </w:t>
      </w:r>
      <w:r>
        <w:rPr>
          <w:spacing w:val="-4"/>
        </w:rPr>
        <w:t>seq.</w:t>
      </w:r>
    </w:p>
    <w:p>
      <w:pPr>
        <w:pStyle w:val="BodyText"/>
        <w:spacing w:before="5"/>
      </w:pPr>
    </w:p>
    <w:p>
      <w:pPr>
        <w:pStyle w:val="BodyText"/>
        <w:tabs>
          <w:tab w:pos="705" w:val="left" w:leader="none"/>
        </w:tabs>
        <w:ind w:left="165"/>
      </w:pPr>
      <w:bookmarkStart w:name="_bookmark1815" w:id="1817"/>
      <w:bookmarkEnd w:id="1817"/>
      <w:r>
        <w:rPr/>
      </w:r>
      <w:hyperlink w:history="true" w:anchor="_bookmark1734">
        <w:r>
          <w:rPr>
            <w:color w:val="005DA1"/>
            <w:spacing w:val="-4"/>
            <w:position w:val="5"/>
            <w:sz w:val="14"/>
            <w:u w:val="single" w:color="005DA1"/>
          </w:rPr>
          <w:t>934</w:t>
        </w:r>
      </w:hyperlink>
      <w:r>
        <w:rPr>
          <w:spacing w:val="-4"/>
          <w:position w:val="5"/>
          <w:sz w:val="14"/>
        </w:rPr>
        <w:t>.</w:t>
      </w:r>
      <w:r>
        <w:rPr>
          <w:position w:val="5"/>
          <w:sz w:val="14"/>
        </w:rPr>
        <w:tab/>
      </w:r>
      <w:r>
        <w:rPr/>
        <w:t>cf. Rome Convention art.5(2), first indent, above, paras 30-093, 30-095 et </w:t>
      </w:r>
      <w:r>
        <w:rPr>
          <w:spacing w:val="-4"/>
        </w:rPr>
        <w:t>seq.</w:t>
      </w:r>
    </w:p>
    <w:p>
      <w:pPr>
        <w:pStyle w:val="BodyText"/>
        <w:spacing w:before="5"/>
      </w:pPr>
    </w:p>
    <w:p>
      <w:pPr>
        <w:pStyle w:val="BodyText"/>
        <w:tabs>
          <w:tab w:pos="705" w:val="left" w:leader="none"/>
        </w:tabs>
        <w:ind w:left="165"/>
      </w:pPr>
      <w:bookmarkStart w:name="_bookmark1816" w:id="1818"/>
      <w:bookmarkEnd w:id="1818"/>
      <w:r>
        <w:rPr/>
      </w:r>
      <w:hyperlink w:history="true" w:anchor="_bookmark1735">
        <w:r>
          <w:rPr>
            <w:color w:val="005DA1"/>
            <w:spacing w:val="-4"/>
            <w:position w:val="5"/>
            <w:sz w:val="14"/>
            <w:u w:val="single" w:color="005DA1"/>
          </w:rPr>
          <w:t>935</w:t>
        </w:r>
      </w:hyperlink>
      <w:r>
        <w:rPr>
          <w:spacing w:val="-4"/>
          <w:position w:val="5"/>
          <w:sz w:val="14"/>
        </w:rPr>
        <w:t>.</w:t>
      </w:r>
      <w:r>
        <w:rPr>
          <w:position w:val="5"/>
          <w:sz w:val="14"/>
        </w:rPr>
        <w:tab/>
      </w:r>
      <w:r>
        <w:rPr/>
        <w:t>Dicey, Morris and Collins, 15th edn (2012), paras 33-131—33-</w:t>
      </w:r>
      <w:r>
        <w:rPr>
          <w:spacing w:val="-4"/>
        </w:rPr>
        <w:t>137.</w:t>
      </w:r>
    </w:p>
    <w:p>
      <w:pPr>
        <w:pStyle w:val="BodyText"/>
        <w:spacing w:before="5"/>
      </w:pPr>
    </w:p>
    <w:p>
      <w:pPr>
        <w:pStyle w:val="BodyText"/>
        <w:tabs>
          <w:tab w:pos="705" w:val="left" w:leader="none"/>
        </w:tabs>
        <w:ind w:left="165"/>
      </w:pPr>
      <w:bookmarkStart w:name="_bookmark1817" w:id="1819"/>
      <w:bookmarkEnd w:id="1819"/>
      <w:r>
        <w:rPr/>
      </w:r>
      <w:hyperlink w:history="true" w:anchor="_bookmark1736">
        <w:r>
          <w:rPr>
            <w:color w:val="005DA1"/>
            <w:spacing w:val="-4"/>
            <w:position w:val="5"/>
            <w:sz w:val="14"/>
            <w:u w:val="single" w:color="005DA1"/>
          </w:rPr>
          <w:t>936</w:t>
        </w:r>
      </w:hyperlink>
      <w:r>
        <w:rPr>
          <w:spacing w:val="-4"/>
          <w:position w:val="5"/>
          <w:sz w:val="14"/>
        </w:rPr>
        <w:t>.</w:t>
      </w:r>
      <w:r>
        <w:rPr>
          <w:position w:val="5"/>
          <w:sz w:val="14"/>
        </w:rPr>
        <w:tab/>
      </w:r>
      <w:r>
        <w:rPr/>
        <w:t>Dicey, Morris and Collins, 15th edn (2012), paras 33-131—33-</w:t>
      </w:r>
      <w:r>
        <w:rPr>
          <w:spacing w:val="-4"/>
        </w:rPr>
        <w:t>137.</w:t>
      </w:r>
    </w:p>
    <w:p>
      <w:pPr>
        <w:pStyle w:val="BodyText"/>
        <w:spacing w:before="5"/>
      </w:pPr>
    </w:p>
    <w:p>
      <w:pPr>
        <w:tabs>
          <w:tab w:pos="705" w:val="left" w:leader="none"/>
        </w:tabs>
        <w:spacing w:before="0"/>
        <w:ind w:left="165" w:right="0" w:firstLine="0"/>
        <w:jc w:val="left"/>
        <w:rPr>
          <w:sz w:val="20"/>
        </w:rPr>
      </w:pPr>
      <w:bookmarkStart w:name="_bookmark1818" w:id="1820"/>
      <w:bookmarkEnd w:id="1820"/>
      <w:r>
        <w:rPr/>
      </w:r>
      <w:hyperlink w:history="true" w:anchor="_bookmark1737">
        <w:r>
          <w:rPr>
            <w:color w:val="005DA1"/>
            <w:spacing w:val="-4"/>
            <w:position w:val="5"/>
            <w:sz w:val="14"/>
            <w:u w:val="single" w:color="005DA1"/>
          </w:rPr>
          <w:t>937</w:t>
        </w:r>
      </w:hyperlink>
      <w:r>
        <w:rPr>
          <w:spacing w:val="-4"/>
          <w:position w:val="5"/>
          <w:sz w:val="14"/>
        </w:rPr>
        <w:t>.</w:t>
      </w:r>
      <w:r>
        <w:rPr>
          <w:position w:val="5"/>
          <w:sz w:val="14"/>
        </w:rPr>
        <w:tab/>
      </w:r>
      <w:r>
        <w:rPr>
          <w:sz w:val="20"/>
        </w:rPr>
        <w:t>Above, para.30-</w:t>
      </w:r>
      <w:r>
        <w:rPr>
          <w:spacing w:val="-4"/>
          <w:sz w:val="20"/>
        </w:rPr>
        <w:t>242.</w:t>
      </w:r>
    </w:p>
    <w:p>
      <w:pPr>
        <w:pStyle w:val="BodyText"/>
        <w:spacing w:before="8"/>
      </w:pPr>
    </w:p>
    <w:p>
      <w:pPr>
        <w:pStyle w:val="BodyText"/>
        <w:tabs>
          <w:tab w:pos="705" w:val="left" w:leader="none"/>
        </w:tabs>
        <w:spacing w:line="235" w:lineRule="auto" w:before="1"/>
        <w:ind w:left="705" w:right="167" w:hanging="541"/>
      </w:pPr>
      <w:bookmarkStart w:name="_bookmark1819" w:id="1821"/>
      <w:bookmarkEnd w:id="1821"/>
      <w:r>
        <w:rPr/>
      </w:r>
      <w:hyperlink w:history="true" w:anchor="_bookmark1738">
        <w:r>
          <w:rPr>
            <w:color w:val="005DA1"/>
            <w:spacing w:val="-4"/>
            <w:position w:val="5"/>
            <w:sz w:val="14"/>
            <w:u w:val="single" w:color="005DA1"/>
          </w:rPr>
          <w:t>938</w:t>
        </w:r>
      </w:hyperlink>
      <w:r>
        <w:rPr>
          <w:spacing w:val="-4"/>
          <w:position w:val="5"/>
          <w:sz w:val="14"/>
        </w:rPr>
        <w:t>.</w:t>
      </w:r>
      <w:r>
        <w:rPr>
          <w:position w:val="5"/>
          <w:sz w:val="14"/>
        </w:rPr>
        <w:tab/>
      </w:r>
      <w:r>
        <w:rPr/>
        <w:t>cf. Rome Convention art.5(2), first indent; Giuliano-Lagarde Report, p.24; above paras 30-</w:t>
      </w:r>
      <w:r>
        <w:rPr/>
        <w:t>093, </w:t>
      </w:r>
      <w:r>
        <w:rPr>
          <w:spacing w:val="-2"/>
        </w:rPr>
        <w:t>30-096.</w:t>
      </w:r>
    </w:p>
    <w:p>
      <w:pPr>
        <w:pStyle w:val="BodyText"/>
        <w:spacing w:before="9"/>
      </w:pPr>
    </w:p>
    <w:p>
      <w:pPr>
        <w:pStyle w:val="BodyText"/>
        <w:spacing w:line="235" w:lineRule="auto"/>
        <w:ind w:left="705" w:right="167" w:hanging="541"/>
        <w:jc w:val="both"/>
      </w:pPr>
      <w:bookmarkStart w:name="_bookmark1820" w:id="1822"/>
      <w:bookmarkEnd w:id="1822"/>
      <w:r>
        <w:rPr/>
      </w:r>
      <w:hyperlink w:history="true" w:anchor="_bookmark1739">
        <w:r>
          <w:rPr>
            <w:color w:val="005DA1"/>
            <w:position w:val="5"/>
            <w:sz w:val="14"/>
            <w:u w:val="single" w:color="005DA1"/>
          </w:rPr>
          <w:t>939</w:t>
        </w:r>
      </w:hyperlink>
      <w:r>
        <w:rPr>
          <w:position w:val="5"/>
          <w:sz w:val="14"/>
        </w:rPr>
        <w:t>.</w:t>
      </w:r>
      <w:r>
        <w:rPr>
          <w:spacing w:val="80"/>
          <w:position w:val="5"/>
          <w:sz w:val="14"/>
        </w:rPr>
        <w:t> </w:t>
      </w:r>
      <w:r>
        <w:rPr/>
        <w:t>See preceding note. Thus, for example, such an intention could be derived when an advertisement is contained in a European edition of an American newspaper intended </w:t>
      </w:r>
      <w:r>
        <w:rPr/>
        <w:t>to circulate in European countries, including that where the consumer is habitually resident, but might</w:t>
      </w:r>
      <w:r>
        <w:rPr>
          <w:spacing w:val="-3"/>
        </w:rPr>
        <w:t> </w:t>
      </w:r>
      <w:r>
        <w:rPr/>
        <w:t>not</w:t>
      </w:r>
      <w:r>
        <w:rPr>
          <w:spacing w:val="-3"/>
        </w:rPr>
        <w:t> </w:t>
      </w:r>
      <w:r>
        <w:rPr/>
        <w:t>be</w:t>
      </w:r>
      <w:r>
        <w:rPr>
          <w:spacing w:val="-3"/>
        </w:rPr>
        <w:t> </w:t>
      </w:r>
      <w:r>
        <w:rPr/>
        <w:t>so</w:t>
      </w:r>
      <w:r>
        <w:rPr>
          <w:spacing w:val="-3"/>
        </w:rPr>
        <w:t> </w:t>
      </w:r>
      <w:r>
        <w:rPr/>
        <w:t>derived</w:t>
      </w:r>
      <w:r>
        <w:rPr>
          <w:spacing w:val="-3"/>
        </w:rPr>
        <w:t> </w:t>
      </w:r>
      <w:r>
        <w:rPr/>
        <w:t>from</w:t>
      </w:r>
      <w:r>
        <w:rPr>
          <w:spacing w:val="-3"/>
        </w:rPr>
        <w:t> </w:t>
      </w:r>
      <w:r>
        <w:rPr/>
        <w:t>the</w:t>
      </w:r>
      <w:r>
        <w:rPr>
          <w:spacing w:val="-3"/>
        </w:rPr>
        <w:t> </w:t>
      </w:r>
      <w:r>
        <w:rPr/>
        <w:t>mere</w:t>
      </w:r>
      <w:r>
        <w:rPr>
          <w:spacing w:val="-3"/>
        </w:rPr>
        <w:t> </w:t>
      </w:r>
      <w:r>
        <w:rPr/>
        <w:t>availability</w:t>
      </w:r>
      <w:r>
        <w:rPr>
          <w:spacing w:val="-3"/>
        </w:rPr>
        <w:t> </w:t>
      </w:r>
      <w:r>
        <w:rPr/>
        <w:t>of</w:t>
      </w:r>
      <w:r>
        <w:rPr>
          <w:spacing w:val="-3"/>
        </w:rPr>
        <w:t> </w:t>
      </w:r>
      <w:r>
        <w:rPr/>
        <w:t>an</w:t>
      </w:r>
      <w:r>
        <w:rPr>
          <w:spacing w:val="-3"/>
        </w:rPr>
        <w:t> </w:t>
      </w:r>
      <w:r>
        <w:rPr/>
        <w:t>American</w:t>
      </w:r>
      <w:r>
        <w:rPr>
          <w:spacing w:val="-3"/>
        </w:rPr>
        <w:t> </w:t>
      </w:r>
      <w:r>
        <w:rPr/>
        <w:t>newspaper</w:t>
      </w:r>
      <w:r>
        <w:rPr>
          <w:spacing w:val="-3"/>
        </w:rPr>
        <w:t> </w:t>
      </w:r>
      <w:r>
        <w:rPr/>
        <w:t>(with</w:t>
      </w:r>
      <w:r>
        <w:rPr>
          <w:spacing w:val="-3"/>
        </w:rPr>
        <w:t> </w:t>
      </w:r>
      <w:r>
        <w:rPr/>
        <w:t>no</w:t>
      </w:r>
      <w:r>
        <w:rPr>
          <w:spacing w:val="-3"/>
        </w:rPr>
        <w:t> </w:t>
      </w:r>
      <w:r>
        <w:rPr/>
        <w:t>European edition) in such countries. It seems that so-called “cross-border excursion selling” (above, para.30-093) will also be covered. On whether the contract must be a distance contract see </w:t>
      </w:r>
      <w:r>
        <w:rPr>
          <w:rFonts w:ascii="Arial" w:hAnsi="Arial"/>
          <w:i/>
        </w:rPr>
        <w:t>Muhlleitner v Yusufi (C-190/11)</w:t>
      </w:r>
      <w:r>
        <w:rPr/>
        <w:t>.</w:t>
      </w:r>
    </w:p>
    <w:p>
      <w:pPr>
        <w:pStyle w:val="BodyText"/>
        <w:spacing w:before="3"/>
      </w:pPr>
    </w:p>
    <w:p>
      <w:pPr>
        <w:tabs>
          <w:tab w:pos="705" w:val="left" w:leader="none"/>
        </w:tabs>
        <w:spacing w:before="0"/>
        <w:ind w:left="165" w:right="0" w:firstLine="0"/>
        <w:jc w:val="left"/>
        <w:rPr>
          <w:sz w:val="20"/>
        </w:rPr>
      </w:pPr>
      <w:bookmarkStart w:name="_bookmark1821" w:id="1823"/>
      <w:bookmarkEnd w:id="1823"/>
      <w:r>
        <w:rPr/>
      </w:r>
      <w:hyperlink w:history="true" w:anchor="_bookmark1740">
        <w:r>
          <w:rPr>
            <w:color w:val="005DA1"/>
            <w:spacing w:val="-4"/>
            <w:position w:val="5"/>
            <w:sz w:val="14"/>
            <w:u w:val="single" w:color="005DA1"/>
          </w:rPr>
          <w:t>940</w:t>
        </w:r>
      </w:hyperlink>
      <w:r>
        <w:rPr>
          <w:spacing w:val="-4"/>
          <w:position w:val="5"/>
          <w:sz w:val="14"/>
        </w:rPr>
        <w:t>.</w:t>
      </w:r>
      <w:r>
        <w:rPr>
          <w:position w:val="5"/>
          <w:sz w:val="14"/>
        </w:rPr>
        <w:tab/>
      </w:r>
      <w:r>
        <w:rPr>
          <w:sz w:val="20"/>
        </w:rPr>
        <w:t>Above, para.30-</w:t>
      </w:r>
      <w:r>
        <w:rPr>
          <w:spacing w:val="-4"/>
          <w:sz w:val="20"/>
        </w:rPr>
        <w:t>093.</w:t>
      </w:r>
    </w:p>
    <w:p>
      <w:pPr>
        <w:pStyle w:val="BodyText"/>
        <w:spacing w:before="5"/>
      </w:pPr>
    </w:p>
    <w:p>
      <w:pPr>
        <w:pStyle w:val="BodyText"/>
        <w:tabs>
          <w:tab w:pos="705" w:val="left" w:leader="none"/>
        </w:tabs>
        <w:spacing w:before="1"/>
        <w:ind w:left="165"/>
      </w:pPr>
      <w:bookmarkStart w:name="_bookmark1822" w:id="1824"/>
      <w:bookmarkEnd w:id="1824"/>
      <w:r>
        <w:rPr/>
      </w:r>
      <w:hyperlink w:history="true" w:anchor="_bookmark1741">
        <w:r>
          <w:rPr>
            <w:color w:val="005DA1"/>
            <w:spacing w:val="-4"/>
            <w:position w:val="5"/>
            <w:sz w:val="14"/>
            <w:u w:val="single" w:color="005DA1"/>
          </w:rPr>
          <w:t>941</w:t>
        </w:r>
      </w:hyperlink>
      <w:r>
        <w:rPr>
          <w:spacing w:val="-4"/>
          <w:position w:val="5"/>
          <w:sz w:val="14"/>
        </w:rPr>
        <w:t>.</w:t>
      </w:r>
      <w:r>
        <w:rPr>
          <w:position w:val="5"/>
          <w:sz w:val="14"/>
        </w:rPr>
        <w:tab/>
      </w:r>
      <w:r>
        <w:rPr/>
        <w:t>Above,</w:t>
      </w:r>
      <w:r>
        <w:rPr>
          <w:spacing w:val="-2"/>
        </w:rPr>
        <w:t> </w:t>
      </w:r>
      <w:r>
        <w:rPr/>
        <w:t>paras 30-094 et </w:t>
      </w:r>
      <w:r>
        <w:rPr>
          <w:spacing w:val="-4"/>
        </w:rPr>
        <w:t>seq.</w:t>
      </w:r>
    </w:p>
    <w:p>
      <w:pPr>
        <w:pStyle w:val="BodyText"/>
        <w:spacing w:before="4"/>
      </w:pPr>
    </w:p>
    <w:p>
      <w:pPr>
        <w:pStyle w:val="BodyText"/>
        <w:tabs>
          <w:tab w:pos="705" w:val="left" w:leader="none"/>
        </w:tabs>
        <w:spacing w:before="1"/>
        <w:ind w:left="165"/>
      </w:pPr>
      <w:bookmarkStart w:name="_bookmark1823" w:id="1825"/>
      <w:bookmarkEnd w:id="1825"/>
      <w:r>
        <w:rPr/>
      </w:r>
      <w:hyperlink w:history="true" w:anchor="_bookmark1742">
        <w:r>
          <w:rPr>
            <w:color w:val="005DA1"/>
            <w:spacing w:val="-4"/>
            <w:position w:val="5"/>
            <w:sz w:val="14"/>
            <w:u w:val="single" w:color="005DA1"/>
          </w:rPr>
          <w:t>942</w:t>
        </w:r>
      </w:hyperlink>
      <w:r>
        <w:rPr>
          <w:spacing w:val="-4"/>
          <w:position w:val="5"/>
          <w:sz w:val="14"/>
        </w:rPr>
        <w:t>.</w:t>
      </w:r>
      <w:r>
        <w:rPr>
          <w:position w:val="5"/>
          <w:sz w:val="14"/>
        </w:rPr>
        <w:tab/>
      </w:r>
      <w:r>
        <w:rPr/>
        <w:t>Recital</w:t>
      </w:r>
      <w:r>
        <w:rPr>
          <w:spacing w:val="-2"/>
        </w:rPr>
        <w:t> </w:t>
      </w:r>
      <w:r>
        <w:rPr/>
        <w:t>24 to the </w:t>
      </w:r>
      <w:r>
        <w:rPr>
          <w:spacing w:val="-2"/>
        </w:rPr>
        <w:t>Regulation.</w:t>
      </w:r>
    </w:p>
    <w:p>
      <w:pPr>
        <w:pStyle w:val="BodyText"/>
        <w:spacing w:before="8"/>
      </w:pPr>
    </w:p>
    <w:p>
      <w:pPr>
        <w:spacing w:line="235" w:lineRule="auto" w:before="0"/>
        <w:ind w:left="705" w:right="168" w:hanging="541"/>
        <w:jc w:val="both"/>
        <w:rPr>
          <w:sz w:val="20"/>
        </w:rPr>
      </w:pPr>
      <w:bookmarkStart w:name="_bookmark1824" w:id="1826"/>
      <w:bookmarkEnd w:id="1826"/>
      <w:r>
        <w:rPr/>
      </w:r>
      <w:hyperlink w:history="true" w:anchor="_bookmark1743">
        <w:r>
          <w:rPr>
            <w:color w:val="005DA1"/>
            <w:position w:val="5"/>
            <w:sz w:val="14"/>
            <w:u w:val="single" w:color="005DA1"/>
          </w:rPr>
          <w:t>943</w:t>
        </w:r>
      </w:hyperlink>
      <w:r>
        <w:rPr>
          <w:position w:val="5"/>
          <w:sz w:val="14"/>
        </w:rPr>
        <w:t>.</w:t>
      </w:r>
      <w:r>
        <w:rPr>
          <w:spacing w:val="80"/>
          <w:w w:val="150"/>
          <w:position w:val="5"/>
          <w:sz w:val="14"/>
        </w:rPr>
        <w:t> </w:t>
      </w:r>
      <w:r>
        <w:rPr>
          <w:sz w:val="20"/>
        </w:rPr>
        <w:t>Consultation Paper, para.64. See Tang, </w:t>
      </w:r>
      <w:r>
        <w:rPr>
          <w:rFonts w:ascii="Arial"/>
          <w:i/>
          <w:sz w:val="20"/>
        </w:rPr>
        <w:t>Electronic Consumer Contracts in the Conflict of Laws </w:t>
      </w:r>
      <w:r>
        <w:rPr>
          <w:sz w:val="20"/>
        </w:rPr>
        <w:t>(2009); Hill, </w:t>
      </w:r>
      <w:r>
        <w:rPr>
          <w:rFonts w:ascii="Arial"/>
          <w:i/>
          <w:sz w:val="20"/>
        </w:rPr>
        <w:t>Cross-Border Consumer Contracts </w:t>
      </w:r>
      <w:r>
        <w:rPr>
          <w:sz w:val="20"/>
        </w:rPr>
        <w:t>(2008), Ch.12; Gillies (2008) 16 International Journal of Law and Information Technology 242.</w:t>
      </w:r>
    </w:p>
    <w:p>
      <w:pPr>
        <w:pStyle w:val="BodyText"/>
        <w:spacing w:before="5"/>
      </w:pPr>
    </w:p>
    <w:p>
      <w:pPr>
        <w:pStyle w:val="BodyText"/>
        <w:tabs>
          <w:tab w:pos="705" w:val="left" w:leader="none"/>
        </w:tabs>
        <w:ind w:left="165"/>
      </w:pPr>
      <w:bookmarkStart w:name="_bookmark1825" w:id="1827"/>
      <w:bookmarkEnd w:id="1827"/>
      <w:r>
        <w:rPr/>
      </w:r>
      <w:hyperlink w:history="true" w:anchor="_bookmark1744">
        <w:r>
          <w:rPr>
            <w:color w:val="005DA1"/>
            <w:spacing w:val="-4"/>
            <w:position w:val="5"/>
            <w:sz w:val="14"/>
            <w:u w:val="single" w:color="005DA1"/>
          </w:rPr>
          <w:t>944</w:t>
        </w:r>
      </w:hyperlink>
      <w:r>
        <w:rPr>
          <w:spacing w:val="-4"/>
          <w:position w:val="5"/>
          <w:sz w:val="14"/>
        </w:rPr>
        <w:t>.</w:t>
      </w:r>
      <w:r>
        <w:rPr>
          <w:position w:val="5"/>
          <w:sz w:val="14"/>
        </w:rPr>
        <w:tab/>
      </w:r>
      <w:r>
        <w:rPr/>
        <w:t>See</w:t>
      </w:r>
      <w:r>
        <w:rPr>
          <w:spacing w:val="-2"/>
        </w:rPr>
        <w:t> </w:t>
      </w:r>
      <w:r>
        <w:rPr/>
        <w:t>below, para.30-</w:t>
      </w:r>
      <w:r>
        <w:rPr>
          <w:spacing w:val="-4"/>
        </w:rPr>
        <w:t>248.</w:t>
      </w:r>
    </w:p>
    <w:p>
      <w:pPr>
        <w:pStyle w:val="BodyText"/>
        <w:spacing w:before="9"/>
      </w:pPr>
    </w:p>
    <w:p>
      <w:pPr>
        <w:pStyle w:val="BodyText"/>
        <w:spacing w:line="235" w:lineRule="auto"/>
        <w:ind w:left="705" w:right="167" w:hanging="541"/>
        <w:jc w:val="both"/>
      </w:pPr>
      <w:bookmarkStart w:name="_bookmark1826" w:id="1828"/>
      <w:bookmarkEnd w:id="1828"/>
      <w:r>
        <w:rPr/>
      </w:r>
      <w:hyperlink w:history="true" w:anchor="_bookmark1745">
        <w:r>
          <w:rPr>
            <w:color w:val="005DA1"/>
            <w:position w:val="5"/>
            <w:sz w:val="14"/>
            <w:u w:val="single" w:color="005DA1"/>
          </w:rPr>
          <w:t>945</w:t>
        </w:r>
      </w:hyperlink>
      <w:r>
        <w:rPr>
          <w:position w:val="5"/>
          <w:sz w:val="14"/>
        </w:rPr>
        <w:t>.</w:t>
      </w:r>
      <w:r>
        <w:rPr>
          <w:spacing w:val="80"/>
          <w:position w:val="5"/>
          <w:sz w:val="14"/>
        </w:rPr>
        <w:t>  </w:t>
      </w:r>
      <w:r>
        <w:rPr/>
        <w:t>See Explanatory Memorandum to the Commission’s original Proposal, p.7. The difficulties, in this respect, in the application of the Rome Convention (above, paras 30-094 et seq.) will not </w:t>
      </w:r>
      <w:r>
        <w:rPr>
          <w:spacing w:val="-2"/>
        </w:rPr>
        <w:t>arise.</w:t>
      </w:r>
    </w:p>
    <w:p>
      <w:pPr>
        <w:pStyle w:val="BodyText"/>
        <w:spacing w:before="5"/>
      </w:pPr>
    </w:p>
    <w:p>
      <w:pPr>
        <w:pStyle w:val="BodyText"/>
        <w:tabs>
          <w:tab w:pos="705" w:val="left" w:leader="none"/>
        </w:tabs>
        <w:ind w:left="165"/>
      </w:pPr>
      <w:bookmarkStart w:name="_bookmark1827" w:id="1829"/>
      <w:bookmarkEnd w:id="1829"/>
      <w:r>
        <w:rPr/>
      </w:r>
      <w:hyperlink w:history="true" w:anchor="_bookmark1746">
        <w:r>
          <w:rPr>
            <w:color w:val="005DA1"/>
            <w:spacing w:val="-4"/>
            <w:position w:val="5"/>
            <w:sz w:val="14"/>
            <w:u w:val="single" w:color="005DA1"/>
          </w:rPr>
          <w:t>946</w:t>
        </w:r>
      </w:hyperlink>
      <w:r>
        <w:rPr>
          <w:spacing w:val="-4"/>
          <w:position w:val="5"/>
          <w:sz w:val="14"/>
        </w:rPr>
        <w:t>.</w:t>
      </w:r>
      <w:r>
        <w:rPr>
          <w:position w:val="5"/>
          <w:sz w:val="14"/>
        </w:rPr>
        <w:tab/>
      </w:r>
      <w:r>
        <w:rPr/>
        <w:t>For the Rome Convention, see above, para.30-</w:t>
      </w:r>
      <w:r>
        <w:rPr>
          <w:spacing w:val="-4"/>
        </w:rPr>
        <w:t>096.</w:t>
      </w:r>
    </w:p>
    <w:p>
      <w:pPr>
        <w:pStyle w:val="BodyText"/>
        <w:spacing w:before="5"/>
      </w:pPr>
    </w:p>
    <w:p>
      <w:pPr>
        <w:pStyle w:val="BodyText"/>
        <w:tabs>
          <w:tab w:pos="705" w:val="left" w:leader="none"/>
        </w:tabs>
        <w:ind w:left="165"/>
      </w:pPr>
      <w:bookmarkStart w:name="_bookmark1828" w:id="1830"/>
      <w:bookmarkEnd w:id="1830"/>
      <w:r>
        <w:rPr/>
      </w:r>
      <w:hyperlink w:history="true" w:anchor="_bookmark1747">
        <w:r>
          <w:rPr>
            <w:color w:val="005DA1"/>
            <w:spacing w:val="-4"/>
            <w:position w:val="5"/>
            <w:sz w:val="14"/>
            <w:u w:val="single" w:color="005DA1"/>
          </w:rPr>
          <w:t>947</w:t>
        </w:r>
      </w:hyperlink>
      <w:r>
        <w:rPr>
          <w:spacing w:val="-4"/>
          <w:position w:val="5"/>
          <w:sz w:val="14"/>
        </w:rPr>
        <w:t>.</w:t>
      </w:r>
      <w:r>
        <w:rPr>
          <w:position w:val="5"/>
          <w:sz w:val="14"/>
        </w:rPr>
        <w:tab/>
      </w:r>
      <w:r>
        <w:rPr/>
        <w:t>The</w:t>
      </w:r>
      <w:r>
        <w:rPr>
          <w:spacing w:val="16"/>
        </w:rPr>
        <w:t> </w:t>
      </w:r>
      <w:r>
        <w:rPr/>
        <w:t>passages</w:t>
      </w:r>
      <w:r>
        <w:rPr>
          <w:spacing w:val="16"/>
        </w:rPr>
        <w:t> </w:t>
      </w:r>
      <w:r>
        <w:rPr/>
        <w:t>of</w:t>
      </w:r>
      <w:r>
        <w:rPr>
          <w:spacing w:val="16"/>
        </w:rPr>
        <w:t> </w:t>
      </w:r>
      <w:r>
        <w:rPr/>
        <w:t>the</w:t>
      </w:r>
      <w:r>
        <w:rPr>
          <w:spacing w:val="16"/>
        </w:rPr>
        <w:t> </w:t>
      </w:r>
      <w:r>
        <w:rPr/>
        <w:t>joint</w:t>
      </w:r>
      <w:r>
        <w:rPr>
          <w:spacing w:val="16"/>
        </w:rPr>
        <w:t> </w:t>
      </w:r>
      <w:r>
        <w:rPr/>
        <w:t>declaration</w:t>
      </w:r>
      <w:r>
        <w:rPr>
          <w:spacing w:val="16"/>
        </w:rPr>
        <w:t> </w:t>
      </w:r>
      <w:r>
        <w:rPr/>
        <w:t>quoted</w:t>
      </w:r>
      <w:r>
        <w:rPr>
          <w:spacing w:val="16"/>
        </w:rPr>
        <w:t> </w:t>
      </w:r>
      <w:r>
        <w:rPr/>
        <w:t>in</w:t>
      </w:r>
      <w:r>
        <w:rPr>
          <w:spacing w:val="16"/>
        </w:rPr>
        <w:t> </w:t>
      </w:r>
      <w:r>
        <w:rPr/>
        <w:t>this</w:t>
      </w:r>
      <w:r>
        <w:rPr>
          <w:spacing w:val="16"/>
        </w:rPr>
        <w:t> </w:t>
      </w:r>
      <w:r>
        <w:rPr/>
        <w:t>paragraph</w:t>
      </w:r>
      <w:r>
        <w:rPr>
          <w:spacing w:val="16"/>
        </w:rPr>
        <w:t> </w:t>
      </w:r>
      <w:r>
        <w:rPr/>
        <w:t>are</w:t>
      </w:r>
      <w:r>
        <w:rPr>
          <w:spacing w:val="16"/>
        </w:rPr>
        <w:t> </w:t>
      </w:r>
      <w:r>
        <w:rPr/>
        <w:t>set</w:t>
      </w:r>
      <w:r>
        <w:rPr>
          <w:spacing w:val="16"/>
        </w:rPr>
        <w:t> </w:t>
      </w:r>
      <w:r>
        <w:rPr/>
        <w:t>out</w:t>
      </w:r>
      <w:r>
        <w:rPr>
          <w:spacing w:val="16"/>
        </w:rPr>
        <w:t> </w:t>
      </w:r>
      <w:r>
        <w:rPr/>
        <w:t>in</w:t>
      </w:r>
      <w:r>
        <w:rPr>
          <w:spacing w:val="16"/>
        </w:rPr>
        <w:t> </w:t>
      </w:r>
      <w:r>
        <w:rPr/>
        <w:t>Recital</w:t>
      </w:r>
      <w:r>
        <w:rPr>
          <w:spacing w:val="16"/>
        </w:rPr>
        <w:t> </w:t>
      </w:r>
      <w:r>
        <w:rPr/>
        <w:t>24</w:t>
      </w:r>
      <w:r>
        <w:rPr>
          <w:spacing w:val="16"/>
        </w:rPr>
        <w:t> </w:t>
      </w:r>
      <w:r>
        <w:rPr/>
        <w:t>to</w:t>
      </w:r>
      <w:r>
        <w:rPr>
          <w:spacing w:val="16"/>
        </w:rPr>
        <w:t> </w:t>
      </w:r>
      <w:r>
        <w:rPr>
          <w:spacing w:val="-5"/>
        </w:rPr>
        <w:t>the</w:t>
      </w:r>
    </w:p>
    <w:p>
      <w:pPr>
        <w:pStyle w:val="BodyText"/>
        <w:spacing w:after="0"/>
        <w:sectPr>
          <w:pgSz w:w="11900" w:h="16840"/>
          <w:pgMar w:header="971" w:footer="0" w:top="1300" w:bottom="280" w:left="1275" w:right="1275"/>
        </w:sectPr>
      </w:pPr>
    </w:p>
    <w:p>
      <w:pPr>
        <w:pStyle w:val="BodyText"/>
        <w:spacing w:before="166"/>
        <w:ind w:left="705"/>
      </w:pPr>
      <w:r>
        <w:rPr>
          <w:spacing w:val="-2"/>
        </w:rPr>
        <w:t>Regulation.</w:t>
      </w:r>
    </w:p>
    <w:p>
      <w:pPr>
        <w:pStyle w:val="BodyText"/>
        <w:spacing w:before="5"/>
      </w:pPr>
    </w:p>
    <w:p>
      <w:pPr>
        <w:pStyle w:val="BodyText"/>
        <w:tabs>
          <w:tab w:pos="705" w:val="left" w:leader="none"/>
        </w:tabs>
        <w:spacing w:before="1"/>
        <w:ind w:left="165"/>
      </w:pPr>
      <w:bookmarkStart w:name="_bookmark1829" w:id="1831"/>
      <w:bookmarkEnd w:id="1831"/>
      <w:r>
        <w:rPr/>
      </w:r>
      <w:hyperlink w:history="true" w:anchor="_bookmark1748">
        <w:r>
          <w:rPr>
            <w:color w:val="005DA1"/>
            <w:spacing w:val="-4"/>
            <w:position w:val="5"/>
            <w:sz w:val="14"/>
            <w:u w:val="single" w:color="005DA1"/>
          </w:rPr>
          <w:t>948</w:t>
        </w:r>
      </w:hyperlink>
      <w:r>
        <w:rPr>
          <w:spacing w:val="-4"/>
          <w:position w:val="5"/>
          <w:sz w:val="14"/>
        </w:rPr>
        <w:t>.</w:t>
      </w:r>
      <w:r>
        <w:rPr>
          <w:position w:val="5"/>
          <w:sz w:val="14"/>
        </w:rPr>
        <w:tab/>
      </w:r>
      <w:r>
        <w:rPr/>
        <w:t>See</w:t>
      </w:r>
      <w:r>
        <w:rPr>
          <w:spacing w:val="-2"/>
        </w:rPr>
        <w:t> </w:t>
      </w:r>
      <w:r>
        <w:rPr/>
        <w:t>below, para.30-</w:t>
      </w:r>
      <w:r>
        <w:rPr>
          <w:spacing w:val="-4"/>
        </w:rPr>
        <w:t>248.</w:t>
      </w:r>
    </w:p>
    <w:p>
      <w:pPr>
        <w:pStyle w:val="BodyText"/>
        <w:spacing w:before="8"/>
      </w:pPr>
    </w:p>
    <w:p>
      <w:pPr>
        <w:pStyle w:val="BodyText"/>
        <w:spacing w:line="235" w:lineRule="auto"/>
        <w:ind w:left="705" w:right="167" w:hanging="541"/>
        <w:jc w:val="both"/>
      </w:pPr>
      <w:bookmarkStart w:name="_bookmark1830" w:id="1832"/>
      <w:bookmarkEnd w:id="1832"/>
      <w:r>
        <w:rPr/>
      </w:r>
      <w:hyperlink w:history="true" w:anchor="_bookmark1749">
        <w:r>
          <w:rPr>
            <w:color w:val="005DA1"/>
            <w:position w:val="5"/>
            <w:sz w:val="14"/>
            <w:u w:val="single" w:color="005DA1"/>
          </w:rPr>
          <w:t>949</w:t>
        </w:r>
      </w:hyperlink>
      <w:r>
        <w:rPr>
          <w:position w:val="5"/>
          <w:sz w:val="14"/>
        </w:rPr>
        <w:t>.</w:t>
      </w:r>
      <w:r>
        <w:rPr>
          <w:spacing w:val="40"/>
          <w:position w:val="5"/>
          <w:sz w:val="14"/>
        </w:rPr>
        <w:t>  </w:t>
      </w:r>
      <w:r>
        <w:rPr/>
        <w:t>This possibility had been of considerable concern to the electronic commerce industry. The</w:t>
      </w:r>
      <w:r>
        <w:rPr>
          <w:spacing w:val="80"/>
        </w:rPr>
        <w:t> </w:t>
      </w:r>
      <w:r>
        <w:rPr/>
        <w:t>same concern was expressed in negotiations on the Rome I Regulation in that </w:t>
      </w:r>
      <w:r>
        <w:rPr/>
        <w:t>mere accessibility would have exposed the operator to liability under the law of any country in which the website was accessible.</w:t>
      </w:r>
    </w:p>
    <w:p>
      <w:pPr>
        <w:pStyle w:val="BodyText"/>
        <w:spacing w:before="5"/>
      </w:pPr>
    </w:p>
    <w:p>
      <w:pPr>
        <w:pStyle w:val="BodyText"/>
        <w:tabs>
          <w:tab w:pos="705" w:val="left" w:leader="none"/>
        </w:tabs>
        <w:ind w:left="165"/>
      </w:pPr>
      <w:bookmarkStart w:name="_bookmark1831" w:id="1833"/>
      <w:bookmarkEnd w:id="1833"/>
      <w:r>
        <w:rPr/>
      </w:r>
      <w:hyperlink w:history="true" w:anchor="_bookmark1750">
        <w:r>
          <w:rPr>
            <w:color w:val="005DA1"/>
            <w:spacing w:val="-4"/>
            <w:position w:val="5"/>
            <w:sz w:val="14"/>
            <w:u w:val="single" w:color="005DA1"/>
          </w:rPr>
          <w:t>950</w:t>
        </w:r>
      </w:hyperlink>
      <w:r>
        <w:rPr>
          <w:spacing w:val="-4"/>
          <w:position w:val="5"/>
          <w:sz w:val="14"/>
        </w:rPr>
        <w:t>.</w:t>
      </w:r>
      <w:r>
        <w:rPr>
          <w:position w:val="5"/>
          <w:sz w:val="14"/>
        </w:rPr>
        <w:tab/>
      </w:r>
      <w:r>
        <w:rPr/>
        <w:t>cf.</w:t>
      </w:r>
      <w:r>
        <w:rPr>
          <w:spacing w:val="-2"/>
        </w:rPr>
        <w:t> </w:t>
      </w:r>
      <w:r>
        <w:rPr/>
        <w:t>above, para.30-</w:t>
      </w:r>
      <w:r>
        <w:rPr>
          <w:spacing w:val="-4"/>
        </w:rPr>
        <w:t>096.</w:t>
      </w:r>
    </w:p>
    <w:p>
      <w:pPr>
        <w:pStyle w:val="BodyText"/>
        <w:spacing w:before="9"/>
      </w:pPr>
    </w:p>
    <w:p>
      <w:pPr>
        <w:tabs>
          <w:tab w:pos="705" w:val="left" w:leader="none"/>
        </w:tabs>
        <w:spacing w:line="235" w:lineRule="auto" w:before="0"/>
        <w:ind w:left="705" w:right="168" w:hanging="541"/>
        <w:jc w:val="left"/>
        <w:rPr>
          <w:sz w:val="20"/>
        </w:rPr>
      </w:pPr>
      <w:bookmarkStart w:name="_bookmark1832" w:id="1834"/>
      <w:bookmarkEnd w:id="1834"/>
      <w:r>
        <w:rPr/>
      </w:r>
      <w:hyperlink w:history="true" w:anchor="_bookmark1751">
        <w:r>
          <w:rPr>
            <w:color w:val="005DA1"/>
            <w:spacing w:val="-4"/>
            <w:position w:val="5"/>
            <w:sz w:val="14"/>
            <w:u w:val="single" w:color="005DA1"/>
          </w:rPr>
          <w:t>951</w:t>
        </w:r>
      </w:hyperlink>
      <w:r>
        <w:rPr>
          <w:spacing w:val="-4"/>
          <w:position w:val="5"/>
          <w:sz w:val="14"/>
        </w:rPr>
        <w:t>.</w:t>
      </w:r>
      <w:r>
        <w:rPr>
          <w:position w:val="5"/>
          <w:sz w:val="14"/>
        </w:rPr>
        <w:tab/>
      </w:r>
      <w:r>
        <w:rPr>
          <w:sz w:val="20"/>
        </w:rPr>
        <w:t>See</w:t>
      </w:r>
      <w:r>
        <w:rPr>
          <w:spacing w:val="34"/>
          <w:sz w:val="20"/>
        </w:rPr>
        <w:t> </w:t>
      </w:r>
      <w:r>
        <w:rPr>
          <w:sz w:val="20"/>
        </w:rPr>
        <w:t>Explanatory</w:t>
      </w:r>
      <w:r>
        <w:rPr>
          <w:spacing w:val="34"/>
          <w:sz w:val="20"/>
        </w:rPr>
        <w:t> </w:t>
      </w:r>
      <w:r>
        <w:rPr>
          <w:sz w:val="20"/>
        </w:rPr>
        <w:t>Memorandum</w:t>
      </w:r>
      <w:r>
        <w:rPr>
          <w:spacing w:val="34"/>
          <w:sz w:val="20"/>
        </w:rPr>
        <w:t> </w:t>
      </w:r>
      <w:r>
        <w:rPr>
          <w:sz w:val="20"/>
        </w:rPr>
        <w:t>to</w:t>
      </w:r>
      <w:r>
        <w:rPr>
          <w:spacing w:val="34"/>
          <w:sz w:val="20"/>
        </w:rPr>
        <w:t> </w:t>
      </w:r>
      <w:r>
        <w:rPr>
          <w:sz w:val="20"/>
        </w:rPr>
        <w:t>the</w:t>
      </w:r>
      <w:r>
        <w:rPr>
          <w:spacing w:val="34"/>
          <w:sz w:val="20"/>
        </w:rPr>
        <w:t> </w:t>
      </w:r>
      <w:r>
        <w:rPr>
          <w:sz w:val="20"/>
        </w:rPr>
        <w:t>Commission’s</w:t>
      </w:r>
      <w:r>
        <w:rPr>
          <w:spacing w:val="34"/>
          <w:sz w:val="20"/>
        </w:rPr>
        <w:t> </w:t>
      </w:r>
      <w:r>
        <w:rPr>
          <w:sz w:val="20"/>
        </w:rPr>
        <w:t>original</w:t>
      </w:r>
      <w:r>
        <w:rPr>
          <w:spacing w:val="34"/>
          <w:sz w:val="20"/>
        </w:rPr>
        <w:t> </w:t>
      </w:r>
      <w:r>
        <w:rPr>
          <w:sz w:val="20"/>
        </w:rPr>
        <w:t>Proposal,</w:t>
      </w:r>
      <w:r>
        <w:rPr>
          <w:spacing w:val="34"/>
          <w:sz w:val="20"/>
        </w:rPr>
        <w:t> </w:t>
      </w:r>
      <w:r>
        <w:rPr>
          <w:sz w:val="20"/>
        </w:rPr>
        <w:t>p.7.</w:t>
      </w:r>
      <w:r>
        <w:rPr>
          <w:spacing w:val="34"/>
          <w:sz w:val="20"/>
        </w:rPr>
        <w:t> </w:t>
      </w:r>
      <w:r>
        <w:rPr>
          <w:sz w:val="20"/>
        </w:rPr>
        <w:t>cf.</w:t>
      </w:r>
      <w:r>
        <w:rPr>
          <w:spacing w:val="33"/>
          <w:sz w:val="20"/>
        </w:rPr>
        <w:t> </w:t>
      </w:r>
      <w:r>
        <w:rPr>
          <w:rFonts w:ascii="Arial" w:hAnsi="Arial"/>
          <w:i/>
          <w:sz w:val="20"/>
        </w:rPr>
        <w:t>Muhlleitner</w:t>
      </w:r>
      <w:r>
        <w:rPr>
          <w:rFonts w:ascii="Arial" w:hAnsi="Arial"/>
          <w:i/>
          <w:spacing w:val="34"/>
          <w:sz w:val="20"/>
        </w:rPr>
        <w:t> </w:t>
      </w:r>
      <w:r>
        <w:rPr>
          <w:rFonts w:ascii="Arial" w:hAnsi="Arial"/>
          <w:i/>
          <w:sz w:val="20"/>
        </w:rPr>
        <w:t>v Yusufi (C-190/11)</w:t>
      </w:r>
      <w:r>
        <w:rPr>
          <w:sz w:val="20"/>
        </w:rPr>
        <w:t>; </w:t>
      </w:r>
      <w:r>
        <w:rPr>
          <w:rFonts w:ascii="Arial" w:hAnsi="Arial"/>
          <w:i/>
          <w:sz w:val="20"/>
        </w:rPr>
        <w:t>Lokman Emrek v Vlado Sabranovic (C-218/12)</w:t>
      </w:r>
      <w:r>
        <w:rPr>
          <w:sz w:val="20"/>
        </w:rPr>
        <w:t>.</w:t>
      </w:r>
    </w:p>
    <w:p>
      <w:pPr>
        <w:pStyle w:val="BodyText"/>
        <w:spacing w:before="5"/>
      </w:pPr>
    </w:p>
    <w:p>
      <w:pPr>
        <w:tabs>
          <w:tab w:pos="705" w:val="left" w:leader="none"/>
        </w:tabs>
        <w:spacing w:before="0"/>
        <w:ind w:left="165" w:right="0" w:firstLine="0"/>
        <w:jc w:val="left"/>
        <w:rPr>
          <w:sz w:val="20"/>
        </w:rPr>
      </w:pPr>
      <w:bookmarkStart w:name="_bookmark1833" w:id="1835"/>
      <w:bookmarkEnd w:id="1835"/>
      <w:r>
        <w:rPr/>
      </w:r>
      <w:hyperlink w:history="true" w:anchor="_bookmark1752">
        <w:r>
          <w:rPr>
            <w:color w:val="005DA1"/>
            <w:spacing w:val="-4"/>
            <w:position w:val="5"/>
            <w:sz w:val="14"/>
            <w:u w:val="single" w:color="005DA1"/>
          </w:rPr>
          <w:t>952</w:t>
        </w:r>
      </w:hyperlink>
      <w:r>
        <w:rPr>
          <w:spacing w:val="-4"/>
          <w:position w:val="5"/>
          <w:sz w:val="14"/>
        </w:rPr>
        <w:t>.</w:t>
      </w:r>
      <w:r>
        <w:rPr>
          <w:position w:val="5"/>
          <w:sz w:val="14"/>
        </w:rPr>
        <w:tab/>
      </w:r>
      <w:r>
        <w:rPr>
          <w:sz w:val="20"/>
        </w:rPr>
        <w:t>See preceding </w:t>
      </w:r>
      <w:r>
        <w:rPr>
          <w:spacing w:val="-2"/>
          <w:sz w:val="20"/>
        </w:rPr>
        <w:t>note.</w:t>
      </w:r>
    </w:p>
    <w:p>
      <w:pPr>
        <w:pStyle w:val="BodyText"/>
        <w:spacing w:before="5"/>
      </w:pPr>
    </w:p>
    <w:p>
      <w:pPr>
        <w:pStyle w:val="BodyText"/>
        <w:tabs>
          <w:tab w:pos="705" w:val="left" w:leader="none"/>
        </w:tabs>
        <w:ind w:left="165"/>
      </w:pPr>
      <w:bookmarkStart w:name="_bookmark1834" w:id="1836"/>
      <w:bookmarkEnd w:id="1836"/>
      <w:r>
        <w:rPr/>
      </w:r>
      <w:hyperlink w:history="true" w:anchor="_bookmark1753">
        <w:r>
          <w:rPr>
            <w:color w:val="005DA1"/>
            <w:spacing w:val="-4"/>
            <w:position w:val="5"/>
            <w:sz w:val="14"/>
            <w:u w:val="single" w:color="005DA1"/>
          </w:rPr>
          <w:t>953</w:t>
        </w:r>
      </w:hyperlink>
      <w:r>
        <w:rPr>
          <w:spacing w:val="-4"/>
          <w:position w:val="5"/>
          <w:sz w:val="14"/>
        </w:rPr>
        <w:t>.</w:t>
      </w:r>
      <w:r>
        <w:rPr>
          <w:position w:val="5"/>
          <w:sz w:val="14"/>
        </w:rPr>
        <w:tab/>
      </w:r>
      <w:r>
        <w:rPr/>
        <w:t>cf.</w:t>
      </w:r>
      <w:r>
        <w:rPr>
          <w:spacing w:val="-2"/>
        </w:rPr>
        <w:t> </w:t>
      </w:r>
      <w:r>
        <w:rPr/>
        <w:t>above, para.30-</w:t>
      </w:r>
      <w:r>
        <w:rPr>
          <w:spacing w:val="-4"/>
        </w:rPr>
        <w:t>095.</w:t>
      </w:r>
    </w:p>
    <w:p>
      <w:pPr>
        <w:pStyle w:val="BodyText"/>
        <w:spacing w:before="5"/>
      </w:pPr>
    </w:p>
    <w:p>
      <w:pPr>
        <w:tabs>
          <w:tab w:pos="705" w:val="left" w:leader="none"/>
        </w:tabs>
        <w:spacing w:before="0"/>
        <w:ind w:left="165" w:right="0" w:firstLine="0"/>
        <w:jc w:val="left"/>
        <w:rPr>
          <w:sz w:val="20"/>
        </w:rPr>
      </w:pPr>
      <w:bookmarkStart w:name="_bookmark1835" w:id="1837"/>
      <w:bookmarkEnd w:id="1837"/>
      <w:r>
        <w:rPr/>
      </w:r>
      <w:hyperlink w:history="true" w:anchor="_bookmark1754">
        <w:r>
          <w:rPr>
            <w:color w:val="005DA1"/>
            <w:spacing w:val="-4"/>
            <w:position w:val="5"/>
            <w:sz w:val="14"/>
            <w:u w:val="single" w:color="005DA1"/>
          </w:rPr>
          <w:t>954</w:t>
        </w:r>
      </w:hyperlink>
      <w:r>
        <w:rPr>
          <w:spacing w:val="-4"/>
          <w:position w:val="5"/>
          <w:sz w:val="14"/>
        </w:rPr>
        <w:t>.</w:t>
      </w:r>
      <w:r>
        <w:rPr>
          <w:position w:val="5"/>
          <w:sz w:val="14"/>
        </w:rPr>
        <w:tab/>
      </w:r>
      <w:r>
        <w:rPr>
          <w:rFonts w:ascii="Arial"/>
          <w:i/>
          <w:sz w:val="20"/>
        </w:rPr>
        <w:t>[2012]</w:t>
      </w:r>
      <w:r>
        <w:rPr>
          <w:rFonts w:ascii="Arial"/>
          <w:i/>
          <w:spacing w:val="-2"/>
          <w:sz w:val="20"/>
        </w:rPr>
        <w:t> </w:t>
      </w:r>
      <w:r>
        <w:rPr>
          <w:rFonts w:ascii="Arial"/>
          <w:i/>
          <w:sz w:val="20"/>
        </w:rPr>
        <w:t>Bus.L.R. </w:t>
      </w:r>
      <w:r>
        <w:rPr>
          <w:rFonts w:ascii="Arial"/>
          <w:i/>
          <w:spacing w:val="-4"/>
          <w:sz w:val="20"/>
        </w:rPr>
        <w:t>972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36" w:id="1838"/>
      <w:bookmarkEnd w:id="1838"/>
      <w:r>
        <w:rPr/>
      </w:r>
      <w:hyperlink w:history="true" w:anchor="_bookmark1755">
        <w:r>
          <w:rPr>
            <w:color w:val="005DA1"/>
            <w:spacing w:val="-4"/>
            <w:position w:val="5"/>
            <w:sz w:val="14"/>
            <w:u w:val="single" w:color="005DA1"/>
          </w:rPr>
          <w:t>955</w:t>
        </w:r>
      </w:hyperlink>
      <w:r>
        <w:rPr>
          <w:spacing w:val="-4"/>
          <w:position w:val="5"/>
          <w:sz w:val="14"/>
        </w:rPr>
        <w:t>.</w:t>
      </w:r>
      <w:r>
        <w:rPr>
          <w:position w:val="5"/>
          <w:sz w:val="14"/>
        </w:rPr>
        <w:tab/>
      </w:r>
      <w:r>
        <w:rPr>
          <w:rFonts w:ascii="Arial"/>
          <w:i/>
          <w:sz w:val="20"/>
        </w:rPr>
        <w:t>[2012]</w:t>
      </w:r>
      <w:r>
        <w:rPr>
          <w:rFonts w:ascii="Arial"/>
          <w:i/>
          <w:spacing w:val="-2"/>
          <w:sz w:val="20"/>
        </w:rPr>
        <w:t> </w:t>
      </w:r>
      <w:r>
        <w:rPr>
          <w:rFonts w:ascii="Arial"/>
          <w:i/>
          <w:sz w:val="20"/>
        </w:rPr>
        <w:t>Bus.L.R. 972</w:t>
      </w:r>
      <w:r>
        <w:rPr>
          <w:rFonts w:ascii="Arial"/>
          <w:i/>
          <w:spacing w:val="-1"/>
          <w:sz w:val="20"/>
        </w:rPr>
        <w:t> </w:t>
      </w:r>
      <w:r>
        <w:rPr>
          <w:sz w:val="20"/>
        </w:rPr>
        <w:t>at </w:t>
      </w:r>
      <w:r>
        <w:rPr>
          <w:spacing w:val="-2"/>
          <w:sz w:val="20"/>
        </w:rPr>
        <w:t>[83].</w:t>
      </w:r>
    </w:p>
    <w:p>
      <w:pPr>
        <w:pStyle w:val="BodyText"/>
        <w:spacing w:before="5"/>
      </w:pPr>
    </w:p>
    <w:p>
      <w:pPr>
        <w:tabs>
          <w:tab w:pos="705" w:val="left" w:leader="none"/>
        </w:tabs>
        <w:spacing w:before="1"/>
        <w:ind w:left="165" w:right="0" w:firstLine="0"/>
        <w:jc w:val="left"/>
        <w:rPr>
          <w:sz w:val="20"/>
        </w:rPr>
      </w:pPr>
      <w:bookmarkStart w:name="_bookmark1837" w:id="1839"/>
      <w:bookmarkEnd w:id="1839"/>
      <w:r>
        <w:rPr/>
      </w:r>
      <w:hyperlink w:history="true" w:anchor="_bookmark1756">
        <w:r>
          <w:rPr>
            <w:color w:val="005DA1"/>
            <w:spacing w:val="-4"/>
            <w:position w:val="5"/>
            <w:sz w:val="14"/>
            <w:u w:val="single" w:color="005DA1"/>
          </w:rPr>
          <w:t>956</w:t>
        </w:r>
      </w:hyperlink>
      <w:r>
        <w:rPr>
          <w:spacing w:val="-4"/>
          <w:position w:val="5"/>
          <w:sz w:val="14"/>
        </w:rPr>
        <w:t>.</w:t>
      </w:r>
      <w:r>
        <w:rPr>
          <w:position w:val="5"/>
          <w:sz w:val="14"/>
        </w:rPr>
        <w:tab/>
      </w:r>
      <w:r>
        <w:rPr>
          <w:rFonts w:ascii="Arial"/>
          <w:i/>
          <w:sz w:val="20"/>
        </w:rPr>
        <w:t>[2012]</w:t>
      </w:r>
      <w:r>
        <w:rPr>
          <w:rFonts w:ascii="Arial"/>
          <w:i/>
          <w:spacing w:val="-2"/>
          <w:sz w:val="20"/>
        </w:rPr>
        <w:t> </w:t>
      </w:r>
      <w:r>
        <w:rPr>
          <w:rFonts w:ascii="Arial"/>
          <w:i/>
          <w:sz w:val="20"/>
        </w:rPr>
        <w:t>Bus.L.R. 972</w:t>
      </w:r>
      <w:r>
        <w:rPr>
          <w:rFonts w:ascii="Arial"/>
          <w:i/>
          <w:spacing w:val="-1"/>
          <w:sz w:val="20"/>
        </w:rPr>
        <w:t> </w:t>
      </w:r>
      <w:r>
        <w:rPr>
          <w:sz w:val="20"/>
        </w:rPr>
        <w:t>at </w:t>
      </w:r>
      <w:r>
        <w:rPr>
          <w:spacing w:val="-2"/>
          <w:sz w:val="20"/>
        </w:rPr>
        <w:t>[84].</w:t>
      </w:r>
    </w:p>
    <w:p>
      <w:pPr>
        <w:pStyle w:val="BodyText"/>
        <w:spacing w:before="4"/>
      </w:pPr>
    </w:p>
    <w:p>
      <w:pPr>
        <w:pStyle w:val="BodyText"/>
        <w:tabs>
          <w:tab w:pos="705" w:val="left" w:leader="none"/>
        </w:tabs>
        <w:spacing w:before="1"/>
        <w:ind w:left="165"/>
      </w:pPr>
      <w:bookmarkStart w:name="_bookmark1838" w:id="1840"/>
      <w:bookmarkEnd w:id="1840"/>
      <w:r>
        <w:rPr/>
      </w:r>
      <w:hyperlink w:history="true" w:anchor="_bookmark1757">
        <w:r>
          <w:rPr>
            <w:color w:val="005DA1"/>
            <w:spacing w:val="-4"/>
            <w:position w:val="5"/>
            <w:sz w:val="14"/>
            <w:u w:val="single" w:color="005DA1"/>
          </w:rPr>
          <w:t>957</w:t>
        </w:r>
      </w:hyperlink>
      <w:r>
        <w:rPr>
          <w:spacing w:val="-4"/>
          <w:position w:val="5"/>
          <w:sz w:val="14"/>
        </w:rPr>
        <w:t>.</w:t>
      </w:r>
      <w:r>
        <w:rPr>
          <w:position w:val="5"/>
          <w:sz w:val="14"/>
        </w:rPr>
        <w:tab/>
      </w:r>
      <w:r>
        <w:rPr/>
        <w:t>See Recital 24 of the Rome I </w:t>
      </w:r>
      <w:r>
        <w:rPr>
          <w:spacing w:val="-2"/>
        </w:rPr>
        <w:t>Regulation.</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1408">
            <wp:simplePos x="0" y="0"/>
            <wp:positionH relativeFrom="page">
              <wp:posOffset>1257846</wp:posOffset>
            </wp:positionH>
            <wp:positionV relativeFrom="paragraph">
              <wp:posOffset>160572</wp:posOffset>
            </wp:positionV>
            <wp:extent cx="107988" cy="107988"/>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39" w:id="1841"/>
      <w:bookmarkEnd w:id="1841"/>
      <w:r>
        <w:rPr/>
      </w:r>
      <w:hyperlink w:history="true" w:anchor="_bookmark1758">
        <w:r>
          <w:rPr>
            <w:color w:val="005DA1"/>
            <w:spacing w:val="-4"/>
            <w:sz w:val="14"/>
            <w:u w:val="single" w:color="005DA1"/>
          </w:rPr>
          <w:t>958</w:t>
        </w:r>
      </w:hyperlink>
      <w:r>
        <w:rPr>
          <w:spacing w:val="-4"/>
          <w:sz w:val="14"/>
        </w:rPr>
        <w:t>.</w:t>
      </w:r>
    </w:p>
    <w:p>
      <w:pPr>
        <w:spacing w:line="235" w:lineRule="auto" w:before="212"/>
        <w:ind w:left="165" w:right="167" w:firstLine="170"/>
        <w:jc w:val="both"/>
        <w:rPr>
          <w:sz w:val="20"/>
        </w:rPr>
      </w:pPr>
      <w:r>
        <w:rPr/>
        <w:br w:type="column"/>
      </w:r>
      <w:r>
        <w:rPr>
          <w:sz w:val="20"/>
        </w:rPr>
        <w:t>See</w:t>
      </w:r>
      <w:r>
        <w:rPr>
          <w:spacing w:val="-2"/>
          <w:sz w:val="20"/>
        </w:rPr>
        <w:t> </w:t>
      </w:r>
      <w:r>
        <w:rPr>
          <w:sz w:val="20"/>
        </w:rPr>
        <w:t>above,</w:t>
      </w:r>
      <w:r>
        <w:rPr>
          <w:spacing w:val="-2"/>
          <w:sz w:val="20"/>
        </w:rPr>
        <w:t> </w:t>
      </w:r>
      <w:r>
        <w:rPr>
          <w:sz w:val="20"/>
        </w:rPr>
        <w:t>para.30-094.</w:t>
      </w:r>
      <w:r>
        <w:rPr>
          <w:spacing w:val="-2"/>
          <w:sz w:val="20"/>
        </w:rPr>
        <w:t> </w:t>
      </w:r>
      <w:r>
        <w:rPr>
          <w:sz w:val="20"/>
        </w:rPr>
        <w:t>On</w:t>
      </w:r>
      <w:r>
        <w:rPr>
          <w:spacing w:val="-2"/>
          <w:sz w:val="20"/>
        </w:rPr>
        <w:t> </w:t>
      </w:r>
      <w:r>
        <w:rPr>
          <w:sz w:val="20"/>
        </w:rPr>
        <w:t>click-wrapping</w:t>
      </w:r>
      <w:r>
        <w:rPr>
          <w:spacing w:val="-2"/>
          <w:sz w:val="20"/>
        </w:rPr>
        <w:t> </w:t>
      </w:r>
      <w:r>
        <w:rPr>
          <w:sz w:val="20"/>
        </w:rPr>
        <w:t>and</w:t>
      </w:r>
      <w:r>
        <w:rPr>
          <w:spacing w:val="-2"/>
          <w:sz w:val="20"/>
        </w:rPr>
        <w:t> </w:t>
      </w:r>
      <w:r>
        <w:rPr>
          <w:sz w:val="20"/>
        </w:rPr>
        <w:t>jurisdiction</w:t>
      </w:r>
      <w:r>
        <w:rPr>
          <w:spacing w:val="-2"/>
          <w:sz w:val="20"/>
        </w:rPr>
        <w:t> </w:t>
      </w:r>
      <w:r>
        <w:rPr>
          <w:sz w:val="20"/>
        </w:rPr>
        <w:t>agreements</w:t>
      </w:r>
      <w:r>
        <w:rPr>
          <w:spacing w:val="-2"/>
          <w:sz w:val="20"/>
        </w:rPr>
        <w:t> </w:t>
      </w:r>
      <w:r>
        <w:rPr>
          <w:sz w:val="20"/>
        </w:rPr>
        <w:t>under</w:t>
      </w:r>
      <w:r>
        <w:rPr>
          <w:spacing w:val="-2"/>
          <w:sz w:val="20"/>
        </w:rPr>
        <w:t> </w:t>
      </w:r>
      <w:r>
        <w:rPr>
          <w:sz w:val="20"/>
        </w:rPr>
        <w:t>the</w:t>
      </w:r>
      <w:r>
        <w:rPr>
          <w:spacing w:val="-2"/>
          <w:sz w:val="20"/>
        </w:rPr>
        <w:t> </w:t>
      </w:r>
      <w:r>
        <w:rPr>
          <w:sz w:val="20"/>
        </w:rPr>
        <w:t>Judgments Regulation see </w:t>
      </w:r>
      <w:r>
        <w:rPr>
          <w:rFonts w:ascii="Arial" w:hAnsi="Arial"/>
          <w:i/>
          <w:sz w:val="20"/>
        </w:rPr>
        <w:t>El Majdoub v CarsOnTheWeb.Deutschland GmbH (C-322/14) [2015] 1 W.L.R. 3986</w:t>
      </w:r>
      <w:r>
        <w:rPr>
          <w:sz w:val="20"/>
        </w:rPr>
        <w:t>, and see </w:t>
      </w:r>
      <w:r>
        <w:rPr>
          <w:rFonts w:ascii="Arial" w:hAnsi="Arial"/>
          <w:i/>
          <w:sz w:val="20"/>
        </w:rPr>
        <w:t>Verein für Konsumenteninformation v Amazon EU Sarl (C-191/15) </w:t>
      </w:r>
      <w:r>
        <w:rPr>
          <w:sz w:val="20"/>
        </w:rPr>
        <w:t>on standard </w:t>
      </w:r>
      <w:r>
        <w:rPr>
          <w:spacing w:val="-2"/>
          <w:sz w:val="20"/>
        </w:rPr>
        <w:t>terms.</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1840" w:id="1842"/>
      <w:bookmarkEnd w:id="1842"/>
      <w:r>
        <w:rPr/>
      </w:r>
      <w:hyperlink w:history="true" w:anchor="_bookmark1759">
        <w:r>
          <w:rPr>
            <w:color w:val="005DA1"/>
            <w:spacing w:val="-4"/>
            <w:position w:val="5"/>
            <w:sz w:val="14"/>
            <w:u w:val="single" w:color="005DA1"/>
          </w:rPr>
          <w:t>959</w:t>
        </w:r>
      </w:hyperlink>
      <w:r>
        <w:rPr>
          <w:spacing w:val="-4"/>
          <w:position w:val="5"/>
          <w:sz w:val="14"/>
        </w:rPr>
        <w:t>.</w:t>
      </w:r>
      <w:r>
        <w:rPr>
          <w:position w:val="5"/>
          <w:sz w:val="14"/>
        </w:rPr>
        <w:tab/>
      </w:r>
      <w:r>
        <w:rPr/>
        <w:t>See art.5 of the </w:t>
      </w:r>
      <w:r>
        <w:rPr>
          <w:spacing w:val="-2"/>
        </w:rPr>
        <w:t>Proposal.</w:t>
      </w:r>
    </w:p>
    <w:p>
      <w:pPr>
        <w:pStyle w:val="BodyText"/>
        <w:spacing w:before="5"/>
      </w:pPr>
    </w:p>
    <w:p>
      <w:pPr>
        <w:tabs>
          <w:tab w:pos="705" w:val="left" w:leader="none"/>
        </w:tabs>
        <w:spacing w:before="0"/>
        <w:ind w:left="165" w:right="0" w:firstLine="0"/>
        <w:jc w:val="left"/>
        <w:rPr>
          <w:sz w:val="20"/>
        </w:rPr>
      </w:pPr>
      <w:bookmarkStart w:name="_bookmark1841" w:id="1843"/>
      <w:bookmarkEnd w:id="1843"/>
      <w:r>
        <w:rPr/>
      </w:r>
      <w:hyperlink w:history="true" w:anchor="_bookmark1760">
        <w:r>
          <w:rPr>
            <w:color w:val="005DA1"/>
            <w:spacing w:val="-4"/>
            <w:position w:val="5"/>
            <w:sz w:val="14"/>
            <w:u w:val="single" w:color="005DA1"/>
          </w:rPr>
          <w:t>960</w:t>
        </w:r>
      </w:hyperlink>
      <w:r>
        <w:rPr>
          <w:spacing w:val="-4"/>
          <w:position w:val="5"/>
          <w:sz w:val="14"/>
        </w:rPr>
        <w:t>.</w:t>
      </w:r>
      <w:r>
        <w:rPr>
          <w:position w:val="5"/>
          <w:sz w:val="14"/>
        </w:rPr>
        <w:tab/>
      </w:r>
      <w:r>
        <w:rPr>
          <w:sz w:val="20"/>
        </w:rPr>
        <w:t>Above, para.30-</w:t>
      </w:r>
      <w:r>
        <w:rPr>
          <w:spacing w:val="-4"/>
          <w:sz w:val="20"/>
        </w:rPr>
        <w:t>093.</w:t>
      </w:r>
    </w:p>
    <w:p>
      <w:pPr>
        <w:pStyle w:val="BodyText"/>
        <w:spacing w:before="5"/>
      </w:pPr>
    </w:p>
    <w:p>
      <w:pPr>
        <w:pStyle w:val="BodyText"/>
        <w:tabs>
          <w:tab w:pos="705" w:val="left" w:leader="none"/>
        </w:tabs>
        <w:ind w:left="165"/>
      </w:pPr>
      <w:bookmarkStart w:name="_bookmark1842" w:id="1844"/>
      <w:bookmarkEnd w:id="1844"/>
      <w:r>
        <w:rPr/>
      </w:r>
      <w:hyperlink w:history="true" w:anchor="_bookmark1761">
        <w:r>
          <w:rPr>
            <w:color w:val="005DA1"/>
            <w:spacing w:val="-4"/>
            <w:position w:val="5"/>
            <w:sz w:val="14"/>
            <w:u w:val="single" w:color="005DA1"/>
          </w:rPr>
          <w:t>961</w:t>
        </w:r>
      </w:hyperlink>
      <w:r>
        <w:rPr>
          <w:spacing w:val="-4"/>
          <w:position w:val="5"/>
          <w:sz w:val="14"/>
        </w:rPr>
        <w:t>.</w:t>
      </w:r>
      <w:r>
        <w:rPr>
          <w:position w:val="5"/>
          <w:sz w:val="14"/>
        </w:rPr>
        <w:tab/>
      </w:r>
      <w:r>
        <w:rPr/>
        <w:t>See Consultation Paper, para.61 where some of these concerns are referred </w:t>
      </w:r>
      <w:r>
        <w:rPr>
          <w:spacing w:val="-5"/>
        </w:rPr>
        <w:t>to.</w:t>
      </w:r>
    </w:p>
    <w:p>
      <w:pPr>
        <w:pStyle w:val="BodyText"/>
        <w:spacing w:before="9"/>
      </w:pPr>
    </w:p>
    <w:p>
      <w:pPr>
        <w:pStyle w:val="BodyText"/>
        <w:spacing w:line="235" w:lineRule="auto"/>
        <w:ind w:left="705" w:right="167" w:hanging="541"/>
        <w:jc w:val="both"/>
      </w:pPr>
      <w:bookmarkStart w:name="_bookmark1843" w:id="1845"/>
      <w:bookmarkEnd w:id="1845"/>
      <w:r>
        <w:rPr/>
      </w:r>
      <w:hyperlink w:history="true" w:anchor="_bookmark1762">
        <w:r>
          <w:rPr>
            <w:color w:val="005DA1"/>
            <w:position w:val="5"/>
            <w:sz w:val="14"/>
            <w:u w:val="single" w:color="005DA1"/>
          </w:rPr>
          <w:t>962</w:t>
        </w:r>
      </w:hyperlink>
      <w:r>
        <w:rPr>
          <w:position w:val="5"/>
          <w:sz w:val="14"/>
        </w:rPr>
        <w:t>.</w:t>
      </w:r>
      <w:r>
        <w:rPr>
          <w:spacing w:val="80"/>
          <w:w w:val="150"/>
          <w:position w:val="5"/>
          <w:sz w:val="14"/>
        </w:rPr>
        <w:t> </w:t>
      </w:r>
      <w:r>
        <w:rPr/>
        <w:t>As to these compulsory provisions (mandatory rules, rules which cannot be derogated from </w:t>
      </w:r>
      <w:r>
        <w:rPr/>
        <w:t>by agreement), see above, paras 30-176 et seq. It is also possible that party autonomy may be further limited by overriding mandatory provisions (which are different from rules which cannot be derogated from by agreement) under art.9 of the Regulation: see above, paras 30-179 et seq. and below, paras 30-362 et seq. See also Recitals 25 and 37 to the Regulation.</w:t>
      </w:r>
    </w:p>
    <w:p>
      <w:pPr>
        <w:pStyle w:val="BodyText"/>
        <w:spacing w:before="4"/>
      </w:pPr>
    </w:p>
    <w:p>
      <w:pPr>
        <w:pStyle w:val="BodyText"/>
        <w:tabs>
          <w:tab w:pos="705" w:val="left" w:leader="none"/>
        </w:tabs>
        <w:ind w:left="165"/>
      </w:pPr>
      <w:bookmarkStart w:name="_bookmark1844" w:id="1846"/>
      <w:bookmarkEnd w:id="1846"/>
      <w:r>
        <w:rPr/>
      </w:r>
      <w:hyperlink w:history="true" w:anchor="_bookmark1763">
        <w:r>
          <w:rPr>
            <w:color w:val="005DA1"/>
            <w:spacing w:val="-4"/>
            <w:position w:val="5"/>
            <w:sz w:val="14"/>
            <w:u w:val="single" w:color="005DA1"/>
          </w:rPr>
          <w:t>963</w:t>
        </w:r>
      </w:hyperlink>
      <w:r>
        <w:rPr>
          <w:spacing w:val="-4"/>
          <w:position w:val="5"/>
          <w:sz w:val="14"/>
        </w:rPr>
        <w:t>.</w:t>
      </w:r>
      <w:r>
        <w:rPr>
          <w:position w:val="5"/>
          <w:sz w:val="14"/>
        </w:rPr>
        <w:tab/>
      </w:r>
      <w:r>
        <w:rPr/>
        <w:t>Above,</w:t>
      </w:r>
      <w:r>
        <w:rPr>
          <w:spacing w:val="-2"/>
        </w:rPr>
        <w:t> </w:t>
      </w:r>
      <w:r>
        <w:rPr/>
        <w:t>paras 30-169 et </w:t>
      </w:r>
      <w:r>
        <w:rPr>
          <w:spacing w:val="-4"/>
        </w:rPr>
        <w:t>seq.</w:t>
      </w:r>
    </w:p>
    <w:p>
      <w:pPr>
        <w:pStyle w:val="BodyText"/>
        <w:spacing w:before="5"/>
      </w:pPr>
    </w:p>
    <w:p>
      <w:pPr>
        <w:pStyle w:val="BodyText"/>
        <w:tabs>
          <w:tab w:pos="705" w:val="left" w:leader="none"/>
        </w:tabs>
        <w:ind w:left="165"/>
      </w:pPr>
      <w:bookmarkStart w:name="_bookmark1845" w:id="1847"/>
      <w:bookmarkEnd w:id="1847"/>
      <w:r>
        <w:rPr/>
      </w:r>
      <w:hyperlink w:history="true" w:anchor="_bookmark1764">
        <w:r>
          <w:rPr>
            <w:color w:val="005DA1"/>
            <w:spacing w:val="-4"/>
            <w:position w:val="5"/>
            <w:sz w:val="14"/>
            <w:u w:val="single" w:color="005DA1"/>
          </w:rPr>
          <w:t>964</w:t>
        </w:r>
      </w:hyperlink>
      <w:r>
        <w:rPr>
          <w:spacing w:val="-4"/>
          <w:position w:val="5"/>
          <w:sz w:val="14"/>
        </w:rPr>
        <w:t>.</w:t>
      </w:r>
      <w:r>
        <w:rPr>
          <w:position w:val="5"/>
          <w:sz w:val="14"/>
        </w:rPr>
        <w:tab/>
      </w:r>
      <w:r>
        <w:rPr/>
        <w:t>Above,</w:t>
      </w:r>
      <w:r>
        <w:rPr>
          <w:spacing w:val="-2"/>
        </w:rPr>
        <w:t> </w:t>
      </w:r>
      <w:r>
        <w:rPr/>
        <w:t>paras 30-185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846" w:id="1848"/>
      <w:bookmarkEnd w:id="1848"/>
      <w:r>
        <w:rPr/>
      </w:r>
      <w:hyperlink w:history="true" w:anchor="_bookmark1765">
        <w:r>
          <w:rPr>
            <w:color w:val="005DA1"/>
            <w:spacing w:val="-4"/>
            <w:position w:val="5"/>
            <w:sz w:val="14"/>
            <w:u w:val="single" w:color="005DA1"/>
          </w:rPr>
          <w:t>965</w:t>
        </w:r>
      </w:hyperlink>
      <w:r>
        <w:rPr>
          <w:spacing w:val="-4"/>
          <w:position w:val="5"/>
          <w:sz w:val="14"/>
        </w:rPr>
        <w:t>.</w:t>
      </w:r>
      <w:r>
        <w:rPr>
          <w:position w:val="5"/>
          <w:sz w:val="14"/>
        </w:rPr>
        <w:tab/>
      </w:r>
      <w:r>
        <w:rPr>
          <w:sz w:val="20"/>
        </w:rPr>
        <w:t>Above, para.30-</w:t>
      </w:r>
      <w:r>
        <w:rPr>
          <w:spacing w:val="-4"/>
          <w:sz w:val="20"/>
        </w:rPr>
        <w:t>137.</w:t>
      </w:r>
    </w:p>
    <w:p>
      <w:pPr>
        <w:pStyle w:val="BodyText"/>
        <w:spacing w:before="9"/>
      </w:pPr>
    </w:p>
    <w:p>
      <w:pPr>
        <w:pStyle w:val="BodyText"/>
        <w:spacing w:line="235" w:lineRule="auto"/>
        <w:ind w:left="705" w:right="167" w:hanging="541"/>
        <w:jc w:val="both"/>
      </w:pPr>
      <w:bookmarkStart w:name="_bookmark1847" w:id="1849"/>
      <w:bookmarkEnd w:id="1849"/>
      <w:r>
        <w:rPr/>
      </w:r>
      <w:hyperlink w:history="true" w:anchor="_bookmark1766">
        <w:r>
          <w:rPr>
            <w:color w:val="005DA1"/>
            <w:position w:val="5"/>
            <w:sz w:val="14"/>
            <w:u w:val="single" w:color="005DA1"/>
          </w:rPr>
          <w:t>966</w:t>
        </w:r>
      </w:hyperlink>
      <w:r>
        <w:rPr>
          <w:position w:val="5"/>
          <w:sz w:val="14"/>
        </w:rPr>
        <w:t>.</w:t>
      </w:r>
      <w:r>
        <w:rPr>
          <w:spacing w:val="80"/>
          <w:position w:val="5"/>
          <w:sz w:val="14"/>
        </w:rPr>
        <w:t>  </w:t>
      </w:r>
      <w:r>
        <w:rPr/>
        <w:t>See also the Declaration by the French delegation relating to art.6 stating that in any revision of the Judgments Regulation, the provisions relating to jurisdiction must be consistent with art.6 of the Rome I Regulation: Council of the European Union, 2005/0261, CODEC 388 JUSTCIV </w:t>
      </w:r>
      <w:r>
        <w:rPr/>
        <w:t>53, April 7, 2008.</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spacing w:before="194"/>
        <w:ind w:left="3252" w:right="0" w:firstLine="0"/>
        <w:jc w:val="left"/>
        <w:rPr>
          <w:rFonts w:ascii="Arial"/>
          <w:b/>
          <w:sz w:val="24"/>
        </w:rPr>
      </w:pPr>
      <w:r>
        <w:rPr>
          <w:rFonts w:ascii="Arial"/>
          <w:b/>
          <w:sz w:val="24"/>
        </w:rPr>
        <w:t>(h) - Insurance </w:t>
      </w:r>
      <w:r>
        <w:rPr>
          <w:rFonts w:ascii="Arial"/>
          <w:b/>
          <w:spacing w:val="-2"/>
          <w:sz w:val="24"/>
        </w:rPr>
        <w:t>Contracts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Background</w:t>
      </w:r>
    </w:p>
    <w:p>
      <w:pPr>
        <w:pStyle w:val="BodyText"/>
        <w:spacing w:before="42"/>
        <w:rPr>
          <w:rFonts w:ascii="Arial"/>
          <w:b/>
          <w:sz w:val="18"/>
        </w:rPr>
      </w:pPr>
    </w:p>
    <w:p>
      <w:pPr>
        <w:pStyle w:val="Heading2"/>
      </w:pPr>
      <w:r>
        <w:rPr/>
        <w:t>30-</w:t>
      </w:r>
      <w:r>
        <w:rPr>
          <w:spacing w:val="-5"/>
        </w:rPr>
        <w:t>252</w:t>
      </w:r>
    </w:p>
    <w:p>
      <w:pPr>
        <w:pStyle w:val="BodyText"/>
        <w:spacing w:line="235" w:lineRule="auto" w:before="202"/>
        <w:ind w:left="164" w:right="167"/>
        <w:jc w:val="both"/>
      </w:pPr>
      <w:r>
        <w:rPr/>
        <w:t>The Rome Convention provided no discrete choice of law rules to determine the law applicable to insurance contracts. According to art.1(3) of the Convention, the rules contained in the Convention</w:t>
      </w:r>
      <w:r>
        <w:rPr>
          <w:spacing w:val="80"/>
        </w:rPr>
        <w:t> </w:t>
      </w:r>
      <w:r>
        <w:rPr/>
        <w:t>did not apply to contracts of insurance which covered risks situated in the territories of the Member </w:t>
      </w:r>
      <w:bookmarkStart w:name="_bookmark1848" w:id="1850"/>
      <w:bookmarkEnd w:id="1850"/>
      <w:r>
        <w:rPr/>
        <w:t>States</w:t>
      </w:r>
      <w:r>
        <w:rPr/>
        <w:t> of the European Communities: in order to determine whether a risk was situated in </w:t>
      </w:r>
      <w:r>
        <w:rPr/>
        <w:t>those territories</w:t>
      </w:r>
      <w:r>
        <w:rPr>
          <w:spacing w:val="-1"/>
        </w:rPr>
        <w:t> </w:t>
      </w:r>
      <w:r>
        <w:rPr/>
        <w:t>the</w:t>
      </w:r>
      <w:r>
        <w:rPr>
          <w:spacing w:val="-1"/>
        </w:rPr>
        <w:t> </w:t>
      </w:r>
      <w:r>
        <w:rPr/>
        <w:t>court</w:t>
      </w:r>
      <w:r>
        <w:rPr>
          <w:spacing w:val="-1"/>
        </w:rPr>
        <w:t> </w:t>
      </w:r>
      <w:r>
        <w:rPr/>
        <w:t>had</w:t>
      </w:r>
      <w:r>
        <w:rPr>
          <w:spacing w:val="-1"/>
        </w:rPr>
        <w:t> </w:t>
      </w:r>
      <w:r>
        <w:rPr/>
        <w:t>to</w:t>
      </w:r>
      <w:r>
        <w:rPr>
          <w:spacing w:val="-1"/>
        </w:rPr>
        <w:t> </w:t>
      </w:r>
      <w:r>
        <w:rPr/>
        <w:t>apply</w:t>
      </w:r>
      <w:r>
        <w:rPr>
          <w:spacing w:val="-1"/>
        </w:rPr>
        <w:t> </w:t>
      </w:r>
      <w:r>
        <w:rPr/>
        <w:t>its</w:t>
      </w:r>
      <w:r>
        <w:rPr>
          <w:spacing w:val="-1"/>
        </w:rPr>
        <w:t> </w:t>
      </w:r>
      <w:r>
        <w:rPr/>
        <w:t>internal</w:t>
      </w:r>
      <w:r>
        <w:rPr>
          <w:spacing w:val="-1"/>
        </w:rPr>
        <w:t> </w:t>
      </w:r>
      <w:r>
        <w:rPr/>
        <w:t>law.</w:t>
      </w:r>
      <w:r>
        <w:rPr>
          <w:spacing w:val="-2"/>
        </w:rPr>
        <w:t> </w:t>
      </w:r>
      <w:r>
        <w:rPr>
          <w:color w:val="005DA1"/>
          <w:u w:val="single" w:color="005DA1"/>
          <w:vertAlign w:val="superscript"/>
        </w:rPr>
        <w:t>967</w:t>
      </w:r>
      <w:r>
        <w:rPr>
          <w:color w:val="005DA1"/>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risk</w:t>
      </w:r>
      <w:r>
        <w:rPr>
          <w:spacing w:val="-1"/>
          <w:vertAlign w:val="baseline"/>
        </w:rPr>
        <w:t> </w:t>
      </w:r>
      <w:r>
        <w:rPr>
          <w:vertAlign w:val="baseline"/>
        </w:rPr>
        <w:t>was</w:t>
      </w:r>
      <w:r>
        <w:rPr>
          <w:spacing w:val="-1"/>
          <w:vertAlign w:val="baseline"/>
        </w:rPr>
        <w:t> </w:t>
      </w:r>
      <w:r>
        <w:rPr>
          <w:vertAlign w:val="baseline"/>
        </w:rPr>
        <w:t>situated</w:t>
      </w:r>
      <w:r>
        <w:rPr>
          <w:spacing w:val="-1"/>
          <w:vertAlign w:val="baseline"/>
        </w:rPr>
        <w:t> </w:t>
      </w:r>
      <w:r>
        <w:rPr>
          <w:vertAlign w:val="baseline"/>
        </w:rPr>
        <w:t>within</w:t>
      </w:r>
      <w:r>
        <w:rPr>
          <w:spacing w:val="-1"/>
          <w:vertAlign w:val="baseline"/>
        </w:rPr>
        <w:t> </w:t>
      </w:r>
      <w:r>
        <w:rPr>
          <w:vertAlign w:val="baseline"/>
        </w:rPr>
        <w:t>the</w:t>
      </w:r>
      <w:r>
        <w:rPr>
          <w:spacing w:val="-1"/>
          <w:vertAlign w:val="baseline"/>
        </w:rPr>
        <w:t> </w:t>
      </w:r>
      <w:r>
        <w:rPr>
          <w:vertAlign w:val="baseline"/>
        </w:rPr>
        <w:t>territories</w:t>
      </w:r>
      <w:r>
        <w:rPr>
          <w:spacing w:val="-1"/>
          <w:vertAlign w:val="baseline"/>
        </w:rPr>
        <w:t> </w:t>
      </w:r>
      <w:r>
        <w:rPr>
          <w:vertAlign w:val="baseline"/>
        </w:rPr>
        <w:t>of </w:t>
      </w:r>
      <w:bookmarkStart w:name="_bookmark1849" w:id="1851"/>
      <w:bookmarkEnd w:id="1851"/>
      <w:r>
        <w:rPr>
          <w:vertAlign w:val="baseline"/>
        </w:rPr>
        <w:t>the</w:t>
      </w:r>
      <w:r>
        <w:rPr>
          <w:vertAlign w:val="baseline"/>
        </w:rPr>
        <w:t> Member States, the relevant choice of law rules were to be found in Directives concerned with non-life insurance and life insurance </w:t>
      </w:r>
      <w:r>
        <w:rPr>
          <w:color w:val="005DA1"/>
          <w:u w:val="single" w:color="005DA1"/>
          <w:vertAlign w:val="superscript"/>
        </w:rPr>
        <w:t>968</w:t>
      </w:r>
      <w:r>
        <w:rPr>
          <w:color w:val="005DA1"/>
          <w:vertAlign w:val="baseline"/>
        </w:rPr>
        <w:t> </w:t>
      </w:r>
      <w:r>
        <w:rPr>
          <w:vertAlign w:val="baseline"/>
        </w:rPr>
        <w:t>which were ultimately implemented in United Kingdom law in </w:t>
      </w:r>
      <w:bookmarkStart w:name="_bookmark1850" w:id="1852"/>
      <w:bookmarkEnd w:id="1852"/>
      <w:r>
        <w:rPr>
          <w:vertAlign w:val="baseline"/>
        </w:rPr>
        <w:t>the</w:t>
      </w:r>
      <w:r>
        <w:rPr>
          <w:vertAlign w:val="baseline"/>
        </w:rPr>
        <w:t> Financial Services and Markets Act 2000 (Law Applicable to Contracts of Insurance) Regulations 2001. </w:t>
      </w:r>
      <w:r>
        <w:rPr>
          <w:color w:val="005DA1"/>
          <w:u w:val="single" w:color="005DA1"/>
          <w:vertAlign w:val="superscript"/>
        </w:rPr>
        <w:t>969</w:t>
      </w:r>
      <w:r>
        <w:rPr>
          <w:color w:val="005DA1"/>
          <w:vertAlign w:val="baseline"/>
        </w:rPr>
        <w:t> </w:t>
      </w:r>
      <w:r>
        <w:rPr>
          <w:vertAlign w:val="baseline"/>
        </w:rPr>
        <w:t>It followed from this that arts 3, 4 and 5 of the Rome Convention applied to determine the</w:t>
      </w:r>
      <w:r>
        <w:rPr>
          <w:spacing w:val="40"/>
          <w:vertAlign w:val="baseline"/>
        </w:rPr>
        <w:t> </w:t>
      </w:r>
      <w:bookmarkStart w:name="_bookmark1851" w:id="1853"/>
      <w:bookmarkEnd w:id="1853"/>
      <w:r>
        <w:rPr>
          <w:vertAlign w:val="baseline"/>
        </w:rPr>
        <w:t>law</w:t>
      </w:r>
      <w:r>
        <w:rPr>
          <w:vertAlign w:val="baseline"/>
        </w:rPr>
        <w:t> applicable to an insurance contract only in cases where the risk was situated outside the</w:t>
      </w:r>
      <w:r>
        <w:rPr>
          <w:spacing w:val="40"/>
          <w:vertAlign w:val="baseline"/>
        </w:rPr>
        <w:t> </w:t>
      </w:r>
      <w:bookmarkStart w:name="_bookmark1852" w:id="1854"/>
      <w:bookmarkEnd w:id="1854"/>
      <w:r>
        <w:rPr>
          <w:vertAlign w:val="baseline"/>
        </w:rPr>
        <w:t>territories</w:t>
      </w:r>
      <w:r>
        <w:rPr>
          <w:vertAlign w:val="baseline"/>
        </w:rPr>
        <w:t> of the Member States. </w:t>
      </w:r>
      <w:r>
        <w:rPr>
          <w:color w:val="005DA1"/>
          <w:u w:val="single" w:color="005DA1"/>
          <w:vertAlign w:val="superscript"/>
        </w:rPr>
        <w:t>970</w:t>
      </w:r>
      <w:r>
        <w:rPr>
          <w:color w:val="005DA1"/>
          <w:vertAlign w:val="baseline"/>
        </w:rPr>
        <w:t> </w:t>
      </w:r>
      <w:r>
        <w:rPr>
          <w:vertAlign w:val="baseline"/>
        </w:rPr>
        <w:t>Furthermore, the rules in Convention (unaffected by the Directives) applied to determine the law applicable to a reinsurance contract. </w:t>
      </w:r>
      <w:r>
        <w:rPr>
          <w:color w:val="005DA1"/>
          <w:u w:val="single" w:color="005DA1"/>
          <w:vertAlign w:val="superscript"/>
        </w:rPr>
        <w:t>971</w:t>
      </w:r>
      <w:r>
        <w:rPr>
          <w:color w:val="005DA1"/>
          <w:vertAlign w:val="baseline"/>
        </w:rPr>
        <w:t> </w:t>
      </w:r>
      <w:r>
        <w:rPr>
          <w:vertAlign w:val="baseline"/>
        </w:rPr>
        <w:t>The result of this combination of different sources and the difficulties of demarcating their respective application was a </w:t>
      </w:r>
      <w:bookmarkStart w:name="_bookmark1853" w:id="1855"/>
      <w:bookmarkEnd w:id="1855"/>
      <w:r>
        <w:rPr>
          <w:vertAlign w:val="baseline"/>
        </w:rPr>
        <w:t>complex</w:t>
      </w:r>
      <w:r>
        <w:rPr>
          <w:vertAlign w:val="baseline"/>
        </w:rPr>
        <w:t> and detailed (in the case of the Directives) body of rules, which were referred to earlier in</w:t>
      </w:r>
      <w:r>
        <w:rPr>
          <w:spacing w:val="80"/>
          <w:vertAlign w:val="baseline"/>
        </w:rPr>
        <w:t> </w:t>
      </w:r>
      <w:r>
        <w:rPr>
          <w:vertAlign w:val="baseline"/>
        </w:rPr>
        <w:t>this chapter, </w:t>
      </w:r>
      <w:r>
        <w:rPr>
          <w:color w:val="005DA1"/>
          <w:u w:val="single" w:color="005DA1"/>
          <w:vertAlign w:val="superscript"/>
        </w:rPr>
        <w:t>972</w:t>
      </w:r>
      <w:r>
        <w:rPr>
          <w:color w:val="005DA1"/>
          <w:vertAlign w:val="baseline"/>
        </w:rPr>
        <w:t> </w:t>
      </w:r>
      <w:r>
        <w:rPr>
          <w:vertAlign w:val="baseline"/>
        </w:rPr>
        <w:t>but which, because of their detail and complexity were not considered in this chapter. </w:t>
      </w:r>
      <w:r>
        <w:rPr>
          <w:color w:val="005DA1"/>
          <w:u w:val="single" w:color="005DA1"/>
          <w:vertAlign w:val="superscript"/>
        </w:rPr>
        <w:t>973</w:t>
      </w:r>
      <w:r>
        <w:rPr>
          <w:color w:val="005DA1"/>
          <w:vertAlign w:val="baseline"/>
        </w:rPr>
        <w:t> </w:t>
      </w:r>
      <w:r>
        <w:rPr>
          <w:vertAlign w:val="baseline"/>
        </w:rPr>
        <w:t>In contrast, art.7 of the Rome I Regulation provides a discrete set of choice of law rules to determine the law applicable to insurance contracts. These choice of law rules are, in substance, a </w:t>
      </w:r>
      <w:bookmarkStart w:name="_bookmark1854" w:id="1856"/>
      <w:bookmarkEnd w:id="1856"/>
      <w:r>
        <w:rPr>
          <w:vertAlign w:val="baseline"/>
        </w:rPr>
        <w:t>combination</w:t>
      </w:r>
      <w:r>
        <w:rPr>
          <w:spacing w:val="-2"/>
          <w:vertAlign w:val="baseline"/>
        </w:rPr>
        <w:t> </w:t>
      </w:r>
      <w:r>
        <w:rPr>
          <w:vertAlign w:val="baseline"/>
        </w:rPr>
        <w:t>of</w:t>
      </w:r>
      <w:r>
        <w:rPr>
          <w:spacing w:val="-2"/>
          <w:vertAlign w:val="baseline"/>
        </w:rPr>
        <w:t> </w:t>
      </w:r>
      <w:r>
        <w:rPr>
          <w:vertAlign w:val="baseline"/>
        </w:rPr>
        <w:t>and</w:t>
      </w:r>
      <w:r>
        <w:rPr>
          <w:spacing w:val="-2"/>
          <w:vertAlign w:val="baseline"/>
        </w:rPr>
        <w:t> </w:t>
      </w:r>
      <w:r>
        <w:rPr>
          <w:vertAlign w:val="baseline"/>
        </w:rPr>
        <w:t>simplification</w:t>
      </w:r>
      <w:r>
        <w:rPr>
          <w:spacing w:val="-2"/>
          <w:vertAlign w:val="baseline"/>
        </w:rPr>
        <w:t> </w:t>
      </w:r>
      <w:r>
        <w:rPr>
          <w:vertAlign w:val="baseline"/>
        </w:rPr>
        <w:t>(to</w:t>
      </w:r>
      <w:r>
        <w:rPr>
          <w:spacing w:val="-2"/>
          <w:vertAlign w:val="baseline"/>
        </w:rPr>
        <w:t> </w:t>
      </w:r>
      <w:r>
        <w:rPr>
          <w:vertAlign w:val="baseline"/>
        </w:rPr>
        <w:t>some</w:t>
      </w:r>
      <w:r>
        <w:rPr>
          <w:spacing w:val="-2"/>
          <w:vertAlign w:val="baseline"/>
        </w:rPr>
        <w:t> </w:t>
      </w:r>
      <w:r>
        <w:rPr>
          <w:vertAlign w:val="baseline"/>
        </w:rPr>
        <w:t>extent,</w:t>
      </w:r>
      <w:r>
        <w:rPr>
          <w:spacing w:val="-2"/>
          <w:vertAlign w:val="baseline"/>
        </w:rPr>
        <w:t> </w:t>
      </w:r>
      <w:r>
        <w:rPr>
          <w:vertAlign w:val="baseline"/>
        </w:rPr>
        <w:t>at</w:t>
      </w:r>
      <w:r>
        <w:rPr>
          <w:spacing w:val="-2"/>
          <w:vertAlign w:val="baseline"/>
        </w:rPr>
        <w:t> </w:t>
      </w:r>
      <w:r>
        <w:rPr>
          <w:vertAlign w:val="baseline"/>
        </w:rPr>
        <w:t>least)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position</w:t>
      </w:r>
      <w:r>
        <w:rPr>
          <w:spacing w:val="-2"/>
          <w:vertAlign w:val="baseline"/>
        </w:rPr>
        <w:t> </w:t>
      </w:r>
      <w:r>
        <w:rPr>
          <w:vertAlign w:val="baseline"/>
        </w:rPr>
        <w:t>under</w:t>
      </w:r>
      <w:r>
        <w:rPr>
          <w:spacing w:val="-2"/>
          <w:vertAlign w:val="baseline"/>
        </w:rPr>
        <w:t> </w:t>
      </w:r>
      <w:r>
        <w:rPr>
          <w:vertAlign w:val="baseline"/>
        </w:rPr>
        <w:t>the</w:t>
      </w:r>
      <w:r>
        <w:rPr>
          <w:spacing w:val="-2"/>
          <w:vertAlign w:val="baseline"/>
        </w:rPr>
        <w:t> </w:t>
      </w:r>
      <w:r>
        <w:rPr>
          <w:vertAlign w:val="baseline"/>
        </w:rPr>
        <w:t>Rome</w:t>
      </w:r>
      <w:r>
        <w:rPr>
          <w:spacing w:val="-2"/>
          <w:vertAlign w:val="baseline"/>
        </w:rPr>
        <w:t> </w:t>
      </w:r>
      <w:r>
        <w:rPr>
          <w:vertAlign w:val="baseline"/>
        </w:rPr>
        <w:t>Convention </w:t>
      </w:r>
      <w:bookmarkStart w:name="_bookmark1855" w:id="1857"/>
      <w:bookmarkEnd w:id="1857"/>
      <w:r>
        <w:rPr>
          <w:vertAlign w:val="baseline"/>
        </w:rPr>
        <w:t>and</w:t>
      </w:r>
      <w:r>
        <w:rPr>
          <w:spacing w:val="-1"/>
          <w:vertAlign w:val="baseline"/>
        </w:rPr>
        <w:t> </w:t>
      </w:r>
      <w:r>
        <w:rPr>
          <w:vertAlign w:val="baseline"/>
        </w:rPr>
        <w:t>the</w:t>
      </w:r>
      <w:r>
        <w:rPr>
          <w:spacing w:val="-1"/>
          <w:vertAlign w:val="baseline"/>
        </w:rPr>
        <w:t> </w:t>
      </w:r>
      <w:r>
        <w:rPr>
          <w:vertAlign w:val="baseline"/>
        </w:rPr>
        <w:t>Directives</w:t>
      </w:r>
      <w:r>
        <w:rPr>
          <w:spacing w:val="-1"/>
          <w:vertAlign w:val="baseline"/>
        </w:rPr>
        <w:t> </w:t>
      </w:r>
      <w:r>
        <w:rPr>
          <w:color w:val="005DA1"/>
          <w:u w:val="single" w:color="005DA1"/>
          <w:vertAlign w:val="superscript"/>
        </w:rPr>
        <w:t>974</w:t>
      </w:r>
      <w:r>
        <w:rPr>
          <w:color w:val="005DA1"/>
          <w:spacing w:val="-1"/>
          <w:vertAlign w:val="baseline"/>
        </w:rPr>
        <w:t> </w:t>
      </w:r>
      <w:r>
        <w:rPr>
          <w:vertAlign w:val="baseline"/>
        </w:rPr>
        <w:t>and</w:t>
      </w:r>
      <w:r>
        <w:rPr>
          <w:spacing w:val="-1"/>
          <w:vertAlign w:val="baseline"/>
        </w:rPr>
        <w:t> </w:t>
      </w:r>
      <w:r>
        <w:rPr>
          <w:vertAlign w:val="baseline"/>
        </w:rPr>
        <w:t>do</w:t>
      </w:r>
      <w:r>
        <w:rPr>
          <w:spacing w:val="-1"/>
          <w:vertAlign w:val="baseline"/>
        </w:rPr>
        <w:t> </w:t>
      </w:r>
      <w:r>
        <w:rPr>
          <w:vertAlign w:val="baseline"/>
        </w:rPr>
        <w:t>not</w:t>
      </w:r>
      <w:r>
        <w:rPr>
          <w:spacing w:val="-1"/>
          <w:vertAlign w:val="baseline"/>
        </w:rPr>
        <w:t> </w:t>
      </w:r>
      <w:r>
        <w:rPr>
          <w:vertAlign w:val="baseline"/>
        </w:rPr>
        <w:t>involve</w:t>
      </w:r>
      <w:r>
        <w:rPr>
          <w:spacing w:val="-1"/>
          <w:vertAlign w:val="baseline"/>
        </w:rPr>
        <w:t> </w:t>
      </w:r>
      <w:r>
        <w:rPr>
          <w:vertAlign w:val="baseline"/>
        </w:rPr>
        <w:t>any</w:t>
      </w:r>
      <w:r>
        <w:rPr>
          <w:spacing w:val="-1"/>
          <w:vertAlign w:val="baseline"/>
        </w:rPr>
        <w:t> </w:t>
      </w:r>
      <w:r>
        <w:rPr>
          <w:vertAlign w:val="baseline"/>
        </w:rPr>
        <w:t>significant</w:t>
      </w:r>
      <w:r>
        <w:rPr>
          <w:spacing w:val="-1"/>
          <w:vertAlign w:val="baseline"/>
        </w:rPr>
        <w:t> </w:t>
      </w:r>
      <w:r>
        <w:rPr>
          <w:vertAlign w:val="baseline"/>
        </w:rPr>
        <w:t>changes.</w:t>
      </w:r>
      <w:r>
        <w:rPr>
          <w:spacing w:val="-1"/>
          <w:vertAlign w:val="baseline"/>
        </w:rPr>
        <w:t> </w:t>
      </w:r>
      <w:r>
        <w:rPr>
          <w:vertAlign w:val="baseline"/>
        </w:rPr>
        <w:t>The</w:t>
      </w:r>
      <w:r>
        <w:rPr>
          <w:spacing w:val="-1"/>
          <w:vertAlign w:val="baseline"/>
        </w:rPr>
        <w:t> </w:t>
      </w:r>
      <w:r>
        <w:rPr>
          <w:vertAlign w:val="baseline"/>
        </w:rPr>
        <w:t>following</w:t>
      </w:r>
      <w:r>
        <w:rPr>
          <w:spacing w:val="-1"/>
          <w:vertAlign w:val="baseline"/>
        </w:rPr>
        <w:t> </w:t>
      </w:r>
      <w:r>
        <w:rPr>
          <w:vertAlign w:val="baseline"/>
        </w:rPr>
        <w:t>paragraphs</w:t>
      </w:r>
      <w:r>
        <w:rPr>
          <w:spacing w:val="-1"/>
          <w:vertAlign w:val="baseline"/>
        </w:rPr>
        <w:t> </w:t>
      </w:r>
      <w:r>
        <w:rPr>
          <w:vertAlign w:val="baseline"/>
        </w:rPr>
        <w:t>attempt</w:t>
      </w:r>
      <w:r>
        <w:rPr>
          <w:spacing w:val="-1"/>
          <w:vertAlign w:val="baseline"/>
        </w:rPr>
        <w:t> </w:t>
      </w:r>
      <w:r>
        <w:rPr>
          <w:vertAlign w:val="baseline"/>
        </w:rPr>
        <w:t>to identify the main principles and features of art.7. </w:t>
      </w:r>
      <w:r>
        <w:rPr>
          <w:color w:val="005DA1"/>
          <w:u w:val="single" w:color="005DA1"/>
          <w:vertAlign w:val="superscript"/>
        </w:rPr>
        <w:t>975</w:t>
      </w:r>
      <w:r>
        <w:rPr>
          <w:color w:val="005DA1"/>
          <w:vertAlign w:val="baseline"/>
        </w:rPr>
        <w:t> </w:t>
      </w:r>
      <w:r>
        <w:rPr>
          <w:vertAlign w:val="baseline"/>
        </w:rPr>
        <w:t>It will be helpful, at the outset, to set out the structure of the article.</w:t>
      </w:r>
    </w:p>
    <w:p>
      <w:pPr>
        <w:pStyle w:val="BodyText"/>
      </w:pPr>
    </w:p>
    <w:p>
      <w:pPr>
        <w:pStyle w:val="BodyText"/>
        <w:spacing w:before="31"/>
      </w:pPr>
    </w:p>
    <w:p>
      <w:pPr>
        <w:spacing w:before="0"/>
        <w:ind w:left="165" w:right="0" w:firstLine="0"/>
        <w:jc w:val="left"/>
        <w:rPr>
          <w:rFonts w:ascii="Arial"/>
          <w:b/>
          <w:sz w:val="18"/>
        </w:rPr>
      </w:pPr>
      <w:bookmarkStart w:name="_bookmark1856" w:id="1858"/>
      <w:bookmarkEnd w:id="1858"/>
      <w:r>
        <w:rPr/>
      </w:r>
      <w:r>
        <w:rPr>
          <w:rFonts w:ascii="Arial"/>
          <w:b/>
          <w:sz w:val="18"/>
        </w:rPr>
        <w:t>Structure of art.7</w:t>
      </w:r>
      <w:r>
        <w:rPr>
          <w:rFonts w:ascii="Arial"/>
          <w:b/>
          <w:spacing w:val="-1"/>
          <w:sz w:val="18"/>
        </w:rPr>
        <w:t> </w:t>
      </w:r>
      <w:r>
        <w:rPr>
          <w:rFonts w:ascii="Arial"/>
          <w:b/>
          <w:color w:val="005DA1"/>
          <w:spacing w:val="-5"/>
          <w:sz w:val="18"/>
          <w:u w:val="single" w:color="005DA1"/>
          <w:vertAlign w:val="superscript"/>
        </w:rPr>
        <w:t>976</w:t>
      </w:r>
    </w:p>
    <w:p>
      <w:pPr>
        <w:pStyle w:val="BodyText"/>
        <w:spacing w:before="41"/>
        <w:rPr>
          <w:rFonts w:ascii="Arial"/>
          <w:b/>
          <w:sz w:val="18"/>
        </w:rPr>
      </w:pPr>
    </w:p>
    <w:p>
      <w:pPr>
        <w:pStyle w:val="Heading2"/>
        <w:ind w:left="164"/>
      </w:pPr>
      <w:r>
        <w:rPr/>
        <w:t>30-</w:t>
      </w:r>
      <w:r>
        <w:rPr>
          <w:spacing w:val="-5"/>
        </w:rPr>
        <w:t>253</w:t>
      </w:r>
    </w:p>
    <w:p>
      <w:pPr>
        <w:pStyle w:val="BodyText"/>
        <w:spacing w:line="235" w:lineRule="auto" w:before="203"/>
        <w:ind w:left="164" w:right="167"/>
        <w:jc w:val="both"/>
      </w:pPr>
      <w:r>
        <w:rPr/>
        <w:t>Article 7 consists of six paragraphs and several sub-paragraphs, dealing, respectively, with: </w:t>
      </w:r>
      <w:r>
        <w:rPr/>
        <w:t>scope (art.7(1)); the law applicable to a contract covering a “large risk” within the meaning of the article (art.7(2)); the law applicable to an insurance contract other than a contract covering a large risk (art.7(3)); additional rules to determine the law applicable to insurance contracts covering risks for which</w:t>
      </w:r>
      <w:r>
        <w:rPr>
          <w:spacing w:val="-1"/>
        </w:rPr>
        <w:t> </w:t>
      </w:r>
      <w:r>
        <w:rPr/>
        <w:t>a</w:t>
      </w:r>
      <w:r>
        <w:rPr>
          <w:spacing w:val="-1"/>
        </w:rPr>
        <w:t> </w:t>
      </w:r>
      <w:r>
        <w:rPr/>
        <w:t>Member</w:t>
      </w:r>
      <w:r>
        <w:rPr>
          <w:spacing w:val="-1"/>
        </w:rPr>
        <w:t> </w:t>
      </w:r>
      <w:r>
        <w:rPr/>
        <w:t>State</w:t>
      </w:r>
      <w:r>
        <w:rPr>
          <w:spacing w:val="-1"/>
        </w:rPr>
        <w:t> </w:t>
      </w:r>
      <w:r>
        <w:rPr/>
        <w:t>imposes</w:t>
      </w:r>
      <w:r>
        <w:rPr>
          <w:spacing w:val="-1"/>
        </w:rPr>
        <w:t> </w:t>
      </w:r>
      <w:r>
        <w:rPr/>
        <w:t>an</w:t>
      </w:r>
      <w:r>
        <w:rPr>
          <w:spacing w:val="-1"/>
        </w:rPr>
        <w:t> </w:t>
      </w:r>
      <w:r>
        <w:rPr/>
        <w:t>obligation</w:t>
      </w:r>
      <w:r>
        <w:rPr>
          <w:spacing w:val="-1"/>
        </w:rPr>
        <w:t> </w:t>
      </w:r>
      <w:r>
        <w:rPr/>
        <w:t>to</w:t>
      </w:r>
      <w:r>
        <w:rPr>
          <w:spacing w:val="-1"/>
        </w:rPr>
        <w:t> </w:t>
      </w:r>
      <w:r>
        <w:rPr/>
        <w:t>take</w:t>
      </w:r>
      <w:r>
        <w:rPr>
          <w:spacing w:val="-1"/>
        </w:rPr>
        <w:t> </w:t>
      </w:r>
      <w:r>
        <w:rPr/>
        <w:t>out</w:t>
      </w:r>
      <w:r>
        <w:rPr>
          <w:spacing w:val="-1"/>
        </w:rPr>
        <w:t> </w:t>
      </w:r>
      <w:r>
        <w:rPr/>
        <w:t>insurance</w:t>
      </w:r>
      <w:r>
        <w:rPr>
          <w:spacing w:val="-1"/>
        </w:rPr>
        <w:t> </w:t>
      </w:r>
      <w:r>
        <w:rPr/>
        <w:t>(art.7(4));</w:t>
      </w:r>
      <w:r>
        <w:rPr>
          <w:spacing w:val="-1"/>
        </w:rPr>
        <w:t> </w:t>
      </w:r>
      <w:r>
        <w:rPr/>
        <w:t>a</w:t>
      </w:r>
      <w:r>
        <w:rPr>
          <w:spacing w:val="-1"/>
        </w:rPr>
        <w:t> </w:t>
      </w:r>
      <w:r>
        <w:rPr/>
        <w:t>provision</w:t>
      </w:r>
      <w:r>
        <w:rPr>
          <w:spacing w:val="-1"/>
        </w:rPr>
        <w:t> </w:t>
      </w:r>
      <w:r>
        <w:rPr/>
        <w:t>clarifying,</w:t>
      </w:r>
      <w:r>
        <w:rPr>
          <w:spacing w:val="-1"/>
        </w:rPr>
        <w:t> </w:t>
      </w:r>
      <w:r>
        <w:rPr/>
        <w:t>for the purposes of art.7(3) and 7(4), the situation where the insurance contract covers risks situated in more than one Member State (art.7(5)); and a provision indicating how the country in which the risk is situated is to be identified when it is necessary to do so for the purposes of the article (art.7(6)).</w:t>
      </w:r>
    </w:p>
    <w:p>
      <w:pPr>
        <w:pStyle w:val="BodyText"/>
      </w:pPr>
    </w:p>
    <w:p>
      <w:pPr>
        <w:pStyle w:val="BodyText"/>
        <w:spacing w:before="35"/>
      </w:pPr>
    </w:p>
    <w:p>
      <w:pPr>
        <w:spacing w:before="1"/>
        <w:ind w:left="164" w:right="0" w:firstLine="0"/>
        <w:jc w:val="left"/>
        <w:rPr>
          <w:rFonts w:ascii="Arial"/>
          <w:b/>
          <w:sz w:val="18"/>
        </w:rPr>
      </w:pPr>
      <w:r>
        <w:rPr>
          <w:rFonts w:ascii="Arial"/>
          <w:b/>
          <w:spacing w:val="-2"/>
          <w:sz w:val="18"/>
        </w:rPr>
        <w:t>Scope</w:t>
      </w:r>
    </w:p>
    <w:p>
      <w:pPr>
        <w:spacing w:after="0"/>
        <w:jc w:val="left"/>
        <w:rPr>
          <w:rFonts w:ascii="Arial"/>
          <w:b/>
          <w:sz w:val="18"/>
        </w:rPr>
        <w:sectPr>
          <w:headerReference w:type="default" r:id="rId23"/>
          <w:pgSz w:w="11900" w:h="16840"/>
          <w:pgMar w:header="971" w:footer="0" w:top="1300" w:bottom="280" w:left="1275" w:right="1275"/>
          <w:pgNumType w:start="1"/>
        </w:sectPr>
      </w:pPr>
    </w:p>
    <w:p>
      <w:pPr>
        <w:pStyle w:val="Heading2"/>
        <w:spacing w:before="262"/>
      </w:pPr>
      <w:r>
        <w:rPr/>
        <w:t>30-</w:t>
      </w:r>
      <w:r>
        <w:rPr>
          <w:spacing w:val="-5"/>
        </w:rPr>
        <w:t>254</w:t>
      </w:r>
    </w:p>
    <w:p>
      <w:pPr>
        <w:pStyle w:val="BodyText"/>
        <w:spacing w:line="235" w:lineRule="auto" w:before="202"/>
        <w:ind w:left="164" w:right="167"/>
        <w:jc w:val="both"/>
      </w:pPr>
      <w:bookmarkStart w:name="_bookmark1857" w:id="1859"/>
      <w:bookmarkEnd w:id="1859"/>
      <w:r>
        <w:rPr/>
      </w:r>
      <w:r>
        <w:rPr/>
        <w:t>Article 7(1) of the Regulation stipulates that art.7 shall apply to insurance contracts referred to in </w:t>
      </w:r>
      <w:bookmarkStart w:name="_bookmark1858" w:id="1860"/>
      <w:bookmarkEnd w:id="1860"/>
      <w:r>
        <w:rPr/>
        <w:t>art.7(2)</w:t>
      </w:r>
      <w:r>
        <w:rPr/>
        <w:t> (which deals with contracts covering “large risks”), </w:t>
      </w:r>
      <w:r>
        <w:rPr>
          <w:color w:val="005DA1"/>
          <w:u w:val="single" w:color="005DA1"/>
          <w:vertAlign w:val="superscript"/>
        </w:rPr>
        <w:t>977</w:t>
      </w:r>
      <w:r>
        <w:rPr>
          <w:color w:val="005DA1"/>
          <w:vertAlign w:val="baseline"/>
        </w:rPr>
        <w:t> </w:t>
      </w:r>
      <w:r>
        <w:rPr>
          <w:vertAlign w:val="baseline"/>
        </w:rPr>
        <w:t>whether or not the risk covered is </w:t>
      </w:r>
      <w:bookmarkStart w:name="_bookmark1859" w:id="1861"/>
      <w:bookmarkEnd w:id="1861"/>
      <w:r>
        <w:rPr>
          <w:vertAlign w:val="baseline"/>
        </w:rPr>
        <w:t>situated</w:t>
      </w:r>
      <w:r>
        <w:rPr>
          <w:vertAlign w:val="baseline"/>
        </w:rPr>
        <w:t> in a Member State, </w:t>
      </w:r>
      <w:r>
        <w:rPr>
          <w:color w:val="005DA1"/>
          <w:u w:val="single" w:color="005DA1"/>
          <w:vertAlign w:val="superscript"/>
        </w:rPr>
        <w:t>978</w:t>
      </w:r>
      <w:r>
        <w:rPr>
          <w:color w:val="005DA1"/>
          <w:vertAlign w:val="baseline"/>
        </w:rPr>
        <w:t> </w:t>
      </w:r>
      <w:r>
        <w:rPr>
          <w:vertAlign w:val="baseline"/>
        </w:rPr>
        <w:t>and to all other insurance contracts covering risks situated inside the </w:t>
      </w:r>
      <w:bookmarkStart w:name="_bookmark1860" w:id="1862"/>
      <w:bookmarkEnd w:id="1862"/>
      <w:r>
        <w:rPr>
          <w:vertAlign w:val="baseline"/>
        </w:rPr>
        <w:t>territory</w:t>
      </w:r>
      <w:r>
        <w:rPr>
          <w:vertAlign w:val="baseline"/>
        </w:rPr>
        <w:t> of the Member States. </w:t>
      </w:r>
      <w:r>
        <w:rPr>
          <w:color w:val="005DA1"/>
          <w:u w:val="single" w:color="005DA1"/>
          <w:vertAlign w:val="superscript"/>
        </w:rPr>
        <w:t>979</w:t>
      </w:r>
      <w:r>
        <w:rPr>
          <w:color w:val="005DA1"/>
          <w:vertAlign w:val="baseline"/>
        </w:rPr>
        <w:t> </w:t>
      </w:r>
      <w:r>
        <w:rPr>
          <w:vertAlign w:val="baseline"/>
        </w:rPr>
        <w:t>It is specifically provided that art.7 does not apply to </w:t>
      </w:r>
      <w:r>
        <w:rPr>
          <w:vertAlign w:val="baseline"/>
        </w:rPr>
        <w:t>reinsurance contracts. </w:t>
      </w:r>
      <w:r>
        <w:rPr>
          <w:color w:val="005DA1"/>
          <w:u w:val="single" w:color="005DA1"/>
          <w:vertAlign w:val="superscript"/>
        </w:rPr>
        <w:t>980</w:t>
      </w:r>
    </w:p>
    <w:p>
      <w:pPr>
        <w:pStyle w:val="BodyText"/>
      </w:pPr>
    </w:p>
    <w:p>
      <w:pPr>
        <w:pStyle w:val="BodyText"/>
        <w:spacing w:before="37"/>
      </w:pPr>
    </w:p>
    <w:p>
      <w:pPr>
        <w:spacing w:before="0"/>
        <w:ind w:left="165" w:right="0" w:firstLine="0"/>
        <w:jc w:val="left"/>
        <w:rPr>
          <w:rFonts w:ascii="Arial"/>
          <w:b/>
          <w:sz w:val="18"/>
        </w:rPr>
      </w:pPr>
      <w:r>
        <w:rPr>
          <w:rFonts w:ascii="Arial"/>
          <w:b/>
          <w:sz w:val="18"/>
        </w:rPr>
        <w:t>Exclusion in </w:t>
      </w:r>
      <w:r>
        <w:rPr>
          <w:rFonts w:ascii="Arial"/>
          <w:b/>
          <w:spacing w:val="-2"/>
          <w:sz w:val="18"/>
        </w:rPr>
        <w:t>art.1(2)(j)</w:t>
      </w:r>
    </w:p>
    <w:p>
      <w:pPr>
        <w:pStyle w:val="BodyText"/>
        <w:spacing w:before="41"/>
        <w:rPr>
          <w:rFonts w:ascii="Arial"/>
          <w:b/>
          <w:sz w:val="18"/>
        </w:rPr>
      </w:pPr>
    </w:p>
    <w:p>
      <w:pPr>
        <w:pStyle w:val="Heading2"/>
      </w:pPr>
      <w:r>
        <w:rPr/>
        <w:t>30-</w:t>
      </w:r>
      <w:r>
        <w:rPr>
          <w:spacing w:val="-5"/>
        </w:rPr>
        <w:t>255</w:t>
      </w:r>
    </w:p>
    <w:p>
      <w:pPr>
        <w:pStyle w:val="BodyText"/>
        <w:spacing w:line="235" w:lineRule="auto" w:before="203"/>
        <w:ind w:left="165" w:right="167"/>
        <w:jc w:val="both"/>
      </w:pPr>
      <w:r>
        <w:rPr/>
        <w:t>By way of preliminary observation, it should be noted that, under art.1(2)(j), the Regulation does not </w:t>
      </w:r>
      <w:bookmarkStart w:name="_bookmark1861" w:id="1863"/>
      <w:bookmarkEnd w:id="1863"/>
      <w:r>
        <w:rPr/>
        <w:t>apply</w:t>
      </w:r>
      <w:r>
        <w:rPr/>
        <w:t> at all, to insurance contracts which are the subject of that provision, as mentioned earlier in </w:t>
      </w:r>
      <w:r>
        <w:rPr/>
        <w:t>this section. </w:t>
      </w:r>
      <w:r>
        <w:rPr>
          <w:color w:val="005DA1"/>
          <w:u w:val="single" w:color="005DA1"/>
          <w:vertAlign w:val="superscript"/>
        </w:rPr>
        <w:t>981</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Reinsurance</w:t>
      </w:r>
    </w:p>
    <w:p>
      <w:pPr>
        <w:pStyle w:val="BodyText"/>
        <w:spacing w:before="42"/>
        <w:rPr>
          <w:rFonts w:ascii="Arial"/>
          <w:b/>
          <w:sz w:val="18"/>
        </w:rPr>
      </w:pPr>
    </w:p>
    <w:p>
      <w:pPr>
        <w:pStyle w:val="Heading2"/>
      </w:pPr>
      <w:r>
        <w:rPr/>
        <w:t>30-</w:t>
      </w:r>
      <w:r>
        <w:rPr>
          <w:spacing w:val="-5"/>
        </w:rPr>
        <w:t>256</w:t>
      </w:r>
    </w:p>
    <w:p>
      <w:pPr>
        <w:pStyle w:val="BodyText"/>
        <w:spacing w:line="235" w:lineRule="auto" w:before="202"/>
        <w:ind w:left="165" w:right="167"/>
        <w:jc w:val="both"/>
      </w:pPr>
      <w:bookmarkStart w:name="_bookmark1862" w:id="1864"/>
      <w:bookmarkEnd w:id="1864"/>
      <w:r>
        <w:rPr/>
      </w:r>
      <w:r>
        <w:rPr/>
        <w:t>Article 7 does not apply to reinsurance contracts. </w:t>
      </w:r>
      <w:r>
        <w:rPr>
          <w:color w:val="005DA1"/>
          <w:u w:val="single" w:color="005DA1"/>
          <w:vertAlign w:val="superscript"/>
        </w:rPr>
        <w:t>982</w:t>
      </w:r>
      <w:r>
        <w:rPr>
          <w:color w:val="005DA1"/>
          <w:vertAlign w:val="baseline"/>
        </w:rPr>
        <w:t> </w:t>
      </w:r>
      <w:r>
        <w:rPr>
          <w:vertAlign w:val="baseline"/>
        </w:rPr>
        <w:t>The law applicable to such contracts </w:t>
      </w:r>
      <w:r>
        <w:rPr>
          <w:vertAlign w:val="baseline"/>
        </w:rPr>
        <w:t>will </w:t>
      </w:r>
      <w:bookmarkStart w:name="_bookmark1863" w:id="1865"/>
      <w:bookmarkEnd w:id="1865"/>
      <w:r>
        <w:rPr>
          <w:vertAlign w:val="baseline"/>
        </w:rPr>
        <w:t>therefore</w:t>
      </w:r>
      <w:r>
        <w:rPr>
          <w:vertAlign w:val="baseline"/>
        </w:rPr>
        <w:t> be determined by art.3 of the Regulation if the parties have made a choice of law satisfying that</w:t>
      </w:r>
      <w:r>
        <w:rPr>
          <w:spacing w:val="-2"/>
          <w:vertAlign w:val="baseline"/>
        </w:rPr>
        <w:t> </w:t>
      </w:r>
      <w:r>
        <w:rPr>
          <w:vertAlign w:val="baseline"/>
        </w:rPr>
        <w:t>provision,</w:t>
      </w:r>
      <w:r>
        <w:rPr>
          <w:spacing w:val="-2"/>
          <w:vertAlign w:val="baseline"/>
        </w:rPr>
        <w:t> </w:t>
      </w:r>
      <w:r>
        <w:rPr>
          <w:color w:val="005DA1"/>
          <w:u w:val="single" w:color="005DA1"/>
          <w:vertAlign w:val="superscript"/>
        </w:rPr>
        <w:t>983</w:t>
      </w:r>
      <w:r>
        <w:rPr>
          <w:color w:val="005DA1"/>
          <w:spacing w:val="-2"/>
          <w:vertAlign w:val="baseline"/>
        </w:rPr>
        <w:t> </w:t>
      </w:r>
      <w:r>
        <w:rPr>
          <w:vertAlign w:val="baseline"/>
        </w:rPr>
        <w:t>or,</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absence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choice</w:t>
      </w:r>
      <w:r>
        <w:rPr>
          <w:spacing w:val="-2"/>
          <w:vertAlign w:val="baseline"/>
        </w:rPr>
        <w:t> </w:t>
      </w:r>
      <w:r>
        <w:rPr>
          <w:vertAlign w:val="baseline"/>
        </w:rPr>
        <w:t>of</w:t>
      </w:r>
      <w:r>
        <w:rPr>
          <w:spacing w:val="-2"/>
          <w:vertAlign w:val="baseline"/>
        </w:rPr>
        <w:t> </w:t>
      </w:r>
      <w:r>
        <w:rPr>
          <w:vertAlign w:val="baseline"/>
        </w:rPr>
        <w:t>law,</w:t>
      </w:r>
      <w:r>
        <w:rPr>
          <w:spacing w:val="-2"/>
          <w:vertAlign w:val="baseline"/>
        </w:rPr>
        <w:t> </w:t>
      </w:r>
      <w:r>
        <w:rPr>
          <w:vertAlign w:val="baseline"/>
        </w:rPr>
        <w:t>by</w:t>
      </w:r>
      <w:r>
        <w:rPr>
          <w:spacing w:val="-2"/>
          <w:vertAlign w:val="baseline"/>
        </w:rPr>
        <w:t> </w:t>
      </w:r>
      <w:r>
        <w:rPr>
          <w:vertAlign w:val="baseline"/>
        </w:rPr>
        <w:t>art.4</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Regulation.</w:t>
      </w:r>
      <w:r>
        <w:rPr>
          <w:spacing w:val="-3"/>
          <w:vertAlign w:val="baseline"/>
        </w:rPr>
        <w:t> </w:t>
      </w:r>
      <w:r>
        <w:rPr>
          <w:color w:val="005DA1"/>
          <w:u w:val="single" w:color="005DA1"/>
          <w:vertAlign w:val="superscript"/>
        </w:rPr>
        <w:t>984</w:t>
      </w:r>
      <w:r>
        <w:rPr>
          <w:color w:val="005DA1"/>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purposes of art.4(1) of the Regulation a contract of reinsurance would appear to be a contract for the provision </w:t>
      </w:r>
      <w:bookmarkStart w:name="_bookmark1864" w:id="1866"/>
      <w:bookmarkEnd w:id="1866"/>
      <w:r>
        <w:rPr>
          <w:vertAlign w:val="baseline"/>
        </w:rPr>
        <w:t>of</w:t>
      </w:r>
      <w:r>
        <w:rPr>
          <w:vertAlign w:val="baseline"/>
        </w:rPr>
        <w:t> services and would thus be governed under the general rule by the law of the country where the </w:t>
      </w:r>
      <w:bookmarkStart w:name="_bookmark1865" w:id="1867"/>
      <w:bookmarkEnd w:id="1867"/>
      <w:r>
        <w:rPr>
          <w:vertAlign w:val="baseline"/>
        </w:rPr>
        <w:t>reinsurer,</w:t>
      </w:r>
      <w:r>
        <w:rPr>
          <w:vertAlign w:val="baseline"/>
        </w:rPr>
        <w:t> as service provider, has his habitual residence. </w:t>
      </w:r>
      <w:r>
        <w:rPr>
          <w:color w:val="005DA1"/>
          <w:u w:val="single" w:color="005DA1"/>
          <w:vertAlign w:val="superscript"/>
        </w:rPr>
        <w:t>985</w:t>
      </w:r>
      <w:r>
        <w:rPr>
          <w:color w:val="005DA1"/>
          <w:vertAlign w:val="baseline"/>
        </w:rPr>
        <w:t> </w:t>
      </w:r>
      <w:r>
        <w:rPr>
          <w:vertAlign w:val="baseline"/>
        </w:rPr>
        <w:t>Application of that law may be displaced under art.4(3) of the Regulation. </w:t>
      </w:r>
      <w:r>
        <w:rPr>
          <w:color w:val="005DA1"/>
          <w:u w:val="single" w:color="005DA1"/>
          <w:vertAlign w:val="superscript"/>
        </w:rPr>
        <w:t>986</w:t>
      </w:r>
      <w:r>
        <w:rPr>
          <w:color w:val="005DA1"/>
          <w:vertAlign w:val="baseline"/>
        </w:rPr>
        <w:t> </w:t>
      </w:r>
      <w:r>
        <w:rPr>
          <w:vertAlign w:val="baseline"/>
        </w:rPr>
        <w:t>The purpose of art.7 of the Regulation is, inter alia, to take </w:t>
      </w:r>
      <w:bookmarkStart w:name="_bookmark1866" w:id="1868"/>
      <w:bookmarkEnd w:id="1868"/>
      <w:r>
        <w:rPr>
          <w:vertAlign w:val="baseline"/>
        </w:rPr>
        <w:t>account,</w:t>
      </w:r>
      <w:r>
        <w:rPr>
          <w:vertAlign w:val="baseline"/>
        </w:rPr>
        <w:t> where appropriate, of the fact that it is thought that the insured is in a “weaker” position compared with the insurer. </w:t>
      </w:r>
      <w:r>
        <w:rPr>
          <w:color w:val="005DA1"/>
          <w:u w:val="single" w:color="005DA1"/>
          <w:vertAlign w:val="superscript"/>
        </w:rPr>
        <w:t>987</w:t>
      </w:r>
      <w:r>
        <w:rPr>
          <w:color w:val="005DA1"/>
          <w:vertAlign w:val="baseline"/>
        </w:rPr>
        <w:t> </w:t>
      </w:r>
      <w:r>
        <w:rPr>
          <w:vertAlign w:val="baseline"/>
        </w:rPr>
        <w:t>That consideration is not relevant in relation to reinsurance contracts.</w:t>
      </w:r>
    </w:p>
    <w:p>
      <w:pPr>
        <w:pStyle w:val="BodyText"/>
      </w:pPr>
    </w:p>
    <w:p>
      <w:pPr>
        <w:pStyle w:val="BodyText"/>
        <w:spacing w:before="35"/>
      </w:pPr>
    </w:p>
    <w:p>
      <w:pPr>
        <w:spacing w:before="1"/>
        <w:ind w:left="165" w:right="0" w:firstLine="0"/>
        <w:jc w:val="left"/>
        <w:rPr>
          <w:rFonts w:ascii="Arial"/>
          <w:b/>
          <w:sz w:val="18"/>
        </w:rPr>
      </w:pPr>
      <w:r>
        <w:rPr>
          <w:rFonts w:ascii="Arial"/>
          <w:b/>
          <w:sz w:val="18"/>
        </w:rPr>
        <w:t>Situs of </w:t>
      </w:r>
      <w:r>
        <w:rPr>
          <w:rFonts w:ascii="Arial"/>
          <w:b/>
          <w:spacing w:val="-4"/>
          <w:sz w:val="18"/>
        </w:rPr>
        <w:t>risk</w:t>
      </w:r>
    </w:p>
    <w:p>
      <w:pPr>
        <w:pStyle w:val="BodyText"/>
        <w:spacing w:before="41"/>
        <w:rPr>
          <w:rFonts w:ascii="Arial"/>
          <w:b/>
          <w:sz w:val="18"/>
        </w:rPr>
      </w:pPr>
    </w:p>
    <w:p>
      <w:pPr>
        <w:pStyle w:val="Heading2"/>
      </w:pPr>
      <w:r>
        <w:rPr/>
        <w:t>30-</w:t>
      </w:r>
      <w:r>
        <w:rPr>
          <w:spacing w:val="-5"/>
        </w:rPr>
        <w:t>257</w:t>
      </w:r>
    </w:p>
    <w:p>
      <w:pPr>
        <w:pStyle w:val="BodyText"/>
        <w:spacing w:line="235" w:lineRule="auto" w:before="203"/>
        <w:ind w:left="165" w:right="167"/>
        <w:jc w:val="both"/>
      </w:pPr>
      <w:r>
        <w:rPr/>
        <w:t>As a result of art.7(1) of the Regulation, the relevant choice of law rules for the purpose of </w:t>
      </w:r>
      <w:r>
        <w:rPr/>
        <w:t>art.7 depend, in part, on whether the insurance contract covers risks situated inside the territories of the Member States or risks situated in a non-Member State. Further, the choice of law rules in art.7, on occasion, refer to the law of the Member State in which the risk is situated. It is therefore convenient</w:t>
      </w:r>
      <w:r>
        <w:rPr>
          <w:spacing w:val="40"/>
        </w:rPr>
        <w:t> </w:t>
      </w:r>
      <w:r>
        <w:rPr/>
        <w:t>to identify the rules for determining the </w:t>
      </w:r>
      <w:r>
        <w:rPr>
          <w:rFonts w:ascii="Arial"/>
          <w:i/>
        </w:rPr>
        <w:t>situs </w:t>
      </w:r>
      <w:r>
        <w:rPr/>
        <w:t>of a risk at this point.</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Meaning of “Member </w:t>
      </w:r>
      <w:r>
        <w:rPr>
          <w:rFonts w:ascii="Arial" w:hAnsi="Arial"/>
          <w:b/>
          <w:spacing w:val="-2"/>
          <w:sz w:val="18"/>
        </w:rPr>
        <w:t>State”</w:t>
      </w:r>
    </w:p>
    <w:p>
      <w:pPr>
        <w:pStyle w:val="BodyText"/>
        <w:spacing w:before="41"/>
        <w:rPr>
          <w:rFonts w:ascii="Arial"/>
          <w:b/>
          <w:sz w:val="18"/>
        </w:rPr>
      </w:pPr>
    </w:p>
    <w:p>
      <w:pPr>
        <w:pStyle w:val="Heading2"/>
        <w:spacing w:before="1"/>
      </w:pPr>
      <w:r>
        <w:rPr/>
        <w:t>30-</w:t>
      </w:r>
      <w:r>
        <w:rPr>
          <w:spacing w:val="-5"/>
        </w:rPr>
        <w:t>258</w:t>
      </w:r>
    </w:p>
    <w:p>
      <w:pPr>
        <w:pStyle w:val="BodyText"/>
        <w:spacing w:line="235" w:lineRule="auto" w:before="202"/>
        <w:ind w:left="165" w:right="167"/>
        <w:jc w:val="both"/>
      </w:pPr>
      <w:bookmarkStart w:name="_bookmark1867" w:id="1869"/>
      <w:bookmarkEnd w:id="1869"/>
      <w:r>
        <w:rPr/>
      </w:r>
      <w:r>
        <w:rPr/>
        <w:t>Although, normally, Member State, for the purposes of the Regulation, means the Member States </w:t>
      </w:r>
      <w:r>
        <w:rPr/>
        <w:t>to which the Regulation applies i.e. Denmark is excluded, </w:t>
      </w:r>
      <w:r>
        <w:rPr>
          <w:color w:val="005DA1"/>
          <w:u w:val="single" w:color="005DA1"/>
          <w:vertAlign w:val="superscript"/>
        </w:rPr>
        <w:t>988</w:t>
      </w:r>
      <w:r>
        <w:rPr>
          <w:color w:val="005DA1"/>
          <w:vertAlign w:val="baseline"/>
        </w:rPr>
        <w:t> </w:t>
      </w:r>
      <w:r>
        <w:rPr>
          <w:vertAlign w:val="baseline"/>
        </w:rPr>
        <w:t>art.1(4) of the Regulation provides that for the</w:t>
      </w:r>
      <w:r>
        <w:rPr>
          <w:spacing w:val="-1"/>
          <w:vertAlign w:val="baseline"/>
        </w:rPr>
        <w:t> </w:t>
      </w:r>
      <w:r>
        <w:rPr>
          <w:vertAlign w:val="baseline"/>
        </w:rPr>
        <w:t>purposes</w:t>
      </w:r>
      <w:r>
        <w:rPr>
          <w:spacing w:val="-1"/>
          <w:vertAlign w:val="baseline"/>
        </w:rPr>
        <w:t> </w:t>
      </w:r>
      <w:r>
        <w:rPr>
          <w:vertAlign w:val="baseline"/>
        </w:rPr>
        <w:t>of</w:t>
      </w:r>
      <w:r>
        <w:rPr>
          <w:spacing w:val="-1"/>
          <w:vertAlign w:val="baseline"/>
        </w:rPr>
        <w:t> </w:t>
      </w:r>
      <w:r>
        <w:rPr>
          <w:vertAlign w:val="baseline"/>
        </w:rPr>
        <w:t>art.7,</w:t>
      </w:r>
      <w:r>
        <w:rPr>
          <w:spacing w:val="-1"/>
          <w:vertAlign w:val="baseline"/>
        </w:rPr>
        <w:t> </w:t>
      </w:r>
      <w:r>
        <w:rPr>
          <w:vertAlign w:val="baseline"/>
        </w:rPr>
        <w:t>Member</w:t>
      </w:r>
      <w:r>
        <w:rPr>
          <w:spacing w:val="-1"/>
          <w:vertAlign w:val="baseline"/>
        </w:rPr>
        <w:t> </w:t>
      </w:r>
      <w:r>
        <w:rPr>
          <w:vertAlign w:val="baseline"/>
        </w:rPr>
        <w:t>State</w:t>
      </w:r>
      <w:r>
        <w:rPr>
          <w:spacing w:val="-1"/>
          <w:vertAlign w:val="baseline"/>
        </w:rPr>
        <w:t> </w:t>
      </w:r>
      <w:r>
        <w:rPr>
          <w:vertAlign w:val="baseline"/>
        </w:rPr>
        <w:t>means</w:t>
      </w:r>
      <w:r>
        <w:rPr>
          <w:spacing w:val="-1"/>
          <w:vertAlign w:val="baseline"/>
        </w:rPr>
        <w:t> </w:t>
      </w:r>
      <w:r>
        <w:rPr>
          <w:vertAlign w:val="baseline"/>
        </w:rPr>
        <w:t>all</w:t>
      </w:r>
      <w:r>
        <w:rPr>
          <w:spacing w:val="-1"/>
          <w:vertAlign w:val="baseline"/>
        </w:rPr>
        <w:t> </w:t>
      </w:r>
      <w:r>
        <w:rPr>
          <w:vertAlign w:val="baseline"/>
        </w:rPr>
        <w:t>the</w:t>
      </w:r>
      <w:r>
        <w:rPr>
          <w:spacing w:val="-1"/>
          <w:vertAlign w:val="baseline"/>
        </w:rPr>
        <w:t> </w:t>
      </w:r>
      <w:r>
        <w:rPr>
          <w:vertAlign w:val="baseline"/>
        </w:rPr>
        <w:t>Member</w:t>
      </w:r>
      <w:r>
        <w:rPr>
          <w:spacing w:val="-1"/>
          <w:vertAlign w:val="baseline"/>
        </w:rPr>
        <w:t> </w:t>
      </w:r>
      <w:r>
        <w:rPr>
          <w:vertAlign w:val="baseline"/>
        </w:rPr>
        <w:t>States</w:t>
      </w:r>
      <w:r>
        <w:rPr>
          <w:spacing w:val="-1"/>
          <w:vertAlign w:val="baseline"/>
        </w:rPr>
        <w:t> </w:t>
      </w:r>
      <w:r>
        <w:rPr>
          <w:vertAlign w:val="baseline"/>
        </w:rPr>
        <w:t>so</w:t>
      </w:r>
      <w:r>
        <w:rPr>
          <w:spacing w:val="-1"/>
          <w:vertAlign w:val="baseline"/>
        </w:rPr>
        <w:t> </w:t>
      </w:r>
      <w:r>
        <w:rPr>
          <w:vertAlign w:val="baseline"/>
        </w:rPr>
        <w:t>that</w:t>
      </w:r>
      <w:r>
        <w:rPr>
          <w:spacing w:val="-1"/>
          <w:vertAlign w:val="baseline"/>
        </w:rPr>
        <w:t> </w:t>
      </w:r>
      <w:r>
        <w:rPr>
          <w:vertAlign w:val="baseline"/>
        </w:rPr>
        <w:t>Denmark</w:t>
      </w:r>
      <w:r>
        <w:rPr>
          <w:spacing w:val="-1"/>
          <w:vertAlign w:val="baseline"/>
        </w:rPr>
        <w:t> </w:t>
      </w:r>
      <w:r>
        <w:rPr>
          <w:vertAlign w:val="baseline"/>
        </w:rPr>
        <w:t>is</w:t>
      </w:r>
      <w:r>
        <w:rPr>
          <w:spacing w:val="-1"/>
          <w:vertAlign w:val="baseline"/>
        </w:rPr>
        <w:t> </w:t>
      </w:r>
      <w:r>
        <w:rPr>
          <w:vertAlign w:val="baseline"/>
        </w:rPr>
        <w:t>included.</w:t>
      </w:r>
      <w:r>
        <w:rPr>
          <w:spacing w:val="-1"/>
          <w:vertAlign w:val="baseline"/>
        </w:rPr>
        <w:t> </w:t>
      </w:r>
      <w:r>
        <w:rPr>
          <w:vertAlign w:val="baseline"/>
        </w:rPr>
        <w:t>Thus, art.7 will apply where the </w:t>
      </w:r>
      <w:r>
        <w:rPr>
          <w:rFonts w:ascii="Arial"/>
          <w:i/>
          <w:vertAlign w:val="baseline"/>
        </w:rPr>
        <w:t>situs </w:t>
      </w:r>
      <w:r>
        <w:rPr>
          <w:vertAlign w:val="baseline"/>
        </w:rPr>
        <w:t>of the risk is in Denmark.</w:t>
      </w:r>
    </w:p>
    <w:p>
      <w:pPr>
        <w:pStyle w:val="BodyText"/>
      </w:pPr>
    </w:p>
    <w:p>
      <w:pPr>
        <w:pStyle w:val="BodyText"/>
        <w:spacing w:before="37"/>
      </w:pPr>
    </w:p>
    <w:p>
      <w:pPr>
        <w:spacing w:before="0"/>
        <w:ind w:left="165" w:right="0" w:firstLine="0"/>
        <w:jc w:val="left"/>
        <w:rPr>
          <w:rFonts w:ascii="Arial"/>
          <w:b/>
          <w:sz w:val="18"/>
        </w:rPr>
      </w:pPr>
      <w:r>
        <w:rPr>
          <w:rFonts w:ascii="Arial"/>
          <w:b/>
          <w:sz w:val="18"/>
        </w:rPr>
        <w:t>Rules for determination of situs of </w:t>
      </w:r>
      <w:r>
        <w:rPr>
          <w:rFonts w:ascii="Arial"/>
          <w:b/>
          <w:spacing w:val="-4"/>
          <w:sz w:val="18"/>
        </w:rPr>
        <w:t>risk</w:t>
      </w:r>
    </w:p>
    <w:p>
      <w:pPr>
        <w:pStyle w:val="BodyText"/>
        <w:spacing w:before="42"/>
        <w:rPr>
          <w:rFonts w:ascii="Arial"/>
          <w:b/>
          <w:sz w:val="18"/>
        </w:rPr>
      </w:pPr>
    </w:p>
    <w:p>
      <w:pPr>
        <w:pStyle w:val="Heading2"/>
      </w:pPr>
      <w:r>
        <w:rPr/>
        <w:t>30-</w:t>
      </w:r>
      <w:r>
        <w:rPr>
          <w:spacing w:val="-5"/>
        </w:rPr>
        <w:t>259</w:t>
      </w:r>
    </w:p>
    <w:p>
      <w:pPr>
        <w:pStyle w:val="BodyText"/>
        <w:spacing w:before="199"/>
        <w:ind w:left="165"/>
        <w:jc w:val="both"/>
      </w:pPr>
      <w:r>
        <w:rPr/>
        <w:t>As</w:t>
      </w:r>
      <w:r>
        <w:rPr>
          <w:spacing w:val="9"/>
        </w:rPr>
        <w:t> </w:t>
      </w:r>
      <w:r>
        <w:rPr/>
        <w:t>regards</w:t>
      </w:r>
      <w:r>
        <w:rPr>
          <w:spacing w:val="9"/>
        </w:rPr>
        <w:t> </w:t>
      </w:r>
      <w:r>
        <w:rPr/>
        <w:t>non-life</w:t>
      </w:r>
      <w:r>
        <w:rPr>
          <w:spacing w:val="9"/>
        </w:rPr>
        <w:t> </w:t>
      </w:r>
      <w:r>
        <w:rPr/>
        <w:t>insurance,</w:t>
      </w:r>
      <w:r>
        <w:rPr>
          <w:spacing w:val="9"/>
        </w:rPr>
        <w:t> </w:t>
      </w:r>
      <w:r>
        <w:rPr/>
        <w:t>the</w:t>
      </w:r>
      <w:r>
        <w:rPr>
          <w:spacing w:val="9"/>
        </w:rPr>
        <w:t> </w:t>
      </w:r>
      <w:r>
        <w:rPr/>
        <w:t>country</w:t>
      </w:r>
      <w:r>
        <w:rPr>
          <w:spacing w:val="9"/>
        </w:rPr>
        <w:t> </w:t>
      </w:r>
      <w:r>
        <w:rPr/>
        <w:t>in</w:t>
      </w:r>
      <w:r>
        <w:rPr>
          <w:spacing w:val="9"/>
        </w:rPr>
        <w:t> </w:t>
      </w:r>
      <w:r>
        <w:rPr/>
        <w:t>which</w:t>
      </w:r>
      <w:r>
        <w:rPr>
          <w:spacing w:val="9"/>
        </w:rPr>
        <w:t> </w:t>
      </w:r>
      <w:r>
        <w:rPr/>
        <w:t>the</w:t>
      </w:r>
      <w:r>
        <w:rPr>
          <w:spacing w:val="9"/>
        </w:rPr>
        <w:t> </w:t>
      </w:r>
      <w:r>
        <w:rPr/>
        <w:t>risk</w:t>
      </w:r>
      <w:r>
        <w:rPr>
          <w:spacing w:val="9"/>
        </w:rPr>
        <w:t> </w:t>
      </w:r>
      <w:r>
        <w:rPr/>
        <w:t>is</w:t>
      </w:r>
      <w:r>
        <w:rPr>
          <w:spacing w:val="9"/>
        </w:rPr>
        <w:t> </w:t>
      </w:r>
      <w:r>
        <w:rPr/>
        <w:t>situated,</w:t>
      </w:r>
      <w:r>
        <w:rPr>
          <w:spacing w:val="9"/>
        </w:rPr>
        <w:t> </w:t>
      </w:r>
      <w:r>
        <w:rPr/>
        <w:t>is,</w:t>
      </w:r>
      <w:r>
        <w:rPr>
          <w:spacing w:val="9"/>
        </w:rPr>
        <w:t> </w:t>
      </w:r>
      <w:r>
        <w:rPr/>
        <w:t>according</w:t>
      </w:r>
      <w:r>
        <w:rPr>
          <w:spacing w:val="9"/>
        </w:rPr>
        <w:t> </w:t>
      </w:r>
      <w:r>
        <w:rPr/>
        <w:t>to</w:t>
      </w:r>
      <w:r>
        <w:rPr>
          <w:spacing w:val="9"/>
        </w:rPr>
        <w:t> </w:t>
      </w:r>
      <w:r>
        <w:rPr/>
        <w:t>art.7(6)</w:t>
      </w:r>
      <w:r>
        <w:rPr>
          <w:spacing w:val="9"/>
        </w:rPr>
        <w:t> </w:t>
      </w:r>
      <w:r>
        <w:rPr/>
        <w:t>of</w:t>
      </w:r>
      <w:r>
        <w:rPr>
          <w:spacing w:val="9"/>
        </w:rPr>
        <w:t> </w:t>
      </w:r>
      <w:r>
        <w:rPr>
          <w:spacing w:val="-5"/>
        </w:rPr>
        <w:t>the</w:t>
      </w:r>
    </w:p>
    <w:p>
      <w:pPr>
        <w:pStyle w:val="BodyText"/>
        <w:spacing w:after="0"/>
        <w:jc w:val="both"/>
        <w:sectPr>
          <w:pgSz w:w="11900" w:h="16840"/>
          <w:pgMar w:header="971" w:footer="0" w:top="1300" w:bottom="280" w:left="1275" w:right="1275"/>
        </w:sectPr>
      </w:pPr>
    </w:p>
    <w:p>
      <w:pPr>
        <w:pStyle w:val="BodyText"/>
        <w:spacing w:line="235" w:lineRule="auto" w:before="210"/>
        <w:ind w:left="165" w:right="167"/>
        <w:jc w:val="both"/>
      </w:pPr>
      <w:r>
        <w:rPr/>
        <w:t>Regulation, to be determined in accordance with art.2(d) of the Second Council Directive 88/357 </w:t>
      </w:r>
      <w:r>
        <w:rPr/>
        <w:t>on the coordination of laws, regulations and administrative provisions relating to direct insurance other </w:t>
      </w:r>
      <w:bookmarkStart w:name="_bookmark1868" w:id="1870"/>
      <w:bookmarkEnd w:id="1870"/>
      <w:r>
        <w:rPr/>
        <w:t>than</w:t>
      </w:r>
      <w:r>
        <w:rPr/>
        <w:t> life insurance and laying down provisions to facilitate the effective exercise of freedom to provide services.</w:t>
      </w:r>
      <w:r>
        <w:rPr>
          <w:spacing w:val="-1"/>
        </w:rPr>
        <w:t> </w:t>
      </w:r>
      <w:r>
        <w:rPr>
          <w:color w:val="005DA1"/>
          <w:u w:val="single" w:color="005DA1"/>
          <w:vertAlign w:val="superscript"/>
        </w:rPr>
        <w:t>989</w:t>
      </w:r>
      <w:r>
        <w:rPr>
          <w:color w:val="005DA1"/>
          <w:spacing w:val="-1"/>
          <w:vertAlign w:val="baseline"/>
        </w:rPr>
        <w:t> </w:t>
      </w:r>
      <w:r>
        <w:rPr>
          <w:vertAlign w:val="baseline"/>
        </w:rPr>
        <w:t>According</w:t>
      </w:r>
      <w:r>
        <w:rPr>
          <w:spacing w:val="-1"/>
          <w:vertAlign w:val="baseline"/>
        </w:rPr>
        <w:t> </w:t>
      </w:r>
      <w:r>
        <w:rPr>
          <w:vertAlign w:val="baseline"/>
        </w:rPr>
        <w:t>to</w:t>
      </w:r>
      <w:r>
        <w:rPr>
          <w:spacing w:val="-1"/>
          <w:vertAlign w:val="baseline"/>
        </w:rPr>
        <w:t> </w:t>
      </w:r>
      <w:r>
        <w:rPr>
          <w:vertAlign w:val="baseline"/>
        </w:rPr>
        <w:t>art.2(d)</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Directive,</w:t>
      </w:r>
      <w:r>
        <w:rPr>
          <w:spacing w:val="-1"/>
          <w:vertAlign w:val="baseline"/>
        </w:rPr>
        <w:t> </w:t>
      </w:r>
      <w:r>
        <w:rPr>
          <w:vertAlign w:val="baseline"/>
        </w:rPr>
        <w:t>the</w:t>
      </w:r>
      <w:r>
        <w:rPr>
          <w:spacing w:val="-1"/>
          <w:vertAlign w:val="baseline"/>
        </w:rPr>
        <w:t> </w:t>
      </w:r>
      <w:r>
        <w:rPr>
          <w:vertAlign w:val="baseline"/>
        </w:rPr>
        <w:t>Member</w:t>
      </w:r>
      <w:r>
        <w:rPr>
          <w:spacing w:val="-1"/>
          <w:vertAlign w:val="baseline"/>
        </w:rPr>
        <w:t> </w:t>
      </w:r>
      <w:r>
        <w:rPr>
          <w:vertAlign w:val="baseline"/>
        </w:rPr>
        <w:t>State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risk</w:t>
      </w:r>
      <w:r>
        <w:rPr>
          <w:spacing w:val="-1"/>
          <w:vertAlign w:val="baseline"/>
        </w:rPr>
        <w:t> </w:t>
      </w:r>
      <w:r>
        <w:rPr>
          <w:vertAlign w:val="baseline"/>
        </w:rPr>
        <w:t>is</w:t>
      </w:r>
      <w:r>
        <w:rPr>
          <w:spacing w:val="-1"/>
          <w:vertAlign w:val="baseline"/>
        </w:rPr>
        <w:t> </w:t>
      </w:r>
      <w:r>
        <w:rPr>
          <w:vertAlign w:val="baseline"/>
        </w:rPr>
        <w:t>situated</w:t>
      </w:r>
      <w:r>
        <w:rPr>
          <w:spacing w:val="-1"/>
          <w:vertAlign w:val="baseline"/>
        </w:rPr>
        <w:t> </w:t>
      </w:r>
      <w:r>
        <w:rPr>
          <w:vertAlign w:val="baseline"/>
        </w:rPr>
        <w:t>means: the Member State in which the property is situated, where the insurance relates either to buildings or to buildings and their contents, in so far as the contents are covered by the same policy; the Member State of registration, where the insurance relates to vehicles of any type; the Member State where the policyholder took out the policy in the case of policies of a duration of four months or less covering travel or holiday risks, whatever the class concerned; and in all cases not explicitly covered by the </w:t>
      </w:r>
      <w:bookmarkStart w:name="_bookmark1869" w:id="1871"/>
      <w:bookmarkEnd w:id="1871"/>
      <w:r>
        <w:rPr>
          <w:vertAlign w:val="baseline"/>
        </w:rPr>
        <w:t>foregoing</w:t>
      </w:r>
      <w:r>
        <w:rPr>
          <w:vertAlign w:val="baseline"/>
        </w:rPr>
        <w:t> provisions the Member State where the policyholder has his habitual residence or, if the policyholder is a legal person, the Member State where the latter’s establishment </w:t>
      </w:r>
      <w:r>
        <w:rPr>
          <w:color w:val="005DA1"/>
          <w:u w:val="single" w:color="005DA1"/>
          <w:vertAlign w:val="superscript"/>
        </w:rPr>
        <w:t>990</w:t>
      </w:r>
      <w:r>
        <w:rPr>
          <w:color w:val="005DA1"/>
          <w:vertAlign w:val="baseline"/>
        </w:rPr>
        <w:t> </w:t>
      </w:r>
      <w:r>
        <w:rPr>
          <w:vertAlign w:val="baseline"/>
        </w:rPr>
        <w:t>to which the contract relates, is situated. As regards life assurance, the country in which the risk is situated shall, according to art.6(4), be the country of commitment within the meaning of art.1(1)(g) of Directive 2002/83 concerning life assurance. Article 1(1)(g) defines Member State of the commitment as the </w:t>
      </w:r>
      <w:bookmarkStart w:name="_bookmark1870" w:id="1872"/>
      <w:bookmarkEnd w:id="1872"/>
      <w:r>
        <w:rPr>
          <w:vertAlign w:val="baseline"/>
        </w:rPr>
        <w:t>Member</w:t>
      </w:r>
      <w:r>
        <w:rPr>
          <w:vertAlign w:val="baseline"/>
        </w:rPr>
        <w:t> State where the policyholder has his/her habitual residence or, if the policyholder is a legal person, the Member State were the latter’s establishment </w:t>
      </w:r>
      <w:r>
        <w:rPr>
          <w:color w:val="005DA1"/>
          <w:u w:val="single" w:color="005DA1"/>
          <w:vertAlign w:val="superscript"/>
        </w:rPr>
        <w:t>991</w:t>
      </w:r>
      <w:r>
        <w:rPr>
          <w:color w:val="005DA1"/>
          <w:vertAlign w:val="baseline"/>
        </w:rPr>
        <w:t> </w:t>
      </w:r>
      <w:r>
        <w:rPr>
          <w:vertAlign w:val="baseline"/>
        </w:rPr>
        <w:t>to which the contract relates, is situated.</w:t>
      </w:r>
    </w:p>
    <w:p>
      <w:pPr>
        <w:pStyle w:val="BodyText"/>
      </w:pPr>
    </w:p>
    <w:p>
      <w:pPr>
        <w:pStyle w:val="BodyText"/>
        <w:spacing w:before="33"/>
      </w:pPr>
    </w:p>
    <w:p>
      <w:pPr>
        <w:spacing w:before="0"/>
        <w:ind w:left="165" w:right="0" w:firstLine="0"/>
        <w:jc w:val="left"/>
        <w:rPr>
          <w:rFonts w:ascii="Arial"/>
          <w:b/>
          <w:sz w:val="18"/>
        </w:rPr>
      </w:pPr>
      <w:r>
        <w:rPr>
          <w:rFonts w:ascii="Arial"/>
          <w:b/>
          <w:sz w:val="18"/>
        </w:rPr>
        <w:t>Choice of law rules </w:t>
      </w:r>
      <w:r>
        <w:rPr>
          <w:rFonts w:ascii="Arial"/>
          <w:b/>
          <w:spacing w:val="-2"/>
          <w:sz w:val="18"/>
        </w:rPr>
        <w:t>applicable</w:t>
      </w:r>
    </w:p>
    <w:p>
      <w:pPr>
        <w:pStyle w:val="BodyText"/>
        <w:spacing w:before="41"/>
        <w:rPr>
          <w:rFonts w:ascii="Arial"/>
          <w:b/>
          <w:sz w:val="18"/>
        </w:rPr>
      </w:pPr>
    </w:p>
    <w:p>
      <w:pPr>
        <w:pStyle w:val="Heading2"/>
      </w:pPr>
      <w:r>
        <w:rPr/>
        <w:t>30-</w:t>
      </w:r>
      <w:r>
        <w:rPr>
          <w:spacing w:val="-5"/>
        </w:rPr>
        <w:t>260</w:t>
      </w:r>
    </w:p>
    <w:p>
      <w:pPr>
        <w:pStyle w:val="BodyText"/>
        <w:spacing w:line="235" w:lineRule="auto" w:before="203"/>
        <w:ind w:left="165" w:right="167"/>
        <w:jc w:val="both"/>
      </w:pPr>
      <w:r>
        <w:rPr/>
        <w:t>The following paragraphs seek to describe the relevant choice of law rules elating to </w:t>
      </w:r>
      <w:r>
        <w:rPr/>
        <w:t>contracts covering large risks, under art.7(2) of the Regulation, and the relevant choice of law rules relating to contracts covering other risks which are contained in art.7(3) of the Regulation.</w:t>
      </w:r>
    </w:p>
    <w:p>
      <w:pPr>
        <w:pStyle w:val="BodyText"/>
      </w:pPr>
    </w:p>
    <w:p>
      <w:pPr>
        <w:pStyle w:val="BodyText"/>
        <w:spacing w:before="37"/>
      </w:pPr>
    </w:p>
    <w:p>
      <w:pPr>
        <w:spacing w:before="0"/>
        <w:ind w:left="165" w:right="0" w:firstLine="0"/>
        <w:jc w:val="left"/>
        <w:rPr>
          <w:rFonts w:ascii="Arial"/>
          <w:b/>
          <w:sz w:val="18"/>
        </w:rPr>
      </w:pPr>
      <w:r>
        <w:rPr>
          <w:rFonts w:ascii="Arial"/>
          <w:b/>
          <w:sz w:val="18"/>
        </w:rPr>
        <w:t>Large </w:t>
      </w:r>
      <w:r>
        <w:rPr>
          <w:rFonts w:ascii="Arial"/>
          <w:b/>
          <w:spacing w:val="-2"/>
          <w:sz w:val="18"/>
        </w:rPr>
        <w:t>risks</w:t>
      </w:r>
    </w:p>
    <w:p>
      <w:pPr>
        <w:pStyle w:val="BodyText"/>
        <w:spacing w:before="41"/>
        <w:rPr>
          <w:rFonts w:ascii="Arial"/>
          <w:b/>
          <w:sz w:val="18"/>
        </w:rPr>
      </w:pPr>
    </w:p>
    <w:p>
      <w:pPr>
        <w:pStyle w:val="Heading2"/>
        <w:spacing w:before="1"/>
      </w:pPr>
      <w:r>
        <w:rPr/>
        <w:t>30-</w:t>
      </w:r>
      <w:r>
        <w:rPr>
          <w:spacing w:val="-5"/>
        </w:rPr>
        <w:t>261</w:t>
      </w:r>
    </w:p>
    <w:p>
      <w:pPr>
        <w:pStyle w:val="BodyText"/>
        <w:spacing w:before="198"/>
        <w:ind w:left="165"/>
        <w:jc w:val="both"/>
      </w:pPr>
      <w:r>
        <w:rPr/>
        <w:t>Article 7(2), first sub-paragraph, of the Regulation provides that </w:t>
      </w:r>
      <w:r>
        <w:rPr>
          <w:spacing w:val="-5"/>
        </w:rPr>
        <w:t>an:</w:t>
      </w:r>
    </w:p>
    <w:p>
      <w:pPr>
        <w:pStyle w:val="BodyText"/>
      </w:pPr>
    </w:p>
    <w:p>
      <w:pPr>
        <w:pStyle w:val="BodyText"/>
        <w:spacing w:before="126"/>
      </w:pPr>
    </w:p>
    <w:p>
      <w:pPr>
        <w:pStyle w:val="BodyText"/>
        <w:spacing w:line="235" w:lineRule="auto"/>
        <w:ind w:left="1245" w:right="167"/>
        <w:jc w:val="both"/>
      </w:pPr>
      <w:r>
        <w:rPr/>
        <w:t>“… insurance contract covering a large risk as defined in Article 5(d) of the First </w:t>
      </w:r>
      <w:r>
        <w:rPr/>
        <w:t>Council Directive 73/239/EEC of July 24, 1973 on the co-ordination of laws, regulations and </w:t>
      </w:r>
      <w:bookmarkStart w:name="_bookmark1871" w:id="1873"/>
      <w:bookmarkEnd w:id="1873"/>
      <w:r>
        <w:rPr/>
        <w:t>administrative</w:t>
      </w:r>
      <w:r>
        <w:rPr/>
        <w:t> provisions relating to the taking-up and pursuit of the business of direct insurance</w:t>
      </w:r>
      <w:r>
        <w:rPr>
          <w:spacing w:val="-3"/>
        </w:rPr>
        <w:t> </w:t>
      </w:r>
      <w:r>
        <w:rPr/>
        <w:t>other</w:t>
      </w:r>
      <w:r>
        <w:rPr>
          <w:spacing w:val="-3"/>
        </w:rPr>
        <w:t> </w:t>
      </w:r>
      <w:r>
        <w:rPr/>
        <w:t>than</w:t>
      </w:r>
      <w:r>
        <w:rPr>
          <w:spacing w:val="-3"/>
        </w:rPr>
        <w:t> </w:t>
      </w:r>
      <w:r>
        <w:rPr/>
        <w:t>life</w:t>
      </w:r>
      <w:r>
        <w:rPr>
          <w:spacing w:val="-3"/>
        </w:rPr>
        <w:t> </w:t>
      </w:r>
      <w:r>
        <w:rPr/>
        <w:t>assurance</w:t>
      </w:r>
      <w:r>
        <w:rPr>
          <w:spacing w:val="-4"/>
        </w:rPr>
        <w:t> </w:t>
      </w:r>
      <w:r>
        <w:rPr>
          <w:color w:val="005DA1"/>
          <w:u w:val="single" w:color="005DA1"/>
          <w:vertAlign w:val="superscript"/>
        </w:rPr>
        <w:t>992</w:t>
      </w:r>
      <w:r>
        <w:rPr>
          <w:color w:val="005DA1"/>
          <w:spacing w:val="-3"/>
          <w:vertAlign w:val="baseline"/>
        </w:rPr>
        <w:t> </w:t>
      </w:r>
      <w:r>
        <w:rPr>
          <w:vertAlign w:val="baseline"/>
        </w:rPr>
        <w:t>shall</w:t>
      </w:r>
      <w:r>
        <w:rPr>
          <w:spacing w:val="-3"/>
          <w:vertAlign w:val="baseline"/>
        </w:rPr>
        <w:t> </w:t>
      </w:r>
      <w:r>
        <w:rPr>
          <w:vertAlign w:val="baseline"/>
        </w:rPr>
        <w:t>be</w:t>
      </w:r>
      <w:r>
        <w:rPr>
          <w:spacing w:val="-3"/>
          <w:vertAlign w:val="baseline"/>
        </w:rPr>
        <w:t> </w:t>
      </w:r>
      <w:r>
        <w:rPr>
          <w:vertAlign w:val="baseline"/>
        </w:rPr>
        <w:t>governed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law</w:t>
      </w:r>
      <w:r>
        <w:rPr>
          <w:spacing w:val="-3"/>
          <w:vertAlign w:val="baseline"/>
        </w:rPr>
        <w:t> </w:t>
      </w:r>
      <w:r>
        <w:rPr>
          <w:vertAlign w:val="baseline"/>
        </w:rPr>
        <w:t>chosen</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parties in accordance with Article 3 of this Regulation.”</w:t>
      </w:r>
    </w:p>
    <w:p>
      <w:pPr>
        <w:pStyle w:val="BodyText"/>
        <w:spacing w:before="111"/>
      </w:pPr>
    </w:p>
    <w:p>
      <w:pPr>
        <w:pStyle w:val="BodyText"/>
        <w:ind w:left="165"/>
        <w:jc w:val="both"/>
      </w:pPr>
      <w:r>
        <w:rPr/>
        <w:t>The second sub-paragraph of art.7(2) states that </w:t>
      </w:r>
      <w:r>
        <w:rPr>
          <w:spacing w:val="-5"/>
        </w:rPr>
        <w:t>to:</w:t>
      </w:r>
    </w:p>
    <w:p>
      <w:pPr>
        <w:pStyle w:val="BodyText"/>
      </w:pPr>
    </w:p>
    <w:p>
      <w:pPr>
        <w:pStyle w:val="BodyText"/>
        <w:spacing w:before="126"/>
      </w:pPr>
    </w:p>
    <w:p>
      <w:pPr>
        <w:pStyle w:val="BodyText"/>
        <w:spacing w:line="235" w:lineRule="auto"/>
        <w:ind w:left="1245" w:right="167"/>
        <w:jc w:val="both"/>
      </w:pPr>
      <w:r>
        <w:rPr/>
        <w:t>“… the extent that the applicable law has not been chosen by the parties, the insurance contract shall be governed by the law of the country where the insurer has his </w:t>
      </w:r>
      <w:r>
        <w:rPr/>
        <w:t>habitual residence. Where it is clear from all the circumstances that the contract is manifestly</w:t>
      </w:r>
      <w:r>
        <w:rPr>
          <w:spacing w:val="40"/>
        </w:rPr>
        <w:t> </w:t>
      </w:r>
      <w:r>
        <w:rPr/>
        <w:t>more closely connected with another country, the law of that other country shall apply.”</w:t>
      </w:r>
    </w:p>
    <w:p>
      <w:pPr>
        <w:pStyle w:val="BodyText"/>
      </w:pPr>
    </w:p>
    <w:p>
      <w:pPr>
        <w:pStyle w:val="BodyText"/>
      </w:pPr>
    </w:p>
    <w:p>
      <w:pPr>
        <w:pStyle w:val="BodyText"/>
        <w:spacing w:before="153"/>
      </w:pPr>
    </w:p>
    <w:p>
      <w:pPr>
        <w:spacing w:before="1"/>
        <w:ind w:left="165" w:right="0" w:firstLine="0"/>
        <w:jc w:val="left"/>
        <w:rPr>
          <w:rFonts w:ascii="Arial" w:hAnsi="Arial"/>
          <w:b/>
          <w:sz w:val="18"/>
        </w:rPr>
      </w:pPr>
      <w:r>
        <w:rPr>
          <w:rFonts w:ascii="Arial" w:hAnsi="Arial"/>
          <w:b/>
          <w:sz w:val="18"/>
        </w:rPr>
        <w:t>Meaning of “large </w:t>
      </w:r>
      <w:r>
        <w:rPr>
          <w:rFonts w:ascii="Arial" w:hAnsi="Arial"/>
          <w:b/>
          <w:spacing w:val="-2"/>
          <w:sz w:val="18"/>
        </w:rPr>
        <w:t>risk”</w:t>
      </w:r>
    </w:p>
    <w:p>
      <w:pPr>
        <w:pStyle w:val="BodyText"/>
        <w:spacing w:before="41"/>
        <w:rPr>
          <w:rFonts w:ascii="Arial"/>
          <w:b/>
          <w:sz w:val="18"/>
        </w:rPr>
      </w:pPr>
    </w:p>
    <w:p>
      <w:pPr>
        <w:pStyle w:val="Heading2"/>
      </w:pPr>
      <w:r>
        <w:rPr/>
        <w:t>30-</w:t>
      </w:r>
      <w:r>
        <w:rPr>
          <w:spacing w:val="-5"/>
        </w:rPr>
        <w:t>262</w:t>
      </w:r>
    </w:p>
    <w:p>
      <w:pPr>
        <w:pStyle w:val="BodyText"/>
        <w:spacing w:line="235" w:lineRule="auto" w:before="203"/>
        <w:ind w:left="165" w:right="167"/>
        <w:jc w:val="both"/>
      </w:pPr>
      <w:r>
        <w:rPr/>
        <w:t>According to art.5(d) of the Directive a large risk is defined as a risk which is classified as a </w:t>
      </w:r>
      <w:r>
        <w:rPr/>
        <w:t>risk </w:t>
      </w:r>
      <w:bookmarkStart w:name="_bookmark1872" w:id="1874"/>
      <w:bookmarkEnd w:id="1874"/>
      <w:r>
        <w:rPr/>
        <w:t>relating</w:t>
      </w:r>
      <w:r>
        <w:rPr/>
        <w:t> to: damage or loss of, railway stock, aircraft, ships (sea, lake, river and canal vessels), goods in transit, aircraft liability, liability for ships (as above), </w:t>
      </w:r>
      <w:r>
        <w:rPr>
          <w:color w:val="005DA1"/>
          <w:u w:val="single" w:color="005DA1"/>
          <w:vertAlign w:val="superscript"/>
        </w:rPr>
        <w:t>993</w:t>
      </w:r>
      <w:r>
        <w:rPr>
          <w:color w:val="005DA1"/>
          <w:vertAlign w:val="baseline"/>
        </w:rPr>
        <w:t> </w:t>
      </w:r>
      <w:r>
        <w:rPr>
          <w:vertAlign w:val="baseline"/>
        </w:rPr>
        <w:t>credit (covering general insolvency, export credit,</w:t>
      </w:r>
      <w:r>
        <w:rPr>
          <w:spacing w:val="25"/>
          <w:vertAlign w:val="baseline"/>
        </w:rPr>
        <w:t> </w:t>
      </w:r>
      <w:r>
        <w:rPr>
          <w:vertAlign w:val="baseline"/>
        </w:rPr>
        <w:t>instalment</w:t>
      </w:r>
      <w:r>
        <w:rPr>
          <w:spacing w:val="25"/>
          <w:vertAlign w:val="baseline"/>
        </w:rPr>
        <w:t> </w:t>
      </w:r>
      <w:r>
        <w:rPr>
          <w:vertAlign w:val="baseline"/>
        </w:rPr>
        <w:t>credit,</w:t>
      </w:r>
      <w:r>
        <w:rPr>
          <w:spacing w:val="25"/>
          <w:vertAlign w:val="baseline"/>
        </w:rPr>
        <w:t> </w:t>
      </w:r>
      <w:r>
        <w:rPr>
          <w:vertAlign w:val="baseline"/>
        </w:rPr>
        <w:t>mortgages,</w:t>
      </w:r>
      <w:r>
        <w:rPr>
          <w:spacing w:val="25"/>
          <w:vertAlign w:val="baseline"/>
        </w:rPr>
        <w:t> </w:t>
      </w:r>
      <w:r>
        <w:rPr>
          <w:vertAlign w:val="baseline"/>
        </w:rPr>
        <w:t>and</w:t>
      </w:r>
      <w:r>
        <w:rPr>
          <w:spacing w:val="25"/>
          <w:vertAlign w:val="baseline"/>
        </w:rPr>
        <w:t> </w:t>
      </w:r>
      <w:r>
        <w:rPr>
          <w:vertAlign w:val="baseline"/>
        </w:rPr>
        <w:t>agricultural</w:t>
      </w:r>
      <w:r>
        <w:rPr>
          <w:spacing w:val="25"/>
          <w:vertAlign w:val="baseline"/>
        </w:rPr>
        <w:t> </w:t>
      </w:r>
      <w:r>
        <w:rPr>
          <w:vertAlign w:val="baseline"/>
        </w:rPr>
        <w:t>credit),</w:t>
      </w:r>
      <w:r>
        <w:rPr>
          <w:spacing w:val="25"/>
          <w:vertAlign w:val="baseline"/>
        </w:rPr>
        <w:t> </w:t>
      </w:r>
      <w:r>
        <w:rPr>
          <w:vertAlign w:val="baseline"/>
        </w:rPr>
        <w:t>suretyship</w:t>
      </w:r>
      <w:r>
        <w:rPr>
          <w:spacing w:val="25"/>
          <w:vertAlign w:val="baseline"/>
        </w:rPr>
        <w:t> </w:t>
      </w:r>
      <w:r>
        <w:rPr>
          <w:vertAlign w:val="baseline"/>
        </w:rPr>
        <w:t>(covering</w:t>
      </w:r>
      <w:r>
        <w:rPr>
          <w:spacing w:val="25"/>
          <w:vertAlign w:val="baseline"/>
        </w:rPr>
        <w:t> </w:t>
      </w:r>
      <w:r>
        <w:rPr>
          <w:vertAlign w:val="baseline"/>
        </w:rPr>
        <w:t>direct</w:t>
      </w:r>
      <w:r>
        <w:rPr>
          <w:spacing w:val="25"/>
          <w:vertAlign w:val="baseline"/>
        </w:rPr>
        <w:t> </w:t>
      </w:r>
      <w:r>
        <w:rPr>
          <w:vertAlign w:val="baseline"/>
        </w:rPr>
        <w:t>and</w:t>
      </w:r>
      <w:r>
        <w:rPr>
          <w:spacing w:val="25"/>
          <w:vertAlign w:val="baseline"/>
        </w:rPr>
        <w:t> </w:t>
      </w:r>
      <w:r>
        <w:rPr>
          <w:spacing w:val="-2"/>
          <w:vertAlign w:val="baseline"/>
        </w:rPr>
        <w:t>indirect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873" w:id="1875"/>
      <w:bookmarkEnd w:id="1875"/>
      <w:r>
        <w:rPr/>
      </w:r>
      <w:bookmarkStart w:name="_bookmark1874" w:id="1876"/>
      <w:bookmarkEnd w:id="1876"/>
      <w:r>
        <w:rPr/>
      </w:r>
      <w:r>
        <w:rPr/>
        <w:t>suretyship), </w:t>
      </w:r>
      <w:r>
        <w:rPr>
          <w:color w:val="005DA1"/>
          <w:u w:val="single" w:color="005DA1"/>
          <w:vertAlign w:val="superscript"/>
        </w:rPr>
        <w:t>994</w:t>
      </w:r>
      <w:r>
        <w:rPr>
          <w:color w:val="005DA1"/>
          <w:vertAlign w:val="baseline"/>
        </w:rPr>
        <w:t> </w:t>
      </w:r>
      <w:r>
        <w:rPr>
          <w:vertAlign w:val="baseline"/>
        </w:rPr>
        <w:t>damage and loss to vehicles, certain events involving fire and natural forces, other damage to property, motor vehicle liability, general liability and miscellaneous financial loss. </w:t>
      </w:r>
      <w:r>
        <w:rPr>
          <w:color w:val="005DA1"/>
          <w:u w:val="single" w:color="005DA1"/>
          <w:vertAlign w:val="superscript"/>
        </w:rPr>
        <w:t>995</w:t>
      </w:r>
    </w:p>
    <w:p>
      <w:pPr>
        <w:pStyle w:val="BodyText"/>
      </w:pPr>
    </w:p>
    <w:p>
      <w:pPr>
        <w:pStyle w:val="BodyText"/>
        <w:spacing w:before="38"/>
      </w:pPr>
    </w:p>
    <w:p>
      <w:pPr>
        <w:spacing w:before="0"/>
        <w:ind w:left="165" w:right="0" w:firstLine="0"/>
        <w:jc w:val="left"/>
        <w:rPr>
          <w:rFonts w:ascii="Arial"/>
          <w:b/>
          <w:sz w:val="18"/>
        </w:rPr>
      </w:pPr>
      <w:r>
        <w:rPr>
          <w:rFonts w:ascii="Arial"/>
          <w:b/>
          <w:sz w:val="18"/>
        </w:rPr>
        <w:t>Choice of law by the </w:t>
      </w:r>
      <w:r>
        <w:rPr>
          <w:rFonts w:ascii="Arial"/>
          <w:b/>
          <w:spacing w:val="-2"/>
          <w:sz w:val="18"/>
        </w:rPr>
        <w:t>parties</w:t>
      </w:r>
    </w:p>
    <w:p>
      <w:pPr>
        <w:pStyle w:val="BodyText"/>
        <w:spacing w:before="41"/>
        <w:rPr>
          <w:rFonts w:ascii="Arial"/>
          <w:b/>
          <w:sz w:val="18"/>
        </w:rPr>
      </w:pPr>
    </w:p>
    <w:p>
      <w:pPr>
        <w:pStyle w:val="Heading2"/>
      </w:pPr>
      <w:r>
        <w:rPr/>
        <w:t>30-</w:t>
      </w:r>
      <w:r>
        <w:rPr>
          <w:spacing w:val="-5"/>
        </w:rPr>
        <w:t>263</w:t>
      </w:r>
    </w:p>
    <w:p>
      <w:pPr>
        <w:pStyle w:val="BodyText"/>
        <w:spacing w:line="235" w:lineRule="auto" w:before="203"/>
        <w:ind w:left="165" w:right="167"/>
        <w:jc w:val="both"/>
      </w:pPr>
      <w:bookmarkStart w:name="_bookmark1875" w:id="1877"/>
      <w:bookmarkEnd w:id="1877"/>
      <w:r>
        <w:rPr/>
      </w:r>
      <w:r>
        <w:rPr/>
        <w:t>In relation to an insurance contract covering a large risk, as defined in the previous paragraph, </w:t>
      </w:r>
      <w:r>
        <w:rPr/>
        <w:t>the parties</w:t>
      </w:r>
      <w:r>
        <w:rPr>
          <w:spacing w:val="-4"/>
        </w:rPr>
        <w:t> </w:t>
      </w:r>
      <w:r>
        <w:rPr/>
        <w:t>may</w:t>
      </w:r>
      <w:r>
        <w:rPr>
          <w:spacing w:val="-4"/>
        </w:rPr>
        <w:t> </w:t>
      </w:r>
      <w:r>
        <w:rPr/>
        <w:t>choose</w:t>
      </w:r>
      <w:r>
        <w:rPr>
          <w:spacing w:val="-4"/>
        </w:rPr>
        <w:t> </w:t>
      </w:r>
      <w:r>
        <w:rPr/>
        <w:t>the</w:t>
      </w:r>
      <w:r>
        <w:rPr>
          <w:spacing w:val="-4"/>
        </w:rPr>
        <w:t> </w:t>
      </w:r>
      <w:r>
        <w:rPr/>
        <w:t>law</w:t>
      </w:r>
      <w:r>
        <w:rPr>
          <w:spacing w:val="-4"/>
        </w:rPr>
        <w:t> </w:t>
      </w:r>
      <w:r>
        <w:rPr>
          <w:color w:val="005DA1"/>
          <w:u w:val="single" w:color="005DA1"/>
          <w:vertAlign w:val="superscript"/>
        </w:rPr>
        <w:t>996</w:t>
      </w:r>
      <w:r>
        <w:rPr>
          <w:color w:val="005DA1"/>
          <w:spacing w:val="-4"/>
          <w:vertAlign w:val="baseline"/>
        </w:rPr>
        <w:t> </w:t>
      </w:r>
      <w:r>
        <w:rPr>
          <w:vertAlign w:val="baseline"/>
        </w:rPr>
        <w:t>applicable</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contract</w:t>
      </w:r>
      <w:r>
        <w:rPr>
          <w:spacing w:val="-4"/>
          <w:vertAlign w:val="baseline"/>
        </w:rPr>
        <w:t> </w:t>
      </w:r>
      <w:r>
        <w:rPr>
          <w:vertAlign w:val="baseline"/>
        </w:rPr>
        <w:t>in</w:t>
      </w:r>
      <w:r>
        <w:rPr>
          <w:spacing w:val="-4"/>
          <w:vertAlign w:val="baseline"/>
        </w:rPr>
        <w:t> </w:t>
      </w:r>
      <w:r>
        <w:rPr>
          <w:vertAlign w:val="baseline"/>
        </w:rPr>
        <w:t>accordance</w:t>
      </w:r>
      <w:r>
        <w:rPr>
          <w:spacing w:val="-4"/>
          <w:vertAlign w:val="baseline"/>
        </w:rPr>
        <w:t> </w:t>
      </w:r>
      <w:r>
        <w:rPr>
          <w:vertAlign w:val="baseline"/>
        </w:rPr>
        <w:t>with</w:t>
      </w:r>
      <w:r>
        <w:rPr>
          <w:spacing w:val="-4"/>
          <w:vertAlign w:val="baseline"/>
        </w:rPr>
        <w:t> </w:t>
      </w:r>
      <w:r>
        <w:rPr>
          <w:vertAlign w:val="baseline"/>
        </w:rPr>
        <w:t>art.3</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Regulation,</w:t>
      </w:r>
      <w:r>
        <w:rPr>
          <w:spacing w:val="-5"/>
          <w:vertAlign w:val="baseline"/>
        </w:rPr>
        <w:t> </w:t>
      </w:r>
      <w:r>
        <w:rPr>
          <w:color w:val="005DA1"/>
          <w:u w:val="single" w:color="005DA1"/>
          <w:vertAlign w:val="superscript"/>
        </w:rPr>
        <w:t>997</w:t>
      </w:r>
      <w:r>
        <w:rPr>
          <w:color w:val="005DA1"/>
          <w:vertAlign w:val="baseline"/>
        </w:rPr>
        <w:t> </w:t>
      </w:r>
      <w:r>
        <w:rPr>
          <w:vertAlign w:val="baseline"/>
        </w:rPr>
        <w:t>irrespective of the country in which the relevant risk covered is situated, as a result of art.7(2) of the </w:t>
      </w:r>
      <w:r>
        <w:rPr>
          <w:spacing w:val="-2"/>
          <w:vertAlign w:val="baseline"/>
        </w:rPr>
        <w:t>Regulation.</w:t>
      </w:r>
    </w:p>
    <w:p>
      <w:pPr>
        <w:pStyle w:val="BodyText"/>
      </w:pPr>
    </w:p>
    <w:p>
      <w:pPr>
        <w:pStyle w:val="BodyText"/>
        <w:spacing w:before="37"/>
      </w:pPr>
    </w:p>
    <w:p>
      <w:pPr>
        <w:spacing w:before="0"/>
        <w:ind w:left="165" w:right="0" w:firstLine="0"/>
        <w:jc w:val="left"/>
        <w:rPr>
          <w:rFonts w:ascii="Arial"/>
          <w:b/>
          <w:sz w:val="18"/>
        </w:rPr>
      </w:pPr>
      <w:r>
        <w:rPr>
          <w:rFonts w:ascii="Arial"/>
          <w:b/>
          <w:sz w:val="18"/>
        </w:rPr>
        <w:t>Applicable law in absence of </w:t>
      </w:r>
      <w:r>
        <w:rPr>
          <w:rFonts w:ascii="Arial"/>
          <w:b/>
          <w:spacing w:val="-2"/>
          <w:sz w:val="18"/>
        </w:rPr>
        <w:t>choice</w:t>
      </w:r>
    </w:p>
    <w:p>
      <w:pPr>
        <w:pStyle w:val="BodyText"/>
        <w:spacing w:before="41"/>
        <w:rPr>
          <w:rFonts w:ascii="Arial"/>
          <w:b/>
          <w:sz w:val="18"/>
        </w:rPr>
      </w:pPr>
    </w:p>
    <w:p>
      <w:pPr>
        <w:pStyle w:val="Heading2"/>
        <w:spacing w:before="1"/>
      </w:pPr>
      <w:r>
        <w:rPr/>
        <w:t>30-</w:t>
      </w:r>
      <w:r>
        <w:rPr>
          <w:spacing w:val="-5"/>
        </w:rPr>
        <w:t>264</w:t>
      </w:r>
    </w:p>
    <w:p>
      <w:pPr>
        <w:pStyle w:val="BodyText"/>
        <w:spacing w:line="235" w:lineRule="auto" w:before="202"/>
        <w:ind w:left="165" w:right="167"/>
        <w:jc w:val="both"/>
      </w:pPr>
      <w:bookmarkStart w:name="_bookmark1876" w:id="1878"/>
      <w:bookmarkEnd w:id="1878"/>
      <w:r>
        <w:rPr/>
      </w:r>
      <w:r>
        <w:rPr/>
        <w:t>The second sub-paragraph of art.7(2) stipulates that in the absence of a choice of law satisfying </w:t>
      </w:r>
      <w:r>
        <w:rPr/>
        <w:t>art.3 </w:t>
      </w:r>
      <w:bookmarkStart w:name="_bookmark1877" w:id="1879"/>
      <w:bookmarkEnd w:id="1879"/>
      <w:r>
        <w:rPr/>
        <w:t>of</w:t>
      </w:r>
      <w:r>
        <w:rPr/>
        <w:t> the Regulation, the contract will be governed, as a general rule, by the law of the country </w:t>
      </w:r>
      <w:r>
        <w:rPr>
          <w:color w:val="005DA1"/>
          <w:u w:val="single" w:color="005DA1"/>
          <w:vertAlign w:val="superscript"/>
        </w:rPr>
        <w:t>998</w:t>
      </w:r>
      <w:r>
        <w:rPr>
          <w:color w:val="005DA1"/>
          <w:vertAlign w:val="baseline"/>
        </w:rPr>
        <w:t> </w:t>
      </w:r>
      <w:r>
        <w:rPr>
          <w:vertAlign w:val="baseline"/>
        </w:rPr>
        <w:t>in which the insurer has his habitual residence. </w:t>
      </w:r>
      <w:r>
        <w:rPr>
          <w:color w:val="005DA1"/>
          <w:u w:val="single" w:color="005DA1"/>
          <w:vertAlign w:val="superscript"/>
        </w:rPr>
        <w:t>999</w:t>
      </w:r>
      <w:r>
        <w:rPr>
          <w:color w:val="005DA1"/>
          <w:vertAlign w:val="baseline"/>
        </w:rPr>
        <w:t> </w:t>
      </w:r>
      <w:r>
        <w:rPr>
          <w:vertAlign w:val="baseline"/>
        </w:rPr>
        <w:t>This sub-paragraph also provides that where it is clear from all the circumstances of the case that the contract is manifestly more closely connected </w:t>
      </w:r>
      <w:bookmarkStart w:name="_bookmark1878" w:id="1880"/>
      <w:bookmarkEnd w:id="1880"/>
      <w:r>
        <w:rPr>
          <w:vertAlign w:val="baseline"/>
        </w:rPr>
        <w:t>with</w:t>
      </w:r>
      <w:r>
        <w:rPr>
          <w:vertAlign w:val="baseline"/>
        </w:rPr>
        <w:t> another country, the law of that other country shall apply. This approach, in effect, reproduces art.4(1)</w:t>
      </w:r>
      <w:r>
        <w:rPr>
          <w:spacing w:val="20"/>
          <w:vertAlign w:val="baseline"/>
        </w:rPr>
        <w:t> </w:t>
      </w:r>
      <w:r>
        <w:rPr>
          <w:vertAlign w:val="baseline"/>
        </w:rPr>
        <w:t>and</w:t>
      </w:r>
      <w:r>
        <w:rPr>
          <w:spacing w:val="20"/>
          <w:vertAlign w:val="baseline"/>
        </w:rPr>
        <w:t> </w:t>
      </w:r>
      <w:r>
        <w:rPr>
          <w:vertAlign w:val="baseline"/>
        </w:rPr>
        <w:t>(3)</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Regulation</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specific</w:t>
      </w:r>
      <w:r>
        <w:rPr>
          <w:spacing w:val="20"/>
          <w:vertAlign w:val="baseline"/>
        </w:rPr>
        <w:t> </w:t>
      </w:r>
      <w:r>
        <w:rPr>
          <w:vertAlign w:val="baseline"/>
        </w:rPr>
        <w:t>context</w:t>
      </w:r>
      <w:r>
        <w:rPr>
          <w:spacing w:val="20"/>
          <w:vertAlign w:val="baseline"/>
        </w:rPr>
        <w:t> </w:t>
      </w:r>
      <w:r>
        <w:rPr>
          <w:vertAlign w:val="baseline"/>
        </w:rPr>
        <w:t>of</w:t>
      </w:r>
      <w:r>
        <w:rPr>
          <w:spacing w:val="20"/>
          <w:vertAlign w:val="baseline"/>
        </w:rPr>
        <w:t> </w:t>
      </w:r>
      <w:r>
        <w:rPr>
          <w:vertAlign w:val="baseline"/>
        </w:rPr>
        <w:t>insurance</w:t>
      </w:r>
      <w:r>
        <w:rPr>
          <w:spacing w:val="20"/>
          <w:vertAlign w:val="baseline"/>
        </w:rPr>
        <w:t> </w:t>
      </w:r>
      <w:r>
        <w:rPr>
          <w:vertAlign w:val="baseline"/>
        </w:rPr>
        <w:t>contracts</w:t>
      </w:r>
      <w:r>
        <w:rPr>
          <w:spacing w:val="20"/>
          <w:vertAlign w:val="baseline"/>
        </w:rPr>
        <w:t> </w:t>
      </w:r>
      <w:r>
        <w:rPr>
          <w:vertAlign w:val="baseline"/>
        </w:rPr>
        <w:t>covering</w:t>
      </w:r>
      <w:r>
        <w:rPr>
          <w:spacing w:val="20"/>
          <w:vertAlign w:val="baseline"/>
        </w:rPr>
        <w:t> </w:t>
      </w:r>
      <w:r>
        <w:rPr>
          <w:vertAlign w:val="baseline"/>
        </w:rPr>
        <w:t>large</w:t>
      </w:r>
      <w:r>
        <w:rPr>
          <w:spacing w:val="20"/>
          <w:vertAlign w:val="baseline"/>
        </w:rPr>
        <w:t> </w:t>
      </w:r>
      <w:r>
        <w:rPr>
          <w:spacing w:val="-2"/>
          <w:vertAlign w:val="baseline"/>
        </w:rPr>
        <w:t>risks.</w:t>
      </w:r>
    </w:p>
    <w:p>
      <w:pPr>
        <w:spacing w:line="111" w:lineRule="exact" w:before="0"/>
        <w:ind w:left="165" w:right="0" w:firstLine="0"/>
        <w:jc w:val="left"/>
        <w:rPr>
          <w:sz w:val="12"/>
        </w:rPr>
      </w:pPr>
      <w:r>
        <w:rPr>
          <w:color w:val="005DA1"/>
          <w:spacing w:val="-4"/>
          <w:sz w:val="12"/>
          <w:u w:val="single" w:color="005DA1"/>
        </w:rPr>
        <w:t>1000</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Other insurance contracts not falling within </w:t>
      </w:r>
      <w:r>
        <w:rPr>
          <w:rFonts w:ascii="Arial"/>
          <w:b/>
          <w:spacing w:val="-2"/>
          <w:sz w:val="18"/>
        </w:rPr>
        <w:t>art.7(2)</w:t>
      </w:r>
    </w:p>
    <w:p>
      <w:pPr>
        <w:pStyle w:val="BodyText"/>
        <w:spacing w:before="41"/>
        <w:rPr>
          <w:rFonts w:ascii="Arial"/>
          <w:b/>
          <w:sz w:val="18"/>
        </w:rPr>
      </w:pPr>
    </w:p>
    <w:p>
      <w:pPr>
        <w:pStyle w:val="Heading2"/>
        <w:spacing w:before="1"/>
      </w:pPr>
      <w:r>
        <w:rPr/>
        <w:t>30-</w:t>
      </w:r>
      <w:r>
        <w:rPr>
          <w:spacing w:val="-5"/>
        </w:rPr>
        <w:t>265</w:t>
      </w:r>
    </w:p>
    <w:p>
      <w:pPr>
        <w:pStyle w:val="BodyText"/>
        <w:spacing w:line="235" w:lineRule="auto" w:before="202"/>
        <w:ind w:left="165" w:right="167"/>
        <w:jc w:val="both"/>
      </w:pPr>
      <w:r>
        <w:rPr/>
        <w:t>Where the insurance contract is one which does not fall within art.7(2), the relevant choice of </w:t>
      </w:r>
      <w:r>
        <w:rPr/>
        <w:t>law</w:t>
      </w:r>
      <w:r>
        <w:rPr>
          <w:spacing w:val="40"/>
        </w:rPr>
        <w:t> </w:t>
      </w:r>
      <w:bookmarkStart w:name="_bookmark1879" w:id="1881"/>
      <w:bookmarkEnd w:id="1881"/>
      <w:r>
        <w:rPr/>
        <w:t>rules</w:t>
      </w:r>
      <w:r>
        <w:rPr/>
        <w:t> are to be found in art.7(3) of the Regulation. As provided in art.7(1), these choice of law rules only apply to insurance contracts covering risks situated inside the territory of the Member States. </w:t>
      </w:r>
      <w:r>
        <w:rPr>
          <w:color w:val="005DA1"/>
          <w:u w:val="single" w:color="005DA1"/>
          <w:vertAlign w:val="superscript"/>
        </w:rPr>
        <w:t>1001</w:t>
      </w:r>
      <w:r>
        <w:rPr>
          <w:color w:val="005DA1"/>
          <w:vertAlign w:val="baseline"/>
        </w:rPr>
        <w:t> </w:t>
      </w:r>
      <w:r>
        <w:rPr>
          <w:vertAlign w:val="baseline"/>
        </w:rPr>
        <w:t>Article 7(3) of the Regulation is, however, capable of applying (unlike art.7(2) which only applies to non-life</w:t>
      </w:r>
      <w:r>
        <w:rPr>
          <w:spacing w:val="-2"/>
          <w:vertAlign w:val="baseline"/>
        </w:rPr>
        <w:t> </w:t>
      </w:r>
      <w:r>
        <w:rPr>
          <w:vertAlign w:val="baseline"/>
        </w:rPr>
        <w:t>insurance)</w:t>
      </w:r>
      <w:r>
        <w:rPr>
          <w:spacing w:val="-2"/>
          <w:vertAlign w:val="baseline"/>
        </w:rPr>
        <w:t> </w:t>
      </w:r>
      <w:r>
        <w:rPr>
          <w:vertAlign w:val="baseline"/>
        </w:rPr>
        <w:t>to</w:t>
      </w:r>
      <w:r>
        <w:rPr>
          <w:spacing w:val="-2"/>
          <w:vertAlign w:val="baseline"/>
        </w:rPr>
        <w:t> </w:t>
      </w:r>
      <w:r>
        <w:rPr>
          <w:vertAlign w:val="baseline"/>
        </w:rPr>
        <w:t>life</w:t>
      </w:r>
      <w:r>
        <w:rPr>
          <w:spacing w:val="-2"/>
          <w:vertAlign w:val="baseline"/>
        </w:rPr>
        <w:t> </w:t>
      </w:r>
      <w:r>
        <w:rPr>
          <w:vertAlign w:val="baseline"/>
        </w:rPr>
        <w:t>assurance.</w:t>
      </w:r>
      <w:r>
        <w:rPr>
          <w:spacing w:val="-2"/>
          <w:vertAlign w:val="baseline"/>
        </w:rPr>
        <w:t> </w:t>
      </w:r>
      <w:r>
        <w:rPr>
          <w:vertAlign w:val="baseline"/>
        </w:rPr>
        <w:t>Essentially,</w:t>
      </w:r>
      <w:r>
        <w:rPr>
          <w:spacing w:val="-2"/>
          <w:vertAlign w:val="baseline"/>
        </w:rPr>
        <w:t> </w:t>
      </w:r>
      <w:r>
        <w:rPr>
          <w:vertAlign w:val="baseline"/>
        </w:rPr>
        <w:t>non-life</w:t>
      </w:r>
      <w:r>
        <w:rPr>
          <w:spacing w:val="-2"/>
          <w:vertAlign w:val="baseline"/>
        </w:rPr>
        <w:t> </w:t>
      </w:r>
      <w:r>
        <w:rPr>
          <w:vertAlign w:val="baseline"/>
        </w:rPr>
        <w:t>risks</w:t>
      </w:r>
      <w:r>
        <w:rPr>
          <w:spacing w:val="-2"/>
          <w:vertAlign w:val="baseline"/>
        </w:rPr>
        <w:t> </w:t>
      </w:r>
      <w:r>
        <w:rPr>
          <w:vertAlign w:val="baseline"/>
        </w:rPr>
        <w:t>which</w:t>
      </w:r>
      <w:r>
        <w:rPr>
          <w:spacing w:val="-2"/>
          <w:vertAlign w:val="baseline"/>
        </w:rPr>
        <w:t> </w:t>
      </w:r>
      <w:r>
        <w:rPr>
          <w:vertAlign w:val="baseline"/>
        </w:rPr>
        <w:t>are</w:t>
      </w:r>
      <w:r>
        <w:rPr>
          <w:spacing w:val="-2"/>
          <w:vertAlign w:val="baseline"/>
        </w:rPr>
        <w:t> </w:t>
      </w:r>
      <w:r>
        <w:rPr>
          <w:vertAlign w:val="baseline"/>
        </w:rPr>
        <w:t>the</w:t>
      </w:r>
      <w:r>
        <w:rPr>
          <w:spacing w:val="-2"/>
          <w:vertAlign w:val="baseline"/>
        </w:rPr>
        <w:t> </w:t>
      </w:r>
      <w:r>
        <w:rPr>
          <w:vertAlign w:val="baseline"/>
        </w:rPr>
        <w:t>subject</w:t>
      </w:r>
      <w:r>
        <w:rPr>
          <w:spacing w:val="-2"/>
          <w:vertAlign w:val="baseline"/>
        </w:rPr>
        <w:t> </w:t>
      </w:r>
      <w:r>
        <w:rPr>
          <w:vertAlign w:val="baseline"/>
        </w:rPr>
        <w:t>of</w:t>
      </w:r>
      <w:r>
        <w:rPr>
          <w:spacing w:val="-2"/>
          <w:vertAlign w:val="baseline"/>
        </w:rPr>
        <w:t> </w:t>
      </w:r>
      <w:r>
        <w:rPr>
          <w:vertAlign w:val="baseline"/>
        </w:rPr>
        <w:t>art.7(3)</w:t>
      </w:r>
      <w:r>
        <w:rPr>
          <w:spacing w:val="-2"/>
          <w:vertAlign w:val="baseline"/>
        </w:rPr>
        <w:t> </w:t>
      </w:r>
      <w:r>
        <w:rPr>
          <w:vertAlign w:val="baseline"/>
        </w:rPr>
        <w:t>include the following: accident insurance; sickness insurance; legal expenses insurance; insurance for assistance; credit and suretyship insurance where the risks do </w:t>
      </w:r>
      <w:r>
        <w:rPr>
          <w:rFonts w:ascii="Arial"/>
          <w:i/>
          <w:vertAlign w:val="baseline"/>
        </w:rPr>
        <w:t>not </w:t>
      </w:r>
      <w:r>
        <w:rPr>
          <w:vertAlign w:val="baseline"/>
        </w:rPr>
        <w:t>relate to a business carried on by </w:t>
      </w:r>
      <w:bookmarkStart w:name="_bookmark1880" w:id="1882"/>
      <w:bookmarkEnd w:id="1882"/>
      <w:r>
        <w:rPr>
          <w:vertAlign w:val="baseline"/>
        </w:rPr>
        <w:t>the</w:t>
      </w:r>
      <w:r>
        <w:rPr>
          <w:vertAlign w:val="baseline"/>
        </w:rPr>
        <w:t> policyholder; and where the policyholder does not carry on a business which satisfies certain detailed requirements of the First Non-Life Directive, </w:t>
      </w:r>
      <w:r>
        <w:rPr>
          <w:color w:val="005DA1"/>
          <w:u w:val="single" w:color="005DA1"/>
          <w:vertAlign w:val="superscript"/>
        </w:rPr>
        <w:t>1002</w:t>
      </w:r>
      <w:r>
        <w:rPr>
          <w:color w:val="005DA1"/>
          <w:vertAlign w:val="baseline"/>
        </w:rPr>
        <w:t> </w:t>
      </w:r>
      <w:r>
        <w:rPr>
          <w:vertAlign w:val="baseline"/>
        </w:rPr>
        <w:t>land vehicle insurance, fire insurance, </w:t>
      </w:r>
      <w:bookmarkStart w:name="_bookmark1881" w:id="1883"/>
      <w:bookmarkEnd w:id="1883"/>
      <w:r>
        <w:rPr>
          <w:vertAlign w:val="baseline"/>
        </w:rPr>
        <w:t>damage</w:t>
      </w:r>
      <w:r>
        <w:rPr>
          <w:vertAlign w:val="baseline"/>
        </w:rPr>
        <w:t> to property, motor vehicle liability, general liability (other than aircraft liability and liability for ships) and insurance against miscellaneous financial loss. </w:t>
      </w:r>
      <w:r>
        <w:rPr>
          <w:color w:val="005DA1"/>
          <w:u w:val="single" w:color="005DA1"/>
          <w:vertAlign w:val="superscript"/>
        </w:rPr>
        <w:t>1003</w:t>
      </w:r>
    </w:p>
    <w:p>
      <w:pPr>
        <w:pStyle w:val="BodyText"/>
      </w:pPr>
    </w:p>
    <w:p>
      <w:pPr>
        <w:pStyle w:val="BodyText"/>
        <w:spacing w:before="35"/>
      </w:pPr>
    </w:p>
    <w:p>
      <w:pPr>
        <w:spacing w:before="0"/>
        <w:ind w:left="165" w:right="0" w:firstLine="0"/>
        <w:jc w:val="left"/>
        <w:rPr>
          <w:rFonts w:ascii="Arial"/>
          <w:b/>
          <w:sz w:val="18"/>
        </w:rPr>
      </w:pPr>
      <w:r>
        <w:rPr>
          <w:rFonts w:ascii="Arial"/>
          <w:b/>
          <w:sz w:val="18"/>
        </w:rPr>
        <w:t>Choice of law by the </w:t>
      </w:r>
      <w:r>
        <w:rPr>
          <w:rFonts w:ascii="Arial"/>
          <w:b/>
          <w:spacing w:val="-2"/>
          <w:sz w:val="18"/>
        </w:rPr>
        <w:t>parties</w:t>
      </w:r>
    </w:p>
    <w:p>
      <w:pPr>
        <w:pStyle w:val="BodyText"/>
        <w:spacing w:before="41"/>
        <w:rPr>
          <w:rFonts w:ascii="Arial"/>
          <w:b/>
          <w:sz w:val="18"/>
        </w:rPr>
      </w:pPr>
    </w:p>
    <w:p>
      <w:pPr>
        <w:pStyle w:val="Heading2"/>
      </w:pPr>
      <w:r>
        <w:rPr/>
        <w:t>30-</w:t>
      </w:r>
      <w:r>
        <w:rPr>
          <w:spacing w:val="-5"/>
        </w:rPr>
        <w:t>266</w:t>
      </w:r>
    </w:p>
    <w:p>
      <w:pPr>
        <w:pStyle w:val="BodyText"/>
        <w:spacing w:line="235" w:lineRule="auto" w:before="203"/>
        <w:ind w:left="165" w:right="167"/>
        <w:jc w:val="both"/>
      </w:pPr>
      <w:r>
        <w:rPr/>
        <w:t>Article 7(3) of the Regulation establishes a more limited form of party autonomy in relation to </w:t>
      </w:r>
      <w:r>
        <w:rPr/>
        <w:t>the classes of insurance contract referred to in the previous paragraph, by specifying the laws that may</w:t>
      </w:r>
      <w:r>
        <w:rPr>
          <w:spacing w:val="40"/>
        </w:rPr>
        <w:t> </w:t>
      </w:r>
      <w:r>
        <w:rPr/>
        <w:t>be chosen to govern the insurance contract under art.3 of the Regulation.</w:t>
      </w:r>
    </w:p>
    <w:p>
      <w:pPr>
        <w:pStyle w:val="BodyText"/>
      </w:pPr>
    </w:p>
    <w:p>
      <w:pPr>
        <w:pStyle w:val="BodyText"/>
        <w:spacing w:before="37"/>
      </w:pPr>
    </w:p>
    <w:p>
      <w:pPr>
        <w:spacing w:before="0"/>
        <w:ind w:left="165" w:right="0" w:firstLine="0"/>
        <w:jc w:val="left"/>
        <w:rPr>
          <w:rFonts w:ascii="Arial"/>
          <w:b/>
          <w:sz w:val="18"/>
        </w:rPr>
      </w:pPr>
      <w:r>
        <w:rPr>
          <w:rFonts w:ascii="Arial"/>
          <w:b/>
          <w:sz w:val="18"/>
        </w:rPr>
        <w:t>Law of Member States where risk </w:t>
      </w:r>
      <w:r>
        <w:rPr>
          <w:rFonts w:ascii="Arial"/>
          <w:b/>
          <w:spacing w:val="-2"/>
          <w:sz w:val="18"/>
        </w:rPr>
        <w:t>situated</w:t>
      </w:r>
    </w:p>
    <w:p>
      <w:pPr>
        <w:pStyle w:val="BodyText"/>
        <w:spacing w:before="41"/>
        <w:rPr>
          <w:rFonts w:ascii="Arial"/>
          <w:b/>
          <w:sz w:val="18"/>
        </w:rPr>
      </w:pPr>
    </w:p>
    <w:p>
      <w:pPr>
        <w:pStyle w:val="Heading2"/>
      </w:pPr>
      <w:r>
        <w:rPr/>
        <w:t>30-</w:t>
      </w:r>
      <w:r>
        <w:rPr>
          <w:spacing w:val="-5"/>
        </w:rPr>
        <w:t>267</w:t>
      </w:r>
    </w:p>
    <w:p>
      <w:pPr>
        <w:pStyle w:val="BodyText"/>
        <w:spacing w:line="235" w:lineRule="auto" w:before="203"/>
        <w:ind w:left="165" w:right="167"/>
        <w:jc w:val="both"/>
      </w:pPr>
      <w:r>
        <w:rPr/>
        <w:t>Article 7(3)(a) allows, first, the choice of the law of any Member State where the risk is situated at </w:t>
      </w:r>
      <w:r>
        <w:rPr/>
        <w:t>the time of the conclusion of the contract. This would seem to mean that where the risk is situated in</w:t>
      </w:r>
      <w:r>
        <w:rPr>
          <w:spacing w:val="80"/>
        </w:rPr>
        <w:t> </w:t>
      </w:r>
      <w:r>
        <w:rPr/>
        <w:t>more than one Member State, the law of any such state may be chosen.</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Habitual residence of </w:t>
      </w:r>
      <w:r>
        <w:rPr>
          <w:rFonts w:ascii="Arial"/>
          <w:b/>
          <w:spacing w:val="-2"/>
          <w:sz w:val="18"/>
        </w:rPr>
        <w:t>policyholder</w:t>
      </w:r>
    </w:p>
    <w:p>
      <w:pPr>
        <w:pStyle w:val="BodyText"/>
        <w:spacing w:before="41"/>
        <w:rPr>
          <w:rFonts w:ascii="Arial"/>
          <w:b/>
          <w:sz w:val="18"/>
        </w:rPr>
      </w:pPr>
    </w:p>
    <w:p>
      <w:pPr>
        <w:pStyle w:val="Heading2"/>
      </w:pPr>
      <w:r>
        <w:rPr/>
        <w:t>30-</w:t>
      </w:r>
      <w:r>
        <w:rPr>
          <w:spacing w:val="-5"/>
        </w:rPr>
        <w:t>268</w:t>
      </w:r>
    </w:p>
    <w:p>
      <w:pPr>
        <w:pStyle w:val="BodyText"/>
        <w:spacing w:line="235" w:lineRule="auto" w:before="203"/>
        <w:ind w:left="165" w:right="167"/>
        <w:jc w:val="both"/>
      </w:pPr>
      <w:bookmarkStart w:name="_bookmark1882" w:id="1884"/>
      <w:bookmarkEnd w:id="1884"/>
      <w:r>
        <w:rPr/>
      </w:r>
      <w:r>
        <w:rPr/>
        <w:t>The parties are permitted to choose, secondly, the law of the country where the policyholder has his habitual residence, </w:t>
      </w:r>
      <w:r>
        <w:rPr>
          <w:color w:val="005DA1"/>
          <w:u w:val="single" w:color="005DA1"/>
          <w:vertAlign w:val="superscript"/>
        </w:rPr>
        <w:t>1004</w:t>
      </w:r>
      <w:r>
        <w:rPr>
          <w:color w:val="005DA1"/>
          <w:vertAlign w:val="baseline"/>
        </w:rPr>
        <w:t> </w:t>
      </w:r>
      <w:r>
        <w:rPr>
          <w:vertAlign w:val="baseline"/>
        </w:rPr>
        <w:t>by art.7(3)(b) of the Regulation. It will be noted that the country the law of which may be chosen need not be a Member State.</w:t>
      </w:r>
    </w:p>
    <w:p>
      <w:pPr>
        <w:pStyle w:val="BodyText"/>
      </w:pPr>
    </w:p>
    <w:p>
      <w:pPr>
        <w:pStyle w:val="BodyText"/>
        <w:spacing w:before="37"/>
      </w:pPr>
    </w:p>
    <w:p>
      <w:pPr>
        <w:spacing w:before="0"/>
        <w:ind w:left="165" w:right="0" w:firstLine="0"/>
        <w:jc w:val="left"/>
        <w:rPr>
          <w:rFonts w:ascii="Arial"/>
          <w:b/>
          <w:sz w:val="18"/>
        </w:rPr>
      </w:pPr>
      <w:r>
        <w:rPr>
          <w:rFonts w:ascii="Arial"/>
          <w:b/>
          <w:sz w:val="18"/>
        </w:rPr>
        <w:t>Life </w:t>
      </w:r>
      <w:r>
        <w:rPr>
          <w:rFonts w:ascii="Arial"/>
          <w:b/>
          <w:spacing w:val="-2"/>
          <w:sz w:val="18"/>
        </w:rPr>
        <w:t>assurance</w:t>
      </w:r>
    </w:p>
    <w:p>
      <w:pPr>
        <w:pStyle w:val="BodyText"/>
        <w:spacing w:before="42"/>
        <w:rPr>
          <w:rFonts w:ascii="Arial"/>
          <w:b/>
          <w:sz w:val="18"/>
        </w:rPr>
      </w:pPr>
    </w:p>
    <w:p>
      <w:pPr>
        <w:pStyle w:val="Heading2"/>
      </w:pPr>
      <w:r>
        <w:rPr/>
        <w:t>30-</w:t>
      </w:r>
      <w:r>
        <w:rPr>
          <w:spacing w:val="-5"/>
        </w:rPr>
        <w:t>269</w:t>
      </w:r>
    </w:p>
    <w:p>
      <w:pPr>
        <w:pStyle w:val="BodyText"/>
        <w:spacing w:line="235" w:lineRule="auto" w:before="202"/>
        <w:ind w:left="165" w:right="167"/>
        <w:jc w:val="both"/>
      </w:pPr>
      <w:r>
        <w:rPr/>
        <w:t>As</w:t>
      </w:r>
      <w:r>
        <w:rPr>
          <w:spacing w:val="-2"/>
        </w:rPr>
        <w:t> </w:t>
      </w:r>
      <w:r>
        <w:rPr/>
        <w:t>regards</w:t>
      </w:r>
      <w:r>
        <w:rPr>
          <w:spacing w:val="-2"/>
        </w:rPr>
        <w:t> </w:t>
      </w:r>
      <w:r>
        <w:rPr/>
        <w:t>the</w:t>
      </w:r>
      <w:r>
        <w:rPr>
          <w:spacing w:val="-2"/>
        </w:rPr>
        <w:t> </w:t>
      </w:r>
      <w:r>
        <w:rPr/>
        <w:t>case</w:t>
      </w:r>
      <w:r>
        <w:rPr>
          <w:spacing w:val="-2"/>
        </w:rPr>
        <w:t> </w:t>
      </w:r>
      <w:r>
        <w:rPr/>
        <w:t>of</w:t>
      </w:r>
      <w:r>
        <w:rPr>
          <w:spacing w:val="-2"/>
        </w:rPr>
        <w:t> </w:t>
      </w:r>
      <w:r>
        <w:rPr/>
        <w:t>life</w:t>
      </w:r>
      <w:r>
        <w:rPr>
          <w:spacing w:val="-2"/>
        </w:rPr>
        <w:t> </w:t>
      </w:r>
      <w:r>
        <w:rPr/>
        <w:t>assurance,</w:t>
      </w:r>
      <w:r>
        <w:rPr>
          <w:spacing w:val="-2"/>
        </w:rPr>
        <w:t> </w:t>
      </w:r>
      <w:r>
        <w:rPr/>
        <w:t>art.7(3)(c)</w:t>
      </w:r>
      <w:r>
        <w:rPr>
          <w:spacing w:val="-2"/>
        </w:rPr>
        <w:t> </w:t>
      </w:r>
      <w:r>
        <w:rPr/>
        <w:t>allows,</w:t>
      </w:r>
      <w:r>
        <w:rPr>
          <w:spacing w:val="-2"/>
        </w:rPr>
        <w:t> </w:t>
      </w:r>
      <w:r>
        <w:rPr/>
        <w:t>thirdly,</w:t>
      </w:r>
      <w:r>
        <w:rPr>
          <w:spacing w:val="-2"/>
        </w:rPr>
        <w:t> </w:t>
      </w:r>
      <w:r>
        <w:rPr/>
        <w:t>choice</w:t>
      </w:r>
      <w:r>
        <w:rPr>
          <w:spacing w:val="-2"/>
        </w:rPr>
        <w:t> </w:t>
      </w:r>
      <w:r>
        <w:rPr/>
        <w:t>of</w:t>
      </w:r>
      <w:r>
        <w:rPr>
          <w:spacing w:val="-2"/>
        </w:rPr>
        <w:t> </w:t>
      </w:r>
      <w:r>
        <w:rPr/>
        <w:t>the</w:t>
      </w:r>
      <w:r>
        <w:rPr>
          <w:spacing w:val="-2"/>
        </w:rPr>
        <w:t> </w:t>
      </w:r>
      <w:r>
        <w:rPr/>
        <w:t>law</w:t>
      </w:r>
      <w:r>
        <w:rPr>
          <w:spacing w:val="-2"/>
        </w:rPr>
        <w:t> </w:t>
      </w:r>
      <w:r>
        <w:rPr/>
        <w:t>of</w:t>
      </w:r>
      <w:r>
        <w:rPr>
          <w:spacing w:val="-2"/>
        </w:rPr>
        <w:t> </w:t>
      </w:r>
      <w:r>
        <w:rPr/>
        <w:t>the</w:t>
      </w:r>
      <w:r>
        <w:rPr>
          <w:spacing w:val="-2"/>
        </w:rPr>
        <w:t> </w:t>
      </w:r>
      <w:r>
        <w:rPr/>
        <w:t>Member</w:t>
      </w:r>
      <w:r>
        <w:rPr>
          <w:spacing w:val="-2"/>
        </w:rPr>
        <w:t> </w:t>
      </w:r>
      <w:r>
        <w:rPr/>
        <w:t>State of which the policyholder is a national. While this principle presents no problem where the</w:t>
      </w:r>
      <w:r>
        <w:rPr>
          <w:spacing w:val="40"/>
        </w:rPr>
        <w:t> </w:t>
      </w:r>
      <w:bookmarkStart w:name="_bookmark1883" w:id="1885"/>
      <w:bookmarkEnd w:id="1885"/>
      <w:r>
        <w:rPr/>
        <w:t>policyholder</w:t>
      </w:r>
      <w:r>
        <w:rPr>
          <w:spacing w:val="-1"/>
        </w:rPr>
        <w:t> </w:t>
      </w:r>
      <w:r>
        <w:rPr/>
        <w:t>is</w:t>
      </w:r>
      <w:r>
        <w:rPr>
          <w:spacing w:val="-1"/>
        </w:rPr>
        <w:t> </w:t>
      </w:r>
      <w:r>
        <w:rPr/>
        <w:t>a</w:t>
      </w:r>
      <w:r>
        <w:rPr>
          <w:spacing w:val="-1"/>
        </w:rPr>
        <w:t> </w:t>
      </w:r>
      <w:r>
        <w:rPr/>
        <w:t>national</w:t>
      </w:r>
      <w:r>
        <w:rPr>
          <w:spacing w:val="-1"/>
        </w:rPr>
        <w:t> </w:t>
      </w:r>
      <w:r>
        <w:rPr/>
        <w:t>of</w:t>
      </w:r>
      <w:r>
        <w:rPr>
          <w:spacing w:val="-1"/>
        </w:rPr>
        <w:t> </w:t>
      </w:r>
      <w:r>
        <w:rPr/>
        <w:t>a</w:t>
      </w:r>
      <w:r>
        <w:rPr>
          <w:spacing w:val="-1"/>
        </w:rPr>
        <w:t> </w:t>
      </w:r>
      <w:r>
        <w:rPr/>
        <w:t>Member</w:t>
      </w:r>
      <w:r>
        <w:rPr>
          <w:spacing w:val="-1"/>
        </w:rPr>
        <w:t> </w:t>
      </w:r>
      <w:r>
        <w:rPr/>
        <w:t>State</w:t>
      </w:r>
      <w:r>
        <w:rPr>
          <w:spacing w:val="-1"/>
        </w:rPr>
        <w:t> </w:t>
      </w:r>
      <w:r>
        <w:rPr/>
        <w:t>which</w:t>
      </w:r>
      <w:r>
        <w:rPr>
          <w:spacing w:val="-1"/>
        </w:rPr>
        <w:t> </w:t>
      </w:r>
      <w:r>
        <w:rPr/>
        <w:t>is</w:t>
      </w:r>
      <w:r>
        <w:rPr>
          <w:spacing w:val="-1"/>
        </w:rPr>
        <w:t> </w:t>
      </w:r>
      <w:r>
        <w:rPr/>
        <w:t>a</w:t>
      </w:r>
      <w:r>
        <w:rPr>
          <w:spacing w:val="-1"/>
        </w:rPr>
        <w:t> </w:t>
      </w:r>
      <w:r>
        <w:rPr/>
        <w:t>unitary</w:t>
      </w:r>
      <w:r>
        <w:rPr>
          <w:spacing w:val="-1"/>
        </w:rPr>
        <w:t> </w:t>
      </w:r>
      <w:r>
        <w:rPr/>
        <w:t>state,</w:t>
      </w:r>
      <w:r>
        <w:rPr>
          <w:spacing w:val="-1"/>
        </w:rPr>
        <w:t> </w:t>
      </w:r>
      <w:r>
        <w:rPr/>
        <w:t>its</w:t>
      </w:r>
      <w:r>
        <w:rPr>
          <w:spacing w:val="-1"/>
        </w:rPr>
        <w:t> </w:t>
      </w:r>
      <w:r>
        <w:rPr/>
        <w:t>application</w:t>
      </w:r>
      <w:r>
        <w:rPr>
          <w:spacing w:val="-1"/>
        </w:rPr>
        <w:t> </w:t>
      </w:r>
      <w:r>
        <w:rPr/>
        <w:t>creates</w:t>
      </w:r>
      <w:r>
        <w:rPr>
          <w:spacing w:val="-1"/>
        </w:rPr>
        <w:t> </w:t>
      </w:r>
      <w:r>
        <w:rPr/>
        <w:t>difficulty</w:t>
      </w:r>
      <w:r>
        <w:rPr>
          <w:spacing w:val="-1"/>
        </w:rPr>
        <w:t> </w:t>
      </w:r>
      <w:r>
        <w:rPr/>
        <w:t>in respect of the United Kingdom in that it requires determination of the national law of a British citizen. </w:t>
      </w:r>
      <w:r>
        <w:rPr>
          <w:color w:val="005DA1"/>
          <w:u w:val="single" w:color="005DA1"/>
          <w:vertAlign w:val="superscript"/>
        </w:rPr>
        <w:t>1005</w:t>
      </w:r>
      <w:r>
        <w:rPr>
          <w:color w:val="005DA1"/>
          <w:vertAlign w:val="baseline"/>
        </w:rPr>
        <w:t> </w:t>
      </w:r>
      <w:r>
        <w:rPr>
          <w:vertAlign w:val="baseline"/>
        </w:rPr>
        <w:t>Strictly speaking, there is no such law, at least in the field of contract, but only English law, Scottish law and Northern Irish law. And there appears to be no principle that determines what link </w:t>
      </w:r>
      <w:bookmarkStart w:name="_bookmark1884" w:id="1886"/>
      <w:bookmarkEnd w:id="1886"/>
      <w:r>
        <w:rPr>
          <w:vertAlign w:val="baseline"/>
        </w:rPr>
        <w:t>must</w:t>
      </w:r>
      <w:r>
        <w:rPr>
          <w:vertAlign w:val="baseline"/>
        </w:rPr>
        <w:t> exist between an individual and a particular unit within the United Kingdom which can serve to demonstrate what the national law of a British citizen is to be. </w:t>
      </w:r>
      <w:r>
        <w:rPr>
          <w:color w:val="005DA1"/>
          <w:u w:val="single" w:color="005DA1"/>
          <w:vertAlign w:val="superscript"/>
        </w:rPr>
        <w:t>1006</w:t>
      </w:r>
      <w:r>
        <w:rPr>
          <w:color w:val="005DA1"/>
          <w:vertAlign w:val="baseline"/>
        </w:rPr>
        <w:t> </w:t>
      </w:r>
      <w:r>
        <w:rPr>
          <w:vertAlign w:val="baseline"/>
        </w:rPr>
        <w:t>It is possible, however, though the </w:t>
      </w:r>
      <w:bookmarkStart w:name="_bookmark1885" w:id="1887"/>
      <w:bookmarkEnd w:id="1887"/>
      <w:r>
        <w:rPr>
          <w:vertAlign w:val="baseline"/>
        </w:rPr>
        <w:t>matter</w:t>
      </w:r>
      <w:r>
        <w:rPr>
          <w:vertAlign w:val="baseline"/>
        </w:rPr>
        <w:t> is far from clear, that the relevant “national” law will be that unit of the United Kingdom with which the individual is most closely connected to at the time of conclusion of the contract. </w:t>
      </w:r>
      <w:r>
        <w:rPr>
          <w:color w:val="005DA1"/>
          <w:u w:val="single" w:color="005DA1"/>
          <w:vertAlign w:val="superscript"/>
        </w:rPr>
        <w:t>1007</w:t>
      </w:r>
    </w:p>
    <w:p>
      <w:pPr>
        <w:pStyle w:val="BodyText"/>
      </w:pPr>
    </w:p>
    <w:p>
      <w:pPr>
        <w:pStyle w:val="BodyText"/>
        <w:spacing w:before="35"/>
      </w:pPr>
    </w:p>
    <w:p>
      <w:pPr>
        <w:spacing w:before="0"/>
        <w:ind w:left="165" w:right="0" w:firstLine="0"/>
        <w:jc w:val="left"/>
        <w:rPr>
          <w:rFonts w:ascii="Arial"/>
          <w:b/>
          <w:sz w:val="18"/>
        </w:rPr>
      </w:pPr>
      <w:r>
        <w:rPr>
          <w:rFonts w:ascii="Arial"/>
          <w:b/>
          <w:sz w:val="18"/>
        </w:rPr>
        <w:t>Risks limited to events occurring in one Member </w:t>
      </w:r>
      <w:r>
        <w:rPr>
          <w:rFonts w:ascii="Arial"/>
          <w:b/>
          <w:spacing w:val="-2"/>
          <w:sz w:val="18"/>
        </w:rPr>
        <w:t>State</w:t>
      </w:r>
    </w:p>
    <w:p>
      <w:pPr>
        <w:pStyle w:val="BodyText"/>
        <w:spacing w:before="41"/>
        <w:rPr>
          <w:rFonts w:ascii="Arial"/>
          <w:b/>
          <w:sz w:val="18"/>
        </w:rPr>
      </w:pPr>
    </w:p>
    <w:p>
      <w:pPr>
        <w:pStyle w:val="Heading2"/>
      </w:pPr>
      <w:r>
        <w:rPr/>
        <w:t>30-</w:t>
      </w:r>
      <w:r>
        <w:rPr>
          <w:spacing w:val="-5"/>
        </w:rPr>
        <w:t>270</w:t>
      </w:r>
    </w:p>
    <w:p>
      <w:pPr>
        <w:pStyle w:val="BodyText"/>
        <w:spacing w:line="235" w:lineRule="auto" w:before="203"/>
        <w:ind w:left="165" w:right="166"/>
        <w:jc w:val="both"/>
      </w:pPr>
      <w:r>
        <w:rPr/>
        <w:t>Article 7(3)(d) provides that, fourthly, where the insurance contract covers risks limited to </w:t>
      </w:r>
      <w:r>
        <w:rPr/>
        <w:t>events occurring in a Member State other than the Member State where the risk is situated, the parties may choose the law of the former Member State. Presumably, this provision would permit a liability policy covering a lawyer qualified to practice in England and France to contain an effective choice of French law in relation to any indemnity for negligence in respect of advice on French law given in France (the </w:t>
      </w:r>
      <w:bookmarkStart w:name="_bookmark1886" w:id="1888"/>
      <w:bookmarkEnd w:id="1888"/>
      <w:r>
        <w:rPr/>
        <w:t>policy</w:t>
      </w:r>
      <w:r>
        <w:rPr/>
        <w:t> being so limited) if the lawyer was habitually resident in England, where the risk would thus be situated. </w:t>
      </w:r>
      <w:r>
        <w:rPr>
          <w:color w:val="005DA1"/>
          <w:u w:val="single" w:color="005DA1"/>
          <w:vertAlign w:val="superscript"/>
        </w:rPr>
        <w:t>1008</w:t>
      </w:r>
    </w:p>
    <w:p>
      <w:pPr>
        <w:pStyle w:val="BodyText"/>
      </w:pPr>
    </w:p>
    <w:p>
      <w:pPr>
        <w:pStyle w:val="BodyText"/>
        <w:spacing w:before="36"/>
      </w:pPr>
    </w:p>
    <w:p>
      <w:pPr>
        <w:spacing w:before="0"/>
        <w:ind w:left="165" w:right="0" w:firstLine="0"/>
        <w:jc w:val="left"/>
        <w:rPr>
          <w:rFonts w:ascii="Arial"/>
          <w:b/>
          <w:sz w:val="18"/>
        </w:rPr>
      </w:pPr>
      <w:r>
        <w:rPr>
          <w:rFonts w:ascii="Arial"/>
          <w:b/>
          <w:sz w:val="18"/>
        </w:rPr>
        <w:t>Policyholder pursues commercial or industrial </w:t>
      </w:r>
      <w:r>
        <w:rPr>
          <w:rFonts w:ascii="Arial"/>
          <w:b/>
          <w:spacing w:val="-2"/>
          <w:sz w:val="18"/>
        </w:rPr>
        <w:t>activity</w:t>
      </w:r>
    </w:p>
    <w:p>
      <w:pPr>
        <w:pStyle w:val="BodyText"/>
        <w:spacing w:before="41"/>
        <w:rPr>
          <w:rFonts w:ascii="Arial"/>
          <w:b/>
          <w:sz w:val="18"/>
        </w:rPr>
      </w:pPr>
    </w:p>
    <w:p>
      <w:pPr>
        <w:pStyle w:val="Heading2"/>
      </w:pPr>
      <w:r>
        <w:rPr/>
        <w:t>30-</w:t>
      </w:r>
      <w:r>
        <w:rPr>
          <w:spacing w:val="-5"/>
        </w:rPr>
        <w:t>271</w:t>
      </w:r>
    </w:p>
    <w:p>
      <w:pPr>
        <w:pStyle w:val="BodyText"/>
        <w:spacing w:line="235" w:lineRule="auto" w:before="203"/>
        <w:ind w:left="165" w:right="167"/>
        <w:jc w:val="both"/>
      </w:pPr>
      <w:r>
        <w:rPr/>
        <w:t>Fifthly, art.7(3)(e) of the Regulation states that where the policyholder of a contract to which art.7(3) </w:t>
      </w:r>
      <w:r>
        <w:rPr>
          <w:spacing w:val="-2"/>
        </w:rPr>
        <w:t>applies:</w:t>
      </w:r>
    </w:p>
    <w:p>
      <w:pPr>
        <w:pStyle w:val="BodyText"/>
      </w:pPr>
    </w:p>
    <w:p>
      <w:pPr>
        <w:pStyle w:val="BodyText"/>
        <w:spacing w:before="126"/>
      </w:pPr>
    </w:p>
    <w:p>
      <w:pPr>
        <w:pStyle w:val="BodyText"/>
        <w:spacing w:line="235" w:lineRule="auto"/>
        <w:ind w:left="1245" w:right="167"/>
        <w:jc w:val="both"/>
      </w:pPr>
      <w:r>
        <w:rPr/>
        <w:t>“… pursues a commercial or industrial activity or a liberal profession and the </w:t>
      </w:r>
      <w:r>
        <w:rPr/>
        <w:t>insurance contract covers two or more risks which relate to those activities and are situated in different Member States”,</w:t>
      </w:r>
    </w:p>
    <w:p>
      <w:pPr>
        <w:pStyle w:val="BodyText"/>
        <w:spacing w:before="115"/>
      </w:pPr>
    </w:p>
    <w:p>
      <w:pPr>
        <w:pStyle w:val="BodyText"/>
        <w:spacing w:line="235" w:lineRule="auto" w:before="1"/>
        <w:ind w:left="165" w:right="167"/>
        <w:jc w:val="both"/>
      </w:pPr>
      <w:bookmarkStart w:name="_bookmark1887" w:id="1889"/>
      <w:bookmarkEnd w:id="1889"/>
      <w:r>
        <w:rPr/>
      </w:r>
      <w:r>
        <w:rPr/>
        <w:t>the parties may choose the law of any of the Member States concerned or the law of the country </w:t>
      </w:r>
      <w:r>
        <w:rPr/>
        <w:t>of habitual residence of the policyholder. </w:t>
      </w:r>
      <w:r>
        <w:rPr>
          <w:color w:val="005DA1"/>
          <w:u w:val="single" w:color="005DA1"/>
          <w:vertAlign w:val="superscript"/>
        </w:rPr>
        <w:t>1009</w:t>
      </w:r>
    </w:p>
    <w:p>
      <w:pPr>
        <w:pStyle w:val="BodyText"/>
      </w:pPr>
    </w:p>
    <w:p>
      <w:pPr>
        <w:pStyle w:val="BodyText"/>
        <w:spacing w:before="37"/>
      </w:pPr>
    </w:p>
    <w:p>
      <w:pPr>
        <w:spacing w:before="1"/>
        <w:ind w:left="165" w:right="0" w:firstLine="0"/>
        <w:jc w:val="left"/>
        <w:rPr>
          <w:rFonts w:ascii="Arial"/>
          <w:b/>
          <w:sz w:val="18"/>
        </w:rPr>
      </w:pPr>
      <w:r>
        <w:rPr>
          <w:rFonts w:ascii="Arial"/>
          <w:b/>
          <w:sz w:val="18"/>
        </w:rPr>
        <w:t>Supplementary freedom of </w:t>
      </w:r>
      <w:r>
        <w:rPr>
          <w:rFonts w:ascii="Arial"/>
          <w:b/>
          <w:spacing w:val="-2"/>
          <w:sz w:val="18"/>
        </w:rPr>
        <w:t>choice</w:t>
      </w:r>
    </w:p>
    <w:p>
      <w:pPr>
        <w:pStyle w:val="BodyText"/>
        <w:spacing w:before="41"/>
        <w:rPr>
          <w:rFonts w:ascii="Arial"/>
          <w:b/>
          <w:sz w:val="18"/>
        </w:rPr>
      </w:pPr>
    </w:p>
    <w:p>
      <w:pPr>
        <w:pStyle w:val="Heading2"/>
      </w:pPr>
      <w:r>
        <w:rPr/>
        <w:t>30-</w:t>
      </w:r>
      <w:r>
        <w:rPr>
          <w:spacing w:val="-5"/>
        </w:rPr>
        <w:t>272</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r>
        <w:rPr/>
        <w:t>The second sub-paragraph of art.7(3) of the Regulation provides that where, in the cases set out </w:t>
      </w:r>
      <w:r>
        <w:rPr/>
        <w:t>in art.7(3)(a), art.7(3)(b) and art.7(3)(e):</w:t>
      </w:r>
    </w:p>
    <w:p>
      <w:pPr>
        <w:pStyle w:val="BodyText"/>
      </w:pPr>
    </w:p>
    <w:p>
      <w:pPr>
        <w:pStyle w:val="BodyText"/>
        <w:spacing w:before="126"/>
      </w:pPr>
    </w:p>
    <w:p>
      <w:pPr>
        <w:pStyle w:val="BodyText"/>
        <w:spacing w:line="235" w:lineRule="auto"/>
        <w:ind w:left="1245"/>
      </w:pPr>
      <w:r>
        <w:rPr/>
        <w:t>“…</w:t>
      </w:r>
      <w:r>
        <w:rPr>
          <w:spacing w:val="-2"/>
        </w:rPr>
        <w:t> </w:t>
      </w:r>
      <w:r>
        <w:rPr/>
        <w:t>the</w:t>
      </w:r>
      <w:r>
        <w:rPr>
          <w:spacing w:val="-2"/>
        </w:rPr>
        <w:t> </w:t>
      </w:r>
      <w:r>
        <w:rPr/>
        <w:t>Member</w:t>
      </w:r>
      <w:r>
        <w:rPr>
          <w:spacing w:val="-2"/>
        </w:rPr>
        <w:t> </w:t>
      </w:r>
      <w:r>
        <w:rPr/>
        <w:t>States</w:t>
      </w:r>
      <w:r>
        <w:rPr>
          <w:spacing w:val="-2"/>
        </w:rPr>
        <w:t> </w:t>
      </w:r>
      <w:r>
        <w:rPr/>
        <w:t>referred</w:t>
      </w:r>
      <w:r>
        <w:rPr>
          <w:spacing w:val="-2"/>
        </w:rPr>
        <w:t> </w:t>
      </w:r>
      <w:r>
        <w:rPr/>
        <w:t>to</w:t>
      </w:r>
      <w:r>
        <w:rPr>
          <w:spacing w:val="-2"/>
        </w:rPr>
        <w:t> </w:t>
      </w:r>
      <w:r>
        <w:rPr/>
        <w:t>grant</w:t>
      </w:r>
      <w:r>
        <w:rPr>
          <w:spacing w:val="-2"/>
        </w:rPr>
        <w:t> </w:t>
      </w:r>
      <w:r>
        <w:rPr/>
        <w:t>greater</w:t>
      </w:r>
      <w:r>
        <w:rPr>
          <w:spacing w:val="-2"/>
        </w:rPr>
        <w:t> </w:t>
      </w:r>
      <w:r>
        <w:rPr/>
        <w:t>freedom</w:t>
      </w:r>
      <w:r>
        <w:rPr>
          <w:spacing w:val="-2"/>
        </w:rPr>
        <w:t> </w:t>
      </w:r>
      <w:r>
        <w:rPr/>
        <w:t>of</w:t>
      </w:r>
      <w:r>
        <w:rPr>
          <w:spacing w:val="-2"/>
        </w:rPr>
        <w:t> </w:t>
      </w:r>
      <w:r>
        <w:rPr/>
        <w:t>choice</w:t>
      </w:r>
      <w:r>
        <w:rPr>
          <w:spacing w:val="-2"/>
        </w:rPr>
        <w:t> </w:t>
      </w:r>
      <w:r>
        <w:rPr/>
        <w:t>of</w:t>
      </w:r>
      <w:r>
        <w:rPr>
          <w:spacing w:val="-2"/>
        </w:rPr>
        <w:t> </w:t>
      </w:r>
      <w:r>
        <w:rPr/>
        <w:t>the</w:t>
      </w:r>
      <w:r>
        <w:rPr>
          <w:spacing w:val="-2"/>
        </w:rPr>
        <w:t> </w:t>
      </w:r>
      <w:r>
        <w:rPr/>
        <w:t>law</w:t>
      </w:r>
      <w:r>
        <w:rPr>
          <w:spacing w:val="-2"/>
        </w:rPr>
        <w:t> </w:t>
      </w:r>
      <w:r>
        <w:rPr/>
        <w:t>applicable</w:t>
      </w:r>
      <w:r>
        <w:rPr>
          <w:spacing w:val="-2"/>
        </w:rPr>
        <w:t> </w:t>
      </w:r>
      <w:r>
        <w:rPr/>
        <w:t>to the insurance contract, the parties may take advantage of that freedom.”</w:t>
      </w:r>
    </w:p>
    <w:p>
      <w:pPr>
        <w:pStyle w:val="BodyText"/>
        <w:spacing w:before="116"/>
      </w:pPr>
    </w:p>
    <w:p>
      <w:pPr>
        <w:pStyle w:val="BodyText"/>
        <w:spacing w:line="235" w:lineRule="auto"/>
        <w:ind w:left="165" w:right="167"/>
        <w:jc w:val="both"/>
      </w:pPr>
      <w:r>
        <w:rPr/>
        <w:t>This, it must be said, is a somewhat obscure provision, but the following points may be made. </w:t>
      </w:r>
      <w:r>
        <w:rPr/>
        <w:t>First, </w:t>
      </w:r>
      <w:bookmarkStart w:name="_bookmark1888" w:id="1890"/>
      <w:bookmarkEnd w:id="1890"/>
      <w:r>
        <w:rPr/>
        <w:t>art.7(3)(b)</w:t>
      </w:r>
      <w:r>
        <w:rPr/>
        <w:t> of the Regulation does not require the policyholder to be habitually resident in a Member State: the provision refers to the “country” where the policyholder is habitually resident. </w:t>
      </w:r>
      <w:r>
        <w:rPr>
          <w:color w:val="005DA1"/>
          <w:u w:val="single" w:color="005DA1"/>
          <w:vertAlign w:val="superscript"/>
        </w:rPr>
        <w:t>1010</w:t>
      </w:r>
      <w:r>
        <w:rPr>
          <w:color w:val="005DA1"/>
          <w:vertAlign w:val="baseline"/>
        </w:rPr>
        <w:t> </w:t>
      </w:r>
      <w:r>
        <w:rPr>
          <w:vertAlign w:val="baseline"/>
        </w:rPr>
        <w:t>It would, therefore, seem that art.7(3), second sub-paragraph is not limited in scope, as regards, art.7(3)(b), to cases</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policyholder</w:t>
      </w:r>
      <w:r>
        <w:rPr>
          <w:spacing w:val="-2"/>
          <w:vertAlign w:val="baseline"/>
        </w:rPr>
        <w:t> </w:t>
      </w:r>
      <w:r>
        <w:rPr>
          <w:vertAlign w:val="baseline"/>
        </w:rPr>
        <w:t>is</w:t>
      </w:r>
      <w:r>
        <w:rPr>
          <w:spacing w:val="-2"/>
          <w:vertAlign w:val="baseline"/>
        </w:rPr>
        <w:t> </w:t>
      </w:r>
      <w:r>
        <w:rPr>
          <w:vertAlign w:val="baseline"/>
        </w:rPr>
        <w:t>habitually</w:t>
      </w:r>
      <w:r>
        <w:rPr>
          <w:spacing w:val="-2"/>
          <w:vertAlign w:val="baseline"/>
        </w:rPr>
        <w:t> </w:t>
      </w:r>
      <w:r>
        <w:rPr>
          <w:vertAlign w:val="baseline"/>
        </w:rPr>
        <w:t>resident</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Member</w:t>
      </w:r>
      <w:r>
        <w:rPr>
          <w:spacing w:val="-2"/>
          <w:vertAlign w:val="baseline"/>
        </w:rPr>
        <w:t> </w:t>
      </w:r>
      <w:r>
        <w:rPr>
          <w:vertAlign w:val="baseline"/>
        </w:rPr>
        <w:t>State.</w:t>
      </w:r>
      <w:r>
        <w:rPr>
          <w:spacing w:val="-2"/>
          <w:vertAlign w:val="baseline"/>
        </w:rPr>
        <w:t> </w:t>
      </w:r>
      <w:r>
        <w:rPr>
          <w:vertAlign w:val="baseline"/>
        </w:rPr>
        <w:t>Secondly,</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conclusion </w:t>
      </w:r>
      <w:bookmarkStart w:name="_bookmark1889" w:id="1891"/>
      <w:bookmarkEnd w:id="1891"/>
      <w:r>
        <w:rPr>
          <w:vertAlign w:val="baseline"/>
        </w:rPr>
        <w:t>would</w:t>
      </w:r>
      <w:r>
        <w:rPr>
          <w:vertAlign w:val="baseline"/>
        </w:rPr>
        <w:t> seem to follow in respect of art.7(3)(e) to the extent that that provision refers to the law of the “country” of habitual residence of the policyholder. </w:t>
      </w:r>
      <w:r>
        <w:rPr>
          <w:color w:val="005DA1"/>
          <w:u w:val="single" w:color="005DA1"/>
          <w:vertAlign w:val="superscript"/>
        </w:rPr>
        <w:t>1011</w:t>
      </w:r>
      <w:r>
        <w:rPr>
          <w:color w:val="005DA1"/>
          <w:vertAlign w:val="baseline"/>
        </w:rPr>
        <w:t> </w:t>
      </w:r>
      <w:r>
        <w:rPr>
          <w:vertAlign w:val="baseline"/>
        </w:rPr>
        <w:t>Thirdly, the reference to the grant of greater </w:t>
      </w:r>
      <w:bookmarkStart w:name="_bookmark1890" w:id="1892"/>
      <w:bookmarkEnd w:id="1892"/>
      <w:r>
        <w:rPr>
          <w:vertAlign w:val="baseline"/>
        </w:rPr>
        <w:t>freedom</w:t>
      </w:r>
      <w:r>
        <w:rPr>
          <w:vertAlign w:val="baseline"/>
        </w:rPr>
        <w:t> to choose the applicable law in the law of the Member States concerned is a reference to choice of law rules: thus a species of the doctrine of renvoi is introduced into the provision. </w:t>
      </w:r>
      <w:r>
        <w:rPr>
          <w:color w:val="005DA1"/>
          <w:u w:val="single" w:color="005DA1"/>
          <w:vertAlign w:val="superscript"/>
        </w:rPr>
        <w:t>1012</w:t>
      </w:r>
      <w:r>
        <w:rPr>
          <w:color w:val="005DA1"/>
          <w:vertAlign w:val="baseline"/>
        </w:rPr>
        <w:t> </w:t>
      </w:r>
      <w:r>
        <w:rPr>
          <w:vertAlign w:val="baseline"/>
        </w:rPr>
        <w:t>Fourthly, however, it is not clear, from the terms of the Regulation, what choice of law rules are being </w:t>
      </w:r>
      <w:bookmarkStart w:name="_bookmark1891" w:id="1893"/>
      <w:bookmarkEnd w:id="1893"/>
      <w:r>
        <w:rPr>
          <w:vertAlign w:val="baseline"/>
        </w:rPr>
        <w:t>referred</w:t>
      </w:r>
      <w:r>
        <w:rPr>
          <w:vertAlign w:val="baseline"/>
        </w:rPr>
        <w:t> to since the Rome I Regulation is the source of the relevant choice of law rules in all the Member States, </w:t>
      </w:r>
      <w:r>
        <w:rPr>
          <w:color w:val="005DA1"/>
          <w:u w:val="single" w:color="005DA1"/>
          <w:vertAlign w:val="superscript"/>
        </w:rPr>
        <w:t>1013</w:t>
      </w:r>
      <w:r>
        <w:rPr>
          <w:color w:val="005DA1"/>
          <w:vertAlign w:val="baseline"/>
        </w:rPr>
        <w:t> </w:t>
      </w:r>
      <w:r>
        <w:rPr>
          <w:vertAlign w:val="baseline"/>
        </w:rPr>
        <w:t>and that Regulation limits the power to choose by reference to art.7. In the circumstances</w:t>
      </w:r>
      <w:r>
        <w:rPr>
          <w:spacing w:val="-2"/>
          <w:vertAlign w:val="baseline"/>
        </w:rPr>
        <w:t> </w:t>
      </w:r>
      <w:r>
        <w:rPr>
          <w:vertAlign w:val="baseline"/>
        </w:rPr>
        <w:t>any</w:t>
      </w:r>
      <w:r>
        <w:rPr>
          <w:spacing w:val="-2"/>
          <w:vertAlign w:val="baseline"/>
        </w:rPr>
        <w:t> </w:t>
      </w:r>
      <w:r>
        <w:rPr>
          <w:vertAlign w:val="baseline"/>
        </w:rPr>
        <w:t>conclusion</w:t>
      </w:r>
      <w:r>
        <w:rPr>
          <w:spacing w:val="-2"/>
          <w:vertAlign w:val="baseline"/>
        </w:rPr>
        <w:t> </w:t>
      </w:r>
      <w:r>
        <w:rPr>
          <w:vertAlign w:val="baseline"/>
        </w:rPr>
        <w:t>on</w:t>
      </w:r>
      <w:r>
        <w:rPr>
          <w:spacing w:val="-2"/>
          <w:vertAlign w:val="baseline"/>
        </w:rPr>
        <w:t> </w:t>
      </w:r>
      <w:r>
        <w:rPr>
          <w:vertAlign w:val="baseline"/>
        </w:rPr>
        <w:t>this</w:t>
      </w:r>
      <w:r>
        <w:rPr>
          <w:spacing w:val="-2"/>
          <w:vertAlign w:val="baseline"/>
        </w:rPr>
        <w:t> </w:t>
      </w:r>
      <w:r>
        <w:rPr>
          <w:vertAlign w:val="baseline"/>
        </w:rPr>
        <w:t>issue</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speculative,</w:t>
      </w:r>
      <w:r>
        <w:rPr>
          <w:spacing w:val="-2"/>
          <w:vertAlign w:val="baseline"/>
        </w:rPr>
        <w:t> </w:t>
      </w:r>
      <w:r>
        <w:rPr>
          <w:vertAlign w:val="baseline"/>
        </w:rPr>
        <w:t>but</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suggested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reference in art.7(3), second sub-paragraph is to art.3 of the Regulation. Thus, if art.3 gives greater freedom of choice than the law which can be chosen under art.7(3)(a), art.7(3)(b) and 7(3)(e), the parties may </w:t>
      </w:r>
      <w:bookmarkStart w:name="_bookmark1892" w:id="1894"/>
      <w:bookmarkEnd w:id="1894"/>
      <w:r>
        <w:rPr>
          <w:vertAlign w:val="baseline"/>
        </w:rPr>
        <w:t>take</w:t>
      </w:r>
      <w:r>
        <w:rPr>
          <w:vertAlign w:val="baseline"/>
        </w:rPr>
        <w:t> advantage of that freedom if the law of the Member States identified in art.7(3)(a), (b) and (e) so permit. </w:t>
      </w:r>
      <w:r>
        <w:rPr>
          <w:color w:val="005DA1"/>
          <w:u w:val="single" w:color="005DA1"/>
          <w:vertAlign w:val="superscript"/>
        </w:rPr>
        <w:t>1014</w:t>
      </w:r>
    </w:p>
    <w:p>
      <w:pPr>
        <w:pStyle w:val="BodyText"/>
        <w:spacing w:before="75"/>
      </w:pPr>
    </w:p>
    <w:p>
      <w:pPr>
        <w:pStyle w:val="Heading2"/>
      </w:pPr>
      <w:r>
        <w:rPr/>
        <w:t>30-</w:t>
      </w:r>
      <w:r>
        <w:rPr>
          <w:spacing w:val="-5"/>
        </w:rPr>
        <w:t>273</w:t>
      </w:r>
    </w:p>
    <w:p>
      <w:pPr>
        <w:pStyle w:val="BodyText"/>
        <w:spacing w:line="235" w:lineRule="auto" w:before="203"/>
        <w:ind w:left="164" w:right="167"/>
        <w:jc w:val="both"/>
      </w:pPr>
      <w:r>
        <w:rPr/>
        <w:t>It has further been provided that where in relation to a case to which art.7(3) of the Regulation</w:t>
      </w:r>
      <w:r>
        <w:rPr>
          <w:spacing w:val="40"/>
        </w:rPr>
        <w:t> </w:t>
      </w:r>
      <w:r>
        <w:rPr/>
        <w:t>applies, the law referred to in art.7(3)(a) or 7(3)(b), or one of the laws referred to in art.7(3)(c), is </w:t>
      </w:r>
      <w:r>
        <w:rPr/>
        <w:t>the law of any part of the United Kingdom, the parties to the contract may also choose as the law applicable to the contract (a) the law of another country: or (b) the law of another part of the United </w:t>
      </w:r>
      <w:bookmarkStart w:name="_bookmark1893" w:id="1895"/>
      <w:bookmarkEnd w:id="1895"/>
      <w:r>
        <w:rPr/>
        <w:t>Kingdom</w:t>
      </w:r>
      <w:r>
        <w:rPr/>
        <w:t> if that choice complies with regs 3, 6, and 9-22 of the Financial Services and Markets Act </w:t>
      </w:r>
      <w:bookmarkStart w:name="_bookmark1894" w:id="1896"/>
      <w:bookmarkEnd w:id="1896"/>
      <w:r>
        <w:rPr/>
        <w:t>2000</w:t>
      </w:r>
      <w:r>
        <w:rPr/>
        <w:t> (Law Applicable to Contracts of Insurance) Regulations 2009 reg.4. </w:t>
      </w:r>
      <w:r>
        <w:rPr>
          <w:color w:val="005DA1"/>
          <w:u w:val="single" w:color="005DA1"/>
          <w:vertAlign w:val="superscript"/>
        </w:rPr>
        <w:t>1015</w:t>
      </w:r>
      <w:r>
        <w:rPr>
          <w:color w:val="005DA1"/>
          <w:vertAlign w:val="baseline"/>
        </w:rPr>
        <w:t> </w:t>
      </w:r>
      <w:r>
        <w:rPr>
          <w:vertAlign w:val="baseline"/>
        </w:rPr>
        <w:t>The Regulations also provide </w:t>
      </w:r>
      <w:r>
        <w:rPr>
          <w:color w:val="005DA1"/>
          <w:u w:val="single" w:color="005DA1"/>
          <w:vertAlign w:val="superscript"/>
        </w:rPr>
        <w:t>1016</w:t>
      </w:r>
      <w:r>
        <w:rPr>
          <w:color w:val="005DA1"/>
          <w:vertAlign w:val="baseline"/>
        </w:rPr>
        <w:t> </w:t>
      </w:r>
      <w:r>
        <w:rPr>
          <w:vertAlign w:val="baseline"/>
        </w:rPr>
        <w:t>that where the parties may choose the applicable law under the Rome I Regulation or </w:t>
      </w:r>
      <w:bookmarkStart w:name="_bookmark1895" w:id="1897"/>
      <w:bookmarkEnd w:id="1897"/>
      <w:r>
        <w:rPr>
          <w:vertAlign w:val="baseline"/>
        </w:rPr>
        <w:t>under</w:t>
      </w:r>
      <w:r>
        <w:rPr>
          <w:vertAlign w:val="baseline"/>
        </w:rPr>
        <w:t> reg.4 of the Regulations, and where the risk to which the contract relates is covered by Community co-insurance, </w:t>
      </w:r>
      <w:r>
        <w:rPr>
          <w:color w:val="005DA1"/>
          <w:u w:val="single" w:color="005DA1"/>
          <w:vertAlign w:val="superscript"/>
        </w:rPr>
        <w:t>1017</w:t>
      </w:r>
      <w:r>
        <w:rPr>
          <w:color w:val="005DA1"/>
          <w:vertAlign w:val="baseline"/>
        </w:rPr>
        <w:t> </w:t>
      </w:r>
      <w:r>
        <w:rPr>
          <w:vertAlign w:val="baseline"/>
        </w:rPr>
        <w:t>co-insurers other than the lead insurer </w:t>
      </w:r>
      <w:r>
        <w:rPr>
          <w:color w:val="005DA1"/>
          <w:u w:val="single" w:color="005DA1"/>
          <w:vertAlign w:val="superscript"/>
        </w:rPr>
        <w:t>1018</w:t>
      </w:r>
      <w:r>
        <w:rPr>
          <w:color w:val="005DA1"/>
          <w:vertAlign w:val="baseline"/>
        </w:rPr>
        <w:t> </w:t>
      </w:r>
      <w:r>
        <w:rPr>
          <w:vertAlign w:val="baseline"/>
        </w:rPr>
        <w:t>are not to be treated as parties to the contract.</w:t>
      </w:r>
    </w:p>
    <w:p>
      <w:pPr>
        <w:pStyle w:val="BodyText"/>
      </w:pPr>
    </w:p>
    <w:p>
      <w:pPr>
        <w:pStyle w:val="BodyText"/>
        <w:spacing w:before="35"/>
      </w:pPr>
    </w:p>
    <w:p>
      <w:pPr>
        <w:spacing w:before="0"/>
        <w:ind w:left="165" w:right="0" w:firstLine="0"/>
        <w:jc w:val="left"/>
        <w:rPr>
          <w:rFonts w:ascii="Arial"/>
          <w:b/>
          <w:sz w:val="18"/>
        </w:rPr>
      </w:pPr>
      <w:r>
        <w:rPr>
          <w:rFonts w:ascii="Arial"/>
          <w:b/>
          <w:sz w:val="18"/>
        </w:rPr>
        <w:t>Applicable law in the absence of </w:t>
      </w:r>
      <w:r>
        <w:rPr>
          <w:rFonts w:ascii="Arial"/>
          <w:b/>
          <w:spacing w:val="-2"/>
          <w:sz w:val="18"/>
        </w:rPr>
        <w:t>choice</w:t>
      </w:r>
    </w:p>
    <w:p>
      <w:pPr>
        <w:pStyle w:val="BodyText"/>
        <w:spacing w:before="41"/>
        <w:rPr>
          <w:rFonts w:ascii="Arial"/>
          <w:b/>
          <w:sz w:val="18"/>
        </w:rPr>
      </w:pPr>
    </w:p>
    <w:p>
      <w:pPr>
        <w:pStyle w:val="Heading2"/>
      </w:pPr>
      <w:r>
        <w:rPr/>
        <w:t>30-</w:t>
      </w:r>
      <w:r>
        <w:rPr>
          <w:spacing w:val="-5"/>
        </w:rPr>
        <w:t>274</w:t>
      </w:r>
    </w:p>
    <w:p>
      <w:pPr>
        <w:pStyle w:val="BodyText"/>
        <w:spacing w:line="235" w:lineRule="auto" w:before="203"/>
        <w:ind w:left="165" w:right="167"/>
        <w:jc w:val="both"/>
      </w:pPr>
      <w:r>
        <w:rPr/>
        <w:t>Article 7(3), third sub-paragraph, provides that to the extent that the law applicable to the contract has not</w:t>
      </w:r>
      <w:r>
        <w:rPr>
          <w:spacing w:val="-1"/>
        </w:rPr>
        <w:t> </w:t>
      </w:r>
      <w:r>
        <w:rPr/>
        <w:t>been</w:t>
      </w:r>
      <w:r>
        <w:rPr>
          <w:spacing w:val="-1"/>
        </w:rPr>
        <w:t> </w:t>
      </w:r>
      <w:r>
        <w:rPr/>
        <w:t>chosen</w:t>
      </w:r>
      <w:r>
        <w:rPr>
          <w:spacing w:val="-1"/>
        </w:rPr>
        <w:t> </w:t>
      </w:r>
      <w:r>
        <w:rPr/>
        <w:t>in</w:t>
      </w:r>
      <w:r>
        <w:rPr>
          <w:spacing w:val="-1"/>
        </w:rPr>
        <w:t> </w:t>
      </w:r>
      <w:r>
        <w:rPr/>
        <w:t>accordance</w:t>
      </w:r>
      <w:r>
        <w:rPr>
          <w:spacing w:val="-1"/>
        </w:rPr>
        <w:t> </w:t>
      </w:r>
      <w:r>
        <w:rPr/>
        <w:t>with</w:t>
      </w:r>
      <w:r>
        <w:rPr>
          <w:spacing w:val="-1"/>
        </w:rPr>
        <w:t> </w:t>
      </w:r>
      <w:r>
        <w:rPr/>
        <w:t>art.7(3),</w:t>
      </w:r>
      <w:r>
        <w:rPr>
          <w:spacing w:val="-1"/>
        </w:rPr>
        <w:t> </w:t>
      </w:r>
      <w:r>
        <w:rPr/>
        <w:t>the</w:t>
      </w:r>
      <w:r>
        <w:rPr>
          <w:spacing w:val="-1"/>
        </w:rPr>
        <w:t> </w:t>
      </w:r>
      <w:r>
        <w:rPr/>
        <w:t>contract</w:t>
      </w:r>
      <w:r>
        <w:rPr>
          <w:spacing w:val="-1"/>
        </w:rPr>
        <w:t> </w:t>
      </w:r>
      <w:r>
        <w:rPr/>
        <w:t>shall</w:t>
      </w:r>
      <w:r>
        <w:rPr>
          <w:spacing w:val="-1"/>
        </w:rPr>
        <w:t> </w:t>
      </w:r>
      <w:r>
        <w:rPr/>
        <w:t>be</w:t>
      </w:r>
      <w:r>
        <w:rPr>
          <w:spacing w:val="-1"/>
        </w:rPr>
        <w:t> </w:t>
      </w:r>
      <w:r>
        <w:rPr/>
        <w:t>governed</w:t>
      </w:r>
      <w:r>
        <w:rPr>
          <w:spacing w:val="-1"/>
        </w:rPr>
        <w:t> </w:t>
      </w:r>
      <w:r>
        <w:rPr/>
        <w:t>by</w:t>
      </w:r>
      <w:r>
        <w:rPr>
          <w:spacing w:val="-1"/>
        </w:rPr>
        <w:t> </w:t>
      </w:r>
      <w:r>
        <w:rPr/>
        <w:t>the</w:t>
      </w:r>
      <w:r>
        <w:rPr>
          <w:spacing w:val="-1"/>
        </w:rPr>
        <w:t> </w:t>
      </w:r>
      <w:r>
        <w:rPr/>
        <w:t>law</w:t>
      </w:r>
      <w:r>
        <w:rPr>
          <w:spacing w:val="-1"/>
        </w:rPr>
        <w:t> </w:t>
      </w:r>
      <w:r>
        <w:rPr/>
        <w:t>of</w:t>
      </w:r>
      <w:r>
        <w:rPr>
          <w:spacing w:val="-1"/>
        </w:rPr>
        <w:t> </w:t>
      </w:r>
      <w:r>
        <w:rPr/>
        <w:t>the</w:t>
      </w:r>
      <w:r>
        <w:rPr>
          <w:spacing w:val="-1"/>
        </w:rPr>
        <w:t> </w:t>
      </w:r>
      <w:r>
        <w:rPr/>
        <w:t>Member State in which the risk is situated at the time of conclusion to the contract. There is no escape </w:t>
      </w:r>
      <w:r>
        <w:rPr/>
        <w:t>clause allowing application of the law of another country (or Member State) if it is clear from all the </w:t>
      </w:r>
      <w:bookmarkStart w:name="_bookmark1896" w:id="1898"/>
      <w:bookmarkEnd w:id="1898"/>
      <w:r>
        <w:rPr/>
        <w:t>circumstances</w:t>
      </w:r>
      <w:r>
        <w:rPr/>
        <w:t> of the case that the contract is manifestly more closely connected with that other country. </w:t>
      </w:r>
      <w:r>
        <w:rPr>
          <w:color w:val="005DA1"/>
          <w:u w:val="single" w:color="005DA1"/>
          <w:vertAlign w:val="superscript"/>
        </w:rPr>
        <w:t>1019</w:t>
      </w:r>
      <w:r>
        <w:rPr>
          <w:color w:val="005DA1"/>
          <w:vertAlign w:val="baseline"/>
        </w:rPr>
        <w:t> </w:t>
      </w:r>
      <w:r>
        <w:rPr>
          <w:vertAlign w:val="baseline"/>
        </w:rPr>
        <w:t>For the purposes of art.7(3), third sub-paragraph, art.7(5) provides that where the </w:t>
      </w:r>
      <w:bookmarkStart w:name="_bookmark1897" w:id="1899"/>
      <w:bookmarkEnd w:id="1899"/>
      <w:r>
        <w:rPr>
          <w:vertAlign w:val="baseline"/>
        </w:rPr>
        <w:t>contract</w:t>
      </w:r>
      <w:r>
        <w:rPr>
          <w:vertAlign w:val="baseline"/>
        </w:rPr>
        <w:t> covers risks situated in more than one Member State, the contract “shall be considered as several contracts each relating to only one Member State”. </w:t>
      </w:r>
      <w:r>
        <w:rPr>
          <w:color w:val="005DA1"/>
          <w:u w:val="single" w:color="005DA1"/>
          <w:vertAlign w:val="superscript"/>
        </w:rPr>
        <w:t>1020</w:t>
      </w:r>
      <w:r>
        <w:rPr>
          <w:color w:val="005DA1"/>
          <w:vertAlign w:val="baseline"/>
        </w:rPr>
        <w:t> </w:t>
      </w:r>
      <w:r>
        <w:rPr>
          <w:vertAlign w:val="baseline"/>
        </w:rPr>
        <w:t>This might not be thought to be a particularly convenient solution.</w:t>
      </w:r>
    </w:p>
    <w:p>
      <w:pPr>
        <w:pStyle w:val="BodyText"/>
      </w:pPr>
    </w:p>
    <w:p>
      <w:pPr>
        <w:pStyle w:val="BodyText"/>
        <w:spacing w:before="35"/>
      </w:pPr>
    </w:p>
    <w:p>
      <w:pPr>
        <w:spacing w:before="0"/>
        <w:ind w:left="165" w:right="0" w:firstLine="0"/>
        <w:jc w:val="left"/>
        <w:rPr>
          <w:rFonts w:ascii="Arial"/>
          <w:b/>
          <w:sz w:val="18"/>
        </w:rPr>
      </w:pPr>
      <w:r>
        <w:rPr>
          <w:rFonts w:ascii="Arial"/>
          <w:b/>
          <w:sz w:val="18"/>
        </w:rPr>
        <w:t>Risk situated in non-Member State, </w:t>
      </w:r>
      <w:r>
        <w:rPr>
          <w:rFonts w:ascii="Arial"/>
          <w:b/>
          <w:spacing w:val="-5"/>
          <w:sz w:val="18"/>
        </w:rPr>
        <w:t>etc</w:t>
      </w:r>
    </w:p>
    <w:p>
      <w:pPr>
        <w:pStyle w:val="BodyText"/>
        <w:spacing w:before="41"/>
        <w:rPr>
          <w:rFonts w:ascii="Arial"/>
          <w:b/>
          <w:sz w:val="18"/>
        </w:rPr>
      </w:pPr>
    </w:p>
    <w:p>
      <w:pPr>
        <w:pStyle w:val="Heading2"/>
      </w:pPr>
      <w:r>
        <w:rPr/>
        <w:t>30-</w:t>
      </w:r>
      <w:r>
        <w:rPr>
          <w:spacing w:val="-5"/>
        </w:rPr>
        <w:t>275</w:t>
      </w:r>
    </w:p>
    <w:p>
      <w:pPr>
        <w:pStyle w:val="BodyText"/>
        <w:spacing w:before="199"/>
        <w:ind w:left="165"/>
        <w:jc w:val="both"/>
      </w:pPr>
      <w:r>
        <w:rPr/>
        <w:t>Article</w:t>
      </w:r>
      <w:r>
        <w:rPr>
          <w:spacing w:val="4"/>
        </w:rPr>
        <w:t> </w:t>
      </w:r>
      <w:r>
        <w:rPr/>
        <w:t>7(3)</w:t>
      </w:r>
      <w:r>
        <w:rPr>
          <w:spacing w:val="4"/>
        </w:rPr>
        <w:t> </w:t>
      </w:r>
      <w:r>
        <w:rPr/>
        <w:t>only</w:t>
      </w:r>
      <w:r>
        <w:rPr>
          <w:spacing w:val="4"/>
        </w:rPr>
        <w:t> </w:t>
      </w:r>
      <w:r>
        <w:rPr/>
        <w:t>applies</w:t>
      </w:r>
      <w:r>
        <w:rPr>
          <w:spacing w:val="4"/>
        </w:rPr>
        <w:t> </w:t>
      </w:r>
      <w:r>
        <w:rPr/>
        <w:t>if</w:t>
      </w:r>
      <w:r>
        <w:rPr>
          <w:spacing w:val="4"/>
        </w:rPr>
        <w:t> </w:t>
      </w:r>
      <w:r>
        <w:rPr/>
        <w:t>the</w:t>
      </w:r>
      <w:r>
        <w:rPr>
          <w:spacing w:val="4"/>
        </w:rPr>
        <w:t> </w:t>
      </w:r>
      <w:r>
        <w:rPr/>
        <w:t>risk</w:t>
      </w:r>
      <w:r>
        <w:rPr>
          <w:spacing w:val="4"/>
        </w:rPr>
        <w:t> </w:t>
      </w:r>
      <w:r>
        <w:rPr/>
        <w:t>is</w:t>
      </w:r>
      <w:r>
        <w:rPr>
          <w:spacing w:val="4"/>
        </w:rPr>
        <w:t> </w:t>
      </w:r>
      <w:r>
        <w:rPr/>
        <w:t>situated</w:t>
      </w:r>
      <w:r>
        <w:rPr>
          <w:spacing w:val="4"/>
        </w:rPr>
        <w:t> </w:t>
      </w:r>
      <w:r>
        <w:rPr/>
        <w:t>in</w:t>
      </w:r>
      <w:r>
        <w:rPr>
          <w:spacing w:val="4"/>
        </w:rPr>
        <w:t> </w:t>
      </w:r>
      <w:r>
        <w:rPr/>
        <w:t>a</w:t>
      </w:r>
      <w:r>
        <w:rPr>
          <w:spacing w:val="4"/>
        </w:rPr>
        <w:t> </w:t>
      </w:r>
      <w:r>
        <w:rPr/>
        <w:t>Member</w:t>
      </w:r>
      <w:r>
        <w:rPr>
          <w:spacing w:val="4"/>
        </w:rPr>
        <w:t> </w:t>
      </w:r>
      <w:r>
        <w:rPr/>
        <w:t>State</w:t>
      </w:r>
      <w:r>
        <w:rPr>
          <w:spacing w:val="4"/>
        </w:rPr>
        <w:t> </w:t>
      </w:r>
      <w:r>
        <w:rPr/>
        <w:t>and</w:t>
      </w:r>
      <w:r>
        <w:rPr>
          <w:spacing w:val="4"/>
        </w:rPr>
        <w:t> </w:t>
      </w:r>
      <w:r>
        <w:rPr/>
        <w:t>also,</w:t>
      </w:r>
      <w:r>
        <w:rPr>
          <w:spacing w:val="4"/>
        </w:rPr>
        <w:t> </w:t>
      </w:r>
      <w:r>
        <w:rPr/>
        <w:t>together</w:t>
      </w:r>
      <w:r>
        <w:rPr>
          <w:spacing w:val="4"/>
        </w:rPr>
        <w:t> </w:t>
      </w:r>
      <w:r>
        <w:rPr/>
        <w:t>with</w:t>
      </w:r>
      <w:r>
        <w:rPr>
          <w:spacing w:val="4"/>
        </w:rPr>
        <w:t> </w:t>
      </w:r>
      <w:r>
        <w:rPr/>
        <w:t>art.7(5),</w:t>
      </w:r>
      <w:r>
        <w:rPr>
          <w:spacing w:val="4"/>
        </w:rPr>
        <w:t> </w:t>
      </w:r>
      <w:r>
        <w:rPr>
          <w:spacing w:val="-2"/>
        </w:rPr>
        <w:t>deals</w:t>
      </w:r>
    </w:p>
    <w:p>
      <w:pPr>
        <w:pStyle w:val="BodyText"/>
        <w:spacing w:after="0"/>
        <w:jc w:val="both"/>
        <w:sectPr>
          <w:pgSz w:w="11900" w:h="16840"/>
          <w:pgMar w:header="971" w:footer="0" w:top="1300" w:bottom="280" w:left="1275" w:right="1275"/>
        </w:sectPr>
      </w:pPr>
    </w:p>
    <w:p>
      <w:pPr>
        <w:pStyle w:val="BodyText"/>
        <w:spacing w:line="235" w:lineRule="auto" w:before="210"/>
        <w:ind w:left="164" w:right="167"/>
        <w:jc w:val="both"/>
      </w:pPr>
      <w:r>
        <w:rPr/>
        <w:t>with the situation where the risk is situated in more than one Member State. Where the risk is situated </w:t>
      </w:r>
      <w:bookmarkStart w:name="_bookmark1898" w:id="1900"/>
      <w:bookmarkEnd w:id="1900"/>
      <w:r>
        <w:rPr/>
        <w:t>in</w:t>
      </w:r>
      <w:r>
        <w:rPr/>
        <w:t> a non-Member State then the law applicable to the insurance contract will, so it appears, be generally determined by reference to arts 3 and 4 of the Regulation </w:t>
      </w:r>
      <w:r>
        <w:rPr>
          <w:color w:val="005DA1"/>
          <w:u w:val="single" w:color="005DA1"/>
          <w:vertAlign w:val="superscript"/>
        </w:rPr>
        <w:t>1021</w:t>
      </w:r>
      <w:r>
        <w:rPr>
          <w:color w:val="005DA1"/>
          <w:vertAlign w:val="baseline"/>
        </w:rPr>
        <w:t> </w:t>
      </w:r>
      <w:r>
        <w:rPr>
          <w:vertAlign w:val="baseline"/>
        </w:rPr>
        <w:t>unless the non-Member State is an EEA state, in which case it is possible that the applicable law will be determined by reference </w:t>
      </w:r>
      <w:r>
        <w:rPr>
          <w:vertAlign w:val="baseline"/>
        </w:rPr>
        <w:t>to </w:t>
      </w:r>
      <w:bookmarkStart w:name="_bookmark1899" w:id="1901"/>
      <w:bookmarkEnd w:id="1901"/>
      <w:r>
        <w:rPr>
          <w:vertAlign w:val="baseline"/>
        </w:rPr>
        <w:t>the</w:t>
      </w:r>
      <w:r>
        <w:rPr>
          <w:vertAlign w:val="baseline"/>
        </w:rPr>
        <w:t> relevant provisions of the Financial Services and Markets Act 2000 (Law Applicable to Contracts of</w:t>
      </w:r>
      <w:r>
        <w:rPr>
          <w:spacing w:val="40"/>
          <w:vertAlign w:val="baseline"/>
        </w:rPr>
        <w:t> </w:t>
      </w:r>
      <w:r>
        <w:rPr>
          <w:vertAlign w:val="baseline"/>
        </w:rPr>
        <w:t>Insurance)</w:t>
      </w:r>
      <w:r>
        <w:rPr>
          <w:spacing w:val="40"/>
          <w:vertAlign w:val="baseline"/>
        </w:rPr>
        <w:t> </w:t>
      </w:r>
      <w:r>
        <w:rPr>
          <w:vertAlign w:val="baseline"/>
        </w:rPr>
        <w:t>Regulations</w:t>
      </w:r>
      <w:r>
        <w:rPr>
          <w:spacing w:val="40"/>
          <w:vertAlign w:val="baseline"/>
        </w:rPr>
        <w:t> </w:t>
      </w:r>
      <w:r>
        <w:rPr>
          <w:vertAlign w:val="baseline"/>
        </w:rPr>
        <w:t>2001.</w:t>
      </w:r>
      <w:r>
        <w:rPr>
          <w:spacing w:val="40"/>
          <w:vertAlign w:val="baseline"/>
        </w:rPr>
        <w:t> </w:t>
      </w:r>
      <w:r>
        <w:rPr>
          <w:color w:val="005DA1"/>
          <w:u w:val="single" w:color="005DA1"/>
          <w:vertAlign w:val="superscript"/>
        </w:rPr>
        <w:t>1022</w:t>
      </w:r>
      <w:r>
        <w:rPr>
          <w:color w:val="005DA1"/>
          <w:spacing w:val="40"/>
          <w:vertAlign w:val="baseline"/>
        </w:rPr>
        <w:t> </w:t>
      </w:r>
      <w:r>
        <w:rPr>
          <w:vertAlign w:val="baseline"/>
        </w:rPr>
        <w:t>Where</w:t>
      </w:r>
      <w:r>
        <w:rPr>
          <w:spacing w:val="40"/>
          <w:vertAlign w:val="baseline"/>
        </w:rPr>
        <w:t> </w:t>
      </w:r>
      <w:r>
        <w:rPr>
          <w:vertAlign w:val="baseline"/>
        </w:rPr>
        <w:t>the</w:t>
      </w:r>
      <w:r>
        <w:rPr>
          <w:spacing w:val="40"/>
          <w:vertAlign w:val="baseline"/>
        </w:rPr>
        <w:t> </w:t>
      </w:r>
      <w:r>
        <w:rPr>
          <w:vertAlign w:val="baseline"/>
        </w:rPr>
        <w:t>risk</w:t>
      </w:r>
      <w:r>
        <w:rPr>
          <w:spacing w:val="40"/>
          <w:vertAlign w:val="baseline"/>
        </w:rPr>
        <w:t> </w:t>
      </w:r>
      <w:r>
        <w:rPr>
          <w:vertAlign w:val="baseline"/>
        </w:rPr>
        <w:t>is</w:t>
      </w:r>
      <w:r>
        <w:rPr>
          <w:spacing w:val="40"/>
          <w:vertAlign w:val="baseline"/>
        </w:rPr>
        <w:t> </w:t>
      </w:r>
      <w:r>
        <w:rPr>
          <w:vertAlign w:val="baseline"/>
        </w:rPr>
        <w:t>situated</w:t>
      </w:r>
      <w:r>
        <w:rPr>
          <w:spacing w:val="40"/>
          <w:vertAlign w:val="baseline"/>
        </w:rPr>
        <w:t> </w:t>
      </w:r>
      <w:r>
        <w:rPr>
          <w:vertAlign w:val="baseline"/>
        </w:rPr>
        <w:t>in</w:t>
      </w:r>
      <w:r>
        <w:rPr>
          <w:spacing w:val="40"/>
          <w:vertAlign w:val="baseline"/>
        </w:rPr>
        <w:t> </w:t>
      </w:r>
      <w:r>
        <w:rPr>
          <w:vertAlign w:val="baseline"/>
        </w:rPr>
        <w:t>both</w:t>
      </w:r>
      <w:r>
        <w:rPr>
          <w:spacing w:val="40"/>
          <w:vertAlign w:val="baseline"/>
        </w:rPr>
        <w:t> </w:t>
      </w:r>
      <w:r>
        <w:rPr>
          <w:vertAlign w:val="baseline"/>
        </w:rPr>
        <w:t>a</w:t>
      </w:r>
      <w:r>
        <w:rPr>
          <w:spacing w:val="40"/>
          <w:vertAlign w:val="baseline"/>
        </w:rPr>
        <w:t> </w:t>
      </w:r>
      <w:r>
        <w:rPr>
          <w:vertAlign w:val="baseline"/>
        </w:rPr>
        <w:t>Member</w:t>
      </w:r>
      <w:r>
        <w:rPr>
          <w:spacing w:val="40"/>
          <w:vertAlign w:val="baseline"/>
        </w:rPr>
        <w:t> </w:t>
      </w:r>
      <w:r>
        <w:rPr>
          <w:vertAlign w:val="baseline"/>
        </w:rPr>
        <w:t>State</w:t>
      </w:r>
      <w:r>
        <w:rPr>
          <w:spacing w:val="40"/>
          <w:vertAlign w:val="baseline"/>
        </w:rPr>
        <w:t> </w:t>
      </w:r>
      <w:r>
        <w:rPr>
          <w:vertAlign w:val="baseline"/>
        </w:rPr>
        <w:t>and</w:t>
      </w:r>
      <w:r>
        <w:rPr>
          <w:spacing w:val="40"/>
          <w:vertAlign w:val="baseline"/>
        </w:rPr>
        <w:t> </w:t>
      </w:r>
      <w:r>
        <w:rPr>
          <w:vertAlign w:val="baseline"/>
        </w:rPr>
        <w:t>a non-Member State, then it may be, drawing an analogy with art.7(5), that the contract will be treated as a series of separate contracts with art.7(3) applying in respect of the risk situated in the Member State and arts 3 and 4 applying in so far as the risk is situated in a non-Member State. Where the risk is situated in both a Member State and an EEA State, then again the contract may be treated as a series of separate contracts with art.7(3) applying to the former situation and the 2001 Regulations applying to the latter situation. Where the risk is situated in two or more non-Member States, then the applicable law will be determined by reference to arts 3 and 4 of the Regulation, in respect of the </w:t>
      </w:r>
      <w:bookmarkStart w:name="_bookmark1900" w:id="1902"/>
      <w:bookmarkEnd w:id="1902"/>
      <w:r>
        <w:rPr>
          <w:vertAlign w:val="baseline"/>
        </w:rPr>
        <w:t>contract</w:t>
      </w:r>
      <w:r>
        <w:rPr>
          <w:vertAlign w:val="baseline"/>
        </w:rPr>
        <w:t> as a whole, and there will, one would think, be no need to treat the contract as a series of separate contracts. </w:t>
      </w:r>
      <w:r>
        <w:rPr>
          <w:color w:val="005DA1"/>
          <w:u w:val="single" w:color="005DA1"/>
          <w:vertAlign w:val="superscript"/>
        </w:rPr>
        <w:t>1023</w:t>
      </w:r>
    </w:p>
    <w:p>
      <w:pPr>
        <w:pStyle w:val="BodyText"/>
      </w:pPr>
    </w:p>
    <w:p>
      <w:pPr>
        <w:pStyle w:val="BodyText"/>
        <w:spacing w:before="33"/>
      </w:pPr>
    </w:p>
    <w:p>
      <w:pPr>
        <w:spacing w:before="0"/>
        <w:ind w:left="165" w:right="0" w:firstLine="0"/>
        <w:jc w:val="both"/>
        <w:rPr>
          <w:rFonts w:ascii="Arial"/>
          <w:b/>
          <w:sz w:val="18"/>
        </w:rPr>
      </w:pPr>
      <w:r>
        <w:rPr>
          <w:rFonts w:ascii="Arial"/>
          <w:b/>
          <w:sz w:val="18"/>
        </w:rPr>
        <w:t>Compulsory </w:t>
      </w:r>
      <w:r>
        <w:rPr>
          <w:rFonts w:ascii="Arial"/>
          <w:b/>
          <w:spacing w:val="-2"/>
          <w:sz w:val="18"/>
        </w:rPr>
        <w:t>insurance</w:t>
      </w:r>
    </w:p>
    <w:p>
      <w:pPr>
        <w:pStyle w:val="BodyText"/>
        <w:spacing w:before="41"/>
        <w:rPr>
          <w:rFonts w:ascii="Arial"/>
          <w:b/>
          <w:sz w:val="18"/>
        </w:rPr>
      </w:pPr>
    </w:p>
    <w:p>
      <w:pPr>
        <w:pStyle w:val="Heading2"/>
        <w:spacing w:before="1"/>
      </w:pPr>
      <w:r>
        <w:rPr/>
        <w:t>30-</w:t>
      </w:r>
      <w:r>
        <w:rPr>
          <w:spacing w:val="-5"/>
        </w:rPr>
        <w:t>276</w:t>
      </w:r>
    </w:p>
    <w:p>
      <w:pPr>
        <w:pStyle w:val="BodyText"/>
        <w:spacing w:line="235" w:lineRule="auto" w:before="202"/>
        <w:ind w:left="165" w:right="167"/>
        <w:jc w:val="both"/>
      </w:pPr>
      <w:r>
        <w:rPr/>
        <w:t>Article</w:t>
      </w:r>
      <w:r>
        <w:rPr>
          <w:spacing w:val="-1"/>
        </w:rPr>
        <w:t> </w:t>
      </w:r>
      <w:r>
        <w:rPr/>
        <w:t>7(4)</w:t>
      </w:r>
      <w:r>
        <w:rPr>
          <w:spacing w:val="-1"/>
        </w:rPr>
        <w:t> </w:t>
      </w:r>
      <w:r>
        <w:rPr/>
        <w:t>of</w:t>
      </w:r>
      <w:r>
        <w:rPr>
          <w:spacing w:val="-2"/>
        </w:rPr>
        <w:t> </w:t>
      </w:r>
      <w:r>
        <w:rPr/>
        <w:t>the</w:t>
      </w:r>
      <w:r>
        <w:rPr>
          <w:spacing w:val="-1"/>
        </w:rPr>
        <w:t> </w:t>
      </w:r>
      <w:r>
        <w:rPr/>
        <w:t>Regulation</w:t>
      </w:r>
      <w:r>
        <w:rPr>
          <w:spacing w:val="-1"/>
        </w:rPr>
        <w:t> </w:t>
      </w:r>
      <w:r>
        <w:rPr/>
        <w:t>provides</w:t>
      </w:r>
      <w:r>
        <w:rPr>
          <w:spacing w:val="-2"/>
        </w:rPr>
        <w:t> </w:t>
      </w:r>
      <w:r>
        <w:rPr/>
        <w:t>additional</w:t>
      </w:r>
      <w:r>
        <w:rPr>
          <w:spacing w:val="-1"/>
        </w:rPr>
        <w:t> </w:t>
      </w:r>
      <w:r>
        <w:rPr/>
        <w:t>rules</w:t>
      </w:r>
      <w:r>
        <w:rPr>
          <w:spacing w:val="-1"/>
        </w:rPr>
        <w:t> </w:t>
      </w:r>
      <w:r>
        <w:rPr/>
        <w:t>for</w:t>
      </w:r>
      <w:r>
        <w:rPr>
          <w:spacing w:val="-2"/>
        </w:rPr>
        <w:t> </w:t>
      </w:r>
      <w:r>
        <w:rPr/>
        <w:t>contracts</w:t>
      </w:r>
      <w:r>
        <w:rPr>
          <w:spacing w:val="-1"/>
        </w:rPr>
        <w:t> </w:t>
      </w:r>
      <w:r>
        <w:rPr/>
        <w:t>covering</w:t>
      </w:r>
      <w:r>
        <w:rPr>
          <w:spacing w:val="-1"/>
        </w:rPr>
        <w:t> </w:t>
      </w:r>
      <w:r>
        <w:rPr/>
        <w:t>risks</w:t>
      </w:r>
      <w:r>
        <w:rPr>
          <w:spacing w:val="-2"/>
        </w:rPr>
        <w:t> </w:t>
      </w:r>
      <w:r>
        <w:rPr/>
        <w:t>for</w:t>
      </w:r>
      <w:r>
        <w:rPr>
          <w:spacing w:val="-1"/>
        </w:rPr>
        <w:t> </w:t>
      </w:r>
      <w:r>
        <w:rPr/>
        <w:t>which</w:t>
      </w:r>
      <w:r>
        <w:rPr>
          <w:spacing w:val="-1"/>
        </w:rPr>
        <w:t> </w:t>
      </w:r>
      <w:r>
        <w:rPr/>
        <w:t>a</w:t>
      </w:r>
      <w:r>
        <w:rPr>
          <w:spacing w:val="-2"/>
        </w:rPr>
        <w:t> </w:t>
      </w:r>
      <w:r>
        <w:rPr/>
        <w:t>Member State imposes an obligation to take out insurance. By virtue of art.7(4)(a), the insurance contract will not satisfy the obligation to take out insurance unless it complies with the specific provisions relating</w:t>
      </w:r>
      <w:r>
        <w:rPr>
          <w:spacing w:val="40"/>
        </w:rPr>
        <w:t> </w:t>
      </w:r>
      <w:r>
        <w:rPr/>
        <w:t>to that insurance laid down by the Member State that imposes the obligation. Where the law of </w:t>
      </w:r>
      <w:r>
        <w:rPr/>
        <w:t>the Member State in which the risk is situated and the law of the Member State imposing the obligation to take out insurance contradict each other, the latter shall prevail. For these purposes, where the </w:t>
      </w:r>
      <w:bookmarkStart w:name="_bookmark1901" w:id="1903"/>
      <w:bookmarkEnd w:id="1903"/>
      <w:r>
        <w:rPr/>
        <w:t>contract</w:t>
      </w:r>
      <w:r>
        <w:rPr/>
        <w:t> covers risks situated in more than one Member State, art.7(5) provides that the contract shall be considered as constituting several contracts each relating to only one Member State. </w:t>
      </w:r>
      <w:r>
        <w:rPr>
          <w:color w:val="005DA1"/>
          <w:u w:val="single" w:color="005DA1"/>
          <w:vertAlign w:val="superscript"/>
        </w:rPr>
        <w:t>1024</w:t>
      </w:r>
      <w:r>
        <w:rPr>
          <w:color w:val="005DA1"/>
          <w:vertAlign w:val="baseline"/>
        </w:rPr>
        <w:t> </w:t>
      </w:r>
      <w:r>
        <w:rPr>
          <w:vertAlign w:val="baseline"/>
        </w:rPr>
        <w:t>Article 7(4)(b), by way of derogation from art.7(2) and (3), permits a Member State to lay down that the insurance contract shall be governed by the law of the Member State that imposes the obligation to take out insurance.</w:t>
      </w:r>
    </w:p>
    <w:p>
      <w:pPr>
        <w:pStyle w:val="BodyText"/>
      </w:pPr>
    </w:p>
    <w:p>
      <w:pPr>
        <w:pStyle w:val="BodyText"/>
        <w:spacing w:before="36"/>
      </w:pPr>
      <w:r>
        <w:rPr/>
        <mc:AlternateContent>
          <mc:Choice Requires="wps">
            <w:drawing>
              <wp:anchor distT="0" distB="0" distL="0" distR="0" allowOverlap="1" layoutInCell="1" locked="0" behindDoc="1" simplePos="0" relativeHeight="487621120">
                <wp:simplePos x="0" y="0"/>
                <wp:positionH relativeFrom="page">
                  <wp:posOffset>914400</wp:posOffset>
                </wp:positionH>
                <wp:positionV relativeFrom="paragraph">
                  <wp:posOffset>184205</wp:posOffset>
                </wp:positionV>
                <wp:extent cx="5724525" cy="1270"/>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04383pt;width:450.75pt;height:.1pt;mso-position-horizontal-relative:page;mso-position-vertical-relative:paragraph;z-index:-15695360;mso-wrap-distance-left:0;mso-wrap-distance-right:0" id="docshape34"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902" w:id="1904"/>
      <w:bookmarkEnd w:id="1904"/>
      <w:r>
        <w:rPr/>
      </w:r>
      <w:hyperlink w:history="true" w:anchor="_bookmark1848">
        <w:r>
          <w:rPr>
            <w:color w:val="005DA1"/>
            <w:spacing w:val="-4"/>
            <w:position w:val="5"/>
            <w:sz w:val="14"/>
            <w:u w:val="single" w:color="005DA1"/>
          </w:rPr>
          <w:t>967</w:t>
        </w:r>
      </w:hyperlink>
      <w:r>
        <w:rPr>
          <w:spacing w:val="-4"/>
          <w:position w:val="5"/>
          <w:sz w:val="14"/>
        </w:rPr>
        <w:t>.</w:t>
      </w:r>
      <w:r>
        <w:rPr>
          <w:position w:val="5"/>
          <w:sz w:val="14"/>
        </w:rPr>
        <w:tab/>
      </w:r>
      <w:r>
        <w:rPr/>
        <w:t>Rome Convention art.1(5); above, paras 30-044 et </w:t>
      </w:r>
      <w:r>
        <w:rPr>
          <w:spacing w:val="-4"/>
        </w:rPr>
        <w:t>seq.</w:t>
      </w:r>
    </w:p>
    <w:p>
      <w:pPr>
        <w:pStyle w:val="BodyText"/>
        <w:spacing w:before="5"/>
      </w:pPr>
    </w:p>
    <w:p>
      <w:pPr>
        <w:pStyle w:val="BodyText"/>
        <w:tabs>
          <w:tab w:pos="705" w:val="left" w:leader="none"/>
        </w:tabs>
        <w:ind w:left="165"/>
      </w:pPr>
      <w:bookmarkStart w:name="_bookmark1903" w:id="1905"/>
      <w:bookmarkEnd w:id="1905"/>
      <w:r>
        <w:rPr/>
      </w:r>
      <w:hyperlink w:history="true" w:anchor="_bookmark1849">
        <w:r>
          <w:rPr>
            <w:color w:val="005DA1"/>
            <w:spacing w:val="-4"/>
            <w:position w:val="5"/>
            <w:sz w:val="14"/>
            <w:u w:val="single" w:color="005DA1"/>
          </w:rPr>
          <w:t>968</w:t>
        </w:r>
      </w:hyperlink>
      <w:r>
        <w:rPr>
          <w:spacing w:val="-4"/>
          <w:position w:val="5"/>
          <w:sz w:val="14"/>
        </w:rPr>
        <w:t>.</w:t>
      </w:r>
      <w:r>
        <w:rPr>
          <w:position w:val="5"/>
          <w:sz w:val="14"/>
        </w:rPr>
        <w:tab/>
      </w:r>
      <w:r>
        <w:rPr/>
        <w:t>Above,</w:t>
      </w:r>
      <w:r>
        <w:rPr>
          <w:spacing w:val="-2"/>
        </w:rPr>
        <w:t> </w:t>
      </w:r>
      <w:r>
        <w:rPr/>
        <w:t>paras 30-044 et </w:t>
      </w:r>
      <w:r>
        <w:rPr>
          <w:spacing w:val="-4"/>
        </w:rPr>
        <w:t>seq.</w:t>
      </w:r>
    </w:p>
    <w:p>
      <w:pPr>
        <w:pStyle w:val="BodyText"/>
        <w:spacing w:before="9"/>
      </w:pPr>
    </w:p>
    <w:p>
      <w:pPr>
        <w:pStyle w:val="BodyText"/>
        <w:spacing w:line="235" w:lineRule="auto"/>
        <w:ind w:left="705" w:right="167" w:hanging="541"/>
        <w:jc w:val="both"/>
      </w:pPr>
      <w:bookmarkStart w:name="_bookmark1904" w:id="1906"/>
      <w:bookmarkEnd w:id="1906"/>
      <w:r>
        <w:rPr/>
      </w:r>
      <w:hyperlink w:history="true" w:anchor="_bookmark1850">
        <w:r>
          <w:rPr>
            <w:color w:val="005DA1"/>
            <w:position w:val="5"/>
            <w:sz w:val="14"/>
            <w:u w:val="single" w:color="005DA1"/>
          </w:rPr>
          <w:t>969</w:t>
        </w:r>
      </w:hyperlink>
      <w:r>
        <w:rPr>
          <w:position w:val="5"/>
          <w:sz w:val="14"/>
        </w:rPr>
        <w:t>.</w:t>
      </w:r>
      <w:r>
        <w:rPr>
          <w:spacing w:val="80"/>
          <w:w w:val="150"/>
          <w:position w:val="5"/>
          <w:sz w:val="14"/>
        </w:rPr>
        <w:t> </w:t>
      </w:r>
      <w:r>
        <w:rPr/>
        <w:t>Financial Services and Markets Act 2000 Regulations 2001 (SI 2001/2635, as amended by SI 2001/3452). The Directives, as implemented in the Regulations, applied where the risk was situated in an EEA Member State: see above, para.30-045.</w:t>
      </w:r>
    </w:p>
    <w:p>
      <w:pPr>
        <w:pStyle w:val="BodyText"/>
        <w:spacing w:before="9"/>
      </w:pPr>
    </w:p>
    <w:p>
      <w:pPr>
        <w:pStyle w:val="BodyText"/>
        <w:tabs>
          <w:tab w:pos="705" w:val="left" w:leader="none"/>
        </w:tabs>
        <w:spacing w:line="235" w:lineRule="auto"/>
        <w:ind w:left="705" w:right="167" w:hanging="541"/>
      </w:pPr>
      <w:bookmarkStart w:name="_bookmark1905" w:id="1907"/>
      <w:bookmarkEnd w:id="1907"/>
      <w:r>
        <w:rPr/>
      </w:r>
      <w:hyperlink w:history="true" w:anchor="_bookmark1851">
        <w:r>
          <w:rPr>
            <w:color w:val="005DA1"/>
            <w:spacing w:val="-4"/>
            <w:position w:val="5"/>
            <w:sz w:val="14"/>
            <w:u w:val="single" w:color="005DA1"/>
          </w:rPr>
          <w:t>970</w:t>
        </w:r>
      </w:hyperlink>
      <w:r>
        <w:rPr>
          <w:spacing w:val="-4"/>
          <w:position w:val="5"/>
          <w:sz w:val="14"/>
        </w:rPr>
        <w:t>.</w:t>
      </w:r>
      <w:r>
        <w:rPr>
          <w:position w:val="5"/>
          <w:sz w:val="14"/>
        </w:rPr>
        <w:tab/>
      </w:r>
      <w:r>
        <w:rPr/>
        <w:t>For discussion, see Dicey, Morris and Collins on the Conflict of Laws, 15th edn (2012), </w:t>
      </w:r>
      <w:r>
        <w:rPr/>
        <w:t>paras</w:t>
      </w:r>
      <w:r>
        <w:rPr>
          <w:spacing w:val="40"/>
        </w:rPr>
        <w:t> </w:t>
      </w:r>
      <w:r>
        <w:rPr/>
        <w:t>33-188 et seq.</w:t>
      </w:r>
    </w:p>
    <w:p>
      <w:pPr>
        <w:pStyle w:val="BodyText"/>
        <w:spacing w:before="5"/>
      </w:pPr>
    </w:p>
    <w:p>
      <w:pPr>
        <w:pStyle w:val="BodyText"/>
        <w:tabs>
          <w:tab w:pos="705" w:val="left" w:leader="none"/>
        </w:tabs>
        <w:ind w:left="165"/>
      </w:pPr>
      <w:bookmarkStart w:name="_bookmark1906" w:id="1908"/>
      <w:bookmarkEnd w:id="1908"/>
      <w:r>
        <w:rPr/>
      </w:r>
      <w:hyperlink w:history="true" w:anchor="_bookmark1852">
        <w:r>
          <w:rPr>
            <w:color w:val="005DA1"/>
            <w:spacing w:val="-4"/>
            <w:position w:val="5"/>
            <w:sz w:val="14"/>
            <w:u w:val="single" w:color="005DA1"/>
          </w:rPr>
          <w:t>971</w:t>
        </w:r>
      </w:hyperlink>
      <w:r>
        <w:rPr>
          <w:spacing w:val="-4"/>
          <w:position w:val="5"/>
          <w:sz w:val="14"/>
        </w:rPr>
        <w:t>.</w:t>
      </w:r>
      <w:r>
        <w:rPr>
          <w:position w:val="5"/>
          <w:sz w:val="14"/>
        </w:rPr>
        <w:tab/>
      </w:r>
      <w:r>
        <w:rPr/>
        <w:t>Rome Convention </w:t>
      </w:r>
      <w:r>
        <w:rPr>
          <w:spacing w:val="-2"/>
        </w:rPr>
        <w:t>art.1(4).</w:t>
      </w:r>
    </w:p>
    <w:p>
      <w:pPr>
        <w:pStyle w:val="BodyText"/>
        <w:spacing w:before="5"/>
      </w:pPr>
    </w:p>
    <w:p>
      <w:pPr>
        <w:pStyle w:val="BodyText"/>
        <w:tabs>
          <w:tab w:pos="705" w:val="left" w:leader="none"/>
        </w:tabs>
        <w:ind w:left="165"/>
      </w:pPr>
      <w:bookmarkStart w:name="_bookmark1907" w:id="1909"/>
      <w:bookmarkEnd w:id="1909"/>
      <w:r>
        <w:rPr/>
      </w:r>
      <w:hyperlink w:history="true" w:anchor="_bookmark1853">
        <w:r>
          <w:rPr>
            <w:color w:val="005DA1"/>
            <w:spacing w:val="-4"/>
            <w:position w:val="5"/>
            <w:sz w:val="14"/>
            <w:u w:val="single" w:color="005DA1"/>
          </w:rPr>
          <w:t>972</w:t>
        </w:r>
      </w:hyperlink>
      <w:r>
        <w:rPr>
          <w:spacing w:val="-4"/>
          <w:position w:val="5"/>
          <w:sz w:val="14"/>
        </w:rPr>
        <w:t>.</w:t>
      </w:r>
      <w:r>
        <w:rPr>
          <w:position w:val="5"/>
          <w:sz w:val="14"/>
        </w:rPr>
        <w:tab/>
      </w:r>
      <w:r>
        <w:rPr/>
        <w:t>Above,</w:t>
      </w:r>
      <w:r>
        <w:rPr>
          <w:spacing w:val="-2"/>
        </w:rPr>
        <w:t> </w:t>
      </w:r>
      <w:r>
        <w:rPr/>
        <w:t>paras 30-044 et </w:t>
      </w:r>
      <w:r>
        <w:rPr>
          <w:spacing w:val="-4"/>
        </w:rPr>
        <w:t>seq.</w:t>
      </w:r>
    </w:p>
    <w:p>
      <w:pPr>
        <w:pStyle w:val="BodyText"/>
        <w:spacing w:before="9"/>
      </w:pPr>
    </w:p>
    <w:p>
      <w:pPr>
        <w:pStyle w:val="BodyText"/>
        <w:spacing w:line="235" w:lineRule="auto"/>
        <w:ind w:left="705" w:right="167" w:hanging="541"/>
        <w:jc w:val="both"/>
      </w:pPr>
      <w:bookmarkStart w:name="_bookmark1908" w:id="1910"/>
      <w:bookmarkEnd w:id="1910"/>
      <w:r>
        <w:rPr/>
      </w:r>
      <w:hyperlink w:history="true" w:anchor="_bookmark1853">
        <w:r>
          <w:rPr>
            <w:color w:val="005DA1"/>
            <w:position w:val="5"/>
            <w:sz w:val="14"/>
            <w:u w:val="single" w:color="005DA1"/>
          </w:rPr>
          <w:t>973</w:t>
        </w:r>
      </w:hyperlink>
      <w:r>
        <w:rPr>
          <w:position w:val="5"/>
          <w:sz w:val="14"/>
        </w:rPr>
        <w:t>.</w:t>
      </w:r>
      <w:r>
        <w:rPr>
          <w:spacing w:val="40"/>
          <w:position w:val="5"/>
          <w:sz w:val="14"/>
        </w:rPr>
        <w:t>  </w:t>
      </w:r>
      <w:r>
        <w:rPr/>
        <w:t>For the details, see Dicey, Morris and Collins, 15th edn (2012), paras 33-188 et seq. The </w:t>
      </w:r>
      <w:r>
        <w:rPr/>
        <w:t>rules contained in the Directives, as implemented in the Financial Services and Markets Act 2000 (Law Applicable to Contracts of Insurance Regulations) 2001 do not apply to contracts of insurance entered into on or after December 17, 2009: see Financial Services and Markets Act 2000 (Law Applicable to Contracts of Insurance) Regulations 2009 (SI 2009/3075) reg.2.</w:t>
      </w:r>
    </w:p>
    <w:p>
      <w:pPr>
        <w:pStyle w:val="BodyText"/>
        <w:spacing w:before="4"/>
      </w:pPr>
    </w:p>
    <w:p>
      <w:pPr>
        <w:pStyle w:val="BodyText"/>
        <w:tabs>
          <w:tab w:pos="705" w:val="left" w:leader="none"/>
        </w:tabs>
        <w:spacing w:before="1"/>
        <w:ind w:left="165"/>
      </w:pPr>
      <w:bookmarkStart w:name="_bookmark1909" w:id="1911"/>
      <w:bookmarkEnd w:id="1911"/>
      <w:r>
        <w:rPr/>
      </w:r>
      <w:hyperlink w:history="true" w:anchor="_bookmark1854">
        <w:r>
          <w:rPr>
            <w:color w:val="005DA1"/>
            <w:spacing w:val="-4"/>
            <w:position w:val="5"/>
            <w:sz w:val="14"/>
            <w:u w:val="single" w:color="005DA1"/>
          </w:rPr>
          <w:t>974</w:t>
        </w:r>
      </w:hyperlink>
      <w:r>
        <w:rPr>
          <w:spacing w:val="-4"/>
          <w:position w:val="5"/>
          <w:sz w:val="14"/>
        </w:rPr>
        <w:t>.</w:t>
      </w:r>
      <w:r>
        <w:rPr>
          <w:position w:val="5"/>
          <w:sz w:val="14"/>
        </w:rPr>
        <w:tab/>
      </w:r>
      <w:r>
        <w:rPr/>
        <w:t>Consultation Paper, paras 70-</w:t>
      </w:r>
      <w:r>
        <w:rPr>
          <w:spacing w:val="-5"/>
        </w:rPr>
        <w:t>73.</w:t>
      </w:r>
    </w:p>
    <w:p>
      <w:pPr>
        <w:pStyle w:val="BodyText"/>
        <w:spacing w:before="4"/>
      </w:pPr>
    </w:p>
    <w:p>
      <w:pPr>
        <w:pStyle w:val="BodyText"/>
        <w:tabs>
          <w:tab w:pos="705" w:val="left" w:leader="none"/>
        </w:tabs>
        <w:spacing w:before="1"/>
        <w:ind w:left="165"/>
      </w:pPr>
      <w:bookmarkStart w:name="_bookmark1910" w:id="1912"/>
      <w:bookmarkEnd w:id="1912"/>
      <w:r>
        <w:rPr/>
      </w:r>
      <w:hyperlink w:history="true" w:anchor="_bookmark1855">
        <w:r>
          <w:rPr>
            <w:color w:val="005DA1"/>
            <w:spacing w:val="-4"/>
            <w:position w:val="5"/>
            <w:sz w:val="14"/>
            <w:u w:val="single" w:color="005DA1"/>
          </w:rPr>
          <w:t>975</w:t>
        </w:r>
      </w:hyperlink>
      <w:r>
        <w:rPr>
          <w:spacing w:val="-4"/>
          <w:position w:val="5"/>
          <w:sz w:val="14"/>
        </w:rPr>
        <w:t>.</w:t>
      </w:r>
      <w:r>
        <w:rPr>
          <w:position w:val="5"/>
          <w:sz w:val="14"/>
        </w:rPr>
        <w:tab/>
      </w:r>
      <w:r>
        <w:rPr/>
        <w:t>The</w:t>
      </w:r>
      <w:r>
        <w:rPr>
          <w:spacing w:val="31"/>
        </w:rPr>
        <w:t> </w:t>
      </w:r>
      <w:r>
        <w:rPr/>
        <w:t>details</w:t>
      </w:r>
      <w:r>
        <w:rPr>
          <w:spacing w:val="31"/>
        </w:rPr>
        <w:t> </w:t>
      </w:r>
      <w:r>
        <w:rPr/>
        <w:t>of</w:t>
      </w:r>
      <w:r>
        <w:rPr>
          <w:spacing w:val="31"/>
        </w:rPr>
        <w:t> </w:t>
      </w:r>
      <w:r>
        <w:rPr/>
        <w:t>the</w:t>
      </w:r>
      <w:r>
        <w:rPr>
          <w:spacing w:val="31"/>
        </w:rPr>
        <w:t> </w:t>
      </w:r>
      <w:r>
        <w:rPr/>
        <w:t>Directives,</w:t>
      </w:r>
      <w:r>
        <w:rPr>
          <w:spacing w:val="31"/>
        </w:rPr>
        <w:t> </w:t>
      </w:r>
      <w:r>
        <w:rPr/>
        <w:t>as</w:t>
      </w:r>
      <w:r>
        <w:rPr>
          <w:spacing w:val="31"/>
        </w:rPr>
        <w:t> </w:t>
      </w:r>
      <w:r>
        <w:rPr/>
        <w:t>implemented</w:t>
      </w:r>
      <w:r>
        <w:rPr>
          <w:spacing w:val="31"/>
        </w:rPr>
        <w:t> </w:t>
      </w:r>
      <w:r>
        <w:rPr/>
        <w:t>in</w:t>
      </w:r>
      <w:r>
        <w:rPr>
          <w:spacing w:val="31"/>
        </w:rPr>
        <w:t> </w:t>
      </w:r>
      <w:r>
        <w:rPr/>
        <w:t>the</w:t>
      </w:r>
      <w:r>
        <w:rPr>
          <w:spacing w:val="31"/>
        </w:rPr>
        <w:t> </w:t>
      </w:r>
      <w:r>
        <w:rPr/>
        <w:t>UK</w:t>
      </w:r>
      <w:r>
        <w:rPr>
          <w:spacing w:val="31"/>
        </w:rPr>
        <w:t> </w:t>
      </w:r>
      <w:r>
        <w:rPr/>
        <w:t>can</w:t>
      </w:r>
      <w:r>
        <w:rPr>
          <w:spacing w:val="31"/>
        </w:rPr>
        <w:t> </w:t>
      </w:r>
      <w:r>
        <w:rPr/>
        <w:t>be</w:t>
      </w:r>
      <w:r>
        <w:rPr>
          <w:spacing w:val="31"/>
        </w:rPr>
        <w:t> </w:t>
      </w:r>
      <w:r>
        <w:rPr/>
        <w:t>traced</w:t>
      </w:r>
      <w:r>
        <w:rPr>
          <w:spacing w:val="31"/>
        </w:rPr>
        <w:t> </w:t>
      </w:r>
      <w:r>
        <w:rPr/>
        <w:t>in</w:t>
      </w:r>
      <w:r>
        <w:rPr>
          <w:spacing w:val="31"/>
        </w:rPr>
        <w:t> </w:t>
      </w:r>
      <w:r>
        <w:rPr/>
        <w:t>Dicey,</w:t>
      </w:r>
      <w:r>
        <w:rPr>
          <w:spacing w:val="31"/>
        </w:rPr>
        <w:t> </w:t>
      </w:r>
      <w:r>
        <w:rPr/>
        <w:t>Morris</w:t>
      </w:r>
      <w:r>
        <w:rPr>
          <w:spacing w:val="31"/>
        </w:rPr>
        <w:t> </w:t>
      </w:r>
      <w:r>
        <w:rPr>
          <w:spacing w:val="-5"/>
        </w:rPr>
        <w:t>and</w:t>
      </w:r>
    </w:p>
    <w:p>
      <w:pPr>
        <w:pStyle w:val="BodyText"/>
        <w:spacing w:after="0"/>
        <w:sectPr>
          <w:pgSz w:w="11900" w:h="16840"/>
          <w:pgMar w:header="971" w:footer="0" w:top="1300" w:bottom="280" w:left="1275" w:right="1275"/>
        </w:sectPr>
      </w:pPr>
    </w:p>
    <w:p>
      <w:pPr>
        <w:pStyle w:val="BodyText"/>
        <w:spacing w:before="166"/>
        <w:ind w:left="705"/>
      </w:pPr>
      <w:r>
        <w:rPr/>
        <w:t>Collins, 15th edn (2012), paras 33-188 et </w:t>
      </w:r>
      <w:r>
        <w:rPr>
          <w:spacing w:val="-4"/>
        </w:rPr>
        <w:t>seq.</w:t>
      </w:r>
    </w:p>
    <w:p>
      <w:pPr>
        <w:pStyle w:val="BodyText"/>
        <w:spacing w:before="9"/>
      </w:pPr>
    </w:p>
    <w:p>
      <w:pPr>
        <w:spacing w:line="235" w:lineRule="auto" w:before="0"/>
        <w:ind w:left="705" w:right="167" w:hanging="541"/>
        <w:jc w:val="both"/>
        <w:rPr>
          <w:sz w:val="20"/>
        </w:rPr>
      </w:pPr>
      <w:bookmarkStart w:name="_bookmark1911" w:id="1913"/>
      <w:bookmarkEnd w:id="1913"/>
      <w:r>
        <w:rPr/>
      </w:r>
      <w:hyperlink w:history="true" w:anchor="_bookmark1856">
        <w:r>
          <w:rPr>
            <w:color w:val="005DA1"/>
            <w:position w:val="5"/>
            <w:sz w:val="14"/>
            <w:u w:val="single" w:color="005DA1"/>
          </w:rPr>
          <w:t>976</w:t>
        </w:r>
      </w:hyperlink>
      <w:r>
        <w:rPr>
          <w:position w:val="5"/>
          <w:sz w:val="14"/>
        </w:rPr>
        <w:t>.</w:t>
      </w:r>
      <w:r>
        <w:rPr>
          <w:spacing w:val="80"/>
          <w:position w:val="5"/>
          <w:sz w:val="14"/>
        </w:rPr>
        <w:t>  </w:t>
      </w:r>
      <w:r>
        <w:rPr>
          <w:sz w:val="20"/>
        </w:rPr>
        <w:t>Dicey, Morris and Collins, 15th edn (2012), paras 33R-183 et seq.; Plender and Wilderspin, 4th edn (2015), Ch.10; Heiss (2008) 10 Yb. P.I.L. 261; Merrett (2009) 5 J. Priv. Int. L. 49; Merkin (2009) 5 J. Priv. Int. L. 69; Gruber in Leible and Ferrari, </w:t>
      </w:r>
      <w:r>
        <w:rPr>
          <w:rFonts w:ascii="Arial"/>
          <w:i/>
          <w:sz w:val="20"/>
        </w:rPr>
        <w:t>The Rome I Regulation: the Law Applicable to Contractual Obligations in Europe </w:t>
      </w:r>
      <w:r>
        <w:rPr>
          <w:sz w:val="20"/>
        </w:rPr>
        <w:t>(2009), p.129.</w:t>
      </w:r>
    </w:p>
    <w:p>
      <w:pPr>
        <w:pStyle w:val="BodyText"/>
        <w:spacing w:before="5"/>
      </w:pPr>
    </w:p>
    <w:p>
      <w:pPr>
        <w:pStyle w:val="BodyText"/>
        <w:tabs>
          <w:tab w:pos="705" w:val="left" w:leader="none"/>
        </w:tabs>
        <w:ind w:left="165"/>
      </w:pPr>
      <w:bookmarkStart w:name="_bookmark1912" w:id="1914"/>
      <w:bookmarkEnd w:id="1914"/>
      <w:r>
        <w:rPr/>
      </w:r>
      <w:hyperlink w:history="true" w:anchor="_bookmark1857">
        <w:r>
          <w:rPr>
            <w:color w:val="005DA1"/>
            <w:spacing w:val="-4"/>
            <w:position w:val="5"/>
            <w:sz w:val="14"/>
            <w:u w:val="single" w:color="005DA1"/>
          </w:rPr>
          <w:t>977</w:t>
        </w:r>
      </w:hyperlink>
      <w:r>
        <w:rPr>
          <w:spacing w:val="-4"/>
          <w:position w:val="5"/>
          <w:sz w:val="14"/>
        </w:rPr>
        <w:t>.</w:t>
      </w:r>
      <w:r>
        <w:rPr>
          <w:position w:val="5"/>
          <w:sz w:val="14"/>
        </w:rPr>
        <w:tab/>
      </w:r>
      <w:r>
        <w:rPr/>
        <w:t>As defined by art.7(2), below, para.30-</w:t>
      </w:r>
      <w:r>
        <w:rPr>
          <w:spacing w:val="-4"/>
        </w:rPr>
        <w:t>261.</w:t>
      </w:r>
    </w:p>
    <w:p>
      <w:pPr>
        <w:pStyle w:val="BodyText"/>
        <w:spacing w:before="5"/>
      </w:pPr>
    </w:p>
    <w:p>
      <w:pPr>
        <w:pStyle w:val="BodyText"/>
        <w:tabs>
          <w:tab w:pos="705" w:val="left" w:leader="none"/>
        </w:tabs>
        <w:ind w:left="165"/>
      </w:pPr>
      <w:bookmarkStart w:name="_bookmark1913" w:id="1915"/>
      <w:bookmarkEnd w:id="1915"/>
      <w:r>
        <w:rPr/>
      </w:r>
      <w:hyperlink w:history="true" w:anchor="_bookmark1858">
        <w:r>
          <w:rPr>
            <w:color w:val="005DA1"/>
            <w:spacing w:val="-4"/>
            <w:position w:val="5"/>
            <w:sz w:val="14"/>
            <w:u w:val="single" w:color="005DA1"/>
          </w:rPr>
          <w:t>978</w:t>
        </w:r>
      </w:hyperlink>
      <w:r>
        <w:rPr>
          <w:spacing w:val="-4"/>
          <w:position w:val="5"/>
          <w:sz w:val="14"/>
        </w:rPr>
        <w:t>.</w:t>
      </w:r>
      <w:r>
        <w:rPr>
          <w:position w:val="5"/>
          <w:sz w:val="14"/>
        </w:rPr>
        <w:tab/>
      </w:r>
      <w:r>
        <w:rPr/>
        <w:t>As defined below, para.30-</w:t>
      </w:r>
      <w:r>
        <w:rPr>
          <w:spacing w:val="-4"/>
        </w:rPr>
        <w:t>257.</w:t>
      </w:r>
    </w:p>
    <w:p>
      <w:pPr>
        <w:pStyle w:val="BodyText"/>
        <w:spacing w:before="9"/>
      </w:pPr>
    </w:p>
    <w:p>
      <w:pPr>
        <w:pStyle w:val="BodyText"/>
        <w:spacing w:line="235" w:lineRule="auto"/>
        <w:ind w:left="705" w:right="167" w:hanging="541"/>
        <w:jc w:val="both"/>
      </w:pPr>
      <w:bookmarkStart w:name="_bookmark1914" w:id="1916"/>
      <w:bookmarkEnd w:id="1916"/>
      <w:r>
        <w:rPr/>
      </w:r>
      <w:hyperlink w:history="true" w:anchor="_bookmark1859">
        <w:r>
          <w:rPr>
            <w:color w:val="005DA1"/>
            <w:position w:val="5"/>
            <w:sz w:val="14"/>
            <w:u w:val="single" w:color="005DA1"/>
          </w:rPr>
          <w:t>979</w:t>
        </w:r>
      </w:hyperlink>
      <w:r>
        <w:rPr>
          <w:position w:val="5"/>
          <w:sz w:val="14"/>
        </w:rPr>
        <w:t>.</w:t>
      </w:r>
      <w:r>
        <w:rPr>
          <w:spacing w:val="40"/>
          <w:position w:val="5"/>
          <w:sz w:val="14"/>
        </w:rPr>
        <w:t>  </w:t>
      </w:r>
      <w:r>
        <w:rPr/>
        <w:t>As to where a risk is situated, see below, paras 30-257 et seq. More generally, art.7 applies in cases of conflicts between: (a) the laws of different parts of the UK; and (b) the laws of one or more parts of the UK and Gibraltar: see Financial Services and Markets Act 2000 (Law Applicable to Contracts of Insurance) Regulations 2009 (SI 2009/3075) reg.3.</w:t>
      </w:r>
    </w:p>
    <w:p>
      <w:pPr>
        <w:pStyle w:val="BodyText"/>
        <w:spacing w:before="4"/>
      </w:pPr>
    </w:p>
    <w:p>
      <w:pPr>
        <w:pStyle w:val="BodyText"/>
        <w:tabs>
          <w:tab w:pos="705" w:val="left" w:leader="none"/>
        </w:tabs>
        <w:spacing w:before="1"/>
        <w:ind w:left="165"/>
      </w:pPr>
      <w:bookmarkStart w:name="_bookmark1915" w:id="1917"/>
      <w:bookmarkEnd w:id="1917"/>
      <w:r>
        <w:rPr/>
      </w:r>
      <w:hyperlink w:history="true" w:anchor="_bookmark1860">
        <w:r>
          <w:rPr>
            <w:color w:val="005DA1"/>
            <w:spacing w:val="-4"/>
            <w:position w:val="5"/>
            <w:sz w:val="14"/>
            <w:u w:val="single" w:color="005DA1"/>
          </w:rPr>
          <w:t>980</w:t>
        </w:r>
      </w:hyperlink>
      <w:r>
        <w:rPr>
          <w:spacing w:val="-4"/>
          <w:position w:val="5"/>
          <w:sz w:val="14"/>
        </w:rPr>
        <w:t>.</w:t>
      </w:r>
      <w:r>
        <w:rPr>
          <w:position w:val="5"/>
          <w:sz w:val="14"/>
        </w:rPr>
        <w:tab/>
      </w:r>
      <w:r>
        <w:rPr/>
        <w:t>Rome I art.7(1), second </w:t>
      </w:r>
      <w:r>
        <w:rPr>
          <w:spacing w:val="-2"/>
        </w:rPr>
        <w:t>sentence.</w:t>
      </w:r>
    </w:p>
    <w:p>
      <w:pPr>
        <w:pStyle w:val="BodyText"/>
        <w:spacing w:before="4"/>
      </w:pPr>
    </w:p>
    <w:p>
      <w:pPr>
        <w:tabs>
          <w:tab w:pos="705" w:val="left" w:leader="none"/>
        </w:tabs>
        <w:spacing w:before="1"/>
        <w:ind w:left="165" w:right="0" w:firstLine="0"/>
        <w:jc w:val="left"/>
        <w:rPr>
          <w:sz w:val="20"/>
        </w:rPr>
      </w:pPr>
      <w:bookmarkStart w:name="_bookmark1916" w:id="1918"/>
      <w:bookmarkEnd w:id="1918"/>
      <w:r>
        <w:rPr/>
      </w:r>
      <w:hyperlink w:history="true" w:anchor="_bookmark1861">
        <w:r>
          <w:rPr>
            <w:color w:val="005DA1"/>
            <w:spacing w:val="-4"/>
            <w:position w:val="5"/>
            <w:sz w:val="14"/>
            <w:u w:val="single" w:color="005DA1"/>
          </w:rPr>
          <w:t>981</w:t>
        </w:r>
      </w:hyperlink>
      <w:r>
        <w:rPr>
          <w:spacing w:val="-4"/>
          <w:position w:val="5"/>
          <w:sz w:val="14"/>
        </w:rPr>
        <w:t>.</w:t>
      </w:r>
      <w:r>
        <w:rPr>
          <w:position w:val="5"/>
          <w:sz w:val="14"/>
        </w:rPr>
        <w:tab/>
      </w:r>
      <w:r>
        <w:rPr>
          <w:sz w:val="20"/>
        </w:rPr>
        <w:t>Above, para.30-</w:t>
      </w:r>
      <w:r>
        <w:rPr>
          <w:spacing w:val="-4"/>
          <w:sz w:val="20"/>
        </w:rPr>
        <w:t>162.</w:t>
      </w:r>
    </w:p>
    <w:p>
      <w:pPr>
        <w:pStyle w:val="BodyText"/>
        <w:spacing w:before="4"/>
      </w:pPr>
    </w:p>
    <w:p>
      <w:pPr>
        <w:pStyle w:val="BodyText"/>
        <w:tabs>
          <w:tab w:pos="705" w:val="left" w:leader="none"/>
        </w:tabs>
        <w:spacing w:line="227" w:lineRule="exact" w:before="1"/>
        <w:ind w:left="165"/>
      </w:pPr>
      <w:bookmarkStart w:name="_bookmark1917" w:id="1919"/>
      <w:bookmarkEnd w:id="1919"/>
      <w:r>
        <w:rPr/>
      </w:r>
      <w:hyperlink w:history="true" w:anchor="_bookmark1862">
        <w:r>
          <w:rPr>
            <w:color w:val="005DA1"/>
            <w:spacing w:val="-4"/>
            <w:position w:val="5"/>
            <w:sz w:val="14"/>
            <w:u w:val="single" w:color="005DA1"/>
          </w:rPr>
          <w:t>982</w:t>
        </w:r>
      </w:hyperlink>
      <w:r>
        <w:rPr>
          <w:spacing w:val="-4"/>
          <w:position w:val="5"/>
          <w:sz w:val="14"/>
        </w:rPr>
        <w:t>.</w:t>
      </w:r>
      <w:r>
        <w:rPr>
          <w:position w:val="5"/>
          <w:sz w:val="14"/>
        </w:rPr>
        <w:tab/>
      </w:r>
      <w:r>
        <w:rPr/>
        <w:t>For</w:t>
      </w:r>
      <w:r>
        <w:rPr>
          <w:spacing w:val="15"/>
        </w:rPr>
        <w:t> </w:t>
      </w:r>
      <w:r>
        <w:rPr/>
        <w:t>discussion</w:t>
      </w:r>
      <w:r>
        <w:rPr>
          <w:spacing w:val="15"/>
        </w:rPr>
        <w:t> </w:t>
      </w:r>
      <w:r>
        <w:rPr/>
        <w:t>of</w:t>
      </w:r>
      <w:r>
        <w:rPr>
          <w:spacing w:val="15"/>
        </w:rPr>
        <w:t> </w:t>
      </w:r>
      <w:r>
        <w:rPr/>
        <w:t>the</w:t>
      </w:r>
      <w:r>
        <w:rPr>
          <w:spacing w:val="15"/>
        </w:rPr>
        <w:t> </w:t>
      </w:r>
      <w:r>
        <w:rPr/>
        <w:t>application</w:t>
      </w:r>
      <w:r>
        <w:rPr>
          <w:spacing w:val="15"/>
        </w:rPr>
        <w:t> </w:t>
      </w:r>
      <w:r>
        <w:rPr/>
        <w:t>of</w:t>
      </w:r>
      <w:r>
        <w:rPr>
          <w:spacing w:val="15"/>
        </w:rPr>
        <w:t> </w:t>
      </w:r>
      <w:r>
        <w:rPr/>
        <w:t>Rome</w:t>
      </w:r>
      <w:r>
        <w:rPr>
          <w:spacing w:val="15"/>
        </w:rPr>
        <w:t> </w:t>
      </w:r>
      <w:r>
        <w:rPr/>
        <w:t>I</w:t>
      </w:r>
      <w:r>
        <w:rPr>
          <w:spacing w:val="15"/>
        </w:rPr>
        <w:t> </w:t>
      </w:r>
      <w:r>
        <w:rPr/>
        <w:t>to</w:t>
      </w:r>
      <w:r>
        <w:rPr>
          <w:spacing w:val="15"/>
        </w:rPr>
        <w:t> </w:t>
      </w:r>
      <w:r>
        <w:rPr/>
        <w:t>reinsurance,</w:t>
      </w:r>
      <w:r>
        <w:rPr>
          <w:spacing w:val="15"/>
        </w:rPr>
        <w:t> </w:t>
      </w:r>
      <w:r>
        <w:rPr/>
        <w:t>see</w:t>
      </w:r>
      <w:r>
        <w:rPr>
          <w:spacing w:val="15"/>
        </w:rPr>
        <w:t> </w:t>
      </w:r>
      <w:r>
        <w:rPr/>
        <w:t>Merkin</w:t>
      </w:r>
      <w:r>
        <w:rPr>
          <w:spacing w:val="15"/>
        </w:rPr>
        <w:t> </w:t>
      </w:r>
      <w:r>
        <w:rPr/>
        <w:t>(2009)</w:t>
      </w:r>
      <w:r>
        <w:rPr>
          <w:spacing w:val="15"/>
        </w:rPr>
        <w:t> </w:t>
      </w:r>
      <w:r>
        <w:rPr/>
        <w:t>5</w:t>
      </w:r>
      <w:r>
        <w:rPr>
          <w:spacing w:val="15"/>
        </w:rPr>
        <w:t> </w:t>
      </w:r>
      <w:r>
        <w:rPr/>
        <w:t>J.</w:t>
      </w:r>
      <w:r>
        <w:rPr>
          <w:spacing w:val="15"/>
        </w:rPr>
        <w:t> </w:t>
      </w:r>
      <w:r>
        <w:rPr/>
        <w:t>Priv.</w:t>
      </w:r>
      <w:r>
        <w:rPr>
          <w:spacing w:val="15"/>
        </w:rPr>
        <w:t> </w:t>
      </w:r>
      <w:r>
        <w:rPr/>
        <w:t>Int.</w:t>
      </w:r>
      <w:r>
        <w:rPr>
          <w:spacing w:val="15"/>
        </w:rPr>
        <w:t> </w:t>
      </w:r>
      <w:r>
        <w:rPr>
          <w:spacing w:val="-5"/>
        </w:rPr>
        <w:t>L.</w:t>
      </w:r>
    </w:p>
    <w:p>
      <w:pPr>
        <w:pStyle w:val="BodyText"/>
        <w:spacing w:line="227" w:lineRule="exact"/>
        <w:ind w:left="705"/>
      </w:pPr>
      <w:r>
        <w:rPr>
          <w:spacing w:val="-5"/>
        </w:rPr>
        <w:t>69.</w:t>
      </w:r>
    </w:p>
    <w:p>
      <w:pPr>
        <w:pStyle w:val="BodyText"/>
        <w:spacing w:before="8"/>
      </w:pPr>
    </w:p>
    <w:p>
      <w:pPr>
        <w:pStyle w:val="BodyText"/>
        <w:tabs>
          <w:tab w:pos="705" w:val="left" w:leader="none"/>
        </w:tabs>
        <w:spacing w:line="235" w:lineRule="auto"/>
        <w:ind w:left="705" w:right="168" w:hanging="541"/>
      </w:pPr>
      <w:bookmarkStart w:name="_bookmark1918" w:id="1920"/>
      <w:bookmarkEnd w:id="1920"/>
      <w:r>
        <w:rPr/>
      </w:r>
      <w:hyperlink w:history="true" w:anchor="_bookmark1863">
        <w:r>
          <w:rPr>
            <w:color w:val="005DA1"/>
            <w:spacing w:val="-4"/>
            <w:position w:val="5"/>
            <w:sz w:val="14"/>
            <w:u w:val="single" w:color="005DA1"/>
          </w:rPr>
          <w:t>983</w:t>
        </w:r>
      </w:hyperlink>
      <w:r>
        <w:rPr>
          <w:spacing w:val="-4"/>
          <w:position w:val="5"/>
          <w:sz w:val="14"/>
        </w:rPr>
        <w:t>.</w:t>
      </w:r>
      <w:r>
        <w:rPr>
          <w:position w:val="5"/>
          <w:sz w:val="14"/>
        </w:rPr>
        <w:tab/>
      </w:r>
      <w:r>
        <w:rPr/>
        <w:t>Above, paras 30-169 et seq. cf. Dicey, Morris and Collins, 15th edn (2012), paras 33R-232 et</w:t>
      </w:r>
      <w:r>
        <w:rPr>
          <w:spacing w:val="40"/>
        </w:rPr>
        <w:t> </w:t>
      </w:r>
      <w:r>
        <w:rPr>
          <w:spacing w:val="-4"/>
        </w:rPr>
        <w:t>seq.</w:t>
      </w:r>
    </w:p>
    <w:p>
      <w:pPr>
        <w:pStyle w:val="BodyText"/>
        <w:spacing w:before="6"/>
      </w:pPr>
    </w:p>
    <w:p>
      <w:pPr>
        <w:pStyle w:val="BodyText"/>
        <w:tabs>
          <w:tab w:pos="705" w:val="left" w:leader="none"/>
        </w:tabs>
        <w:ind w:left="165"/>
      </w:pPr>
      <w:bookmarkStart w:name="_bookmark1919" w:id="1921"/>
      <w:bookmarkEnd w:id="1921"/>
      <w:r>
        <w:rPr/>
      </w:r>
      <w:hyperlink w:history="true" w:anchor="_bookmark1863">
        <w:r>
          <w:rPr>
            <w:color w:val="005DA1"/>
            <w:spacing w:val="-4"/>
            <w:position w:val="5"/>
            <w:sz w:val="14"/>
            <w:u w:val="single" w:color="005DA1"/>
          </w:rPr>
          <w:t>984</w:t>
        </w:r>
      </w:hyperlink>
      <w:r>
        <w:rPr>
          <w:spacing w:val="-4"/>
          <w:position w:val="5"/>
          <w:sz w:val="14"/>
        </w:rPr>
        <w:t>.</w:t>
      </w:r>
      <w:r>
        <w:rPr>
          <w:position w:val="5"/>
          <w:sz w:val="14"/>
        </w:rPr>
        <w:tab/>
      </w:r>
      <w:r>
        <w:rPr/>
        <w:t>Above,</w:t>
      </w:r>
      <w:r>
        <w:rPr>
          <w:spacing w:val="-2"/>
        </w:rPr>
        <w:t> </w:t>
      </w:r>
      <w:r>
        <w:rPr/>
        <w:t>paras 30-185 et </w:t>
      </w:r>
      <w:r>
        <w:rPr>
          <w:spacing w:val="-4"/>
        </w:rPr>
        <w:t>seq.</w:t>
      </w:r>
    </w:p>
    <w:p>
      <w:pPr>
        <w:pStyle w:val="BodyText"/>
        <w:spacing w:before="5"/>
      </w:pPr>
    </w:p>
    <w:p>
      <w:pPr>
        <w:pStyle w:val="BodyText"/>
        <w:tabs>
          <w:tab w:pos="705" w:val="left" w:leader="none"/>
        </w:tabs>
        <w:ind w:left="165"/>
      </w:pPr>
      <w:bookmarkStart w:name="_bookmark1920" w:id="1922"/>
      <w:bookmarkEnd w:id="1922"/>
      <w:r>
        <w:rPr/>
      </w:r>
      <w:hyperlink w:history="true" w:anchor="_bookmark1864">
        <w:r>
          <w:rPr>
            <w:color w:val="005DA1"/>
            <w:spacing w:val="-4"/>
            <w:position w:val="5"/>
            <w:sz w:val="14"/>
            <w:u w:val="single" w:color="005DA1"/>
          </w:rPr>
          <w:t>985</w:t>
        </w:r>
      </w:hyperlink>
      <w:r>
        <w:rPr>
          <w:spacing w:val="-4"/>
          <w:position w:val="5"/>
          <w:sz w:val="14"/>
        </w:rPr>
        <w:t>.</w:t>
      </w:r>
      <w:r>
        <w:rPr>
          <w:position w:val="5"/>
          <w:sz w:val="14"/>
        </w:rPr>
        <w:tab/>
      </w:r>
      <w:r>
        <w:rPr/>
        <w:t>As to the meaning of habitual residence, see footnote to </w:t>
      </w:r>
      <w:r>
        <w:rPr>
          <w:spacing w:val="-2"/>
        </w:rPr>
        <w:t>art.19.</w:t>
      </w:r>
    </w:p>
    <w:p>
      <w:pPr>
        <w:pStyle w:val="BodyText"/>
        <w:spacing w:before="5"/>
      </w:pPr>
    </w:p>
    <w:p>
      <w:pPr>
        <w:pStyle w:val="BodyText"/>
        <w:tabs>
          <w:tab w:pos="705" w:val="left" w:leader="none"/>
        </w:tabs>
        <w:ind w:left="165"/>
      </w:pPr>
      <w:bookmarkStart w:name="_bookmark1921" w:id="1923"/>
      <w:bookmarkEnd w:id="1923"/>
      <w:r>
        <w:rPr/>
      </w:r>
      <w:hyperlink w:history="true" w:anchor="_bookmark1865">
        <w:r>
          <w:rPr>
            <w:color w:val="005DA1"/>
            <w:spacing w:val="-4"/>
            <w:position w:val="5"/>
            <w:sz w:val="14"/>
            <w:u w:val="single" w:color="005DA1"/>
          </w:rPr>
          <w:t>986</w:t>
        </w:r>
      </w:hyperlink>
      <w:r>
        <w:rPr>
          <w:spacing w:val="-4"/>
          <w:position w:val="5"/>
          <w:sz w:val="14"/>
        </w:rPr>
        <w:t>.</w:t>
      </w:r>
      <w:r>
        <w:rPr>
          <w:position w:val="5"/>
          <w:sz w:val="14"/>
        </w:rPr>
        <w:tab/>
      </w:r>
      <w:r>
        <w:rPr/>
        <w:t>Above,</w:t>
      </w:r>
      <w:r>
        <w:rPr>
          <w:spacing w:val="-2"/>
        </w:rPr>
        <w:t> </w:t>
      </w:r>
      <w:r>
        <w:rPr/>
        <w:t>paras 30-203 et </w:t>
      </w:r>
      <w:r>
        <w:rPr>
          <w:spacing w:val="-4"/>
        </w:rPr>
        <w:t>seq.</w:t>
      </w:r>
    </w:p>
    <w:p>
      <w:pPr>
        <w:pStyle w:val="BodyText"/>
        <w:spacing w:before="9"/>
      </w:pPr>
    </w:p>
    <w:p>
      <w:pPr>
        <w:pStyle w:val="BodyText"/>
        <w:spacing w:line="235" w:lineRule="auto"/>
        <w:ind w:left="705" w:right="167" w:hanging="541"/>
        <w:jc w:val="both"/>
      </w:pPr>
      <w:bookmarkStart w:name="_bookmark1922" w:id="1924"/>
      <w:bookmarkEnd w:id="1924"/>
      <w:r>
        <w:rPr/>
      </w:r>
      <w:hyperlink w:history="true" w:anchor="_bookmark1866">
        <w:r>
          <w:rPr>
            <w:color w:val="005DA1"/>
            <w:position w:val="5"/>
            <w:sz w:val="14"/>
            <w:u w:val="single" w:color="005DA1"/>
          </w:rPr>
          <w:t>987</w:t>
        </w:r>
      </w:hyperlink>
      <w:r>
        <w:rPr>
          <w:position w:val="5"/>
          <w:sz w:val="14"/>
        </w:rPr>
        <w:t>.</w:t>
      </w:r>
      <w:r>
        <w:rPr>
          <w:spacing w:val="80"/>
          <w:w w:val="150"/>
          <w:position w:val="5"/>
          <w:sz w:val="14"/>
        </w:rPr>
        <w:t> </w:t>
      </w:r>
      <w:r>
        <w:rPr/>
        <w:t>See Recitals 23 and 32 to the Regulation. A contract of insurance does not fall within the consumer</w:t>
      </w:r>
      <w:r>
        <w:rPr>
          <w:spacing w:val="40"/>
        </w:rPr>
        <w:t> </w:t>
      </w:r>
      <w:r>
        <w:rPr/>
        <w:t>contract</w:t>
      </w:r>
      <w:r>
        <w:rPr>
          <w:spacing w:val="40"/>
        </w:rPr>
        <w:t> </w:t>
      </w:r>
      <w:r>
        <w:rPr/>
        <w:t>provisions</w:t>
      </w:r>
      <w:r>
        <w:rPr>
          <w:spacing w:val="40"/>
        </w:rPr>
        <w:t> </w:t>
      </w:r>
      <w:r>
        <w:rPr/>
        <w:t>(art.6)</w:t>
      </w:r>
      <w:r>
        <w:rPr>
          <w:spacing w:val="40"/>
        </w:rPr>
        <w:t> </w:t>
      </w:r>
      <w:r>
        <w:rPr/>
        <w:t>of</w:t>
      </w:r>
      <w:r>
        <w:rPr>
          <w:spacing w:val="40"/>
        </w:rPr>
        <w:t> </w:t>
      </w:r>
      <w:r>
        <w:rPr/>
        <w:t>the</w:t>
      </w:r>
      <w:r>
        <w:rPr>
          <w:spacing w:val="40"/>
        </w:rPr>
        <w:t> </w:t>
      </w:r>
      <w:r>
        <w:rPr/>
        <w:t>Regulation:</w:t>
      </w:r>
      <w:r>
        <w:rPr>
          <w:spacing w:val="40"/>
        </w:rPr>
        <w:t> </w:t>
      </w:r>
      <w:r>
        <w:rPr/>
        <w:t>art.6(1)</w:t>
      </w:r>
      <w:r>
        <w:rPr>
          <w:spacing w:val="40"/>
        </w:rPr>
        <w:t> </w:t>
      </w:r>
      <w:r>
        <w:rPr/>
        <w:t>and</w:t>
      </w:r>
      <w:r>
        <w:rPr>
          <w:spacing w:val="40"/>
        </w:rPr>
        <w:t> </w:t>
      </w:r>
      <w:r>
        <w:rPr/>
        <w:t>Recital</w:t>
      </w:r>
      <w:r>
        <w:rPr>
          <w:spacing w:val="40"/>
        </w:rPr>
        <w:t> </w:t>
      </w:r>
      <w:r>
        <w:rPr/>
        <w:t>32;</w:t>
      </w:r>
      <w:r>
        <w:rPr>
          <w:spacing w:val="40"/>
        </w:rPr>
        <w:t> </w:t>
      </w:r>
      <w:r>
        <w:rPr/>
        <w:t>above, para.30-239. But see Financial Services and Markets Act 2000 (Law Applicable to Contracts of Insurance) Regulations 2009 (SI 2009/3075) reg.4.</w:t>
      </w:r>
    </w:p>
    <w:p>
      <w:pPr>
        <w:pStyle w:val="BodyText"/>
        <w:spacing w:before="8"/>
      </w:pPr>
    </w:p>
    <w:p>
      <w:pPr>
        <w:pStyle w:val="BodyText"/>
        <w:spacing w:line="235" w:lineRule="auto"/>
        <w:ind w:left="705" w:right="167" w:hanging="541"/>
        <w:jc w:val="both"/>
      </w:pPr>
      <w:bookmarkStart w:name="_bookmark1923" w:id="1925"/>
      <w:bookmarkEnd w:id="1925"/>
      <w:r>
        <w:rPr/>
      </w:r>
      <w:hyperlink w:history="true" w:anchor="_bookmark1867">
        <w:r>
          <w:rPr>
            <w:color w:val="005DA1"/>
            <w:position w:val="5"/>
            <w:sz w:val="14"/>
            <w:u w:val="single" w:color="005DA1"/>
          </w:rPr>
          <w:t>988</w:t>
        </w:r>
      </w:hyperlink>
      <w:r>
        <w:rPr>
          <w:position w:val="5"/>
          <w:sz w:val="14"/>
        </w:rPr>
        <w:t>.</w:t>
      </w:r>
      <w:r>
        <w:rPr>
          <w:spacing w:val="80"/>
          <w:w w:val="150"/>
          <w:position w:val="5"/>
          <w:sz w:val="14"/>
        </w:rPr>
        <w:t> </w:t>
      </w:r>
      <w:r>
        <w:rPr/>
        <w:t>Rome I art.1(4); above, para.30-130. Where the risk is situated in an EEA state rather than a Member State, it would seem that the choice of law rules contained in the Financial </w:t>
      </w:r>
      <w:r>
        <w:rPr/>
        <w:t>Services and Markets Act 2000 (Law Applicable to Contracts of Insurance) Regulations 2001 (SI </w:t>
      </w:r>
      <w:r>
        <w:rPr>
          <w:spacing w:val="-2"/>
        </w:rPr>
        <w:t>2001/2635).</w:t>
      </w:r>
    </w:p>
    <w:p>
      <w:pPr>
        <w:pStyle w:val="BodyText"/>
        <w:spacing w:before="5"/>
      </w:pPr>
    </w:p>
    <w:p>
      <w:pPr>
        <w:pStyle w:val="BodyText"/>
        <w:tabs>
          <w:tab w:pos="705" w:val="left" w:leader="none"/>
        </w:tabs>
        <w:ind w:left="165"/>
      </w:pPr>
      <w:bookmarkStart w:name="_bookmark1924" w:id="1926"/>
      <w:bookmarkEnd w:id="1926"/>
      <w:r>
        <w:rPr/>
      </w:r>
      <w:hyperlink w:history="true" w:anchor="_bookmark1868">
        <w:r>
          <w:rPr>
            <w:color w:val="005DA1"/>
            <w:spacing w:val="-4"/>
            <w:position w:val="5"/>
            <w:sz w:val="14"/>
            <w:u w:val="single" w:color="005DA1"/>
          </w:rPr>
          <w:t>989</w:t>
        </w:r>
      </w:hyperlink>
      <w:r>
        <w:rPr>
          <w:spacing w:val="-4"/>
          <w:position w:val="5"/>
          <w:sz w:val="14"/>
        </w:rPr>
        <w:t>.</w:t>
      </w:r>
      <w:r>
        <w:rPr>
          <w:position w:val="5"/>
          <w:sz w:val="14"/>
        </w:rPr>
        <w:tab/>
      </w:r>
      <w:r>
        <w:rPr/>
        <w:t>Directive 88/357 on the co-ordination of laws [1988] O.J. </w:t>
      </w:r>
      <w:r>
        <w:rPr>
          <w:spacing w:val="-2"/>
        </w:rPr>
        <w:t>L172/I.</w:t>
      </w:r>
    </w:p>
    <w:p>
      <w:pPr>
        <w:pStyle w:val="BodyText"/>
        <w:spacing w:before="5"/>
      </w:pPr>
    </w:p>
    <w:p>
      <w:pPr>
        <w:pStyle w:val="BodyText"/>
        <w:tabs>
          <w:tab w:pos="705" w:val="left" w:leader="none"/>
        </w:tabs>
        <w:ind w:left="165"/>
      </w:pPr>
      <w:bookmarkStart w:name="_bookmark1925" w:id="1927"/>
      <w:bookmarkEnd w:id="1927"/>
      <w:r>
        <w:rPr/>
      </w:r>
      <w:hyperlink w:history="true" w:anchor="_bookmark1869">
        <w:r>
          <w:rPr>
            <w:color w:val="005DA1"/>
            <w:spacing w:val="-4"/>
            <w:position w:val="5"/>
            <w:sz w:val="14"/>
            <w:u w:val="single" w:color="005DA1"/>
          </w:rPr>
          <w:t>990</w:t>
        </w:r>
      </w:hyperlink>
      <w:r>
        <w:rPr>
          <w:spacing w:val="-4"/>
          <w:position w:val="5"/>
          <w:sz w:val="14"/>
        </w:rPr>
        <w:t>.</w:t>
      </w:r>
      <w:r>
        <w:rPr>
          <w:position w:val="5"/>
          <w:sz w:val="14"/>
        </w:rPr>
        <w:tab/>
      </w:r>
      <w:r>
        <w:rPr/>
        <w:t>For the possible meaning of “establishment”, see Dicey, Morris and Collins, para.33-</w:t>
      </w:r>
      <w:r>
        <w:rPr>
          <w:spacing w:val="-4"/>
        </w:rPr>
        <w:t>160.</w:t>
      </w:r>
    </w:p>
    <w:p>
      <w:pPr>
        <w:pStyle w:val="BodyText"/>
        <w:spacing w:before="5"/>
      </w:pPr>
    </w:p>
    <w:p>
      <w:pPr>
        <w:pStyle w:val="BodyText"/>
        <w:tabs>
          <w:tab w:pos="705" w:val="left" w:leader="none"/>
        </w:tabs>
        <w:ind w:left="165"/>
      </w:pPr>
      <w:bookmarkStart w:name="_bookmark1926" w:id="1928"/>
      <w:bookmarkEnd w:id="1928"/>
      <w:r>
        <w:rPr/>
      </w:r>
      <w:hyperlink w:history="true" w:anchor="_bookmark1870">
        <w:r>
          <w:rPr>
            <w:color w:val="005DA1"/>
            <w:spacing w:val="-4"/>
            <w:position w:val="5"/>
            <w:sz w:val="14"/>
            <w:u w:val="single" w:color="005DA1"/>
          </w:rPr>
          <w:t>991</w:t>
        </w:r>
      </w:hyperlink>
      <w:r>
        <w:rPr>
          <w:spacing w:val="-4"/>
          <w:position w:val="5"/>
          <w:sz w:val="14"/>
        </w:rPr>
        <w:t>.</w:t>
      </w:r>
      <w:r>
        <w:rPr>
          <w:position w:val="5"/>
          <w:sz w:val="14"/>
        </w:rPr>
        <w:tab/>
      </w:r>
      <w:r>
        <w:rPr/>
        <w:t>Defined in art.1(1)(c) of the Directive as the head office, agency or branch of an </w:t>
      </w:r>
      <w:r>
        <w:rPr>
          <w:spacing w:val="-2"/>
        </w:rPr>
        <w:t>undertaking.</w:t>
      </w:r>
    </w:p>
    <w:p>
      <w:pPr>
        <w:pStyle w:val="BodyText"/>
        <w:spacing w:before="5"/>
      </w:pPr>
    </w:p>
    <w:p>
      <w:pPr>
        <w:pStyle w:val="BodyText"/>
        <w:tabs>
          <w:tab w:pos="705" w:val="left" w:leader="none"/>
        </w:tabs>
        <w:ind w:left="165"/>
      </w:pPr>
      <w:bookmarkStart w:name="_bookmark1927" w:id="1929"/>
      <w:bookmarkEnd w:id="1929"/>
      <w:r>
        <w:rPr/>
      </w:r>
      <w:hyperlink w:history="true" w:anchor="_bookmark1871">
        <w:r>
          <w:rPr>
            <w:color w:val="005DA1"/>
            <w:spacing w:val="-4"/>
            <w:position w:val="5"/>
            <w:sz w:val="14"/>
            <w:u w:val="single" w:color="005DA1"/>
          </w:rPr>
          <w:t>992</w:t>
        </w:r>
      </w:hyperlink>
      <w:r>
        <w:rPr>
          <w:spacing w:val="-4"/>
          <w:position w:val="5"/>
          <w:sz w:val="14"/>
        </w:rPr>
        <w:t>.</w:t>
      </w:r>
      <w:r>
        <w:rPr>
          <w:position w:val="5"/>
          <w:sz w:val="14"/>
        </w:rPr>
        <w:tab/>
      </w:r>
      <w:r>
        <w:rPr/>
        <w:t>Directive 73/239 on the co-ordination of laws [1973] O.J. L228/3, as </w:t>
      </w:r>
      <w:r>
        <w:rPr>
          <w:spacing w:val="-2"/>
        </w:rPr>
        <w:t>amended.</w:t>
      </w:r>
    </w:p>
    <w:p>
      <w:pPr>
        <w:pStyle w:val="BodyText"/>
        <w:spacing w:before="5"/>
      </w:pPr>
    </w:p>
    <w:p>
      <w:pPr>
        <w:pStyle w:val="BodyText"/>
        <w:tabs>
          <w:tab w:pos="705" w:val="left" w:leader="none"/>
        </w:tabs>
        <w:ind w:left="165"/>
      </w:pPr>
      <w:bookmarkStart w:name="_bookmark1928" w:id="1930"/>
      <w:bookmarkEnd w:id="1930"/>
      <w:r>
        <w:rPr/>
      </w:r>
      <w:hyperlink w:history="true" w:anchor="_bookmark1872">
        <w:r>
          <w:rPr>
            <w:color w:val="005DA1"/>
            <w:spacing w:val="-4"/>
            <w:position w:val="5"/>
            <w:sz w:val="14"/>
            <w:u w:val="single" w:color="005DA1"/>
          </w:rPr>
          <w:t>993</w:t>
        </w:r>
      </w:hyperlink>
      <w:r>
        <w:rPr>
          <w:spacing w:val="-4"/>
          <w:position w:val="5"/>
          <w:sz w:val="14"/>
        </w:rPr>
        <w:t>.</w:t>
      </w:r>
      <w:r>
        <w:rPr>
          <w:position w:val="5"/>
          <w:sz w:val="14"/>
        </w:rPr>
        <w:tab/>
      </w:r>
      <w:r>
        <w:rPr/>
        <w:t>art.5(d)(i) of the </w:t>
      </w:r>
      <w:r>
        <w:rPr>
          <w:spacing w:val="-2"/>
        </w:rPr>
        <w:t>Directive.</w:t>
      </w:r>
    </w:p>
    <w:p>
      <w:pPr>
        <w:pStyle w:val="BodyText"/>
        <w:spacing w:before="9"/>
      </w:pPr>
    </w:p>
    <w:p>
      <w:pPr>
        <w:pStyle w:val="BodyText"/>
        <w:spacing w:line="235" w:lineRule="auto"/>
        <w:ind w:left="705" w:right="167" w:hanging="541"/>
        <w:jc w:val="both"/>
      </w:pPr>
      <w:bookmarkStart w:name="_bookmark1929" w:id="1931"/>
      <w:bookmarkEnd w:id="1931"/>
      <w:r>
        <w:rPr/>
      </w:r>
      <w:hyperlink w:history="true" w:anchor="_bookmark1873">
        <w:r>
          <w:rPr>
            <w:color w:val="005DA1"/>
            <w:position w:val="5"/>
            <w:sz w:val="14"/>
            <w:u w:val="single" w:color="005DA1"/>
          </w:rPr>
          <w:t>994</w:t>
        </w:r>
      </w:hyperlink>
      <w:r>
        <w:rPr>
          <w:position w:val="5"/>
          <w:sz w:val="14"/>
        </w:rPr>
        <w:t>.</w:t>
      </w:r>
      <w:r>
        <w:rPr>
          <w:spacing w:val="80"/>
          <w:position w:val="5"/>
          <w:sz w:val="14"/>
        </w:rPr>
        <w:t> </w:t>
      </w:r>
      <w:r>
        <w:rPr/>
        <w:t>art.5(d)(ii) of the Directive, which is subject to the proviso that the policyholder is </w:t>
      </w:r>
      <w:r>
        <w:rPr/>
        <w:t>engaged professionally in an industrial or commercial activity or in one of the liberal professions and the risks related to such activity.</w:t>
      </w:r>
    </w:p>
    <w:p>
      <w:pPr>
        <w:pStyle w:val="BodyText"/>
        <w:spacing w:before="9"/>
      </w:pPr>
    </w:p>
    <w:p>
      <w:pPr>
        <w:pStyle w:val="BodyText"/>
        <w:spacing w:line="235" w:lineRule="auto"/>
        <w:ind w:left="705" w:right="167" w:hanging="541"/>
        <w:jc w:val="both"/>
      </w:pPr>
      <w:bookmarkStart w:name="_bookmark1930" w:id="1932"/>
      <w:bookmarkEnd w:id="1932"/>
      <w:r>
        <w:rPr/>
      </w:r>
      <w:hyperlink w:history="true" w:anchor="_bookmark1874">
        <w:r>
          <w:rPr>
            <w:color w:val="005DA1"/>
            <w:position w:val="5"/>
            <w:sz w:val="14"/>
            <w:u w:val="single" w:color="005DA1"/>
          </w:rPr>
          <w:t>995</w:t>
        </w:r>
      </w:hyperlink>
      <w:r>
        <w:rPr>
          <w:position w:val="5"/>
          <w:sz w:val="14"/>
        </w:rPr>
        <w:t>.</w:t>
      </w:r>
      <w:r>
        <w:rPr>
          <w:spacing w:val="80"/>
          <w:position w:val="5"/>
          <w:sz w:val="14"/>
        </w:rPr>
        <w:t> </w:t>
      </w:r>
      <w:r>
        <w:rPr/>
        <w:t>art.5(d)(iii) of the Directive, which is subject, inter alia, to the policyholder exceeding </w:t>
      </w:r>
      <w:r>
        <w:rPr/>
        <w:t>certain financial limits in respect of balance-sheet total, turnover and a stipulated average number of </w:t>
      </w:r>
      <w:r>
        <w:rPr>
          <w:spacing w:val="-2"/>
        </w:rPr>
        <w:t>employees.</w:t>
      </w:r>
    </w:p>
    <w:p>
      <w:pPr>
        <w:pStyle w:val="BodyText"/>
        <w:spacing w:after="0" w:line="235" w:lineRule="auto"/>
        <w:jc w:val="both"/>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344" w:hRule="atLeast"/>
        </w:trPr>
        <w:tc>
          <w:tcPr>
            <w:tcW w:w="496" w:type="dxa"/>
          </w:tcPr>
          <w:p>
            <w:pPr>
              <w:pStyle w:val="TableParagraph"/>
              <w:spacing w:before="0"/>
              <w:ind w:left="0" w:right="121"/>
              <w:rPr>
                <w:sz w:val="14"/>
              </w:rPr>
            </w:pPr>
            <w:hyperlink w:history="true" w:anchor="_bookmark1875">
              <w:r>
                <w:rPr>
                  <w:color w:val="005DA1"/>
                  <w:spacing w:val="-4"/>
                  <w:sz w:val="14"/>
                  <w:u w:val="single" w:color="005DA1"/>
                </w:rPr>
                <w:t>996</w:t>
              </w:r>
            </w:hyperlink>
            <w:r>
              <w:rPr>
                <w:spacing w:val="-4"/>
                <w:sz w:val="14"/>
              </w:rPr>
              <w:t>.</w:t>
            </w:r>
          </w:p>
        </w:tc>
        <w:tc>
          <w:tcPr>
            <w:tcW w:w="8621" w:type="dxa"/>
          </w:tcPr>
          <w:p>
            <w:pPr>
              <w:pStyle w:val="TableParagraph"/>
              <w:spacing w:line="223" w:lineRule="exact" w:before="0"/>
              <w:jc w:val="left"/>
              <w:rPr>
                <w:sz w:val="20"/>
              </w:rPr>
            </w:pPr>
            <w:r>
              <w:rPr>
                <w:sz w:val="20"/>
              </w:rPr>
              <w:t>Which need not be the law of a Member </w:t>
            </w:r>
            <w:r>
              <w:rPr>
                <w:spacing w:val="-2"/>
                <w:sz w:val="20"/>
              </w:rPr>
              <w:t>State.</w:t>
            </w:r>
          </w:p>
        </w:tc>
      </w:tr>
      <w:tr>
        <w:trPr>
          <w:trHeight w:val="690" w:hRule="atLeast"/>
        </w:trPr>
        <w:tc>
          <w:tcPr>
            <w:tcW w:w="496" w:type="dxa"/>
          </w:tcPr>
          <w:p>
            <w:pPr>
              <w:pStyle w:val="TableParagraph"/>
              <w:ind w:left="0" w:right="121"/>
              <w:rPr>
                <w:sz w:val="14"/>
              </w:rPr>
            </w:pPr>
            <w:bookmarkStart w:name="_bookmark1931" w:id="1933"/>
            <w:bookmarkEnd w:id="1933"/>
            <w:r>
              <w:rPr/>
            </w:r>
            <w:hyperlink w:history="true" w:anchor="_bookmark1875">
              <w:r>
                <w:rPr>
                  <w:color w:val="005DA1"/>
                  <w:spacing w:val="-4"/>
                  <w:sz w:val="14"/>
                  <w:u w:val="single" w:color="005DA1"/>
                </w:rPr>
                <w:t>997</w:t>
              </w:r>
            </w:hyperlink>
            <w:r>
              <w:rPr>
                <w:spacing w:val="-4"/>
                <w:sz w:val="14"/>
              </w:rPr>
              <w:t>.</w:t>
            </w:r>
          </w:p>
        </w:tc>
        <w:tc>
          <w:tcPr>
            <w:tcW w:w="8621" w:type="dxa"/>
          </w:tcPr>
          <w:p>
            <w:pPr>
              <w:pStyle w:val="TableParagraph"/>
              <w:spacing w:line="235" w:lineRule="auto" w:before="118"/>
              <w:jc w:val="left"/>
              <w:rPr>
                <w:sz w:val="20"/>
              </w:rPr>
            </w:pPr>
            <w:r>
              <w:rPr>
                <w:sz w:val="20"/>
              </w:rPr>
              <w:t>Above, paras 30-169 et seq. As to the position under the Rome Convention, see Dicey, Morris, and Collins, 15th edn (2012), para.33-193.</w:t>
            </w:r>
          </w:p>
        </w:tc>
      </w:tr>
      <w:tr>
        <w:trPr>
          <w:trHeight w:val="465" w:hRule="atLeast"/>
        </w:trPr>
        <w:tc>
          <w:tcPr>
            <w:tcW w:w="496" w:type="dxa"/>
          </w:tcPr>
          <w:p>
            <w:pPr>
              <w:pStyle w:val="TableParagraph"/>
              <w:ind w:left="0" w:right="121"/>
              <w:rPr>
                <w:sz w:val="14"/>
              </w:rPr>
            </w:pPr>
            <w:bookmarkStart w:name="_bookmark1932" w:id="1934"/>
            <w:bookmarkEnd w:id="1934"/>
            <w:r>
              <w:rPr/>
            </w:r>
            <w:hyperlink w:history="true" w:anchor="_bookmark1876">
              <w:r>
                <w:rPr>
                  <w:color w:val="005DA1"/>
                  <w:spacing w:val="-4"/>
                  <w:sz w:val="14"/>
                  <w:u w:val="single" w:color="005DA1"/>
                </w:rPr>
                <w:t>998</w:t>
              </w:r>
            </w:hyperlink>
            <w:r>
              <w:rPr>
                <w:spacing w:val="-4"/>
                <w:sz w:val="14"/>
              </w:rPr>
              <w:t>.</w:t>
            </w:r>
          </w:p>
        </w:tc>
        <w:tc>
          <w:tcPr>
            <w:tcW w:w="8621" w:type="dxa"/>
          </w:tcPr>
          <w:p>
            <w:pPr>
              <w:pStyle w:val="TableParagraph"/>
              <w:spacing w:before="114"/>
              <w:jc w:val="left"/>
              <w:rPr>
                <w:sz w:val="20"/>
              </w:rPr>
            </w:pPr>
            <w:r>
              <w:rPr>
                <w:sz w:val="20"/>
              </w:rPr>
              <w:t>Which need not be a Member </w:t>
            </w:r>
            <w:r>
              <w:rPr>
                <w:spacing w:val="-2"/>
                <w:sz w:val="20"/>
              </w:rPr>
              <w:t>State.</w:t>
            </w:r>
          </w:p>
        </w:tc>
      </w:tr>
      <w:tr>
        <w:trPr>
          <w:trHeight w:val="465" w:hRule="atLeast"/>
        </w:trPr>
        <w:tc>
          <w:tcPr>
            <w:tcW w:w="496" w:type="dxa"/>
          </w:tcPr>
          <w:p>
            <w:pPr>
              <w:pStyle w:val="TableParagraph"/>
              <w:ind w:left="0" w:right="121"/>
              <w:rPr>
                <w:sz w:val="14"/>
              </w:rPr>
            </w:pPr>
            <w:bookmarkStart w:name="_bookmark1933" w:id="1935"/>
            <w:bookmarkEnd w:id="1935"/>
            <w:r>
              <w:rPr/>
            </w:r>
            <w:hyperlink w:history="true" w:anchor="_bookmark1877">
              <w:r>
                <w:rPr>
                  <w:color w:val="005DA1"/>
                  <w:spacing w:val="-4"/>
                  <w:sz w:val="14"/>
                  <w:u w:val="single" w:color="005DA1"/>
                </w:rPr>
                <w:t>999</w:t>
              </w:r>
            </w:hyperlink>
            <w:r>
              <w:rPr>
                <w:spacing w:val="-4"/>
                <w:sz w:val="14"/>
              </w:rPr>
              <w:t>.</w:t>
            </w:r>
          </w:p>
        </w:tc>
        <w:tc>
          <w:tcPr>
            <w:tcW w:w="8621" w:type="dxa"/>
          </w:tcPr>
          <w:p>
            <w:pPr>
              <w:pStyle w:val="TableParagraph"/>
              <w:spacing w:before="114"/>
              <w:jc w:val="left"/>
              <w:rPr>
                <w:sz w:val="20"/>
              </w:rPr>
            </w:pPr>
            <w:r>
              <w:rPr>
                <w:sz w:val="20"/>
              </w:rPr>
              <w:t>As defined above, paras 30-163 et </w:t>
            </w:r>
            <w:r>
              <w:rPr>
                <w:spacing w:val="-4"/>
                <w:sz w:val="20"/>
              </w:rPr>
              <w:t>seq.</w:t>
            </w:r>
          </w:p>
        </w:tc>
      </w:tr>
      <w:tr>
        <w:trPr>
          <w:trHeight w:val="690" w:hRule="atLeast"/>
        </w:trPr>
        <w:tc>
          <w:tcPr>
            <w:tcW w:w="496" w:type="dxa"/>
          </w:tcPr>
          <w:p>
            <w:pPr>
              <w:pStyle w:val="TableParagraph"/>
              <w:ind w:left="0" w:right="43"/>
              <w:rPr>
                <w:sz w:val="14"/>
              </w:rPr>
            </w:pPr>
            <w:bookmarkStart w:name="_bookmark1934" w:id="1936"/>
            <w:bookmarkEnd w:id="1936"/>
            <w:r>
              <w:rPr/>
            </w:r>
            <w:hyperlink w:history="true" w:anchor="_bookmark1878">
              <w:r>
                <w:rPr>
                  <w:color w:val="005DA1"/>
                  <w:spacing w:val="-2"/>
                  <w:sz w:val="14"/>
                  <w:u w:val="single" w:color="005DA1"/>
                </w:rPr>
                <w:t>1000</w:t>
              </w:r>
            </w:hyperlink>
            <w:r>
              <w:rPr>
                <w:spacing w:val="-2"/>
                <w:sz w:val="14"/>
              </w:rPr>
              <w:t>.</w:t>
            </w:r>
          </w:p>
        </w:tc>
        <w:tc>
          <w:tcPr>
            <w:tcW w:w="8621" w:type="dxa"/>
          </w:tcPr>
          <w:p>
            <w:pPr>
              <w:pStyle w:val="TableParagraph"/>
              <w:spacing w:line="235" w:lineRule="auto" w:before="118"/>
              <w:jc w:val="left"/>
              <w:rPr>
                <w:sz w:val="20"/>
              </w:rPr>
            </w:pPr>
            <w:r>
              <w:rPr>
                <w:sz w:val="20"/>
              </w:rPr>
              <w:t>Above, paras 30-185 et seq. As to the position under the Rome Convention, see Dicey, Morris, and Collins, 15th edn (2012), para.33-220.</w:t>
            </w:r>
          </w:p>
        </w:tc>
      </w:tr>
      <w:tr>
        <w:trPr>
          <w:trHeight w:val="915" w:hRule="atLeast"/>
        </w:trPr>
        <w:tc>
          <w:tcPr>
            <w:tcW w:w="496" w:type="dxa"/>
          </w:tcPr>
          <w:p>
            <w:pPr>
              <w:pStyle w:val="TableParagraph"/>
              <w:ind w:left="0" w:right="43"/>
              <w:rPr>
                <w:sz w:val="14"/>
              </w:rPr>
            </w:pPr>
            <w:bookmarkStart w:name="_bookmark1935" w:id="1937"/>
            <w:bookmarkEnd w:id="1937"/>
            <w:r>
              <w:rPr/>
            </w:r>
            <w:hyperlink w:history="true" w:anchor="_bookmark1879">
              <w:r>
                <w:rPr>
                  <w:color w:val="005DA1"/>
                  <w:spacing w:val="-2"/>
                  <w:sz w:val="14"/>
                  <w:u w:val="single" w:color="005DA1"/>
                </w:rPr>
                <w:t>1001</w:t>
              </w:r>
            </w:hyperlink>
            <w:r>
              <w:rPr>
                <w:spacing w:val="-2"/>
                <w:sz w:val="14"/>
              </w:rPr>
              <w:t>.</w:t>
            </w:r>
          </w:p>
        </w:tc>
        <w:tc>
          <w:tcPr>
            <w:tcW w:w="8621" w:type="dxa"/>
          </w:tcPr>
          <w:p>
            <w:pPr>
              <w:pStyle w:val="TableParagraph"/>
              <w:spacing w:line="235" w:lineRule="auto" w:before="118"/>
              <w:ind w:right="49"/>
              <w:jc w:val="both"/>
              <w:rPr>
                <w:sz w:val="20"/>
              </w:rPr>
            </w:pPr>
            <w:r>
              <w:rPr>
                <w:sz w:val="20"/>
              </w:rPr>
              <w:t>Above, para.30-254. For discussion of these choice of law rules under the Directives, as implemented</w:t>
            </w:r>
            <w:r>
              <w:rPr>
                <w:spacing w:val="33"/>
                <w:sz w:val="20"/>
              </w:rPr>
              <w:t> </w:t>
            </w:r>
            <w:r>
              <w:rPr>
                <w:sz w:val="20"/>
              </w:rPr>
              <w:t>in</w:t>
            </w:r>
            <w:r>
              <w:rPr>
                <w:spacing w:val="33"/>
                <w:sz w:val="20"/>
              </w:rPr>
              <w:t> </w:t>
            </w:r>
            <w:r>
              <w:rPr>
                <w:sz w:val="20"/>
              </w:rPr>
              <w:t>the</w:t>
            </w:r>
            <w:r>
              <w:rPr>
                <w:spacing w:val="33"/>
                <w:sz w:val="20"/>
              </w:rPr>
              <w:t> </w:t>
            </w:r>
            <w:r>
              <w:rPr>
                <w:sz w:val="20"/>
              </w:rPr>
              <w:t>United</w:t>
            </w:r>
            <w:r>
              <w:rPr>
                <w:spacing w:val="33"/>
                <w:sz w:val="20"/>
              </w:rPr>
              <w:t> </w:t>
            </w:r>
            <w:r>
              <w:rPr>
                <w:sz w:val="20"/>
              </w:rPr>
              <w:t>Kingdom,</w:t>
            </w:r>
            <w:r>
              <w:rPr>
                <w:spacing w:val="33"/>
                <w:sz w:val="20"/>
              </w:rPr>
              <w:t> </w:t>
            </w:r>
            <w:r>
              <w:rPr>
                <w:sz w:val="20"/>
              </w:rPr>
              <w:t>see</w:t>
            </w:r>
            <w:r>
              <w:rPr>
                <w:spacing w:val="33"/>
                <w:sz w:val="20"/>
              </w:rPr>
              <w:t> </w:t>
            </w:r>
            <w:r>
              <w:rPr>
                <w:sz w:val="20"/>
              </w:rPr>
              <w:t>Dicey,</w:t>
            </w:r>
            <w:r>
              <w:rPr>
                <w:spacing w:val="33"/>
                <w:sz w:val="20"/>
              </w:rPr>
              <w:t> </w:t>
            </w:r>
            <w:r>
              <w:rPr>
                <w:sz w:val="20"/>
              </w:rPr>
              <w:t>Morris</w:t>
            </w:r>
            <w:r>
              <w:rPr>
                <w:spacing w:val="33"/>
                <w:sz w:val="20"/>
              </w:rPr>
              <w:t> </w:t>
            </w:r>
            <w:r>
              <w:rPr>
                <w:sz w:val="20"/>
              </w:rPr>
              <w:t>and</w:t>
            </w:r>
            <w:r>
              <w:rPr>
                <w:spacing w:val="33"/>
                <w:sz w:val="20"/>
              </w:rPr>
              <w:t> </w:t>
            </w:r>
            <w:r>
              <w:rPr>
                <w:sz w:val="20"/>
              </w:rPr>
              <w:t>Collins,</w:t>
            </w:r>
            <w:r>
              <w:rPr>
                <w:spacing w:val="33"/>
                <w:sz w:val="20"/>
              </w:rPr>
              <w:t> </w:t>
            </w:r>
            <w:r>
              <w:rPr>
                <w:sz w:val="20"/>
              </w:rPr>
              <w:t>15th</w:t>
            </w:r>
            <w:r>
              <w:rPr>
                <w:spacing w:val="33"/>
                <w:sz w:val="20"/>
              </w:rPr>
              <w:t> </w:t>
            </w:r>
            <w:r>
              <w:rPr>
                <w:sz w:val="20"/>
              </w:rPr>
              <w:t>edn</w:t>
            </w:r>
            <w:r>
              <w:rPr>
                <w:spacing w:val="33"/>
                <w:sz w:val="20"/>
              </w:rPr>
              <w:t> </w:t>
            </w:r>
            <w:r>
              <w:rPr>
                <w:sz w:val="20"/>
              </w:rPr>
              <w:t>(2012),</w:t>
            </w:r>
            <w:r>
              <w:rPr>
                <w:spacing w:val="33"/>
                <w:sz w:val="20"/>
              </w:rPr>
              <w:t> </w:t>
            </w:r>
            <w:r>
              <w:rPr>
                <w:sz w:val="20"/>
              </w:rPr>
              <w:t>paras 33-198 et seq.</w:t>
            </w:r>
          </w:p>
        </w:tc>
      </w:tr>
      <w:tr>
        <w:trPr>
          <w:trHeight w:val="465" w:hRule="atLeast"/>
        </w:trPr>
        <w:tc>
          <w:tcPr>
            <w:tcW w:w="496" w:type="dxa"/>
          </w:tcPr>
          <w:p>
            <w:pPr>
              <w:pStyle w:val="TableParagraph"/>
              <w:ind w:left="0" w:right="43"/>
              <w:rPr>
                <w:sz w:val="14"/>
              </w:rPr>
            </w:pPr>
            <w:bookmarkStart w:name="_bookmark1936" w:id="1938"/>
            <w:bookmarkEnd w:id="1938"/>
            <w:r>
              <w:rPr/>
            </w:r>
            <w:hyperlink w:history="true" w:anchor="_bookmark1880">
              <w:r>
                <w:rPr>
                  <w:color w:val="005DA1"/>
                  <w:spacing w:val="-2"/>
                  <w:sz w:val="14"/>
                  <w:u w:val="single" w:color="005DA1"/>
                </w:rPr>
                <w:t>1002</w:t>
              </w:r>
            </w:hyperlink>
            <w:r>
              <w:rPr>
                <w:spacing w:val="-2"/>
                <w:sz w:val="14"/>
              </w:rPr>
              <w:t>.</w:t>
            </w:r>
          </w:p>
        </w:tc>
        <w:tc>
          <w:tcPr>
            <w:tcW w:w="8621" w:type="dxa"/>
          </w:tcPr>
          <w:p>
            <w:pPr>
              <w:pStyle w:val="TableParagraph"/>
              <w:spacing w:before="114"/>
              <w:jc w:val="left"/>
              <w:rPr>
                <w:sz w:val="20"/>
              </w:rPr>
            </w:pPr>
            <w:r>
              <w:rPr>
                <w:sz w:val="20"/>
              </w:rPr>
              <w:t>Above, para.30-</w:t>
            </w:r>
            <w:r>
              <w:rPr>
                <w:spacing w:val="-4"/>
                <w:sz w:val="20"/>
              </w:rPr>
              <w:t>262.</w:t>
            </w:r>
          </w:p>
        </w:tc>
      </w:tr>
      <w:tr>
        <w:trPr>
          <w:trHeight w:val="465" w:hRule="atLeast"/>
        </w:trPr>
        <w:tc>
          <w:tcPr>
            <w:tcW w:w="496" w:type="dxa"/>
          </w:tcPr>
          <w:p>
            <w:pPr>
              <w:pStyle w:val="TableParagraph"/>
              <w:ind w:left="0" w:right="43"/>
              <w:rPr>
                <w:sz w:val="14"/>
              </w:rPr>
            </w:pPr>
            <w:bookmarkStart w:name="_bookmark1937" w:id="1939"/>
            <w:bookmarkEnd w:id="1939"/>
            <w:r>
              <w:rPr/>
            </w:r>
            <w:hyperlink w:history="true" w:anchor="_bookmark1881">
              <w:r>
                <w:rPr>
                  <w:color w:val="005DA1"/>
                  <w:spacing w:val="-2"/>
                  <w:sz w:val="14"/>
                  <w:u w:val="single" w:color="005DA1"/>
                </w:rPr>
                <w:t>1003</w:t>
              </w:r>
            </w:hyperlink>
            <w:r>
              <w:rPr>
                <w:spacing w:val="-2"/>
                <w:sz w:val="14"/>
              </w:rPr>
              <w:t>.</w:t>
            </w:r>
          </w:p>
        </w:tc>
        <w:tc>
          <w:tcPr>
            <w:tcW w:w="8621" w:type="dxa"/>
          </w:tcPr>
          <w:p>
            <w:pPr>
              <w:pStyle w:val="TableParagraph"/>
              <w:spacing w:before="114"/>
              <w:jc w:val="left"/>
              <w:rPr>
                <w:sz w:val="20"/>
              </w:rPr>
            </w:pPr>
            <w:r>
              <w:rPr>
                <w:sz w:val="20"/>
              </w:rPr>
              <w:t>First Non-Life Directive art.5(d)(iii); above, para.30-</w:t>
            </w:r>
            <w:r>
              <w:rPr>
                <w:spacing w:val="-4"/>
                <w:sz w:val="20"/>
              </w:rPr>
              <w:t>262.</w:t>
            </w:r>
          </w:p>
        </w:tc>
      </w:tr>
      <w:tr>
        <w:trPr>
          <w:trHeight w:val="465" w:hRule="atLeast"/>
        </w:trPr>
        <w:tc>
          <w:tcPr>
            <w:tcW w:w="496" w:type="dxa"/>
          </w:tcPr>
          <w:p>
            <w:pPr>
              <w:pStyle w:val="TableParagraph"/>
              <w:ind w:left="0" w:right="43"/>
              <w:rPr>
                <w:sz w:val="14"/>
              </w:rPr>
            </w:pPr>
            <w:bookmarkStart w:name="_bookmark1938" w:id="1940"/>
            <w:bookmarkEnd w:id="1940"/>
            <w:r>
              <w:rPr/>
            </w:r>
            <w:hyperlink w:history="true" w:anchor="_bookmark1882">
              <w:r>
                <w:rPr>
                  <w:color w:val="005DA1"/>
                  <w:spacing w:val="-2"/>
                  <w:sz w:val="14"/>
                  <w:u w:val="single" w:color="005DA1"/>
                </w:rPr>
                <w:t>1004</w:t>
              </w:r>
            </w:hyperlink>
            <w:r>
              <w:rPr>
                <w:spacing w:val="-2"/>
                <w:sz w:val="14"/>
              </w:rPr>
              <w:t>.</w:t>
            </w:r>
          </w:p>
        </w:tc>
        <w:tc>
          <w:tcPr>
            <w:tcW w:w="8621" w:type="dxa"/>
          </w:tcPr>
          <w:p>
            <w:pPr>
              <w:pStyle w:val="TableParagraph"/>
              <w:spacing w:before="114"/>
              <w:jc w:val="left"/>
              <w:rPr>
                <w:sz w:val="20"/>
              </w:rPr>
            </w:pPr>
            <w:r>
              <w:rPr>
                <w:sz w:val="20"/>
              </w:rPr>
              <w:t>As to the meaning of which, see above, paras 30-163 et </w:t>
            </w:r>
            <w:r>
              <w:rPr>
                <w:spacing w:val="-4"/>
                <w:sz w:val="20"/>
              </w:rPr>
              <w:t>seq.</w:t>
            </w:r>
          </w:p>
        </w:tc>
      </w:tr>
      <w:tr>
        <w:trPr>
          <w:trHeight w:val="465" w:hRule="atLeast"/>
        </w:trPr>
        <w:tc>
          <w:tcPr>
            <w:tcW w:w="496" w:type="dxa"/>
          </w:tcPr>
          <w:p>
            <w:pPr>
              <w:pStyle w:val="TableParagraph"/>
              <w:ind w:left="0" w:right="43"/>
              <w:rPr>
                <w:sz w:val="14"/>
              </w:rPr>
            </w:pPr>
            <w:bookmarkStart w:name="_bookmark1939" w:id="1941"/>
            <w:bookmarkEnd w:id="1941"/>
            <w:r>
              <w:rPr/>
            </w:r>
            <w:hyperlink w:history="true" w:anchor="_bookmark1883">
              <w:r>
                <w:rPr>
                  <w:color w:val="005DA1"/>
                  <w:spacing w:val="-2"/>
                  <w:sz w:val="14"/>
                  <w:u w:val="single" w:color="005DA1"/>
                </w:rPr>
                <w:t>1005</w:t>
              </w:r>
            </w:hyperlink>
            <w:r>
              <w:rPr>
                <w:spacing w:val="-2"/>
                <w:sz w:val="14"/>
              </w:rPr>
              <w:t>.</w:t>
            </w:r>
          </w:p>
        </w:tc>
        <w:tc>
          <w:tcPr>
            <w:tcW w:w="8621" w:type="dxa"/>
          </w:tcPr>
          <w:p>
            <w:pPr>
              <w:pStyle w:val="TableParagraph"/>
              <w:spacing w:before="114"/>
              <w:jc w:val="left"/>
              <w:rPr>
                <w:sz w:val="20"/>
              </w:rPr>
            </w:pPr>
            <w:r>
              <w:rPr>
                <w:sz w:val="20"/>
              </w:rPr>
              <w:t>See on this question, Dicey, Morris and Collins, 15th edn (2012), paras 33-207 et </w:t>
            </w:r>
            <w:r>
              <w:rPr>
                <w:spacing w:val="-4"/>
                <w:sz w:val="20"/>
              </w:rPr>
              <w:t>seq.</w:t>
            </w:r>
          </w:p>
        </w:tc>
      </w:tr>
      <w:tr>
        <w:trPr>
          <w:trHeight w:val="465" w:hRule="atLeast"/>
        </w:trPr>
        <w:tc>
          <w:tcPr>
            <w:tcW w:w="496" w:type="dxa"/>
          </w:tcPr>
          <w:p>
            <w:pPr>
              <w:pStyle w:val="TableParagraph"/>
              <w:ind w:left="0" w:right="43"/>
              <w:rPr>
                <w:sz w:val="14"/>
              </w:rPr>
            </w:pPr>
            <w:bookmarkStart w:name="_bookmark1940" w:id="1942"/>
            <w:bookmarkEnd w:id="1942"/>
            <w:r>
              <w:rPr/>
            </w:r>
            <w:hyperlink w:history="true" w:anchor="_bookmark1884">
              <w:r>
                <w:rPr>
                  <w:color w:val="005DA1"/>
                  <w:spacing w:val="-2"/>
                  <w:sz w:val="14"/>
                  <w:u w:val="single" w:color="005DA1"/>
                </w:rPr>
                <w:t>1006</w:t>
              </w:r>
            </w:hyperlink>
            <w:r>
              <w:rPr>
                <w:spacing w:val="-2"/>
                <w:sz w:val="14"/>
              </w:rPr>
              <w:t>.</w:t>
            </w:r>
          </w:p>
        </w:tc>
        <w:tc>
          <w:tcPr>
            <w:tcW w:w="8621" w:type="dxa"/>
          </w:tcPr>
          <w:p>
            <w:pPr>
              <w:pStyle w:val="TableParagraph"/>
              <w:spacing w:before="114"/>
              <w:jc w:val="left"/>
              <w:rPr>
                <w:sz w:val="20"/>
              </w:rPr>
            </w:pPr>
            <w:r>
              <w:rPr>
                <w:sz w:val="20"/>
              </w:rPr>
              <w:t>See Dicey, Morris and Collins, 15th edn (2012), paras 33-207 et </w:t>
            </w:r>
            <w:r>
              <w:rPr>
                <w:spacing w:val="-4"/>
                <w:sz w:val="20"/>
              </w:rPr>
              <w:t>seq.</w:t>
            </w:r>
          </w:p>
        </w:tc>
      </w:tr>
      <w:tr>
        <w:trPr>
          <w:trHeight w:val="690" w:hRule="atLeast"/>
        </w:trPr>
        <w:tc>
          <w:tcPr>
            <w:tcW w:w="496" w:type="dxa"/>
          </w:tcPr>
          <w:p>
            <w:pPr>
              <w:pStyle w:val="TableParagraph"/>
              <w:ind w:left="0" w:right="43"/>
              <w:rPr>
                <w:sz w:val="14"/>
              </w:rPr>
            </w:pPr>
            <w:bookmarkStart w:name="_bookmark1941" w:id="1943"/>
            <w:bookmarkEnd w:id="1943"/>
            <w:r>
              <w:rPr/>
            </w:r>
            <w:hyperlink w:history="true" w:anchor="_bookmark1885">
              <w:r>
                <w:rPr>
                  <w:color w:val="005DA1"/>
                  <w:spacing w:val="-2"/>
                  <w:sz w:val="14"/>
                  <w:u w:val="single" w:color="005DA1"/>
                </w:rPr>
                <w:t>1007</w:t>
              </w:r>
            </w:hyperlink>
            <w:r>
              <w:rPr>
                <w:spacing w:val="-2"/>
                <w:sz w:val="14"/>
              </w:rPr>
              <w:t>.</w:t>
            </w:r>
          </w:p>
        </w:tc>
        <w:tc>
          <w:tcPr>
            <w:tcW w:w="8621" w:type="dxa"/>
          </w:tcPr>
          <w:p>
            <w:pPr>
              <w:pStyle w:val="TableParagraph"/>
              <w:spacing w:line="235" w:lineRule="auto" w:before="118"/>
              <w:jc w:val="left"/>
              <w:rPr>
                <w:sz w:val="20"/>
              </w:rPr>
            </w:pPr>
            <w:r>
              <w:rPr>
                <w:sz w:val="20"/>
              </w:rPr>
              <w:t>See</w:t>
            </w:r>
            <w:r>
              <w:rPr>
                <w:spacing w:val="32"/>
                <w:sz w:val="20"/>
              </w:rPr>
              <w:t> </w:t>
            </w:r>
            <w:r>
              <w:rPr>
                <w:sz w:val="20"/>
              </w:rPr>
              <w:t>previous</w:t>
            </w:r>
            <w:r>
              <w:rPr>
                <w:spacing w:val="32"/>
                <w:sz w:val="20"/>
              </w:rPr>
              <w:t> </w:t>
            </w:r>
            <w:r>
              <w:rPr>
                <w:sz w:val="20"/>
              </w:rPr>
              <w:t>note.</w:t>
            </w:r>
            <w:r>
              <w:rPr>
                <w:spacing w:val="32"/>
                <w:sz w:val="20"/>
              </w:rPr>
              <w:t> </w:t>
            </w:r>
            <w:r>
              <w:rPr>
                <w:sz w:val="20"/>
              </w:rPr>
              <w:t>As</w:t>
            </w:r>
            <w:r>
              <w:rPr>
                <w:spacing w:val="32"/>
                <w:sz w:val="20"/>
              </w:rPr>
              <w:t> </w:t>
            </w:r>
            <w:r>
              <w:rPr>
                <w:sz w:val="20"/>
              </w:rPr>
              <w:t>to</w:t>
            </w:r>
            <w:r>
              <w:rPr>
                <w:spacing w:val="32"/>
                <w:sz w:val="20"/>
              </w:rPr>
              <w:t> </w:t>
            </w:r>
            <w:r>
              <w:rPr>
                <w:sz w:val="20"/>
              </w:rPr>
              <w:t>“dual</w:t>
            </w:r>
            <w:r>
              <w:rPr>
                <w:spacing w:val="32"/>
                <w:sz w:val="20"/>
              </w:rPr>
              <w:t> </w:t>
            </w:r>
            <w:r>
              <w:rPr>
                <w:sz w:val="20"/>
              </w:rPr>
              <w:t>nationality”,</w:t>
            </w:r>
            <w:r>
              <w:rPr>
                <w:spacing w:val="32"/>
                <w:sz w:val="20"/>
              </w:rPr>
              <w:t> </w:t>
            </w:r>
            <w:r>
              <w:rPr>
                <w:sz w:val="20"/>
              </w:rPr>
              <w:t>see</w:t>
            </w:r>
            <w:r>
              <w:rPr>
                <w:spacing w:val="32"/>
                <w:sz w:val="20"/>
              </w:rPr>
              <w:t> </w:t>
            </w:r>
            <w:r>
              <w:rPr>
                <w:sz w:val="20"/>
              </w:rPr>
              <w:t>Dicey,</w:t>
            </w:r>
            <w:r>
              <w:rPr>
                <w:spacing w:val="32"/>
                <w:sz w:val="20"/>
              </w:rPr>
              <w:t> </w:t>
            </w:r>
            <w:r>
              <w:rPr>
                <w:sz w:val="20"/>
              </w:rPr>
              <w:t>Morris</w:t>
            </w:r>
            <w:r>
              <w:rPr>
                <w:spacing w:val="32"/>
                <w:sz w:val="20"/>
              </w:rPr>
              <w:t> </w:t>
            </w:r>
            <w:r>
              <w:rPr>
                <w:sz w:val="20"/>
              </w:rPr>
              <w:t>and</w:t>
            </w:r>
            <w:r>
              <w:rPr>
                <w:spacing w:val="32"/>
                <w:sz w:val="20"/>
              </w:rPr>
              <w:t> </w:t>
            </w:r>
            <w:r>
              <w:rPr>
                <w:sz w:val="20"/>
              </w:rPr>
              <w:t>Collins,</w:t>
            </w:r>
            <w:r>
              <w:rPr>
                <w:spacing w:val="32"/>
                <w:sz w:val="20"/>
              </w:rPr>
              <w:t> </w:t>
            </w:r>
            <w:r>
              <w:rPr>
                <w:sz w:val="20"/>
              </w:rPr>
              <w:t>15th</w:t>
            </w:r>
            <w:r>
              <w:rPr>
                <w:spacing w:val="32"/>
                <w:sz w:val="20"/>
              </w:rPr>
              <w:t> </w:t>
            </w:r>
            <w:r>
              <w:rPr>
                <w:sz w:val="20"/>
              </w:rPr>
              <w:t>edn</w:t>
            </w:r>
            <w:r>
              <w:rPr>
                <w:spacing w:val="32"/>
                <w:sz w:val="20"/>
              </w:rPr>
              <w:t> </w:t>
            </w:r>
            <w:r>
              <w:rPr>
                <w:sz w:val="20"/>
              </w:rPr>
              <w:t>(2012), paras 33-207 et seq.</w:t>
            </w:r>
          </w:p>
        </w:tc>
      </w:tr>
      <w:tr>
        <w:trPr>
          <w:trHeight w:val="1140" w:hRule="atLeast"/>
        </w:trPr>
        <w:tc>
          <w:tcPr>
            <w:tcW w:w="496" w:type="dxa"/>
          </w:tcPr>
          <w:p>
            <w:pPr>
              <w:pStyle w:val="TableParagraph"/>
              <w:ind w:left="0" w:right="43"/>
              <w:rPr>
                <w:sz w:val="14"/>
              </w:rPr>
            </w:pPr>
            <w:bookmarkStart w:name="_bookmark1942" w:id="1944"/>
            <w:bookmarkEnd w:id="1944"/>
            <w:r>
              <w:rPr/>
            </w:r>
            <w:hyperlink w:history="true" w:anchor="_bookmark1886">
              <w:r>
                <w:rPr>
                  <w:color w:val="005DA1"/>
                  <w:spacing w:val="-2"/>
                  <w:sz w:val="14"/>
                  <w:u w:val="single" w:color="005DA1"/>
                </w:rPr>
                <w:t>1008</w:t>
              </w:r>
            </w:hyperlink>
            <w:r>
              <w:rPr>
                <w:spacing w:val="-2"/>
                <w:sz w:val="14"/>
              </w:rPr>
              <w:t>.</w:t>
            </w:r>
          </w:p>
        </w:tc>
        <w:tc>
          <w:tcPr>
            <w:tcW w:w="8621" w:type="dxa"/>
          </w:tcPr>
          <w:p>
            <w:pPr>
              <w:pStyle w:val="TableParagraph"/>
              <w:spacing w:line="235" w:lineRule="auto" w:before="118"/>
              <w:ind w:right="49"/>
              <w:jc w:val="both"/>
              <w:rPr>
                <w:sz w:val="20"/>
              </w:rPr>
            </w:pPr>
            <w:r>
              <w:rPr>
                <w:sz w:val="20"/>
              </w:rPr>
              <w:t>See Dicey, Morris and Collins, 15th edn (2012), paras 33-207 et seq., where it is also pointed out that it may not always be easy to determine whether the events insured against occurred in one Member State. Further, it is possible that the example given might fall within </w:t>
            </w:r>
            <w:r>
              <w:rPr>
                <w:sz w:val="20"/>
              </w:rPr>
              <w:t>art.7(3)(e), below, para.30-272.</w:t>
            </w:r>
          </w:p>
        </w:tc>
      </w:tr>
      <w:tr>
        <w:trPr>
          <w:trHeight w:val="465" w:hRule="atLeast"/>
        </w:trPr>
        <w:tc>
          <w:tcPr>
            <w:tcW w:w="496" w:type="dxa"/>
          </w:tcPr>
          <w:p>
            <w:pPr>
              <w:pStyle w:val="TableParagraph"/>
              <w:ind w:left="0" w:right="43"/>
              <w:rPr>
                <w:sz w:val="14"/>
              </w:rPr>
            </w:pPr>
            <w:bookmarkStart w:name="_bookmark1943" w:id="1945"/>
            <w:bookmarkEnd w:id="1945"/>
            <w:r>
              <w:rPr/>
            </w:r>
            <w:hyperlink w:history="true" w:anchor="_bookmark1887">
              <w:r>
                <w:rPr>
                  <w:color w:val="005DA1"/>
                  <w:spacing w:val="-2"/>
                  <w:sz w:val="14"/>
                  <w:u w:val="single" w:color="005DA1"/>
                </w:rPr>
                <w:t>1009</w:t>
              </w:r>
            </w:hyperlink>
            <w:r>
              <w:rPr>
                <w:spacing w:val="-2"/>
                <w:sz w:val="14"/>
              </w:rPr>
              <w:t>.</w:t>
            </w:r>
          </w:p>
        </w:tc>
        <w:tc>
          <w:tcPr>
            <w:tcW w:w="8621" w:type="dxa"/>
          </w:tcPr>
          <w:p>
            <w:pPr>
              <w:pStyle w:val="TableParagraph"/>
              <w:spacing w:before="114"/>
              <w:jc w:val="left"/>
              <w:rPr>
                <w:sz w:val="20"/>
              </w:rPr>
            </w:pPr>
            <w:r>
              <w:rPr>
                <w:sz w:val="20"/>
              </w:rPr>
              <w:t>See Dicey, Morris and Collins 15th edn (2012), para.33-</w:t>
            </w:r>
            <w:r>
              <w:rPr>
                <w:spacing w:val="-4"/>
                <w:sz w:val="20"/>
              </w:rPr>
              <w:t>201.</w:t>
            </w:r>
          </w:p>
        </w:tc>
      </w:tr>
      <w:tr>
        <w:trPr>
          <w:trHeight w:val="465" w:hRule="atLeast"/>
        </w:trPr>
        <w:tc>
          <w:tcPr>
            <w:tcW w:w="496" w:type="dxa"/>
          </w:tcPr>
          <w:p>
            <w:pPr>
              <w:pStyle w:val="TableParagraph"/>
              <w:ind w:left="0" w:right="43"/>
              <w:rPr>
                <w:sz w:val="14"/>
              </w:rPr>
            </w:pPr>
            <w:bookmarkStart w:name="_bookmark1944" w:id="1946"/>
            <w:bookmarkEnd w:id="1946"/>
            <w:r>
              <w:rPr/>
            </w:r>
            <w:hyperlink w:history="true" w:anchor="_bookmark1888">
              <w:r>
                <w:rPr>
                  <w:color w:val="005DA1"/>
                  <w:spacing w:val="-2"/>
                  <w:sz w:val="14"/>
                  <w:u w:val="single" w:color="005DA1"/>
                </w:rPr>
                <w:t>1010</w:t>
              </w:r>
            </w:hyperlink>
            <w:r>
              <w:rPr>
                <w:spacing w:val="-2"/>
                <w:sz w:val="14"/>
              </w:rPr>
              <w:t>.</w:t>
            </w:r>
          </w:p>
        </w:tc>
        <w:tc>
          <w:tcPr>
            <w:tcW w:w="8621" w:type="dxa"/>
          </w:tcPr>
          <w:p>
            <w:pPr>
              <w:pStyle w:val="TableParagraph"/>
              <w:spacing w:before="114"/>
              <w:jc w:val="left"/>
              <w:rPr>
                <w:sz w:val="20"/>
              </w:rPr>
            </w:pPr>
            <w:r>
              <w:rPr>
                <w:sz w:val="20"/>
              </w:rPr>
              <w:t>See above, para.30-</w:t>
            </w:r>
            <w:r>
              <w:rPr>
                <w:spacing w:val="-4"/>
                <w:sz w:val="20"/>
              </w:rPr>
              <w:t>268.</w:t>
            </w:r>
          </w:p>
        </w:tc>
      </w:tr>
      <w:tr>
        <w:trPr>
          <w:trHeight w:val="465" w:hRule="atLeast"/>
        </w:trPr>
        <w:tc>
          <w:tcPr>
            <w:tcW w:w="496" w:type="dxa"/>
          </w:tcPr>
          <w:p>
            <w:pPr>
              <w:pStyle w:val="TableParagraph"/>
              <w:ind w:left="0" w:right="43"/>
              <w:rPr>
                <w:sz w:val="14"/>
              </w:rPr>
            </w:pPr>
            <w:bookmarkStart w:name="_bookmark1945" w:id="1947"/>
            <w:bookmarkEnd w:id="1947"/>
            <w:r>
              <w:rPr/>
            </w:r>
            <w:hyperlink w:history="true" w:anchor="_bookmark1889">
              <w:r>
                <w:rPr>
                  <w:color w:val="005DA1"/>
                  <w:spacing w:val="-2"/>
                  <w:sz w:val="14"/>
                  <w:u w:val="single" w:color="005DA1"/>
                </w:rPr>
                <w:t>1011</w:t>
              </w:r>
            </w:hyperlink>
            <w:r>
              <w:rPr>
                <w:spacing w:val="-2"/>
                <w:sz w:val="14"/>
              </w:rPr>
              <w:t>.</w:t>
            </w:r>
          </w:p>
        </w:tc>
        <w:tc>
          <w:tcPr>
            <w:tcW w:w="8621" w:type="dxa"/>
          </w:tcPr>
          <w:p>
            <w:pPr>
              <w:pStyle w:val="TableParagraph"/>
              <w:spacing w:before="114"/>
              <w:jc w:val="left"/>
              <w:rPr>
                <w:sz w:val="20"/>
              </w:rPr>
            </w:pPr>
            <w:r>
              <w:rPr>
                <w:sz w:val="20"/>
              </w:rPr>
              <w:t>See above, para.30-</w:t>
            </w:r>
            <w:r>
              <w:rPr>
                <w:spacing w:val="-4"/>
                <w:sz w:val="20"/>
              </w:rPr>
              <w:t>271.</w:t>
            </w:r>
          </w:p>
        </w:tc>
      </w:tr>
      <w:tr>
        <w:trPr>
          <w:trHeight w:val="465" w:hRule="atLeast"/>
        </w:trPr>
        <w:tc>
          <w:tcPr>
            <w:tcW w:w="496" w:type="dxa"/>
          </w:tcPr>
          <w:p>
            <w:pPr>
              <w:pStyle w:val="TableParagraph"/>
              <w:ind w:left="0" w:right="43"/>
              <w:rPr>
                <w:sz w:val="14"/>
              </w:rPr>
            </w:pPr>
            <w:bookmarkStart w:name="_bookmark1946" w:id="1948"/>
            <w:bookmarkEnd w:id="1948"/>
            <w:r>
              <w:rPr/>
            </w:r>
            <w:hyperlink w:history="true" w:anchor="_bookmark1890">
              <w:r>
                <w:rPr>
                  <w:color w:val="005DA1"/>
                  <w:spacing w:val="-2"/>
                  <w:sz w:val="14"/>
                  <w:u w:val="single" w:color="005DA1"/>
                </w:rPr>
                <w:t>1012</w:t>
              </w:r>
            </w:hyperlink>
            <w:r>
              <w:rPr>
                <w:spacing w:val="-2"/>
                <w:sz w:val="14"/>
              </w:rPr>
              <w:t>.</w:t>
            </w:r>
          </w:p>
        </w:tc>
        <w:tc>
          <w:tcPr>
            <w:tcW w:w="8621" w:type="dxa"/>
          </w:tcPr>
          <w:p>
            <w:pPr>
              <w:pStyle w:val="TableParagraph"/>
              <w:spacing w:before="114"/>
              <w:jc w:val="left"/>
              <w:rPr>
                <w:sz w:val="20"/>
              </w:rPr>
            </w:pPr>
            <w:r>
              <w:rPr>
                <w:sz w:val="20"/>
              </w:rPr>
              <w:t>See above, para.30-</w:t>
            </w:r>
            <w:r>
              <w:rPr>
                <w:spacing w:val="-4"/>
                <w:sz w:val="20"/>
              </w:rPr>
              <w:t>145.</w:t>
            </w:r>
          </w:p>
        </w:tc>
      </w:tr>
      <w:tr>
        <w:trPr>
          <w:trHeight w:val="1140" w:hRule="atLeast"/>
        </w:trPr>
        <w:tc>
          <w:tcPr>
            <w:tcW w:w="496" w:type="dxa"/>
          </w:tcPr>
          <w:p>
            <w:pPr>
              <w:pStyle w:val="TableParagraph"/>
              <w:ind w:left="0" w:right="43"/>
              <w:rPr>
                <w:sz w:val="14"/>
              </w:rPr>
            </w:pPr>
            <w:bookmarkStart w:name="_bookmark1947" w:id="1949"/>
            <w:bookmarkEnd w:id="1949"/>
            <w:r>
              <w:rPr/>
            </w:r>
            <w:hyperlink w:history="true" w:anchor="_bookmark1891">
              <w:r>
                <w:rPr>
                  <w:color w:val="005DA1"/>
                  <w:spacing w:val="-2"/>
                  <w:sz w:val="14"/>
                  <w:u w:val="single" w:color="005DA1"/>
                </w:rPr>
                <w:t>1013</w:t>
              </w:r>
            </w:hyperlink>
            <w:r>
              <w:rPr>
                <w:spacing w:val="-2"/>
                <w:sz w:val="14"/>
              </w:rPr>
              <w:t>.</w:t>
            </w:r>
          </w:p>
        </w:tc>
        <w:tc>
          <w:tcPr>
            <w:tcW w:w="8621" w:type="dxa"/>
          </w:tcPr>
          <w:p>
            <w:pPr>
              <w:pStyle w:val="TableParagraph"/>
              <w:spacing w:line="235" w:lineRule="auto" w:before="118"/>
              <w:ind w:right="49"/>
              <w:jc w:val="both"/>
              <w:rPr>
                <w:sz w:val="20"/>
              </w:rPr>
            </w:pPr>
            <w:r>
              <w:rPr>
                <w:sz w:val="20"/>
              </w:rPr>
              <w:t>The equivalent provision in Financial Services and Markets Act 2000 (Law Applicable to Contracts of Insurance) Regulations 2001 regs 4(5) and 7(3) provided that the choice of </w:t>
            </w:r>
            <w:r>
              <w:rPr>
                <w:sz w:val="20"/>
              </w:rPr>
              <w:t>law rules of the Rome Convention were the rules referred to, rather than the rules contained in the Directives. See Dicey, Morris and Collins, 15th edn (2012), paras 33-212 et seq.</w:t>
            </w:r>
          </w:p>
        </w:tc>
      </w:tr>
      <w:tr>
        <w:trPr>
          <w:trHeight w:val="465" w:hRule="atLeast"/>
        </w:trPr>
        <w:tc>
          <w:tcPr>
            <w:tcW w:w="496" w:type="dxa"/>
          </w:tcPr>
          <w:p>
            <w:pPr>
              <w:pStyle w:val="TableParagraph"/>
              <w:ind w:left="0" w:right="43"/>
              <w:rPr>
                <w:sz w:val="14"/>
              </w:rPr>
            </w:pPr>
            <w:bookmarkStart w:name="_bookmark1948" w:id="1950"/>
            <w:bookmarkEnd w:id="1950"/>
            <w:r>
              <w:rPr/>
            </w:r>
            <w:hyperlink w:history="true" w:anchor="_bookmark1892">
              <w:r>
                <w:rPr>
                  <w:color w:val="005DA1"/>
                  <w:spacing w:val="-2"/>
                  <w:sz w:val="14"/>
                  <w:u w:val="single" w:color="005DA1"/>
                </w:rPr>
                <w:t>1014</w:t>
              </w:r>
            </w:hyperlink>
            <w:r>
              <w:rPr>
                <w:spacing w:val="-2"/>
                <w:sz w:val="14"/>
              </w:rPr>
              <w:t>.</w:t>
            </w:r>
          </w:p>
        </w:tc>
        <w:tc>
          <w:tcPr>
            <w:tcW w:w="8621" w:type="dxa"/>
          </w:tcPr>
          <w:p>
            <w:pPr>
              <w:pStyle w:val="TableParagraph"/>
              <w:spacing w:before="114"/>
              <w:jc w:val="left"/>
              <w:rPr>
                <w:sz w:val="20"/>
              </w:rPr>
            </w:pPr>
            <w:r>
              <w:rPr>
                <w:sz w:val="20"/>
              </w:rPr>
              <w:t>cf. </w:t>
            </w:r>
            <w:r>
              <w:rPr>
                <w:rFonts w:ascii="Arial" w:hAnsi="Arial"/>
                <w:i/>
                <w:sz w:val="20"/>
              </w:rPr>
              <w:t>Evialis SA v SIAT [2003] EWHC 863 (Comm), [2003] 2 Lloyd’s Rep. </w:t>
            </w:r>
            <w:r>
              <w:rPr>
                <w:rFonts w:ascii="Arial" w:hAnsi="Arial"/>
                <w:i/>
                <w:spacing w:val="-4"/>
                <w:sz w:val="20"/>
              </w:rPr>
              <w:t>377</w:t>
            </w:r>
            <w:r>
              <w:rPr>
                <w:spacing w:val="-4"/>
                <w:sz w:val="20"/>
              </w:rPr>
              <w:t>.</w:t>
            </w:r>
          </w:p>
        </w:tc>
      </w:tr>
      <w:tr>
        <w:trPr>
          <w:trHeight w:val="465" w:hRule="atLeast"/>
        </w:trPr>
        <w:tc>
          <w:tcPr>
            <w:tcW w:w="496" w:type="dxa"/>
          </w:tcPr>
          <w:p>
            <w:pPr>
              <w:pStyle w:val="TableParagraph"/>
              <w:ind w:left="0" w:right="43"/>
              <w:rPr>
                <w:sz w:val="14"/>
              </w:rPr>
            </w:pPr>
            <w:bookmarkStart w:name="_bookmark1949" w:id="1951"/>
            <w:bookmarkEnd w:id="1951"/>
            <w:r>
              <w:rPr/>
            </w:r>
            <w:hyperlink w:history="true" w:anchor="_bookmark1893">
              <w:r>
                <w:rPr>
                  <w:color w:val="005DA1"/>
                  <w:spacing w:val="-2"/>
                  <w:sz w:val="14"/>
                  <w:u w:val="single" w:color="005DA1"/>
                </w:rPr>
                <w:t>1015</w:t>
              </w:r>
            </w:hyperlink>
            <w:r>
              <w:rPr>
                <w:spacing w:val="-2"/>
                <w:sz w:val="14"/>
              </w:rPr>
              <w:t>.</w:t>
            </w:r>
          </w:p>
        </w:tc>
        <w:tc>
          <w:tcPr>
            <w:tcW w:w="8621" w:type="dxa"/>
          </w:tcPr>
          <w:p>
            <w:pPr>
              <w:pStyle w:val="TableParagraph"/>
              <w:spacing w:before="114"/>
              <w:jc w:val="left"/>
              <w:rPr>
                <w:sz w:val="20"/>
              </w:rPr>
            </w:pPr>
            <w:r>
              <w:rPr>
                <w:sz w:val="20"/>
              </w:rPr>
              <w:t>SI </w:t>
            </w:r>
            <w:r>
              <w:rPr>
                <w:spacing w:val="-2"/>
                <w:sz w:val="20"/>
              </w:rPr>
              <w:t>2009/3075.</w:t>
            </w:r>
          </w:p>
        </w:tc>
      </w:tr>
      <w:tr>
        <w:trPr>
          <w:trHeight w:val="465" w:hRule="atLeast"/>
        </w:trPr>
        <w:tc>
          <w:tcPr>
            <w:tcW w:w="496" w:type="dxa"/>
          </w:tcPr>
          <w:p>
            <w:pPr>
              <w:pStyle w:val="TableParagraph"/>
              <w:ind w:left="0" w:right="43"/>
              <w:rPr>
                <w:sz w:val="14"/>
              </w:rPr>
            </w:pPr>
            <w:bookmarkStart w:name="_bookmark1950" w:id="1952"/>
            <w:bookmarkEnd w:id="1952"/>
            <w:r>
              <w:rPr/>
            </w:r>
            <w:hyperlink w:history="true" w:anchor="_bookmark1894">
              <w:r>
                <w:rPr>
                  <w:color w:val="005DA1"/>
                  <w:spacing w:val="-2"/>
                  <w:sz w:val="14"/>
                  <w:u w:val="single" w:color="005DA1"/>
                </w:rPr>
                <w:t>1016</w:t>
              </w:r>
            </w:hyperlink>
            <w:r>
              <w:rPr>
                <w:spacing w:val="-2"/>
                <w:sz w:val="14"/>
              </w:rPr>
              <w:t>.</w:t>
            </w:r>
          </w:p>
        </w:tc>
        <w:tc>
          <w:tcPr>
            <w:tcW w:w="8621" w:type="dxa"/>
          </w:tcPr>
          <w:p>
            <w:pPr>
              <w:pStyle w:val="TableParagraph"/>
              <w:spacing w:before="114"/>
              <w:jc w:val="left"/>
              <w:rPr>
                <w:sz w:val="20"/>
              </w:rPr>
            </w:pPr>
            <w:r>
              <w:rPr>
                <w:spacing w:val="-2"/>
                <w:sz w:val="20"/>
              </w:rPr>
              <w:t>reg.5.</w:t>
            </w:r>
          </w:p>
        </w:tc>
      </w:tr>
      <w:tr>
        <w:trPr>
          <w:trHeight w:val="690" w:hRule="atLeast"/>
        </w:trPr>
        <w:tc>
          <w:tcPr>
            <w:tcW w:w="496" w:type="dxa"/>
          </w:tcPr>
          <w:p>
            <w:pPr>
              <w:pStyle w:val="TableParagraph"/>
              <w:ind w:left="0" w:right="43"/>
              <w:rPr>
                <w:sz w:val="14"/>
              </w:rPr>
            </w:pPr>
            <w:bookmarkStart w:name="_bookmark1951" w:id="1953"/>
            <w:bookmarkEnd w:id="1953"/>
            <w:r>
              <w:rPr/>
            </w:r>
            <w:hyperlink w:history="true" w:anchor="_bookmark1895">
              <w:r>
                <w:rPr>
                  <w:color w:val="005DA1"/>
                  <w:spacing w:val="-2"/>
                  <w:sz w:val="14"/>
                  <w:u w:val="single" w:color="005DA1"/>
                </w:rPr>
                <w:t>1017</w:t>
              </w:r>
            </w:hyperlink>
            <w:r>
              <w:rPr>
                <w:spacing w:val="-2"/>
                <w:sz w:val="14"/>
              </w:rPr>
              <w:t>.</w:t>
            </w:r>
          </w:p>
        </w:tc>
        <w:tc>
          <w:tcPr>
            <w:tcW w:w="8621" w:type="dxa"/>
          </w:tcPr>
          <w:p>
            <w:pPr>
              <w:pStyle w:val="TableParagraph"/>
              <w:spacing w:line="235" w:lineRule="auto" w:before="118"/>
              <w:jc w:val="left"/>
              <w:rPr>
                <w:sz w:val="20"/>
              </w:rPr>
            </w:pPr>
            <w:r>
              <w:rPr>
                <w:sz w:val="20"/>
              </w:rPr>
              <w:t>Within</w:t>
            </w:r>
            <w:r>
              <w:rPr>
                <w:spacing w:val="28"/>
                <w:sz w:val="20"/>
              </w:rPr>
              <w:t> </w:t>
            </w:r>
            <w:r>
              <w:rPr>
                <w:sz w:val="20"/>
              </w:rPr>
              <w:t>the</w:t>
            </w:r>
            <w:r>
              <w:rPr>
                <w:spacing w:val="28"/>
                <w:sz w:val="20"/>
              </w:rPr>
              <w:t> </w:t>
            </w:r>
            <w:r>
              <w:rPr>
                <w:sz w:val="20"/>
              </w:rPr>
              <w:t>meaning</w:t>
            </w:r>
            <w:r>
              <w:rPr>
                <w:spacing w:val="28"/>
                <w:sz w:val="20"/>
              </w:rPr>
              <w:t> </w:t>
            </w:r>
            <w:r>
              <w:rPr>
                <w:sz w:val="20"/>
              </w:rPr>
              <w:t>of</w:t>
            </w:r>
            <w:r>
              <w:rPr>
                <w:spacing w:val="28"/>
                <w:sz w:val="20"/>
              </w:rPr>
              <w:t> </w:t>
            </w:r>
            <w:r>
              <w:rPr>
                <w:sz w:val="20"/>
              </w:rPr>
              <w:t>Council</w:t>
            </w:r>
            <w:r>
              <w:rPr>
                <w:spacing w:val="28"/>
                <w:sz w:val="20"/>
              </w:rPr>
              <w:t> </w:t>
            </w:r>
            <w:r>
              <w:rPr>
                <w:sz w:val="20"/>
              </w:rPr>
              <w:t>Directive</w:t>
            </w:r>
            <w:r>
              <w:rPr>
                <w:spacing w:val="28"/>
                <w:sz w:val="20"/>
              </w:rPr>
              <w:t> </w:t>
            </w:r>
            <w:r>
              <w:rPr>
                <w:sz w:val="20"/>
              </w:rPr>
              <w:t>78/473</w:t>
            </w:r>
            <w:r>
              <w:rPr>
                <w:spacing w:val="28"/>
                <w:sz w:val="20"/>
              </w:rPr>
              <w:t> </w:t>
            </w:r>
            <w:r>
              <w:rPr>
                <w:sz w:val="20"/>
              </w:rPr>
              <w:t>on</w:t>
            </w:r>
            <w:r>
              <w:rPr>
                <w:spacing w:val="28"/>
                <w:sz w:val="20"/>
              </w:rPr>
              <w:t> </w:t>
            </w:r>
            <w:r>
              <w:rPr>
                <w:sz w:val="20"/>
              </w:rPr>
              <w:t>the</w:t>
            </w:r>
            <w:r>
              <w:rPr>
                <w:spacing w:val="28"/>
                <w:sz w:val="20"/>
              </w:rPr>
              <w:t> </w:t>
            </w:r>
            <w:r>
              <w:rPr>
                <w:sz w:val="20"/>
              </w:rPr>
              <w:t>coordination</w:t>
            </w:r>
            <w:r>
              <w:rPr>
                <w:spacing w:val="28"/>
                <w:sz w:val="20"/>
              </w:rPr>
              <w:t> </w:t>
            </w:r>
            <w:r>
              <w:rPr>
                <w:sz w:val="20"/>
              </w:rPr>
              <w:t>of</w:t>
            </w:r>
            <w:r>
              <w:rPr>
                <w:spacing w:val="28"/>
                <w:sz w:val="20"/>
              </w:rPr>
              <w:t> </w:t>
            </w:r>
            <w:r>
              <w:rPr>
                <w:sz w:val="20"/>
              </w:rPr>
              <w:t>laws,</w:t>
            </w:r>
            <w:r>
              <w:rPr>
                <w:spacing w:val="28"/>
                <w:sz w:val="20"/>
              </w:rPr>
              <w:t> </w:t>
            </w:r>
            <w:r>
              <w:rPr>
                <w:sz w:val="20"/>
              </w:rPr>
              <w:t>regulations</w:t>
            </w:r>
            <w:r>
              <w:rPr>
                <w:spacing w:val="28"/>
                <w:sz w:val="20"/>
              </w:rPr>
              <w:t> </w:t>
            </w:r>
            <w:r>
              <w:rPr>
                <w:sz w:val="20"/>
              </w:rPr>
              <w:t>and administrative provisions relating to community co-insurance [1978] O.J. L151/25.</w:t>
            </w:r>
          </w:p>
        </w:tc>
      </w:tr>
      <w:tr>
        <w:trPr>
          <w:trHeight w:val="465" w:hRule="atLeast"/>
        </w:trPr>
        <w:tc>
          <w:tcPr>
            <w:tcW w:w="496" w:type="dxa"/>
          </w:tcPr>
          <w:p>
            <w:pPr>
              <w:pStyle w:val="TableParagraph"/>
              <w:ind w:left="0" w:right="43"/>
              <w:rPr>
                <w:sz w:val="14"/>
              </w:rPr>
            </w:pPr>
            <w:bookmarkStart w:name="_bookmark1952" w:id="1954"/>
            <w:bookmarkEnd w:id="1954"/>
            <w:r>
              <w:rPr/>
            </w:r>
            <w:hyperlink w:history="true" w:anchor="_bookmark1895">
              <w:r>
                <w:rPr>
                  <w:color w:val="005DA1"/>
                  <w:spacing w:val="-2"/>
                  <w:sz w:val="14"/>
                  <w:u w:val="single" w:color="005DA1"/>
                </w:rPr>
                <w:t>1018</w:t>
              </w:r>
            </w:hyperlink>
            <w:r>
              <w:rPr>
                <w:spacing w:val="-2"/>
                <w:sz w:val="14"/>
              </w:rPr>
              <w:t>.</w:t>
            </w:r>
          </w:p>
        </w:tc>
        <w:tc>
          <w:tcPr>
            <w:tcW w:w="8621" w:type="dxa"/>
          </w:tcPr>
          <w:p>
            <w:pPr>
              <w:pStyle w:val="TableParagraph"/>
              <w:spacing w:before="114"/>
              <w:jc w:val="left"/>
              <w:rPr>
                <w:sz w:val="20"/>
              </w:rPr>
            </w:pPr>
            <w:r>
              <w:rPr>
                <w:sz w:val="20"/>
              </w:rPr>
              <w:t>Within the meaning of the Directive cited in the previous </w:t>
            </w:r>
            <w:r>
              <w:rPr>
                <w:spacing w:val="-2"/>
                <w:sz w:val="20"/>
              </w:rPr>
              <w:t>note.</w:t>
            </w:r>
          </w:p>
        </w:tc>
      </w:tr>
      <w:tr>
        <w:trPr>
          <w:trHeight w:val="344" w:hRule="atLeast"/>
        </w:trPr>
        <w:tc>
          <w:tcPr>
            <w:tcW w:w="496" w:type="dxa"/>
          </w:tcPr>
          <w:p>
            <w:pPr>
              <w:pStyle w:val="TableParagraph"/>
              <w:ind w:left="0" w:right="43"/>
              <w:rPr>
                <w:sz w:val="14"/>
              </w:rPr>
            </w:pPr>
            <w:bookmarkStart w:name="_bookmark1953" w:id="1955"/>
            <w:bookmarkEnd w:id="1955"/>
            <w:r>
              <w:rPr/>
            </w:r>
            <w:hyperlink w:history="true" w:anchor="_bookmark1896">
              <w:r>
                <w:rPr>
                  <w:color w:val="005DA1"/>
                  <w:spacing w:val="-2"/>
                  <w:sz w:val="14"/>
                  <w:u w:val="single" w:color="005DA1"/>
                </w:rPr>
                <w:t>1019</w:t>
              </w:r>
            </w:hyperlink>
            <w:r>
              <w:rPr>
                <w:spacing w:val="-2"/>
                <w:sz w:val="14"/>
              </w:rPr>
              <w:t>.</w:t>
            </w:r>
          </w:p>
        </w:tc>
        <w:tc>
          <w:tcPr>
            <w:tcW w:w="8621" w:type="dxa"/>
          </w:tcPr>
          <w:p>
            <w:pPr>
              <w:pStyle w:val="TableParagraph"/>
              <w:spacing w:line="210" w:lineRule="exact" w:before="114"/>
              <w:jc w:val="left"/>
              <w:rPr>
                <w:sz w:val="20"/>
              </w:rPr>
            </w:pPr>
            <w:r>
              <w:rPr>
                <w:sz w:val="20"/>
              </w:rPr>
              <w:t>cf. Rome I art.7(2), second sub-</w:t>
            </w:r>
            <w:r>
              <w:rPr>
                <w:spacing w:val="-2"/>
                <w:sz w:val="20"/>
              </w:rPr>
              <w:t>paragraph.</w:t>
            </w:r>
          </w:p>
        </w:tc>
      </w:tr>
    </w:tbl>
    <w:p>
      <w:pPr>
        <w:pStyle w:val="TableParagraph"/>
        <w:spacing w:after="0" w:line="210" w:lineRule="exact"/>
        <w:jc w:val="lef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left="0" w:right="43"/>
              <w:rPr>
                <w:sz w:val="14"/>
              </w:rPr>
            </w:pPr>
            <w:hyperlink w:history="true" w:anchor="_bookmark1897">
              <w:r>
                <w:rPr>
                  <w:color w:val="005DA1"/>
                  <w:spacing w:val="-2"/>
                  <w:sz w:val="14"/>
                  <w:u w:val="single" w:color="005DA1"/>
                </w:rPr>
                <w:t>1020</w:t>
              </w:r>
            </w:hyperlink>
            <w:r>
              <w:rPr>
                <w:spacing w:val="-2"/>
                <w:sz w:val="14"/>
              </w:rPr>
              <w:t>.</w:t>
            </w:r>
          </w:p>
        </w:tc>
        <w:tc>
          <w:tcPr>
            <w:tcW w:w="8620" w:type="dxa"/>
          </w:tcPr>
          <w:p>
            <w:pPr>
              <w:pStyle w:val="TableParagraph"/>
              <w:spacing w:line="223" w:lineRule="exact" w:before="0"/>
              <w:jc w:val="left"/>
              <w:rPr>
                <w:sz w:val="20"/>
              </w:rPr>
            </w:pPr>
            <w:r>
              <w:rPr>
                <w:sz w:val="20"/>
              </w:rPr>
              <w:t>cf. </w:t>
            </w:r>
            <w:r>
              <w:rPr>
                <w:rFonts w:ascii="Arial"/>
                <w:i/>
                <w:sz w:val="20"/>
              </w:rPr>
              <w:t>American Motorists Insurance Co v Cellstar Corp [2003] EWCA Civ 206, [2003] I.L.Pr. </w:t>
            </w:r>
            <w:r>
              <w:rPr>
                <w:rFonts w:ascii="Arial"/>
                <w:i/>
                <w:spacing w:val="-4"/>
                <w:sz w:val="20"/>
              </w:rPr>
              <w:t>370</w:t>
            </w:r>
            <w:r>
              <w:rPr>
                <w:spacing w:val="-4"/>
                <w:sz w:val="20"/>
              </w:rPr>
              <w:t>.</w:t>
            </w:r>
          </w:p>
        </w:tc>
      </w:tr>
      <w:tr>
        <w:trPr>
          <w:trHeight w:val="465" w:hRule="atLeast"/>
        </w:trPr>
        <w:tc>
          <w:tcPr>
            <w:tcW w:w="496" w:type="dxa"/>
          </w:tcPr>
          <w:p>
            <w:pPr>
              <w:pStyle w:val="TableParagraph"/>
              <w:ind w:left="0" w:right="43"/>
              <w:rPr>
                <w:sz w:val="14"/>
              </w:rPr>
            </w:pPr>
            <w:bookmarkStart w:name="_bookmark1954" w:id="1956"/>
            <w:bookmarkEnd w:id="1956"/>
            <w:r>
              <w:rPr/>
            </w:r>
            <w:hyperlink w:history="true" w:anchor="_bookmark1898">
              <w:r>
                <w:rPr>
                  <w:color w:val="005DA1"/>
                  <w:spacing w:val="-2"/>
                  <w:sz w:val="14"/>
                  <w:u w:val="single" w:color="005DA1"/>
                </w:rPr>
                <w:t>1021</w:t>
              </w:r>
            </w:hyperlink>
            <w:r>
              <w:rPr>
                <w:spacing w:val="-2"/>
                <w:sz w:val="14"/>
              </w:rPr>
              <w:t>.</w:t>
            </w:r>
          </w:p>
        </w:tc>
        <w:tc>
          <w:tcPr>
            <w:tcW w:w="8620" w:type="dxa"/>
          </w:tcPr>
          <w:p>
            <w:pPr>
              <w:pStyle w:val="TableParagraph"/>
              <w:spacing w:before="114"/>
              <w:jc w:val="left"/>
              <w:rPr>
                <w:sz w:val="20"/>
              </w:rPr>
            </w:pPr>
            <w:r>
              <w:rPr>
                <w:sz w:val="20"/>
              </w:rPr>
              <w:t>See Recital 33 to the Regulation above, paras 30-169 et </w:t>
            </w:r>
            <w:r>
              <w:rPr>
                <w:spacing w:val="-4"/>
                <w:sz w:val="20"/>
              </w:rPr>
              <w:t>seq.</w:t>
            </w:r>
          </w:p>
        </w:tc>
      </w:tr>
      <w:tr>
        <w:trPr>
          <w:trHeight w:val="690" w:hRule="atLeast"/>
        </w:trPr>
        <w:tc>
          <w:tcPr>
            <w:tcW w:w="496" w:type="dxa"/>
          </w:tcPr>
          <w:p>
            <w:pPr>
              <w:pStyle w:val="TableParagraph"/>
              <w:ind w:left="0" w:right="43"/>
              <w:rPr>
                <w:sz w:val="14"/>
              </w:rPr>
            </w:pPr>
            <w:bookmarkStart w:name="_bookmark1955" w:id="1957"/>
            <w:bookmarkEnd w:id="1957"/>
            <w:r>
              <w:rPr/>
            </w:r>
            <w:hyperlink w:history="true" w:anchor="_bookmark1899">
              <w:r>
                <w:rPr>
                  <w:color w:val="005DA1"/>
                  <w:spacing w:val="-2"/>
                  <w:sz w:val="14"/>
                  <w:u w:val="single" w:color="005DA1"/>
                </w:rPr>
                <w:t>1022</w:t>
              </w:r>
            </w:hyperlink>
            <w:r>
              <w:rPr>
                <w:spacing w:val="-2"/>
                <w:sz w:val="14"/>
              </w:rPr>
              <w:t>.</w:t>
            </w:r>
          </w:p>
        </w:tc>
        <w:tc>
          <w:tcPr>
            <w:tcW w:w="8620" w:type="dxa"/>
          </w:tcPr>
          <w:p>
            <w:pPr>
              <w:pStyle w:val="TableParagraph"/>
              <w:spacing w:line="235" w:lineRule="auto" w:before="118"/>
              <w:jc w:val="left"/>
              <w:rPr>
                <w:sz w:val="20"/>
              </w:rPr>
            </w:pPr>
            <w:r>
              <w:rPr>
                <w:sz w:val="20"/>
              </w:rPr>
              <w:t>Unless</w:t>
            </w:r>
            <w:r>
              <w:rPr>
                <w:spacing w:val="23"/>
                <w:sz w:val="20"/>
              </w:rPr>
              <w:t> </w:t>
            </w:r>
            <w:r>
              <w:rPr>
                <w:sz w:val="20"/>
              </w:rPr>
              <w:t>the</w:t>
            </w:r>
            <w:r>
              <w:rPr>
                <w:spacing w:val="23"/>
                <w:sz w:val="20"/>
              </w:rPr>
              <w:t> </w:t>
            </w:r>
            <w:r>
              <w:rPr>
                <w:sz w:val="20"/>
              </w:rPr>
              <w:t>Regulations</w:t>
            </w:r>
            <w:r>
              <w:rPr>
                <w:spacing w:val="23"/>
                <w:sz w:val="20"/>
              </w:rPr>
              <w:t> </w:t>
            </w:r>
            <w:r>
              <w:rPr>
                <w:sz w:val="20"/>
              </w:rPr>
              <w:t>are</w:t>
            </w:r>
            <w:r>
              <w:rPr>
                <w:spacing w:val="23"/>
                <w:sz w:val="20"/>
              </w:rPr>
              <w:t> </w:t>
            </w:r>
            <w:r>
              <w:rPr>
                <w:sz w:val="20"/>
              </w:rPr>
              <w:t>repealed</w:t>
            </w:r>
            <w:r>
              <w:rPr>
                <w:spacing w:val="23"/>
                <w:sz w:val="20"/>
              </w:rPr>
              <w:t> </w:t>
            </w:r>
            <w:r>
              <w:rPr>
                <w:sz w:val="20"/>
              </w:rPr>
              <w:t>consequent</w:t>
            </w:r>
            <w:r>
              <w:rPr>
                <w:spacing w:val="23"/>
                <w:sz w:val="20"/>
              </w:rPr>
              <w:t> </w:t>
            </w:r>
            <w:r>
              <w:rPr>
                <w:sz w:val="20"/>
              </w:rPr>
              <w:t>on</w:t>
            </w:r>
            <w:r>
              <w:rPr>
                <w:spacing w:val="23"/>
                <w:sz w:val="20"/>
              </w:rPr>
              <w:t> </w:t>
            </w:r>
            <w:r>
              <w:rPr>
                <w:sz w:val="20"/>
              </w:rPr>
              <w:t>the</w:t>
            </w:r>
            <w:r>
              <w:rPr>
                <w:spacing w:val="23"/>
                <w:sz w:val="20"/>
              </w:rPr>
              <w:t> </w:t>
            </w:r>
            <w:r>
              <w:rPr>
                <w:sz w:val="20"/>
              </w:rPr>
              <w:t>adoption</w:t>
            </w:r>
            <w:r>
              <w:rPr>
                <w:spacing w:val="23"/>
                <w:sz w:val="20"/>
              </w:rPr>
              <w:t> </w:t>
            </w:r>
            <w:r>
              <w:rPr>
                <w:sz w:val="20"/>
              </w:rPr>
              <w:t>of</w:t>
            </w:r>
            <w:r>
              <w:rPr>
                <w:spacing w:val="23"/>
                <w:sz w:val="20"/>
              </w:rPr>
              <w:t> </w:t>
            </w:r>
            <w:r>
              <w:rPr>
                <w:sz w:val="20"/>
              </w:rPr>
              <w:t>Rome</w:t>
            </w:r>
            <w:r>
              <w:rPr>
                <w:spacing w:val="23"/>
                <w:sz w:val="20"/>
              </w:rPr>
              <w:t> </w:t>
            </w:r>
            <w:r>
              <w:rPr>
                <w:sz w:val="20"/>
              </w:rPr>
              <w:t>I.</w:t>
            </w:r>
            <w:r>
              <w:rPr>
                <w:spacing w:val="23"/>
                <w:sz w:val="20"/>
              </w:rPr>
              <w:t> </w:t>
            </w:r>
            <w:r>
              <w:rPr>
                <w:sz w:val="20"/>
              </w:rPr>
              <w:t>For</w:t>
            </w:r>
            <w:r>
              <w:rPr>
                <w:spacing w:val="23"/>
                <w:sz w:val="20"/>
              </w:rPr>
              <w:t> </w:t>
            </w:r>
            <w:r>
              <w:rPr>
                <w:sz w:val="20"/>
              </w:rPr>
              <w:t>discussion, see Dicey, Morris and Collins 15th edn (2012), paras 33-194—33-200.</w:t>
            </w:r>
          </w:p>
        </w:tc>
      </w:tr>
      <w:tr>
        <w:trPr>
          <w:trHeight w:val="690" w:hRule="atLeast"/>
        </w:trPr>
        <w:tc>
          <w:tcPr>
            <w:tcW w:w="496" w:type="dxa"/>
          </w:tcPr>
          <w:p>
            <w:pPr>
              <w:pStyle w:val="TableParagraph"/>
              <w:ind w:left="0" w:right="43"/>
              <w:rPr>
                <w:sz w:val="14"/>
              </w:rPr>
            </w:pPr>
            <w:bookmarkStart w:name="_bookmark1956" w:id="1958"/>
            <w:bookmarkEnd w:id="1958"/>
            <w:r>
              <w:rPr/>
            </w:r>
            <w:hyperlink w:history="true" w:anchor="_bookmark1900">
              <w:r>
                <w:rPr>
                  <w:color w:val="005DA1"/>
                  <w:spacing w:val="-2"/>
                  <w:sz w:val="14"/>
                  <w:u w:val="single" w:color="005DA1"/>
                </w:rPr>
                <w:t>1023</w:t>
              </w:r>
            </w:hyperlink>
            <w:r>
              <w:rPr>
                <w:spacing w:val="-2"/>
                <w:sz w:val="14"/>
              </w:rPr>
              <w:t>.</w:t>
            </w:r>
          </w:p>
        </w:tc>
        <w:tc>
          <w:tcPr>
            <w:tcW w:w="8620" w:type="dxa"/>
          </w:tcPr>
          <w:p>
            <w:pPr>
              <w:pStyle w:val="TableParagraph"/>
              <w:spacing w:line="235" w:lineRule="auto" w:before="118"/>
              <w:jc w:val="left"/>
              <w:rPr>
                <w:sz w:val="20"/>
              </w:rPr>
            </w:pPr>
            <w:r>
              <w:rPr>
                <w:sz w:val="20"/>
              </w:rPr>
              <w:t>Where the risk is situated in more than one EEA State, the matter will be governed by the 2001 </w:t>
            </w:r>
            <w:r>
              <w:rPr>
                <w:spacing w:val="-2"/>
                <w:sz w:val="20"/>
              </w:rPr>
              <w:t>Regulations.</w:t>
            </w:r>
          </w:p>
        </w:tc>
      </w:tr>
      <w:tr>
        <w:trPr>
          <w:trHeight w:val="344" w:hRule="atLeast"/>
        </w:trPr>
        <w:tc>
          <w:tcPr>
            <w:tcW w:w="496" w:type="dxa"/>
          </w:tcPr>
          <w:p>
            <w:pPr>
              <w:pStyle w:val="TableParagraph"/>
              <w:ind w:left="0" w:right="43"/>
              <w:rPr>
                <w:sz w:val="14"/>
              </w:rPr>
            </w:pPr>
            <w:bookmarkStart w:name="_bookmark1957" w:id="1959"/>
            <w:bookmarkEnd w:id="1959"/>
            <w:r>
              <w:rPr/>
            </w:r>
            <w:hyperlink w:history="true" w:anchor="_bookmark1901">
              <w:r>
                <w:rPr>
                  <w:color w:val="005DA1"/>
                  <w:spacing w:val="-2"/>
                  <w:sz w:val="14"/>
                  <w:u w:val="single" w:color="005DA1"/>
                </w:rPr>
                <w:t>1024</w:t>
              </w:r>
            </w:hyperlink>
            <w:r>
              <w:rPr>
                <w:spacing w:val="-2"/>
                <w:sz w:val="14"/>
              </w:rPr>
              <w:t>.</w:t>
            </w:r>
          </w:p>
        </w:tc>
        <w:tc>
          <w:tcPr>
            <w:tcW w:w="8620" w:type="dxa"/>
          </w:tcPr>
          <w:p>
            <w:pPr>
              <w:pStyle w:val="TableParagraph"/>
              <w:spacing w:line="210" w:lineRule="exact" w:before="114"/>
              <w:jc w:val="left"/>
              <w:rPr>
                <w:sz w:val="20"/>
              </w:rPr>
            </w:pPr>
            <w:r>
              <w:rPr>
                <w:sz w:val="20"/>
              </w:rPr>
              <w:t>Above, para.30-</w:t>
            </w:r>
            <w:r>
              <w:rPr>
                <w:spacing w:val="-4"/>
                <w:sz w:val="20"/>
              </w:rPr>
              <w:t>275.</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spacing w:before="194"/>
        <w:ind w:left="2378" w:right="0" w:firstLine="0"/>
        <w:jc w:val="left"/>
        <w:rPr>
          <w:rFonts w:ascii="Arial"/>
          <w:b/>
          <w:position w:val="11"/>
          <w:sz w:val="12"/>
        </w:rPr>
      </w:pPr>
      <w:bookmarkStart w:name="_bookmark1958" w:id="1960"/>
      <w:bookmarkEnd w:id="1960"/>
      <w:r>
        <w:rPr/>
      </w:r>
      <w:r>
        <w:rPr>
          <w:rFonts w:ascii="Arial"/>
          <w:b/>
          <w:sz w:val="24"/>
        </w:rPr>
        <w:t>(i) - Individual Employment Contracts </w:t>
      </w:r>
      <w:r>
        <w:rPr>
          <w:rFonts w:ascii="Arial"/>
          <w:b/>
          <w:color w:val="005DA1"/>
          <w:spacing w:val="-4"/>
          <w:position w:val="11"/>
          <w:sz w:val="12"/>
          <w:u w:val="single" w:color="005DA1"/>
        </w:rPr>
        <w:t>1025</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165" w:right="0" w:firstLine="0"/>
        <w:jc w:val="left"/>
        <w:rPr>
          <w:rFonts w:ascii="Arial"/>
          <w:b/>
          <w:sz w:val="18"/>
        </w:rPr>
      </w:pPr>
      <w:r>
        <w:rPr>
          <w:rFonts w:ascii="Arial"/>
          <w:b/>
          <w:spacing w:val="-2"/>
          <w:sz w:val="18"/>
        </w:rPr>
        <w:t>Background</w:t>
      </w:r>
    </w:p>
    <w:p>
      <w:pPr>
        <w:pStyle w:val="BodyText"/>
        <w:spacing w:before="42"/>
        <w:rPr>
          <w:rFonts w:ascii="Arial"/>
          <w:b/>
          <w:sz w:val="18"/>
        </w:rPr>
      </w:pPr>
    </w:p>
    <w:p>
      <w:pPr>
        <w:pStyle w:val="Heading2"/>
      </w:pPr>
      <w:r>
        <w:rPr/>
        <w:t>30-</w:t>
      </w:r>
      <w:r>
        <w:rPr>
          <w:spacing w:val="-5"/>
        </w:rPr>
        <w:t>277</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959" w:id="1961"/>
      <w:bookmarkEnd w:id="1961"/>
      <w:r>
        <w:rPr>
          <w:rFonts w:ascii="Times New Roman"/>
          <w:spacing w:val="-15"/>
        </w:rPr>
      </w:r>
      <w:r>
        <w:rPr/>
        <w:t>As regards the Rome Convention, determination of the law applicable to individual </w:t>
      </w:r>
      <w:r>
        <w:rPr/>
        <w:t>employment contracts was governed by art.6 of the Convention. </w:t>
      </w:r>
      <w:r>
        <w:rPr>
          <w:color w:val="005DA1"/>
          <w:u w:val="single" w:color="005DA1"/>
          <w:vertAlign w:val="superscript"/>
        </w:rPr>
        <w:t>1026</w:t>
      </w:r>
      <w:r>
        <w:rPr>
          <w:color w:val="005DA1"/>
          <w:vertAlign w:val="baseline"/>
        </w:rPr>
        <w:t> </w:t>
      </w:r>
      <w:r>
        <w:rPr>
          <w:vertAlign w:val="baseline"/>
        </w:rPr>
        <w:t>Very generally, a choice of law in such a </w:t>
      </w:r>
      <w:bookmarkStart w:name="_bookmark1960" w:id="1962"/>
      <w:bookmarkEnd w:id="1962"/>
      <w:r>
        <w:rPr>
          <w:vertAlign w:val="baseline"/>
        </w:rPr>
        <w:t>contract</w:t>
      </w:r>
      <w:r>
        <w:rPr>
          <w:vertAlign w:val="baseline"/>
        </w:rPr>
        <w:t> could not have the result of depriving the employee of the protection afforded to him by the mandatory rules of the law which would be applicable to the contract in the absence of choice. </w:t>
      </w:r>
      <w:r>
        <w:rPr>
          <w:color w:val="005DA1"/>
          <w:u w:val="single" w:color="005DA1"/>
          <w:vertAlign w:val="superscript"/>
        </w:rPr>
        <w:t>1027</w:t>
      </w:r>
      <w:r>
        <w:rPr>
          <w:color w:val="005DA1"/>
          <w:vertAlign w:val="baseline"/>
        </w:rPr>
        <w:t> </w:t>
      </w:r>
      <w:r>
        <w:rPr>
          <w:vertAlign w:val="baseline"/>
        </w:rPr>
        <w:t>In the absence of choice, an employment contract would be governed by the law of the country in which </w:t>
      </w:r>
      <w:bookmarkStart w:name="_bookmark1961" w:id="1963"/>
      <w:bookmarkEnd w:id="1963"/>
      <w:r>
        <w:rPr>
          <w:vertAlign w:val="baseline"/>
        </w:rPr>
        <w:t>the</w:t>
      </w:r>
      <w:r>
        <w:rPr>
          <w:spacing w:val="-1"/>
          <w:vertAlign w:val="baseline"/>
        </w:rPr>
        <w:t> </w:t>
      </w:r>
      <w:r>
        <w:rPr>
          <w:vertAlign w:val="baseline"/>
        </w:rPr>
        <w:t>employee</w:t>
      </w:r>
      <w:r>
        <w:rPr>
          <w:spacing w:val="-1"/>
          <w:vertAlign w:val="baseline"/>
        </w:rPr>
        <w:t> </w:t>
      </w:r>
      <w:r>
        <w:rPr>
          <w:vertAlign w:val="baseline"/>
        </w:rPr>
        <w:t>habitually</w:t>
      </w:r>
      <w:r>
        <w:rPr>
          <w:spacing w:val="-1"/>
          <w:vertAlign w:val="baseline"/>
        </w:rPr>
        <w:t> </w:t>
      </w:r>
      <w:r>
        <w:rPr>
          <w:vertAlign w:val="baseline"/>
        </w:rPr>
        <w:t>carried</w:t>
      </w:r>
      <w:r>
        <w:rPr>
          <w:spacing w:val="-1"/>
          <w:vertAlign w:val="baseline"/>
        </w:rPr>
        <w:t> </w:t>
      </w:r>
      <w:r>
        <w:rPr>
          <w:vertAlign w:val="baseline"/>
        </w:rPr>
        <w:t>out</w:t>
      </w:r>
      <w:r>
        <w:rPr>
          <w:spacing w:val="-1"/>
          <w:vertAlign w:val="baseline"/>
        </w:rPr>
        <w:t> </w:t>
      </w:r>
      <w:r>
        <w:rPr>
          <w:vertAlign w:val="baseline"/>
        </w:rPr>
        <w:t>his</w:t>
      </w:r>
      <w:r>
        <w:rPr>
          <w:spacing w:val="-1"/>
          <w:vertAlign w:val="baseline"/>
        </w:rPr>
        <w:t> </w:t>
      </w:r>
      <w:r>
        <w:rPr>
          <w:vertAlign w:val="baseline"/>
        </w:rPr>
        <w:t>work</w:t>
      </w:r>
      <w:r>
        <w:rPr>
          <w:spacing w:val="-1"/>
          <w:vertAlign w:val="baseline"/>
        </w:rPr>
        <w:t> </w:t>
      </w:r>
      <w:r>
        <w:rPr>
          <w:vertAlign w:val="baseline"/>
        </w:rPr>
        <w:t>in</w:t>
      </w:r>
      <w:r>
        <w:rPr>
          <w:spacing w:val="-1"/>
          <w:vertAlign w:val="baseline"/>
        </w:rPr>
        <w:t> </w:t>
      </w:r>
      <w:r>
        <w:rPr>
          <w:vertAlign w:val="baseline"/>
        </w:rPr>
        <w:t>performance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even</w:t>
      </w:r>
      <w:r>
        <w:rPr>
          <w:spacing w:val="-1"/>
          <w:vertAlign w:val="baseline"/>
        </w:rPr>
        <w:t> </w:t>
      </w:r>
      <w:r>
        <w:rPr>
          <w:vertAlign w:val="baseline"/>
        </w:rPr>
        <w:t>if</w:t>
      </w:r>
      <w:r>
        <w:rPr>
          <w:spacing w:val="-1"/>
          <w:vertAlign w:val="baseline"/>
        </w:rPr>
        <w:t> </w:t>
      </w:r>
      <w:r>
        <w:rPr>
          <w:vertAlign w:val="baseline"/>
        </w:rPr>
        <w:t>he</w:t>
      </w:r>
      <w:r>
        <w:rPr>
          <w:spacing w:val="-1"/>
          <w:vertAlign w:val="baseline"/>
        </w:rPr>
        <w:t> </w:t>
      </w:r>
      <w:r>
        <w:rPr>
          <w:vertAlign w:val="baseline"/>
        </w:rPr>
        <w:t>was</w:t>
      </w:r>
      <w:r>
        <w:rPr>
          <w:spacing w:val="-1"/>
          <w:vertAlign w:val="baseline"/>
        </w:rPr>
        <w:t> </w:t>
      </w:r>
      <w:r>
        <w:rPr>
          <w:vertAlign w:val="baseline"/>
        </w:rPr>
        <w:t>temporarily employed in another country, </w:t>
      </w:r>
      <w:r>
        <w:rPr>
          <w:color w:val="005DA1"/>
          <w:u w:val="single" w:color="005DA1"/>
          <w:vertAlign w:val="superscript"/>
        </w:rPr>
        <w:t>1028</w:t>
      </w:r>
      <w:r>
        <w:rPr>
          <w:color w:val="005DA1"/>
          <w:vertAlign w:val="baseline"/>
        </w:rPr>
        <w:t> </w:t>
      </w:r>
      <w:r>
        <w:rPr>
          <w:vertAlign w:val="baseline"/>
        </w:rPr>
        <w:t>or, if the employee did not carry out his work in any one country, by </w:t>
      </w:r>
      <w:bookmarkStart w:name="_bookmark1962" w:id="1964"/>
      <w:bookmarkEnd w:id="1964"/>
      <w:r>
        <w:rPr>
          <w:vertAlign w:val="baseline"/>
        </w:rPr>
        <w:t>the</w:t>
      </w:r>
      <w:r>
        <w:rPr>
          <w:vertAlign w:val="baseline"/>
        </w:rPr>
        <w:t> law of the country in which the place of business through which the employee was engaged was </w:t>
      </w:r>
      <w:bookmarkStart w:name="_bookmark1963" w:id="1965"/>
      <w:bookmarkEnd w:id="1965"/>
      <w:r>
        <w:rPr>
          <w:vertAlign w:val="baseline"/>
        </w:rPr>
        <w:t>situated,</w:t>
      </w:r>
      <w:r>
        <w:rPr>
          <w:spacing w:val="-2"/>
          <w:vertAlign w:val="baseline"/>
        </w:rPr>
        <w:t> </w:t>
      </w:r>
      <w:r>
        <w:rPr>
          <w:color w:val="005DA1"/>
          <w:u w:val="single" w:color="005DA1"/>
          <w:vertAlign w:val="superscript"/>
        </w:rPr>
        <w:t>1029</w:t>
      </w:r>
      <w:r>
        <w:rPr>
          <w:color w:val="005DA1"/>
          <w:spacing w:val="-2"/>
          <w:vertAlign w:val="baseline"/>
        </w:rPr>
        <w:t> </w:t>
      </w:r>
      <w:r>
        <w:rPr>
          <w:vertAlign w:val="baseline"/>
        </w:rPr>
        <w:t>unless</w:t>
      </w:r>
      <w:r>
        <w:rPr>
          <w:spacing w:val="-2"/>
          <w:vertAlign w:val="baseline"/>
        </w:rPr>
        <w:t> </w:t>
      </w:r>
      <w:r>
        <w:rPr>
          <w:vertAlign w:val="baseline"/>
        </w:rPr>
        <w:t>it</w:t>
      </w:r>
      <w:r>
        <w:rPr>
          <w:spacing w:val="-2"/>
          <w:vertAlign w:val="baseline"/>
        </w:rPr>
        <w:t> </w:t>
      </w:r>
      <w:r>
        <w:rPr>
          <w:vertAlign w:val="baseline"/>
        </w:rPr>
        <w:t>appeared</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circumstances</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whole</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was</w:t>
      </w:r>
      <w:r>
        <w:rPr>
          <w:spacing w:val="-2"/>
          <w:vertAlign w:val="baseline"/>
        </w:rPr>
        <w:t> </w:t>
      </w:r>
      <w:r>
        <w:rPr>
          <w:vertAlign w:val="baseline"/>
        </w:rPr>
        <w:t>more</w:t>
      </w:r>
      <w:r>
        <w:rPr>
          <w:spacing w:val="-2"/>
          <w:vertAlign w:val="baseline"/>
        </w:rPr>
        <w:t> </w:t>
      </w:r>
      <w:r>
        <w:rPr>
          <w:vertAlign w:val="baseline"/>
        </w:rPr>
        <w:t>closely </w:t>
      </w:r>
      <w:bookmarkStart w:name="_bookmark1964" w:id="1966"/>
      <w:bookmarkEnd w:id="1966"/>
      <w:r>
        <w:rPr>
          <w:vertAlign w:val="baseline"/>
        </w:rPr>
        <w:t>connected</w:t>
      </w:r>
      <w:r>
        <w:rPr>
          <w:vertAlign w:val="baseline"/>
        </w:rPr>
        <w:t> with another country, in which case the contract was governed by the law of that country. </w:t>
      </w:r>
      <w:r>
        <w:rPr>
          <w:color w:val="005DA1"/>
          <w:u w:val="single" w:color="005DA1"/>
          <w:vertAlign w:val="superscript"/>
        </w:rPr>
        <w:t>1030</w:t>
      </w:r>
      <w:r>
        <w:rPr>
          <w:color w:val="005DA1"/>
          <w:vertAlign w:val="baseline"/>
        </w:rPr>
        <w:t> </w:t>
      </w:r>
      <w:r>
        <w:rPr>
          <w:vertAlign w:val="baseline"/>
        </w:rPr>
        <w:t>These choice of law rules were discussed earlier in this chapter. </w:t>
      </w:r>
      <w:r>
        <w:rPr>
          <w:color w:val="005DA1"/>
          <w:u w:val="single" w:color="005DA1"/>
          <w:vertAlign w:val="superscript"/>
        </w:rPr>
        <w:t>1031</w:t>
      </w:r>
      <w:r>
        <w:rPr>
          <w:color w:val="005DA1"/>
          <w:vertAlign w:val="baseline"/>
        </w:rPr>
        <w:t> </w:t>
      </w:r>
      <w:r>
        <w:rPr>
          <w:vertAlign w:val="baseline"/>
        </w:rPr>
        <w:t>In relation to the Rome I Regulation, the relevant choice of law rules are to be found in art.8 of the Regulation. Article 8, essentially</w:t>
      </w:r>
      <w:r>
        <w:rPr>
          <w:spacing w:val="-3"/>
          <w:vertAlign w:val="baseline"/>
        </w:rPr>
        <w:t> </w:t>
      </w:r>
      <w:r>
        <w:rPr>
          <w:vertAlign w:val="baseline"/>
        </w:rPr>
        <w:t>repeats</w:t>
      </w:r>
      <w:r>
        <w:rPr>
          <w:spacing w:val="-3"/>
          <w:vertAlign w:val="baseline"/>
        </w:rPr>
        <w:t> </w:t>
      </w:r>
      <w:r>
        <w:rPr>
          <w:vertAlign w:val="baseline"/>
        </w:rPr>
        <w:t>art.6</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Convention</w:t>
      </w:r>
      <w:r>
        <w:rPr>
          <w:spacing w:val="-3"/>
          <w:vertAlign w:val="baseline"/>
        </w:rPr>
        <w:t> </w:t>
      </w:r>
      <w:r>
        <w:rPr>
          <w:vertAlign w:val="baseline"/>
        </w:rPr>
        <w:t>but</w:t>
      </w:r>
      <w:r>
        <w:rPr>
          <w:spacing w:val="-3"/>
          <w:vertAlign w:val="baseline"/>
        </w:rPr>
        <w:t> </w:t>
      </w:r>
      <w:r>
        <w:rPr>
          <w:vertAlign w:val="baseline"/>
        </w:rPr>
        <w:t>contains</w:t>
      </w:r>
      <w:r>
        <w:rPr>
          <w:spacing w:val="-3"/>
          <w:vertAlign w:val="baseline"/>
        </w:rPr>
        <w:t> </w:t>
      </w:r>
      <w:r>
        <w:rPr>
          <w:vertAlign w:val="baseline"/>
        </w:rPr>
        <w:t>some</w:t>
      </w:r>
      <w:r>
        <w:rPr>
          <w:spacing w:val="-3"/>
          <w:vertAlign w:val="baseline"/>
        </w:rPr>
        <w:t> </w:t>
      </w:r>
      <w:r>
        <w:rPr>
          <w:vertAlign w:val="baseline"/>
        </w:rPr>
        <w:t>clarification</w:t>
      </w:r>
      <w:r>
        <w:rPr>
          <w:spacing w:val="-3"/>
          <w:vertAlign w:val="baseline"/>
        </w:rPr>
        <w:t> </w:t>
      </w:r>
      <w:r>
        <w:rPr>
          <w:vertAlign w:val="baseline"/>
        </w:rPr>
        <w:t>of,</w:t>
      </w:r>
      <w:r>
        <w:rPr>
          <w:spacing w:val="-3"/>
          <w:vertAlign w:val="baseline"/>
        </w:rPr>
        <w:t> </w:t>
      </w:r>
      <w:r>
        <w:rPr>
          <w:vertAlign w:val="baseline"/>
        </w:rPr>
        <w:t>and</w:t>
      </w:r>
      <w:r>
        <w:rPr>
          <w:spacing w:val="-3"/>
          <w:vertAlign w:val="baseline"/>
        </w:rPr>
        <w:t> </w:t>
      </w:r>
      <w:r>
        <w:rPr>
          <w:vertAlign w:val="baseline"/>
        </w:rPr>
        <w:t>different</w:t>
      </w:r>
      <w:r>
        <w:rPr>
          <w:spacing w:val="-3"/>
          <w:vertAlign w:val="baseline"/>
        </w:rPr>
        <w:t> </w:t>
      </w:r>
      <w:r>
        <w:rPr>
          <w:vertAlign w:val="baseline"/>
        </w:rPr>
        <w:t>terminology </w:t>
      </w:r>
      <w:bookmarkStart w:name="_bookmark1965" w:id="1967"/>
      <w:bookmarkEnd w:id="1967"/>
      <w:r>
        <w:rPr>
          <w:vertAlign w:val="baseline"/>
        </w:rPr>
        <w:t>to,</w:t>
      </w:r>
      <w:r>
        <w:rPr>
          <w:vertAlign w:val="baseline"/>
        </w:rPr>
        <w:t> the latter provision. The philosophy behind art.8, is, however, identical to that behind art.6 of the Convention. </w:t>
      </w:r>
      <w:r>
        <w:rPr>
          <w:color w:val="005DA1"/>
          <w:u w:val="single" w:color="005DA1"/>
          <w:vertAlign w:val="superscript"/>
        </w:rPr>
        <w:t>1032</w:t>
      </w:r>
    </w:p>
    <w:p>
      <w:pPr>
        <w:pStyle w:val="BodyText"/>
      </w:pPr>
    </w:p>
    <w:p>
      <w:pPr>
        <w:pStyle w:val="BodyText"/>
        <w:spacing w:before="33"/>
      </w:pPr>
    </w:p>
    <w:p>
      <w:pPr>
        <w:spacing w:before="0"/>
        <w:ind w:left="164" w:right="0" w:firstLine="0"/>
        <w:jc w:val="both"/>
        <w:rPr>
          <w:rFonts w:ascii="Arial"/>
          <w:b/>
          <w:sz w:val="18"/>
        </w:rPr>
      </w:pPr>
      <w:r>
        <w:rPr>
          <w:rFonts w:ascii="Arial"/>
          <w:b/>
          <w:sz w:val="18"/>
        </w:rPr>
        <w:t>Structure of </w:t>
      </w:r>
      <w:r>
        <w:rPr>
          <w:rFonts w:ascii="Arial"/>
          <w:b/>
          <w:spacing w:val="-2"/>
          <w:sz w:val="18"/>
        </w:rPr>
        <w:t>art.8</w:t>
      </w:r>
    </w:p>
    <w:p>
      <w:pPr>
        <w:pStyle w:val="BodyText"/>
        <w:spacing w:before="41"/>
        <w:rPr>
          <w:rFonts w:ascii="Arial"/>
          <w:b/>
          <w:sz w:val="18"/>
        </w:rPr>
      </w:pPr>
    </w:p>
    <w:p>
      <w:pPr>
        <w:pStyle w:val="Heading2"/>
        <w:spacing w:before="1"/>
        <w:ind w:left="164"/>
      </w:pPr>
      <w:r>
        <w:rPr/>
        <w:t>30-</w:t>
      </w:r>
      <w:r>
        <w:rPr>
          <w:spacing w:val="-5"/>
        </w:rPr>
        <w:t>278</w:t>
      </w:r>
    </w:p>
    <w:p>
      <w:pPr>
        <w:pStyle w:val="BodyText"/>
        <w:spacing w:line="235" w:lineRule="auto" w:before="202"/>
        <w:ind w:left="164" w:right="167"/>
        <w:jc w:val="both"/>
      </w:pPr>
      <w:r>
        <w:rPr/>
        <w:t>Article 8(1) provides a general rule allowing the parties to choose the governing law, but stipulates</w:t>
      </w:r>
      <w:r>
        <w:rPr>
          <w:spacing w:val="40"/>
        </w:rPr>
        <w:t> </w:t>
      </w:r>
      <w:r>
        <w:rPr/>
        <w:t>that the choice of law may not have the result of depriving the employee of the protection afforded to </w:t>
      </w:r>
      <w:bookmarkStart w:name="_bookmark1966" w:id="1968"/>
      <w:bookmarkEnd w:id="1968"/>
      <w:r>
        <w:rPr/>
        <w:t>him</w:t>
      </w:r>
      <w:r>
        <w:rPr/>
        <w:t> by provisions which cannot be derogated from by agreement which are contained in the law that </w:t>
      </w:r>
      <w:bookmarkStart w:name="_bookmark1967" w:id="1969"/>
      <w:bookmarkEnd w:id="1969"/>
      <w:r>
        <w:rPr/>
        <w:t>would</w:t>
      </w:r>
      <w:r>
        <w:rPr>
          <w:spacing w:val="-3"/>
        </w:rPr>
        <w:t> </w:t>
      </w:r>
      <w:r>
        <w:rPr/>
        <w:t>be</w:t>
      </w:r>
      <w:r>
        <w:rPr>
          <w:spacing w:val="-3"/>
        </w:rPr>
        <w:t> </w:t>
      </w:r>
      <w:r>
        <w:rPr/>
        <w:t>applicable</w:t>
      </w:r>
      <w:r>
        <w:rPr>
          <w:spacing w:val="-3"/>
        </w:rPr>
        <w:t> </w:t>
      </w:r>
      <w:r>
        <w:rPr/>
        <w:t>in</w:t>
      </w:r>
      <w:r>
        <w:rPr>
          <w:spacing w:val="-3"/>
        </w:rPr>
        <w:t> </w:t>
      </w:r>
      <w:r>
        <w:rPr/>
        <w:t>the</w:t>
      </w:r>
      <w:r>
        <w:rPr>
          <w:spacing w:val="-3"/>
        </w:rPr>
        <w:t> </w:t>
      </w:r>
      <w:r>
        <w:rPr/>
        <w:t>absence</w:t>
      </w:r>
      <w:r>
        <w:rPr>
          <w:spacing w:val="-3"/>
        </w:rPr>
        <w:t> </w:t>
      </w:r>
      <w:r>
        <w:rPr/>
        <w:t>of</w:t>
      </w:r>
      <w:r>
        <w:rPr>
          <w:spacing w:val="-3"/>
        </w:rPr>
        <w:t> </w:t>
      </w:r>
      <w:r>
        <w:rPr/>
        <w:t>choice.</w:t>
      </w:r>
      <w:r>
        <w:rPr>
          <w:spacing w:val="-4"/>
        </w:rPr>
        <w:t> </w:t>
      </w:r>
      <w:r>
        <w:rPr>
          <w:color w:val="005DA1"/>
          <w:u w:val="single" w:color="005DA1"/>
          <w:vertAlign w:val="superscript"/>
        </w:rPr>
        <w:t>1033</w:t>
      </w:r>
      <w:r>
        <w:rPr>
          <w:color w:val="005DA1"/>
          <w:spacing w:val="-3"/>
          <w:vertAlign w:val="baseline"/>
        </w:rPr>
        <w:t> </w:t>
      </w:r>
      <w:r>
        <w:rPr>
          <w:vertAlign w:val="baseline"/>
        </w:rPr>
        <w:t>Article</w:t>
      </w:r>
      <w:r>
        <w:rPr>
          <w:spacing w:val="-3"/>
          <w:vertAlign w:val="baseline"/>
        </w:rPr>
        <w:t> </w:t>
      </w:r>
      <w:r>
        <w:rPr>
          <w:vertAlign w:val="baseline"/>
        </w:rPr>
        <w:t>8(2),</w:t>
      </w:r>
      <w:r>
        <w:rPr>
          <w:spacing w:val="-3"/>
          <w:vertAlign w:val="baseline"/>
        </w:rPr>
        <w:t> </w:t>
      </w:r>
      <w:r>
        <w:rPr>
          <w:vertAlign w:val="baseline"/>
        </w:rPr>
        <w:t>(3)</w:t>
      </w:r>
      <w:r>
        <w:rPr>
          <w:spacing w:val="-3"/>
          <w:vertAlign w:val="baseline"/>
        </w:rPr>
        <w:t> </w:t>
      </w:r>
      <w:r>
        <w:rPr>
          <w:vertAlign w:val="baseline"/>
        </w:rPr>
        <w:t>and</w:t>
      </w:r>
      <w:r>
        <w:rPr>
          <w:spacing w:val="-3"/>
          <w:vertAlign w:val="baseline"/>
        </w:rPr>
        <w:t> </w:t>
      </w:r>
      <w:r>
        <w:rPr>
          <w:vertAlign w:val="baseline"/>
        </w:rPr>
        <w:t>(4)</w:t>
      </w:r>
      <w:r>
        <w:rPr>
          <w:spacing w:val="-3"/>
          <w:vertAlign w:val="baseline"/>
        </w:rPr>
        <w:t> </w:t>
      </w:r>
      <w:r>
        <w:rPr>
          <w:vertAlign w:val="baseline"/>
        </w:rPr>
        <w:t>provide</w:t>
      </w:r>
      <w:r>
        <w:rPr>
          <w:spacing w:val="-3"/>
          <w:vertAlign w:val="baseline"/>
        </w:rPr>
        <w:t> </w:t>
      </w:r>
      <w:r>
        <w:rPr>
          <w:vertAlign w:val="baseline"/>
        </w:rPr>
        <w:t>the</w:t>
      </w:r>
      <w:r>
        <w:rPr>
          <w:spacing w:val="-3"/>
          <w:vertAlign w:val="baseline"/>
        </w:rPr>
        <w:t> </w:t>
      </w:r>
      <w:r>
        <w:rPr>
          <w:vertAlign w:val="baseline"/>
        </w:rPr>
        <w:t>relevant</w:t>
      </w:r>
      <w:r>
        <w:rPr>
          <w:spacing w:val="-3"/>
          <w:vertAlign w:val="baseline"/>
        </w:rPr>
        <w:t> </w:t>
      </w:r>
      <w:r>
        <w:rPr>
          <w:vertAlign w:val="baseline"/>
        </w:rPr>
        <w:t>rules</w:t>
      </w:r>
      <w:r>
        <w:rPr>
          <w:spacing w:val="-3"/>
          <w:vertAlign w:val="baseline"/>
        </w:rPr>
        <w:t> </w:t>
      </w:r>
      <w:r>
        <w:rPr>
          <w:vertAlign w:val="baseline"/>
        </w:rPr>
        <w:t>for </w:t>
      </w:r>
      <w:bookmarkStart w:name="_bookmark1968" w:id="1970"/>
      <w:bookmarkEnd w:id="1970"/>
      <w:r>
        <w:rPr>
          <w:vertAlign w:val="baseline"/>
        </w:rPr>
        <w:t>determining</w:t>
      </w:r>
      <w:r>
        <w:rPr>
          <w:spacing w:val="-3"/>
          <w:vertAlign w:val="baseline"/>
        </w:rPr>
        <w:t> </w:t>
      </w:r>
      <w:r>
        <w:rPr>
          <w:vertAlign w:val="baseline"/>
        </w:rPr>
        <w:t>the</w:t>
      </w:r>
      <w:r>
        <w:rPr>
          <w:spacing w:val="-3"/>
          <w:vertAlign w:val="baseline"/>
        </w:rPr>
        <w:t> </w:t>
      </w:r>
      <w:r>
        <w:rPr>
          <w:vertAlign w:val="baseline"/>
        </w:rPr>
        <w:t>law</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applied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absence</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choice</w:t>
      </w:r>
      <w:r>
        <w:rPr>
          <w:spacing w:val="-3"/>
          <w:vertAlign w:val="baseline"/>
        </w:rPr>
        <w:t> </w:t>
      </w:r>
      <w:r>
        <w:rPr>
          <w:vertAlign w:val="baseline"/>
        </w:rPr>
        <w:t>of</w:t>
      </w:r>
      <w:r>
        <w:rPr>
          <w:spacing w:val="-3"/>
          <w:vertAlign w:val="baseline"/>
        </w:rPr>
        <w:t> </w:t>
      </w:r>
      <w:r>
        <w:rPr>
          <w:vertAlign w:val="baseline"/>
        </w:rPr>
        <w:t>law.</w:t>
      </w:r>
      <w:r>
        <w:rPr>
          <w:spacing w:val="-3"/>
          <w:vertAlign w:val="baseline"/>
        </w:rPr>
        <w:t> </w:t>
      </w:r>
      <w:r>
        <w:rPr>
          <w:color w:val="005DA1"/>
          <w:u w:val="single" w:color="005DA1"/>
          <w:vertAlign w:val="superscript"/>
        </w:rPr>
        <w:t>1034</w:t>
      </w:r>
      <w:r>
        <w:rPr>
          <w:color w:val="005DA1"/>
          <w:spacing w:val="-3"/>
          <w:vertAlign w:val="baseline"/>
        </w:rPr>
        <w:t> </w:t>
      </w:r>
      <w:r>
        <w:rPr>
          <w:vertAlign w:val="baseline"/>
        </w:rPr>
        <w:t>This</w:t>
      </w:r>
      <w:r>
        <w:rPr>
          <w:spacing w:val="-3"/>
          <w:vertAlign w:val="baseline"/>
        </w:rPr>
        <w:t> </w:t>
      </w:r>
      <w:r>
        <w:rPr>
          <w:vertAlign w:val="baseline"/>
        </w:rPr>
        <w:t>structure</w:t>
      </w:r>
      <w:r>
        <w:rPr>
          <w:spacing w:val="-3"/>
          <w:vertAlign w:val="baseline"/>
        </w:rPr>
        <w:t> </w:t>
      </w:r>
      <w:r>
        <w:rPr>
          <w:vertAlign w:val="baseline"/>
        </w:rPr>
        <w:t>strongly</w:t>
      </w:r>
      <w:r>
        <w:rPr>
          <w:spacing w:val="-3"/>
          <w:vertAlign w:val="baseline"/>
        </w:rPr>
        <w:t> </w:t>
      </w:r>
      <w:r>
        <w:rPr>
          <w:vertAlign w:val="baseline"/>
        </w:rPr>
        <w:t>reflects that of art.6 of the Rome Convention, as discussed in section 3 of this chapter. </w:t>
      </w:r>
      <w:r>
        <w:rPr>
          <w:color w:val="005DA1"/>
          <w:u w:val="single" w:color="005DA1"/>
          <w:vertAlign w:val="superscript"/>
        </w:rPr>
        <w:t>1035</w:t>
      </w:r>
      <w:r>
        <w:rPr>
          <w:color w:val="005DA1"/>
          <w:vertAlign w:val="baseline"/>
        </w:rPr>
        <w:t> </w:t>
      </w:r>
      <w:r>
        <w:rPr>
          <w:vertAlign w:val="baseline"/>
        </w:rPr>
        <w:t>The following paragraphs describe the main features of art.8 of the Regulation, concentrating in particular on any differences between art.8 and art.6 of the Convention.</w:t>
      </w:r>
    </w:p>
    <w:p>
      <w:pPr>
        <w:pStyle w:val="BodyText"/>
      </w:pPr>
    </w:p>
    <w:p>
      <w:pPr>
        <w:pStyle w:val="BodyText"/>
        <w:spacing w:before="36"/>
      </w:pPr>
    </w:p>
    <w:p>
      <w:pPr>
        <w:spacing w:before="0"/>
        <w:ind w:left="165" w:right="0" w:firstLine="0"/>
        <w:jc w:val="left"/>
        <w:rPr>
          <w:rFonts w:ascii="Arial"/>
          <w:b/>
          <w:sz w:val="18"/>
        </w:rPr>
      </w:pPr>
      <w:r>
        <w:rPr>
          <w:rFonts w:ascii="Arial"/>
          <w:b/>
          <w:sz w:val="18"/>
        </w:rPr>
        <w:t>Meaning of individual employment </w:t>
      </w:r>
      <w:r>
        <w:rPr>
          <w:rFonts w:ascii="Arial"/>
          <w:b/>
          <w:spacing w:val="-2"/>
          <w:sz w:val="18"/>
        </w:rPr>
        <w:t>contract</w:t>
      </w:r>
    </w:p>
    <w:p>
      <w:pPr>
        <w:pStyle w:val="BodyText"/>
        <w:spacing w:before="41"/>
        <w:rPr>
          <w:rFonts w:ascii="Arial"/>
          <w:b/>
          <w:sz w:val="18"/>
        </w:rPr>
      </w:pPr>
    </w:p>
    <w:p>
      <w:pPr>
        <w:pStyle w:val="Heading2"/>
      </w:pPr>
      <w:r>
        <w:rPr/>
        <w:t>30-</w:t>
      </w:r>
      <w:r>
        <w:rPr>
          <w:spacing w:val="-5"/>
        </w:rPr>
        <w:t>279</w:t>
      </w:r>
    </w:p>
    <w:p>
      <w:pPr>
        <w:pStyle w:val="BodyText"/>
        <w:spacing w:before="93"/>
        <w:rPr>
          <w:rFonts w:ascii="Arial"/>
          <w:b/>
        </w:rPr>
      </w:pPr>
    </w:p>
    <w:p>
      <w:pPr>
        <w:pStyle w:val="BodyText"/>
        <w:spacing w:line="235" w:lineRule="auto"/>
        <w:ind w:left="165"/>
      </w:pPr>
      <w:r>
        <w:rPr>
          <w:position w:val="-2"/>
        </w:rPr>
        <w:drawing>
          <wp:inline distT="0" distB="0" distL="0" distR="0">
            <wp:extent cx="107988" cy="10798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969" w:id="1971"/>
      <w:bookmarkEnd w:id="1971"/>
      <w:r>
        <w:rPr>
          <w:rFonts w:ascii="Times New Roman" w:hAnsi="Times New Roman"/>
          <w:spacing w:val="10"/>
        </w:rPr>
      </w:r>
      <w:r>
        <w:rPr/>
        <w:t>Whatever the position is under art.6 of the Rome Convention, </w:t>
      </w:r>
      <w:r>
        <w:rPr>
          <w:color w:val="005DA1"/>
          <w:u w:val="single" w:color="005DA1"/>
          <w:vertAlign w:val="superscript"/>
        </w:rPr>
        <w:t>1036</w:t>
      </w:r>
      <w:r>
        <w:rPr>
          <w:color w:val="005DA1"/>
          <w:vertAlign w:val="baseline"/>
        </w:rPr>
        <w:t> </w:t>
      </w:r>
      <w:r>
        <w:rPr>
          <w:vertAlign w:val="baseline"/>
        </w:rPr>
        <w:t>there can be no doubt that under </w:t>
      </w:r>
      <w:bookmarkStart w:name="_bookmark1970" w:id="1972"/>
      <w:bookmarkEnd w:id="1972"/>
      <w:r>
        <w:rPr>
          <w:vertAlign w:val="baseline"/>
        </w:rPr>
        <w:t>art.8</w:t>
      </w:r>
      <w:r>
        <w:rPr>
          <w:spacing w:val="44"/>
          <w:vertAlign w:val="baseline"/>
        </w:rPr>
        <w:t> </w:t>
      </w:r>
      <w:r>
        <w:rPr>
          <w:vertAlign w:val="baseline"/>
        </w:rPr>
        <w:t>of</w:t>
      </w:r>
      <w:r>
        <w:rPr>
          <w:spacing w:val="44"/>
          <w:vertAlign w:val="baseline"/>
        </w:rPr>
        <w:t> </w:t>
      </w:r>
      <w:r>
        <w:rPr>
          <w:vertAlign w:val="baseline"/>
        </w:rPr>
        <w:t>the</w:t>
      </w:r>
      <w:r>
        <w:rPr>
          <w:spacing w:val="44"/>
          <w:vertAlign w:val="baseline"/>
        </w:rPr>
        <w:t> </w:t>
      </w:r>
      <w:r>
        <w:rPr>
          <w:vertAlign w:val="baseline"/>
        </w:rPr>
        <w:t>Rome</w:t>
      </w:r>
      <w:r>
        <w:rPr>
          <w:spacing w:val="44"/>
          <w:vertAlign w:val="baseline"/>
        </w:rPr>
        <w:t> </w:t>
      </w:r>
      <w:r>
        <w:rPr>
          <w:vertAlign w:val="baseline"/>
        </w:rPr>
        <w:t>I</w:t>
      </w:r>
      <w:r>
        <w:rPr>
          <w:spacing w:val="44"/>
          <w:vertAlign w:val="baseline"/>
        </w:rPr>
        <w:t> </w:t>
      </w:r>
      <w:r>
        <w:rPr>
          <w:vertAlign w:val="baseline"/>
        </w:rPr>
        <w:t>Regulation</w:t>
      </w:r>
      <w:r>
        <w:rPr>
          <w:spacing w:val="44"/>
          <w:vertAlign w:val="baseline"/>
        </w:rPr>
        <w:t> </w:t>
      </w:r>
      <w:r>
        <w:rPr>
          <w:vertAlign w:val="baseline"/>
        </w:rPr>
        <w:t>the</w:t>
      </w:r>
      <w:r>
        <w:rPr>
          <w:spacing w:val="44"/>
          <w:vertAlign w:val="baseline"/>
        </w:rPr>
        <w:t> </w:t>
      </w:r>
      <w:r>
        <w:rPr>
          <w:vertAlign w:val="baseline"/>
        </w:rPr>
        <w:t>expression</w:t>
      </w:r>
      <w:r>
        <w:rPr>
          <w:spacing w:val="44"/>
          <w:vertAlign w:val="baseline"/>
        </w:rPr>
        <w:t> </w:t>
      </w:r>
      <w:r>
        <w:rPr>
          <w:vertAlign w:val="baseline"/>
        </w:rPr>
        <w:t>“individual</w:t>
      </w:r>
      <w:r>
        <w:rPr>
          <w:spacing w:val="44"/>
          <w:vertAlign w:val="baseline"/>
        </w:rPr>
        <w:t> </w:t>
      </w:r>
      <w:r>
        <w:rPr>
          <w:vertAlign w:val="baseline"/>
        </w:rPr>
        <w:t>employment</w:t>
      </w:r>
      <w:r>
        <w:rPr>
          <w:spacing w:val="44"/>
          <w:vertAlign w:val="baseline"/>
        </w:rPr>
        <w:t> </w:t>
      </w:r>
      <w:r>
        <w:rPr>
          <w:vertAlign w:val="baseline"/>
        </w:rPr>
        <w:t>contract”</w:t>
      </w:r>
      <w:r>
        <w:rPr>
          <w:spacing w:val="44"/>
          <w:vertAlign w:val="baseline"/>
        </w:rPr>
        <w:t> </w:t>
      </w:r>
      <w:r>
        <w:rPr>
          <w:vertAlign w:val="baseline"/>
        </w:rPr>
        <w:t>will</w:t>
      </w:r>
      <w:r>
        <w:rPr>
          <w:spacing w:val="44"/>
          <w:vertAlign w:val="baseline"/>
        </w:rPr>
        <w:t> </w:t>
      </w:r>
      <w:r>
        <w:rPr>
          <w:vertAlign w:val="baseline"/>
        </w:rPr>
        <w:t>be</w:t>
      </w:r>
      <w:r>
        <w:rPr>
          <w:spacing w:val="44"/>
          <w:vertAlign w:val="baseline"/>
        </w:rPr>
        <w:t> </w:t>
      </w:r>
      <w:r>
        <w:rPr>
          <w:vertAlign w:val="baseline"/>
        </w:rPr>
        <w:t>given</w:t>
      </w:r>
      <w:r>
        <w:rPr>
          <w:spacing w:val="44"/>
          <w:vertAlign w:val="baseline"/>
        </w:rPr>
        <w:t> </w:t>
      </w:r>
      <w:r>
        <w:rPr>
          <w:spacing w:val="-5"/>
          <w:vertAlign w:val="baseline"/>
        </w:rPr>
        <w:t>an</w:t>
      </w:r>
    </w:p>
    <w:p>
      <w:pPr>
        <w:pStyle w:val="BodyText"/>
        <w:spacing w:after="0" w:line="235" w:lineRule="auto"/>
        <w:sectPr>
          <w:headerReference w:type="default" r:id="rId24"/>
          <w:pgSz w:w="11900" w:h="16840"/>
          <w:pgMar w:header="971" w:footer="0" w:top="1300" w:bottom="280" w:left="1275" w:right="1275"/>
          <w:pgNumType w:start="1"/>
        </w:sectPr>
      </w:pPr>
    </w:p>
    <w:p>
      <w:pPr>
        <w:pStyle w:val="BodyText"/>
      </w:pPr>
    </w:p>
    <w:p>
      <w:pPr>
        <w:pStyle w:val="BodyText"/>
        <w:spacing w:line="235" w:lineRule="auto"/>
        <w:ind w:left="165" w:right="167"/>
        <w:jc w:val="both"/>
      </w:pPr>
      <w:r>
        <w:rPr>
          <w:position w:val="-2"/>
        </w:rPr>
        <w:drawing>
          <wp:inline distT="0" distB="0" distL="0" distR="0">
            <wp:extent cx="107988" cy="107988"/>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971" w:id="1973"/>
      <w:bookmarkEnd w:id="1973"/>
      <w:r>
        <w:rPr>
          <w:rFonts w:ascii="Times New Roman"/>
          <w:spacing w:val="8"/>
        </w:rPr>
      </w:r>
      <w:r>
        <w:rPr/>
        <w:t>Further, that meaning should correspond, so far as possible, with the meaning given to the expression in the context of the Judgments Regulation recast. </w:t>
      </w:r>
      <w:r>
        <w:rPr>
          <w:color w:val="005DA1"/>
          <w:u w:val="single" w:color="005DA1"/>
          <w:vertAlign w:val="superscript"/>
        </w:rPr>
        <w:t>1038</w:t>
      </w:r>
      <w:r>
        <w:rPr>
          <w:color w:val="005DA1"/>
          <w:vertAlign w:val="baseline"/>
        </w:rPr>
        <w:t> </w:t>
      </w:r>
      <w:r>
        <w:rPr>
          <w:vertAlign w:val="baseline"/>
        </w:rPr>
        <w:t>What the particular meaning will </w:t>
      </w:r>
      <w:bookmarkStart w:name="_bookmark1972" w:id="1974"/>
      <w:bookmarkEnd w:id="1974"/>
      <w:r>
        <w:rPr>
          <w:vertAlign w:val="baseline"/>
        </w:rPr>
        <w:t>turn</w:t>
      </w:r>
      <w:r>
        <w:rPr>
          <w:vertAlign w:val="baseline"/>
        </w:rPr>
        <w:t> out to be may depend on the circumstances of the case but the following considerations </w:t>
      </w:r>
      <w:r>
        <w:rPr>
          <w:vertAlign w:val="baseline"/>
        </w:rPr>
        <w:t>may</w:t>
      </w:r>
      <w:r>
        <w:rPr>
          <w:spacing w:val="40"/>
          <w:vertAlign w:val="baseline"/>
        </w:rPr>
        <w:t> </w:t>
      </w:r>
      <w:r>
        <w:rPr>
          <w:vertAlign w:val="baseline"/>
        </w:rPr>
        <w:t>form the broad contours of an autonomous meaning. </w:t>
      </w:r>
      <w:r>
        <w:rPr>
          <w:color w:val="005DA1"/>
          <w:u w:val="single" w:color="005DA1"/>
          <w:vertAlign w:val="superscript"/>
        </w:rPr>
        <w:t>1039</w:t>
      </w:r>
      <w:r>
        <w:rPr>
          <w:color w:val="005DA1"/>
          <w:vertAlign w:val="baseline"/>
        </w:rPr>
        <w:t> </w:t>
      </w:r>
      <w:r>
        <w:rPr>
          <w:vertAlign w:val="baseline"/>
        </w:rPr>
        <w:t>The first criterion identifying a contract of employment is the provision of services by one party over a period of time for which remuneration is paid;</w:t>
      </w:r>
      <w:r>
        <w:rPr>
          <w:spacing w:val="-1"/>
          <w:vertAlign w:val="baseline"/>
        </w:rPr>
        <w:t> </w:t>
      </w:r>
      <w:r>
        <w:rPr>
          <w:vertAlign w:val="baseline"/>
        </w:rPr>
        <w:t>the</w:t>
      </w:r>
      <w:r>
        <w:rPr>
          <w:spacing w:val="-1"/>
          <w:vertAlign w:val="baseline"/>
        </w:rPr>
        <w:t> </w:t>
      </w:r>
      <w:r>
        <w:rPr>
          <w:vertAlign w:val="baseline"/>
        </w:rPr>
        <w:t>second</w:t>
      </w:r>
      <w:r>
        <w:rPr>
          <w:spacing w:val="-1"/>
          <w:vertAlign w:val="baseline"/>
        </w:rPr>
        <w:t> </w:t>
      </w:r>
      <w:r>
        <w:rPr>
          <w:vertAlign w:val="baseline"/>
        </w:rPr>
        <w:t>criterion</w:t>
      </w:r>
      <w:r>
        <w:rPr>
          <w:spacing w:val="-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existence</w:t>
      </w:r>
      <w:r>
        <w:rPr>
          <w:spacing w:val="-1"/>
          <w:vertAlign w:val="baseline"/>
        </w:rPr>
        <w:t> </w:t>
      </w:r>
      <w:r>
        <w:rPr>
          <w:vertAlign w:val="baseline"/>
        </w:rPr>
        <w:t>of</w:t>
      </w:r>
      <w:r>
        <w:rPr>
          <w:spacing w:val="-1"/>
          <w:vertAlign w:val="baseline"/>
        </w:rPr>
        <w:t> </w:t>
      </w:r>
      <w:r>
        <w:rPr>
          <w:vertAlign w:val="baseline"/>
        </w:rPr>
        <w:t>control</w:t>
      </w:r>
      <w:r>
        <w:rPr>
          <w:spacing w:val="-1"/>
          <w:vertAlign w:val="baseline"/>
        </w:rPr>
        <w:t> </w:t>
      </w:r>
      <w:r>
        <w:rPr>
          <w:vertAlign w:val="baseline"/>
        </w:rPr>
        <w:t>and</w:t>
      </w:r>
      <w:r>
        <w:rPr>
          <w:spacing w:val="-1"/>
          <w:vertAlign w:val="baseline"/>
        </w:rPr>
        <w:t> </w:t>
      </w:r>
      <w:r>
        <w:rPr>
          <w:vertAlign w:val="baseline"/>
        </w:rPr>
        <w:t>direction</w:t>
      </w:r>
      <w:r>
        <w:rPr>
          <w:spacing w:val="-1"/>
          <w:vertAlign w:val="baseline"/>
        </w:rPr>
        <w:t> </w:t>
      </w:r>
      <w:r>
        <w:rPr>
          <w:vertAlign w:val="baseline"/>
        </w:rPr>
        <w:t>over</w:t>
      </w:r>
      <w:r>
        <w:rPr>
          <w:spacing w:val="-1"/>
          <w:vertAlign w:val="baseline"/>
        </w:rPr>
        <w:t> </w:t>
      </w:r>
      <w:r>
        <w:rPr>
          <w:vertAlign w:val="baseline"/>
        </w:rPr>
        <w:t>the</w:t>
      </w:r>
      <w:r>
        <w:rPr>
          <w:spacing w:val="-1"/>
          <w:vertAlign w:val="baseline"/>
        </w:rPr>
        <w:t> </w:t>
      </w:r>
      <w:r>
        <w:rPr>
          <w:vertAlign w:val="baseline"/>
        </w:rPr>
        <w:t>provision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services</w:t>
      </w:r>
      <w:r>
        <w:rPr>
          <w:spacing w:val="-1"/>
          <w:vertAlign w:val="baseline"/>
        </w:rPr>
        <w:t> </w:t>
      </w:r>
      <w:r>
        <w:rPr>
          <w:vertAlign w:val="baseline"/>
        </w:rPr>
        <w:t>by </w:t>
      </w:r>
      <w:bookmarkStart w:name="_bookmark1973" w:id="1975"/>
      <w:bookmarkEnd w:id="1975"/>
      <w:r>
        <w:rPr>
          <w:vertAlign w:val="baseline"/>
        </w:rPr>
        <w:t>the</w:t>
      </w:r>
      <w:r>
        <w:rPr>
          <w:spacing w:val="21"/>
          <w:vertAlign w:val="baseline"/>
        </w:rPr>
        <w:t> </w:t>
      </w:r>
      <w:r>
        <w:rPr>
          <w:vertAlign w:val="baseline"/>
        </w:rPr>
        <w:t>counterparty;</w:t>
      </w:r>
      <w:r>
        <w:rPr>
          <w:spacing w:val="21"/>
          <w:vertAlign w:val="baseline"/>
        </w:rPr>
        <w:t> </w:t>
      </w:r>
      <w:r>
        <w:rPr>
          <w:vertAlign w:val="baseline"/>
        </w:rPr>
        <w:t>and</w:t>
      </w:r>
      <w:r>
        <w:rPr>
          <w:spacing w:val="21"/>
          <w:vertAlign w:val="baseline"/>
        </w:rPr>
        <w:t> </w:t>
      </w:r>
      <w:r>
        <w:rPr>
          <w:vertAlign w:val="baseline"/>
        </w:rPr>
        <w:t>the</w:t>
      </w:r>
      <w:r>
        <w:rPr>
          <w:spacing w:val="21"/>
          <w:vertAlign w:val="baseline"/>
        </w:rPr>
        <w:t> </w:t>
      </w:r>
      <w:r>
        <w:rPr>
          <w:vertAlign w:val="baseline"/>
        </w:rPr>
        <w:t>third</w:t>
      </w:r>
      <w:r>
        <w:rPr>
          <w:spacing w:val="21"/>
          <w:vertAlign w:val="baseline"/>
        </w:rPr>
        <w:t> </w:t>
      </w:r>
      <w:r>
        <w:rPr>
          <w:vertAlign w:val="baseline"/>
        </w:rPr>
        <w:t>criterion</w:t>
      </w:r>
      <w:r>
        <w:rPr>
          <w:spacing w:val="21"/>
          <w:vertAlign w:val="baseline"/>
        </w:rPr>
        <w:t> </w:t>
      </w:r>
      <w:r>
        <w:rPr>
          <w:vertAlign w:val="baseline"/>
        </w:rPr>
        <w:t>is</w:t>
      </w:r>
      <w:r>
        <w:rPr>
          <w:spacing w:val="21"/>
          <w:vertAlign w:val="baseline"/>
        </w:rPr>
        <w:t> </w:t>
      </w:r>
      <w:r>
        <w:rPr>
          <w:vertAlign w:val="baseline"/>
        </w:rPr>
        <w:t>the</w:t>
      </w:r>
      <w:r>
        <w:rPr>
          <w:spacing w:val="21"/>
          <w:vertAlign w:val="baseline"/>
        </w:rPr>
        <w:t> </w:t>
      </w:r>
      <w:r>
        <w:rPr>
          <w:vertAlign w:val="baseline"/>
        </w:rPr>
        <w:t>integration</w:t>
      </w:r>
      <w:r>
        <w:rPr>
          <w:spacing w:val="21"/>
          <w:vertAlign w:val="baseline"/>
        </w:rPr>
        <w:t> </w:t>
      </w:r>
      <w:r>
        <w:rPr>
          <w:vertAlign w:val="baseline"/>
        </w:rPr>
        <w:t>to</w:t>
      </w:r>
      <w:r>
        <w:rPr>
          <w:spacing w:val="21"/>
          <w:vertAlign w:val="baseline"/>
        </w:rPr>
        <w:t> </w:t>
      </w:r>
      <w:r>
        <w:rPr>
          <w:vertAlign w:val="baseline"/>
        </w:rPr>
        <w:t>some</w:t>
      </w:r>
      <w:r>
        <w:rPr>
          <w:spacing w:val="21"/>
          <w:vertAlign w:val="baseline"/>
        </w:rPr>
        <w:t> </w:t>
      </w:r>
      <w:r>
        <w:rPr>
          <w:vertAlign w:val="baseline"/>
        </w:rPr>
        <w:t>extent</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provider</w:t>
      </w:r>
      <w:r>
        <w:rPr>
          <w:spacing w:val="21"/>
          <w:vertAlign w:val="baseline"/>
        </w:rPr>
        <w:t> </w:t>
      </w:r>
      <w:r>
        <w:rPr>
          <w:vertAlign w:val="baseline"/>
        </w:rPr>
        <w:t>of</w:t>
      </w:r>
      <w:r>
        <w:rPr>
          <w:spacing w:val="21"/>
          <w:vertAlign w:val="baseline"/>
        </w:rPr>
        <w:t> </w:t>
      </w:r>
      <w:r>
        <w:rPr>
          <w:spacing w:val="-2"/>
          <w:vertAlign w:val="baseline"/>
        </w:rPr>
        <w:t>services</w:t>
      </w:r>
    </w:p>
    <w:p>
      <w:pPr>
        <w:pStyle w:val="BodyText"/>
        <w:spacing w:line="235" w:lineRule="auto" w:before="118"/>
        <w:ind w:left="165" w:right="167"/>
        <w:jc w:val="both"/>
      </w:pPr>
      <w:r>
        <w:rPr/>
        <w:t>within</w:t>
      </w:r>
      <w:r>
        <w:rPr>
          <w:spacing w:val="-1"/>
        </w:rPr>
        <w:t> </w:t>
      </w:r>
      <w:r>
        <w:rPr/>
        <w:t>the</w:t>
      </w:r>
      <w:r>
        <w:rPr>
          <w:spacing w:val="-1"/>
        </w:rPr>
        <w:t> </w:t>
      </w:r>
      <w:r>
        <w:rPr/>
        <w:t>organisational</w:t>
      </w:r>
      <w:r>
        <w:rPr>
          <w:spacing w:val="-1"/>
        </w:rPr>
        <w:t> </w:t>
      </w:r>
      <w:r>
        <w:rPr/>
        <w:t>framework</w:t>
      </w:r>
      <w:r>
        <w:rPr>
          <w:spacing w:val="-1"/>
        </w:rPr>
        <w:t> </w:t>
      </w:r>
      <w:r>
        <w:rPr/>
        <w:t>of</w:t>
      </w:r>
      <w:r>
        <w:rPr>
          <w:spacing w:val="-1"/>
        </w:rPr>
        <w:t> </w:t>
      </w:r>
      <w:r>
        <w:rPr/>
        <w:t>the</w:t>
      </w:r>
      <w:r>
        <w:rPr>
          <w:spacing w:val="-1"/>
        </w:rPr>
        <w:t> </w:t>
      </w:r>
      <w:r>
        <w:rPr/>
        <w:t>counterparty</w:t>
      </w:r>
      <w:r>
        <w:rPr>
          <w:spacing w:val="-2"/>
        </w:rPr>
        <w:t> </w:t>
      </w:r>
      <w:hyperlink w:history="true" w:anchor="_bookmark2009">
        <w:r>
          <w:rPr>
            <w:color w:val="005DA1"/>
            <w:u w:val="single" w:color="005DA1"/>
            <w:vertAlign w:val="superscript"/>
          </w:rPr>
          <w:t>1040</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vertAlign w:val="baseline"/>
          </w:rPr>
          <w:t>.</w:t>
        </w:r>
        <w:r>
          <w:rPr>
            <w:spacing w:val="-1"/>
            <w:vertAlign w:val="baseline"/>
          </w:rPr>
          <w:t> </w:t>
        </w:r>
        <w:r>
          <w:rPr>
            <w:vertAlign w:val="baseline"/>
          </w:rPr>
          <w:t>These</w:t>
        </w:r>
        <w:r>
          <w:rPr>
            <w:spacing w:val="-1"/>
            <w:vertAlign w:val="baseline"/>
          </w:rPr>
          <w:t> </w:t>
        </w:r>
        <w:r>
          <w:rPr>
            <w:vertAlign w:val="baseline"/>
          </w:rPr>
          <w:t>criteria</w:t>
        </w:r>
        <w:r>
          <w:rPr>
            <w:spacing w:val="-1"/>
            <w:vertAlign w:val="baseline"/>
          </w:rPr>
          <w:t> </w:t>
        </w:r>
        <w:r>
          <w:rPr>
            <w:vertAlign w:val="baseline"/>
          </w:rPr>
          <w:t>are</w:t>
        </w:r>
        <w:r>
          <w:rPr>
            <w:spacing w:val="-1"/>
            <w:vertAlign w:val="baseline"/>
          </w:rPr>
          <w:t> </w:t>
        </w:r>
        <w:r>
          <w:rPr>
            <w:vertAlign w:val="baseline"/>
          </w:rPr>
          <w:t>not,</w:t>
        </w:r>
        <w:r>
          <w:rPr>
            <w:spacing w:val="-1"/>
            <w:vertAlign w:val="baseline"/>
          </w:rPr>
          <w:t> </w:t>
        </w:r>
        <w:r>
          <w:rPr>
            <w:vertAlign w:val="baseline"/>
          </w:rPr>
          <w:t>however,</w:t>
        </w:r>
        <w:r>
          <w:rPr>
            <w:spacing w:val="-1"/>
            <w:vertAlign w:val="baseline"/>
          </w:rPr>
          <w:t> </w:t>
        </w:r>
        <w:r>
          <w:rPr>
            <w:vertAlign w:val="baseline"/>
          </w:rPr>
          <w:t>“hard </w:t>
        </w:r>
        <w:bookmarkStart w:name="_bookmark1974" w:id="1976"/>
        <w:bookmarkEnd w:id="1976"/>
        <w:r>
          <w:rPr>
            <w:vertAlign w:val="baseline"/>
          </w:rPr>
          <w:t>edged”</w:t>
        </w:r>
        <w:r>
          <w:rPr>
            <w:vertAlign w:val="baseline"/>
          </w:rPr>
          <w:t> criteria which can be mechanistically applied, since there may, for example, be degrees of </w:t>
        </w:r>
        <w:bookmarkStart w:name="_bookmark1975" w:id="1977"/>
        <w:bookmarkEnd w:id="1977"/>
        <w:r>
          <w:rPr>
            <w:vertAlign w:val="baseline"/>
          </w:rPr>
          <w:t>control</w:t>
        </w:r>
        <w:r>
          <w:rPr>
            <w:vertAlign w:val="baseline"/>
          </w:rPr>
          <w:t> and degrees of integration within the relevant organisational framework. </w:t>
        </w:r>
        <w:r>
          <w:rPr>
            <w:color w:val="005DA1"/>
            <w:u w:val="single" w:color="005DA1"/>
            <w:vertAlign w:val="superscript"/>
          </w:rPr>
          <w:t>1041</w:t>
        </w:r>
        <w:r>
          <w:rPr>
            <w:color w:val="005DA1"/>
            <w:vertAlign w:val="baseline"/>
          </w:rPr>
          <w:t> </w:t>
        </w:r>
        <w:r>
          <w:rPr>
            <w:vertAlign w:val="baseline"/>
          </w:rPr>
          <w:t>And in applying these broad criteria regard must be had, particularly, to the terms of the contract. </w:t>
        </w:r>
        <w:r>
          <w:rPr>
            <w:color w:val="005DA1"/>
            <w:u w:val="single" w:color="005DA1"/>
            <w:vertAlign w:val="superscript"/>
          </w:rPr>
          <w:t>1042</w:t>
        </w:r>
      </w:hyperlink>
    </w:p>
    <w:p>
      <w:pPr>
        <w:pStyle w:val="BodyText"/>
      </w:pPr>
    </w:p>
    <w:p>
      <w:pPr>
        <w:pStyle w:val="BodyText"/>
        <w:spacing w:before="37"/>
      </w:pPr>
    </w:p>
    <w:p>
      <w:pPr>
        <w:spacing w:before="0"/>
        <w:ind w:left="165" w:right="0" w:firstLine="0"/>
        <w:jc w:val="left"/>
        <w:rPr>
          <w:rFonts w:ascii="Arial"/>
          <w:b/>
          <w:sz w:val="18"/>
        </w:rPr>
      </w:pPr>
      <w:r>
        <w:rPr>
          <w:rFonts w:ascii="Arial"/>
          <w:b/>
          <w:sz w:val="18"/>
        </w:rPr>
        <w:t>Choice of law by the </w:t>
      </w:r>
      <w:r>
        <w:rPr>
          <w:rFonts w:ascii="Arial"/>
          <w:b/>
          <w:spacing w:val="-2"/>
          <w:sz w:val="18"/>
        </w:rPr>
        <w:t>parties</w:t>
      </w:r>
    </w:p>
    <w:p>
      <w:pPr>
        <w:pStyle w:val="BodyText"/>
        <w:spacing w:before="41"/>
        <w:rPr>
          <w:rFonts w:ascii="Arial"/>
          <w:b/>
          <w:sz w:val="18"/>
        </w:rPr>
      </w:pPr>
    </w:p>
    <w:p>
      <w:pPr>
        <w:pStyle w:val="Heading2"/>
      </w:pPr>
      <w:r>
        <w:rPr/>
        <w:t>30-</w:t>
      </w:r>
      <w:r>
        <w:rPr>
          <w:spacing w:val="-5"/>
        </w:rPr>
        <w:t>280</w:t>
      </w:r>
    </w:p>
    <w:p>
      <w:pPr>
        <w:pStyle w:val="BodyText"/>
        <w:spacing w:line="235" w:lineRule="auto" w:before="203"/>
        <w:ind w:left="165" w:right="167"/>
        <w:jc w:val="both"/>
      </w:pPr>
      <w:bookmarkStart w:name="_bookmark1976" w:id="1978"/>
      <w:bookmarkEnd w:id="1978"/>
      <w:r>
        <w:rPr/>
      </w:r>
      <w:r>
        <w:rPr/>
        <w:t>Article 8(1) establishes that an individual employment contract shall be governed by the law chosen</w:t>
      </w:r>
      <w:r>
        <w:rPr>
          <w:spacing w:val="40"/>
        </w:rPr>
        <w:t> </w:t>
      </w:r>
      <w:r>
        <w:rPr/>
        <w:t>by the parties in accordance with art.3 of the Regulation. </w:t>
      </w:r>
      <w:r>
        <w:rPr>
          <w:color w:val="005DA1"/>
          <w:u w:val="single" w:color="005DA1"/>
          <w:vertAlign w:val="superscript"/>
        </w:rPr>
        <w:t>1043</w:t>
      </w:r>
      <w:r>
        <w:rPr>
          <w:color w:val="005DA1"/>
          <w:vertAlign w:val="baseline"/>
        </w:rPr>
        <w:t> </w:t>
      </w:r>
      <w:r>
        <w:rPr>
          <w:vertAlign w:val="baseline"/>
        </w:rPr>
        <w:t>What is significant about the provision, is, however, that such a choice of law may not have the result of depriving the employee of the protection afford to him by provisions that cannot be derogated from by agreement under the law that would have been applied in the absence of choice.</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“Provisions that cannot be derogated from by </w:t>
      </w:r>
      <w:r>
        <w:rPr>
          <w:rFonts w:ascii="Arial" w:hAnsi="Arial"/>
          <w:b/>
          <w:spacing w:val="-2"/>
          <w:sz w:val="18"/>
        </w:rPr>
        <w:t>agreement”</w:t>
      </w:r>
    </w:p>
    <w:p>
      <w:pPr>
        <w:pStyle w:val="BodyText"/>
        <w:spacing w:before="42"/>
        <w:rPr>
          <w:rFonts w:ascii="Arial"/>
          <w:b/>
          <w:sz w:val="18"/>
        </w:rPr>
      </w:pPr>
    </w:p>
    <w:p>
      <w:pPr>
        <w:pStyle w:val="Heading2"/>
      </w:pPr>
      <w:r>
        <w:rPr/>
        <w:t>30-</w:t>
      </w:r>
      <w:r>
        <w:rPr>
          <w:spacing w:val="-5"/>
        </w:rPr>
        <w:t>281</w:t>
      </w:r>
    </w:p>
    <w:p>
      <w:pPr>
        <w:pStyle w:val="BodyText"/>
        <w:spacing w:line="235" w:lineRule="auto" w:before="202"/>
        <w:ind w:left="165" w:right="167"/>
        <w:jc w:val="both"/>
      </w:pPr>
      <w:r>
        <w:rPr/>
        <w:t>This expression corresponds to the expression “mandatory rules”, as used in art.6(1) of the </w:t>
      </w:r>
      <w:r>
        <w:rPr/>
        <w:t>Rome </w:t>
      </w:r>
      <w:bookmarkStart w:name="_bookmark1977" w:id="1979"/>
      <w:bookmarkEnd w:id="1979"/>
      <w:r>
        <w:rPr/>
        <w:t>Convention,</w:t>
      </w:r>
      <w:r>
        <w:rPr/>
        <w:t> which according to art.3(3) of the Convention are rules which “cannot be derogated from </w:t>
      </w:r>
      <w:bookmarkStart w:name="_bookmark1978" w:id="1980"/>
      <w:bookmarkEnd w:id="1980"/>
      <w:r>
        <w:rPr/>
        <w:t>by</w:t>
      </w:r>
      <w:r>
        <w:rPr/>
        <w:t> contract”. </w:t>
      </w:r>
      <w:r>
        <w:rPr>
          <w:color w:val="005DA1"/>
          <w:u w:val="single" w:color="005DA1"/>
          <w:vertAlign w:val="superscript"/>
        </w:rPr>
        <w:t>1044</w:t>
      </w:r>
      <w:r>
        <w:rPr>
          <w:color w:val="005DA1"/>
          <w:vertAlign w:val="baseline"/>
        </w:rPr>
        <w:t> </w:t>
      </w:r>
      <w:r>
        <w:rPr>
          <w:vertAlign w:val="baseline"/>
        </w:rPr>
        <w:t>For the purposes of art.8(1) of the Regulation, likely relevant provisions will, it would appear, be those discussed in the context of the Rome Convention in section 3 of this chapter. </w:t>
      </w:r>
      <w:r>
        <w:rPr>
          <w:color w:val="005DA1"/>
          <w:u w:val="single" w:color="005DA1"/>
          <w:vertAlign w:val="superscript"/>
        </w:rPr>
        <w:t>1045</w:t>
      </w:r>
      <w:r>
        <w:rPr>
          <w:color w:val="005DA1"/>
          <w:vertAlign w:val="baseline"/>
        </w:rPr>
        <w:t> </w:t>
      </w:r>
      <w:r>
        <w:rPr>
          <w:vertAlign w:val="baseline"/>
        </w:rPr>
        <w:t>Further, analysis of the question of whether the employee has been “deprived” of the protection of a </w:t>
      </w:r>
      <w:bookmarkStart w:name="_bookmark1979" w:id="1981"/>
      <w:bookmarkEnd w:id="1981"/>
      <w:r>
        <w:rPr>
          <w:vertAlign w:val="baseline"/>
        </w:rPr>
        <w:t>relevant</w:t>
      </w:r>
      <w:r>
        <w:rPr>
          <w:vertAlign w:val="baseline"/>
        </w:rPr>
        <w:t> provision would seem to involve the same process of reasoning as that discussed in connection with art.6(1) of the Rome Convention. </w:t>
      </w:r>
      <w:r>
        <w:rPr>
          <w:color w:val="005DA1"/>
          <w:u w:val="single" w:color="005DA1"/>
          <w:vertAlign w:val="superscript"/>
        </w:rPr>
        <w:t>1046</w:t>
      </w:r>
    </w:p>
    <w:p>
      <w:pPr>
        <w:pStyle w:val="BodyText"/>
      </w:pPr>
    </w:p>
    <w:p>
      <w:pPr>
        <w:pStyle w:val="BodyText"/>
        <w:spacing w:before="36"/>
      </w:pPr>
    </w:p>
    <w:p>
      <w:pPr>
        <w:spacing w:before="0"/>
        <w:ind w:left="165" w:right="0" w:firstLine="0"/>
        <w:jc w:val="left"/>
        <w:rPr>
          <w:rFonts w:ascii="Arial"/>
          <w:b/>
          <w:sz w:val="18"/>
        </w:rPr>
      </w:pPr>
      <w:r>
        <w:rPr>
          <w:rFonts w:ascii="Arial"/>
          <w:b/>
          <w:sz w:val="18"/>
        </w:rPr>
        <w:t>Applicable law in absence of </w:t>
      </w:r>
      <w:r>
        <w:rPr>
          <w:rFonts w:ascii="Arial"/>
          <w:b/>
          <w:spacing w:val="-2"/>
          <w:sz w:val="18"/>
        </w:rPr>
        <w:t>choice</w:t>
      </w:r>
    </w:p>
    <w:p>
      <w:pPr>
        <w:pStyle w:val="BodyText"/>
        <w:spacing w:before="42"/>
        <w:rPr>
          <w:rFonts w:ascii="Arial"/>
          <w:b/>
          <w:sz w:val="18"/>
        </w:rPr>
      </w:pPr>
    </w:p>
    <w:p>
      <w:pPr>
        <w:pStyle w:val="Heading2"/>
      </w:pPr>
      <w:r>
        <w:rPr/>
        <w:t>30-</w:t>
      </w:r>
      <w:r>
        <w:rPr>
          <w:spacing w:val="-5"/>
        </w:rPr>
        <w:t>282</w:t>
      </w:r>
    </w:p>
    <w:p>
      <w:pPr>
        <w:pStyle w:val="BodyText"/>
        <w:spacing w:line="227" w:lineRule="exact" w:before="199"/>
        <w:ind w:left="165"/>
        <w:jc w:val="both"/>
      </w:pPr>
      <w:r>
        <w:rPr/>
        <w:t>In</w:t>
      </w:r>
      <w:r>
        <w:rPr>
          <w:spacing w:val="14"/>
        </w:rPr>
        <w:t> </w:t>
      </w:r>
      <w:r>
        <w:rPr/>
        <w:t>the</w:t>
      </w:r>
      <w:r>
        <w:rPr>
          <w:spacing w:val="14"/>
        </w:rPr>
        <w:t> </w:t>
      </w:r>
      <w:r>
        <w:rPr/>
        <w:t>absence</w:t>
      </w:r>
      <w:r>
        <w:rPr>
          <w:spacing w:val="14"/>
        </w:rPr>
        <w:t> </w:t>
      </w:r>
      <w:r>
        <w:rPr/>
        <w:t>of</w:t>
      </w:r>
      <w:r>
        <w:rPr>
          <w:spacing w:val="14"/>
        </w:rPr>
        <w:t> </w:t>
      </w:r>
      <w:r>
        <w:rPr/>
        <w:t>a</w:t>
      </w:r>
      <w:r>
        <w:rPr>
          <w:spacing w:val="14"/>
        </w:rPr>
        <w:t> </w:t>
      </w:r>
      <w:r>
        <w:rPr/>
        <w:t>choice</w:t>
      </w:r>
      <w:r>
        <w:rPr>
          <w:spacing w:val="14"/>
        </w:rPr>
        <w:t> </w:t>
      </w:r>
      <w:r>
        <w:rPr/>
        <w:t>of</w:t>
      </w:r>
      <w:r>
        <w:rPr>
          <w:spacing w:val="14"/>
        </w:rPr>
        <w:t> </w:t>
      </w:r>
      <w:r>
        <w:rPr/>
        <w:t>law,</w:t>
      </w:r>
      <w:r>
        <w:rPr>
          <w:spacing w:val="14"/>
        </w:rPr>
        <w:t> </w:t>
      </w:r>
      <w:r>
        <w:rPr/>
        <w:t>the</w:t>
      </w:r>
      <w:r>
        <w:rPr>
          <w:spacing w:val="14"/>
        </w:rPr>
        <w:t> </w:t>
      </w:r>
      <w:r>
        <w:rPr/>
        <w:t>applicable</w:t>
      </w:r>
      <w:r>
        <w:rPr>
          <w:spacing w:val="14"/>
        </w:rPr>
        <w:t> </w:t>
      </w:r>
      <w:r>
        <w:rPr/>
        <w:t>law</w:t>
      </w:r>
      <w:r>
        <w:rPr>
          <w:spacing w:val="14"/>
        </w:rPr>
        <w:t> </w:t>
      </w:r>
      <w:r>
        <w:rPr/>
        <w:t>must</w:t>
      </w:r>
      <w:r>
        <w:rPr>
          <w:spacing w:val="14"/>
        </w:rPr>
        <w:t> </w:t>
      </w:r>
      <w:r>
        <w:rPr/>
        <w:t>be</w:t>
      </w:r>
      <w:r>
        <w:rPr>
          <w:spacing w:val="14"/>
        </w:rPr>
        <w:t> </w:t>
      </w:r>
      <w:r>
        <w:rPr/>
        <w:t>determined</w:t>
      </w:r>
      <w:r>
        <w:rPr>
          <w:spacing w:val="14"/>
        </w:rPr>
        <w:t> </w:t>
      </w:r>
      <w:r>
        <w:rPr/>
        <w:t>by</w:t>
      </w:r>
      <w:r>
        <w:rPr>
          <w:spacing w:val="14"/>
        </w:rPr>
        <w:t> </w:t>
      </w:r>
      <w:r>
        <w:rPr/>
        <w:t>reference</w:t>
      </w:r>
      <w:r>
        <w:rPr>
          <w:spacing w:val="14"/>
        </w:rPr>
        <w:t> </w:t>
      </w:r>
      <w:r>
        <w:rPr/>
        <w:t>to</w:t>
      </w:r>
      <w:r>
        <w:rPr>
          <w:spacing w:val="14"/>
        </w:rPr>
        <w:t> </w:t>
      </w:r>
      <w:r>
        <w:rPr/>
        <w:t>art.8(2)</w:t>
      </w:r>
      <w:r>
        <w:rPr>
          <w:spacing w:val="14"/>
        </w:rPr>
        <w:t> </w:t>
      </w:r>
      <w:r>
        <w:rPr>
          <w:spacing w:val="-5"/>
        </w:rPr>
        <w:t>or</w:t>
      </w:r>
    </w:p>
    <w:p>
      <w:pPr>
        <w:pStyle w:val="BodyText"/>
        <w:spacing w:line="227" w:lineRule="exact"/>
        <w:ind w:left="165"/>
      </w:pPr>
      <w:r>
        <w:rPr/>
        <w:t>(3) of the Regulation each of which is subject to a rule of displacement contained in </w:t>
      </w:r>
      <w:r>
        <w:rPr>
          <w:spacing w:val="-2"/>
        </w:rPr>
        <w:t>art.8(4).</w:t>
      </w:r>
    </w:p>
    <w:p>
      <w:pPr>
        <w:pStyle w:val="BodyText"/>
      </w:pPr>
    </w:p>
    <w:p>
      <w:pPr>
        <w:pStyle w:val="BodyText"/>
        <w:spacing w:before="37"/>
      </w:pPr>
    </w:p>
    <w:p>
      <w:pPr>
        <w:spacing w:before="0"/>
        <w:ind w:left="165" w:right="0" w:firstLine="0"/>
        <w:jc w:val="left"/>
        <w:rPr>
          <w:rFonts w:ascii="Arial"/>
          <w:b/>
          <w:sz w:val="18"/>
        </w:rPr>
      </w:pPr>
      <w:r>
        <w:rPr>
          <w:rFonts w:ascii="Arial"/>
          <w:b/>
          <w:sz w:val="18"/>
        </w:rPr>
        <w:t>Country in which employee habitually carries out work, </w:t>
      </w:r>
      <w:r>
        <w:rPr>
          <w:rFonts w:ascii="Arial"/>
          <w:b/>
          <w:spacing w:val="-5"/>
          <w:sz w:val="18"/>
        </w:rPr>
        <w:t>etc</w:t>
      </w:r>
    </w:p>
    <w:p>
      <w:pPr>
        <w:pStyle w:val="BodyText"/>
        <w:spacing w:before="41"/>
        <w:rPr>
          <w:rFonts w:ascii="Arial"/>
          <w:b/>
          <w:sz w:val="18"/>
        </w:rPr>
      </w:pPr>
    </w:p>
    <w:p>
      <w:pPr>
        <w:pStyle w:val="Heading2"/>
      </w:pPr>
      <w:r>
        <w:rPr/>
        <w:t>30-</w:t>
      </w:r>
      <w:r>
        <w:rPr>
          <w:spacing w:val="-5"/>
        </w:rPr>
        <w:t>283</w:t>
      </w:r>
    </w:p>
    <w:p>
      <w:pPr>
        <w:pStyle w:val="BodyText"/>
        <w:spacing w:before="199"/>
        <w:ind w:left="165"/>
        <w:jc w:val="both"/>
      </w:pPr>
      <w:r>
        <w:rPr/>
        <w:t>Article 8(2) stipulates that </w:t>
      </w:r>
      <w:r>
        <w:rPr>
          <w:spacing w:val="-5"/>
        </w:rPr>
        <w:t>to:</w:t>
      </w:r>
    </w:p>
    <w:p>
      <w:pPr>
        <w:pStyle w:val="BodyText"/>
      </w:pPr>
    </w:p>
    <w:p>
      <w:pPr>
        <w:pStyle w:val="BodyText"/>
        <w:spacing w:before="126"/>
      </w:pPr>
    </w:p>
    <w:p>
      <w:pPr>
        <w:pStyle w:val="BodyText"/>
        <w:spacing w:line="235" w:lineRule="auto"/>
        <w:ind w:left="1245" w:right="167"/>
        <w:jc w:val="both"/>
      </w:pPr>
      <w:r>
        <w:rPr/>
        <w:t>“… the extent that the law applicable to the individual employment contract has not </w:t>
      </w:r>
      <w:r>
        <w:rPr/>
        <w:t>been chosen by the parties, the contract shall be governed by the law of the country in which, or failing that, from which the employee habitually carries out his work in performance of the contract. The country where the work is habitually carried out shall not be deemed to have changed if he is temporarily employed in another country.”</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980" w:id="1982"/>
      <w:bookmarkEnd w:id="1982"/>
      <w:r>
        <w:rPr/>
      </w:r>
      <w:r>
        <w:rPr/>
        <w:t>It will be noted that whereas art.6(2)(a) of the Rome Convention refers to the law of the country </w:t>
      </w:r>
      <w:r>
        <w:rPr>
          <w:rFonts w:ascii="Arial" w:hAnsi="Arial"/>
          <w:i/>
        </w:rPr>
        <w:t>in </w:t>
      </w:r>
      <w:r>
        <w:rPr/>
        <w:t>which the employee habitually carries out his work, </w:t>
      </w:r>
      <w:r>
        <w:rPr>
          <w:color w:val="005DA1"/>
          <w:u w:val="single" w:color="005DA1"/>
          <w:vertAlign w:val="superscript"/>
        </w:rPr>
        <w:t>1047</w:t>
      </w:r>
      <w:r>
        <w:rPr>
          <w:color w:val="005DA1"/>
          <w:vertAlign w:val="baseline"/>
        </w:rPr>
        <w:t> </w:t>
      </w:r>
      <w:r>
        <w:rPr>
          <w:vertAlign w:val="baseline"/>
        </w:rPr>
        <w:t>as does art.8(2) of the Regulation, </w:t>
      </w:r>
      <w:r>
        <w:rPr>
          <w:vertAlign w:val="baseline"/>
        </w:rPr>
        <w:t>the Convention, in contrast to the Regulation does not refer to the law of the country </w:t>
      </w:r>
      <w:r>
        <w:rPr>
          <w:rFonts w:ascii="Arial" w:hAnsi="Arial"/>
          <w:i/>
          <w:vertAlign w:val="baseline"/>
        </w:rPr>
        <w:t>from </w:t>
      </w:r>
      <w:r>
        <w:rPr>
          <w:vertAlign w:val="baseline"/>
        </w:rPr>
        <w:t>which the employee habitually carried out his work in performance of the contract. Article 6(2)(a) of the Rome Convention has, however, been held by the European Court is to be interpreted in a manner </w:t>
      </w:r>
      <w:bookmarkStart w:name="_bookmark1981" w:id="1983"/>
      <w:bookmarkEnd w:id="1983"/>
      <w:r>
        <w:rPr>
          <w:vertAlign w:val="baseline"/>
        </w:rPr>
        <w:t>equivalent</w:t>
      </w:r>
      <w:r>
        <w:rPr>
          <w:vertAlign w:val="baseline"/>
        </w:rPr>
        <w:t> to art.8(2), first sentence, of the Rome I Regulation, so as to include, in a relevant case,</w:t>
      </w:r>
      <w:r>
        <w:rPr>
          <w:spacing w:val="40"/>
          <w:vertAlign w:val="baseline"/>
        </w:rPr>
        <w:t> </w:t>
      </w:r>
      <w:bookmarkStart w:name="_bookmark1982" w:id="1984"/>
      <w:bookmarkEnd w:id="1984"/>
      <w:r>
        <w:rPr>
          <w:vertAlign w:val="baseline"/>
        </w:rPr>
        <w:t>the</w:t>
      </w:r>
      <w:r>
        <w:rPr>
          <w:vertAlign w:val="baseline"/>
        </w:rPr>
        <w:t> country </w:t>
      </w:r>
      <w:r>
        <w:rPr>
          <w:rFonts w:ascii="Arial" w:hAnsi="Arial"/>
          <w:i/>
          <w:vertAlign w:val="baseline"/>
        </w:rPr>
        <w:t>from </w:t>
      </w:r>
      <w:r>
        <w:rPr>
          <w:vertAlign w:val="baseline"/>
        </w:rPr>
        <w:t>which the employee habitually carries out his work. </w:t>
      </w:r>
      <w:r>
        <w:rPr>
          <w:color w:val="005DA1"/>
          <w:u w:val="single" w:color="005DA1"/>
          <w:vertAlign w:val="superscript"/>
        </w:rPr>
        <w:t>1048</w:t>
      </w:r>
      <w:r>
        <w:rPr>
          <w:color w:val="005DA1"/>
          <w:vertAlign w:val="baseline"/>
        </w:rPr>
        <w:t> </w:t>
      </w:r>
      <w:r>
        <w:rPr>
          <w:vertAlign w:val="baseline"/>
        </w:rPr>
        <w:t>The effect of art.8(2) would seem to be as follows. If the employee habitually carries </w:t>
      </w:r>
      <w:r>
        <w:rPr>
          <w:color w:val="005DA1"/>
          <w:u w:val="single" w:color="005DA1"/>
          <w:vertAlign w:val="superscript"/>
        </w:rPr>
        <w:t>1049</w:t>
      </w:r>
      <w:r>
        <w:rPr>
          <w:color w:val="005DA1"/>
          <w:vertAlign w:val="baseline"/>
        </w:rPr>
        <w:t> </w:t>
      </w:r>
      <w:r>
        <w:rPr>
          <w:vertAlign w:val="baseline"/>
        </w:rPr>
        <w:t>out his work in performance of the contract in one country, then that country’s law will be, subject to art.8(4), the applicable law. If the </w:t>
      </w:r>
      <w:bookmarkStart w:name="_bookmark1983" w:id="1985"/>
      <w:bookmarkEnd w:id="1985"/>
      <w:r>
        <w:rPr>
          <w:vertAlign w:val="baseline"/>
        </w:rPr>
        <w:t>employee</w:t>
      </w:r>
      <w:r>
        <w:rPr>
          <w:vertAlign w:val="baseline"/>
        </w:rPr>
        <w:t> habitually carries out his work in more than one country, or in no particular country, or in a place which is not a country </w:t>
      </w:r>
      <w:r>
        <w:rPr>
          <w:color w:val="005DA1"/>
          <w:u w:val="single" w:color="005DA1"/>
          <w:vertAlign w:val="superscript"/>
        </w:rPr>
        <w:t>1050</w:t>
      </w:r>
      <w:r>
        <w:rPr>
          <w:color w:val="005DA1"/>
          <w:vertAlign w:val="baseline"/>
        </w:rPr>
        <w:t> </w:t>
      </w:r>
      <w:r>
        <w:rPr>
          <w:vertAlign w:val="baseline"/>
        </w:rPr>
        <w:t>then one must ask whether there is one country </w:t>
      </w:r>
      <w:r>
        <w:rPr>
          <w:rFonts w:ascii="Arial" w:hAnsi="Arial"/>
          <w:i/>
          <w:vertAlign w:val="baseline"/>
        </w:rPr>
        <w:t>from </w:t>
      </w:r>
      <w:r>
        <w:rPr>
          <w:vertAlign w:val="baseline"/>
        </w:rPr>
        <w:t>which the employee habitually carries out his work in performance of the contract. An example of the latter </w:t>
      </w:r>
      <w:bookmarkStart w:name="_bookmark1984" w:id="1986"/>
      <w:bookmarkEnd w:id="1986"/>
      <w:r>
        <w:rPr>
          <w:vertAlign w:val="baseline"/>
        </w:rPr>
        <w:t>situation</w:t>
      </w:r>
      <w:r>
        <w:rPr>
          <w:vertAlign w:val="baseline"/>
        </w:rPr>
        <w:t> might be the case of an airline pilot, based in one particular country who is required to fly aircraft to several different countries. </w:t>
      </w:r>
      <w:r>
        <w:rPr>
          <w:color w:val="005DA1"/>
          <w:u w:val="single" w:color="005DA1"/>
          <w:vertAlign w:val="superscript"/>
        </w:rPr>
        <w:t>1051</w:t>
      </w:r>
    </w:p>
    <w:p>
      <w:pPr>
        <w:pStyle w:val="BodyText"/>
      </w:pPr>
    </w:p>
    <w:p>
      <w:pPr>
        <w:pStyle w:val="BodyText"/>
        <w:spacing w:before="33"/>
      </w:pPr>
    </w:p>
    <w:p>
      <w:pPr>
        <w:spacing w:before="1"/>
        <w:ind w:left="165" w:right="0" w:firstLine="0"/>
        <w:jc w:val="left"/>
        <w:rPr>
          <w:rFonts w:ascii="Arial"/>
          <w:b/>
          <w:sz w:val="18"/>
        </w:rPr>
      </w:pPr>
      <w:r>
        <w:rPr>
          <w:rFonts w:ascii="Arial"/>
          <w:b/>
          <w:sz w:val="18"/>
        </w:rPr>
        <w:t>Temporarily employed in another </w:t>
      </w:r>
      <w:r>
        <w:rPr>
          <w:rFonts w:ascii="Arial"/>
          <w:b/>
          <w:spacing w:val="-2"/>
          <w:sz w:val="18"/>
        </w:rPr>
        <w:t>country</w:t>
      </w:r>
    </w:p>
    <w:p>
      <w:pPr>
        <w:pStyle w:val="BodyText"/>
        <w:spacing w:before="41"/>
        <w:rPr>
          <w:rFonts w:ascii="Arial"/>
          <w:b/>
          <w:sz w:val="18"/>
        </w:rPr>
      </w:pPr>
    </w:p>
    <w:p>
      <w:pPr>
        <w:pStyle w:val="Heading2"/>
      </w:pPr>
      <w:r>
        <w:rPr/>
        <w:t>30-</w:t>
      </w:r>
      <w:r>
        <w:rPr>
          <w:spacing w:val="-5"/>
        </w:rPr>
        <w:t>284</w:t>
      </w:r>
    </w:p>
    <w:p>
      <w:pPr>
        <w:pStyle w:val="BodyText"/>
        <w:spacing w:line="235" w:lineRule="auto" w:before="202"/>
        <w:ind w:left="165" w:right="167"/>
        <w:jc w:val="both"/>
      </w:pPr>
      <w:r>
        <w:rPr/>
        <w:t>The second sentence of art.8(2) is designed to ensure that the place where work is habitually carried out is not to be regarded as having changed if the employee is temporarily employed in </w:t>
      </w:r>
      <w:r>
        <w:rPr/>
        <w:t>another country. Recital 36 to the Regulation explains that:</w:t>
      </w:r>
    </w:p>
    <w:p>
      <w:pPr>
        <w:pStyle w:val="BodyText"/>
      </w:pPr>
    </w:p>
    <w:p>
      <w:pPr>
        <w:pStyle w:val="BodyText"/>
        <w:spacing w:before="126"/>
      </w:pPr>
    </w:p>
    <w:p>
      <w:pPr>
        <w:pStyle w:val="BodyText"/>
        <w:spacing w:line="235" w:lineRule="auto"/>
        <w:ind w:left="1245" w:right="167"/>
        <w:jc w:val="both"/>
      </w:pPr>
      <w:r>
        <w:rPr/>
        <w:t>“… work carried out in another country should be regarded as temporary if the employee is expected to resume working in the country of origin after carrying out his tasks abroad. The conclusion of a new contract of employment with the original employer or an employer belonging to the same group of companies as the original employer should </w:t>
      </w:r>
      <w:r>
        <w:rPr/>
        <w:t>not preclude the employee from being regarded as carrying out his work in another country </w:t>
      </w:r>
      <w:r>
        <w:rPr>
          <w:spacing w:val="-2"/>
        </w:rPr>
        <w:t>temporarily.”</w:t>
      </w:r>
    </w:p>
    <w:p>
      <w:pPr>
        <w:pStyle w:val="BodyText"/>
      </w:pPr>
    </w:p>
    <w:p>
      <w:pPr>
        <w:pStyle w:val="BodyText"/>
      </w:pPr>
    </w:p>
    <w:p>
      <w:pPr>
        <w:pStyle w:val="BodyText"/>
        <w:spacing w:before="153"/>
      </w:pPr>
    </w:p>
    <w:p>
      <w:pPr>
        <w:spacing w:before="0"/>
        <w:ind w:left="165" w:right="0" w:firstLine="0"/>
        <w:jc w:val="left"/>
        <w:rPr>
          <w:rFonts w:ascii="Arial"/>
          <w:b/>
          <w:sz w:val="18"/>
        </w:rPr>
      </w:pPr>
      <w:r>
        <w:rPr>
          <w:rFonts w:ascii="Arial"/>
          <w:b/>
          <w:sz w:val="18"/>
        </w:rPr>
        <w:t>Default </w:t>
      </w:r>
      <w:r>
        <w:rPr>
          <w:rFonts w:ascii="Arial"/>
          <w:b/>
          <w:spacing w:val="-4"/>
          <w:sz w:val="18"/>
        </w:rPr>
        <w:t>rule</w:t>
      </w:r>
    </w:p>
    <w:p>
      <w:pPr>
        <w:pStyle w:val="BodyText"/>
        <w:spacing w:before="41"/>
        <w:rPr>
          <w:rFonts w:ascii="Arial"/>
          <w:b/>
          <w:sz w:val="18"/>
        </w:rPr>
      </w:pPr>
    </w:p>
    <w:p>
      <w:pPr>
        <w:pStyle w:val="Heading2"/>
        <w:spacing w:before="1"/>
      </w:pPr>
      <w:r>
        <w:rPr/>
        <w:t>30-</w:t>
      </w:r>
      <w:r>
        <w:rPr>
          <w:spacing w:val="-5"/>
        </w:rPr>
        <w:t>285</w:t>
      </w:r>
    </w:p>
    <w:p>
      <w:pPr>
        <w:pStyle w:val="BodyText"/>
        <w:spacing w:line="235" w:lineRule="auto" w:before="202"/>
        <w:ind w:left="164" w:right="167"/>
        <w:jc w:val="both"/>
      </w:pPr>
      <w:r>
        <w:rPr/>
        <w:t>Article 8(3) provides what might be called a “default” rule according to which if the applicable law </w:t>
      </w:r>
      <w:bookmarkStart w:name="_bookmark1985" w:id="1987"/>
      <w:bookmarkEnd w:id="1987"/>
      <w:r>
        <w:rPr/>
        <w:t>cannot</w:t>
      </w:r>
      <w:r>
        <w:rPr/>
        <w:t> be determined by reference to art.8(2), the contract shall be governed by the law of the</w:t>
      </w:r>
      <w:r>
        <w:rPr>
          <w:spacing w:val="40"/>
        </w:rPr>
        <w:t> </w:t>
      </w:r>
      <w:r>
        <w:rPr/>
        <w:t>country where the place of business through which the employee was engaged is situated. </w:t>
      </w:r>
      <w:r>
        <w:rPr>
          <w:color w:val="005DA1"/>
          <w:u w:val="single" w:color="005DA1"/>
          <w:vertAlign w:val="superscript"/>
        </w:rPr>
        <w:t>1052</w:t>
      </w:r>
      <w:r>
        <w:rPr>
          <w:color w:val="005DA1"/>
          <w:vertAlign w:val="baseline"/>
        </w:rPr>
        <w:t> </w:t>
      </w:r>
      <w:r>
        <w:rPr>
          <w:vertAlign w:val="baseline"/>
        </w:rPr>
        <w:t>This rule will apply where the employee habitually carries out his work in more than one country, or in no particular country, or in a place which is not a country </w:t>
      </w:r>
      <w:r>
        <w:rPr>
          <w:rFonts w:ascii="Arial" w:hAnsi="Arial"/>
          <w:i/>
          <w:vertAlign w:val="baseline"/>
        </w:rPr>
        <w:t>and </w:t>
      </w:r>
      <w:r>
        <w:rPr>
          <w:vertAlign w:val="baseline"/>
        </w:rPr>
        <w:t>there is no one country </w:t>
      </w:r>
      <w:r>
        <w:rPr>
          <w:rFonts w:ascii="Arial" w:hAnsi="Arial"/>
          <w:i/>
          <w:vertAlign w:val="baseline"/>
        </w:rPr>
        <w:t>from </w:t>
      </w:r>
      <w:r>
        <w:rPr>
          <w:vertAlign w:val="baseline"/>
        </w:rPr>
        <w:t>which he habitually carries out his work.</w:t>
      </w:r>
    </w:p>
    <w:p>
      <w:pPr>
        <w:pStyle w:val="BodyText"/>
      </w:pPr>
    </w:p>
    <w:p>
      <w:pPr>
        <w:pStyle w:val="BodyText"/>
        <w:spacing w:before="36"/>
      </w:pPr>
    </w:p>
    <w:p>
      <w:pPr>
        <w:spacing w:before="1"/>
        <w:ind w:left="164" w:right="0" w:firstLine="0"/>
        <w:jc w:val="left"/>
        <w:rPr>
          <w:rFonts w:ascii="Arial"/>
          <w:b/>
          <w:sz w:val="18"/>
        </w:rPr>
      </w:pPr>
      <w:r>
        <w:rPr>
          <w:rFonts w:ascii="Arial"/>
          <w:b/>
          <w:sz w:val="18"/>
        </w:rPr>
        <w:t>Rule of </w:t>
      </w:r>
      <w:r>
        <w:rPr>
          <w:rFonts w:ascii="Arial"/>
          <w:b/>
          <w:spacing w:val="-2"/>
          <w:sz w:val="18"/>
        </w:rPr>
        <w:t>displacement</w:t>
      </w:r>
    </w:p>
    <w:p>
      <w:pPr>
        <w:pStyle w:val="BodyText"/>
        <w:spacing w:before="41"/>
        <w:rPr>
          <w:rFonts w:ascii="Arial"/>
          <w:b/>
          <w:sz w:val="18"/>
        </w:rPr>
      </w:pPr>
    </w:p>
    <w:p>
      <w:pPr>
        <w:pStyle w:val="Heading2"/>
        <w:ind w:left="164"/>
      </w:pPr>
      <w:r>
        <w:rPr/>
        <w:t>30-</w:t>
      </w:r>
      <w:r>
        <w:rPr>
          <w:spacing w:val="-5"/>
        </w:rPr>
        <w:t>286</w:t>
      </w:r>
    </w:p>
    <w:p>
      <w:pPr>
        <w:pStyle w:val="BodyText"/>
        <w:spacing w:before="199"/>
        <w:ind w:left="164"/>
        <w:jc w:val="both"/>
      </w:pPr>
      <w:r>
        <w:rPr/>
        <w:t>Article 8(4) provides that </w:t>
      </w:r>
      <w:r>
        <w:rPr>
          <w:spacing w:val="-2"/>
        </w:rPr>
        <w:t>where:</w:t>
      </w:r>
    </w:p>
    <w:p>
      <w:pPr>
        <w:pStyle w:val="BodyText"/>
      </w:pPr>
    </w:p>
    <w:p>
      <w:pPr>
        <w:pStyle w:val="BodyText"/>
        <w:spacing w:before="125"/>
      </w:pPr>
    </w:p>
    <w:p>
      <w:pPr>
        <w:pStyle w:val="BodyText"/>
        <w:spacing w:line="235" w:lineRule="auto"/>
        <w:ind w:left="1244" w:right="167"/>
        <w:jc w:val="both"/>
      </w:pPr>
      <w:r>
        <w:rPr/>
        <w:t>“… it appears from the circumstances as a whole that the contract is more closely connected with a country other than that indicated in paragraphs 2 or 3, the law of that other country shall apply.”</w:t>
      </w:r>
    </w:p>
    <w:p>
      <w:pPr>
        <w:pStyle w:val="BodyText"/>
        <w:spacing w:before="112"/>
      </w:pPr>
    </w:p>
    <w:p>
      <w:pPr>
        <w:pStyle w:val="BodyText"/>
        <w:ind w:left="164"/>
        <w:jc w:val="both"/>
      </w:pPr>
      <w:r>
        <w:rPr/>
        <w:t>This</w:t>
      </w:r>
      <w:r>
        <w:rPr>
          <w:spacing w:val="16"/>
        </w:rPr>
        <w:t> </w:t>
      </w:r>
      <w:r>
        <w:rPr/>
        <w:t>rule</w:t>
      </w:r>
      <w:r>
        <w:rPr>
          <w:spacing w:val="16"/>
        </w:rPr>
        <w:t> </w:t>
      </w:r>
      <w:r>
        <w:rPr/>
        <w:t>is</w:t>
      </w:r>
      <w:r>
        <w:rPr>
          <w:spacing w:val="16"/>
        </w:rPr>
        <w:t> </w:t>
      </w:r>
      <w:r>
        <w:rPr/>
        <w:t>modelled</w:t>
      </w:r>
      <w:r>
        <w:rPr>
          <w:spacing w:val="16"/>
        </w:rPr>
        <w:t> </w:t>
      </w:r>
      <w:r>
        <w:rPr/>
        <w:t>on</w:t>
      </w:r>
      <w:r>
        <w:rPr>
          <w:spacing w:val="16"/>
        </w:rPr>
        <w:t> </w:t>
      </w:r>
      <w:r>
        <w:rPr/>
        <w:t>the</w:t>
      </w:r>
      <w:r>
        <w:rPr>
          <w:spacing w:val="16"/>
        </w:rPr>
        <w:t> </w:t>
      </w:r>
      <w:r>
        <w:rPr/>
        <w:t>proviso</w:t>
      </w:r>
      <w:r>
        <w:rPr>
          <w:spacing w:val="16"/>
        </w:rPr>
        <w:t> </w:t>
      </w:r>
      <w:r>
        <w:rPr/>
        <w:t>to</w:t>
      </w:r>
      <w:r>
        <w:rPr>
          <w:spacing w:val="16"/>
        </w:rPr>
        <w:t> </w:t>
      </w:r>
      <w:r>
        <w:rPr/>
        <w:t>art.6(2)</w:t>
      </w:r>
      <w:r>
        <w:rPr>
          <w:spacing w:val="16"/>
        </w:rPr>
        <w:t> </w:t>
      </w:r>
      <w:r>
        <w:rPr/>
        <w:t>of</w:t>
      </w:r>
      <w:r>
        <w:rPr>
          <w:spacing w:val="16"/>
        </w:rPr>
        <w:t> </w:t>
      </w:r>
      <w:r>
        <w:rPr/>
        <w:t>the</w:t>
      </w:r>
      <w:r>
        <w:rPr>
          <w:spacing w:val="16"/>
        </w:rPr>
        <w:t> </w:t>
      </w:r>
      <w:r>
        <w:rPr/>
        <w:t>Rome</w:t>
      </w:r>
      <w:r>
        <w:rPr>
          <w:spacing w:val="16"/>
        </w:rPr>
        <w:t> </w:t>
      </w:r>
      <w:r>
        <w:rPr/>
        <w:t>Convention,</w:t>
      </w:r>
      <w:r>
        <w:rPr>
          <w:spacing w:val="16"/>
        </w:rPr>
        <w:t> </w:t>
      </w:r>
      <w:r>
        <w:rPr/>
        <w:t>as</w:t>
      </w:r>
      <w:r>
        <w:rPr>
          <w:spacing w:val="16"/>
        </w:rPr>
        <w:t> </w:t>
      </w:r>
      <w:r>
        <w:rPr/>
        <w:t>discussed</w:t>
      </w:r>
      <w:r>
        <w:rPr>
          <w:spacing w:val="16"/>
        </w:rPr>
        <w:t> </w:t>
      </w:r>
      <w:r>
        <w:rPr/>
        <w:t>earlier</w:t>
      </w:r>
      <w:r>
        <w:rPr>
          <w:spacing w:val="16"/>
        </w:rPr>
        <w:t> </w:t>
      </w:r>
      <w:r>
        <w:rPr/>
        <w:t>in</w:t>
      </w:r>
      <w:r>
        <w:rPr>
          <w:spacing w:val="16"/>
        </w:rPr>
        <w:t> </w:t>
      </w:r>
      <w:r>
        <w:rPr>
          <w:spacing w:val="-4"/>
        </w:rPr>
        <w:t>this</w:t>
      </w:r>
    </w:p>
    <w:p>
      <w:pPr>
        <w:pStyle w:val="BodyText"/>
        <w:spacing w:after="0"/>
        <w:jc w:val="both"/>
        <w:sectPr>
          <w:pgSz w:w="11900" w:h="16840"/>
          <w:pgMar w:header="971" w:footer="0" w:top="1300" w:bottom="280" w:left="1275" w:right="1275"/>
        </w:sectPr>
      </w:pPr>
    </w:p>
    <w:p>
      <w:pPr>
        <w:pStyle w:val="BodyText"/>
        <w:spacing w:line="235" w:lineRule="auto" w:before="110"/>
        <w:ind w:left="165" w:right="167"/>
        <w:jc w:val="both"/>
      </w:pPr>
      <w:bookmarkStart w:name="_bookmark1986" w:id="1988"/>
      <w:bookmarkEnd w:id="1988"/>
      <w:r>
        <w:rPr/>
      </w:r>
      <w:r>
        <w:rPr/>
        <w:t>chapter. </w:t>
      </w:r>
      <w:r>
        <w:rPr>
          <w:color w:val="005DA1"/>
          <w:u w:val="single" w:color="005DA1"/>
          <w:vertAlign w:val="superscript"/>
        </w:rPr>
        <w:t>1053</w:t>
      </w:r>
      <w:r>
        <w:rPr>
          <w:color w:val="005DA1"/>
          <w:vertAlign w:val="baseline"/>
        </w:rPr>
        <w:t> </w:t>
      </w:r>
      <w:r>
        <w:rPr>
          <w:vertAlign w:val="baseline"/>
        </w:rPr>
        <w:t>It should be emphasised that there is no requirement in art.8(4) that it must be “clear” </w:t>
      </w:r>
      <w:bookmarkStart w:name="_bookmark1987" w:id="1989"/>
      <w:bookmarkEnd w:id="1989"/>
      <w:r>
        <w:rPr>
          <w:vertAlign w:val="baseline"/>
        </w:rPr>
        <w:t>from</w:t>
      </w:r>
      <w:r>
        <w:rPr>
          <w:vertAlign w:val="baseline"/>
        </w:rPr>
        <w:t> the circumstances as a whole that the contract is “manifestly” more closely connected with a country</w:t>
      </w:r>
      <w:r>
        <w:rPr>
          <w:spacing w:val="-3"/>
          <w:vertAlign w:val="baseline"/>
        </w:rPr>
        <w:t> </w:t>
      </w:r>
      <w:r>
        <w:rPr>
          <w:vertAlign w:val="baseline"/>
        </w:rPr>
        <w:t>other</w:t>
      </w:r>
      <w:r>
        <w:rPr>
          <w:spacing w:val="-3"/>
          <w:vertAlign w:val="baseline"/>
        </w:rPr>
        <w:t> </w:t>
      </w:r>
      <w:r>
        <w:rPr>
          <w:vertAlign w:val="baseline"/>
        </w:rPr>
        <w:t>than</w:t>
      </w:r>
      <w:r>
        <w:rPr>
          <w:spacing w:val="-3"/>
          <w:vertAlign w:val="baseline"/>
        </w:rPr>
        <w:t> </w:t>
      </w:r>
      <w:r>
        <w:rPr>
          <w:vertAlign w:val="baseline"/>
        </w:rPr>
        <w:t>that</w:t>
      </w:r>
      <w:r>
        <w:rPr>
          <w:spacing w:val="-3"/>
          <w:vertAlign w:val="baseline"/>
        </w:rPr>
        <w:t> </w:t>
      </w:r>
      <w:r>
        <w:rPr>
          <w:vertAlign w:val="baseline"/>
        </w:rPr>
        <w:t>indicated</w:t>
      </w:r>
      <w:r>
        <w:rPr>
          <w:spacing w:val="-3"/>
          <w:vertAlign w:val="baseline"/>
        </w:rPr>
        <w:t> </w:t>
      </w:r>
      <w:r>
        <w:rPr>
          <w:vertAlign w:val="baseline"/>
        </w:rPr>
        <w:t>in</w:t>
      </w:r>
      <w:r>
        <w:rPr>
          <w:spacing w:val="-3"/>
          <w:vertAlign w:val="baseline"/>
        </w:rPr>
        <w:t> </w:t>
      </w:r>
      <w:r>
        <w:rPr>
          <w:vertAlign w:val="baseline"/>
        </w:rPr>
        <w:t>art.8(2)</w:t>
      </w:r>
      <w:r>
        <w:rPr>
          <w:spacing w:val="-3"/>
          <w:vertAlign w:val="baseline"/>
        </w:rPr>
        <w:t> </w:t>
      </w:r>
      <w:r>
        <w:rPr>
          <w:vertAlign w:val="baseline"/>
        </w:rPr>
        <w:t>or</w:t>
      </w:r>
      <w:r>
        <w:rPr>
          <w:spacing w:val="-3"/>
          <w:vertAlign w:val="baseline"/>
        </w:rPr>
        <w:t> </w:t>
      </w:r>
      <w:r>
        <w:rPr>
          <w:vertAlign w:val="baseline"/>
        </w:rPr>
        <w:t>(3)</w:t>
      </w:r>
      <w:r>
        <w:rPr>
          <w:spacing w:val="-3"/>
          <w:vertAlign w:val="baseline"/>
        </w:rPr>
        <w:t> </w:t>
      </w:r>
      <w:r>
        <w:rPr>
          <w:vertAlign w:val="baseline"/>
        </w:rPr>
        <w:t>to</w:t>
      </w:r>
      <w:r>
        <w:rPr>
          <w:spacing w:val="-3"/>
          <w:vertAlign w:val="baseline"/>
        </w:rPr>
        <w:t> </w:t>
      </w:r>
      <w:r>
        <w:rPr>
          <w:vertAlign w:val="baseline"/>
        </w:rPr>
        <w:t>justify</w:t>
      </w:r>
      <w:r>
        <w:rPr>
          <w:spacing w:val="-3"/>
          <w:vertAlign w:val="baseline"/>
        </w:rPr>
        <w:t> </w:t>
      </w:r>
      <w:r>
        <w:rPr>
          <w:vertAlign w:val="baseline"/>
        </w:rPr>
        <w:t>invocation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rule</w:t>
      </w:r>
      <w:r>
        <w:rPr>
          <w:spacing w:val="-3"/>
          <w:vertAlign w:val="baseline"/>
        </w:rPr>
        <w:t> </w:t>
      </w:r>
      <w:r>
        <w:rPr>
          <w:vertAlign w:val="baseline"/>
        </w:rPr>
        <w:t>of</w:t>
      </w:r>
      <w:r>
        <w:rPr>
          <w:spacing w:val="-3"/>
          <w:vertAlign w:val="baseline"/>
        </w:rPr>
        <w:t> </w:t>
      </w:r>
      <w:r>
        <w:rPr>
          <w:vertAlign w:val="baseline"/>
        </w:rPr>
        <w:t>displacement.</w:t>
      </w:r>
      <w:r>
        <w:rPr>
          <w:spacing w:val="-4"/>
          <w:vertAlign w:val="baseline"/>
        </w:rPr>
        <w:t> </w:t>
      </w:r>
      <w:r>
        <w:rPr>
          <w:color w:val="005DA1"/>
          <w:u w:val="single" w:color="005DA1"/>
          <w:vertAlign w:val="superscript"/>
        </w:rPr>
        <w:t>1054</w:t>
      </w:r>
      <w:r>
        <w:rPr>
          <w:color w:val="005DA1"/>
          <w:spacing w:val="-3"/>
          <w:vertAlign w:val="baseline"/>
        </w:rPr>
        <w:t> </w:t>
      </w:r>
      <w:r>
        <w:rPr>
          <w:vertAlign w:val="baseline"/>
        </w:rPr>
        <w:t>It </w:t>
      </w:r>
      <w:bookmarkStart w:name="_bookmark1988" w:id="1990"/>
      <w:bookmarkEnd w:id="1990"/>
      <w:r>
        <w:rPr>
          <w:vertAlign w:val="baseline"/>
        </w:rPr>
        <w:t>may,</w:t>
      </w:r>
      <w:r>
        <w:rPr>
          <w:vertAlign w:val="baseline"/>
        </w:rPr>
        <w:t> therefore, in the context of employment contracts, be somewhat more easy to displace the application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found</w:t>
      </w:r>
      <w:r>
        <w:rPr>
          <w:spacing w:val="1"/>
          <w:vertAlign w:val="baseline"/>
        </w:rPr>
        <w:t> </w:t>
      </w:r>
      <w:r>
        <w:rPr>
          <w:vertAlign w:val="baseline"/>
        </w:rPr>
        <w:t>to</w:t>
      </w:r>
      <w:r>
        <w:rPr>
          <w:spacing w:val="1"/>
          <w:vertAlign w:val="baseline"/>
        </w:rPr>
        <w:t> </w:t>
      </w:r>
      <w:r>
        <w:rPr>
          <w:vertAlign w:val="baseline"/>
        </w:rPr>
        <w:t>govern</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by</w:t>
      </w:r>
      <w:r>
        <w:rPr>
          <w:spacing w:val="1"/>
          <w:vertAlign w:val="baseline"/>
        </w:rPr>
        <w:t> </w:t>
      </w:r>
      <w:r>
        <w:rPr>
          <w:vertAlign w:val="baseline"/>
        </w:rPr>
        <w:t>reference,</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to</w:t>
      </w:r>
      <w:r>
        <w:rPr>
          <w:spacing w:val="1"/>
          <w:vertAlign w:val="baseline"/>
        </w:rPr>
        <w:t> </w:t>
      </w:r>
      <w:r>
        <w:rPr>
          <w:vertAlign w:val="baseline"/>
        </w:rPr>
        <w:t>art.8(2)</w:t>
      </w:r>
      <w:r>
        <w:rPr>
          <w:spacing w:val="1"/>
          <w:vertAlign w:val="baseline"/>
        </w:rPr>
        <w:t> </w:t>
      </w:r>
      <w:r>
        <w:rPr>
          <w:vertAlign w:val="baseline"/>
        </w:rPr>
        <w:t>or</w:t>
      </w:r>
      <w:r>
        <w:rPr>
          <w:spacing w:val="1"/>
          <w:vertAlign w:val="baseline"/>
        </w:rPr>
        <w:t> </w:t>
      </w:r>
      <w:r>
        <w:rPr>
          <w:spacing w:val="-4"/>
          <w:vertAlign w:val="baseline"/>
        </w:rPr>
        <w:t>(3).</w:t>
      </w:r>
    </w:p>
    <w:p>
      <w:pPr>
        <w:spacing w:line="112" w:lineRule="exact" w:before="0"/>
        <w:ind w:left="165" w:right="0" w:firstLine="0"/>
        <w:jc w:val="left"/>
        <w:rPr>
          <w:sz w:val="12"/>
        </w:rPr>
      </w:pPr>
      <w:r>
        <w:rPr>
          <w:color w:val="005DA1"/>
          <w:spacing w:val="-4"/>
          <w:sz w:val="12"/>
          <w:u w:val="single" w:color="005DA1"/>
        </w:rPr>
        <w:t>1055</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hAnsi="Arial"/>
          <w:b/>
          <w:sz w:val="18"/>
        </w:rPr>
      </w:pPr>
      <w:r>
        <w:rPr>
          <w:rFonts w:ascii="Arial" w:hAnsi="Arial"/>
          <w:b/>
          <w:sz w:val="18"/>
        </w:rPr>
        <w:t>“Overriding mandatory </w:t>
      </w:r>
      <w:r>
        <w:rPr>
          <w:rFonts w:ascii="Arial" w:hAnsi="Arial"/>
          <w:b/>
          <w:spacing w:val="-2"/>
          <w:sz w:val="18"/>
        </w:rPr>
        <w:t>provisions”</w:t>
      </w:r>
    </w:p>
    <w:p>
      <w:pPr>
        <w:pStyle w:val="BodyText"/>
        <w:spacing w:before="42"/>
        <w:rPr>
          <w:rFonts w:ascii="Arial"/>
          <w:b/>
          <w:sz w:val="18"/>
        </w:rPr>
      </w:pPr>
    </w:p>
    <w:p>
      <w:pPr>
        <w:pStyle w:val="Heading2"/>
      </w:pPr>
      <w:r>
        <w:rPr/>
        <w:t>30-</w:t>
      </w:r>
      <w:r>
        <w:rPr>
          <w:spacing w:val="-5"/>
        </w:rPr>
        <w:t>287</w:t>
      </w:r>
    </w:p>
    <w:p>
      <w:pPr>
        <w:pStyle w:val="BodyText"/>
        <w:spacing w:line="235" w:lineRule="auto" w:before="202"/>
        <w:ind w:left="165" w:right="166"/>
        <w:jc w:val="both"/>
      </w:pPr>
      <w:r>
        <w:rPr/>
        <w:t>It</w:t>
      </w:r>
      <w:r>
        <w:rPr>
          <w:spacing w:val="-1"/>
        </w:rPr>
        <w:t> </w:t>
      </w:r>
      <w:r>
        <w:rPr/>
        <w:t>should</w:t>
      </w:r>
      <w:r>
        <w:rPr>
          <w:spacing w:val="-1"/>
        </w:rPr>
        <w:t> </w:t>
      </w:r>
      <w:r>
        <w:rPr/>
        <w:t>finally</w:t>
      </w:r>
      <w:r>
        <w:rPr>
          <w:spacing w:val="-1"/>
        </w:rPr>
        <w:t> </w:t>
      </w:r>
      <w:r>
        <w:rPr/>
        <w:t>be</w:t>
      </w:r>
      <w:r>
        <w:rPr>
          <w:spacing w:val="-1"/>
        </w:rPr>
        <w:t> </w:t>
      </w:r>
      <w:r>
        <w:rPr/>
        <w:t>noted</w:t>
      </w:r>
      <w:r>
        <w:rPr>
          <w:spacing w:val="-1"/>
        </w:rPr>
        <w:t> </w:t>
      </w:r>
      <w:r>
        <w:rPr/>
        <w:t>that</w:t>
      </w:r>
      <w:r>
        <w:rPr>
          <w:spacing w:val="-1"/>
        </w:rPr>
        <w:t> </w:t>
      </w:r>
      <w:r>
        <w:rPr/>
        <w:t>it</w:t>
      </w:r>
      <w:r>
        <w:rPr>
          <w:spacing w:val="-1"/>
        </w:rPr>
        <w:t> </w:t>
      </w:r>
      <w:r>
        <w:rPr/>
        <w:t>is</w:t>
      </w:r>
      <w:r>
        <w:rPr>
          <w:spacing w:val="-1"/>
        </w:rPr>
        <w:t> </w:t>
      </w:r>
      <w:r>
        <w:rPr/>
        <w:t>conceivable</w:t>
      </w:r>
      <w:r>
        <w:rPr>
          <w:spacing w:val="-1"/>
        </w:rPr>
        <w:t> </w:t>
      </w:r>
      <w:r>
        <w:rPr/>
        <w:t>that</w:t>
      </w:r>
      <w:r>
        <w:rPr>
          <w:spacing w:val="-1"/>
        </w:rPr>
        <w:t> </w:t>
      </w:r>
      <w:r>
        <w:rPr/>
        <w:t>the</w:t>
      </w:r>
      <w:r>
        <w:rPr>
          <w:spacing w:val="-1"/>
        </w:rPr>
        <w:t> </w:t>
      </w:r>
      <w:r>
        <w:rPr/>
        <w:t>effect</w:t>
      </w:r>
      <w:r>
        <w:rPr>
          <w:spacing w:val="-1"/>
        </w:rPr>
        <w:t> </w:t>
      </w:r>
      <w:r>
        <w:rPr/>
        <w:t>of</w:t>
      </w:r>
      <w:r>
        <w:rPr>
          <w:spacing w:val="-1"/>
        </w:rPr>
        <w:t> </w:t>
      </w:r>
      <w:r>
        <w:rPr/>
        <w:t>a</w:t>
      </w:r>
      <w:r>
        <w:rPr>
          <w:spacing w:val="-1"/>
        </w:rPr>
        <w:t> </w:t>
      </w:r>
      <w:r>
        <w:rPr/>
        <w:t>choice</w:t>
      </w:r>
      <w:r>
        <w:rPr>
          <w:spacing w:val="-1"/>
        </w:rPr>
        <w:t> </w:t>
      </w:r>
      <w:r>
        <w:rPr/>
        <w:t>of</w:t>
      </w:r>
      <w:r>
        <w:rPr>
          <w:spacing w:val="-1"/>
        </w:rPr>
        <w:t> </w:t>
      </w:r>
      <w:r>
        <w:rPr/>
        <w:t>law</w:t>
      </w:r>
      <w:r>
        <w:rPr>
          <w:spacing w:val="-1"/>
        </w:rPr>
        <w:t> </w:t>
      </w:r>
      <w:r>
        <w:rPr/>
        <w:t>or</w:t>
      </w:r>
      <w:r>
        <w:rPr>
          <w:spacing w:val="-1"/>
        </w:rPr>
        <w:t> </w:t>
      </w:r>
      <w:r>
        <w:rPr/>
        <w:t>of</w:t>
      </w:r>
      <w:r>
        <w:rPr>
          <w:spacing w:val="-1"/>
        </w:rPr>
        <w:t> </w:t>
      </w:r>
      <w:r>
        <w:rPr/>
        <w:t>the</w:t>
      </w:r>
      <w:r>
        <w:rPr>
          <w:spacing w:val="-1"/>
        </w:rPr>
        <w:t> </w:t>
      </w:r>
      <w:r>
        <w:rPr/>
        <w:t>law</w:t>
      </w:r>
      <w:r>
        <w:rPr>
          <w:spacing w:val="-1"/>
        </w:rPr>
        <w:t> </w:t>
      </w:r>
      <w:r>
        <w:rPr/>
        <w:t>that</w:t>
      </w:r>
      <w:r>
        <w:rPr>
          <w:spacing w:val="-1"/>
        </w:rPr>
        <w:t> </w:t>
      </w:r>
      <w:r>
        <w:rPr/>
        <w:t>would be applicable in the absence of choice could be limited by reference to overriding mandatory </w:t>
      </w:r>
      <w:bookmarkStart w:name="_bookmark1989" w:id="1991"/>
      <w:bookmarkEnd w:id="1991"/>
      <w:r>
        <w:rPr/>
        <w:t>provisions</w:t>
      </w:r>
      <w:r>
        <w:rPr>
          <w:spacing w:val="-2"/>
        </w:rPr>
        <w:t> </w:t>
      </w:r>
      <w:r>
        <w:rPr/>
        <w:t>of</w:t>
      </w:r>
      <w:r>
        <w:rPr>
          <w:spacing w:val="-2"/>
        </w:rPr>
        <w:t> </w:t>
      </w:r>
      <w:r>
        <w:rPr/>
        <w:t>the</w:t>
      </w:r>
      <w:r>
        <w:rPr>
          <w:spacing w:val="-2"/>
        </w:rPr>
        <w:t> </w:t>
      </w:r>
      <w:r>
        <w:rPr/>
        <w:t>law</w:t>
      </w:r>
      <w:r>
        <w:rPr>
          <w:spacing w:val="-2"/>
        </w:rPr>
        <w:t> </w:t>
      </w:r>
      <w:r>
        <w:rPr/>
        <w:t>of</w:t>
      </w:r>
      <w:r>
        <w:rPr>
          <w:spacing w:val="-2"/>
        </w:rPr>
        <w:t> </w:t>
      </w:r>
      <w:r>
        <w:rPr/>
        <w:t>the</w:t>
      </w:r>
      <w:r>
        <w:rPr>
          <w:spacing w:val="-2"/>
        </w:rPr>
        <w:t> </w:t>
      </w:r>
      <w:r>
        <w:rPr/>
        <w:t>forum</w:t>
      </w:r>
      <w:r>
        <w:rPr>
          <w:spacing w:val="-2"/>
        </w:rPr>
        <w:t> </w:t>
      </w:r>
      <w:r>
        <w:rPr/>
        <w:t>or</w:t>
      </w:r>
      <w:r>
        <w:rPr>
          <w:spacing w:val="-2"/>
        </w:rPr>
        <w:t> </w:t>
      </w:r>
      <w:r>
        <w:rPr/>
        <w:t>perhaps</w:t>
      </w:r>
      <w:r>
        <w:rPr>
          <w:spacing w:val="-2"/>
        </w:rPr>
        <w:t> </w:t>
      </w:r>
      <w:r>
        <w:rPr/>
        <w:t>by</w:t>
      </w:r>
      <w:r>
        <w:rPr>
          <w:spacing w:val="-2"/>
        </w:rPr>
        <w:t> </w:t>
      </w:r>
      <w:r>
        <w:rPr/>
        <w:t>relevant</w:t>
      </w:r>
      <w:r>
        <w:rPr>
          <w:spacing w:val="-2"/>
        </w:rPr>
        <w:t> </w:t>
      </w:r>
      <w:r>
        <w:rPr/>
        <w:t>overriding</w:t>
      </w:r>
      <w:r>
        <w:rPr>
          <w:spacing w:val="-2"/>
        </w:rPr>
        <w:t> </w:t>
      </w:r>
      <w:r>
        <w:rPr/>
        <w:t>mandatory</w:t>
      </w:r>
      <w:r>
        <w:rPr>
          <w:spacing w:val="-2"/>
        </w:rPr>
        <w:t> </w:t>
      </w:r>
      <w:r>
        <w:rPr/>
        <w:t>provisions</w:t>
      </w:r>
      <w:r>
        <w:rPr>
          <w:spacing w:val="-2"/>
        </w:rPr>
        <w:t> </w:t>
      </w:r>
      <w:r>
        <w:rPr/>
        <w:t>of</w:t>
      </w:r>
      <w:r>
        <w:rPr>
          <w:spacing w:val="-2"/>
        </w:rPr>
        <w:t> </w:t>
      </w:r>
      <w:r>
        <w:rPr/>
        <w:t>the</w:t>
      </w:r>
      <w:r>
        <w:rPr>
          <w:spacing w:val="-2"/>
        </w:rPr>
        <w:t> </w:t>
      </w:r>
      <w:r>
        <w:rPr/>
        <w:t>law</w:t>
      </w:r>
      <w:r>
        <w:rPr>
          <w:spacing w:val="-2"/>
        </w:rPr>
        <w:t> </w:t>
      </w:r>
      <w:r>
        <w:rPr/>
        <w:t>of the country where the contract has been or has to be performed. </w:t>
      </w:r>
      <w:r>
        <w:rPr>
          <w:color w:val="005DA1"/>
          <w:u w:val="single" w:color="005DA1"/>
          <w:vertAlign w:val="superscript"/>
        </w:rPr>
        <w:t>1056</w:t>
      </w:r>
      <w:r>
        <w:rPr>
          <w:color w:val="005DA1"/>
          <w:vertAlign w:val="baseline"/>
        </w:rPr>
        <w:t> </w:t>
      </w:r>
      <w:r>
        <w:rPr>
          <w:vertAlign w:val="baseline"/>
        </w:rPr>
        <w:t>It is suggested that rules prohibiting discrimination in employment, particularly race discrimination, sex discrimination, </w:t>
      </w:r>
      <w:r>
        <w:rPr>
          <w:vertAlign w:val="baseline"/>
        </w:rPr>
        <w:t>sexual orientation discrimination, disability discrimination and age discrimination should be regarded as provisions, respect for which the United Kingdom regards as crucial for protecting its social and perhaps economic and political interests for the purposes of art 9(1) of the Regulation, so that art.9(2) </w:t>
      </w:r>
      <w:bookmarkStart w:name="_bookmark1990" w:id="1992"/>
      <w:bookmarkEnd w:id="1992"/>
      <w:r>
        <w:rPr>
          <w:vertAlign w:val="baseline"/>
        </w:rPr>
        <w:t>may</w:t>
      </w:r>
      <w:r>
        <w:rPr>
          <w:vertAlign w:val="baseline"/>
        </w:rPr>
        <w:t> be applied, particularly when such rules apply irrespective of the law applicable to the </w:t>
      </w:r>
      <w:bookmarkStart w:name="_bookmark1991" w:id="1993"/>
      <w:bookmarkEnd w:id="1993"/>
      <w:r>
        <w:rPr>
          <w:vertAlign w:val="baseline"/>
        </w:rPr>
        <w:t>employment</w:t>
      </w:r>
      <w:r>
        <w:rPr>
          <w:vertAlign w:val="baseline"/>
        </w:rPr>
        <w:t> contract. </w:t>
      </w:r>
      <w:r>
        <w:rPr>
          <w:color w:val="005DA1"/>
          <w:u w:val="single" w:color="005DA1"/>
          <w:vertAlign w:val="superscript"/>
        </w:rPr>
        <w:t>1057</w:t>
      </w:r>
      <w:r>
        <w:rPr>
          <w:color w:val="005DA1"/>
          <w:vertAlign w:val="baseline"/>
        </w:rPr>
        <w:t> </w:t>
      </w:r>
      <w:r>
        <w:rPr>
          <w:vertAlign w:val="baseline"/>
        </w:rPr>
        <w:t>Protection against unfair dismissal should also be so regarded, since it reflects the social interest of preventing unfair treatment of employees in the work place. </w:t>
      </w:r>
      <w:r>
        <w:rPr>
          <w:color w:val="005DA1"/>
          <w:u w:val="single" w:color="005DA1"/>
          <w:vertAlign w:val="superscript"/>
        </w:rPr>
        <w:t>1058</w:t>
      </w:r>
    </w:p>
    <w:p>
      <w:pPr>
        <w:pStyle w:val="BodyText"/>
      </w:pPr>
    </w:p>
    <w:p>
      <w:pPr>
        <w:pStyle w:val="BodyText"/>
        <w:spacing w:before="35"/>
      </w:pPr>
    </w:p>
    <w:p>
      <w:pPr>
        <w:spacing w:before="0"/>
        <w:ind w:left="165" w:right="0" w:firstLine="0"/>
        <w:jc w:val="left"/>
        <w:rPr>
          <w:rFonts w:ascii="Arial"/>
          <w:b/>
          <w:sz w:val="18"/>
        </w:rPr>
      </w:pPr>
      <w:r>
        <w:rPr>
          <w:rFonts w:ascii="Arial"/>
          <w:b/>
          <w:sz w:val="18"/>
        </w:rPr>
        <w:t>Contract and </w:t>
      </w:r>
      <w:r>
        <w:rPr>
          <w:rFonts w:ascii="Arial"/>
          <w:b/>
          <w:spacing w:val="-4"/>
          <w:sz w:val="18"/>
        </w:rPr>
        <w:t>tort</w:t>
      </w:r>
    </w:p>
    <w:p>
      <w:pPr>
        <w:pStyle w:val="BodyText"/>
        <w:spacing w:before="41"/>
        <w:rPr>
          <w:rFonts w:ascii="Arial"/>
          <w:b/>
          <w:sz w:val="18"/>
        </w:rPr>
      </w:pPr>
    </w:p>
    <w:p>
      <w:pPr>
        <w:pStyle w:val="Heading2"/>
      </w:pPr>
      <w:r>
        <w:rPr/>
        <w:t>30-</w:t>
      </w:r>
      <w:r>
        <w:rPr>
          <w:spacing w:val="-5"/>
        </w:rPr>
        <w:t>288</w:t>
      </w:r>
    </w:p>
    <w:p>
      <w:pPr>
        <w:pStyle w:val="BodyText"/>
        <w:spacing w:line="235" w:lineRule="auto" w:before="203"/>
        <w:ind w:left="165" w:right="167"/>
        <w:jc w:val="both"/>
      </w:pPr>
      <w:bookmarkStart w:name="_bookmark1992" w:id="1994"/>
      <w:bookmarkEnd w:id="1994"/>
      <w:r>
        <w:rPr/>
      </w:r>
      <w:r>
        <w:rPr/>
        <w:t>In English law, an employee may have alternative claims in contract or tort against his employer </w:t>
      </w:r>
      <w:r>
        <w:rPr/>
        <w:t>for, say, breach of contract or negligence, in respect of injuries suffered at work. </w:t>
      </w:r>
      <w:r>
        <w:rPr>
          <w:color w:val="005DA1"/>
          <w:u w:val="single" w:color="005DA1"/>
          <w:vertAlign w:val="superscript"/>
        </w:rPr>
        <w:t>1059</w:t>
      </w:r>
      <w:r>
        <w:rPr>
          <w:color w:val="005DA1"/>
          <w:vertAlign w:val="baseline"/>
        </w:rPr>
        <w:t> </w:t>
      </w:r>
      <w:r>
        <w:rPr>
          <w:vertAlign w:val="baseline"/>
        </w:rPr>
        <w:t>As explained earlier in this chapter, it is unlikely that this option will remain, as between the Rome I Regulation in respect </w:t>
      </w:r>
      <w:bookmarkStart w:name="_bookmark1993" w:id="1995"/>
      <w:bookmarkEnd w:id="1995"/>
      <w:r>
        <w:rPr>
          <w:vertAlign w:val="baseline"/>
        </w:rPr>
        <w:t>of</w:t>
      </w:r>
      <w:r>
        <w:rPr>
          <w:vertAlign w:val="baseline"/>
        </w:rPr>
        <w:t> the contractual claim and the Rome II Regulation in respect of the noncontractual (tortious) claim, since the scope of each Regulation will be regarded as mutually exclusive. </w:t>
      </w:r>
      <w:r>
        <w:rPr>
          <w:color w:val="005DA1"/>
          <w:u w:val="single" w:color="005DA1"/>
          <w:vertAlign w:val="superscript"/>
        </w:rPr>
        <w:t>1060</w:t>
      </w:r>
      <w:r>
        <w:rPr>
          <w:color w:val="005DA1"/>
          <w:vertAlign w:val="baseline"/>
        </w:rPr>
        <w:t> </w:t>
      </w:r>
      <w:r>
        <w:rPr>
          <w:vertAlign w:val="baseline"/>
        </w:rPr>
        <w:t>It is not entirely clear, </w:t>
      </w:r>
      <w:bookmarkStart w:name="_bookmark1994" w:id="1996"/>
      <w:bookmarkEnd w:id="1996"/>
      <w:r>
        <w:rPr>
          <w:vertAlign w:val="baseline"/>
        </w:rPr>
        <w:t>however,</w:t>
      </w:r>
      <w:r>
        <w:rPr>
          <w:vertAlign w:val="baseline"/>
        </w:rPr>
        <w:t> whether such a claim will be regarded as contractual or tortious in character. It is</w:t>
      </w:r>
      <w:r>
        <w:rPr>
          <w:spacing w:val="80"/>
          <w:vertAlign w:val="baseline"/>
        </w:rPr>
        <w:t> </w:t>
      </w:r>
      <w:r>
        <w:rPr>
          <w:vertAlign w:val="baseline"/>
        </w:rPr>
        <w:t>suggested,</w:t>
      </w:r>
      <w:r>
        <w:rPr>
          <w:spacing w:val="21"/>
          <w:vertAlign w:val="baseline"/>
        </w:rPr>
        <w:t> </w:t>
      </w:r>
      <w:r>
        <w:rPr>
          <w:vertAlign w:val="baseline"/>
        </w:rPr>
        <w:t>with</w:t>
      </w:r>
      <w:r>
        <w:rPr>
          <w:spacing w:val="21"/>
          <w:vertAlign w:val="baseline"/>
        </w:rPr>
        <w:t> </w:t>
      </w:r>
      <w:r>
        <w:rPr>
          <w:vertAlign w:val="baseline"/>
        </w:rPr>
        <w:t>hesitation,</w:t>
      </w:r>
      <w:r>
        <w:rPr>
          <w:spacing w:val="21"/>
          <w:vertAlign w:val="baseline"/>
        </w:rPr>
        <w:t> </w:t>
      </w:r>
      <w:r>
        <w:rPr>
          <w:vertAlign w:val="baseline"/>
        </w:rPr>
        <w:t>that</w:t>
      </w:r>
      <w:r>
        <w:rPr>
          <w:spacing w:val="21"/>
          <w:vertAlign w:val="baseline"/>
        </w:rPr>
        <w:t> </w:t>
      </w:r>
      <w:r>
        <w:rPr>
          <w:vertAlign w:val="baseline"/>
        </w:rPr>
        <w:t>it</w:t>
      </w:r>
      <w:r>
        <w:rPr>
          <w:spacing w:val="21"/>
          <w:vertAlign w:val="baseline"/>
        </w:rPr>
        <w:t> </w:t>
      </w:r>
      <w:r>
        <w:rPr>
          <w:vertAlign w:val="baseline"/>
        </w:rPr>
        <w:t>should</w:t>
      </w:r>
      <w:r>
        <w:rPr>
          <w:spacing w:val="21"/>
          <w:vertAlign w:val="baseline"/>
        </w:rPr>
        <w:t> </w:t>
      </w:r>
      <w:r>
        <w:rPr>
          <w:vertAlign w:val="baseline"/>
        </w:rPr>
        <w:t>be</w:t>
      </w:r>
      <w:r>
        <w:rPr>
          <w:spacing w:val="21"/>
          <w:vertAlign w:val="baseline"/>
        </w:rPr>
        <w:t> </w:t>
      </w:r>
      <w:r>
        <w:rPr>
          <w:vertAlign w:val="baseline"/>
        </w:rPr>
        <w:t>regarded</w:t>
      </w:r>
      <w:r>
        <w:rPr>
          <w:spacing w:val="21"/>
          <w:vertAlign w:val="baseline"/>
        </w:rPr>
        <w:t> </w:t>
      </w:r>
      <w:r>
        <w:rPr>
          <w:vertAlign w:val="baseline"/>
        </w:rPr>
        <w:t>as</w:t>
      </w:r>
      <w:r>
        <w:rPr>
          <w:spacing w:val="21"/>
          <w:vertAlign w:val="baseline"/>
        </w:rPr>
        <w:t> </w:t>
      </w:r>
      <w:r>
        <w:rPr>
          <w:vertAlign w:val="baseline"/>
        </w:rPr>
        <w:t>arising</w:t>
      </w:r>
      <w:r>
        <w:rPr>
          <w:spacing w:val="21"/>
          <w:vertAlign w:val="baseline"/>
        </w:rPr>
        <w:t> </w:t>
      </w:r>
      <w:r>
        <w:rPr>
          <w:vertAlign w:val="baseline"/>
        </w:rPr>
        <w:t>out</w:t>
      </w:r>
      <w:r>
        <w:rPr>
          <w:spacing w:val="21"/>
          <w:vertAlign w:val="baseline"/>
        </w:rPr>
        <w:t> </w:t>
      </w:r>
      <w:r>
        <w:rPr>
          <w:vertAlign w:val="baseline"/>
        </w:rPr>
        <w:t>of</w:t>
      </w:r>
      <w:r>
        <w:rPr>
          <w:spacing w:val="21"/>
          <w:vertAlign w:val="baseline"/>
        </w:rPr>
        <w:t> </w:t>
      </w:r>
      <w:r>
        <w:rPr>
          <w:vertAlign w:val="baseline"/>
        </w:rPr>
        <w:t>a</w:t>
      </w:r>
      <w:r>
        <w:rPr>
          <w:spacing w:val="21"/>
          <w:vertAlign w:val="baseline"/>
        </w:rPr>
        <w:t> </w:t>
      </w:r>
      <w:r>
        <w:rPr>
          <w:vertAlign w:val="baseline"/>
        </w:rPr>
        <w:t>non-contractual</w:t>
      </w:r>
      <w:r>
        <w:rPr>
          <w:spacing w:val="21"/>
          <w:vertAlign w:val="baseline"/>
        </w:rPr>
        <w:t> </w:t>
      </w:r>
      <w:r>
        <w:rPr>
          <w:spacing w:val="-2"/>
          <w:vertAlign w:val="baseline"/>
        </w:rPr>
        <w:t>obligation.</w:t>
      </w:r>
    </w:p>
    <w:p>
      <w:pPr>
        <w:spacing w:line="111" w:lineRule="exact" w:before="0"/>
        <w:ind w:left="165" w:right="0" w:firstLine="0"/>
        <w:jc w:val="left"/>
        <w:rPr>
          <w:sz w:val="12"/>
        </w:rPr>
      </w:pPr>
      <w:r>
        <w:rPr>
          <w:color w:val="005DA1"/>
          <w:spacing w:val="-4"/>
          <w:sz w:val="12"/>
          <w:u w:val="single" w:color="005DA1"/>
        </w:rPr>
        <w:t>1061</w:t>
      </w:r>
    </w:p>
    <w:p>
      <w:pPr>
        <w:pStyle w:val="BodyText"/>
      </w:pPr>
    </w:p>
    <w:p>
      <w:pPr>
        <w:pStyle w:val="BodyText"/>
        <w:spacing w:before="151"/>
      </w:pPr>
      <w:r>
        <w:rPr/>
        <mc:AlternateContent>
          <mc:Choice Requires="wps">
            <w:drawing>
              <wp:anchor distT="0" distB="0" distL="0" distR="0" allowOverlap="1" layoutInCell="1" locked="0" behindDoc="1" simplePos="0" relativeHeight="487621632">
                <wp:simplePos x="0" y="0"/>
                <wp:positionH relativeFrom="page">
                  <wp:posOffset>914400</wp:posOffset>
                </wp:positionH>
                <wp:positionV relativeFrom="paragraph">
                  <wp:posOffset>257387</wp:posOffset>
                </wp:positionV>
                <wp:extent cx="5724525"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266737pt;width:450.75pt;height:.1pt;mso-position-horizontal-relative:page;mso-position-vertical-relative:paragraph;z-index:-15694848;mso-wrap-distance-left:0;mso-wrap-distance-right:0" id="docshape36" coordorigin="1440,405" coordsize="9015,0" path="m1440,405l10454,405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1995" w:id="1997"/>
      <w:bookmarkEnd w:id="1997"/>
      <w:r>
        <w:rPr/>
      </w:r>
      <w:hyperlink w:history="true" w:anchor="_bookmark1958">
        <w:r>
          <w:rPr>
            <w:color w:val="005DA1"/>
            <w:position w:val="5"/>
            <w:sz w:val="14"/>
            <w:u w:val="single" w:color="005DA1"/>
          </w:rPr>
          <w:t>1025</w:t>
        </w:r>
      </w:hyperlink>
      <w:r>
        <w:rPr>
          <w:position w:val="5"/>
          <w:sz w:val="14"/>
        </w:rPr>
        <w:t>.</w:t>
      </w:r>
      <w:r>
        <w:rPr>
          <w:spacing w:val="40"/>
          <w:position w:val="5"/>
          <w:sz w:val="14"/>
        </w:rPr>
        <w:t>  </w:t>
      </w:r>
      <w:r>
        <w:rPr>
          <w:sz w:val="20"/>
        </w:rPr>
        <w:t>Dicey,</w:t>
      </w:r>
      <w:r>
        <w:rPr>
          <w:spacing w:val="40"/>
          <w:sz w:val="20"/>
        </w:rPr>
        <w:t> </w:t>
      </w:r>
      <w:r>
        <w:rPr>
          <w:sz w:val="20"/>
        </w:rPr>
        <w:t>Morris</w:t>
      </w:r>
      <w:r>
        <w:rPr>
          <w:spacing w:val="40"/>
          <w:sz w:val="20"/>
        </w:rPr>
        <w:t> </w:t>
      </w:r>
      <w:r>
        <w:rPr>
          <w:sz w:val="20"/>
        </w:rPr>
        <w:t>and</w:t>
      </w:r>
      <w:r>
        <w:rPr>
          <w:spacing w:val="40"/>
          <w:sz w:val="20"/>
        </w:rPr>
        <w:t> </w:t>
      </w:r>
      <w:r>
        <w:rPr>
          <w:sz w:val="20"/>
        </w:rPr>
        <w:t>Collins,</w:t>
      </w:r>
      <w:r>
        <w:rPr>
          <w:spacing w:val="40"/>
          <w:sz w:val="20"/>
        </w:rPr>
        <w:t> </w:t>
      </w:r>
      <w:r>
        <w:rPr>
          <w:sz w:val="20"/>
        </w:rPr>
        <w:t>15th</w:t>
      </w:r>
      <w:r>
        <w:rPr>
          <w:spacing w:val="40"/>
          <w:sz w:val="20"/>
        </w:rPr>
        <w:t> </w:t>
      </w:r>
      <w:r>
        <w:rPr>
          <w:sz w:val="20"/>
        </w:rPr>
        <w:t>edn</w:t>
      </w:r>
      <w:r>
        <w:rPr>
          <w:spacing w:val="40"/>
          <w:sz w:val="20"/>
        </w:rPr>
        <w:t> </w:t>
      </w:r>
      <w:r>
        <w:rPr>
          <w:sz w:val="20"/>
        </w:rPr>
        <w:t>(2012),</w:t>
      </w:r>
      <w:r>
        <w:rPr>
          <w:spacing w:val="40"/>
          <w:sz w:val="20"/>
        </w:rPr>
        <w:t> </w:t>
      </w:r>
      <w:r>
        <w:rPr>
          <w:sz w:val="20"/>
        </w:rPr>
        <w:t>paras</w:t>
      </w:r>
      <w:r>
        <w:rPr>
          <w:spacing w:val="40"/>
          <w:sz w:val="20"/>
        </w:rPr>
        <w:t> </w:t>
      </w:r>
      <w:r>
        <w:rPr>
          <w:sz w:val="20"/>
        </w:rPr>
        <w:t>33R-248</w:t>
      </w:r>
      <w:r>
        <w:rPr>
          <w:spacing w:val="40"/>
          <w:sz w:val="20"/>
        </w:rPr>
        <w:t> </w:t>
      </w:r>
      <w:r>
        <w:rPr>
          <w:sz w:val="20"/>
        </w:rPr>
        <w:t>et</w:t>
      </w:r>
      <w:r>
        <w:rPr>
          <w:spacing w:val="40"/>
          <w:sz w:val="20"/>
        </w:rPr>
        <w:t> </w:t>
      </w:r>
      <w:r>
        <w:rPr>
          <w:sz w:val="20"/>
        </w:rPr>
        <w:t>seq.;</w:t>
      </w:r>
      <w:r>
        <w:rPr>
          <w:spacing w:val="40"/>
          <w:sz w:val="20"/>
        </w:rPr>
        <w:t> </w:t>
      </w:r>
      <w:r>
        <w:rPr>
          <w:rFonts w:ascii="Arial" w:hAnsi="Arial"/>
          <w:i/>
          <w:sz w:val="20"/>
        </w:rPr>
        <w:t>Schleker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Boedeker (C-64/12)</w:t>
      </w:r>
      <w:r>
        <w:rPr>
          <w:rFonts w:ascii="Arial" w:hAnsi="Arial"/>
          <w:i/>
          <w:spacing w:val="-4"/>
          <w:sz w:val="20"/>
        </w:rPr>
        <w:t> </w:t>
      </w:r>
      <w:r>
        <w:rPr>
          <w:rFonts w:ascii="Arial" w:hAnsi="Arial"/>
          <w:i/>
          <w:sz w:val="20"/>
        </w:rPr>
        <w:t>[2014]</w:t>
      </w:r>
      <w:r>
        <w:rPr>
          <w:rFonts w:ascii="Arial" w:hAnsi="Arial"/>
          <w:i/>
          <w:spacing w:val="-4"/>
          <w:sz w:val="20"/>
        </w:rPr>
        <w:t> </w:t>
      </w:r>
      <w:r>
        <w:rPr>
          <w:rFonts w:ascii="Arial" w:hAnsi="Arial"/>
          <w:i/>
          <w:sz w:val="20"/>
        </w:rPr>
        <w:t>Q.B.</w:t>
      </w:r>
      <w:r>
        <w:rPr>
          <w:rFonts w:ascii="Arial" w:hAnsi="Arial"/>
          <w:i/>
          <w:spacing w:val="-4"/>
          <w:sz w:val="20"/>
        </w:rPr>
        <w:t> </w:t>
      </w:r>
      <w:r>
        <w:rPr>
          <w:rFonts w:ascii="Arial" w:hAnsi="Arial"/>
          <w:i/>
          <w:sz w:val="20"/>
        </w:rPr>
        <w:t>320</w:t>
      </w:r>
      <w:r>
        <w:rPr>
          <w:sz w:val="20"/>
        </w:rPr>
        <w:t>,</w:t>
      </w:r>
      <w:r>
        <w:rPr>
          <w:spacing w:val="-4"/>
          <w:sz w:val="20"/>
        </w:rPr>
        <w:t> </w:t>
      </w:r>
      <w:r>
        <w:rPr>
          <w:sz w:val="20"/>
        </w:rPr>
        <w:t>above,</w:t>
      </w:r>
      <w:r>
        <w:rPr>
          <w:spacing w:val="-4"/>
          <w:sz w:val="20"/>
        </w:rPr>
        <w:t> </w:t>
      </w:r>
      <w:r>
        <w:rPr>
          <w:sz w:val="20"/>
        </w:rPr>
        <w:t>para.30-203</w:t>
      </w:r>
      <w:r>
        <w:rPr>
          <w:spacing w:val="-4"/>
          <w:sz w:val="20"/>
        </w:rPr>
        <w:t> </w:t>
      </w:r>
      <w:r>
        <w:rPr>
          <w:sz w:val="20"/>
        </w:rPr>
        <w:t>n.826;</w:t>
      </w:r>
      <w:r>
        <w:rPr>
          <w:spacing w:val="-4"/>
          <w:sz w:val="20"/>
        </w:rPr>
        <w:t> </w:t>
      </w:r>
      <w:r>
        <w:rPr>
          <w:sz w:val="20"/>
        </w:rPr>
        <w:t>Merrett,</w:t>
      </w:r>
      <w:r>
        <w:rPr>
          <w:spacing w:val="-4"/>
          <w:sz w:val="20"/>
        </w:rPr>
        <w:t> </w:t>
      </w:r>
      <w:r>
        <w:rPr>
          <w:rFonts w:ascii="Arial" w:hAnsi="Arial"/>
          <w:i/>
          <w:sz w:val="20"/>
        </w:rPr>
        <w:t>Employment</w:t>
      </w:r>
      <w:r>
        <w:rPr>
          <w:rFonts w:ascii="Arial" w:hAnsi="Arial"/>
          <w:i/>
          <w:spacing w:val="-4"/>
          <w:sz w:val="20"/>
        </w:rPr>
        <w:t> </w:t>
      </w:r>
      <w:r>
        <w:rPr>
          <w:rFonts w:ascii="Arial" w:hAnsi="Arial"/>
          <w:i/>
          <w:sz w:val="20"/>
        </w:rPr>
        <w:t>Contracts</w:t>
      </w:r>
      <w:r>
        <w:rPr>
          <w:rFonts w:ascii="Arial" w:hAnsi="Arial"/>
          <w:i/>
          <w:spacing w:val="-4"/>
          <w:sz w:val="20"/>
        </w:rPr>
        <w:t> </w:t>
      </w:r>
      <w:r>
        <w:rPr>
          <w:rFonts w:ascii="Arial" w:hAnsi="Arial"/>
          <w:i/>
          <w:sz w:val="20"/>
        </w:rPr>
        <w:t>in</w:t>
      </w:r>
      <w:r>
        <w:rPr>
          <w:rFonts w:ascii="Arial" w:hAnsi="Arial"/>
          <w:i/>
          <w:spacing w:val="-4"/>
          <w:sz w:val="20"/>
        </w:rPr>
        <w:t> </w:t>
      </w:r>
      <w:r>
        <w:rPr>
          <w:rFonts w:ascii="Arial" w:hAnsi="Arial"/>
          <w:i/>
          <w:sz w:val="20"/>
        </w:rPr>
        <w:t>Private International Law </w:t>
      </w:r>
      <w:r>
        <w:rPr>
          <w:sz w:val="20"/>
        </w:rPr>
        <w:t>(2011); Plender and Wilderspin, </w:t>
      </w:r>
      <w:r>
        <w:rPr>
          <w:rFonts w:ascii="Arial" w:hAnsi="Arial"/>
          <w:i/>
          <w:sz w:val="20"/>
        </w:rPr>
        <w:t>The Rome I Regulation: the Law Applicable</w:t>
      </w:r>
      <w:r>
        <w:rPr>
          <w:rFonts w:ascii="Arial" w:hAnsi="Arial"/>
          <w:i/>
          <w:spacing w:val="40"/>
          <w:sz w:val="20"/>
        </w:rPr>
        <w:t> </w:t>
      </w:r>
      <w:r>
        <w:rPr>
          <w:rFonts w:ascii="Arial" w:hAnsi="Arial"/>
          <w:i/>
          <w:sz w:val="20"/>
        </w:rPr>
        <w:t>to Contracts in Europe </w:t>
      </w:r>
      <w:r>
        <w:rPr>
          <w:sz w:val="20"/>
        </w:rPr>
        <w:t>(2009), p.171; Barnard (2009) I.L.J. 122; Scott [2010] L.M.C.L.Q. 640; Merrett (2010) I.L.J. 355; Merrett (2015) I.L.J. 53. And see generally </w:t>
      </w:r>
      <w:r>
        <w:rPr>
          <w:rFonts w:ascii="Arial" w:hAnsi="Arial"/>
          <w:i/>
          <w:sz w:val="20"/>
        </w:rPr>
        <w:t>Koelzsch v État du Grand Duché</w:t>
      </w:r>
      <w:r>
        <w:rPr>
          <w:rFonts w:ascii="Arial" w:hAnsi="Arial"/>
          <w:i/>
          <w:spacing w:val="-3"/>
          <w:sz w:val="20"/>
        </w:rPr>
        <w:t> </w:t>
      </w:r>
      <w:r>
        <w:rPr>
          <w:rFonts w:ascii="Arial" w:hAnsi="Arial"/>
          <w:i/>
          <w:sz w:val="20"/>
        </w:rPr>
        <w:t>de</w:t>
      </w:r>
      <w:r>
        <w:rPr>
          <w:rFonts w:ascii="Arial" w:hAnsi="Arial"/>
          <w:i/>
          <w:spacing w:val="-3"/>
          <w:sz w:val="20"/>
        </w:rPr>
        <w:t> </w:t>
      </w:r>
      <w:r>
        <w:rPr>
          <w:rFonts w:ascii="Arial" w:hAnsi="Arial"/>
          <w:i/>
          <w:sz w:val="20"/>
        </w:rPr>
        <w:t>Luxembourg</w:t>
      </w:r>
      <w:r>
        <w:rPr>
          <w:rFonts w:ascii="Arial" w:hAnsi="Arial"/>
          <w:i/>
          <w:spacing w:val="-3"/>
          <w:sz w:val="20"/>
        </w:rPr>
        <w:t> </w:t>
      </w:r>
      <w:r>
        <w:rPr>
          <w:rFonts w:ascii="Arial" w:hAnsi="Arial"/>
          <w:i/>
          <w:sz w:val="20"/>
        </w:rPr>
        <w:t>(C-29/10)</w:t>
      </w:r>
      <w:r>
        <w:rPr>
          <w:rFonts w:ascii="Arial" w:hAnsi="Arial"/>
          <w:i/>
          <w:spacing w:val="-3"/>
          <w:sz w:val="20"/>
        </w:rPr>
        <w:t> </w:t>
      </w:r>
      <w:r>
        <w:rPr>
          <w:rFonts w:ascii="Arial" w:hAnsi="Arial"/>
          <w:i/>
          <w:sz w:val="20"/>
        </w:rPr>
        <w:t>[2012]</w:t>
      </w:r>
      <w:r>
        <w:rPr>
          <w:rFonts w:ascii="Arial" w:hAnsi="Arial"/>
          <w:i/>
          <w:spacing w:val="-3"/>
          <w:sz w:val="20"/>
        </w:rPr>
        <w:t> </w:t>
      </w:r>
      <w:r>
        <w:rPr>
          <w:rFonts w:ascii="Arial" w:hAnsi="Arial"/>
          <w:i/>
          <w:sz w:val="20"/>
        </w:rPr>
        <w:t>Q.B.</w:t>
      </w:r>
      <w:r>
        <w:rPr>
          <w:rFonts w:ascii="Arial" w:hAnsi="Arial"/>
          <w:i/>
          <w:spacing w:val="-3"/>
          <w:sz w:val="20"/>
        </w:rPr>
        <w:t> </w:t>
      </w:r>
      <w:r>
        <w:rPr>
          <w:rFonts w:ascii="Arial" w:hAnsi="Arial"/>
          <w:i/>
          <w:sz w:val="20"/>
        </w:rPr>
        <w:t>210</w:t>
      </w:r>
      <w:r>
        <w:rPr>
          <w:sz w:val="20"/>
        </w:rPr>
        <w:t>;</w:t>
      </w:r>
      <w:r>
        <w:rPr>
          <w:spacing w:val="-3"/>
          <w:sz w:val="20"/>
        </w:rPr>
        <w:t> </w:t>
      </w:r>
      <w:r>
        <w:rPr>
          <w:rFonts w:ascii="Arial" w:hAnsi="Arial"/>
          <w:i/>
          <w:sz w:val="20"/>
        </w:rPr>
        <w:t>Voogsgeerd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Navimer</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(C-384/10)</w:t>
      </w:r>
      <w:r>
        <w:rPr>
          <w:rFonts w:ascii="Arial" w:hAnsi="Arial"/>
          <w:i/>
          <w:spacing w:val="-3"/>
          <w:sz w:val="20"/>
        </w:rPr>
        <w:t> </w:t>
      </w:r>
      <w:r>
        <w:rPr>
          <w:rFonts w:ascii="Arial" w:hAnsi="Arial"/>
          <w:i/>
          <w:sz w:val="20"/>
        </w:rPr>
        <w:t>[2012] I.L.Pr. 16</w:t>
      </w:r>
      <w:r>
        <w:rPr>
          <w:sz w:val="20"/>
        </w:rPr>
        <w:t>, interpreting equivalent but not identical provisions of the Rome Convention art.6, above, para.30-107.</w:t>
      </w:r>
    </w:p>
    <w:p>
      <w:pPr>
        <w:pStyle w:val="BodyText"/>
        <w:spacing w:before="3"/>
      </w:pPr>
    </w:p>
    <w:p>
      <w:pPr>
        <w:spacing w:before="0"/>
        <w:ind w:left="165" w:right="0" w:firstLine="0"/>
        <w:jc w:val="left"/>
        <w:rPr>
          <w:sz w:val="20"/>
        </w:rPr>
      </w:pPr>
      <w:bookmarkStart w:name="_bookmark1996" w:id="1998"/>
      <w:bookmarkEnd w:id="1998"/>
      <w:r>
        <w:rPr/>
      </w:r>
      <w:hyperlink w:history="true" w:anchor="_bookmark1959">
        <w:r>
          <w:rPr>
            <w:color w:val="005DA1"/>
            <w:position w:val="5"/>
            <w:sz w:val="14"/>
            <w:u w:val="single" w:color="005DA1"/>
          </w:rPr>
          <w:t>1026</w:t>
        </w:r>
      </w:hyperlink>
      <w:r>
        <w:rPr>
          <w:position w:val="5"/>
          <w:sz w:val="14"/>
        </w:rPr>
        <w:t>.</w:t>
      </w:r>
      <w:r>
        <w:rPr>
          <w:spacing w:val="55"/>
          <w:position w:val="5"/>
          <w:sz w:val="14"/>
        </w:rPr>
        <w:t>  </w:t>
      </w:r>
      <w:r>
        <w:rPr>
          <w:sz w:val="20"/>
        </w:rPr>
        <w:t>Above,</w:t>
      </w:r>
      <w:r>
        <w:rPr>
          <w:spacing w:val="1"/>
          <w:sz w:val="20"/>
        </w:rPr>
        <w:t> </w:t>
      </w:r>
      <w:r>
        <w:rPr>
          <w:sz w:val="20"/>
        </w:rPr>
        <w:t>paras 30-107 et </w:t>
      </w:r>
      <w:r>
        <w:rPr>
          <w:spacing w:val="-4"/>
          <w:sz w:val="20"/>
        </w:rPr>
        <w:t>seq.</w:t>
      </w:r>
    </w:p>
    <w:p>
      <w:pPr>
        <w:pStyle w:val="BodyText"/>
        <w:spacing w:before="5"/>
      </w:pPr>
    </w:p>
    <w:p>
      <w:pPr>
        <w:pStyle w:val="BodyText"/>
        <w:ind w:left="165"/>
      </w:pPr>
      <w:bookmarkStart w:name="_bookmark1997" w:id="1999"/>
      <w:bookmarkEnd w:id="1999"/>
      <w:r>
        <w:rPr/>
      </w:r>
      <w:hyperlink w:history="true" w:anchor="_bookmark1960">
        <w:r>
          <w:rPr>
            <w:color w:val="005DA1"/>
            <w:position w:val="5"/>
            <w:sz w:val="14"/>
            <w:u w:val="single" w:color="005DA1"/>
          </w:rPr>
          <w:t>1027</w:t>
        </w:r>
      </w:hyperlink>
      <w:r>
        <w:rPr>
          <w:position w:val="5"/>
          <w:sz w:val="14"/>
        </w:rPr>
        <w:t>.</w:t>
      </w:r>
      <w:r>
        <w:rPr>
          <w:spacing w:val="55"/>
          <w:position w:val="5"/>
          <w:sz w:val="14"/>
        </w:rPr>
        <w:t>  </w:t>
      </w:r>
      <w:r>
        <w:rPr/>
        <w:t>Rome</w:t>
      </w:r>
      <w:r>
        <w:rPr>
          <w:spacing w:val="1"/>
        </w:rPr>
        <w:t> </w:t>
      </w:r>
      <w:r>
        <w:rPr/>
        <w:t>Convention art.6(1), above, paras 30-111 et </w:t>
      </w:r>
      <w:r>
        <w:rPr>
          <w:spacing w:val="-4"/>
        </w:rPr>
        <w:t>seq.</w:t>
      </w:r>
    </w:p>
    <w:p>
      <w:pPr>
        <w:pStyle w:val="BodyText"/>
        <w:spacing w:before="5"/>
      </w:pPr>
    </w:p>
    <w:p>
      <w:pPr>
        <w:pStyle w:val="BodyText"/>
        <w:ind w:left="165"/>
      </w:pPr>
      <w:bookmarkStart w:name="_bookmark1998" w:id="2000"/>
      <w:bookmarkEnd w:id="2000"/>
      <w:r>
        <w:rPr/>
      </w:r>
      <w:hyperlink w:history="true" w:anchor="_bookmark1961">
        <w:r>
          <w:rPr>
            <w:color w:val="005DA1"/>
            <w:position w:val="5"/>
            <w:sz w:val="14"/>
            <w:u w:val="single" w:color="005DA1"/>
          </w:rPr>
          <w:t>1028</w:t>
        </w:r>
      </w:hyperlink>
      <w:r>
        <w:rPr>
          <w:position w:val="5"/>
          <w:sz w:val="14"/>
        </w:rPr>
        <w:t>.</w:t>
      </w:r>
      <w:r>
        <w:rPr>
          <w:spacing w:val="55"/>
          <w:position w:val="5"/>
          <w:sz w:val="14"/>
        </w:rPr>
        <w:t>  </w:t>
      </w:r>
      <w:r>
        <w:rPr/>
        <w:t>Rome</w:t>
      </w:r>
      <w:r>
        <w:rPr>
          <w:spacing w:val="1"/>
        </w:rPr>
        <w:t> </w:t>
      </w:r>
      <w:r>
        <w:rPr/>
        <w:t>Convention art.6(2)(a), above, paras 30-118 et </w:t>
      </w:r>
      <w:r>
        <w:rPr>
          <w:spacing w:val="-4"/>
        </w:rPr>
        <w:t>seq.</w:t>
      </w:r>
    </w:p>
    <w:p>
      <w:pPr>
        <w:pStyle w:val="BodyText"/>
        <w:spacing w:before="5"/>
      </w:pPr>
    </w:p>
    <w:p>
      <w:pPr>
        <w:pStyle w:val="BodyText"/>
        <w:ind w:left="165"/>
      </w:pPr>
      <w:bookmarkStart w:name="_bookmark1999" w:id="2001"/>
      <w:bookmarkEnd w:id="2001"/>
      <w:r>
        <w:rPr/>
      </w:r>
      <w:hyperlink w:history="true" w:anchor="_bookmark1962">
        <w:r>
          <w:rPr>
            <w:color w:val="005DA1"/>
            <w:position w:val="5"/>
            <w:sz w:val="14"/>
            <w:u w:val="single" w:color="005DA1"/>
          </w:rPr>
          <w:t>1029</w:t>
        </w:r>
      </w:hyperlink>
      <w:r>
        <w:rPr>
          <w:position w:val="5"/>
          <w:sz w:val="14"/>
        </w:rPr>
        <w:t>.</w:t>
      </w:r>
      <w:r>
        <w:rPr>
          <w:spacing w:val="55"/>
          <w:position w:val="5"/>
          <w:sz w:val="14"/>
        </w:rPr>
        <w:t>  </w:t>
      </w:r>
      <w:r>
        <w:rPr/>
        <w:t>Rome</w:t>
      </w:r>
      <w:r>
        <w:rPr>
          <w:spacing w:val="1"/>
        </w:rPr>
        <w:t> </w:t>
      </w:r>
      <w:r>
        <w:rPr/>
        <w:t>Convention art.6(2)(b) above, paras 30-118 et </w:t>
      </w:r>
      <w:r>
        <w:rPr>
          <w:spacing w:val="-4"/>
        </w:rPr>
        <w:t>seq.</w:t>
      </w:r>
    </w:p>
    <w:p>
      <w:pPr>
        <w:pStyle w:val="BodyText"/>
        <w:spacing w:before="5"/>
      </w:pPr>
    </w:p>
    <w:p>
      <w:pPr>
        <w:pStyle w:val="BodyText"/>
        <w:ind w:left="165"/>
      </w:pPr>
      <w:bookmarkStart w:name="_bookmark2000" w:id="2002"/>
      <w:bookmarkEnd w:id="2002"/>
      <w:r>
        <w:rPr/>
      </w:r>
      <w:hyperlink w:history="true" w:anchor="_bookmark1963">
        <w:r>
          <w:rPr>
            <w:color w:val="005DA1"/>
            <w:position w:val="5"/>
            <w:sz w:val="14"/>
            <w:u w:val="single" w:color="005DA1"/>
          </w:rPr>
          <w:t>1030</w:t>
        </w:r>
      </w:hyperlink>
      <w:r>
        <w:rPr>
          <w:position w:val="5"/>
          <w:sz w:val="14"/>
        </w:rPr>
        <w:t>.</w:t>
      </w:r>
      <w:r>
        <w:rPr>
          <w:spacing w:val="55"/>
          <w:position w:val="5"/>
          <w:sz w:val="14"/>
        </w:rPr>
        <w:t>  </w:t>
      </w:r>
      <w:r>
        <w:rPr/>
        <w:t>Rome</w:t>
      </w:r>
      <w:r>
        <w:rPr>
          <w:spacing w:val="1"/>
        </w:rPr>
        <w:t> </w:t>
      </w:r>
      <w:r>
        <w:rPr/>
        <w:t>Convention art.6(2), proviso, above, para.30-</w:t>
      </w:r>
      <w:r>
        <w:rPr>
          <w:spacing w:val="-4"/>
        </w:rPr>
        <w:t>119.</w:t>
      </w:r>
    </w:p>
    <w:p>
      <w:pPr>
        <w:pStyle w:val="BodyText"/>
        <w:spacing w:after="0"/>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344" w:hRule="atLeast"/>
        </w:trPr>
        <w:tc>
          <w:tcPr>
            <w:tcW w:w="496" w:type="dxa"/>
          </w:tcPr>
          <w:p>
            <w:pPr>
              <w:pStyle w:val="TableParagraph"/>
              <w:spacing w:before="0"/>
              <w:ind w:left="0" w:right="43"/>
              <w:rPr>
                <w:sz w:val="14"/>
              </w:rPr>
            </w:pPr>
            <w:hyperlink w:history="true" w:anchor="_bookmark1964">
              <w:r>
                <w:rPr>
                  <w:color w:val="005DA1"/>
                  <w:spacing w:val="-2"/>
                  <w:sz w:val="14"/>
                  <w:u w:val="single" w:color="005DA1"/>
                </w:rPr>
                <w:t>1031</w:t>
              </w:r>
            </w:hyperlink>
            <w:r>
              <w:rPr>
                <w:spacing w:val="-2"/>
                <w:sz w:val="14"/>
              </w:rPr>
              <w:t>.</w:t>
            </w:r>
          </w:p>
        </w:tc>
        <w:tc>
          <w:tcPr>
            <w:tcW w:w="8621" w:type="dxa"/>
          </w:tcPr>
          <w:p>
            <w:pPr>
              <w:pStyle w:val="TableParagraph"/>
              <w:spacing w:line="223" w:lineRule="exact" w:before="0"/>
              <w:jc w:val="left"/>
              <w:rPr>
                <w:sz w:val="20"/>
              </w:rPr>
            </w:pPr>
            <w:r>
              <w:rPr>
                <w:sz w:val="20"/>
              </w:rPr>
              <w:t>Above, paras 30-107 et </w:t>
            </w:r>
            <w:r>
              <w:rPr>
                <w:spacing w:val="-4"/>
                <w:sz w:val="20"/>
              </w:rPr>
              <w:t>seq.</w:t>
            </w:r>
          </w:p>
        </w:tc>
      </w:tr>
      <w:tr>
        <w:trPr>
          <w:trHeight w:val="1140" w:hRule="atLeast"/>
        </w:trPr>
        <w:tc>
          <w:tcPr>
            <w:tcW w:w="496" w:type="dxa"/>
          </w:tcPr>
          <w:p>
            <w:pPr>
              <w:pStyle w:val="TableParagraph"/>
              <w:ind w:left="0" w:right="43"/>
              <w:rPr>
                <w:sz w:val="14"/>
              </w:rPr>
            </w:pPr>
            <w:bookmarkStart w:name="_bookmark2001" w:id="2003"/>
            <w:bookmarkEnd w:id="2003"/>
            <w:r>
              <w:rPr/>
            </w:r>
            <w:hyperlink w:history="true" w:anchor="_bookmark1965">
              <w:r>
                <w:rPr>
                  <w:color w:val="005DA1"/>
                  <w:spacing w:val="-2"/>
                  <w:sz w:val="14"/>
                  <w:u w:val="single" w:color="005DA1"/>
                </w:rPr>
                <w:t>1032</w:t>
              </w:r>
            </w:hyperlink>
            <w:r>
              <w:rPr>
                <w:spacing w:val="-2"/>
                <w:sz w:val="14"/>
              </w:rPr>
              <w:t>.</w:t>
            </w:r>
          </w:p>
        </w:tc>
        <w:tc>
          <w:tcPr>
            <w:tcW w:w="8621" w:type="dxa"/>
          </w:tcPr>
          <w:p>
            <w:pPr>
              <w:pStyle w:val="TableParagraph"/>
              <w:spacing w:line="235" w:lineRule="auto" w:before="118"/>
              <w:ind w:right="49"/>
              <w:jc w:val="both"/>
              <w:rPr>
                <w:sz w:val="20"/>
              </w:rPr>
            </w:pPr>
            <w:r>
              <w:rPr>
                <w:sz w:val="20"/>
              </w:rPr>
              <w:t>Above, para.30-107. See Recital 35 to the Rome I Regulation. Recital 34 states that art.8</w:t>
            </w:r>
            <w:r>
              <w:rPr>
                <w:spacing w:val="40"/>
                <w:sz w:val="20"/>
              </w:rPr>
              <w:t> </w:t>
            </w:r>
            <w:r>
              <w:rPr>
                <w:sz w:val="20"/>
              </w:rPr>
              <w:t>should not prejudice the application of the overriding mandatory provisions of the country </w:t>
            </w:r>
            <w:r>
              <w:rPr>
                <w:sz w:val="20"/>
              </w:rPr>
              <w:t>to which a worker is posted in accordance with Directive 96/71 concerning the posting of workers in the framework of the provision of services [1997] O.J. L18/1, above, para.30-107.</w:t>
            </w:r>
          </w:p>
        </w:tc>
      </w:tr>
      <w:tr>
        <w:trPr>
          <w:trHeight w:val="465" w:hRule="atLeast"/>
        </w:trPr>
        <w:tc>
          <w:tcPr>
            <w:tcW w:w="496" w:type="dxa"/>
          </w:tcPr>
          <w:p>
            <w:pPr>
              <w:pStyle w:val="TableParagraph"/>
              <w:ind w:left="0" w:right="43"/>
              <w:rPr>
                <w:sz w:val="14"/>
              </w:rPr>
            </w:pPr>
            <w:bookmarkStart w:name="_bookmark2002" w:id="2004"/>
            <w:bookmarkEnd w:id="2004"/>
            <w:r>
              <w:rPr/>
            </w:r>
            <w:hyperlink w:history="true" w:anchor="_bookmark1966">
              <w:r>
                <w:rPr>
                  <w:color w:val="005DA1"/>
                  <w:spacing w:val="-2"/>
                  <w:sz w:val="14"/>
                  <w:u w:val="single" w:color="005DA1"/>
                </w:rPr>
                <w:t>1033</w:t>
              </w:r>
            </w:hyperlink>
            <w:r>
              <w:rPr>
                <w:spacing w:val="-2"/>
                <w:sz w:val="14"/>
              </w:rPr>
              <w:t>.</w:t>
            </w:r>
          </w:p>
        </w:tc>
        <w:tc>
          <w:tcPr>
            <w:tcW w:w="8621" w:type="dxa"/>
          </w:tcPr>
          <w:p>
            <w:pPr>
              <w:pStyle w:val="TableParagraph"/>
              <w:spacing w:before="114"/>
              <w:jc w:val="left"/>
              <w:rPr>
                <w:sz w:val="20"/>
              </w:rPr>
            </w:pPr>
            <w:r>
              <w:rPr>
                <w:sz w:val="20"/>
              </w:rPr>
              <w:t>cf. art.6(1) of the Rome Convention, above, para.30-</w:t>
            </w:r>
            <w:r>
              <w:rPr>
                <w:spacing w:val="-4"/>
                <w:sz w:val="20"/>
              </w:rPr>
              <w:t>111.</w:t>
            </w:r>
          </w:p>
        </w:tc>
      </w:tr>
      <w:tr>
        <w:trPr>
          <w:trHeight w:val="465" w:hRule="atLeast"/>
        </w:trPr>
        <w:tc>
          <w:tcPr>
            <w:tcW w:w="496" w:type="dxa"/>
          </w:tcPr>
          <w:p>
            <w:pPr>
              <w:pStyle w:val="TableParagraph"/>
              <w:ind w:left="0" w:right="43"/>
              <w:rPr>
                <w:sz w:val="14"/>
              </w:rPr>
            </w:pPr>
            <w:bookmarkStart w:name="_bookmark2003" w:id="2005"/>
            <w:bookmarkEnd w:id="2005"/>
            <w:r>
              <w:rPr/>
            </w:r>
            <w:hyperlink w:history="true" w:anchor="_bookmark1967">
              <w:r>
                <w:rPr>
                  <w:color w:val="005DA1"/>
                  <w:spacing w:val="-2"/>
                  <w:sz w:val="14"/>
                  <w:u w:val="single" w:color="005DA1"/>
                </w:rPr>
                <w:t>1034</w:t>
              </w:r>
            </w:hyperlink>
            <w:r>
              <w:rPr>
                <w:spacing w:val="-2"/>
                <w:sz w:val="14"/>
              </w:rPr>
              <w:t>.</w:t>
            </w:r>
          </w:p>
        </w:tc>
        <w:tc>
          <w:tcPr>
            <w:tcW w:w="8621" w:type="dxa"/>
          </w:tcPr>
          <w:p>
            <w:pPr>
              <w:pStyle w:val="TableParagraph"/>
              <w:spacing w:before="114"/>
              <w:jc w:val="left"/>
              <w:rPr>
                <w:sz w:val="20"/>
              </w:rPr>
            </w:pPr>
            <w:r>
              <w:rPr>
                <w:sz w:val="20"/>
              </w:rPr>
              <w:t>cf. art.6(2) of the Convention, above, paras 30-118 et </w:t>
            </w:r>
            <w:r>
              <w:rPr>
                <w:spacing w:val="-4"/>
                <w:sz w:val="20"/>
              </w:rPr>
              <w:t>seq.</w:t>
            </w:r>
          </w:p>
        </w:tc>
      </w:tr>
      <w:tr>
        <w:trPr>
          <w:trHeight w:val="465" w:hRule="atLeast"/>
        </w:trPr>
        <w:tc>
          <w:tcPr>
            <w:tcW w:w="496" w:type="dxa"/>
          </w:tcPr>
          <w:p>
            <w:pPr>
              <w:pStyle w:val="TableParagraph"/>
              <w:ind w:left="0" w:right="43"/>
              <w:rPr>
                <w:sz w:val="14"/>
              </w:rPr>
            </w:pPr>
            <w:bookmarkStart w:name="_bookmark2004" w:id="2006"/>
            <w:bookmarkEnd w:id="2006"/>
            <w:r>
              <w:rPr/>
            </w:r>
            <w:hyperlink w:history="true" w:anchor="_bookmark1968">
              <w:r>
                <w:rPr>
                  <w:color w:val="005DA1"/>
                  <w:spacing w:val="-2"/>
                  <w:sz w:val="14"/>
                  <w:u w:val="single" w:color="005DA1"/>
                </w:rPr>
                <w:t>1035</w:t>
              </w:r>
            </w:hyperlink>
            <w:r>
              <w:rPr>
                <w:spacing w:val="-2"/>
                <w:sz w:val="14"/>
              </w:rPr>
              <w:t>.</w:t>
            </w:r>
          </w:p>
        </w:tc>
        <w:tc>
          <w:tcPr>
            <w:tcW w:w="8621" w:type="dxa"/>
          </w:tcPr>
          <w:p>
            <w:pPr>
              <w:pStyle w:val="TableParagraph"/>
              <w:spacing w:before="114"/>
              <w:jc w:val="left"/>
              <w:rPr>
                <w:sz w:val="20"/>
              </w:rPr>
            </w:pPr>
            <w:r>
              <w:rPr>
                <w:sz w:val="20"/>
              </w:rPr>
              <w:t>Above, paras 30-107 et </w:t>
            </w:r>
            <w:r>
              <w:rPr>
                <w:spacing w:val="-4"/>
                <w:sz w:val="20"/>
              </w:rPr>
              <w:t>seq.</w:t>
            </w:r>
          </w:p>
        </w:tc>
      </w:tr>
      <w:tr>
        <w:trPr>
          <w:trHeight w:val="344" w:hRule="atLeast"/>
        </w:trPr>
        <w:tc>
          <w:tcPr>
            <w:tcW w:w="496" w:type="dxa"/>
          </w:tcPr>
          <w:p>
            <w:pPr>
              <w:pStyle w:val="TableParagraph"/>
              <w:ind w:left="0" w:right="43"/>
              <w:rPr>
                <w:sz w:val="14"/>
              </w:rPr>
            </w:pPr>
            <w:bookmarkStart w:name="_bookmark2005" w:id="2007"/>
            <w:bookmarkEnd w:id="2007"/>
            <w:r>
              <w:rPr/>
            </w:r>
            <w:hyperlink w:history="true" w:anchor="_bookmark1969">
              <w:r>
                <w:rPr>
                  <w:color w:val="005DA1"/>
                  <w:spacing w:val="-2"/>
                  <w:sz w:val="14"/>
                  <w:u w:val="single" w:color="005DA1"/>
                </w:rPr>
                <w:t>1036</w:t>
              </w:r>
            </w:hyperlink>
            <w:r>
              <w:rPr>
                <w:spacing w:val="-2"/>
                <w:sz w:val="14"/>
              </w:rPr>
              <w:t>.</w:t>
            </w:r>
          </w:p>
        </w:tc>
        <w:tc>
          <w:tcPr>
            <w:tcW w:w="8621" w:type="dxa"/>
          </w:tcPr>
          <w:p>
            <w:pPr>
              <w:pStyle w:val="TableParagraph"/>
              <w:spacing w:line="210" w:lineRule="exact" w:before="114"/>
              <w:jc w:val="left"/>
              <w:rPr>
                <w:sz w:val="20"/>
              </w:rPr>
            </w:pPr>
            <w:r>
              <w:rPr>
                <w:sz w:val="20"/>
              </w:rPr>
              <w:t>Above, paras 30-108 et </w:t>
            </w:r>
            <w:r>
              <w:rPr>
                <w:spacing w:val="-4"/>
                <w:sz w:val="20"/>
              </w:rPr>
              <w:t>seq.</w:t>
            </w:r>
          </w:p>
        </w:tc>
      </w:tr>
    </w:tbl>
    <w:p>
      <w:pPr>
        <w:pStyle w:val="BodyText"/>
        <w:spacing w:before="81"/>
        <w:rPr>
          <w:sz w:val="14"/>
        </w:rPr>
      </w:pPr>
    </w:p>
    <w:p>
      <w:pPr>
        <w:spacing w:line="137" w:lineRule="exact" w:before="0"/>
        <w:ind w:left="165" w:right="0" w:firstLine="0"/>
        <w:jc w:val="left"/>
        <w:rPr>
          <w:sz w:val="14"/>
        </w:rPr>
      </w:pPr>
      <w:bookmarkStart w:name="_bookmark2006" w:id="2008"/>
      <w:bookmarkEnd w:id="2008"/>
      <w:r>
        <w:rPr/>
      </w:r>
      <w:hyperlink w:history="true" w:anchor="_bookmark1970">
        <w:r>
          <w:rPr>
            <w:color w:val="005DA1"/>
            <w:spacing w:val="-2"/>
            <w:sz w:val="14"/>
            <w:u w:val="single" w:color="005DA1"/>
          </w:rPr>
          <w:t>1037</w:t>
        </w:r>
      </w:hyperlink>
      <w:r>
        <w:rPr>
          <w:spacing w:val="-2"/>
          <w:sz w:val="14"/>
        </w:rPr>
        <w:t>.</w:t>
      </w:r>
    </w:p>
    <w:p>
      <w:pPr>
        <w:spacing w:line="203" w:lineRule="exact" w:before="0"/>
        <w:ind w:left="0" w:right="168" w:firstLine="0"/>
        <w:jc w:val="right"/>
        <w:rPr>
          <w:sz w:val="20"/>
        </w:rPr>
      </w:pPr>
      <w:r>
        <w:rPr>
          <w:sz w:val="20"/>
        </w:rPr>
        <w:drawing>
          <wp:anchor distT="0" distB="0" distL="0" distR="0" allowOverlap="1" layoutInCell="1" locked="0" behindDoc="0" simplePos="0" relativeHeight="15762944">
            <wp:simplePos x="0" y="0"/>
            <wp:positionH relativeFrom="page">
              <wp:posOffset>1257846</wp:posOffset>
            </wp:positionH>
            <wp:positionV relativeFrom="paragraph">
              <wp:posOffset>13065</wp:posOffset>
            </wp:positionV>
            <wp:extent cx="107988" cy="107988"/>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6" cstate="print"/>
                    <a:stretch>
                      <a:fillRect/>
                    </a:stretch>
                  </pic:blipFill>
                  <pic:spPr>
                    <a:xfrm>
                      <a:off x="0" y="0"/>
                      <a:ext cx="107988" cy="107988"/>
                    </a:xfrm>
                    <a:prstGeom prst="rect">
                      <a:avLst/>
                    </a:prstGeom>
                  </pic:spPr>
                </pic:pic>
              </a:graphicData>
            </a:graphic>
          </wp:anchor>
        </w:drawing>
      </w:r>
      <w:r>
        <w:rPr>
          <w:sz w:val="20"/>
        </w:rPr>
        <w:t>See</w:t>
      </w:r>
      <w:r>
        <w:rPr>
          <w:spacing w:val="77"/>
          <w:sz w:val="20"/>
        </w:rPr>
        <w:t> </w:t>
      </w:r>
      <w:r>
        <w:rPr>
          <w:rFonts w:ascii="Arial"/>
          <w:i/>
          <w:sz w:val="20"/>
        </w:rPr>
        <w:t>WPP</w:t>
      </w:r>
      <w:r>
        <w:rPr>
          <w:rFonts w:ascii="Arial"/>
          <w:i/>
          <w:spacing w:val="78"/>
          <w:sz w:val="20"/>
        </w:rPr>
        <w:t> </w:t>
      </w:r>
      <w:r>
        <w:rPr>
          <w:rFonts w:ascii="Arial"/>
          <w:i/>
          <w:sz w:val="20"/>
        </w:rPr>
        <w:t>Holdings</w:t>
      </w:r>
      <w:r>
        <w:rPr>
          <w:rFonts w:ascii="Arial"/>
          <w:i/>
          <w:spacing w:val="78"/>
          <w:sz w:val="20"/>
        </w:rPr>
        <w:t> </w:t>
      </w:r>
      <w:r>
        <w:rPr>
          <w:rFonts w:ascii="Arial"/>
          <w:i/>
          <w:sz w:val="20"/>
        </w:rPr>
        <w:t>Italy</w:t>
      </w:r>
      <w:r>
        <w:rPr>
          <w:rFonts w:ascii="Arial"/>
          <w:i/>
          <w:spacing w:val="78"/>
          <w:sz w:val="20"/>
        </w:rPr>
        <w:t> </w:t>
      </w:r>
      <w:r>
        <w:rPr>
          <w:rFonts w:ascii="Arial"/>
          <w:i/>
          <w:sz w:val="20"/>
        </w:rPr>
        <w:t>Srl</w:t>
      </w:r>
      <w:r>
        <w:rPr>
          <w:rFonts w:ascii="Arial"/>
          <w:i/>
          <w:spacing w:val="78"/>
          <w:sz w:val="20"/>
        </w:rPr>
        <w:t> </w:t>
      </w:r>
      <w:r>
        <w:rPr>
          <w:rFonts w:ascii="Arial"/>
          <w:i/>
          <w:sz w:val="20"/>
        </w:rPr>
        <w:t>v</w:t>
      </w:r>
      <w:r>
        <w:rPr>
          <w:rFonts w:ascii="Arial"/>
          <w:i/>
          <w:spacing w:val="78"/>
          <w:sz w:val="20"/>
        </w:rPr>
        <w:t> </w:t>
      </w:r>
      <w:r>
        <w:rPr>
          <w:rFonts w:ascii="Arial"/>
          <w:i/>
          <w:sz w:val="20"/>
        </w:rPr>
        <w:t>Benatti</w:t>
      </w:r>
      <w:r>
        <w:rPr>
          <w:rFonts w:ascii="Arial"/>
          <w:i/>
          <w:spacing w:val="78"/>
          <w:sz w:val="20"/>
        </w:rPr>
        <w:t> </w:t>
      </w:r>
      <w:r>
        <w:rPr>
          <w:rFonts w:ascii="Arial"/>
          <w:i/>
          <w:sz w:val="20"/>
        </w:rPr>
        <w:t>[2007]</w:t>
      </w:r>
      <w:r>
        <w:rPr>
          <w:rFonts w:ascii="Arial"/>
          <w:i/>
          <w:spacing w:val="78"/>
          <w:sz w:val="20"/>
        </w:rPr>
        <w:t> </w:t>
      </w:r>
      <w:r>
        <w:rPr>
          <w:rFonts w:ascii="Arial"/>
          <w:i/>
          <w:sz w:val="20"/>
        </w:rPr>
        <w:t>EWCA</w:t>
      </w:r>
      <w:r>
        <w:rPr>
          <w:rFonts w:ascii="Arial"/>
          <w:i/>
          <w:spacing w:val="78"/>
          <w:sz w:val="20"/>
        </w:rPr>
        <w:t> </w:t>
      </w:r>
      <w:r>
        <w:rPr>
          <w:rFonts w:ascii="Arial"/>
          <w:i/>
          <w:sz w:val="20"/>
        </w:rPr>
        <w:t>Civ</w:t>
      </w:r>
      <w:r>
        <w:rPr>
          <w:rFonts w:ascii="Arial"/>
          <w:i/>
          <w:spacing w:val="78"/>
          <w:sz w:val="20"/>
        </w:rPr>
        <w:t> </w:t>
      </w:r>
      <w:r>
        <w:rPr>
          <w:rFonts w:ascii="Arial"/>
          <w:i/>
          <w:sz w:val="20"/>
        </w:rPr>
        <w:t>263,</w:t>
      </w:r>
      <w:r>
        <w:rPr>
          <w:rFonts w:ascii="Arial"/>
          <w:i/>
          <w:spacing w:val="78"/>
          <w:sz w:val="20"/>
        </w:rPr>
        <w:t> </w:t>
      </w:r>
      <w:r>
        <w:rPr>
          <w:rFonts w:ascii="Arial"/>
          <w:i/>
          <w:sz w:val="20"/>
        </w:rPr>
        <w:t>[2007]</w:t>
      </w:r>
      <w:r>
        <w:rPr>
          <w:rFonts w:ascii="Arial"/>
          <w:i/>
          <w:spacing w:val="78"/>
          <w:sz w:val="20"/>
        </w:rPr>
        <w:t> </w:t>
      </w:r>
      <w:r>
        <w:rPr>
          <w:rFonts w:ascii="Arial"/>
          <w:i/>
          <w:sz w:val="20"/>
        </w:rPr>
        <w:t>1</w:t>
      </w:r>
      <w:r>
        <w:rPr>
          <w:rFonts w:ascii="Arial"/>
          <w:i/>
          <w:spacing w:val="78"/>
          <w:sz w:val="20"/>
        </w:rPr>
        <w:t> </w:t>
      </w:r>
      <w:r>
        <w:rPr>
          <w:rFonts w:ascii="Arial"/>
          <w:i/>
          <w:sz w:val="20"/>
        </w:rPr>
        <w:t>W.L.R.</w:t>
      </w:r>
      <w:r>
        <w:rPr>
          <w:rFonts w:ascii="Arial"/>
          <w:i/>
          <w:spacing w:val="78"/>
          <w:sz w:val="20"/>
        </w:rPr>
        <w:t> </w:t>
      </w:r>
      <w:r>
        <w:rPr>
          <w:rFonts w:ascii="Arial"/>
          <w:i/>
          <w:spacing w:val="-4"/>
          <w:sz w:val="20"/>
        </w:rPr>
        <w:t>263</w:t>
      </w:r>
      <w:r>
        <w:rPr>
          <w:spacing w:val="-4"/>
          <w:sz w:val="20"/>
        </w:rPr>
        <w:t>;</w:t>
      </w:r>
    </w:p>
    <w:p>
      <w:pPr>
        <w:spacing w:line="225" w:lineRule="exact" w:before="0"/>
        <w:ind w:left="0" w:right="167" w:firstLine="0"/>
        <w:jc w:val="right"/>
        <w:rPr>
          <w:rFonts w:ascii="Arial"/>
          <w:i/>
          <w:sz w:val="20"/>
        </w:rPr>
      </w:pPr>
      <w:r>
        <w:rPr>
          <w:rFonts w:ascii="Arial"/>
          <w:i/>
          <w:sz w:val="20"/>
        </w:rPr>
        <w:t>Samengo-Turner</w:t>
      </w:r>
      <w:r>
        <w:rPr>
          <w:rFonts w:ascii="Arial"/>
          <w:i/>
          <w:spacing w:val="36"/>
          <w:sz w:val="20"/>
        </w:rPr>
        <w:t> </w:t>
      </w:r>
      <w:r>
        <w:rPr>
          <w:rFonts w:ascii="Arial"/>
          <w:i/>
          <w:sz w:val="20"/>
        </w:rPr>
        <w:t>v</w:t>
      </w:r>
      <w:r>
        <w:rPr>
          <w:rFonts w:ascii="Arial"/>
          <w:i/>
          <w:spacing w:val="36"/>
          <w:sz w:val="20"/>
        </w:rPr>
        <w:t> </w:t>
      </w:r>
      <w:r>
        <w:rPr>
          <w:rFonts w:ascii="Arial"/>
          <w:i/>
          <w:sz w:val="20"/>
        </w:rPr>
        <w:t>J</w:t>
      </w:r>
      <w:r>
        <w:rPr>
          <w:rFonts w:ascii="Arial"/>
          <w:i/>
          <w:spacing w:val="36"/>
          <w:sz w:val="20"/>
        </w:rPr>
        <w:t> </w:t>
      </w:r>
      <w:r>
        <w:rPr>
          <w:rFonts w:ascii="Arial"/>
          <w:i/>
          <w:sz w:val="20"/>
        </w:rPr>
        <w:t>&amp;</w:t>
      </w:r>
      <w:r>
        <w:rPr>
          <w:rFonts w:ascii="Arial"/>
          <w:i/>
          <w:spacing w:val="36"/>
          <w:sz w:val="20"/>
        </w:rPr>
        <w:t> </w:t>
      </w:r>
      <w:r>
        <w:rPr>
          <w:rFonts w:ascii="Arial"/>
          <w:i/>
          <w:sz w:val="20"/>
        </w:rPr>
        <w:t>H</w:t>
      </w:r>
      <w:r>
        <w:rPr>
          <w:rFonts w:ascii="Arial"/>
          <w:i/>
          <w:spacing w:val="36"/>
          <w:sz w:val="20"/>
        </w:rPr>
        <w:t> </w:t>
      </w:r>
      <w:r>
        <w:rPr>
          <w:rFonts w:ascii="Arial"/>
          <w:i/>
          <w:sz w:val="20"/>
        </w:rPr>
        <w:t>Marsh</w:t>
      </w:r>
      <w:r>
        <w:rPr>
          <w:rFonts w:ascii="Arial"/>
          <w:i/>
          <w:spacing w:val="36"/>
          <w:sz w:val="20"/>
        </w:rPr>
        <w:t> </w:t>
      </w:r>
      <w:r>
        <w:rPr>
          <w:rFonts w:ascii="Arial"/>
          <w:i/>
          <w:sz w:val="20"/>
        </w:rPr>
        <w:t>&amp;</w:t>
      </w:r>
      <w:r>
        <w:rPr>
          <w:rFonts w:ascii="Arial"/>
          <w:i/>
          <w:spacing w:val="36"/>
          <w:sz w:val="20"/>
        </w:rPr>
        <w:t> </w:t>
      </w:r>
      <w:r>
        <w:rPr>
          <w:rFonts w:ascii="Arial"/>
          <w:i/>
          <w:sz w:val="20"/>
        </w:rPr>
        <w:t>McLennan</w:t>
      </w:r>
      <w:r>
        <w:rPr>
          <w:rFonts w:ascii="Arial"/>
          <w:i/>
          <w:spacing w:val="36"/>
          <w:sz w:val="20"/>
        </w:rPr>
        <w:t> </w:t>
      </w:r>
      <w:r>
        <w:rPr>
          <w:rFonts w:ascii="Arial"/>
          <w:i/>
          <w:sz w:val="20"/>
        </w:rPr>
        <w:t>(Services)</w:t>
      </w:r>
      <w:r>
        <w:rPr>
          <w:rFonts w:ascii="Arial"/>
          <w:i/>
          <w:spacing w:val="36"/>
          <w:sz w:val="20"/>
        </w:rPr>
        <w:t> </w:t>
      </w:r>
      <w:r>
        <w:rPr>
          <w:rFonts w:ascii="Arial"/>
          <w:i/>
          <w:sz w:val="20"/>
        </w:rPr>
        <w:t>Ltd</w:t>
      </w:r>
      <w:r>
        <w:rPr>
          <w:rFonts w:ascii="Arial"/>
          <w:i/>
          <w:spacing w:val="36"/>
          <w:sz w:val="20"/>
        </w:rPr>
        <w:t> </w:t>
      </w:r>
      <w:r>
        <w:rPr>
          <w:rFonts w:ascii="Arial"/>
          <w:i/>
          <w:sz w:val="20"/>
        </w:rPr>
        <w:t>[2007]</w:t>
      </w:r>
      <w:r>
        <w:rPr>
          <w:rFonts w:ascii="Arial"/>
          <w:i/>
          <w:spacing w:val="36"/>
          <w:sz w:val="20"/>
        </w:rPr>
        <w:t> </w:t>
      </w:r>
      <w:r>
        <w:rPr>
          <w:rFonts w:ascii="Arial"/>
          <w:i/>
          <w:sz w:val="20"/>
        </w:rPr>
        <w:t>EWCA</w:t>
      </w:r>
      <w:r>
        <w:rPr>
          <w:rFonts w:ascii="Arial"/>
          <w:i/>
          <w:spacing w:val="36"/>
          <w:sz w:val="20"/>
        </w:rPr>
        <w:t> </w:t>
      </w:r>
      <w:r>
        <w:rPr>
          <w:rFonts w:ascii="Arial"/>
          <w:i/>
          <w:sz w:val="20"/>
        </w:rPr>
        <w:t>Civ</w:t>
      </w:r>
      <w:r>
        <w:rPr>
          <w:rFonts w:ascii="Arial"/>
          <w:i/>
          <w:spacing w:val="36"/>
          <w:sz w:val="20"/>
        </w:rPr>
        <w:t> </w:t>
      </w:r>
      <w:r>
        <w:rPr>
          <w:rFonts w:ascii="Arial"/>
          <w:i/>
          <w:sz w:val="20"/>
        </w:rPr>
        <w:t>723,</w:t>
      </w:r>
      <w:r>
        <w:rPr>
          <w:rFonts w:ascii="Arial"/>
          <w:i/>
          <w:spacing w:val="36"/>
          <w:sz w:val="20"/>
        </w:rPr>
        <w:t> </w:t>
      </w:r>
      <w:r>
        <w:rPr>
          <w:rFonts w:ascii="Arial"/>
          <w:i/>
          <w:spacing w:val="-2"/>
          <w:sz w:val="20"/>
        </w:rPr>
        <w:t>[2008]</w:t>
      </w:r>
    </w:p>
    <w:p>
      <w:pPr>
        <w:spacing w:line="225" w:lineRule="exact" w:before="0"/>
        <w:ind w:left="0" w:right="168" w:firstLine="0"/>
        <w:jc w:val="right"/>
        <w:rPr>
          <w:rFonts w:ascii="Arial"/>
          <w:i/>
          <w:sz w:val="20"/>
        </w:rPr>
      </w:pPr>
      <w:r>
        <w:rPr>
          <w:rFonts w:ascii="Arial"/>
          <w:i/>
          <w:sz w:val="20"/>
        </w:rPr>
        <w:t>I.C.R.</w:t>
      </w:r>
      <w:r>
        <w:rPr>
          <w:rFonts w:ascii="Arial"/>
          <w:i/>
          <w:spacing w:val="19"/>
          <w:sz w:val="20"/>
        </w:rPr>
        <w:t> </w:t>
      </w:r>
      <w:r>
        <w:rPr>
          <w:rFonts w:ascii="Arial"/>
          <w:i/>
          <w:sz w:val="20"/>
        </w:rPr>
        <w:t>18</w:t>
      </w:r>
      <w:r>
        <w:rPr>
          <w:sz w:val="20"/>
        </w:rPr>
        <w:t>;</w:t>
      </w:r>
      <w:r>
        <w:rPr>
          <w:spacing w:val="19"/>
          <w:sz w:val="20"/>
        </w:rPr>
        <w:t> </w:t>
      </w:r>
      <w:r>
        <w:rPr>
          <w:rFonts w:ascii="Arial"/>
          <w:i/>
          <w:sz w:val="20"/>
        </w:rPr>
        <w:t>Duarte</w:t>
      </w:r>
      <w:r>
        <w:rPr>
          <w:rFonts w:ascii="Arial"/>
          <w:i/>
          <w:spacing w:val="19"/>
          <w:sz w:val="20"/>
        </w:rPr>
        <w:t> </w:t>
      </w:r>
      <w:r>
        <w:rPr>
          <w:rFonts w:ascii="Arial"/>
          <w:i/>
          <w:sz w:val="20"/>
        </w:rPr>
        <w:t>v</w:t>
      </w:r>
      <w:r>
        <w:rPr>
          <w:rFonts w:ascii="Arial"/>
          <w:i/>
          <w:spacing w:val="19"/>
          <w:sz w:val="20"/>
        </w:rPr>
        <w:t> </w:t>
      </w:r>
      <w:r>
        <w:rPr>
          <w:rFonts w:ascii="Arial"/>
          <w:i/>
          <w:sz w:val="20"/>
        </w:rPr>
        <w:t>Black</w:t>
      </w:r>
      <w:r>
        <w:rPr>
          <w:rFonts w:ascii="Arial"/>
          <w:i/>
          <w:spacing w:val="19"/>
          <w:sz w:val="20"/>
        </w:rPr>
        <w:t> </w:t>
      </w:r>
      <w:r>
        <w:rPr>
          <w:rFonts w:ascii="Arial"/>
          <w:i/>
          <w:sz w:val="20"/>
        </w:rPr>
        <w:t>&amp;</w:t>
      </w:r>
      <w:r>
        <w:rPr>
          <w:rFonts w:ascii="Arial"/>
          <w:i/>
          <w:spacing w:val="19"/>
          <w:sz w:val="20"/>
        </w:rPr>
        <w:t> </w:t>
      </w:r>
      <w:r>
        <w:rPr>
          <w:rFonts w:ascii="Arial"/>
          <w:i/>
          <w:sz w:val="20"/>
        </w:rPr>
        <w:t>Decker</w:t>
      </w:r>
      <w:r>
        <w:rPr>
          <w:rFonts w:ascii="Arial"/>
          <w:i/>
          <w:spacing w:val="19"/>
          <w:sz w:val="20"/>
        </w:rPr>
        <w:t> </w:t>
      </w:r>
      <w:r>
        <w:rPr>
          <w:rFonts w:ascii="Arial"/>
          <w:i/>
          <w:sz w:val="20"/>
        </w:rPr>
        <w:t>Corp</w:t>
      </w:r>
      <w:r>
        <w:rPr>
          <w:rFonts w:ascii="Arial"/>
          <w:i/>
          <w:spacing w:val="19"/>
          <w:sz w:val="20"/>
        </w:rPr>
        <w:t> </w:t>
      </w:r>
      <w:r>
        <w:rPr>
          <w:rFonts w:ascii="Arial"/>
          <w:i/>
          <w:sz w:val="20"/>
        </w:rPr>
        <w:t>[2007]</w:t>
      </w:r>
      <w:r>
        <w:rPr>
          <w:rFonts w:ascii="Arial"/>
          <w:i/>
          <w:spacing w:val="19"/>
          <w:sz w:val="20"/>
        </w:rPr>
        <w:t> </w:t>
      </w:r>
      <w:r>
        <w:rPr>
          <w:rFonts w:ascii="Arial"/>
          <w:i/>
          <w:sz w:val="20"/>
        </w:rPr>
        <w:t>EWHC</w:t>
      </w:r>
      <w:r>
        <w:rPr>
          <w:rFonts w:ascii="Arial"/>
          <w:i/>
          <w:spacing w:val="19"/>
          <w:sz w:val="20"/>
        </w:rPr>
        <w:t> </w:t>
      </w:r>
      <w:r>
        <w:rPr>
          <w:rFonts w:ascii="Arial"/>
          <w:i/>
          <w:sz w:val="20"/>
        </w:rPr>
        <w:t>2720</w:t>
      </w:r>
      <w:r>
        <w:rPr>
          <w:rFonts w:ascii="Arial"/>
          <w:i/>
          <w:spacing w:val="19"/>
          <w:sz w:val="20"/>
        </w:rPr>
        <w:t> </w:t>
      </w:r>
      <w:r>
        <w:rPr>
          <w:rFonts w:ascii="Arial"/>
          <w:i/>
          <w:sz w:val="20"/>
        </w:rPr>
        <w:t>(QB),</w:t>
      </w:r>
      <w:r>
        <w:rPr>
          <w:rFonts w:ascii="Arial"/>
          <w:i/>
          <w:spacing w:val="19"/>
          <w:sz w:val="20"/>
        </w:rPr>
        <w:t> </w:t>
      </w:r>
      <w:r>
        <w:rPr>
          <w:rFonts w:ascii="Arial"/>
          <w:i/>
          <w:sz w:val="20"/>
        </w:rPr>
        <w:t>[2008]</w:t>
      </w:r>
      <w:r>
        <w:rPr>
          <w:rFonts w:ascii="Arial"/>
          <w:i/>
          <w:spacing w:val="19"/>
          <w:sz w:val="20"/>
        </w:rPr>
        <w:t> </w:t>
      </w:r>
      <w:r>
        <w:rPr>
          <w:rFonts w:ascii="Arial"/>
          <w:i/>
          <w:sz w:val="20"/>
        </w:rPr>
        <w:t>1</w:t>
      </w:r>
      <w:r>
        <w:rPr>
          <w:rFonts w:ascii="Arial"/>
          <w:i/>
          <w:spacing w:val="19"/>
          <w:sz w:val="20"/>
        </w:rPr>
        <w:t> </w:t>
      </w:r>
      <w:r>
        <w:rPr>
          <w:rFonts w:ascii="Arial"/>
          <w:i/>
          <w:sz w:val="20"/>
        </w:rPr>
        <w:t>All</w:t>
      </w:r>
      <w:r>
        <w:rPr>
          <w:rFonts w:ascii="Arial"/>
          <w:i/>
          <w:spacing w:val="19"/>
          <w:sz w:val="20"/>
        </w:rPr>
        <w:t> </w:t>
      </w:r>
      <w:r>
        <w:rPr>
          <w:rFonts w:ascii="Arial"/>
          <w:i/>
          <w:sz w:val="20"/>
        </w:rPr>
        <w:t>E.R.</w:t>
      </w:r>
      <w:r>
        <w:rPr>
          <w:rFonts w:ascii="Arial"/>
          <w:i/>
          <w:spacing w:val="19"/>
          <w:sz w:val="20"/>
        </w:rPr>
        <w:t> </w:t>
      </w:r>
      <w:r>
        <w:rPr>
          <w:rFonts w:ascii="Arial"/>
          <w:i/>
          <w:spacing w:val="-2"/>
          <w:sz w:val="20"/>
        </w:rPr>
        <w:t>(Comm)</w:t>
      </w:r>
    </w:p>
    <w:p>
      <w:pPr>
        <w:spacing w:line="235" w:lineRule="auto" w:before="2"/>
        <w:ind w:left="705" w:right="167" w:firstLine="0"/>
        <w:jc w:val="both"/>
        <w:rPr>
          <w:sz w:val="20"/>
        </w:rPr>
      </w:pPr>
      <w:r>
        <w:rPr>
          <w:rFonts w:ascii="Arial" w:hAnsi="Arial"/>
          <w:i/>
          <w:sz w:val="20"/>
        </w:rPr>
        <w:t>401</w:t>
      </w:r>
      <w:r>
        <w:rPr>
          <w:sz w:val="20"/>
        </w:rPr>
        <w:t>. In </w:t>
      </w:r>
      <w:r>
        <w:rPr>
          <w:rFonts w:ascii="Arial" w:hAnsi="Arial"/>
          <w:i/>
          <w:sz w:val="20"/>
        </w:rPr>
        <w:t>Holterman Ferho Exploitatie BV v Spies von Büllesheim (C-47/14) [2015] I.L.Pr. 44</w:t>
      </w:r>
      <w:r>
        <w:rPr>
          <w:sz w:val="20"/>
        </w:rPr>
        <w:t>, </w:t>
      </w:r>
      <w:r>
        <w:rPr>
          <w:sz w:val="20"/>
        </w:rPr>
        <w:t>the Court of Justice of the EU adopted an autonomous meaning in the context of Section 5 of the Judgments Regulation.</w:t>
      </w:r>
    </w:p>
    <w:p>
      <w:pPr>
        <w:pStyle w:val="BodyText"/>
        <w:spacing w:before="8"/>
      </w:pPr>
    </w:p>
    <w:p>
      <w:pPr>
        <w:pStyle w:val="BodyText"/>
        <w:spacing w:line="235" w:lineRule="auto" w:before="1"/>
        <w:ind w:left="705" w:hanging="541"/>
      </w:pPr>
      <w:bookmarkStart w:name="_bookmark2007" w:id="2009"/>
      <w:bookmarkEnd w:id="2009"/>
      <w:r>
        <w:rPr/>
      </w:r>
      <w:hyperlink w:history="true" w:anchor="_bookmark1971">
        <w:r>
          <w:rPr>
            <w:color w:val="005DA1"/>
            <w:position w:val="5"/>
            <w:sz w:val="14"/>
            <w:u w:val="single" w:color="005DA1"/>
          </w:rPr>
          <w:t>1038</w:t>
        </w:r>
      </w:hyperlink>
      <w:r>
        <w:rPr>
          <w:position w:val="5"/>
          <w:sz w:val="14"/>
        </w:rPr>
        <w:t>.</w:t>
      </w:r>
      <w:r>
        <w:rPr>
          <w:spacing w:val="40"/>
          <w:position w:val="5"/>
          <w:sz w:val="14"/>
        </w:rPr>
        <w:t>  </w:t>
      </w:r>
      <w:r>
        <w:rPr/>
        <w:t>Judgments</w:t>
      </w:r>
      <w:r>
        <w:rPr>
          <w:spacing w:val="17"/>
        </w:rPr>
        <w:t> </w:t>
      </w:r>
      <w:r>
        <w:rPr/>
        <w:t>Regulation</w:t>
      </w:r>
      <w:r>
        <w:rPr>
          <w:spacing w:val="17"/>
        </w:rPr>
        <w:t> </w:t>
      </w:r>
      <w:r>
        <w:rPr/>
        <w:t>recast</w:t>
      </w:r>
      <w:r>
        <w:rPr>
          <w:spacing w:val="17"/>
        </w:rPr>
        <w:t> </w:t>
      </w:r>
      <w:r>
        <w:rPr/>
        <w:t>art.20.</w:t>
      </w:r>
      <w:r>
        <w:rPr>
          <w:spacing w:val="17"/>
        </w:rPr>
        <w:t> </w:t>
      </w:r>
      <w:r>
        <w:rPr/>
        <w:t>See</w:t>
      </w:r>
      <w:r>
        <w:rPr>
          <w:spacing w:val="17"/>
        </w:rPr>
        <w:t> </w:t>
      </w:r>
      <w:r>
        <w:rPr/>
        <w:t>Recital</w:t>
      </w:r>
      <w:r>
        <w:rPr>
          <w:spacing w:val="17"/>
        </w:rPr>
        <w:t> </w:t>
      </w:r>
      <w:r>
        <w:rPr/>
        <w:t>7</w:t>
      </w:r>
      <w:r>
        <w:rPr>
          <w:spacing w:val="17"/>
        </w:rPr>
        <w:t> </w:t>
      </w:r>
      <w:r>
        <w:rPr/>
        <w:t>to</w:t>
      </w:r>
      <w:r>
        <w:rPr>
          <w:spacing w:val="17"/>
        </w:rPr>
        <w:t> </w:t>
      </w:r>
      <w:r>
        <w:rPr/>
        <w:t>the</w:t>
      </w:r>
      <w:r>
        <w:rPr>
          <w:spacing w:val="17"/>
        </w:rPr>
        <w:t> </w:t>
      </w:r>
      <w:r>
        <w:rPr/>
        <w:t>Rome</w:t>
      </w:r>
      <w:r>
        <w:rPr>
          <w:spacing w:val="17"/>
        </w:rPr>
        <w:t> </w:t>
      </w:r>
      <w:r>
        <w:rPr/>
        <w:t>1</w:t>
      </w:r>
      <w:r>
        <w:rPr>
          <w:spacing w:val="17"/>
        </w:rPr>
        <w:t> </w:t>
      </w:r>
      <w:r>
        <w:rPr/>
        <w:t>Regulation.</w:t>
      </w:r>
      <w:r>
        <w:rPr>
          <w:spacing w:val="17"/>
        </w:rPr>
        <w:t> </w:t>
      </w:r>
      <w:r>
        <w:rPr/>
        <w:t>And</w:t>
      </w:r>
      <w:r>
        <w:rPr>
          <w:spacing w:val="17"/>
        </w:rPr>
        <w:t> </w:t>
      </w:r>
      <w:r>
        <w:rPr/>
        <w:t>see</w:t>
      </w:r>
      <w:r>
        <w:rPr>
          <w:spacing w:val="17"/>
        </w:rPr>
        <w:t> </w:t>
      </w:r>
      <w:r>
        <w:rPr/>
        <w:t>cases cited in preceding note.</w:t>
      </w:r>
    </w:p>
    <w:p>
      <w:pPr>
        <w:pStyle w:val="BodyText"/>
        <w:spacing w:before="5"/>
      </w:pPr>
    </w:p>
    <w:p>
      <w:pPr>
        <w:spacing w:before="0"/>
        <w:ind w:left="165" w:right="0" w:firstLine="0"/>
        <w:jc w:val="left"/>
        <w:rPr>
          <w:sz w:val="20"/>
        </w:rPr>
      </w:pPr>
      <w:bookmarkStart w:name="_bookmark2008" w:id="2010"/>
      <w:bookmarkEnd w:id="2010"/>
      <w:r>
        <w:rPr/>
      </w:r>
      <w:hyperlink w:history="true" w:anchor="_bookmark1972">
        <w:r>
          <w:rPr>
            <w:color w:val="005DA1"/>
            <w:position w:val="5"/>
            <w:sz w:val="14"/>
            <w:u w:val="single" w:color="005DA1"/>
          </w:rPr>
          <w:t>1039</w:t>
        </w:r>
      </w:hyperlink>
      <w:r>
        <w:rPr>
          <w:position w:val="5"/>
          <w:sz w:val="14"/>
        </w:rPr>
        <w:t>.</w:t>
      </w:r>
      <w:r>
        <w:rPr>
          <w:spacing w:val="55"/>
          <w:position w:val="5"/>
          <w:sz w:val="14"/>
        </w:rPr>
        <w:t>  </w:t>
      </w:r>
      <w:r>
        <w:rPr>
          <w:rFonts w:ascii="Arial"/>
          <w:i/>
          <w:sz w:val="20"/>
        </w:rPr>
        <w:t>WPP</w:t>
      </w:r>
      <w:r>
        <w:rPr>
          <w:rFonts w:ascii="Arial"/>
          <w:i/>
          <w:spacing w:val="1"/>
          <w:sz w:val="20"/>
        </w:rPr>
        <w:t> </w:t>
      </w:r>
      <w:r>
        <w:rPr>
          <w:rFonts w:ascii="Arial"/>
          <w:i/>
          <w:sz w:val="20"/>
        </w:rPr>
        <w:t>Holdings Italy Srl v Benatti [2007] EWCA Civ 263</w:t>
      </w:r>
      <w:r>
        <w:rPr>
          <w:rFonts w:ascii="Arial"/>
          <w:i/>
          <w:spacing w:val="-1"/>
          <w:sz w:val="20"/>
        </w:rPr>
        <w:t> </w:t>
      </w:r>
      <w:r>
        <w:rPr>
          <w:sz w:val="20"/>
        </w:rPr>
        <w:t>at </w:t>
      </w:r>
      <w:r>
        <w:rPr>
          <w:spacing w:val="-2"/>
          <w:sz w:val="20"/>
        </w:rPr>
        <w:t>[46].</w:t>
      </w:r>
    </w:p>
    <w:p>
      <w:pPr>
        <w:pStyle w:val="BodyText"/>
        <w:spacing w:before="125"/>
      </w:pPr>
    </w:p>
    <w:p>
      <w:pPr>
        <w:pStyle w:val="BodyText"/>
        <w:ind w:left="165"/>
        <w:rPr>
          <w:rFonts w:ascii="Arial"/>
          <w:i/>
        </w:rPr>
      </w:pPr>
      <w:bookmarkStart w:name="_bookmark2009" w:id="2011"/>
      <w:bookmarkEnd w:id="2011"/>
      <w:r>
        <w:rPr/>
      </w:r>
      <w:hyperlink w:history="true" w:anchor="_bookmark1973">
        <w:r>
          <w:rPr>
            <w:color w:val="005DA1"/>
            <w:u w:val="single" w:color="005DA1"/>
            <w:vertAlign w:val="superscript"/>
          </w:rPr>
          <w:t>1040</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Each</w:t>
      </w:r>
      <w:r>
        <w:rPr>
          <w:spacing w:val="48"/>
          <w:vertAlign w:val="baseline"/>
        </w:rPr>
        <w:t> </w:t>
      </w:r>
      <w:r>
        <w:rPr>
          <w:vertAlign w:val="baseline"/>
        </w:rPr>
        <w:t>of</w:t>
      </w:r>
      <w:r>
        <w:rPr>
          <w:spacing w:val="47"/>
          <w:vertAlign w:val="baseline"/>
        </w:rPr>
        <w:t> </w:t>
      </w:r>
      <w:r>
        <w:rPr>
          <w:vertAlign w:val="baseline"/>
        </w:rPr>
        <w:t>these</w:t>
      </w:r>
      <w:r>
        <w:rPr>
          <w:spacing w:val="47"/>
          <w:vertAlign w:val="baseline"/>
        </w:rPr>
        <w:t> </w:t>
      </w:r>
      <w:r>
        <w:rPr>
          <w:vertAlign w:val="baseline"/>
        </w:rPr>
        <w:t>three</w:t>
      </w:r>
      <w:r>
        <w:rPr>
          <w:spacing w:val="48"/>
          <w:vertAlign w:val="baseline"/>
        </w:rPr>
        <w:t> </w:t>
      </w:r>
      <w:r>
        <w:rPr>
          <w:vertAlign w:val="baseline"/>
        </w:rPr>
        <w:t>criteria</w:t>
      </w:r>
      <w:r>
        <w:rPr>
          <w:spacing w:val="47"/>
          <w:vertAlign w:val="baseline"/>
        </w:rPr>
        <w:t> </w:t>
      </w:r>
      <w:r>
        <w:rPr>
          <w:vertAlign w:val="baseline"/>
        </w:rPr>
        <w:t>was</w:t>
      </w:r>
      <w:r>
        <w:rPr>
          <w:spacing w:val="47"/>
          <w:vertAlign w:val="baseline"/>
        </w:rPr>
        <w:t> </w:t>
      </w:r>
      <w:r>
        <w:rPr>
          <w:vertAlign w:val="baseline"/>
        </w:rPr>
        <w:t>referred</w:t>
      </w:r>
      <w:r>
        <w:rPr>
          <w:spacing w:val="47"/>
          <w:vertAlign w:val="baseline"/>
        </w:rPr>
        <w:t> </w:t>
      </w:r>
      <w:r>
        <w:rPr>
          <w:vertAlign w:val="baseline"/>
        </w:rPr>
        <w:t>to</w:t>
      </w:r>
      <w:r>
        <w:rPr>
          <w:spacing w:val="48"/>
          <w:vertAlign w:val="baseline"/>
        </w:rPr>
        <w:t> </w:t>
      </w:r>
      <w:r>
        <w:rPr>
          <w:vertAlign w:val="baseline"/>
        </w:rPr>
        <w:t>by</w:t>
      </w:r>
      <w:r>
        <w:rPr>
          <w:spacing w:val="47"/>
          <w:vertAlign w:val="baseline"/>
        </w:rPr>
        <w:t> </w:t>
      </w:r>
      <w:r>
        <w:rPr>
          <w:vertAlign w:val="baseline"/>
        </w:rPr>
        <w:t>the</w:t>
      </w:r>
      <w:r>
        <w:rPr>
          <w:spacing w:val="47"/>
          <w:vertAlign w:val="baseline"/>
        </w:rPr>
        <w:t> </w:t>
      </w:r>
      <w:r>
        <w:rPr>
          <w:vertAlign w:val="baseline"/>
        </w:rPr>
        <w:t>Court</w:t>
      </w:r>
      <w:r>
        <w:rPr>
          <w:spacing w:val="48"/>
          <w:vertAlign w:val="baseline"/>
        </w:rPr>
        <w:t> </w:t>
      </w:r>
      <w:r>
        <w:rPr>
          <w:vertAlign w:val="baseline"/>
        </w:rPr>
        <w:t>of</w:t>
      </w:r>
      <w:r>
        <w:rPr>
          <w:spacing w:val="47"/>
          <w:vertAlign w:val="baseline"/>
        </w:rPr>
        <w:t> </w:t>
      </w:r>
      <w:r>
        <w:rPr>
          <w:vertAlign w:val="baseline"/>
        </w:rPr>
        <w:t>Justice</w:t>
      </w:r>
      <w:r>
        <w:rPr>
          <w:spacing w:val="47"/>
          <w:vertAlign w:val="baseline"/>
        </w:rPr>
        <w:t> </w:t>
      </w:r>
      <w:r>
        <w:rPr>
          <w:vertAlign w:val="baseline"/>
        </w:rPr>
        <w:t>in</w:t>
      </w:r>
      <w:r>
        <w:rPr>
          <w:spacing w:val="47"/>
          <w:vertAlign w:val="baseline"/>
        </w:rPr>
        <w:t> </w:t>
      </w:r>
      <w:r>
        <w:rPr>
          <w:rFonts w:ascii="Arial"/>
          <w:i/>
          <w:vertAlign w:val="baseline"/>
        </w:rPr>
        <w:t>Holterman</w:t>
      </w:r>
      <w:r>
        <w:rPr>
          <w:rFonts w:ascii="Arial"/>
          <w:i/>
          <w:spacing w:val="48"/>
          <w:vertAlign w:val="baseline"/>
        </w:rPr>
        <w:t> </w:t>
      </w:r>
      <w:r>
        <w:rPr>
          <w:rFonts w:ascii="Arial"/>
          <w:i/>
          <w:spacing w:val="-2"/>
          <w:vertAlign w:val="baseline"/>
        </w:rPr>
        <w:t>Ferho</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569" w:hRule="atLeast"/>
        </w:trPr>
        <w:tc>
          <w:tcPr>
            <w:tcW w:w="496" w:type="dxa"/>
          </w:tcPr>
          <w:p>
            <w:pPr>
              <w:pStyle w:val="TableParagraph"/>
              <w:spacing w:before="0"/>
              <w:ind w:left="0"/>
              <w:jc w:val="left"/>
              <w:rPr>
                <w:rFonts w:ascii="Times New Roman"/>
                <w:sz w:val="18"/>
              </w:rPr>
            </w:pPr>
          </w:p>
        </w:tc>
        <w:tc>
          <w:tcPr>
            <w:tcW w:w="8621" w:type="dxa"/>
          </w:tcPr>
          <w:p>
            <w:pPr>
              <w:pStyle w:val="TableParagraph"/>
              <w:spacing w:line="235" w:lineRule="auto" w:before="0"/>
              <w:jc w:val="left"/>
              <w:rPr>
                <w:sz w:val="20"/>
              </w:rPr>
            </w:pPr>
            <w:r>
              <w:rPr>
                <w:rFonts w:ascii="Arial" w:hAnsi="Arial"/>
                <w:i/>
                <w:sz w:val="20"/>
              </w:rPr>
              <w:t>Exploitatie</w:t>
            </w:r>
            <w:r>
              <w:rPr>
                <w:rFonts w:ascii="Arial" w:hAnsi="Arial"/>
                <w:i/>
                <w:spacing w:val="40"/>
                <w:sz w:val="20"/>
              </w:rPr>
              <w:t> </w:t>
            </w:r>
            <w:r>
              <w:rPr>
                <w:rFonts w:ascii="Arial" w:hAnsi="Arial"/>
                <w:i/>
                <w:sz w:val="20"/>
              </w:rPr>
              <w:t>BV</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Spies</w:t>
            </w:r>
            <w:r>
              <w:rPr>
                <w:rFonts w:ascii="Arial" w:hAnsi="Arial"/>
                <w:i/>
                <w:spacing w:val="40"/>
                <w:sz w:val="20"/>
              </w:rPr>
              <w:t> </w:t>
            </w:r>
            <w:r>
              <w:rPr>
                <w:rFonts w:ascii="Arial" w:hAnsi="Arial"/>
                <w:i/>
                <w:sz w:val="20"/>
              </w:rPr>
              <w:t>von</w:t>
            </w:r>
            <w:r>
              <w:rPr>
                <w:rFonts w:ascii="Arial" w:hAnsi="Arial"/>
                <w:i/>
                <w:spacing w:val="40"/>
                <w:sz w:val="20"/>
              </w:rPr>
              <w:t> </w:t>
            </w:r>
            <w:r>
              <w:rPr>
                <w:rFonts w:ascii="Arial" w:hAnsi="Arial"/>
                <w:i/>
                <w:sz w:val="20"/>
              </w:rPr>
              <w:t>Büllesheim</w:t>
            </w:r>
            <w:r>
              <w:rPr>
                <w:rFonts w:ascii="Arial" w:hAnsi="Arial"/>
                <w:i/>
                <w:spacing w:val="40"/>
                <w:sz w:val="20"/>
              </w:rPr>
              <w:t> </w:t>
            </w:r>
            <w:r>
              <w:rPr>
                <w:rFonts w:ascii="Arial" w:hAnsi="Arial"/>
                <w:i/>
                <w:sz w:val="20"/>
              </w:rPr>
              <w:t>(C-47/14)</w:t>
            </w:r>
            <w:r>
              <w:rPr>
                <w:rFonts w:ascii="Arial" w:hAnsi="Arial"/>
                <w:i/>
                <w:spacing w:val="40"/>
                <w:sz w:val="20"/>
              </w:rPr>
              <w:t> </w:t>
            </w:r>
            <w:r>
              <w:rPr>
                <w:rFonts w:ascii="Arial" w:hAnsi="Arial"/>
                <w:i/>
                <w:sz w:val="20"/>
              </w:rPr>
              <w:t>[2015]</w:t>
            </w:r>
            <w:r>
              <w:rPr>
                <w:rFonts w:ascii="Arial" w:hAnsi="Arial"/>
                <w:i/>
                <w:spacing w:val="40"/>
                <w:sz w:val="20"/>
              </w:rPr>
              <w:t> </w:t>
            </w:r>
            <w:r>
              <w:rPr>
                <w:rFonts w:ascii="Arial" w:hAnsi="Arial"/>
                <w:i/>
                <w:sz w:val="20"/>
              </w:rPr>
              <w:t>I.L.Pr.</w:t>
            </w:r>
            <w:r>
              <w:rPr>
                <w:rFonts w:ascii="Arial" w:hAnsi="Arial"/>
                <w:i/>
                <w:spacing w:val="40"/>
                <w:sz w:val="20"/>
              </w:rPr>
              <w:t> </w:t>
            </w:r>
            <w:r>
              <w:rPr>
                <w:rFonts w:ascii="Arial" w:hAnsi="Arial"/>
                <w:i/>
                <w:sz w:val="20"/>
              </w:rPr>
              <w:t>44</w:t>
            </w:r>
            <w:r>
              <w:rPr>
                <w:rFonts w:ascii="Arial" w:hAnsi="Arial"/>
                <w:i/>
                <w:spacing w:val="40"/>
                <w:sz w:val="20"/>
              </w:rPr>
              <w:t> </w:t>
            </w:r>
            <w:r>
              <w:rPr>
                <w:sz w:val="20"/>
              </w:rPr>
              <w:t>when</w:t>
            </w:r>
            <w:r>
              <w:rPr>
                <w:spacing w:val="40"/>
                <w:sz w:val="20"/>
              </w:rPr>
              <w:t> </w:t>
            </w:r>
            <w:r>
              <w:rPr>
                <w:sz w:val="20"/>
              </w:rPr>
              <w:t>considering</w:t>
            </w:r>
            <w:r>
              <w:rPr>
                <w:spacing w:val="40"/>
                <w:sz w:val="20"/>
              </w:rPr>
              <w:t> </w:t>
            </w:r>
            <w:r>
              <w:rPr>
                <w:sz w:val="20"/>
              </w:rPr>
              <w:t>the</w:t>
            </w:r>
            <w:r>
              <w:rPr>
                <w:spacing w:val="80"/>
                <w:sz w:val="20"/>
              </w:rPr>
              <w:t> </w:t>
            </w:r>
            <w:r>
              <w:rPr>
                <w:sz w:val="20"/>
              </w:rPr>
              <w:t>meaning of employment contract under the Judgments Regulation.</w:t>
            </w:r>
          </w:p>
        </w:tc>
      </w:tr>
      <w:tr>
        <w:trPr>
          <w:trHeight w:val="465" w:hRule="atLeast"/>
        </w:trPr>
        <w:tc>
          <w:tcPr>
            <w:tcW w:w="496" w:type="dxa"/>
          </w:tcPr>
          <w:p>
            <w:pPr>
              <w:pStyle w:val="TableParagraph"/>
              <w:ind w:left="0" w:right="43"/>
              <w:rPr>
                <w:sz w:val="14"/>
              </w:rPr>
            </w:pPr>
            <w:bookmarkStart w:name="_bookmark2010" w:id="2012"/>
            <w:bookmarkEnd w:id="2012"/>
            <w:r>
              <w:rPr/>
            </w:r>
            <w:hyperlink w:history="true" w:anchor="_bookmark1974">
              <w:r>
                <w:rPr>
                  <w:color w:val="005DA1"/>
                  <w:spacing w:val="-2"/>
                  <w:sz w:val="14"/>
                  <w:u w:val="single" w:color="005DA1"/>
                </w:rPr>
                <w:t>1041</w:t>
              </w:r>
            </w:hyperlink>
            <w:r>
              <w:rPr>
                <w:spacing w:val="-2"/>
                <w:sz w:val="14"/>
              </w:rPr>
              <w:t>.</w:t>
            </w:r>
          </w:p>
        </w:tc>
        <w:tc>
          <w:tcPr>
            <w:tcW w:w="8621" w:type="dxa"/>
          </w:tcPr>
          <w:p>
            <w:pPr>
              <w:pStyle w:val="TableParagraph"/>
              <w:spacing w:before="114"/>
              <w:jc w:val="left"/>
              <w:rPr>
                <w:sz w:val="20"/>
              </w:rPr>
            </w:pPr>
            <w:r>
              <w:rPr>
                <w:rFonts w:ascii="Arial"/>
                <w:i/>
                <w:sz w:val="20"/>
              </w:rPr>
              <w:t>WPP Holdings Italy Srl v Benatti [2007] EWCA Civ 263</w:t>
            </w:r>
            <w:r>
              <w:rPr>
                <w:rFonts w:ascii="Arial"/>
                <w:i/>
                <w:spacing w:val="-1"/>
                <w:sz w:val="20"/>
              </w:rPr>
              <w:t> </w:t>
            </w:r>
            <w:r>
              <w:rPr>
                <w:sz w:val="20"/>
              </w:rPr>
              <w:t>at </w:t>
            </w:r>
            <w:r>
              <w:rPr>
                <w:spacing w:val="-2"/>
                <w:sz w:val="20"/>
              </w:rPr>
              <w:t>[47].</w:t>
            </w:r>
          </w:p>
        </w:tc>
      </w:tr>
      <w:tr>
        <w:trPr>
          <w:trHeight w:val="465" w:hRule="atLeast"/>
        </w:trPr>
        <w:tc>
          <w:tcPr>
            <w:tcW w:w="496" w:type="dxa"/>
          </w:tcPr>
          <w:p>
            <w:pPr>
              <w:pStyle w:val="TableParagraph"/>
              <w:ind w:left="0" w:right="43"/>
              <w:rPr>
                <w:sz w:val="14"/>
              </w:rPr>
            </w:pPr>
            <w:bookmarkStart w:name="_bookmark2011" w:id="2013"/>
            <w:bookmarkEnd w:id="2013"/>
            <w:r>
              <w:rPr/>
            </w:r>
            <w:hyperlink w:history="true" w:anchor="_bookmark1975">
              <w:r>
                <w:rPr>
                  <w:color w:val="005DA1"/>
                  <w:spacing w:val="-2"/>
                  <w:sz w:val="14"/>
                  <w:u w:val="single" w:color="005DA1"/>
                </w:rPr>
                <w:t>1042</w:t>
              </w:r>
            </w:hyperlink>
            <w:r>
              <w:rPr>
                <w:spacing w:val="-2"/>
                <w:sz w:val="14"/>
              </w:rPr>
              <w:t>.</w:t>
            </w:r>
          </w:p>
        </w:tc>
        <w:tc>
          <w:tcPr>
            <w:tcW w:w="8621" w:type="dxa"/>
          </w:tcPr>
          <w:p>
            <w:pPr>
              <w:pStyle w:val="TableParagraph"/>
              <w:spacing w:before="114"/>
              <w:jc w:val="left"/>
              <w:rPr>
                <w:sz w:val="20"/>
              </w:rPr>
            </w:pPr>
            <w:r>
              <w:rPr>
                <w:rFonts w:ascii="Arial"/>
                <w:i/>
                <w:sz w:val="20"/>
              </w:rPr>
              <w:t>WPP Holdings Italy Srl v Benatti [2007] EWCA Civ 263</w:t>
            </w:r>
            <w:r>
              <w:rPr>
                <w:rFonts w:ascii="Arial"/>
                <w:i/>
                <w:spacing w:val="-1"/>
                <w:sz w:val="20"/>
              </w:rPr>
              <w:t> </w:t>
            </w:r>
            <w:r>
              <w:rPr>
                <w:sz w:val="20"/>
              </w:rPr>
              <w:t>at </w:t>
            </w:r>
            <w:r>
              <w:rPr>
                <w:spacing w:val="-2"/>
                <w:sz w:val="20"/>
              </w:rPr>
              <w:t>[47].</w:t>
            </w:r>
          </w:p>
        </w:tc>
      </w:tr>
      <w:tr>
        <w:trPr>
          <w:trHeight w:val="465" w:hRule="atLeast"/>
        </w:trPr>
        <w:tc>
          <w:tcPr>
            <w:tcW w:w="496" w:type="dxa"/>
          </w:tcPr>
          <w:p>
            <w:pPr>
              <w:pStyle w:val="TableParagraph"/>
              <w:ind w:left="0" w:right="43"/>
              <w:rPr>
                <w:sz w:val="14"/>
              </w:rPr>
            </w:pPr>
            <w:bookmarkStart w:name="_bookmark2012" w:id="2014"/>
            <w:bookmarkEnd w:id="2014"/>
            <w:r>
              <w:rPr/>
            </w:r>
            <w:hyperlink w:history="true" w:anchor="_bookmark1976">
              <w:r>
                <w:rPr>
                  <w:color w:val="005DA1"/>
                  <w:spacing w:val="-2"/>
                  <w:sz w:val="14"/>
                  <w:u w:val="single" w:color="005DA1"/>
                </w:rPr>
                <w:t>1043</w:t>
              </w:r>
            </w:hyperlink>
            <w:r>
              <w:rPr>
                <w:spacing w:val="-2"/>
                <w:sz w:val="14"/>
              </w:rPr>
              <w:t>.</w:t>
            </w:r>
          </w:p>
        </w:tc>
        <w:tc>
          <w:tcPr>
            <w:tcW w:w="8621" w:type="dxa"/>
          </w:tcPr>
          <w:p>
            <w:pPr>
              <w:pStyle w:val="TableParagraph"/>
              <w:spacing w:before="114"/>
              <w:jc w:val="left"/>
              <w:rPr>
                <w:sz w:val="20"/>
              </w:rPr>
            </w:pPr>
            <w:r>
              <w:rPr>
                <w:sz w:val="20"/>
              </w:rPr>
              <w:t>Above, paras 30-169 et </w:t>
            </w:r>
            <w:r>
              <w:rPr>
                <w:spacing w:val="-4"/>
                <w:sz w:val="20"/>
              </w:rPr>
              <w:t>seq.</w:t>
            </w:r>
          </w:p>
        </w:tc>
      </w:tr>
      <w:tr>
        <w:trPr>
          <w:trHeight w:val="465" w:hRule="atLeast"/>
        </w:trPr>
        <w:tc>
          <w:tcPr>
            <w:tcW w:w="496" w:type="dxa"/>
          </w:tcPr>
          <w:p>
            <w:pPr>
              <w:pStyle w:val="TableParagraph"/>
              <w:ind w:left="0" w:right="43"/>
              <w:rPr>
                <w:sz w:val="14"/>
              </w:rPr>
            </w:pPr>
            <w:bookmarkStart w:name="_bookmark2013" w:id="2015"/>
            <w:bookmarkEnd w:id="2015"/>
            <w:r>
              <w:rPr/>
            </w:r>
            <w:hyperlink w:history="true" w:anchor="_bookmark1977">
              <w:r>
                <w:rPr>
                  <w:color w:val="005DA1"/>
                  <w:spacing w:val="-2"/>
                  <w:sz w:val="14"/>
                  <w:u w:val="single" w:color="005DA1"/>
                </w:rPr>
                <w:t>1044</w:t>
              </w:r>
            </w:hyperlink>
            <w:r>
              <w:rPr>
                <w:spacing w:val="-2"/>
                <w:sz w:val="14"/>
              </w:rPr>
              <w:t>.</w:t>
            </w:r>
          </w:p>
        </w:tc>
        <w:tc>
          <w:tcPr>
            <w:tcW w:w="8621" w:type="dxa"/>
          </w:tcPr>
          <w:p>
            <w:pPr>
              <w:pStyle w:val="TableParagraph"/>
              <w:spacing w:before="114"/>
              <w:jc w:val="left"/>
              <w:rPr>
                <w:sz w:val="20"/>
              </w:rPr>
            </w:pPr>
            <w:r>
              <w:rPr>
                <w:sz w:val="20"/>
              </w:rPr>
              <w:t>Above, para.30-</w:t>
            </w:r>
            <w:r>
              <w:rPr>
                <w:spacing w:val="-4"/>
                <w:sz w:val="20"/>
              </w:rPr>
              <w:t>062.</w:t>
            </w:r>
          </w:p>
        </w:tc>
      </w:tr>
      <w:tr>
        <w:trPr>
          <w:trHeight w:val="915" w:hRule="atLeast"/>
        </w:trPr>
        <w:tc>
          <w:tcPr>
            <w:tcW w:w="496" w:type="dxa"/>
          </w:tcPr>
          <w:p>
            <w:pPr>
              <w:pStyle w:val="TableParagraph"/>
              <w:ind w:left="0" w:right="43"/>
              <w:rPr>
                <w:sz w:val="14"/>
              </w:rPr>
            </w:pPr>
            <w:bookmarkStart w:name="_bookmark2014" w:id="2016"/>
            <w:bookmarkEnd w:id="2016"/>
            <w:r>
              <w:rPr/>
            </w:r>
            <w:hyperlink w:history="true" w:anchor="_bookmark1978">
              <w:r>
                <w:rPr>
                  <w:color w:val="005DA1"/>
                  <w:spacing w:val="-2"/>
                  <w:sz w:val="14"/>
                  <w:u w:val="single" w:color="005DA1"/>
                </w:rPr>
                <w:t>1045</w:t>
              </w:r>
            </w:hyperlink>
            <w:r>
              <w:rPr>
                <w:spacing w:val="-2"/>
                <w:sz w:val="14"/>
              </w:rPr>
              <w:t>.</w:t>
            </w:r>
          </w:p>
        </w:tc>
        <w:tc>
          <w:tcPr>
            <w:tcW w:w="8621" w:type="dxa"/>
          </w:tcPr>
          <w:p>
            <w:pPr>
              <w:pStyle w:val="TableParagraph"/>
              <w:spacing w:line="235" w:lineRule="auto" w:before="118"/>
              <w:ind w:right="49"/>
              <w:jc w:val="both"/>
              <w:rPr>
                <w:sz w:val="20"/>
              </w:rPr>
            </w:pPr>
            <w:r>
              <w:rPr>
                <w:sz w:val="20"/>
              </w:rPr>
              <w:t>Above, paras 30-111 et seq. Where the relevant provision is derived from European law, it may have direct effect, independently of art.8(1); see Recitals 34 and 40 to the Regulation. And see above, para.30-115.</w:t>
            </w:r>
          </w:p>
        </w:tc>
      </w:tr>
      <w:tr>
        <w:trPr>
          <w:trHeight w:val="465" w:hRule="atLeast"/>
        </w:trPr>
        <w:tc>
          <w:tcPr>
            <w:tcW w:w="496" w:type="dxa"/>
          </w:tcPr>
          <w:p>
            <w:pPr>
              <w:pStyle w:val="TableParagraph"/>
              <w:ind w:left="0" w:right="43"/>
              <w:rPr>
                <w:sz w:val="14"/>
              </w:rPr>
            </w:pPr>
            <w:bookmarkStart w:name="_bookmark2015" w:id="2017"/>
            <w:bookmarkEnd w:id="2017"/>
            <w:r>
              <w:rPr/>
            </w:r>
            <w:hyperlink w:history="true" w:anchor="_bookmark1979">
              <w:r>
                <w:rPr>
                  <w:color w:val="005DA1"/>
                  <w:spacing w:val="-2"/>
                  <w:sz w:val="14"/>
                  <w:u w:val="single" w:color="005DA1"/>
                </w:rPr>
                <w:t>1046</w:t>
              </w:r>
            </w:hyperlink>
            <w:r>
              <w:rPr>
                <w:spacing w:val="-2"/>
                <w:sz w:val="14"/>
              </w:rPr>
              <w:t>.</w:t>
            </w:r>
          </w:p>
        </w:tc>
        <w:tc>
          <w:tcPr>
            <w:tcW w:w="8621" w:type="dxa"/>
          </w:tcPr>
          <w:p>
            <w:pPr>
              <w:pStyle w:val="TableParagraph"/>
              <w:spacing w:before="114"/>
              <w:jc w:val="left"/>
              <w:rPr>
                <w:sz w:val="20"/>
              </w:rPr>
            </w:pPr>
            <w:r>
              <w:rPr>
                <w:sz w:val="20"/>
              </w:rPr>
              <w:t>Above, para.30-</w:t>
            </w:r>
            <w:r>
              <w:rPr>
                <w:spacing w:val="-4"/>
                <w:sz w:val="20"/>
              </w:rPr>
              <w:t>116.</w:t>
            </w:r>
          </w:p>
        </w:tc>
      </w:tr>
      <w:tr>
        <w:trPr>
          <w:trHeight w:val="465" w:hRule="atLeast"/>
        </w:trPr>
        <w:tc>
          <w:tcPr>
            <w:tcW w:w="496" w:type="dxa"/>
          </w:tcPr>
          <w:p>
            <w:pPr>
              <w:pStyle w:val="TableParagraph"/>
              <w:ind w:left="0" w:right="43"/>
              <w:rPr>
                <w:sz w:val="14"/>
              </w:rPr>
            </w:pPr>
            <w:bookmarkStart w:name="_bookmark2016" w:id="2018"/>
            <w:bookmarkEnd w:id="2018"/>
            <w:r>
              <w:rPr/>
            </w:r>
            <w:hyperlink w:history="true" w:anchor="_bookmark1980">
              <w:r>
                <w:rPr>
                  <w:color w:val="005DA1"/>
                  <w:spacing w:val="-2"/>
                  <w:sz w:val="14"/>
                  <w:u w:val="single" w:color="005DA1"/>
                </w:rPr>
                <w:t>1047</w:t>
              </w:r>
            </w:hyperlink>
            <w:r>
              <w:rPr>
                <w:spacing w:val="-2"/>
                <w:sz w:val="14"/>
              </w:rPr>
              <w:t>.</w:t>
            </w:r>
          </w:p>
        </w:tc>
        <w:tc>
          <w:tcPr>
            <w:tcW w:w="8621" w:type="dxa"/>
          </w:tcPr>
          <w:p>
            <w:pPr>
              <w:pStyle w:val="TableParagraph"/>
              <w:spacing w:before="114"/>
              <w:jc w:val="left"/>
              <w:rPr>
                <w:sz w:val="20"/>
              </w:rPr>
            </w:pPr>
            <w:r>
              <w:rPr>
                <w:sz w:val="20"/>
              </w:rPr>
              <w:t>Above, para.30-</w:t>
            </w:r>
            <w:r>
              <w:rPr>
                <w:spacing w:val="-4"/>
                <w:sz w:val="20"/>
              </w:rPr>
              <w:t>118.</w:t>
            </w:r>
          </w:p>
        </w:tc>
      </w:tr>
      <w:tr>
        <w:trPr>
          <w:trHeight w:val="690" w:hRule="atLeast"/>
        </w:trPr>
        <w:tc>
          <w:tcPr>
            <w:tcW w:w="496" w:type="dxa"/>
          </w:tcPr>
          <w:p>
            <w:pPr>
              <w:pStyle w:val="TableParagraph"/>
              <w:ind w:left="0" w:right="43"/>
              <w:rPr>
                <w:sz w:val="14"/>
              </w:rPr>
            </w:pPr>
            <w:bookmarkStart w:name="_bookmark2017" w:id="2019"/>
            <w:bookmarkEnd w:id="2019"/>
            <w:r>
              <w:rPr/>
            </w:r>
            <w:hyperlink w:history="true" w:anchor="_bookmark1981">
              <w:r>
                <w:rPr>
                  <w:color w:val="005DA1"/>
                  <w:spacing w:val="-2"/>
                  <w:sz w:val="14"/>
                  <w:u w:val="single" w:color="005DA1"/>
                </w:rPr>
                <w:t>1048</w:t>
              </w:r>
            </w:hyperlink>
            <w:r>
              <w:rPr>
                <w:spacing w:val="-2"/>
                <w:sz w:val="14"/>
              </w:rPr>
              <w:t>.</w:t>
            </w:r>
          </w:p>
        </w:tc>
        <w:tc>
          <w:tcPr>
            <w:tcW w:w="8621" w:type="dxa"/>
          </w:tcPr>
          <w:p>
            <w:pPr>
              <w:pStyle w:val="TableParagraph"/>
              <w:spacing w:line="235" w:lineRule="auto" w:before="118"/>
              <w:jc w:val="left"/>
              <w:rPr>
                <w:sz w:val="20"/>
              </w:rPr>
            </w:pPr>
            <w:r>
              <w:rPr>
                <w:rFonts w:ascii="Arial" w:hAnsi="Arial"/>
                <w:i/>
                <w:sz w:val="20"/>
              </w:rPr>
              <w:t>Koelzsch</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État</w:t>
            </w:r>
            <w:r>
              <w:rPr>
                <w:rFonts w:ascii="Arial" w:hAnsi="Arial"/>
                <w:i/>
                <w:spacing w:val="31"/>
                <w:sz w:val="20"/>
              </w:rPr>
              <w:t> </w:t>
            </w:r>
            <w:r>
              <w:rPr>
                <w:rFonts w:ascii="Arial" w:hAnsi="Arial"/>
                <w:i/>
                <w:sz w:val="20"/>
              </w:rPr>
              <w:t>du</w:t>
            </w:r>
            <w:r>
              <w:rPr>
                <w:rFonts w:ascii="Arial" w:hAnsi="Arial"/>
                <w:i/>
                <w:spacing w:val="31"/>
                <w:sz w:val="20"/>
              </w:rPr>
              <w:t> </w:t>
            </w:r>
            <w:r>
              <w:rPr>
                <w:rFonts w:ascii="Arial" w:hAnsi="Arial"/>
                <w:i/>
                <w:sz w:val="20"/>
              </w:rPr>
              <w:t>Grand-Duché</w:t>
            </w:r>
            <w:r>
              <w:rPr>
                <w:rFonts w:ascii="Arial" w:hAnsi="Arial"/>
                <w:i/>
                <w:spacing w:val="31"/>
                <w:sz w:val="20"/>
              </w:rPr>
              <w:t> </w:t>
            </w:r>
            <w:r>
              <w:rPr>
                <w:rFonts w:ascii="Arial" w:hAnsi="Arial"/>
                <w:i/>
                <w:sz w:val="20"/>
              </w:rPr>
              <w:t>de</w:t>
            </w:r>
            <w:r>
              <w:rPr>
                <w:rFonts w:ascii="Arial" w:hAnsi="Arial"/>
                <w:i/>
                <w:spacing w:val="31"/>
                <w:sz w:val="20"/>
              </w:rPr>
              <w:t> </w:t>
            </w:r>
            <w:r>
              <w:rPr>
                <w:rFonts w:ascii="Arial" w:hAnsi="Arial"/>
                <w:i/>
                <w:sz w:val="20"/>
              </w:rPr>
              <w:t>Luxembourg</w:t>
            </w:r>
            <w:r>
              <w:rPr>
                <w:rFonts w:ascii="Arial" w:hAnsi="Arial"/>
                <w:i/>
                <w:spacing w:val="31"/>
                <w:sz w:val="20"/>
              </w:rPr>
              <w:t> </w:t>
            </w:r>
            <w:r>
              <w:rPr>
                <w:rFonts w:ascii="Arial" w:hAnsi="Arial"/>
                <w:i/>
                <w:sz w:val="20"/>
              </w:rPr>
              <w:t>(C-29/10)</w:t>
            </w:r>
            <w:r>
              <w:rPr>
                <w:rFonts w:ascii="Arial" w:hAnsi="Arial"/>
                <w:i/>
                <w:spacing w:val="31"/>
                <w:sz w:val="20"/>
              </w:rPr>
              <w:t> </w:t>
            </w:r>
            <w:r>
              <w:rPr>
                <w:rFonts w:ascii="Arial" w:hAnsi="Arial"/>
                <w:i/>
                <w:sz w:val="20"/>
              </w:rPr>
              <w:t>[2012]</w:t>
            </w:r>
            <w:r>
              <w:rPr>
                <w:rFonts w:ascii="Arial" w:hAnsi="Arial"/>
                <w:i/>
                <w:spacing w:val="31"/>
                <w:sz w:val="20"/>
              </w:rPr>
              <w:t> </w:t>
            </w:r>
            <w:r>
              <w:rPr>
                <w:rFonts w:ascii="Arial" w:hAnsi="Arial"/>
                <w:i/>
                <w:sz w:val="20"/>
              </w:rPr>
              <w:t>Q.B.</w:t>
            </w:r>
            <w:r>
              <w:rPr>
                <w:rFonts w:ascii="Arial" w:hAnsi="Arial"/>
                <w:i/>
                <w:spacing w:val="31"/>
                <w:sz w:val="20"/>
              </w:rPr>
              <w:t> </w:t>
            </w:r>
            <w:r>
              <w:rPr>
                <w:rFonts w:ascii="Arial" w:hAnsi="Arial"/>
                <w:i/>
                <w:sz w:val="20"/>
              </w:rPr>
              <w:t>210</w:t>
            </w:r>
            <w:r>
              <w:rPr>
                <w:sz w:val="20"/>
              </w:rPr>
              <w:t>;</w:t>
            </w:r>
            <w:r>
              <w:rPr>
                <w:spacing w:val="31"/>
                <w:sz w:val="20"/>
              </w:rPr>
              <w:t> </w:t>
            </w:r>
            <w:r>
              <w:rPr>
                <w:rFonts w:ascii="Arial" w:hAnsi="Arial"/>
                <w:i/>
                <w:sz w:val="20"/>
              </w:rPr>
              <w:t>Voogsgeerd</w:t>
            </w:r>
            <w:r>
              <w:rPr>
                <w:rFonts w:ascii="Arial" w:hAnsi="Arial"/>
                <w:i/>
                <w:spacing w:val="31"/>
                <w:sz w:val="20"/>
              </w:rPr>
              <w:t> </w:t>
            </w:r>
            <w:r>
              <w:rPr>
                <w:rFonts w:ascii="Arial" w:hAnsi="Arial"/>
                <w:i/>
                <w:sz w:val="20"/>
              </w:rPr>
              <w:t>v Navimer SA (C-384/10) [2012] I.L.Pr.16</w:t>
            </w:r>
            <w:r>
              <w:rPr>
                <w:sz w:val="20"/>
              </w:rPr>
              <w:t>. See above, para.30-118.</w:t>
            </w:r>
          </w:p>
        </w:tc>
      </w:tr>
      <w:tr>
        <w:trPr>
          <w:trHeight w:val="465" w:hRule="atLeast"/>
        </w:trPr>
        <w:tc>
          <w:tcPr>
            <w:tcW w:w="496" w:type="dxa"/>
          </w:tcPr>
          <w:p>
            <w:pPr>
              <w:pStyle w:val="TableParagraph"/>
              <w:ind w:left="0" w:right="43"/>
              <w:rPr>
                <w:sz w:val="14"/>
              </w:rPr>
            </w:pPr>
            <w:bookmarkStart w:name="_bookmark2018" w:id="2020"/>
            <w:bookmarkEnd w:id="2020"/>
            <w:r>
              <w:rPr/>
            </w:r>
            <w:hyperlink w:history="true" w:anchor="_bookmark1982">
              <w:r>
                <w:rPr>
                  <w:color w:val="005DA1"/>
                  <w:spacing w:val="-2"/>
                  <w:sz w:val="14"/>
                  <w:u w:val="single" w:color="005DA1"/>
                </w:rPr>
                <w:t>1049</w:t>
              </w:r>
            </w:hyperlink>
            <w:r>
              <w:rPr>
                <w:spacing w:val="-2"/>
                <w:sz w:val="14"/>
              </w:rPr>
              <w:t>.</w:t>
            </w:r>
          </w:p>
        </w:tc>
        <w:tc>
          <w:tcPr>
            <w:tcW w:w="8621" w:type="dxa"/>
          </w:tcPr>
          <w:p>
            <w:pPr>
              <w:pStyle w:val="TableParagraph"/>
              <w:spacing w:before="114"/>
              <w:jc w:val="left"/>
              <w:rPr>
                <w:sz w:val="20"/>
              </w:rPr>
            </w:pPr>
            <w:r>
              <w:rPr>
                <w:sz w:val="20"/>
              </w:rPr>
              <w:t>As to the meaning of “habitually carries out his work” see para.30-118 </w:t>
            </w:r>
            <w:r>
              <w:rPr>
                <w:spacing w:val="-2"/>
                <w:sz w:val="20"/>
              </w:rPr>
              <w:t>above.</w:t>
            </w:r>
          </w:p>
        </w:tc>
      </w:tr>
      <w:tr>
        <w:trPr>
          <w:trHeight w:val="465" w:hRule="atLeast"/>
        </w:trPr>
        <w:tc>
          <w:tcPr>
            <w:tcW w:w="496" w:type="dxa"/>
          </w:tcPr>
          <w:p>
            <w:pPr>
              <w:pStyle w:val="TableParagraph"/>
              <w:ind w:left="0" w:right="43"/>
              <w:rPr>
                <w:sz w:val="14"/>
              </w:rPr>
            </w:pPr>
            <w:bookmarkStart w:name="_bookmark2019" w:id="2021"/>
            <w:bookmarkEnd w:id="2021"/>
            <w:r>
              <w:rPr/>
            </w:r>
            <w:hyperlink w:history="true" w:anchor="_bookmark1983">
              <w:r>
                <w:rPr>
                  <w:color w:val="005DA1"/>
                  <w:spacing w:val="-2"/>
                  <w:sz w:val="14"/>
                  <w:u w:val="single" w:color="005DA1"/>
                </w:rPr>
                <w:t>1050</w:t>
              </w:r>
            </w:hyperlink>
            <w:r>
              <w:rPr>
                <w:spacing w:val="-2"/>
                <w:sz w:val="14"/>
              </w:rPr>
              <w:t>.</w:t>
            </w:r>
          </w:p>
        </w:tc>
        <w:tc>
          <w:tcPr>
            <w:tcW w:w="8621" w:type="dxa"/>
          </w:tcPr>
          <w:p>
            <w:pPr>
              <w:pStyle w:val="TableParagraph"/>
              <w:spacing w:before="114"/>
              <w:jc w:val="left"/>
              <w:rPr>
                <w:sz w:val="20"/>
              </w:rPr>
            </w:pPr>
            <w:r>
              <w:rPr>
                <w:sz w:val="20"/>
              </w:rPr>
              <w:t>See above, para.30-</w:t>
            </w:r>
            <w:r>
              <w:rPr>
                <w:spacing w:val="-4"/>
                <w:sz w:val="20"/>
              </w:rPr>
              <w:t>107.</w:t>
            </w:r>
          </w:p>
        </w:tc>
      </w:tr>
      <w:tr>
        <w:trPr>
          <w:trHeight w:val="465" w:hRule="atLeast"/>
        </w:trPr>
        <w:tc>
          <w:tcPr>
            <w:tcW w:w="496" w:type="dxa"/>
          </w:tcPr>
          <w:p>
            <w:pPr>
              <w:pStyle w:val="TableParagraph"/>
              <w:ind w:left="0" w:right="43"/>
              <w:rPr>
                <w:sz w:val="14"/>
              </w:rPr>
            </w:pPr>
            <w:bookmarkStart w:name="_bookmark2020" w:id="2022"/>
            <w:bookmarkEnd w:id="2022"/>
            <w:r>
              <w:rPr/>
            </w:r>
            <w:hyperlink w:history="true" w:anchor="_bookmark1984">
              <w:r>
                <w:rPr>
                  <w:color w:val="005DA1"/>
                  <w:spacing w:val="-2"/>
                  <w:sz w:val="14"/>
                  <w:u w:val="single" w:color="005DA1"/>
                </w:rPr>
                <w:t>1051</w:t>
              </w:r>
            </w:hyperlink>
            <w:r>
              <w:rPr>
                <w:spacing w:val="-2"/>
                <w:sz w:val="14"/>
              </w:rPr>
              <w:t>.</w:t>
            </w:r>
          </w:p>
        </w:tc>
        <w:tc>
          <w:tcPr>
            <w:tcW w:w="8621" w:type="dxa"/>
          </w:tcPr>
          <w:p>
            <w:pPr>
              <w:pStyle w:val="TableParagraph"/>
              <w:spacing w:before="114"/>
              <w:jc w:val="left"/>
              <w:rPr>
                <w:sz w:val="20"/>
              </w:rPr>
            </w:pPr>
            <w:r>
              <w:rPr>
                <w:sz w:val="20"/>
              </w:rPr>
              <w:t>cf. </w:t>
            </w:r>
            <w:r>
              <w:rPr>
                <w:rFonts w:ascii="Arial"/>
                <w:i/>
                <w:sz w:val="20"/>
              </w:rPr>
              <w:t>Serco Ltd v Lawson [2006] UKHL 3, [2006] I.C.R. </w:t>
            </w:r>
            <w:r>
              <w:rPr>
                <w:rFonts w:ascii="Arial"/>
                <w:i/>
                <w:spacing w:val="-4"/>
                <w:sz w:val="20"/>
              </w:rPr>
              <w:t>250</w:t>
            </w:r>
            <w:r>
              <w:rPr>
                <w:spacing w:val="-4"/>
                <w:sz w:val="20"/>
              </w:rPr>
              <w:t>.</w:t>
            </w:r>
          </w:p>
        </w:tc>
      </w:tr>
      <w:tr>
        <w:trPr>
          <w:trHeight w:val="794" w:hRule="atLeast"/>
        </w:trPr>
        <w:tc>
          <w:tcPr>
            <w:tcW w:w="496" w:type="dxa"/>
          </w:tcPr>
          <w:p>
            <w:pPr>
              <w:pStyle w:val="TableParagraph"/>
              <w:ind w:left="0" w:right="43"/>
              <w:rPr>
                <w:sz w:val="14"/>
              </w:rPr>
            </w:pPr>
            <w:bookmarkStart w:name="_bookmark2021" w:id="2023"/>
            <w:bookmarkEnd w:id="2023"/>
            <w:r>
              <w:rPr/>
            </w:r>
            <w:hyperlink w:history="true" w:anchor="_bookmark1985">
              <w:r>
                <w:rPr>
                  <w:color w:val="005DA1"/>
                  <w:spacing w:val="-2"/>
                  <w:sz w:val="14"/>
                  <w:u w:val="single" w:color="005DA1"/>
                </w:rPr>
                <w:t>1052</w:t>
              </w:r>
            </w:hyperlink>
            <w:r>
              <w:rPr>
                <w:spacing w:val="-2"/>
                <w:sz w:val="14"/>
              </w:rPr>
              <w:t>.</w:t>
            </w:r>
          </w:p>
        </w:tc>
        <w:tc>
          <w:tcPr>
            <w:tcW w:w="8621" w:type="dxa"/>
          </w:tcPr>
          <w:p>
            <w:pPr>
              <w:pStyle w:val="TableParagraph"/>
              <w:spacing w:line="226" w:lineRule="exact" w:before="96"/>
              <w:ind w:right="49"/>
              <w:jc w:val="both"/>
              <w:rPr>
                <w:sz w:val="20"/>
              </w:rPr>
            </w:pPr>
            <w:r>
              <w:rPr>
                <w:sz w:val="20"/>
              </w:rPr>
              <w:t>As to the meaning of “place of business through which the employee was engaged is </w:t>
            </w:r>
            <w:r>
              <w:rPr>
                <w:sz w:val="20"/>
              </w:rPr>
              <w:t>situated”, see above, para.30-118. cf. </w:t>
            </w:r>
            <w:r>
              <w:rPr>
                <w:rFonts w:ascii="Arial" w:hAnsi="Arial"/>
                <w:i/>
                <w:sz w:val="20"/>
              </w:rPr>
              <w:t>Voogsgeerd v Navimer SA (C-384/10) [2012] I.L.Pr.16</w:t>
            </w:r>
            <w:r>
              <w:rPr>
                <w:sz w:val="20"/>
              </w:rPr>
              <w:t>, above,</w:t>
            </w:r>
            <w:r>
              <w:rPr>
                <w:spacing w:val="40"/>
                <w:sz w:val="20"/>
              </w:rPr>
              <w:t> </w:t>
            </w:r>
            <w:r>
              <w:rPr>
                <w:sz w:val="20"/>
              </w:rPr>
              <w:t>para. 30-118 (a case on the Rome Convention).</w:t>
            </w:r>
          </w:p>
        </w:tc>
      </w:tr>
    </w:tbl>
    <w:p>
      <w:pPr>
        <w:pStyle w:val="TableParagraph"/>
        <w:spacing w:after="0" w:line="226" w:lineRule="exact"/>
        <w:jc w:val="both"/>
        <w:rPr>
          <w:sz w:val="20"/>
        </w:rPr>
        <w:sectPr>
          <w:pgSz w:w="11900" w:h="16840"/>
          <w:pgMar w:header="971" w:footer="0" w:top="1300" w:bottom="280" w:left="1275" w:right="1275"/>
        </w:sectPr>
      </w:pPr>
    </w:p>
    <w:p>
      <w:pPr>
        <w:pStyle w:val="BodyText"/>
        <w:spacing w:after="1"/>
        <w:rPr>
          <w:rFonts w:ascii="Arial"/>
          <w:i/>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left="0" w:right="43"/>
              <w:rPr>
                <w:sz w:val="14"/>
              </w:rPr>
            </w:pPr>
            <w:hyperlink w:history="true" w:anchor="_bookmark1986">
              <w:r>
                <w:rPr>
                  <w:color w:val="005DA1"/>
                  <w:spacing w:val="-2"/>
                  <w:sz w:val="14"/>
                  <w:u w:val="single" w:color="005DA1"/>
                </w:rPr>
                <w:t>1053</w:t>
              </w:r>
            </w:hyperlink>
            <w:r>
              <w:rPr>
                <w:spacing w:val="-2"/>
                <w:sz w:val="14"/>
              </w:rPr>
              <w:t>.</w:t>
            </w:r>
          </w:p>
        </w:tc>
        <w:tc>
          <w:tcPr>
            <w:tcW w:w="8620" w:type="dxa"/>
          </w:tcPr>
          <w:p>
            <w:pPr>
              <w:pStyle w:val="TableParagraph"/>
              <w:spacing w:line="223" w:lineRule="exact" w:before="0"/>
              <w:jc w:val="left"/>
              <w:rPr>
                <w:sz w:val="20"/>
              </w:rPr>
            </w:pPr>
            <w:r>
              <w:rPr>
                <w:sz w:val="20"/>
              </w:rPr>
              <w:t>Above, para.30-119 and considered in</w:t>
            </w:r>
            <w:r>
              <w:rPr>
                <w:spacing w:val="-1"/>
                <w:sz w:val="20"/>
              </w:rPr>
              <w:t> </w:t>
            </w:r>
            <w:r>
              <w:rPr>
                <w:rFonts w:ascii="Arial"/>
                <w:i/>
                <w:sz w:val="20"/>
              </w:rPr>
              <w:t>Schleker v Boedeker (C-64/12) [2014] Q.B. </w:t>
            </w:r>
            <w:r>
              <w:rPr>
                <w:rFonts w:ascii="Arial"/>
                <w:i/>
                <w:spacing w:val="-4"/>
                <w:sz w:val="20"/>
              </w:rPr>
              <w:t>320</w:t>
            </w:r>
            <w:r>
              <w:rPr>
                <w:spacing w:val="-4"/>
                <w:sz w:val="20"/>
              </w:rPr>
              <w:t>.</w:t>
            </w:r>
          </w:p>
        </w:tc>
      </w:tr>
      <w:tr>
        <w:trPr>
          <w:trHeight w:val="465" w:hRule="atLeast"/>
        </w:trPr>
        <w:tc>
          <w:tcPr>
            <w:tcW w:w="496" w:type="dxa"/>
          </w:tcPr>
          <w:p>
            <w:pPr>
              <w:pStyle w:val="TableParagraph"/>
              <w:ind w:left="0" w:right="43"/>
              <w:rPr>
                <w:sz w:val="14"/>
              </w:rPr>
            </w:pPr>
            <w:bookmarkStart w:name="_bookmark2022" w:id="2024"/>
            <w:bookmarkEnd w:id="2024"/>
            <w:r>
              <w:rPr/>
            </w:r>
            <w:hyperlink w:history="true" w:anchor="_bookmark1987">
              <w:r>
                <w:rPr>
                  <w:color w:val="005DA1"/>
                  <w:spacing w:val="-2"/>
                  <w:sz w:val="14"/>
                  <w:u w:val="single" w:color="005DA1"/>
                </w:rPr>
                <w:t>1054</w:t>
              </w:r>
            </w:hyperlink>
            <w:r>
              <w:rPr>
                <w:spacing w:val="-2"/>
                <w:sz w:val="14"/>
              </w:rPr>
              <w:t>.</w:t>
            </w:r>
          </w:p>
        </w:tc>
        <w:tc>
          <w:tcPr>
            <w:tcW w:w="8620" w:type="dxa"/>
          </w:tcPr>
          <w:p>
            <w:pPr>
              <w:pStyle w:val="TableParagraph"/>
              <w:spacing w:before="114"/>
              <w:jc w:val="left"/>
              <w:rPr>
                <w:sz w:val="20"/>
              </w:rPr>
            </w:pPr>
            <w:r>
              <w:rPr>
                <w:sz w:val="20"/>
              </w:rPr>
              <w:t>cf. Rome I art.4(3); above, para.30-</w:t>
            </w:r>
            <w:r>
              <w:rPr>
                <w:spacing w:val="-4"/>
                <w:sz w:val="20"/>
              </w:rPr>
              <w:t>203.</w:t>
            </w:r>
          </w:p>
        </w:tc>
      </w:tr>
      <w:tr>
        <w:trPr>
          <w:trHeight w:val="465" w:hRule="atLeast"/>
        </w:trPr>
        <w:tc>
          <w:tcPr>
            <w:tcW w:w="496" w:type="dxa"/>
          </w:tcPr>
          <w:p>
            <w:pPr>
              <w:pStyle w:val="TableParagraph"/>
              <w:ind w:left="0" w:right="43"/>
              <w:rPr>
                <w:sz w:val="14"/>
              </w:rPr>
            </w:pPr>
            <w:bookmarkStart w:name="_bookmark2023" w:id="2025"/>
            <w:bookmarkEnd w:id="2025"/>
            <w:r>
              <w:rPr/>
            </w:r>
            <w:hyperlink w:history="true" w:anchor="_bookmark1988">
              <w:r>
                <w:rPr>
                  <w:color w:val="005DA1"/>
                  <w:spacing w:val="-2"/>
                  <w:sz w:val="14"/>
                  <w:u w:val="single" w:color="005DA1"/>
                </w:rPr>
                <w:t>1055</w:t>
              </w:r>
            </w:hyperlink>
            <w:r>
              <w:rPr>
                <w:spacing w:val="-2"/>
                <w:sz w:val="14"/>
              </w:rPr>
              <w:t>.</w:t>
            </w:r>
          </w:p>
        </w:tc>
        <w:tc>
          <w:tcPr>
            <w:tcW w:w="8620" w:type="dxa"/>
          </w:tcPr>
          <w:p>
            <w:pPr>
              <w:pStyle w:val="TableParagraph"/>
              <w:spacing w:before="114"/>
              <w:jc w:val="left"/>
              <w:rPr>
                <w:sz w:val="20"/>
              </w:rPr>
            </w:pPr>
            <w:r>
              <w:rPr>
                <w:sz w:val="20"/>
              </w:rPr>
              <w:t>cf. Rome I art.4(4); above, para.30-</w:t>
            </w:r>
            <w:r>
              <w:rPr>
                <w:spacing w:val="-4"/>
                <w:sz w:val="20"/>
              </w:rPr>
              <w:t>206.</w:t>
            </w:r>
          </w:p>
        </w:tc>
      </w:tr>
      <w:tr>
        <w:trPr>
          <w:trHeight w:val="690" w:hRule="atLeast"/>
        </w:trPr>
        <w:tc>
          <w:tcPr>
            <w:tcW w:w="496" w:type="dxa"/>
          </w:tcPr>
          <w:p>
            <w:pPr>
              <w:pStyle w:val="TableParagraph"/>
              <w:ind w:left="0" w:right="43"/>
              <w:rPr>
                <w:sz w:val="14"/>
              </w:rPr>
            </w:pPr>
            <w:bookmarkStart w:name="_bookmark2024" w:id="2026"/>
            <w:bookmarkEnd w:id="2026"/>
            <w:r>
              <w:rPr/>
            </w:r>
            <w:hyperlink w:history="true" w:anchor="_bookmark1989">
              <w:r>
                <w:rPr>
                  <w:color w:val="005DA1"/>
                  <w:spacing w:val="-2"/>
                  <w:sz w:val="14"/>
                  <w:u w:val="single" w:color="005DA1"/>
                </w:rPr>
                <w:t>1056</w:t>
              </w:r>
            </w:hyperlink>
            <w:r>
              <w:rPr>
                <w:spacing w:val="-2"/>
                <w:sz w:val="14"/>
              </w:rPr>
              <w:t>.</w:t>
            </w:r>
          </w:p>
        </w:tc>
        <w:tc>
          <w:tcPr>
            <w:tcW w:w="8620" w:type="dxa"/>
          </w:tcPr>
          <w:p>
            <w:pPr>
              <w:pStyle w:val="TableParagraph"/>
              <w:spacing w:line="235" w:lineRule="auto" w:before="118"/>
              <w:jc w:val="left"/>
              <w:rPr>
                <w:sz w:val="20"/>
              </w:rPr>
            </w:pPr>
            <w:r>
              <w:rPr>
                <w:sz w:val="20"/>
              </w:rPr>
              <w:t>See</w:t>
            </w:r>
            <w:r>
              <w:rPr>
                <w:spacing w:val="18"/>
                <w:sz w:val="20"/>
              </w:rPr>
              <w:t> </w:t>
            </w:r>
            <w:r>
              <w:rPr>
                <w:sz w:val="20"/>
              </w:rPr>
              <w:t>below,</w:t>
            </w:r>
            <w:r>
              <w:rPr>
                <w:spacing w:val="18"/>
                <w:sz w:val="20"/>
              </w:rPr>
              <w:t> </w:t>
            </w:r>
            <w:r>
              <w:rPr>
                <w:sz w:val="20"/>
              </w:rPr>
              <w:t>paras</w:t>
            </w:r>
            <w:r>
              <w:rPr>
                <w:spacing w:val="18"/>
                <w:sz w:val="20"/>
              </w:rPr>
              <w:t> </w:t>
            </w:r>
            <w:r>
              <w:rPr>
                <w:sz w:val="20"/>
              </w:rPr>
              <w:t>30-362</w:t>
            </w:r>
            <w:r>
              <w:rPr>
                <w:spacing w:val="18"/>
                <w:sz w:val="20"/>
              </w:rPr>
              <w:t> </w:t>
            </w:r>
            <w:r>
              <w:rPr>
                <w:sz w:val="20"/>
              </w:rPr>
              <w:t>et</w:t>
            </w:r>
            <w:r>
              <w:rPr>
                <w:spacing w:val="18"/>
                <w:sz w:val="20"/>
              </w:rPr>
              <w:t> </w:t>
            </w:r>
            <w:r>
              <w:rPr>
                <w:sz w:val="20"/>
              </w:rPr>
              <w:t>seq.</w:t>
            </w:r>
            <w:r>
              <w:rPr>
                <w:spacing w:val="18"/>
                <w:sz w:val="20"/>
              </w:rPr>
              <w:t> </w:t>
            </w:r>
            <w:r>
              <w:rPr>
                <w:sz w:val="20"/>
              </w:rPr>
              <w:t>In</w:t>
            </w:r>
            <w:r>
              <w:rPr>
                <w:spacing w:val="18"/>
                <w:sz w:val="20"/>
              </w:rPr>
              <w:t> </w:t>
            </w:r>
            <w:r>
              <w:rPr>
                <w:sz w:val="20"/>
              </w:rPr>
              <w:t>any</w:t>
            </w:r>
            <w:r>
              <w:rPr>
                <w:spacing w:val="18"/>
                <w:sz w:val="20"/>
              </w:rPr>
              <w:t> </w:t>
            </w:r>
            <w:r>
              <w:rPr>
                <w:sz w:val="20"/>
              </w:rPr>
              <w:t>event,</w:t>
            </w:r>
            <w:r>
              <w:rPr>
                <w:spacing w:val="18"/>
                <w:sz w:val="20"/>
              </w:rPr>
              <w:t> </w:t>
            </w:r>
            <w:r>
              <w:rPr>
                <w:sz w:val="20"/>
              </w:rPr>
              <w:t>in</w:t>
            </w:r>
            <w:r>
              <w:rPr>
                <w:spacing w:val="18"/>
                <w:sz w:val="20"/>
              </w:rPr>
              <w:t> </w:t>
            </w:r>
            <w:r>
              <w:rPr>
                <w:sz w:val="20"/>
              </w:rPr>
              <w:t>practice,</w:t>
            </w:r>
            <w:r>
              <w:rPr>
                <w:spacing w:val="18"/>
                <w:sz w:val="20"/>
              </w:rPr>
              <w:t> </w:t>
            </w:r>
            <w:r>
              <w:rPr>
                <w:sz w:val="20"/>
              </w:rPr>
              <w:t>the</w:t>
            </w:r>
            <w:r>
              <w:rPr>
                <w:spacing w:val="18"/>
                <w:sz w:val="20"/>
              </w:rPr>
              <w:t> </w:t>
            </w:r>
            <w:r>
              <w:rPr>
                <w:sz w:val="20"/>
              </w:rPr>
              <w:t>approach</w:t>
            </w:r>
            <w:r>
              <w:rPr>
                <w:spacing w:val="18"/>
                <w:sz w:val="20"/>
              </w:rPr>
              <w:t> </w:t>
            </w:r>
            <w:r>
              <w:rPr>
                <w:sz w:val="20"/>
              </w:rPr>
              <w:t>in</w:t>
            </w:r>
            <w:r>
              <w:rPr>
                <w:spacing w:val="18"/>
                <w:sz w:val="20"/>
              </w:rPr>
              <w:t> </w:t>
            </w:r>
            <w:r>
              <w:rPr>
                <w:sz w:val="20"/>
              </w:rPr>
              <w:t>art.8</w:t>
            </w:r>
            <w:r>
              <w:rPr>
                <w:spacing w:val="18"/>
                <w:sz w:val="20"/>
              </w:rPr>
              <w:t> </w:t>
            </w:r>
            <w:r>
              <w:rPr>
                <w:sz w:val="20"/>
              </w:rPr>
              <w:t>will</w:t>
            </w:r>
            <w:r>
              <w:rPr>
                <w:spacing w:val="18"/>
                <w:sz w:val="20"/>
              </w:rPr>
              <w:t> </w:t>
            </w:r>
            <w:r>
              <w:rPr>
                <w:sz w:val="20"/>
              </w:rPr>
              <w:t>normally secure the application of these provisions.</w:t>
            </w:r>
          </w:p>
        </w:tc>
      </w:tr>
      <w:tr>
        <w:trPr>
          <w:trHeight w:val="465" w:hRule="atLeast"/>
        </w:trPr>
        <w:tc>
          <w:tcPr>
            <w:tcW w:w="496" w:type="dxa"/>
          </w:tcPr>
          <w:p>
            <w:pPr>
              <w:pStyle w:val="TableParagraph"/>
              <w:ind w:left="0" w:right="43"/>
              <w:rPr>
                <w:sz w:val="14"/>
              </w:rPr>
            </w:pPr>
            <w:bookmarkStart w:name="_bookmark2025" w:id="2027"/>
            <w:bookmarkEnd w:id="2027"/>
            <w:r>
              <w:rPr/>
            </w:r>
            <w:hyperlink w:history="true" w:anchor="_bookmark1990">
              <w:r>
                <w:rPr>
                  <w:color w:val="005DA1"/>
                  <w:spacing w:val="-2"/>
                  <w:sz w:val="14"/>
                  <w:u w:val="single" w:color="005DA1"/>
                </w:rPr>
                <w:t>1057</w:t>
              </w:r>
            </w:hyperlink>
            <w:r>
              <w:rPr>
                <w:spacing w:val="-2"/>
                <w:sz w:val="14"/>
              </w:rPr>
              <w:t>.</w:t>
            </w:r>
          </w:p>
        </w:tc>
        <w:tc>
          <w:tcPr>
            <w:tcW w:w="8620" w:type="dxa"/>
          </w:tcPr>
          <w:p>
            <w:pPr>
              <w:pStyle w:val="TableParagraph"/>
              <w:spacing w:before="114"/>
              <w:jc w:val="left"/>
              <w:rPr>
                <w:sz w:val="20"/>
              </w:rPr>
            </w:pPr>
            <w:r>
              <w:rPr>
                <w:sz w:val="20"/>
              </w:rPr>
              <w:t>And are within the spatial reach of the relevant rules. See above, para.30-</w:t>
            </w:r>
            <w:r>
              <w:rPr>
                <w:spacing w:val="-4"/>
                <w:sz w:val="20"/>
              </w:rPr>
              <w:t>114.</w:t>
            </w:r>
          </w:p>
        </w:tc>
      </w:tr>
      <w:tr>
        <w:trPr>
          <w:trHeight w:val="915" w:hRule="atLeast"/>
        </w:trPr>
        <w:tc>
          <w:tcPr>
            <w:tcW w:w="496" w:type="dxa"/>
          </w:tcPr>
          <w:p>
            <w:pPr>
              <w:pStyle w:val="TableParagraph"/>
              <w:ind w:left="0" w:right="43"/>
              <w:rPr>
                <w:sz w:val="14"/>
              </w:rPr>
            </w:pPr>
            <w:bookmarkStart w:name="_bookmark2026" w:id="2028"/>
            <w:bookmarkEnd w:id="2028"/>
            <w:r>
              <w:rPr/>
            </w:r>
            <w:hyperlink w:history="true" w:anchor="_bookmark1991">
              <w:r>
                <w:rPr>
                  <w:color w:val="005DA1"/>
                  <w:spacing w:val="-2"/>
                  <w:sz w:val="14"/>
                  <w:u w:val="single" w:color="005DA1"/>
                </w:rPr>
                <w:t>1058</w:t>
              </w:r>
            </w:hyperlink>
            <w:r>
              <w:rPr>
                <w:spacing w:val="-2"/>
                <w:sz w:val="14"/>
              </w:rPr>
              <w:t>.</w:t>
            </w:r>
          </w:p>
        </w:tc>
        <w:tc>
          <w:tcPr>
            <w:tcW w:w="8620" w:type="dxa"/>
          </w:tcPr>
          <w:p>
            <w:pPr>
              <w:pStyle w:val="TableParagraph"/>
              <w:spacing w:line="235" w:lineRule="auto" w:before="118"/>
              <w:jc w:val="left"/>
              <w:rPr>
                <w:rFonts w:ascii="Arial"/>
                <w:i/>
                <w:sz w:val="20"/>
              </w:rPr>
            </w:pPr>
            <w:r>
              <w:rPr>
                <w:sz w:val="20"/>
              </w:rPr>
              <w:t>See</w:t>
            </w:r>
            <w:r>
              <w:rPr>
                <w:spacing w:val="35"/>
                <w:sz w:val="20"/>
              </w:rPr>
              <w:t> </w:t>
            </w:r>
            <w:r>
              <w:rPr>
                <w:sz w:val="20"/>
              </w:rPr>
              <w:t>above,</w:t>
            </w:r>
            <w:r>
              <w:rPr>
                <w:spacing w:val="35"/>
                <w:sz w:val="20"/>
              </w:rPr>
              <w:t> </w:t>
            </w:r>
            <w:r>
              <w:rPr>
                <w:sz w:val="20"/>
              </w:rPr>
              <w:t>para.30-114.</w:t>
            </w:r>
            <w:r>
              <w:rPr>
                <w:spacing w:val="35"/>
                <w:sz w:val="20"/>
              </w:rPr>
              <w:t> </w:t>
            </w:r>
            <w:r>
              <w:rPr>
                <w:sz w:val="20"/>
              </w:rPr>
              <w:t>cf.</w:t>
            </w:r>
            <w:r>
              <w:rPr>
                <w:spacing w:val="35"/>
                <w:sz w:val="20"/>
              </w:rPr>
              <w:t> </w:t>
            </w:r>
            <w:r>
              <w:rPr>
                <w:sz w:val="20"/>
              </w:rPr>
              <w:t>Barnard</w:t>
            </w:r>
            <w:r>
              <w:rPr>
                <w:spacing w:val="35"/>
                <w:sz w:val="20"/>
              </w:rPr>
              <w:t> </w:t>
            </w:r>
            <w:r>
              <w:rPr>
                <w:sz w:val="20"/>
              </w:rPr>
              <w:t>[2009]</w:t>
            </w:r>
            <w:r>
              <w:rPr>
                <w:spacing w:val="35"/>
                <w:sz w:val="20"/>
              </w:rPr>
              <w:t> </w:t>
            </w:r>
            <w:r>
              <w:rPr>
                <w:sz w:val="20"/>
              </w:rPr>
              <w:t>I.L.J.</w:t>
            </w:r>
            <w:r>
              <w:rPr>
                <w:spacing w:val="35"/>
                <w:sz w:val="20"/>
              </w:rPr>
              <w:t> </w:t>
            </w:r>
            <w:r>
              <w:rPr>
                <w:sz w:val="20"/>
              </w:rPr>
              <w:t>122.</w:t>
            </w:r>
            <w:r>
              <w:rPr>
                <w:spacing w:val="35"/>
                <w:sz w:val="20"/>
              </w:rPr>
              <w:t> </w:t>
            </w:r>
            <w:r>
              <w:rPr>
                <w:sz w:val="20"/>
              </w:rPr>
              <w:t>cf.</w:t>
            </w:r>
            <w:r>
              <w:rPr>
                <w:spacing w:val="35"/>
                <w:sz w:val="20"/>
              </w:rPr>
              <w:t> </w:t>
            </w:r>
            <w:r>
              <w:rPr>
                <w:sz w:val="20"/>
              </w:rPr>
              <w:t>restrictive</w:t>
            </w:r>
            <w:r>
              <w:rPr>
                <w:spacing w:val="35"/>
                <w:sz w:val="20"/>
              </w:rPr>
              <w:t> </w:t>
            </w:r>
            <w:r>
              <w:rPr>
                <w:sz w:val="20"/>
              </w:rPr>
              <w:t>covenants</w:t>
            </w:r>
            <w:r>
              <w:rPr>
                <w:spacing w:val="35"/>
                <w:sz w:val="20"/>
              </w:rPr>
              <w:t> </w:t>
            </w:r>
            <w:r>
              <w:rPr>
                <w:sz w:val="20"/>
              </w:rPr>
              <w:t>imposed</w:t>
            </w:r>
            <w:r>
              <w:rPr>
                <w:spacing w:val="35"/>
                <w:sz w:val="20"/>
              </w:rPr>
              <w:t> </w:t>
            </w:r>
            <w:r>
              <w:rPr>
                <w:sz w:val="20"/>
              </w:rPr>
              <w:t>on employees:</w:t>
            </w:r>
            <w:r>
              <w:rPr>
                <w:spacing w:val="1"/>
                <w:sz w:val="20"/>
              </w:rPr>
              <w:t> </w:t>
            </w:r>
            <w:r>
              <w:rPr>
                <w:rFonts w:ascii="Arial"/>
                <w:i/>
                <w:sz w:val="20"/>
              </w:rPr>
              <w:t>Duarte</w:t>
            </w:r>
            <w:r>
              <w:rPr>
                <w:rFonts w:ascii="Arial"/>
                <w:i/>
                <w:spacing w:val="1"/>
                <w:sz w:val="20"/>
              </w:rPr>
              <w:t> </w:t>
            </w:r>
            <w:r>
              <w:rPr>
                <w:rFonts w:ascii="Arial"/>
                <w:i/>
                <w:sz w:val="20"/>
              </w:rPr>
              <w:t>v</w:t>
            </w:r>
            <w:r>
              <w:rPr>
                <w:rFonts w:ascii="Arial"/>
                <w:i/>
                <w:spacing w:val="1"/>
                <w:sz w:val="20"/>
              </w:rPr>
              <w:t> </w:t>
            </w:r>
            <w:r>
              <w:rPr>
                <w:rFonts w:ascii="Arial"/>
                <w:i/>
                <w:sz w:val="20"/>
              </w:rPr>
              <w:t>Black</w:t>
            </w:r>
            <w:r>
              <w:rPr>
                <w:rFonts w:ascii="Arial"/>
                <w:i/>
                <w:spacing w:val="1"/>
                <w:sz w:val="20"/>
              </w:rPr>
              <w:t> </w:t>
            </w:r>
            <w:r>
              <w:rPr>
                <w:rFonts w:ascii="Arial"/>
                <w:i/>
                <w:sz w:val="20"/>
              </w:rPr>
              <w:t>and</w:t>
            </w:r>
            <w:r>
              <w:rPr>
                <w:rFonts w:ascii="Arial"/>
                <w:i/>
                <w:spacing w:val="1"/>
                <w:sz w:val="20"/>
              </w:rPr>
              <w:t> </w:t>
            </w:r>
            <w:r>
              <w:rPr>
                <w:rFonts w:ascii="Arial"/>
                <w:i/>
                <w:sz w:val="20"/>
              </w:rPr>
              <w:t>Decker</w:t>
            </w:r>
            <w:r>
              <w:rPr>
                <w:rFonts w:ascii="Arial"/>
                <w:i/>
                <w:spacing w:val="1"/>
                <w:sz w:val="20"/>
              </w:rPr>
              <w:t> </w:t>
            </w:r>
            <w:r>
              <w:rPr>
                <w:rFonts w:ascii="Arial"/>
                <w:i/>
                <w:sz w:val="20"/>
              </w:rPr>
              <w:t>Corp</w:t>
            </w:r>
            <w:r>
              <w:rPr>
                <w:rFonts w:ascii="Arial"/>
                <w:i/>
                <w:spacing w:val="1"/>
                <w:sz w:val="20"/>
              </w:rPr>
              <w:t> </w:t>
            </w:r>
            <w:r>
              <w:rPr>
                <w:rFonts w:ascii="Arial"/>
                <w:i/>
                <w:sz w:val="20"/>
              </w:rPr>
              <w:t>[2007]</w:t>
            </w:r>
            <w:r>
              <w:rPr>
                <w:rFonts w:ascii="Arial"/>
                <w:i/>
                <w:spacing w:val="1"/>
                <w:sz w:val="20"/>
              </w:rPr>
              <w:t> </w:t>
            </w:r>
            <w:r>
              <w:rPr>
                <w:rFonts w:ascii="Arial"/>
                <w:i/>
                <w:sz w:val="20"/>
              </w:rPr>
              <w:t>EWHC</w:t>
            </w:r>
            <w:r>
              <w:rPr>
                <w:rFonts w:ascii="Arial"/>
                <w:i/>
                <w:spacing w:val="1"/>
                <w:sz w:val="20"/>
              </w:rPr>
              <w:t> </w:t>
            </w:r>
            <w:r>
              <w:rPr>
                <w:rFonts w:ascii="Arial"/>
                <w:i/>
                <w:sz w:val="20"/>
              </w:rPr>
              <w:t>2720,</w:t>
            </w:r>
            <w:r>
              <w:rPr>
                <w:rFonts w:ascii="Arial"/>
                <w:i/>
                <w:spacing w:val="1"/>
                <w:sz w:val="20"/>
              </w:rPr>
              <w:t> </w:t>
            </w:r>
            <w:r>
              <w:rPr>
                <w:rFonts w:ascii="Arial"/>
                <w:i/>
                <w:sz w:val="20"/>
              </w:rPr>
              <w:t>[2008]</w:t>
            </w:r>
            <w:r>
              <w:rPr>
                <w:rFonts w:ascii="Arial"/>
                <w:i/>
                <w:spacing w:val="1"/>
                <w:sz w:val="20"/>
              </w:rPr>
              <w:t> </w:t>
            </w:r>
            <w:r>
              <w:rPr>
                <w:rFonts w:ascii="Arial"/>
                <w:i/>
                <w:sz w:val="20"/>
              </w:rPr>
              <w:t>1</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(Comm)</w:t>
            </w:r>
            <w:r>
              <w:rPr>
                <w:rFonts w:ascii="Arial"/>
                <w:i/>
                <w:spacing w:val="1"/>
                <w:sz w:val="20"/>
              </w:rPr>
              <w:t> </w:t>
            </w:r>
            <w:r>
              <w:rPr>
                <w:rFonts w:ascii="Arial"/>
                <w:i/>
                <w:spacing w:val="-5"/>
                <w:sz w:val="20"/>
              </w:rPr>
              <w:t>401</w:t>
            </w:r>
          </w:p>
          <w:p>
            <w:pPr>
              <w:pStyle w:val="TableParagraph"/>
              <w:spacing w:line="225" w:lineRule="exact" w:before="0"/>
              <w:jc w:val="left"/>
              <w:rPr>
                <w:sz w:val="20"/>
              </w:rPr>
            </w:pPr>
            <w:r>
              <w:rPr>
                <w:sz w:val="20"/>
              </w:rPr>
              <w:t>. See Merrett, </w:t>
            </w:r>
            <w:r>
              <w:rPr>
                <w:spacing w:val="-2"/>
                <w:sz w:val="20"/>
              </w:rPr>
              <w:t>Ch.9.</w:t>
            </w:r>
          </w:p>
        </w:tc>
      </w:tr>
      <w:tr>
        <w:trPr>
          <w:trHeight w:val="465" w:hRule="atLeast"/>
        </w:trPr>
        <w:tc>
          <w:tcPr>
            <w:tcW w:w="496" w:type="dxa"/>
          </w:tcPr>
          <w:p>
            <w:pPr>
              <w:pStyle w:val="TableParagraph"/>
              <w:ind w:left="0" w:right="43"/>
              <w:rPr>
                <w:sz w:val="14"/>
              </w:rPr>
            </w:pPr>
            <w:bookmarkStart w:name="_bookmark2027" w:id="2029"/>
            <w:bookmarkEnd w:id="2029"/>
            <w:r>
              <w:rPr/>
            </w:r>
            <w:hyperlink w:history="true" w:anchor="_bookmark1992">
              <w:r>
                <w:rPr>
                  <w:color w:val="005DA1"/>
                  <w:spacing w:val="-2"/>
                  <w:sz w:val="14"/>
                  <w:u w:val="single" w:color="005DA1"/>
                </w:rPr>
                <w:t>1059</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120.</w:t>
            </w:r>
          </w:p>
        </w:tc>
      </w:tr>
      <w:tr>
        <w:trPr>
          <w:trHeight w:val="465" w:hRule="atLeast"/>
        </w:trPr>
        <w:tc>
          <w:tcPr>
            <w:tcW w:w="496" w:type="dxa"/>
          </w:tcPr>
          <w:p>
            <w:pPr>
              <w:pStyle w:val="TableParagraph"/>
              <w:ind w:left="0" w:right="43"/>
              <w:rPr>
                <w:sz w:val="14"/>
              </w:rPr>
            </w:pPr>
            <w:bookmarkStart w:name="_bookmark2028" w:id="2030"/>
            <w:bookmarkEnd w:id="2030"/>
            <w:r>
              <w:rPr/>
            </w:r>
            <w:hyperlink w:history="true" w:anchor="_bookmark1993">
              <w:r>
                <w:rPr>
                  <w:color w:val="005DA1"/>
                  <w:spacing w:val="-2"/>
                  <w:sz w:val="14"/>
                  <w:u w:val="single" w:color="005DA1"/>
                </w:rPr>
                <w:t>1060</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121.</w:t>
            </w:r>
          </w:p>
        </w:tc>
      </w:tr>
      <w:tr>
        <w:trPr>
          <w:trHeight w:val="569" w:hRule="atLeast"/>
        </w:trPr>
        <w:tc>
          <w:tcPr>
            <w:tcW w:w="496" w:type="dxa"/>
          </w:tcPr>
          <w:p>
            <w:pPr>
              <w:pStyle w:val="TableParagraph"/>
              <w:ind w:left="0" w:right="43"/>
              <w:rPr>
                <w:sz w:val="14"/>
              </w:rPr>
            </w:pPr>
            <w:bookmarkStart w:name="_bookmark2029" w:id="2031"/>
            <w:bookmarkEnd w:id="2031"/>
            <w:r>
              <w:rPr/>
            </w:r>
            <w:hyperlink w:history="true" w:anchor="_bookmark1994">
              <w:r>
                <w:rPr>
                  <w:color w:val="005DA1"/>
                  <w:spacing w:val="-2"/>
                  <w:sz w:val="14"/>
                  <w:u w:val="single" w:color="005DA1"/>
                </w:rPr>
                <w:t>1061</w:t>
              </w:r>
            </w:hyperlink>
            <w:r>
              <w:rPr>
                <w:spacing w:val="-2"/>
                <w:sz w:val="14"/>
              </w:rPr>
              <w:t>.</w:t>
            </w:r>
          </w:p>
        </w:tc>
        <w:tc>
          <w:tcPr>
            <w:tcW w:w="8620" w:type="dxa"/>
          </w:tcPr>
          <w:p>
            <w:pPr>
              <w:pStyle w:val="TableParagraph"/>
              <w:spacing w:line="226" w:lineRule="exact" w:before="97"/>
              <w:jc w:val="left"/>
              <w:rPr>
                <w:sz w:val="20"/>
              </w:rPr>
            </w:pPr>
            <w:r>
              <w:rPr>
                <w:sz w:val="20"/>
              </w:rPr>
              <w:t>But cf. </w:t>
            </w:r>
            <w:r>
              <w:rPr>
                <w:rFonts w:ascii="Arial"/>
                <w:i/>
                <w:sz w:val="20"/>
              </w:rPr>
              <w:t>Kalfelis v Schroeder (189/87) [1988] E.C.R. 5565</w:t>
            </w:r>
            <w:r>
              <w:rPr>
                <w:sz w:val="20"/>
              </w:rPr>
              <w:t>; </w:t>
            </w:r>
            <w:r>
              <w:rPr>
                <w:rFonts w:ascii="Arial"/>
                <w:i/>
                <w:sz w:val="20"/>
              </w:rPr>
              <w:t>Source Ltd v TUV Rheinland Holding AG [1998] Q.B. 54</w:t>
            </w:r>
            <w:r>
              <w:rPr>
                <w:sz w:val="20"/>
              </w:rPr>
              <w:t>.</w:t>
            </w:r>
          </w:p>
        </w:tc>
      </w:tr>
    </w:tbl>
    <w:p>
      <w:pPr>
        <w:pStyle w:val="BodyText"/>
        <w:rPr>
          <w:rFonts w:ascii="Arial"/>
          <w:i/>
          <w:sz w:val="14"/>
        </w:rPr>
      </w:pPr>
    </w:p>
    <w:p>
      <w:pPr>
        <w:pStyle w:val="BodyText"/>
        <w:spacing w:before="100"/>
        <w:rPr>
          <w:rFonts w:ascii="Arial"/>
          <w:i/>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pStyle w:val="ListParagraph"/>
        <w:numPr>
          <w:ilvl w:val="0"/>
          <w:numId w:val="3"/>
        </w:numPr>
        <w:tabs>
          <w:tab w:pos="1784" w:val="left" w:leader="none"/>
        </w:tabs>
        <w:spacing w:line="240" w:lineRule="auto" w:before="194" w:after="0"/>
        <w:ind w:left="1784" w:right="0" w:hanging="293"/>
        <w:jc w:val="left"/>
        <w:rPr>
          <w:b/>
          <w:sz w:val="24"/>
        </w:rPr>
      </w:pPr>
      <w:r>
        <w:rPr>
          <w:b/>
          <w:sz w:val="24"/>
        </w:rPr>
        <w:t>- Voluntary Assignment and Contractual </w:t>
      </w:r>
      <w:r>
        <w:rPr>
          <w:b/>
          <w:spacing w:val="-2"/>
          <w:sz w:val="24"/>
        </w:rPr>
        <w:t>Subrogation</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164" w:right="0" w:firstLine="0"/>
        <w:jc w:val="left"/>
        <w:rPr>
          <w:rFonts w:ascii="Arial"/>
          <w:b/>
          <w:sz w:val="18"/>
        </w:rPr>
      </w:pPr>
      <w:r>
        <w:rPr>
          <w:rFonts w:ascii="Arial"/>
          <w:b/>
          <w:spacing w:val="-2"/>
          <w:sz w:val="18"/>
        </w:rPr>
        <w:t>Background</w:t>
      </w:r>
    </w:p>
    <w:p>
      <w:pPr>
        <w:pStyle w:val="BodyText"/>
        <w:spacing w:before="42"/>
        <w:rPr>
          <w:rFonts w:ascii="Arial"/>
          <w:b/>
          <w:sz w:val="18"/>
        </w:rPr>
      </w:pPr>
    </w:p>
    <w:p>
      <w:pPr>
        <w:pStyle w:val="Heading2"/>
        <w:ind w:left="164"/>
      </w:pPr>
      <w:r>
        <w:rPr/>
        <w:t>30-</w:t>
      </w:r>
      <w:r>
        <w:rPr>
          <w:spacing w:val="-5"/>
        </w:rPr>
        <w:t>289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030" w:id="2032"/>
      <w:bookmarkEnd w:id="2032"/>
      <w:r>
        <w:rPr>
          <w:rFonts w:ascii="Times New Roman" w:hAnsi="Times New Roman"/>
          <w:spacing w:val="10"/>
        </w:rPr>
      </w:r>
      <w:r>
        <w:rPr/>
        <w:t>Article 12 of the Rome Convention contained choice of law rules for determining the law </w:t>
      </w:r>
      <w:r>
        <w:rPr/>
        <w:t>applicable to</w:t>
      </w:r>
      <w:r>
        <w:rPr>
          <w:spacing w:val="-3"/>
        </w:rPr>
        <w:t> </w:t>
      </w:r>
      <w:r>
        <w:rPr/>
        <w:t>“Voluntary</w:t>
      </w:r>
      <w:r>
        <w:rPr>
          <w:spacing w:val="-3"/>
        </w:rPr>
        <w:t> </w:t>
      </w:r>
      <w:r>
        <w:rPr/>
        <w:t>assignment”,</w:t>
      </w:r>
      <w:r>
        <w:rPr>
          <w:spacing w:val="-3"/>
        </w:rPr>
        <w:t> </w:t>
      </w:r>
      <w:r>
        <w:rPr/>
        <w:t>as</w:t>
      </w:r>
      <w:r>
        <w:rPr>
          <w:spacing w:val="-3"/>
        </w:rPr>
        <w:t> </w:t>
      </w:r>
      <w:r>
        <w:rPr/>
        <w:t>discussed</w:t>
      </w:r>
      <w:r>
        <w:rPr>
          <w:spacing w:val="-3"/>
        </w:rPr>
        <w:t> </w:t>
      </w:r>
      <w:r>
        <w:rPr/>
        <w:t>earlier</w:t>
      </w:r>
      <w:r>
        <w:rPr>
          <w:spacing w:val="-3"/>
        </w:rPr>
        <w:t> </w:t>
      </w:r>
      <w:r>
        <w:rPr/>
        <w:t>in</w:t>
      </w:r>
      <w:r>
        <w:rPr>
          <w:spacing w:val="-3"/>
        </w:rPr>
        <w:t> </w:t>
      </w:r>
      <w:r>
        <w:rPr/>
        <w:t>this</w:t>
      </w:r>
      <w:r>
        <w:rPr>
          <w:spacing w:val="-3"/>
        </w:rPr>
        <w:t> </w:t>
      </w:r>
      <w:r>
        <w:rPr/>
        <w:t>chapter.</w:t>
      </w:r>
      <w:r>
        <w:rPr>
          <w:spacing w:val="-4"/>
        </w:rPr>
        <w:t> </w:t>
      </w:r>
      <w:r>
        <w:rPr>
          <w:color w:val="005DA1"/>
          <w:u w:val="single" w:color="005DA1"/>
          <w:vertAlign w:val="superscript"/>
        </w:rPr>
        <w:t>1062</w:t>
      </w:r>
      <w:r>
        <w:rPr>
          <w:color w:val="005DA1"/>
          <w:spacing w:val="-3"/>
          <w:vertAlign w:val="baseline"/>
        </w:rPr>
        <w:t> </w:t>
      </w:r>
      <w:r>
        <w:rPr>
          <w:vertAlign w:val="baseline"/>
        </w:rPr>
        <w:t>Article</w:t>
      </w:r>
      <w:r>
        <w:rPr>
          <w:spacing w:val="-3"/>
          <w:vertAlign w:val="baseline"/>
        </w:rPr>
        <w:t> </w:t>
      </w:r>
      <w:r>
        <w:rPr>
          <w:vertAlign w:val="baseline"/>
        </w:rPr>
        <w:t>14</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Rome</w:t>
      </w:r>
      <w:r>
        <w:rPr>
          <w:spacing w:val="-3"/>
          <w:vertAlign w:val="baseline"/>
        </w:rPr>
        <w:t> </w:t>
      </w:r>
      <w:r>
        <w:rPr>
          <w:vertAlign w:val="baseline"/>
        </w:rPr>
        <w:t>I</w:t>
      </w:r>
      <w:r>
        <w:rPr>
          <w:spacing w:val="-3"/>
          <w:vertAlign w:val="baseline"/>
        </w:rPr>
        <w:t> </w:t>
      </w:r>
      <w:r>
        <w:rPr>
          <w:vertAlign w:val="baseline"/>
        </w:rPr>
        <w:t>Regulation contains choice of law rules which are expressed to apply to determine the law applicable to “[v]oluntary assignment and contractual subrogation”. The gestation of art.14 was not without </w:t>
      </w:r>
      <w:bookmarkStart w:name="_bookmark2031" w:id="2033"/>
      <w:bookmarkEnd w:id="2033"/>
      <w:r>
        <w:rPr>
          <w:vertAlign w:val="baseline"/>
        </w:rPr>
        <w:t>controversy</w:t>
      </w:r>
      <w:r>
        <w:rPr>
          <w:spacing w:val="11"/>
          <w:vertAlign w:val="baseline"/>
        </w:rPr>
        <w:t> </w:t>
      </w:r>
      <w:r>
        <w:rPr>
          <w:vertAlign w:val="baseline"/>
        </w:rPr>
        <w:t>and</w:t>
      </w:r>
      <w:r>
        <w:rPr>
          <w:spacing w:val="11"/>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therefore</w:t>
      </w:r>
      <w:r>
        <w:rPr>
          <w:spacing w:val="11"/>
          <w:vertAlign w:val="baseline"/>
        </w:rPr>
        <w:t> </w:t>
      </w:r>
      <w:r>
        <w:rPr>
          <w:vertAlign w:val="baseline"/>
        </w:rPr>
        <w:t>not</w:t>
      </w:r>
      <w:r>
        <w:rPr>
          <w:spacing w:val="11"/>
          <w:vertAlign w:val="baseline"/>
        </w:rPr>
        <w:t> </w:t>
      </w:r>
      <w:r>
        <w:rPr>
          <w:vertAlign w:val="baseline"/>
        </w:rPr>
        <w:t>surprising</w:t>
      </w:r>
      <w:r>
        <w:rPr>
          <w:spacing w:val="11"/>
          <w:vertAlign w:val="baseline"/>
        </w:rPr>
        <w:t> </w:t>
      </w:r>
      <w:r>
        <w:rPr>
          <w:vertAlign w:val="baseline"/>
        </w:rPr>
        <w:t>that</w:t>
      </w:r>
      <w:r>
        <w:rPr>
          <w:spacing w:val="11"/>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one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areas</w:t>
      </w:r>
      <w:r>
        <w:rPr>
          <w:spacing w:val="11"/>
          <w:vertAlign w:val="baseline"/>
        </w:rPr>
        <w:t> </w:t>
      </w:r>
      <w:r>
        <w:rPr>
          <w:vertAlign w:val="baseline"/>
        </w:rPr>
        <w:t>to</w:t>
      </w:r>
      <w:r>
        <w:rPr>
          <w:spacing w:val="11"/>
          <w:vertAlign w:val="baseline"/>
        </w:rPr>
        <w:t> </w:t>
      </w:r>
      <w:r>
        <w:rPr>
          <w:vertAlign w:val="baseline"/>
        </w:rPr>
        <w:t>be</w:t>
      </w:r>
      <w:r>
        <w:rPr>
          <w:spacing w:val="11"/>
          <w:vertAlign w:val="baseline"/>
        </w:rPr>
        <w:t> </w:t>
      </w:r>
      <w:r>
        <w:rPr>
          <w:vertAlign w:val="baseline"/>
        </w:rPr>
        <w:t>addressed</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spacing w:val="-2"/>
          <w:vertAlign w:val="baseline"/>
        </w:rPr>
        <w:t>review</w:t>
      </w:r>
    </w:p>
    <w:p>
      <w:pPr>
        <w:pStyle w:val="BodyText"/>
        <w:spacing w:line="235" w:lineRule="auto" w:before="118"/>
        <w:ind w:left="165" w:right="168"/>
        <w:jc w:val="both"/>
      </w:pPr>
      <w:bookmarkStart w:name="_bookmark2032" w:id="2034"/>
      <w:bookmarkEnd w:id="2034"/>
      <w:r>
        <w:rPr/>
      </w:r>
      <w:r>
        <w:rPr/>
        <w:t>clause in the Regulation. </w:t>
      </w:r>
      <w:hyperlink w:history="true" w:anchor="_bookmark2045">
        <w:r>
          <w:rPr>
            <w:color w:val="005DA1"/>
            <w:u w:val="single" w:color="005DA1"/>
            <w:vertAlign w:val="superscript"/>
          </w:rPr>
          <w:t>1063</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7"/>
            <w:vertAlign w:val="baseline"/>
          </w:rPr>
          <w:t> </w:t>
        </w:r>
        <w:r>
          <w:rPr>
            <w:vertAlign w:val="baseline"/>
          </w:rPr>
          <w:t>Article 14(1) and (2), subject to some changes in drafting, reflect the substance of the equivalent rules in art.12(1) and (2) of the Rome Convention. </w:t>
        </w:r>
        <w:r>
          <w:rPr>
            <w:color w:val="005DA1"/>
            <w:u w:val="single" w:color="005DA1"/>
            <w:vertAlign w:val="superscript"/>
          </w:rPr>
          <w:t>1064</w:t>
        </w:r>
        <w:r>
          <w:rPr>
            <w:color w:val="005DA1"/>
            <w:vertAlign w:val="baseline"/>
          </w:rPr>
          <w:t> </w:t>
        </w:r>
        <w:r>
          <w:rPr>
            <w:vertAlign w:val="baseline"/>
          </w:rPr>
          <w:t>Article 14(3) of the Regulation is new and addresses, in part, the meaning of the concept of assignment.</w:t>
        </w:r>
      </w:hyperlink>
    </w:p>
    <w:p>
      <w:pPr>
        <w:pStyle w:val="BodyText"/>
      </w:pPr>
    </w:p>
    <w:p>
      <w:pPr>
        <w:pStyle w:val="BodyText"/>
        <w:spacing w:before="38"/>
      </w:pPr>
    </w:p>
    <w:p>
      <w:pPr>
        <w:spacing w:before="0"/>
        <w:ind w:left="165" w:right="0" w:firstLine="0"/>
        <w:jc w:val="both"/>
        <w:rPr>
          <w:rFonts w:ascii="Arial" w:hAnsi="Arial"/>
          <w:b/>
          <w:sz w:val="18"/>
        </w:rPr>
      </w:pPr>
      <w:r>
        <w:rPr>
          <w:rFonts w:ascii="Arial" w:hAnsi="Arial"/>
          <w:b/>
          <w:sz w:val="18"/>
        </w:rPr>
        <w:t>Meaning of “voluntary assignment” and “contractual </w:t>
      </w:r>
      <w:r>
        <w:rPr>
          <w:rFonts w:ascii="Arial" w:hAnsi="Arial"/>
          <w:b/>
          <w:spacing w:val="-2"/>
          <w:sz w:val="18"/>
        </w:rPr>
        <w:t>subrogation”</w:t>
      </w:r>
    </w:p>
    <w:p>
      <w:pPr>
        <w:pStyle w:val="BodyText"/>
        <w:spacing w:before="41"/>
        <w:rPr>
          <w:rFonts w:ascii="Arial"/>
          <w:b/>
          <w:sz w:val="18"/>
        </w:rPr>
      </w:pPr>
    </w:p>
    <w:p>
      <w:pPr>
        <w:pStyle w:val="Heading2"/>
      </w:pPr>
      <w:r>
        <w:rPr/>
        <w:t>30-</w:t>
      </w:r>
      <w:r>
        <w:rPr>
          <w:spacing w:val="-5"/>
        </w:rPr>
        <w:t>290</w:t>
      </w:r>
    </w:p>
    <w:p>
      <w:pPr>
        <w:pStyle w:val="BodyText"/>
        <w:spacing w:line="235" w:lineRule="auto" w:before="203"/>
        <w:ind w:left="165" w:right="167"/>
        <w:jc w:val="both"/>
      </w:pPr>
      <w:r>
        <w:rPr/>
        <w:t>There can be little doubt that the concept of “assignment” will be given an autonomous </w:t>
      </w:r>
      <w:r>
        <w:rPr/>
        <w:t>interpretation for the purposes of the Regulation. In this respect, art.14(3) provides that the:</w:t>
      </w:r>
    </w:p>
    <w:p>
      <w:pPr>
        <w:pStyle w:val="BodyText"/>
      </w:pPr>
    </w:p>
    <w:p>
      <w:pPr>
        <w:pStyle w:val="BodyText"/>
        <w:spacing w:before="126"/>
      </w:pPr>
    </w:p>
    <w:p>
      <w:pPr>
        <w:pStyle w:val="BodyText"/>
        <w:spacing w:line="235" w:lineRule="auto"/>
        <w:ind w:left="1245"/>
      </w:pPr>
      <w:r>
        <w:rPr/>
        <w:t>“… concept of assignment in this Article includes outright transfers of claims, transfers </w:t>
      </w:r>
      <w:r>
        <w:rPr/>
        <w:t>of claims by way of security and pledges or other security rights over claims.”</w:t>
      </w:r>
    </w:p>
    <w:p>
      <w:pPr>
        <w:pStyle w:val="BodyText"/>
        <w:spacing w:before="116"/>
      </w:pPr>
    </w:p>
    <w:p>
      <w:pPr>
        <w:pStyle w:val="BodyText"/>
        <w:spacing w:line="235" w:lineRule="auto"/>
        <w:ind w:left="165" w:right="167"/>
        <w:jc w:val="both"/>
      </w:pPr>
      <w:r>
        <w:rPr/>
        <w:t>It is also thought that the inclusion of “contractual subrogation” in art.14 (and the term is not to </w:t>
      </w:r>
      <w:r>
        <w:rPr/>
        <w:t>be found in art.12 of the Rome Convention) is designed to clarify the meaning of assignment by making</w:t>
      </w:r>
      <w:r>
        <w:rPr>
          <w:spacing w:val="80"/>
        </w:rPr>
        <w:t> </w:t>
      </w:r>
      <w:r>
        <w:rPr/>
        <w:t>a more general reference to the process by which claims are transferred. Contractual subrogation, in general terms, involves an agreement whereby a claim of a creditor who has been satisfied by a third </w:t>
      </w:r>
      <w:bookmarkStart w:name="_bookmark2033" w:id="2035"/>
      <w:bookmarkEnd w:id="2035"/>
      <w:r>
        <w:rPr/>
        <w:t>party,</w:t>
      </w:r>
      <w:r>
        <w:rPr/>
        <w:t> subrogates the third party to the claim which the creditor would have had against the debtor. In </w:t>
      </w:r>
      <w:bookmarkStart w:name="_bookmark2034" w:id="2036"/>
      <w:bookmarkEnd w:id="2036"/>
      <w:r>
        <w:rPr/>
        <w:t>some</w:t>
      </w:r>
      <w:r>
        <w:rPr/>
        <w:t> legal systems, this process, in effect, performs the function of an assignment </w:t>
      </w:r>
      <w:r>
        <w:rPr>
          <w:color w:val="005DA1"/>
          <w:u w:val="single" w:color="005DA1"/>
          <w:vertAlign w:val="superscript"/>
        </w:rPr>
        <w:t>1065</w:t>
      </w:r>
      <w:r>
        <w:rPr>
          <w:color w:val="005DA1"/>
          <w:vertAlign w:val="baseline"/>
        </w:rPr>
        <w:t> </w:t>
      </w:r>
      <w:r>
        <w:rPr>
          <w:vertAlign w:val="baseline"/>
        </w:rPr>
        <w:t>and thus should</w:t>
      </w:r>
      <w:r>
        <w:rPr>
          <w:spacing w:val="8"/>
          <w:vertAlign w:val="baseline"/>
        </w:rPr>
        <w:t> </w:t>
      </w:r>
      <w:r>
        <w:rPr>
          <w:vertAlign w:val="baseline"/>
        </w:rPr>
        <w:t>be</w:t>
      </w:r>
      <w:r>
        <w:rPr>
          <w:spacing w:val="8"/>
          <w:vertAlign w:val="baseline"/>
        </w:rPr>
        <w:t> </w:t>
      </w:r>
      <w:r>
        <w:rPr>
          <w:vertAlign w:val="baseline"/>
        </w:rPr>
        <w:t>included</w:t>
      </w:r>
      <w:r>
        <w:rPr>
          <w:spacing w:val="8"/>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provision</w:t>
      </w:r>
      <w:r>
        <w:rPr>
          <w:spacing w:val="8"/>
          <w:vertAlign w:val="baseline"/>
        </w:rPr>
        <w:t> </w:t>
      </w:r>
      <w:r>
        <w:rPr>
          <w:vertAlign w:val="baseline"/>
        </w:rPr>
        <w:t>dealing</w:t>
      </w:r>
      <w:r>
        <w:rPr>
          <w:spacing w:val="8"/>
          <w:vertAlign w:val="baseline"/>
        </w:rPr>
        <w:t> </w:t>
      </w:r>
      <w:r>
        <w:rPr>
          <w:vertAlign w:val="baseline"/>
        </w:rPr>
        <w:t>with</w:t>
      </w:r>
      <w:r>
        <w:rPr>
          <w:spacing w:val="8"/>
          <w:vertAlign w:val="baseline"/>
        </w:rPr>
        <w:t> </w:t>
      </w:r>
      <w:r>
        <w:rPr>
          <w:vertAlign w:val="baseline"/>
        </w:rPr>
        <w:t>voluntary</w:t>
      </w:r>
      <w:r>
        <w:rPr>
          <w:spacing w:val="8"/>
          <w:vertAlign w:val="baseline"/>
        </w:rPr>
        <w:t> </w:t>
      </w:r>
      <w:r>
        <w:rPr>
          <w:vertAlign w:val="baseline"/>
        </w:rPr>
        <w:t>assignment</w:t>
      </w:r>
      <w:r>
        <w:rPr>
          <w:spacing w:val="8"/>
          <w:vertAlign w:val="baseline"/>
        </w:rPr>
        <w:t> </w:t>
      </w:r>
      <w:r>
        <w:rPr>
          <w:vertAlign w:val="baseline"/>
        </w:rPr>
        <w:t>since</w:t>
      </w:r>
      <w:r>
        <w:rPr>
          <w:spacing w:val="8"/>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consensual</w:t>
      </w:r>
      <w:r>
        <w:rPr>
          <w:spacing w:val="8"/>
          <w:vertAlign w:val="baseline"/>
        </w:rPr>
        <w:t> </w:t>
      </w:r>
      <w:r>
        <w:rPr>
          <w:spacing w:val="-2"/>
          <w:vertAlign w:val="baseline"/>
        </w:rPr>
        <w:t>process.</w:t>
      </w:r>
    </w:p>
    <w:p>
      <w:pPr>
        <w:spacing w:line="111" w:lineRule="exact" w:before="0"/>
        <w:ind w:left="165" w:right="0" w:firstLine="0"/>
        <w:jc w:val="left"/>
        <w:rPr>
          <w:sz w:val="12"/>
        </w:rPr>
      </w:pPr>
      <w:r>
        <w:rPr>
          <w:color w:val="005DA1"/>
          <w:spacing w:val="-4"/>
          <w:sz w:val="12"/>
          <w:u w:val="single" w:color="005DA1"/>
        </w:rPr>
        <w:t>1066</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Relationship between assignor and </w:t>
      </w:r>
      <w:r>
        <w:rPr>
          <w:rFonts w:ascii="Arial"/>
          <w:b/>
          <w:spacing w:val="-2"/>
          <w:sz w:val="18"/>
        </w:rPr>
        <w:t>assignee</w:t>
      </w:r>
    </w:p>
    <w:p>
      <w:pPr>
        <w:pStyle w:val="BodyText"/>
        <w:spacing w:before="41"/>
        <w:rPr>
          <w:rFonts w:ascii="Arial"/>
          <w:b/>
          <w:sz w:val="18"/>
        </w:rPr>
      </w:pPr>
    </w:p>
    <w:p>
      <w:pPr>
        <w:pStyle w:val="Heading2"/>
      </w:pPr>
      <w:r>
        <w:rPr/>
        <w:t>30-</w:t>
      </w:r>
      <w:r>
        <w:rPr>
          <w:spacing w:val="-5"/>
        </w:rPr>
        <w:t>291</w:t>
      </w:r>
    </w:p>
    <w:p>
      <w:pPr>
        <w:pStyle w:val="BodyText"/>
        <w:spacing w:before="199"/>
        <w:ind w:left="165"/>
        <w:jc w:val="both"/>
      </w:pPr>
      <w:r>
        <w:rPr/>
        <w:t>Article 14(1) of the Regulation stipulates that </w:t>
      </w:r>
      <w:r>
        <w:rPr>
          <w:spacing w:val="-4"/>
        </w:rPr>
        <w:t>the:</w:t>
      </w:r>
    </w:p>
    <w:p>
      <w:pPr>
        <w:pStyle w:val="BodyText"/>
        <w:spacing w:after="0"/>
        <w:jc w:val="both"/>
        <w:sectPr>
          <w:headerReference w:type="default" r:id="rId25"/>
          <w:pgSz w:w="11900" w:h="16840"/>
          <w:pgMar w:header="971" w:footer="0" w:top="1300" w:bottom="280" w:left="1275" w:right="1275"/>
          <w:pgNumType w:start="1"/>
        </w:sectPr>
      </w:pPr>
    </w:p>
    <w:p>
      <w:pPr>
        <w:pStyle w:val="BodyText"/>
      </w:pPr>
    </w:p>
    <w:p>
      <w:pPr>
        <w:pStyle w:val="BodyText"/>
        <w:spacing w:before="177"/>
      </w:pPr>
    </w:p>
    <w:p>
      <w:pPr>
        <w:pStyle w:val="BodyText"/>
        <w:spacing w:line="235" w:lineRule="auto"/>
        <w:ind w:left="1245" w:right="167"/>
        <w:jc w:val="both"/>
      </w:pPr>
      <w:r>
        <w:rPr/>
        <w:t>“… relationship between assignor and assignee under a voluntary assignment </w:t>
      </w:r>
      <w:r>
        <w:rPr/>
        <w:t>or contractual</w:t>
      </w:r>
      <w:r>
        <w:rPr>
          <w:spacing w:val="-1"/>
        </w:rPr>
        <w:t> </w:t>
      </w:r>
      <w:r>
        <w:rPr/>
        <w:t>subrogation</w:t>
      </w:r>
      <w:r>
        <w:rPr>
          <w:spacing w:val="-1"/>
        </w:rPr>
        <w:t> </w:t>
      </w:r>
      <w:r>
        <w:rPr/>
        <w:t>of</w:t>
      </w:r>
      <w:r>
        <w:rPr>
          <w:spacing w:val="-1"/>
        </w:rPr>
        <w:t> </w:t>
      </w:r>
      <w:r>
        <w:rPr/>
        <w:t>a</w:t>
      </w:r>
      <w:r>
        <w:rPr>
          <w:spacing w:val="-1"/>
        </w:rPr>
        <w:t> </w:t>
      </w:r>
      <w:r>
        <w:rPr/>
        <w:t>claim</w:t>
      </w:r>
      <w:r>
        <w:rPr>
          <w:spacing w:val="-1"/>
        </w:rPr>
        <w:t> </w:t>
      </w:r>
      <w:r>
        <w:rPr/>
        <w:t>against</w:t>
      </w:r>
      <w:r>
        <w:rPr>
          <w:spacing w:val="-1"/>
        </w:rPr>
        <w:t> </w:t>
      </w:r>
      <w:r>
        <w:rPr/>
        <w:t>another</w:t>
      </w:r>
      <w:r>
        <w:rPr>
          <w:spacing w:val="-1"/>
        </w:rPr>
        <w:t> </w:t>
      </w:r>
      <w:r>
        <w:rPr/>
        <w:t>person</w:t>
      </w:r>
      <w:r>
        <w:rPr>
          <w:spacing w:val="-1"/>
        </w:rPr>
        <w:t> </w:t>
      </w:r>
      <w:r>
        <w:rPr/>
        <w:t>(‘the</w:t>
      </w:r>
      <w:r>
        <w:rPr>
          <w:spacing w:val="-1"/>
        </w:rPr>
        <w:t> </w:t>
      </w:r>
      <w:r>
        <w:rPr/>
        <w:t>debtor’)</w:t>
      </w:r>
      <w:r>
        <w:rPr>
          <w:spacing w:val="-1"/>
        </w:rPr>
        <w:t> </w:t>
      </w:r>
      <w:r>
        <w:rPr/>
        <w:t>shall</w:t>
      </w:r>
      <w:r>
        <w:rPr>
          <w:spacing w:val="-1"/>
        </w:rPr>
        <w:t> </w:t>
      </w:r>
      <w:r>
        <w:rPr/>
        <w:t>be</w:t>
      </w:r>
      <w:r>
        <w:rPr>
          <w:spacing w:val="-1"/>
        </w:rPr>
        <w:t> </w:t>
      </w:r>
      <w:r>
        <w:rPr/>
        <w:t>governed by the law that applies to the contract between the assignor and assignee under this </w:t>
      </w:r>
      <w:r>
        <w:rPr>
          <w:spacing w:val="-2"/>
        </w:rPr>
        <w:t>Regulation.”</w:t>
      </w:r>
    </w:p>
    <w:p>
      <w:pPr>
        <w:pStyle w:val="BodyText"/>
        <w:spacing w:before="115"/>
      </w:pPr>
    </w:p>
    <w:p>
      <w:pPr>
        <w:pStyle w:val="BodyText"/>
        <w:spacing w:line="235" w:lineRule="auto"/>
        <w:ind w:left="165" w:right="167"/>
        <w:jc w:val="both"/>
      </w:pPr>
      <w:bookmarkStart w:name="_bookmark2035" w:id="2037"/>
      <w:bookmarkEnd w:id="2037"/>
      <w:r>
        <w:rPr/>
      </w:r>
      <w:r>
        <w:rPr/>
        <w:t>Apart from the inclusion of contractual subrogation, this reproduces art.12(1) of the Rome </w:t>
      </w:r>
      <w:r>
        <w:rPr/>
        <w:t>Convention </w:t>
      </w:r>
      <w:r>
        <w:rPr>
          <w:color w:val="005DA1"/>
          <w:u w:val="single" w:color="005DA1"/>
          <w:vertAlign w:val="superscript"/>
        </w:rPr>
        <w:t>1067</w:t>
      </w:r>
      <w:r>
        <w:rPr>
          <w:color w:val="005DA1"/>
          <w:vertAlign w:val="baseline"/>
        </w:rPr>
        <w:t> </w:t>
      </w:r>
      <w:r>
        <w:rPr>
          <w:vertAlign w:val="baseline"/>
        </w:rPr>
        <w:t>though with one other difference. Article 12(1) of the Convention referred to the “mutual </w:t>
      </w:r>
      <w:bookmarkStart w:name="_bookmark2036" w:id="2038"/>
      <w:bookmarkEnd w:id="2038"/>
      <w:r>
        <w:rPr>
          <w:vertAlign w:val="baseline"/>
        </w:rPr>
        <w:t>obligations</w:t>
      </w:r>
      <w:r>
        <w:rPr>
          <w:vertAlign w:val="baseline"/>
        </w:rPr>
        <w:t> of assignor and assignee under a voluntary assignment”, whereas art.14(1) of the Regulation refers to the “</w:t>
      </w:r>
      <w:r>
        <w:rPr>
          <w:rFonts w:ascii="Arial" w:hAnsi="Arial"/>
          <w:i/>
          <w:vertAlign w:val="baseline"/>
        </w:rPr>
        <w:t>relationship </w:t>
      </w:r>
      <w:r>
        <w:rPr>
          <w:vertAlign w:val="baseline"/>
        </w:rPr>
        <w:t>between assignor and assignee under a voluntary assignment”. </w:t>
      </w:r>
      <w:r>
        <w:rPr>
          <w:color w:val="005DA1"/>
          <w:u w:val="single" w:color="005DA1"/>
          <w:vertAlign w:val="superscript"/>
        </w:rPr>
        <w:t>1068</w:t>
      </w:r>
      <w:r>
        <w:rPr>
          <w:color w:val="005DA1"/>
          <w:vertAlign w:val="baseline"/>
        </w:rPr>
        <w:t> </w:t>
      </w:r>
      <w:r>
        <w:rPr>
          <w:vertAlign w:val="baseline"/>
        </w:rPr>
        <w:t>The use of the term “relationship” is explained in Recital 38 to the Regulation, as follows:</w:t>
      </w:r>
    </w:p>
    <w:p>
      <w:pPr>
        <w:pStyle w:val="BodyText"/>
      </w:pPr>
    </w:p>
    <w:p>
      <w:pPr>
        <w:pStyle w:val="BodyText"/>
        <w:spacing w:before="125"/>
      </w:pPr>
    </w:p>
    <w:p>
      <w:pPr>
        <w:pStyle w:val="BodyText"/>
        <w:spacing w:line="235" w:lineRule="auto"/>
        <w:ind w:left="1245" w:right="167"/>
        <w:jc w:val="both"/>
      </w:pPr>
      <w:r>
        <w:rPr/>
        <w:t>“In the context of a voluntary assignment, the term ‘relationship’ should make it clear </w:t>
      </w:r>
      <w:r>
        <w:rPr/>
        <w:t>that Article 14(1) also applies to the property aspects of an assignment, as between assignor and</w:t>
      </w:r>
      <w:r>
        <w:rPr>
          <w:spacing w:val="-2"/>
        </w:rPr>
        <w:t> </w:t>
      </w:r>
      <w:r>
        <w:rPr/>
        <w:t>assignee,</w:t>
      </w:r>
      <w:r>
        <w:rPr>
          <w:spacing w:val="-2"/>
        </w:rPr>
        <w:t> </w:t>
      </w:r>
      <w:r>
        <w:rPr/>
        <w:t>in</w:t>
      </w:r>
      <w:r>
        <w:rPr>
          <w:spacing w:val="-2"/>
        </w:rPr>
        <w:t> </w:t>
      </w:r>
      <w:r>
        <w:rPr/>
        <w:t>legal</w:t>
      </w:r>
      <w:r>
        <w:rPr>
          <w:spacing w:val="-2"/>
        </w:rPr>
        <w:t> </w:t>
      </w:r>
      <w:r>
        <w:rPr/>
        <w:t>orders</w:t>
      </w:r>
      <w:r>
        <w:rPr>
          <w:spacing w:val="-2"/>
        </w:rPr>
        <w:t> </w:t>
      </w:r>
      <w:r>
        <w:rPr/>
        <w:t>where</w:t>
      </w:r>
      <w:r>
        <w:rPr>
          <w:spacing w:val="-2"/>
        </w:rPr>
        <w:t> </w:t>
      </w:r>
      <w:r>
        <w:rPr/>
        <w:t>such</w:t>
      </w:r>
      <w:r>
        <w:rPr>
          <w:spacing w:val="-2"/>
        </w:rPr>
        <w:t> </w:t>
      </w:r>
      <w:r>
        <w:rPr/>
        <w:t>aspects</w:t>
      </w:r>
      <w:r>
        <w:rPr>
          <w:spacing w:val="-2"/>
        </w:rPr>
        <w:t> </w:t>
      </w:r>
      <w:r>
        <w:rPr/>
        <w:t>are</w:t>
      </w:r>
      <w:r>
        <w:rPr>
          <w:spacing w:val="-2"/>
        </w:rPr>
        <w:t> </w:t>
      </w:r>
      <w:r>
        <w:rPr/>
        <w:t>treated</w:t>
      </w:r>
      <w:r>
        <w:rPr>
          <w:spacing w:val="-2"/>
        </w:rPr>
        <w:t> </w:t>
      </w:r>
      <w:r>
        <w:rPr/>
        <w:t>separately</w:t>
      </w:r>
      <w:r>
        <w:rPr>
          <w:spacing w:val="-2"/>
        </w:rPr>
        <w:t> </w:t>
      </w:r>
      <w:r>
        <w:rPr/>
        <w:t>from</w:t>
      </w:r>
      <w:r>
        <w:rPr>
          <w:spacing w:val="-2"/>
        </w:rPr>
        <w:t> </w:t>
      </w:r>
      <w:r>
        <w:rPr/>
        <w:t>the</w:t>
      </w:r>
      <w:r>
        <w:rPr>
          <w:spacing w:val="-2"/>
        </w:rPr>
        <w:t> </w:t>
      </w:r>
      <w:r>
        <w:rPr/>
        <w:t>aspects under</w:t>
      </w:r>
      <w:r>
        <w:rPr>
          <w:spacing w:val="-3"/>
        </w:rPr>
        <w:t> </w:t>
      </w:r>
      <w:r>
        <w:rPr/>
        <w:t>the</w:t>
      </w:r>
      <w:r>
        <w:rPr>
          <w:spacing w:val="-3"/>
        </w:rPr>
        <w:t> </w:t>
      </w:r>
      <w:r>
        <w:rPr/>
        <w:t>law</w:t>
      </w:r>
      <w:r>
        <w:rPr>
          <w:spacing w:val="-3"/>
        </w:rPr>
        <w:t> </w:t>
      </w:r>
      <w:r>
        <w:rPr/>
        <w:t>of</w:t>
      </w:r>
      <w:r>
        <w:rPr>
          <w:spacing w:val="-3"/>
        </w:rPr>
        <w:t> </w:t>
      </w:r>
      <w:r>
        <w:rPr/>
        <w:t>obligations.</w:t>
      </w:r>
      <w:r>
        <w:rPr>
          <w:spacing w:val="-3"/>
        </w:rPr>
        <w:t> </w:t>
      </w:r>
      <w:r>
        <w:rPr/>
        <w:t>However,</w:t>
      </w:r>
      <w:r>
        <w:rPr>
          <w:spacing w:val="-3"/>
        </w:rPr>
        <w:t> </w:t>
      </w:r>
      <w:r>
        <w:rPr/>
        <w:t>the</w:t>
      </w:r>
      <w:r>
        <w:rPr>
          <w:spacing w:val="-3"/>
        </w:rPr>
        <w:t> </w:t>
      </w:r>
      <w:r>
        <w:rPr/>
        <w:t>term</w:t>
      </w:r>
      <w:r>
        <w:rPr>
          <w:spacing w:val="-3"/>
        </w:rPr>
        <w:t> </w:t>
      </w:r>
      <w:r>
        <w:rPr/>
        <w:t>‘relationship’</w:t>
      </w:r>
      <w:r>
        <w:rPr>
          <w:spacing w:val="-3"/>
        </w:rPr>
        <w:t> </w:t>
      </w:r>
      <w:r>
        <w:rPr/>
        <w:t>should</w:t>
      </w:r>
      <w:r>
        <w:rPr>
          <w:spacing w:val="-3"/>
        </w:rPr>
        <w:t> </w:t>
      </w:r>
      <w:r>
        <w:rPr/>
        <w:t>not</w:t>
      </w:r>
      <w:r>
        <w:rPr>
          <w:spacing w:val="-3"/>
        </w:rPr>
        <w:t> </w:t>
      </w:r>
      <w:r>
        <w:rPr/>
        <w:t>be</w:t>
      </w:r>
      <w:r>
        <w:rPr>
          <w:spacing w:val="-3"/>
        </w:rPr>
        <w:t> </w:t>
      </w:r>
      <w:r>
        <w:rPr/>
        <w:t>understood</w:t>
      </w:r>
      <w:r>
        <w:rPr>
          <w:spacing w:val="-3"/>
        </w:rPr>
        <w:t> </w:t>
      </w:r>
      <w:r>
        <w:rPr/>
        <w:t>as relating to any relationship that may exist between assignor and assignee. In particular, it should not concern preliminary questions as regards a voluntary assignment or a contractual subrogation. The term should be strictly limited to the aspects which are directly relevant to the voluntary assignment or contractual subrogation in question.”</w:t>
      </w:r>
    </w:p>
    <w:p>
      <w:pPr>
        <w:pStyle w:val="BodyText"/>
      </w:pPr>
    </w:p>
    <w:p>
      <w:pPr>
        <w:pStyle w:val="BodyText"/>
      </w:pPr>
    </w:p>
    <w:p>
      <w:pPr>
        <w:pStyle w:val="BodyText"/>
        <w:spacing w:before="152"/>
      </w:pPr>
    </w:p>
    <w:p>
      <w:pPr>
        <w:spacing w:before="1"/>
        <w:ind w:left="165" w:right="0" w:firstLine="0"/>
        <w:jc w:val="left"/>
        <w:rPr>
          <w:rFonts w:ascii="Arial"/>
          <w:b/>
          <w:sz w:val="18"/>
        </w:rPr>
      </w:pPr>
      <w:r>
        <w:rPr>
          <w:rFonts w:ascii="Arial"/>
          <w:b/>
          <w:sz w:val="18"/>
        </w:rPr>
        <w:t>Assignability, </w:t>
      </w:r>
      <w:r>
        <w:rPr>
          <w:rFonts w:ascii="Arial"/>
          <w:b/>
          <w:spacing w:val="-5"/>
          <w:sz w:val="18"/>
        </w:rPr>
        <w:t>etc</w:t>
      </w:r>
    </w:p>
    <w:p>
      <w:pPr>
        <w:pStyle w:val="BodyText"/>
        <w:spacing w:before="41"/>
        <w:rPr>
          <w:rFonts w:ascii="Arial"/>
          <w:b/>
          <w:sz w:val="18"/>
        </w:rPr>
      </w:pPr>
    </w:p>
    <w:p>
      <w:pPr>
        <w:pStyle w:val="Heading2"/>
      </w:pPr>
      <w:r>
        <w:rPr/>
        <w:t>30-</w:t>
      </w:r>
      <w:r>
        <w:rPr>
          <w:spacing w:val="-5"/>
        </w:rPr>
        <w:t>292</w:t>
      </w:r>
    </w:p>
    <w:p>
      <w:pPr>
        <w:pStyle w:val="BodyText"/>
        <w:spacing w:before="199"/>
        <w:ind w:left="165"/>
        <w:jc w:val="both"/>
      </w:pPr>
      <w:r>
        <w:rPr/>
        <w:t>Article 14(2) of the Regulation states that </w:t>
      </w:r>
      <w:r>
        <w:rPr>
          <w:spacing w:val="-4"/>
        </w:rPr>
        <w:t>the:</w:t>
      </w:r>
    </w:p>
    <w:p>
      <w:pPr>
        <w:pStyle w:val="BodyText"/>
      </w:pPr>
    </w:p>
    <w:p>
      <w:pPr>
        <w:pStyle w:val="BodyText"/>
        <w:spacing w:before="125"/>
      </w:pPr>
    </w:p>
    <w:p>
      <w:pPr>
        <w:pStyle w:val="BodyText"/>
        <w:spacing w:line="235" w:lineRule="auto"/>
        <w:ind w:left="1244" w:right="167"/>
        <w:jc w:val="both"/>
      </w:pPr>
      <w:r>
        <w:rPr/>
        <w:t>“… law governing </w:t>
      </w:r>
      <w:r>
        <w:rPr>
          <w:rFonts w:ascii="Arial" w:hAnsi="Arial"/>
          <w:i/>
        </w:rPr>
        <w:t>the assigned or subrogated claim </w:t>
      </w:r>
      <w:r>
        <w:rPr/>
        <w:t>shall determine its assignability, the relationship between the assignee and the debtor, the conditions under which the </w:t>
      </w:r>
      <w:bookmarkStart w:name="_bookmark2037" w:id="2039"/>
      <w:bookmarkEnd w:id="2039"/>
      <w:r>
        <w:rPr/>
        <w:t>assignment</w:t>
      </w:r>
      <w:r>
        <w:rPr/>
        <w:t> </w:t>
      </w:r>
      <w:r>
        <w:rPr>
          <w:rFonts w:ascii="Arial" w:hAnsi="Arial"/>
          <w:i/>
        </w:rPr>
        <w:t>or subrogation </w:t>
      </w:r>
      <w:r>
        <w:rPr/>
        <w:t>can be invoked against the debtor and whether the </w:t>
      </w:r>
      <w:r>
        <w:rPr/>
        <w:t>debtor’s obligations have been discharged.” </w:t>
      </w:r>
      <w:r>
        <w:rPr>
          <w:color w:val="005DA1"/>
          <w:u w:val="single" w:color="005DA1"/>
          <w:vertAlign w:val="superscript"/>
        </w:rPr>
        <w:t>1069</w:t>
      </w:r>
    </w:p>
    <w:p>
      <w:pPr>
        <w:pStyle w:val="BodyText"/>
        <w:spacing w:before="115"/>
      </w:pPr>
    </w:p>
    <w:p>
      <w:pPr>
        <w:pStyle w:val="BodyText"/>
        <w:spacing w:line="235" w:lineRule="auto" w:before="1"/>
        <w:ind w:left="164" w:right="167"/>
        <w:jc w:val="both"/>
      </w:pPr>
      <w:r>
        <w:rPr/>
        <w:t>Apart from the linguistic changes which have been italicised, but which do not bring about </w:t>
      </w:r>
      <w:r>
        <w:rPr/>
        <w:t>any </w:t>
      </w:r>
      <w:bookmarkStart w:name="_bookmark2038" w:id="2040"/>
      <w:bookmarkEnd w:id="2040"/>
      <w:r>
        <w:rPr/>
        <w:t>substantive</w:t>
      </w:r>
      <w:r>
        <w:rPr/>
        <w:t> change, art.14(2) is a replica of art.12(2) of the Rome Convention, discussed in section 3 of this chapter, </w:t>
      </w:r>
      <w:r>
        <w:rPr>
          <w:color w:val="005DA1"/>
          <w:u w:val="single" w:color="005DA1"/>
          <w:vertAlign w:val="superscript"/>
        </w:rPr>
        <w:t>1070</w:t>
      </w:r>
      <w:r>
        <w:rPr>
          <w:color w:val="005DA1"/>
          <w:vertAlign w:val="baseline"/>
        </w:rPr>
        <w:t> </w:t>
      </w:r>
      <w:r>
        <w:rPr>
          <w:vertAlign w:val="baseline"/>
        </w:rPr>
        <w:t>and subject to what is said in the following paragraph, should be interpreted in the same way.</w:t>
      </w:r>
    </w:p>
    <w:p>
      <w:pPr>
        <w:pStyle w:val="BodyText"/>
      </w:pPr>
    </w:p>
    <w:p>
      <w:pPr>
        <w:pStyle w:val="BodyText"/>
        <w:spacing w:before="37"/>
      </w:pPr>
    </w:p>
    <w:p>
      <w:pPr>
        <w:spacing w:before="0"/>
        <w:ind w:left="164" w:right="0" w:firstLine="0"/>
        <w:jc w:val="left"/>
        <w:rPr>
          <w:rFonts w:ascii="Arial"/>
          <w:b/>
          <w:sz w:val="18"/>
        </w:rPr>
      </w:pPr>
      <w:r>
        <w:rPr>
          <w:rFonts w:ascii="Arial"/>
          <w:b/>
          <w:spacing w:val="-2"/>
          <w:sz w:val="18"/>
        </w:rPr>
        <w:t>Priorities</w:t>
      </w:r>
    </w:p>
    <w:p>
      <w:pPr>
        <w:pStyle w:val="BodyText"/>
        <w:spacing w:before="41"/>
        <w:rPr>
          <w:rFonts w:ascii="Arial"/>
          <w:b/>
          <w:sz w:val="18"/>
        </w:rPr>
      </w:pPr>
    </w:p>
    <w:p>
      <w:pPr>
        <w:pStyle w:val="Heading2"/>
        <w:ind w:left="164"/>
      </w:pPr>
      <w:r>
        <w:rPr/>
        <w:t>30-</w:t>
      </w:r>
      <w:r>
        <w:rPr>
          <w:spacing w:val="-5"/>
        </w:rPr>
        <w:t>293</w:t>
      </w:r>
    </w:p>
    <w:p>
      <w:pPr>
        <w:pStyle w:val="BodyText"/>
        <w:spacing w:line="235" w:lineRule="auto" w:before="203"/>
        <w:ind w:left="164" w:right="167"/>
        <w:jc w:val="both"/>
      </w:pPr>
      <w:r>
        <w:rPr/>
        <w:t>In the earlier discussion of art.12(2) of the Rome Convention it was tentatively suggested that </w:t>
      </w:r>
      <w:r>
        <w:rPr/>
        <w:t>the </w:t>
      </w:r>
      <w:bookmarkStart w:name="_bookmark2039" w:id="2041"/>
      <w:bookmarkEnd w:id="2041"/>
      <w:r>
        <w:rPr/>
        <w:t>question</w:t>
      </w:r>
      <w:r>
        <w:rPr/>
        <w:t> of priorities between competing assignments of the same debt could fall within art.12(2) and could thus be governed by the law governing the right to which the assignment related. </w:t>
      </w:r>
      <w:r>
        <w:rPr>
          <w:color w:val="005DA1"/>
          <w:u w:val="single" w:color="005DA1"/>
          <w:vertAlign w:val="superscript"/>
        </w:rPr>
        <w:t>1071</w:t>
      </w:r>
      <w:r>
        <w:rPr>
          <w:color w:val="005DA1"/>
          <w:vertAlign w:val="baseline"/>
        </w:rPr>
        <w:t> </w:t>
      </w:r>
      <w:r>
        <w:rPr>
          <w:vertAlign w:val="baseline"/>
        </w:rPr>
        <w:t>This conclusion must now be regarded as unlikely to follow under the Regulation. First, the Commission’s original Proposal contained a rule providing that whether the assignment or subrogation could be </w:t>
      </w:r>
      <w:bookmarkStart w:name="_bookmark2040" w:id="2042"/>
      <w:bookmarkEnd w:id="2042"/>
      <w:r>
        <w:rPr>
          <w:vertAlign w:val="baseline"/>
        </w:rPr>
        <w:t>relied</w:t>
      </w:r>
      <w:r>
        <w:rPr>
          <w:vertAlign w:val="baseline"/>
        </w:rPr>
        <w:t> upon against third parties should be governed by the law of the assignor’s or the author of the </w:t>
      </w:r>
      <w:bookmarkStart w:name="_bookmark2041" w:id="2043"/>
      <w:bookmarkEnd w:id="2043"/>
      <w:r>
        <w:rPr>
          <w:vertAlign w:val="baseline"/>
        </w:rPr>
        <w:t>subrogation’s</w:t>
      </w:r>
      <w:r>
        <w:rPr>
          <w:spacing w:val="-2"/>
          <w:vertAlign w:val="baseline"/>
        </w:rPr>
        <w:t> </w:t>
      </w:r>
      <w:r>
        <w:rPr>
          <w:vertAlign w:val="baseline"/>
        </w:rPr>
        <w:t>habitual</w:t>
      </w:r>
      <w:r>
        <w:rPr>
          <w:spacing w:val="-2"/>
          <w:vertAlign w:val="baseline"/>
        </w:rPr>
        <w:t> </w:t>
      </w:r>
      <w:r>
        <w:rPr>
          <w:vertAlign w:val="baseline"/>
        </w:rPr>
        <w:t>residence</w:t>
      </w:r>
      <w:r>
        <w:rPr>
          <w:spacing w:val="-3"/>
          <w:vertAlign w:val="baseline"/>
        </w:rPr>
        <w:t> </w:t>
      </w:r>
      <w:r>
        <w:rPr>
          <w:color w:val="005DA1"/>
          <w:u w:val="single" w:color="005DA1"/>
          <w:vertAlign w:val="superscript"/>
        </w:rPr>
        <w:t>1072</w:t>
      </w:r>
      <w:r>
        <w:rPr>
          <w:color w:val="005DA1"/>
          <w:spacing w:val="-2"/>
          <w:vertAlign w:val="baseline"/>
        </w:rPr>
        <w:t> </w:t>
      </w:r>
      <w:r>
        <w:rPr>
          <w:vertAlign w:val="baseline"/>
        </w:rPr>
        <w:t>which</w:t>
      </w:r>
      <w:r>
        <w:rPr>
          <w:spacing w:val="-2"/>
          <w:vertAlign w:val="baseline"/>
        </w:rPr>
        <w:t> </w:t>
      </w:r>
      <w:r>
        <w:rPr>
          <w:vertAlign w:val="baseline"/>
        </w:rPr>
        <w:t>might</w:t>
      </w:r>
      <w:r>
        <w:rPr>
          <w:spacing w:val="-2"/>
          <w:vertAlign w:val="baseline"/>
        </w:rPr>
        <w:t> </w:t>
      </w:r>
      <w:r>
        <w:rPr>
          <w:vertAlign w:val="baseline"/>
        </w:rPr>
        <w:t>suggest</w:t>
      </w:r>
      <w:r>
        <w:rPr>
          <w:spacing w:val="-2"/>
          <w:vertAlign w:val="baseline"/>
        </w:rPr>
        <w:t> </w:t>
      </w:r>
      <w:r>
        <w:rPr>
          <w:vertAlign w:val="baseline"/>
        </w:rPr>
        <w:t>that</w:t>
      </w:r>
      <w:r>
        <w:rPr>
          <w:spacing w:val="-2"/>
          <w:vertAlign w:val="baseline"/>
        </w:rPr>
        <w:t> </w:t>
      </w:r>
      <w:r>
        <w:rPr>
          <w:vertAlign w:val="baseline"/>
        </w:rPr>
        <w:t>priorities</w:t>
      </w:r>
      <w:r>
        <w:rPr>
          <w:spacing w:val="-2"/>
          <w:vertAlign w:val="baseline"/>
        </w:rPr>
        <w:t> </w:t>
      </w:r>
      <w:r>
        <w:rPr>
          <w:vertAlign w:val="baseline"/>
        </w:rPr>
        <w:t>were</w:t>
      </w:r>
      <w:r>
        <w:rPr>
          <w:spacing w:val="-2"/>
          <w:vertAlign w:val="baseline"/>
        </w:rPr>
        <w:t> </w:t>
      </w:r>
      <w:r>
        <w:rPr>
          <w:vertAlign w:val="baseline"/>
        </w:rPr>
        <w:t>not</w:t>
      </w:r>
      <w:r>
        <w:rPr>
          <w:spacing w:val="-2"/>
          <w:vertAlign w:val="baseline"/>
        </w:rPr>
        <w:t> </w:t>
      </w:r>
      <w:r>
        <w:rPr>
          <w:vertAlign w:val="baseline"/>
        </w:rPr>
        <w:t>covered</w:t>
      </w:r>
      <w:r>
        <w:rPr>
          <w:spacing w:val="-2"/>
          <w:vertAlign w:val="baseline"/>
        </w:rPr>
        <w:t> </w:t>
      </w:r>
      <w:r>
        <w:rPr>
          <w:vertAlign w:val="baseline"/>
        </w:rPr>
        <w:t>by</w:t>
      </w:r>
      <w:r>
        <w:rPr>
          <w:spacing w:val="-2"/>
          <w:vertAlign w:val="baseline"/>
        </w:rPr>
        <w:t> </w:t>
      </w:r>
      <w:r>
        <w:rPr>
          <w:vertAlign w:val="baseline"/>
        </w:rPr>
        <w:t>art.12(2). </w:t>
      </w:r>
      <w:bookmarkStart w:name="_bookmark2042" w:id="2044"/>
      <w:bookmarkEnd w:id="2044"/>
      <w:r>
        <w:rPr>
          <w:vertAlign w:val="baseline"/>
        </w:rPr>
        <w:t>Secondly,</w:t>
      </w:r>
      <w:r>
        <w:rPr>
          <w:vertAlign w:val="baseline"/>
        </w:rPr>
        <w:t> the proposed rule provoked so much criticism that it was eliminated during the negotiations </w:t>
      </w:r>
      <w:r>
        <w:rPr>
          <w:color w:val="005DA1"/>
          <w:u w:val="single" w:color="005DA1"/>
          <w:vertAlign w:val="superscript"/>
        </w:rPr>
        <w:t>1073</w:t>
      </w:r>
      <w:r>
        <w:rPr>
          <w:color w:val="005DA1"/>
          <w:vertAlign w:val="baseline"/>
        </w:rPr>
        <w:t> </w:t>
      </w:r>
      <w:r>
        <w:rPr>
          <w:vertAlign w:val="baseline"/>
        </w:rPr>
        <w:t>and the Consultation Paper expresses the view that the question of priorities is for national law. </w:t>
      </w:r>
      <w:r>
        <w:rPr>
          <w:color w:val="005DA1"/>
          <w:u w:val="single" w:color="005DA1"/>
          <w:vertAlign w:val="superscript"/>
        </w:rPr>
        <w:t>1074</w:t>
      </w:r>
      <w:r>
        <w:rPr>
          <w:color w:val="005DA1"/>
          <w:vertAlign w:val="baseline"/>
        </w:rPr>
        <w:t> </w:t>
      </w:r>
      <w:r>
        <w:rPr>
          <w:vertAlign w:val="baseline"/>
        </w:rPr>
        <w:t>Thirdly, under the review clause the Commission is required to produce a report on the question</w:t>
      </w:r>
      <w:r>
        <w:rPr>
          <w:spacing w:val="40"/>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effectiveness</w:t>
      </w:r>
      <w:r>
        <w:rPr>
          <w:spacing w:val="3"/>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assignment</w:t>
      </w:r>
      <w:r>
        <w:rPr>
          <w:spacing w:val="3"/>
          <w:vertAlign w:val="baseline"/>
        </w:rPr>
        <w:t> </w:t>
      </w:r>
      <w:r>
        <w:rPr>
          <w:vertAlign w:val="baseline"/>
        </w:rPr>
        <w:t>or</w:t>
      </w:r>
      <w:r>
        <w:rPr>
          <w:spacing w:val="3"/>
          <w:vertAlign w:val="baseline"/>
        </w:rPr>
        <w:t> </w:t>
      </w:r>
      <w:r>
        <w:rPr>
          <w:vertAlign w:val="baseline"/>
        </w:rPr>
        <w:t>subrogation</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claim</w:t>
      </w:r>
      <w:r>
        <w:rPr>
          <w:spacing w:val="3"/>
          <w:vertAlign w:val="baseline"/>
        </w:rPr>
        <w:t> </w:t>
      </w:r>
      <w:r>
        <w:rPr>
          <w:vertAlign w:val="baseline"/>
        </w:rPr>
        <w:t>against</w:t>
      </w:r>
      <w:r>
        <w:rPr>
          <w:spacing w:val="3"/>
          <w:vertAlign w:val="baseline"/>
        </w:rPr>
        <w:t> </w:t>
      </w:r>
      <w:r>
        <w:rPr>
          <w:vertAlign w:val="baseline"/>
        </w:rPr>
        <w:t>third</w:t>
      </w:r>
      <w:r>
        <w:rPr>
          <w:spacing w:val="3"/>
          <w:vertAlign w:val="baseline"/>
        </w:rPr>
        <w:t> </w:t>
      </w:r>
      <w:r>
        <w:rPr>
          <w:vertAlign w:val="baseline"/>
        </w:rPr>
        <w:t>parties</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priority</w:t>
      </w:r>
      <w:r>
        <w:rPr>
          <w:spacing w:val="3"/>
          <w:vertAlign w:val="baseline"/>
        </w:rPr>
        <w:t> </w:t>
      </w:r>
      <w:r>
        <w:rPr>
          <w:spacing w:val="-5"/>
          <w:vertAlign w:val="baseline"/>
        </w:rPr>
        <w:t>of</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2043" w:id="2045"/>
      <w:bookmarkEnd w:id="2045"/>
      <w:r>
        <w:rPr/>
      </w:r>
      <w:r>
        <w:rPr/>
        <w:t>the assigned or subrogated claim over a right of another person “the report to be accompanied, if appropriate, by a proposal to amend” the Regulation. </w:t>
      </w:r>
      <w:r>
        <w:rPr>
          <w:color w:val="005DA1"/>
          <w:u w:val="single" w:color="005DA1"/>
          <w:vertAlign w:val="superscript"/>
        </w:rPr>
        <w:t>1075</w:t>
      </w:r>
      <w:r>
        <w:rPr>
          <w:color w:val="005DA1"/>
          <w:vertAlign w:val="baseline"/>
        </w:rPr>
        <w:t> </w:t>
      </w:r>
      <w:r>
        <w:rPr>
          <w:vertAlign w:val="baseline"/>
        </w:rPr>
        <w:t>This again suggests that these questions</w:t>
      </w:r>
      <w:r>
        <w:rPr>
          <w:spacing w:val="40"/>
          <w:vertAlign w:val="baseline"/>
        </w:rPr>
        <w:t> </w:t>
      </w:r>
      <w:r>
        <w:rPr>
          <w:vertAlign w:val="baseline"/>
        </w:rPr>
        <w:t>are not covered by the present text of art.14(2).</w:t>
      </w:r>
    </w:p>
    <w:p>
      <w:pPr>
        <w:pStyle w:val="BodyText"/>
      </w:pPr>
    </w:p>
    <w:p>
      <w:pPr>
        <w:pStyle w:val="BodyText"/>
        <w:spacing w:before="39"/>
      </w:pPr>
      <w:r>
        <w:rPr/>
        <mc:AlternateContent>
          <mc:Choice Requires="wps">
            <w:drawing>
              <wp:anchor distT="0" distB="0" distL="0" distR="0" allowOverlap="1" layoutInCell="1" locked="0" behindDoc="1" simplePos="0" relativeHeight="487622656">
                <wp:simplePos x="0" y="0"/>
                <wp:positionH relativeFrom="page">
                  <wp:posOffset>914400</wp:posOffset>
                </wp:positionH>
                <wp:positionV relativeFrom="paragraph">
                  <wp:posOffset>186213</wp:posOffset>
                </wp:positionV>
                <wp:extent cx="5724525" cy="127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2488pt;width:450.75pt;height:.1pt;mso-position-horizontal-relative:page;mso-position-vertical-relative:paragraph;z-index:-15693824;mso-wrap-distance-left:0;mso-wrap-distance-right:0" id="docshape38"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spacing w:before="0"/>
        <w:ind w:left="165" w:right="0" w:firstLine="0"/>
        <w:jc w:val="left"/>
        <w:rPr>
          <w:sz w:val="20"/>
        </w:rPr>
      </w:pPr>
      <w:bookmarkStart w:name="_bookmark2044" w:id="2046"/>
      <w:bookmarkEnd w:id="2046"/>
      <w:r>
        <w:rPr/>
      </w:r>
      <w:hyperlink w:history="true" w:anchor="_bookmark2030">
        <w:r>
          <w:rPr>
            <w:color w:val="005DA1"/>
            <w:position w:val="5"/>
            <w:sz w:val="14"/>
            <w:u w:val="single" w:color="005DA1"/>
          </w:rPr>
          <w:t>1062</w:t>
        </w:r>
      </w:hyperlink>
      <w:r>
        <w:rPr>
          <w:position w:val="5"/>
          <w:sz w:val="14"/>
        </w:rPr>
        <w:t>.</w:t>
      </w:r>
      <w:r>
        <w:rPr>
          <w:spacing w:val="55"/>
          <w:position w:val="5"/>
          <w:sz w:val="14"/>
        </w:rPr>
        <w:t>  </w:t>
      </w:r>
      <w:r>
        <w:rPr>
          <w:sz w:val="20"/>
        </w:rPr>
        <w:t>Above,</w:t>
      </w:r>
      <w:r>
        <w:rPr>
          <w:spacing w:val="1"/>
          <w:sz w:val="20"/>
        </w:rPr>
        <w:t> </w:t>
      </w:r>
      <w:r>
        <w:rPr>
          <w:sz w:val="20"/>
        </w:rPr>
        <w:t>paras 30-122 et </w:t>
      </w:r>
      <w:r>
        <w:rPr>
          <w:spacing w:val="-4"/>
          <w:sz w:val="20"/>
        </w:rPr>
        <w:t>seq.</w:t>
      </w:r>
    </w:p>
    <w:p>
      <w:pPr>
        <w:pStyle w:val="BodyText"/>
        <w:spacing w:before="12"/>
      </w:pPr>
    </w:p>
    <w:p>
      <w:pPr>
        <w:spacing w:line="137" w:lineRule="exact" w:before="0"/>
        <w:ind w:left="165" w:right="0" w:firstLine="0"/>
        <w:jc w:val="left"/>
        <w:rPr>
          <w:sz w:val="14"/>
        </w:rPr>
      </w:pPr>
      <w:bookmarkStart w:name="_bookmark2045" w:id="2047"/>
      <w:bookmarkEnd w:id="2047"/>
      <w:r>
        <w:rPr/>
      </w:r>
      <w:hyperlink w:history="true" w:anchor="_bookmark2031">
        <w:r>
          <w:rPr>
            <w:color w:val="005DA1"/>
            <w:spacing w:val="-2"/>
            <w:sz w:val="14"/>
            <w:u w:val="single" w:color="005DA1"/>
          </w:rPr>
          <w:t>1063</w:t>
        </w:r>
      </w:hyperlink>
      <w:r>
        <w:rPr>
          <w:spacing w:val="-2"/>
          <w:sz w:val="14"/>
        </w:rPr>
        <w:t>.</w:t>
      </w:r>
    </w:p>
    <w:p>
      <w:pPr>
        <w:pStyle w:val="BodyText"/>
        <w:spacing w:line="203" w:lineRule="exact"/>
        <w:ind w:left="875"/>
        <w:jc w:val="both"/>
      </w:pPr>
      <w:r>
        <w:rPr/>
        <w:drawing>
          <wp:anchor distT="0" distB="0" distL="0" distR="0" allowOverlap="1" layoutInCell="1" locked="0" behindDoc="0" simplePos="0" relativeHeight="15763968">
            <wp:simplePos x="0" y="0"/>
            <wp:positionH relativeFrom="page">
              <wp:posOffset>1257846</wp:posOffset>
            </wp:positionH>
            <wp:positionV relativeFrom="paragraph">
              <wp:posOffset>13058</wp:posOffset>
            </wp:positionV>
            <wp:extent cx="107988" cy="107988"/>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6" cstate="print"/>
                    <a:stretch>
                      <a:fillRect/>
                    </a:stretch>
                  </pic:blipFill>
                  <pic:spPr>
                    <a:xfrm>
                      <a:off x="0" y="0"/>
                      <a:ext cx="107988" cy="107988"/>
                    </a:xfrm>
                    <a:prstGeom prst="rect">
                      <a:avLst/>
                    </a:prstGeom>
                  </pic:spPr>
                </pic:pic>
              </a:graphicData>
            </a:graphic>
          </wp:anchor>
        </w:drawing>
      </w:r>
      <w:r>
        <w:rPr/>
        <w:t>Rome</w:t>
      </w:r>
      <w:r>
        <w:rPr>
          <w:spacing w:val="39"/>
        </w:rPr>
        <w:t> </w:t>
      </w:r>
      <w:r>
        <w:rPr/>
        <w:t>I</w:t>
      </w:r>
      <w:r>
        <w:rPr>
          <w:spacing w:val="39"/>
        </w:rPr>
        <w:t> </w:t>
      </w:r>
      <w:r>
        <w:rPr/>
        <w:t>art.27(2),</w:t>
      </w:r>
      <w:r>
        <w:rPr>
          <w:spacing w:val="39"/>
        </w:rPr>
        <w:t> </w:t>
      </w:r>
      <w:r>
        <w:rPr/>
        <w:t>above,</w:t>
      </w:r>
      <w:r>
        <w:rPr>
          <w:spacing w:val="39"/>
        </w:rPr>
        <w:t> </w:t>
      </w:r>
      <w:r>
        <w:rPr/>
        <w:t>para.30-137,</w:t>
      </w:r>
      <w:r>
        <w:rPr>
          <w:spacing w:val="39"/>
        </w:rPr>
        <w:t> </w:t>
      </w:r>
      <w:r>
        <w:rPr/>
        <w:t>below</w:t>
      </w:r>
      <w:r>
        <w:rPr>
          <w:spacing w:val="39"/>
        </w:rPr>
        <w:t> </w:t>
      </w:r>
      <w:r>
        <w:rPr/>
        <w:t>para.30-293.</w:t>
      </w:r>
      <w:r>
        <w:rPr>
          <w:spacing w:val="39"/>
        </w:rPr>
        <w:t> </w:t>
      </w:r>
      <w:r>
        <w:rPr/>
        <w:t>See</w:t>
      </w:r>
      <w:r>
        <w:rPr>
          <w:spacing w:val="39"/>
        </w:rPr>
        <w:t> </w:t>
      </w:r>
      <w:r>
        <w:rPr/>
        <w:t>Consultation</w:t>
      </w:r>
      <w:r>
        <w:rPr>
          <w:spacing w:val="39"/>
        </w:rPr>
        <w:t> </w:t>
      </w:r>
      <w:r>
        <w:rPr/>
        <w:t>Paper,</w:t>
      </w:r>
      <w:r>
        <w:rPr>
          <w:spacing w:val="39"/>
        </w:rPr>
        <w:t> </w:t>
      </w:r>
      <w:r>
        <w:rPr>
          <w:spacing w:val="-2"/>
        </w:rPr>
        <w:t>paras</w:t>
      </w:r>
    </w:p>
    <w:p>
      <w:pPr>
        <w:spacing w:line="235" w:lineRule="auto" w:before="2"/>
        <w:ind w:left="705" w:right="167" w:firstLine="0"/>
        <w:jc w:val="both"/>
        <w:rPr>
          <w:sz w:val="20"/>
        </w:rPr>
      </w:pPr>
      <w:r>
        <w:rPr>
          <w:sz w:val="20"/>
        </w:rPr>
        <w:t>85-87. cf. the original Proposal of the Commission art.13. The review is currently </w:t>
      </w:r>
      <w:r>
        <w:rPr>
          <w:sz w:val="20"/>
        </w:rPr>
        <w:t>being conducted and the Ministry of Justice has consulted with “stakeholders”. For discussion of this difficult</w:t>
      </w:r>
      <w:r>
        <w:rPr>
          <w:spacing w:val="-2"/>
          <w:sz w:val="20"/>
        </w:rPr>
        <w:t> </w:t>
      </w:r>
      <w:r>
        <w:rPr>
          <w:sz w:val="20"/>
        </w:rPr>
        <w:t>topic,</w:t>
      </w:r>
      <w:r>
        <w:rPr>
          <w:spacing w:val="-2"/>
          <w:sz w:val="20"/>
        </w:rPr>
        <w:t> </w:t>
      </w:r>
      <w:r>
        <w:rPr>
          <w:sz w:val="20"/>
        </w:rPr>
        <w:t>see</w:t>
      </w:r>
      <w:r>
        <w:rPr>
          <w:spacing w:val="-2"/>
          <w:sz w:val="20"/>
        </w:rPr>
        <w:t> </w:t>
      </w:r>
      <w:r>
        <w:rPr>
          <w:sz w:val="20"/>
        </w:rPr>
        <w:t>Dicey,</w:t>
      </w:r>
      <w:r>
        <w:rPr>
          <w:spacing w:val="-2"/>
          <w:sz w:val="20"/>
        </w:rPr>
        <w:t> </w:t>
      </w:r>
      <w:r>
        <w:rPr>
          <w:sz w:val="20"/>
        </w:rPr>
        <w:t>Morris</w:t>
      </w:r>
      <w:r>
        <w:rPr>
          <w:spacing w:val="-2"/>
          <w:sz w:val="20"/>
        </w:rPr>
        <w:t> </w:t>
      </w:r>
      <w:r>
        <w:rPr>
          <w:sz w:val="20"/>
        </w:rPr>
        <w:t>and</w:t>
      </w:r>
      <w:r>
        <w:rPr>
          <w:spacing w:val="-2"/>
          <w:sz w:val="20"/>
        </w:rPr>
        <w:t> </w:t>
      </w:r>
      <w:r>
        <w:rPr>
          <w:sz w:val="20"/>
        </w:rPr>
        <w:t>Collins,</w:t>
      </w:r>
      <w:r>
        <w:rPr>
          <w:spacing w:val="-2"/>
          <w:sz w:val="20"/>
        </w:rPr>
        <w:t> </w:t>
      </w:r>
      <w:r>
        <w:rPr>
          <w:sz w:val="20"/>
        </w:rPr>
        <w:t>15th</w:t>
      </w:r>
      <w:r>
        <w:rPr>
          <w:spacing w:val="-2"/>
          <w:sz w:val="20"/>
        </w:rPr>
        <w:t> </w:t>
      </w:r>
      <w:r>
        <w:rPr>
          <w:sz w:val="20"/>
        </w:rPr>
        <w:t>edn</w:t>
      </w:r>
      <w:r>
        <w:rPr>
          <w:spacing w:val="-2"/>
          <w:sz w:val="20"/>
        </w:rPr>
        <w:t> </w:t>
      </w:r>
      <w:r>
        <w:rPr>
          <w:sz w:val="20"/>
        </w:rPr>
        <w:t>(2012),</w:t>
      </w:r>
      <w:r>
        <w:rPr>
          <w:spacing w:val="-2"/>
          <w:sz w:val="20"/>
        </w:rPr>
        <w:t> </w:t>
      </w:r>
      <w:r>
        <w:rPr>
          <w:sz w:val="20"/>
        </w:rPr>
        <w:t>paras</w:t>
      </w:r>
      <w:r>
        <w:rPr>
          <w:spacing w:val="-2"/>
          <w:sz w:val="20"/>
        </w:rPr>
        <w:t> </w:t>
      </w:r>
      <w:r>
        <w:rPr>
          <w:sz w:val="20"/>
        </w:rPr>
        <w:t>24-050</w:t>
      </w:r>
      <w:r>
        <w:rPr>
          <w:spacing w:val="-2"/>
          <w:sz w:val="20"/>
        </w:rPr>
        <w:t> </w:t>
      </w:r>
      <w:r>
        <w:rPr>
          <w:sz w:val="20"/>
        </w:rPr>
        <w:t>et</w:t>
      </w:r>
      <w:r>
        <w:rPr>
          <w:spacing w:val="-2"/>
          <w:sz w:val="20"/>
        </w:rPr>
        <w:t> </w:t>
      </w:r>
      <w:r>
        <w:rPr>
          <w:sz w:val="20"/>
        </w:rPr>
        <w:t>seq.;</w:t>
      </w:r>
      <w:r>
        <w:rPr>
          <w:spacing w:val="-2"/>
          <w:sz w:val="20"/>
        </w:rPr>
        <w:t> </w:t>
      </w:r>
      <w:r>
        <w:rPr>
          <w:sz w:val="20"/>
        </w:rPr>
        <w:t>Plender</w:t>
      </w:r>
      <w:r>
        <w:rPr>
          <w:spacing w:val="-2"/>
          <w:sz w:val="20"/>
        </w:rPr>
        <w:t> </w:t>
      </w:r>
      <w:r>
        <w:rPr>
          <w:sz w:val="20"/>
        </w:rPr>
        <w:t>and Wilderspin, </w:t>
      </w:r>
      <w:r>
        <w:rPr>
          <w:rFonts w:ascii="Arial" w:hAnsi="Arial"/>
          <w:i/>
          <w:sz w:val="20"/>
        </w:rPr>
        <w:t>Assignment in European Private International Law </w:t>
      </w:r>
      <w:r>
        <w:rPr>
          <w:sz w:val="20"/>
        </w:rPr>
        <w:t>(2006); Fentiman, </w:t>
      </w:r>
      <w:r>
        <w:rPr>
          <w:rFonts w:ascii="Arial" w:hAnsi="Arial"/>
          <w:i/>
          <w:sz w:val="20"/>
        </w:rPr>
        <w:t>International Commercial Litigation </w:t>
      </w:r>
      <w:r>
        <w:rPr>
          <w:sz w:val="20"/>
        </w:rPr>
        <w:t>2nd edn (2015), pp.233 et seq.; Garcimartin-Alferez, </w:t>
      </w:r>
      <w:r>
        <w:rPr>
          <w:rFonts w:ascii="Arial" w:hAnsi="Arial"/>
          <w:i/>
          <w:sz w:val="20"/>
        </w:rPr>
        <w:t>The Rome I Regulation: the Law Applicable to Contractual Obligations in Europe </w:t>
      </w:r>
      <w:r>
        <w:rPr>
          <w:sz w:val="20"/>
        </w:rPr>
        <w:t>(2009); Perkins [2008] Financial Markets Law Review 238; Bridge (2009) 125 L.Q.R. 671; Verhagen and Van Dongen (2010)</w:t>
      </w:r>
      <w:r>
        <w:rPr>
          <w:spacing w:val="3"/>
          <w:sz w:val="20"/>
        </w:rPr>
        <w:t> </w:t>
      </w:r>
      <w:r>
        <w:rPr>
          <w:sz w:val="20"/>
        </w:rPr>
        <w:t>6</w:t>
      </w:r>
      <w:r>
        <w:rPr>
          <w:spacing w:val="3"/>
          <w:sz w:val="20"/>
        </w:rPr>
        <w:t> </w:t>
      </w:r>
      <w:r>
        <w:rPr>
          <w:sz w:val="20"/>
        </w:rPr>
        <w:t>J.</w:t>
      </w:r>
      <w:r>
        <w:rPr>
          <w:spacing w:val="3"/>
          <w:sz w:val="20"/>
        </w:rPr>
        <w:t> </w:t>
      </w:r>
      <w:r>
        <w:rPr>
          <w:sz w:val="20"/>
        </w:rPr>
        <w:t>Priv.</w:t>
      </w:r>
      <w:r>
        <w:rPr>
          <w:spacing w:val="3"/>
          <w:sz w:val="20"/>
        </w:rPr>
        <w:t> </w:t>
      </w:r>
      <w:r>
        <w:rPr>
          <w:sz w:val="20"/>
        </w:rPr>
        <w:t>Int.</w:t>
      </w:r>
      <w:r>
        <w:rPr>
          <w:spacing w:val="3"/>
          <w:sz w:val="20"/>
        </w:rPr>
        <w:t> </w:t>
      </w:r>
      <w:r>
        <w:rPr>
          <w:sz w:val="20"/>
        </w:rPr>
        <w:t>L.</w:t>
      </w:r>
      <w:r>
        <w:rPr>
          <w:spacing w:val="3"/>
          <w:sz w:val="20"/>
        </w:rPr>
        <w:t> </w:t>
      </w:r>
      <w:r>
        <w:rPr>
          <w:sz w:val="20"/>
        </w:rPr>
        <w:t>1;</w:t>
      </w:r>
      <w:r>
        <w:rPr>
          <w:spacing w:val="3"/>
          <w:sz w:val="20"/>
        </w:rPr>
        <w:t> </w:t>
      </w:r>
      <w:r>
        <w:rPr>
          <w:sz w:val="20"/>
        </w:rPr>
        <w:t>Hartley</w:t>
      </w:r>
      <w:r>
        <w:rPr>
          <w:spacing w:val="3"/>
          <w:sz w:val="20"/>
        </w:rPr>
        <w:t> </w:t>
      </w:r>
      <w:r>
        <w:rPr>
          <w:sz w:val="20"/>
        </w:rPr>
        <w:t>(2011)</w:t>
      </w:r>
      <w:r>
        <w:rPr>
          <w:spacing w:val="3"/>
          <w:sz w:val="20"/>
        </w:rPr>
        <w:t> </w:t>
      </w:r>
      <w:r>
        <w:rPr>
          <w:sz w:val="20"/>
        </w:rPr>
        <w:t>60</w:t>
      </w:r>
      <w:r>
        <w:rPr>
          <w:spacing w:val="3"/>
          <w:sz w:val="20"/>
        </w:rPr>
        <w:t> </w:t>
      </w:r>
      <w:r>
        <w:rPr>
          <w:sz w:val="20"/>
        </w:rPr>
        <w:t>I.C.L.Q.</w:t>
      </w:r>
      <w:r>
        <w:rPr>
          <w:spacing w:val="3"/>
          <w:sz w:val="20"/>
        </w:rPr>
        <w:t> </w:t>
      </w:r>
      <w:r>
        <w:rPr>
          <w:sz w:val="20"/>
        </w:rPr>
        <w:t>29;</w:t>
      </w:r>
      <w:r>
        <w:rPr>
          <w:spacing w:val="3"/>
          <w:sz w:val="20"/>
        </w:rPr>
        <w:t> </w:t>
      </w:r>
      <w:r>
        <w:rPr>
          <w:sz w:val="20"/>
        </w:rPr>
        <w:t>Mollman</w:t>
      </w:r>
      <w:r>
        <w:rPr>
          <w:spacing w:val="3"/>
          <w:sz w:val="20"/>
        </w:rPr>
        <w:t> </w:t>
      </w:r>
      <w:r>
        <w:rPr>
          <w:sz w:val="20"/>
        </w:rPr>
        <w:t>[2011]</w:t>
      </w:r>
      <w:r>
        <w:rPr>
          <w:spacing w:val="3"/>
          <w:sz w:val="20"/>
        </w:rPr>
        <w:t> </w:t>
      </w:r>
      <w:r>
        <w:rPr>
          <w:sz w:val="20"/>
        </w:rPr>
        <w:t>L.M.C.L.Q.</w:t>
      </w:r>
      <w:r>
        <w:rPr>
          <w:spacing w:val="3"/>
          <w:sz w:val="20"/>
        </w:rPr>
        <w:t> </w:t>
      </w:r>
      <w:r>
        <w:rPr>
          <w:sz w:val="20"/>
        </w:rPr>
        <w:t>262;</w:t>
      </w:r>
      <w:r>
        <w:rPr>
          <w:spacing w:val="3"/>
          <w:sz w:val="20"/>
        </w:rPr>
        <w:t> </w:t>
      </w:r>
      <w:r>
        <w:rPr>
          <w:spacing w:val="-2"/>
          <w:sz w:val="20"/>
        </w:rPr>
        <w:t>Goode</w:t>
      </w:r>
    </w:p>
    <w:p>
      <w:pPr>
        <w:pStyle w:val="BodyText"/>
        <w:spacing w:line="235" w:lineRule="auto"/>
        <w:ind w:left="705" w:right="167"/>
        <w:jc w:val="both"/>
      </w:pPr>
      <w:r>
        <w:rPr/>
        <w:t>[2015] L.M.C.L.Q. 289. On the application of Rome I to intellectual property rights, </w:t>
      </w:r>
      <w:r>
        <w:rPr/>
        <w:t>see Torremans (2008) 4 J. Priv. Int. L. 397.</w:t>
      </w:r>
    </w:p>
    <w:p>
      <w:pPr>
        <w:pStyle w:val="BodyText"/>
        <w:spacing w:before="2"/>
      </w:pPr>
    </w:p>
    <w:p>
      <w:pPr>
        <w:pStyle w:val="BodyText"/>
        <w:ind w:left="165"/>
      </w:pPr>
      <w:bookmarkStart w:name="_bookmark2046" w:id="2048"/>
      <w:bookmarkEnd w:id="2048"/>
      <w:r>
        <w:rPr/>
      </w:r>
      <w:hyperlink w:history="true" w:anchor="_bookmark2032">
        <w:r>
          <w:rPr>
            <w:color w:val="005DA1"/>
            <w:position w:val="5"/>
            <w:sz w:val="14"/>
            <w:u w:val="single" w:color="005DA1"/>
          </w:rPr>
          <w:t>1064</w:t>
        </w:r>
      </w:hyperlink>
      <w:r>
        <w:rPr>
          <w:position w:val="5"/>
          <w:sz w:val="14"/>
        </w:rPr>
        <w:t>.</w:t>
      </w:r>
      <w:r>
        <w:rPr>
          <w:spacing w:val="55"/>
          <w:position w:val="5"/>
          <w:sz w:val="14"/>
        </w:rPr>
        <w:t>  </w:t>
      </w:r>
      <w:r>
        <w:rPr/>
        <w:t>Consultation</w:t>
      </w:r>
      <w:r>
        <w:rPr>
          <w:spacing w:val="1"/>
        </w:rPr>
        <w:t> </w:t>
      </w:r>
      <w:r>
        <w:rPr/>
        <w:t>Paper, </w:t>
      </w:r>
      <w:r>
        <w:rPr>
          <w:spacing w:val="-2"/>
        </w:rPr>
        <w:t>para.84.</w:t>
      </w:r>
    </w:p>
    <w:p>
      <w:pPr>
        <w:pStyle w:val="BodyText"/>
        <w:spacing w:before="9"/>
      </w:pPr>
    </w:p>
    <w:p>
      <w:pPr>
        <w:spacing w:line="235" w:lineRule="auto" w:before="0"/>
        <w:ind w:left="705" w:right="167" w:hanging="541"/>
        <w:jc w:val="both"/>
        <w:rPr>
          <w:sz w:val="20"/>
        </w:rPr>
      </w:pPr>
      <w:bookmarkStart w:name="_bookmark2047" w:id="2049"/>
      <w:bookmarkEnd w:id="2049"/>
      <w:r>
        <w:rPr/>
      </w:r>
      <w:hyperlink w:history="true" w:anchor="_bookmark2033">
        <w:r>
          <w:rPr>
            <w:color w:val="005DA1"/>
            <w:position w:val="5"/>
            <w:sz w:val="14"/>
            <w:u w:val="single" w:color="005DA1"/>
          </w:rPr>
          <w:t>1065</w:t>
        </w:r>
      </w:hyperlink>
      <w:r>
        <w:rPr>
          <w:position w:val="5"/>
          <w:sz w:val="14"/>
        </w:rPr>
        <w:t>.</w:t>
      </w:r>
      <w:r>
        <w:rPr>
          <w:spacing w:val="80"/>
          <w:position w:val="5"/>
          <w:sz w:val="14"/>
        </w:rPr>
        <w:t> </w:t>
      </w:r>
      <w:r>
        <w:rPr>
          <w:sz w:val="20"/>
        </w:rPr>
        <w:t>See, e.g. arts 1249 and 1250 of the French Civil Code. See generally, Friedmann and Cohen, </w:t>
      </w:r>
      <w:r>
        <w:rPr>
          <w:rFonts w:ascii="Arial" w:hAnsi="Arial"/>
          <w:i/>
          <w:sz w:val="20"/>
        </w:rPr>
        <w:t>Payment of Another’s Debt in International Encyclopedia of Comparative Law </w:t>
      </w:r>
      <w:r>
        <w:rPr>
          <w:sz w:val="20"/>
        </w:rPr>
        <w:t>(1985), </w:t>
      </w:r>
      <w:r>
        <w:rPr>
          <w:sz w:val="20"/>
        </w:rPr>
        <w:t>Vol.X, Ch.10; Takahashi, </w:t>
      </w:r>
      <w:r>
        <w:rPr>
          <w:rFonts w:ascii="Arial" w:hAnsi="Arial"/>
          <w:i/>
          <w:sz w:val="20"/>
        </w:rPr>
        <w:t>Claims for Contribution and Reimbursement in an International Context </w:t>
      </w:r>
      <w:r>
        <w:rPr>
          <w:sz w:val="20"/>
        </w:rPr>
        <w:t>(2000), pp.11-13, 77-82. And see Explanatory Memorandum to the Commission’s original Proposal, comment on art.13 (“Voluntary assignment and contractual subrogation perform a similar economic function”); UNCITRAL Convention on the Assignment of Receivables in International Trade art.2 and Explanatory Note para.7 (an “assignment may be a contractual subrogation or a pledge-type transaction”).</w:t>
      </w:r>
    </w:p>
    <w:p>
      <w:pPr>
        <w:pStyle w:val="BodyText"/>
        <w:spacing w:before="7"/>
      </w:pPr>
    </w:p>
    <w:p>
      <w:pPr>
        <w:pStyle w:val="BodyText"/>
        <w:spacing w:line="235" w:lineRule="auto"/>
        <w:ind w:left="705" w:right="167" w:hanging="541"/>
        <w:jc w:val="both"/>
      </w:pPr>
      <w:bookmarkStart w:name="_bookmark2048" w:id="2050"/>
      <w:bookmarkEnd w:id="2050"/>
      <w:r>
        <w:rPr/>
      </w:r>
      <w:hyperlink w:history="true" w:anchor="_bookmark2034">
        <w:r>
          <w:rPr>
            <w:color w:val="005DA1"/>
            <w:position w:val="5"/>
            <w:sz w:val="14"/>
            <w:u w:val="single" w:color="005DA1"/>
          </w:rPr>
          <w:t>1066</w:t>
        </w:r>
      </w:hyperlink>
      <w:r>
        <w:rPr>
          <w:position w:val="5"/>
          <w:sz w:val="14"/>
        </w:rPr>
        <w:t>.</w:t>
      </w:r>
      <w:r>
        <w:rPr>
          <w:spacing w:val="80"/>
          <w:position w:val="5"/>
          <w:sz w:val="14"/>
        </w:rPr>
        <w:t> </w:t>
      </w:r>
      <w:r>
        <w:rPr/>
        <w:t>cf. Rome I art.15, discussed below, paras 30-294 et seq., dealing with “Legal subrogation”. </w:t>
      </w:r>
      <w:r>
        <w:rPr/>
        <w:t>And see UNCITRAL Convention (preceding note), Explanatory Memorandum para.7 (assignment may not be a transfer by operation of law (e.g. statutory subrogation) or other non-contractual </w:t>
      </w:r>
      <w:r>
        <w:rPr>
          <w:spacing w:val="-2"/>
        </w:rPr>
        <w:t>assignment).</w:t>
      </w:r>
    </w:p>
    <w:p>
      <w:pPr>
        <w:pStyle w:val="BodyText"/>
        <w:spacing w:before="8"/>
      </w:pPr>
    </w:p>
    <w:p>
      <w:pPr>
        <w:spacing w:line="235" w:lineRule="auto" w:before="0"/>
        <w:ind w:left="705" w:right="167" w:hanging="541"/>
        <w:jc w:val="both"/>
        <w:rPr>
          <w:sz w:val="20"/>
        </w:rPr>
      </w:pPr>
      <w:bookmarkStart w:name="_bookmark2049" w:id="2051"/>
      <w:bookmarkEnd w:id="2051"/>
      <w:r>
        <w:rPr/>
      </w:r>
      <w:hyperlink w:history="true" w:anchor="_bookmark2035">
        <w:r>
          <w:rPr>
            <w:color w:val="005DA1"/>
            <w:position w:val="5"/>
            <w:sz w:val="14"/>
            <w:u w:val="single" w:color="005DA1"/>
          </w:rPr>
          <w:t>1067</w:t>
        </w:r>
      </w:hyperlink>
      <w:r>
        <w:rPr>
          <w:position w:val="5"/>
          <w:sz w:val="14"/>
        </w:rPr>
        <w:t>.</w:t>
      </w:r>
      <w:r>
        <w:rPr>
          <w:spacing w:val="40"/>
          <w:position w:val="5"/>
          <w:sz w:val="14"/>
        </w:rPr>
        <w:t> </w:t>
      </w:r>
      <w:r>
        <w:rPr>
          <w:sz w:val="20"/>
        </w:rPr>
        <w:t>For discussion of art.12(1) of the Convention (which applies equally to art.14(1) of the Regulation), see above, para.30-123. </w:t>
      </w:r>
      <w:r>
        <w:rPr>
          <w:rFonts w:ascii="Arial"/>
          <w:i/>
          <w:sz w:val="20"/>
        </w:rPr>
        <w:t>Cox v Ergo Versicherung AG (No.2) [2012] EWCA </w:t>
      </w:r>
      <w:r>
        <w:rPr>
          <w:rFonts w:ascii="Arial"/>
          <w:i/>
          <w:sz w:val="20"/>
        </w:rPr>
        <w:t>Civ </w:t>
      </w:r>
      <w:r>
        <w:rPr>
          <w:rFonts w:ascii="Arial"/>
          <w:i/>
          <w:spacing w:val="-2"/>
          <w:sz w:val="20"/>
        </w:rPr>
        <w:t>1001</w:t>
      </w:r>
      <w:r>
        <w:rPr>
          <w:spacing w:val="-2"/>
          <w:sz w:val="20"/>
        </w:rPr>
        <w:t>.</w:t>
      </w:r>
    </w:p>
    <w:p>
      <w:pPr>
        <w:pStyle w:val="BodyText"/>
        <w:spacing w:before="5"/>
      </w:pPr>
    </w:p>
    <w:p>
      <w:pPr>
        <w:spacing w:before="0"/>
        <w:ind w:left="165" w:right="0" w:firstLine="0"/>
        <w:jc w:val="left"/>
        <w:rPr>
          <w:sz w:val="20"/>
        </w:rPr>
      </w:pPr>
      <w:bookmarkStart w:name="_bookmark2050" w:id="2052"/>
      <w:bookmarkEnd w:id="2052"/>
      <w:r>
        <w:rPr/>
      </w:r>
      <w:hyperlink w:history="true" w:anchor="_bookmark2036">
        <w:r>
          <w:rPr>
            <w:color w:val="005DA1"/>
            <w:position w:val="5"/>
            <w:sz w:val="14"/>
            <w:u w:val="single" w:color="005DA1"/>
          </w:rPr>
          <w:t>1068</w:t>
        </w:r>
      </w:hyperlink>
      <w:r>
        <w:rPr>
          <w:position w:val="5"/>
          <w:sz w:val="14"/>
        </w:rPr>
        <w:t>.</w:t>
      </w:r>
      <w:r>
        <w:rPr>
          <w:spacing w:val="55"/>
          <w:position w:val="5"/>
          <w:sz w:val="14"/>
        </w:rPr>
        <w:t>  </w:t>
      </w:r>
      <w:r>
        <w:rPr>
          <w:sz w:val="20"/>
        </w:rPr>
        <w:t>Emphasis</w:t>
      </w:r>
      <w:r>
        <w:rPr>
          <w:spacing w:val="1"/>
          <w:sz w:val="20"/>
        </w:rPr>
        <w:t> </w:t>
      </w:r>
      <w:r>
        <w:rPr>
          <w:spacing w:val="-2"/>
          <w:sz w:val="20"/>
        </w:rPr>
        <w:t>added.</w:t>
      </w:r>
    </w:p>
    <w:p>
      <w:pPr>
        <w:pStyle w:val="BodyText"/>
        <w:spacing w:before="5"/>
      </w:pPr>
    </w:p>
    <w:p>
      <w:pPr>
        <w:spacing w:before="1"/>
        <w:ind w:left="165" w:right="0" w:firstLine="0"/>
        <w:jc w:val="left"/>
        <w:rPr>
          <w:sz w:val="20"/>
        </w:rPr>
      </w:pPr>
      <w:bookmarkStart w:name="_bookmark2051" w:id="2053"/>
      <w:bookmarkEnd w:id="2053"/>
      <w:r>
        <w:rPr/>
      </w:r>
      <w:hyperlink w:history="true" w:anchor="_bookmark2037">
        <w:r>
          <w:rPr>
            <w:color w:val="005DA1"/>
            <w:position w:val="5"/>
            <w:sz w:val="14"/>
            <w:u w:val="single" w:color="005DA1"/>
          </w:rPr>
          <w:t>1069</w:t>
        </w:r>
      </w:hyperlink>
      <w:r>
        <w:rPr>
          <w:position w:val="5"/>
          <w:sz w:val="14"/>
        </w:rPr>
        <w:t>.</w:t>
      </w:r>
      <w:r>
        <w:rPr>
          <w:spacing w:val="55"/>
          <w:position w:val="5"/>
          <w:sz w:val="14"/>
        </w:rPr>
        <w:t>  </w:t>
      </w:r>
      <w:r>
        <w:rPr>
          <w:sz w:val="20"/>
        </w:rPr>
        <w:t>Emphasis</w:t>
      </w:r>
      <w:r>
        <w:rPr>
          <w:spacing w:val="1"/>
          <w:sz w:val="20"/>
        </w:rPr>
        <w:t> </w:t>
      </w:r>
      <w:r>
        <w:rPr>
          <w:spacing w:val="-2"/>
          <w:sz w:val="20"/>
        </w:rPr>
        <w:t>added.</w:t>
      </w:r>
    </w:p>
    <w:p>
      <w:pPr>
        <w:pStyle w:val="BodyText"/>
        <w:spacing w:before="4"/>
      </w:pPr>
    </w:p>
    <w:p>
      <w:pPr>
        <w:spacing w:before="1"/>
        <w:ind w:left="165" w:right="0" w:firstLine="0"/>
        <w:jc w:val="left"/>
        <w:rPr>
          <w:sz w:val="20"/>
        </w:rPr>
      </w:pPr>
      <w:bookmarkStart w:name="_bookmark2052" w:id="2054"/>
      <w:bookmarkEnd w:id="2054"/>
      <w:r>
        <w:rPr/>
      </w:r>
      <w:hyperlink w:history="true" w:anchor="_bookmark2038">
        <w:r>
          <w:rPr>
            <w:color w:val="005DA1"/>
            <w:position w:val="5"/>
            <w:sz w:val="14"/>
            <w:u w:val="single" w:color="005DA1"/>
          </w:rPr>
          <w:t>1070</w:t>
        </w:r>
      </w:hyperlink>
      <w:r>
        <w:rPr>
          <w:position w:val="5"/>
          <w:sz w:val="14"/>
        </w:rPr>
        <w:t>.</w:t>
      </w:r>
      <w:r>
        <w:rPr>
          <w:spacing w:val="55"/>
          <w:position w:val="5"/>
          <w:sz w:val="14"/>
        </w:rPr>
        <w:t>  </w:t>
      </w:r>
      <w:r>
        <w:rPr>
          <w:sz w:val="20"/>
        </w:rPr>
        <w:t>Above,</w:t>
      </w:r>
      <w:r>
        <w:rPr>
          <w:spacing w:val="1"/>
          <w:sz w:val="20"/>
        </w:rPr>
        <w:t> </w:t>
      </w:r>
      <w:r>
        <w:rPr>
          <w:sz w:val="20"/>
        </w:rPr>
        <w:t>para.30-124.</w:t>
      </w:r>
      <w:r>
        <w:rPr>
          <w:spacing w:val="-1"/>
          <w:sz w:val="20"/>
        </w:rPr>
        <w:t> </w:t>
      </w:r>
      <w:r>
        <w:rPr>
          <w:rFonts w:ascii="Arial"/>
          <w:i/>
          <w:sz w:val="20"/>
        </w:rPr>
        <w:t>Cox v Ergo Versicherung AG (No.2) [2012] EWCA Civ </w:t>
      </w:r>
      <w:r>
        <w:rPr>
          <w:rFonts w:ascii="Arial"/>
          <w:i/>
          <w:spacing w:val="-2"/>
          <w:sz w:val="20"/>
        </w:rPr>
        <w:t>1001</w:t>
      </w:r>
      <w:r>
        <w:rPr>
          <w:spacing w:val="-2"/>
          <w:sz w:val="20"/>
        </w:rPr>
        <w:t>.</w:t>
      </w:r>
    </w:p>
    <w:p>
      <w:pPr>
        <w:pStyle w:val="BodyText"/>
        <w:spacing w:before="4"/>
      </w:pPr>
    </w:p>
    <w:p>
      <w:pPr>
        <w:spacing w:before="1"/>
        <w:ind w:left="165" w:right="0" w:firstLine="0"/>
        <w:jc w:val="left"/>
        <w:rPr>
          <w:sz w:val="20"/>
        </w:rPr>
      </w:pPr>
      <w:bookmarkStart w:name="_bookmark2053" w:id="2055"/>
      <w:bookmarkEnd w:id="2055"/>
      <w:r>
        <w:rPr/>
      </w:r>
      <w:hyperlink w:history="true" w:anchor="_bookmark2039">
        <w:r>
          <w:rPr>
            <w:color w:val="005DA1"/>
            <w:position w:val="5"/>
            <w:sz w:val="14"/>
            <w:u w:val="single" w:color="005DA1"/>
          </w:rPr>
          <w:t>1071</w:t>
        </w:r>
      </w:hyperlink>
      <w:r>
        <w:rPr>
          <w:position w:val="5"/>
          <w:sz w:val="14"/>
        </w:rPr>
        <w:t>.</w:t>
      </w:r>
      <w:r>
        <w:rPr>
          <w:spacing w:val="55"/>
          <w:position w:val="5"/>
          <w:sz w:val="14"/>
        </w:rPr>
        <w:t>  </w:t>
      </w:r>
      <w:r>
        <w:rPr>
          <w:sz w:val="20"/>
        </w:rPr>
        <w:t>Above,</w:t>
      </w:r>
      <w:r>
        <w:rPr>
          <w:spacing w:val="1"/>
          <w:sz w:val="20"/>
        </w:rPr>
        <w:t> </w:t>
      </w:r>
      <w:r>
        <w:rPr>
          <w:sz w:val="20"/>
        </w:rPr>
        <w:t>paras 30-124—30-</w:t>
      </w:r>
      <w:r>
        <w:rPr>
          <w:spacing w:val="-4"/>
          <w:sz w:val="20"/>
        </w:rPr>
        <w:t>125.</w:t>
      </w:r>
    </w:p>
    <w:p>
      <w:pPr>
        <w:pStyle w:val="BodyText"/>
        <w:spacing w:before="4"/>
      </w:pPr>
    </w:p>
    <w:p>
      <w:pPr>
        <w:spacing w:before="1"/>
        <w:ind w:left="165" w:right="0" w:firstLine="0"/>
        <w:jc w:val="left"/>
        <w:rPr>
          <w:sz w:val="20"/>
        </w:rPr>
      </w:pPr>
      <w:bookmarkStart w:name="_bookmark2054" w:id="2056"/>
      <w:bookmarkEnd w:id="2056"/>
      <w:r>
        <w:rPr/>
      </w:r>
      <w:hyperlink w:history="true" w:anchor="_bookmark2040">
        <w:r>
          <w:rPr>
            <w:color w:val="005DA1"/>
            <w:position w:val="5"/>
            <w:sz w:val="14"/>
            <w:u w:val="single" w:color="005DA1"/>
          </w:rPr>
          <w:t>1072</w:t>
        </w:r>
      </w:hyperlink>
      <w:r>
        <w:rPr>
          <w:position w:val="5"/>
          <w:sz w:val="14"/>
        </w:rPr>
        <w:t>.</w:t>
      </w:r>
      <w:r>
        <w:rPr>
          <w:spacing w:val="55"/>
          <w:position w:val="5"/>
          <w:sz w:val="14"/>
        </w:rPr>
        <w:t>  </w:t>
      </w:r>
      <w:r>
        <w:rPr>
          <w:sz w:val="20"/>
        </w:rPr>
        <w:t>Proposal</w:t>
      </w:r>
      <w:r>
        <w:rPr>
          <w:spacing w:val="1"/>
          <w:sz w:val="20"/>
        </w:rPr>
        <w:t> </w:t>
      </w:r>
      <w:r>
        <w:rPr>
          <w:spacing w:val="-2"/>
          <w:sz w:val="20"/>
        </w:rPr>
        <w:t>art.14(3).</w:t>
      </w:r>
    </w:p>
    <w:p>
      <w:pPr>
        <w:pStyle w:val="BodyText"/>
        <w:spacing w:before="4"/>
      </w:pPr>
    </w:p>
    <w:p>
      <w:pPr>
        <w:pStyle w:val="BodyText"/>
        <w:spacing w:before="1"/>
        <w:ind w:left="165"/>
      </w:pPr>
      <w:bookmarkStart w:name="_bookmark2055" w:id="2057"/>
      <w:bookmarkEnd w:id="2057"/>
      <w:r>
        <w:rPr/>
      </w:r>
      <w:hyperlink w:history="true" w:anchor="_bookmark2041">
        <w:r>
          <w:rPr>
            <w:color w:val="005DA1"/>
            <w:position w:val="5"/>
            <w:sz w:val="14"/>
            <w:u w:val="single" w:color="005DA1"/>
          </w:rPr>
          <w:t>1073</w:t>
        </w:r>
      </w:hyperlink>
      <w:r>
        <w:rPr>
          <w:position w:val="5"/>
          <w:sz w:val="14"/>
        </w:rPr>
        <w:t>.</w:t>
      </w:r>
      <w:r>
        <w:rPr>
          <w:spacing w:val="55"/>
          <w:position w:val="5"/>
          <w:sz w:val="14"/>
        </w:rPr>
        <w:t>  </w:t>
      </w:r>
      <w:r>
        <w:rPr/>
        <w:t>Consultation</w:t>
      </w:r>
      <w:r>
        <w:rPr>
          <w:spacing w:val="1"/>
        </w:rPr>
        <w:t> </w:t>
      </w:r>
      <w:r>
        <w:rPr/>
        <w:t>Paper, paras 85, </w:t>
      </w:r>
      <w:r>
        <w:rPr>
          <w:spacing w:val="-5"/>
        </w:rPr>
        <w:t>86.</w:t>
      </w:r>
    </w:p>
    <w:p>
      <w:pPr>
        <w:pStyle w:val="BodyText"/>
        <w:spacing w:before="5"/>
      </w:pPr>
    </w:p>
    <w:p>
      <w:pPr>
        <w:pStyle w:val="BodyText"/>
        <w:ind w:left="165"/>
      </w:pPr>
      <w:bookmarkStart w:name="_bookmark2056" w:id="2058"/>
      <w:bookmarkEnd w:id="2058"/>
      <w:r>
        <w:rPr/>
      </w:r>
      <w:hyperlink w:history="true" w:anchor="_bookmark2042">
        <w:r>
          <w:rPr>
            <w:color w:val="005DA1"/>
            <w:position w:val="5"/>
            <w:sz w:val="14"/>
            <w:u w:val="single" w:color="005DA1"/>
          </w:rPr>
          <w:t>1074</w:t>
        </w:r>
      </w:hyperlink>
      <w:r>
        <w:rPr>
          <w:position w:val="5"/>
          <w:sz w:val="14"/>
        </w:rPr>
        <w:t>.</w:t>
      </w:r>
      <w:r>
        <w:rPr>
          <w:spacing w:val="55"/>
          <w:position w:val="5"/>
          <w:sz w:val="14"/>
        </w:rPr>
        <w:t>  </w:t>
      </w:r>
      <w:r>
        <w:rPr/>
        <w:t>Consultation</w:t>
      </w:r>
      <w:r>
        <w:rPr>
          <w:spacing w:val="1"/>
        </w:rPr>
        <w:t> </w:t>
      </w:r>
      <w:r>
        <w:rPr/>
        <w:t>Paper, </w:t>
      </w:r>
      <w:r>
        <w:rPr>
          <w:spacing w:val="-2"/>
        </w:rPr>
        <w:t>para.85.</w:t>
      </w:r>
    </w:p>
    <w:p>
      <w:pPr>
        <w:pStyle w:val="BodyText"/>
        <w:spacing w:before="5"/>
      </w:pPr>
    </w:p>
    <w:p>
      <w:pPr>
        <w:pStyle w:val="BodyText"/>
        <w:ind w:left="165"/>
      </w:pPr>
      <w:bookmarkStart w:name="_bookmark2057" w:id="2059"/>
      <w:bookmarkEnd w:id="2059"/>
      <w:r>
        <w:rPr/>
      </w:r>
      <w:hyperlink w:history="true" w:anchor="_bookmark2043">
        <w:r>
          <w:rPr>
            <w:color w:val="005DA1"/>
            <w:position w:val="5"/>
            <w:sz w:val="14"/>
            <w:u w:val="single" w:color="005DA1"/>
          </w:rPr>
          <w:t>1075</w:t>
        </w:r>
      </w:hyperlink>
      <w:r>
        <w:rPr>
          <w:position w:val="5"/>
          <w:sz w:val="14"/>
        </w:rPr>
        <w:t>.</w:t>
      </w:r>
      <w:r>
        <w:rPr>
          <w:spacing w:val="55"/>
          <w:position w:val="5"/>
          <w:sz w:val="14"/>
        </w:rPr>
        <w:t>  </w:t>
      </w:r>
      <w:r>
        <w:rPr/>
        <w:t>Rome</w:t>
      </w:r>
      <w:r>
        <w:rPr>
          <w:spacing w:val="1"/>
        </w:rPr>
        <w:t> </w:t>
      </w:r>
      <w:r>
        <w:rPr/>
        <w:t>I art.27(2). See also, Consultation Paper, </w:t>
      </w:r>
      <w:r>
        <w:rPr>
          <w:spacing w:val="-2"/>
        </w:rPr>
        <w:t>para.87.</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pStyle w:val="ListParagraph"/>
        <w:numPr>
          <w:ilvl w:val="0"/>
          <w:numId w:val="3"/>
        </w:numPr>
        <w:tabs>
          <w:tab w:pos="3725" w:val="left" w:leader="none"/>
        </w:tabs>
        <w:spacing w:line="240" w:lineRule="auto" w:before="194" w:after="0"/>
        <w:ind w:left="3725" w:right="0" w:hanging="360"/>
        <w:jc w:val="left"/>
        <w:rPr>
          <w:b/>
          <w:sz w:val="24"/>
        </w:rPr>
      </w:pPr>
      <w:r>
        <w:rPr>
          <w:b/>
          <w:sz w:val="24"/>
        </w:rPr>
        <w:t>- Legal </w:t>
      </w:r>
      <w:r>
        <w:rPr>
          <w:b/>
          <w:spacing w:val="-2"/>
          <w:sz w:val="24"/>
        </w:rPr>
        <w:t>Subrogation</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164" w:right="0" w:firstLine="0"/>
        <w:jc w:val="left"/>
        <w:rPr>
          <w:rFonts w:ascii="Arial"/>
          <w:b/>
          <w:sz w:val="18"/>
        </w:rPr>
      </w:pPr>
      <w:r>
        <w:rPr>
          <w:rFonts w:ascii="Arial"/>
          <w:b/>
          <w:spacing w:val="-2"/>
          <w:sz w:val="18"/>
        </w:rPr>
        <w:t>Background</w:t>
      </w:r>
    </w:p>
    <w:p>
      <w:pPr>
        <w:pStyle w:val="BodyText"/>
        <w:spacing w:before="42"/>
        <w:rPr>
          <w:rFonts w:ascii="Arial"/>
          <w:b/>
          <w:sz w:val="18"/>
        </w:rPr>
      </w:pPr>
    </w:p>
    <w:p>
      <w:pPr>
        <w:pStyle w:val="Heading2"/>
        <w:ind w:left="164"/>
      </w:pPr>
      <w:r>
        <w:rPr/>
        <w:t>30-</w:t>
      </w:r>
      <w:r>
        <w:rPr>
          <w:spacing w:val="-5"/>
        </w:rPr>
        <w:t>294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058" w:id="2060"/>
      <w:bookmarkEnd w:id="2060"/>
      <w:r>
        <w:rPr>
          <w:rFonts w:ascii="Times New Roman" w:hAnsi="Times New Roman"/>
          <w:spacing w:val="22"/>
        </w:rPr>
      </w:r>
      <w:r>
        <w:rPr/>
        <w:t>Article 13 of the Rome Convention contained provisions expressed to apply to “[s]ubrogation”, </w:t>
      </w:r>
      <w:r>
        <w:rPr/>
        <w:t>as discussed earlier in this chapter. </w:t>
      </w:r>
      <w:r>
        <w:rPr>
          <w:color w:val="005DA1"/>
          <w:u w:val="single" w:color="005DA1"/>
          <w:vertAlign w:val="superscript"/>
        </w:rPr>
        <w:t>1076</w:t>
      </w:r>
      <w:r>
        <w:rPr>
          <w:color w:val="005DA1"/>
          <w:vertAlign w:val="baseline"/>
        </w:rPr>
        <w:t> </w:t>
      </w:r>
      <w:r>
        <w:rPr>
          <w:vertAlign w:val="baseline"/>
        </w:rPr>
        <w:t>The principal rule was contained in art.13(1) while art.13(2) </w:t>
      </w:r>
      <w:bookmarkStart w:name="_bookmark2059" w:id="2061"/>
      <w:bookmarkEnd w:id="2061"/>
      <w:r>
        <w:rPr>
          <w:vertAlign w:val="baseline"/>
        </w:rPr>
        <w:t>applied</w:t>
      </w:r>
      <w:r>
        <w:rPr>
          <w:vertAlign w:val="baseline"/>
        </w:rPr>
        <w:t> the same rule where several persons were subject to the same contractual claim and one of them had satisfied the debtor. </w:t>
      </w:r>
      <w:r>
        <w:rPr>
          <w:color w:val="005DA1"/>
          <w:u w:val="single" w:color="005DA1"/>
          <w:vertAlign w:val="superscript"/>
        </w:rPr>
        <w:t>1077</w:t>
      </w:r>
      <w:r>
        <w:rPr>
          <w:color w:val="005DA1"/>
          <w:vertAlign w:val="baseline"/>
        </w:rPr>
        <w:t> </w:t>
      </w:r>
      <w:r>
        <w:rPr>
          <w:vertAlign w:val="baseline"/>
        </w:rPr>
        <w:t>Article 15 of the Regulation is expressed to apply to “[l]egal </w:t>
      </w:r>
      <w:bookmarkStart w:name="_bookmark2060" w:id="2062"/>
      <w:bookmarkEnd w:id="2062"/>
      <w:r>
        <w:rPr>
          <w:vertAlign w:val="baseline"/>
        </w:rPr>
        <w:t>subrogation”</w:t>
      </w:r>
      <w:r>
        <w:rPr>
          <w:spacing w:val="44"/>
          <w:vertAlign w:val="baseline"/>
        </w:rPr>
        <w:t> </w:t>
      </w:r>
      <w:r>
        <w:rPr>
          <w:vertAlign w:val="baseline"/>
        </w:rPr>
        <w:t>and</w:t>
      </w:r>
      <w:r>
        <w:rPr>
          <w:spacing w:val="44"/>
          <w:vertAlign w:val="baseline"/>
        </w:rPr>
        <w:t> </w:t>
      </w:r>
      <w:r>
        <w:rPr>
          <w:vertAlign w:val="baseline"/>
        </w:rPr>
        <w:t>reproduces,</w:t>
      </w:r>
      <w:r>
        <w:rPr>
          <w:spacing w:val="44"/>
          <w:vertAlign w:val="baseline"/>
        </w:rPr>
        <w:t> </w:t>
      </w:r>
      <w:r>
        <w:rPr>
          <w:vertAlign w:val="baseline"/>
        </w:rPr>
        <w:t>with</w:t>
      </w:r>
      <w:r>
        <w:rPr>
          <w:spacing w:val="44"/>
          <w:vertAlign w:val="baseline"/>
        </w:rPr>
        <w:t> </w:t>
      </w:r>
      <w:r>
        <w:rPr>
          <w:vertAlign w:val="baseline"/>
        </w:rPr>
        <w:t>a</w:t>
      </w:r>
      <w:r>
        <w:rPr>
          <w:spacing w:val="44"/>
          <w:vertAlign w:val="baseline"/>
        </w:rPr>
        <w:t> </w:t>
      </w:r>
      <w:r>
        <w:rPr>
          <w:vertAlign w:val="baseline"/>
        </w:rPr>
        <w:t>minor</w:t>
      </w:r>
      <w:r>
        <w:rPr>
          <w:spacing w:val="44"/>
          <w:vertAlign w:val="baseline"/>
        </w:rPr>
        <w:t> </w:t>
      </w:r>
      <w:r>
        <w:rPr>
          <w:vertAlign w:val="baseline"/>
        </w:rPr>
        <w:t>linguistic</w:t>
      </w:r>
      <w:r>
        <w:rPr>
          <w:spacing w:val="44"/>
          <w:vertAlign w:val="baseline"/>
        </w:rPr>
        <w:t> </w:t>
      </w:r>
      <w:r>
        <w:rPr>
          <w:vertAlign w:val="baseline"/>
        </w:rPr>
        <w:t>change</w:t>
      </w:r>
      <w:r>
        <w:rPr>
          <w:spacing w:val="44"/>
          <w:vertAlign w:val="baseline"/>
        </w:rPr>
        <w:t> </w:t>
      </w:r>
      <w:r>
        <w:rPr>
          <w:vertAlign w:val="baseline"/>
        </w:rPr>
        <w:t>of</w:t>
      </w:r>
      <w:r>
        <w:rPr>
          <w:spacing w:val="44"/>
          <w:vertAlign w:val="baseline"/>
        </w:rPr>
        <w:t> </w:t>
      </w:r>
      <w:r>
        <w:rPr>
          <w:vertAlign w:val="baseline"/>
        </w:rPr>
        <w:t>no</w:t>
      </w:r>
      <w:r>
        <w:rPr>
          <w:spacing w:val="44"/>
          <w:vertAlign w:val="baseline"/>
        </w:rPr>
        <w:t> </w:t>
      </w:r>
      <w:r>
        <w:rPr>
          <w:vertAlign w:val="baseline"/>
        </w:rPr>
        <w:t>substantive</w:t>
      </w:r>
      <w:r>
        <w:rPr>
          <w:spacing w:val="44"/>
          <w:vertAlign w:val="baseline"/>
        </w:rPr>
        <w:t> </w:t>
      </w:r>
      <w:r>
        <w:rPr>
          <w:vertAlign w:val="baseline"/>
        </w:rPr>
        <w:t>effect,</w:t>
      </w:r>
      <w:r>
        <w:rPr>
          <w:spacing w:val="44"/>
          <w:vertAlign w:val="baseline"/>
        </w:rPr>
        <w:t> </w:t>
      </w:r>
      <w:r>
        <w:rPr>
          <w:vertAlign w:val="baseline"/>
        </w:rPr>
        <w:t>the</w:t>
      </w:r>
      <w:r>
        <w:rPr>
          <w:spacing w:val="44"/>
          <w:vertAlign w:val="baseline"/>
        </w:rPr>
        <w:t> </w:t>
      </w:r>
      <w:r>
        <w:rPr>
          <w:vertAlign w:val="baseline"/>
        </w:rPr>
        <w:t>text</w:t>
      </w:r>
      <w:r>
        <w:rPr>
          <w:spacing w:val="44"/>
          <w:vertAlign w:val="baseline"/>
        </w:rPr>
        <w:t> </w:t>
      </w:r>
      <w:r>
        <w:rPr>
          <w:spacing w:val="-5"/>
          <w:vertAlign w:val="baseline"/>
        </w:rPr>
        <w:t>of</w:t>
      </w:r>
    </w:p>
    <w:p>
      <w:pPr>
        <w:pStyle w:val="BodyText"/>
        <w:spacing w:line="235" w:lineRule="auto" w:before="118"/>
        <w:ind w:left="165" w:right="167"/>
        <w:jc w:val="both"/>
      </w:pPr>
      <w:r>
        <w:rPr/>
        <w:t>art.13(1) of the Convention. </w:t>
      </w:r>
      <w:hyperlink w:history="true" w:anchor="_bookmark2070">
        <w:r>
          <w:rPr>
            <w:color w:val="005DA1"/>
            <w:u w:val="single" w:color="005DA1"/>
            <w:vertAlign w:val="superscript"/>
          </w:rPr>
          <w:t>1078</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7"/>
            <w:vertAlign w:val="baseline"/>
          </w:rPr>
          <w:t> </w:t>
        </w:r>
        <w:r>
          <w:rPr>
            <w:vertAlign w:val="baseline"/>
          </w:rPr>
          <w:t>Article 16 of the Regulation, headed “[m]ultiple liability” deals with cases where a creditor has a claim against several debtors who are liable for the same claim and </w:t>
        </w:r>
        <w:r>
          <w:rPr>
            <w:vertAlign w:val="baseline"/>
          </w:rPr>
          <w:t>one </w:t>
        </w:r>
        <w:bookmarkStart w:name="_bookmark2061" w:id="2063"/>
        <w:bookmarkEnd w:id="2063"/>
        <w:r>
          <w:rPr>
            <w:vertAlign w:val="baseline"/>
          </w:rPr>
          <w:t>of</w:t>
        </w:r>
        <w:r>
          <w:rPr>
            <w:vertAlign w:val="baseline"/>
          </w:rPr>
          <w:t> them has already satisfied the claim in whole or in part, i.e. the situation dealt with in art.13(2) of</w:t>
        </w:r>
        <w:r>
          <w:rPr>
            <w:spacing w:val="40"/>
            <w:vertAlign w:val="baseline"/>
          </w:rPr>
          <w:t> </w:t>
        </w:r>
        <w:r>
          <w:rPr>
            <w:vertAlign w:val="baseline"/>
          </w:rPr>
          <w:t>the Convention. </w:t>
        </w:r>
        <w:r>
          <w:rPr>
            <w:color w:val="005DA1"/>
            <w:u w:val="single" w:color="005DA1"/>
            <w:vertAlign w:val="superscript"/>
          </w:rPr>
          <w:t>1079</w:t>
        </w:r>
        <w:r>
          <w:rPr>
            <w:color w:val="005DA1"/>
            <w:vertAlign w:val="baseline"/>
          </w:rPr>
          <w:t> </w:t>
        </w:r>
        <w:r>
          <w:rPr>
            <w:vertAlign w:val="baseline"/>
          </w:rPr>
          <w:t>Article 16 is dealt with below. </w:t>
        </w:r>
        <w:r>
          <w:rPr>
            <w:color w:val="005DA1"/>
            <w:u w:val="single" w:color="005DA1"/>
            <w:vertAlign w:val="superscript"/>
          </w:rPr>
          <w:t>1080</w:t>
        </w:r>
      </w:hyperlink>
    </w:p>
    <w:p>
      <w:pPr>
        <w:pStyle w:val="BodyText"/>
      </w:pPr>
    </w:p>
    <w:p>
      <w:pPr>
        <w:pStyle w:val="BodyText"/>
        <w:spacing w:before="37"/>
      </w:pPr>
    </w:p>
    <w:p>
      <w:pPr>
        <w:spacing w:before="1"/>
        <w:ind w:left="164" w:right="0" w:firstLine="0"/>
        <w:jc w:val="both"/>
        <w:rPr>
          <w:rFonts w:ascii="Arial"/>
          <w:b/>
          <w:sz w:val="18"/>
        </w:rPr>
      </w:pPr>
      <w:r>
        <w:rPr>
          <w:rFonts w:ascii="Arial"/>
          <w:b/>
          <w:sz w:val="18"/>
        </w:rPr>
        <w:t>Article 15: </w:t>
      </w:r>
      <w:r>
        <w:rPr>
          <w:rFonts w:ascii="Arial"/>
          <w:b/>
          <w:spacing w:val="-2"/>
          <w:sz w:val="18"/>
        </w:rPr>
        <w:t>Principle</w:t>
      </w:r>
    </w:p>
    <w:p>
      <w:pPr>
        <w:pStyle w:val="BodyText"/>
        <w:spacing w:before="41"/>
        <w:rPr>
          <w:rFonts w:ascii="Arial"/>
          <w:b/>
          <w:sz w:val="18"/>
        </w:rPr>
      </w:pPr>
    </w:p>
    <w:p>
      <w:pPr>
        <w:pStyle w:val="Heading2"/>
        <w:ind w:left="164"/>
      </w:pPr>
      <w:r>
        <w:rPr/>
        <w:t>30-</w:t>
      </w:r>
      <w:r>
        <w:rPr>
          <w:spacing w:val="-5"/>
        </w:rPr>
        <w:t>295</w:t>
      </w:r>
    </w:p>
    <w:p>
      <w:pPr>
        <w:pStyle w:val="BodyText"/>
        <w:spacing w:before="199"/>
        <w:ind w:left="164"/>
        <w:jc w:val="both"/>
      </w:pPr>
      <w:r>
        <w:rPr/>
        <w:t>Article 15 of the Regulation provides that </w:t>
      </w:r>
      <w:r>
        <w:rPr>
          <w:spacing w:val="-2"/>
        </w:rPr>
        <w:t>where:</w:t>
      </w:r>
    </w:p>
    <w:p>
      <w:pPr>
        <w:pStyle w:val="BodyText"/>
      </w:pPr>
    </w:p>
    <w:p>
      <w:pPr>
        <w:pStyle w:val="BodyText"/>
        <w:spacing w:before="125"/>
      </w:pPr>
    </w:p>
    <w:p>
      <w:pPr>
        <w:pStyle w:val="BodyText"/>
        <w:spacing w:line="235" w:lineRule="auto"/>
        <w:ind w:left="1244" w:right="167"/>
        <w:jc w:val="both"/>
      </w:pPr>
      <w:r>
        <w:rPr/>
        <w:t>“… a person (‘the creditor’) has a contractual claim against another (‘the debtor’) and a third person has a duty to satisfy the creditor, or has in fact satisfied the creditor </w:t>
      </w:r>
      <w:r>
        <w:rPr/>
        <w:t>in discharge</w:t>
      </w:r>
      <w:r>
        <w:rPr>
          <w:spacing w:val="-2"/>
        </w:rPr>
        <w:t> </w:t>
      </w:r>
      <w:r>
        <w:rPr/>
        <w:t>of</w:t>
      </w:r>
      <w:r>
        <w:rPr>
          <w:spacing w:val="-2"/>
        </w:rPr>
        <w:t> </w:t>
      </w:r>
      <w:r>
        <w:rPr/>
        <w:t>that</w:t>
      </w:r>
      <w:r>
        <w:rPr>
          <w:spacing w:val="-2"/>
        </w:rPr>
        <w:t> </w:t>
      </w:r>
      <w:r>
        <w:rPr/>
        <w:t>duty,</w:t>
      </w:r>
      <w:r>
        <w:rPr>
          <w:spacing w:val="-2"/>
        </w:rPr>
        <w:t> </w:t>
      </w:r>
      <w:r>
        <w:rPr/>
        <w:t>the</w:t>
      </w:r>
      <w:r>
        <w:rPr>
          <w:spacing w:val="-2"/>
        </w:rPr>
        <w:t> </w:t>
      </w:r>
      <w:r>
        <w:rPr/>
        <w:t>law</w:t>
      </w:r>
      <w:r>
        <w:rPr>
          <w:spacing w:val="-2"/>
        </w:rPr>
        <w:t> </w:t>
      </w:r>
      <w:r>
        <w:rPr/>
        <w:t>which</w:t>
      </w:r>
      <w:r>
        <w:rPr>
          <w:spacing w:val="-2"/>
        </w:rPr>
        <w:t> </w:t>
      </w:r>
      <w:r>
        <w:rPr/>
        <w:t>governs</w:t>
      </w:r>
      <w:r>
        <w:rPr>
          <w:spacing w:val="-2"/>
        </w:rPr>
        <w:t> </w:t>
      </w:r>
      <w:r>
        <w:rPr/>
        <w:t>the</w:t>
      </w:r>
      <w:r>
        <w:rPr>
          <w:spacing w:val="-2"/>
        </w:rPr>
        <w:t> </w:t>
      </w:r>
      <w:r>
        <w:rPr/>
        <w:t>third</w:t>
      </w:r>
      <w:r>
        <w:rPr>
          <w:spacing w:val="-2"/>
        </w:rPr>
        <w:t> </w:t>
      </w:r>
      <w:r>
        <w:rPr/>
        <w:t>person’s</w:t>
      </w:r>
      <w:r>
        <w:rPr>
          <w:spacing w:val="-2"/>
        </w:rPr>
        <w:t> </w:t>
      </w:r>
      <w:r>
        <w:rPr/>
        <w:t>duty</w:t>
      </w:r>
      <w:r>
        <w:rPr>
          <w:spacing w:val="-2"/>
        </w:rPr>
        <w:t> </w:t>
      </w:r>
      <w:r>
        <w:rPr/>
        <w:t>to</w:t>
      </w:r>
      <w:r>
        <w:rPr>
          <w:spacing w:val="-2"/>
        </w:rPr>
        <w:t> </w:t>
      </w:r>
      <w:r>
        <w:rPr/>
        <w:t>satisfy</w:t>
      </w:r>
      <w:r>
        <w:rPr>
          <w:spacing w:val="-2"/>
        </w:rPr>
        <w:t> </w:t>
      </w:r>
      <w:r>
        <w:rPr/>
        <w:t>the</w:t>
      </w:r>
      <w:r>
        <w:rPr>
          <w:spacing w:val="-2"/>
        </w:rPr>
        <w:t> </w:t>
      </w:r>
      <w:r>
        <w:rPr/>
        <w:t>creditor shall determine whether and to what extent the third person is entitled to exercise against the debtor the rights which the creditor had against the debtor under the law governing their relationship.”</w:t>
      </w:r>
    </w:p>
    <w:p>
      <w:pPr>
        <w:pStyle w:val="BodyText"/>
        <w:spacing w:before="115"/>
      </w:pPr>
    </w:p>
    <w:p>
      <w:pPr>
        <w:pStyle w:val="BodyText"/>
        <w:spacing w:line="235" w:lineRule="auto"/>
        <w:ind w:left="165" w:right="167"/>
        <w:jc w:val="both"/>
      </w:pPr>
      <w:bookmarkStart w:name="_bookmark2062" w:id="2064"/>
      <w:bookmarkEnd w:id="2064"/>
      <w:r>
        <w:rPr/>
      </w:r>
      <w:r>
        <w:rPr/>
        <w:t>This means, as was the case under art.13(1) of the Convention, that, in respect of a contractual claim </w:t>
      </w:r>
      <w:r>
        <w:rPr>
          <w:color w:val="005DA1"/>
          <w:u w:val="single" w:color="005DA1"/>
          <w:vertAlign w:val="superscript"/>
        </w:rPr>
        <w:t>1081</w:t>
      </w:r>
      <w:r>
        <w:rPr>
          <w:color w:val="005DA1"/>
          <w:vertAlign w:val="baseline"/>
        </w:rPr>
        <w:t> </w:t>
      </w:r>
      <w:bookmarkStart w:name="_bookmark2063" w:id="2065"/>
      <w:bookmarkEnd w:id="2065"/>
      <w:r>
        <w:rPr>
          <w:color w:val="005DA1"/>
          <w:spacing w:val="13"/>
          <w:vertAlign w:val="baseline"/>
        </w:rPr>
      </w:r>
      <w:r>
        <w:rPr>
          <w:vertAlign w:val="baseline"/>
        </w:rPr>
        <w:t>the third person may seek to recover from the debtor, through being subrogated to the creditor’s claim to the extent permitted by the law which governs his duty to satisfy the creditor. </w:t>
      </w:r>
      <w:r>
        <w:rPr>
          <w:color w:val="005DA1"/>
          <w:u w:val="single" w:color="005DA1"/>
          <w:vertAlign w:val="superscript"/>
        </w:rPr>
        <w:t>1082</w:t>
      </w:r>
      <w:r>
        <w:rPr>
          <w:color w:val="005DA1"/>
          <w:vertAlign w:val="baseline"/>
        </w:rPr>
        <w:t> </w:t>
      </w:r>
      <w:r>
        <w:rPr>
          <w:vertAlign w:val="baseline"/>
        </w:rPr>
        <w:t>The text of </w:t>
      </w:r>
      <w:bookmarkStart w:name="_bookmark2064" w:id="2066"/>
      <w:bookmarkEnd w:id="2066"/>
      <w:r>
        <w:rPr>
          <w:vertAlign w:val="baseline"/>
        </w:rPr>
        <w:t>the</w:t>
      </w:r>
      <w:r>
        <w:rPr>
          <w:vertAlign w:val="baseline"/>
        </w:rPr>
        <w:t> provision is discussed in the context of art.13(1) of the Convention and further discussion here </w:t>
      </w:r>
      <w:r>
        <w:rPr>
          <w:vertAlign w:val="baseline"/>
        </w:rPr>
        <w:t>is unnecessary. </w:t>
      </w:r>
      <w:r>
        <w:rPr>
          <w:color w:val="005DA1"/>
          <w:u w:val="single" w:color="005DA1"/>
          <w:vertAlign w:val="superscript"/>
        </w:rPr>
        <w:t>1083</w:t>
      </w:r>
    </w:p>
    <w:p>
      <w:pPr>
        <w:pStyle w:val="BodyText"/>
      </w:pPr>
    </w:p>
    <w:p>
      <w:pPr>
        <w:pStyle w:val="BodyText"/>
        <w:spacing w:before="36"/>
      </w:pPr>
    </w:p>
    <w:p>
      <w:pPr>
        <w:spacing w:before="1"/>
        <w:ind w:left="165" w:right="0" w:firstLine="0"/>
        <w:jc w:val="left"/>
        <w:rPr>
          <w:rFonts w:ascii="Arial" w:hAnsi="Arial"/>
          <w:b/>
          <w:sz w:val="18"/>
        </w:rPr>
      </w:pPr>
      <w:r>
        <w:rPr>
          <w:rFonts w:ascii="Arial" w:hAnsi="Arial"/>
          <w:b/>
          <w:sz w:val="18"/>
        </w:rPr>
        <w:t>“Legal </w:t>
      </w:r>
      <w:r>
        <w:rPr>
          <w:rFonts w:ascii="Arial" w:hAnsi="Arial"/>
          <w:b/>
          <w:spacing w:val="-2"/>
          <w:sz w:val="18"/>
        </w:rPr>
        <w:t>subrogation”</w:t>
      </w:r>
    </w:p>
    <w:p>
      <w:pPr>
        <w:pStyle w:val="BodyText"/>
        <w:spacing w:before="41"/>
        <w:rPr>
          <w:rFonts w:ascii="Arial"/>
          <w:b/>
          <w:sz w:val="18"/>
        </w:rPr>
      </w:pPr>
    </w:p>
    <w:p>
      <w:pPr>
        <w:pStyle w:val="Heading2"/>
      </w:pPr>
      <w:r>
        <w:rPr/>
        <w:t>30-</w:t>
      </w:r>
      <w:r>
        <w:rPr>
          <w:spacing w:val="-5"/>
        </w:rPr>
        <w:t>296</w:t>
      </w:r>
    </w:p>
    <w:p>
      <w:pPr>
        <w:pStyle w:val="BodyText"/>
        <w:spacing w:before="199"/>
        <w:ind w:left="165"/>
        <w:jc w:val="both"/>
      </w:pPr>
      <w:r>
        <w:rPr/>
        <w:t>Article</w:t>
      </w:r>
      <w:r>
        <w:rPr>
          <w:spacing w:val="35"/>
        </w:rPr>
        <w:t> </w:t>
      </w:r>
      <w:r>
        <w:rPr/>
        <w:t>15</w:t>
      </w:r>
      <w:r>
        <w:rPr>
          <w:spacing w:val="35"/>
        </w:rPr>
        <w:t> </w:t>
      </w:r>
      <w:r>
        <w:rPr/>
        <w:t>only</w:t>
      </w:r>
      <w:r>
        <w:rPr>
          <w:spacing w:val="35"/>
        </w:rPr>
        <w:t> </w:t>
      </w:r>
      <w:r>
        <w:rPr/>
        <w:t>applies</w:t>
      </w:r>
      <w:r>
        <w:rPr>
          <w:spacing w:val="35"/>
        </w:rPr>
        <w:t> </w:t>
      </w:r>
      <w:r>
        <w:rPr/>
        <w:t>to</w:t>
      </w:r>
      <w:r>
        <w:rPr>
          <w:spacing w:val="35"/>
        </w:rPr>
        <w:t> </w:t>
      </w:r>
      <w:r>
        <w:rPr/>
        <w:t>“legal</w:t>
      </w:r>
      <w:r>
        <w:rPr>
          <w:spacing w:val="35"/>
        </w:rPr>
        <w:t> </w:t>
      </w:r>
      <w:r>
        <w:rPr/>
        <w:t>subrogation”,</w:t>
      </w:r>
      <w:r>
        <w:rPr>
          <w:spacing w:val="35"/>
        </w:rPr>
        <w:t> </w:t>
      </w:r>
      <w:r>
        <w:rPr/>
        <w:t>i.e.</w:t>
      </w:r>
      <w:r>
        <w:rPr>
          <w:spacing w:val="35"/>
        </w:rPr>
        <w:t> </w:t>
      </w:r>
      <w:r>
        <w:rPr/>
        <w:t>to</w:t>
      </w:r>
      <w:r>
        <w:rPr>
          <w:spacing w:val="35"/>
        </w:rPr>
        <w:t> </w:t>
      </w:r>
      <w:r>
        <w:rPr/>
        <w:t>subrogation</w:t>
      </w:r>
      <w:r>
        <w:rPr>
          <w:spacing w:val="35"/>
        </w:rPr>
        <w:t> </w:t>
      </w:r>
      <w:r>
        <w:rPr/>
        <w:t>by</w:t>
      </w:r>
      <w:r>
        <w:rPr>
          <w:spacing w:val="35"/>
        </w:rPr>
        <w:t> </w:t>
      </w:r>
      <w:r>
        <w:rPr/>
        <w:t>operation</w:t>
      </w:r>
      <w:r>
        <w:rPr>
          <w:spacing w:val="35"/>
        </w:rPr>
        <w:t> </w:t>
      </w:r>
      <w:r>
        <w:rPr/>
        <w:t>of</w:t>
      </w:r>
      <w:r>
        <w:rPr>
          <w:spacing w:val="35"/>
        </w:rPr>
        <w:t> </w:t>
      </w:r>
      <w:r>
        <w:rPr/>
        <w:t>law</w:t>
      </w:r>
      <w:r>
        <w:rPr>
          <w:spacing w:val="35"/>
        </w:rPr>
        <w:t> </w:t>
      </w:r>
      <w:r>
        <w:rPr/>
        <w:t>and</w:t>
      </w:r>
      <w:r>
        <w:rPr>
          <w:spacing w:val="35"/>
        </w:rPr>
        <w:t> </w:t>
      </w:r>
      <w:r>
        <w:rPr/>
        <w:t>is</w:t>
      </w:r>
      <w:r>
        <w:rPr>
          <w:spacing w:val="35"/>
        </w:rPr>
        <w:t> </w:t>
      </w:r>
      <w:r>
        <w:rPr/>
        <w:t>to</w:t>
      </w:r>
      <w:r>
        <w:rPr>
          <w:spacing w:val="35"/>
        </w:rPr>
        <w:t> </w:t>
      </w:r>
      <w:r>
        <w:rPr>
          <w:spacing w:val="-5"/>
        </w:rPr>
        <w:t>be</w:t>
      </w:r>
    </w:p>
    <w:p>
      <w:pPr>
        <w:pStyle w:val="BodyText"/>
        <w:spacing w:after="0"/>
        <w:jc w:val="both"/>
        <w:sectPr>
          <w:headerReference w:type="default" r:id="rId26"/>
          <w:pgSz w:w="11900" w:h="16840"/>
          <w:pgMar w:header="971" w:footer="0" w:top="1300" w:bottom="280" w:left="1275" w:right="1275"/>
          <w:pgNumType w:start="1"/>
        </w:sectPr>
      </w:pPr>
    </w:p>
    <w:p>
      <w:pPr>
        <w:pStyle w:val="BodyText"/>
        <w:spacing w:line="235" w:lineRule="auto" w:before="210"/>
        <w:ind w:left="164" w:right="167"/>
        <w:jc w:val="both"/>
      </w:pPr>
      <w:bookmarkStart w:name="_bookmark2065" w:id="2067"/>
      <w:bookmarkEnd w:id="2067"/>
      <w:r>
        <w:rPr/>
      </w:r>
      <w:r>
        <w:rPr/>
        <w:t>distinguished from “contractual subrogation” which is part of the subject matter of art.14 of the </w:t>
      </w:r>
      <w:bookmarkStart w:name="_bookmark2066" w:id="2068"/>
      <w:bookmarkEnd w:id="2068"/>
      <w:r>
        <w:rPr/>
        <w:t>Regulation.</w:t>
      </w:r>
      <w:r>
        <w:rPr/>
        <w:t> </w:t>
      </w:r>
      <w:r>
        <w:rPr>
          <w:color w:val="005DA1"/>
          <w:u w:val="single" w:color="005DA1"/>
          <w:vertAlign w:val="superscript"/>
        </w:rPr>
        <w:t>1084</w:t>
      </w:r>
      <w:r>
        <w:rPr>
          <w:color w:val="005DA1"/>
          <w:vertAlign w:val="baseline"/>
        </w:rPr>
        <w:t> </w:t>
      </w:r>
      <w:r>
        <w:rPr>
          <w:vertAlign w:val="baseline"/>
        </w:rPr>
        <w:t>Thus, art.15 would apply to a contract of guarantee where the guarantor has paid the </w:t>
      </w:r>
      <w:bookmarkStart w:name="_bookmark2067" w:id="2069"/>
      <w:bookmarkEnd w:id="2069"/>
      <w:r>
        <w:rPr>
          <w:vertAlign w:val="baseline"/>
        </w:rPr>
        <w:t>creditor</w:t>
      </w:r>
      <w:r>
        <w:rPr>
          <w:vertAlign w:val="baseline"/>
        </w:rPr>
        <w:t> and is thus subrogated to the latter’s rights against the debtor. </w:t>
      </w:r>
      <w:r>
        <w:rPr>
          <w:color w:val="005DA1"/>
          <w:u w:val="single" w:color="005DA1"/>
          <w:vertAlign w:val="superscript"/>
        </w:rPr>
        <w:t>1085</w:t>
      </w:r>
      <w:r>
        <w:rPr>
          <w:color w:val="005DA1"/>
          <w:vertAlign w:val="baseline"/>
        </w:rPr>
        <w:t> </w:t>
      </w:r>
      <w:r>
        <w:rPr>
          <w:vertAlign w:val="baseline"/>
        </w:rPr>
        <w:t>In some civil law systems, legal subrogation is known as “statutory subrogation”. </w:t>
      </w:r>
      <w:r>
        <w:rPr>
          <w:color w:val="005DA1"/>
          <w:u w:val="single" w:color="005DA1"/>
          <w:vertAlign w:val="superscript"/>
        </w:rPr>
        <w:t>1086</w:t>
      </w:r>
    </w:p>
    <w:p>
      <w:pPr>
        <w:pStyle w:val="BodyText"/>
      </w:pPr>
    </w:p>
    <w:p>
      <w:pPr>
        <w:pStyle w:val="BodyText"/>
        <w:spacing w:before="38"/>
      </w:pPr>
      <w:r>
        <w:rPr/>
        <mc:AlternateContent>
          <mc:Choice Requires="wps">
            <w:drawing>
              <wp:anchor distT="0" distB="0" distL="0" distR="0" allowOverlap="1" layoutInCell="1" locked="0" behindDoc="1" simplePos="0" relativeHeight="487623680">
                <wp:simplePos x="0" y="0"/>
                <wp:positionH relativeFrom="page">
                  <wp:posOffset>914400</wp:posOffset>
                </wp:positionH>
                <wp:positionV relativeFrom="paragraph">
                  <wp:posOffset>185971</wp:posOffset>
                </wp:positionV>
                <wp:extent cx="5724525"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3445pt;width:450.75pt;height:.1pt;mso-position-horizontal-relative:page;mso-position-vertical-relative:paragraph;z-index:-15692800;mso-wrap-distance-left:0;mso-wrap-distance-right:0" id="docshape40"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spacing w:before="0"/>
        <w:ind w:left="165" w:right="0" w:firstLine="0"/>
        <w:jc w:val="left"/>
        <w:rPr>
          <w:sz w:val="20"/>
        </w:rPr>
      </w:pPr>
      <w:bookmarkStart w:name="_bookmark2068" w:id="2070"/>
      <w:bookmarkEnd w:id="2070"/>
      <w:r>
        <w:rPr/>
      </w:r>
      <w:hyperlink w:history="true" w:anchor="_bookmark2058">
        <w:r>
          <w:rPr>
            <w:color w:val="005DA1"/>
            <w:position w:val="5"/>
            <w:sz w:val="14"/>
            <w:u w:val="single" w:color="005DA1"/>
          </w:rPr>
          <w:t>1076</w:t>
        </w:r>
      </w:hyperlink>
      <w:r>
        <w:rPr>
          <w:position w:val="5"/>
          <w:sz w:val="14"/>
        </w:rPr>
        <w:t>.</w:t>
      </w:r>
      <w:r>
        <w:rPr>
          <w:spacing w:val="55"/>
          <w:position w:val="5"/>
          <w:sz w:val="14"/>
        </w:rPr>
        <w:t>  </w:t>
      </w:r>
      <w:r>
        <w:rPr>
          <w:sz w:val="20"/>
        </w:rPr>
        <w:t>Above,</w:t>
      </w:r>
      <w:r>
        <w:rPr>
          <w:spacing w:val="1"/>
          <w:sz w:val="20"/>
        </w:rPr>
        <w:t> </w:t>
      </w:r>
      <w:r>
        <w:rPr>
          <w:sz w:val="20"/>
        </w:rPr>
        <w:t>paras 30-126 et </w:t>
      </w:r>
      <w:r>
        <w:rPr>
          <w:spacing w:val="-4"/>
          <w:sz w:val="20"/>
        </w:rPr>
        <w:t>seq.</w:t>
      </w:r>
    </w:p>
    <w:p>
      <w:pPr>
        <w:pStyle w:val="BodyText"/>
        <w:spacing w:before="5"/>
      </w:pPr>
    </w:p>
    <w:p>
      <w:pPr>
        <w:spacing w:before="0"/>
        <w:ind w:left="165" w:right="0" w:firstLine="0"/>
        <w:jc w:val="left"/>
        <w:rPr>
          <w:sz w:val="20"/>
        </w:rPr>
      </w:pPr>
      <w:bookmarkStart w:name="_bookmark2069" w:id="2071"/>
      <w:bookmarkEnd w:id="2071"/>
      <w:r>
        <w:rPr/>
      </w:r>
      <w:hyperlink w:history="true" w:anchor="_bookmark2059">
        <w:r>
          <w:rPr>
            <w:color w:val="005DA1"/>
            <w:position w:val="5"/>
            <w:sz w:val="14"/>
            <w:u w:val="single" w:color="005DA1"/>
          </w:rPr>
          <w:t>1077</w:t>
        </w:r>
      </w:hyperlink>
      <w:r>
        <w:rPr>
          <w:position w:val="5"/>
          <w:sz w:val="14"/>
        </w:rPr>
        <w:t>.</w:t>
      </w:r>
      <w:r>
        <w:rPr>
          <w:spacing w:val="55"/>
          <w:position w:val="5"/>
          <w:sz w:val="14"/>
        </w:rPr>
        <w:t>  </w:t>
      </w:r>
      <w:r>
        <w:rPr>
          <w:sz w:val="20"/>
        </w:rPr>
        <w:t>Above,</w:t>
      </w:r>
      <w:r>
        <w:rPr>
          <w:spacing w:val="1"/>
          <w:sz w:val="20"/>
        </w:rPr>
        <w:t> </w:t>
      </w:r>
      <w:r>
        <w:rPr>
          <w:sz w:val="20"/>
        </w:rPr>
        <w:t>para.30-</w:t>
      </w:r>
      <w:r>
        <w:rPr>
          <w:spacing w:val="-4"/>
          <w:sz w:val="20"/>
        </w:rPr>
        <w:t>128.</w:t>
      </w:r>
    </w:p>
    <w:p>
      <w:pPr>
        <w:pStyle w:val="BodyText"/>
        <w:spacing w:before="12"/>
      </w:pPr>
    </w:p>
    <w:p>
      <w:pPr>
        <w:spacing w:line="137" w:lineRule="exact" w:before="0"/>
        <w:ind w:left="165" w:right="0" w:firstLine="0"/>
        <w:jc w:val="left"/>
        <w:rPr>
          <w:sz w:val="14"/>
        </w:rPr>
      </w:pPr>
      <w:bookmarkStart w:name="_bookmark2070" w:id="2072"/>
      <w:bookmarkEnd w:id="2072"/>
      <w:r>
        <w:rPr/>
      </w:r>
      <w:hyperlink w:history="true" w:anchor="_bookmark2060">
        <w:r>
          <w:rPr>
            <w:color w:val="005DA1"/>
            <w:spacing w:val="-2"/>
            <w:sz w:val="14"/>
            <w:u w:val="single" w:color="005DA1"/>
          </w:rPr>
          <w:t>1078</w:t>
        </w:r>
      </w:hyperlink>
      <w:r>
        <w:rPr>
          <w:spacing w:val="-2"/>
          <w:sz w:val="14"/>
        </w:rPr>
        <w:t>.</w:t>
      </w:r>
    </w:p>
    <w:p>
      <w:pPr>
        <w:pStyle w:val="BodyText"/>
        <w:spacing w:line="206" w:lineRule="exact" w:after="2"/>
        <w:ind w:left="875"/>
      </w:pPr>
      <w:r>
        <w:rPr/>
        <w:drawing>
          <wp:anchor distT="0" distB="0" distL="0" distR="0" allowOverlap="1" layoutInCell="1" locked="0" behindDoc="0" simplePos="0" relativeHeight="15764992">
            <wp:simplePos x="0" y="0"/>
            <wp:positionH relativeFrom="page">
              <wp:posOffset>1257846</wp:posOffset>
            </wp:positionH>
            <wp:positionV relativeFrom="paragraph">
              <wp:posOffset>13083</wp:posOffset>
            </wp:positionV>
            <wp:extent cx="107988" cy="107988"/>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6" cstate="print"/>
                    <a:stretch>
                      <a:fillRect/>
                    </a:stretch>
                  </pic:blipFill>
                  <pic:spPr>
                    <a:xfrm>
                      <a:off x="0" y="0"/>
                      <a:ext cx="107988" cy="107988"/>
                    </a:xfrm>
                    <a:prstGeom prst="rect">
                      <a:avLst/>
                    </a:prstGeom>
                  </pic:spPr>
                </pic:pic>
              </a:graphicData>
            </a:graphic>
          </wp:anchor>
        </w:drawing>
      </w:r>
      <w:r>
        <w:rPr/>
        <w:t>See</w:t>
      </w:r>
      <w:r>
        <w:rPr>
          <w:spacing w:val="2"/>
        </w:rPr>
        <w:t> </w:t>
      </w:r>
      <w:r>
        <w:rPr/>
        <w:t>Plender</w:t>
      </w:r>
      <w:r>
        <w:rPr>
          <w:spacing w:val="2"/>
        </w:rPr>
        <w:t> </w:t>
      </w:r>
      <w:r>
        <w:rPr/>
        <w:t>and</w:t>
      </w:r>
      <w:r>
        <w:rPr>
          <w:spacing w:val="2"/>
        </w:rPr>
        <w:t> </w:t>
      </w:r>
      <w:r>
        <w:rPr/>
        <w:t>Wilderspin,</w:t>
      </w:r>
      <w:r>
        <w:rPr>
          <w:spacing w:val="2"/>
        </w:rPr>
        <w:t> </w:t>
      </w:r>
      <w:r>
        <w:rPr/>
        <w:t>4th</w:t>
      </w:r>
      <w:r>
        <w:rPr>
          <w:spacing w:val="2"/>
        </w:rPr>
        <w:t> </w:t>
      </w:r>
      <w:r>
        <w:rPr/>
        <w:t>edn</w:t>
      </w:r>
      <w:r>
        <w:rPr>
          <w:spacing w:val="2"/>
        </w:rPr>
        <w:t> </w:t>
      </w:r>
      <w:r>
        <w:rPr/>
        <w:t>(2015),</w:t>
      </w:r>
      <w:r>
        <w:rPr>
          <w:spacing w:val="2"/>
        </w:rPr>
        <w:t> </w:t>
      </w:r>
      <w:r>
        <w:rPr/>
        <w:t>pp.408–409;</w:t>
      </w:r>
      <w:r>
        <w:rPr>
          <w:spacing w:val="2"/>
        </w:rPr>
        <w:t> </w:t>
      </w:r>
      <w:r>
        <w:rPr/>
        <w:t>Dicey,</w:t>
      </w:r>
      <w:r>
        <w:rPr>
          <w:spacing w:val="2"/>
        </w:rPr>
        <w:t> </w:t>
      </w:r>
      <w:r>
        <w:rPr/>
        <w:t>Morris</w:t>
      </w:r>
      <w:r>
        <w:rPr>
          <w:spacing w:val="2"/>
        </w:rPr>
        <w:t> </w:t>
      </w:r>
      <w:r>
        <w:rPr/>
        <w:t>and</w:t>
      </w:r>
      <w:r>
        <w:rPr>
          <w:spacing w:val="2"/>
        </w:rPr>
        <w:t> </w:t>
      </w:r>
      <w:r>
        <w:rPr/>
        <w:t>Collins,</w:t>
      </w:r>
      <w:r>
        <w:rPr>
          <w:spacing w:val="2"/>
        </w:rPr>
        <w:t> </w:t>
      </w:r>
      <w:r>
        <w:rPr/>
        <w:t>15th</w:t>
      </w:r>
      <w:r>
        <w:rPr>
          <w:spacing w:val="2"/>
        </w:rPr>
        <w:t> </w:t>
      </w:r>
      <w:r>
        <w:rPr>
          <w:spacing w:val="-5"/>
        </w:rPr>
        <w:t>edn</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ind w:left="0"/>
              <w:jc w:val="left"/>
              <w:rPr>
                <w:rFonts w:ascii="Times New Roman"/>
                <w:sz w:val="18"/>
              </w:rPr>
            </w:pPr>
          </w:p>
        </w:tc>
        <w:tc>
          <w:tcPr>
            <w:tcW w:w="8620" w:type="dxa"/>
          </w:tcPr>
          <w:p>
            <w:pPr>
              <w:pStyle w:val="TableParagraph"/>
              <w:spacing w:line="235" w:lineRule="auto" w:before="0"/>
              <w:jc w:val="left"/>
              <w:rPr>
                <w:sz w:val="20"/>
              </w:rPr>
            </w:pPr>
            <w:r>
              <w:rPr>
                <w:sz w:val="20"/>
              </w:rPr>
              <w:t>(2012),</w:t>
            </w:r>
            <w:r>
              <w:rPr>
                <w:spacing w:val="27"/>
                <w:sz w:val="20"/>
              </w:rPr>
              <w:t> </w:t>
            </w:r>
            <w:r>
              <w:rPr>
                <w:sz w:val="20"/>
              </w:rPr>
              <w:t>para.32–163.</w:t>
            </w:r>
            <w:r>
              <w:rPr>
                <w:spacing w:val="27"/>
                <w:sz w:val="20"/>
              </w:rPr>
              <w:t> </w:t>
            </w:r>
            <w:r>
              <w:rPr>
                <w:sz w:val="20"/>
              </w:rPr>
              <w:t>Article</w:t>
            </w:r>
            <w:r>
              <w:rPr>
                <w:spacing w:val="27"/>
                <w:sz w:val="20"/>
              </w:rPr>
              <w:t> </w:t>
            </w:r>
            <w:r>
              <w:rPr>
                <w:sz w:val="20"/>
              </w:rPr>
              <w:t>15</w:t>
            </w:r>
            <w:r>
              <w:rPr>
                <w:spacing w:val="27"/>
                <w:sz w:val="20"/>
              </w:rPr>
              <w:t> </w:t>
            </w:r>
            <w:r>
              <w:rPr>
                <w:sz w:val="20"/>
              </w:rPr>
              <w:t>is</w:t>
            </w:r>
            <w:r>
              <w:rPr>
                <w:spacing w:val="27"/>
                <w:sz w:val="20"/>
              </w:rPr>
              <w:t> </w:t>
            </w:r>
            <w:r>
              <w:rPr>
                <w:sz w:val="20"/>
              </w:rPr>
              <w:t>discussed</w:t>
            </w:r>
            <w:r>
              <w:rPr>
                <w:spacing w:val="27"/>
                <w:sz w:val="20"/>
              </w:rPr>
              <w:t> </w:t>
            </w:r>
            <w:r>
              <w:rPr>
                <w:sz w:val="20"/>
              </w:rPr>
              <w:t>in</w:t>
            </w:r>
            <w:r>
              <w:rPr>
                <w:spacing w:val="26"/>
                <w:sz w:val="20"/>
              </w:rPr>
              <w:t> </w:t>
            </w:r>
            <w:r>
              <w:rPr>
                <w:rFonts w:ascii="Arial" w:hAnsi="Arial"/>
                <w:i/>
                <w:sz w:val="20"/>
              </w:rPr>
              <w:t>ERGO</w:t>
            </w:r>
            <w:r>
              <w:rPr>
                <w:rFonts w:ascii="Arial" w:hAnsi="Arial"/>
                <w:i/>
                <w:spacing w:val="27"/>
                <w:sz w:val="20"/>
              </w:rPr>
              <w:t> </w:t>
            </w:r>
            <w:r>
              <w:rPr>
                <w:rFonts w:ascii="Arial" w:hAnsi="Arial"/>
                <w:i/>
                <w:sz w:val="20"/>
              </w:rPr>
              <w:t>Insurance</w:t>
            </w:r>
            <w:r>
              <w:rPr>
                <w:rFonts w:ascii="Arial" w:hAnsi="Arial"/>
                <w:i/>
                <w:spacing w:val="27"/>
                <w:sz w:val="20"/>
              </w:rPr>
              <w:t> </w:t>
            </w:r>
            <w:r>
              <w:rPr>
                <w:rFonts w:ascii="Arial" w:hAnsi="Arial"/>
                <w:i/>
                <w:sz w:val="20"/>
              </w:rPr>
              <w:t>SE</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If</w:t>
            </w:r>
            <w:r>
              <w:rPr>
                <w:rFonts w:ascii="Arial" w:hAnsi="Arial"/>
                <w:i/>
                <w:spacing w:val="27"/>
                <w:sz w:val="20"/>
              </w:rPr>
              <w:t> </w:t>
            </w:r>
            <w:r>
              <w:rPr>
                <w:rFonts w:ascii="Arial" w:hAnsi="Arial"/>
                <w:i/>
                <w:sz w:val="20"/>
              </w:rPr>
              <w:t>P&amp;C</w:t>
            </w:r>
            <w:r>
              <w:rPr>
                <w:rFonts w:ascii="Arial" w:hAnsi="Arial"/>
                <w:i/>
                <w:spacing w:val="27"/>
                <w:sz w:val="20"/>
              </w:rPr>
              <w:t> </w:t>
            </w:r>
            <w:r>
              <w:rPr>
                <w:rFonts w:ascii="Arial" w:hAnsi="Arial"/>
                <w:i/>
                <w:sz w:val="20"/>
              </w:rPr>
              <w:t>Insurance</w:t>
            </w:r>
            <w:r>
              <w:rPr>
                <w:rFonts w:ascii="Arial" w:hAnsi="Arial"/>
                <w:i/>
                <w:spacing w:val="27"/>
                <w:sz w:val="20"/>
              </w:rPr>
              <w:t> </w:t>
            </w:r>
            <w:r>
              <w:rPr>
                <w:rFonts w:ascii="Arial" w:hAnsi="Arial"/>
                <w:i/>
                <w:sz w:val="20"/>
              </w:rPr>
              <w:t>AS (Joined Cases C-359/14 and C-475/14)</w:t>
            </w:r>
            <w:r>
              <w:rPr>
                <w:sz w:val="20"/>
              </w:rPr>
              <w:t>.</w:t>
            </w:r>
          </w:p>
        </w:tc>
      </w:tr>
      <w:tr>
        <w:trPr>
          <w:trHeight w:val="465" w:hRule="atLeast"/>
        </w:trPr>
        <w:tc>
          <w:tcPr>
            <w:tcW w:w="496" w:type="dxa"/>
          </w:tcPr>
          <w:p>
            <w:pPr>
              <w:pStyle w:val="TableParagraph"/>
              <w:ind w:left="0" w:right="43"/>
              <w:rPr>
                <w:sz w:val="14"/>
              </w:rPr>
            </w:pPr>
            <w:bookmarkStart w:name="_bookmark2071" w:id="2073"/>
            <w:bookmarkEnd w:id="2073"/>
            <w:r>
              <w:rPr/>
            </w:r>
            <w:hyperlink w:history="true" w:anchor="_bookmark2061">
              <w:r>
                <w:rPr>
                  <w:color w:val="005DA1"/>
                  <w:spacing w:val="-2"/>
                  <w:sz w:val="14"/>
                  <w:u w:val="single" w:color="005DA1"/>
                </w:rPr>
                <w:t>1079</w:t>
              </w:r>
            </w:hyperlink>
            <w:r>
              <w:rPr>
                <w:spacing w:val="-2"/>
                <w:sz w:val="14"/>
              </w:rPr>
              <w:t>.</w:t>
            </w:r>
          </w:p>
        </w:tc>
        <w:tc>
          <w:tcPr>
            <w:tcW w:w="8620" w:type="dxa"/>
          </w:tcPr>
          <w:p>
            <w:pPr>
              <w:pStyle w:val="TableParagraph"/>
              <w:spacing w:before="114"/>
              <w:jc w:val="left"/>
              <w:rPr>
                <w:sz w:val="20"/>
              </w:rPr>
            </w:pPr>
            <w:r>
              <w:rPr>
                <w:sz w:val="20"/>
              </w:rPr>
              <w:t>Rome Convention art.13(1) and (2) are discussed above, paras 30-126 et </w:t>
            </w:r>
            <w:r>
              <w:rPr>
                <w:spacing w:val="-4"/>
                <w:sz w:val="20"/>
              </w:rPr>
              <w:t>seq.</w:t>
            </w:r>
          </w:p>
        </w:tc>
      </w:tr>
      <w:tr>
        <w:trPr>
          <w:trHeight w:val="465" w:hRule="atLeast"/>
        </w:trPr>
        <w:tc>
          <w:tcPr>
            <w:tcW w:w="496" w:type="dxa"/>
          </w:tcPr>
          <w:p>
            <w:pPr>
              <w:pStyle w:val="TableParagraph"/>
              <w:ind w:left="0" w:right="43"/>
              <w:rPr>
                <w:sz w:val="14"/>
              </w:rPr>
            </w:pPr>
            <w:bookmarkStart w:name="_bookmark2072" w:id="2074"/>
            <w:bookmarkEnd w:id="2074"/>
            <w:r>
              <w:rPr/>
            </w:r>
            <w:hyperlink w:history="true" w:anchor="_bookmark2061">
              <w:r>
                <w:rPr>
                  <w:color w:val="005DA1"/>
                  <w:spacing w:val="-2"/>
                  <w:sz w:val="14"/>
                  <w:u w:val="single" w:color="005DA1"/>
                </w:rPr>
                <w:t>1080</w:t>
              </w:r>
            </w:hyperlink>
            <w:r>
              <w:rPr>
                <w:spacing w:val="-2"/>
                <w:sz w:val="14"/>
              </w:rPr>
              <w:t>.</w:t>
            </w:r>
          </w:p>
        </w:tc>
        <w:tc>
          <w:tcPr>
            <w:tcW w:w="8620" w:type="dxa"/>
          </w:tcPr>
          <w:p>
            <w:pPr>
              <w:pStyle w:val="TableParagraph"/>
              <w:spacing w:before="114"/>
              <w:jc w:val="left"/>
              <w:rPr>
                <w:sz w:val="20"/>
              </w:rPr>
            </w:pPr>
            <w:r>
              <w:rPr>
                <w:sz w:val="20"/>
              </w:rPr>
              <w:t>Below, paras 30-297 et </w:t>
            </w:r>
            <w:r>
              <w:rPr>
                <w:spacing w:val="-4"/>
                <w:sz w:val="20"/>
              </w:rPr>
              <w:t>seq.</w:t>
            </w:r>
          </w:p>
        </w:tc>
      </w:tr>
      <w:tr>
        <w:trPr>
          <w:trHeight w:val="915" w:hRule="atLeast"/>
        </w:trPr>
        <w:tc>
          <w:tcPr>
            <w:tcW w:w="496" w:type="dxa"/>
          </w:tcPr>
          <w:p>
            <w:pPr>
              <w:pStyle w:val="TableParagraph"/>
              <w:ind w:left="0" w:right="43"/>
              <w:rPr>
                <w:sz w:val="14"/>
              </w:rPr>
            </w:pPr>
            <w:bookmarkStart w:name="_bookmark2073" w:id="2075"/>
            <w:bookmarkEnd w:id="2075"/>
            <w:r>
              <w:rPr/>
            </w:r>
            <w:hyperlink w:history="true" w:anchor="_bookmark2062">
              <w:r>
                <w:rPr>
                  <w:color w:val="005DA1"/>
                  <w:spacing w:val="-2"/>
                  <w:sz w:val="14"/>
                  <w:u w:val="single" w:color="005DA1"/>
                </w:rPr>
                <w:t>1081</w:t>
              </w:r>
            </w:hyperlink>
            <w:r>
              <w:rPr>
                <w:spacing w:val="-2"/>
                <w:sz w:val="14"/>
              </w:rPr>
              <w:t>.</w:t>
            </w:r>
          </w:p>
        </w:tc>
        <w:tc>
          <w:tcPr>
            <w:tcW w:w="8620" w:type="dxa"/>
          </w:tcPr>
          <w:p>
            <w:pPr>
              <w:pStyle w:val="TableParagraph"/>
              <w:spacing w:line="235" w:lineRule="auto" w:before="118"/>
              <w:ind w:right="48"/>
              <w:jc w:val="both"/>
              <w:rPr>
                <w:sz w:val="20"/>
              </w:rPr>
            </w:pPr>
            <w:r>
              <w:rPr>
                <w:sz w:val="20"/>
              </w:rPr>
              <w:t>i.e. Rome I Regulation art.15 will not apply to the question of whether an insurer is subrogated to the rights of an insured who has been the victim of a tort. cf. Third Parties (Rights Against Insurers) Act 2010 s.18.</w:t>
            </w:r>
          </w:p>
        </w:tc>
      </w:tr>
      <w:tr>
        <w:trPr>
          <w:trHeight w:val="465" w:hRule="atLeast"/>
        </w:trPr>
        <w:tc>
          <w:tcPr>
            <w:tcW w:w="496" w:type="dxa"/>
          </w:tcPr>
          <w:p>
            <w:pPr>
              <w:pStyle w:val="TableParagraph"/>
              <w:ind w:left="0" w:right="43"/>
              <w:rPr>
                <w:sz w:val="14"/>
              </w:rPr>
            </w:pPr>
            <w:bookmarkStart w:name="_bookmark2074" w:id="2076"/>
            <w:bookmarkEnd w:id="2076"/>
            <w:r>
              <w:rPr/>
            </w:r>
            <w:hyperlink w:history="true" w:anchor="_bookmark2063">
              <w:r>
                <w:rPr>
                  <w:color w:val="005DA1"/>
                  <w:spacing w:val="-2"/>
                  <w:sz w:val="14"/>
                  <w:u w:val="single" w:color="005DA1"/>
                </w:rPr>
                <w:t>1082</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126.</w:t>
            </w:r>
          </w:p>
        </w:tc>
      </w:tr>
      <w:tr>
        <w:trPr>
          <w:trHeight w:val="465" w:hRule="atLeast"/>
        </w:trPr>
        <w:tc>
          <w:tcPr>
            <w:tcW w:w="496" w:type="dxa"/>
          </w:tcPr>
          <w:p>
            <w:pPr>
              <w:pStyle w:val="TableParagraph"/>
              <w:ind w:left="0" w:right="43"/>
              <w:rPr>
                <w:sz w:val="14"/>
              </w:rPr>
            </w:pPr>
            <w:bookmarkStart w:name="_bookmark2075" w:id="2077"/>
            <w:bookmarkEnd w:id="2077"/>
            <w:r>
              <w:rPr/>
            </w:r>
            <w:hyperlink w:history="true" w:anchor="_bookmark2064">
              <w:r>
                <w:rPr>
                  <w:color w:val="005DA1"/>
                  <w:spacing w:val="-2"/>
                  <w:sz w:val="14"/>
                  <w:u w:val="single" w:color="005DA1"/>
                </w:rPr>
                <w:t>1083</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127.</w:t>
            </w:r>
          </w:p>
        </w:tc>
      </w:tr>
      <w:tr>
        <w:trPr>
          <w:trHeight w:val="465" w:hRule="atLeast"/>
        </w:trPr>
        <w:tc>
          <w:tcPr>
            <w:tcW w:w="496" w:type="dxa"/>
          </w:tcPr>
          <w:p>
            <w:pPr>
              <w:pStyle w:val="TableParagraph"/>
              <w:ind w:left="0" w:right="43"/>
              <w:rPr>
                <w:sz w:val="14"/>
              </w:rPr>
            </w:pPr>
            <w:bookmarkStart w:name="_bookmark2076" w:id="2078"/>
            <w:bookmarkEnd w:id="2078"/>
            <w:r>
              <w:rPr/>
            </w:r>
            <w:hyperlink w:history="true" w:anchor="_bookmark2065">
              <w:r>
                <w:rPr>
                  <w:color w:val="005DA1"/>
                  <w:spacing w:val="-2"/>
                  <w:sz w:val="14"/>
                  <w:u w:val="single" w:color="005DA1"/>
                </w:rPr>
                <w:t>1084</w:t>
              </w:r>
            </w:hyperlink>
            <w:r>
              <w:rPr>
                <w:spacing w:val="-2"/>
                <w:sz w:val="14"/>
              </w:rPr>
              <w:t>.</w:t>
            </w:r>
          </w:p>
        </w:tc>
        <w:tc>
          <w:tcPr>
            <w:tcW w:w="8620" w:type="dxa"/>
          </w:tcPr>
          <w:p>
            <w:pPr>
              <w:pStyle w:val="TableParagraph"/>
              <w:spacing w:before="114"/>
              <w:jc w:val="left"/>
              <w:rPr>
                <w:sz w:val="20"/>
              </w:rPr>
            </w:pPr>
            <w:r>
              <w:rPr>
                <w:sz w:val="20"/>
              </w:rPr>
              <w:t>Above, paras 30-289 et </w:t>
            </w:r>
            <w:r>
              <w:rPr>
                <w:spacing w:val="-4"/>
                <w:sz w:val="20"/>
              </w:rPr>
              <w:t>seq.</w:t>
            </w:r>
          </w:p>
        </w:tc>
      </w:tr>
      <w:tr>
        <w:trPr>
          <w:trHeight w:val="465" w:hRule="atLeast"/>
        </w:trPr>
        <w:tc>
          <w:tcPr>
            <w:tcW w:w="496" w:type="dxa"/>
          </w:tcPr>
          <w:p>
            <w:pPr>
              <w:pStyle w:val="TableParagraph"/>
              <w:ind w:left="0" w:right="43"/>
              <w:rPr>
                <w:sz w:val="14"/>
              </w:rPr>
            </w:pPr>
            <w:bookmarkStart w:name="_bookmark2077" w:id="2079"/>
            <w:bookmarkEnd w:id="2079"/>
            <w:r>
              <w:rPr/>
            </w:r>
            <w:hyperlink w:history="true" w:anchor="_bookmark2066">
              <w:r>
                <w:rPr>
                  <w:color w:val="005DA1"/>
                  <w:spacing w:val="-2"/>
                  <w:sz w:val="14"/>
                  <w:u w:val="single" w:color="005DA1"/>
                </w:rPr>
                <w:t>1085</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295.</w:t>
            </w:r>
          </w:p>
        </w:tc>
      </w:tr>
      <w:tr>
        <w:trPr>
          <w:trHeight w:val="569" w:hRule="atLeast"/>
        </w:trPr>
        <w:tc>
          <w:tcPr>
            <w:tcW w:w="496" w:type="dxa"/>
          </w:tcPr>
          <w:p>
            <w:pPr>
              <w:pStyle w:val="TableParagraph"/>
              <w:ind w:left="0" w:right="43"/>
              <w:rPr>
                <w:sz w:val="14"/>
              </w:rPr>
            </w:pPr>
            <w:bookmarkStart w:name="_bookmark2078" w:id="2080"/>
            <w:bookmarkEnd w:id="2080"/>
            <w:r>
              <w:rPr/>
            </w:r>
            <w:hyperlink w:history="true" w:anchor="_bookmark2067">
              <w:r>
                <w:rPr>
                  <w:color w:val="005DA1"/>
                  <w:spacing w:val="-2"/>
                  <w:sz w:val="14"/>
                  <w:u w:val="single" w:color="005DA1"/>
                </w:rPr>
                <w:t>1086</w:t>
              </w:r>
            </w:hyperlink>
            <w:r>
              <w:rPr>
                <w:spacing w:val="-2"/>
                <w:sz w:val="14"/>
              </w:rPr>
              <w:t>.</w:t>
            </w:r>
          </w:p>
        </w:tc>
        <w:tc>
          <w:tcPr>
            <w:tcW w:w="8620" w:type="dxa"/>
          </w:tcPr>
          <w:p>
            <w:pPr>
              <w:pStyle w:val="TableParagraph"/>
              <w:spacing w:line="226" w:lineRule="exact" w:before="97"/>
              <w:jc w:val="left"/>
              <w:rPr>
                <w:sz w:val="20"/>
              </w:rPr>
            </w:pPr>
            <w:r>
              <w:rPr>
                <w:sz w:val="20"/>
              </w:rPr>
              <w:t>See,</w:t>
            </w:r>
            <w:r>
              <w:rPr>
                <w:spacing w:val="40"/>
                <w:sz w:val="20"/>
              </w:rPr>
              <w:t> </w:t>
            </w:r>
            <w:r>
              <w:rPr>
                <w:sz w:val="20"/>
              </w:rPr>
              <w:t>e.g.</w:t>
            </w:r>
            <w:r>
              <w:rPr>
                <w:spacing w:val="40"/>
                <w:sz w:val="20"/>
              </w:rPr>
              <w:t> </w:t>
            </w:r>
            <w:r>
              <w:rPr>
                <w:sz w:val="20"/>
              </w:rPr>
              <w:t>arts</w:t>
            </w:r>
            <w:r>
              <w:rPr>
                <w:spacing w:val="40"/>
                <w:sz w:val="20"/>
              </w:rPr>
              <w:t> </w:t>
            </w:r>
            <w:r>
              <w:rPr>
                <w:sz w:val="20"/>
              </w:rPr>
              <w:t>1249,</w:t>
            </w:r>
            <w:r>
              <w:rPr>
                <w:spacing w:val="40"/>
                <w:sz w:val="20"/>
              </w:rPr>
              <w:t> </w:t>
            </w:r>
            <w:r>
              <w:rPr>
                <w:sz w:val="20"/>
              </w:rPr>
              <w:t>1251</w:t>
            </w:r>
            <w:r>
              <w:rPr>
                <w:spacing w:val="40"/>
                <w:sz w:val="20"/>
              </w:rPr>
              <w:t> </w:t>
            </w:r>
            <w:r>
              <w:rPr>
                <w:sz w:val="20"/>
              </w:rPr>
              <w:t>of</w:t>
            </w:r>
            <w:r>
              <w:rPr>
                <w:spacing w:val="40"/>
                <w:sz w:val="20"/>
              </w:rPr>
              <w:t> </w:t>
            </w:r>
            <w:r>
              <w:rPr>
                <w:sz w:val="20"/>
              </w:rPr>
              <w:t>the</w:t>
            </w:r>
            <w:r>
              <w:rPr>
                <w:spacing w:val="40"/>
                <w:sz w:val="20"/>
              </w:rPr>
              <w:t> </w:t>
            </w:r>
            <w:r>
              <w:rPr>
                <w:sz w:val="20"/>
              </w:rPr>
              <w:t>French</w:t>
            </w:r>
            <w:r>
              <w:rPr>
                <w:spacing w:val="40"/>
                <w:sz w:val="20"/>
              </w:rPr>
              <w:t> </w:t>
            </w:r>
            <w:r>
              <w:rPr>
                <w:sz w:val="20"/>
              </w:rPr>
              <w:t>Civil</w:t>
            </w:r>
            <w:r>
              <w:rPr>
                <w:spacing w:val="40"/>
                <w:sz w:val="20"/>
              </w:rPr>
              <w:t> </w:t>
            </w:r>
            <w:r>
              <w:rPr>
                <w:sz w:val="20"/>
              </w:rPr>
              <w:t>Code.</w:t>
            </w:r>
            <w:r>
              <w:rPr>
                <w:spacing w:val="40"/>
                <w:sz w:val="20"/>
              </w:rPr>
              <w:t> </w:t>
            </w:r>
            <w:r>
              <w:rPr>
                <w:sz w:val="20"/>
              </w:rPr>
              <w:t>See</w:t>
            </w:r>
            <w:r>
              <w:rPr>
                <w:spacing w:val="40"/>
                <w:sz w:val="20"/>
              </w:rPr>
              <w:t> </w:t>
            </w:r>
            <w:r>
              <w:rPr>
                <w:sz w:val="20"/>
              </w:rPr>
              <w:t>also</w:t>
            </w:r>
            <w:r>
              <w:rPr>
                <w:spacing w:val="40"/>
                <w:sz w:val="20"/>
              </w:rPr>
              <w:t> </w:t>
            </w:r>
            <w:r>
              <w:rPr>
                <w:sz w:val="20"/>
              </w:rPr>
              <w:t>the</w:t>
            </w:r>
            <w:r>
              <w:rPr>
                <w:spacing w:val="40"/>
                <w:sz w:val="20"/>
              </w:rPr>
              <w:t> </w:t>
            </w:r>
            <w:r>
              <w:rPr>
                <w:sz w:val="20"/>
              </w:rPr>
              <w:t>Commission’s</w:t>
            </w:r>
            <w:r>
              <w:rPr>
                <w:spacing w:val="40"/>
                <w:sz w:val="20"/>
              </w:rPr>
              <w:t> </w:t>
            </w:r>
            <w:r>
              <w:rPr>
                <w:sz w:val="20"/>
              </w:rPr>
              <w:t>original</w:t>
            </w:r>
            <w:r>
              <w:rPr>
                <w:spacing w:val="40"/>
                <w:sz w:val="20"/>
              </w:rPr>
              <w:t> </w:t>
            </w:r>
            <w:r>
              <w:rPr>
                <w:sz w:val="20"/>
              </w:rPr>
              <w:t>Proposal art.14 and Explanatory Memorandum thereto.</w:t>
            </w:r>
          </w:p>
        </w:tc>
      </w:tr>
    </w:tbl>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pStyle w:val="ListParagraph"/>
        <w:numPr>
          <w:ilvl w:val="0"/>
          <w:numId w:val="3"/>
        </w:numPr>
        <w:tabs>
          <w:tab w:pos="3805" w:val="left" w:leader="none"/>
        </w:tabs>
        <w:spacing w:line="240" w:lineRule="auto" w:before="194" w:after="0"/>
        <w:ind w:left="3805" w:right="0" w:hanging="293"/>
        <w:jc w:val="left"/>
        <w:rPr>
          <w:b/>
          <w:sz w:val="24"/>
        </w:rPr>
      </w:pPr>
      <w:r>
        <w:rPr>
          <w:b/>
          <w:sz w:val="24"/>
        </w:rPr>
        <w:t>- Multiple </w:t>
      </w:r>
      <w:r>
        <w:rPr>
          <w:b/>
          <w:spacing w:val="-2"/>
          <w:sz w:val="24"/>
        </w:rPr>
        <w:t>Liability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Principle</w:t>
      </w:r>
    </w:p>
    <w:p>
      <w:pPr>
        <w:pStyle w:val="BodyText"/>
        <w:spacing w:before="42"/>
        <w:rPr>
          <w:rFonts w:ascii="Arial"/>
          <w:b/>
          <w:sz w:val="18"/>
        </w:rPr>
      </w:pPr>
    </w:p>
    <w:p>
      <w:pPr>
        <w:pStyle w:val="Heading2"/>
      </w:pPr>
      <w:r>
        <w:rPr/>
        <w:t>30-</w:t>
      </w:r>
      <w:r>
        <w:rPr>
          <w:spacing w:val="-5"/>
        </w:rPr>
        <w:t>297</w:t>
      </w:r>
    </w:p>
    <w:p>
      <w:pPr>
        <w:pStyle w:val="BodyText"/>
        <w:spacing w:line="235" w:lineRule="auto" w:before="202"/>
        <w:ind w:left="165" w:right="167"/>
        <w:jc w:val="both"/>
      </w:pPr>
      <w:r>
        <w:rPr/>
        <w:t>Article 16 of the Regulation (headed “Multiple liability”) deals with a debtor’s right to recourse from </w:t>
      </w:r>
      <w:bookmarkStart w:name="_bookmark2079" w:id="2081"/>
      <w:bookmarkEnd w:id="2081"/>
      <w:r>
        <w:rPr/>
        <w:t>other</w:t>
      </w:r>
      <w:r>
        <w:rPr/>
        <w:t> debtors where the former debtor has paid the creditor in whole or in part. Reflecting art.13(2) of the Convention, </w:t>
      </w:r>
      <w:r>
        <w:rPr>
          <w:color w:val="005DA1"/>
          <w:u w:val="single" w:color="005DA1"/>
          <w:vertAlign w:val="superscript"/>
        </w:rPr>
        <w:t>1087</w:t>
      </w:r>
      <w:r>
        <w:rPr>
          <w:color w:val="005DA1"/>
          <w:vertAlign w:val="baseline"/>
        </w:rPr>
        <w:t> </w:t>
      </w:r>
      <w:r>
        <w:rPr>
          <w:vertAlign w:val="baseline"/>
        </w:rPr>
        <w:t>it provides that if:</w:t>
      </w:r>
    </w:p>
    <w:p>
      <w:pPr>
        <w:pStyle w:val="BodyText"/>
      </w:pPr>
    </w:p>
    <w:p>
      <w:pPr>
        <w:pStyle w:val="BodyText"/>
        <w:spacing w:before="126"/>
      </w:pPr>
    </w:p>
    <w:p>
      <w:pPr>
        <w:pStyle w:val="BodyText"/>
        <w:spacing w:line="235" w:lineRule="auto"/>
        <w:ind w:left="1244" w:right="167"/>
        <w:jc w:val="both"/>
      </w:pPr>
      <w:r>
        <w:rPr/>
        <w:t>“… a creditor has a claim against several debtors who are liable for the same claim, </w:t>
      </w:r>
      <w:r>
        <w:rPr/>
        <w:t>and one of the debtors has already satisfied the claim in whole or in part, the law governing the debtor’s obligation towards the creditor also governs the debtor’s right to claim recourse from the other debtors. The other debtors may rely on the defences they had against the creditor to the extent allowed by the law governing their obligations towards the creditor.”</w:t>
      </w:r>
    </w:p>
    <w:p>
      <w:pPr>
        <w:pStyle w:val="BodyText"/>
      </w:pPr>
    </w:p>
    <w:p>
      <w:pPr>
        <w:pStyle w:val="BodyText"/>
      </w:pPr>
    </w:p>
    <w:p>
      <w:pPr>
        <w:pStyle w:val="BodyText"/>
        <w:spacing w:before="153"/>
      </w:pPr>
    </w:p>
    <w:p>
      <w:pPr>
        <w:spacing w:before="0"/>
        <w:ind w:left="164" w:right="0" w:firstLine="0"/>
        <w:jc w:val="left"/>
        <w:rPr>
          <w:rFonts w:ascii="Arial"/>
          <w:b/>
          <w:sz w:val="18"/>
        </w:rPr>
      </w:pPr>
      <w:r>
        <w:rPr>
          <w:rFonts w:ascii="Arial"/>
          <w:b/>
          <w:sz w:val="18"/>
        </w:rPr>
        <w:t>Right of </w:t>
      </w:r>
      <w:r>
        <w:rPr>
          <w:rFonts w:ascii="Arial"/>
          <w:b/>
          <w:spacing w:val="-2"/>
          <w:sz w:val="18"/>
        </w:rPr>
        <w:t>recourse</w:t>
      </w:r>
    </w:p>
    <w:p>
      <w:pPr>
        <w:pStyle w:val="BodyText"/>
        <w:spacing w:before="41"/>
        <w:rPr>
          <w:rFonts w:ascii="Arial"/>
          <w:b/>
          <w:sz w:val="18"/>
        </w:rPr>
      </w:pPr>
    </w:p>
    <w:p>
      <w:pPr>
        <w:pStyle w:val="Heading2"/>
        <w:ind w:left="164"/>
      </w:pPr>
      <w:r>
        <w:rPr/>
        <w:t>30-</w:t>
      </w:r>
      <w:r>
        <w:rPr>
          <w:spacing w:val="-5"/>
        </w:rPr>
        <w:t>298</w:t>
      </w:r>
    </w:p>
    <w:p>
      <w:pPr>
        <w:pStyle w:val="BodyText"/>
        <w:spacing w:line="235" w:lineRule="auto" w:before="203"/>
        <w:ind w:left="164" w:right="167"/>
        <w:jc w:val="both"/>
      </w:pPr>
      <w:r>
        <w:rPr/>
        <w:t>It follows from the text of art.16 that where one debtor has already satisfied the creditors </w:t>
      </w:r>
      <w:r>
        <w:rPr/>
        <w:t>claim, whether he may obtain recourse against co-debtors liable for the same claim will be governed by the law applicable to the debtor’s obligation towards the creditor, i.e. normally, the law applicable to the </w:t>
      </w:r>
      <w:bookmarkStart w:name="_bookmark2080" w:id="2082"/>
      <w:bookmarkEnd w:id="2082"/>
      <w:r>
        <w:rPr/>
        <w:t>contract</w:t>
      </w:r>
      <w:r>
        <w:rPr/>
        <w:t> between the debtor and the creditor. The principle applies whether the debtor has satisfied the creditor in whole or in part. </w:t>
      </w:r>
      <w:r>
        <w:rPr>
          <w:color w:val="005DA1"/>
          <w:u w:val="single" w:color="005DA1"/>
          <w:vertAlign w:val="superscript"/>
        </w:rPr>
        <w:t>1088</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Defences</w:t>
      </w:r>
    </w:p>
    <w:p>
      <w:pPr>
        <w:pStyle w:val="BodyText"/>
        <w:spacing w:before="41"/>
        <w:rPr>
          <w:rFonts w:ascii="Arial"/>
          <w:b/>
          <w:sz w:val="18"/>
        </w:rPr>
      </w:pPr>
    </w:p>
    <w:p>
      <w:pPr>
        <w:pStyle w:val="Heading2"/>
      </w:pPr>
      <w:r>
        <w:rPr/>
        <w:t>30-</w:t>
      </w:r>
      <w:r>
        <w:rPr>
          <w:spacing w:val="-5"/>
        </w:rPr>
        <w:t>299</w:t>
      </w:r>
    </w:p>
    <w:p>
      <w:pPr>
        <w:pStyle w:val="BodyText"/>
        <w:spacing w:line="235" w:lineRule="auto" w:before="203"/>
        <w:ind w:left="164" w:right="167"/>
        <w:jc w:val="both"/>
      </w:pPr>
      <w:bookmarkStart w:name="_bookmark2081" w:id="2083"/>
      <w:bookmarkEnd w:id="2083"/>
      <w:r>
        <w:rPr/>
      </w:r>
      <w:r>
        <w:rPr/>
        <w:t>The second sentence of art.16 of the Regulation (which is not found directly in art.13(2) of the Rome Convention) </w:t>
      </w:r>
      <w:r>
        <w:rPr>
          <w:color w:val="005DA1"/>
          <w:u w:val="single" w:color="005DA1"/>
          <w:vertAlign w:val="superscript"/>
        </w:rPr>
        <w:t>1089</w:t>
      </w:r>
      <w:r>
        <w:rPr>
          <w:color w:val="005DA1"/>
          <w:vertAlign w:val="baseline"/>
        </w:rPr>
        <w:t> </w:t>
      </w:r>
      <w:r>
        <w:rPr>
          <w:vertAlign w:val="baseline"/>
        </w:rPr>
        <w:t>makes it clear that as against the debtor who seeks recourse, the co-debtors may rely</w:t>
      </w:r>
      <w:r>
        <w:rPr>
          <w:spacing w:val="22"/>
          <w:vertAlign w:val="baseline"/>
        </w:rPr>
        <w:t> </w:t>
      </w:r>
      <w:r>
        <w:rPr>
          <w:vertAlign w:val="baseline"/>
        </w:rPr>
        <w:t>on</w:t>
      </w:r>
      <w:r>
        <w:rPr>
          <w:spacing w:val="22"/>
          <w:vertAlign w:val="baseline"/>
        </w:rPr>
        <w:t> </w:t>
      </w:r>
      <w:r>
        <w:rPr>
          <w:vertAlign w:val="baseline"/>
        </w:rPr>
        <w:t>any</w:t>
      </w:r>
      <w:r>
        <w:rPr>
          <w:spacing w:val="22"/>
          <w:vertAlign w:val="baseline"/>
        </w:rPr>
        <w:t> </w:t>
      </w:r>
      <w:r>
        <w:rPr>
          <w:vertAlign w:val="baseline"/>
        </w:rPr>
        <w:t>defences</w:t>
      </w:r>
      <w:r>
        <w:rPr>
          <w:spacing w:val="22"/>
          <w:vertAlign w:val="baseline"/>
        </w:rPr>
        <w:t> </w:t>
      </w:r>
      <w:r>
        <w:rPr>
          <w:vertAlign w:val="baseline"/>
        </w:rPr>
        <w:t>they</w:t>
      </w:r>
      <w:r>
        <w:rPr>
          <w:spacing w:val="22"/>
          <w:vertAlign w:val="baseline"/>
        </w:rPr>
        <w:t> </w:t>
      </w:r>
      <w:r>
        <w:rPr>
          <w:vertAlign w:val="baseline"/>
        </w:rPr>
        <w:t>had</w:t>
      </w:r>
      <w:r>
        <w:rPr>
          <w:spacing w:val="22"/>
          <w:vertAlign w:val="baseline"/>
        </w:rPr>
        <w:t> </w:t>
      </w:r>
      <w:r>
        <w:rPr>
          <w:vertAlign w:val="baseline"/>
        </w:rPr>
        <w:t>against</w:t>
      </w:r>
      <w:r>
        <w:rPr>
          <w:spacing w:val="22"/>
          <w:vertAlign w:val="baseline"/>
        </w:rPr>
        <w:t> </w:t>
      </w:r>
      <w:r>
        <w:rPr>
          <w:vertAlign w:val="baseline"/>
        </w:rPr>
        <w:t>the</w:t>
      </w:r>
      <w:r>
        <w:rPr>
          <w:spacing w:val="22"/>
          <w:vertAlign w:val="baseline"/>
        </w:rPr>
        <w:t> </w:t>
      </w:r>
      <w:r>
        <w:rPr>
          <w:vertAlign w:val="baseline"/>
        </w:rPr>
        <w:t>debtor</w:t>
      </w:r>
      <w:r>
        <w:rPr>
          <w:spacing w:val="22"/>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extent</w:t>
      </w:r>
      <w:r>
        <w:rPr>
          <w:spacing w:val="22"/>
          <w:vertAlign w:val="baseline"/>
        </w:rPr>
        <w:t> </w:t>
      </w:r>
      <w:r>
        <w:rPr>
          <w:vertAlign w:val="baseline"/>
        </w:rPr>
        <w:t>permitted</w:t>
      </w:r>
      <w:r>
        <w:rPr>
          <w:spacing w:val="22"/>
          <w:vertAlign w:val="baseline"/>
        </w:rPr>
        <w:t> </w:t>
      </w:r>
      <w:r>
        <w:rPr>
          <w:vertAlign w:val="baseline"/>
        </w:rPr>
        <w:t>by</w:t>
      </w:r>
      <w:r>
        <w:rPr>
          <w:spacing w:val="22"/>
          <w:vertAlign w:val="baseline"/>
        </w:rPr>
        <w:t> </w:t>
      </w:r>
      <w:r>
        <w:rPr>
          <w:vertAlign w:val="baseline"/>
        </w:rPr>
        <w:t>the</w:t>
      </w:r>
      <w:r>
        <w:rPr>
          <w:spacing w:val="22"/>
          <w:vertAlign w:val="baseline"/>
        </w:rPr>
        <w:t> </w:t>
      </w:r>
      <w:r>
        <w:rPr>
          <w:vertAlign w:val="baseline"/>
        </w:rPr>
        <w:t>law</w:t>
      </w:r>
      <w:r>
        <w:rPr>
          <w:spacing w:val="22"/>
          <w:vertAlign w:val="baseline"/>
        </w:rPr>
        <w:t> </w:t>
      </w:r>
      <w:r>
        <w:rPr>
          <w:vertAlign w:val="baseline"/>
        </w:rPr>
        <w:t>governing</w:t>
      </w:r>
      <w:r>
        <w:rPr>
          <w:spacing w:val="22"/>
          <w:vertAlign w:val="baseline"/>
        </w:rPr>
        <w:t> </w:t>
      </w:r>
      <w:r>
        <w:rPr>
          <w:vertAlign w:val="baseline"/>
        </w:rPr>
        <w:t>the co-debtors’ obligations towards the creditor, i.e. normally the law applicable to the contract between the co-debtors and the creditor.</w:t>
      </w:r>
    </w:p>
    <w:p>
      <w:pPr>
        <w:pStyle w:val="BodyText"/>
      </w:pPr>
    </w:p>
    <w:p>
      <w:pPr>
        <w:pStyle w:val="BodyText"/>
        <w:spacing w:before="37"/>
      </w:pPr>
      <w:r>
        <w:rPr/>
        <mc:AlternateContent>
          <mc:Choice Requires="wps">
            <w:drawing>
              <wp:anchor distT="0" distB="0" distL="0" distR="0" allowOverlap="1" layoutInCell="1" locked="0" behindDoc="1" simplePos="0" relativeHeight="487624704">
                <wp:simplePos x="0" y="0"/>
                <wp:positionH relativeFrom="page">
                  <wp:posOffset>914400</wp:posOffset>
                </wp:positionH>
                <wp:positionV relativeFrom="paragraph">
                  <wp:posOffset>184772</wp:posOffset>
                </wp:positionV>
                <wp:extent cx="5724525" cy="127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9024pt;width:450.75pt;height:.1pt;mso-position-horizontal-relative:page;mso-position-vertical-relative:paragraph;z-index:-15691776;mso-wrap-distance-left:0;mso-wrap-distance-right:0" id="docshape42" coordorigin="1440,291" coordsize="9015,0" path="m1440,291l10454,291e" filled="false" stroked="true" strokeweight="1pt" strokecolor="#000000">
                <v:path arrowok="t"/>
                <v:stroke dashstyle="solid"/>
                <w10:wrap type="topAndBottom"/>
              </v:shape>
            </w:pict>
          </mc:Fallback>
        </mc:AlternateContent>
      </w:r>
    </w:p>
    <w:p>
      <w:pPr>
        <w:pStyle w:val="BodyText"/>
        <w:spacing w:after="0"/>
        <w:sectPr>
          <w:headerReference w:type="default" r:id="rId27"/>
          <w:pgSz w:w="11900" w:h="16840"/>
          <w:pgMar w:header="971" w:footer="0" w:top="1300" w:bottom="280" w:left="1275" w:right="1275"/>
          <w:pgNumType w:start="1"/>
        </w:sectPr>
      </w:pPr>
    </w:p>
    <w:p>
      <w:pPr>
        <w:pStyle w:val="BodyText"/>
        <w:spacing w:before="63"/>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ind w:left="0" w:right="43"/>
              <w:rPr>
                <w:sz w:val="14"/>
              </w:rPr>
            </w:pPr>
            <w:bookmarkStart w:name="_bookmark2082" w:id="2084"/>
            <w:bookmarkEnd w:id="2084"/>
            <w:r>
              <w:rPr/>
            </w:r>
            <w:hyperlink w:history="true" w:anchor="_bookmark2079">
              <w:r>
                <w:rPr>
                  <w:color w:val="005DA1"/>
                  <w:spacing w:val="-2"/>
                  <w:sz w:val="14"/>
                  <w:u w:val="single" w:color="005DA1"/>
                </w:rPr>
                <w:t>1087</w:t>
              </w:r>
            </w:hyperlink>
            <w:r>
              <w:rPr>
                <w:spacing w:val="-2"/>
                <w:sz w:val="14"/>
              </w:rPr>
              <w:t>.</w:t>
            </w:r>
          </w:p>
        </w:tc>
        <w:tc>
          <w:tcPr>
            <w:tcW w:w="8620" w:type="dxa"/>
          </w:tcPr>
          <w:p>
            <w:pPr>
              <w:pStyle w:val="TableParagraph"/>
              <w:spacing w:line="235" w:lineRule="auto" w:before="0"/>
              <w:ind w:right="49"/>
              <w:jc w:val="left"/>
              <w:rPr>
                <w:sz w:val="20"/>
              </w:rPr>
            </w:pPr>
            <w:r>
              <w:rPr>
                <w:sz w:val="20"/>
              </w:rPr>
              <w:t>Above, para.30-128. See Plender and Wilderspin, 4th edn (2015), pp.409–410; Dicey, </w:t>
            </w:r>
            <w:r>
              <w:rPr>
                <w:sz w:val="20"/>
              </w:rPr>
              <w:t>Morris</w:t>
            </w:r>
            <w:r>
              <w:rPr>
                <w:spacing w:val="40"/>
                <w:sz w:val="20"/>
              </w:rPr>
              <w:t> </w:t>
            </w:r>
            <w:r>
              <w:rPr>
                <w:sz w:val="20"/>
              </w:rPr>
              <w:t>and Collins, 15th edn (2012), para.32–163.</w:t>
            </w:r>
          </w:p>
        </w:tc>
      </w:tr>
      <w:tr>
        <w:trPr>
          <w:trHeight w:val="465" w:hRule="atLeast"/>
        </w:trPr>
        <w:tc>
          <w:tcPr>
            <w:tcW w:w="496" w:type="dxa"/>
          </w:tcPr>
          <w:p>
            <w:pPr>
              <w:pStyle w:val="TableParagraph"/>
              <w:ind w:left="0" w:right="43"/>
              <w:rPr>
                <w:sz w:val="14"/>
              </w:rPr>
            </w:pPr>
            <w:bookmarkStart w:name="_bookmark2083" w:id="2085"/>
            <w:bookmarkEnd w:id="2085"/>
            <w:r>
              <w:rPr/>
            </w:r>
            <w:hyperlink w:history="true" w:anchor="_bookmark2080">
              <w:r>
                <w:rPr>
                  <w:color w:val="005DA1"/>
                  <w:spacing w:val="-2"/>
                  <w:sz w:val="14"/>
                  <w:u w:val="single" w:color="005DA1"/>
                </w:rPr>
                <w:t>1088</w:t>
              </w:r>
            </w:hyperlink>
            <w:r>
              <w:rPr>
                <w:spacing w:val="-2"/>
                <w:sz w:val="14"/>
              </w:rPr>
              <w:t>.</w:t>
            </w:r>
          </w:p>
        </w:tc>
        <w:tc>
          <w:tcPr>
            <w:tcW w:w="8620" w:type="dxa"/>
          </w:tcPr>
          <w:p>
            <w:pPr>
              <w:pStyle w:val="TableParagraph"/>
              <w:spacing w:before="114"/>
              <w:jc w:val="left"/>
              <w:rPr>
                <w:sz w:val="20"/>
              </w:rPr>
            </w:pPr>
            <w:r>
              <w:rPr>
                <w:sz w:val="20"/>
              </w:rPr>
              <w:t>cf. art.13(2) of the Rome Convention, above, para.30-</w:t>
            </w:r>
            <w:r>
              <w:rPr>
                <w:spacing w:val="-4"/>
                <w:sz w:val="20"/>
              </w:rPr>
              <w:t>128.</w:t>
            </w:r>
          </w:p>
        </w:tc>
      </w:tr>
      <w:tr>
        <w:trPr>
          <w:trHeight w:val="344" w:hRule="atLeast"/>
        </w:trPr>
        <w:tc>
          <w:tcPr>
            <w:tcW w:w="496" w:type="dxa"/>
          </w:tcPr>
          <w:p>
            <w:pPr>
              <w:pStyle w:val="TableParagraph"/>
              <w:ind w:left="0" w:right="43"/>
              <w:rPr>
                <w:sz w:val="14"/>
              </w:rPr>
            </w:pPr>
            <w:bookmarkStart w:name="_bookmark2084" w:id="2086"/>
            <w:bookmarkEnd w:id="2086"/>
            <w:r>
              <w:rPr/>
            </w:r>
            <w:hyperlink w:history="true" w:anchor="_bookmark2081">
              <w:r>
                <w:rPr>
                  <w:color w:val="005DA1"/>
                  <w:spacing w:val="-2"/>
                  <w:sz w:val="14"/>
                  <w:u w:val="single" w:color="005DA1"/>
                </w:rPr>
                <w:t>1089</w:t>
              </w:r>
            </w:hyperlink>
            <w:r>
              <w:rPr>
                <w:spacing w:val="-2"/>
                <w:sz w:val="14"/>
              </w:rPr>
              <w:t>.</w:t>
            </w:r>
          </w:p>
        </w:tc>
        <w:tc>
          <w:tcPr>
            <w:tcW w:w="8620" w:type="dxa"/>
          </w:tcPr>
          <w:p>
            <w:pPr>
              <w:pStyle w:val="TableParagraph"/>
              <w:spacing w:line="210" w:lineRule="exact" w:before="114"/>
              <w:jc w:val="left"/>
              <w:rPr>
                <w:sz w:val="20"/>
              </w:rPr>
            </w:pPr>
            <w:r>
              <w:rPr>
                <w:sz w:val="20"/>
              </w:rPr>
              <w:t>Above, para.30-</w:t>
            </w:r>
            <w:r>
              <w:rPr>
                <w:spacing w:val="-4"/>
                <w:sz w:val="20"/>
              </w:rPr>
              <w:t>128.</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4. - The Rome I </w:t>
      </w:r>
      <w:r>
        <w:rPr>
          <w:rFonts w:ascii="Arial"/>
          <w:b/>
          <w:spacing w:val="-2"/>
          <w:sz w:val="24"/>
        </w:rPr>
        <w:t>Regulation</w:t>
      </w:r>
    </w:p>
    <w:p>
      <w:pPr>
        <w:pStyle w:val="ListParagraph"/>
        <w:numPr>
          <w:ilvl w:val="0"/>
          <w:numId w:val="3"/>
        </w:numPr>
        <w:tabs>
          <w:tab w:pos="4271" w:val="left" w:leader="none"/>
        </w:tabs>
        <w:spacing w:line="240" w:lineRule="auto" w:before="194" w:after="0"/>
        <w:ind w:left="4271" w:right="0" w:hanging="439"/>
        <w:jc w:val="left"/>
        <w:rPr>
          <w:b/>
          <w:position w:val="11"/>
          <w:sz w:val="12"/>
        </w:rPr>
      </w:pPr>
      <w:bookmarkStart w:name="_bookmark2085" w:id="2087"/>
      <w:bookmarkEnd w:id="2087"/>
      <w:r>
        <w:rPr/>
      </w:r>
      <w:r>
        <w:rPr>
          <w:b/>
          <w:sz w:val="24"/>
        </w:rPr>
        <w:t>- Set-off </w:t>
      </w:r>
      <w:r>
        <w:rPr>
          <w:b/>
          <w:color w:val="005DA1"/>
          <w:spacing w:val="-4"/>
          <w:position w:val="11"/>
          <w:sz w:val="12"/>
          <w:u w:val="single" w:color="005DA1"/>
        </w:rPr>
        <w:t>1090</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Background</w:t>
      </w:r>
    </w:p>
    <w:p>
      <w:pPr>
        <w:pStyle w:val="BodyText"/>
        <w:spacing w:before="42"/>
        <w:rPr>
          <w:rFonts w:ascii="Arial"/>
          <w:b/>
          <w:sz w:val="18"/>
        </w:rPr>
      </w:pPr>
    </w:p>
    <w:p>
      <w:pPr>
        <w:pStyle w:val="Heading2"/>
      </w:pPr>
      <w:r>
        <w:rPr/>
        <w:t>30-</w:t>
      </w:r>
      <w:r>
        <w:rPr>
          <w:spacing w:val="-5"/>
        </w:rPr>
        <w:t>300</w:t>
      </w:r>
    </w:p>
    <w:p>
      <w:pPr>
        <w:pStyle w:val="BodyText"/>
        <w:spacing w:line="235" w:lineRule="auto" w:before="202"/>
        <w:ind w:left="165" w:right="167"/>
        <w:jc w:val="both"/>
      </w:pPr>
      <w:r>
        <w:rPr/>
        <w:t>The Rome Convention contained no specific rule relating to the law applicable to the right to set-off. However, it would seem likely that whether a debt is extinguished (or reduced) by set-off, is under the </w:t>
      </w:r>
      <w:bookmarkStart w:name="_bookmark2086" w:id="2088"/>
      <w:bookmarkEnd w:id="2088"/>
      <w:r>
        <w:rPr/>
        <w:t>Convention,</w:t>
      </w:r>
      <w:r>
        <w:rPr/>
        <w:t> governed by the law applicable to the contract by virtue of art.10(1)(d) of the </w:t>
      </w:r>
      <w:r>
        <w:rPr/>
        <w:t>Convention which submits to the applicable law, amongst other things, the ways of extinguishing obligations. </w:t>
      </w:r>
      <w:r>
        <w:rPr>
          <w:color w:val="005DA1"/>
          <w:u w:val="single" w:color="005DA1"/>
          <w:vertAlign w:val="superscript"/>
        </w:rPr>
        <w:t>1091</w:t>
      </w:r>
      <w:r>
        <w:rPr>
          <w:color w:val="005DA1"/>
          <w:vertAlign w:val="baseline"/>
        </w:rPr>
        <w:t> </w:t>
      </w:r>
      <w:r>
        <w:rPr>
          <w:vertAlign w:val="baseline"/>
        </w:rPr>
        <w:t>In contrast, art.17 of the Rome I Regulation contains a specific rule in relation to this matter. It provides that were:</w:t>
      </w:r>
    </w:p>
    <w:p>
      <w:pPr>
        <w:pStyle w:val="BodyText"/>
      </w:pPr>
    </w:p>
    <w:p>
      <w:pPr>
        <w:pStyle w:val="BodyText"/>
        <w:spacing w:before="125"/>
      </w:pPr>
    </w:p>
    <w:p>
      <w:pPr>
        <w:pStyle w:val="BodyText"/>
        <w:spacing w:line="235" w:lineRule="auto"/>
        <w:ind w:left="1245"/>
      </w:pPr>
      <w:r>
        <w:rPr/>
        <w:t>“…</w:t>
      </w:r>
      <w:r>
        <w:rPr>
          <w:spacing w:val="17"/>
        </w:rPr>
        <w:t> </w:t>
      </w:r>
      <w:r>
        <w:rPr/>
        <w:t>the</w:t>
      </w:r>
      <w:r>
        <w:rPr>
          <w:spacing w:val="17"/>
        </w:rPr>
        <w:t> </w:t>
      </w:r>
      <w:r>
        <w:rPr/>
        <w:t>right</w:t>
      </w:r>
      <w:r>
        <w:rPr>
          <w:spacing w:val="17"/>
        </w:rPr>
        <w:t> </w:t>
      </w:r>
      <w:r>
        <w:rPr/>
        <w:t>to</w:t>
      </w:r>
      <w:r>
        <w:rPr>
          <w:spacing w:val="17"/>
        </w:rPr>
        <w:t> </w:t>
      </w:r>
      <w:r>
        <w:rPr/>
        <w:t>set-off</w:t>
      </w:r>
      <w:r>
        <w:rPr>
          <w:spacing w:val="17"/>
        </w:rPr>
        <w:t> </w:t>
      </w:r>
      <w:r>
        <w:rPr/>
        <w:t>is</w:t>
      </w:r>
      <w:r>
        <w:rPr>
          <w:spacing w:val="17"/>
        </w:rPr>
        <w:t> </w:t>
      </w:r>
      <w:r>
        <w:rPr/>
        <w:t>not</w:t>
      </w:r>
      <w:r>
        <w:rPr>
          <w:spacing w:val="17"/>
        </w:rPr>
        <w:t> </w:t>
      </w:r>
      <w:r>
        <w:rPr/>
        <w:t>agreed</w:t>
      </w:r>
      <w:r>
        <w:rPr>
          <w:spacing w:val="17"/>
        </w:rPr>
        <w:t> </w:t>
      </w:r>
      <w:r>
        <w:rPr/>
        <w:t>by</w:t>
      </w:r>
      <w:r>
        <w:rPr>
          <w:spacing w:val="17"/>
        </w:rPr>
        <w:t> </w:t>
      </w:r>
      <w:r>
        <w:rPr/>
        <w:t>the</w:t>
      </w:r>
      <w:r>
        <w:rPr>
          <w:spacing w:val="17"/>
        </w:rPr>
        <w:t> </w:t>
      </w:r>
      <w:r>
        <w:rPr/>
        <w:t>parties,</w:t>
      </w:r>
      <w:r>
        <w:rPr>
          <w:spacing w:val="17"/>
        </w:rPr>
        <w:t> </w:t>
      </w:r>
      <w:r>
        <w:rPr/>
        <w:t>set-off</w:t>
      </w:r>
      <w:r>
        <w:rPr>
          <w:spacing w:val="17"/>
        </w:rPr>
        <w:t> </w:t>
      </w:r>
      <w:r>
        <w:rPr/>
        <w:t>shall</w:t>
      </w:r>
      <w:r>
        <w:rPr>
          <w:spacing w:val="17"/>
        </w:rPr>
        <w:t> </w:t>
      </w:r>
      <w:r>
        <w:rPr/>
        <w:t>be</w:t>
      </w:r>
      <w:r>
        <w:rPr>
          <w:spacing w:val="17"/>
        </w:rPr>
        <w:t> </w:t>
      </w:r>
      <w:r>
        <w:rPr/>
        <w:t>governed</w:t>
      </w:r>
      <w:r>
        <w:rPr>
          <w:spacing w:val="17"/>
        </w:rPr>
        <w:t> </w:t>
      </w:r>
      <w:r>
        <w:rPr/>
        <w:t>by</w:t>
      </w:r>
      <w:r>
        <w:rPr>
          <w:spacing w:val="17"/>
        </w:rPr>
        <w:t> </w:t>
      </w:r>
      <w:r>
        <w:rPr/>
        <w:t>the</w:t>
      </w:r>
      <w:r>
        <w:rPr>
          <w:spacing w:val="17"/>
        </w:rPr>
        <w:t> </w:t>
      </w:r>
      <w:r>
        <w:rPr/>
        <w:t>law applicable to the claim against which the right to set-off is asserted.”</w:t>
      </w:r>
    </w:p>
    <w:p>
      <w:pPr>
        <w:pStyle w:val="BodyText"/>
      </w:pPr>
    </w:p>
    <w:p>
      <w:pPr>
        <w:pStyle w:val="BodyText"/>
      </w:pPr>
    </w:p>
    <w:p>
      <w:pPr>
        <w:pStyle w:val="BodyText"/>
        <w:spacing w:before="154"/>
      </w:pPr>
    </w:p>
    <w:p>
      <w:pPr>
        <w:spacing w:before="0"/>
        <w:ind w:left="165" w:right="0" w:firstLine="0"/>
        <w:jc w:val="left"/>
        <w:rPr>
          <w:rFonts w:ascii="Arial" w:hAnsi="Arial"/>
          <w:b/>
          <w:sz w:val="18"/>
        </w:rPr>
      </w:pPr>
      <w:r>
        <w:rPr>
          <w:rFonts w:ascii="Arial" w:hAnsi="Arial"/>
          <w:b/>
          <w:sz w:val="18"/>
        </w:rPr>
        <w:t>Meaning of “set-</w:t>
      </w:r>
      <w:r>
        <w:rPr>
          <w:rFonts w:ascii="Arial" w:hAnsi="Arial"/>
          <w:b/>
          <w:spacing w:val="-4"/>
          <w:sz w:val="18"/>
        </w:rPr>
        <w:t>off”</w:t>
      </w:r>
    </w:p>
    <w:p>
      <w:pPr>
        <w:pStyle w:val="BodyText"/>
        <w:spacing w:before="42"/>
        <w:rPr>
          <w:rFonts w:ascii="Arial"/>
          <w:b/>
          <w:sz w:val="18"/>
        </w:rPr>
      </w:pPr>
    </w:p>
    <w:p>
      <w:pPr>
        <w:pStyle w:val="Heading2"/>
      </w:pPr>
      <w:r>
        <w:rPr/>
        <w:t>30-</w:t>
      </w:r>
      <w:r>
        <w:rPr>
          <w:spacing w:val="-5"/>
        </w:rPr>
        <w:t>301</w:t>
      </w:r>
    </w:p>
    <w:p>
      <w:pPr>
        <w:pStyle w:val="BodyText"/>
        <w:spacing w:line="235" w:lineRule="auto" w:before="202"/>
        <w:ind w:left="165" w:right="167"/>
        <w:jc w:val="both"/>
      </w:pPr>
      <w:r>
        <w:rPr/>
        <w:t>The meaning of “set-off” and the “right to set-off” is not defined in the Regulation, and, presumably, if necessary, the concept will be given an autonomous meaning. It is suggested, first, that if set-off is a claim of a certain kind which the defendant has against the claimant and which can conveniently </w:t>
      </w:r>
      <w:r>
        <w:rPr/>
        <w:t>be tried together with the claim against the defendant, or a counterclaim which can conveniently be tried with the claim against the defendant, then such a form of “set-off” will not fall within the scope of </w:t>
      </w:r>
      <w:bookmarkStart w:name="_bookmark2087" w:id="2089"/>
      <w:bookmarkEnd w:id="2089"/>
      <w:r>
        <w:rPr/>
        <w:t>art.17,</w:t>
      </w:r>
      <w:r>
        <w:rPr/>
        <w:t> or, in any event, the scope of the applicable law. Whether a “set-off” of these kinds can be </w:t>
      </w:r>
      <w:bookmarkStart w:name="_bookmark2088" w:id="2090"/>
      <w:bookmarkEnd w:id="2090"/>
      <w:r>
        <w:rPr/>
        <w:t>raised</w:t>
      </w:r>
      <w:r>
        <w:rPr/>
        <w:t> (if “set-off” is the correct description) is a question of procedure, governed by the lex fori, </w:t>
      </w:r>
      <w:r>
        <w:rPr>
          <w:color w:val="005DA1"/>
          <w:u w:val="single" w:color="005DA1"/>
          <w:vertAlign w:val="superscript"/>
        </w:rPr>
        <w:t>1092</w:t>
      </w:r>
      <w:r>
        <w:rPr>
          <w:color w:val="005DA1"/>
          <w:vertAlign w:val="baseline"/>
        </w:rPr>
        <w:t> </w:t>
      </w:r>
      <w:bookmarkStart w:name="_bookmark2089" w:id="2091"/>
      <w:bookmarkEnd w:id="2091"/>
      <w:r>
        <w:rPr>
          <w:color w:val="005DA1"/>
          <w:w w:val="92"/>
          <w:vertAlign w:val="baseline"/>
        </w:rPr>
      </w:r>
      <w:r>
        <w:rPr>
          <w:vertAlign w:val="baseline"/>
        </w:rPr>
        <w:t>and the Regulation does not apply to matters of procedure. </w:t>
      </w:r>
      <w:r>
        <w:rPr>
          <w:color w:val="005DA1"/>
          <w:u w:val="single" w:color="005DA1"/>
          <w:vertAlign w:val="superscript"/>
        </w:rPr>
        <w:t>1093</w:t>
      </w:r>
      <w:r>
        <w:rPr>
          <w:color w:val="005DA1"/>
          <w:vertAlign w:val="baseline"/>
        </w:rPr>
        <w:t> </w:t>
      </w:r>
      <w:r>
        <w:rPr>
          <w:vertAlign w:val="baseline"/>
        </w:rPr>
        <w:t>Conversely, a set-off (to borrow </w:t>
      </w:r>
      <w:bookmarkStart w:name="_bookmark2090" w:id="2092"/>
      <w:bookmarkEnd w:id="2092"/>
      <w:r>
        <w:rPr>
          <w:vertAlign w:val="baseline"/>
        </w:rPr>
        <w:t>English</w:t>
      </w:r>
      <w:r>
        <w:rPr>
          <w:vertAlign w:val="baseline"/>
        </w:rPr>
        <w:t> legal terminology) may amount to an equity </w:t>
      </w:r>
      <w:r>
        <w:rPr>
          <w:color w:val="005DA1"/>
          <w:u w:val="single" w:color="005DA1"/>
          <w:vertAlign w:val="superscript"/>
        </w:rPr>
        <w:t>1094</w:t>
      </w:r>
      <w:r>
        <w:rPr>
          <w:color w:val="005DA1"/>
          <w:vertAlign w:val="baseline"/>
        </w:rPr>
        <w:t> </w:t>
      </w:r>
      <w:r>
        <w:rPr>
          <w:vertAlign w:val="baseline"/>
        </w:rPr>
        <w:t>attaching to the claim directly and may </w:t>
      </w:r>
      <w:bookmarkStart w:name="_bookmark2091" w:id="2093"/>
      <w:bookmarkEnd w:id="2093"/>
      <w:r>
        <w:rPr>
          <w:vertAlign w:val="baseline"/>
        </w:rPr>
        <w:t>operate</w:t>
      </w:r>
      <w:r>
        <w:rPr>
          <w:spacing w:val="-3"/>
          <w:vertAlign w:val="baseline"/>
        </w:rPr>
        <w:t> </w:t>
      </w:r>
      <w:r>
        <w:rPr>
          <w:vertAlign w:val="baseline"/>
        </w:rPr>
        <w:t>in</w:t>
      </w:r>
      <w:r>
        <w:rPr>
          <w:spacing w:val="-3"/>
          <w:vertAlign w:val="baseline"/>
        </w:rPr>
        <w:t> </w:t>
      </w:r>
      <w:r>
        <w:rPr>
          <w:vertAlign w:val="baseline"/>
        </w:rPr>
        <w:t>total</w:t>
      </w:r>
      <w:r>
        <w:rPr>
          <w:spacing w:val="-3"/>
          <w:vertAlign w:val="baseline"/>
        </w:rPr>
        <w:t> </w:t>
      </w:r>
      <w:r>
        <w:rPr>
          <w:vertAlign w:val="baseline"/>
        </w:rPr>
        <w:t>or</w:t>
      </w:r>
      <w:r>
        <w:rPr>
          <w:spacing w:val="-3"/>
          <w:vertAlign w:val="baseline"/>
        </w:rPr>
        <w:t> </w:t>
      </w:r>
      <w:r>
        <w:rPr>
          <w:vertAlign w:val="baseline"/>
        </w:rPr>
        <w:t>partial</w:t>
      </w:r>
      <w:r>
        <w:rPr>
          <w:spacing w:val="-3"/>
          <w:vertAlign w:val="baseline"/>
        </w:rPr>
        <w:t> </w:t>
      </w:r>
      <w:r>
        <w:rPr>
          <w:vertAlign w:val="baseline"/>
        </w:rPr>
        <w:t>extinction</w:t>
      </w:r>
      <w:r>
        <w:rPr>
          <w:spacing w:val="-3"/>
          <w:vertAlign w:val="baseline"/>
        </w:rPr>
        <w:t> </w:t>
      </w:r>
      <w:r>
        <w:rPr>
          <w:vertAlign w:val="baseline"/>
        </w:rPr>
        <w:t>of</w:t>
      </w:r>
      <w:r>
        <w:rPr>
          <w:spacing w:val="-3"/>
          <w:vertAlign w:val="baseline"/>
        </w:rPr>
        <w:t> </w:t>
      </w:r>
      <w:r>
        <w:rPr>
          <w:vertAlign w:val="baseline"/>
        </w:rPr>
        <w:t>that</w:t>
      </w:r>
      <w:r>
        <w:rPr>
          <w:spacing w:val="-3"/>
          <w:vertAlign w:val="baseline"/>
        </w:rPr>
        <w:t> </w:t>
      </w:r>
      <w:r>
        <w:rPr>
          <w:vertAlign w:val="baseline"/>
        </w:rPr>
        <w:t>claim.</w:t>
      </w:r>
      <w:r>
        <w:rPr>
          <w:spacing w:val="-3"/>
          <w:vertAlign w:val="baseline"/>
        </w:rPr>
        <w:t> </w:t>
      </w:r>
      <w:r>
        <w:rPr>
          <w:color w:val="005DA1"/>
          <w:u w:val="single" w:color="005DA1"/>
          <w:vertAlign w:val="superscript"/>
        </w:rPr>
        <w:t>1095</w:t>
      </w:r>
      <w:r>
        <w:rPr>
          <w:color w:val="005DA1"/>
          <w:spacing w:val="-3"/>
          <w:vertAlign w:val="baseline"/>
        </w:rPr>
        <w:t> </w:t>
      </w:r>
      <w:r>
        <w:rPr>
          <w:vertAlign w:val="baseline"/>
        </w:rPr>
        <w:t>The</w:t>
      </w:r>
      <w:r>
        <w:rPr>
          <w:spacing w:val="-3"/>
          <w:vertAlign w:val="baseline"/>
        </w:rPr>
        <w:t> </w:t>
      </w:r>
      <w:r>
        <w:rPr>
          <w:vertAlign w:val="baseline"/>
        </w:rPr>
        <w:t>question</w:t>
      </w:r>
      <w:r>
        <w:rPr>
          <w:spacing w:val="-3"/>
          <w:vertAlign w:val="baseline"/>
        </w:rPr>
        <w:t> </w:t>
      </w:r>
      <w:r>
        <w:rPr>
          <w:vertAlign w:val="baseline"/>
        </w:rPr>
        <w:t>whether</w:t>
      </w:r>
      <w:r>
        <w:rPr>
          <w:spacing w:val="-3"/>
          <w:vertAlign w:val="baseline"/>
        </w:rPr>
        <w:t> </w:t>
      </w:r>
      <w:r>
        <w:rPr>
          <w:vertAlign w:val="baseline"/>
        </w:rPr>
        <w:t>a</w:t>
      </w:r>
      <w:r>
        <w:rPr>
          <w:spacing w:val="-3"/>
          <w:vertAlign w:val="baseline"/>
        </w:rPr>
        <w:t> </w:t>
      </w:r>
      <w:r>
        <w:rPr>
          <w:vertAlign w:val="baseline"/>
        </w:rPr>
        <w:t>set-off</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latter</w:t>
      </w:r>
      <w:r>
        <w:rPr>
          <w:spacing w:val="-3"/>
          <w:vertAlign w:val="baseline"/>
        </w:rPr>
        <w:t> </w:t>
      </w:r>
      <w:r>
        <w:rPr>
          <w:vertAlign w:val="baseline"/>
        </w:rPr>
        <w:t>nature exists is one of substance governed by the relevant applicable law. </w:t>
      </w:r>
      <w:r>
        <w:rPr>
          <w:color w:val="005DA1"/>
          <w:u w:val="single" w:color="005DA1"/>
          <w:vertAlign w:val="superscript"/>
        </w:rPr>
        <w:t>1096</w:t>
      </w:r>
      <w:r>
        <w:rPr>
          <w:color w:val="005DA1"/>
          <w:vertAlign w:val="baseline"/>
        </w:rPr>
        <w:t> </w:t>
      </w:r>
      <w:r>
        <w:rPr>
          <w:vertAlign w:val="baseline"/>
        </w:rPr>
        <w:t>It is set-off of this latter kind which is, it is suggested, a set-off or a right to set-off which falls within art.17.</w:t>
      </w:r>
    </w:p>
    <w:p>
      <w:pPr>
        <w:pStyle w:val="BodyText"/>
      </w:pPr>
    </w:p>
    <w:p>
      <w:pPr>
        <w:pStyle w:val="BodyText"/>
        <w:spacing w:before="34"/>
      </w:pPr>
    </w:p>
    <w:p>
      <w:pPr>
        <w:spacing w:before="1"/>
        <w:ind w:left="165" w:right="0" w:firstLine="0"/>
        <w:jc w:val="left"/>
        <w:rPr>
          <w:rFonts w:ascii="Arial"/>
          <w:b/>
          <w:sz w:val="18"/>
        </w:rPr>
      </w:pPr>
      <w:r>
        <w:rPr>
          <w:rFonts w:ascii="Arial"/>
          <w:b/>
          <w:sz w:val="18"/>
        </w:rPr>
        <w:t>Set-off in insolvency </w:t>
      </w:r>
      <w:r>
        <w:rPr>
          <w:rFonts w:ascii="Arial"/>
          <w:b/>
          <w:spacing w:val="-2"/>
          <w:sz w:val="18"/>
        </w:rPr>
        <w:t>proceedings</w:t>
      </w:r>
    </w:p>
    <w:p>
      <w:pPr>
        <w:pStyle w:val="BodyText"/>
        <w:spacing w:before="41"/>
        <w:rPr>
          <w:rFonts w:ascii="Arial"/>
          <w:b/>
          <w:sz w:val="18"/>
        </w:rPr>
      </w:pPr>
    </w:p>
    <w:p>
      <w:pPr>
        <w:pStyle w:val="Heading2"/>
      </w:pPr>
      <w:r>
        <w:rPr/>
        <w:t>30-</w:t>
      </w:r>
      <w:r>
        <w:rPr>
          <w:spacing w:val="-5"/>
        </w:rPr>
        <w:t>302</w:t>
      </w:r>
    </w:p>
    <w:p>
      <w:pPr>
        <w:pStyle w:val="BodyText"/>
        <w:spacing w:before="92"/>
        <w:rPr>
          <w:rFonts w:ascii="Arial"/>
          <w:b/>
        </w:rPr>
      </w:pPr>
    </w:p>
    <w:p>
      <w:pPr>
        <w:pStyle w:val="BodyText"/>
        <w:spacing w:line="235" w:lineRule="auto"/>
        <w:ind w:left="165"/>
      </w:pPr>
      <w:r>
        <w:rPr>
          <w:position w:val="-2"/>
        </w:rPr>
        <w:drawing>
          <wp:inline distT="0" distB="0" distL="0" distR="0">
            <wp:extent cx="107988" cy="107988"/>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7"/>
        </w:rPr>
        <w:t> </w:t>
      </w:r>
      <w:r>
        <w:rPr/>
        <w:t>The right to assert a set-off under art.17 of the Regulation must be distinguished from the right to</w:t>
      </w:r>
      <w:r>
        <w:rPr>
          <w:spacing w:val="40"/>
        </w:rPr>
        <w:t> </w:t>
      </w:r>
      <w:r>
        <w:rPr/>
        <w:t>assert</w:t>
      </w:r>
      <w:r>
        <w:rPr>
          <w:spacing w:val="49"/>
        </w:rPr>
        <w:t> </w:t>
      </w:r>
      <w:r>
        <w:rPr/>
        <w:t>a</w:t>
      </w:r>
      <w:r>
        <w:rPr>
          <w:spacing w:val="49"/>
        </w:rPr>
        <w:t> </w:t>
      </w:r>
      <w:r>
        <w:rPr/>
        <w:t>set-off</w:t>
      </w:r>
      <w:r>
        <w:rPr>
          <w:spacing w:val="49"/>
        </w:rPr>
        <w:t> </w:t>
      </w:r>
      <w:r>
        <w:rPr/>
        <w:t>in</w:t>
      </w:r>
      <w:r>
        <w:rPr>
          <w:spacing w:val="49"/>
        </w:rPr>
        <w:t> </w:t>
      </w:r>
      <w:r>
        <w:rPr/>
        <w:t>insolvency</w:t>
      </w:r>
      <w:r>
        <w:rPr>
          <w:spacing w:val="49"/>
        </w:rPr>
        <w:t> </w:t>
      </w:r>
      <w:r>
        <w:rPr/>
        <w:t>proceedings,</w:t>
      </w:r>
      <w:r>
        <w:rPr>
          <w:spacing w:val="49"/>
        </w:rPr>
        <w:t> </w:t>
      </w:r>
      <w:r>
        <w:rPr/>
        <w:t>at</w:t>
      </w:r>
      <w:r>
        <w:rPr>
          <w:spacing w:val="49"/>
        </w:rPr>
        <w:t> </w:t>
      </w:r>
      <w:r>
        <w:rPr/>
        <w:t>least</w:t>
      </w:r>
      <w:r>
        <w:rPr>
          <w:spacing w:val="49"/>
        </w:rPr>
        <w:t> </w:t>
      </w:r>
      <w:r>
        <w:rPr/>
        <w:t>where</w:t>
      </w:r>
      <w:r>
        <w:rPr>
          <w:spacing w:val="49"/>
        </w:rPr>
        <w:t> </w:t>
      </w:r>
      <w:r>
        <w:rPr/>
        <w:t>the</w:t>
      </w:r>
      <w:r>
        <w:rPr>
          <w:spacing w:val="49"/>
        </w:rPr>
        <w:t> </w:t>
      </w:r>
      <w:r>
        <w:rPr/>
        <w:t>insolvency</w:t>
      </w:r>
      <w:r>
        <w:rPr>
          <w:spacing w:val="49"/>
        </w:rPr>
        <w:t> </w:t>
      </w:r>
      <w:r>
        <w:rPr/>
        <w:t>proceedings</w:t>
      </w:r>
      <w:r>
        <w:rPr>
          <w:spacing w:val="49"/>
        </w:rPr>
        <w:t> </w:t>
      </w:r>
      <w:r>
        <w:rPr/>
        <w:t>fall</w:t>
      </w:r>
      <w:r>
        <w:rPr>
          <w:spacing w:val="49"/>
        </w:rPr>
        <w:t> </w:t>
      </w:r>
      <w:r>
        <w:rPr>
          <w:spacing w:val="-2"/>
        </w:rPr>
        <w:t>within</w:t>
      </w:r>
    </w:p>
    <w:p>
      <w:pPr>
        <w:pStyle w:val="BodyText"/>
        <w:spacing w:after="0" w:line="235" w:lineRule="auto"/>
        <w:sectPr>
          <w:headerReference w:type="default" r:id="rId28"/>
          <w:pgSz w:w="11900" w:h="16840"/>
          <w:pgMar w:header="971" w:footer="0" w:top="1300" w:bottom="280" w:left="1275" w:right="1275"/>
          <w:pgNumType w:start="1"/>
        </w:sectPr>
      </w:pPr>
    </w:p>
    <w:p>
      <w:pPr>
        <w:pStyle w:val="BodyText"/>
      </w:pPr>
    </w:p>
    <w:p>
      <w:pPr>
        <w:pStyle w:val="BodyText"/>
        <w:spacing w:line="235" w:lineRule="auto"/>
        <w:ind w:left="165" w:right="167"/>
        <w:jc w:val="both"/>
      </w:pPr>
      <w:bookmarkStart w:name="_bookmark2092" w:id="2094"/>
      <w:bookmarkEnd w:id="2094"/>
      <w:r>
        <w:rPr/>
      </w:r>
      <w:r>
        <w:rPr/>
        <w:t>Council Regulation 1346/2000 on insolvency proceedings. </w:t>
      </w:r>
      <w:hyperlink w:history="true" w:anchor="_bookmark2102">
        <w:r>
          <w:rPr>
            <w:color w:val="005DA1"/>
            <w:u w:val="single" w:color="005DA1"/>
            <w:vertAlign w:val="superscript"/>
          </w:rPr>
          <w:t>1097</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7"/>
            <w:vertAlign w:val="baseline"/>
          </w:rPr>
          <w:t> </w:t>
        </w:r>
        <w:r>
          <w:rPr>
            <w:vertAlign w:val="baseline"/>
          </w:rPr>
          <w:t>This Regulation provides that, in </w:t>
        </w:r>
        <w:bookmarkStart w:name="_bookmark2093" w:id="2095"/>
        <w:bookmarkEnd w:id="2095"/>
        <w:r>
          <w:rPr>
            <w:vertAlign w:val="baseline"/>
          </w:rPr>
          <w:t>proceedings</w:t>
        </w:r>
        <w:r>
          <w:rPr>
            <w:vertAlign w:val="baseline"/>
          </w:rPr>
          <w:t> which fall within it, the law of the State in which insolvency proceedings are opened will generally apply to determine the conditions under which set-offs may be invoked. </w:t>
        </w:r>
        <w:r>
          <w:rPr>
            <w:color w:val="005DA1"/>
            <w:u w:val="single" w:color="005DA1"/>
            <w:vertAlign w:val="superscript"/>
          </w:rPr>
          <w:t>1098</w:t>
        </w:r>
        <w:r>
          <w:rPr>
            <w:color w:val="005DA1"/>
            <w:vertAlign w:val="baseline"/>
          </w:rPr>
          <w:t> </w:t>
        </w:r>
        <w:r>
          <w:rPr>
            <w:vertAlign w:val="baseline"/>
          </w:rPr>
          <w:t>By way </w:t>
        </w:r>
        <w:r>
          <w:rPr>
            <w:vertAlign w:val="baseline"/>
          </w:rPr>
          <w:t>of exception to this general rule, art.6(1) of the Regulation on Insolvency Proceedings establishes that:</w:t>
        </w:r>
      </w:hyperlink>
    </w:p>
    <w:p>
      <w:pPr>
        <w:pStyle w:val="BodyText"/>
      </w:pPr>
    </w:p>
    <w:p>
      <w:pPr>
        <w:pStyle w:val="BodyText"/>
        <w:spacing w:before="125"/>
      </w:pPr>
    </w:p>
    <w:p>
      <w:pPr>
        <w:pStyle w:val="BodyText"/>
        <w:spacing w:line="235" w:lineRule="auto" w:before="1"/>
        <w:ind w:left="1245" w:right="167"/>
        <w:jc w:val="both"/>
      </w:pPr>
      <w:r>
        <w:rPr/>
        <w:t>“… the opening of insolvency proceedings shall not affect the rights of creditors to demand</w:t>
      </w:r>
      <w:r>
        <w:rPr>
          <w:spacing w:val="-1"/>
        </w:rPr>
        <w:t> </w:t>
      </w:r>
      <w:r>
        <w:rPr/>
        <w:t>the</w:t>
      </w:r>
      <w:r>
        <w:rPr>
          <w:spacing w:val="-1"/>
        </w:rPr>
        <w:t> </w:t>
      </w:r>
      <w:r>
        <w:rPr/>
        <w:t>set-off</w:t>
      </w:r>
      <w:r>
        <w:rPr>
          <w:spacing w:val="-1"/>
        </w:rPr>
        <w:t> </w:t>
      </w:r>
      <w:r>
        <w:rPr/>
        <w:t>of</w:t>
      </w:r>
      <w:r>
        <w:rPr>
          <w:spacing w:val="-1"/>
        </w:rPr>
        <w:t> </w:t>
      </w:r>
      <w:r>
        <w:rPr/>
        <w:t>their</w:t>
      </w:r>
      <w:r>
        <w:rPr>
          <w:spacing w:val="-1"/>
        </w:rPr>
        <w:t> </w:t>
      </w:r>
      <w:r>
        <w:rPr/>
        <w:t>claims</w:t>
      </w:r>
      <w:r>
        <w:rPr>
          <w:spacing w:val="-1"/>
        </w:rPr>
        <w:t> </w:t>
      </w:r>
      <w:r>
        <w:rPr/>
        <w:t>against</w:t>
      </w:r>
      <w:r>
        <w:rPr>
          <w:spacing w:val="-1"/>
        </w:rPr>
        <w:t> </w:t>
      </w:r>
      <w:r>
        <w:rPr/>
        <w:t>the</w:t>
      </w:r>
      <w:r>
        <w:rPr>
          <w:spacing w:val="-1"/>
        </w:rPr>
        <w:t> </w:t>
      </w:r>
      <w:r>
        <w:rPr/>
        <w:t>claims</w:t>
      </w:r>
      <w:r>
        <w:rPr>
          <w:spacing w:val="-1"/>
        </w:rPr>
        <w:t> </w:t>
      </w:r>
      <w:r>
        <w:rPr/>
        <w:t>of</w:t>
      </w:r>
      <w:r>
        <w:rPr>
          <w:spacing w:val="-1"/>
        </w:rPr>
        <w:t> </w:t>
      </w:r>
      <w:r>
        <w:rPr/>
        <w:t>the</w:t>
      </w:r>
      <w:r>
        <w:rPr>
          <w:spacing w:val="-1"/>
        </w:rPr>
        <w:t> </w:t>
      </w:r>
      <w:r>
        <w:rPr/>
        <w:t>debtor,</w:t>
      </w:r>
      <w:r>
        <w:rPr>
          <w:spacing w:val="-1"/>
        </w:rPr>
        <w:t> </w:t>
      </w:r>
      <w:r>
        <w:rPr/>
        <w:t>where</w:t>
      </w:r>
      <w:r>
        <w:rPr>
          <w:spacing w:val="-1"/>
        </w:rPr>
        <w:t> </w:t>
      </w:r>
      <w:r>
        <w:rPr/>
        <w:t>such</w:t>
      </w:r>
      <w:r>
        <w:rPr>
          <w:spacing w:val="-1"/>
        </w:rPr>
        <w:t> </w:t>
      </w:r>
      <w:r>
        <w:rPr/>
        <w:t>a</w:t>
      </w:r>
      <w:r>
        <w:rPr>
          <w:spacing w:val="-1"/>
        </w:rPr>
        <w:t> </w:t>
      </w:r>
      <w:r>
        <w:rPr/>
        <w:t>set-off</w:t>
      </w:r>
      <w:r>
        <w:rPr>
          <w:spacing w:val="-1"/>
        </w:rPr>
        <w:t> </w:t>
      </w:r>
      <w:r>
        <w:rPr/>
        <w:t>is permitted by the law applicable to the insolvent debtor’s claim. The effect of this rule </w:t>
      </w:r>
      <w:r>
        <w:rPr/>
        <w:t>is that</w:t>
      </w:r>
      <w:r>
        <w:rPr>
          <w:spacing w:val="29"/>
        </w:rPr>
        <w:t> </w:t>
      </w:r>
      <w:r>
        <w:rPr/>
        <w:t>where</w:t>
      </w:r>
      <w:r>
        <w:rPr>
          <w:spacing w:val="29"/>
        </w:rPr>
        <w:t> </w:t>
      </w:r>
      <w:r>
        <w:rPr/>
        <w:t>the</w:t>
      </w:r>
      <w:r>
        <w:rPr>
          <w:spacing w:val="29"/>
        </w:rPr>
        <w:t> </w:t>
      </w:r>
      <w:r>
        <w:rPr/>
        <w:t>law</w:t>
      </w:r>
      <w:r>
        <w:rPr>
          <w:spacing w:val="29"/>
        </w:rPr>
        <w:t> </w:t>
      </w:r>
      <w:r>
        <w:rPr/>
        <w:t>of</w:t>
      </w:r>
      <w:r>
        <w:rPr>
          <w:spacing w:val="29"/>
        </w:rPr>
        <w:t> </w:t>
      </w:r>
      <w:r>
        <w:rPr/>
        <w:t>the</w:t>
      </w:r>
      <w:r>
        <w:rPr>
          <w:spacing w:val="29"/>
        </w:rPr>
        <w:t> </w:t>
      </w:r>
      <w:r>
        <w:rPr/>
        <w:t>State</w:t>
      </w:r>
      <w:r>
        <w:rPr>
          <w:spacing w:val="29"/>
        </w:rPr>
        <w:t> </w:t>
      </w:r>
      <w:r>
        <w:rPr/>
        <w:t>of</w:t>
      </w:r>
      <w:r>
        <w:rPr>
          <w:spacing w:val="29"/>
        </w:rPr>
        <w:t> </w:t>
      </w:r>
      <w:r>
        <w:rPr/>
        <w:t>opening</w:t>
      </w:r>
      <w:r>
        <w:rPr>
          <w:spacing w:val="29"/>
        </w:rPr>
        <w:t> </w:t>
      </w:r>
      <w:r>
        <w:rPr/>
        <w:t>of</w:t>
      </w:r>
      <w:r>
        <w:rPr>
          <w:spacing w:val="29"/>
        </w:rPr>
        <w:t> </w:t>
      </w:r>
      <w:r>
        <w:rPr/>
        <w:t>insolvency</w:t>
      </w:r>
      <w:r>
        <w:rPr>
          <w:spacing w:val="29"/>
        </w:rPr>
        <w:t> </w:t>
      </w:r>
      <w:r>
        <w:rPr/>
        <w:t>proceedings</w:t>
      </w:r>
      <w:r>
        <w:rPr>
          <w:spacing w:val="29"/>
        </w:rPr>
        <w:t> </w:t>
      </w:r>
      <w:r>
        <w:rPr/>
        <w:t>does</w:t>
      </w:r>
      <w:r>
        <w:rPr>
          <w:spacing w:val="29"/>
        </w:rPr>
        <w:t> </w:t>
      </w:r>
      <w:r>
        <w:rPr/>
        <w:t>not</w:t>
      </w:r>
      <w:r>
        <w:rPr>
          <w:spacing w:val="29"/>
        </w:rPr>
        <w:t> </w:t>
      </w:r>
      <w:r>
        <w:rPr/>
        <w:t>permit </w:t>
      </w:r>
      <w:bookmarkStart w:name="_bookmark2094" w:id="2096"/>
      <w:bookmarkEnd w:id="2096"/>
      <w:r>
        <w:rPr/>
        <w:t>set</w:t>
      </w:r>
      <w:r>
        <w:rPr/>
        <w:t>-off, then a creditor may nonetheless rely on set-off if set-off is permitted by the law which governs the insolvent debtor’s claim against the creditor.” </w:t>
      </w:r>
      <w:r>
        <w:rPr>
          <w:color w:val="005DA1"/>
          <w:u w:val="single" w:color="005DA1"/>
          <w:vertAlign w:val="superscript"/>
        </w:rPr>
        <w:t>1099</w:t>
      </w:r>
    </w:p>
    <w:p>
      <w:pPr>
        <w:pStyle w:val="BodyText"/>
        <w:spacing w:before="114"/>
      </w:pPr>
    </w:p>
    <w:p>
      <w:pPr>
        <w:pStyle w:val="BodyText"/>
        <w:spacing w:line="235" w:lineRule="auto"/>
        <w:ind w:left="165" w:right="167"/>
        <w:jc w:val="both"/>
      </w:pPr>
      <w:r>
        <w:rPr/>
        <w:t>If the latter claim is contractual in nature, the law which governs it will be determined by choice of </w:t>
      </w:r>
      <w:r>
        <w:rPr/>
        <w:t>law rules in the Rome I Regulation, </w:t>
      </w:r>
      <w:r>
        <w:rPr>
          <w:rFonts w:ascii="Arial"/>
          <w:i/>
        </w:rPr>
        <w:t>not </w:t>
      </w:r>
      <w:r>
        <w:rPr/>
        <w:t>including, it would seem, the rule in art.17 of that Regulation,</w:t>
      </w:r>
      <w:r>
        <w:rPr>
          <w:spacing w:val="80"/>
        </w:rPr>
        <w:t> </w:t>
      </w:r>
      <w:r>
        <w:rPr/>
        <w:t>since the Regulation on Insolvency Proceedings contains its own rule as to when set-off may be </w:t>
      </w:r>
      <w:r>
        <w:rPr>
          <w:spacing w:val="-2"/>
        </w:rPr>
        <w:t>invoked.</w:t>
      </w:r>
    </w:p>
    <w:p>
      <w:pPr>
        <w:pStyle w:val="BodyText"/>
      </w:pPr>
    </w:p>
    <w:p>
      <w:pPr>
        <w:pStyle w:val="BodyText"/>
        <w:spacing w:before="37"/>
      </w:pPr>
    </w:p>
    <w:p>
      <w:pPr>
        <w:spacing w:before="0"/>
        <w:ind w:left="165" w:right="0" w:firstLine="0"/>
        <w:jc w:val="both"/>
        <w:rPr>
          <w:rFonts w:ascii="Arial"/>
          <w:b/>
          <w:sz w:val="18"/>
        </w:rPr>
      </w:pPr>
      <w:r>
        <w:rPr>
          <w:rFonts w:ascii="Arial"/>
          <w:b/>
          <w:sz w:val="18"/>
        </w:rPr>
        <w:t>Applicable law under </w:t>
      </w:r>
      <w:r>
        <w:rPr>
          <w:rFonts w:ascii="Arial"/>
          <w:b/>
          <w:spacing w:val="-2"/>
          <w:sz w:val="18"/>
        </w:rPr>
        <w:t>art.17</w:t>
      </w:r>
    </w:p>
    <w:p>
      <w:pPr>
        <w:pStyle w:val="BodyText"/>
        <w:spacing w:before="41"/>
        <w:rPr>
          <w:rFonts w:ascii="Arial"/>
          <w:b/>
          <w:sz w:val="18"/>
        </w:rPr>
      </w:pPr>
    </w:p>
    <w:p>
      <w:pPr>
        <w:pStyle w:val="Heading2"/>
        <w:spacing w:before="1"/>
      </w:pPr>
      <w:r>
        <w:rPr/>
        <w:t>30-</w:t>
      </w:r>
      <w:r>
        <w:rPr>
          <w:spacing w:val="-5"/>
        </w:rPr>
        <w:t>303</w:t>
      </w:r>
    </w:p>
    <w:p>
      <w:pPr>
        <w:pStyle w:val="BodyText"/>
        <w:spacing w:line="235" w:lineRule="auto" w:before="202"/>
        <w:ind w:left="165" w:right="167"/>
        <w:jc w:val="both"/>
      </w:pPr>
      <w:r>
        <w:rPr/>
        <w:t>Where the right to set-off is not agreed between the parties, set-off shall be governed by the </w:t>
      </w:r>
      <w:r>
        <w:rPr/>
        <w:t>law applicable to the contract creating the claim against which the right to set-off is asserted.</w:t>
      </w:r>
    </w:p>
    <w:p>
      <w:pPr>
        <w:pStyle w:val="BodyText"/>
      </w:pPr>
    </w:p>
    <w:p>
      <w:pPr>
        <w:pStyle w:val="BodyText"/>
        <w:spacing w:before="39"/>
      </w:pPr>
      <w:r>
        <w:rPr/>
        <mc:AlternateContent>
          <mc:Choice Requires="wps">
            <w:drawing>
              <wp:anchor distT="0" distB="0" distL="0" distR="0" allowOverlap="1" layoutInCell="1" locked="0" behindDoc="1" simplePos="0" relativeHeight="487625216">
                <wp:simplePos x="0" y="0"/>
                <wp:positionH relativeFrom="page">
                  <wp:posOffset>914400</wp:posOffset>
                </wp:positionH>
                <wp:positionV relativeFrom="paragraph">
                  <wp:posOffset>186368</wp:posOffset>
                </wp:positionV>
                <wp:extent cx="5724525"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4719pt;width:450.75pt;height:.1pt;mso-position-horizontal-relative:page;mso-position-vertical-relative:paragraph;z-index:-15691264;mso-wrap-distance-left:0;mso-wrap-distance-right:0" id="docshape44"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19"/>
      </w:tblGrid>
      <w:tr>
        <w:trPr>
          <w:trHeight w:val="224" w:hRule="atLeast"/>
        </w:trPr>
        <w:tc>
          <w:tcPr>
            <w:tcW w:w="496" w:type="dxa"/>
          </w:tcPr>
          <w:p>
            <w:pPr>
              <w:pStyle w:val="TableParagraph"/>
              <w:spacing w:before="0"/>
              <w:ind w:left="0" w:right="43"/>
              <w:rPr>
                <w:sz w:val="14"/>
              </w:rPr>
            </w:pPr>
            <w:bookmarkStart w:name="_bookmark2095" w:id="2097"/>
            <w:bookmarkEnd w:id="2097"/>
            <w:r>
              <w:rPr/>
            </w:r>
            <w:hyperlink w:history="true" w:anchor="_bookmark2085">
              <w:r>
                <w:rPr>
                  <w:color w:val="005DA1"/>
                  <w:spacing w:val="-2"/>
                  <w:sz w:val="14"/>
                  <w:u w:val="single" w:color="005DA1"/>
                </w:rPr>
                <w:t>1090</w:t>
              </w:r>
            </w:hyperlink>
            <w:r>
              <w:rPr>
                <w:spacing w:val="-2"/>
                <w:sz w:val="14"/>
              </w:rPr>
              <w:t>.</w:t>
            </w:r>
          </w:p>
        </w:tc>
        <w:tc>
          <w:tcPr>
            <w:tcW w:w="8619" w:type="dxa"/>
          </w:tcPr>
          <w:p>
            <w:pPr>
              <w:pStyle w:val="TableParagraph"/>
              <w:spacing w:line="204" w:lineRule="exact" w:before="0"/>
              <w:jc w:val="left"/>
              <w:rPr>
                <w:rFonts w:ascii="Arial" w:hAnsi="Arial"/>
                <w:i/>
                <w:sz w:val="20"/>
              </w:rPr>
            </w:pPr>
            <w:r>
              <w:rPr>
                <w:sz w:val="20"/>
              </w:rPr>
              <w:t>Plender</w:t>
            </w:r>
            <w:r>
              <w:rPr>
                <w:spacing w:val="6"/>
                <w:sz w:val="20"/>
              </w:rPr>
              <w:t> </w:t>
            </w:r>
            <w:r>
              <w:rPr>
                <w:sz w:val="20"/>
              </w:rPr>
              <w:t>and</w:t>
            </w:r>
            <w:r>
              <w:rPr>
                <w:spacing w:val="6"/>
                <w:sz w:val="20"/>
              </w:rPr>
              <w:t> </w:t>
            </w:r>
            <w:r>
              <w:rPr>
                <w:sz w:val="20"/>
              </w:rPr>
              <w:t>Wilderspin,</w:t>
            </w:r>
            <w:r>
              <w:rPr>
                <w:spacing w:val="6"/>
                <w:sz w:val="20"/>
              </w:rPr>
              <w:t> </w:t>
            </w:r>
            <w:r>
              <w:rPr>
                <w:sz w:val="20"/>
              </w:rPr>
              <w:t>4th</w:t>
            </w:r>
            <w:r>
              <w:rPr>
                <w:spacing w:val="6"/>
                <w:sz w:val="20"/>
              </w:rPr>
              <w:t> </w:t>
            </w:r>
            <w:r>
              <w:rPr>
                <w:sz w:val="20"/>
              </w:rPr>
              <w:t>edn</w:t>
            </w:r>
            <w:r>
              <w:rPr>
                <w:spacing w:val="6"/>
                <w:sz w:val="20"/>
              </w:rPr>
              <w:t> </w:t>
            </w:r>
            <w:r>
              <w:rPr>
                <w:sz w:val="20"/>
              </w:rPr>
              <w:t>(2015),</w:t>
            </w:r>
            <w:r>
              <w:rPr>
                <w:spacing w:val="6"/>
                <w:sz w:val="20"/>
              </w:rPr>
              <w:t> </w:t>
            </w:r>
            <w:r>
              <w:rPr>
                <w:sz w:val="20"/>
              </w:rPr>
              <w:t>pp.410–411;</w:t>
            </w:r>
            <w:r>
              <w:rPr>
                <w:spacing w:val="6"/>
                <w:sz w:val="20"/>
              </w:rPr>
              <w:t> </w:t>
            </w:r>
            <w:r>
              <w:rPr>
                <w:sz w:val="20"/>
              </w:rPr>
              <w:t>Hellner</w:t>
            </w:r>
            <w:r>
              <w:rPr>
                <w:spacing w:val="6"/>
                <w:sz w:val="20"/>
              </w:rPr>
              <w:t> </w:t>
            </w:r>
            <w:r>
              <w:rPr>
                <w:sz w:val="20"/>
              </w:rPr>
              <w:t>in</w:t>
            </w:r>
            <w:r>
              <w:rPr>
                <w:spacing w:val="6"/>
                <w:sz w:val="20"/>
              </w:rPr>
              <w:t> </w:t>
            </w:r>
            <w:r>
              <w:rPr>
                <w:sz w:val="20"/>
              </w:rPr>
              <w:t>Leible</w:t>
            </w:r>
            <w:r>
              <w:rPr>
                <w:spacing w:val="6"/>
                <w:sz w:val="20"/>
              </w:rPr>
              <w:t> </w:t>
            </w:r>
            <w:r>
              <w:rPr>
                <w:sz w:val="20"/>
              </w:rPr>
              <w:t>and</w:t>
            </w:r>
            <w:r>
              <w:rPr>
                <w:spacing w:val="6"/>
                <w:sz w:val="20"/>
              </w:rPr>
              <w:t> </w:t>
            </w:r>
            <w:r>
              <w:rPr>
                <w:sz w:val="20"/>
              </w:rPr>
              <w:t>Ferrari,</w:t>
            </w:r>
            <w:r>
              <w:rPr>
                <w:spacing w:val="5"/>
                <w:sz w:val="20"/>
              </w:rPr>
              <w:t> </w:t>
            </w:r>
            <w:r>
              <w:rPr>
                <w:rFonts w:ascii="Arial" w:hAnsi="Arial"/>
                <w:i/>
                <w:sz w:val="20"/>
              </w:rPr>
              <w:t>The</w:t>
            </w:r>
            <w:r>
              <w:rPr>
                <w:rFonts w:ascii="Arial" w:hAnsi="Arial"/>
                <w:i/>
                <w:spacing w:val="6"/>
                <w:sz w:val="20"/>
              </w:rPr>
              <w:t> </w:t>
            </w:r>
            <w:r>
              <w:rPr>
                <w:rFonts w:ascii="Arial" w:hAnsi="Arial"/>
                <w:i/>
                <w:sz w:val="20"/>
              </w:rPr>
              <w:t>Rome</w:t>
            </w:r>
            <w:r>
              <w:rPr>
                <w:rFonts w:ascii="Arial" w:hAnsi="Arial"/>
                <w:i/>
                <w:spacing w:val="6"/>
                <w:sz w:val="20"/>
              </w:rPr>
              <w:t> </w:t>
            </w:r>
            <w:r>
              <w:rPr>
                <w:rFonts w:ascii="Arial" w:hAnsi="Arial"/>
                <w:i/>
                <w:spacing w:val="-10"/>
                <w:sz w:val="20"/>
              </w:rPr>
              <w:t>I</w:t>
            </w:r>
          </w:p>
        </w:tc>
      </w:tr>
      <w:tr>
        <w:trPr>
          <w:trHeight w:val="225" w:hRule="atLeast"/>
        </w:trPr>
        <w:tc>
          <w:tcPr>
            <w:tcW w:w="496" w:type="dxa"/>
          </w:tcPr>
          <w:p>
            <w:pPr>
              <w:pStyle w:val="TableParagraph"/>
              <w:spacing w:before="0"/>
              <w:ind w:left="0"/>
              <w:jc w:val="left"/>
              <w:rPr>
                <w:rFonts w:ascii="Times New Roman"/>
                <w:sz w:val="16"/>
              </w:rPr>
            </w:pPr>
          </w:p>
        </w:tc>
        <w:tc>
          <w:tcPr>
            <w:tcW w:w="8619" w:type="dxa"/>
          </w:tcPr>
          <w:p>
            <w:pPr>
              <w:pStyle w:val="TableParagraph"/>
              <w:spacing w:line="205" w:lineRule="exact" w:before="0"/>
              <w:jc w:val="left"/>
              <w:rPr>
                <w:sz w:val="20"/>
              </w:rPr>
            </w:pPr>
            <w:r>
              <w:rPr>
                <w:rFonts w:ascii="Arial"/>
                <w:i/>
                <w:sz w:val="20"/>
              </w:rPr>
              <w:t>Regulation:</w:t>
            </w:r>
            <w:r>
              <w:rPr>
                <w:rFonts w:ascii="Arial"/>
                <w:i/>
                <w:spacing w:val="49"/>
                <w:sz w:val="20"/>
              </w:rPr>
              <w:t> </w:t>
            </w:r>
            <w:r>
              <w:rPr>
                <w:rFonts w:ascii="Arial"/>
                <w:i/>
                <w:sz w:val="20"/>
              </w:rPr>
              <w:t>the</w:t>
            </w:r>
            <w:r>
              <w:rPr>
                <w:rFonts w:ascii="Arial"/>
                <w:i/>
                <w:spacing w:val="49"/>
                <w:sz w:val="20"/>
              </w:rPr>
              <w:t> </w:t>
            </w:r>
            <w:r>
              <w:rPr>
                <w:rFonts w:ascii="Arial"/>
                <w:i/>
                <w:sz w:val="20"/>
              </w:rPr>
              <w:t>Law</w:t>
            </w:r>
            <w:r>
              <w:rPr>
                <w:rFonts w:ascii="Arial"/>
                <w:i/>
                <w:spacing w:val="49"/>
                <w:sz w:val="20"/>
              </w:rPr>
              <w:t> </w:t>
            </w:r>
            <w:r>
              <w:rPr>
                <w:rFonts w:ascii="Arial"/>
                <w:i/>
                <w:sz w:val="20"/>
              </w:rPr>
              <w:t>Applicable</w:t>
            </w:r>
            <w:r>
              <w:rPr>
                <w:rFonts w:ascii="Arial"/>
                <w:i/>
                <w:spacing w:val="49"/>
                <w:sz w:val="20"/>
              </w:rPr>
              <w:t> </w:t>
            </w:r>
            <w:r>
              <w:rPr>
                <w:rFonts w:ascii="Arial"/>
                <w:i/>
                <w:sz w:val="20"/>
              </w:rPr>
              <w:t>to</w:t>
            </w:r>
            <w:r>
              <w:rPr>
                <w:rFonts w:ascii="Arial"/>
                <w:i/>
                <w:spacing w:val="49"/>
                <w:sz w:val="20"/>
              </w:rPr>
              <w:t> </w:t>
            </w:r>
            <w:r>
              <w:rPr>
                <w:rFonts w:ascii="Arial"/>
                <w:i/>
                <w:sz w:val="20"/>
              </w:rPr>
              <w:t>Contractual</w:t>
            </w:r>
            <w:r>
              <w:rPr>
                <w:rFonts w:ascii="Arial"/>
                <w:i/>
                <w:spacing w:val="49"/>
                <w:sz w:val="20"/>
              </w:rPr>
              <w:t> </w:t>
            </w:r>
            <w:r>
              <w:rPr>
                <w:rFonts w:ascii="Arial"/>
                <w:i/>
                <w:sz w:val="20"/>
              </w:rPr>
              <w:t>Obligations</w:t>
            </w:r>
            <w:r>
              <w:rPr>
                <w:rFonts w:ascii="Arial"/>
                <w:i/>
                <w:spacing w:val="49"/>
                <w:sz w:val="20"/>
              </w:rPr>
              <w:t> </w:t>
            </w:r>
            <w:r>
              <w:rPr>
                <w:rFonts w:ascii="Arial"/>
                <w:i/>
                <w:sz w:val="20"/>
              </w:rPr>
              <w:t>in</w:t>
            </w:r>
            <w:r>
              <w:rPr>
                <w:rFonts w:ascii="Arial"/>
                <w:i/>
                <w:spacing w:val="49"/>
                <w:sz w:val="20"/>
              </w:rPr>
              <w:t> </w:t>
            </w:r>
            <w:r>
              <w:rPr>
                <w:rFonts w:ascii="Arial"/>
                <w:i/>
                <w:sz w:val="20"/>
              </w:rPr>
              <w:t>Europe</w:t>
            </w:r>
            <w:r>
              <w:rPr>
                <w:rFonts w:ascii="Arial"/>
                <w:i/>
                <w:spacing w:val="48"/>
                <w:sz w:val="20"/>
              </w:rPr>
              <w:t> </w:t>
            </w:r>
            <w:r>
              <w:rPr>
                <w:sz w:val="20"/>
              </w:rPr>
              <w:t>(2009),</w:t>
            </w:r>
            <w:r>
              <w:rPr>
                <w:spacing w:val="49"/>
                <w:sz w:val="20"/>
              </w:rPr>
              <w:t> </w:t>
            </w:r>
            <w:r>
              <w:rPr>
                <w:sz w:val="20"/>
              </w:rPr>
              <w:t>p.251;</w:t>
            </w:r>
            <w:r>
              <w:rPr>
                <w:spacing w:val="49"/>
                <w:sz w:val="20"/>
              </w:rPr>
              <w:t> </w:t>
            </w:r>
            <w:r>
              <w:rPr>
                <w:spacing w:val="-2"/>
                <w:sz w:val="20"/>
              </w:rPr>
              <w:t>Dicey,</w:t>
            </w:r>
          </w:p>
        </w:tc>
      </w:tr>
      <w:tr>
        <w:trPr>
          <w:trHeight w:val="345" w:hRule="atLeast"/>
        </w:trPr>
        <w:tc>
          <w:tcPr>
            <w:tcW w:w="496" w:type="dxa"/>
          </w:tcPr>
          <w:p>
            <w:pPr>
              <w:pStyle w:val="TableParagraph"/>
              <w:spacing w:before="0"/>
              <w:ind w:left="0"/>
              <w:jc w:val="left"/>
              <w:rPr>
                <w:rFonts w:ascii="Times New Roman"/>
                <w:sz w:val="18"/>
              </w:rPr>
            </w:pPr>
          </w:p>
        </w:tc>
        <w:tc>
          <w:tcPr>
            <w:tcW w:w="8619" w:type="dxa"/>
          </w:tcPr>
          <w:p>
            <w:pPr>
              <w:pStyle w:val="TableParagraph"/>
              <w:spacing w:line="224" w:lineRule="exact" w:before="0"/>
              <w:jc w:val="left"/>
              <w:rPr>
                <w:sz w:val="20"/>
              </w:rPr>
            </w:pPr>
            <w:r>
              <w:rPr>
                <w:sz w:val="20"/>
              </w:rPr>
              <w:t>Morris and Collins, 15th edn (2012), </w:t>
            </w:r>
            <w:r>
              <w:rPr>
                <w:spacing w:val="-2"/>
                <w:sz w:val="20"/>
              </w:rPr>
              <w:t>para.32–160.</w:t>
            </w:r>
          </w:p>
        </w:tc>
      </w:tr>
      <w:tr>
        <w:trPr>
          <w:trHeight w:val="465" w:hRule="atLeast"/>
        </w:trPr>
        <w:tc>
          <w:tcPr>
            <w:tcW w:w="496" w:type="dxa"/>
          </w:tcPr>
          <w:p>
            <w:pPr>
              <w:pStyle w:val="TableParagraph"/>
              <w:ind w:left="0" w:right="43"/>
              <w:rPr>
                <w:sz w:val="14"/>
              </w:rPr>
            </w:pPr>
            <w:bookmarkStart w:name="_bookmark2096" w:id="2098"/>
            <w:bookmarkEnd w:id="2098"/>
            <w:r>
              <w:rPr/>
            </w:r>
            <w:hyperlink w:history="true" w:anchor="_bookmark2086">
              <w:r>
                <w:rPr>
                  <w:color w:val="005DA1"/>
                  <w:spacing w:val="-2"/>
                  <w:sz w:val="14"/>
                  <w:u w:val="single" w:color="005DA1"/>
                </w:rPr>
                <w:t>1091</w:t>
              </w:r>
            </w:hyperlink>
            <w:r>
              <w:rPr>
                <w:spacing w:val="-2"/>
                <w:sz w:val="14"/>
              </w:rPr>
              <w:t>.</w:t>
            </w:r>
          </w:p>
        </w:tc>
        <w:tc>
          <w:tcPr>
            <w:tcW w:w="8619" w:type="dxa"/>
          </w:tcPr>
          <w:p>
            <w:pPr>
              <w:pStyle w:val="TableParagraph"/>
              <w:spacing w:before="114"/>
              <w:jc w:val="left"/>
              <w:rPr>
                <w:sz w:val="20"/>
              </w:rPr>
            </w:pPr>
            <w:r>
              <w:rPr>
                <w:sz w:val="20"/>
              </w:rPr>
              <w:t>Below, para.30-</w:t>
            </w:r>
            <w:r>
              <w:rPr>
                <w:spacing w:val="-4"/>
                <w:sz w:val="20"/>
              </w:rPr>
              <w:t>346.</w:t>
            </w:r>
          </w:p>
        </w:tc>
      </w:tr>
      <w:tr>
        <w:trPr>
          <w:trHeight w:val="465" w:hRule="atLeast"/>
        </w:trPr>
        <w:tc>
          <w:tcPr>
            <w:tcW w:w="496" w:type="dxa"/>
          </w:tcPr>
          <w:p>
            <w:pPr>
              <w:pStyle w:val="TableParagraph"/>
              <w:ind w:left="0" w:right="43"/>
              <w:rPr>
                <w:sz w:val="14"/>
              </w:rPr>
            </w:pPr>
            <w:bookmarkStart w:name="_bookmark2097" w:id="2099"/>
            <w:bookmarkEnd w:id="2099"/>
            <w:r>
              <w:rPr/>
            </w:r>
            <w:hyperlink w:history="true" w:anchor="_bookmark2087">
              <w:r>
                <w:rPr>
                  <w:color w:val="005DA1"/>
                  <w:spacing w:val="-2"/>
                  <w:sz w:val="14"/>
                  <w:u w:val="single" w:color="005DA1"/>
                </w:rPr>
                <w:t>1092</w:t>
              </w:r>
            </w:hyperlink>
            <w:r>
              <w:rPr>
                <w:spacing w:val="-2"/>
                <w:sz w:val="14"/>
              </w:rPr>
              <w:t>.</w:t>
            </w:r>
          </w:p>
        </w:tc>
        <w:tc>
          <w:tcPr>
            <w:tcW w:w="8619" w:type="dxa"/>
          </w:tcPr>
          <w:p>
            <w:pPr>
              <w:pStyle w:val="TableParagraph"/>
              <w:spacing w:before="114"/>
              <w:jc w:val="left"/>
              <w:rPr>
                <w:sz w:val="20"/>
              </w:rPr>
            </w:pPr>
            <w:r>
              <w:rPr>
                <w:sz w:val="20"/>
              </w:rPr>
              <w:t>Dicey, Morris and Collins on the Conflict of Laws, 15th edn (2012), </w:t>
            </w:r>
            <w:r>
              <w:rPr>
                <w:spacing w:val="-2"/>
                <w:sz w:val="20"/>
              </w:rPr>
              <w:t>para.7–039.</w:t>
            </w:r>
          </w:p>
        </w:tc>
      </w:tr>
      <w:tr>
        <w:trPr>
          <w:trHeight w:val="465" w:hRule="atLeast"/>
        </w:trPr>
        <w:tc>
          <w:tcPr>
            <w:tcW w:w="496" w:type="dxa"/>
          </w:tcPr>
          <w:p>
            <w:pPr>
              <w:pStyle w:val="TableParagraph"/>
              <w:ind w:left="0" w:right="43"/>
              <w:rPr>
                <w:sz w:val="14"/>
              </w:rPr>
            </w:pPr>
            <w:bookmarkStart w:name="_bookmark2098" w:id="2100"/>
            <w:bookmarkEnd w:id="2100"/>
            <w:r>
              <w:rPr/>
            </w:r>
            <w:hyperlink w:history="true" w:anchor="_bookmark2088">
              <w:r>
                <w:rPr>
                  <w:color w:val="005DA1"/>
                  <w:spacing w:val="-2"/>
                  <w:sz w:val="14"/>
                  <w:u w:val="single" w:color="005DA1"/>
                </w:rPr>
                <w:t>1093</w:t>
              </w:r>
            </w:hyperlink>
            <w:r>
              <w:rPr>
                <w:spacing w:val="-2"/>
                <w:sz w:val="14"/>
              </w:rPr>
              <w:t>.</w:t>
            </w:r>
          </w:p>
        </w:tc>
        <w:tc>
          <w:tcPr>
            <w:tcW w:w="8619" w:type="dxa"/>
          </w:tcPr>
          <w:p>
            <w:pPr>
              <w:pStyle w:val="TableParagraph"/>
              <w:spacing w:before="114"/>
              <w:jc w:val="left"/>
              <w:rPr>
                <w:sz w:val="20"/>
              </w:rPr>
            </w:pPr>
            <w:r>
              <w:rPr>
                <w:sz w:val="20"/>
              </w:rPr>
              <w:t>Rome I art.1(3); see above, para.30-</w:t>
            </w:r>
            <w:r>
              <w:rPr>
                <w:spacing w:val="-4"/>
                <w:sz w:val="20"/>
              </w:rPr>
              <w:t>160.</w:t>
            </w:r>
          </w:p>
        </w:tc>
      </w:tr>
      <w:tr>
        <w:trPr>
          <w:trHeight w:val="465" w:hRule="atLeast"/>
        </w:trPr>
        <w:tc>
          <w:tcPr>
            <w:tcW w:w="496" w:type="dxa"/>
          </w:tcPr>
          <w:p>
            <w:pPr>
              <w:pStyle w:val="TableParagraph"/>
              <w:ind w:left="0" w:right="43"/>
              <w:rPr>
                <w:sz w:val="14"/>
              </w:rPr>
            </w:pPr>
            <w:bookmarkStart w:name="_bookmark2099" w:id="2101"/>
            <w:bookmarkEnd w:id="2101"/>
            <w:r>
              <w:rPr/>
            </w:r>
            <w:hyperlink w:history="true" w:anchor="_bookmark2089">
              <w:r>
                <w:rPr>
                  <w:color w:val="005DA1"/>
                  <w:spacing w:val="-2"/>
                  <w:sz w:val="14"/>
                  <w:u w:val="single" w:color="005DA1"/>
                </w:rPr>
                <w:t>1094</w:t>
              </w:r>
            </w:hyperlink>
            <w:r>
              <w:rPr>
                <w:spacing w:val="-2"/>
                <w:sz w:val="14"/>
              </w:rPr>
              <w:t>.</w:t>
            </w:r>
          </w:p>
        </w:tc>
        <w:tc>
          <w:tcPr>
            <w:tcW w:w="8619" w:type="dxa"/>
          </w:tcPr>
          <w:p>
            <w:pPr>
              <w:pStyle w:val="TableParagraph"/>
              <w:spacing w:before="114"/>
              <w:jc w:val="left"/>
              <w:rPr>
                <w:sz w:val="20"/>
              </w:rPr>
            </w:pPr>
            <w:r>
              <w:rPr>
                <w:sz w:val="20"/>
              </w:rPr>
              <w:t>Dicey, Morris and Collins, 15th edn (2012), </w:t>
            </w:r>
            <w:r>
              <w:rPr>
                <w:spacing w:val="-2"/>
                <w:sz w:val="20"/>
              </w:rPr>
              <w:t>para.7–039.</w:t>
            </w:r>
          </w:p>
        </w:tc>
      </w:tr>
      <w:tr>
        <w:trPr>
          <w:trHeight w:val="465" w:hRule="atLeast"/>
        </w:trPr>
        <w:tc>
          <w:tcPr>
            <w:tcW w:w="496" w:type="dxa"/>
          </w:tcPr>
          <w:p>
            <w:pPr>
              <w:pStyle w:val="TableParagraph"/>
              <w:ind w:left="0" w:right="43"/>
              <w:rPr>
                <w:sz w:val="14"/>
              </w:rPr>
            </w:pPr>
            <w:bookmarkStart w:name="_bookmark2100" w:id="2102"/>
            <w:bookmarkEnd w:id="2102"/>
            <w:r>
              <w:rPr/>
            </w:r>
            <w:hyperlink w:history="true" w:anchor="_bookmark2090">
              <w:r>
                <w:rPr>
                  <w:color w:val="005DA1"/>
                  <w:spacing w:val="-2"/>
                  <w:sz w:val="14"/>
                  <w:u w:val="single" w:color="005DA1"/>
                </w:rPr>
                <w:t>1095</w:t>
              </w:r>
            </w:hyperlink>
            <w:r>
              <w:rPr>
                <w:spacing w:val="-2"/>
                <w:sz w:val="14"/>
              </w:rPr>
              <w:t>.</w:t>
            </w:r>
          </w:p>
        </w:tc>
        <w:tc>
          <w:tcPr>
            <w:tcW w:w="8619" w:type="dxa"/>
          </w:tcPr>
          <w:p>
            <w:pPr>
              <w:pStyle w:val="TableParagraph"/>
              <w:spacing w:before="114"/>
              <w:jc w:val="left"/>
              <w:rPr>
                <w:sz w:val="20"/>
              </w:rPr>
            </w:pPr>
            <w:r>
              <w:rPr>
                <w:sz w:val="20"/>
              </w:rPr>
              <w:t>See preceding note where the example given is the compensation de plein droit in French </w:t>
            </w:r>
            <w:r>
              <w:rPr>
                <w:spacing w:val="-4"/>
                <w:sz w:val="20"/>
              </w:rPr>
              <w:t>law.</w:t>
            </w:r>
          </w:p>
        </w:tc>
      </w:tr>
      <w:tr>
        <w:trPr>
          <w:trHeight w:val="344" w:hRule="atLeast"/>
        </w:trPr>
        <w:tc>
          <w:tcPr>
            <w:tcW w:w="496" w:type="dxa"/>
          </w:tcPr>
          <w:p>
            <w:pPr>
              <w:pStyle w:val="TableParagraph"/>
              <w:ind w:left="0" w:right="43"/>
              <w:rPr>
                <w:sz w:val="14"/>
              </w:rPr>
            </w:pPr>
            <w:bookmarkStart w:name="_bookmark2101" w:id="2103"/>
            <w:bookmarkEnd w:id="2103"/>
            <w:r>
              <w:rPr/>
            </w:r>
            <w:hyperlink w:history="true" w:anchor="_bookmark2091">
              <w:r>
                <w:rPr>
                  <w:color w:val="005DA1"/>
                  <w:spacing w:val="-2"/>
                  <w:sz w:val="14"/>
                  <w:u w:val="single" w:color="005DA1"/>
                </w:rPr>
                <w:t>1096</w:t>
              </w:r>
            </w:hyperlink>
            <w:r>
              <w:rPr>
                <w:spacing w:val="-2"/>
                <w:sz w:val="14"/>
              </w:rPr>
              <w:t>.</w:t>
            </w:r>
          </w:p>
        </w:tc>
        <w:tc>
          <w:tcPr>
            <w:tcW w:w="8619" w:type="dxa"/>
          </w:tcPr>
          <w:p>
            <w:pPr>
              <w:pStyle w:val="TableParagraph"/>
              <w:spacing w:line="210" w:lineRule="exact" w:before="114"/>
              <w:jc w:val="left"/>
              <w:rPr>
                <w:sz w:val="20"/>
              </w:rPr>
            </w:pPr>
            <w:r>
              <w:rPr>
                <w:sz w:val="20"/>
              </w:rPr>
              <w:t>Dicey, Morris and Collins, 15th edn (2012), </w:t>
            </w:r>
            <w:r>
              <w:rPr>
                <w:spacing w:val="-2"/>
                <w:sz w:val="20"/>
              </w:rPr>
              <w:t>para.7–039.</w:t>
            </w:r>
          </w:p>
        </w:tc>
      </w:tr>
    </w:tbl>
    <w:p>
      <w:pPr>
        <w:pStyle w:val="BodyText"/>
        <w:spacing w:before="81"/>
        <w:rPr>
          <w:sz w:val="14"/>
        </w:rPr>
      </w:pPr>
    </w:p>
    <w:p>
      <w:pPr>
        <w:spacing w:line="137" w:lineRule="exact" w:before="0"/>
        <w:ind w:left="165" w:right="0" w:firstLine="0"/>
        <w:jc w:val="left"/>
        <w:rPr>
          <w:sz w:val="14"/>
        </w:rPr>
      </w:pPr>
      <w:bookmarkStart w:name="_bookmark2102" w:id="2104"/>
      <w:bookmarkEnd w:id="2104"/>
      <w:r>
        <w:rPr/>
      </w:r>
      <w:hyperlink w:history="true" w:anchor="_bookmark2092">
        <w:r>
          <w:rPr>
            <w:color w:val="005DA1"/>
            <w:spacing w:val="-2"/>
            <w:sz w:val="14"/>
            <w:u w:val="single" w:color="005DA1"/>
          </w:rPr>
          <w:t>1097</w:t>
        </w:r>
      </w:hyperlink>
      <w:r>
        <w:rPr>
          <w:spacing w:val="-2"/>
          <w:sz w:val="14"/>
        </w:rPr>
        <w:t>.</w:t>
      </w:r>
    </w:p>
    <w:p>
      <w:pPr>
        <w:pStyle w:val="BodyText"/>
        <w:spacing w:line="203" w:lineRule="exact"/>
        <w:ind w:left="875"/>
        <w:jc w:val="both"/>
      </w:pPr>
      <w:r>
        <w:rPr/>
        <w:drawing>
          <wp:anchor distT="0" distB="0" distL="0" distR="0" allowOverlap="1" layoutInCell="1" locked="0" behindDoc="0" simplePos="0" relativeHeight="15766528">
            <wp:simplePos x="0" y="0"/>
            <wp:positionH relativeFrom="page">
              <wp:posOffset>1257846</wp:posOffset>
            </wp:positionH>
            <wp:positionV relativeFrom="paragraph">
              <wp:posOffset>13065</wp:posOffset>
            </wp:positionV>
            <wp:extent cx="107988" cy="107988"/>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6" cstate="print"/>
                    <a:stretch>
                      <a:fillRect/>
                    </a:stretch>
                  </pic:blipFill>
                  <pic:spPr>
                    <a:xfrm>
                      <a:off x="0" y="0"/>
                      <a:ext cx="107988" cy="107988"/>
                    </a:xfrm>
                    <a:prstGeom prst="rect">
                      <a:avLst/>
                    </a:prstGeom>
                  </pic:spPr>
                </pic:pic>
              </a:graphicData>
            </a:graphic>
          </wp:anchor>
        </w:drawing>
      </w:r>
      <w:r>
        <w:rPr/>
        <w:t>Regulation</w:t>
      </w:r>
      <w:r>
        <w:rPr>
          <w:spacing w:val="31"/>
        </w:rPr>
        <w:t> </w:t>
      </w:r>
      <w:r>
        <w:rPr/>
        <w:t>1346/2000</w:t>
      </w:r>
      <w:r>
        <w:rPr>
          <w:spacing w:val="31"/>
        </w:rPr>
        <w:t> </w:t>
      </w:r>
      <w:r>
        <w:rPr/>
        <w:t>on</w:t>
      </w:r>
      <w:r>
        <w:rPr>
          <w:spacing w:val="31"/>
        </w:rPr>
        <w:t> </w:t>
      </w:r>
      <w:r>
        <w:rPr/>
        <w:t>insolvency</w:t>
      </w:r>
      <w:r>
        <w:rPr>
          <w:spacing w:val="31"/>
        </w:rPr>
        <w:t> </w:t>
      </w:r>
      <w:r>
        <w:rPr/>
        <w:t>proceedings</w:t>
      </w:r>
      <w:r>
        <w:rPr>
          <w:spacing w:val="31"/>
        </w:rPr>
        <w:t> </w:t>
      </w:r>
      <w:r>
        <w:rPr/>
        <w:t>[2000]</w:t>
      </w:r>
      <w:r>
        <w:rPr>
          <w:spacing w:val="31"/>
        </w:rPr>
        <w:t> </w:t>
      </w:r>
      <w:r>
        <w:rPr/>
        <w:t>O.J.</w:t>
      </w:r>
      <w:r>
        <w:rPr>
          <w:spacing w:val="31"/>
        </w:rPr>
        <w:t> </w:t>
      </w:r>
      <w:r>
        <w:rPr/>
        <w:t>L160/1.</w:t>
      </w:r>
      <w:r>
        <w:rPr>
          <w:spacing w:val="31"/>
        </w:rPr>
        <w:t> </w:t>
      </w:r>
      <w:r>
        <w:rPr/>
        <w:t>see</w:t>
      </w:r>
      <w:r>
        <w:rPr>
          <w:spacing w:val="31"/>
        </w:rPr>
        <w:t> </w:t>
      </w:r>
      <w:r>
        <w:rPr/>
        <w:t>generally</w:t>
      </w:r>
      <w:r>
        <w:rPr>
          <w:spacing w:val="31"/>
        </w:rPr>
        <w:t> </w:t>
      </w:r>
      <w:r>
        <w:rPr>
          <w:spacing w:val="-2"/>
        </w:rPr>
        <w:t>Dicey,</w:t>
      </w:r>
    </w:p>
    <w:p>
      <w:pPr>
        <w:pStyle w:val="BodyText"/>
        <w:spacing w:line="235" w:lineRule="auto" w:before="2"/>
        <w:ind w:left="705" w:right="167"/>
        <w:jc w:val="both"/>
      </w:pPr>
      <w:r>
        <w:rPr/>
        <w:t>Morris and Collins, 15th edn (2012), paras 30–149 et seq. See now on the Insolvency Regulation, Proposal for a Regulation of the European Parliament and of the Council </w:t>
      </w:r>
      <w:r>
        <w:rPr/>
        <w:t>amending Council Regulation (EC) No.1346/200 on insolvency proceedings COM(2012) 744 final; Commission Recommendation of 12.3.14 on a new approach to business failure and insolvency: COM (2014) 1500 final. The Insolvency Regulation is to be replaced by Regulation (EU) 2015/848 of the European Parliament and of the Council of 20 May 2015 on insolvency proceedings (recast) (Recast Insolvency Regulation). The Recast Insolvency Regulation will apply to insolvency proceedings commencing on or after June 26, 2017.</w:t>
      </w:r>
    </w:p>
    <w:p>
      <w:pPr>
        <w:pStyle w:val="BodyText"/>
        <w:spacing w:before="6"/>
      </w:pPr>
    </w:p>
    <w:p>
      <w:pPr>
        <w:pStyle w:val="BodyText"/>
        <w:spacing w:line="235" w:lineRule="auto" w:before="1"/>
        <w:ind w:left="705" w:right="167" w:hanging="541"/>
        <w:jc w:val="both"/>
      </w:pPr>
      <w:bookmarkStart w:name="_bookmark2103" w:id="2105"/>
      <w:bookmarkEnd w:id="2105"/>
      <w:r>
        <w:rPr/>
      </w:r>
      <w:hyperlink w:history="true" w:anchor="_bookmark2093">
        <w:r>
          <w:rPr>
            <w:color w:val="005DA1"/>
            <w:position w:val="5"/>
            <w:sz w:val="14"/>
            <w:u w:val="single" w:color="005DA1"/>
          </w:rPr>
          <w:t>1098</w:t>
        </w:r>
      </w:hyperlink>
      <w:r>
        <w:rPr>
          <w:position w:val="5"/>
          <w:sz w:val="14"/>
        </w:rPr>
        <w:t>.</w:t>
      </w:r>
      <w:r>
        <w:rPr>
          <w:spacing w:val="80"/>
          <w:position w:val="5"/>
          <w:sz w:val="14"/>
        </w:rPr>
        <w:t> </w:t>
      </w:r>
      <w:r>
        <w:rPr/>
        <w:t>Regulation</w:t>
      </w:r>
      <w:r>
        <w:rPr>
          <w:spacing w:val="40"/>
        </w:rPr>
        <w:t> </w:t>
      </w:r>
      <w:r>
        <w:rPr/>
        <w:t>1346/2000</w:t>
      </w:r>
      <w:r>
        <w:rPr>
          <w:spacing w:val="40"/>
        </w:rPr>
        <w:t> </w:t>
      </w:r>
      <w:r>
        <w:rPr/>
        <w:t>art.4(2)(d).</w:t>
      </w:r>
      <w:r>
        <w:rPr>
          <w:spacing w:val="40"/>
        </w:rPr>
        <w:t> </w:t>
      </w:r>
      <w:r>
        <w:rPr/>
        <w:t>See</w:t>
      </w:r>
      <w:r>
        <w:rPr>
          <w:spacing w:val="40"/>
        </w:rPr>
        <w:t> </w:t>
      </w:r>
      <w:r>
        <w:rPr/>
        <w:t>Dicey,</w:t>
      </w:r>
      <w:r>
        <w:rPr>
          <w:spacing w:val="40"/>
        </w:rPr>
        <w:t> </w:t>
      </w:r>
      <w:r>
        <w:rPr/>
        <w:t>Morris</w:t>
      </w:r>
      <w:r>
        <w:rPr>
          <w:spacing w:val="40"/>
        </w:rPr>
        <w:t> </w:t>
      </w:r>
      <w:r>
        <w:rPr/>
        <w:t>and</w:t>
      </w:r>
      <w:r>
        <w:rPr>
          <w:spacing w:val="40"/>
        </w:rPr>
        <w:t> </w:t>
      </w:r>
      <w:r>
        <w:rPr/>
        <w:t>Collins,</w:t>
      </w:r>
      <w:r>
        <w:rPr>
          <w:spacing w:val="40"/>
        </w:rPr>
        <w:t> </w:t>
      </w:r>
      <w:r>
        <w:rPr/>
        <w:t>15th</w:t>
      </w:r>
      <w:r>
        <w:rPr>
          <w:spacing w:val="40"/>
        </w:rPr>
        <w:t> </w:t>
      </w:r>
      <w:r>
        <w:rPr/>
        <w:t>edn</w:t>
      </w:r>
      <w:r>
        <w:rPr>
          <w:spacing w:val="40"/>
        </w:rPr>
        <w:t> </w:t>
      </w:r>
      <w:r>
        <w:rPr/>
        <w:t>(2012),</w:t>
      </w:r>
      <w:r>
        <w:rPr>
          <w:spacing w:val="40"/>
        </w:rPr>
        <w:t> </w:t>
      </w:r>
      <w:r>
        <w:rPr/>
        <w:t>para. 30–212. As to the meaning of “[s]tate of the opening of insolvency proceedings”, see arts 3 and 4(1) of the Regulation on insolvency proceedings.</w:t>
      </w:r>
    </w:p>
    <w:p>
      <w:pPr>
        <w:pStyle w:val="BodyText"/>
        <w:spacing w:after="0" w:line="235" w:lineRule="auto"/>
        <w:jc w:val="both"/>
        <w:sectPr>
          <w:pgSz w:w="11900" w:h="16840"/>
          <w:pgMar w:header="971" w:footer="0" w:top="1300" w:bottom="280" w:left="1275" w:right="1275"/>
        </w:sectPr>
      </w:pPr>
    </w:p>
    <w:p>
      <w:pPr>
        <w:pStyle w:val="BodyText"/>
        <w:spacing w:before="166"/>
        <w:ind w:left="165"/>
      </w:pPr>
      <w:bookmarkStart w:name="_bookmark2104" w:id="2106"/>
      <w:bookmarkEnd w:id="2106"/>
      <w:r>
        <w:rPr/>
      </w:r>
      <w:hyperlink w:history="true" w:anchor="_bookmark2094">
        <w:r>
          <w:rPr>
            <w:color w:val="005DA1"/>
            <w:position w:val="5"/>
            <w:sz w:val="14"/>
            <w:u w:val="single" w:color="005DA1"/>
          </w:rPr>
          <w:t>1099</w:t>
        </w:r>
      </w:hyperlink>
      <w:r>
        <w:rPr>
          <w:position w:val="5"/>
          <w:sz w:val="14"/>
        </w:rPr>
        <w:t>.</w:t>
      </w:r>
      <w:r>
        <w:rPr>
          <w:spacing w:val="55"/>
          <w:position w:val="5"/>
          <w:sz w:val="14"/>
        </w:rPr>
        <w:t>  </w:t>
      </w:r>
      <w:r>
        <w:rPr/>
        <w:t>See</w:t>
      </w:r>
      <w:r>
        <w:rPr>
          <w:spacing w:val="1"/>
        </w:rPr>
        <w:t> </w:t>
      </w:r>
      <w:r>
        <w:rPr/>
        <w:t>generally, Dicey, Morris and Collins, 15th edn (2012), </w:t>
      </w:r>
      <w:r>
        <w:rPr>
          <w:spacing w:val="-2"/>
        </w:rPr>
        <w:t>para.30–212.</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5. - Scope of the Applicable </w:t>
      </w:r>
      <w:r>
        <w:rPr>
          <w:rFonts w:ascii="Arial"/>
          <w:b/>
          <w:spacing w:val="-5"/>
          <w:sz w:val="24"/>
        </w:rPr>
        <w:t>Law</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1"/>
        <w:rPr>
          <w:rFonts w:ascii="Arial"/>
          <w:b/>
          <w:sz w:val="18"/>
        </w:rPr>
      </w:pPr>
    </w:p>
    <w:p>
      <w:pPr>
        <w:pStyle w:val="Heading2"/>
        <w:spacing w:before="1"/>
      </w:pPr>
      <w:r>
        <w:rPr/>
        <w:t>30-</w:t>
      </w:r>
      <w:r>
        <w:rPr>
          <w:spacing w:val="-5"/>
        </w:rPr>
        <w:t>304</w:t>
      </w:r>
    </w:p>
    <w:p>
      <w:pPr>
        <w:pStyle w:val="BodyText"/>
        <w:spacing w:line="235" w:lineRule="auto" w:before="202"/>
        <w:ind w:left="165" w:right="167"/>
        <w:jc w:val="both"/>
      </w:pPr>
      <w:r>
        <w:rPr/>
        <w:t>This section seeks to identify the various issues which may be governed by the applicable law of the contract and to consider the extent to which laws other than the applicable law may be relevant to the </w:t>
      </w:r>
      <w:bookmarkStart w:name="_bookmark2105" w:id="2107"/>
      <w:bookmarkEnd w:id="2107"/>
      <w:r>
        <w:rPr/>
        <w:t>determination</w:t>
      </w:r>
      <w:r>
        <w:rPr/>
        <w:t> of any of these issues in cases which fall, respectively, within the Rome </w:t>
      </w:r>
      <w:r>
        <w:rPr/>
        <w:t>Convention</w:t>
      </w:r>
      <w:r>
        <w:rPr>
          <w:spacing w:val="40"/>
        </w:rPr>
        <w:t> </w:t>
      </w:r>
      <w:r>
        <w:rPr/>
        <w:t>and the Rome I Regulation. </w:t>
      </w:r>
      <w:r>
        <w:rPr>
          <w:color w:val="005DA1"/>
          <w:u w:val="single" w:color="005DA1"/>
          <w:vertAlign w:val="superscript"/>
        </w:rPr>
        <w:t>1100</w:t>
      </w:r>
      <w:r>
        <w:rPr>
          <w:color w:val="005DA1"/>
          <w:vertAlign w:val="baseline"/>
        </w:rPr>
        <w:t> </w:t>
      </w:r>
      <w:r>
        <w:rPr>
          <w:vertAlign w:val="baseline"/>
        </w:rPr>
        <w:t>In the background, it must be also borne in mind that other laws may impinge upon the scope of the applicable law through the operation, in particular, of arts 3(3), 5, 6, 7(2) and 16 of the Rome Convention and arts 3(3), 3(4), 6, 8, 9 and 21 of the Rome I Regulation, which</w:t>
      </w:r>
      <w:r>
        <w:rPr>
          <w:spacing w:val="-2"/>
          <w:vertAlign w:val="baseline"/>
        </w:rPr>
        <w:t> </w:t>
      </w:r>
      <w:r>
        <w:rPr>
          <w:vertAlign w:val="baseline"/>
        </w:rPr>
        <w:t>were</w:t>
      </w:r>
      <w:r>
        <w:rPr>
          <w:spacing w:val="-2"/>
          <w:vertAlign w:val="baseline"/>
        </w:rPr>
        <w:t> </w:t>
      </w:r>
      <w:r>
        <w:rPr>
          <w:vertAlign w:val="baseline"/>
        </w:rPr>
        <w:t>considered</w:t>
      </w:r>
      <w:r>
        <w:rPr>
          <w:spacing w:val="-2"/>
          <w:vertAlign w:val="baseline"/>
        </w:rPr>
        <w:t> </w:t>
      </w:r>
      <w:r>
        <w:rPr>
          <w:vertAlign w:val="baseline"/>
        </w:rPr>
        <w:t>earlier</w:t>
      </w:r>
      <w:r>
        <w:rPr>
          <w:spacing w:val="-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chapter.</w:t>
      </w:r>
      <w:r>
        <w:rPr>
          <w:spacing w:val="-2"/>
          <w:vertAlign w:val="baseline"/>
        </w:rPr>
        <w:t> </w:t>
      </w:r>
      <w:r>
        <w:rPr>
          <w:vertAlign w:val="baseline"/>
        </w:rPr>
        <w:t>Formally,</w:t>
      </w:r>
      <w:r>
        <w:rPr>
          <w:spacing w:val="-2"/>
          <w:vertAlign w:val="baseline"/>
        </w:rPr>
        <w:t> </w:t>
      </w:r>
      <w:r>
        <w:rPr>
          <w:vertAlign w:val="baseline"/>
        </w:rPr>
        <w:t>only</w:t>
      </w:r>
      <w:r>
        <w:rPr>
          <w:spacing w:val="-2"/>
          <w:vertAlign w:val="baseline"/>
        </w:rPr>
        <w:t> </w:t>
      </w:r>
      <w:r>
        <w:rPr>
          <w:vertAlign w:val="baseline"/>
        </w:rPr>
        <w:t>art.10</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Convention</w:t>
      </w:r>
      <w:r>
        <w:rPr>
          <w:spacing w:val="-2"/>
          <w:vertAlign w:val="baseline"/>
        </w:rPr>
        <w:t> </w:t>
      </w:r>
      <w:r>
        <w:rPr>
          <w:vertAlign w:val="baseline"/>
        </w:rPr>
        <w:t>and</w:t>
      </w:r>
      <w:r>
        <w:rPr>
          <w:spacing w:val="-2"/>
          <w:vertAlign w:val="baseline"/>
        </w:rPr>
        <w:t> </w:t>
      </w:r>
      <w:r>
        <w:rPr>
          <w:vertAlign w:val="baseline"/>
        </w:rPr>
        <w:t>art.12</w:t>
      </w:r>
      <w:r>
        <w:rPr>
          <w:spacing w:val="-2"/>
          <w:vertAlign w:val="baseline"/>
        </w:rPr>
        <w:t> </w:t>
      </w:r>
      <w:r>
        <w:rPr>
          <w:vertAlign w:val="baseline"/>
        </w:rPr>
        <w:t>of</w:t>
      </w:r>
      <w:r>
        <w:rPr>
          <w:spacing w:val="-2"/>
          <w:vertAlign w:val="baseline"/>
        </w:rPr>
        <w:t> </w:t>
      </w:r>
      <w:r>
        <w:rPr>
          <w:vertAlign w:val="baseline"/>
        </w:rPr>
        <w:t>the </w:t>
      </w:r>
      <w:bookmarkStart w:name="_bookmark2106" w:id="2108"/>
      <w:bookmarkEnd w:id="2108"/>
      <w:r>
        <w:rPr>
          <w:vertAlign w:val="baseline"/>
        </w:rPr>
        <w:t>Regulation</w:t>
      </w:r>
      <w:r>
        <w:rPr>
          <w:vertAlign w:val="baseline"/>
        </w:rPr>
        <w:t> are expressed to be concerned with the “scope of the applicable law”. However, other </w:t>
      </w:r>
      <w:bookmarkStart w:name="_bookmark2107" w:id="2109"/>
      <w:bookmarkEnd w:id="2109"/>
      <w:r>
        <w:rPr>
          <w:vertAlign w:val="baseline"/>
        </w:rPr>
        <w:t>provisions</w:t>
      </w:r>
      <w:r>
        <w:rPr>
          <w:vertAlign w:val="baseline"/>
        </w:rPr>
        <w:t> of the Convention, notably art.8 (“material validity”), </w:t>
      </w:r>
      <w:r>
        <w:rPr>
          <w:color w:val="005DA1"/>
          <w:u w:val="single" w:color="005DA1"/>
          <w:vertAlign w:val="superscript"/>
        </w:rPr>
        <w:t>1101</w:t>
      </w:r>
      <w:r>
        <w:rPr>
          <w:color w:val="005DA1"/>
          <w:vertAlign w:val="baseline"/>
        </w:rPr>
        <w:t> </w:t>
      </w:r>
      <w:r>
        <w:rPr>
          <w:vertAlign w:val="baseline"/>
        </w:rPr>
        <w:t>art.9 (“formal validity”), </w:t>
      </w:r>
      <w:r>
        <w:rPr>
          <w:color w:val="005DA1"/>
          <w:u w:val="single" w:color="005DA1"/>
          <w:vertAlign w:val="superscript"/>
        </w:rPr>
        <w:t>1102</w:t>
      </w:r>
      <w:r>
        <w:rPr>
          <w:color w:val="005DA1"/>
          <w:vertAlign w:val="baseline"/>
        </w:rPr>
        <w:t> </w:t>
      </w:r>
      <w:r>
        <w:rPr>
          <w:vertAlign w:val="baseline"/>
        </w:rPr>
        <w:t>art.11 </w:t>
      </w:r>
      <w:bookmarkStart w:name="_bookmark2108" w:id="2110"/>
      <w:bookmarkEnd w:id="2110"/>
      <w:r>
        <w:rPr>
          <w:vertAlign w:val="baseline"/>
        </w:rPr>
        <w:t>(“incapacity”)</w:t>
      </w:r>
      <w:r>
        <w:rPr>
          <w:spacing w:val="-1"/>
          <w:vertAlign w:val="baseline"/>
        </w:rPr>
        <w:t> </w:t>
      </w:r>
      <w:r>
        <w:rPr>
          <w:color w:val="005DA1"/>
          <w:u w:val="single" w:color="005DA1"/>
          <w:vertAlign w:val="superscript"/>
        </w:rPr>
        <w:t>1103</w:t>
      </w:r>
      <w:r>
        <w:rPr>
          <w:color w:val="005DA1"/>
          <w:spacing w:val="-1"/>
          <w:vertAlign w:val="baseline"/>
        </w:rPr>
        <w:t> </w:t>
      </w:r>
      <w:r>
        <w:rPr>
          <w:vertAlign w:val="baseline"/>
        </w:rPr>
        <w:t>and</w:t>
      </w:r>
      <w:r>
        <w:rPr>
          <w:spacing w:val="-1"/>
          <w:vertAlign w:val="baseline"/>
        </w:rPr>
        <w:t> </w:t>
      </w:r>
      <w:r>
        <w:rPr>
          <w:vertAlign w:val="baseline"/>
        </w:rPr>
        <w:t>art.14</w:t>
      </w:r>
      <w:r>
        <w:rPr>
          <w:spacing w:val="-1"/>
          <w:vertAlign w:val="baseline"/>
        </w:rPr>
        <w:t> </w:t>
      </w:r>
      <w:r>
        <w:rPr>
          <w:vertAlign w:val="baseline"/>
        </w:rPr>
        <w:t>(“burden</w:t>
      </w:r>
      <w:r>
        <w:rPr>
          <w:spacing w:val="-1"/>
          <w:vertAlign w:val="baseline"/>
        </w:rPr>
        <w:t> </w:t>
      </w:r>
      <w:r>
        <w:rPr>
          <w:vertAlign w:val="baseline"/>
        </w:rPr>
        <w:t>of</w:t>
      </w:r>
      <w:r>
        <w:rPr>
          <w:spacing w:val="-1"/>
          <w:vertAlign w:val="baseline"/>
        </w:rPr>
        <w:t> </w:t>
      </w:r>
      <w:r>
        <w:rPr>
          <w:vertAlign w:val="baseline"/>
        </w:rPr>
        <w:t>proof</w:t>
      </w:r>
      <w:r>
        <w:rPr>
          <w:spacing w:val="-1"/>
          <w:vertAlign w:val="baseline"/>
        </w:rPr>
        <w:t> </w:t>
      </w:r>
      <w:r>
        <w:rPr>
          <w:vertAlign w:val="baseline"/>
        </w:rPr>
        <w:t>etc”)</w:t>
      </w:r>
      <w:r>
        <w:rPr>
          <w:spacing w:val="-2"/>
          <w:vertAlign w:val="baseline"/>
        </w:rPr>
        <w:t> </w:t>
      </w:r>
      <w:r>
        <w:rPr>
          <w:color w:val="005DA1"/>
          <w:u w:val="single" w:color="005DA1"/>
          <w:vertAlign w:val="superscript"/>
        </w:rPr>
        <w:t>1104</w:t>
      </w:r>
      <w:r>
        <w:rPr>
          <w:color w:val="005DA1"/>
          <w:spacing w:val="-1"/>
          <w:vertAlign w:val="baseline"/>
        </w:rPr>
        <w:t> </w:t>
      </w:r>
      <w:r>
        <w:rPr>
          <w:vertAlign w:val="baseline"/>
        </w:rPr>
        <w:t>and</w:t>
      </w:r>
      <w:r>
        <w:rPr>
          <w:spacing w:val="-1"/>
          <w:vertAlign w:val="baseline"/>
        </w:rPr>
        <w:t> </w:t>
      </w:r>
      <w:r>
        <w:rPr>
          <w:vertAlign w:val="baseline"/>
        </w:rPr>
        <w:t>other</w:t>
      </w:r>
      <w:r>
        <w:rPr>
          <w:spacing w:val="-1"/>
          <w:vertAlign w:val="baseline"/>
        </w:rPr>
        <w:t> </w:t>
      </w:r>
      <w:r>
        <w:rPr>
          <w:vertAlign w:val="baseline"/>
        </w:rPr>
        <w:t>provisions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Regulation,</w:t>
      </w:r>
      <w:r>
        <w:rPr>
          <w:spacing w:val="-1"/>
          <w:vertAlign w:val="baseline"/>
        </w:rPr>
        <w:t> </w:t>
      </w:r>
      <w:r>
        <w:rPr>
          <w:vertAlign w:val="baseline"/>
        </w:rPr>
        <w:t>notably </w:t>
      </w:r>
      <w:bookmarkStart w:name="_bookmark2109" w:id="2111"/>
      <w:bookmarkEnd w:id="2111"/>
      <w:r>
        <w:rPr>
          <w:vertAlign w:val="baseline"/>
        </w:rPr>
        <w:t>art.10</w:t>
      </w:r>
      <w:r>
        <w:rPr>
          <w:vertAlign w:val="baseline"/>
        </w:rPr>
        <w:t> (“consent and material validity”), </w:t>
      </w:r>
      <w:r>
        <w:rPr>
          <w:color w:val="005DA1"/>
          <w:u w:val="single" w:color="005DA1"/>
          <w:vertAlign w:val="superscript"/>
        </w:rPr>
        <w:t>1105</w:t>
      </w:r>
      <w:r>
        <w:rPr>
          <w:color w:val="005DA1"/>
          <w:vertAlign w:val="baseline"/>
        </w:rPr>
        <w:t> </w:t>
      </w:r>
      <w:r>
        <w:rPr>
          <w:vertAlign w:val="baseline"/>
        </w:rPr>
        <w:t>art.11 (“formal validity”), </w:t>
      </w:r>
      <w:r>
        <w:rPr>
          <w:color w:val="005DA1"/>
          <w:u w:val="single" w:color="005DA1"/>
          <w:vertAlign w:val="superscript"/>
        </w:rPr>
        <w:t>1106</w:t>
      </w:r>
      <w:r>
        <w:rPr>
          <w:color w:val="005DA1"/>
          <w:vertAlign w:val="baseline"/>
        </w:rPr>
        <w:t> </w:t>
      </w:r>
      <w:r>
        <w:rPr>
          <w:vertAlign w:val="baseline"/>
        </w:rPr>
        <w:t>art.13 (“incapacity”) </w:t>
      </w:r>
      <w:r>
        <w:rPr>
          <w:color w:val="005DA1"/>
          <w:u w:val="single" w:color="005DA1"/>
          <w:vertAlign w:val="superscript"/>
        </w:rPr>
        <w:t>1107</w:t>
      </w:r>
      <w:r>
        <w:rPr>
          <w:color w:val="005DA1"/>
          <w:vertAlign w:val="baseline"/>
        </w:rPr>
        <w:t> </w:t>
      </w:r>
      <w:r>
        <w:rPr>
          <w:vertAlign w:val="baseline"/>
        </w:rPr>
        <w:t>and art.18 (“burden of proof”) </w:t>
      </w:r>
      <w:r>
        <w:rPr>
          <w:color w:val="005DA1"/>
          <w:u w:val="single" w:color="005DA1"/>
          <w:vertAlign w:val="superscript"/>
        </w:rPr>
        <w:t>1108</w:t>
      </w:r>
      <w:r>
        <w:rPr>
          <w:color w:val="005DA1"/>
          <w:vertAlign w:val="baseline"/>
        </w:rPr>
        <w:t> </w:t>
      </w:r>
      <w:r>
        <w:rPr>
          <w:vertAlign w:val="baseline"/>
        </w:rPr>
        <w:t>also raise questions as to the relative competence of the applicable law and other relevant laws and thus are appropriate subjects for discussion in this section.</w:t>
      </w:r>
    </w:p>
    <w:p>
      <w:pPr>
        <w:pStyle w:val="BodyText"/>
      </w:pPr>
    </w:p>
    <w:p>
      <w:pPr>
        <w:pStyle w:val="BodyText"/>
        <w:spacing w:before="35"/>
      </w:pPr>
      <w:r>
        <w:rPr/>
        <mc:AlternateContent>
          <mc:Choice Requires="wps">
            <w:drawing>
              <wp:anchor distT="0" distB="0" distL="0" distR="0" allowOverlap="1" layoutInCell="1" locked="0" behindDoc="1" simplePos="0" relativeHeight="487626240">
                <wp:simplePos x="0" y="0"/>
                <wp:positionH relativeFrom="page">
                  <wp:posOffset>914400</wp:posOffset>
                </wp:positionH>
                <wp:positionV relativeFrom="paragraph">
                  <wp:posOffset>183805</wp:posOffset>
                </wp:positionV>
                <wp:extent cx="5724525" cy="127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7284pt;width:450.75pt;height:.1pt;mso-position-horizontal-relative:page;mso-position-vertical-relative:paragraph;z-index:-15690240;mso-wrap-distance-left:0;mso-wrap-distance-right:0" id="docshape46" coordorigin="1440,289" coordsize="9015,0" path="m1440,289l10454,289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4959"/>
      </w:tblGrid>
      <w:tr>
        <w:trPr>
          <w:trHeight w:val="344" w:hRule="atLeast"/>
        </w:trPr>
        <w:tc>
          <w:tcPr>
            <w:tcW w:w="496" w:type="dxa"/>
          </w:tcPr>
          <w:p>
            <w:pPr>
              <w:pStyle w:val="TableParagraph"/>
              <w:spacing w:before="0"/>
              <w:ind w:left="0" w:right="43"/>
              <w:rPr>
                <w:sz w:val="14"/>
              </w:rPr>
            </w:pPr>
            <w:bookmarkStart w:name="_bookmark2110" w:id="2112"/>
            <w:bookmarkEnd w:id="2112"/>
            <w:r>
              <w:rPr/>
            </w:r>
            <w:hyperlink w:history="true" w:anchor="_bookmark2105">
              <w:r>
                <w:rPr>
                  <w:color w:val="005DA1"/>
                  <w:spacing w:val="-2"/>
                  <w:sz w:val="14"/>
                  <w:u w:val="single" w:color="005DA1"/>
                </w:rPr>
                <w:t>1100</w:t>
              </w:r>
            </w:hyperlink>
            <w:r>
              <w:rPr>
                <w:spacing w:val="-2"/>
                <w:sz w:val="14"/>
              </w:rPr>
              <w:t>.</w:t>
            </w:r>
          </w:p>
        </w:tc>
        <w:tc>
          <w:tcPr>
            <w:tcW w:w="4959" w:type="dxa"/>
          </w:tcPr>
          <w:p>
            <w:pPr>
              <w:pStyle w:val="TableParagraph"/>
              <w:spacing w:line="223" w:lineRule="exact" w:before="0"/>
              <w:jc w:val="left"/>
              <w:rPr>
                <w:sz w:val="20"/>
              </w:rPr>
            </w:pPr>
            <w:r>
              <w:rPr>
                <w:sz w:val="20"/>
              </w:rPr>
              <w:t>Common law principles are referred to where </w:t>
            </w:r>
            <w:r>
              <w:rPr>
                <w:spacing w:val="-2"/>
                <w:sz w:val="20"/>
              </w:rPr>
              <w:t>relevant.</w:t>
            </w:r>
          </w:p>
        </w:tc>
      </w:tr>
      <w:tr>
        <w:trPr>
          <w:trHeight w:val="465" w:hRule="atLeast"/>
        </w:trPr>
        <w:tc>
          <w:tcPr>
            <w:tcW w:w="496" w:type="dxa"/>
          </w:tcPr>
          <w:p>
            <w:pPr>
              <w:pStyle w:val="TableParagraph"/>
              <w:ind w:left="0" w:right="43"/>
              <w:rPr>
                <w:sz w:val="14"/>
              </w:rPr>
            </w:pPr>
            <w:bookmarkStart w:name="_bookmark2111" w:id="2113"/>
            <w:bookmarkEnd w:id="2113"/>
            <w:r>
              <w:rPr/>
            </w:r>
            <w:hyperlink w:history="true" w:anchor="_bookmark2106">
              <w:r>
                <w:rPr>
                  <w:color w:val="005DA1"/>
                  <w:spacing w:val="-2"/>
                  <w:sz w:val="14"/>
                  <w:u w:val="single" w:color="005DA1"/>
                </w:rPr>
                <w:t>1101</w:t>
              </w:r>
            </w:hyperlink>
            <w:r>
              <w:rPr>
                <w:spacing w:val="-2"/>
                <w:sz w:val="14"/>
              </w:rPr>
              <w:t>.</w:t>
            </w:r>
          </w:p>
        </w:tc>
        <w:tc>
          <w:tcPr>
            <w:tcW w:w="4959" w:type="dxa"/>
          </w:tcPr>
          <w:p>
            <w:pPr>
              <w:pStyle w:val="TableParagraph"/>
              <w:spacing w:before="114"/>
              <w:jc w:val="left"/>
              <w:rPr>
                <w:sz w:val="20"/>
              </w:rPr>
            </w:pPr>
            <w:r>
              <w:rPr>
                <w:sz w:val="20"/>
              </w:rPr>
              <w:t>Below, paras 30-305 et </w:t>
            </w:r>
            <w:r>
              <w:rPr>
                <w:spacing w:val="-4"/>
                <w:sz w:val="20"/>
              </w:rPr>
              <w:t>seq.</w:t>
            </w:r>
          </w:p>
        </w:tc>
      </w:tr>
      <w:tr>
        <w:trPr>
          <w:trHeight w:val="465" w:hRule="atLeast"/>
        </w:trPr>
        <w:tc>
          <w:tcPr>
            <w:tcW w:w="496" w:type="dxa"/>
          </w:tcPr>
          <w:p>
            <w:pPr>
              <w:pStyle w:val="TableParagraph"/>
              <w:ind w:left="0" w:right="43"/>
              <w:rPr>
                <w:sz w:val="14"/>
              </w:rPr>
            </w:pPr>
            <w:bookmarkStart w:name="_bookmark2112" w:id="2114"/>
            <w:bookmarkEnd w:id="2114"/>
            <w:r>
              <w:rPr/>
            </w:r>
            <w:hyperlink w:history="true" w:anchor="_bookmark2106">
              <w:r>
                <w:rPr>
                  <w:color w:val="005DA1"/>
                  <w:spacing w:val="-2"/>
                  <w:sz w:val="14"/>
                  <w:u w:val="single" w:color="005DA1"/>
                </w:rPr>
                <w:t>1102</w:t>
              </w:r>
            </w:hyperlink>
            <w:r>
              <w:rPr>
                <w:spacing w:val="-2"/>
                <w:sz w:val="14"/>
              </w:rPr>
              <w:t>.</w:t>
            </w:r>
          </w:p>
        </w:tc>
        <w:tc>
          <w:tcPr>
            <w:tcW w:w="4959" w:type="dxa"/>
          </w:tcPr>
          <w:p>
            <w:pPr>
              <w:pStyle w:val="TableParagraph"/>
              <w:spacing w:before="114"/>
              <w:jc w:val="left"/>
              <w:rPr>
                <w:sz w:val="20"/>
              </w:rPr>
            </w:pPr>
            <w:r>
              <w:rPr>
                <w:sz w:val="20"/>
              </w:rPr>
              <w:t>Below, paras 30-311 et </w:t>
            </w:r>
            <w:r>
              <w:rPr>
                <w:spacing w:val="-4"/>
                <w:sz w:val="20"/>
              </w:rPr>
              <w:t>seq.</w:t>
            </w:r>
          </w:p>
        </w:tc>
      </w:tr>
      <w:tr>
        <w:trPr>
          <w:trHeight w:val="465" w:hRule="atLeast"/>
        </w:trPr>
        <w:tc>
          <w:tcPr>
            <w:tcW w:w="496" w:type="dxa"/>
          </w:tcPr>
          <w:p>
            <w:pPr>
              <w:pStyle w:val="TableParagraph"/>
              <w:ind w:left="0" w:right="43"/>
              <w:rPr>
                <w:sz w:val="14"/>
              </w:rPr>
            </w:pPr>
            <w:bookmarkStart w:name="_bookmark2113" w:id="2115"/>
            <w:bookmarkEnd w:id="2115"/>
            <w:r>
              <w:rPr/>
            </w:r>
            <w:hyperlink w:history="true" w:anchor="_bookmark2107">
              <w:r>
                <w:rPr>
                  <w:color w:val="005DA1"/>
                  <w:spacing w:val="-2"/>
                  <w:sz w:val="14"/>
                  <w:u w:val="single" w:color="005DA1"/>
                </w:rPr>
                <w:t>1103</w:t>
              </w:r>
            </w:hyperlink>
            <w:r>
              <w:rPr>
                <w:spacing w:val="-2"/>
                <w:sz w:val="14"/>
              </w:rPr>
              <w:t>.</w:t>
            </w:r>
          </w:p>
        </w:tc>
        <w:tc>
          <w:tcPr>
            <w:tcW w:w="4959" w:type="dxa"/>
          </w:tcPr>
          <w:p>
            <w:pPr>
              <w:pStyle w:val="TableParagraph"/>
              <w:spacing w:before="114"/>
              <w:jc w:val="left"/>
              <w:rPr>
                <w:sz w:val="20"/>
              </w:rPr>
            </w:pPr>
            <w:r>
              <w:rPr>
                <w:sz w:val="20"/>
              </w:rPr>
              <w:t>Below, para.30-</w:t>
            </w:r>
            <w:r>
              <w:rPr>
                <w:spacing w:val="-4"/>
                <w:sz w:val="20"/>
              </w:rPr>
              <w:t>325.</w:t>
            </w:r>
          </w:p>
        </w:tc>
      </w:tr>
      <w:tr>
        <w:trPr>
          <w:trHeight w:val="465" w:hRule="atLeast"/>
        </w:trPr>
        <w:tc>
          <w:tcPr>
            <w:tcW w:w="496" w:type="dxa"/>
          </w:tcPr>
          <w:p>
            <w:pPr>
              <w:pStyle w:val="TableParagraph"/>
              <w:ind w:left="0" w:right="43"/>
              <w:rPr>
                <w:sz w:val="14"/>
              </w:rPr>
            </w:pPr>
            <w:bookmarkStart w:name="_bookmark2114" w:id="2116"/>
            <w:bookmarkEnd w:id="2116"/>
            <w:r>
              <w:rPr/>
            </w:r>
            <w:hyperlink w:history="true" w:anchor="_bookmark2107">
              <w:r>
                <w:rPr>
                  <w:color w:val="005DA1"/>
                  <w:spacing w:val="-2"/>
                  <w:sz w:val="14"/>
                  <w:u w:val="single" w:color="005DA1"/>
                </w:rPr>
                <w:t>1104</w:t>
              </w:r>
            </w:hyperlink>
            <w:r>
              <w:rPr>
                <w:spacing w:val="-2"/>
                <w:sz w:val="14"/>
              </w:rPr>
              <w:t>.</w:t>
            </w:r>
          </w:p>
        </w:tc>
        <w:tc>
          <w:tcPr>
            <w:tcW w:w="4959" w:type="dxa"/>
          </w:tcPr>
          <w:p>
            <w:pPr>
              <w:pStyle w:val="TableParagraph"/>
              <w:spacing w:before="114"/>
              <w:jc w:val="left"/>
              <w:rPr>
                <w:sz w:val="20"/>
              </w:rPr>
            </w:pPr>
            <w:r>
              <w:rPr>
                <w:sz w:val="20"/>
              </w:rPr>
              <w:t>Below, paras 30-353 et </w:t>
            </w:r>
            <w:r>
              <w:rPr>
                <w:spacing w:val="-4"/>
                <w:sz w:val="20"/>
              </w:rPr>
              <w:t>seq.</w:t>
            </w:r>
          </w:p>
        </w:tc>
      </w:tr>
      <w:tr>
        <w:trPr>
          <w:trHeight w:val="465" w:hRule="atLeast"/>
        </w:trPr>
        <w:tc>
          <w:tcPr>
            <w:tcW w:w="496" w:type="dxa"/>
          </w:tcPr>
          <w:p>
            <w:pPr>
              <w:pStyle w:val="TableParagraph"/>
              <w:ind w:left="0" w:right="43"/>
              <w:rPr>
                <w:sz w:val="14"/>
              </w:rPr>
            </w:pPr>
            <w:bookmarkStart w:name="_bookmark2115" w:id="2117"/>
            <w:bookmarkEnd w:id="2117"/>
            <w:r>
              <w:rPr/>
            </w:r>
            <w:hyperlink w:history="true" w:anchor="_bookmark2108">
              <w:r>
                <w:rPr>
                  <w:color w:val="005DA1"/>
                  <w:spacing w:val="-2"/>
                  <w:sz w:val="14"/>
                  <w:u w:val="single" w:color="005DA1"/>
                </w:rPr>
                <w:t>1105</w:t>
              </w:r>
            </w:hyperlink>
            <w:r>
              <w:rPr>
                <w:spacing w:val="-2"/>
                <w:sz w:val="14"/>
              </w:rPr>
              <w:t>.</w:t>
            </w:r>
          </w:p>
        </w:tc>
        <w:tc>
          <w:tcPr>
            <w:tcW w:w="4959" w:type="dxa"/>
          </w:tcPr>
          <w:p>
            <w:pPr>
              <w:pStyle w:val="TableParagraph"/>
              <w:spacing w:before="114"/>
              <w:jc w:val="left"/>
              <w:rPr>
                <w:sz w:val="20"/>
              </w:rPr>
            </w:pPr>
            <w:r>
              <w:rPr>
                <w:sz w:val="20"/>
              </w:rPr>
              <w:t>Below, paras 30-305 et </w:t>
            </w:r>
            <w:r>
              <w:rPr>
                <w:spacing w:val="-4"/>
                <w:sz w:val="20"/>
              </w:rPr>
              <w:t>seq.</w:t>
            </w:r>
          </w:p>
        </w:tc>
      </w:tr>
      <w:tr>
        <w:trPr>
          <w:trHeight w:val="465" w:hRule="atLeast"/>
        </w:trPr>
        <w:tc>
          <w:tcPr>
            <w:tcW w:w="496" w:type="dxa"/>
          </w:tcPr>
          <w:p>
            <w:pPr>
              <w:pStyle w:val="TableParagraph"/>
              <w:ind w:left="0" w:right="43"/>
              <w:rPr>
                <w:sz w:val="14"/>
              </w:rPr>
            </w:pPr>
            <w:bookmarkStart w:name="_bookmark2116" w:id="2118"/>
            <w:bookmarkEnd w:id="2118"/>
            <w:r>
              <w:rPr/>
            </w:r>
            <w:hyperlink w:history="true" w:anchor="_bookmark2108">
              <w:r>
                <w:rPr>
                  <w:color w:val="005DA1"/>
                  <w:spacing w:val="-2"/>
                  <w:sz w:val="14"/>
                  <w:u w:val="single" w:color="005DA1"/>
                </w:rPr>
                <w:t>1106</w:t>
              </w:r>
            </w:hyperlink>
            <w:r>
              <w:rPr>
                <w:spacing w:val="-2"/>
                <w:sz w:val="14"/>
              </w:rPr>
              <w:t>.</w:t>
            </w:r>
          </w:p>
        </w:tc>
        <w:tc>
          <w:tcPr>
            <w:tcW w:w="4959" w:type="dxa"/>
          </w:tcPr>
          <w:p>
            <w:pPr>
              <w:pStyle w:val="TableParagraph"/>
              <w:spacing w:before="114"/>
              <w:jc w:val="left"/>
              <w:rPr>
                <w:sz w:val="20"/>
              </w:rPr>
            </w:pPr>
            <w:r>
              <w:rPr>
                <w:sz w:val="20"/>
              </w:rPr>
              <w:t>Below, paras 30-311 et </w:t>
            </w:r>
            <w:r>
              <w:rPr>
                <w:spacing w:val="-4"/>
                <w:sz w:val="20"/>
              </w:rPr>
              <w:t>seq.</w:t>
            </w:r>
          </w:p>
        </w:tc>
      </w:tr>
      <w:tr>
        <w:trPr>
          <w:trHeight w:val="465" w:hRule="atLeast"/>
        </w:trPr>
        <w:tc>
          <w:tcPr>
            <w:tcW w:w="496" w:type="dxa"/>
          </w:tcPr>
          <w:p>
            <w:pPr>
              <w:pStyle w:val="TableParagraph"/>
              <w:ind w:left="0" w:right="43"/>
              <w:rPr>
                <w:sz w:val="14"/>
              </w:rPr>
            </w:pPr>
            <w:bookmarkStart w:name="_bookmark2117" w:id="2119"/>
            <w:bookmarkEnd w:id="2119"/>
            <w:r>
              <w:rPr/>
            </w:r>
            <w:hyperlink w:history="true" w:anchor="_bookmark2108">
              <w:r>
                <w:rPr>
                  <w:color w:val="005DA1"/>
                  <w:spacing w:val="-2"/>
                  <w:sz w:val="14"/>
                  <w:u w:val="single" w:color="005DA1"/>
                </w:rPr>
                <w:t>1107</w:t>
              </w:r>
            </w:hyperlink>
            <w:r>
              <w:rPr>
                <w:spacing w:val="-2"/>
                <w:sz w:val="14"/>
              </w:rPr>
              <w:t>.</w:t>
            </w:r>
          </w:p>
        </w:tc>
        <w:tc>
          <w:tcPr>
            <w:tcW w:w="4959" w:type="dxa"/>
          </w:tcPr>
          <w:p>
            <w:pPr>
              <w:pStyle w:val="TableParagraph"/>
              <w:spacing w:before="114"/>
              <w:jc w:val="left"/>
              <w:rPr>
                <w:sz w:val="20"/>
              </w:rPr>
            </w:pPr>
            <w:r>
              <w:rPr>
                <w:sz w:val="20"/>
              </w:rPr>
              <w:t>Below, para.30-</w:t>
            </w:r>
            <w:r>
              <w:rPr>
                <w:spacing w:val="-4"/>
                <w:sz w:val="20"/>
              </w:rPr>
              <w:t>325.</w:t>
            </w:r>
          </w:p>
        </w:tc>
      </w:tr>
      <w:tr>
        <w:trPr>
          <w:trHeight w:val="344" w:hRule="atLeast"/>
        </w:trPr>
        <w:tc>
          <w:tcPr>
            <w:tcW w:w="496" w:type="dxa"/>
          </w:tcPr>
          <w:p>
            <w:pPr>
              <w:pStyle w:val="TableParagraph"/>
              <w:ind w:left="0" w:right="43"/>
              <w:rPr>
                <w:sz w:val="14"/>
              </w:rPr>
            </w:pPr>
            <w:bookmarkStart w:name="_bookmark2118" w:id="2120"/>
            <w:bookmarkEnd w:id="2120"/>
            <w:r>
              <w:rPr/>
            </w:r>
            <w:hyperlink w:history="true" w:anchor="_bookmark2109">
              <w:r>
                <w:rPr>
                  <w:color w:val="005DA1"/>
                  <w:spacing w:val="-2"/>
                  <w:sz w:val="14"/>
                  <w:u w:val="single" w:color="005DA1"/>
                </w:rPr>
                <w:t>1108</w:t>
              </w:r>
            </w:hyperlink>
            <w:r>
              <w:rPr>
                <w:spacing w:val="-2"/>
                <w:sz w:val="14"/>
              </w:rPr>
              <w:t>.</w:t>
            </w:r>
          </w:p>
        </w:tc>
        <w:tc>
          <w:tcPr>
            <w:tcW w:w="4959" w:type="dxa"/>
          </w:tcPr>
          <w:p>
            <w:pPr>
              <w:pStyle w:val="TableParagraph"/>
              <w:spacing w:line="210" w:lineRule="exact" w:before="114"/>
              <w:jc w:val="left"/>
              <w:rPr>
                <w:sz w:val="20"/>
              </w:rPr>
            </w:pPr>
            <w:r>
              <w:rPr>
                <w:sz w:val="20"/>
              </w:rPr>
              <w:t>Below, paras 30-354 et </w:t>
            </w:r>
            <w:r>
              <w:rPr>
                <w:spacing w:val="-4"/>
                <w:sz w:val="20"/>
              </w:rPr>
              <w:t>seq.</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29"/>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5. - Scope of the Applicable </w:t>
      </w:r>
      <w:r>
        <w:rPr>
          <w:rFonts w:ascii="Arial"/>
          <w:b/>
          <w:spacing w:val="-5"/>
          <w:sz w:val="24"/>
        </w:rPr>
        <w:t>Law</w:t>
      </w:r>
    </w:p>
    <w:p>
      <w:pPr>
        <w:spacing w:before="194"/>
        <w:ind w:left="2451" w:right="0" w:firstLine="0"/>
        <w:jc w:val="left"/>
        <w:rPr>
          <w:rFonts w:ascii="Arial"/>
          <w:b/>
          <w:position w:val="11"/>
          <w:sz w:val="12"/>
        </w:rPr>
      </w:pPr>
      <w:bookmarkStart w:name="_bookmark2119" w:id="2121"/>
      <w:bookmarkEnd w:id="2121"/>
      <w:r>
        <w:rPr/>
      </w:r>
      <w:r>
        <w:rPr>
          <w:rFonts w:ascii="Arial"/>
          <w:b/>
          <w:sz w:val="24"/>
        </w:rPr>
        <w:t>(a) - Material Validity of the Contract</w:t>
      </w:r>
      <w:r>
        <w:rPr>
          <w:rFonts w:ascii="Arial"/>
          <w:b/>
          <w:spacing w:val="-1"/>
          <w:sz w:val="24"/>
        </w:rPr>
        <w:t> </w:t>
      </w:r>
      <w:r>
        <w:rPr>
          <w:rFonts w:ascii="Arial"/>
          <w:b/>
          <w:color w:val="005DA1"/>
          <w:spacing w:val="-4"/>
          <w:position w:val="11"/>
          <w:sz w:val="12"/>
          <w:u w:val="single" w:color="005DA1"/>
        </w:rPr>
        <w:t>1109</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Article 8(1) of the Convention and art.10(1) of the </w:t>
      </w:r>
      <w:r>
        <w:rPr>
          <w:rFonts w:ascii="Arial"/>
          <w:b/>
          <w:spacing w:val="-2"/>
          <w:sz w:val="18"/>
        </w:rPr>
        <w:t>Regulation</w:t>
      </w:r>
    </w:p>
    <w:p>
      <w:pPr>
        <w:pStyle w:val="BodyText"/>
        <w:spacing w:before="42"/>
        <w:rPr>
          <w:rFonts w:ascii="Arial"/>
          <w:b/>
          <w:sz w:val="18"/>
        </w:rPr>
      </w:pPr>
    </w:p>
    <w:p>
      <w:pPr>
        <w:pStyle w:val="Heading2"/>
      </w:pPr>
      <w:r>
        <w:rPr/>
        <w:t>30-</w:t>
      </w:r>
      <w:r>
        <w:rPr>
          <w:spacing w:val="-5"/>
        </w:rPr>
        <w:t>305</w:t>
      </w:r>
    </w:p>
    <w:p>
      <w:pPr>
        <w:pStyle w:val="BodyText"/>
        <w:spacing w:line="235" w:lineRule="auto" w:before="202"/>
        <w:ind w:left="165" w:right="167"/>
        <w:jc w:val="both"/>
      </w:pPr>
      <w:r>
        <w:rPr/>
        <w:t>Article 8(1) of the Rome Convention which is expressed to apply to the “material validity” of </w:t>
      </w:r>
      <w:r>
        <w:rPr/>
        <w:t>the contract provides as follows:</w:t>
      </w:r>
    </w:p>
    <w:p>
      <w:pPr>
        <w:pStyle w:val="BodyText"/>
      </w:pPr>
    </w:p>
    <w:p>
      <w:pPr>
        <w:pStyle w:val="BodyText"/>
        <w:spacing w:before="126"/>
      </w:pPr>
    </w:p>
    <w:p>
      <w:pPr>
        <w:pStyle w:val="BodyText"/>
        <w:spacing w:line="235" w:lineRule="auto"/>
        <w:ind w:left="1245" w:right="168"/>
      </w:pPr>
      <w:r>
        <w:rPr/>
        <w:t>“The existence and validity of a contract, or of any term of a contract, shall be </w:t>
      </w:r>
      <w:r>
        <w:rPr/>
        <w:t>determined by the law which would govern it under this Convention if the contract or term were </w:t>
      </w:r>
      <w:r>
        <w:rPr>
          <w:spacing w:val="-2"/>
        </w:rPr>
        <w:t>valid.”</w:t>
      </w:r>
    </w:p>
    <w:p>
      <w:pPr>
        <w:pStyle w:val="BodyText"/>
        <w:spacing w:before="116"/>
      </w:pPr>
    </w:p>
    <w:p>
      <w:pPr>
        <w:pStyle w:val="BodyText"/>
        <w:spacing w:line="235" w:lineRule="auto"/>
        <w:ind w:left="165" w:right="167"/>
        <w:jc w:val="both"/>
      </w:pPr>
      <w:r>
        <w:rPr/>
        <w:t>The terms of this provision are replicated in art.10(1) of the Regulation, save for the obvious fact that in the case of the Regulation, the governing law will be determined by the rules in the Regulation and </w:t>
      </w:r>
      <w:bookmarkStart w:name="_bookmark2120" w:id="2122"/>
      <w:bookmarkEnd w:id="2122"/>
      <w:r>
        <w:rPr/>
        <w:t>the</w:t>
      </w:r>
      <w:r>
        <w:rPr/>
        <w:t> provisions in each instrument will be interpreted in the same manner. Material validity, for these </w:t>
      </w:r>
      <w:bookmarkStart w:name="_bookmark2121" w:id="2123"/>
      <w:bookmarkEnd w:id="2123"/>
      <w:r>
        <w:rPr/>
        <w:t>purposes,</w:t>
      </w:r>
      <w:r>
        <w:rPr>
          <w:spacing w:val="-2"/>
        </w:rPr>
        <w:t> </w:t>
      </w:r>
      <w:r>
        <w:rPr/>
        <w:t>thus</w:t>
      </w:r>
      <w:r>
        <w:rPr>
          <w:spacing w:val="-2"/>
        </w:rPr>
        <w:t> </w:t>
      </w:r>
      <w:r>
        <w:rPr/>
        <w:t>includes</w:t>
      </w:r>
      <w:r>
        <w:rPr>
          <w:spacing w:val="-2"/>
        </w:rPr>
        <w:t> </w:t>
      </w:r>
      <w:r>
        <w:rPr>
          <w:color w:val="005DA1"/>
          <w:u w:val="single" w:color="005DA1"/>
          <w:vertAlign w:val="superscript"/>
        </w:rPr>
        <w:t>1110</w:t>
      </w:r>
      <w:r>
        <w:rPr>
          <w:color w:val="005DA1"/>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of</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has</w:t>
      </w:r>
      <w:r>
        <w:rPr>
          <w:spacing w:val="-2"/>
          <w:vertAlign w:val="baseline"/>
        </w:rPr>
        <w:t> </w:t>
      </w:r>
      <w:r>
        <w:rPr>
          <w:vertAlign w:val="baseline"/>
        </w:rPr>
        <w:t>come</w:t>
      </w:r>
      <w:r>
        <w:rPr>
          <w:spacing w:val="-2"/>
          <w:vertAlign w:val="baseline"/>
        </w:rPr>
        <w:t> </w:t>
      </w:r>
      <w:r>
        <w:rPr>
          <w:vertAlign w:val="baseline"/>
        </w:rPr>
        <w:t>into</w:t>
      </w:r>
      <w:r>
        <w:rPr>
          <w:spacing w:val="-2"/>
          <w:vertAlign w:val="baseline"/>
        </w:rPr>
        <w:t> </w:t>
      </w:r>
      <w:r>
        <w:rPr>
          <w:vertAlign w:val="baseline"/>
        </w:rPr>
        <w:t>existence</w:t>
      </w:r>
      <w:r>
        <w:rPr>
          <w:spacing w:val="-2"/>
          <w:vertAlign w:val="baseline"/>
        </w:rPr>
        <w:t> </w:t>
      </w:r>
      <w:r>
        <w:rPr>
          <w:vertAlign w:val="baseline"/>
        </w:rPr>
        <w:t>(i.e.</w:t>
      </w:r>
      <w:r>
        <w:rPr>
          <w:spacing w:val="-2"/>
          <w:vertAlign w:val="baseline"/>
        </w:rPr>
        <w:t> </w:t>
      </w:r>
      <w:r>
        <w:rPr>
          <w:vertAlign w:val="baseline"/>
        </w:rPr>
        <w:t>matters </w:t>
      </w:r>
      <w:bookmarkStart w:name="_bookmark2122" w:id="2124"/>
      <w:bookmarkEnd w:id="2124"/>
      <w:r>
        <w:rPr>
          <w:vertAlign w:val="baseline"/>
        </w:rPr>
        <w:t>relating</w:t>
      </w:r>
      <w:r>
        <w:rPr>
          <w:vertAlign w:val="baseline"/>
        </w:rPr>
        <w:t> to the formation), </w:t>
      </w:r>
      <w:r>
        <w:rPr>
          <w:color w:val="005DA1"/>
          <w:u w:val="single" w:color="005DA1"/>
          <w:vertAlign w:val="superscript"/>
        </w:rPr>
        <w:t>1111</w:t>
      </w:r>
      <w:r>
        <w:rPr>
          <w:color w:val="005DA1"/>
          <w:vertAlign w:val="baseline"/>
        </w:rPr>
        <w:t> </w:t>
      </w:r>
      <w:r>
        <w:rPr>
          <w:vertAlign w:val="baseline"/>
        </w:rPr>
        <w:t>the validity of the contract and the terms thereof, </w:t>
      </w:r>
      <w:r>
        <w:rPr>
          <w:color w:val="005DA1"/>
          <w:u w:val="single" w:color="005DA1"/>
          <w:vertAlign w:val="superscript"/>
        </w:rPr>
        <w:t>1112</w:t>
      </w:r>
      <w:r>
        <w:rPr>
          <w:color w:val="005DA1"/>
          <w:vertAlign w:val="baseline"/>
        </w:rPr>
        <w:t> </w:t>
      </w:r>
      <w:r>
        <w:rPr>
          <w:vertAlign w:val="baseline"/>
        </w:rPr>
        <w:t>and the validity </w:t>
      </w:r>
      <w:r>
        <w:rPr>
          <w:vertAlign w:val="baseline"/>
        </w:rPr>
        <w:t>of consent to the contract (e.g. questions of mistake, misrepresentation, duress or non-disclosure). </w:t>
      </w:r>
      <w:r>
        <w:rPr>
          <w:color w:val="005DA1"/>
          <w:u w:val="single" w:color="005DA1"/>
          <w:vertAlign w:val="superscript"/>
        </w:rPr>
        <w:t>1113</w:t>
      </w:r>
      <w:r>
        <w:rPr>
          <w:color w:val="005DA1"/>
          <w:vertAlign w:val="baseline"/>
        </w:rPr>
        <w:t> </w:t>
      </w:r>
      <w:bookmarkStart w:name="_bookmark2123" w:id="2125"/>
      <w:bookmarkEnd w:id="2125"/>
      <w:r>
        <w:rPr>
          <w:color w:val="005DA1"/>
          <w:w w:val="92"/>
          <w:vertAlign w:val="baseline"/>
        </w:rPr>
      </w:r>
      <w:r>
        <w:rPr>
          <w:vertAlign w:val="baseline"/>
        </w:rPr>
        <w:t>Since</w:t>
      </w:r>
      <w:r>
        <w:rPr>
          <w:spacing w:val="-1"/>
          <w:vertAlign w:val="baseline"/>
        </w:rPr>
        <w:t> </w:t>
      </w:r>
      <w:r>
        <w:rPr>
          <w:vertAlign w:val="baseline"/>
        </w:rPr>
        <w:t>arts</w:t>
      </w:r>
      <w:r>
        <w:rPr>
          <w:spacing w:val="-1"/>
          <w:vertAlign w:val="baseline"/>
        </w:rPr>
        <w:t> </w:t>
      </w:r>
      <w:r>
        <w:rPr>
          <w:vertAlign w:val="baseline"/>
        </w:rPr>
        <w:t>8(1)</w:t>
      </w:r>
      <w:r>
        <w:rPr>
          <w:spacing w:val="-1"/>
          <w:vertAlign w:val="baseline"/>
        </w:rPr>
        <w:t> </w:t>
      </w:r>
      <w:r>
        <w:rPr>
          <w:vertAlign w:val="baseline"/>
        </w:rPr>
        <w:t>and</w:t>
      </w:r>
      <w:r>
        <w:rPr>
          <w:spacing w:val="-1"/>
          <w:vertAlign w:val="baseline"/>
        </w:rPr>
        <w:t> </w:t>
      </w:r>
      <w:r>
        <w:rPr>
          <w:vertAlign w:val="baseline"/>
        </w:rPr>
        <w:t>10(1)</w:t>
      </w:r>
      <w:r>
        <w:rPr>
          <w:spacing w:val="-1"/>
          <w:vertAlign w:val="baseline"/>
        </w:rPr>
        <w:t> </w:t>
      </w:r>
      <w:r>
        <w:rPr>
          <w:vertAlign w:val="baseline"/>
        </w:rPr>
        <w:t>apply</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validity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its</w:t>
      </w:r>
      <w:r>
        <w:rPr>
          <w:spacing w:val="-1"/>
          <w:vertAlign w:val="baseline"/>
        </w:rPr>
        <w:t> </w:t>
      </w:r>
      <w:r>
        <w:rPr>
          <w:vertAlign w:val="baseline"/>
        </w:rPr>
        <w:t>terms</w:t>
      </w:r>
      <w:r>
        <w:rPr>
          <w:spacing w:val="-1"/>
          <w:vertAlign w:val="baseline"/>
        </w:rPr>
        <w:t> </w:t>
      </w:r>
      <w:r>
        <w:rPr>
          <w:vertAlign w:val="baseline"/>
        </w:rPr>
        <w:t>they</w:t>
      </w:r>
      <w:r>
        <w:rPr>
          <w:spacing w:val="-1"/>
          <w:vertAlign w:val="baseline"/>
        </w:rPr>
        <w:t> </w:t>
      </w:r>
      <w:r>
        <w:rPr>
          <w:vertAlign w:val="baseline"/>
        </w:rPr>
        <w:t>will</w:t>
      </w:r>
      <w:r>
        <w:rPr>
          <w:spacing w:val="-1"/>
          <w:vertAlign w:val="baseline"/>
        </w:rPr>
        <w:t> </w:t>
      </w:r>
      <w:r>
        <w:rPr>
          <w:vertAlign w:val="baseline"/>
        </w:rPr>
        <w:t>also</w:t>
      </w:r>
      <w:r>
        <w:rPr>
          <w:spacing w:val="-1"/>
          <w:vertAlign w:val="baseline"/>
        </w:rPr>
        <w:t> </w:t>
      </w:r>
      <w:r>
        <w:rPr>
          <w:vertAlign w:val="baseline"/>
        </w:rPr>
        <w:t>apply</w:t>
      </w:r>
      <w:r>
        <w:rPr>
          <w:spacing w:val="-1"/>
          <w:vertAlign w:val="baseline"/>
        </w:rPr>
        <w:t> </w:t>
      </w:r>
      <w:r>
        <w:rPr>
          <w:vertAlign w:val="baseline"/>
        </w:rPr>
        <w:t>to</w:t>
      </w:r>
      <w:r>
        <w:rPr>
          <w:spacing w:val="-1"/>
          <w:vertAlign w:val="baseline"/>
        </w:rPr>
        <w:t> </w:t>
      </w:r>
      <w:r>
        <w:rPr>
          <w:vertAlign w:val="baseline"/>
        </w:rPr>
        <w:t>some (but not all) issues of legality of the contract. </w:t>
      </w:r>
      <w:r>
        <w:rPr>
          <w:color w:val="005DA1"/>
          <w:u w:val="single" w:color="005DA1"/>
          <w:vertAlign w:val="superscript"/>
        </w:rPr>
        <w:t>1114</w:t>
      </w:r>
      <w:r>
        <w:rPr>
          <w:color w:val="005DA1"/>
          <w:vertAlign w:val="baseline"/>
        </w:rPr>
        <w:t> </w:t>
      </w:r>
      <w:r>
        <w:rPr>
          <w:vertAlign w:val="baseline"/>
        </w:rPr>
        <w:t>Where arts 8(1) or 10(1) apply, the relevant </w:t>
      </w:r>
      <w:bookmarkStart w:name="_bookmark2124" w:id="2126"/>
      <w:bookmarkEnd w:id="2126"/>
      <w:r>
        <w:rPr>
          <w:vertAlign w:val="baseline"/>
        </w:rPr>
        <w:t>applicable</w:t>
      </w:r>
      <w:r>
        <w:rPr>
          <w:vertAlign w:val="baseline"/>
        </w:rPr>
        <w:t> law will be the law which would govern the contract under the Convention or the</w:t>
      </w:r>
      <w:r>
        <w:rPr>
          <w:spacing w:val="80"/>
          <w:vertAlign w:val="baseline"/>
        </w:rPr>
        <w:t> </w:t>
      </w:r>
      <w:r>
        <w:rPr>
          <w:vertAlign w:val="baseline"/>
        </w:rPr>
        <w:t>Regulation</w:t>
      </w:r>
      <w:r>
        <w:rPr>
          <w:spacing w:val="6"/>
          <w:vertAlign w:val="baseline"/>
        </w:rPr>
        <w:t> </w:t>
      </w:r>
      <w:r>
        <w:rPr>
          <w:vertAlign w:val="baseline"/>
        </w:rPr>
        <w:t>if</w:t>
      </w:r>
      <w:r>
        <w:rPr>
          <w:spacing w:val="6"/>
          <w:vertAlign w:val="baseline"/>
        </w:rPr>
        <w:t> </w:t>
      </w:r>
      <w:r>
        <w:rPr>
          <w:vertAlign w:val="baseline"/>
        </w:rPr>
        <w:t>the</w:t>
      </w:r>
      <w:r>
        <w:rPr>
          <w:spacing w:val="6"/>
          <w:vertAlign w:val="baseline"/>
        </w:rPr>
        <w:t> </w:t>
      </w:r>
      <w:r>
        <w:rPr>
          <w:vertAlign w:val="baseline"/>
        </w:rPr>
        <w:t>contract</w:t>
      </w:r>
      <w:r>
        <w:rPr>
          <w:spacing w:val="6"/>
          <w:vertAlign w:val="baseline"/>
        </w:rPr>
        <w:t> </w:t>
      </w:r>
      <w:r>
        <w:rPr>
          <w:vertAlign w:val="baseline"/>
        </w:rPr>
        <w:t>or</w:t>
      </w:r>
      <w:r>
        <w:rPr>
          <w:spacing w:val="6"/>
          <w:vertAlign w:val="baseline"/>
        </w:rPr>
        <w:t> </w:t>
      </w:r>
      <w:r>
        <w:rPr>
          <w:vertAlign w:val="baseline"/>
        </w:rPr>
        <w:t>term</w:t>
      </w:r>
      <w:r>
        <w:rPr>
          <w:spacing w:val="6"/>
          <w:vertAlign w:val="baseline"/>
        </w:rPr>
        <w:t> </w:t>
      </w:r>
      <w:r>
        <w:rPr>
          <w:vertAlign w:val="baseline"/>
        </w:rPr>
        <w:t>were</w:t>
      </w:r>
      <w:r>
        <w:rPr>
          <w:spacing w:val="6"/>
          <w:vertAlign w:val="baseline"/>
        </w:rPr>
        <w:t> </w:t>
      </w:r>
      <w:r>
        <w:rPr>
          <w:vertAlign w:val="baseline"/>
        </w:rPr>
        <w:t>valid,</w:t>
      </w:r>
      <w:r>
        <w:rPr>
          <w:spacing w:val="6"/>
          <w:vertAlign w:val="baseline"/>
        </w:rPr>
        <w:t> </w:t>
      </w:r>
      <w:r>
        <w:rPr>
          <w:vertAlign w:val="baseline"/>
        </w:rPr>
        <w:t>the</w:t>
      </w:r>
      <w:r>
        <w:rPr>
          <w:spacing w:val="6"/>
          <w:vertAlign w:val="baseline"/>
        </w:rPr>
        <w:t> </w:t>
      </w:r>
      <w:r>
        <w:rPr>
          <w:vertAlign w:val="baseline"/>
        </w:rPr>
        <w:t>“putative</w:t>
      </w:r>
      <w:r>
        <w:rPr>
          <w:spacing w:val="6"/>
          <w:vertAlign w:val="baseline"/>
        </w:rPr>
        <w:t> </w:t>
      </w:r>
      <w:r>
        <w:rPr>
          <w:vertAlign w:val="baseline"/>
        </w:rPr>
        <w:t>applicable</w:t>
      </w:r>
      <w:r>
        <w:rPr>
          <w:spacing w:val="6"/>
          <w:vertAlign w:val="baseline"/>
        </w:rPr>
        <w:t> </w:t>
      </w:r>
      <w:r>
        <w:rPr>
          <w:vertAlign w:val="baseline"/>
        </w:rPr>
        <w:t>law”</w:t>
      </w:r>
      <w:r>
        <w:rPr>
          <w:spacing w:val="6"/>
          <w:vertAlign w:val="baseline"/>
        </w:rPr>
        <w:t> </w:t>
      </w:r>
      <w:r>
        <w:rPr>
          <w:vertAlign w:val="baseline"/>
        </w:rPr>
        <w:t>or</w:t>
      </w:r>
      <w:r>
        <w:rPr>
          <w:spacing w:val="6"/>
          <w:vertAlign w:val="baseline"/>
        </w:rPr>
        <w:t> </w:t>
      </w:r>
      <w:r>
        <w:rPr>
          <w:vertAlign w:val="baseline"/>
        </w:rPr>
        <w:t>“putative</w:t>
      </w:r>
      <w:r>
        <w:rPr>
          <w:spacing w:val="6"/>
          <w:vertAlign w:val="baseline"/>
        </w:rPr>
        <w:t> </w:t>
      </w:r>
      <w:r>
        <w:rPr>
          <w:vertAlign w:val="baseline"/>
        </w:rPr>
        <w:t>governing</w:t>
      </w:r>
      <w:r>
        <w:rPr>
          <w:spacing w:val="6"/>
          <w:vertAlign w:val="baseline"/>
        </w:rPr>
        <w:t> </w:t>
      </w:r>
      <w:r>
        <w:rPr>
          <w:spacing w:val="-2"/>
          <w:vertAlign w:val="baseline"/>
        </w:rPr>
        <w:t>law”.</w:t>
      </w:r>
    </w:p>
    <w:p>
      <w:pPr>
        <w:spacing w:line="110" w:lineRule="exact" w:before="0"/>
        <w:ind w:left="165" w:right="0" w:firstLine="0"/>
        <w:jc w:val="left"/>
        <w:rPr>
          <w:sz w:val="12"/>
        </w:rPr>
      </w:pPr>
      <w:r>
        <w:rPr>
          <w:color w:val="005DA1"/>
          <w:spacing w:val="-4"/>
          <w:sz w:val="12"/>
          <w:u w:val="single" w:color="005DA1"/>
        </w:rPr>
        <w:t>1115</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hAnsi="Arial"/>
          <w:b/>
          <w:sz w:val="18"/>
        </w:rPr>
      </w:pPr>
      <w:r>
        <w:rPr>
          <w:rFonts w:ascii="Arial" w:hAnsi="Arial"/>
          <w:b/>
          <w:sz w:val="18"/>
        </w:rPr>
        <w:t>Identification of “putative applicable </w:t>
      </w:r>
      <w:r>
        <w:rPr>
          <w:rFonts w:ascii="Arial" w:hAnsi="Arial"/>
          <w:b/>
          <w:spacing w:val="-4"/>
          <w:sz w:val="18"/>
        </w:rPr>
        <w:t>law”</w:t>
      </w:r>
    </w:p>
    <w:p>
      <w:pPr>
        <w:pStyle w:val="BodyText"/>
        <w:spacing w:before="42"/>
        <w:rPr>
          <w:rFonts w:ascii="Arial"/>
          <w:b/>
          <w:sz w:val="18"/>
        </w:rPr>
      </w:pPr>
    </w:p>
    <w:p>
      <w:pPr>
        <w:pStyle w:val="Heading2"/>
      </w:pPr>
      <w:r>
        <w:rPr/>
        <w:t>30-</w:t>
      </w:r>
      <w:r>
        <w:rPr>
          <w:spacing w:val="-5"/>
        </w:rPr>
        <w:t>306</w:t>
      </w:r>
    </w:p>
    <w:p>
      <w:pPr>
        <w:pStyle w:val="BodyText"/>
        <w:spacing w:line="235" w:lineRule="auto" w:before="202"/>
        <w:ind w:left="165" w:right="167"/>
        <w:jc w:val="both"/>
      </w:pPr>
      <w:r>
        <w:rPr/>
        <w:t>Since arts 8(1) and 10(1) stipulate that the governing law is the law which would apply, pursuant </w:t>
      </w:r>
      <w:r>
        <w:rPr/>
        <w:t>to</w:t>
      </w:r>
      <w:r>
        <w:rPr>
          <w:spacing w:val="40"/>
        </w:rPr>
        <w:t> </w:t>
      </w:r>
      <w:r>
        <w:rPr/>
        <w:t>the Convention or the Regulation, if the contract or term were valid, the putative governing law will be determined according to the rules for determining the applicable law which are contained in the Convention or the Regulation as the case may be. Accordingly, where the parties have made a</w:t>
      </w:r>
      <w:r>
        <w:rPr>
          <w:spacing w:val="80"/>
        </w:rPr>
        <w:t> </w:t>
      </w:r>
      <w:bookmarkStart w:name="_bookmark2125" w:id="2127"/>
      <w:bookmarkEnd w:id="2127"/>
      <w:r>
        <w:rPr/>
        <w:t>choice</w:t>
      </w:r>
      <w:r>
        <w:rPr/>
        <w:t> of law in the contract and an issue of material validity arises, that chosen law will be the </w:t>
      </w:r>
      <w:bookmarkStart w:name="_bookmark2126" w:id="2128"/>
      <w:bookmarkEnd w:id="2128"/>
      <w:r>
        <w:rPr/>
        <w:t>governing</w:t>
      </w:r>
      <w:r>
        <w:rPr/>
        <w:t> law. </w:t>
      </w:r>
      <w:r>
        <w:rPr>
          <w:color w:val="005DA1"/>
          <w:u w:val="single" w:color="005DA1"/>
          <w:vertAlign w:val="superscript"/>
        </w:rPr>
        <w:t>1116</w:t>
      </w:r>
      <w:r>
        <w:rPr>
          <w:color w:val="005DA1"/>
          <w:vertAlign w:val="baseline"/>
        </w:rPr>
        <w:t> </w:t>
      </w:r>
      <w:r>
        <w:rPr>
          <w:vertAlign w:val="baseline"/>
        </w:rPr>
        <w:t>In the absence of such a choice the putative applicable law will be determined according to art.4 of the Convention or art.4 of the Regulation. </w:t>
      </w:r>
      <w:r>
        <w:rPr>
          <w:color w:val="005DA1"/>
          <w:u w:val="single" w:color="005DA1"/>
          <w:vertAlign w:val="superscript"/>
        </w:rPr>
        <w:t>1117</w:t>
      </w:r>
    </w:p>
    <w:p>
      <w:pPr>
        <w:pStyle w:val="BodyText"/>
      </w:pPr>
    </w:p>
    <w:p>
      <w:pPr>
        <w:pStyle w:val="BodyText"/>
        <w:spacing w:before="36"/>
      </w:pPr>
    </w:p>
    <w:p>
      <w:pPr>
        <w:spacing w:before="0"/>
        <w:ind w:left="165" w:right="0" w:firstLine="0"/>
        <w:jc w:val="left"/>
        <w:rPr>
          <w:rFonts w:ascii="Arial"/>
          <w:b/>
          <w:sz w:val="18"/>
        </w:rPr>
      </w:pPr>
      <w:r>
        <w:rPr>
          <w:rFonts w:ascii="Arial"/>
          <w:b/>
          <w:sz w:val="18"/>
        </w:rPr>
        <w:t>Formation of the </w:t>
      </w:r>
      <w:r>
        <w:rPr>
          <w:rFonts w:ascii="Arial"/>
          <w:b/>
          <w:spacing w:val="-2"/>
          <w:sz w:val="18"/>
        </w:rPr>
        <w:t>contract</w:t>
      </w:r>
    </w:p>
    <w:p>
      <w:pPr>
        <w:pStyle w:val="BodyText"/>
        <w:spacing w:before="42"/>
        <w:rPr>
          <w:rFonts w:ascii="Arial"/>
          <w:b/>
          <w:sz w:val="18"/>
        </w:rPr>
      </w:pPr>
    </w:p>
    <w:p>
      <w:pPr>
        <w:pStyle w:val="Heading2"/>
      </w:pPr>
      <w:r>
        <w:rPr/>
        <w:t>30-</w:t>
      </w:r>
      <w:r>
        <w:rPr>
          <w:spacing w:val="-5"/>
        </w:rPr>
        <w:t>307</w:t>
      </w:r>
    </w:p>
    <w:p>
      <w:pPr>
        <w:pStyle w:val="BodyText"/>
        <w:spacing w:before="199"/>
        <w:ind w:left="165"/>
        <w:jc w:val="both"/>
      </w:pPr>
      <w:r>
        <w:rPr/>
        <w:t>At</w:t>
      </w:r>
      <w:r>
        <w:rPr>
          <w:spacing w:val="35"/>
        </w:rPr>
        <w:t> </w:t>
      </w:r>
      <w:r>
        <w:rPr/>
        <w:t>common</w:t>
      </w:r>
      <w:r>
        <w:rPr>
          <w:spacing w:val="35"/>
        </w:rPr>
        <w:t> </w:t>
      </w:r>
      <w:r>
        <w:rPr/>
        <w:t>law,</w:t>
      </w:r>
      <w:r>
        <w:rPr>
          <w:spacing w:val="35"/>
        </w:rPr>
        <w:t> </w:t>
      </w:r>
      <w:r>
        <w:rPr/>
        <w:t>it</w:t>
      </w:r>
      <w:r>
        <w:rPr>
          <w:spacing w:val="35"/>
        </w:rPr>
        <w:t> </w:t>
      </w:r>
      <w:r>
        <w:rPr/>
        <w:t>was</w:t>
      </w:r>
      <w:r>
        <w:rPr>
          <w:spacing w:val="35"/>
        </w:rPr>
        <w:t> </w:t>
      </w:r>
      <w:r>
        <w:rPr/>
        <w:t>generally</w:t>
      </w:r>
      <w:r>
        <w:rPr>
          <w:spacing w:val="35"/>
        </w:rPr>
        <w:t> </w:t>
      </w:r>
      <w:r>
        <w:rPr/>
        <w:t>accepted</w:t>
      </w:r>
      <w:r>
        <w:rPr>
          <w:spacing w:val="35"/>
        </w:rPr>
        <w:t> </w:t>
      </w:r>
      <w:r>
        <w:rPr/>
        <w:t>that</w:t>
      </w:r>
      <w:r>
        <w:rPr>
          <w:spacing w:val="35"/>
        </w:rPr>
        <w:t> </w:t>
      </w:r>
      <w:r>
        <w:rPr/>
        <w:t>the</w:t>
      </w:r>
      <w:r>
        <w:rPr>
          <w:spacing w:val="35"/>
        </w:rPr>
        <w:t> </w:t>
      </w:r>
      <w:r>
        <w:rPr/>
        <w:t>question</w:t>
      </w:r>
      <w:r>
        <w:rPr>
          <w:spacing w:val="35"/>
        </w:rPr>
        <w:t> </w:t>
      </w:r>
      <w:r>
        <w:rPr/>
        <w:t>as</w:t>
      </w:r>
      <w:r>
        <w:rPr>
          <w:spacing w:val="35"/>
        </w:rPr>
        <w:t> </w:t>
      </w:r>
      <w:r>
        <w:rPr/>
        <w:t>to</w:t>
      </w:r>
      <w:r>
        <w:rPr>
          <w:spacing w:val="35"/>
        </w:rPr>
        <w:t> </w:t>
      </w:r>
      <w:r>
        <w:rPr/>
        <w:t>what</w:t>
      </w:r>
      <w:r>
        <w:rPr>
          <w:spacing w:val="35"/>
        </w:rPr>
        <w:t> </w:t>
      </w:r>
      <w:r>
        <w:rPr/>
        <w:t>minimum</w:t>
      </w:r>
      <w:r>
        <w:rPr>
          <w:spacing w:val="35"/>
        </w:rPr>
        <w:t> </w:t>
      </w:r>
      <w:r>
        <w:rPr/>
        <w:t>acts</w:t>
      </w:r>
      <w:r>
        <w:rPr>
          <w:spacing w:val="35"/>
        </w:rPr>
        <w:t> </w:t>
      </w:r>
      <w:r>
        <w:rPr/>
        <w:t>had</w:t>
      </w:r>
      <w:r>
        <w:rPr>
          <w:spacing w:val="35"/>
        </w:rPr>
        <w:t> </w:t>
      </w:r>
      <w:r>
        <w:rPr/>
        <w:t>to</w:t>
      </w:r>
      <w:r>
        <w:rPr>
          <w:spacing w:val="35"/>
        </w:rPr>
        <w:t> </w:t>
      </w:r>
      <w:r>
        <w:rPr>
          <w:spacing w:val="-5"/>
        </w:rPr>
        <w:t>be</w:t>
      </w:r>
    </w:p>
    <w:p>
      <w:pPr>
        <w:pStyle w:val="BodyText"/>
        <w:spacing w:after="0"/>
        <w:jc w:val="both"/>
        <w:sectPr>
          <w:pgSz w:w="11900" w:h="16840"/>
          <w:pgMar w:header="971" w:footer="0" w:top="1300" w:bottom="280" w:left="1275" w:right="1275"/>
        </w:sectPr>
      </w:pPr>
    </w:p>
    <w:p>
      <w:pPr>
        <w:pStyle w:val="BodyText"/>
        <w:spacing w:line="235" w:lineRule="auto" w:before="210"/>
        <w:ind w:left="165" w:right="167"/>
        <w:jc w:val="both"/>
      </w:pPr>
      <w:bookmarkStart w:name="_bookmark2127" w:id="2129"/>
      <w:bookmarkEnd w:id="2129"/>
      <w:r>
        <w:rPr/>
      </w:r>
      <w:bookmarkStart w:name="_bookmark2128" w:id="2130"/>
      <w:bookmarkEnd w:id="2130"/>
      <w:r>
        <w:rPr/>
      </w:r>
      <w:r>
        <w:rPr/>
        <w:t>performed to give rise to a contract was a matter for the “putative proper law” of the contract. </w:t>
      </w:r>
      <w:r>
        <w:rPr>
          <w:color w:val="005DA1"/>
          <w:u w:val="single" w:color="005DA1"/>
          <w:vertAlign w:val="superscript"/>
        </w:rPr>
        <w:t>1118</w:t>
      </w:r>
      <w:r>
        <w:rPr>
          <w:color w:val="005DA1"/>
          <w:vertAlign w:val="baseline"/>
        </w:rPr>
        <w:t> </w:t>
      </w:r>
      <w:r>
        <w:rPr>
          <w:vertAlign w:val="baseline"/>
        </w:rPr>
        <w:t>This has</w:t>
      </w:r>
      <w:r>
        <w:rPr>
          <w:spacing w:val="-3"/>
          <w:vertAlign w:val="baseline"/>
        </w:rPr>
        <w:t> </w:t>
      </w:r>
      <w:r>
        <w:rPr>
          <w:vertAlign w:val="baseline"/>
        </w:rPr>
        <w:t>been</w:t>
      </w:r>
      <w:r>
        <w:rPr>
          <w:spacing w:val="-3"/>
          <w:vertAlign w:val="baseline"/>
        </w:rPr>
        <w:t> </w:t>
      </w:r>
      <w:r>
        <w:rPr>
          <w:vertAlign w:val="baseline"/>
        </w:rPr>
        <w:t>the</w:t>
      </w:r>
      <w:r>
        <w:rPr>
          <w:spacing w:val="-3"/>
          <w:vertAlign w:val="baseline"/>
        </w:rPr>
        <w:t> </w:t>
      </w:r>
      <w:r>
        <w:rPr>
          <w:vertAlign w:val="baseline"/>
        </w:rPr>
        <w:t>subject</w:t>
      </w:r>
      <w:r>
        <w:rPr>
          <w:spacing w:val="-3"/>
          <w:vertAlign w:val="baseline"/>
        </w:rPr>
        <w:t> </w:t>
      </w:r>
      <w:r>
        <w:rPr>
          <w:vertAlign w:val="baseline"/>
        </w:rPr>
        <w:t>of</w:t>
      </w:r>
      <w:r>
        <w:rPr>
          <w:spacing w:val="-3"/>
          <w:vertAlign w:val="baseline"/>
        </w:rPr>
        <w:t> </w:t>
      </w:r>
      <w:r>
        <w:rPr>
          <w:vertAlign w:val="baseline"/>
        </w:rPr>
        <w:t>specific</w:t>
      </w:r>
      <w:r>
        <w:rPr>
          <w:spacing w:val="-3"/>
          <w:vertAlign w:val="baseline"/>
        </w:rPr>
        <w:t> </w:t>
      </w:r>
      <w:r>
        <w:rPr>
          <w:vertAlign w:val="baseline"/>
        </w:rPr>
        <w:t>decision</w:t>
      </w:r>
      <w:r>
        <w:rPr>
          <w:spacing w:val="-3"/>
          <w:vertAlign w:val="baseline"/>
        </w:rPr>
        <w:t> </w:t>
      </w:r>
      <w:r>
        <w:rPr>
          <w:vertAlign w:val="baseline"/>
        </w:rPr>
        <w:t>in</w:t>
      </w:r>
      <w:r>
        <w:rPr>
          <w:spacing w:val="-3"/>
          <w:vertAlign w:val="baseline"/>
        </w:rPr>
        <w:t> </w:t>
      </w:r>
      <w:r>
        <w:rPr>
          <w:vertAlign w:val="baseline"/>
        </w:rPr>
        <w:t>relation</w:t>
      </w:r>
      <w:r>
        <w:rPr>
          <w:spacing w:val="-3"/>
          <w:vertAlign w:val="baseline"/>
        </w:rPr>
        <w:t> </w:t>
      </w:r>
      <w:r>
        <w:rPr>
          <w:vertAlign w:val="baseline"/>
        </w:rPr>
        <w:t>to</w:t>
      </w:r>
      <w:r>
        <w:rPr>
          <w:spacing w:val="-3"/>
          <w:vertAlign w:val="baseline"/>
        </w:rPr>
        <w:t> </w:t>
      </w:r>
      <w:r>
        <w:rPr>
          <w:vertAlign w:val="baseline"/>
        </w:rPr>
        <w:t>offer</w:t>
      </w:r>
      <w:r>
        <w:rPr>
          <w:spacing w:val="-3"/>
          <w:vertAlign w:val="baseline"/>
        </w:rPr>
        <w:t> </w:t>
      </w:r>
      <w:r>
        <w:rPr>
          <w:vertAlign w:val="baseline"/>
        </w:rPr>
        <w:t>and</w:t>
      </w:r>
      <w:r>
        <w:rPr>
          <w:spacing w:val="-3"/>
          <w:vertAlign w:val="baseline"/>
        </w:rPr>
        <w:t> </w:t>
      </w:r>
      <w:r>
        <w:rPr>
          <w:vertAlign w:val="baseline"/>
        </w:rPr>
        <w:t>acceptance</w:t>
      </w:r>
      <w:r>
        <w:rPr>
          <w:spacing w:val="-5"/>
          <w:vertAlign w:val="baseline"/>
        </w:rPr>
        <w:t> </w:t>
      </w:r>
      <w:r>
        <w:rPr>
          <w:color w:val="005DA1"/>
          <w:u w:val="single" w:color="005DA1"/>
          <w:vertAlign w:val="superscript"/>
        </w:rPr>
        <w:t>1119</w:t>
      </w:r>
      <w:r>
        <w:rPr>
          <w:color w:val="005DA1"/>
          <w:spacing w:val="-4"/>
          <w:vertAlign w:val="baseline"/>
        </w:rPr>
        <w:t> </w:t>
      </w:r>
      <w:r>
        <w:rPr>
          <w:vertAlign w:val="baseline"/>
        </w:rPr>
        <w:t>and</w:t>
      </w:r>
      <w:r>
        <w:rPr>
          <w:spacing w:val="-3"/>
          <w:vertAlign w:val="baseline"/>
        </w:rPr>
        <w:t> </w:t>
      </w:r>
      <w:r>
        <w:rPr>
          <w:vertAlign w:val="baseline"/>
        </w:rPr>
        <w:t>consideration.</w:t>
      </w:r>
      <w:r>
        <w:rPr>
          <w:spacing w:val="-4"/>
          <w:vertAlign w:val="baseline"/>
        </w:rPr>
        <w:t> </w:t>
      </w:r>
      <w:r>
        <w:rPr>
          <w:color w:val="005DA1"/>
          <w:u w:val="single" w:color="005DA1"/>
          <w:vertAlign w:val="superscript"/>
        </w:rPr>
        <w:t>1120</w:t>
      </w:r>
      <w:r>
        <w:rPr>
          <w:color w:val="005DA1"/>
          <w:vertAlign w:val="baseline"/>
        </w:rPr>
        <w:t> </w:t>
      </w:r>
      <w:bookmarkStart w:name="_bookmark2129" w:id="2131"/>
      <w:bookmarkEnd w:id="2131"/>
      <w:r>
        <w:rPr>
          <w:color w:val="005DA1"/>
          <w:w w:val="92"/>
          <w:vertAlign w:val="baseline"/>
        </w:rPr>
      </w:r>
      <w:r>
        <w:rPr>
          <w:vertAlign w:val="baseline"/>
        </w:rPr>
        <w:t>Article 8(1) of the Convention and art.10(1) of the Regulation thus repeat the common law rule in this regard in so far as they refer such matters to the putative applicable law. </w:t>
      </w:r>
      <w:r>
        <w:rPr>
          <w:color w:val="005DA1"/>
          <w:u w:val="single" w:color="005DA1"/>
          <w:vertAlign w:val="superscript"/>
        </w:rPr>
        <w:t>1121</w:t>
      </w:r>
      <w:r>
        <w:rPr>
          <w:color w:val="005DA1"/>
          <w:vertAlign w:val="baseline"/>
        </w:rPr>
        <w:t> </w:t>
      </w:r>
      <w:r>
        <w:rPr>
          <w:vertAlign w:val="baseline"/>
        </w:rPr>
        <w:t>Article 8(2) of the Convention and art.10(2) of the Regulation however, create an exception to this general rule in the following identical terms:</w:t>
      </w:r>
    </w:p>
    <w:p>
      <w:pPr>
        <w:pStyle w:val="BodyText"/>
      </w:pPr>
    </w:p>
    <w:p>
      <w:pPr>
        <w:pStyle w:val="BodyText"/>
        <w:spacing w:before="125"/>
      </w:pPr>
    </w:p>
    <w:p>
      <w:pPr>
        <w:pStyle w:val="BodyText"/>
        <w:spacing w:line="235" w:lineRule="auto"/>
        <w:ind w:left="1245" w:right="167"/>
        <w:jc w:val="both"/>
      </w:pPr>
      <w:r>
        <w:rPr/>
        <w:t>“Nevertheless a party may rely upon the law of the country in which he has his habitual residence to establish that he did not consent if it appears from the circumstances that it would</w:t>
      </w:r>
      <w:r>
        <w:rPr>
          <w:spacing w:val="-2"/>
        </w:rPr>
        <w:t> </w:t>
      </w:r>
      <w:r>
        <w:rPr/>
        <w:t>not</w:t>
      </w:r>
      <w:r>
        <w:rPr>
          <w:spacing w:val="-2"/>
        </w:rPr>
        <w:t> </w:t>
      </w:r>
      <w:r>
        <w:rPr/>
        <w:t>be</w:t>
      </w:r>
      <w:r>
        <w:rPr>
          <w:spacing w:val="-2"/>
        </w:rPr>
        <w:t> </w:t>
      </w:r>
      <w:r>
        <w:rPr/>
        <w:t>reasonable</w:t>
      </w:r>
      <w:r>
        <w:rPr>
          <w:spacing w:val="-2"/>
        </w:rPr>
        <w:t> </w:t>
      </w:r>
      <w:r>
        <w:rPr/>
        <w:t>to</w:t>
      </w:r>
      <w:r>
        <w:rPr>
          <w:spacing w:val="-2"/>
        </w:rPr>
        <w:t> </w:t>
      </w:r>
      <w:r>
        <w:rPr/>
        <w:t>determine</w:t>
      </w:r>
      <w:r>
        <w:rPr>
          <w:spacing w:val="-2"/>
        </w:rPr>
        <w:t> </w:t>
      </w:r>
      <w:r>
        <w:rPr/>
        <w:t>the</w:t>
      </w:r>
      <w:r>
        <w:rPr>
          <w:spacing w:val="-2"/>
        </w:rPr>
        <w:t> </w:t>
      </w:r>
      <w:r>
        <w:rPr/>
        <w:t>effect</w:t>
      </w:r>
      <w:r>
        <w:rPr>
          <w:spacing w:val="-2"/>
        </w:rPr>
        <w:t> </w:t>
      </w:r>
      <w:r>
        <w:rPr/>
        <w:t>of</w:t>
      </w:r>
      <w:r>
        <w:rPr>
          <w:spacing w:val="-2"/>
        </w:rPr>
        <w:t> </w:t>
      </w:r>
      <w:r>
        <w:rPr/>
        <w:t>his</w:t>
      </w:r>
      <w:r>
        <w:rPr>
          <w:spacing w:val="-2"/>
        </w:rPr>
        <w:t> </w:t>
      </w:r>
      <w:r>
        <w:rPr/>
        <w:t>conduct</w:t>
      </w:r>
      <w:r>
        <w:rPr>
          <w:spacing w:val="-2"/>
        </w:rPr>
        <w:t> </w:t>
      </w:r>
      <w:r>
        <w:rPr/>
        <w:t>in</w:t>
      </w:r>
      <w:r>
        <w:rPr>
          <w:spacing w:val="-2"/>
        </w:rPr>
        <w:t> </w:t>
      </w:r>
      <w:r>
        <w:rPr/>
        <w:t>accordance</w:t>
      </w:r>
      <w:r>
        <w:rPr>
          <w:spacing w:val="-2"/>
        </w:rPr>
        <w:t> </w:t>
      </w:r>
      <w:r>
        <w:rPr/>
        <w:t>with</w:t>
      </w:r>
      <w:r>
        <w:rPr>
          <w:spacing w:val="-2"/>
        </w:rPr>
        <w:t> </w:t>
      </w:r>
      <w:r>
        <w:rPr/>
        <w:t>the</w:t>
      </w:r>
      <w:r>
        <w:rPr>
          <w:spacing w:val="-2"/>
        </w:rPr>
        <w:t> </w:t>
      </w:r>
      <w:r>
        <w:rPr/>
        <w:t>law specified in [art.8(1) of the Convention or art.10(1) of the Regulation].”</w:t>
      </w:r>
    </w:p>
    <w:p>
      <w:pPr>
        <w:pStyle w:val="BodyText"/>
        <w:spacing w:before="115"/>
      </w:pPr>
    </w:p>
    <w:p>
      <w:pPr>
        <w:pStyle w:val="BodyText"/>
        <w:spacing w:line="235" w:lineRule="auto"/>
        <w:ind w:left="165" w:right="167"/>
        <w:jc w:val="both"/>
      </w:pPr>
      <w:bookmarkStart w:name="_bookmark2130" w:id="2132"/>
      <w:bookmarkEnd w:id="2132"/>
      <w:r>
        <w:rPr/>
      </w:r>
      <w:r>
        <w:rPr/>
        <w:t>The purpose of this provision is to “solve the problem of the implications of silence by one party as to </w:t>
      </w:r>
      <w:bookmarkStart w:name="_bookmark2131" w:id="2133"/>
      <w:bookmarkEnd w:id="2133"/>
      <w:r>
        <w:rPr/>
        <w:t>the</w:t>
      </w:r>
      <w:r>
        <w:rPr/>
        <w:t> formation of the contract”, </w:t>
      </w:r>
      <w:r>
        <w:rPr>
          <w:color w:val="005DA1"/>
          <w:u w:val="single" w:color="005DA1"/>
          <w:vertAlign w:val="superscript"/>
        </w:rPr>
        <w:t>1122</w:t>
      </w:r>
      <w:r>
        <w:rPr>
          <w:color w:val="005DA1"/>
          <w:vertAlign w:val="baseline"/>
        </w:rPr>
        <w:t> </w:t>
      </w:r>
      <w:r>
        <w:rPr>
          <w:vertAlign w:val="baseline"/>
        </w:rPr>
        <w:t>but it is not confined to that issue since the “word ‘conduct’ must be taken to cover both action and failure to act by the party in question”. </w:t>
      </w:r>
      <w:r>
        <w:rPr>
          <w:color w:val="005DA1"/>
          <w:u w:val="single" w:color="005DA1"/>
          <w:vertAlign w:val="superscript"/>
        </w:rPr>
        <w:t>1123</w:t>
      </w:r>
      <w:r>
        <w:rPr>
          <w:color w:val="005DA1"/>
          <w:vertAlign w:val="baseline"/>
        </w:rPr>
        <w:t> </w:t>
      </w:r>
      <w:r>
        <w:rPr>
          <w:vertAlign w:val="baseline"/>
        </w:rPr>
        <w:t>In deciding whether it </w:t>
      </w:r>
      <w:r>
        <w:rPr>
          <w:vertAlign w:val="baseline"/>
        </w:rPr>
        <w:t>would not be reasonable to determine the effect of a party’s conduct in accordance with the putative </w:t>
      </w:r>
      <w:bookmarkStart w:name="_bookmark2132" w:id="2134"/>
      <w:bookmarkEnd w:id="2134"/>
      <w:r>
        <w:rPr>
          <w:vertAlign w:val="baseline"/>
        </w:rPr>
        <w:t>applicable</w:t>
      </w:r>
      <w:r>
        <w:rPr>
          <w:vertAlign w:val="baseline"/>
        </w:rPr>
        <w:t> law, regard must be had to all the circumstances of the case and not only to the circumstances in which the party claiming not to have consented has acted. </w:t>
      </w:r>
      <w:r>
        <w:rPr>
          <w:color w:val="005DA1"/>
          <w:u w:val="single" w:color="005DA1"/>
          <w:vertAlign w:val="superscript"/>
        </w:rPr>
        <w:t>1124</w:t>
      </w:r>
      <w:r>
        <w:rPr>
          <w:color w:val="005DA1"/>
          <w:vertAlign w:val="baseline"/>
        </w:rPr>
        <w:t> </w:t>
      </w:r>
      <w:r>
        <w:rPr>
          <w:vertAlign w:val="baseline"/>
        </w:rPr>
        <w:t>In this regard, the </w:t>
      </w:r>
      <w:bookmarkStart w:name="_bookmark2133" w:id="2135"/>
      <w:bookmarkEnd w:id="2135"/>
      <w:r>
        <w:rPr>
          <w:vertAlign w:val="baseline"/>
        </w:rPr>
        <w:t>court</w:t>
      </w:r>
      <w:r>
        <w:rPr>
          <w:vertAlign w:val="baseline"/>
        </w:rPr>
        <w:t> should give particular consideration to the practices followed by the parties inter se as well as </w:t>
      </w:r>
      <w:bookmarkStart w:name="_bookmark2134" w:id="2136"/>
      <w:bookmarkEnd w:id="2136"/>
      <w:r>
        <w:rPr>
          <w:vertAlign w:val="baseline"/>
        </w:rPr>
        <w:t>their</w:t>
      </w:r>
      <w:r>
        <w:rPr>
          <w:vertAlign w:val="baseline"/>
        </w:rPr>
        <w:t> previous business relationships. </w:t>
      </w:r>
      <w:r>
        <w:rPr>
          <w:color w:val="005DA1"/>
          <w:u w:val="single" w:color="005DA1"/>
          <w:vertAlign w:val="superscript"/>
        </w:rPr>
        <w:t>1125</w:t>
      </w:r>
      <w:r>
        <w:rPr>
          <w:color w:val="005DA1"/>
          <w:vertAlign w:val="baseline"/>
        </w:rPr>
        <w:t> </w:t>
      </w:r>
      <w:r>
        <w:rPr>
          <w:vertAlign w:val="baseline"/>
        </w:rPr>
        <w:t>This suggests that art.8(2) and art.10(2) may be relied upon </w:t>
      </w:r>
      <w:bookmarkStart w:name="_bookmark2135" w:id="2137"/>
      <w:bookmarkEnd w:id="2137"/>
      <w:r>
        <w:rPr>
          <w:vertAlign w:val="baseline"/>
        </w:rPr>
        <w:t>by</w:t>
      </w:r>
      <w:r>
        <w:rPr>
          <w:vertAlign w:val="baseline"/>
        </w:rPr>
        <w:t> both natural and legal persons. </w:t>
      </w:r>
      <w:r>
        <w:rPr>
          <w:color w:val="005DA1"/>
          <w:u w:val="single" w:color="005DA1"/>
          <w:vertAlign w:val="superscript"/>
        </w:rPr>
        <w:t>1126</w:t>
      </w:r>
      <w:r>
        <w:rPr>
          <w:color w:val="005DA1"/>
          <w:vertAlign w:val="baseline"/>
        </w:rPr>
        <w:t> </w:t>
      </w:r>
      <w:r>
        <w:rPr>
          <w:vertAlign w:val="baseline"/>
        </w:rPr>
        <w:t>It is possible, however, that the provision will be more liberally applied in favour of natural persons than it will be in favour of commercial organisations. </w:t>
      </w:r>
      <w:r>
        <w:rPr>
          <w:color w:val="005DA1"/>
          <w:u w:val="single" w:color="005DA1"/>
          <w:vertAlign w:val="superscript"/>
        </w:rPr>
        <w:t>1127</w:t>
      </w:r>
      <w:r>
        <w:rPr>
          <w:color w:val="005DA1"/>
          <w:vertAlign w:val="baseline"/>
        </w:rPr>
        <w:t> </w:t>
      </w:r>
      <w:r>
        <w:rPr>
          <w:vertAlign w:val="baseline"/>
        </w:rPr>
        <w:t>This </w:t>
      </w:r>
      <w:bookmarkStart w:name="_bookmark2136" w:id="2138"/>
      <w:bookmarkEnd w:id="2138"/>
      <w:r>
        <w:rPr>
          <w:vertAlign w:val="baseline"/>
        </w:rPr>
        <w:t>much</w:t>
      </w:r>
      <w:r>
        <w:rPr>
          <w:vertAlign w:val="baseline"/>
        </w:rPr>
        <w:t> appears from the brief consideration given to the application of art.8(2) in </w:t>
      </w:r>
      <w:r>
        <w:rPr>
          <w:rFonts w:ascii="Arial" w:hAnsi="Arial"/>
          <w:i/>
          <w:vertAlign w:val="baseline"/>
        </w:rPr>
        <w:t>Egon Oldendorff v Libera Corp (No.1)</w:t>
      </w:r>
      <w:r>
        <w:rPr>
          <w:vertAlign w:val="baseline"/>
        </w:rPr>
        <w:t>. </w:t>
      </w:r>
      <w:r>
        <w:rPr>
          <w:color w:val="005DA1"/>
          <w:u w:val="single" w:color="005DA1"/>
          <w:vertAlign w:val="superscript"/>
        </w:rPr>
        <w:t>1128</w:t>
      </w:r>
      <w:r>
        <w:rPr>
          <w:color w:val="005DA1"/>
          <w:vertAlign w:val="baseline"/>
        </w:rPr>
        <w:t> </w:t>
      </w:r>
      <w:r>
        <w:rPr>
          <w:vertAlign w:val="baseline"/>
        </w:rPr>
        <w:t>Here it was assumed, without argument, that the Article could be relied on by a legal person and that the habitual residence of a Japanese corporation was in Japan. It was held that English law should apply to determine whether a clause providing for arbitration in London was incorporated into the contract because the contract was governed by English law. The defendants argued in favour of the application of art.8(2), contending that Japanese law governed, as the law of </w:t>
      </w:r>
      <w:bookmarkStart w:name="_bookmark2137" w:id="2139"/>
      <w:bookmarkEnd w:id="2139"/>
      <w:r>
        <w:rPr>
          <w:vertAlign w:val="baseline"/>
        </w:rPr>
        <w:t>their</w:t>
      </w:r>
      <w:r>
        <w:rPr>
          <w:vertAlign w:val="baseline"/>
        </w:rPr>
        <w:t> habitual residence, claiming that it would be unreasonable to determine the effects of their conduct in accordance with English law. </w:t>
      </w:r>
      <w:r>
        <w:rPr>
          <w:color w:val="005DA1"/>
          <w:u w:val="single" w:color="005DA1"/>
          <w:vertAlign w:val="superscript"/>
        </w:rPr>
        <w:t>1129</w:t>
      </w:r>
      <w:r>
        <w:rPr>
          <w:color w:val="005DA1"/>
          <w:vertAlign w:val="baseline"/>
        </w:rPr>
        <w:t> </w:t>
      </w:r>
      <w:r>
        <w:rPr>
          <w:vertAlign w:val="baseline"/>
        </w:rPr>
        <w:t>It was held, however, that it would be unreasonable not</w:t>
      </w:r>
      <w:r>
        <w:rPr>
          <w:spacing w:val="40"/>
          <w:vertAlign w:val="baseline"/>
        </w:rPr>
        <w:t> </w:t>
      </w:r>
      <w:r>
        <w:rPr>
          <w:vertAlign w:val="baseline"/>
        </w:rPr>
        <w:t>to</w:t>
      </w:r>
      <w:r>
        <w:rPr>
          <w:spacing w:val="-2"/>
          <w:vertAlign w:val="baseline"/>
        </w:rPr>
        <w:t> </w:t>
      </w:r>
      <w:r>
        <w:rPr>
          <w:vertAlign w:val="baseline"/>
        </w:rPr>
        <w:t>apply</w:t>
      </w:r>
      <w:r>
        <w:rPr>
          <w:spacing w:val="-2"/>
          <w:vertAlign w:val="baseline"/>
        </w:rPr>
        <w:t> </w:t>
      </w:r>
      <w:r>
        <w:rPr>
          <w:vertAlign w:val="baseline"/>
        </w:rPr>
        <w:t>English</w:t>
      </w:r>
      <w:r>
        <w:rPr>
          <w:spacing w:val="-2"/>
          <w:vertAlign w:val="baseline"/>
        </w:rPr>
        <w:t> </w:t>
      </w:r>
      <w:r>
        <w:rPr>
          <w:vertAlign w:val="baseline"/>
        </w:rPr>
        <w:t>law</w:t>
      </w:r>
      <w:r>
        <w:rPr>
          <w:spacing w:val="-2"/>
          <w:vertAlign w:val="baseline"/>
        </w:rPr>
        <w:t> </w:t>
      </w:r>
      <w:r>
        <w:rPr>
          <w:vertAlign w:val="baseline"/>
        </w:rPr>
        <w:t>and</w:t>
      </w:r>
      <w:r>
        <w:rPr>
          <w:spacing w:val="-2"/>
          <w:vertAlign w:val="baseline"/>
        </w:rPr>
        <w:t> </w:t>
      </w:r>
      <w:r>
        <w:rPr>
          <w:vertAlign w:val="baseline"/>
        </w:rPr>
        <w:t>unreasonable</w:t>
      </w:r>
      <w:r>
        <w:rPr>
          <w:spacing w:val="-2"/>
          <w:vertAlign w:val="baseline"/>
        </w:rPr>
        <w:t> </w:t>
      </w:r>
      <w:r>
        <w:rPr>
          <w:vertAlign w:val="baseline"/>
        </w:rPr>
        <w:t>to</w:t>
      </w:r>
      <w:r>
        <w:rPr>
          <w:spacing w:val="-2"/>
          <w:vertAlign w:val="baseline"/>
        </w:rPr>
        <w:t> </w:t>
      </w:r>
      <w:r>
        <w:rPr>
          <w:vertAlign w:val="baseline"/>
        </w:rPr>
        <w:t>apply</w:t>
      </w:r>
      <w:r>
        <w:rPr>
          <w:spacing w:val="-2"/>
          <w:vertAlign w:val="baseline"/>
        </w:rPr>
        <w:t> </w:t>
      </w:r>
      <w:r>
        <w:rPr>
          <w:vertAlign w:val="baseline"/>
        </w:rPr>
        <w:t>Japanese</w:t>
      </w:r>
      <w:r>
        <w:rPr>
          <w:spacing w:val="-2"/>
          <w:vertAlign w:val="baseline"/>
        </w:rPr>
        <w:t> </w:t>
      </w:r>
      <w:r>
        <w:rPr>
          <w:vertAlign w:val="baseline"/>
        </w:rPr>
        <w:t>law.</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latter</w:t>
      </w:r>
      <w:r>
        <w:rPr>
          <w:spacing w:val="-2"/>
          <w:vertAlign w:val="baseline"/>
        </w:rPr>
        <w:t> </w:t>
      </w:r>
      <w:r>
        <w:rPr>
          <w:vertAlign w:val="baseline"/>
        </w:rPr>
        <w:t>law</w:t>
      </w:r>
      <w:r>
        <w:rPr>
          <w:spacing w:val="-2"/>
          <w:vertAlign w:val="baseline"/>
        </w:rPr>
        <w:t> </w:t>
      </w:r>
      <w:r>
        <w:rPr>
          <w:vertAlign w:val="baseline"/>
        </w:rPr>
        <w:t>was</w:t>
      </w:r>
      <w:r>
        <w:rPr>
          <w:spacing w:val="-2"/>
          <w:vertAlign w:val="baseline"/>
        </w:rPr>
        <w:t> </w:t>
      </w:r>
      <w:r>
        <w:rPr>
          <w:vertAlign w:val="baseline"/>
        </w:rPr>
        <w:t>applied,</w:t>
      </w:r>
      <w:r>
        <w:rPr>
          <w:spacing w:val="-2"/>
          <w:vertAlign w:val="baseline"/>
        </w:rPr>
        <w:t> </w:t>
      </w:r>
      <w:r>
        <w:rPr>
          <w:vertAlign w:val="baseline"/>
        </w:rPr>
        <w:t>that</w:t>
      </w:r>
      <w:r>
        <w:rPr>
          <w:spacing w:val="-2"/>
          <w:vertAlign w:val="baseline"/>
        </w:rPr>
        <w:t> </w:t>
      </w:r>
      <w:r>
        <w:rPr>
          <w:vertAlign w:val="baseline"/>
        </w:rPr>
        <w:t>would in effect ignore the arbitration clause, a result which would not accord with normal commercial expectations. This supports the sensible conclusion that legal persons engaging in commercial transactions should receive little protection from art.8(2) of the Convention or art.10(2) of the Regulation in typical commercial situations and that what protection they might receive should be limited to unusual situations where the strict application of art.8(1) of the Convention or art.10(2) of</w:t>
      </w:r>
      <w:r>
        <w:rPr>
          <w:spacing w:val="40"/>
          <w:vertAlign w:val="baseline"/>
        </w:rPr>
        <w:t> </w:t>
      </w:r>
      <w:r>
        <w:rPr>
          <w:vertAlign w:val="baseline"/>
        </w:rPr>
        <w:t>the Regulation would produce a result which is </w:t>
      </w:r>
      <w:r>
        <w:rPr>
          <w:rFonts w:ascii="Arial" w:hAnsi="Arial"/>
          <w:i/>
          <w:vertAlign w:val="baseline"/>
        </w:rPr>
        <w:t>commercially unreasonable</w:t>
      </w:r>
      <w:r>
        <w:rPr>
          <w:vertAlign w:val="baseline"/>
        </w:rPr>
        <w:t>.</w:t>
      </w:r>
    </w:p>
    <w:p>
      <w:pPr>
        <w:pStyle w:val="BodyText"/>
        <w:spacing w:before="72"/>
      </w:pPr>
    </w:p>
    <w:p>
      <w:pPr>
        <w:pStyle w:val="Heading2"/>
      </w:pPr>
      <w:r>
        <w:rPr/>
        <w:t>30-</w:t>
      </w:r>
      <w:r>
        <w:rPr>
          <w:spacing w:val="-5"/>
        </w:rPr>
        <w:t>308</w:t>
      </w:r>
    </w:p>
    <w:p>
      <w:pPr>
        <w:pStyle w:val="BodyText"/>
        <w:spacing w:line="235" w:lineRule="auto" w:before="203"/>
        <w:ind w:left="165" w:right="167"/>
        <w:jc w:val="both"/>
      </w:pPr>
      <w:r>
        <w:rPr/>
        <w:t>Article 8(2) of the Convention and art.10(2) of the Regulation, it must be emphasised, only have </w:t>
      </w:r>
      <w:r>
        <w:rPr/>
        <w:t>the effect</w:t>
      </w:r>
      <w:r>
        <w:rPr>
          <w:spacing w:val="25"/>
        </w:rPr>
        <w:t> </w:t>
      </w:r>
      <w:r>
        <w:rPr/>
        <w:t>of</w:t>
      </w:r>
      <w:r>
        <w:rPr>
          <w:spacing w:val="25"/>
        </w:rPr>
        <w:t> </w:t>
      </w:r>
      <w:r>
        <w:rPr/>
        <w:t>releasing</w:t>
      </w:r>
      <w:r>
        <w:rPr>
          <w:spacing w:val="25"/>
        </w:rPr>
        <w:t> </w:t>
      </w:r>
      <w:r>
        <w:rPr/>
        <w:t>a</w:t>
      </w:r>
      <w:r>
        <w:rPr>
          <w:spacing w:val="25"/>
        </w:rPr>
        <w:t> </w:t>
      </w:r>
      <w:r>
        <w:rPr/>
        <w:t>party</w:t>
      </w:r>
      <w:r>
        <w:rPr>
          <w:spacing w:val="25"/>
        </w:rPr>
        <w:t> </w:t>
      </w:r>
      <w:r>
        <w:rPr/>
        <w:t>from</w:t>
      </w:r>
      <w:r>
        <w:rPr>
          <w:spacing w:val="25"/>
        </w:rPr>
        <w:t> </w:t>
      </w:r>
      <w:r>
        <w:rPr/>
        <w:t>a</w:t>
      </w:r>
      <w:r>
        <w:rPr>
          <w:spacing w:val="25"/>
        </w:rPr>
        <w:t> </w:t>
      </w:r>
      <w:r>
        <w:rPr/>
        <w:t>contract</w:t>
      </w:r>
      <w:r>
        <w:rPr>
          <w:spacing w:val="25"/>
        </w:rPr>
        <w:t> </w:t>
      </w:r>
      <w:r>
        <w:rPr/>
        <w:t>to</w:t>
      </w:r>
      <w:r>
        <w:rPr>
          <w:spacing w:val="25"/>
        </w:rPr>
        <w:t> </w:t>
      </w:r>
      <w:r>
        <w:rPr/>
        <w:t>which</w:t>
      </w:r>
      <w:r>
        <w:rPr>
          <w:spacing w:val="25"/>
        </w:rPr>
        <w:t> </w:t>
      </w:r>
      <w:r>
        <w:rPr/>
        <w:t>he</w:t>
      </w:r>
      <w:r>
        <w:rPr>
          <w:spacing w:val="25"/>
        </w:rPr>
        <w:t> </w:t>
      </w:r>
      <w:r>
        <w:rPr/>
        <w:t>would</w:t>
      </w:r>
      <w:r>
        <w:rPr>
          <w:spacing w:val="25"/>
        </w:rPr>
        <w:t> </w:t>
      </w:r>
      <w:r>
        <w:rPr/>
        <w:t>otherwise</w:t>
      </w:r>
      <w:r>
        <w:rPr>
          <w:spacing w:val="25"/>
        </w:rPr>
        <w:t> </w:t>
      </w:r>
      <w:r>
        <w:rPr/>
        <w:t>be</w:t>
      </w:r>
      <w:r>
        <w:rPr>
          <w:spacing w:val="25"/>
        </w:rPr>
        <w:t> </w:t>
      </w:r>
      <w:r>
        <w:rPr/>
        <w:t>bound</w:t>
      </w:r>
      <w:r>
        <w:rPr>
          <w:spacing w:val="25"/>
        </w:rPr>
        <w:t> </w:t>
      </w:r>
      <w:r>
        <w:rPr/>
        <w:t>under</w:t>
      </w:r>
      <w:r>
        <w:rPr>
          <w:spacing w:val="25"/>
        </w:rPr>
        <w:t> </w:t>
      </w:r>
      <w:r>
        <w:rPr/>
        <w:t>art.8(1)</w:t>
      </w:r>
      <w:r>
        <w:rPr>
          <w:spacing w:val="25"/>
        </w:rPr>
        <w:t> </w:t>
      </w:r>
      <w:r>
        <w:rPr>
          <w:spacing w:val="-5"/>
        </w:rPr>
        <w:t>or</w:t>
      </w:r>
    </w:p>
    <w:p>
      <w:pPr>
        <w:pStyle w:val="BodyText"/>
        <w:spacing w:line="235" w:lineRule="auto"/>
        <w:ind w:left="165"/>
      </w:pPr>
      <w:bookmarkStart w:name="_bookmark2138" w:id="2140"/>
      <w:bookmarkEnd w:id="2140"/>
      <w:r>
        <w:rPr/>
      </w:r>
      <w:r>
        <w:rPr/>
        <w:t>10(2). The provisions cannot have the effect of binding a party to a contract to which he would not be bound under the applicable law. </w:t>
      </w:r>
      <w:r>
        <w:rPr>
          <w:color w:val="005DA1"/>
          <w:u w:val="single" w:color="005DA1"/>
          <w:vertAlign w:val="superscript"/>
        </w:rPr>
        <w:t>1130</w:t>
      </w:r>
    </w:p>
    <w:p>
      <w:pPr>
        <w:pStyle w:val="BodyText"/>
      </w:pPr>
    </w:p>
    <w:p>
      <w:pPr>
        <w:pStyle w:val="BodyText"/>
        <w:spacing w:before="36"/>
      </w:pPr>
    </w:p>
    <w:p>
      <w:pPr>
        <w:spacing w:before="1"/>
        <w:ind w:left="165" w:right="0" w:firstLine="0"/>
        <w:jc w:val="left"/>
        <w:rPr>
          <w:rFonts w:ascii="Arial"/>
          <w:b/>
          <w:sz w:val="18"/>
        </w:rPr>
      </w:pPr>
      <w:r>
        <w:rPr>
          <w:rFonts w:ascii="Arial"/>
          <w:b/>
          <w:sz w:val="18"/>
        </w:rPr>
        <w:t>Validity of </w:t>
      </w:r>
      <w:r>
        <w:rPr>
          <w:rFonts w:ascii="Arial"/>
          <w:b/>
          <w:spacing w:val="-2"/>
          <w:sz w:val="18"/>
        </w:rPr>
        <w:t>consent</w:t>
      </w:r>
    </w:p>
    <w:p>
      <w:pPr>
        <w:pStyle w:val="BodyText"/>
        <w:spacing w:before="41"/>
        <w:rPr>
          <w:rFonts w:ascii="Arial"/>
          <w:b/>
          <w:sz w:val="18"/>
        </w:rPr>
      </w:pPr>
    </w:p>
    <w:p>
      <w:pPr>
        <w:pStyle w:val="Heading2"/>
      </w:pPr>
      <w:r>
        <w:rPr/>
        <w:t>30-</w:t>
      </w:r>
      <w:r>
        <w:rPr>
          <w:spacing w:val="-5"/>
        </w:rPr>
        <w:t>309</w:t>
      </w:r>
    </w:p>
    <w:p>
      <w:pPr>
        <w:pStyle w:val="BodyText"/>
        <w:spacing w:line="235" w:lineRule="auto" w:before="203"/>
        <w:ind w:left="165" w:right="167"/>
        <w:jc w:val="both"/>
      </w:pPr>
      <w:r>
        <w:rPr/>
        <w:t>The exceptional principle in art.8(2) and art.10(2) seems likely to be confined to the existence </w:t>
      </w:r>
      <w:r>
        <w:rPr/>
        <w:t>of </w:t>
      </w:r>
      <w:bookmarkStart w:name="_bookmark2139" w:id="2141"/>
      <w:bookmarkEnd w:id="2141"/>
      <w:r>
        <w:rPr/>
        <w:t>consent,</w:t>
      </w:r>
      <w:r>
        <w:rPr/>
        <w:t> as opposed to the question of whether consent, admittedly given, was invalidated by mistake, misrepresentation, duress, undue influence or non-disclosure. </w:t>
      </w:r>
      <w:r>
        <w:rPr>
          <w:color w:val="005DA1"/>
          <w:u w:val="single" w:color="005DA1"/>
          <w:vertAlign w:val="superscript"/>
        </w:rPr>
        <w:t>1131</w:t>
      </w:r>
      <w:r>
        <w:rPr>
          <w:color w:val="005DA1"/>
          <w:vertAlign w:val="baseline"/>
        </w:rPr>
        <w:t> </w:t>
      </w:r>
      <w:r>
        <w:rPr>
          <w:vertAlign w:val="baseline"/>
        </w:rPr>
        <w:t>Whether these factors </w:t>
      </w:r>
      <w:bookmarkStart w:name="_bookmark2140" w:id="2142"/>
      <w:bookmarkEnd w:id="2142"/>
      <w:r>
        <w:rPr>
          <w:vertAlign w:val="baseline"/>
        </w:rPr>
        <w:t>vitiate</w:t>
      </w:r>
      <w:r>
        <w:rPr>
          <w:vertAlign w:val="baseline"/>
        </w:rPr>
        <w:t> consent would be a matter for the putative applicable law, pursuant to art.8(1) of the Rome Convention and art.10(1) of the Regulation. </w:t>
      </w:r>
      <w:r>
        <w:rPr>
          <w:color w:val="005DA1"/>
          <w:u w:val="single" w:color="005DA1"/>
          <w:vertAlign w:val="superscript"/>
        </w:rPr>
        <w:t>1132</w:t>
      </w:r>
    </w:p>
    <w:p>
      <w:pPr>
        <w:pStyle w:val="BodyText"/>
      </w:pPr>
    </w:p>
    <w:p>
      <w:pPr>
        <w:pStyle w:val="BodyText"/>
        <w:spacing w:before="36"/>
      </w:pPr>
    </w:p>
    <w:p>
      <w:pPr>
        <w:spacing w:before="0"/>
        <w:ind w:left="165" w:right="0" w:firstLine="0"/>
        <w:jc w:val="left"/>
        <w:rPr>
          <w:rFonts w:ascii="Arial"/>
          <w:b/>
          <w:sz w:val="18"/>
        </w:rPr>
      </w:pPr>
      <w:r>
        <w:rPr>
          <w:rFonts w:ascii="Arial"/>
          <w:b/>
          <w:sz w:val="18"/>
        </w:rPr>
        <w:t>Validity of contract or </w:t>
      </w:r>
      <w:r>
        <w:rPr>
          <w:rFonts w:ascii="Arial"/>
          <w:b/>
          <w:spacing w:val="-2"/>
          <w:sz w:val="18"/>
        </w:rPr>
        <w:t>terms</w:t>
      </w:r>
    </w:p>
    <w:p>
      <w:pPr>
        <w:spacing w:after="0"/>
        <w:jc w:val="left"/>
        <w:rPr>
          <w:rFonts w:ascii="Arial"/>
          <w:b/>
          <w:sz w:val="18"/>
        </w:rPr>
        <w:sectPr>
          <w:headerReference w:type="default" r:id="rId30"/>
          <w:pgSz w:w="11900" w:h="16840"/>
          <w:pgMar w:header="971" w:footer="0" w:top="1300" w:bottom="280" w:left="1275" w:right="1275"/>
          <w:pgNumType w:start="2"/>
        </w:sectPr>
      </w:pPr>
    </w:p>
    <w:p>
      <w:pPr>
        <w:pStyle w:val="Heading2"/>
        <w:spacing w:before="262"/>
      </w:pPr>
      <w:r>
        <w:rPr/>
        <w:t>30-</w:t>
      </w:r>
      <w:r>
        <w:rPr>
          <w:spacing w:val="-5"/>
        </w:rPr>
        <w:t>310</w:t>
      </w:r>
    </w:p>
    <w:p>
      <w:pPr>
        <w:pStyle w:val="BodyText"/>
        <w:spacing w:line="235" w:lineRule="auto" w:before="202"/>
        <w:ind w:left="165" w:right="167"/>
        <w:jc w:val="both"/>
      </w:pPr>
      <w:r>
        <w:rPr/>
        <w:t>Whether the contract itself is materially (or essentially) valid is a matter for the law which would</w:t>
      </w:r>
      <w:r>
        <w:rPr>
          <w:spacing w:val="40"/>
        </w:rPr>
        <w:t> </w:t>
      </w:r>
      <w:r>
        <w:rPr/>
        <w:t>govern it if it were valid. Thus it would seem that art.8(1) of the Convention and art.10(1) of </w:t>
      </w:r>
      <w:r>
        <w:rPr/>
        <w:t>the </w:t>
      </w:r>
      <w:bookmarkStart w:name="_bookmark2141" w:id="2143"/>
      <w:bookmarkEnd w:id="2143"/>
      <w:r>
        <w:rPr/>
        <w:t>Regulation</w:t>
      </w:r>
      <w:r>
        <w:rPr/>
        <w:t> will apply to determine the question, for example, of whether a contract is invalid as being </w:t>
      </w:r>
      <w:bookmarkStart w:name="_bookmark2142" w:id="2144"/>
      <w:bookmarkEnd w:id="2144"/>
      <w:r>
        <w:rPr/>
        <w:t>in</w:t>
      </w:r>
      <w:r>
        <w:rPr/>
        <w:t> unreasonable restraint of trade. </w:t>
      </w:r>
      <w:r>
        <w:rPr>
          <w:color w:val="005DA1"/>
          <w:u w:val="single" w:color="005DA1"/>
          <w:vertAlign w:val="superscript"/>
        </w:rPr>
        <w:t>1133</w:t>
      </w:r>
      <w:r>
        <w:rPr>
          <w:color w:val="005DA1"/>
          <w:vertAlign w:val="baseline"/>
        </w:rPr>
        <w:t> </w:t>
      </w:r>
      <w:r>
        <w:rPr>
          <w:vertAlign w:val="baseline"/>
        </w:rPr>
        <w:t>If the contract is illegal by its applicable law it will be </w:t>
      </w:r>
      <w:bookmarkStart w:name="_bookmark2143" w:id="2145"/>
      <w:bookmarkEnd w:id="2145"/>
      <w:r>
        <w:rPr>
          <w:vertAlign w:val="baseline"/>
        </w:rPr>
        <w:t>unenforceable</w:t>
      </w:r>
      <w:r>
        <w:rPr>
          <w:vertAlign w:val="baseline"/>
        </w:rPr>
        <w:t> in England. </w:t>
      </w:r>
      <w:r>
        <w:rPr>
          <w:color w:val="005DA1"/>
          <w:u w:val="single" w:color="005DA1"/>
          <w:vertAlign w:val="superscript"/>
        </w:rPr>
        <w:t>1134</w:t>
      </w:r>
      <w:r>
        <w:rPr>
          <w:color w:val="005DA1"/>
          <w:vertAlign w:val="baseline"/>
        </w:rPr>
        <w:t> </w:t>
      </w:r>
      <w:r>
        <w:rPr>
          <w:vertAlign w:val="baseline"/>
        </w:rPr>
        <w:t>The same principle applies to the material validity of a term of the </w:t>
      </w:r>
      <w:bookmarkStart w:name="_bookmark2144" w:id="2146"/>
      <w:bookmarkEnd w:id="2146"/>
      <w:r>
        <w:rPr>
          <w:vertAlign w:val="baseline"/>
        </w:rPr>
        <w:t>contract.</w:t>
      </w:r>
      <w:r>
        <w:rPr>
          <w:vertAlign w:val="baseline"/>
        </w:rPr>
        <w:t> </w:t>
      </w:r>
      <w:r>
        <w:rPr>
          <w:color w:val="005DA1"/>
          <w:u w:val="single" w:color="005DA1"/>
          <w:vertAlign w:val="superscript"/>
        </w:rPr>
        <w:t>1135</w:t>
      </w:r>
      <w:r>
        <w:rPr>
          <w:color w:val="005DA1"/>
          <w:vertAlign w:val="baseline"/>
        </w:rPr>
        <w:t> </w:t>
      </w:r>
      <w:r>
        <w:rPr>
          <w:vertAlign w:val="baseline"/>
        </w:rPr>
        <w:t>Thus, the validity of a term purporting to limit or exempt one party from liability will be governed by the law which would apply to the contract assuming the term were valid. </w:t>
      </w:r>
      <w:r>
        <w:rPr>
          <w:color w:val="005DA1"/>
          <w:u w:val="single" w:color="005DA1"/>
          <w:vertAlign w:val="superscript"/>
        </w:rPr>
        <w:t>1136</w:t>
      </w:r>
      <w:r>
        <w:rPr>
          <w:color w:val="005DA1"/>
          <w:vertAlign w:val="baseline"/>
        </w:rPr>
        <w:t> </w:t>
      </w:r>
      <w:r>
        <w:rPr>
          <w:vertAlign w:val="baseline"/>
        </w:rPr>
        <w:t>In </w:t>
      </w:r>
      <w:bookmarkStart w:name="_bookmark2145" w:id="2147"/>
      <w:bookmarkEnd w:id="2147"/>
      <w:r>
        <w:rPr>
          <w:vertAlign w:val="baseline"/>
        </w:rPr>
        <w:t>substance,</w:t>
      </w:r>
      <w:r>
        <w:rPr>
          <w:vertAlign w:val="baseline"/>
        </w:rPr>
        <w:t> this position is the same as that reached by the common law, though the cases tended to speak, in this context, of control by the “proper law” rather than the “putative proper law”. </w:t>
      </w:r>
      <w:r>
        <w:rPr>
          <w:color w:val="005DA1"/>
          <w:u w:val="single" w:color="005DA1"/>
          <w:vertAlign w:val="superscript"/>
        </w:rPr>
        <w:t>1137</w:t>
      </w:r>
    </w:p>
    <w:p>
      <w:pPr>
        <w:pStyle w:val="BodyText"/>
      </w:pPr>
    </w:p>
    <w:p>
      <w:pPr>
        <w:pStyle w:val="BodyText"/>
        <w:spacing w:before="37"/>
      </w:pPr>
      <w:r>
        <w:rPr/>
        <mc:AlternateContent>
          <mc:Choice Requires="wps">
            <w:drawing>
              <wp:anchor distT="0" distB="0" distL="0" distR="0" allowOverlap="1" layoutInCell="1" locked="0" behindDoc="1" simplePos="0" relativeHeight="487626752">
                <wp:simplePos x="0" y="0"/>
                <wp:positionH relativeFrom="page">
                  <wp:posOffset>914400</wp:posOffset>
                </wp:positionH>
                <wp:positionV relativeFrom="paragraph">
                  <wp:posOffset>184777</wp:posOffset>
                </wp:positionV>
                <wp:extent cx="5724525"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9402pt;width:450.75pt;height:.1pt;mso-position-horizontal-relative:page;mso-position-vertical-relative:paragraph;z-index:-15689728;mso-wrap-distance-left:0;mso-wrap-distance-right:0" id="docshape48"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2146" w:id="2148"/>
      <w:bookmarkEnd w:id="2148"/>
      <w:r>
        <w:rPr/>
      </w:r>
      <w:hyperlink w:history="true" w:anchor="_bookmark2119">
        <w:r>
          <w:rPr>
            <w:color w:val="005DA1"/>
            <w:position w:val="5"/>
            <w:sz w:val="14"/>
            <w:u w:val="single" w:color="005DA1"/>
          </w:rPr>
          <w:t>1109</w:t>
        </w:r>
      </w:hyperlink>
      <w:r>
        <w:rPr>
          <w:position w:val="5"/>
          <w:sz w:val="14"/>
        </w:rPr>
        <w:t>.</w:t>
      </w:r>
      <w:r>
        <w:rPr>
          <w:spacing w:val="80"/>
          <w:position w:val="5"/>
          <w:sz w:val="14"/>
        </w:rPr>
        <w:t> </w:t>
      </w:r>
      <w:r>
        <w:rPr>
          <w:sz w:val="20"/>
        </w:rPr>
        <w:t>Dicey, Morris and Collins on the Conflict of Laws, 15th edn (2012), paras 32R–082 et seq.; Plender</w:t>
      </w:r>
      <w:r>
        <w:rPr>
          <w:spacing w:val="-1"/>
          <w:sz w:val="20"/>
        </w:rPr>
        <w:t> </w:t>
      </w:r>
      <w:r>
        <w:rPr>
          <w:sz w:val="20"/>
        </w:rPr>
        <w:t>and</w:t>
      </w:r>
      <w:r>
        <w:rPr>
          <w:spacing w:val="-1"/>
          <w:sz w:val="20"/>
        </w:rPr>
        <w:t> </w:t>
      </w:r>
      <w:r>
        <w:rPr>
          <w:sz w:val="20"/>
        </w:rPr>
        <w:t>Wilderspin,</w:t>
      </w:r>
      <w:r>
        <w:rPr>
          <w:spacing w:val="-2"/>
          <w:sz w:val="20"/>
        </w:rPr>
        <w:t> </w:t>
      </w:r>
      <w:r>
        <w:rPr>
          <w:rFonts w:ascii="Arial" w:hAnsi="Arial"/>
          <w:i/>
          <w:sz w:val="20"/>
        </w:rPr>
        <w:t>The</w:t>
      </w:r>
      <w:r>
        <w:rPr>
          <w:rFonts w:ascii="Arial" w:hAnsi="Arial"/>
          <w:i/>
          <w:spacing w:val="-1"/>
          <w:sz w:val="20"/>
        </w:rPr>
        <w:t> </w:t>
      </w:r>
      <w:r>
        <w:rPr>
          <w:rFonts w:ascii="Arial" w:hAnsi="Arial"/>
          <w:i/>
          <w:sz w:val="20"/>
        </w:rPr>
        <w:t>European</w:t>
      </w:r>
      <w:r>
        <w:rPr>
          <w:rFonts w:ascii="Arial" w:hAnsi="Arial"/>
          <w:i/>
          <w:spacing w:val="-1"/>
          <w:sz w:val="20"/>
        </w:rPr>
        <w:t> </w:t>
      </w:r>
      <w:r>
        <w:rPr>
          <w:rFonts w:ascii="Arial" w:hAnsi="Arial"/>
          <w:i/>
          <w:sz w:val="20"/>
        </w:rPr>
        <w:t>Private</w:t>
      </w:r>
      <w:r>
        <w:rPr>
          <w:rFonts w:ascii="Arial" w:hAnsi="Arial"/>
          <w:i/>
          <w:spacing w:val="-1"/>
          <w:sz w:val="20"/>
        </w:rPr>
        <w:t> </w:t>
      </w:r>
      <w:r>
        <w:rPr>
          <w:rFonts w:ascii="Arial" w:hAnsi="Arial"/>
          <w:i/>
          <w:sz w:val="20"/>
        </w:rPr>
        <w:t>International</w:t>
      </w:r>
      <w:r>
        <w:rPr>
          <w:rFonts w:ascii="Arial" w:hAnsi="Arial"/>
          <w:i/>
          <w:spacing w:val="-1"/>
          <w:sz w:val="20"/>
        </w:rPr>
        <w:t> </w:t>
      </w:r>
      <w:r>
        <w:rPr>
          <w:rFonts w:ascii="Arial" w:hAnsi="Arial"/>
          <w:i/>
          <w:sz w:val="20"/>
        </w:rPr>
        <w:t>Law</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Obligations</w:t>
      </w:r>
      <w:r>
        <w:rPr>
          <w:sz w:val="20"/>
        </w:rPr>
        <w:t>,</w:t>
      </w:r>
      <w:r>
        <w:rPr>
          <w:spacing w:val="-1"/>
          <w:sz w:val="20"/>
        </w:rPr>
        <w:t> </w:t>
      </w:r>
      <w:r>
        <w:rPr>
          <w:sz w:val="20"/>
        </w:rPr>
        <w:t>4th</w:t>
      </w:r>
      <w:r>
        <w:rPr>
          <w:spacing w:val="-1"/>
          <w:sz w:val="20"/>
        </w:rPr>
        <w:t> </w:t>
      </w:r>
      <w:r>
        <w:rPr>
          <w:sz w:val="20"/>
        </w:rPr>
        <w:t>edn</w:t>
      </w:r>
      <w:r>
        <w:rPr>
          <w:spacing w:val="-1"/>
          <w:sz w:val="20"/>
        </w:rPr>
        <w:t> </w:t>
      </w:r>
      <w:r>
        <w:rPr>
          <w:sz w:val="20"/>
        </w:rPr>
        <w:t>(2015), pp.436–441; Cheshire, North and Fawcett, </w:t>
      </w:r>
      <w:r>
        <w:rPr>
          <w:rFonts w:ascii="Arial" w:hAnsi="Arial"/>
          <w:i/>
          <w:sz w:val="20"/>
        </w:rPr>
        <w:t>Private International Law</w:t>
      </w:r>
      <w:r>
        <w:rPr>
          <w:sz w:val="20"/>
        </w:rPr>
        <w:t>, 14th edn (2008), pp.744–746; Kaye, </w:t>
      </w:r>
      <w:r>
        <w:rPr>
          <w:rFonts w:ascii="Arial" w:hAnsi="Arial"/>
          <w:i/>
          <w:sz w:val="20"/>
        </w:rPr>
        <w:t>The New Private International Law of Contract of the European Community </w:t>
      </w:r>
      <w:r>
        <w:rPr>
          <w:sz w:val="20"/>
        </w:rPr>
        <w:t>(1993), pp.269–279.</w:t>
      </w:r>
    </w:p>
    <w:p>
      <w:pPr>
        <w:pStyle w:val="BodyText"/>
        <w:spacing w:before="4"/>
      </w:pPr>
    </w:p>
    <w:p>
      <w:pPr>
        <w:pStyle w:val="BodyText"/>
        <w:ind w:left="165"/>
      </w:pPr>
      <w:bookmarkStart w:name="_bookmark2147" w:id="2149"/>
      <w:bookmarkEnd w:id="2149"/>
      <w:r>
        <w:rPr/>
      </w:r>
      <w:hyperlink w:history="true" w:anchor="_bookmark2120">
        <w:r>
          <w:rPr>
            <w:color w:val="005DA1"/>
            <w:position w:val="5"/>
            <w:sz w:val="14"/>
            <w:u w:val="single" w:color="005DA1"/>
          </w:rPr>
          <w:t>1110</w:t>
        </w:r>
      </w:hyperlink>
      <w:r>
        <w:rPr>
          <w:position w:val="5"/>
          <w:sz w:val="14"/>
        </w:rPr>
        <w:t>.</w:t>
      </w:r>
      <w:r>
        <w:rPr>
          <w:spacing w:val="55"/>
          <w:position w:val="5"/>
          <w:sz w:val="14"/>
        </w:rPr>
        <w:t>  </w:t>
      </w:r>
      <w:r>
        <w:rPr/>
        <w:t>See</w:t>
      </w:r>
      <w:r>
        <w:rPr>
          <w:spacing w:val="1"/>
        </w:rPr>
        <w:t> </w:t>
      </w:r>
      <w:r>
        <w:rPr/>
        <w:t>Cheshire, North and Fawcett, </w:t>
      </w:r>
      <w:r>
        <w:rPr>
          <w:spacing w:val="-2"/>
        </w:rPr>
        <w:t>p.745.</w:t>
      </w:r>
    </w:p>
    <w:p>
      <w:pPr>
        <w:pStyle w:val="BodyText"/>
        <w:spacing w:before="5"/>
      </w:pPr>
    </w:p>
    <w:p>
      <w:pPr>
        <w:pStyle w:val="BodyText"/>
        <w:ind w:left="165"/>
      </w:pPr>
      <w:bookmarkStart w:name="_bookmark2148" w:id="2150"/>
      <w:bookmarkEnd w:id="2150"/>
      <w:r>
        <w:rPr/>
      </w:r>
      <w:hyperlink w:history="true" w:anchor="_bookmark2121">
        <w:r>
          <w:rPr>
            <w:color w:val="005DA1"/>
            <w:position w:val="5"/>
            <w:sz w:val="14"/>
            <w:u w:val="single" w:color="005DA1"/>
          </w:rPr>
          <w:t>1111</w:t>
        </w:r>
      </w:hyperlink>
      <w:r>
        <w:rPr>
          <w:position w:val="5"/>
          <w:sz w:val="14"/>
        </w:rPr>
        <w:t>.</w:t>
      </w:r>
      <w:r>
        <w:rPr>
          <w:spacing w:val="55"/>
          <w:position w:val="5"/>
          <w:sz w:val="14"/>
        </w:rPr>
        <w:t>  </w:t>
      </w:r>
      <w:r>
        <w:rPr/>
        <w:t>See</w:t>
      </w:r>
      <w:r>
        <w:rPr>
          <w:spacing w:val="1"/>
        </w:rPr>
        <w:t> </w:t>
      </w:r>
      <w:r>
        <w:rPr/>
        <w:t>below, paras 30-307 et </w:t>
      </w:r>
      <w:r>
        <w:rPr>
          <w:spacing w:val="-4"/>
        </w:rPr>
        <w:t>seq.</w:t>
      </w:r>
    </w:p>
    <w:p>
      <w:pPr>
        <w:pStyle w:val="BodyText"/>
        <w:spacing w:before="5"/>
      </w:pPr>
    </w:p>
    <w:p>
      <w:pPr>
        <w:pStyle w:val="BodyText"/>
        <w:ind w:left="165"/>
      </w:pPr>
      <w:bookmarkStart w:name="_bookmark2149" w:id="2151"/>
      <w:bookmarkEnd w:id="2151"/>
      <w:r>
        <w:rPr/>
      </w:r>
      <w:hyperlink w:history="true" w:anchor="_bookmark2121">
        <w:r>
          <w:rPr>
            <w:color w:val="005DA1"/>
            <w:position w:val="5"/>
            <w:sz w:val="14"/>
            <w:u w:val="single" w:color="005DA1"/>
          </w:rPr>
          <w:t>1112</w:t>
        </w:r>
      </w:hyperlink>
      <w:r>
        <w:rPr>
          <w:position w:val="5"/>
          <w:sz w:val="14"/>
        </w:rPr>
        <w:t>.</w:t>
      </w:r>
      <w:r>
        <w:rPr>
          <w:spacing w:val="55"/>
          <w:position w:val="5"/>
          <w:sz w:val="14"/>
        </w:rPr>
        <w:t>  </w:t>
      </w:r>
      <w:r>
        <w:rPr/>
        <w:t>See</w:t>
      </w:r>
      <w:r>
        <w:rPr>
          <w:spacing w:val="1"/>
        </w:rPr>
        <w:t> </w:t>
      </w:r>
      <w:r>
        <w:rPr/>
        <w:t>below, paras 30-309 et </w:t>
      </w:r>
      <w:r>
        <w:rPr>
          <w:spacing w:val="-4"/>
        </w:rPr>
        <w:t>seq.</w:t>
      </w:r>
    </w:p>
    <w:p>
      <w:pPr>
        <w:pStyle w:val="BodyText"/>
        <w:spacing w:before="5"/>
      </w:pPr>
    </w:p>
    <w:p>
      <w:pPr>
        <w:spacing w:before="0"/>
        <w:ind w:left="165" w:right="0" w:firstLine="0"/>
        <w:jc w:val="left"/>
        <w:rPr>
          <w:sz w:val="20"/>
        </w:rPr>
      </w:pPr>
      <w:bookmarkStart w:name="_bookmark2150" w:id="2152"/>
      <w:bookmarkEnd w:id="2152"/>
      <w:r>
        <w:rPr/>
      </w:r>
      <w:hyperlink w:history="true" w:anchor="_bookmark2122">
        <w:r>
          <w:rPr>
            <w:color w:val="005DA1"/>
            <w:position w:val="5"/>
            <w:sz w:val="14"/>
            <w:u w:val="single" w:color="005DA1"/>
          </w:rPr>
          <w:t>1113</w:t>
        </w:r>
      </w:hyperlink>
      <w:r>
        <w:rPr>
          <w:position w:val="5"/>
          <w:sz w:val="14"/>
        </w:rPr>
        <w:t>.</w:t>
      </w:r>
      <w:r>
        <w:rPr>
          <w:spacing w:val="55"/>
          <w:position w:val="5"/>
          <w:sz w:val="14"/>
        </w:rPr>
        <w:t>  </w:t>
      </w:r>
      <w:r>
        <w:rPr>
          <w:sz w:val="20"/>
        </w:rPr>
        <w:t>See</w:t>
      </w:r>
      <w:r>
        <w:rPr>
          <w:spacing w:val="1"/>
          <w:sz w:val="20"/>
        </w:rPr>
        <w:t> </w:t>
      </w:r>
      <w:r>
        <w:rPr>
          <w:sz w:val="20"/>
        </w:rPr>
        <w:t>below, para.30-</w:t>
      </w:r>
      <w:r>
        <w:rPr>
          <w:spacing w:val="-4"/>
          <w:sz w:val="20"/>
        </w:rPr>
        <w:t>309.</w:t>
      </w:r>
    </w:p>
    <w:p>
      <w:pPr>
        <w:pStyle w:val="BodyText"/>
        <w:spacing w:before="5"/>
      </w:pPr>
    </w:p>
    <w:p>
      <w:pPr>
        <w:pStyle w:val="BodyText"/>
        <w:ind w:left="165"/>
      </w:pPr>
      <w:bookmarkStart w:name="_bookmark2151" w:id="2153"/>
      <w:bookmarkEnd w:id="2153"/>
      <w:r>
        <w:rPr/>
      </w:r>
      <w:hyperlink w:history="true" w:anchor="_bookmark2123">
        <w:r>
          <w:rPr>
            <w:color w:val="005DA1"/>
            <w:position w:val="5"/>
            <w:sz w:val="14"/>
            <w:u w:val="single" w:color="005DA1"/>
          </w:rPr>
          <w:t>1114</w:t>
        </w:r>
      </w:hyperlink>
      <w:r>
        <w:rPr>
          <w:position w:val="5"/>
          <w:sz w:val="14"/>
        </w:rPr>
        <w:t>.</w:t>
      </w:r>
      <w:r>
        <w:rPr>
          <w:spacing w:val="55"/>
          <w:position w:val="5"/>
          <w:sz w:val="14"/>
        </w:rPr>
        <w:t>  </w:t>
      </w:r>
      <w:r>
        <w:rPr/>
        <w:t>See</w:t>
      </w:r>
      <w:r>
        <w:rPr>
          <w:spacing w:val="1"/>
        </w:rPr>
        <w:t> </w:t>
      </w:r>
      <w:r>
        <w:rPr/>
        <w:t>below, paras 30-357 et </w:t>
      </w:r>
      <w:r>
        <w:rPr>
          <w:spacing w:val="-4"/>
        </w:rPr>
        <w:t>seq.</w:t>
      </w:r>
    </w:p>
    <w:p>
      <w:pPr>
        <w:pStyle w:val="BodyText"/>
        <w:spacing w:before="9"/>
      </w:pPr>
    </w:p>
    <w:p>
      <w:pPr>
        <w:pStyle w:val="BodyText"/>
        <w:spacing w:line="235" w:lineRule="auto"/>
        <w:ind w:left="705" w:right="167" w:hanging="541"/>
        <w:jc w:val="both"/>
      </w:pPr>
      <w:bookmarkStart w:name="_bookmark2152" w:id="2154"/>
      <w:bookmarkEnd w:id="2154"/>
      <w:r>
        <w:rPr/>
      </w:r>
      <w:hyperlink w:history="true" w:anchor="_bookmark2124">
        <w:r>
          <w:rPr>
            <w:color w:val="005DA1"/>
            <w:position w:val="5"/>
            <w:sz w:val="14"/>
            <w:u w:val="single" w:color="005DA1"/>
          </w:rPr>
          <w:t>1115</w:t>
        </w:r>
      </w:hyperlink>
      <w:r>
        <w:rPr>
          <w:position w:val="5"/>
          <w:sz w:val="14"/>
        </w:rPr>
        <w:t>.</w:t>
      </w:r>
      <w:r>
        <w:rPr>
          <w:spacing w:val="80"/>
          <w:position w:val="5"/>
          <w:sz w:val="14"/>
        </w:rPr>
        <w:t> </w:t>
      </w:r>
      <w:r>
        <w:rPr/>
        <w:t>This was very much the approach of the common law: see the 26th edition of this work, paras 2175–2177. As to consent to choice of the applicable law (art.3(4) of the Convention, art.3(5) of the Regulation), see above, paras 30-058, 30-183.</w:t>
      </w:r>
    </w:p>
    <w:p>
      <w:pPr>
        <w:pStyle w:val="BodyText"/>
        <w:spacing w:before="9"/>
      </w:pPr>
    </w:p>
    <w:p>
      <w:pPr>
        <w:spacing w:line="235" w:lineRule="auto" w:before="0"/>
        <w:ind w:left="705" w:right="168" w:hanging="541"/>
        <w:jc w:val="both"/>
        <w:rPr>
          <w:sz w:val="20"/>
        </w:rPr>
      </w:pPr>
      <w:bookmarkStart w:name="_bookmark2153" w:id="2155"/>
      <w:bookmarkEnd w:id="2155"/>
      <w:r>
        <w:rPr/>
      </w:r>
      <w:hyperlink w:history="true" w:anchor="_bookmark2125">
        <w:r>
          <w:rPr>
            <w:color w:val="005DA1"/>
            <w:position w:val="5"/>
            <w:sz w:val="14"/>
            <w:u w:val="single" w:color="005DA1"/>
          </w:rPr>
          <w:t>1116</w:t>
        </w:r>
      </w:hyperlink>
      <w:r>
        <w:rPr>
          <w:position w:val="5"/>
          <w:sz w:val="14"/>
        </w:rPr>
        <w:t>.</w:t>
      </w:r>
      <w:r>
        <w:rPr>
          <w:spacing w:val="80"/>
          <w:position w:val="5"/>
          <w:sz w:val="14"/>
        </w:rPr>
        <w:t> </w:t>
      </w:r>
      <w:r>
        <w:rPr>
          <w:sz w:val="20"/>
        </w:rPr>
        <w:t>art.3(1)</w:t>
      </w:r>
      <w:r>
        <w:rPr>
          <w:spacing w:val="-2"/>
          <w:sz w:val="20"/>
        </w:rPr>
        <w:t> </w:t>
      </w:r>
      <w:r>
        <w:rPr>
          <w:sz w:val="20"/>
        </w:rPr>
        <w:t>of,</w:t>
      </w:r>
      <w:r>
        <w:rPr>
          <w:spacing w:val="-2"/>
          <w:sz w:val="20"/>
        </w:rPr>
        <w:t> </w:t>
      </w:r>
      <w:r>
        <w:rPr>
          <w:sz w:val="20"/>
        </w:rPr>
        <w:t>respectively,</w:t>
      </w:r>
      <w:r>
        <w:rPr>
          <w:spacing w:val="-2"/>
          <w:sz w:val="20"/>
        </w:rPr>
        <w:t> </w:t>
      </w:r>
      <w:r>
        <w:rPr>
          <w:sz w:val="20"/>
        </w:rPr>
        <w:t>the</w:t>
      </w:r>
      <w:r>
        <w:rPr>
          <w:spacing w:val="-2"/>
          <w:sz w:val="20"/>
        </w:rPr>
        <w:t> </w:t>
      </w:r>
      <w:r>
        <w:rPr>
          <w:sz w:val="20"/>
        </w:rPr>
        <w:t>Convention</w:t>
      </w:r>
      <w:r>
        <w:rPr>
          <w:spacing w:val="-2"/>
          <w:sz w:val="20"/>
        </w:rPr>
        <w:t> </w:t>
      </w:r>
      <w:r>
        <w:rPr>
          <w:sz w:val="20"/>
        </w:rPr>
        <w:t>and</w:t>
      </w:r>
      <w:r>
        <w:rPr>
          <w:spacing w:val="-2"/>
          <w:sz w:val="20"/>
        </w:rPr>
        <w:t> </w:t>
      </w:r>
      <w:r>
        <w:rPr>
          <w:sz w:val="20"/>
        </w:rPr>
        <w:t>the</w:t>
      </w:r>
      <w:r>
        <w:rPr>
          <w:spacing w:val="-2"/>
          <w:sz w:val="20"/>
        </w:rPr>
        <w:t> </w:t>
      </w:r>
      <w:r>
        <w:rPr>
          <w:sz w:val="20"/>
        </w:rPr>
        <w:t>Regulation.</w:t>
      </w:r>
      <w:r>
        <w:rPr>
          <w:spacing w:val="-2"/>
          <w:sz w:val="20"/>
        </w:rPr>
        <w:t> </w:t>
      </w:r>
      <w:r>
        <w:rPr>
          <w:sz w:val="20"/>
        </w:rPr>
        <w:t>See</w:t>
      </w:r>
      <w:r>
        <w:rPr>
          <w:spacing w:val="-3"/>
          <w:sz w:val="20"/>
        </w:rPr>
        <w:t> </w:t>
      </w:r>
      <w:r>
        <w:rPr>
          <w:rFonts w:ascii="Arial" w:hAnsi="Arial"/>
          <w:i/>
          <w:sz w:val="20"/>
        </w:rPr>
        <w:t>Egon</w:t>
      </w:r>
      <w:r>
        <w:rPr>
          <w:rFonts w:ascii="Arial" w:hAnsi="Arial"/>
          <w:i/>
          <w:spacing w:val="-2"/>
          <w:sz w:val="20"/>
        </w:rPr>
        <w:t> </w:t>
      </w:r>
      <w:r>
        <w:rPr>
          <w:rFonts w:ascii="Arial" w:hAnsi="Arial"/>
          <w:i/>
          <w:sz w:val="20"/>
        </w:rPr>
        <w:t>Oldendorff</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Libera</w:t>
      </w:r>
      <w:r>
        <w:rPr>
          <w:rFonts w:ascii="Arial" w:hAnsi="Arial"/>
          <w:i/>
          <w:spacing w:val="-2"/>
          <w:sz w:val="20"/>
        </w:rPr>
        <w:t> </w:t>
      </w:r>
      <w:r>
        <w:rPr>
          <w:rFonts w:ascii="Arial" w:hAnsi="Arial"/>
          <w:i/>
          <w:sz w:val="20"/>
        </w:rPr>
        <w:t>Corp (No.1)</w:t>
      </w:r>
      <w:r>
        <w:rPr>
          <w:rFonts w:ascii="Arial" w:hAnsi="Arial"/>
          <w:i/>
          <w:spacing w:val="-2"/>
          <w:sz w:val="20"/>
        </w:rPr>
        <w:t> </w:t>
      </w:r>
      <w:r>
        <w:rPr>
          <w:rFonts w:ascii="Arial" w:hAnsi="Arial"/>
          <w:i/>
          <w:sz w:val="20"/>
        </w:rPr>
        <w:t>[1995]</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64</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hAnsi="Arial"/>
          <w:i/>
          <w:sz w:val="20"/>
        </w:rPr>
        <w:t>Egon</w:t>
      </w:r>
      <w:r>
        <w:rPr>
          <w:rFonts w:ascii="Arial" w:hAnsi="Arial"/>
          <w:i/>
          <w:spacing w:val="-2"/>
          <w:sz w:val="20"/>
        </w:rPr>
        <w:t> </w:t>
      </w:r>
      <w:r>
        <w:rPr>
          <w:rFonts w:ascii="Arial" w:hAnsi="Arial"/>
          <w:i/>
          <w:sz w:val="20"/>
        </w:rPr>
        <w:t>Oldendorff</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Libera</w:t>
      </w:r>
      <w:r>
        <w:rPr>
          <w:rFonts w:ascii="Arial" w:hAnsi="Arial"/>
          <w:i/>
          <w:spacing w:val="-2"/>
          <w:sz w:val="20"/>
        </w:rPr>
        <w:t> </w:t>
      </w:r>
      <w:r>
        <w:rPr>
          <w:rFonts w:ascii="Arial" w:hAnsi="Arial"/>
          <w:i/>
          <w:sz w:val="20"/>
        </w:rPr>
        <w:t>Corp</w:t>
      </w:r>
      <w:r>
        <w:rPr>
          <w:rFonts w:ascii="Arial" w:hAnsi="Arial"/>
          <w:i/>
          <w:spacing w:val="-2"/>
          <w:sz w:val="20"/>
        </w:rPr>
        <w:t> </w:t>
      </w:r>
      <w:r>
        <w:rPr>
          <w:rFonts w:ascii="Arial" w:hAnsi="Arial"/>
          <w:i/>
          <w:sz w:val="20"/>
        </w:rPr>
        <w:t>(No.2)</w:t>
      </w:r>
      <w:r>
        <w:rPr>
          <w:rFonts w:ascii="Arial" w:hAnsi="Arial"/>
          <w:i/>
          <w:spacing w:val="-2"/>
          <w:sz w:val="20"/>
        </w:rPr>
        <w:t> </w:t>
      </w:r>
      <w:r>
        <w:rPr>
          <w:rFonts w:ascii="Arial" w:hAnsi="Arial"/>
          <w:i/>
          <w:sz w:val="20"/>
        </w:rPr>
        <w:t>[1996]</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 Rep.</w:t>
      </w:r>
      <w:r>
        <w:rPr>
          <w:rFonts w:ascii="Arial" w:hAnsi="Arial"/>
          <w:i/>
          <w:spacing w:val="-3"/>
          <w:sz w:val="20"/>
        </w:rPr>
        <w:t> </w:t>
      </w:r>
      <w:r>
        <w:rPr>
          <w:rFonts w:ascii="Arial" w:hAnsi="Arial"/>
          <w:i/>
          <w:sz w:val="20"/>
        </w:rPr>
        <w:t>380</w:t>
      </w:r>
      <w:r>
        <w:rPr>
          <w:sz w:val="20"/>
        </w:rPr>
        <w:t>;</w:t>
      </w:r>
      <w:r>
        <w:rPr>
          <w:spacing w:val="-3"/>
          <w:sz w:val="20"/>
        </w:rPr>
        <w:t> </w:t>
      </w:r>
      <w:r>
        <w:rPr>
          <w:rFonts w:ascii="Arial" w:hAnsi="Arial"/>
          <w:i/>
          <w:sz w:val="20"/>
        </w:rPr>
        <w:t>Merrill</w:t>
      </w:r>
      <w:r>
        <w:rPr>
          <w:rFonts w:ascii="Arial" w:hAnsi="Arial"/>
          <w:i/>
          <w:spacing w:val="-3"/>
          <w:sz w:val="20"/>
        </w:rPr>
        <w:t> </w:t>
      </w:r>
      <w:r>
        <w:rPr>
          <w:rFonts w:ascii="Arial" w:hAnsi="Arial"/>
          <w:i/>
          <w:sz w:val="20"/>
        </w:rPr>
        <w:t>Lynch</w:t>
      </w:r>
      <w:r>
        <w:rPr>
          <w:rFonts w:ascii="Arial" w:hAnsi="Arial"/>
          <w:i/>
          <w:spacing w:val="-3"/>
          <w:sz w:val="20"/>
        </w:rPr>
        <w:t> </w:t>
      </w:r>
      <w:r>
        <w:rPr>
          <w:rFonts w:ascii="Arial" w:hAnsi="Arial"/>
          <w:i/>
          <w:sz w:val="20"/>
        </w:rPr>
        <w:t>Capital</w:t>
      </w:r>
      <w:r>
        <w:rPr>
          <w:rFonts w:ascii="Arial" w:hAnsi="Arial"/>
          <w:i/>
          <w:spacing w:val="-3"/>
          <w:sz w:val="20"/>
        </w:rPr>
        <w:t> </w:t>
      </w:r>
      <w:r>
        <w:rPr>
          <w:rFonts w:ascii="Arial" w:hAnsi="Arial"/>
          <w:i/>
          <w:sz w:val="20"/>
        </w:rPr>
        <w:t>Services</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Municipality</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Piraeus</w:t>
      </w:r>
      <w:r>
        <w:rPr>
          <w:rFonts w:ascii="Arial" w:hAnsi="Arial"/>
          <w:i/>
          <w:spacing w:val="-3"/>
          <w:sz w:val="20"/>
        </w:rPr>
        <w:t> </w:t>
      </w:r>
      <w:r>
        <w:rPr>
          <w:rFonts w:ascii="Arial" w:hAnsi="Arial"/>
          <w:i/>
          <w:sz w:val="20"/>
        </w:rPr>
        <w:t>[1997]</w:t>
      </w:r>
      <w:r>
        <w:rPr>
          <w:rFonts w:ascii="Arial" w:hAnsi="Arial"/>
          <w:i/>
          <w:spacing w:val="-3"/>
          <w:sz w:val="20"/>
        </w:rPr>
        <w:t> </w:t>
      </w:r>
      <w:r>
        <w:rPr>
          <w:rFonts w:ascii="Arial" w:hAnsi="Arial"/>
          <w:i/>
          <w:sz w:val="20"/>
        </w:rPr>
        <w:t>C.L.C.</w:t>
      </w:r>
      <w:r>
        <w:rPr>
          <w:rFonts w:ascii="Arial" w:hAnsi="Arial"/>
          <w:i/>
          <w:spacing w:val="-3"/>
          <w:sz w:val="20"/>
        </w:rPr>
        <w:t> </w:t>
      </w:r>
      <w:r>
        <w:rPr>
          <w:rFonts w:ascii="Arial" w:hAnsi="Arial"/>
          <w:i/>
          <w:sz w:val="20"/>
        </w:rPr>
        <w:t>1214</w:t>
      </w:r>
      <w:r>
        <w:rPr>
          <w:sz w:val="20"/>
        </w:rPr>
        <w:t>;</w:t>
      </w:r>
      <w:r>
        <w:rPr>
          <w:spacing w:val="-3"/>
          <w:sz w:val="20"/>
        </w:rPr>
        <w:t> </w:t>
      </w:r>
      <w:r>
        <w:rPr>
          <w:rFonts w:ascii="Arial" w:hAnsi="Arial"/>
          <w:i/>
          <w:sz w:val="20"/>
        </w:rPr>
        <w:t>Credit Suisse First Boston (Europe) Ltd v Seagate Trading Co Ltd [1999] 1 Lloyd’s Rep. 784</w:t>
      </w:r>
      <w:r>
        <w:rPr>
          <w:sz w:val="20"/>
        </w:rPr>
        <w:t>.</w:t>
      </w:r>
    </w:p>
    <w:p>
      <w:pPr>
        <w:pStyle w:val="BodyText"/>
        <w:spacing w:before="8"/>
      </w:pPr>
    </w:p>
    <w:p>
      <w:pPr>
        <w:pStyle w:val="BodyText"/>
        <w:spacing w:line="235" w:lineRule="auto" w:before="1"/>
        <w:ind w:left="705" w:right="167" w:hanging="541"/>
        <w:jc w:val="both"/>
        <w:rPr>
          <w:rFonts w:ascii="Arial" w:hAnsi="Arial"/>
          <w:i/>
        </w:rPr>
      </w:pPr>
      <w:bookmarkStart w:name="_bookmark2154" w:id="2156"/>
      <w:bookmarkEnd w:id="2156"/>
      <w:r>
        <w:rPr/>
      </w:r>
      <w:hyperlink w:history="true" w:anchor="_bookmark2126">
        <w:r>
          <w:rPr>
            <w:color w:val="005DA1"/>
            <w:position w:val="5"/>
            <w:sz w:val="14"/>
            <w:u w:val="single" w:color="005DA1"/>
          </w:rPr>
          <w:t>1117</w:t>
        </w:r>
      </w:hyperlink>
      <w:r>
        <w:rPr>
          <w:position w:val="5"/>
          <w:sz w:val="14"/>
        </w:rPr>
        <w:t>.</w:t>
      </w:r>
      <w:r>
        <w:rPr>
          <w:spacing w:val="80"/>
          <w:position w:val="5"/>
          <w:sz w:val="14"/>
        </w:rPr>
        <w:t> </w:t>
      </w:r>
      <w:r>
        <w:rPr/>
        <w:t>If the contract is subject to arts 5 or 6 of the Convention, the applicable law will be </w:t>
      </w:r>
      <w:r>
        <w:rPr/>
        <w:t>determined according to those provisions: see above, paras 30-092 et seq. If the contract is subject to arts 5, 6, 7 or 8 of the Regulation, the applicable law will be determined by those provisions. At common law, it was sometimes suggested that the “putative proper law” should be determined without reference to any choice of law made by the parties, i.e. on purely objective grounds (see,</w:t>
      </w:r>
      <w:r>
        <w:rPr>
          <w:spacing w:val="-1"/>
        </w:rPr>
        <w:t> </w:t>
      </w:r>
      <w:r>
        <w:rPr/>
        <w:t>e.g.</w:t>
      </w:r>
      <w:r>
        <w:rPr>
          <w:spacing w:val="-1"/>
        </w:rPr>
        <w:t> </w:t>
      </w:r>
      <w:r>
        <w:rPr/>
        <w:t>Cheshire</w:t>
      </w:r>
      <w:r>
        <w:rPr>
          <w:spacing w:val="-1"/>
        </w:rPr>
        <w:t> </w:t>
      </w:r>
      <w:r>
        <w:rPr/>
        <w:t>and</w:t>
      </w:r>
      <w:r>
        <w:rPr>
          <w:spacing w:val="-1"/>
        </w:rPr>
        <w:t> </w:t>
      </w:r>
      <w:r>
        <w:rPr/>
        <w:t>North,</w:t>
      </w:r>
      <w:r>
        <w:rPr>
          <w:spacing w:val="-1"/>
        </w:rPr>
        <w:t> </w:t>
      </w:r>
      <w:r>
        <w:rPr>
          <w:rFonts w:ascii="Arial" w:hAnsi="Arial"/>
          <w:i/>
        </w:rPr>
        <w:t>Private</w:t>
      </w:r>
      <w:r>
        <w:rPr>
          <w:rFonts w:ascii="Arial" w:hAnsi="Arial"/>
          <w:i/>
          <w:spacing w:val="-1"/>
        </w:rPr>
        <w:t> </w:t>
      </w:r>
      <w:r>
        <w:rPr>
          <w:rFonts w:ascii="Arial" w:hAnsi="Arial"/>
          <w:i/>
        </w:rPr>
        <w:t>International</w:t>
      </w:r>
      <w:r>
        <w:rPr>
          <w:rFonts w:ascii="Arial" w:hAnsi="Arial"/>
          <w:i/>
          <w:spacing w:val="-1"/>
        </w:rPr>
        <w:t> </w:t>
      </w:r>
      <w:r>
        <w:rPr>
          <w:rFonts w:ascii="Arial" w:hAnsi="Arial"/>
          <w:i/>
        </w:rPr>
        <w:t>Law</w:t>
      </w:r>
      <w:r>
        <w:rPr/>
        <w:t>,</w:t>
      </w:r>
      <w:r>
        <w:rPr>
          <w:spacing w:val="-1"/>
        </w:rPr>
        <w:t> </w:t>
      </w:r>
      <w:r>
        <w:rPr/>
        <w:t>11th</w:t>
      </w:r>
      <w:r>
        <w:rPr>
          <w:spacing w:val="-1"/>
        </w:rPr>
        <w:t> </w:t>
      </w:r>
      <w:r>
        <w:rPr/>
        <w:t>edn</w:t>
      </w:r>
      <w:r>
        <w:rPr>
          <w:spacing w:val="-1"/>
        </w:rPr>
        <w:t> </w:t>
      </w:r>
      <w:r>
        <w:rPr/>
        <w:t>(1987),</w:t>
      </w:r>
      <w:r>
        <w:rPr>
          <w:spacing w:val="-1"/>
        </w:rPr>
        <w:t> </w:t>
      </w:r>
      <w:r>
        <w:rPr/>
        <w:t>pp.471–477),</w:t>
      </w:r>
      <w:r>
        <w:rPr>
          <w:spacing w:val="-1"/>
        </w:rPr>
        <w:t> </w:t>
      </w:r>
      <w:r>
        <w:rPr/>
        <w:t>but</w:t>
      </w:r>
      <w:r>
        <w:rPr>
          <w:spacing w:val="-1"/>
        </w:rPr>
        <w:t> </w:t>
      </w:r>
      <w:r>
        <w:rPr/>
        <w:t>this may</w:t>
      </w:r>
      <w:r>
        <w:rPr>
          <w:spacing w:val="-1"/>
        </w:rPr>
        <w:t> </w:t>
      </w:r>
      <w:r>
        <w:rPr/>
        <w:t>have</w:t>
      </w:r>
      <w:r>
        <w:rPr>
          <w:spacing w:val="-1"/>
        </w:rPr>
        <w:t> </w:t>
      </w:r>
      <w:r>
        <w:rPr/>
        <w:t>rested</w:t>
      </w:r>
      <w:r>
        <w:rPr>
          <w:spacing w:val="-1"/>
        </w:rPr>
        <w:t> </w:t>
      </w:r>
      <w:r>
        <w:rPr/>
        <w:t>on</w:t>
      </w:r>
      <w:r>
        <w:rPr>
          <w:spacing w:val="-1"/>
        </w:rPr>
        <w:t> </w:t>
      </w:r>
      <w:r>
        <w:rPr/>
        <w:t>a</w:t>
      </w:r>
      <w:r>
        <w:rPr>
          <w:spacing w:val="-1"/>
        </w:rPr>
        <w:t> </w:t>
      </w:r>
      <w:r>
        <w:rPr/>
        <w:t>confusion</w:t>
      </w:r>
      <w:r>
        <w:rPr>
          <w:spacing w:val="-1"/>
        </w:rPr>
        <w:t> </w:t>
      </w:r>
      <w:r>
        <w:rPr/>
        <w:t>between</w:t>
      </w:r>
      <w:r>
        <w:rPr>
          <w:spacing w:val="-1"/>
        </w:rPr>
        <w:t> </w:t>
      </w:r>
      <w:r>
        <w:rPr/>
        <w:t>the</w:t>
      </w:r>
      <w:r>
        <w:rPr>
          <w:spacing w:val="-1"/>
        </w:rPr>
        <w:t> </w:t>
      </w:r>
      <w:r>
        <w:rPr/>
        <w:t>putative</w:t>
      </w:r>
      <w:r>
        <w:rPr>
          <w:spacing w:val="-1"/>
        </w:rPr>
        <w:t> </w:t>
      </w:r>
      <w:r>
        <w:rPr/>
        <w:t>proper</w:t>
      </w:r>
      <w:r>
        <w:rPr>
          <w:spacing w:val="-1"/>
        </w:rPr>
        <w:t> </w:t>
      </w:r>
      <w:r>
        <w:rPr/>
        <w:t>law</w:t>
      </w:r>
      <w:r>
        <w:rPr>
          <w:spacing w:val="-1"/>
        </w:rPr>
        <w:t> </w:t>
      </w:r>
      <w:r>
        <w:rPr/>
        <w:t>and</w:t>
      </w:r>
      <w:r>
        <w:rPr>
          <w:spacing w:val="-1"/>
        </w:rPr>
        <w:t> </w:t>
      </w:r>
      <w:r>
        <w:rPr/>
        <w:t>the</w:t>
      </w:r>
      <w:r>
        <w:rPr>
          <w:spacing w:val="-1"/>
        </w:rPr>
        <w:t> </w:t>
      </w:r>
      <w:r>
        <w:rPr/>
        <w:t>distinct</w:t>
      </w:r>
      <w:r>
        <w:rPr>
          <w:spacing w:val="-1"/>
        </w:rPr>
        <w:t> </w:t>
      </w:r>
      <w:r>
        <w:rPr/>
        <w:t>concept</w:t>
      </w:r>
      <w:r>
        <w:rPr>
          <w:spacing w:val="-1"/>
        </w:rPr>
        <w:t> </w:t>
      </w:r>
      <w:r>
        <w:rPr/>
        <w:t>of</w:t>
      </w:r>
      <w:r>
        <w:rPr>
          <w:spacing w:val="-1"/>
        </w:rPr>
        <w:t> </w:t>
      </w:r>
      <w:r>
        <w:rPr/>
        <w:t>the proper law objectively determined. The weight of authority, however, supported the view that both an express and implied choice of law could constitute the putative proper law: see </w:t>
      </w:r>
      <w:r>
        <w:rPr>
          <w:rFonts w:ascii="Arial" w:hAnsi="Arial"/>
          <w:i/>
        </w:rPr>
        <w:t>The Parouth</w:t>
      </w:r>
      <w:r>
        <w:rPr>
          <w:rFonts w:ascii="Arial" w:hAnsi="Arial"/>
          <w:i/>
          <w:spacing w:val="-1"/>
        </w:rPr>
        <w:t> </w:t>
      </w:r>
      <w:r>
        <w:rPr>
          <w:rFonts w:ascii="Arial" w:hAnsi="Arial"/>
          <w:i/>
        </w:rPr>
        <w:t>[1982] 2 Lloyd’s Rep. 351</w:t>
      </w:r>
      <w:r>
        <w:rPr/>
        <w:t>; </w:t>
      </w:r>
      <w:r>
        <w:rPr>
          <w:rFonts w:ascii="Arial" w:hAnsi="Arial"/>
          <w:i/>
        </w:rPr>
        <w:t>The Mariannina</w:t>
      </w:r>
      <w:r>
        <w:rPr>
          <w:rFonts w:ascii="Arial" w:hAnsi="Arial"/>
          <w:i/>
          <w:spacing w:val="-1"/>
        </w:rPr>
        <w:t> </w:t>
      </w:r>
      <w:r>
        <w:rPr>
          <w:rFonts w:ascii="Arial" w:hAnsi="Arial"/>
          <w:i/>
        </w:rPr>
        <w:t>[1983] 1 Lloyd’s Rep. 12</w:t>
      </w:r>
      <w:r>
        <w:rPr/>
        <w:t>; </w:t>
      </w:r>
      <w:r>
        <w:rPr>
          <w:rFonts w:ascii="Arial" w:hAnsi="Arial"/>
          <w:i/>
        </w:rPr>
        <w:t>The T.S. </w:t>
      </w:r>
      <w:r>
        <w:rPr>
          <w:rFonts w:ascii="Arial" w:hAnsi="Arial"/>
          <w:i/>
          <w:spacing w:val="-2"/>
        </w:rPr>
        <w:t>Havprins</w:t>
      </w:r>
    </w:p>
    <w:p>
      <w:pPr>
        <w:spacing w:line="220" w:lineRule="exact" w:before="0"/>
        <w:ind w:left="705" w:right="0" w:firstLine="0"/>
        <w:jc w:val="both"/>
        <w:rPr>
          <w:rFonts w:ascii="Arial" w:hAnsi="Arial"/>
          <w:i/>
          <w:sz w:val="20"/>
        </w:rPr>
      </w:pPr>
      <w:r>
        <w:rPr>
          <w:rFonts w:ascii="Arial" w:hAnsi="Arial"/>
          <w:i/>
          <w:sz w:val="20"/>
        </w:rPr>
        <w:t>[1983]</w:t>
      </w:r>
      <w:r>
        <w:rPr>
          <w:rFonts w:ascii="Arial" w:hAnsi="Arial"/>
          <w:i/>
          <w:spacing w:val="2"/>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356</w:t>
      </w:r>
      <w:r>
        <w:rPr>
          <w:sz w:val="20"/>
        </w:rPr>
        <w:t>;</w:t>
      </w:r>
      <w:r>
        <w:rPr>
          <w:spacing w:val="3"/>
          <w:sz w:val="20"/>
        </w:rPr>
        <w:t> </w:t>
      </w:r>
      <w:r>
        <w:rPr>
          <w:rFonts w:ascii="Arial" w:hAnsi="Arial"/>
          <w:i/>
          <w:sz w:val="20"/>
        </w:rPr>
        <w:t>The</w:t>
      </w:r>
      <w:r>
        <w:rPr>
          <w:rFonts w:ascii="Arial" w:hAnsi="Arial"/>
          <w:i/>
          <w:spacing w:val="3"/>
          <w:sz w:val="20"/>
        </w:rPr>
        <w:t> </w:t>
      </w:r>
      <w:r>
        <w:rPr>
          <w:rFonts w:ascii="Arial" w:hAnsi="Arial"/>
          <w:i/>
          <w:sz w:val="20"/>
        </w:rPr>
        <w:t>Iran</w:t>
      </w:r>
      <w:r>
        <w:rPr>
          <w:rFonts w:ascii="Arial" w:hAnsi="Arial"/>
          <w:i/>
          <w:spacing w:val="3"/>
          <w:sz w:val="20"/>
        </w:rPr>
        <w:t> </w:t>
      </w:r>
      <w:r>
        <w:rPr>
          <w:rFonts w:ascii="Arial" w:hAnsi="Arial"/>
          <w:i/>
          <w:sz w:val="20"/>
        </w:rPr>
        <w:t>Vojdan</w:t>
      </w:r>
      <w:r>
        <w:rPr>
          <w:rFonts w:ascii="Arial" w:hAnsi="Arial"/>
          <w:i/>
          <w:spacing w:val="3"/>
          <w:sz w:val="20"/>
        </w:rPr>
        <w:t> </w:t>
      </w:r>
      <w:r>
        <w:rPr>
          <w:rFonts w:ascii="Arial" w:hAnsi="Arial"/>
          <w:i/>
          <w:sz w:val="20"/>
        </w:rPr>
        <w:t>[1984]</w:t>
      </w:r>
      <w:r>
        <w:rPr>
          <w:rFonts w:ascii="Arial" w:hAnsi="Arial"/>
          <w:i/>
          <w:spacing w:val="2"/>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380</w:t>
      </w:r>
      <w:r>
        <w:rPr>
          <w:sz w:val="20"/>
        </w:rPr>
        <w:t>;</w:t>
      </w:r>
      <w:r>
        <w:rPr>
          <w:spacing w:val="3"/>
          <w:sz w:val="20"/>
        </w:rPr>
        <w:t> </w:t>
      </w:r>
      <w:r>
        <w:rPr>
          <w:rFonts w:ascii="Arial" w:hAnsi="Arial"/>
          <w:i/>
          <w:sz w:val="20"/>
        </w:rPr>
        <w:t>Dimskal</w:t>
      </w:r>
      <w:r>
        <w:rPr>
          <w:rFonts w:ascii="Arial" w:hAnsi="Arial"/>
          <w:i/>
          <w:spacing w:val="3"/>
          <w:sz w:val="20"/>
        </w:rPr>
        <w:t> </w:t>
      </w:r>
      <w:r>
        <w:rPr>
          <w:rFonts w:ascii="Arial" w:hAnsi="Arial"/>
          <w:i/>
          <w:sz w:val="20"/>
        </w:rPr>
        <w:t>Shipping</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pacing w:val="-5"/>
          <w:sz w:val="20"/>
        </w:rPr>
        <w:t>SA</w:t>
      </w:r>
    </w:p>
    <w:p>
      <w:pPr>
        <w:spacing w:line="235" w:lineRule="auto" w:before="1"/>
        <w:ind w:left="705" w:right="168" w:firstLine="0"/>
        <w:jc w:val="both"/>
        <w:rPr>
          <w:rFonts w:ascii="Arial" w:hAnsi="Arial"/>
          <w:i/>
          <w:sz w:val="20"/>
        </w:rPr>
      </w:pPr>
      <w:r>
        <w:rPr>
          <w:rFonts w:ascii="Arial" w:hAnsi="Arial"/>
          <w:i/>
          <w:sz w:val="20"/>
        </w:rPr>
        <w:t>v International Transport Workers Federation [1992] 2 A.C. 152</w:t>
      </w:r>
      <w:r>
        <w:rPr>
          <w:sz w:val="20"/>
        </w:rPr>
        <w:t>; </w:t>
      </w:r>
      <w:r>
        <w:rPr>
          <w:rFonts w:ascii="Arial" w:hAnsi="Arial"/>
          <w:i/>
          <w:sz w:val="20"/>
        </w:rPr>
        <w:t>The Lake Avery [1997] 1 Lloyd’s Rep. 540</w:t>
      </w:r>
      <w:r>
        <w:rPr>
          <w:sz w:val="20"/>
        </w:rPr>
        <w:t>; </w:t>
      </w:r>
      <w:r>
        <w:rPr>
          <w:rFonts w:ascii="Arial" w:hAnsi="Arial"/>
          <w:i/>
          <w:sz w:val="20"/>
        </w:rPr>
        <w:t>Society of Lloyd’s v Fraser [1998] C.L.C. 1630, 1652</w:t>
      </w:r>
      <w:r>
        <w:rPr>
          <w:sz w:val="20"/>
        </w:rPr>
        <w:t>; </w:t>
      </w:r>
      <w:r>
        <w:rPr>
          <w:rFonts w:ascii="Arial" w:hAnsi="Arial"/>
          <w:i/>
          <w:sz w:val="20"/>
        </w:rPr>
        <w:t>Credit Suisse First Boston (Europe) Ltd v Seagate Trading Co Ltd [1999] 1 Lloyd’s Rep. 784</w:t>
      </w:r>
      <w:r>
        <w:rPr>
          <w:sz w:val="20"/>
        </w:rPr>
        <w:t>. See also </w:t>
      </w:r>
      <w:r>
        <w:rPr>
          <w:rFonts w:ascii="Arial" w:hAnsi="Arial"/>
          <w:i/>
          <w:sz w:val="20"/>
        </w:rPr>
        <w:t>Marc </w:t>
      </w:r>
      <w:r>
        <w:rPr>
          <w:rFonts w:ascii="Arial" w:hAnsi="Arial"/>
          <w:i/>
          <w:sz w:val="20"/>
        </w:rPr>
        <w:t>Rich</w:t>
      </w:r>
      <w:r>
        <w:rPr>
          <w:rFonts w:ascii="Arial" w:hAnsi="Arial"/>
          <w:i/>
          <w:spacing w:val="40"/>
          <w:sz w:val="20"/>
        </w:rPr>
        <w:t> </w:t>
      </w:r>
      <w:r>
        <w:rPr>
          <w:rFonts w:ascii="Arial" w:hAnsi="Arial"/>
          <w:i/>
          <w:sz w:val="20"/>
        </w:rPr>
        <w:t>&amp;</w:t>
      </w:r>
      <w:r>
        <w:rPr>
          <w:rFonts w:ascii="Arial" w:hAnsi="Arial"/>
          <w:i/>
          <w:spacing w:val="9"/>
          <w:sz w:val="20"/>
        </w:rPr>
        <w:t> </w:t>
      </w:r>
      <w:r>
        <w:rPr>
          <w:rFonts w:ascii="Arial" w:hAnsi="Arial"/>
          <w:i/>
          <w:sz w:val="20"/>
        </w:rPr>
        <w:t>Co</w:t>
      </w:r>
      <w:r>
        <w:rPr>
          <w:rFonts w:ascii="Arial" w:hAnsi="Arial"/>
          <w:i/>
          <w:spacing w:val="10"/>
          <w:sz w:val="20"/>
        </w:rPr>
        <w:t> </w:t>
      </w:r>
      <w:r>
        <w:rPr>
          <w:rFonts w:ascii="Arial" w:hAnsi="Arial"/>
          <w:i/>
          <w:sz w:val="20"/>
        </w:rPr>
        <w:t>AG</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Soc</w:t>
      </w:r>
      <w:r>
        <w:rPr>
          <w:rFonts w:ascii="Arial" w:hAnsi="Arial"/>
          <w:i/>
          <w:spacing w:val="10"/>
          <w:sz w:val="20"/>
        </w:rPr>
        <w:t> </w:t>
      </w:r>
      <w:r>
        <w:rPr>
          <w:rFonts w:ascii="Arial" w:hAnsi="Arial"/>
          <w:i/>
          <w:sz w:val="20"/>
        </w:rPr>
        <w:t>Italiana</w:t>
      </w:r>
      <w:r>
        <w:rPr>
          <w:rFonts w:ascii="Arial" w:hAnsi="Arial"/>
          <w:i/>
          <w:spacing w:val="10"/>
          <w:sz w:val="20"/>
        </w:rPr>
        <w:t> </w:t>
      </w:r>
      <w:r>
        <w:rPr>
          <w:rFonts w:ascii="Arial" w:hAnsi="Arial"/>
          <w:i/>
          <w:sz w:val="20"/>
        </w:rPr>
        <w:t>Impianti</w:t>
      </w:r>
      <w:r>
        <w:rPr>
          <w:rFonts w:ascii="Arial" w:hAnsi="Arial"/>
          <w:i/>
          <w:spacing w:val="10"/>
          <w:sz w:val="20"/>
        </w:rPr>
        <w:t> </w:t>
      </w:r>
      <w:r>
        <w:rPr>
          <w:rFonts w:ascii="Arial" w:hAnsi="Arial"/>
          <w:i/>
          <w:sz w:val="20"/>
        </w:rPr>
        <w:t>P.A.</w:t>
      </w:r>
      <w:r>
        <w:rPr>
          <w:rFonts w:ascii="Arial" w:hAnsi="Arial"/>
          <w:i/>
          <w:spacing w:val="10"/>
          <w:sz w:val="20"/>
        </w:rPr>
        <w:t> </w:t>
      </w:r>
      <w:r>
        <w:rPr>
          <w:rFonts w:ascii="Arial" w:hAnsi="Arial"/>
          <w:i/>
          <w:sz w:val="20"/>
        </w:rPr>
        <w:t>[1989]</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548</w:t>
      </w:r>
      <w:r>
        <w:rPr>
          <w:sz w:val="20"/>
        </w:rPr>
        <w:t>.</w:t>
      </w:r>
      <w:r>
        <w:rPr>
          <w:spacing w:val="10"/>
          <w:sz w:val="20"/>
        </w:rPr>
        <w:t> </w:t>
      </w:r>
      <w:r>
        <w:rPr>
          <w:sz w:val="20"/>
        </w:rPr>
        <w:t>cf.</w:t>
      </w:r>
      <w:r>
        <w:rPr>
          <w:spacing w:val="10"/>
          <w:sz w:val="20"/>
        </w:rPr>
        <w:t> </w:t>
      </w:r>
      <w:r>
        <w:rPr>
          <w:rFonts w:ascii="Arial" w:hAnsi="Arial"/>
          <w:i/>
          <w:sz w:val="20"/>
        </w:rPr>
        <w:t>Mackender</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Feldia</w:t>
      </w:r>
      <w:r>
        <w:rPr>
          <w:rFonts w:ascii="Arial" w:hAnsi="Arial"/>
          <w:i/>
          <w:spacing w:val="10"/>
          <w:sz w:val="20"/>
        </w:rPr>
        <w:t> </w:t>
      </w:r>
      <w:r>
        <w:rPr>
          <w:rFonts w:ascii="Arial" w:hAnsi="Arial"/>
          <w:i/>
          <w:spacing w:val="-2"/>
          <w:sz w:val="20"/>
        </w:rPr>
        <w:t>[1967]</w:t>
      </w:r>
    </w:p>
    <w:p>
      <w:pPr>
        <w:spacing w:line="235" w:lineRule="auto" w:before="0"/>
        <w:ind w:left="705" w:right="168" w:firstLine="0"/>
        <w:jc w:val="both"/>
        <w:rPr>
          <w:sz w:val="20"/>
        </w:rPr>
      </w:pPr>
      <w:r>
        <w:rPr>
          <w:rFonts w:ascii="Arial" w:hAnsi="Arial"/>
          <w:i/>
          <w:sz w:val="20"/>
        </w:rPr>
        <w:t>Q.B. 590</w:t>
      </w:r>
      <w:r>
        <w:rPr>
          <w:sz w:val="20"/>
        </w:rPr>
        <w:t>; </w:t>
      </w:r>
      <w:r>
        <w:rPr>
          <w:rFonts w:ascii="Arial" w:hAnsi="Arial"/>
          <w:i/>
          <w:sz w:val="20"/>
        </w:rPr>
        <w:t>The Heidberg [1994] 2 Lloyd’s Rep. 287</w:t>
      </w:r>
      <w:r>
        <w:rPr>
          <w:sz w:val="20"/>
        </w:rPr>
        <w:t>; </w:t>
      </w:r>
      <w:r>
        <w:rPr>
          <w:rFonts w:ascii="Arial" w:hAnsi="Arial"/>
          <w:i/>
          <w:sz w:val="20"/>
        </w:rPr>
        <w:t>Dornoch Ltd v Mauritius Union Assurance Co Ltd [2006] EWCA Civ 389, [2006] 2 Lloyd’s Rep. 475</w:t>
      </w:r>
      <w:r>
        <w:rPr>
          <w:sz w:val="20"/>
        </w:rPr>
        <w:t>; </w:t>
      </w:r>
      <w:r>
        <w:rPr>
          <w:rFonts w:ascii="Arial" w:hAnsi="Arial"/>
          <w:i/>
          <w:sz w:val="20"/>
        </w:rPr>
        <w:t>Oceanic Sun Line Shipping Co Inc </w:t>
      </w:r>
      <w:r>
        <w:rPr>
          <w:rFonts w:ascii="Arial" w:hAnsi="Arial"/>
          <w:i/>
          <w:sz w:val="20"/>
        </w:rPr>
        <w:t>v Fay (1988) 165 C.L.R. 197</w:t>
      </w:r>
      <w:r>
        <w:rPr>
          <w:sz w:val="20"/>
        </w:rPr>
        <w:t>.</w:t>
      </w:r>
    </w:p>
    <w:p>
      <w:pPr>
        <w:pStyle w:val="BodyText"/>
        <w:spacing w:before="3"/>
      </w:pPr>
    </w:p>
    <w:p>
      <w:pPr>
        <w:pStyle w:val="BodyText"/>
        <w:ind w:left="165"/>
      </w:pPr>
      <w:bookmarkStart w:name="_bookmark2155" w:id="2157"/>
      <w:bookmarkEnd w:id="2157"/>
      <w:r>
        <w:rPr/>
      </w:r>
      <w:hyperlink w:history="true" w:anchor="_bookmark2127">
        <w:r>
          <w:rPr>
            <w:color w:val="005DA1"/>
            <w:position w:val="5"/>
            <w:sz w:val="14"/>
            <w:u w:val="single" w:color="005DA1"/>
          </w:rPr>
          <w:t>1118</w:t>
        </w:r>
      </w:hyperlink>
      <w:r>
        <w:rPr>
          <w:position w:val="5"/>
          <w:sz w:val="14"/>
        </w:rPr>
        <w:t>.</w:t>
      </w:r>
      <w:r>
        <w:rPr>
          <w:spacing w:val="55"/>
          <w:position w:val="5"/>
          <w:sz w:val="14"/>
        </w:rPr>
        <w:t>  </w:t>
      </w:r>
      <w:r>
        <w:rPr/>
        <w:t>See</w:t>
      </w:r>
      <w:r>
        <w:rPr>
          <w:spacing w:val="19"/>
        </w:rPr>
        <w:t> </w:t>
      </w:r>
      <w:r>
        <w:rPr/>
        <w:t>authorities</w:t>
      </w:r>
      <w:r>
        <w:rPr>
          <w:spacing w:val="18"/>
        </w:rPr>
        <w:t> </w:t>
      </w:r>
      <w:r>
        <w:rPr/>
        <w:t>cited</w:t>
      </w:r>
      <w:r>
        <w:rPr>
          <w:spacing w:val="18"/>
        </w:rPr>
        <w:t> </w:t>
      </w:r>
      <w:r>
        <w:rPr/>
        <w:t>in</w:t>
      </w:r>
      <w:r>
        <w:rPr>
          <w:spacing w:val="18"/>
        </w:rPr>
        <w:t> </w:t>
      </w:r>
      <w:r>
        <w:rPr/>
        <w:t>previous</w:t>
      </w:r>
      <w:r>
        <w:rPr>
          <w:spacing w:val="18"/>
        </w:rPr>
        <w:t> </w:t>
      </w:r>
      <w:r>
        <w:rPr/>
        <w:t>note;</w:t>
      </w:r>
      <w:r>
        <w:rPr>
          <w:spacing w:val="18"/>
        </w:rPr>
        <w:t> </w:t>
      </w:r>
      <w:r>
        <w:rPr/>
        <w:t>Jaffey</w:t>
      </w:r>
      <w:r>
        <w:rPr>
          <w:spacing w:val="18"/>
        </w:rPr>
        <w:t> </w:t>
      </w:r>
      <w:r>
        <w:rPr/>
        <w:t>(1975)</w:t>
      </w:r>
      <w:r>
        <w:rPr>
          <w:spacing w:val="18"/>
        </w:rPr>
        <w:t> </w:t>
      </w:r>
      <w:r>
        <w:rPr/>
        <w:t>24</w:t>
      </w:r>
      <w:r>
        <w:rPr>
          <w:spacing w:val="18"/>
        </w:rPr>
        <w:t> </w:t>
      </w:r>
      <w:r>
        <w:rPr/>
        <w:t>I.C.L.Q.</w:t>
      </w:r>
      <w:r>
        <w:rPr>
          <w:spacing w:val="18"/>
        </w:rPr>
        <w:t> </w:t>
      </w:r>
      <w:r>
        <w:rPr/>
        <w:t>603;</w:t>
      </w:r>
      <w:r>
        <w:rPr>
          <w:spacing w:val="18"/>
        </w:rPr>
        <w:t> </w:t>
      </w:r>
      <w:r>
        <w:rPr/>
        <w:t>Libling</w:t>
      </w:r>
      <w:r>
        <w:rPr>
          <w:spacing w:val="18"/>
        </w:rPr>
        <w:t> </w:t>
      </w:r>
      <w:r>
        <w:rPr/>
        <w:t>(1979)</w:t>
      </w:r>
      <w:r>
        <w:rPr>
          <w:spacing w:val="18"/>
        </w:rPr>
        <w:t> </w:t>
      </w:r>
      <w:r>
        <w:rPr/>
        <w:t>42</w:t>
      </w:r>
      <w:r>
        <w:rPr>
          <w:spacing w:val="18"/>
        </w:rPr>
        <w:t> </w:t>
      </w:r>
      <w:r>
        <w:rPr>
          <w:spacing w:val="-2"/>
        </w:rPr>
        <w:t>M.L.R.</w:t>
      </w:r>
    </w:p>
    <w:p>
      <w:pPr>
        <w:pStyle w:val="BodyText"/>
        <w:spacing w:after="0"/>
        <w:sectPr>
          <w:pgSz w:w="11900" w:h="16840"/>
          <w:pgMar w:header="971" w:footer="0" w:top="1300" w:bottom="280" w:left="1275" w:right="1275"/>
        </w:sectPr>
      </w:pPr>
    </w:p>
    <w:p>
      <w:pPr>
        <w:pStyle w:val="BodyText"/>
        <w:spacing w:before="166"/>
        <w:ind w:left="705"/>
      </w:pPr>
      <w:r>
        <w:rPr/>
        <w:t>169; Thomson (1980) 43 M.L.R. 650; Briggs [1990] L.M.C.L.Q. </w:t>
      </w:r>
      <w:r>
        <w:rPr>
          <w:spacing w:val="-4"/>
        </w:rPr>
        <w:t>192.</w:t>
      </w:r>
    </w:p>
    <w:p>
      <w:pPr>
        <w:pStyle w:val="BodyText"/>
        <w:spacing w:before="9"/>
      </w:pPr>
    </w:p>
    <w:p>
      <w:pPr>
        <w:spacing w:line="235" w:lineRule="auto" w:before="0"/>
        <w:ind w:left="705" w:right="168" w:hanging="541"/>
        <w:jc w:val="right"/>
        <w:rPr>
          <w:rFonts w:ascii="Arial" w:hAnsi="Arial"/>
          <w:i/>
          <w:sz w:val="20"/>
        </w:rPr>
      </w:pPr>
      <w:bookmarkStart w:name="_bookmark2156" w:id="2158"/>
      <w:bookmarkEnd w:id="2158"/>
      <w:r>
        <w:rPr/>
      </w:r>
      <w:hyperlink w:history="true" w:anchor="_bookmark2128">
        <w:r>
          <w:rPr>
            <w:color w:val="005DA1"/>
            <w:position w:val="5"/>
            <w:sz w:val="14"/>
            <w:u w:val="single" w:color="005DA1"/>
          </w:rPr>
          <w:t>1119</w:t>
        </w:r>
      </w:hyperlink>
      <w:r>
        <w:rPr>
          <w:position w:val="5"/>
          <w:sz w:val="14"/>
        </w:rPr>
        <w:t>.</w:t>
      </w:r>
      <w:r>
        <w:rPr>
          <w:spacing w:val="40"/>
          <w:position w:val="5"/>
          <w:sz w:val="14"/>
        </w:rPr>
        <w:t>  </w:t>
      </w:r>
      <w:r>
        <w:rPr>
          <w:rFonts w:ascii="Arial" w:hAnsi="Arial"/>
          <w:i/>
          <w:sz w:val="20"/>
        </w:rPr>
        <w:t>Albeko Schumaschinen AG v Kamborian Shoe Machine Co [1961] 111 L.J. 519</w:t>
      </w:r>
      <w:r>
        <w:rPr>
          <w:sz w:val="20"/>
        </w:rPr>
        <w:t>. See also </w:t>
      </w:r>
      <w:r>
        <w:rPr>
          <w:rFonts w:ascii="Arial" w:hAnsi="Arial"/>
          <w:i/>
          <w:sz w:val="20"/>
        </w:rPr>
        <w:t>The Parouth [1982]</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351</w:t>
      </w:r>
      <w:r>
        <w:rPr>
          <w:sz w:val="20"/>
        </w:rPr>
        <w:t>;</w:t>
      </w:r>
      <w:r>
        <w:rPr>
          <w:spacing w:val="3"/>
          <w:sz w:val="20"/>
        </w:rPr>
        <w:t> </w:t>
      </w:r>
      <w:r>
        <w:rPr>
          <w:rFonts w:ascii="Arial" w:hAnsi="Arial"/>
          <w:i/>
          <w:sz w:val="20"/>
        </w:rPr>
        <w:t>Union</w:t>
      </w:r>
      <w:r>
        <w:rPr>
          <w:rFonts w:ascii="Arial" w:hAnsi="Arial"/>
          <w:i/>
          <w:spacing w:val="3"/>
          <w:sz w:val="20"/>
        </w:rPr>
        <w:t> </w:t>
      </w:r>
      <w:r>
        <w:rPr>
          <w:rFonts w:ascii="Arial" w:hAnsi="Arial"/>
          <w:i/>
          <w:sz w:val="20"/>
        </w:rPr>
        <w:t>Transport</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Continental</w:t>
      </w:r>
      <w:r>
        <w:rPr>
          <w:rFonts w:ascii="Arial" w:hAnsi="Arial"/>
          <w:i/>
          <w:spacing w:val="3"/>
          <w:sz w:val="20"/>
        </w:rPr>
        <w:t> </w:t>
      </w:r>
      <w:r>
        <w:rPr>
          <w:rFonts w:ascii="Arial" w:hAnsi="Arial"/>
          <w:i/>
          <w:sz w:val="20"/>
        </w:rPr>
        <w:t>Lines</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[1992]</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pacing w:val="-2"/>
          <w:sz w:val="20"/>
        </w:rPr>
        <w:t>W.L.R.</w:t>
      </w:r>
    </w:p>
    <w:p>
      <w:pPr>
        <w:spacing w:line="223" w:lineRule="exact" w:before="0"/>
        <w:ind w:left="0" w:right="167" w:firstLine="0"/>
        <w:jc w:val="right"/>
        <w:rPr>
          <w:rFonts w:ascii="Arial"/>
          <w:i/>
          <w:sz w:val="20"/>
        </w:rPr>
      </w:pPr>
      <w:r>
        <w:rPr>
          <w:rFonts w:ascii="Arial"/>
          <w:i/>
          <w:sz w:val="20"/>
        </w:rPr>
        <w:t>15,</w:t>
      </w:r>
      <w:r>
        <w:rPr>
          <w:rFonts w:ascii="Arial"/>
          <w:i/>
          <w:spacing w:val="32"/>
          <w:sz w:val="20"/>
        </w:rPr>
        <w:t> </w:t>
      </w:r>
      <w:r>
        <w:rPr>
          <w:rFonts w:ascii="Arial"/>
          <w:i/>
          <w:sz w:val="20"/>
        </w:rPr>
        <w:t>23</w:t>
      </w:r>
      <w:r>
        <w:rPr>
          <w:sz w:val="20"/>
        </w:rPr>
        <w:t>;</w:t>
      </w:r>
      <w:r>
        <w:rPr>
          <w:spacing w:val="33"/>
          <w:sz w:val="20"/>
        </w:rPr>
        <w:t> </w:t>
      </w:r>
      <w:r>
        <w:rPr>
          <w:rFonts w:ascii="Arial"/>
          <w:i/>
          <w:sz w:val="20"/>
        </w:rPr>
        <w:t>Midgulf</w:t>
      </w:r>
      <w:r>
        <w:rPr>
          <w:rFonts w:ascii="Arial"/>
          <w:i/>
          <w:spacing w:val="33"/>
          <w:sz w:val="20"/>
        </w:rPr>
        <w:t> </w:t>
      </w:r>
      <w:r>
        <w:rPr>
          <w:rFonts w:ascii="Arial"/>
          <w:i/>
          <w:sz w:val="20"/>
        </w:rPr>
        <w:t>International</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Group</w:t>
      </w:r>
      <w:r>
        <w:rPr>
          <w:rFonts w:ascii="Arial"/>
          <w:i/>
          <w:spacing w:val="33"/>
          <w:sz w:val="20"/>
        </w:rPr>
        <w:t> </w:t>
      </w:r>
      <w:r>
        <w:rPr>
          <w:rFonts w:ascii="Arial"/>
          <w:i/>
          <w:sz w:val="20"/>
        </w:rPr>
        <w:t>Chimique</w:t>
      </w:r>
      <w:r>
        <w:rPr>
          <w:rFonts w:ascii="Arial"/>
          <w:i/>
          <w:spacing w:val="33"/>
          <w:sz w:val="20"/>
        </w:rPr>
        <w:t> </w:t>
      </w:r>
      <w:r>
        <w:rPr>
          <w:rFonts w:ascii="Arial"/>
          <w:i/>
          <w:sz w:val="20"/>
        </w:rPr>
        <w:t>Tunisien</w:t>
      </w:r>
      <w:r>
        <w:rPr>
          <w:rFonts w:ascii="Arial"/>
          <w:i/>
          <w:spacing w:val="33"/>
          <w:sz w:val="20"/>
        </w:rPr>
        <w:t> </w:t>
      </w:r>
      <w:r>
        <w:rPr>
          <w:rFonts w:ascii="Arial"/>
          <w:i/>
          <w:sz w:val="20"/>
        </w:rPr>
        <w:t>[2010]</w:t>
      </w:r>
      <w:r>
        <w:rPr>
          <w:rFonts w:ascii="Arial"/>
          <w:i/>
          <w:spacing w:val="33"/>
          <w:sz w:val="20"/>
        </w:rPr>
        <w:t> </w:t>
      </w:r>
      <w:r>
        <w:rPr>
          <w:rFonts w:ascii="Arial"/>
          <w:i/>
          <w:sz w:val="20"/>
        </w:rPr>
        <w:t>EWCA</w:t>
      </w:r>
      <w:r>
        <w:rPr>
          <w:rFonts w:ascii="Arial"/>
          <w:i/>
          <w:spacing w:val="33"/>
          <w:sz w:val="20"/>
        </w:rPr>
        <w:t> </w:t>
      </w:r>
      <w:r>
        <w:rPr>
          <w:rFonts w:ascii="Arial"/>
          <w:i/>
          <w:sz w:val="20"/>
        </w:rPr>
        <w:t>Civ</w:t>
      </w:r>
      <w:r>
        <w:rPr>
          <w:rFonts w:ascii="Arial"/>
          <w:i/>
          <w:spacing w:val="33"/>
          <w:sz w:val="20"/>
        </w:rPr>
        <w:t> </w:t>
      </w:r>
      <w:r>
        <w:rPr>
          <w:rFonts w:ascii="Arial"/>
          <w:i/>
          <w:sz w:val="20"/>
        </w:rPr>
        <w:t>66,</w:t>
      </w:r>
      <w:r>
        <w:rPr>
          <w:rFonts w:ascii="Arial"/>
          <w:i/>
          <w:spacing w:val="33"/>
          <w:sz w:val="20"/>
        </w:rPr>
        <w:t> </w:t>
      </w:r>
      <w:r>
        <w:rPr>
          <w:rFonts w:ascii="Arial"/>
          <w:i/>
          <w:sz w:val="20"/>
        </w:rPr>
        <w:t>[2010]</w:t>
      </w:r>
      <w:r>
        <w:rPr>
          <w:rFonts w:ascii="Arial"/>
          <w:i/>
          <w:spacing w:val="33"/>
          <w:sz w:val="20"/>
        </w:rPr>
        <w:t> </w:t>
      </w:r>
      <w:r>
        <w:rPr>
          <w:rFonts w:ascii="Arial"/>
          <w:i/>
          <w:spacing w:val="-10"/>
          <w:sz w:val="20"/>
        </w:rPr>
        <w:t>1</w:t>
      </w:r>
    </w:p>
    <w:p>
      <w:pPr>
        <w:spacing w:line="225" w:lineRule="exact" w:before="0"/>
        <w:ind w:left="0" w:right="168" w:firstLine="0"/>
        <w:jc w:val="right"/>
        <w:rPr>
          <w:rFonts w:ascii="Arial"/>
          <w:i/>
          <w:sz w:val="20"/>
        </w:rPr>
      </w:pPr>
      <w:r>
        <w:rPr>
          <w:rFonts w:ascii="Arial"/>
          <w:i/>
          <w:sz w:val="20"/>
        </w:rPr>
        <w:t>C.L.C.</w:t>
      </w:r>
      <w:r>
        <w:rPr>
          <w:rFonts w:ascii="Arial"/>
          <w:i/>
          <w:spacing w:val="21"/>
          <w:sz w:val="20"/>
        </w:rPr>
        <w:t> </w:t>
      </w:r>
      <w:r>
        <w:rPr>
          <w:rFonts w:ascii="Arial"/>
          <w:i/>
          <w:sz w:val="20"/>
        </w:rPr>
        <w:t>113</w:t>
      </w:r>
      <w:r>
        <w:rPr>
          <w:sz w:val="20"/>
        </w:rPr>
        <w:t>;</w:t>
      </w:r>
      <w:r>
        <w:rPr>
          <w:spacing w:val="22"/>
          <w:sz w:val="20"/>
        </w:rPr>
        <w:t> </w:t>
      </w:r>
      <w:r>
        <w:rPr>
          <w:rFonts w:ascii="Arial"/>
          <w:i/>
          <w:sz w:val="20"/>
        </w:rPr>
        <w:t>Tryggingarfelagio</w:t>
      </w:r>
      <w:r>
        <w:rPr>
          <w:rFonts w:ascii="Arial"/>
          <w:i/>
          <w:spacing w:val="22"/>
          <w:sz w:val="20"/>
        </w:rPr>
        <w:t> </w:t>
      </w:r>
      <w:r>
        <w:rPr>
          <w:rFonts w:ascii="Arial"/>
          <w:i/>
          <w:sz w:val="20"/>
        </w:rPr>
        <w:t>Foroyar</w:t>
      </w:r>
      <w:r>
        <w:rPr>
          <w:rFonts w:ascii="Arial"/>
          <w:i/>
          <w:spacing w:val="22"/>
          <w:sz w:val="20"/>
        </w:rPr>
        <w:t> </w:t>
      </w:r>
      <w:r>
        <w:rPr>
          <w:rFonts w:ascii="Arial"/>
          <w:i/>
          <w:sz w:val="20"/>
        </w:rPr>
        <w:t>P/F</w:t>
      </w:r>
      <w:r>
        <w:rPr>
          <w:rFonts w:ascii="Arial"/>
          <w:i/>
          <w:spacing w:val="22"/>
          <w:sz w:val="20"/>
        </w:rPr>
        <w:t> </w:t>
      </w:r>
      <w:r>
        <w:rPr>
          <w:rFonts w:ascii="Arial"/>
          <w:i/>
          <w:sz w:val="20"/>
        </w:rPr>
        <w:t>v</w:t>
      </w:r>
      <w:r>
        <w:rPr>
          <w:rFonts w:ascii="Arial"/>
          <w:i/>
          <w:spacing w:val="22"/>
          <w:sz w:val="20"/>
        </w:rPr>
        <w:t> </w:t>
      </w:r>
      <w:r>
        <w:rPr>
          <w:rFonts w:ascii="Arial"/>
          <w:i/>
          <w:sz w:val="20"/>
        </w:rPr>
        <w:t>CPT</w:t>
      </w:r>
      <w:r>
        <w:rPr>
          <w:rFonts w:ascii="Arial"/>
          <w:i/>
          <w:spacing w:val="22"/>
          <w:sz w:val="20"/>
        </w:rPr>
        <w:t> </w:t>
      </w:r>
      <w:r>
        <w:rPr>
          <w:rFonts w:ascii="Arial"/>
          <w:i/>
          <w:sz w:val="20"/>
        </w:rPr>
        <w:t>Empresas</w:t>
      </w:r>
      <w:r>
        <w:rPr>
          <w:rFonts w:ascii="Arial"/>
          <w:i/>
          <w:spacing w:val="22"/>
          <w:sz w:val="20"/>
        </w:rPr>
        <w:t> </w:t>
      </w:r>
      <w:r>
        <w:rPr>
          <w:rFonts w:ascii="Arial"/>
          <w:i/>
          <w:sz w:val="20"/>
        </w:rPr>
        <w:t>Maritimas</w:t>
      </w:r>
      <w:r>
        <w:rPr>
          <w:rFonts w:ascii="Arial"/>
          <w:i/>
          <w:spacing w:val="22"/>
          <w:sz w:val="20"/>
        </w:rPr>
        <w:t> </w:t>
      </w:r>
      <w:r>
        <w:rPr>
          <w:rFonts w:ascii="Arial"/>
          <w:i/>
          <w:sz w:val="20"/>
        </w:rPr>
        <w:t>SA</w:t>
      </w:r>
      <w:r>
        <w:rPr>
          <w:rFonts w:ascii="Arial"/>
          <w:i/>
          <w:spacing w:val="22"/>
          <w:sz w:val="20"/>
        </w:rPr>
        <w:t> </w:t>
      </w:r>
      <w:r>
        <w:rPr>
          <w:rFonts w:ascii="Arial"/>
          <w:i/>
          <w:sz w:val="20"/>
        </w:rPr>
        <w:t>[2011]</w:t>
      </w:r>
      <w:r>
        <w:rPr>
          <w:rFonts w:ascii="Arial"/>
          <w:i/>
          <w:spacing w:val="22"/>
          <w:sz w:val="20"/>
        </w:rPr>
        <w:t> </w:t>
      </w:r>
      <w:r>
        <w:rPr>
          <w:rFonts w:ascii="Arial"/>
          <w:i/>
          <w:sz w:val="20"/>
        </w:rPr>
        <w:t>EWHC</w:t>
      </w:r>
      <w:r>
        <w:rPr>
          <w:rFonts w:ascii="Arial"/>
          <w:i/>
          <w:spacing w:val="22"/>
          <w:sz w:val="20"/>
        </w:rPr>
        <w:t> </w:t>
      </w:r>
      <w:r>
        <w:rPr>
          <w:rFonts w:ascii="Arial"/>
          <w:i/>
          <w:spacing w:val="-5"/>
          <w:sz w:val="20"/>
        </w:rPr>
        <w:t>589</w:t>
      </w:r>
    </w:p>
    <w:p>
      <w:pPr>
        <w:pStyle w:val="BodyText"/>
        <w:spacing w:line="227" w:lineRule="exact"/>
        <w:ind w:left="705"/>
      </w:pPr>
      <w:r>
        <w:rPr>
          <w:spacing w:val="-2"/>
        </w:rPr>
        <w:t>(Admlty).</w:t>
      </w:r>
    </w:p>
    <w:p>
      <w:pPr>
        <w:pStyle w:val="BodyText"/>
        <w:spacing w:before="5"/>
      </w:pPr>
    </w:p>
    <w:p>
      <w:pPr>
        <w:spacing w:before="0"/>
        <w:ind w:left="165" w:right="0" w:firstLine="0"/>
        <w:jc w:val="left"/>
        <w:rPr>
          <w:sz w:val="20"/>
        </w:rPr>
      </w:pPr>
      <w:bookmarkStart w:name="_bookmark2157" w:id="2159"/>
      <w:bookmarkEnd w:id="2159"/>
      <w:r>
        <w:rPr/>
      </w:r>
      <w:hyperlink w:history="true" w:anchor="_bookmark2128">
        <w:r>
          <w:rPr>
            <w:color w:val="005DA1"/>
            <w:position w:val="5"/>
            <w:sz w:val="14"/>
            <w:u w:val="single" w:color="005DA1"/>
          </w:rPr>
          <w:t>1120</w:t>
        </w:r>
      </w:hyperlink>
      <w:r>
        <w:rPr>
          <w:position w:val="5"/>
          <w:sz w:val="14"/>
        </w:rPr>
        <w:t>.</w:t>
      </w:r>
      <w:r>
        <w:rPr>
          <w:spacing w:val="55"/>
          <w:position w:val="5"/>
          <w:sz w:val="14"/>
        </w:rPr>
        <w:t>  </w:t>
      </w:r>
      <w:r>
        <w:rPr>
          <w:rFonts w:ascii="Arial"/>
          <w:i/>
          <w:sz w:val="20"/>
        </w:rPr>
        <w:t>Re</w:t>
      </w:r>
      <w:r>
        <w:rPr>
          <w:rFonts w:ascii="Arial"/>
          <w:i/>
          <w:spacing w:val="1"/>
          <w:sz w:val="20"/>
        </w:rPr>
        <w:t> </w:t>
      </w:r>
      <w:r>
        <w:rPr>
          <w:rFonts w:ascii="Arial"/>
          <w:i/>
          <w:sz w:val="20"/>
        </w:rPr>
        <w:t>Bonacina [1912] 2 Ch. </w:t>
      </w:r>
      <w:r>
        <w:rPr>
          <w:rFonts w:ascii="Arial"/>
          <w:i/>
          <w:spacing w:val="-4"/>
          <w:sz w:val="20"/>
        </w:rPr>
        <w:t>394</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2158" w:id="2160"/>
      <w:bookmarkEnd w:id="2160"/>
      <w:r>
        <w:rPr/>
      </w:r>
      <w:hyperlink w:history="true" w:anchor="_bookmark2129">
        <w:r>
          <w:rPr>
            <w:color w:val="005DA1"/>
            <w:position w:val="5"/>
            <w:sz w:val="14"/>
            <w:u w:val="single" w:color="005DA1"/>
          </w:rPr>
          <w:t>1121</w:t>
        </w:r>
      </w:hyperlink>
      <w:r>
        <w:rPr>
          <w:position w:val="5"/>
          <w:sz w:val="14"/>
        </w:rPr>
        <w:t>.</w:t>
      </w:r>
      <w:r>
        <w:rPr>
          <w:spacing w:val="80"/>
          <w:position w:val="5"/>
          <w:sz w:val="14"/>
        </w:rPr>
        <w:t> </w:t>
      </w:r>
      <w:r>
        <w:rPr>
          <w:sz w:val="20"/>
        </w:rPr>
        <w:t>See </w:t>
      </w:r>
      <w:r>
        <w:rPr>
          <w:rFonts w:ascii="Arial" w:hAnsi="Arial"/>
          <w:i/>
          <w:sz w:val="20"/>
        </w:rPr>
        <w:t>Egon Oldendorff v Libera Corp (No.1) [1995] 2 Lloyd’s Rep. 64</w:t>
      </w:r>
      <w:r>
        <w:rPr>
          <w:sz w:val="20"/>
        </w:rPr>
        <w:t>; </w:t>
      </w:r>
      <w:r>
        <w:rPr>
          <w:rFonts w:ascii="Arial" w:hAnsi="Arial"/>
          <w:i/>
          <w:sz w:val="20"/>
        </w:rPr>
        <w:t>The Epsilon Rosa </w:t>
      </w:r>
      <w:r>
        <w:rPr>
          <w:rFonts w:ascii="Arial" w:hAnsi="Arial"/>
          <w:i/>
          <w:sz w:val="20"/>
        </w:rPr>
        <w:t>(No.2) [2002]</w:t>
      </w:r>
      <w:r>
        <w:rPr>
          <w:rFonts w:ascii="Arial" w:hAnsi="Arial"/>
          <w:i/>
          <w:spacing w:val="37"/>
          <w:sz w:val="20"/>
        </w:rPr>
        <w:t> </w:t>
      </w:r>
      <w:r>
        <w:rPr>
          <w:rFonts w:ascii="Arial" w:hAnsi="Arial"/>
          <w:i/>
          <w:sz w:val="20"/>
        </w:rPr>
        <w:t>EWHC</w:t>
      </w:r>
      <w:r>
        <w:rPr>
          <w:rFonts w:ascii="Arial" w:hAnsi="Arial"/>
          <w:i/>
          <w:spacing w:val="39"/>
          <w:sz w:val="20"/>
        </w:rPr>
        <w:t> </w:t>
      </w:r>
      <w:r>
        <w:rPr>
          <w:rFonts w:ascii="Arial" w:hAnsi="Arial"/>
          <w:i/>
          <w:sz w:val="20"/>
        </w:rPr>
        <w:t>2033</w:t>
      </w:r>
      <w:r>
        <w:rPr>
          <w:rFonts w:ascii="Arial" w:hAnsi="Arial"/>
          <w:i/>
          <w:spacing w:val="39"/>
          <w:sz w:val="20"/>
        </w:rPr>
        <w:t> </w:t>
      </w:r>
      <w:r>
        <w:rPr>
          <w:rFonts w:ascii="Arial" w:hAnsi="Arial"/>
          <w:i/>
          <w:sz w:val="20"/>
        </w:rPr>
        <w:t>(Comm),</w:t>
      </w:r>
      <w:r>
        <w:rPr>
          <w:rFonts w:ascii="Arial" w:hAnsi="Arial"/>
          <w:i/>
          <w:spacing w:val="39"/>
          <w:sz w:val="20"/>
        </w:rPr>
        <w:t> </w:t>
      </w:r>
      <w:r>
        <w:rPr>
          <w:rFonts w:ascii="Arial" w:hAnsi="Arial"/>
          <w:i/>
          <w:sz w:val="20"/>
        </w:rPr>
        <w:t>[2002]</w:t>
      </w:r>
      <w:r>
        <w:rPr>
          <w:rFonts w:ascii="Arial" w:hAnsi="Arial"/>
          <w:i/>
          <w:spacing w:val="39"/>
          <w:sz w:val="20"/>
        </w:rPr>
        <w:t> </w:t>
      </w:r>
      <w:r>
        <w:rPr>
          <w:rFonts w:ascii="Arial" w:hAnsi="Arial"/>
          <w:i/>
          <w:sz w:val="20"/>
        </w:rPr>
        <w:t>2</w:t>
      </w:r>
      <w:r>
        <w:rPr>
          <w:rFonts w:ascii="Arial" w:hAnsi="Arial"/>
          <w:i/>
          <w:spacing w:val="39"/>
          <w:sz w:val="20"/>
        </w:rPr>
        <w:t> </w:t>
      </w:r>
      <w:r>
        <w:rPr>
          <w:rFonts w:ascii="Arial" w:hAnsi="Arial"/>
          <w:i/>
          <w:sz w:val="20"/>
        </w:rPr>
        <w:t>Lloyd’s</w:t>
      </w:r>
      <w:r>
        <w:rPr>
          <w:rFonts w:ascii="Arial" w:hAnsi="Arial"/>
          <w:i/>
          <w:spacing w:val="39"/>
          <w:sz w:val="20"/>
        </w:rPr>
        <w:t> </w:t>
      </w:r>
      <w:r>
        <w:rPr>
          <w:rFonts w:ascii="Arial" w:hAnsi="Arial"/>
          <w:i/>
          <w:sz w:val="20"/>
        </w:rPr>
        <w:t>Rep.</w:t>
      </w:r>
      <w:r>
        <w:rPr>
          <w:rFonts w:ascii="Arial" w:hAnsi="Arial"/>
          <w:i/>
          <w:spacing w:val="39"/>
          <w:sz w:val="20"/>
        </w:rPr>
        <w:t> </w:t>
      </w:r>
      <w:r>
        <w:rPr>
          <w:rFonts w:ascii="Arial" w:hAnsi="Arial"/>
          <w:i/>
          <w:sz w:val="20"/>
        </w:rPr>
        <w:t>701,</w:t>
      </w:r>
      <w:r>
        <w:rPr>
          <w:rFonts w:ascii="Arial" w:hAnsi="Arial"/>
          <w:i/>
          <w:spacing w:val="39"/>
          <w:sz w:val="20"/>
        </w:rPr>
        <w:t> </w:t>
      </w:r>
      <w:r>
        <w:rPr>
          <w:rFonts w:ascii="Arial" w:hAnsi="Arial"/>
          <w:i/>
          <w:sz w:val="20"/>
        </w:rPr>
        <w:t>affirmed</w:t>
      </w:r>
      <w:r>
        <w:rPr>
          <w:rFonts w:ascii="Arial" w:hAnsi="Arial"/>
          <w:i/>
          <w:spacing w:val="39"/>
          <w:sz w:val="20"/>
        </w:rPr>
        <w:t> </w:t>
      </w:r>
      <w:r>
        <w:rPr>
          <w:rFonts w:ascii="Arial" w:hAnsi="Arial"/>
          <w:i/>
          <w:sz w:val="20"/>
        </w:rPr>
        <w:t>on</w:t>
      </w:r>
      <w:r>
        <w:rPr>
          <w:rFonts w:ascii="Arial" w:hAnsi="Arial"/>
          <w:i/>
          <w:spacing w:val="39"/>
          <w:sz w:val="20"/>
        </w:rPr>
        <w:t> </w:t>
      </w:r>
      <w:r>
        <w:rPr>
          <w:rFonts w:ascii="Arial" w:hAnsi="Arial"/>
          <w:i/>
          <w:sz w:val="20"/>
        </w:rPr>
        <w:t>other</w:t>
      </w:r>
      <w:r>
        <w:rPr>
          <w:rFonts w:ascii="Arial" w:hAnsi="Arial"/>
          <w:i/>
          <w:spacing w:val="39"/>
          <w:sz w:val="20"/>
        </w:rPr>
        <w:t> </w:t>
      </w:r>
      <w:r>
        <w:rPr>
          <w:rFonts w:ascii="Arial" w:hAnsi="Arial"/>
          <w:i/>
          <w:sz w:val="20"/>
        </w:rPr>
        <w:t>grounds,</w:t>
      </w:r>
      <w:r>
        <w:rPr>
          <w:rFonts w:ascii="Arial" w:hAnsi="Arial"/>
          <w:i/>
          <w:spacing w:val="39"/>
          <w:sz w:val="20"/>
        </w:rPr>
        <w:t> </w:t>
      </w:r>
      <w:r>
        <w:rPr>
          <w:rFonts w:ascii="Arial" w:hAnsi="Arial"/>
          <w:i/>
          <w:spacing w:val="-2"/>
          <w:sz w:val="20"/>
        </w:rPr>
        <w:t>[2003]</w:t>
      </w:r>
    </w:p>
    <w:p>
      <w:pPr>
        <w:spacing w:line="235" w:lineRule="auto" w:before="0"/>
        <w:ind w:left="705" w:right="168" w:firstLine="0"/>
        <w:jc w:val="both"/>
        <w:rPr>
          <w:sz w:val="20"/>
        </w:rPr>
      </w:pP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938,</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509</w:t>
      </w:r>
      <w:r>
        <w:rPr>
          <w:sz w:val="20"/>
        </w:rPr>
        <w:t>;</w:t>
      </w:r>
      <w:r>
        <w:rPr>
          <w:spacing w:val="-1"/>
          <w:sz w:val="20"/>
        </w:rPr>
        <w:t> </w:t>
      </w:r>
      <w:r>
        <w:rPr>
          <w:rFonts w:ascii="Arial" w:hAnsi="Arial"/>
          <w:i/>
          <w:sz w:val="20"/>
        </w:rPr>
        <w:t>Morin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Bonhams</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Brooks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467 (Comm), [2003] 2 All E.R. (Comm) 36</w:t>
      </w:r>
      <w:r>
        <w:rPr>
          <w:sz w:val="20"/>
        </w:rPr>
        <w:t>; affirmed without reference to the point </w:t>
      </w:r>
      <w:r>
        <w:rPr>
          <w:rFonts w:ascii="Arial" w:hAnsi="Arial"/>
          <w:i/>
          <w:sz w:val="20"/>
        </w:rPr>
        <w:t>[2003] EWCA </w:t>
      </w:r>
      <w:r>
        <w:rPr>
          <w:rFonts w:ascii="Arial" w:hAnsi="Arial"/>
          <w:i/>
          <w:sz w:val="20"/>
        </w:rPr>
        <w:t>Civ 1802, [2004] 1 Lloyd’s Rep. 702</w:t>
      </w:r>
      <w:r>
        <w:rPr>
          <w:sz w:val="20"/>
        </w:rPr>
        <w:t>; </w:t>
      </w:r>
      <w:r>
        <w:rPr>
          <w:rFonts w:ascii="Arial" w:hAnsi="Arial"/>
          <w:i/>
          <w:sz w:val="20"/>
        </w:rPr>
        <w:t>Horn Linie GmbH &amp; Co v Panamerica Formas E Impresos [2006] EWHC 373 (Comm), [2006] 2 Lloyd’s Rep. 44</w:t>
      </w:r>
      <w:r>
        <w:rPr>
          <w:sz w:val="20"/>
        </w:rPr>
        <w:t>.</w:t>
      </w:r>
    </w:p>
    <w:p>
      <w:pPr>
        <w:pStyle w:val="BodyText"/>
        <w:spacing w:before="4"/>
      </w:pPr>
    </w:p>
    <w:p>
      <w:pPr>
        <w:pStyle w:val="BodyText"/>
        <w:ind w:left="165"/>
      </w:pPr>
      <w:bookmarkStart w:name="_bookmark2159" w:id="2161"/>
      <w:bookmarkEnd w:id="2161"/>
      <w:r>
        <w:rPr/>
      </w:r>
      <w:hyperlink w:history="true" w:anchor="_bookmark2130">
        <w:r>
          <w:rPr>
            <w:color w:val="005DA1"/>
            <w:position w:val="5"/>
            <w:sz w:val="14"/>
            <w:u w:val="single" w:color="005DA1"/>
          </w:rPr>
          <w:t>1122</w:t>
        </w:r>
      </w:hyperlink>
      <w:r>
        <w:rPr>
          <w:position w:val="5"/>
          <w:sz w:val="14"/>
        </w:rPr>
        <w:t>.</w:t>
      </w:r>
      <w:r>
        <w:rPr>
          <w:spacing w:val="55"/>
          <w:position w:val="5"/>
          <w:sz w:val="14"/>
        </w:rPr>
        <w:t>  </w:t>
      </w:r>
      <w:r>
        <w:rPr/>
        <w:t>Giuliano-Lagarde</w:t>
      </w:r>
      <w:r>
        <w:rPr>
          <w:spacing w:val="1"/>
        </w:rPr>
        <w:t> </w:t>
      </w:r>
      <w:r>
        <w:rPr/>
        <w:t>Report, </w:t>
      </w:r>
      <w:r>
        <w:rPr>
          <w:spacing w:val="-2"/>
        </w:rPr>
        <w:t>p.28.</w:t>
      </w:r>
    </w:p>
    <w:p>
      <w:pPr>
        <w:pStyle w:val="BodyText"/>
        <w:spacing w:before="5"/>
      </w:pPr>
    </w:p>
    <w:p>
      <w:pPr>
        <w:pStyle w:val="BodyText"/>
        <w:ind w:left="165"/>
      </w:pPr>
      <w:bookmarkStart w:name="_bookmark2160" w:id="2162"/>
      <w:bookmarkEnd w:id="2162"/>
      <w:r>
        <w:rPr/>
      </w:r>
      <w:hyperlink w:history="true" w:anchor="_bookmark2131">
        <w:r>
          <w:rPr>
            <w:color w:val="005DA1"/>
            <w:position w:val="5"/>
            <w:sz w:val="14"/>
            <w:u w:val="single" w:color="005DA1"/>
          </w:rPr>
          <w:t>1123</w:t>
        </w:r>
      </w:hyperlink>
      <w:r>
        <w:rPr>
          <w:position w:val="5"/>
          <w:sz w:val="14"/>
        </w:rPr>
        <w:t>.</w:t>
      </w:r>
      <w:r>
        <w:rPr>
          <w:spacing w:val="55"/>
          <w:position w:val="5"/>
          <w:sz w:val="14"/>
        </w:rPr>
        <w:t>  </w:t>
      </w:r>
      <w:r>
        <w:rPr/>
        <w:t>Giuliano-Lagarde</w:t>
      </w:r>
      <w:r>
        <w:rPr>
          <w:spacing w:val="1"/>
        </w:rPr>
        <w:t> </w:t>
      </w:r>
      <w:r>
        <w:rPr/>
        <w:t>Report, </w:t>
      </w:r>
      <w:r>
        <w:rPr>
          <w:spacing w:val="-2"/>
        </w:rPr>
        <w:t>p.28.</w:t>
      </w:r>
    </w:p>
    <w:p>
      <w:pPr>
        <w:pStyle w:val="BodyText"/>
        <w:spacing w:before="5"/>
      </w:pPr>
    </w:p>
    <w:p>
      <w:pPr>
        <w:pStyle w:val="BodyText"/>
        <w:ind w:left="165"/>
      </w:pPr>
      <w:bookmarkStart w:name="_bookmark2161" w:id="2163"/>
      <w:bookmarkEnd w:id="2163"/>
      <w:r>
        <w:rPr/>
      </w:r>
      <w:hyperlink w:history="true" w:anchor="_bookmark2132">
        <w:r>
          <w:rPr>
            <w:color w:val="005DA1"/>
            <w:position w:val="5"/>
            <w:sz w:val="14"/>
            <w:u w:val="single" w:color="005DA1"/>
          </w:rPr>
          <w:t>1124</w:t>
        </w:r>
      </w:hyperlink>
      <w:r>
        <w:rPr>
          <w:position w:val="5"/>
          <w:sz w:val="14"/>
        </w:rPr>
        <w:t>.</w:t>
      </w:r>
      <w:r>
        <w:rPr>
          <w:spacing w:val="55"/>
          <w:position w:val="5"/>
          <w:sz w:val="14"/>
        </w:rPr>
        <w:t>  </w:t>
      </w:r>
      <w:r>
        <w:rPr/>
        <w:t>Giuliano-Lagarde</w:t>
      </w:r>
      <w:r>
        <w:rPr>
          <w:spacing w:val="1"/>
        </w:rPr>
        <w:t> </w:t>
      </w:r>
      <w:r>
        <w:rPr/>
        <w:t>Report, </w:t>
      </w:r>
      <w:r>
        <w:rPr>
          <w:spacing w:val="-2"/>
        </w:rPr>
        <w:t>p.28.</w:t>
      </w:r>
    </w:p>
    <w:p>
      <w:pPr>
        <w:pStyle w:val="BodyText"/>
        <w:spacing w:before="5"/>
      </w:pPr>
    </w:p>
    <w:p>
      <w:pPr>
        <w:pStyle w:val="BodyText"/>
        <w:ind w:left="165"/>
      </w:pPr>
      <w:bookmarkStart w:name="_bookmark2162" w:id="2164"/>
      <w:bookmarkEnd w:id="2164"/>
      <w:r>
        <w:rPr/>
      </w:r>
      <w:hyperlink w:history="true" w:anchor="_bookmark2133">
        <w:r>
          <w:rPr>
            <w:color w:val="005DA1"/>
            <w:position w:val="5"/>
            <w:sz w:val="14"/>
            <w:u w:val="single" w:color="005DA1"/>
          </w:rPr>
          <w:t>1125</w:t>
        </w:r>
      </w:hyperlink>
      <w:r>
        <w:rPr>
          <w:position w:val="5"/>
          <w:sz w:val="14"/>
        </w:rPr>
        <w:t>.</w:t>
      </w:r>
      <w:r>
        <w:rPr>
          <w:spacing w:val="55"/>
          <w:position w:val="5"/>
          <w:sz w:val="14"/>
        </w:rPr>
        <w:t>  </w:t>
      </w:r>
      <w:r>
        <w:rPr/>
        <w:t>Giuliano-Lagarde</w:t>
      </w:r>
      <w:r>
        <w:rPr>
          <w:spacing w:val="1"/>
        </w:rPr>
        <w:t> </w:t>
      </w:r>
      <w:r>
        <w:rPr/>
        <w:t>Report, </w:t>
      </w:r>
      <w:r>
        <w:rPr>
          <w:spacing w:val="-2"/>
        </w:rPr>
        <w:t>p.28.</w:t>
      </w:r>
    </w:p>
    <w:p>
      <w:pPr>
        <w:pStyle w:val="BodyText"/>
        <w:spacing w:before="9"/>
      </w:pPr>
    </w:p>
    <w:p>
      <w:pPr>
        <w:pStyle w:val="BodyText"/>
        <w:spacing w:line="235" w:lineRule="auto"/>
        <w:ind w:left="705" w:hanging="541"/>
      </w:pPr>
      <w:bookmarkStart w:name="_bookmark2163" w:id="2165"/>
      <w:bookmarkEnd w:id="2165"/>
      <w:r>
        <w:rPr/>
      </w:r>
      <w:hyperlink w:history="true" w:anchor="_bookmark2134">
        <w:r>
          <w:rPr>
            <w:color w:val="005DA1"/>
            <w:position w:val="5"/>
            <w:sz w:val="14"/>
            <w:u w:val="single" w:color="005DA1"/>
          </w:rPr>
          <w:t>1126</w:t>
        </w:r>
      </w:hyperlink>
      <w:r>
        <w:rPr>
          <w:position w:val="5"/>
          <w:sz w:val="14"/>
        </w:rPr>
        <w:t>.</w:t>
      </w:r>
      <w:r>
        <w:rPr>
          <w:spacing w:val="40"/>
          <w:position w:val="5"/>
          <w:sz w:val="14"/>
        </w:rPr>
        <w:t>  </w:t>
      </w:r>
      <w:r>
        <w:rPr/>
        <w:t>As</w:t>
      </w:r>
      <w:r>
        <w:rPr>
          <w:spacing w:val="20"/>
        </w:rPr>
        <w:t> </w:t>
      </w:r>
      <w:r>
        <w:rPr/>
        <w:t>to</w:t>
      </w:r>
      <w:r>
        <w:rPr>
          <w:spacing w:val="20"/>
        </w:rPr>
        <w:t> </w:t>
      </w:r>
      <w:r>
        <w:rPr/>
        <w:t>the</w:t>
      </w:r>
      <w:r>
        <w:rPr>
          <w:spacing w:val="20"/>
        </w:rPr>
        <w:t> </w:t>
      </w:r>
      <w:r>
        <w:rPr/>
        <w:t>meaning</w:t>
      </w:r>
      <w:r>
        <w:rPr>
          <w:spacing w:val="20"/>
        </w:rPr>
        <w:t> </w:t>
      </w:r>
      <w:r>
        <w:rPr/>
        <w:t>of</w:t>
      </w:r>
      <w:r>
        <w:rPr>
          <w:spacing w:val="20"/>
        </w:rPr>
        <w:t> </w:t>
      </w:r>
      <w:r>
        <w:rPr/>
        <w:t>habitual</w:t>
      </w:r>
      <w:r>
        <w:rPr>
          <w:spacing w:val="20"/>
        </w:rPr>
        <w:t> </w:t>
      </w:r>
      <w:r>
        <w:rPr/>
        <w:t>residence</w:t>
      </w:r>
      <w:r>
        <w:rPr>
          <w:spacing w:val="20"/>
        </w:rPr>
        <w:t> </w:t>
      </w:r>
      <w:r>
        <w:rPr/>
        <w:t>in</w:t>
      </w:r>
      <w:r>
        <w:rPr>
          <w:spacing w:val="20"/>
        </w:rPr>
        <w:t> </w:t>
      </w:r>
      <w:r>
        <w:rPr/>
        <w:t>the</w:t>
      </w:r>
      <w:r>
        <w:rPr>
          <w:spacing w:val="20"/>
        </w:rPr>
        <w:t> </w:t>
      </w:r>
      <w:r>
        <w:rPr/>
        <w:t>context</w:t>
      </w:r>
      <w:r>
        <w:rPr>
          <w:spacing w:val="20"/>
        </w:rPr>
        <w:t> </w:t>
      </w:r>
      <w:r>
        <w:rPr/>
        <w:t>of</w:t>
      </w:r>
      <w:r>
        <w:rPr>
          <w:spacing w:val="20"/>
        </w:rPr>
        <w:t> </w:t>
      </w:r>
      <w:r>
        <w:rPr/>
        <w:t>the</w:t>
      </w:r>
      <w:r>
        <w:rPr>
          <w:spacing w:val="20"/>
        </w:rPr>
        <w:t> </w:t>
      </w:r>
      <w:r>
        <w:rPr/>
        <w:t>Rome</w:t>
      </w:r>
      <w:r>
        <w:rPr>
          <w:spacing w:val="20"/>
        </w:rPr>
        <w:t> </w:t>
      </w:r>
      <w:r>
        <w:rPr/>
        <w:t>I</w:t>
      </w:r>
      <w:r>
        <w:rPr>
          <w:spacing w:val="20"/>
        </w:rPr>
        <w:t> </w:t>
      </w:r>
      <w:r>
        <w:rPr/>
        <w:t>Regulation,</w:t>
      </w:r>
      <w:r>
        <w:rPr>
          <w:spacing w:val="20"/>
        </w:rPr>
        <w:t> </w:t>
      </w:r>
      <w:r>
        <w:rPr/>
        <w:t>see</w:t>
      </w:r>
      <w:r>
        <w:rPr>
          <w:spacing w:val="20"/>
        </w:rPr>
        <w:t> </w:t>
      </w:r>
      <w:r>
        <w:rPr/>
        <w:t>above, paras 30-163 et seq.</w:t>
      </w:r>
    </w:p>
    <w:p>
      <w:pPr>
        <w:pStyle w:val="BodyText"/>
        <w:spacing w:before="9"/>
      </w:pPr>
    </w:p>
    <w:p>
      <w:pPr>
        <w:spacing w:line="235" w:lineRule="auto" w:before="0"/>
        <w:ind w:left="705" w:right="0" w:hanging="541"/>
        <w:jc w:val="left"/>
        <w:rPr>
          <w:sz w:val="20"/>
        </w:rPr>
      </w:pPr>
      <w:bookmarkStart w:name="_bookmark2164" w:id="2166"/>
      <w:bookmarkEnd w:id="2166"/>
      <w:r>
        <w:rPr/>
      </w:r>
      <w:hyperlink w:history="true" w:anchor="_bookmark2135">
        <w:r>
          <w:rPr>
            <w:color w:val="005DA1"/>
            <w:position w:val="5"/>
            <w:sz w:val="14"/>
            <w:u w:val="single" w:color="005DA1"/>
          </w:rPr>
          <w:t>1127</w:t>
        </w:r>
      </w:hyperlink>
      <w:r>
        <w:rPr>
          <w:position w:val="5"/>
          <w:sz w:val="14"/>
        </w:rPr>
        <w:t>.</w:t>
      </w:r>
      <w:r>
        <w:rPr>
          <w:spacing w:val="40"/>
          <w:position w:val="5"/>
          <w:sz w:val="14"/>
        </w:rPr>
        <w:t>  </w:t>
      </w:r>
      <w:r>
        <w:rPr>
          <w:sz w:val="20"/>
        </w:rPr>
        <w:t>See </w:t>
      </w:r>
      <w:r>
        <w:rPr>
          <w:rFonts w:ascii="Arial" w:hAnsi="Arial"/>
          <w:i/>
          <w:sz w:val="20"/>
        </w:rPr>
        <w:t>Egon Oldendorff v Libera Corp (No.1) [1995] 2 Lloyd’s Rep. 64</w:t>
      </w:r>
      <w:r>
        <w:rPr>
          <w:sz w:val="20"/>
        </w:rPr>
        <w:t>; </w:t>
      </w:r>
      <w:r>
        <w:rPr>
          <w:rFonts w:ascii="Arial" w:hAnsi="Arial"/>
          <w:i/>
          <w:sz w:val="20"/>
        </w:rPr>
        <w:t>Horn Linie GmbH &amp; Co v</w:t>
      </w:r>
      <w:r>
        <w:rPr>
          <w:rFonts w:ascii="Arial" w:hAnsi="Arial"/>
          <w:i/>
          <w:spacing w:val="40"/>
          <w:sz w:val="20"/>
        </w:rPr>
        <w:t> </w:t>
      </w:r>
      <w:r>
        <w:rPr>
          <w:rFonts w:ascii="Arial" w:hAnsi="Arial"/>
          <w:i/>
          <w:sz w:val="20"/>
        </w:rPr>
        <w:t>Panamericana Formas E Impresos [2006] EWHC 373 (Comm), [2006] 2 Lloyd’s Rep. 44</w:t>
      </w:r>
      <w:r>
        <w:rPr>
          <w:sz w:val="20"/>
        </w:rPr>
        <w:t>.</w:t>
      </w:r>
    </w:p>
    <w:p>
      <w:pPr>
        <w:pStyle w:val="BodyText"/>
        <w:spacing w:before="9"/>
      </w:pPr>
    </w:p>
    <w:p>
      <w:pPr>
        <w:spacing w:line="235" w:lineRule="auto" w:before="1"/>
        <w:ind w:left="705" w:right="167" w:hanging="541"/>
        <w:jc w:val="both"/>
        <w:rPr>
          <w:sz w:val="20"/>
        </w:rPr>
      </w:pPr>
      <w:bookmarkStart w:name="_bookmark2165" w:id="2167"/>
      <w:bookmarkEnd w:id="2167"/>
      <w:r>
        <w:rPr/>
      </w:r>
      <w:hyperlink w:history="true" w:anchor="_bookmark2136">
        <w:r>
          <w:rPr>
            <w:color w:val="005DA1"/>
            <w:position w:val="5"/>
            <w:sz w:val="14"/>
            <w:u w:val="single" w:color="005DA1"/>
          </w:rPr>
          <w:t>1128</w:t>
        </w:r>
      </w:hyperlink>
      <w:r>
        <w:rPr>
          <w:position w:val="5"/>
          <w:sz w:val="14"/>
        </w:rPr>
        <w:t>.</w:t>
      </w:r>
      <w:r>
        <w:rPr>
          <w:spacing w:val="40"/>
          <w:position w:val="5"/>
          <w:sz w:val="14"/>
        </w:rPr>
        <w:t> </w:t>
      </w:r>
      <w:r>
        <w:rPr>
          <w:rFonts w:ascii="Arial" w:hAnsi="Arial"/>
          <w:i/>
          <w:sz w:val="20"/>
        </w:rPr>
        <w:t>Egon Oldendorff v Libera Corp (No.1) [1995] 2 Lloyd’s Rep. 64</w:t>
      </w:r>
      <w:r>
        <w:rPr>
          <w:sz w:val="20"/>
        </w:rPr>
        <w:t>; </w:t>
      </w:r>
      <w:r>
        <w:rPr>
          <w:rFonts w:ascii="Arial" w:hAnsi="Arial"/>
          <w:i/>
          <w:sz w:val="20"/>
        </w:rPr>
        <w:t>Horn Linie GmbH &amp; Co v Panamericana Formas E Impresos [2006] EWHC 373 (Comm)</w:t>
      </w:r>
      <w:r>
        <w:rPr>
          <w:sz w:val="20"/>
        </w:rPr>
        <w:t>. See also </w:t>
      </w:r>
      <w:r>
        <w:rPr>
          <w:rFonts w:ascii="Arial" w:hAnsi="Arial"/>
          <w:i/>
          <w:sz w:val="20"/>
        </w:rPr>
        <w:t>The Epsilon </w:t>
      </w:r>
      <w:r>
        <w:rPr>
          <w:rFonts w:ascii="Arial" w:hAnsi="Arial"/>
          <w:i/>
          <w:sz w:val="20"/>
        </w:rPr>
        <w:t>Rosa (No.2) [2002] EWHC 2033 (Comm)</w:t>
      </w:r>
      <w:r>
        <w:rPr>
          <w:sz w:val="20"/>
        </w:rPr>
        <w:t>; </w:t>
      </w:r>
      <w:r>
        <w:rPr>
          <w:rFonts w:ascii="Arial" w:hAnsi="Arial"/>
          <w:i/>
          <w:sz w:val="20"/>
        </w:rPr>
        <w:t>Morin v Bonhams and Brooks Ltd [2003] EWHC 467 (Comm)</w:t>
      </w:r>
      <w:r>
        <w:rPr>
          <w:sz w:val="20"/>
        </w:rPr>
        <w:t>; </w:t>
      </w:r>
      <w:r>
        <w:rPr>
          <w:rFonts w:ascii="Arial" w:hAnsi="Arial"/>
          <w:i/>
          <w:sz w:val="20"/>
        </w:rPr>
        <w:t>Toyota Tsusho Sugar Trading Ltd v Prolat SRL [2014] EWHC 3649 Comm), [2015] 1 Lloyd’s Rep 344</w:t>
      </w:r>
      <w:r>
        <w:rPr>
          <w:sz w:val="20"/>
        </w:rPr>
        <w:t>.</w:t>
      </w:r>
    </w:p>
    <w:p>
      <w:pPr>
        <w:pStyle w:val="BodyText"/>
        <w:spacing w:before="7"/>
      </w:pPr>
    </w:p>
    <w:p>
      <w:pPr>
        <w:spacing w:line="235" w:lineRule="auto" w:before="1"/>
        <w:ind w:left="705" w:right="167" w:hanging="541"/>
        <w:jc w:val="both"/>
        <w:rPr>
          <w:sz w:val="20"/>
        </w:rPr>
      </w:pPr>
      <w:bookmarkStart w:name="_bookmark2166" w:id="2168"/>
      <w:bookmarkEnd w:id="2168"/>
      <w:r>
        <w:rPr/>
      </w:r>
      <w:hyperlink w:history="true" w:anchor="_bookmark2137">
        <w:r>
          <w:rPr>
            <w:color w:val="005DA1"/>
            <w:position w:val="5"/>
            <w:sz w:val="14"/>
            <w:u w:val="single" w:color="005DA1"/>
          </w:rPr>
          <w:t>1129</w:t>
        </w:r>
      </w:hyperlink>
      <w:r>
        <w:rPr>
          <w:position w:val="5"/>
          <w:sz w:val="14"/>
        </w:rPr>
        <w:t>.</w:t>
      </w:r>
      <w:r>
        <w:rPr>
          <w:spacing w:val="80"/>
          <w:position w:val="5"/>
          <w:sz w:val="14"/>
        </w:rPr>
        <w:t> </w:t>
      </w:r>
      <w:r>
        <w:rPr>
          <w:sz w:val="20"/>
        </w:rPr>
        <w:t>The onus of establishing that art.8(2) and, presumably, art.10(2) apply lies on the party who relies upon either provision:</w:t>
      </w:r>
      <w:r>
        <w:rPr>
          <w:spacing w:val="-1"/>
          <w:sz w:val="20"/>
        </w:rPr>
        <w:t> </w:t>
      </w:r>
      <w:r>
        <w:rPr>
          <w:rFonts w:ascii="Arial" w:hAnsi="Arial"/>
          <w:i/>
          <w:sz w:val="20"/>
        </w:rPr>
        <w:t>Egon Oldendorff v Libera Corp (No.1) [1995] 2 Lloyd’s Rep. 64, </w:t>
      </w:r>
      <w:r>
        <w:rPr>
          <w:rFonts w:ascii="Arial" w:hAnsi="Arial"/>
          <w:i/>
          <w:sz w:val="20"/>
        </w:rPr>
        <w:t>71</w:t>
      </w:r>
      <w:r>
        <w:rPr>
          <w:sz w:val="20"/>
        </w:rPr>
        <w:t>; </w:t>
      </w:r>
      <w:r>
        <w:rPr>
          <w:rFonts w:ascii="Arial" w:hAnsi="Arial"/>
          <w:i/>
          <w:sz w:val="20"/>
        </w:rPr>
        <w:t>The Epsilon Rosa (No.2) [2002] EWHC 2033</w:t>
      </w:r>
      <w:r>
        <w:rPr>
          <w:sz w:val="20"/>
        </w:rPr>
        <w:t>; </w:t>
      </w:r>
      <w:r>
        <w:rPr>
          <w:rFonts w:ascii="Arial" w:hAnsi="Arial"/>
          <w:i/>
          <w:sz w:val="20"/>
        </w:rPr>
        <w:t>Horn Linie GmbH &amp; Co v Panamericana Formas E Impresos [2006] EWHC 373 (Comm) </w:t>
      </w:r>
      <w:r>
        <w:rPr>
          <w:sz w:val="20"/>
        </w:rPr>
        <w:t>(same principle applies in relation to consent to a jurisdiction clause and a choice of law clause).</w:t>
      </w:r>
    </w:p>
    <w:p>
      <w:pPr>
        <w:pStyle w:val="BodyText"/>
        <w:spacing w:before="4"/>
      </w:pPr>
    </w:p>
    <w:p>
      <w:pPr>
        <w:spacing w:before="0"/>
        <w:ind w:left="165" w:right="0" w:firstLine="0"/>
        <w:jc w:val="left"/>
        <w:rPr>
          <w:sz w:val="20"/>
        </w:rPr>
      </w:pPr>
      <w:bookmarkStart w:name="_bookmark2167" w:id="2169"/>
      <w:bookmarkEnd w:id="2169"/>
      <w:r>
        <w:rPr/>
      </w:r>
      <w:hyperlink w:history="true" w:anchor="_bookmark2138">
        <w:r>
          <w:rPr>
            <w:color w:val="005DA1"/>
            <w:position w:val="5"/>
            <w:sz w:val="14"/>
            <w:u w:val="single" w:color="005DA1"/>
          </w:rPr>
          <w:t>1130</w:t>
        </w:r>
      </w:hyperlink>
      <w:r>
        <w:rPr>
          <w:position w:val="5"/>
          <w:sz w:val="14"/>
        </w:rPr>
        <w:t>.</w:t>
      </w:r>
      <w:r>
        <w:rPr>
          <w:spacing w:val="55"/>
          <w:position w:val="5"/>
          <w:sz w:val="14"/>
        </w:rPr>
        <w:t>  </w:t>
      </w:r>
      <w:r>
        <w:rPr>
          <w:rFonts w:ascii="Arial" w:hAnsi="Arial"/>
          <w:i/>
          <w:sz w:val="20"/>
        </w:rPr>
        <w:t>Egon</w:t>
      </w:r>
      <w:r>
        <w:rPr>
          <w:rFonts w:ascii="Arial" w:hAnsi="Arial"/>
          <w:i/>
          <w:spacing w:val="1"/>
          <w:sz w:val="20"/>
        </w:rPr>
        <w:t> </w:t>
      </w:r>
      <w:r>
        <w:rPr>
          <w:rFonts w:ascii="Arial" w:hAnsi="Arial"/>
          <w:i/>
          <w:sz w:val="20"/>
        </w:rPr>
        <w:t>Oldendorff v Libera Corp (No.1) [1995] 2 Lloyd’s Rep. 64, </w:t>
      </w:r>
      <w:r>
        <w:rPr>
          <w:rFonts w:ascii="Arial" w:hAnsi="Arial"/>
          <w:i/>
          <w:spacing w:val="-5"/>
          <w:sz w:val="20"/>
        </w:rPr>
        <w:t>71</w:t>
      </w:r>
      <w:r>
        <w:rPr>
          <w:spacing w:val="-5"/>
          <w:sz w:val="20"/>
        </w:rPr>
        <w:t>.</w:t>
      </w:r>
    </w:p>
    <w:p>
      <w:pPr>
        <w:pStyle w:val="BodyText"/>
        <w:spacing w:before="9"/>
      </w:pPr>
    </w:p>
    <w:p>
      <w:pPr>
        <w:spacing w:line="235" w:lineRule="auto" w:before="0"/>
        <w:ind w:left="705" w:right="167" w:hanging="541"/>
        <w:jc w:val="both"/>
        <w:rPr>
          <w:rFonts w:ascii="Arial" w:hAnsi="Arial"/>
          <w:i/>
          <w:sz w:val="20"/>
        </w:rPr>
      </w:pPr>
      <w:bookmarkStart w:name="_bookmark2168" w:id="2170"/>
      <w:bookmarkEnd w:id="2170"/>
      <w:r>
        <w:rPr/>
      </w:r>
      <w:hyperlink w:history="true" w:anchor="_bookmark2139">
        <w:r>
          <w:rPr>
            <w:color w:val="005DA1"/>
            <w:position w:val="5"/>
            <w:sz w:val="14"/>
            <w:u w:val="single" w:color="005DA1"/>
          </w:rPr>
          <w:t>1131</w:t>
        </w:r>
      </w:hyperlink>
      <w:r>
        <w:rPr>
          <w:position w:val="5"/>
          <w:sz w:val="14"/>
        </w:rPr>
        <w:t>.</w:t>
      </w:r>
      <w:r>
        <w:rPr>
          <w:spacing w:val="80"/>
          <w:position w:val="5"/>
          <w:sz w:val="14"/>
        </w:rPr>
        <w:t> </w:t>
      </w:r>
      <w:r>
        <w:rPr>
          <w:rFonts w:ascii="Arial" w:hAnsi="Arial"/>
          <w:i/>
          <w:sz w:val="20"/>
        </w:rPr>
        <w:t>The Epsilon Rosa (No.2) [2002] EWHC 2033 (Comm), [2002] 2 Lloyd’s Rep. 701, affirmed on other grounds, [2003] EWCA Civ 938</w:t>
      </w:r>
      <w:r>
        <w:rPr>
          <w:sz w:val="20"/>
        </w:rPr>
        <w:t>; </w:t>
      </w:r>
      <w:r>
        <w:rPr>
          <w:rFonts w:ascii="Arial" w:hAnsi="Arial"/>
          <w:i/>
          <w:sz w:val="20"/>
        </w:rPr>
        <w:t>Morin v Bonhams and Brooks Ltd [2003] EWHC 467 (Comm), [2003] 2 All E.R. (Comm) 36</w:t>
      </w:r>
      <w:r>
        <w:rPr>
          <w:sz w:val="20"/>
        </w:rPr>
        <w:t>; affirmed without reference to the point </w:t>
      </w:r>
      <w:r>
        <w:rPr>
          <w:rFonts w:ascii="Arial" w:hAnsi="Arial"/>
          <w:i/>
          <w:sz w:val="20"/>
        </w:rPr>
        <w:t>[2003] EWCA </w:t>
      </w:r>
      <w:r>
        <w:rPr>
          <w:rFonts w:ascii="Arial" w:hAnsi="Arial"/>
          <w:i/>
          <w:sz w:val="20"/>
        </w:rPr>
        <w:t>Civ 1802, [2004] 1 Lloyd’s Rep. 702</w:t>
      </w:r>
      <w:r>
        <w:rPr>
          <w:sz w:val="20"/>
        </w:rPr>
        <w:t>; </w:t>
      </w:r>
      <w:r>
        <w:rPr>
          <w:rFonts w:ascii="Arial" w:hAnsi="Arial"/>
          <w:i/>
          <w:sz w:val="20"/>
        </w:rPr>
        <w:t>Halpern v Halpern (Nos 1 and 2) [2007] EWCA Civ 291,</w:t>
      </w:r>
      <w:r>
        <w:rPr>
          <w:rFonts w:ascii="Arial" w:hAnsi="Arial"/>
          <w:i/>
          <w:spacing w:val="40"/>
          <w:sz w:val="20"/>
        </w:rPr>
        <w:t> </w:t>
      </w:r>
      <w:r>
        <w:rPr>
          <w:rFonts w:ascii="Arial" w:hAnsi="Arial"/>
          <w:i/>
          <w:sz w:val="20"/>
        </w:rPr>
        <w:t>[2008] Q.B. 195</w:t>
      </w:r>
      <w:r>
        <w:rPr>
          <w:sz w:val="20"/>
        </w:rPr>
        <w:t>. cf. </w:t>
      </w:r>
      <w:r>
        <w:rPr>
          <w:rFonts w:ascii="Arial" w:hAnsi="Arial"/>
          <w:i/>
          <w:sz w:val="20"/>
        </w:rPr>
        <w:t>Dimskal Shipping Co SA v International Transport Workers Federation [1992] 2 A.C. 152, 168</w:t>
      </w:r>
      <w:r>
        <w:rPr>
          <w:sz w:val="20"/>
        </w:rPr>
        <w:t>, per Lord Goff, who appears to regard economic duress as relating both to formation and validity of a contract. cf. Dicey, Morris and Collins, para.32–167. This paragraph was approved in </w:t>
      </w:r>
      <w:r>
        <w:rPr>
          <w:rFonts w:ascii="Arial" w:hAnsi="Arial"/>
          <w:i/>
          <w:sz w:val="20"/>
        </w:rPr>
        <w:t>Sapporo Breweries Ltd v Lupofresh Ltd [2012] EWCA Civ 948, [2013] 2 Lloyd’s Rep. 444</w:t>
      </w:r>
    </w:p>
    <w:p>
      <w:pPr>
        <w:pStyle w:val="BodyText"/>
        <w:spacing w:before="6"/>
        <w:rPr>
          <w:rFonts w:ascii="Arial"/>
          <w:i/>
        </w:rPr>
      </w:pPr>
    </w:p>
    <w:p>
      <w:pPr>
        <w:spacing w:line="235" w:lineRule="auto" w:before="0"/>
        <w:ind w:left="705" w:right="167" w:hanging="541"/>
        <w:jc w:val="both"/>
        <w:rPr>
          <w:sz w:val="20"/>
        </w:rPr>
      </w:pPr>
      <w:bookmarkStart w:name="_bookmark2169" w:id="2171"/>
      <w:bookmarkEnd w:id="2171"/>
      <w:r>
        <w:rPr/>
      </w:r>
      <w:hyperlink w:history="true" w:anchor="_bookmark2140">
        <w:r>
          <w:rPr>
            <w:color w:val="005DA1"/>
            <w:position w:val="5"/>
            <w:sz w:val="14"/>
            <w:u w:val="single" w:color="005DA1"/>
          </w:rPr>
          <w:t>1132</w:t>
        </w:r>
      </w:hyperlink>
      <w:r>
        <w:rPr>
          <w:position w:val="5"/>
          <w:sz w:val="14"/>
        </w:rPr>
        <w:t>.</w:t>
      </w:r>
      <w:r>
        <w:rPr>
          <w:spacing w:val="80"/>
          <w:position w:val="5"/>
          <w:sz w:val="14"/>
        </w:rPr>
        <w:t> </w:t>
      </w:r>
      <w:r>
        <w:rPr>
          <w:rFonts w:ascii="Arial" w:hAnsi="Arial"/>
          <w:i/>
          <w:sz w:val="20"/>
        </w:rPr>
        <w:t>Halpern v Halpern (Nos 1 and 2) [2007] EWCA Civ 291</w:t>
      </w:r>
      <w:r>
        <w:rPr>
          <w:sz w:val="20"/>
        </w:rPr>
        <w:t>. cf. </w:t>
      </w:r>
      <w:r>
        <w:rPr>
          <w:rFonts w:ascii="Arial" w:hAnsi="Arial"/>
          <w:i/>
          <w:sz w:val="20"/>
        </w:rPr>
        <w:t>Ark Therapeutics Plc v True </w:t>
      </w:r>
      <w:r>
        <w:rPr>
          <w:rFonts w:ascii="Arial" w:hAnsi="Arial"/>
          <w:i/>
          <w:sz w:val="20"/>
        </w:rPr>
        <w:t>North Capital Ltd [2005] EWHC 1585 (Comm), [2006] 1 All E.R. (Comm) 138</w:t>
      </w:r>
      <w:r>
        <w:rPr>
          <w:sz w:val="20"/>
        </w:rPr>
        <w:t>; </w:t>
      </w:r>
      <w:r>
        <w:rPr>
          <w:rFonts w:ascii="Arial" w:hAnsi="Arial"/>
          <w:i/>
          <w:sz w:val="20"/>
        </w:rPr>
        <w:t>Credit Suisse First Boston (Europe) Ltd v Seagate Trading Co Ltd [1999] 1 Lloyd’s Rep. 784</w:t>
      </w:r>
      <w:r>
        <w:rPr>
          <w:sz w:val="20"/>
        </w:rPr>
        <w:t>. This was the better view of the position at common law: see </w:t>
      </w:r>
      <w:r>
        <w:rPr>
          <w:rFonts w:ascii="Arial" w:hAnsi="Arial"/>
          <w:i/>
          <w:sz w:val="20"/>
        </w:rPr>
        <w:t>Dimskal Shipping Co SA v International Transport Workers</w:t>
      </w:r>
      <w:r>
        <w:rPr>
          <w:rFonts w:ascii="Arial" w:hAnsi="Arial"/>
          <w:i/>
          <w:spacing w:val="5"/>
          <w:sz w:val="20"/>
        </w:rPr>
        <w:t> </w:t>
      </w:r>
      <w:r>
        <w:rPr>
          <w:rFonts w:ascii="Arial" w:hAnsi="Arial"/>
          <w:i/>
          <w:sz w:val="20"/>
        </w:rPr>
        <w:t>Federation</w:t>
      </w:r>
      <w:r>
        <w:rPr>
          <w:rFonts w:ascii="Arial" w:hAnsi="Arial"/>
          <w:i/>
          <w:spacing w:val="6"/>
          <w:sz w:val="20"/>
        </w:rPr>
        <w:t> </w:t>
      </w:r>
      <w:r>
        <w:rPr>
          <w:rFonts w:ascii="Arial" w:hAnsi="Arial"/>
          <w:i/>
          <w:sz w:val="20"/>
        </w:rPr>
        <w:t>[1992]</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A.C.</w:t>
      </w:r>
      <w:r>
        <w:rPr>
          <w:rFonts w:ascii="Arial" w:hAnsi="Arial"/>
          <w:i/>
          <w:spacing w:val="6"/>
          <w:sz w:val="20"/>
        </w:rPr>
        <w:t> </w:t>
      </w:r>
      <w:r>
        <w:rPr>
          <w:rFonts w:ascii="Arial" w:hAnsi="Arial"/>
          <w:i/>
          <w:sz w:val="20"/>
        </w:rPr>
        <w:t>152</w:t>
      </w:r>
      <w:r>
        <w:rPr>
          <w:sz w:val="20"/>
        </w:rPr>
        <w:t>;</w:t>
      </w:r>
      <w:r>
        <w:rPr>
          <w:spacing w:val="6"/>
          <w:sz w:val="20"/>
        </w:rPr>
        <w:t> </w:t>
      </w:r>
      <w:r>
        <w:rPr>
          <w:sz w:val="20"/>
        </w:rPr>
        <w:t>Dicey,</w:t>
      </w:r>
      <w:r>
        <w:rPr>
          <w:spacing w:val="6"/>
          <w:sz w:val="20"/>
        </w:rPr>
        <w:t> </w:t>
      </w:r>
      <w:r>
        <w:rPr>
          <w:sz w:val="20"/>
        </w:rPr>
        <w:t>Morris</w:t>
      </w:r>
      <w:r>
        <w:rPr>
          <w:spacing w:val="6"/>
          <w:sz w:val="20"/>
        </w:rPr>
        <w:t> </w:t>
      </w:r>
      <w:r>
        <w:rPr>
          <w:sz w:val="20"/>
        </w:rPr>
        <w:t>and</w:t>
      </w:r>
      <w:r>
        <w:rPr>
          <w:spacing w:val="6"/>
          <w:sz w:val="20"/>
        </w:rPr>
        <w:t> </w:t>
      </w:r>
      <w:r>
        <w:rPr>
          <w:sz w:val="20"/>
        </w:rPr>
        <w:t>Collins,</w:t>
      </w:r>
      <w:r>
        <w:rPr>
          <w:spacing w:val="6"/>
          <w:sz w:val="20"/>
        </w:rPr>
        <w:t> </w:t>
      </w:r>
      <w:r>
        <w:rPr>
          <w:sz w:val="20"/>
        </w:rPr>
        <w:t>paras</w:t>
      </w:r>
      <w:r>
        <w:rPr>
          <w:spacing w:val="6"/>
          <w:sz w:val="20"/>
        </w:rPr>
        <w:t> </w:t>
      </w:r>
      <w:r>
        <w:rPr>
          <w:sz w:val="20"/>
        </w:rPr>
        <w:t>32–166—32–168;</w:t>
      </w:r>
      <w:r>
        <w:rPr>
          <w:spacing w:val="6"/>
          <w:sz w:val="20"/>
        </w:rPr>
        <w:t> </w:t>
      </w:r>
      <w:r>
        <w:rPr>
          <w:spacing w:val="-4"/>
          <w:sz w:val="20"/>
        </w:rPr>
        <w:t>26th</w:t>
      </w:r>
    </w:p>
    <w:p>
      <w:pPr>
        <w:spacing w:after="0" w:line="235" w:lineRule="auto"/>
        <w:jc w:val="both"/>
        <w:rPr>
          <w:sz w:val="20"/>
        </w:rPr>
        <w:sectPr>
          <w:pgSz w:w="11900" w:h="16840"/>
          <w:pgMar w:header="971" w:footer="0" w:top="1300" w:bottom="280" w:left="1275" w:right="1275"/>
        </w:sectPr>
      </w:pPr>
    </w:p>
    <w:p>
      <w:pPr>
        <w:spacing w:line="235" w:lineRule="auto" w:before="110"/>
        <w:ind w:left="705" w:right="168" w:firstLine="0"/>
        <w:jc w:val="both"/>
        <w:rPr>
          <w:sz w:val="20"/>
        </w:rPr>
      </w:pPr>
      <w:r>
        <w:rPr>
          <w:sz w:val="20"/>
        </w:rPr>
        <w:t>edition of this work, para.2175. Contrast </w:t>
      </w:r>
      <w:r>
        <w:rPr>
          <w:rFonts w:ascii="Arial" w:hAnsi="Arial"/>
          <w:i/>
          <w:sz w:val="20"/>
        </w:rPr>
        <w:t>Mackender v Feldia [1967] 2 Q.B. 590</w:t>
      </w:r>
      <w:r>
        <w:rPr>
          <w:sz w:val="20"/>
        </w:rPr>
        <w:t>. cf. </w:t>
      </w:r>
      <w:r>
        <w:rPr>
          <w:rFonts w:ascii="Arial" w:hAnsi="Arial"/>
          <w:i/>
          <w:sz w:val="20"/>
        </w:rPr>
        <w:t>The </w:t>
      </w:r>
      <w:r>
        <w:rPr>
          <w:rFonts w:ascii="Arial" w:hAnsi="Arial"/>
          <w:i/>
          <w:sz w:val="20"/>
        </w:rPr>
        <w:t>Lake Avery [1997] 1 Lloyd’s Rep. 540</w:t>
      </w:r>
      <w:r>
        <w:rPr>
          <w:sz w:val="20"/>
        </w:rPr>
        <w:t>. As to the existence and validity of consent to a choice of law (art.3(4) of the Convention, art.3(5) of the Regulation), see above, paras 30-058, 30-183.</w:t>
      </w:r>
    </w:p>
    <w:p>
      <w:pPr>
        <w:pStyle w:val="BodyText"/>
        <w:spacing w:before="9"/>
      </w:pPr>
    </w:p>
    <w:p>
      <w:pPr>
        <w:spacing w:line="235" w:lineRule="auto" w:before="0"/>
        <w:ind w:left="705" w:right="167" w:hanging="541"/>
        <w:jc w:val="both"/>
        <w:rPr>
          <w:sz w:val="20"/>
        </w:rPr>
      </w:pPr>
      <w:bookmarkStart w:name="_bookmark2170" w:id="2172"/>
      <w:bookmarkEnd w:id="2172"/>
      <w:r>
        <w:rPr/>
      </w:r>
      <w:hyperlink w:history="true" w:anchor="_bookmark2141">
        <w:r>
          <w:rPr>
            <w:color w:val="005DA1"/>
            <w:position w:val="5"/>
            <w:sz w:val="14"/>
            <w:u w:val="single" w:color="005DA1"/>
          </w:rPr>
          <w:t>1133</w:t>
        </w:r>
      </w:hyperlink>
      <w:r>
        <w:rPr>
          <w:position w:val="5"/>
          <w:sz w:val="14"/>
        </w:rPr>
        <w:t>.</w:t>
      </w:r>
      <w:r>
        <w:rPr>
          <w:spacing w:val="80"/>
          <w:position w:val="5"/>
          <w:sz w:val="14"/>
        </w:rPr>
        <w:t> </w:t>
      </w:r>
      <w:r>
        <w:rPr>
          <w:sz w:val="20"/>
        </w:rPr>
        <w:t>See </w:t>
      </w:r>
      <w:r>
        <w:rPr>
          <w:rFonts w:ascii="Arial"/>
          <w:i/>
          <w:sz w:val="20"/>
        </w:rPr>
        <w:t>Duarte v Black &amp; Decker Corp [2007] EWHC 2720 (QB), [2008] 1 All E.R. (Comm) 401</w:t>
      </w:r>
      <w:r>
        <w:rPr>
          <w:sz w:val="20"/>
        </w:rPr>
        <w:t>. cf. </w:t>
      </w:r>
      <w:r>
        <w:rPr>
          <w:rFonts w:ascii="Arial"/>
          <w:i/>
          <w:sz w:val="20"/>
        </w:rPr>
        <w:t>Roussillon v Roussillon (1880) 14 Ch. D. 351</w:t>
      </w:r>
      <w:r>
        <w:rPr>
          <w:sz w:val="20"/>
        </w:rPr>
        <w:t>. The foreign law upholding or denying the validity of the contract may be refused application on the grounds of public policy: Rome Convention art.16, Rome I Regulation art.21, below, paras 30-368 et seq.</w:t>
      </w:r>
    </w:p>
    <w:p>
      <w:pPr>
        <w:pStyle w:val="BodyText"/>
        <w:spacing w:before="8"/>
      </w:pPr>
    </w:p>
    <w:p>
      <w:pPr>
        <w:spacing w:line="235" w:lineRule="auto" w:before="1"/>
        <w:ind w:left="705" w:right="168" w:hanging="541"/>
        <w:jc w:val="left"/>
        <w:rPr>
          <w:sz w:val="20"/>
        </w:rPr>
      </w:pPr>
      <w:bookmarkStart w:name="_bookmark2171" w:id="2173"/>
      <w:bookmarkEnd w:id="2173"/>
      <w:r>
        <w:rPr/>
      </w:r>
      <w:hyperlink w:history="true" w:anchor="_bookmark2142">
        <w:r>
          <w:rPr>
            <w:color w:val="005DA1"/>
            <w:position w:val="5"/>
            <w:sz w:val="14"/>
            <w:u w:val="single" w:color="005DA1"/>
          </w:rPr>
          <w:t>1134</w:t>
        </w:r>
      </w:hyperlink>
      <w:r>
        <w:rPr>
          <w:position w:val="5"/>
          <w:sz w:val="14"/>
        </w:rPr>
        <w:t>.</w:t>
      </w:r>
      <w:r>
        <w:rPr>
          <w:spacing w:val="40"/>
          <w:position w:val="5"/>
          <w:sz w:val="14"/>
        </w:rPr>
        <w:t>  </w:t>
      </w:r>
      <w:r>
        <w:rPr>
          <w:sz w:val="20"/>
        </w:rPr>
        <w:t>cf. </w:t>
      </w:r>
      <w:r>
        <w:rPr>
          <w:rFonts w:ascii="Arial"/>
          <w:i/>
          <w:sz w:val="20"/>
        </w:rPr>
        <w:t>Kahler v Midland Bank Ltd [1950] A.C. 24</w:t>
      </w:r>
      <w:r>
        <w:rPr>
          <w:sz w:val="20"/>
        </w:rPr>
        <w:t>. For other aspects of illegality, see below, </w:t>
      </w:r>
      <w:r>
        <w:rPr>
          <w:sz w:val="20"/>
        </w:rPr>
        <w:t>paras</w:t>
      </w:r>
      <w:r>
        <w:rPr>
          <w:spacing w:val="80"/>
          <w:sz w:val="20"/>
        </w:rPr>
        <w:t> </w:t>
      </w:r>
      <w:r>
        <w:rPr>
          <w:sz w:val="20"/>
        </w:rPr>
        <w:t>30-357 et seq.</w:t>
      </w:r>
    </w:p>
    <w:p>
      <w:pPr>
        <w:pStyle w:val="BodyText"/>
        <w:spacing w:before="9"/>
      </w:pPr>
    </w:p>
    <w:p>
      <w:pPr>
        <w:spacing w:line="235" w:lineRule="auto" w:before="0"/>
        <w:ind w:left="705" w:right="168" w:hanging="541"/>
        <w:jc w:val="left"/>
        <w:rPr>
          <w:sz w:val="20"/>
        </w:rPr>
      </w:pPr>
      <w:bookmarkStart w:name="_bookmark2172" w:id="2174"/>
      <w:bookmarkEnd w:id="2174"/>
      <w:r>
        <w:rPr/>
      </w:r>
      <w:hyperlink w:history="true" w:anchor="_bookmark2143">
        <w:r>
          <w:rPr>
            <w:color w:val="005DA1"/>
            <w:position w:val="5"/>
            <w:sz w:val="14"/>
            <w:u w:val="single" w:color="005DA1"/>
          </w:rPr>
          <w:t>1135</w:t>
        </w:r>
      </w:hyperlink>
      <w:r>
        <w:rPr>
          <w:position w:val="5"/>
          <w:sz w:val="14"/>
        </w:rPr>
        <w:t>.</w:t>
      </w:r>
      <w:r>
        <w:rPr>
          <w:spacing w:val="80"/>
          <w:w w:val="150"/>
          <w:position w:val="5"/>
          <w:sz w:val="14"/>
        </w:rPr>
        <w:t> </w:t>
      </w:r>
      <w:r>
        <w:rPr>
          <w:sz w:val="20"/>
        </w:rPr>
        <w:t>See </w:t>
      </w:r>
      <w:r>
        <w:rPr>
          <w:rFonts w:ascii="Arial" w:hAnsi="Arial"/>
          <w:i/>
          <w:sz w:val="20"/>
        </w:rPr>
        <w:t>Egon Oldendorff v Libera Corp (No.1) [1995] 2 Lloyd’s Rep. 64</w:t>
      </w:r>
      <w:r>
        <w:rPr>
          <w:sz w:val="20"/>
        </w:rPr>
        <w:t>. See also </w:t>
      </w:r>
      <w:r>
        <w:rPr>
          <w:rFonts w:ascii="Arial" w:hAnsi="Arial"/>
          <w:i/>
          <w:sz w:val="20"/>
        </w:rPr>
        <w:t>Ark Therapeutics Plc v True North Capital Ltd [2005] EWHC 1585 (Comm), [2006] 1 All E.R. (Comm) 138</w:t>
      </w:r>
      <w:r>
        <w:rPr>
          <w:sz w:val="20"/>
        </w:rPr>
        <w:t>.</w:t>
      </w:r>
    </w:p>
    <w:p>
      <w:pPr>
        <w:pStyle w:val="BodyText"/>
        <w:spacing w:before="9"/>
      </w:pPr>
    </w:p>
    <w:p>
      <w:pPr>
        <w:spacing w:line="235" w:lineRule="auto" w:before="0"/>
        <w:ind w:left="705" w:right="168" w:hanging="541"/>
        <w:jc w:val="both"/>
        <w:rPr>
          <w:rFonts w:ascii="Arial" w:hAnsi="Arial"/>
          <w:i/>
          <w:sz w:val="20"/>
        </w:rPr>
      </w:pPr>
      <w:bookmarkStart w:name="_bookmark2173" w:id="2175"/>
      <w:bookmarkEnd w:id="2175"/>
      <w:r>
        <w:rPr/>
      </w:r>
      <w:hyperlink w:history="true" w:anchor="_bookmark2144">
        <w:r>
          <w:rPr>
            <w:color w:val="005DA1"/>
            <w:position w:val="5"/>
            <w:sz w:val="14"/>
            <w:u w:val="single" w:color="005DA1"/>
          </w:rPr>
          <w:t>1136</w:t>
        </w:r>
      </w:hyperlink>
      <w:r>
        <w:rPr>
          <w:position w:val="5"/>
          <w:sz w:val="14"/>
        </w:rPr>
        <w:t>.</w:t>
      </w:r>
      <w:r>
        <w:rPr>
          <w:spacing w:val="80"/>
          <w:w w:val="150"/>
          <w:position w:val="5"/>
          <w:sz w:val="14"/>
        </w:rPr>
        <w:t> </w:t>
      </w:r>
      <w:r>
        <w:rPr>
          <w:rFonts w:ascii="Arial" w:hAnsi="Arial"/>
          <w:i/>
          <w:sz w:val="20"/>
        </w:rPr>
        <w:t>Surzur</w:t>
      </w:r>
      <w:r>
        <w:rPr>
          <w:rFonts w:ascii="Arial" w:hAnsi="Arial"/>
          <w:i/>
          <w:spacing w:val="26"/>
          <w:sz w:val="20"/>
        </w:rPr>
        <w:t> </w:t>
      </w:r>
      <w:r>
        <w:rPr>
          <w:rFonts w:ascii="Arial" w:hAnsi="Arial"/>
          <w:i/>
          <w:sz w:val="20"/>
        </w:rPr>
        <w:t>Overseas</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Ocean</w:t>
      </w:r>
      <w:r>
        <w:rPr>
          <w:rFonts w:ascii="Arial" w:hAnsi="Arial"/>
          <w:i/>
          <w:spacing w:val="26"/>
          <w:sz w:val="20"/>
        </w:rPr>
        <w:t> </w:t>
      </w:r>
      <w:r>
        <w:rPr>
          <w:rFonts w:ascii="Arial" w:hAnsi="Arial"/>
          <w:i/>
          <w:sz w:val="20"/>
        </w:rPr>
        <w:t>Reliance</w:t>
      </w:r>
      <w:r>
        <w:rPr>
          <w:rFonts w:ascii="Arial" w:hAnsi="Arial"/>
          <w:i/>
          <w:spacing w:val="26"/>
          <w:sz w:val="20"/>
        </w:rPr>
        <w:t> </w:t>
      </w:r>
      <w:r>
        <w:rPr>
          <w:rFonts w:ascii="Arial" w:hAnsi="Arial"/>
          <w:i/>
          <w:sz w:val="20"/>
        </w:rPr>
        <w:t>Shipping</w:t>
      </w:r>
      <w:r>
        <w:rPr>
          <w:rFonts w:ascii="Arial" w:hAnsi="Arial"/>
          <w:i/>
          <w:spacing w:val="26"/>
          <w:sz w:val="20"/>
        </w:rPr>
        <w:t> </w:t>
      </w:r>
      <w:r>
        <w:rPr>
          <w:rFonts w:ascii="Arial" w:hAnsi="Arial"/>
          <w:i/>
          <w:sz w:val="20"/>
        </w:rPr>
        <w:t>Co</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[1997]</w:t>
      </w:r>
      <w:r>
        <w:rPr>
          <w:rFonts w:ascii="Arial" w:hAnsi="Arial"/>
          <w:i/>
          <w:spacing w:val="26"/>
          <w:sz w:val="20"/>
        </w:rPr>
        <w:t> </w:t>
      </w:r>
      <w:r>
        <w:rPr>
          <w:rFonts w:ascii="Arial" w:hAnsi="Arial"/>
          <w:i/>
          <w:sz w:val="20"/>
        </w:rPr>
        <w:t>C.L.</w:t>
      </w:r>
      <w:r>
        <w:rPr>
          <w:rFonts w:ascii="Arial" w:hAnsi="Arial"/>
          <w:i/>
          <w:spacing w:val="26"/>
          <w:sz w:val="20"/>
        </w:rPr>
        <w:t> </w:t>
      </w:r>
      <w:r>
        <w:rPr>
          <w:rFonts w:ascii="Arial" w:hAnsi="Arial"/>
          <w:i/>
          <w:sz w:val="20"/>
        </w:rPr>
        <w:t>318</w:t>
      </w:r>
      <w:r>
        <w:rPr>
          <w:sz w:val="20"/>
        </w:rPr>
        <w:t>;</w:t>
      </w:r>
      <w:r>
        <w:rPr>
          <w:spacing w:val="26"/>
          <w:sz w:val="20"/>
        </w:rPr>
        <w:t> </w:t>
      </w:r>
      <w:r>
        <w:rPr>
          <w:rFonts w:ascii="Arial" w:hAnsi="Arial"/>
          <w:i/>
          <w:sz w:val="20"/>
        </w:rPr>
        <w:t>Deepak</w:t>
      </w:r>
      <w:r>
        <w:rPr>
          <w:rFonts w:ascii="Arial" w:hAnsi="Arial"/>
          <w:i/>
          <w:spacing w:val="26"/>
          <w:sz w:val="20"/>
        </w:rPr>
        <w:t> </w:t>
      </w:r>
      <w:r>
        <w:rPr>
          <w:rFonts w:ascii="Arial" w:hAnsi="Arial"/>
          <w:i/>
          <w:sz w:val="20"/>
        </w:rPr>
        <w:t>Fertilisers and Petrochemicals Corp v ICI Chemicals &amp; Polymers Ltd [1998] 2 Lloyd’s Rep. 139 </w:t>
      </w:r>
      <w:r>
        <w:rPr>
          <w:sz w:val="20"/>
        </w:rPr>
        <w:t>reversed</w:t>
      </w:r>
      <w:r>
        <w:rPr>
          <w:spacing w:val="40"/>
          <w:sz w:val="20"/>
        </w:rPr>
        <w:t> </w:t>
      </w:r>
      <w:r>
        <w:rPr>
          <w:sz w:val="20"/>
        </w:rPr>
        <w:t>in part, but not on this point, </w:t>
      </w:r>
      <w:r>
        <w:rPr>
          <w:rFonts w:ascii="Arial" w:hAnsi="Arial"/>
          <w:i/>
          <w:sz w:val="20"/>
        </w:rPr>
        <w:t>[1999] 1 Lloyd’s Rep. 387 CA</w:t>
      </w:r>
      <w:r>
        <w:rPr>
          <w:sz w:val="20"/>
        </w:rPr>
        <w:t>; </w:t>
      </w:r>
      <w:r>
        <w:rPr>
          <w:rFonts w:ascii="Arial" w:hAnsi="Arial"/>
          <w:i/>
          <w:sz w:val="20"/>
        </w:rPr>
        <w:t>Ocean Chemical Transport Inc v Exnor Craggs Ltd [2000] 1 All E.R. (Comm) 519</w:t>
      </w:r>
      <w:r>
        <w:rPr>
          <w:sz w:val="20"/>
        </w:rPr>
        <w:t>; </w:t>
      </w:r>
      <w:r>
        <w:rPr>
          <w:rFonts w:ascii="Arial" w:hAnsi="Arial"/>
          <w:i/>
          <w:sz w:val="20"/>
        </w:rPr>
        <w:t>Amiri Flight Authority v BAE Systems Plc [2002]</w:t>
      </w:r>
      <w:r>
        <w:rPr>
          <w:rFonts w:ascii="Arial" w:hAnsi="Arial"/>
          <w:i/>
          <w:spacing w:val="3"/>
          <w:sz w:val="20"/>
        </w:rPr>
        <w:t> </w:t>
      </w:r>
      <w:r>
        <w:rPr>
          <w:rFonts w:ascii="Arial" w:hAnsi="Arial"/>
          <w:i/>
          <w:sz w:val="20"/>
        </w:rPr>
        <w:t>EWHC</w:t>
      </w:r>
      <w:r>
        <w:rPr>
          <w:rFonts w:ascii="Arial" w:hAnsi="Arial"/>
          <w:i/>
          <w:spacing w:val="4"/>
          <w:sz w:val="20"/>
        </w:rPr>
        <w:t> </w:t>
      </w:r>
      <w:r>
        <w:rPr>
          <w:rFonts w:ascii="Arial" w:hAnsi="Arial"/>
          <w:i/>
          <w:sz w:val="20"/>
        </w:rPr>
        <w:t>2481</w:t>
      </w:r>
      <w:r>
        <w:rPr>
          <w:rFonts w:ascii="Arial" w:hAnsi="Arial"/>
          <w:i/>
          <w:spacing w:val="4"/>
          <w:sz w:val="20"/>
        </w:rPr>
        <w:t> </w:t>
      </w:r>
      <w:r>
        <w:rPr>
          <w:rFonts w:ascii="Arial" w:hAnsi="Arial"/>
          <w:i/>
          <w:sz w:val="20"/>
        </w:rPr>
        <w:t>(Comm),</w:t>
      </w:r>
      <w:r>
        <w:rPr>
          <w:rFonts w:ascii="Arial" w:hAnsi="Arial"/>
          <w:i/>
          <w:spacing w:val="4"/>
          <w:sz w:val="20"/>
        </w:rPr>
        <w:t> </w:t>
      </w:r>
      <w:r>
        <w:rPr>
          <w:rFonts w:ascii="Arial" w:hAnsi="Arial"/>
          <w:i/>
          <w:sz w:val="20"/>
        </w:rPr>
        <w:t>[2003]</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All</w:t>
      </w:r>
      <w:r>
        <w:rPr>
          <w:rFonts w:ascii="Arial" w:hAnsi="Arial"/>
          <w:i/>
          <w:spacing w:val="4"/>
          <w:sz w:val="20"/>
        </w:rPr>
        <w:t> </w:t>
      </w:r>
      <w:r>
        <w:rPr>
          <w:rFonts w:ascii="Arial" w:hAnsi="Arial"/>
          <w:i/>
          <w:sz w:val="20"/>
        </w:rPr>
        <w:t>E.R.</w:t>
      </w:r>
      <w:r>
        <w:rPr>
          <w:rFonts w:ascii="Arial" w:hAnsi="Arial"/>
          <w:i/>
          <w:spacing w:val="4"/>
          <w:sz w:val="20"/>
        </w:rPr>
        <w:t> </w:t>
      </w:r>
      <w:r>
        <w:rPr>
          <w:rFonts w:ascii="Arial" w:hAnsi="Arial"/>
          <w:i/>
          <w:sz w:val="20"/>
        </w:rPr>
        <w:t>(Comm)</w:t>
      </w:r>
      <w:r>
        <w:rPr>
          <w:rFonts w:ascii="Arial" w:hAnsi="Arial"/>
          <w:i/>
          <w:spacing w:val="4"/>
          <w:sz w:val="20"/>
        </w:rPr>
        <w:t> </w:t>
      </w:r>
      <w:r>
        <w:rPr>
          <w:rFonts w:ascii="Arial" w:hAnsi="Arial"/>
          <w:i/>
          <w:sz w:val="20"/>
        </w:rPr>
        <w:t>1</w:t>
      </w:r>
      <w:r>
        <w:rPr>
          <w:sz w:val="20"/>
        </w:rPr>
        <w:t>;</w:t>
      </w:r>
      <w:r>
        <w:rPr>
          <w:spacing w:val="4"/>
          <w:sz w:val="20"/>
        </w:rPr>
        <w:t> </w:t>
      </w:r>
      <w:r>
        <w:rPr>
          <w:rFonts w:ascii="Arial" w:hAnsi="Arial"/>
          <w:i/>
          <w:sz w:val="20"/>
        </w:rPr>
        <w:t>Trident</w:t>
      </w:r>
      <w:r>
        <w:rPr>
          <w:rFonts w:ascii="Arial" w:hAnsi="Arial"/>
          <w:i/>
          <w:spacing w:val="4"/>
          <w:sz w:val="20"/>
        </w:rPr>
        <w:t> </w:t>
      </w:r>
      <w:r>
        <w:rPr>
          <w:rFonts w:ascii="Arial" w:hAnsi="Arial"/>
          <w:i/>
          <w:sz w:val="20"/>
        </w:rPr>
        <w:t>Turboprop</w:t>
      </w:r>
      <w:r>
        <w:rPr>
          <w:rFonts w:ascii="Arial" w:hAnsi="Arial"/>
          <w:i/>
          <w:spacing w:val="4"/>
          <w:sz w:val="20"/>
        </w:rPr>
        <w:t> </w:t>
      </w:r>
      <w:r>
        <w:rPr>
          <w:rFonts w:ascii="Arial" w:hAnsi="Arial"/>
          <w:i/>
          <w:sz w:val="20"/>
        </w:rPr>
        <w:t>(Dublin)</w:t>
      </w:r>
      <w:r>
        <w:rPr>
          <w:rFonts w:ascii="Arial" w:hAnsi="Arial"/>
          <w:i/>
          <w:spacing w:val="4"/>
          <w:sz w:val="20"/>
        </w:rPr>
        <w:t> </w:t>
      </w:r>
      <w:r>
        <w:rPr>
          <w:rFonts w:ascii="Arial" w:hAnsi="Arial"/>
          <w:i/>
          <w:sz w:val="20"/>
        </w:rPr>
        <w:t>Ltd</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pacing w:val="-2"/>
          <w:sz w:val="20"/>
        </w:rPr>
        <w:t>First</w:t>
      </w:r>
    </w:p>
    <w:p>
      <w:pPr>
        <w:spacing w:line="235" w:lineRule="auto" w:before="0"/>
        <w:ind w:left="705" w:right="168" w:firstLine="0"/>
        <w:jc w:val="both"/>
        <w:rPr>
          <w:rFonts w:ascii="Arial" w:hAnsi="Arial"/>
          <w:i/>
          <w:sz w:val="20"/>
        </w:rPr>
      </w:pPr>
      <w:r>
        <w:rPr>
          <w:rFonts w:ascii="Arial" w:hAnsi="Arial"/>
          <w:i/>
          <w:sz w:val="20"/>
        </w:rPr>
        <w:t>Flight Couriers Ltd [2009] EWCA Civ 290, [2009] 1 Lloyd’s Rep. 702</w:t>
      </w:r>
      <w:r>
        <w:rPr>
          <w:sz w:val="20"/>
        </w:rPr>
        <w:t>; and see </w:t>
      </w:r>
      <w:r>
        <w:rPr>
          <w:rFonts w:ascii="Arial" w:hAnsi="Arial"/>
          <w:i/>
          <w:sz w:val="20"/>
        </w:rPr>
        <w:t>Air Transworld</w:t>
      </w:r>
      <w:r>
        <w:rPr>
          <w:rFonts w:ascii="Arial" w:hAnsi="Arial"/>
          <w:i/>
          <w:spacing w:val="40"/>
          <w:sz w:val="20"/>
        </w:rPr>
        <w:t> </w:t>
      </w:r>
      <w:r>
        <w:rPr>
          <w:rFonts w:ascii="Arial" w:hAnsi="Arial"/>
          <w:i/>
          <w:sz w:val="20"/>
        </w:rPr>
        <w:t>Ltd v Bombardier Inc [2012] EWHC 243 (Comm)</w:t>
      </w:r>
      <w:r>
        <w:rPr>
          <w:sz w:val="20"/>
        </w:rPr>
        <w:t>. cf. </w:t>
      </w:r>
      <w:r>
        <w:rPr>
          <w:rFonts w:ascii="Arial" w:hAnsi="Arial"/>
          <w:i/>
          <w:sz w:val="20"/>
        </w:rPr>
        <w:t>P. &amp; O. Steam Navigation Co v Shand (1865)</w:t>
      </w:r>
      <w:r>
        <w:rPr>
          <w:rFonts w:ascii="Arial" w:hAnsi="Arial"/>
          <w:i/>
          <w:spacing w:val="24"/>
          <w:sz w:val="20"/>
        </w:rPr>
        <w:t> </w:t>
      </w:r>
      <w:r>
        <w:rPr>
          <w:rFonts w:ascii="Arial" w:hAnsi="Arial"/>
          <w:i/>
          <w:sz w:val="20"/>
        </w:rPr>
        <w:t>3</w:t>
      </w:r>
      <w:r>
        <w:rPr>
          <w:rFonts w:ascii="Arial" w:hAnsi="Arial"/>
          <w:i/>
          <w:spacing w:val="27"/>
          <w:sz w:val="20"/>
        </w:rPr>
        <w:t> </w:t>
      </w:r>
      <w:r>
        <w:rPr>
          <w:rFonts w:ascii="Arial" w:hAnsi="Arial"/>
          <w:i/>
          <w:sz w:val="20"/>
        </w:rPr>
        <w:t>Moo.</w:t>
      </w:r>
      <w:r>
        <w:rPr>
          <w:rFonts w:ascii="Arial" w:hAnsi="Arial"/>
          <w:i/>
          <w:spacing w:val="27"/>
          <w:sz w:val="20"/>
        </w:rPr>
        <w:t> </w:t>
      </w:r>
      <w:r>
        <w:rPr>
          <w:rFonts w:ascii="Arial" w:hAnsi="Arial"/>
          <w:i/>
          <w:sz w:val="20"/>
        </w:rPr>
        <w:t>P.C.(N.S.)</w:t>
      </w:r>
      <w:r>
        <w:rPr>
          <w:rFonts w:ascii="Arial" w:hAnsi="Arial"/>
          <w:i/>
          <w:spacing w:val="27"/>
          <w:sz w:val="20"/>
        </w:rPr>
        <w:t> </w:t>
      </w:r>
      <w:r>
        <w:rPr>
          <w:rFonts w:ascii="Arial" w:hAnsi="Arial"/>
          <w:i/>
          <w:sz w:val="20"/>
        </w:rPr>
        <w:t>272</w:t>
      </w:r>
      <w:r>
        <w:rPr>
          <w:sz w:val="20"/>
        </w:rPr>
        <w:t>;</w:t>
      </w:r>
      <w:r>
        <w:rPr>
          <w:spacing w:val="27"/>
          <w:sz w:val="20"/>
        </w:rPr>
        <w:t> </w:t>
      </w:r>
      <w:r>
        <w:rPr>
          <w:rFonts w:ascii="Arial" w:hAnsi="Arial"/>
          <w:i/>
          <w:sz w:val="20"/>
        </w:rPr>
        <w:t>Re</w:t>
      </w:r>
      <w:r>
        <w:rPr>
          <w:rFonts w:ascii="Arial" w:hAnsi="Arial"/>
          <w:i/>
          <w:spacing w:val="27"/>
          <w:sz w:val="20"/>
        </w:rPr>
        <w:t> </w:t>
      </w:r>
      <w:r>
        <w:rPr>
          <w:rFonts w:ascii="Arial" w:hAnsi="Arial"/>
          <w:i/>
          <w:sz w:val="20"/>
        </w:rPr>
        <w:t>Missouri</w:t>
      </w:r>
      <w:r>
        <w:rPr>
          <w:rFonts w:ascii="Arial" w:hAnsi="Arial"/>
          <w:i/>
          <w:spacing w:val="27"/>
          <w:sz w:val="20"/>
        </w:rPr>
        <w:t> </w:t>
      </w:r>
      <w:r>
        <w:rPr>
          <w:rFonts w:ascii="Arial" w:hAnsi="Arial"/>
          <w:i/>
          <w:sz w:val="20"/>
        </w:rPr>
        <w:t>S.S.</w:t>
      </w:r>
      <w:r>
        <w:rPr>
          <w:rFonts w:ascii="Arial" w:hAnsi="Arial"/>
          <w:i/>
          <w:spacing w:val="27"/>
          <w:sz w:val="20"/>
        </w:rPr>
        <w:t> </w:t>
      </w:r>
      <w:r>
        <w:rPr>
          <w:rFonts w:ascii="Arial" w:hAnsi="Arial"/>
          <w:i/>
          <w:sz w:val="20"/>
        </w:rPr>
        <w:t>Co</w:t>
      </w:r>
      <w:r>
        <w:rPr>
          <w:rFonts w:ascii="Arial" w:hAnsi="Arial"/>
          <w:i/>
          <w:spacing w:val="26"/>
          <w:sz w:val="20"/>
        </w:rPr>
        <w:t> </w:t>
      </w:r>
      <w:r>
        <w:rPr>
          <w:rFonts w:ascii="Arial" w:hAnsi="Arial"/>
          <w:i/>
          <w:sz w:val="20"/>
        </w:rPr>
        <w:t>(1889)</w:t>
      </w:r>
      <w:r>
        <w:rPr>
          <w:rFonts w:ascii="Arial" w:hAnsi="Arial"/>
          <w:i/>
          <w:spacing w:val="27"/>
          <w:sz w:val="20"/>
        </w:rPr>
        <w:t> </w:t>
      </w:r>
      <w:r>
        <w:rPr>
          <w:rFonts w:ascii="Arial" w:hAnsi="Arial"/>
          <w:i/>
          <w:sz w:val="20"/>
        </w:rPr>
        <w:t>42</w:t>
      </w:r>
      <w:r>
        <w:rPr>
          <w:rFonts w:ascii="Arial" w:hAnsi="Arial"/>
          <w:i/>
          <w:spacing w:val="27"/>
          <w:sz w:val="20"/>
        </w:rPr>
        <w:t> </w:t>
      </w:r>
      <w:r>
        <w:rPr>
          <w:rFonts w:ascii="Arial" w:hAnsi="Arial"/>
          <w:i/>
          <w:sz w:val="20"/>
        </w:rPr>
        <w:t>Ch.</w:t>
      </w:r>
      <w:r>
        <w:rPr>
          <w:rFonts w:ascii="Arial" w:hAnsi="Arial"/>
          <w:i/>
          <w:spacing w:val="27"/>
          <w:sz w:val="20"/>
        </w:rPr>
        <w:t> </w:t>
      </w:r>
      <w:r>
        <w:rPr>
          <w:rFonts w:ascii="Arial" w:hAnsi="Arial"/>
          <w:i/>
          <w:sz w:val="20"/>
        </w:rPr>
        <w:t>D.</w:t>
      </w:r>
      <w:r>
        <w:rPr>
          <w:rFonts w:ascii="Arial" w:hAnsi="Arial"/>
          <w:i/>
          <w:spacing w:val="27"/>
          <w:sz w:val="20"/>
        </w:rPr>
        <w:t> </w:t>
      </w:r>
      <w:r>
        <w:rPr>
          <w:rFonts w:ascii="Arial" w:hAnsi="Arial"/>
          <w:i/>
          <w:sz w:val="20"/>
        </w:rPr>
        <w:t>321</w:t>
      </w:r>
      <w:r>
        <w:rPr>
          <w:sz w:val="20"/>
        </w:rPr>
        <w:t>;</w:t>
      </w:r>
      <w:r>
        <w:rPr>
          <w:spacing w:val="27"/>
          <w:sz w:val="20"/>
        </w:rPr>
        <w:t> </w:t>
      </w:r>
      <w:r>
        <w:rPr>
          <w:rFonts w:ascii="Arial" w:hAnsi="Arial"/>
          <w:i/>
          <w:sz w:val="20"/>
        </w:rPr>
        <w:t>Jones</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pacing w:val="-2"/>
          <w:sz w:val="20"/>
        </w:rPr>
        <w:t>Oceanic</w:t>
      </w:r>
    </w:p>
    <w:p>
      <w:pPr>
        <w:spacing w:line="235" w:lineRule="auto" w:before="0"/>
        <w:ind w:left="705" w:right="168" w:firstLine="0"/>
        <w:jc w:val="both"/>
        <w:rPr>
          <w:sz w:val="20"/>
        </w:rPr>
      </w:pPr>
      <w:r>
        <w:rPr>
          <w:rFonts w:ascii="Arial"/>
          <w:i/>
          <w:sz w:val="20"/>
        </w:rPr>
        <w:t>Steam Navigation Co [1924] 2 K.B. 730</w:t>
      </w:r>
      <w:r>
        <w:rPr>
          <w:sz w:val="20"/>
        </w:rPr>
        <w:t>; </w:t>
      </w:r>
      <w:r>
        <w:rPr>
          <w:rFonts w:ascii="Arial"/>
          <w:i/>
          <w:sz w:val="20"/>
        </w:rPr>
        <w:t>Sayers v International Drilling Co NV [1971] 1 </w:t>
      </w:r>
      <w:r>
        <w:rPr>
          <w:rFonts w:ascii="Arial"/>
          <w:i/>
          <w:sz w:val="20"/>
        </w:rPr>
        <w:t>W.L.R. 1176</w:t>
      </w:r>
      <w:r>
        <w:rPr>
          <w:sz w:val="20"/>
        </w:rPr>
        <w:t>; </w:t>
      </w:r>
      <w:r>
        <w:rPr>
          <w:rFonts w:ascii="Arial"/>
          <w:i/>
          <w:sz w:val="20"/>
        </w:rPr>
        <w:t>Coast Lines Ltd v Hudig &amp; Veder Chartering NV [1972] 2 Q.B. 34</w:t>
      </w:r>
      <w:r>
        <w:rPr>
          <w:sz w:val="20"/>
        </w:rPr>
        <w:t>; </w:t>
      </w:r>
      <w:r>
        <w:rPr>
          <w:rFonts w:ascii="Arial"/>
          <w:i/>
          <w:sz w:val="20"/>
        </w:rPr>
        <w:t>Coupland v Arabian Gulf Oil Co [1983] 1 W.L.R. 1136 </w:t>
      </w:r>
      <w:r>
        <w:rPr>
          <w:sz w:val="20"/>
        </w:rPr>
        <w:t>(affirmed </w:t>
      </w:r>
      <w:r>
        <w:rPr>
          <w:rFonts w:ascii="Arial"/>
          <w:i/>
          <w:sz w:val="20"/>
        </w:rPr>
        <w:t>[1983] 1 W.L.R. 1153</w:t>
      </w:r>
      <w:r>
        <w:rPr>
          <w:sz w:val="20"/>
        </w:rPr>
        <w:t>).</w:t>
      </w:r>
    </w:p>
    <w:p>
      <w:pPr>
        <w:pStyle w:val="BodyText"/>
        <w:spacing w:before="2"/>
      </w:pPr>
    </w:p>
    <w:p>
      <w:pPr>
        <w:pStyle w:val="BodyText"/>
        <w:ind w:left="165"/>
      </w:pPr>
      <w:bookmarkStart w:name="_bookmark2174" w:id="2176"/>
      <w:bookmarkEnd w:id="2176"/>
      <w:r>
        <w:rPr/>
      </w:r>
      <w:hyperlink w:history="true" w:anchor="_bookmark2145">
        <w:r>
          <w:rPr>
            <w:color w:val="005DA1"/>
            <w:position w:val="5"/>
            <w:sz w:val="14"/>
            <w:u w:val="single" w:color="005DA1"/>
          </w:rPr>
          <w:t>1137</w:t>
        </w:r>
      </w:hyperlink>
      <w:r>
        <w:rPr>
          <w:position w:val="5"/>
          <w:sz w:val="14"/>
        </w:rPr>
        <w:t>.</w:t>
      </w:r>
      <w:r>
        <w:rPr>
          <w:spacing w:val="55"/>
          <w:position w:val="5"/>
          <w:sz w:val="14"/>
        </w:rPr>
        <w:t>  </w:t>
      </w:r>
      <w:r>
        <w:rPr/>
        <w:t>See</w:t>
      </w:r>
      <w:r>
        <w:rPr>
          <w:spacing w:val="1"/>
        </w:rPr>
        <w:t> </w:t>
      </w:r>
      <w:r>
        <w:rPr/>
        <w:t>the 26th edition of this work, </w:t>
      </w:r>
      <w:r>
        <w:rPr>
          <w:spacing w:val="-2"/>
        </w:rPr>
        <w:t>para.2183.</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5. - Scope of the Applicable </w:t>
      </w:r>
      <w:r>
        <w:rPr>
          <w:rFonts w:ascii="Arial"/>
          <w:b/>
          <w:spacing w:val="-5"/>
          <w:sz w:val="24"/>
        </w:rPr>
        <w:t>Law</w:t>
      </w:r>
    </w:p>
    <w:p>
      <w:pPr>
        <w:spacing w:before="194"/>
        <w:ind w:left="2498" w:right="0" w:firstLine="0"/>
        <w:jc w:val="left"/>
        <w:rPr>
          <w:rFonts w:ascii="Arial"/>
          <w:b/>
          <w:position w:val="11"/>
          <w:sz w:val="12"/>
        </w:rPr>
      </w:pPr>
      <w:bookmarkStart w:name="_bookmark2175" w:id="2177"/>
      <w:bookmarkEnd w:id="2177"/>
      <w:r>
        <w:rPr/>
      </w:r>
      <w:r>
        <w:rPr>
          <w:rFonts w:ascii="Arial"/>
          <w:b/>
          <w:sz w:val="24"/>
        </w:rPr>
        <w:t>(b) - Formal Validity of the Contract </w:t>
      </w:r>
      <w:r>
        <w:rPr>
          <w:rFonts w:ascii="Arial"/>
          <w:b/>
          <w:color w:val="005DA1"/>
          <w:spacing w:val="-4"/>
          <w:position w:val="11"/>
          <w:sz w:val="12"/>
          <w:u w:val="single" w:color="005DA1"/>
        </w:rPr>
        <w:t>1138</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2"/>
        <w:rPr>
          <w:rFonts w:ascii="Arial"/>
          <w:b/>
          <w:sz w:val="18"/>
        </w:rPr>
      </w:pPr>
    </w:p>
    <w:p>
      <w:pPr>
        <w:pStyle w:val="Heading2"/>
      </w:pPr>
      <w:r>
        <w:rPr/>
        <w:t>30-</w:t>
      </w:r>
      <w:r>
        <w:rPr>
          <w:spacing w:val="-5"/>
        </w:rPr>
        <w:t>311</w:t>
      </w:r>
    </w:p>
    <w:p>
      <w:pPr>
        <w:pStyle w:val="BodyText"/>
        <w:spacing w:line="235" w:lineRule="auto" w:before="202"/>
        <w:ind w:left="164" w:right="167"/>
        <w:jc w:val="both"/>
      </w:pPr>
      <w:bookmarkStart w:name="_bookmark2176" w:id="2178"/>
      <w:bookmarkEnd w:id="2178"/>
      <w:r>
        <w:rPr/>
      </w:r>
      <w:bookmarkStart w:name="_bookmark2177" w:id="2179"/>
      <w:bookmarkEnd w:id="2179"/>
      <w:r>
        <w:rPr/>
      </w:r>
      <w:r>
        <w:rPr/>
        <w:t>The position which ultimately came to be accepted at common law </w:t>
      </w:r>
      <w:r>
        <w:rPr>
          <w:color w:val="005DA1"/>
          <w:u w:val="single" w:color="005DA1"/>
          <w:vertAlign w:val="superscript"/>
        </w:rPr>
        <w:t>1139</w:t>
      </w:r>
      <w:r>
        <w:rPr>
          <w:color w:val="005DA1"/>
          <w:vertAlign w:val="baseline"/>
        </w:rPr>
        <w:t> </w:t>
      </w:r>
      <w:r>
        <w:rPr>
          <w:vertAlign w:val="baseline"/>
        </w:rPr>
        <w:t>was that a contract was </w:t>
      </w:r>
      <w:bookmarkStart w:name="_bookmark2178" w:id="2180"/>
      <w:bookmarkEnd w:id="2180"/>
      <w:r>
        <w:rPr>
          <w:vertAlign w:val="baseline"/>
        </w:rPr>
        <w:t>formally</w:t>
      </w:r>
      <w:r>
        <w:rPr>
          <w:vertAlign w:val="baseline"/>
        </w:rPr>
        <w:t> valid if it complied with the formal requirements of either the law applicable to the contract, </w:t>
      </w:r>
      <w:r>
        <w:rPr>
          <w:color w:val="005DA1"/>
          <w:u w:val="single" w:color="005DA1"/>
          <w:vertAlign w:val="superscript"/>
        </w:rPr>
        <w:t>1140</w:t>
      </w:r>
      <w:r>
        <w:rPr>
          <w:color w:val="005DA1"/>
          <w:vertAlign w:val="baseline"/>
        </w:rPr>
        <w:t> </w:t>
      </w:r>
      <w:bookmarkStart w:name="_bookmark2179" w:id="2181"/>
      <w:bookmarkEnd w:id="2181"/>
      <w:r>
        <w:rPr>
          <w:color w:val="005DA1"/>
          <w:spacing w:val="-17"/>
          <w:vertAlign w:val="baseline"/>
        </w:rPr>
      </w:r>
      <w:r>
        <w:rPr>
          <w:vertAlign w:val="baseline"/>
        </w:rPr>
        <w:t>or the law of the place where the contract was made. </w:t>
      </w:r>
      <w:r>
        <w:rPr>
          <w:color w:val="005DA1"/>
          <w:u w:val="single" w:color="005DA1"/>
          <w:vertAlign w:val="superscript"/>
        </w:rPr>
        <w:t>1141</w:t>
      </w:r>
      <w:r>
        <w:rPr>
          <w:color w:val="005DA1"/>
          <w:vertAlign w:val="baseline"/>
        </w:rPr>
        <w:t> </w:t>
      </w:r>
      <w:r>
        <w:rPr>
          <w:vertAlign w:val="baseline"/>
        </w:rPr>
        <w:t>Article 9 of the Rome Convention </w:t>
      </w:r>
      <w:bookmarkStart w:name="_bookmark2180" w:id="2182"/>
      <w:bookmarkEnd w:id="2182"/>
      <w:r>
        <w:rPr>
          <w:vertAlign w:val="baseline"/>
        </w:rPr>
        <w:t>expresses</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principle</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general</w:t>
      </w:r>
      <w:r>
        <w:rPr>
          <w:spacing w:val="-2"/>
          <w:vertAlign w:val="baseline"/>
        </w:rPr>
        <w:t> </w:t>
      </w:r>
      <w:r>
        <w:rPr>
          <w:vertAlign w:val="baseline"/>
        </w:rPr>
        <w:t>rule</w:t>
      </w:r>
      <w:r>
        <w:rPr>
          <w:spacing w:val="-2"/>
          <w:vertAlign w:val="baseline"/>
        </w:rPr>
        <w:t> </w:t>
      </w:r>
      <w:r>
        <w:rPr>
          <w:vertAlign w:val="baseline"/>
        </w:rPr>
        <w:t>for</w:t>
      </w:r>
      <w:r>
        <w:rPr>
          <w:spacing w:val="-2"/>
          <w:vertAlign w:val="baseline"/>
        </w:rPr>
        <w:t> </w:t>
      </w:r>
      <w:r>
        <w:rPr>
          <w:vertAlign w:val="baseline"/>
        </w:rPr>
        <w:t>formal</w:t>
      </w:r>
      <w:r>
        <w:rPr>
          <w:spacing w:val="-2"/>
          <w:vertAlign w:val="baseline"/>
        </w:rPr>
        <w:t> </w:t>
      </w:r>
      <w:r>
        <w:rPr>
          <w:vertAlign w:val="baseline"/>
        </w:rPr>
        <w:t>validity.</w:t>
      </w:r>
      <w:r>
        <w:rPr>
          <w:spacing w:val="-3"/>
          <w:vertAlign w:val="baseline"/>
        </w:rPr>
        <w:t> </w:t>
      </w:r>
      <w:r>
        <w:rPr>
          <w:color w:val="005DA1"/>
          <w:u w:val="single" w:color="005DA1"/>
          <w:vertAlign w:val="superscript"/>
        </w:rPr>
        <w:t>1142</w:t>
      </w:r>
      <w:r>
        <w:rPr>
          <w:color w:val="005DA1"/>
          <w:spacing w:val="-2"/>
          <w:vertAlign w:val="baseline"/>
        </w:rPr>
        <w:t> </w:t>
      </w:r>
      <w:r>
        <w:rPr>
          <w:vertAlign w:val="baseline"/>
        </w:rPr>
        <w:t>The</w:t>
      </w:r>
      <w:r>
        <w:rPr>
          <w:spacing w:val="-2"/>
          <w:vertAlign w:val="baseline"/>
        </w:rPr>
        <w:t> </w:t>
      </w:r>
      <w:r>
        <w:rPr>
          <w:vertAlign w:val="baseline"/>
        </w:rPr>
        <w:t>Article</w:t>
      </w:r>
      <w:r>
        <w:rPr>
          <w:spacing w:val="-2"/>
          <w:vertAlign w:val="baseline"/>
        </w:rPr>
        <w:t> </w:t>
      </w:r>
      <w:r>
        <w:rPr>
          <w:vertAlign w:val="baseline"/>
        </w:rPr>
        <w:t>contains,</w:t>
      </w:r>
      <w:r>
        <w:rPr>
          <w:spacing w:val="-2"/>
          <w:vertAlign w:val="baseline"/>
        </w:rPr>
        <w:t> </w:t>
      </w:r>
      <w:r>
        <w:rPr>
          <w:vertAlign w:val="baseline"/>
        </w:rPr>
        <w:t>however, </w:t>
      </w:r>
      <w:bookmarkStart w:name="_bookmark2181" w:id="2183"/>
      <w:bookmarkEnd w:id="2183"/>
      <w:r>
        <w:rPr>
          <w:vertAlign w:val="baseline"/>
        </w:rPr>
        <w:t>special</w:t>
      </w:r>
      <w:r>
        <w:rPr>
          <w:vertAlign w:val="baseline"/>
        </w:rPr>
        <w:t> rules concerning the formal validity of consumer contracts,</w:t>
      </w:r>
      <w:r>
        <w:rPr>
          <w:spacing w:val="-1"/>
          <w:vertAlign w:val="baseline"/>
        </w:rPr>
        <w:t> </w:t>
      </w:r>
      <w:r>
        <w:rPr>
          <w:color w:val="005DA1"/>
          <w:u w:val="single" w:color="005DA1"/>
          <w:vertAlign w:val="superscript"/>
        </w:rPr>
        <w:t>1143</w:t>
      </w:r>
      <w:r>
        <w:rPr>
          <w:color w:val="005DA1"/>
          <w:vertAlign w:val="baseline"/>
        </w:rPr>
        <w:t> </w:t>
      </w:r>
      <w:r>
        <w:rPr>
          <w:vertAlign w:val="baseline"/>
        </w:rPr>
        <w:t>certain contracts with regard to </w:t>
      </w:r>
      <w:bookmarkStart w:name="_bookmark2182" w:id="2184"/>
      <w:bookmarkEnd w:id="2184"/>
      <w:r>
        <w:rPr>
          <w:vertAlign w:val="baseline"/>
        </w:rPr>
        <w:t>immovables</w:t>
      </w:r>
      <w:r>
        <w:rPr>
          <w:vertAlign w:val="baseline"/>
        </w:rPr>
        <w:t> </w:t>
      </w:r>
      <w:r>
        <w:rPr>
          <w:color w:val="005DA1"/>
          <w:u w:val="single" w:color="005DA1"/>
          <w:vertAlign w:val="superscript"/>
        </w:rPr>
        <w:t>1144</w:t>
      </w:r>
      <w:r>
        <w:rPr>
          <w:color w:val="005DA1"/>
          <w:vertAlign w:val="baseline"/>
        </w:rPr>
        <w:t> </w:t>
      </w:r>
      <w:r>
        <w:rPr>
          <w:vertAlign w:val="baseline"/>
        </w:rPr>
        <w:t>and the formal validity of acts intended to have legal effect relating to an existing or contemplated contract. </w:t>
      </w:r>
      <w:r>
        <w:rPr>
          <w:color w:val="005DA1"/>
          <w:u w:val="single" w:color="005DA1"/>
          <w:vertAlign w:val="superscript"/>
        </w:rPr>
        <w:t>1145</w:t>
      </w:r>
      <w:r>
        <w:rPr>
          <w:color w:val="005DA1"/>
          <w:vertAlign w:val="baseline"/>
        </w:rPr>
        <w:t> </w:t>
      </w:r>
      <w:r>
        <w:rPr>
          <w:vertAlign w:val="baseline"/>
        </w:rPr>
        <w:t>Article 11 of the Rome I Regulation is based on the same principles but because it is drafted in different language and contains additional principles, it is necessary to separate the discussion of this issue as between the two instruments. By way of prelude to that discussion, it is necessary to discuss an issue which is common to both instruments (and which, it is thought, will be dealt with in the same way in relation to each of them), namely, the meaning of the expression “formal validity”.</w:t>
      </w:r>
    </w:p>
    <w:p>
      <w:pPr>
        <w:pStyle w:val="BodyText"/>
      </w:pPr>
    </w:p>
    <w:p>
      <w:pPr>
        <w:pStyle w:val="BodyText"/>
        <w:spacing w:before="34"/>
      </w:pPr>
    </w:p>
    <w:p>
      <w:pPr>
        <w:spacing w:before="0"/>
        <w:ind w:left="165" w:right="0" w:firstLine="0"/>
        <w:jc w:val="left"/>
        <w:rPr>
          <w:rFonts w:ascii="Arial"/>
          <w:b/>
          <w:sz w:val="18"/>
        </w:rPr>
      </w:pPr>
      <w:r>
        <w:rPr>
          <w:rFonts w:ascii="Arial"/>
          <w:b/>
          <w:sz w:val="18"/>
        </w:rPr>
        <w:t>Meaning of formal </w:t>
      </w:r>
      <w:r>
        <w:rPr>
          <w:rFonts w:ascii="Arial"/>
          <w:b/>
          <w:spacing w:val="-2"/>
          <w:sz w:val="18"/>
        </w:rPr>
        <w:t>validity</w:t>
      </w:r>
    </w:p>
    <w:p>
      <w:pPr>
        <w:pStyle w:val="BodyText"/>
        <w:spacing w:before="42"/>
        <w:rPr>
          <w:rFonts w:ascii="Arial"/>
          <w:b/>
          <w:sz w:val="18"/>
        </w:rPr>
      </w:pPr>
    </w:p>
    <w:p>
      <w:pPr>
        <w:pStyle w:val="Heading2"/>
      </w:pPr>
      <w:r>
        <w:rPr/>
        <w:t>30-</w:t>
      </w:r>
      <w:r>
        <w:rPr>
          <w:spacing w:val="-5"/>
        </w:rPr>
        <w:t>312</w:t>
      </w:r>
    </w:p>
    <w:p>
      <w:pPr>
        <w:pStyle w:val="BodyText"/>
        <w:spacing w:line="235" w:lineRule="auto" w:before="202"/>
        <w:ind w:left="165" w:right="167"/>
        <w:jc w:val="both"/>
      </w:pPr>
      <w:r>
        <w:rPr/>
        <w:t>A difficulty which obtained in the common law and one which persists under the Rome Convention and the Rome I Regulation concerns the requirements which are properly to be characterised </w:t>
      </w:r>
      <w:r>
        <w:rPr/>
        <w:t>as affecting formal validity. English common law had relatively few formal requirements and there was </w:t>
      </w:r>
      <w:bookmarkStart w:name="_bookmark2183" w:id="2185"/>
      <w:bookmarkEnd w:id="2185"/>
      <w:r>
        <w:rPr/>
        <w:t>also</w:t>
      </w:r>
      <w:r>
        <w:rPr/>
        <w:t> a tendency to regard requirements which appeared, at first sight, to be formal, as questions of </w:t>
      </w:r>
      <w:bookmarkStart w:name="_bookmark2184" w:id="2186"/>
      <w:bookmarkEnd w:id="2186"/>
      <w:r>
        <w:rPr/>
        <w:t>procedure</w:t>
      </w:r>
      <w:r>
        <w:rPr/>
        <w:t> to be governed by the lex fori, </w:t>
      </w:r>
      <w:r>
        <w:rPr>
          <w:color w:val="005DA1"/>
          <w:u w:val="single" w:color="005DA1"/>
          <w:vertAlign w:val="superscript"/>
        </w:rPr>
        <w:t>1146</w:t>
      </w:r>
      <w:r>
        <w:rPr>
          <w:color w:val="005DA1"/>
          <w:vertAlign w:val="baseline"/>
        </w:rPr>
        <w:t> </w:t>
      </w:r>
      <w:r>
        <w:rPr>
          <w:vertAlign w:val="baseline"/>
        </w:rPr>
        <w:t>even though, had the requirement been treated as formal, its application would have been determined by the relevant governing law. </w:t>
      </w:r>
      <w:r>
        <w:rPr>
          <w:color w:val="005DA1"/>
          <w:u w:val="single" w:color="005DA1"/>
          <w:vertAlign w:val="superscript"/>
        </w:rPr>
        <w:t>1147</w:t>
      </w:r>
      <w:r>
        <w:rPr>
          <w:color w:val="005DA1"/>
          <w:vertAlign w:val="baseline"/>
        </w:rPr>
        <w:t> </w:t>
      </w:r>
      <w:r>
        <w:rPr>
          <w:vertAlign w:val="baseline"/>
        </w:rPr>
        <w:t>Neither the Convention nor the Regulation provides any definition of formal requirements. The Giuliano-Lagarde Report suggests, however, that it is:</w:t>
      </w:r>
    </w:p>
    <w:p>
      <w:pPr>
        <w:pStyle w:val="BodyText"/>
      </w:pPr>
    </w:p>
    <w:p>
      <w:pPr>
        <w:pStyle w:val="BodyText"/>
        <w:spacing w:before="124"/>
      </w:pPr>
    </w:p>
    <w:p>
      <w:pPr>
        <w:pStyle w:val="BodyText"/>
        <w:spacing w:line="235" w:lineRule="auto"/>
        <w:ind w:left="1245" w:right="167"/>
        <w:jc w:val="both"/>
      </w:pPr>
      <w:r>
        <w:rPr/>
        <w:t>“… nevertheless permissible to consider ‘form’, for the purposes of art.9, as </w:t>
      </w:r>
      <w:r>
        <w:rPr/>
        <w:t>including every external manifestation required on the part of a person expressing the will to be </w:t>
      </w:r>
      <w:bookmarkStart w:name="_bookmark2185" w:id="2187"/>
      <w:bookmarkEnd w:id="2187"/>
      <w:r>
        <w:rPr/>
        <w:t>legally</w:t>
      </w:r>
      <w:r>
        <w:rPr/>
        <w:t> bound, and in the absence of which such expression of will would not be regarded as fully effective.” </w:t>
      </w:r>
      <w:r>
        <w:rPr>
          <w:color w:val="005DA1"/>
          <w:u w:val="single" w:color="005DA1"/>
          <w:vertAlign w:val="superscript"/>
        </w:rPr>
        <w:t>1148</w:t>
      </w:r>
    </w:p>
    <w:p>
      <w:pPr>
        <w:pStyle w:val="BodyText"/>
        <w:spacing w:before="115"/>
      </w:pPr>
    </w:p>
    <w:p>
      <w:pPr>
        <w:pStyle w:val="BodyText"/>
        <w:spacing w:line="235" w:lineRule="auto"/>
        <w:ind w:left="165" w:right="167"/>
        <w:jc w:val="both"/>
      </w:pPr>
      <w:bookmarkStart w:name="_bookmark2186" w:id="2188"/>
      <w:bookmarkEnd w:id="2188"/>
      <w:r>
        <w:rPr/>
      </w:r>
      <w:r>
        <w:rPr/>
        <w:t>This observation, if accepted, indicates that it is possible that the category of formal requirements will expand at the expense of the category of procedure and evidence. </w:t>
      </w:r>
      <w:r>
        <w:rPr>
          <w:color w:val="005DA1"/>
          <w:u w:val="single" w:color="005DA1"/>
          <w:vertAlign w:val="superscript"/>
        </w:rPr>
        <w:t>1149</w:t>
      </w:r>
      <w:r>
        <w:rPr>
          <w:color w:val="005DA1"/>
          <w:vertAlign w:val="baseline"/>
        </w:rPr>
        <w:t> </w:t>
      </w:r>
      <w:r>
        <w:rPr>
          <w:vertAlign w:val="baseline"/>
        </w:rPr>
        <w:t>Where a requirement (e.g. of </w:t>
      </w:r>
      <w:bookmarkStart w:name="_bookmark2187" w:id="2189"/>
      <w:bookmarkEnd w:id="2189"/>
      <w:r>
        <w:rPr>
          <w:vertAlign w:val="baseline"/>
        </w:rPr>
        <w:t>writing)</w:t>
      </w:r>
      <w:r>
        <w:rPr>
          <w:vertAlign w:val="baseline"/>
        </w:rPr>
        <w:t> is imposed by the law of the forum with a view to protecting a party to a transaction who is </w:t>
      </w:r>
      <w:bookmarkStart w:name="_bookmark2188" w:id="2190"/>
      <w:bookmarkEnd w:id="2190"/>
      <w:r>
        <w:rPr>
          <w:vertAlign w:val="baseline"/>
        </w:rPr>
        <w:t>presumed</w:t>
      </w:r>
      <w:r>
        <w:rPr>
          <w:vertAlign w:val="baseline"/>
        </w:rPr>
        <w:t> to be in a weaker bargaining position, </w:t>
      </w:r>
      <w:r>
        <w:rPr>
          <w:color w:val="005DA1"/>
          <w:u w:val="single" w:color="005DA1"/>
          <w:vertAlign w:val="superscript"/>
        </w:rPr>
        <w:t>1150</w:t>
      </w:r>
      <w:r>
        <w:rPr>
          <w:color w:val="005DA1"/>
          <w:vertAlign w:val="baseline"/>
        </w:rPr>
        <w:t> </w:t>
      </w:r>
      <w:r>
        <w:rPr>
          <w:vertAlign w:val="baseline"/>
        </w:rPr>
        <w:t>such a requirement would seem to be neither formal</w:t>
      </w:r>
      <w:r>
        <w:rPr>
          <w:spacing w:val="35"/>
          <w:vertAlign w:val="baseline"/>
        </w:rPr>
        <w:t> </w:t>
      </w:r>
      <w:r>
        <w:rPr>
          <w:vertAlign w:val="baseline"/>
        </w:rPr>
        <w:t>nor</w:t>
      </w:r>
      <w:r>
        <w:rPr>
          <w:spacing w:val="35"/>
          <w:vertAlign w:val="baseline"/>
        </w:rPr>
        <w:t> </w:t>
      </w:r>
      <w:r>
        <w:rPr>
          <w:vertAlign w:val="baseline"/>
        </w:rPr>
        <w:t>procedural</w:t>
      </w:r>
      <w:r>
        <w:rPr>
          <w:spacing w:val="36"/>
          <w:vertAlign w:val="baseline"/>
        </w:rPr>
        <w:t> </w:t>
      </w:r>
      <w:r>
        <w:rPr>
          <w:vertAlign w:val="baseline"/>
        </w:rPr>
        <w:t>but</w:t>
      </w:r>
      <w:r>
        <w:rPr>
          <w:spacing w:val="35"/>
          <w:vertAlign w:val="baseline"/>
        </w:rPr>
        <w:t> </w:t>
      </w:r>
      <w:r>
        <w:rPr>
          <w:vertAlign w:val="baseline"/>
        </w:rPr>
        <w:t>substantive</w:t>
      </w:r>
      <w:r>
        <w:rPr>
          <w:spacing w:val="36"/>
          <w:vertAlign w:val="baseline"/>
        </w:rPr>
        <w:t> </w:t>
      </w:r>
      <w:r>
        <w:rPr>
          <w:vertAlign w:val="baseline"/>
        </w:rPr>
        <w:t>in</w:t>
      </w:r>
      <w:r>
        <w:rPr>
          <w:spacing w:val="35"/>
          <w:vertAlign w:val="baseline"/>
        </w:rPr>
        <w:t> </w:t>
      </w:r>
      <w:r>
        <w:rPr>
          <w:vertAlign w:val="baseline"/>
        </w:rPr>
        <w:t>effect.</w:t>
      </w:r>
      <w:r>
        <w:rPr>
          <w:spacing w:val="35"/>
          <w:vertAlign w:val="baseline"/>
        </w:rPr>
        <w:t> </w:t>
      </w:r>
      <w:r>
        <w:rPr>
          <w:color w:val="005DA1"/>
          <w:u w:val="single" w:color="005DA1"/>
          <w:vertAlign w:val="superscript"/>
        </w:rPr>
        <w:t>1151</w:t>
      </w:r>
      <w:r>
        <w:rPr>
          <w:color w:val="005DA1"/>
          <w:spacing w:val="35"/>
          <w:vertAlign w:val="baseline"/>
        </w:rPr>
        <w:t> </w:t>
      </w:r>
      <w:r>
        <w:rPr>
          <w:vertAlign w:val="baseline"/>
        </w:rPr>
        <w:t>Under</w:t>
      </w:r>
      <w:r>
        <w:rPr>
          <w:spacing w:val="36"/>
          <w:vertAlign w:val="baseline"/>
        </w:rPr>
        <w:t> </w:t>
      </w:r>
      <w:r>
        <w:rPr>
          <w:vertAlign w:val="baseline"/>
        </w:rPr>
        <w:t>the</w:t>
      </w:r>
      <w:r>
        <w:rPr>
          <w:spacing w:val="35"/>
          <w:vertAlign w:val="baseline"/>
        </w:rPr>
        <w:t> </w:t>
      </w:r>
      <w:r>
        <w:rPr>
          <w:vertAlign w:val="baseline"/>
        </w:rPr>
        <w:t>Rome</w:t>
      </w:r>
      <w:r>
        <w:rPr>
          <w:spacing w:val="36"/>
          <w:vertAlign w:val="baseline"/>
        </w:rPr>
        <w:t> </w:t>
      </w:r>
      <w:r>
        <w:rPr>
          <w:vertAlign w:val="baseline"/>
        </w:rPr>
        <w:t>Convention</w:t>
      </w:r>
      <w:r>
        <w:rPr>
          <w:spacing w:val="35"/>
          <w:vertAlign w:val="baseline"/>
        </w:rPr>
        <w:t> </w:t>
      </w:r>
      <w:r>
        <w:rPr>
          <w:vertAlign w:val="baseline"/>
        </w:rPr>
        <w:t>and</w:t>
      </w:r>
      <w:r>
        <w:rPr>
          <w:spacing w:val="35"/>
          <w:vertAlign w:val="baseline"/>
        </w:rPr>
        <w:t> </w:t>
      </w:r>
      <w:r>
        <w:rPr>
          <w:vertAlign w:val="baseline"/>
        </w:rPr>
        <w:t>the</w:t>
      </w:r>
      <w:r>
        <w:rPr>
          <w:spacing w:val="36"/>
          <w:vertAlign w:val="baseline"/>
        </w:rPr>
        <w:t> </w:t>
      </w:r>
      <w:r>
        <w:rPr>
          <w:vertAlign w:val="baseline"/>
        </w:rPr>
        <w:t>Rome</w:t>
      </w:r>
      <w:r>
        <w:rPr>
          <w:spacing w:val="35"/>
          <w:vertAlign w:val="baseline"/>
        </w:rPr>
        <w:t> </w:t>
      </w:r>
      <w:r>
        <w:rPr>
          <w:spacing w:val="-10"/>
          <w:vertAlign w:val="baseline"/>
        </w:rPr>
        <w:t>I</w:t>
      </w:r>
    </w:p>
    <w:p>
      <w:pPr>
        <w:pStyle w:val="BodyText"/>
        <w:spacing w:after="0" w:line="235" w:lineRule="auto"/>
        <w:jc w:val="both"/>
        <w:sectPr>
          <w:headerReference w:type="default" r:id="rId31"/>
          <w:pgSz w:w="11900" w:h="16840"/>
          <w:pgMar w:header="971" w:footer="0" w:top="1300" w:bottom="280" w:left="1275" w:right="1275"/>
          <w:pgNumType w:start="1"/>
        </w:sectPr>
      </w:pPr>
    </w:p>
    <w:p>
      <w:pPr>
        <w:pStyle w:val="BodyText"/>
        <w:spacing w:line="235" w:lineRule="auto" w:before="110"/>
        <w:ind w:left="165" w:right="166"/>
        <w:jc w:val="both"/>
      </w:pPr>
      <w:r>
        <w:rPr/>
        <w:t>Regulation, such requirements, if not contained in the applicable law, will nonetheless be applicable if </w:t>
      </w:r>
      <w:bookmarkStart w:name="_bookmark2189" w:id="2191"/>
      <w:bookmarkEnd w:id="2191"/>
      <w:r>
        <w:rPr/>
        <w:t>they</w:t>
      </w:r>
      <w:r>
        <w:rPr/>
        <w:t> are construed as mandatory rules or overriding mandatory provisions of the law of the forum, the application</w:t>
      </w:r>
      <w:r>
        <w:rPr>
          <w:spacing w:val="1"/>
        </w:rPr>
        <w:t> </w:t>
      </w:r>
      <w:r>
        <w:rPr/>
        <w:t>of</w:t>
      </w:r>
      <w:r>
        <w:rPr>
          <w:spacing w:val="1"/>
        </w:rPr>
        <w:t> </w:t>
      </w:r>
      <w:r>
        <w:rPr/>
        <w:t>which</w:t>
      </w:r>
      <w:r>
        <w:rPr>
          <w:spacing w:val="1"/>
        </w:rPr>
        <w:t> </w:t>
      </w:r>
      <w:r>
        <w:rPr/>
        <w:t>is</w:t>
      </w:r>
      <w:r>
        <w:rPr>
          <w:spacing w:val="1"/>
        </w:rPr>
        <w:t> </w:t>
      </w:r>
      <w:r>
        <w:rPr/>
        <w:t>required</w:t>
      </w:r>
      <w:r>
        <w:rPr>
          <w:spacing w:val="1"/>
        </w:rPr>
        <w:t> </w:t>
      </w:r>
      <w:r>
        <w:rPr/>
        <w:t>by</w:t>
      </w:r>
      <w:r>
        <w:rPr>
          <w:spacing w:val="1"/>
        </w:rPr>
        <w:t> </w:t>
      </w:r>
      <w:r>
        <w:rPr/>
        <w:t>respectively</w:t>
      </w:r>
      <w:r>
        <w:rPr>
          <w:spacing w:val="1"/>
        </w:rPr>
        <w:t> </w:t>
      </w:r>
      <w:r>
        <w:rPr/>
        <w:t>art.7(2)</w:t>
      </w:r>
      <w:r>
        <w:rPr>
          <w:spacing w:val="1"/>
        </w:rPr>
        <w:t> </w:t>
      </w:r>
      <w:r>
        <w:rPr/>
        <w:t>of</w:t>
      </w:r>
      <w:r>
        <w:rPr>
          <w:spacing w:val="1"/>
        </w:rPr>
        <w:t> </w:t>
      </w:r>
      <w:r>
        <w:rPr/>
        <w:t>the</w:t>
      </w:r>
      <w:r>
        <w:rPr>
          <w:spacing w:val="1"/>
        </w:rPr>
        <w:t> </w:t>
      </w:r>
      <w:r>
        <w:rPr/>
        <w:t>Convention</w:t>
      </w:r>
      <w:r>
        <w:rPr>
          <w:spacing w:val="1"/>
        </w:rPr>
        <w:t> </w:t>
      </w:r>
      <w:r>
        <w:rPr/>
        <w:t>or</w:t>
      </w:r>
      <w:r>
        <w:rPr>
          <w:spacing w:val="1"/>
        </w:rPr>
        <w:t> </w:t>
      </w:r>
      <w:r>
        <w:rPr/>
        <w:t>art.9(2)</w:t>
      </w:r>
      <w:r>
        <w:rPr>
          <w:spacing w:val="1"/>
        </w:rPr>
        <w:t> </w:t>
      </w:r>
      <w:r>
        <w:rPr/>
        <w:t>of</w:t>
      </w:r>
      <w:r>
        <w:rPr>
          <w:spacing w:val="1"/>
        </w:rPr>
        <w:t> </w:t>
      </w:r>
      <w:r>
        <w:rPr/>
        <w:t>the</w:t>
      </w:r>
      <w:r>
        <w:rPr>
          <w:spacing w:val="1"/>
        </w:rPr>
        <w:t> </w:t>
      </w:r>
      <w:r>
        <w:rPr>
          <w:spacing w:val="-2"/>
        </w:rPr>
        <w:t>Regulation.</w:t>
      </w:r>
    </w:p>
    <w:p>
      <w:pPr>
        <w:spacing w:line="112" w:lineRule="exact" w:before="0"/>
        <w:ind w:left="165" w:right="0" w:firstLine="0"/>
        <w:jc w:val="left"/>
        <w:rPr>
          <w:sz w:val="12"/>
        </w:rPr>
      </w:pPr>
      <w:r>
        <w:rPr>
          <w:color w:val="005DA1"/>
          <w:spacing w:val="-4"/>
          <w:sz w:val="12"/>
          <w:u w:val="single" w:color="005DA1"/>
        </w:rPr>
        <w:t>1152</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Rome Convention: general </w:t>
      </w:r>
      <w:r>
        <w:rPr>
          <w:rFonts w:ascii="Arial"/>
          <w:b/>
          <w:spacing w:val="-2"/>
          <w:sz w:val="18"/>
        </w:rPr>
        <w:t>rules</w:t>
      </w:r>
    </w:p>
    <w:p>
      <w:pPr>
        <w:pStyle w:val="BodyText"/>
        <w:spacing w:before="42"/>
        <w:rPr>
          <w:rFonts w:ascii="Arial"/>
          <w:b/>
          <w:sz w:val="18"/>
        </w:rPr>
      </w:pPr>
    </w:p>
    <w:p>
      <w:pPr>
        <w:pStyle w:val="Heading2"/>
      </w:pPr>
      <w:r>
        <w:rPr/>
        <w:t>30-</w:t>
      </w:r>
      <w:r>
        <w:rPr>
          <w:spacing w:val="-5"/>
        </w:rPr>
        <w:t>313</w:t>
      </w:r>
    </w:p>
    <w:p>
      <w:pPr>
        <w:pStyle w:val="BodyText"/>
        <w:spacing w:line="235" w:lineRule="auto" w:before="202"/>
        <w:ind w:left="164" w:right="167"/>
        <w:jc w:val="both"/>
      </w:pPr>
      <w:r>
        <w:rPr/>
        <w:t>Where a contract is concluded between persons who are in the same country, the contract will be </w:t>
      </w:r>
      <w:bookmarkStart w:name="_bookmark2190" w:id="2192"/>
      <w:bookmarkEnd w:id="2192"/>
      <w:r>
        <w:rPr/>
        <w:t>formally</w:t>
      </w:r>
      <w:r>
        <w:rPr/>
        <w:t> valid if it satisfies the formal requirements of the law which governs the contract under the Convention or the formal requirements of the law of the country where it is concluded. </w:t>
      </w:r>
      <w:r>
        <w:rPr>
          <w:color w:val="005DA1"/>
          <w:u w:val="single" w:color="005DA1"/>
          <w:vertAlign w:val="superscript"/>
        </w:rPr>
        <w:t>1153</w:t>
      </w:r>
      <w:r>
        <w:rPr>
          <w:color w:val="005DA1"/>
          <w:vertAlign w:val="baseline"/>
        </w:rPr>
        <w:t> </w:t>
      </w:r>
      <w:r>
        <w:rPr>
          <w:vertAlign w:val="baseline"/>
        </w:rPr>
        <w:t>Where the contract is concluded between persons who are in different countries, the contract will be formally </w:t>
      </w:r>
      <w:bookmarkStart w:name="_bookmark2191" w:id="2193"/>
      <w:bookmarkEnd w:id="2193"/>
      <w:r>
        <w:rPr>
          <w:vertAlign w:val="baseline"/>
        </w:rPr>
        <w:t>valid</w:t>
      </w:r>
      <w:r>
        <w:rPr>
          <w:spacing w:val="-2"/>
          <w:vertAlign w:val="baseline"/>
        </w:rPr>
        <w:t> </w:t>
      </w:r>
      <w:r>
        <w:rPr>
          <w:vertAlign w:val="baseline"/>
        </w:rPr>
        <w:t>if</w:t>
      </w:r>
      <w:r>
        <w:rPr>
          <w:spacing w:val="-2"/>
          <w:vertAlign w:val="baseline"/>
        </w:rPr>
        <w:t> </w:t>
      </w:r>
      <w:r>
        <w:rPr>
          <w:vertAlign w:val="baseline"/>
        </w:rPr>
        <w:t>it</w:t>
      </w:r>
      <w:r>
        <w:rPr>
          <w:spacing w:val="-2"/>
          <w:vertAlign w:val="baseline"/>
        </w:rPr>
        <w:t> </w:t>
      </w:r>
      <w:r>
        <w:rPr>
          <w:vertAlign w:val="baseline"/>
        </w:rPr>
        <w:t>satisfies</w:t>
      </w:r>
      <w:r>
        <w:rPr>
          <w:spacing w:val="-2"/>
          <w:vertAlign w:val="baseline"/>
        </w:rPr>
        <w:t> </w:t>
      </w:r>
      <w:r>
        <w:rPr>
          <w:vertAlign w:val="baseline"/>
        </w:rPr>
        <w:t>the</w:t>
      </w:r>
      <w:r>
        <w:rPr>
          <w:spacing w:val="-2"/>
          <w:vertAlign w:val="baseline"/>
        </w:rPr>
        <w:t> </w:t>
      </w:r>
      <w:r>
        <w:rPr>
          <w:vertAlign w:val="baseline"/>
        </w:rPr>
        <w:t>formal</w:t>
      </w:r>
      <w:r>
        <w:rPr>
          <w:spacing w:val="-2"/>
          <w:vertAlign w:val="baseline"/>
        </w:rPr>
        <w:t> </w:t>
      </w:r>
      <w:r>
        <w:rPr>
          <w:vertAlign w:val="baseline"/>
        </w:rPr>
        <w:t>requirements</w:t>
      </w:r>
      <w:r>
        <w:rPr>
          <w:spacing w:val="-2"/>
          <w:vertAlign w:val="baseline"/>
        </w:rPr>
        <w:t> </w:t>
      </w:r>
      <w:r>
        <w:rPr>
          <w:vertAlign w:val="baseline"/>
        </w:rPr>
        <w:t>either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applicable</w:t>
      </w:r>
      <w:r>
        <w:rPr>
          <w:spacing w:val="-2"/>
          <w:vertAlign w:val="baseline"/>
        </w:rPr>
        <w:t> </w:t>
      </w:r>
      <w:r>
        <w:rPr>
          <w:vertAlign w:val="baseline"/>
        </w:rPr>
        <w:t>to</w:t>
      </w:r>
      <w:r>
        <w:rPr>
          <w:spacing w:val="-2"/>
          <w:vertAlign w:val="baseline"/>
        </w:rPr>
        <w:t> </w:t>
      </w:r>
      <w:r>
        <w:rPr>
          <w:vertAlign w:val="baseline"/>
        </w:rPr>
        <w:t>it</w:t>
      </w:r>
      <w:r>
        <w:rPr>
          <w:spacing w:val="-2"/>
          <w:vertAlign w:val="baseline"/>
        </w:rPr>
        <w:t> </w:t>
      </w:r>
      <w:r>
        <w:rPr>
          <w:vertAlign w:val="baseline"/>
        </w:rPr>
        <w:t>under</w:t>
      </w:r>
      <w:r>
        <w:rPr>
          <w:spacing w:val="-2"/>
          <w:vertAlign w:val="baseline"/>
        </w:rPr>
        <w:t> </w:t>
      </w:r>
      <w:r>
        <w:rPr>
          <w:vertAlign w:val="baseline"/>
        </w:rPr>
        <w:t>the</w:t>
      </w:r>
      <w:r>
        <w:rPr>
          <w:spacing w:val="-2"/>
          <w:vertAlign w:val="baseline"/>
        </w:rPr>
        <w:t> </w:t>
      </w:r>
      <w:r>
        <w:rPr>
          <w:vertAlign w:val="baseline"/>
        </w:rPr>
        <w:t>Convention</w:t>
      </w:r>
      <w:r>
        <w:rPr>
          <w:spacing w:val="-2"/>
          <w:vertAlign w:val="baseline"/>
        </w:rPr>
        <w:t> </w:t>
      </w:r>
      <w:r>
        <w:rPr>
          <w:vertAlign w:val="baseline"/>
        </w:rPr>
        <w:t>or</w:t>
      </w:r>
      <w:r>
        <w:rPr>
          <w:spacing w:val="-2"/>
          <w:vertAlign w:val="baseline"/>
        </w:rPr>
        <w:t> </w:t>
      </w:r>
      <w:r>
        <w:rPr>
          <w:vertAlign w:val="baseline"/>
        </w:rPr>
        <w:t>the </w:t>
      </w:r>
      <w:bookmarkStart w:name="_bookmark2192" w:id="2194"/>
      <w:bookmarkEnd w:id="2194"/>
      <w:r>
        <w:rPr>
          <w:vertAlign w:val="baseline"/>
        </w:rPr>
        <w:t>law</w:t>
      </w:r>
      <w:r>
        <w:rPr>
          <w:vertAlign w:val="baseline"/>
        </w:rPr>
        <w:t> of one of those different countries. </w:t>
      </w:r>
      <w:r>
        <w:rPr>
          <w:color w:val="005DA1"/>
          <w:u w:val="single" w:color="005DA1"/>
          <w:vertAlign w:val="superscript"/>
        </w:rPr>
        <w:t>1154</w:t>
      </w:r>
      <w:r>
        <w:rPr>
          <w:color w:val="005DA1"/>
          <w:vertAlign w:val="baseline"/>
        </w:rPr>
        <w:t> </w:t>
      </w:r>
      <w:r>
        <w:rPr>
          <w:vertAlign w:val="baseline"/>
        </w:rPr>
        <w:t>Where the contract is concluded by an agent, the relevant country for the purpose of the foregoing rules is the country where the agent acts. </w:t>
      </w:r>
      <w:r>
        <w:rPr>
          <w:color w:val="005DA1"/>
          <w:u w:val="single" w:color="005DA1"/>
          <w:vertAlign w:val="superscript"/>
        </w:rPr>
        <w:t>1155</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“Certain consumer </w:t>
      </w:r>
      <w:r>
        <w:rPr>
          <w:rFonts w:ascii="Arial" w:hAnsi="Arial"/>
          <w:b/>
          <w:spacing w:val="-2"/>
          <w:sz w:val="18"/>
        </w:rPr>
        <w:t>contracts”</w:t>
      </w:r>
    </w:p>
    <w:p>
      <w:pPr>
        <w:pStyle w:val="BodyText"/>
        <w:spacing w:before="41"/>
        <w:rPr>
          <w:rFonts w:ascii="Arial"/>
          <w:b/>
          <w:sz w:val="18"/>
        </w:rPr>
      </w:pPr>
    </w:p>
    <w:p>
      <w:pPr>
        <w:pStyle w:val="Heading2"/>
        <w:spacing w:before="1"/>
      </w:pPr>
      <w:r>
        <w:rPr/>
        <w:t>30-</w:t>
      </w:r>
      <w:r>
        <w:rPr>
          <w:spacing w:val="-5"/>
        </w:rPr>
        <w:t>314</w:t>
      </w:r>
    </w:p>
    <w:p>
      <w:pPr>
        <w:pStyle w:val="BodyText"/>
        <w:spacing w:line="235" w:lineRule="auto" w:before="202"/>
        <w:ind w:left="165" w:right="167"/>
        <w:jc w:val="both"/>
      </w:pPr>
      <w:bookmarkStart w:name="_bookmark2193" w:id="2195"/>
      <w:bookmarkEnd w:id="2195"/>
      <w:r>
        <w:rPr/>
      </w:r>
      <w:r>
        <w:rPr/>
        <w:t>The general rules concerning formal validity do not apply to a contract which falls within art.5 of </w:t>
      </w:r>
      <w:r>
        <w:rPr/>
        <w:t>the Convention if the contract is concluded in any of the circumstances described in art.5(2). </w:t>
      </w:r>
      <w:r>
        <w:rPr>
          <w:color w:val="005DA1"/>
          <w:u w:val="single" w:color="005DA1"/>
          <w:vertAlign w:val="superscript"/>
        </w:rPr>
        <w:t>1156</w:t>
      </w:r>
      <w:r>
        <w:rPr>
          <w:color w:val="005DA1"/>
          <w:vertAlign w:val="baseline"/>
        </w:rPr>
        <w:t> </w:t>
      </w:r>
      <w:r>
        <w:rPr>
          <w:vertAlign w:val="baseline"/>
        </w:rPr>
        <w:t>In such </w:t>
      </w:r>
      <w:bookmarkStart w:name="_bookmark2194" w:id="2196"/>
      <w:bookmarkEnd w:id="2196"/>
      <w:r>
        <w:rPr>
          <w:vertAlign w:val="baseline"/>
        </w:rPr>
        <w:t>circumstances</w:t>
      </w:r>
      <w:r>
        <w:rPr>
          <w:vertAlign w:val="baseline"/>
        </w:rPr>
        <w:t> the formal validity of the consumer contract is governed by the law of the country in which the consumer has his habitual residence. </w:t>
      </w:r>
      <w:r>
        <w:rPr>
          <w:color w:val="005DA1"/>
          <w:u w:val="single" w:color="005DA1"/>
          <w:vertAlign w:val="superscript"/>
        </w:rPr>
        <w:t>1157</w:t>
      </w:r>
    </w:p>
    <w:p>
      <w:pPr>
        <w:pStyle w:val="BodyText"/>
      </w:pPr>
    </w:p>
    <w:p>
      <w:pPr>
        <w:pStyle w:val="BodyText"/>
        <w:spacing w:before="37"/>
      </w:pPr>
    </w:p>
    <w:p>
      <w:pPr>
        <w:spacing w:before="0"/>
        <w:ind w:left="165" w:right="0" w:firstLine="0"/>
        <w:jc w:val="left"/>
        <w:rPr>
          <w:rFonts w:ascii="Arial"/>
          <w:b/>
          <w:sz w:val="18"/>
        </w:rPr>
      </w:pPr>
      <w:bookmarkStart w:name="_bookmark2195" w:id="2197"/>
      <w:bookmarkEnd w:id="2197"/>
      <w:r>
        <w:rPr/>
      </w:r>
      <w:r>
        <w:rPr>
          <w:rFonts w:ascii="Arial"/>
          <w:b/>
          <w:sz w:val="18"/>
        </w:rPr>
        <w:t>Immovables</w:t>
      </w:r>
      <w:r>
        <w:rPr>
          <w:rFonts w:ascii="Arial"/>
          <w:b/>
          <w:spacing w:val="-1"/>
          <w:sz w:val="18"/>
        </w:rPr>
        <w:t> </w:t>
      </w:r>
      <w:r>
        <w:rPr>
          <w:rFonts w:ascii="Arial"/>
          <w:b/>
          <w:color w:val="005DA1"/>
          <w:spacing w:val="-4"/>
          <w:sz w:val="18"/>
          <w:u w:val="single" w:color="005DA1"/>
          <w:vertAlign w:val="superscript"/>
        </w:rPr>
        <w:t>1158</w:t>
      </w:r>
    </w:p>
    <w:p>
      <w:pPr>
        <w:pStyle w:val="BodyText"/>
        <w:spacing w:before="42"/>
        <w:rPr>
          <w:rFonts w:ascii="Arial"/>
          <w:b/>
          <w:sz w:val="18"/>
        </w:rPr>
      </w:pPr>
    </w:p>
    <w:p>
      <w:pPr>
        <w:pStyle w:val="Heading2"/>
      </w:pPr>
      <w:r>
        <w:rPr/>
        <w:t>30-</w:t>
      </w:r>
      <w:r>
        <w:rPr>
          <w:spacing w:val="-5"/>
        </w:rPr>
        <w:t>315</w:t>
      </w:r>
    </w:p>
    <w:p>
      <w:pPr>
        <w:pStyle w:val="BodyText"/>
        <w:spacing w:line="235" w:lineRule="auto" w:before="202"/>
        <w:ind w:left="165" w:right="167"/>
        <w:jc w:val="both"/>
      </w:pPr>
      <w:bookmarkStart w:name="_bookmark2196" w:id="2198"/>
      <w:bookmarkEnd w:id="2198"/>
      <w:r>
        <w:rPr/>
      </w:r>
      <w:r>
        <w:rPr/>
        <w:t>The formal validity of a contract with regard to an immovable is, in general, governed by the </w:t>
      </w:r>
      <w:r>
        <w:rPr/>
        <w:t>general rules relating to formal validity described above. </w:t>
      </w:r>
      <w:r>
        <w:rPr>
          <w:color w:val="005DA1"/>
          <w:u w:val="single" w:color="005DA1"/>
          <w:vertAlign w:val="superscript"/>
        </w:rPr>
        <w:t>1159</w:t>
      </w:r>
      <w:r>
        <w:rPr>
          <w:color w:val="005DA1"/>
          <w:vertAlign w:val="baseline"/>
        </w:rPr>
        <w:t> </w:t>
      </w:r>
      <w:r>
        <w:rPr>
          <w:vertAlign w:val="baseline"/>
        </w:rPr>
        <w:t>However, art.9(6) of the Convention establishes </w:t>
      </w:r>
      <w:bookmarkStart w:name="_bookmark2197" w:id="2199"/>
      <w:bookmarkEnd w:id="2199"/>
      <w:r>
        <w:rPr>
          <w:vertAlign w:val="baseline"/>
        </w:rPr>
        <w:t>an</w:t>
      </w:r>
      <w:r>
        <w:rPr>
          <w:spacing w:val="-1"/>
          <w:vertAlign w:val="baseline"/>
        </w:rPr>
        <w:t> </w:t>
      </w:r>
      <w:r>
        <w:rPr>
          <w:vertAlign w:val="baseline"/>
        </w:rPr>
        <w:t>additional</w:t>
      </w:r>
      <w:r>
        <w:rPr>
          <w:spacing w:val="-1"/>
          <w:vertAlign w:val="baseline"/>
        </w:rPr>
        <w:t> </w:t>
      </w:r>
      <w:r>
        <w:rPr>
          <w:vertAlign w:val="baseline"/>
        </w:rPr>
        <w:t>rule,</w:t>
      </w:r>
      <w:r>
        <w:rPr>
          <w:spacing w:val="-1"/>
          <w:vertAlign w:val="baseline"/>
        </w:rPr>
        <w:t> </w:t>
      </w:r>
      <w:r>
        <w:rPr>
          <w:vertAlign w:val="baseline"/>
        </w:rPr>
        <w:t>in</w:t>
      </w:r>
      <w:r>
        <w:rPr>
          <w:spacing w:val="-1"/>
          <w:vertAlign w:val="baseline"/>
        </w:rPr>
        <w:t> </w:t>
      </w:r>
      <w:r>
        <w:rPr>
          <w:vertAlign w:val="baseline"/>
        </w:rPr>
        <w:t>this</w:t>
      </w:r>
      <w:r>
        <w:rPr>
          <w:spacing w:val="-1"/>
          <w:vertAlign w:val="baseline"/>
        </w:rPr>
        <w:t> </w:t>
      </w:r>
      <w:r>
        <w:rPr>
          <w:vertAlign w:val="baseline"/>
        </w:rPr>
        <w:t>respect,</w:t>
      </w:r>
      <w:r>
        <w:rPr>
          <w:spacing w:val="-1"/>
          <w:vertAlign w:val="baseline"/>
        </w:rPr>
        <w:t> </w:t>
      </w:r>
      <w:r>
        <w:rPr>
          <w:vertAlign w:val="baseline"/>
        </w:rPr>
        <w:t>for</w:t>
      </w:r>
      <w:r>
        <w:rPr>
          <w:spacing w:val="-1"/>
          <w:vertAlign w:val="baseline"/>
        </w:rPr>
        <w:t> </w:t>
      </w:r>
      <w:r>
        <w:rPr>
          <w:vertAlign w:val="baseline"/>
        </w:rPr>
        <w:t>contracts</w:t>
      </w:r>
      <w:r>
        <w:rPr>
          <w:spacing w:val="-1"/>
          <w:vertAlign w:val="baseline"/>
        </w:rPr>
        <w:t> </w:t>
      </w:r>
      <w:r>
        <w:rPr>
          <w:vertAlign w:val="baseline"/>
        </w:rPr>
        <w:t>the</w:t>
      </w:r>
      <w:r>
        <w:rPr>
          <w:spacing w:val="-1"/>
          <w:vertAlign w:val="baseline"/>
        </w:rPr>
        <w:t> </w:t>
      </w:r>
      <w:r>
        <w:rPr>
          <w:vertAlign w:val="baseline"/>
        </w:rPr>
        <w:t>subject</w:t>
      </w:r>
      <w:r>
        <w:rPr>
          <w:spacing w:val="-1"/>
          <w:vertAlign w:val="baseline"/>
        </w:rPr>
        <w:t> </w:t>
      </w:r>
      <w:r>
        <w:rPr>
          <w:vertAlign w:val="baseline"/>
        </w:rPr>
        <w:t>matter</w:t>
      </w:r>
      <w:r>
        <w:rPr>
          <w:spacing w:val="-1"/>
          <w:vertAlign w:val="baseline"/>
        </w:rPr>
        <w:t> </w:t>
      </w:r>
      <w:r>
        <w:rPr>
          <w:vertAlign w:val="baseline"/>
        </w:rPr>
        <w:t>of</w:t>
      </w:r>
      <w:r>
        <w:rPr>
          <w:spacing w:val="-1"/>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right</w:t>
      </w:r>
      <w:r>
        <w:rPr>
          <w:spacing w:val="-1"/>
          <w:vertAlign w:val="baseline"/>
        </w:rPr>
        <w:t> </w:t>
      </w:r>
      <w:r>
        <w:rPr>
          <w:vertAlign w:val="baseline"/>
        </w:rPr>
        <w:t>in</w:t>
      </w:r>
      <w:r>
        <w:rPr>
          <w:spacing w:val="-1"/>
          <w:vertAlign w:val="baseline"/>
        </w:rPr>
        <w:t> </w:t>
      </w:r>
      <w:r>
        <w:rPr>
          <w:vertAlign w:val="baseline"/>
        </w:rPr>
        <w:t>or</w:t>
      </w:r>
      <w:r>
        <w:rPr>
          <w:spacing w:val="-1"/>
          <w:vertAlign w:val="baseline"/>
        </w:rPr>
        <w:t> </w:t>
      </w:r>
      <w:r>
        <w:rPr>
          <w:vertAlign w:val="baseline"/>
        </w:rPr>
        <w:t>a</w:t>
      </w:r>
      <w:r>
        <w:rPr>
          <w:spacing w:val="-1"/>
          <w:vertAlign w:val="baseline"/>
        </w:rPr>
        <w:t> </w:t>
      </w:r>
      <w:r>
        <w:rPr>
          <w:vertAlign w:val="baseline"/>
        </w:rPr>
        <w:t>right</w:t>
      </w:r>
      <w:r>
        <w:rPr>
          <w:spacing w:val="-1"/>
          <w:vertAlign w:val="baseline"/>
        </w:rPr>
        <w:t> </w:t>
      </w:r>
      <w:r>
        <w:rPr>
          <w:vertAlign w:val="baseline"/>
        </w:rPr>
        <w:t>to</w:t>
      </w:r>
      <w:r>
        <w:rPr>
          <w:spacing w:val="-1"/>
          <w:vertAlign w:val="baseline"/>
        </w:rPr>
        <w:t> </w:t>
      </w:r>
      <w:r>
        <w:rPr>
          <w:vertAlign w:val="baseline"/>
        </w:rPr>
        <w:t>use immovable property. </w:t>
      </w:r>
      <w:r>
        <w:rPr>
          <w:color w:val="005DA1"/>
          <w:u w:val="single" w:color="005DA1"/>
          <w:vertAlign w:val="superscript"/>
        </w:rPr>
        <w:t>1160</w:t>
      </w:r>
      <w:r>
        <w:rPr>
          <w:color w:val="005DA1"/>
          <w:vertAlign w:val="baseline"/>
        </w:rPr>
        <w:t> </w:t>
      </w:r>
      <w:r>
        <w:rPr>
          <w:vertAlign w:val="baseline"/>
        </w:rPr>
        <w:t>Such a contract:</w:t>
      </w:r>
    </w:p>
    <w:p>
      <w:pPr>
        <w:pStyle w:val="BodyText"/>
      </w:pPr>
    </w:p>
    <w:p>
      <w:pPr>
        <w:pStyle w:val="BodyText"/>
        <w:spacing w:before="125"/>
      </w:pPr>
    </w:p>
    <w:p>
      <w:pPr>
        <w:pStyle w:val="BodyText"/>
        <w:spacing w:line="235" w:lineRule="auto" w:before="1"/>
        <w:ind w:left="1245" w:right="167"/>
        <w:jc w:val="both"/>
      </w:pPr>
      <w:r>
        <w:rPr/>
        <w:t>“Shall be subject to the mandatory requirements of form of the law of the country where the property is situated if by that law those requirements are imposed irrespective of </w:t>
      </w:r>
      <w:r>
        <w:rPr/>
        <w:t>the </w:t>
      </w:r>
      <w:bookmarkStart w:name="_bookmark2198" w:id="2200"/>
      <w:bookmarkEnd w:id="2200"/>
      <w:r>
        <w:rPr/>
        <w:t>country</w:t>
      </w:r>
      <w:r>
        <w:rPr/>
        <w:t> where the contract is concluded and irrespective of the law governing the contract.” </w:t>
      </w:r>
      <w:r>
        <w:rPr>
          <w:color w:val="005DA1"/>
          <w:u w:val="single" w:color="005DA1"/>
          <w:vertAlign w:val="superscript"/>
        </w:rPr>
        <w:t>1161</w:t>
      </w:r>
    </w:p>
    <w:p>
      <w:pPr>
        <w:pStyle w:val="BodyText"/>
        <w:spacing w:before="115"/>
      </w:pPr>
    </w:p>
    <w:p>
      <w:pPr>
        <w:pStyle w:val="BodyText"/>
        <w:spacing w:line="235" w:lineRule="auto"/>
        <w:ind w:left="165" w:right="167"/>
        <w:jc w:val="both"/>
      </w:pPr>
      <w:r>
        <w:rPr/>
        <w:t>The effect of this provision is to impose the mandatory requirements of form of the lex situs, which have the necessary characteristics, on the contract even though the contract is not concluded in </w:t>
      </w:r>
      <w:r>
        <w:rPr/>
        <w:t>the </w:t>
      </w:r>
      <w:bookmarkStart w:name="_bookmark2199" w:id="2201"/>
      <w:bookmarkEnd w:id="2201"/>
      <w:r>
        <w:rPr/>
        <w:t>country</w:t>
      </w:r>
      <w:r>
        <w:rPr>
          <w:spacing w:val="-1"/>
        </w:rPr>
        <w:t> </w:t>
      </w:r>
      <w:r>
        <w:rPr/>
        <w:t>where</w:t>
      </w:r>
      <w:r>
        <w:rPr>
          <w:spacing w:val="-1"/>
        </w:rPr>
        <w:t> </w:t>
      </w:r>
      <w:r>
        <w:rPr/>
        <w:t>the</w:t>
      </w:r>
      <w:r>
        <w:rPr>
          <w:spacing w:val="-1"/>
        </w:rPr>
        <w:t> </w:t>
      </w:r>
      <w:r>
        <w:rPr/>
        <w:t>immovable</w:t>
      </w:r>
      <w:r>
        <w:rPr>
          <w:spacing w:val="-1"/>
        </w:rPr>
        <w:t> </w:t>
      </w:r>
      <w:r>
        <w:rPr/>
        <w:t>is</w:t>
      </w:r>
      <w:r>
        <w:rPr>
          <w:spacing w:val="-1"/>
        </w:rPr>
        <w:t> </w:t>
      </w:r>
      <w:r>
        <w:rPr/>
        <w:t>situated</w:t>
      </w:r>
      <w:r>
        <w:rPr>
          <w:spacing w:val="-1"/>
        </w:rPr>
        <w:t> </w:t>
      </w:r>
      <w:r>
        <w:rPr/>
        <w:t>and</w:t>
      </w:r>
      <w:r>
        <w:rPr>
          <w:spacing w:val="-1"/>
        </w:rPr>
        <w:t> </w:t>
      </w:r>
      <w:r>
        <w:rPr/>
        <w:t>the</w:t>
      </w:r>
      <w:r>
        <w:rPr>
          <w:spacing w:val="-1"/>
        </w:rPr>
        <w:t> </w:t>
      </w:r>
      <w:r>
        <w:rPr/>
        <w:t>law</w:t>
      </w:r>
      <w:r>
        <w:rPr>
          <w:spacing w:val="-1"/>
        </w:rPr>
        <w:t> </w:t>
      </w:r>
      <w:r>
        <w:rPr/>
        <w:t>governing</w:t>
      </w:r>
      <w:r>
        <w:rPr>
          <w:spacing w:val="-1"/>
        </w:rPr>
        <w:t> </w:t>
      </w:r>
      <w:r>
        <w:rPr/>
        <w:t>the</w:t>
      </w:r>
      <w:r>
        <w:rPr>
          <w:spacing w:val="-1"/>
        </w:rPr>
        <w:t> </w:t>
      </w:r>
      <w:r>
        <w:rPr/>
        <w:t>contract</w:t>
      </w:r>
      <w:r>
        <w:rPr>
          <w:spacing w:val="-1"/>
        </w:rPr>
        <w:t> </w:t>
      </w:r>
      <w:r>
        <w:rPr/>
        <w:t>is</w:t>
      </w:r>
      <w:r>
        <w:rPr>
          <w:spacing w:val="-1"/>
        </w:rPr>
        <w:t> </w:t>
      </w:r>
      <w:r>
        <w:rPr/>
        <w:t>not</w:t>
      </w:r>
      <w:r>
        <w:rPr>
          <w:spacing w:val="-1"/>
        </w:rPr>
        <w:t> </w:t>
      </w:r>
      <w:r>
        <w:rPr/>
        <w:t>that</w:t>
      </w:r>
      <w:r>
        <w:rPr>
          <w:spacing w:val="-1"/>
        </w:rPr>
        <w:t> </w:t>
      </w:r>
      <w:r>
        <w:rPr/>
        <w:t>of</w:t>
      </w:r>
      <w:r>
        <w:rPr>
          <w:spacing w:val="-1"/>
        </w:rPr>
        <w:t> </w:t>
      </w:r>
      <w:r>
        <w:rPr/>
        <w:t>the</w:t>
      </w:r>
      <w:r>
        <w:rPr>
          <w:spacing w:val="-1"/>
        </w:rPr>
        <w:t> </w:t>
      </w:r>
      <w:r>
        <w:rPr/>
        <w:t>lex</w:t>
      </w:r>
      <w:r>
        <w:rPr>
          <w:spacing w:val="-1"/>
        </w:rPr>
        <w:t> </w:t>
      </w:r>
      <w:r>
        <w:rPr/>
        <w:t>situs. Cases in which such rules exist are likely to be “rather rare”. </w:t>
      </w:r>
      <w:r>
        <w:rPr>
          <w:color w:val="005DA1"/>
          <w:u w:val="single" w:color="005DA1"/>
          <w:vertAlign w:val="superscript"/>
        </w:rPr>
        <w:t>1162</w:t>
      </w:r>
    </w:p>
    <w:p>
      <w:pPr>
        <w:pStyle w:val="BodyText"/>
      </w:pPr>
    </w:p>
    <w:p>
      <w:pPr>
        <w:pStyle w:val="BodyText"/>
        <w:spacing w:before="37"/>
      </w:pPr>
    </w:p>
    <w:p>
      <w:pPr>
        <w:spacing w:before="0"/>
        <w:ind w:left="165" w:right="0" w:firstLine="0"/>
        <w:jc w:val="left"/>
        <w:rPr>
          <w:rFonts w:ascii="Arial"/>
          <w:b/>
          <w:sz w:val="18"/>
        </w:rPr>
      </w:pPr>
      <w:r>
        <w:rPr>
          <w:rFonts w:ascii="Arial"/>
          <w:b/>
          <w:sz w:val="18"/>
        </w:rPr>
        <w:t>Acts intended to have legal </w:t>
      </w:r>
      <w:r>
        <w:rPr>
          <w:rFonts w:ascii="Arial"/>
          <w:b/>
          <w:spacing w:val="-2"/>
          <w:sz w:val="18"/>
        </w:rPr>
        <w:t>effect</w:t>
      </w:r>
    </w:p>
    <w:p>
      <w:pPr>
        <w:pStyle w:val="BodyText"/>
        <w:spacing w:before="41"/>
        <w:rPr>
          <w:rFonts w:ascii="Arial"/>
          <w:b/>
          <w:sz w:val="18"/>
        </w:rPr>
      </w:pPr>
    </w:p>
    <w:p>
      <w:pPr>
        <w:pStyle w:val="Heading2"/>
      </w:pPr>
      <w:r>
        <w:rPr/>
        <w:t>30-</w:t>
      </w:r>
      <w:r>
        <w:rPr>
          <w:spacing w:val="-5"/>
        </w:rPr>
        <w:t>316</w:t>
      </w:r>
    </w:p>
    <w:p>
      <w:pPr>
        <w:pStyle w:val="BodyText"/>
        <w:rPr>
          <w:rFonts w:ascii="Arial"/>
          <w:b/>
          <w:sz w:val="24"/>
        </w:rPr>
      </w:pPr>
    </w:p>
    <w:p>
      <w:pPr>
        <w:pStyle w:val="BodyText"/>
        <w:spacing w:before="238"/>
        <w:rPr>
          <w:rFonts w:ascii="Arial"/>
          <w:b/>
          <w:sz w:val="24"/>
        </w:rPr>
      </w:pPr>
    </w:p>
    <w:p>
      <w:pPr>
        <w:pStyle w:val="BodyText"/>
        <w:spacing w:line="235" w:lineRule="auto"/>
        <w:ind w:left="1245" w:right="167"/>
        <w:jc w:val="both"/>
      </w:pPr>
      <w:r>
        <w:rPr/>
        <w:t>“An act intended to have legal effect relating to an existing or contemplated contract </w:t>
      </w:r>
      <w:r>
        <w:rPr/>
        <w:t>is formally</w:t>
      </w:r>
      <w:r>
        <w:rPr>
          <w:spacing w:val="4"/>
        </w:rPr>
        <w:t> </w:t>
      </w:r>
      <w:r>
        <w:rPr/>
        <w:t>valid</w:t>
      </w:r>
      <w:r>
        <w:rPr>
          <w:spacing w:val="4"/>
        </w:rPr>
        <w:t> </w:t>
      </w:r>
      <w:r>
        <w:rPr/>
        <w:t>if</w:t>
      </w:r>
      <w:r>
        <w:rPr>
          <w:spacing w:val="4"/>
        </w:rPr>
        <w:t> </w:t>
      </w:r>
      <w:r>
        <w:rPr/>
        <w:t>it</w:t>
      </w:r>
      <w:r>
        <w:rPr>
          <w:spacing w:val="4"/>
        </w:rPr>
        <w:t> </w:t>
      </w:r>
      <w:r>
        <w:rPr/>
        <w:t>satisfies</w:t>
      </w:r>
      <w:r>
        <w:rPr>
          <w:spacing w:val="4"/>
        </w:rPr>
        <w:t> </w:t>
      </w:r>
      <w:r>
        <w:rPr/>
        <w:t>the</w:t>
      </w:r>
      <w:r>
        <w:rPr>
          <w:spacing w:val="4"/>
        </w:rPr>
        <w:t> </w:t>
      </w:r>
      <w:r>
        <w:rPr/>
        <w:t>formal</w:t>
      </w:r>
      <w:r>
        <w:rPr>
          <w:spacing w:val="4"/>
        </w:rPr>
        <w:t> </w:t>
      </w:r>
      <w:r>
        <w:rPr/>
        <w:t>requirements</w:t>
      </w:r>
      <w:r>
        <w:rPr>
          <w:spacing w:val="4"/>
        </w:rPr>
        <w:t> </w:t>
      </w:r>
      <w:r>
        <w:rPr/>
        <w:t>of</w:t>
      </w:r>
      <w:r>
        <w:rPr>
          <w:spacing w:val="4"/>
        </w:rPr>
        <w:t> </w:t>
      </w:r>
      <w:r>
        <w:rPr/>
        <w:t>the</w:t>
      </w:r>
      <w:r>
        <w:rPr>
          <w:spacing w:val="4"/>
        </w:rPr>
        <w:t> </w:t>
      </w:r>
      <w:r>
        <w:rPr/>
        <w:t>law</w:t>
      </w:r>
      <w:r>
        <w:rPr>
          <w:spacing w:val="4"/>
        </w:rPr>
        <w:t> </w:t>
      </w:r>
      <w:r>
        <w:rPr/>
        <w:t>which</w:t>
      </w:r>
      <w:r>
        <w:rPr>
          <w:spacing w:val="4"/>
        </w:rPr>
        <w:t> </w:t>
      </w:r>
      <w:r>
        <w:rPr/>
        <w:t>under</w:t>
      </w:r>
      <w:r>
        <w:rPr>
          <w:spacing w:val="4"/>
        </w:rPr>
        <w:t> </w:t>
      </w:r>
      <w:r>
        <w:rPr/>
        <w:t>the</w:t>
      </w:r>
      <w:r>
        <w:rPr>
          <w:spacing w:val="4"/>
        </w:rPr>
        <w:t> </w:t>
      </w:r>
      <w:r>
        <w:rPr>
          <w:spacing w:val="-2"/>
        </w:rPr>
        <w:t>Convention</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bookmarkStart w:name="_bookmark2200" w:id="2202"/>
      <w:bookmarkEnd w:id="2202"/>
      <w:r>
        <w:rPr/>
      </w:r>
      <w:r>
        <w:rPr/>
        <w:t>governs or would govern the contract or of the law of the country where the act was done.” </w:t>
      </w:r>
      <w:r>
        <w:rPr>
          <w:color w:val="005DA1"/>
          <w:u w:val="single" w:color="005DA1"/>
          <w:vertAlign w:val="superscript"/>
        </w:rPr>
        <w:t>1163</w:t>
      </w:r>
    </w:p>
    <w:p>
      <w:pPr>
        <w:pStyle w:val="BodyText"/>
        <w:spacing w:before="116"/>
      </w:pPr>
    </w:p>
    <w:p>
      <w:pPr>
        <w:pStyle w:val="BodyText"/>
        <w:spacing w:line="235" w:lineRule="auto"/>
        <w:ind w:left="165" w:right="167"/>
        <w:jc w:val="both"/>
      </w:pPr>
      <w:bookmarkStart w:name="_bookmark2201" w:id="2203"/>
      <w:bookmarkEnd w:id="2203"/>
      <w:r>
        <w:rPr/>
      </w:r>
      <w:r>
        <w:rPr/>
        <w:t>This provision covers unilateral acts, connected with a concluded contract, such as notice of termination, remission of a debt, declaration of rescission or repudiation, </w:t>
      </w:r>
      <w:r>
        <w:rPr>
          <w:color w:val="005DA1"/>
          <w:u w:val="single" w:color="005DA1"/>
          <w:vertAlign w:val="superscript"/>
        </w:rPr>
        <w:t>1164</w:t>
      </w:r>
      <w:r>
        <w:rPr>
          <w:color w:val="005DA1"/>
          <w:vertAlign w:val="baseline"/>
        </w:rPr>
        <w:t> </w:t>
      </w:r>
      <w:r>
        <w:rPr>
          <w:vertAlign w:val="baseline"/>
        </w:rPr>
        <w:t>or such acts which are </w:t>
      </w:r>
      <w:bookmarkStart w:name="_bookmark2202" w:id="2204"/>
      <w:bookmarkEnd w:id="2204"/>
      <w:r>
        <w:rPr>
          <w:vertAlign w:val="baseline"/>
        </w:rPr>
        <w:t>connected</w:t>
      </w:r>
      <w:r>
        <w:rPr>
          <w:vertAlign w:val="baseline"/>
        </w:rPr>
        <w:t> with a contemplated contract, for example an offer expressed to be open for a </w:t>
      </w:r>
      <w:r>
        <w:rPr>
          <w:vertAlign w:val="baseline"/>
        </w:rPr>
        <w:t>specified time. </w:t>
      </w:r>
      <w:r>
        <w:rPr>
          <w:color w:val="005DA1"/>
          <w:u w:val="single" w:color="005DA1"/>
          <w:vertAlign w:val="superscript"/>
        </w:rPr>
        <w:t>1165</w:t>
      </w:r>
    </w:p>
    <w:p>
      <w:pPr>
        <w:pStyle w:val="BodyText"/>
      </w:pPr>
    </w:p>
    <w:p>
      <w:pPr>
        <w:pStyle w:val="BodyText"/>
        <w:spacing w:before="37"/>
      </w:pPr>
    </w:p>
    <w:p>
      <w:pPr>
        <w:spacing w:before="0"/>
        <w:ind w:left="165" w:right="0" w:firstLine="0"/>
        <w:jc w:val="left"/>
        <w:rPr>
          <w:rFonts w:ascii="Arial"/>
          <w:b/>
          <w:sz w:val="18"/>
        </w:rPr>
      </w:pPr>
      <w:r>
        <w:rPr>
          <w:rFonts w:ascii="Arial"/>
          <w:b/>
          <w:sz w:val="18"/>
        </w:rPr>
        <w:t>Effect of change of applicable </w:t>
      </w:r>
      <w:r>
        <w:rPr>
          <w:rFonts w:ascii="Arial"/>
          <w:b/>
          <w:spacing w:val="-5"/>
          <w:sz w:val="18"/>
        </w:rPr>
        <w:t>law</w:t>
      </w:r>
    </w:p>
    <w:p>
      <w:pPr>
        <w:pStyle w:val="BodyText"/>
        <w:spacing w:before="41"/>
        <w:rPr>
          <w:rFonts w:ascii="Arial"/>
          <w:b/>
          <w:sz w:val="18"/>
        </w:rPr>
      </w:pPr>
    </w:p>
    <w:p>
      <w:pPr>
        <w:pStyle w:val="Heading2"/>
        <w:spacing w:before="1"/>
      </w:pPr>
      <w:r>
        <w:rPr/>
        <w:t>30-</w:t>
      </w:r>
      <w:r>
        <w:rPr>
          <w:spacing w:val="-5"/>
        </w:rPr>
        <w:t>317</w:t>
      </w:r>
    </w:p>
    <w:p>
      <w:pPr>
        <w:pStyle w:val="BodyText"/>
        <w:spacing w:line="235" w:lineRule="auto" w:before="202"/>
        <w:ind w:left="165" w:right="167"/>
        <w:jc w:val="both"/>
      </w:pPr>
      <w:bookmarkStart w:name="_bookmark2203" w:id="2205"/>
      <w:bookmarkEnd w:id="2205"/>
      <w:r>
        <w:rPr/>
      </w:r>
      <w:r>
        <w:rPr/>
        <w:t>Article 3(2) of the Rome Convention enables the parties to a contract to change the law which</w:t>
      </w:r>
      <w:r>
        <w:rPr>
          <w:spacing w:val="40"/>
        </w:rPr>
        <w:t> </w:t>
      </w:r>
      <w:bookmarkStart w:name="_bookmark2204" w:id="2206"/>
      <w:bookmarkEnd w:id="2206"/>
      <w:r>
        <w:rPr/>
        <w:t>governs</w:t>
      </w:r>
      <w:r>
        <w:rPr/>
        <w:t> it. </w:t>
      </w:r>
      <w:r>
        <w:rPr>
          <w:color w:val="005DA1"/>
          <w:u w:val="single" w:color="005DA1"/>
          <w:vertAlign w:val="superscript"/>
        </w:rPr>
        <w:t>1166</w:t>
      </w:r>
      <w:r>
        <w:rPr>
          <w:color w:val="005DA1"/>
          <w:vertAlign w:val="baseline"/>
        </w:rPr>
        <w:t> </w:t>
      </w:r>
      <w:r>
        <w:rPr>
          <w:vertAlign w:val="baseline"/>
        </w:rPr>
        <w:t>However, the change in the applicable law shall not prejudice the formal validity of the contract. </w:t>
      </w:r>
      <w:r>
        <w:rPr>
          <w:color w:val="005DA1"/>
          <w:u w:val="single" w:color="005DA1"/>
          <w:vertAlign w:val="superscript"/>
        </w:rPr>
        <w:t>1167</w:t>
      </w:r>
      <w:r>
        <w:rPr>
          <w:color w:val="005DA1"/>
          <w:vertAlign w:val="baseline"/>
        </w:rPr>
        <w:t> </w:t>
      </w:r>
      <w:r>
        <w:rPr>
          <w:vertAlign w:val="baseline"/>
        </w:rPr>
        <w:t>Thus, the contract is valid in respect of form, if it complies with the formal requirements</w:t>
      </w:r>
      <w:r>
        <w:rPr>
          <w:spacing w:val="40"/>
          <w:vertAlign w:val="baseline"/>
        </w:rPr>
        <w:t> </w:t>
      </w:r>
      <w:bookmarkStart w:name="_bookmark2205" w:id="2207"/>
      <w:bookmarkEnd w:id="2207"/>
      <w:r>
        <w:rPr>
          <w:vertAlign w:val="baseline"/>
        </w:rPr>
        <w:t>of</w:t>
      </w:r>
      <w:r>
        <w:rPr>
          <w:vertAlign w:val="baseline"/>
        </w:rPr>
        <w:t> either the original governing law or the new governing law or the law of the country or </w:t>
      </w:r>
      <w:r>
        <w:rPr>
          <w:vertAlign w:val="baseline"/>
        </w:rPr>
        <w:t>countries where the parties were when they concluded the contract. </w:t>
      </w:r>
      <w:r>
        <w:rPr>
          <w:color w:val="005DA1"/>
          <w:u w:val="single" w:color="005DA1"/>
          <w:vertAlign w:val="superscript"/>
        </w:rPr>
        <w:t>1168</w:t>
      </w:r>
    </w:p>
    <w:p>
      <w:pPr>
        <w:pStyle w:val="BodyText"/>
      </w:pPr>
    </w:p>
    <w:p>
      <w:pPr>
        <w:pStyle w:val="BodyText"/>
        <w:spacing w:before="37"/>
      </w:pPr>
    </w:p>
    <w:p>
      <w:pPr>
        <w:spacing w:before="0"/>
        <w:ind w:left="165" w:right="0" w:firstLine="0"/>
        <w:jc w:val="left"/>
        <w:rPr>
          <w:rFonts w:ascii="Arial"/>
          <w:b/>
          <w:sz w:val="18"/>
        </w:rPr>
      </w:pPr>
      <w:r>
        <w:rPr>
          <w:rFonts w:ascii="Arial"/>
          <w:b/>
          <w:sz w:val="18"/>
        </w:rPr>
        <w:t>Effect of several applicable </w:t>
      </w:r>
      <w:r>
        <w:rPr>
          <w:rFonts w:ascii="Arial"/>
          <w:b/>
          <w:spacing w:val="-4"/>
          <w:sz w:val="18"/>
        </w:rPr>
        <w:t>laws</w:t>
      </w:r>
    </w:p>
    <w:p>
      <w:pPr>
        <w:pStyle w:val="BodyText"/>
        <w:spacing w:before="41"/>
        <w:rPr>
          <w:rFonts w:ascii="Arial"/>
          <w:b/>
          <w:sz w:val="18"/>
        </w:rPr>
      </w:pPr>
    </w:p>
    <w:p>
      <w:pPr>
        <w:pStyle w:val="Heading2"/>
      </w:pPr>
      <w:r>
        <w:rPr/>
        <w:t>30-</w:t>
      </w:r>
      <w:r>
        <w:rPr>
          <w:spacing w:val="-5"/>
        </w:rPr>
        <w:t>318</w:t>
      </w:r>
    </w:p>
    <w:p>
      <w:pPr>
        <w:pStyle w:val="BodyText"/>
        <w:spacing w:line="235" w:lineRule="auto" w:before="203"/>
        <w:ind w:left="165" w:right="167"/>
        <w:jc w:val="both"/>
      </w:pPr>
      <w:bookmarkStart w:name="_bookmark2206" w:id="2208"/>
      <w:bookmarkEnd w:id="2208"/>
      <w:r>
        <w:rPr/>
      </w:r>
      <w:r>
        <w:rPr/>
        <w:t>Where a contract is subject to several applicable laws (either, e.g. because the parties have </w:t>
      </w:r>
      <w:r>
        <w:rPr/>
        <w:t>selected </w:t>
      </w:r>
      <w:bookmarkStart w:name="_bookmark2207" w:id="2209"/>
      <w:bookmarkEnd w:id="2209"/>
      <w:r>
        <w:rPr/>
        <w:t>different</w:t>
      </w:r>
      <w:r>
        <w:rPr/>
        <w:t> laws to govern different parts of the contract pursuant to art.3(1), </w:t>
      </w:r>
      <w:r>
        <w:rPr>
          <w:color w:val="005DA1"/>
          <w:u w:val="single" w:color="005DA1"/>
          <w:vertAlign w:val="superscript"/>
        </w:rPr>
        <w:t>1169</w:t>
      </w:r>
      <w:r>
        <w:rPr>
          <w:color w:val="005DA1"/>
          <w:vertAlign w:val="baseline"/>
        </w:rPr>
        <w:t> </w:t>
      </w:r>
      <w:r>
        <w:rPr>
          <w:vertAlign w:val="baseline"/>
        </w:rPr>
        <w:t>or because the court has, by way of exception, severed the contract pursuant to art.4(1)), </w:t>
      </w:r>
      <w:r>
        <w:rPr>
          <w:color w:val="005DA1"/>
          <w:u w:val="single" w:color="005DA1"/>
          <w:vertAlign w:val="superscript"/>
        </w:rPr>
        <w:t>1170</w:t>
      </w:r>
      <w:r>
        <w:rPr>
          <w:color w:val="005DA1"/>
          <w:vertAlign w:val="baseline"/>
        </w:rPr>
        <w:t> </w:t>
      </w:r>
      <w:r>
        <w:rPr>
          <w:vertAlign w:val="baseline"/>
        </w:rPr>
        <w:t>the Giuliano-Lagarde Report suggests that, in relation to the issue of formal validity:</w:t>
      </w:r>
    </w:p>
    <w:p>
      <w:pPr>
        <w:pStyle w:val="BodyText"/>
      </w:pPr>
    </w:p>
    <w:p>
      <w:pPr>
        <w:pStyle w:val="BodyText"/>
        <w:spacing w:before="125"/>
      </w:pPr>
    </w:p>
    <w:p>
      <w:pPr>
        <w:pStyle w:val="BodyText"/>
        <w:spacing w:line="235" w:lineRule="auto"/>
        <w:ind w:left="1245" w:right="167"/>
        <w:jc w:val="both"/>
      </w:pPr>
      <w:bookmarkStart w:name="_bookmark2208" w:id="2210"/>
      <w:bookmarkEnd w:id="2210"/>
      <w:r>
        <w:rPr/>
      </w:r>
      <w:r>
        <w:rPr/>
        <w:t>“… it would seem reasonable to apply the law applicable to the part of the contract most closely connected with the disputed condition on which its formal validity depends.” </w:t>
      </w:r>
      <w:r>
        <w:rPr>
          <w:color w:val="005DA1"/>
          <w:u w:val="single" w:color="005DA1"/>
          <w:vertAlign w:val="superscript"/>
        </w:rPr>
        <w:t>1171</w:t>
      </w:r>
    </w:p>
    <w:p>
      <w:pPr>
        <w:pStyle w:val="BodyText"/>
      </w:pPr>
    </w:p>
    <w:p>
      <w:pPr>
        <w:pStyle w:val="BodyText"/>
      </w:pPr>
    </w:p>
    <w:p>
      <w:pPr>
        <w:pStyle w:val="BodyText"/>
        <w:spacing w:before="155"/>
      </w:pPr>
    </w:p>
    <w:p>
      <w:pPr>
        <w:spacing w:before="0"/>
        <w:ind w:left="165" w:right="0" w:firstLine="0"/>
        <w:jc w:val="left"/>
        <w:rPr>
          <w:rFonts w:ascii="Arial"/>
          <w:b/>
          <w:sz w:val="18"/>
        </w:rPr>
      </w:pPr>
      <w:r>
        <w:rPr>
          <w:rFonts w:ascii="Arial"/>
          <w:b/>
          <w:sz w:val="18"/>
        </w:rPr>
        <w:t>Rome I Regulation: general </w:t>
      </w:r>
      <w:r>
        <w:rPr>
          <w:rFonts w:ascii="Arial"/>
          <w:b/>
          <w:spacing w:val="-2"/>
          <w:sz w:val="18"/>
        </w:rPr>
        <w:t>rules</w:t>
      </w:r>
    </w:p>
    <w:p>
      <w:pPr>
        <w:pStyle w:val="BodyText"/>
        <w:spacing w:before="41"/>
        <w:rPr>
          <w:rFonts w:ascii="Arial"/>
          <w:b/>
          <w:sz w:val="18"/>
        </w:rPr>
      </w:pPr>
    </w:p>
    <w:p>
      <w:pPr>
        <w:pStyle w:val="Heading2"/>
      </w:pPr>
      <w:r>
        <w:rPr/>
        <w:t>30-</w:t>
      </w:r>
      <w:r>
        <w:rPr>
          <w:spacing w:val="-5"/>
        </w:rPr>
        <w:t>319</w:t>
      </w:r>
    </w:p>
    <w:p>
      <w:pPr>
        <w:pStyle w:val="BodyText"/>
        <w:spacing w:before="199"/>
        <w:ind w:left="165"/>
        <w:jc w:val="both"/>
      </w:pPr>
      <w:r>
        <w:rPr/>
        <w:t>Article 11(1) of the Rome I Regulation provides that </w:t>
      </w:r>
      <w:r>
        <w:rPr>
          <w:spacing w:val="-5"/>
        </w:rPr>
        <w:t>a:</w:t>
      </w:r>
    </w:p>
    <w:p>
      <w:pPr>
        <w:pStyle w:val="BodyText"/>
      </w:pPr>
    </w:p>
    <w:p>
      <w:pPr>
        <w:pStyle w:val="BodyText"/>
        <w:spacing w:before="125"/>
      </w:pPr>
    </w:p>
    <w:p>
      <w:pPr>
        <w:pStyle w:val="BodyText"/>
        <w:spacing w:line="235" w:lineRule="auto" w:before="1"/>
        <w:ind w:left="1245" w:right="167"/>
        <w:jc w:val="both"/>
      </w:pPr>
      <w:r>
        <w:rPr/>
        <w:t>“… contract concluded between persons who, or whose agents are, in the same country at the time of its conclusion is formally valid if it satisfies the formal requirements of the law which governs it under this Regulation or of the law of the country where it </w:t>
      </w:r>
      <w:r>
        <w:rPr/>
        <w:t>is </w:t>
      </w:r>
      <w:r>
        <w:rPr>
          <w:spacing w:val="-2"/>
        </w:rPr>
        <w:t>concluded.”</w:t>
      </w:r>
    </w:p>
    <w:p>
      <w:pPr>
        <w:pStyle w:val="BodyText"/>
        <w:spacing w:before="115"/>
      </w:pPr>
    </w:p>
    <w:p>
      <w:pPr>
        <w:pStyle w:val="BodyText"/>
        <w:spacing w:line="235" w:lineRule="auto"/>
        <w:ind w:left="165" w:right="167"/>
        <w:jc w:val="both"/>
      </w:pPr>
      <w:bookmarkStart w:name="_bookmark2209" w:id="2211"/>
      <w:bookmarkEnd w:id="2211"/>
      <w:r>
        <w:rPr/>
      </w:r>
      <w:r>
        <w:rPr/>
        <w:t>This, in effect, is the same position as is taken in art.9(1), combined with art.9(3), of the Rome Convention. </w:t>
      </w:r>
      <w:r>
        <w:rPr>
          <w:color w:val="005DA1"/>
          <w:u w:val="single" w:color="005DA1"/>
          <w:vertAlign w:val="superscript"/>
        </w:rPr>
        <w:t>1172</w:t>
      </w:r>
      <w:r>
        <w:rPr>
          <w:color w:val="005DA1"/>
          <w:vertAlign w:val="baseline"/>
        </w:rPr>
        <w:t> </w:t>
      </w:r>
      <w:r>
        <w:rPr>
          <w:vertAlign w:val="baseline"/>
        </w:rPr>
        <w:t>According to art.11(2):</w:t>
      </w:r>
    </w:p>
    <w:p>
      <w:pPr>
        <w:pStyle w:val="BodyText"/>
      </w:pPr>
    </w:p>
    <w:p>
      <w:pPr>
        <w:pStyle w:val="BodyText"/>
        <w:spacing w:before="126"/>
      </w:pPr>
    </w:p>
    <w:p>
      <w:pPr>
        <w:pStyle w:val="BodyText"/>
        <w:spacing w:line="235" w:lineRule="auto"/>
        <w:ind w:left="1244" w:right="167"/>
        <w:jc w:val="both"/>
      </w:pPr>
      <w:r>
        <w:rPr/>
        <w:t>“… a contract concluded between persons who, or whose agents, are in different countries at the time of its conclusion is formally valid if it satisfies the formal</w:t>
      </w:r>
      <w:r>
        <w:rPr>
          <w:spacing w:val="40"/>
        </w:rPr>
        <w:t> </w:t>
      </w:r>
      <w:r>
        <w:rPr/>
        <w:t>requirements of the law which governs it in substance under this Regulation or of the law of either of the countries where either of the parties or their agent is present at the time of the</w:t>
      </w:r>
      <w:r>
        <w:rPr>
          <w:spacing w:val="22"/>
        </w:rPr>
        <w:t> </w:t>
      </w:r>
      <w:r>
        <w:rPr/>
        <w:t>conclusion,</w:t>
      </w:r>
      <w:r>
        <w:rPr>
          <w:spacing w:val="22"/>
        </w:rPr>
        <w:t> </w:t>
      </w:r>
      <w:r>
        <w:rPr/>
        <w:t>or</w:t>
      </w:r>
      <w:r>
        <w:rPr>
          <w:spacing w:val="22"/>
        </w:rPr>
        <w:t> </w:t>
      </w:r>
      <w:r>
        <w:rPr/>
        <w:t>of</w:t>
      </w:r>
      <w:r>
        <w:rPr>
          <w:spacing w:val="22"/>
        </w:rPr>
        <w:t> </w:t>
      </w:r>
      <w:r>
        <w:rPr/>
        <w:t>the</w:t>
      </w:r>
      <w:r>
        <w:rPr>
          <w:spacing w:val="22"/>
        </w:rPr>
        <w:t> </w:t>
      </w:r>
      <w:r>
        <w:rPr/>
        <w:t>law</w:t>
      </w:r>
      <w:r>
        <w:rPr>
          <w:spacing w:val="22"/>
        </w:rPr>
        <w:t> </w:t>
      </w:r>
      <w:r>
        <w:rPr/>
        <w:t>of</w:t>
      </w:r>
      <w:r>
        <w:rPr>
          <w:spacing w:val="22"/>
        </w:rPr>
        <w:t> </w:t>
      </w:r>
      <w:r>
        <w:rPr/>
        <w:t>the</w:t>
      </w:r>
      <w:r>
        <w:rPr>
          <w:spacing w:val="22"/>
        </w:rPr>
        <w:t> </w:t>
      </w:r>
      <w:r>
        <w:rPr/>
        <w:t>country</w:t>
      </w:r>
      <w:r>
        <w:rPr>
          <w:spacing w:val="22"/>
        </w:rPr>
        <w:t> </w:t>
      </w:r>
      <w:r>
        <w:rPr/>
        <w:t>where</w:t>
      </w:r>
      <w:r>
        <w:rPr>
          <w:spacing w:val="22"/>
        </w:rPr>
        <w:t> </w:t>
      </w:r>
      <w:r>
        <w:rPr/>
        <w:t>either</w:t>
      </w:r>
      <w:r>
        <w:rPr>
          <w:spacing w:val="22"/>
        </w:rPr>
        <w:t> </w:t>
      </w:r>
      <w:r>
        <w:rPr/>
        <w:t>of</w:t>
      </w:r>
      <w:r>
        <w:rPr>
          <w:spacing w:val="22"/>
        </w:rPr>
        <w:t> </w:t>
      </w:r>
      <w:r>
        <w:rPr/>
        <w:t>the</w:t>
      </w:r>
      <w:r>
        <w:rPr>
          <w:spacing w:val="22"/>
        </w:rPr>
        <w:t> </w:t>
      </w:r>
      <w:r>
        <w:rPr/>
        <w:t>parties</w:t>
      </w:r>
      <w:r>
        <w:rPr>
          <w:spacing w:val="22"/>
        </w:rPr>
        <w:t> </w:t>
      </w:r>
      <w:r>
        <w:rPr/>
        <w:t>had</w:t>
      </w:r>
      <w:r>
        <w:rPr>
          <w:spacing w:val="22"/>
        </w:rPr>
        <w:t> </w:t>
      </w:r>
      <w:r>
        <w:rPr/>
        <w:t>his</w:t>
      </w:r>
      <w:r>
        <w:rPr>
          <w:spacing w:val="22"/>
        </w:rPr>
        <w:t> </w:t>
      </w:r>
      <w:r>
        <w:rPr>
          <w:spacing w:val="-2"/>
        </w:rPr>
        <w:t>habitual</w:t>
      </w:r>
    </w:p>
    <w:p>
      <w:pPr>
        <w:pStyle w:val="BodyText"/>
        <w:spacing w:after="0" w:line="235" w:lineRule="auto"/>
        <w:jc w:val="both"/>
        <w:sectPr>
          <w:pgSz w:w="11900" w:h="16840"/>
          <w:pgMar w:header="971" w:footer="0" w:top="1300" w:bottom="280" w:left="1275" w:right="1275"/>
        </w:sectPr>
      </w:pPr>
    </w:p>
    <w:p>
      <w:pPr>
        <w:pStyle w:val="BodyText"/>
        <w:spacing w:before="163"/>
      </w:pPr>
    </w:p>
    <w:p>
      <w:pPr>
        <w:pStyle w:val="BodyText"/>
        <w:ind w:left="1245"/>
        <w:jc w:val="both"/>
      </w:pPr>
      <w:r>
        <w:rPr/>
        <w:t>residence at that </w:t>
      </w:r>
      <w:r>
        <w:rPr>
          <w:spacing w:val="-2"/>
        </w:rPr>
        <w:t>time.”</w:t>
      </w:r>
    </w:p>
    <w:p>
      <w:pPr>
        <w:pStyle w:val="BodyText"/>
        <w:spacing w:before="116"/>
      </w:pPr>
    </w:p>
    <w:p>
      <w:pPr>
        <w:pStyle w:val="BodyText"/>
        <w:spacing w:line="235" w:lineRule="auto"/>
        <w:ind w:left="165" w:right="167"/>
        <w:jc w:val="both"/>
      </w:pPr>
      <w:bookmarkStart w:name="_bookmark2210" w:id="2212"/>
      <w:bookmarkEnd w:id="2212"/>
      <w:r>
        <w:rPr/>
      </w:r>
      <w:r>
        <w:rPr/>
        <w:t>This provision reflects, first, art.9(2), combined with art.9(3) of the Convention. </w:t>
      </w:r>
      <w:r>
        <w:rPr>
          <w:color w:val="005DA1"/>
          <w:u w:val="single" w:color="005DA1"/>
          <w:vertAlign w:val="superscript"/>
        </w:rPr>
        <w:t>1173</w:t>
      </w:r>
      <w:r>
        <w:rPr>
          <w:color w:val="005DA1"/>
          <w:vertAlign w:val="baseline"/>
        </w:rPr>
        <w:t> </w:t>
      </w:r>
      <w:r>
        <w:rPr>
          <w:vertAlign w:val="baseline"/>
        </w:rPr>
        <w:t>Secondly, </w:t>
      </w:r>
      <w:r>
        <w:rPr>
          <w:vertAlign w:val="baseline"/>
        </w:rPr>
        <w:t>unlike </w:t>
      </w:r>
      <w:bookmarkStart w:name="_bookmark2211" w:id="2213"/>
      <w:bookmarkEnd w:id="2213"/>
      <w:r>
        <w:rPr>
          <w:vertAlign w:val="baseline"/>
        </w:rPr>
        <w:t>the</w:t>
      </w:r>
      <w:r>
        <w:rPr>
          <w:vertAlign w:val="baseline"/>
        </w:rPr>
        <w:t> Convention, however, art.11(2) of the Regulation also permits a reference to the law of either of the parties’ habitual residence, </w:t>
      </w:r>
      <w:r>
        <w:rPr>
          <w:color w:val="005DA1"/>
          <w:u w:val="single" w:color="005DA1"/>
          <w:vertAlign w:val="superscript"/>
        </w:rPr>
        <w:t>1174</w:t>
      </w:r>
      <w:r>
        <w:rPr>
          <w:color w:val="005DA1"/>
          <w:vertAlign w:val="baseline"/>
        </w:rPr>
        <w:t> </w:t>
      </w:r>
      <w:r>
        <w:rPr>
          <w:vertAlign w:val="baseline"/>
        </w:rPr>
        <w:t>as a law by which formal validity may be determined. In this respect, therefore, the Regulation is more liberal, as regards the applicable law to determine formal validity, than is the Convention.</w:t>
      </w:r>
    </w:p>
    <w:p>
      <w:pPr>
        <w:pStyle w:val="BodyText"/>
      </w:pPr>
    </w:p>
    <w:p>
      <w:pPr>
        <w:pStyle w:val="BodyText"/>
        <w:spacing w:before="36"/>
      </w:pPr>
    </w:p>
    <w:p>
      <w:pPr>
        <w:spacing w:before="1"/>
        <w:ind w:left="165" w:right="0" w:firstLine="0"/>
        <w:jc w:val="left"/>
        <w:rPr>
          <w:rFonts w:ascii="Arial"/>
          <w:b/>
          <w:sz w:val="18"/>
        </w:rPr>
      </w:pPr>
      <w:r>
        <w:rPr>
          <w:rFonts w:ascii="Arial"/>
          <w:b/>
          <w:sz w:val="18"/>
        </w:rPr>
        <w:t>Unilateral </w:t>
      </w:r>
      <w:r>
        <w:rPr>
          <w:rFonts w:ascii="Arial"/>
          <w:b/>
          <w:spacing w:val="-4"/>
          <w:sz w:val="18"/>
        </w:rPr>
        <w:t>acts</w:t>
      </w:r>
    </w:p>
    <w:p>
      <w:pPr>
        <w:pStyle w:val="BodyText"/>
        <w:spacing w:before="41"/>
        <w:rPr>
          <w:rFonts w:ascii="Arial"/>
          <w:b/>
          <w:sz w:val="18"/>
        </w:rPr>
      </w:pPr>
    </w:p>
    <w:p>
      <w:pPr>
        <w:pStyle w:val="Heading2"/>
      </w:pPr>
      <w:r>
        <w:rPr/>
        <w:t>30-</w:t>
      </w:r>
      <w:r>
        <w:rPr>
          <w:spacing w:val="-5"/>
        </w:rPr>
        <w:t>320</w:t>
      </w:r>
    </w:p>
    <w:p>
      <w:pPr>
        <w:pStyle w:val="BodyText"/>
        <w:spacing w:line="235" w:lineRule="auto" w:before="202"/>
        <w:ind w:left="165" w:right="167"/>
        <w:jc w:val="both"/>
      </w:pPr>
      <w:r>
        <w:rPr/>
        <w:t>Article 11(3) of the Regulation, reflecting a slightly different structure to art.9 of the Convention, </w:t>
      </w:r>
      <w:r>
        <w:rPr/>
        <w:t>then deals with unilateral acts “intended to have legal effect relating to an existing or contemplated contract”. Such an act:</w:t>
      </w:r>
    </w:p>
    <w:p>
      <w:pPr>
        <w:pStyle w:val="BodyText"/>
      </w:pPr>
    </w:p>
    <w:p>
      <w:pPr>
        <w:pStyle w:val="BodyText"/>
        <w:spacing w:before="126"/>
      </w:pPr>
    </w:p>
    <w:p>
      <w:pPr>
        <w:pStyle w:val="BodyText"/>
        <w:spacing w:line="235" w:lineRule="auto"/>
        <w:ind w:left="1245" w:right="167"/>
        <w:jc w:val="both"/>
      </w:pPr>
      <w:r>
        <w:rPr/>
        <w:t>“… is formally valid if it satisfies the formal requirements of the law which governs </w:t>
      </w:r>
      <w:r>
        <w:rPr/>
        <w:t>or would govern the contract in substance under this Regulation, or of the law of the country where the act was done, or of the law of the country where the person by whom it was done had his habitual residence at that time.”</w:t>
      </w:r>
    </w:p>
    <w:p>
      <w:pPr>
        <w:pStyle w:val="BodyText"/>
        <w:spacing w:before="115"/>
      </w:pPr>
    </w:p>
    <w:p>
      <w:pPr>
        <w:pStyle w:val="BodyText"/>
        <w:spacing w:line="235" w:lineRule="auto"/>
        <w:ind w:left="164" w:right="167"/>
        <w:jc w:val="both"/>
      </w:pPr>
      <w:r>
        <w:rPr/>
        <w:t>Although the equivalent provision in art.9(4) of the Rome Convention referred to an “act” rather than a </w:t>
      </w:r>
      <w:bookmarkStart w:name="_bookmark2212" w:id="2214"/>
      <w:bookmarkEnd w:id="2214"/>
      <w:r>
        <w:rPr/>
        <w:t>“unilateral</w:t>
      </w:r>
      <w:r>
        <w:rPr/>
        <w:t> act”, it appears that the Convention contemplated a unilateral act, so that no change </w:t>
      </w:r>
      <w:r>
        <w:rPr/>
        <w:t>of substance</w:t>
      </w:r>
      <w:r>
        <w:rPr>
          <w:spacing w:val="-2"/>
        </w:rPr>
        <w:t> </w:t>
      </w:r>
      <w:r>
        <w:rPr/>
        <w:t>is</w:t>
      </w:r>
      <w:r>
        <w:rPr>
          <w:spacing w:val="-2"/>
        </w:rPr>
        <w:t> </w:t>
      </w:r>
      <w:r>
        <w:rPr/>
        <w:t>intended</w:t>
      </w:r>
      <w:r>
        <w:rPr>
          <w:spacing w:val="-2"/>
        </w:rPr>
        <w:t> </w:t>
      </w:r>
      <w:r>
        <w:rPr/>
        <w:t>by</w:t>
      </w:r>
      <w:r>
        <w:rPr>
          <w:spacing w:val="-2"/>
        </w:rPr>
        <w:t> </w:t>
      </w:r>
      <w:r>
        <w:rPr/>
        <w:t>this</w:t>
      </w:r>
      <w:r>
        <w:rPr>
          <w:spacing w:val="-2"/>
        </w:rPr>
        <w:t> </w:t>
      </w:r>
      <w:r>
        <w:rPr/>
        <w:t>linguistic</w:t>
      </w:r>
      <w:r>
        <w:rPr>
          <w:spacing w:val="-2"/>
        </w:rPr>
        <w:t> </w:t>
      </w:r>
      <w:r>
        <w:rPr/>
        <w:t>difference.</w:t>
      </w:r>
      <w:r>
        <w:rPr>
          <w:spacing w:val="-2"/>
        </w:rPr>
        <w:t> </w:t>
      </w:r>
      <w:r>
        <w:rPr>
          <w:color w:val="005DA1"/>
          <w:u w:val="single" w:color="005DA1"/>
          <w:vertAlign w:val="superscript"/>
        </w:rPr>
        <w:t>1175</w:t>
      </w:r>
      <w:r>
        <w:rPr>
          <w:color w:val="005DA1"/>
          <w:spacing w:val="-2"/>
          <w:vertAlign w:val="baseline"/>
        </w:rPr>
        <w:t> </w:t>
      </w:r>
      <w:r>
        <w:rPr>
          <w:vertAlign w:val="baseline"/>
        </w:rPr>
        <w:t>The</w:t>
      </w:r>
      <w:r>
        <w:rPr>
          <w:spacing w:val="-2"/>
          <w:vertAlign w:val="baseline"/>
        </w:rPr>
        <w:t> </w:t>
      </w:r>
      <w:r>
        <w:rPr>
          <w:vertAlign w:val="baseline"/>
        </w:rPr>
        <w:t>difference</w:t>
      </w:r>
      <w:r>
        <w:rPr>
          <w:spacing w:val="-2"/>
          <w:vertAlign w:val="baseline"/>
        </w:rPr>
        <w:t> </w:t>
      </w:r>
      <w:r>
        <w:rPr>
          <w:vertAlign w:val="baseline"/>
        </w:rPr>
        <w:t>between</w:t>
      </w:r>
      <w:r>
        <w:rPr>
          <w:spacing w:val="-2"/>
          <w:vertAlign w:val="baseline"/>
        </w:rPr>
        <w:t> </w:t>
      </w:r>
      <w:r>
        <w:rPr>
          <w:vertAlign w:val="baseline"/>
        </w:rPr>
        <w:t>the</w:t>
      </w:r>
      <w:r>
        <w:rPr>
          <w:spacing w:val="-2"/>
          <w:vertAlign w:val="baseline"/>
        </w:rPr>
        <w:t> </w:t>
      </w:r>
      <w:r>
        <w:rPr>
          <w:vertAlign w:val="baseline"/>
        </w:rPr>
        <w:t>Convention</w:t>
      </w:r>
      <w:r>
        <w:rPr>
          <w:spacing w:val="-2"/>
          <w:vertAlign w:val="baseline"/>
        </w:rPr>
        <w:t> </w:t>
      </w:r>
      <w:r>
        <w:rPr>
          <w:vertAlign w:val="baseline"/>
        </w:rPr>
        <w:t>and</w:t>
      </w:r>
      <w:r>
        <w:rPr>
          <w:spacing w:val="-2"/>
          <w:vertAlign w:val="baseline"/>
        </w:rPr>
        <w:t> </w:t>
      </w:r>
      <w:r>
        <w:rPr>
          <w:vertAlign w:val="baseline"/>
        </w:rPr>
        <w:t>the Regulation is, however, that the Regulation, in addition to the laws by which formal validity can be </w:t>
      </w:r>
      <w:bookmarkStart w:name="_bookmark2213" w:id="2215"/>
      <w:bookmarkEnd w:id="2215"/>
      <w:r>
        <w:rPr>
          <w:vertAlign w:val="baseline"/>
        </w:rPr>
        <w:t>determined</w:t>
      </w:r>
      <w:r>
        <w:rPr>
          <w:vertAlign w:val="baseline"/>
        </w:rPr>
        <w:t> under the Convention, also permits formal validity to be determined by the law of the country where the person by whom the act was done had his habitual residence </w:t>
      </w:r>
      <w:r>
        <w:rPr>
          <w:color w:val="005DA1"/>
          <w:u w:val="single" w:color="005DA1"/>
          <w:vertAlign w:val="superscript"/>
        </w:rPr>
        <w:t>1176</w:t>
      </w:r>
      <w:r>
        <w:rPr>
          <w:color w:val="005DA1"/>
          <w:vertAlign w:val="baseline"/>
        </w:rPr>
        <w:t> </w:t>
      </w:r>
      <w:r>
        <w:rPr>
          <w:vertAlign w:val="baseline"/>
        </w:rPr>
        <w:t>at the time the</w:t>
      </w:r>
      <w:r>
        <w:rPr>
          <w:spacing w:val="40"/>
          <w:vertAlign w:val="baseline"/>
        </w:rPr>
        <w:t> </w:t>
      </w:r>
      <w:bookmarkStart w:name="_bookmark2214" w:id="2216"/>
      <w:bookmarkEnd w:id="2216"/>
      <w:r>
        <w:rPr>
          <w:vertAlign w:val="baseline"/>
        </w:rPr>
        <w:t>act</w:t>
      </w:r>
      <w:r>
        <w:rPr>
          <w:vertAlign w:val="baseline"/>
        </w:rPr>
        <w:t> was done. In this respect, therefore, the Regulation is also more liberal in its approach to formal validity than the Rome Convention. </w:t>
      </w:r>
      <w:r>
        <w:rPr>
          <w:color w:val="005DA1"/>
          <w:u w:val="single" w:color="005DA1"/>
          <w:vertAlign w:val="superscript"/>
        </w:rPr>
        <w:t>1177</w:t>
      </w:r>
    </w:p>
    <w:p>
      <w:pPr>
        <w:pStyle w:val="BodyText"/>
      </w:pPr>
    </w:p>
    <w:p>
      <w:pPr>
        <w:pStyle w:val="BodyText"/>
        <w:spacing w:before="36"/>
      </w:pPr>
    </w:p>
    <w:p>
      <w:pPr>
        <w:spacing w:before="0"/>
        <w:ind w:left="165" w:right="0" w:firstLine="0"/>
        <w:jc w:val="left"/>
        <w:rPr>
          <w:rFonts w:ascii="Arial"/>
          <w:b/>
          <w:sz w:val="18"/>
        </w:rPr>
      </w:pPr>
      <w:r>
        <w:rPr>
          <w:rFonts w:ascii="Arial"/>
          <w:b/>
          <w:sz w:val="18"/>
        </w:rPr>
        <w:t>Consumer </w:t>
      </w:r>
      <w:r>
        <w:rPr>
          <w:rFonts w:ascii="Arial"/>
          <w:b/>
          <w:spacing w:val="-2"/>
          <w:sz w:val="18"/>
        </w:rPr>
        <w:t>contracts</w:t>
      </w:r>
    </w:p>
    <w:p>
      <w:pPr>
        <w:pStyle w:val="BodyText"/>
        <w:spacing w:before="41"/>
        <w:rPr>
          <w:rFonts w:ascii="Arial"/>
          <w:b/>
          <w:sz w:val="18"/>
        </w:rPr>
      </w:pPr>
    </w:p>
    <w:p>
      <w:pPr>
        <w:pStyle w:val="Heading2"/>
      </w:pPr>
      <w:r>
        <w:rPr/>
        <w:t>30-</w:t>
      </w:r>
      <w:r>
        <w:rPr>
          <w:spacing w:val="-5"/>
        </w:rPr>
        <w:t>321</w:t>
      </w:r>
    </w:p>
    <w:p>
      <w:pPr>
        <w:pStyle w:val="BodyText"/>
        <w:spacing w:line="235" w:lineRule="auto" w:before="203"/>
        <w:ind w:left="165" w:right="167"/>
        <w:jc w:val="both"/>
      </w:pPr>
      <w:r>
        <w:rPr/>
        <w:t>Where contracts are consumer contracts falling within art.6 of the Regulation, art.11(4) of the </w:t>
      </w:r>
      <w:bookmarkStart w:name="_bookmark2215" w:id="2217"/>
      <w:bookmarkEnd w:id="2217"/>
      <w:r>
        <w:rPr/>
        <w:t>Regulation</w:t>
      </w:r>
      <w:r>
        <w:rPr/>
        <w:t> provides that the “form of such contracts shall be governed by the law of the country</w:t>
      </w:r>
      <w:r>
        <w:rPr>
          <w:spacing w:val="40"/>
        </w:rPr>
        <w:t> </w:t>
      </w:r>
      <w:r>
        <w:rPr/>
        <w:t>where the consumer has his habitual residence” and excludes art.11(1)–(3). </w:t>
      </w:r>
      <w:r>
        <w:rPr>
          <w:color w:val="005DA1"/>
          <w:u w:val="single" w:color="005DA1"/>
          <w:vertAlign w:val="superscript"/>
        </w:rPr>
        <w:t>1178</w:t>
      </w:r>
      <w:r>
        <w:rPr>
          <w:color w:val="005DA1"/>
          <w:vertAlign w:val="baseline"/>
        </w:rPr>
        <w:t> </w:t>
      </w:r>
      <w:r>
        <w:rPr>
          <w:vertAlign w:val="baseline"/>
        </w:rPr>
        <w:t>This provision is obviously different to that in the Rome Convention, because the Regulation defines </w:t>
      </w:r>
      <w:r>
        <w:rPr>
          <w:vertAlign w:val="baseline"/>
        </w:rPr>
        <w:t>consumer </w:t>
      </w:r>
      <w:bookmarkStart w:name="_bookmark2216" w:id="2218"/>
      <w:bookmarkEnd w:id="2218"/>
      <w:r>
        <w:rPr>
          <w:vertAlign w:val="baseline"/>
        </w:rPr>
        <w:t>contracts</w:t>
      </w:r>
      <w:r>
        <w:rPr>
          <w:vertAlign w:val="baseline"/>
        </w:rPr>
        <w:t> and the circumstances in which the choice of law rules relating thereto will apply in a different manner. </w:t>
      </w:r>
      <w:r>
        <w:rPr>
          <w:color w:val="005DA1"/>
          <w:u w:val="single" w:color="005DA1"/>
          <w:vertAlign w:val="superscript"/>
        </w:rPr>
        <w:t>1179</w:t>
      </w:r>
      <w:r>
        <w:rPr>
          <w:color w:val="005DA1"/>
          <w:vertAlign w:val="baseline"/>
        </w:rPr>
        <w:t> </w:t>
      </w:r>
      <w:r>
        <w:rPr>
          <w:vertAlign w:val="baseline"/>
        </w:rPr>
        <w:t>But each instrument employs the law of the consumer’s habitual residence as the governing law.</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Immovables</w:t>
      </w:r>
    </w:p>
    <w:p>
      <w:pPr>
        <w:pStyle w:val="BodyText"/>
        <w:spacing w:before="41"/>
        <w:rPr>
          <w:rFonts w:ascii="Arial"/>
          <w:b/>
          <w:sz w:val="18"/>
        </w:rPr>
      </w:pPr>
    </w:p>
    <w:p>
      <w:pPr>
        <w:pStyle w:val="Heading2"/>
      </w:pPr>
      <w:r>
        <w:rPr/>
        <w:t>30-</w:t>
      </w:r>
      <w:r>
        <w:rPr>
          <w:spacing w:val="-5"/>
        </w:rPr>
        <w:t>322</w:t>
      </w:r>
    </w:p>
    <w:p>
      <w:pPr>
        <w:pStyle w:val="BodyText"/>
        <w:spacing w:line="235" w:lineRule="auto" w:before="203"/>
        <w:ind w:left="165" w:right="167"/>
        <w:jc w:val="both"/>
      </w:pPr>
      <w:bookmarkStart w:name="_bookmark2217" w:id="2219"/>
      <w:bookmarkEnd w:id="2219"/>
      <w:r>
        <w:rPr/>
      </w:r>
      <w:r>
        <w:rPr/>
        <w:t>In general, the formal validity of a contract with regard to an immovable is governed, under the Regulation, by the general rules described above. </w:t>
      </w:r>
      <w:r>
        <w:rPr>
          <w:color w:val="005DA1"/>
          <w:u w:val="single" w:color="005DA1"/>
          <w:vertAlign w:val="superscript"/>
        </w:rPr>
        <w:t>1180</w:t>
      </w:r>
      <w:r>
        <w:rPr>
          <w:color w:val="005DA1"/>
          <w:vertAlign w:val="baseline"/>
        </w:rPr>
        <w:t> </w:t>
      </w:r>
      <w:r>
        <w:rPr>
          <w:vertAlign w:val="baseline"/>
        </w:rPr>
        <w:t>Article 11(5) of the Regulation, however, establishes an additional rule, in this respect, in relation to “a contract the subject matter of which is a </w:t>
      </w:r>
      <w:bookmarkStart w:name="_bookmark2218" w:id="2220"/>
      <w:bookmarkEnd w:id="2220"/>
      <w:r>
        <w:rPr>
          <w:vertAlign w:val="baseline"/>
        </w:rPr>
        <w:t>right</w:t>
      </w:r>
      <w:r>
        <w:rPr>
          <w:vertAlign w:val="baseline"/>
        </w:rPr>
        <w:t> in rem in immovable property or a tenancy of immovable property”, a different formulation to that contained in art.9(6) of the Rome Convention, which is the equivalent provision to art.11(5). </w:t>
      </w:r>
      <w:r>
        <w:rPr>
          <w:color w:val="005DA1"/>
          <w:u w:val="single" w:color="005DA1"/>
          <w:vertAlign w:val="superscript"/>
        </w:rPr>
        <w:t>1181</w:t>
      </w:r>
      <w:r>
        <w:rPr>
          <w:color w:val="005DA1"/>
          <w:vertAlign w:val="baseline"/>
        </w:rPr>
        <w:t> </w:t>
      </w:r>
      <w:r>
        <w:rPr>
          <w:vertAlign w:val="baseline"/>
        </w:rPr>
        <w:t>The formal validity of such a contract falling within art.11(5) of the Rome I Regulation shall be governed</w:t>
      </w:r>
      <w:r>
        <w:rPr>
          <w:spacing w:val="40"/>
          <w:vertAlign w:val="baseline"/>
        </w:rPr>
        <w:t> </w:t>
      </w:r>
      <w:r>
        <w:rPr>
          <w:spacing w:val="-4"/>
          <w:vertAlign w:val="baseline"/>
        </w:rPr>
        <w:t>by:</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before="177"/>
      </w:pPr>
    </w:p>
    <w:p>
      <w:pPr>
        <w:pStyle w:val="BodyText"/>
        <w:spacing w:line="235" w:lineRule="auto"/>
        <w:ind w:left="1245" w:right="167"/>
        <w:jc w:val="both"/>
      </w:pPr>
      <w:r>
        <w:rPr/>
        <w:t>“… the requirements of form of the law of the country where the property is situated if </w:t>
      </w:r>
      <w:r>
        <w:rPr/>
        <w:t>by that</w:t>
      </w:r>
      <w:r>
        <w:rPr>
          <w:spacing w:val="-2"/>
        </w:rPr>
        <w:t> </w:t>
      </w:r>
      <w:r>
        <w:rPr/>
        <w:t>law:</w:t>
      </w:r>
      <w:r>
        <w:rPr>
          <w:spacing w:val="-3"/>
        </w:rPr>
        <w:t> </w:t>
      </w:r>
      <w:r>
        <w:rPr/>
        <w:t>(a)</w:t>
      </w:r>
      <w:r>
        <w:rPr>
          <w:spacing w:val="-2"/>
        </w:rPr>
        <w:t> </w:t>
      </w:r>
      <w:r>
        <w:rPr/>
        <w:t>those</w:t>
      </w:r>
      <w:r>
        <w:rPr>
          <w:spacing w:val="-3"/>
        </w:rPr>
        <w:t> </w:t>
      </w:r>
      <w:r>
        <w:rPr/>
        <w:t>requirements</w:t>
      </w:r>
      <w:r>
        <w:rPr>
          <w:spacing w:val="-2"/>
        </w:rPr>
        <w:t> </w:t>
      </w:r>
      <w:r>
        <w:rPr/>
        <w:t>of</w:t>
      </w:r>
      <w:r>
        <w:rPr>
          <w:spacing w:val="-3"/>
        </w:rPr>
        <w:t> </w:t>
      </w:r>
      <w:r>
        <w:rPr/>
        <w:t>form</w:t>
      </w:r>
      <w:r>
        <w:rPr>
          <w:spacing w:val="-2"/>
        </w:rPr>
        <w:t> </w:t>
      </w:r>
      <w:r>
        <w:rPr/>
        <w:t>are</w:t>
      </w:r>
      <w:r>
        <w:rPr>
          <w:spacing w:val="-3"/>
        </w:rPr>
        <w:t> </w:t>
      </w:r>
      <w:r>
        <w:rPr/>
        <w:t>imposed</w:t>
      </w:r>
      <w:r>
        <w:rPr>
          <w:spacing w:val="-2"/>
        </w:rPr>
        <w:t> </w:t>
      </w:r>
      <w:r>
        <w:rPr/>
        <w:t>irrespective</w:t>
      </w:r>
      <w:r>
        <w:rPr>
          <w:spacing w:val="-3"/>
        </w:rPr>
        <w:t> </w:t>
      </w:r>
      <w:r>
        <w:rPr/>
        <w:t>of</w:t>
      </w:r>
      <w:r>
        <w:rPr>
          <w:spacing w:val="-2"/>
        </w:rPr>
        <w:t> </w:t>
      </w:r>
      <w:r>
        <w:rPr/>
        <w:t>the</w:t>
      </w:r>
      <w:r>
        <w:rPr>
          <w:spacing w:val="-3"/>
        </w:rPr>
        <w:t> </w:t>
      </w:r>
      <w:r>
        <w:rPr/>
        <w:t>country</w:t>
      </w:r>
      <w:r>
        <w:rPr>
          <w:spacing w:val="-2"/>
        </w:rPr>
        <w:t> </w:t>
      </w:r>
      <w:r>
        <w:rPr/>
        <w:t>where</w:t>
      </w:r>
      <w:r>
        <w:rPr>
          <w:spacing w:val="-3"/>
        </w:rPr>
        <w:t> </w:t>
      </w:r>
      <w:r>
        <w:rPr/>
        <w:t>the contract is concluded and irrespective of the law governing the contract, and (b) those requirements cannot be derogated from by agreement.”</w:t>
      </w:r>
    </w:p>
    <w:p>
      <w:pPr>
        <w:pStyle w:val="BodyText"/>
        <w:spacing w:before="115"/>
      </w:pPr>
    </w:p>
    <w:p>
      <w:pPr>
        <w:pStyle w:val="BodyText"/>
        <w:spacing w:line="235" w:lineRule="auto"/>
        <w:ind w:left="165" w:right="167"/>
        <w:jc w:val="both"/>
      </w:pPr>
      <w:bookmarkStart w:name="_bookmark2219" w:id="2221"/>
      <w:bookmarkEnd w:id="2221"/>
      <w:r>
        <w:rPr/>
      </w:r>
      <w:r>
        <w:rPr/>
        <w:t>The effect of this provision, notwithstanding the different terminology to that used in art.9(6) of </w:t>
      </w:r>
      <w:r>
        <w:rPr/>
        <w:t>the Rome Convention, is, it would seem, the same as that reached under the Convention. </w:t>
      </w:r>
      <w:r>
        <w:rPr>
          <w:color w:val="005DA1"/>
          <w:u w:val="single" w:color="005DA1"/>
          <w:vertAlign w:val="superscript"/>
        </w:rPr>
        <w:t>1182</w:t>
      </w:r>
    </w:p>
    <w:p>
      <w:pPr>
        <w:pStyle w:val="BodyText"/>
      </w:pPr>
    </w:p>
    <w:p>
      <w:pPr>
        <w:pStyle w:val="BodyText"/>
        <w:spacing w:before="38"/>
      </w:pPr>
    </w:p>
    <w:p>
      <w:pPr>
        <w:spacing w:before="0"/>
        <w:ind w:left="165" w:right="0" w:firstLine="0"/>
        <w:jc w:val="both"/>
        <w:rPr>
          <w:rFonts w:ascii="Arial"/>
          <w:b/>
          <w:sz w:val="18"/>
        </w:rPr>
      </w:pPr>
      <w:r>
        <w:rPr>
          <w:rFonts w:ascii="Arial"/>
          <w:b/>
          <w:sz w:val="18"/>
        </w:rPr>
        <w:t>Change of applicable law and several applicable </w:t>
      </w:r>
      <w:r>
        <w:rPr>
          <w:rFonts w:ascii="Arial"/>
          <w:b/>
          <w:spacing w:val="-4"/>
          <w:sz w:val="18"/>
        </w:rPr>
        <w:t>laws</w:t>
      </w:r>
    </w:p>
    <w:p>
      <w:pPr>
        <w:pStyle w:val="BodyText"/>
        <w:spacing w:before="41"/>
        <w:rPr>
          <w:rFonts w:ascii="Arial"/>
          <w:b/>
          <w:sz w:val="18"/>
        </w:rPr>
      </w:pPr>
    </w:p>
    <w:p>
      <w:pPr>
        <w:pStyle w:val="Heading2"/>
        <w:spacing w:before="1"/>
      </w:pPr>
      <w:r>
        <w:rPr/>
        <w:t>30-</w:t>
      </w:r>
      <w:r>
        <w:rPr>
          <w:spacing w:val="-5"/>
        </w:rPr>
        <w:t>323</w:t>
      </w:r>
    </w:p>
    <w:p>
      <w:pPr>
        <w:pStyle w:val="BodyText"/>
        <w:spacing w:line="235" w:lineRule="auto" w:before="202"/>
        <w:ind w:left="164" w:right="167"/>
        <w:jc w:val="both"/>
      </w:pPr>
      <w:bookmarkStart w:name="_bookmark2220" w:id="2222"/>
      <w:bookmarkEnd w:id="2222"/>
      <w:r>
        <w:rPr/>
      </w:r>
      <w:bookmarkStart w:name="_bookmark2221" w:id="2223"/>
      <w:bookmarkEnd w:id="2223"/>
      <w:r>
        <w:rPr/>
      </w:r>
      <w:r>
        <w:rPr/>
        <w:t>Where the parties agree to change the applicable law, pursuant to art.3(2) of the Regulation, </w:t>
      </w:r>
      <w:r>
        <w:rPr>
          <w:color w:val="005DA1"/>
          <w:u w:val="single" w:color="005DA1"/>
          <w:vertAlign w:val="superscript"/>
        </w:rPr>
        <w:t>1183</w:t>
      </w:r>
      <w:r>
        <w:rPr>
          <w:color w:val="005DA1"/>
          <w:vertAlign w:val="baseline"/>
        </w:rPr>
        <w:t> </w:t>
      </w:r>
      <w:r>
        <w:rPr>
          <w:vertAlign w:val="baseline"/>
        </w:rPr>
        <w:t>the position</w:t>
      </w:r>
      <w:r>
        <w:rPr>
          <w:spacing w:val="-1"/>
          <w:vertAlign w:val="baseline"/>
        </w:rPr>
        <w:t> </w:t>
      </w:r>
      <w:r>
        <w:rPr>
          <w:vertAlign w:val="baseline"/>
        </w:rPr>
        <w:t>appears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as</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Rome</w:t>
      </w:r>
      <w:r>
        <w:rPr>
          <w:spacing w:val="-1"/>
          <w:vertAlign w:val="baseline"/>
        </w:rPr>
        <w:t> </w:t>
      </w:r>
      <w:r>
        <w:rPr>
          <w:vertAlign w:val="baseline"/>
        </w:rPr>
        <w:t>Convention.</w:t>
      </w:r>
      <w:r>
        <w:rPr>
          <w:spacing w:val="-2"/>
          <w:vertAlign w:val="baseline"/>
        </w:rPr>
        <w:t> </w:t>
      </w:r>
      <w:r>
        <w:rPr>
          <w:color w:val="005DA1"/>
          <w:u w:val="single" w:color="005DA1"/>
          <w:vertAlign w:val="superscript"/>
        </w:rPr>
        <w:t>1184</w:t>
      </w:r>
      <w:r>
        <w:rPr>
          <w:color w:val="005DA1"/>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have</w:t>
      </w:r>
      <w:r>
        <w:rPr>
          <w:spacing w:val="-1"/>
          <w:vertAlign w:val="baseline"/>
        </w:rPr>
        <w:t> </w:t>
      </w:r>
      <w:r>
        <w:rPr>
          <w:vertAlign w:val="baseline"/>
        </w:rPr>
        <w:t>selected </w:t>
      </w:r>
      <w:bookmarkStart w:name="_bookmark2222" w:id="2224"/>
      <w:bookmarkEnd w:id="2224"/>
      <w:r>
        <w:rPr>
          <w:vertAlign w:val="baseline"/>
        </w:rPr>
        <w:t>the</w:t>
      </w:r>
      <w:r>
        <w:rPr>
          <w:vertAlign w:val="baseline"/>
        </w:rPr>
        <w:t> law applicable to a part only of the contract, under art.3(1) of the Regulation, and, say, the law </w:t>
      </w:r>
      <w:bookmarkStart w:name="_bookmark2223" w:id="2225"/>
      <w:bookmarkEnd w:id="2225"/>
      <w:r>
        <w:rPr>
          <w:vertAlign w:val="baseline"/>
        </w:rPr>
        <w:t>applicable</w:t>
      </w:r>
      <w:r>
        <w:rPr>
          <w:vertAlign w:val="baseline"/>
        </w:rPr>
        <w:t> to the other part or parts, has to be determined by reference to art.4 of the Regulation, </w:t>
      </w:r>
      <w:r>
        <w:rPr>
          <w:color w:val="005DA1"/>
          <w:u w:val="single" w:color="005DA1"/>
          <w:vertAlign w:val="superscript"/>
        </w:rPr>
        <w:t>1185</w:t>
      </w:r>
      <w:r>
        <w:rPr>
          <w:color w:val="005DA1"/>
          <w:vertAlign w:val="baseline"/>
        </w:rPr>
        <w:t> </w:t>
      </w:r>
      <w:r>
        <w:rPr>
          <w:vertAlign w:val="baseline"/>
        </w:rPr>
        <w:t>then again the position would appear to be the same as under the Rome Convention. </w:t>
      </w:r>
      <w:r>
        <w:rPr>
          <w:color w:val="005DA1"/>
          <w:u w:val="single" w:color="005DA1"/>
          <w:vertAlign w:val="superscript"/>
        </w:rPr>
        <w:t>1186</w:t>
      </w:r>
    </w:p>
    <w:p>
      <w:pPr>
        <w:pStyle w:val="BodyText"/>
      </w:pPr>
    </w:p>
    <w:p>
      <w:pPr>
        <w:pStyle w:val="BodyText"/>
        <w:spacing w:before="38"/>
      </w:pPr>
      <w:r>
        <w:rPr/>
        <mc:AlternateContent>
          <mc:Choice Requires="wps">
            <w:drawing>
              <wp:anchor distT="0" distB="0" distL="0" distR="0" allowOverlap="1" layoutInCell="1" locked="0" behindDoc="1" simplePos="0" relativeHeight="487627264">
                <wp:simplePos x="0" y="0"/>
                <wp:positionH relativeFrom="page">
                  <wp:posOffset>914400</wp:posOffset>
                </wp:positionH>
                <wp:positionV relativeFrom="paragraph">
                  <wp:posOffset>185660</wp:posOffset>
                </wp:positionV>
                <wp:extent cx="5724525"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8957pt;width:450.75pt;height:.1pt;mso-position-horizontal-relative:page;mso-position-vertical-relative:paragraph;z-index:-15689216;mso-wrap-distance-left:0;mso-wrap-distance-right:0" id="docshape50"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2224" w:id="2226"/>
      <w:bookmarkEnd w:id="2226"/>
      <w:r>
        <w:rPr/>
      </w:r>
      <w:hyperlink w:history="true" w:anchor="_bookmark2175">
        <w:r>
          <w:rPr>
            <w:color w:val="005DA1"/>
            <w:position w:val="5"/>
            <w:sz w:val="14"/>
            <w:u w:val="single" w:color="005DA1"/>
          </w:rPr>
          <w:t>1138</w:t>
        </w:r>
      </w:hyperlink>
      <w:r>
        <w:rPr>
          <w:position w:val="5"/>
          <w:sz w:val="14"/>
        </w:rPr>
        <w:t>.</w:t>
      </w:r>
      <w:r>
        <w:rPr>
          <w:spacing w:val="80"/>
          <w:position w:val="5"/>
          <w:sz w:val="14"/>
        </w:rPr>
        <w:t> </w:t>
      </w:r>
      <w:r>
        <w:rPr>
          <w:sz w:val="20"/>
        </w:rPr>
        <w:t>Dicey, Morris and Collins on the Conflict of Laws, 15th edn (2012), paras 32R–127 et seq.; Cheshire, North and Fawcett, pp.747–750; Plender and Wilderspin, 4th edn </w:t>
      </w:r>
      <w:r>
        <w:rPr>
          <w:sz w:val="20"/>
        </w:rPr>
        <w:t>(2015), pp.441–443; Kaye, </w:t>
      </w:r>
      <w:r>
        <w:rPr>
          <w:rFonts w:ascii="Arial" w:hAnsi="Arial"/>
          <w:i/>
          <w:sz w:val="20"/>
        </w:rPr>
        <w:t>The New Private International Law of Contract of the European Community </w:t>
      </w:r>
      <w:r>
        <w:rPr>
          <w:sz w:val="20"/>
        </w:rPr>
        <w:t>(1993), pp.281–295; Lagarde, </w:t>
      </w:r>
      <w:r>
        <w:rPr>
          <w:rFonts w:ascii="Arial" w:hAnsi="Arial"/>
          <w:i/>
          <w:sz w:val="20"/>
        </w:rPr>
        <w:t>Contract Conflicts </w:t>
      </w:r>
      <w:r>
        <w:rPr>
          <w:sz w:val="20"/>
        </w:rPr>
        <w:t>(1982), pp.51–54.</w:t>
      </w:r>
    </w:p>
    <w:p>
      <w:pPr>
        <w:pStyle w:val="BodyText"/>
        <w:spacing w:before="8"/>
      </w:pPr>
    </w:p>
    <w:p>
      <w:pPr>
        <w:pStyle w:val="BodyText"/>
        <w:spacing w:line="235" w:lineRule="auto"/>
        <w:ind w:left="705" w:hanging="541"/>
      </w:pPr>
      <w:bookmarkStart w:name="_bookmark2225" w:id="2227"/>
      <w:bookmarkEnd w:id="2227"/>
      <w:r>
        <w:rPr/>
      </w:r>
      <w:hyperlink w:history="true" w:anchor="_bookmark2176">
        <w:r>
          <w:rPr>
            <w:color w:val="005DA1"/>
            <w:position w:val="5"/>
            <w:sz w:val="14"/>
            <w:u w:val="single" w:color="005DA1"/>
          </w:rPr>
          <w:t>1139</w:t>
        </w:r>
      </w:hyperlink>
      <w:r>
        <w:rPr>
          <w:position w:val="5"/>
          <w:sz w:val="14"/>
        </w:rPr>
        <w:t>.</w:t>
      </w:r>
      <w:r>
        <w:rPr>
          <w:spacing w:val="40"/>
          <w:position w:val="5"/>
          <w:sz w:val="14"/>
        </w:rPr>
        <w:t>  </w:t>
      </w:r>
      <w:r>
        <w:rPr/>
        <w:t>See</w:t>
      </w:r>
      <w:r>
        <w:rPr>
          <w:spacing w:val="23"/>
        </w:rPr>
        <w:t> </w:t>
      </w:r>
      <w:r>
        <w:rPr/>
        <w:t>the</w:t>
      </w:r>
      <w:r>
        <w:rPr>
          <w:spacing w:val="23"/>
        </w:rPr>
        <w:t> </w:t>
      </w:r>
      <w:r>
        <w:rPr/>
        <w:t>26th</w:t>
      </w:r>
      <w:r>
        <w:rPr>
          <w:spacing w:val="23"/>
        </w:rPr>
        <w:t> </w:t>
      </w:r>
      <w:r>
        <w:rPr/>
        <w:t>edition</w:t>
      </w:r>
      <w:r>
        <w:rPr>
          <w:spacing w:val="23"/>
        </w:rPr>
        <w:t> </w:t>
      </w:r>
      <w:r>
        <w:rPr/>
        <w:t>of</w:t>
      </w:r>
      <w:r>
        <w:rPr>
          <w:spacing w:val="23"/>
        </w:rPr>
        <w:t> </w:t>
      </w:r>
      <w:r>
        <w:rPr/>
        <w:t>this</w:t>
      </w:r>
      <w:r>
        <w:rPr>
          <w:spacing w:val="23"/>
        </w:rPr>
        <w:t> </w:t>
      </w:r>
      <w:r>
        <w:rPr/>
        <w:t>work,</w:t>
      </w:r>
      <w:r>
        <w:rPr>
          <w:spacing w:val="23"/>
        </w:rPr>
        <w:t> </w:t>
      </w:r>
      <w:r>
        <w:rPr/>
        <w:t>paras</w:t>
      </w:r>
      <w:r>
        <w:rPr>
          <w:spacing w:val="23"/>
        </w:rPr>
        <w:t> </w:t>
      </w:r>
      <w:r>
        <w:rPr/>
        <w:t>2178–2180;</w:t>
      </w:r>
      <w:r>
        <w:rPr>
          <w:spacing w:val="23"/>
        </w:rPr>
        <w:t> </w:t>
      </w:r>
      <w:r>
        <w:rPr/>
        <w:t>Dicey</w:t>
      </w:r>
      <w:r>
        <w:rPr>
          <w:spacing w:val="23"/>
        </w:rPr>
        <w:t> </w:t>
      </w:r>
      <w:r>
        <w:rPr/>
        <w:t>&amp;</w:t>
      </w:r>
      <w:r>
        <w:rPr>
          <w:spacing w:val="23"/>
        </w:rPr>
        <w:t> </w:t>
      </w:r>
      <w:r>
        <w:rPr/>
        <w:t>Morris</w:t>
      </w:r>
      <w:r>
        <w:rPr>
          <w:spacing w:val="23"/>
        </w:rPr>
        <w:t> </w:t>
      </w:r>
      <w:r>
        <w:rPr/>
        <w:t>on</w:t>
      </w:r>
      <w:r>
        <w:rPr>
          <w:spacing w:val="23"/>
        </w:rPr>
        <w:t> </w:t>
      </w:r>
      <w:r>
        <w:rPr/>
        <w:t>the</w:t>
      </w:r>
      <w:r>
        <w:rPr>
          <w:spacing w:val="23"/>
        </w:rPr>
        <w:t> </w:t>
      </w:r>
      <w:r>
        <w:rPr/>
        <w:t>Conflict</w:t>
      </w:r>
      <w:r>
        <w:rPr>
          <w:spacing w:val="23"/>
        </w:rPr>
        <w:t> </w:t>
      </w:r>
      <w:r>
        <w:rPr/>
        <w:t>of</w:t>
      </w:r>
      <w:r>
        <w:rPr>
          <w:spacing w:val="23"/>
        </w:rPr>
        <w:t> </w:t>
      </w:r>
      <w:r>
        <w:rPr/>
        <w:t>Laws, 11th edn (1987), pp.1207–1213.</w:t>
      </w:r>
    </w:p>
    <w:p>
      <w:pPr>
        <w:pStyle w:val="BodyText"/>
        <w:spacing w:before="6"/>
      </w:pPr>
    </w:p>
    <w:p>
      <w:pPr>
        <w:spacing w:line="227" w:lineRule="exact" w:before="0"/>
        <w:ind w:left="0" w:right="168" w:firstLine="0"/>
        <w:jc w:val="right"/>
        <w:rPr>
          <w:rFonts w:ascii="Arial" w:hAnsi="Arial"/>
          <w:i/>
          <w:sz w:val="20"/>
        </w:rPr>
      </w:pPr>
      <w:bookmarkStart w:name="_bookmark2226" w:id="2228"/>
      <w:bookmarkEnd w:id="2228"/>
      <w:r>
        <w:rPr/>
      </w:r>
      <w:hyperlink w:history="true" w:anchor="_bookmark2177">
        <w:r>
          <w:rPr>
            <w:color w:val="005DA1"/>
            <w:position w:val="5"/>
            <w:sz w:val="14"/>
            <w:u w:val="single" w:color="005DA1"/>
          </w:rPr>
          <w:t>1140</w:t>
        </w:r>
      </w:hyperlink>
      <w:r>
        <w:rPr>
          <w:position w:val="5"/>
          <w:sz w:val="14"/>
        </w:rPr>
        <w:t>.</w:t>
      </w:r>
      <w:r>
        <w:rPr>
          <w:spacing w:val="55"/>
          <w:position w:val="5"/>
          <w:sz w:val="14"/>
        </w:rPr>
        <w:t>  </w:t>
      </w:r>
      <w:r>
        <w:rPr>
          <w:rFonts w:ascii="Arial" w:hAnsi="Arial"/>
          <w:i/>
          <w:sz w:val="20"/>
        </w:rPr>
        <w:t>Van</w:t>
      </w:r>
      <w:r>
        <w:rPr>
          <w:rFonts w:ascii="Arial" w:hAnsi="Arial"/>
          <w:i/>
          <w:spacing w:val="36"/>
          <w:sz w:val="20"/>
        </w:rPr>
        <w:t> </w:t>
      </w:r>
      <w:r>
        <w:rPr>
          <w:rFonts w:ascii="Arial" w:hAnsi="Arial"/>
          <w:i/>
          <w:sz w:val="20"/>
        </w:rPr>
        <w:t>Grutten</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Digby</w:t>
      </w:r>
      <w:r>
        <w:rPr>
          <w:rFonts w:ascii="Arial" w:hAnsi="Arial"/>
          <w:i/>
          <w:spacing w:val="35"/>
          <w:sz w:val="20"/>
        </w:rPr>
        <w:t> </w:t>
      </w:r>
      <w:r>
        <w:rPr>
          <w:rFonts w:ascii="Arial" w:hAnsi="Arial"/>
          <w:i/>
          <w:sz w:val="20"/>
        </w:rPr>
        <w:t>(1862)</w:t>
      </w:r>
      <w:r>
        <w:rPr>
          <w:rFonts w:ascii="Arial" w:hAnsi="Arial"/>
          <w:i/>
          <w:spacing w:val="34"/>
          <w:sz w:val="20"/>
        </w:rPr>
        <w:t> </w:t>
      </w:r>
      <w:r>
        <w:rPr>
          <w:rFonts w:ascii="Arial" w:hAnsi="Arial"/>
          <w:i/>
          <w:sz w:val="20"/>
        </w:rPr>
        <w:t>31</w:t>
      </w:r>
      <w:r>
        <w:rPr>
          <w:rFonts w:ascii="Arial" w:hAnsi="Arial"/>
          <w:i/>
          <w:spacing w:val="35"/>
          <w:sz w:val="20"/>
        </w:rPr>
        <w:t> </w:t>
      </w:r>
      <w:r>
        <w:rPr>
          <w:rFonts w:ascii="Arial" w:hAnsi="Arial"/>
          <w:i/>
          <w:sz w:val="20"/>
        </w:rPr>
        <w:t>Beav.</w:t>
      </w:r>
      <w:r>
        <w:rPr>
          <w:rFonts w:ascii="Arial" w:hAnsi="Arial"/>
          <w:i/>
          <w:spacing w:val="35"/>
          <w:sz w:val="20"/>
        </w:rPr>
        <w:t> </w:t>
      </w:r>
      <w:r>
        <w:rPr>
          <w:rFonts w:ascii="Arial" w:hAnsi="Arial"/>
          <w:i/>
          <w:sz w:val="20"/>
        </w:rPr>
        <w:t>561</w:t>
      </w:r>
      <w:r>
        <w:rPr>
          <w:sz w:val="20"/>
        </w:rPr>
        <w:t>;</w:t>
      </w:r>
      <w:r>
        <w:rPr>
          <w:spacing w:val="35"/>
          <w:sz w:val="20"/>
        </w:rPr>
        <w:t> </w:t>
      </w:r>
      <w:r>
        <w:rPr>
          <w:rFonts w:ascii="Arial" w:hAnsi="Arial"/>
          <w:i/>
          <w:sz w:val="20"/>
        </w:rPr>
        <w:t>Re</w:t>
      </w:r>
      <w:r>
        <w:rPr>
          <w:rFonts w:ascii="Arial" w:hAnsi="Arial"/>
          <w:i/>
          <w:spacing w:val="35"/>
          <w:sz w:val="20"/>
        </w:rPr>
        <w:t> </w:t>
      </w:r>
      <w:r>
        <w:rPr>
          <w:rFonts w:ascii="Arial" w:hAnsi="Arial"/>
          <w:i/>
          <w:sz w:val="20"/>
        </w:rPr>
        <w:t>Bankes</w:t>
      </w:r>
      <w:r>
        <w:rPr>
          <w:rFonts w:ascii="Arial" w:hAnsi="Arial"/>
          <w:i/>
          <w:spacing w:val="35"/>
          <w:sz w:val="20"/>
        </w:rPr>
        <w:t> </w:t>
      </w:r>
      <w:r>
        <w:rPr>
          <w:rFonts w:ascii="Arial" w:hAnsi="Arial"/>
          <w:i/>
          <w:sz w:val="20"/>
        </w:rPr>
        <w:t>[1902]</w:t>
      </w:r>
      <w:r>
        <w:rPr>
          <w:rFonts w:ascii="Arial" w:hAnsi="Arial"/>
          <w:i/>
          <w:spacing w:val="34"/>
          <w:sz w:val="20"/>
        </w:rPr>
        <w:t> </w:t>
      </w:r>
      <w:r>
        <w:rPr>
          <w:rFonts w:ascii="Arial" w:hAnsi="Arial"/>
          <w:i/>
          <w:sz w:val="20"/>
        </w:rPr>
        <w:t>2</w:t>
      </w:r>
      <w:r>
        <w:rPr>
          <w:rFonts w:ascii="Arial" w:hAnsi="Arial"/>
          <w:i/>
          <w:spacing w:val="35"/>
          <w:sz w:val="20"/>
        </w:rPr>
        <w:t> </w:t>
      </w:r>
      <w:r>
        <w:rPr>
          <w:rFonts w:ascii="Arial" w:hAnsi="Arial"/>
          <w:i/>
          <w:sz w:val="20"/>
        </w:rPr>
        <w:t>Ch.</w:t>
      </w:r>
      <w:r>
        <w:rPr>
          <w:rFonts w:ascii="Arial" w:hAnsi="Arial"/>
          <w:i/>
          <w:spacing w:val="35"/>
          <w:sz w:val="20"/>
        </w:rPr>
        <w:t> </w:t>
      </w:r>
      <w:r>
        <w:rPr>
          <w:rFonts w:ascii="Arial" w:hAnsi="Arial"/>
          <w:i/>
          <w:sz w:val="20"/>
        </w:rPr>
        <w:t>333</w:t>
      </w:r>
      <w:r>
        <w:rPr>
          <w:sz w:val="20"/>
        </w:rPr>
        <w:t>;</w:t>
      </w:r>
      <w:r>
        <w:rPr>
          <w:spacing w:val="35"/>
          <w:sz w:val="20"/>
        </w:rPr>
        <w:t> </w:t>
      </w:r>
      <w:r>
        <w:rPr>
          <w:rFonts w:ascii="Arial" w:hAnsi="Arial"/>
          <w:i/>
          <w:sz w:val="20"/>
        </w:rPr>
        <w:t>Viditz</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pacing w:val="-2"/>
          <w:sz w:val="20"/>
        </w:rPr>
        <w:t>O’Hagan</w:t>
      </w:r>
    </w:p>
    <w:p>
      <w:pPr>
        <w:spacing w:line="225" w:lineRule="exact" w:before="0"/>
        <w:ind w:left="0" w:right="168" w:firstLine="0"/>
        <w:jc w:val="right"/>
        <w:rPr>
          <w:rFonts w:ascii="Arial" w:hAnsi="Arial"/>
          <w:i/>
          <w:sz w:val="20"/>
        </w:rPr>
      </w:pPr>
      <w:r>
        <w:rPr>
          <w:rFonts w:ascii="Arial" w:hAnsi="Arial"/>
          <w:i/>
          <w:sz w:val="20"/>
        </w:rPr>
        <w:t>[1899]</w:t>
      </w:r>
      <w:r>
        <w:rPr>
          <w:rFonts w:ascii="Arial" w:hAnsi="Arial"/>
          <w:i/>
          <w:spacing w:val="25"/>
          <w:sz w:val="20"/>
        </w:rPr>
        <w:t> </w:t>
      </w:r>
      <w:r>
        <w:rPr>
          <w:rFonts w:ascii="Arial" w:hAnsi="Arial"/>
          <w:i/>
          <w:sz w:val="20"/>
        </w:rPr>
        <w:t>2</w:t>
      </w:r>
      <w:r>
        <w:rPr>
          <w:rFonts w:ascii="Arial" w:hAnsi="Arial"/>
          <w:i/>
          <w:spacing w:val="26"/>
          <w:sz w:val="20"/>
        </w:rPr>
        <w:t> </w:t>
      </w:r>
      <w:r>
        <w:rPr>
          <w:rFonts w:ascii="Arial" w:hAnsi="Arial"/>
          <w:i/>
          <w:sz w:val="20"/>
        </w:rPr>
        <w:t>Ch.</w:t>
      </w:r>
      <w:r>
        <w:rPr>
          <w:rFonts w:ascii="Arial" w:hAnsi="Arial"/>
          <w:i/>
          <w:spacing w:val="26"/>
          <w:sz w:val="20"/>
        </w:rPr>
        <w:t> </w:t>
      </w:r>
      <w:r>
        <w:rPr>
          <w:rFonts w:ascii="Arial" w:hAnsi="Arial"/>
          <w:i/>
          <w:sz w:val="20"/>
        </w:rPr>
        <w:t>569</w:t>
      </w:r>
      <w:r>
        <w:rPr>
          <w:sz w:val="20"/>
        </w:rPr>
        <w:t>,</w:t>
      </w:r>
      <w:r>
        <w:rPr>
          <w:spacing w:val="26"/>
          <w:sz w:val="20"/>
        </w:rPr>
        <w:t> </w:t>
      </w:r>
      <w:r>
        <w:rPr>
          <w:sz w:val="20"/>
        </w:rPr>
        <w:t>reversed</w:t>
      </w:r>
      <w:r>
        <w:rPr>
          <w:spacing w:val="26"/>
          <w:sz w:val="20"/>
        </w:rPr>
        <w:t> </w:t>
      </w:r>
      <w:r>
        <w:rPr>
          <w:sz w:val="20"/>
        </w:rPr>
        <w:t>on</w:t>
      </w:r>
      <w:r>
        <w:rPr>
          <w:spacing w:val="26"/>
          <w:sz w:val="20"/>
        </w:rPr>
        <w:t> </w:t>
      </w:r>
      <w:r>
        <w:rPr>
          <w:sz w:val="20"/>
        </w:rPr>
        <w:t>other</w:t>
      </w:r>
      <w:r>
        <w:rPr>
          <w:spacing w:val="26"/>
          <w:sz w:val="20"/>
        </w:rPr>
        <w:t> </w:t>
      </w:r>
      <w:r>
        <w:rPr>
          <w:sz w:val="20"/>
        </w:rPr>
        <w:t>grounds</w:t>
      </w:r>
      <w:r>
        <w:rPr>
          <w:spacing w:val="26"/>
          <w:sz w:val="20"/>
        </w:rPr>
        <w:t> </w:t>
      </w:r>
      <w:r>
        <w:rPr>
          <w:rFonts w:ascii="Arial" w:hAnsi="Arial"/>
          <w:i/>
          <w:sz w:val="20"/>
        </w:rPr>
        <w:t>[1900]</w:t>
      </w:r>
      <w:r>
        <w:rPr>
          <w:rFonts w:ascii="Arial" w:hAnsi="Arial"/>
          <w:i/>
          <w:spacing w:val="25"/>
          <w:sz w:val="20"/>
        </w:rPr>
        <w:t> </w:t>
      </w:r>
      <w:r>
        <w:rPr>
          <w:rFonts w:ascii="Arial" w:hAnsi="Arial"/>
          <w:i/>
          <w:sz w:val="20"/>
        </w:rPr>
        <w:t>2</w:t>
      </w:r>
      <w:r>
        <w:rPr>
          <w:rFonts w:ascii="Arial" w:hAnsi="Arial"/>
          <w:i/>
          <w:spacing w:val="26"/>
          <w:sz w:val="20"/>
        </w:rPr>
        <w:t> </w:t>
      </w:r>
      <w:r>
        <w:rPr>
          <w:rFonts w:ascii="Arial" w:hAnsi="Arial"/>
          <w:i/>
          <w:sz w:val="20"/>
        </w:rPr>
        <w:t>Ch.</w:t>
      </w:r>
      <w:r>
        <w:rPr>
          <w:rFonts w:ascii="Arial" w:hAnsi="Arial"/>
          <w:i/>
          <w:spacing w:val="26"/>
          <w:sz w:val="20"/>
        </w:rPr>
        <w:t> </w:t>
      </w:r>
      <w:r>
        <w:rPr>
          <w:rFonts w:ascii="Arial" w:hAnsi="Arial"/>
          <w:i/>
          <w:sz w:val="20"/>
        </w:rPr>
        <w:t>87</w:t>
      </w:r>
      <w:r>
        <w:rPr>
          <w:sz w:val="20"/>
        </w:rPr>
        <w:t>.</w:t>
      </w:r>
      <w:r>
        <w:rPr>
          <w:spacing w:val="26"/>
          <w:sz w:val="20"/>
        </w:rPr>
        <w:t> </w:t>
      </w:r>
      <w:r>
        <w:rPr>
          <w:sz w:val="20"/>
        </w:rPr>
        <w:t>See</w:t>
      </w:r>
      <w:r>
        <w:rPr>
          <w:spacing w:val="26"/>
          <w:sz w:val="20"/>
        </w:rPr>
        <w:t> </w:t>
      </w:r>
      <w:r>
        <w:rPr>
          <w:sz w:val="20"/>
        </w:rPr>
        <w:t>also</w:t>
      </w:r>
      <w:r>
        <w:rPr>
          <w:spacing w:val="26"/>
          <w:sz w:val="20"/>
        </w:rPr>
        <w:t> </w:t>
      </w:r>
      <w:r>
        <w:rPr>
          <w:rFonts w:ascii="Arial" w:hAnsi="Arial"/>
          <w:i/>
          <w:sz w:val="20"/>
        </w:rPr>
        <w:t>Society</w:t>
      </w:r>
      <w:r>
        <w:rPr>
          <w:rFonts w:ascii="Arial" w:hAnsi="Arial"/>
          <w:i/>
          <w:spacing w:val="26"/>
          <w:sz w:val="20"/>
        </w:rPr>
        <w:t> </w:t>
      </w:r>
      <w:r>
        <w:rPr>
          <w:rFonts w:ascii="Arial" w:hAnsi="Arial"/>
          <w:i/>
          <w:sz w:val="20"/>
        </w:rPr>
        <w:t>of</w:t>
      </w:r>
      <w:r>
        <w:rPr>
          <w:rFonts w:ascii="Arial" w:hAnsi="Arial"/>
          <w:i/>
          <w:spacing w:val="26"/>
          <w:sz w:val="20"/>
        </w:rPr>
        <w:t> </w:t>
      </w:r>
      <w:r>
        <w:rPr>
          <w:rFonts w:ascii="Arial" w:hAnsi="Arial"/>
          <w:i/>
          <w:sz w:val="20"/>
        </w:rPr>
        <w:t>Lloyd’s</w:t>
      </w:r>
      <w:r>
        <w:rPr>
          <w:rFonts w:ascii="Arial" w:hAnsi="Arial"/>
          <w:i/>
          <w:spacing w:val="26"/>
          <w:sz w:val="20"/>
        </w:rPr>
        <w:t> </w:t>
      </w:r>
      <w:r>
        <w:rPr>
          <w:rFonts w:ascii="Arial" w:hAnsi="Arial"/>
          <w:i/>
          <w:spacing w:val="-10"/>
          <w:sz w:val="20"/>
        </w:rPr>
        <w:t>v</w:t>
      </w:r>
    </w:p>
    <w:p>
      <w:pPr>
        <w:spacing w:line="227" w:lineRule="exact" w:before="0"/>
        <w:ind w:left="705" w:right="0" w:firstLine="0"/>
        <w:jc w:val="left"/>
        <w:rPr>
          <w:sz w:val="20"/>
        </w:rPr>
      </w:pPr>
      <w:r>
        <w:rPr>
          <w:rFonts w:ascii="Arial"/>
          <w:i/>
          <w:sz w:val="20"/>
        </w:rPr>
        <w:t>Fraser [1998] C.L.C. 1630, </w:t>
      </w:r>
      <w:r>
        <w:rPr>
          <w:rFonts w:ascii="Arial"/>
          <w:i/>
          <w:spacing w:val="-2"/>
          <w:sz w:val="20"/>
        </w:rPr>
        <w:t>1652</w:t>
      </w:r>
      <w:r>
        <w:rPr>
          <w:spacing w:val="-2"/>
          <w:sz w:val="20"/>
        </w:rPr>
        <w:t>.</w:t>
      </w:r>
    </w:p>
    <w:p>
      <w:pPr>
        <w:pStyle w:val="BodyText"/>
        <w:spacing w:before="5"/>
      </w:pPr>
    </w:p>
    <w:p>
      <w:pPr>
        <w:spacing w:before="0"/>
        <w:ind w:left="165" w:right="0" w:firstLine="0"/>
        <w:jc w:val="left"/>
        <w:rPr>
          <w:sz w:val="20"/>
        </w:rPr>
      </w:pPr>
      <w:bookmarkStart w:name="_bookmark2227" w:id="2229"/>
      <w:bookmarkEnd w:id="2229"/>
      <w:r>
        <w:rPr/>
      </w:r>
      <w:hyperlink w:history="true" w:anchor="_bookmark2178">
        <w:r>
          <w:rPr>
            <w:color w:val="005DA1"/>
            <w:position w:val="5"/>
            <w:sz w:val="14"/>
            <w:u w:val="single" w:color="005DA1"/>
          </w:rPr>
          <w:t>1141</w:t>
        </w:r>
      </w:hyperlink>
      <w:r>
        <w:rPr>
          <w:position w:val="5"/>
          <w:sz w:val="14"/>
        </w:rPr>
        <w:t>.</w:t>
      </w:r>
      <w:r>
        <w:rPr>
          <w:spacing w:val="55"/>
          <w:position w:val="5"/>
          <w:sz w:val="14"/>
        </w:rPr>
        <w:t>  </w:t>
      </w:r>
      <w:r>
        <w:rPr>
          <w:rFonts w:ascii="Arial" w:hAnsi="Arial"/>
          <w:i/>
          <w:sz w:val="20"/>
        </w:rPr>
        <w:t>Guépratte</w:t>
      </w:r>
      <w:r>
        <w:rPr>
          <w:rFonts w:ascii="Arial" w:hAnsi="Arial"/>
          <w:i/>
          <w:spacing w:val="1"/>
          <w:sz w:val="20"/>
        </w:rPr>
        <w:t> </w:t>
      </w:r>
      <w:r>
        <w:rPr>
          <w:rFonts w:ascii="Arial" w:hAnsi="Arial"/>
          <w:i/>
          <w:sz w:val="20"/>
        </w:rPr>
        <w:t>v Young (1851) 4 De G. &amp; Sm. </w:t>
      </w:r>
      <w:r>
        <w:rPr>
          <w:rFonts w:ascii="Arial" w:hAnsi="Arial"/>
          <w:i/>
          <w:spacing w:val="-4"/>
          <w:sz w:val="20"/>
        </w:rPr>
        <w:t>217</w:t>
      </w:r>
      <w:r>
        <w:rPr>
          <w:spacing w:val="-4"/>
          <w:sz w:val="20"/>
        </w:rPr>
        <w:t>.</w:t>
      </w:r>
    </w:p>
    <w:p>
      <w:pPr>
        <w:pStyle w:val="BodyText"/>
        <w:spacing w:before="5"/>
      </w:pPr>
    </w:p>
    <w:p>
      <w:pPr>
        <w:pStyle w:val="BodyText"/>
        <w:ind w:left="165"/>
      </w:pPr>
      <w:bookmarkStart w:name="_bookmark2228" w:id="2230"/>
      <w:bookmarkEnd w:id="2230"/>
      <w:r>
        <w:rPr/>
      </w:r>
      <w:hyperlink w:history="true" w:anchor="_bookmark2179">
        <w:r>
          <w:rPr>
            <w:color w:val="005DA1"/>
            <w:position w:val="5"/>
            <w:sz w:val="14"/>
            <w:u w:val="single" w:color="005DA1"/>
          </w:rPr>
          <w:t>1142</w:t>
        </w:r>
      </w:hyperlink>
      <w:r>
        <w:rPr>
          <w:position w:val="5"/>
          <w:sz w:val="14"/>
        </w:rPr>
        <w:t>.</w:t>
      </w:r>
      <w:r>
        <w:rPr>
          <w:spacing w:val="55"/>
          <w:position w:val="5"/>
          <w:sz w:val="14"/>
        </w:rPr>
        <w:t>  </w:t>
      </w:r>
      <w:r>
        <w:rPr/>
        <w:t>Rome</w:t>
      </w:r>
      <w:r>
        <w:rPr>
          <w:spacing w:val="1"/>
        </w:rPr>
        <w:t> </w:t>
      </w:r>
      <w:r>
        <w:rPr/>
        <w:t>Convention art.9(1)–(3). See below, para.30-</w:t>
      </w:r>
      <w:r>
        <w:rPr>
          <w:spacing w:val="-4"/>
        </w:rPr>
        <w:t>313.</w:t>
      </w:r>
    </w:p>
    <w:p>
      <w:pPr>
        <w:pStyle w:val="BodyText"/>
        <w:spacing w:before="5"/>
      </w:pPr>
    </w:p>
    <w:p>
      <w:pPr>
        <w:pStyle w:val="BodyText"/>
        <w:ind w:left="165"/>
      </w:pPr>
      <w:bookmarkStart w:name="_bookmark2229" w:id="2231"/>
      <w:bookmarkEnd w:id="2231"/>
      <w:r>
        <w:rPr/>
      </w:r>
      <w:hyperlink w:history="true" w:anchor="_bookmark2180">
        <w:r>
          <w:rPr>
            <w:color w:val="005DA1"/>
            <w:position w:val="5"/>
            <w:sz w:val="14"/>
            <w:u w:val="single" w:color="005DA1"/>
          </w:rPr>
          <w:t>1143</w:t>
        </w:r>
      </w:hyperlink>
      <w:r>
        <w:rPr>
          <w:position w:val="5"/>
          <w:sz w:val="14"/>
        </w:rPr>
        <w:t>.</w:t>
      </w:r>
      <w:r>
        <w:rPr>
          <w:spacing w:val="55"/>
          <w:position w:val="5"/>
          <w:sz w:val="14"/>
        </w:rPr>
        <w:t>  </w:t>
      </w:r>
      <w:r>
        <w:rPr/>
        <w:t>Rome</w:t>
      </w:r>
      <w:r>
        <w:rPr>
          <w:spacing w:val="1"/>
        </w:rPr>
        <w:t> </w:t>
      </w:r>
      <w:r>
        <w:rPr/>
        <w:t>Convention art.9(5). See below, para.30-</w:t>
      </w:r>
      <w:r>
        <w:rPr>
          <w:spacing w:val="-4"/>
        </w:rPr>
        <w:t>314.</w:t>
      </w:r>
    </w:p>
    <w:p>
      <w:pPr>
        <w:pStyle w:val="BodyText"/>
        <w:spacing w:before="5"/>
      </w:pPr>
    </w:p>
    <w:p>
      <w:pPr>
        <w:pStyle w:val="BodyText"/>
        <w:ind w:left="165"/>
      </w:pPr>
      <w:bookmarkStart w:name="_bookmark2230" w:id="2232"/>
      <w:bookmarkEnd w:id="2232"/>
      <w:r>
        <w:rPr/>
      </w:r>
      <w:hyperlink w:history="true" w:anchor="_bookmark2181">
        <w:r>
          <w:rPr>
            <w:color w:val="005DA1"/>
            <w:position w:val="5"/>
            <w:sz w:val="14"/>
            <w:u w:val="single" w:color="005DA1"/>
          </w:rPr>
          <w:t>1144</w:t>
        </w:r>
      </w:hyperlink>
      <w:r>
        <w:rPr>
          <w:position w:val="5"/>
          <w:sz w:val="14"/>
        </w:rPr>
        <w:t>.</w:t>
      </w:r>
      <w:r>
        <w:rPr>
          <w:spacing w:val="55"/>
          <w:position w:val="5"/>
          <w:sz w:val="14"/>
        </w:rPr>
        <w:t>  </w:t>
      </w:r>
      <w:r>
        <w:rPr/>
        <w:t>Rome</w:t>
      </w:r>
      <w:r>
        <w:rPr>
          <w:spacing w:val="1"/>
        </w:rPr>
        <w:t> </w:t>
      </w:r>
      <w:r>
        <w:rPr/>
        <w:t>Convention art.9(6). See below, para.30-</w:t>
      </w:r>
      <w:r>
        <w:rPr>
          <w:spacing w:val="-4"/>
        </w:rPr>
        <w:t>315.</w:t>
      </w:r>
    </w:p>
    <w:p>
      <w:pPr>
        <w:pStyle w:val="BodyText"/>
        <w:spacing w:before="5"/>
      </w:pPr>
    </w:p>
    <w:p>
      <w:pPr>
        <w:pStyle w:val="BodyText"/>
        <w:ind w:left="165"/>
      </w:pPr>
      <w:bookmarkStart w:name="_bookmark2231" w:id="2233"/>
      <w:bookmarkEnd w:id="2233"/>
      <w:r>
        <w:rPr/>
      </w:r>
      <w:hyperlink w:history="true" w:anchor="_bookmark2182">
        <w:r>
          <w:rPr>
            <w:color w:val="005DA1"/>
            <w:position w:val="5"/>
            <w:sz w:val="14"/>
            <w:u w:val="single" w:color="005DA1"/>
          </w:rPr>
          <w:t>1145</w:t>
        </w:r>
      </w:hyperlink>
      <w:r>
        <w:rPr>
          <w:position w:val="5"/>
          <w:sz w:val="14"/>
        </w:rPr>
        <w:t>.</w:t>
      </w:r>
      <w:r>
        <w:rPr>
          <w:spacing w:val="55"/>
          <w:position w:val="5"/>
          <w:sz w:val="14"/>
        </w:rPr>
        <w:t>  </w:t>
      </w:r>
      <w:r>
        <w:rPr/>
        <w:t>Rome</w:t>
      </w:r>
      <w:r>
        <w:rPr>
          <w:spacing w:val="1"/>
        </w:rPr>
        <w:t> </w:t>
      </w:r>
      <w:r>
        <w:rPr/>
        <w:t>Convention art.9(4). See below, para.30-</w:t>
      </w:r>
      <w:r>
        <w:rPr>
          <w:spacing w:val="-4"/>
        </w:rPr>
        <w:t>316.</w:t>
      </w:r>
    </w:p>
    <w:p>
      <w:pPr>
        <w:pStyle w:val="BodyText"/>
        <w:spacing w:before="9"/>
      </w:pPr>
    </w:p>
    <w:p>
      <w:pPr>
        <w:spacing w:line="235" w:lineRule="auto" w:before="0"/>
        <w:ind w:left="705" w:right="167" w:hanging="541"/>
        <w:jc w:val="both"/>
        <w:rPr>
          <w:sz w:val="20"/>
        </w:rPr>
      </w:pPr>
      <w:bookmarkStart w:name="_bookmark2232" w:id="2234"/>
      <w:bookmarkEnd w:id="2234"/>
      <w:r>
        <w:rPr/>
      </w:r>
      <w:hyperlink w:history="true" w:anchor="_bookmark2183">
        <w:r>
          <w:rPr>
            <w:color w:val="005DA1"/>
            <w:position w:val="5"/>
            <w:sz w:val="14"/>
            <w:u w:val="single" w:color="005DA1"/>
          </w:rPr>
          <w:t>1146</w:t>
        </w:r>
      </w:hyperlink>
      <w:r>
        <w:rPr>
          <w:position w:val="5"/>
          <w:sz w:val="14"/>
        </w:rPr>
        <w:t>.</w:t>
      </w:r>
      <w:r>
        <w:rPr>
          <w:spacing w:val="80"/>
          <w:w w:val="150"/>
          <w:position w:val="5"/>
          <w:sz w:val="14"/>
        </w:rPr>
        <w:t> </w:t>
      </w:r>
      <w:r>
        <w:rPr>
          <w:sz w:val="20"/>
        </w:rPr>
        <w:t>See </w:t>
      </w:r>
      <w:r>
        <w:rPr>
          <w:rFonts w:ascii="Arial"/>
          <w:i/>
          <w:sz w:val="20"/>
        </w:rPr>
        <w:t>Leroux v Brown (1852) 12 C.B. 801</w:t>
      </w:r>
      <w:r>
        <w:rPr>
          <w:sz w:val="20"/>
        </w:rPr>
        <w:t>; </w:t>
      </w:r>
      <w:r>
        <w:rPr>
          <w:rFonts w:ascii="Arial"/>
          <w:i/>
          <w:sz w:val="20"/>
        </w:rPr>
        <w:t>G. &amp; H. Montage GmbH v Irvani [1990] 1 W.L.R. 667, 684</w:t>
      </w:r>
      <w:r>
        <w:rPr>
          <w:sz w:val="20"/>
        </w:rPr>
        <w:t>. For consideration of issues relating to formalities in the context of commercial transactions and electronic commerce, see Law Commission, Electronic Commerce: Formal </w:t>
      </w:r>
      <w:r>
        <w:rPr>
          <w:sz w:val="20"/>
        </w:rPr>
        <w:t>Requirements</w:t>
      </w:r>
      <w:r>
        <w:rPr>
          <w:spacing w:val="40"/>
          <w:sz w:val="20"/>
        </w:rPr>
        <w:t> </w:t>
      </w:r>
      <w:r>
        <w:rPr>
          <w:sz w:val="20"/>
        </w:rPr>
        <w:t>in Commercial Transactions, Advice from the Law Commission (December 2001). cf. </w:t>
      </w:r>
      <w:r>
        <w:rPr>
          <w:rFonts w:ascii="Arial"/>
          <w:i/>
          <w:sz w:val="20"/>
        </w:rPr>
        <w:t>Integral Petroleum SA v SCU-Finaz AB [2015] EWCA Civ 144 </w:t>
      </w:r>
      <w:r>
        <w:rPr>
          <w:sz w:val="20"/>
        </w:rPr>
        <w:t>(a rule of Swiss law requiring the acts of</w:t>
      </w:r>
      <w:r>
        <w:rPr>
          <w:spacing w:val="40"/>
          <w:sz w:val="20"/>
        </w:rPr>
        <w:t> </w:t>
      </w:r>
      <w:r>
        <w:rPr>
          <w:sz w:val="20"/>
        </w:rPr>
        <w:t>a company to be authorised by two signatories went to capacity not formal validity).</w:t>
      </w:r>
    </w:p>
    <w:p>
      <w:pPr>
        <w:pStyle w:val="BodyText"/>
        <w:spacing w:before="7"/>
      </w:pPr>
    </w:p>
    <w:p>
      <w:pPr>
        <w:spacing w:line="235" w:lineRule="auto" w:before="1"/>
        <w:ind w:left="705" w:right="168" w:hanging="541"/>
        <w:jc w:val="both"/>
        <w:rPr>
          <w:rFonts w:ascii="Arial"/>
          <w:i/>
          <w:sz w:val="20"/>
        </w:rPr>
      </w:pPr>
      <w:bookmarkStart w:name="_bookmark2233" w:id="2235"/>
      <w:bookmarkEnd w:id="2235"/>
      <w:r>
        <w:rPr/>
      </w:r>
      <w:hyperlink w:history="true" w:anchor="_bookmark2184">
        <w:r>
          <w:rPr>
            <w:color w:val="005DA1"/>
            <w:position w:val="5"/>
            <w:sz w:val="14"/>
            <w:u w:val="single" w:color="005DA1"/>
          </w:rPr>
          <w:t>1147</w:t>
        </w:r>
      </w:hyperlink>
      <w:r>
        <w:rPr>
          <w:position w:val="5"/>
          <w:sz w:val="14"/>
        </w:rPr>
        <w:t>.</w:t>
      </w:r>
      <w:r>
        <w:rPr>
          <w:spacing w:val="80"/>
          <w:position w:val="5"/>
          <w:sz w:val="14"/>
        </w:rPr>
        <w:t> </w:t>
      </w:r>
      <w:r>
        <w:rPr>
          <w:sz w:val="20"/>
        </w:rPr>
        <w:t>As in </w:t>
      </w:r>
      <w:r>
        <w:rPr>
          <w:rFonts w:ascii="Arial"/>
          <w:i/>
          <w:sz w:val="20"/>
        </w:rPr>
        <w:t>Leroux v Brown (1852) 12 C.B. 801 </w:t>
      </w:r>
      <w:r>
        <w:rPr>
          <w:sz w:val="20"/>
        </w:rPr>
        <w:t>(Statute of Frauds 1677 s.4). This decision has </w:t>
      </w:r>
      <w:r>
        <w:rPr>
          <w:sz w:val="20"/>
        </w:rPr>
        <w:t>been much criticised: see, e.g. </w:t>
      </w:r>
      <w:r>
        <w:rPr>
          <w:rFonts w:ascii="Arial"/>
          <w:i/>
          <w:sz w:val="20"/>
        </w:rPr>
        <w:t>Monterosso Shipping Co Ltd v International Transport Workers Federation</w:t>
      </w:r>
      <w:r>
        <w:rPr>
          <w:rFonts w:ascii="Arial"/>
          <w:i/>
          <w:spacing w:val="11"/>
          <w:sz w:val="20"/>
        </w:rPr>
        <w:t> </w:t>
      </w:r>
      <w:r>
        <w:rPr>
          <w:rFonts w:ascii="Arial"/>
          <w:i/>
          <w:sz w:val="20"/>
        </w:rPr>
        <w:t>[1982]</w:t>
      </w:r>
      <w:r>
        <w:rPr>
          <w:rFonts w:ascii="Arial"/>
          <w:i/>
          <w:spacing w:val="12"/>
          <w:sz w:val="20"/>
        </w:rPr>
        <w:t> </w:t>
      </w:r>
      <w:r>
        <w:rPr>
          <w:rFonts w:ascii="Arial"/>
          <w:i/>
          <w:sz w:val="20"/>
        </w:rPr>
        <w:t>I.C.R.</w:t>
      </w:r>
      <w:r>
        <w:rPr>
          <w:rFonts w:ascii="Arial"/>
          <w:i/>
          <w:spacing w:val="12"/>
          <w:sz w:val="20"/>
        </w:rPr>
        <w:t> </w:t>
      </w:r>
      <w:r>
        <w:rPr>
          <w:rFonts w:ascii="Arial"/>
          <w:i/>
          <w:sz w:val="20"/>
        </w:rPr>
        <w:t>675</w:t>
      </w:r>
      <w:r>
        <w:rPr>
          <w:sz w:val="20"/>
        </w:rPr>
        <w:t>.</w:t>
      </w:r>
      <w:r>
        <w:rPr>
          <w:spacing w:val="12"/>
          <w:sz w:val="20"/>
        </w:rPr>
        <w:t> </w:t>
      </w:r>
      <w:r>
        <w:rPr>
          <w:sz w:val="20"/>
        </w:rPr>
        <w:t>But</w:t>
      </w:r>
      <w:r>
        <w:rPr>
          <w:spacing w:val="12"/>
          <w:sz w:val="20"/>
        </w:rPr>
        <w:t> </w:t>
      </w:r>
      <w:r>
        <w:rPr>
          <w:sz w:val="20"/>
        </w:rPr>
        <w:t>it</w:t>
      </w:r>
      <w:r>
        <w:rPr>
          <w:spacing w:val="12"/>
          <w:sz w:val="20"/>
        </w:rPr>
        <w:t> </w:t>
      </w:r>
      <w:r>
        <w:rPr>
          <w:sz w:val="20"/>
        </w:rPr>
        <w:t>was</w:t>
      </w:r>
      <w:r>
        <w:rPr>
          <w:spacing w:val="12"/>
          <w:sz w:val="20"/>
        </w:rPr>
        <w:t> </w:t>
      </w:r>
      <w:r>
        <w:rPr>
          <w:sz w:val="20"/>
        </w:rPr>
        <w:t>approved</w:t>
      </w:r>
      <w:r>
        <w:rPr>
          <w:spacing w:val="12"/>
          <w:sz w:val="20"/>
        </w:rPr>
        <w:t> </w:t>
      </w:r>
      <w:r>
        <w:rPr>
          <w:sz w:val="20"/>
        </w:rPr>
        <w:t>in</w:t>
      </w:r>
      <w:r>
        <w:rPr>
          <w:spacing w:val="12"/>
          <w:sz w:val="20"/>
        </w:rPr>
        <w:t> </w:t>
      </w:r>
      <w:r>
        <w:rPr>
          <w:rFonts w:ascii="Arial"/>
          <w:i/>
          <w:sz w:val="20"/>
        </w:rPr>
        <w:t>G.</w:t>
      </w:r>
      <w:r>
        <w:rPr>
          <w:rFonts w:ascii="Arial"/>
          <w:i/>
          <w:spacing w:val="12"/>
          <w:sz w:val="20"/>
        </w:rPr>
        <w:t> </w:t>
      </w:r>
      <w:r>
        <w:rPr>
          <w:rFonts w:ascii="Arial"/>
          <w:i/>
          <w:sz w:val="20"/>
        </w:rPr>
        <w:t>&amp;</w:t>
      </w:r>
      <w:r>
        <w:rPr>
          <w:rFonts w:ascii="Arial"/>
          <w:i/>
          <w:spacing w:val="12"/>
          <w:sz w:val="20"/>
        </w:rPr>
        <w:t> </w:t>
      </w:r>
      <w:r>
        <w:rPr>
          <w:rFonts w:ascii="Arial"/>
          <w:i/>
          <w:sz w:val="20"/>
        </w:rPr>
        <w:t>H.</w:t>
      </w:r>
      <w:r>
        <w:rPr>
          <w:rFonts w:ascii="Arial"/>
          <w:i/>
          <w:spacing w:val="12"/>
          <w:sz w:val="20"/>
        </w:rPr>
        <w:t> </w:t>
      </w:r>
      <w:r>
        <w:rPr>
          <w:rFonts w:ascii="Arial"/>
          <w:i/>
          <w:sz w:val="20"/>
        </w:rPr>
        <w:t>Montage</w:t>
      </w:r>
      <w:r>
        <w:rPr>
          <w:rFonts w:ascii="Arial"/>
          <w:i/>
          <w:spacing w:val="12"/>
          <w:sz w:val="20"/>
        </w:rPr>
        <w:t> </w:t>
      </w:r>
      <w:r>
        <w:rPr>
          <w:rFonts w:ascii="Arial"/>
          <w:i/>
          <w:sz w:val="20"/>
        </w:rPr>
        <w:t>GmbH</w:t>
      </w:r>
      <w:r>
        <w:rPr>
          <w:rFonts w:ascii="Arial"/>
          <w:i/>
          <w:spacing w:val="12"/>
          <w:sz w:val="20"/>
        </w:rPr>
        <w:t> </w:t>
      </w:r>
      <w:r>
        <w:rPr>
          <w:rFonts w:ascii="Arial"/>
          <w:i/>
          <w:sz w:val="20"/>
        </w:rPr>
        <w:t>v</w:t>
      </w:r>
      <w:r>
        <w:rPr>
          <w:rFonts w:ascii="Arial"/>
          <w:i/>
          <w:spacing w:val="12"/>
          <w:sz w:val="20"/>
        </w:rPr>
        <w:t> </w:t>
      </w:r>
      <w:r>
        <w:rPr>
          <w:rFonts w:ascii="Arial"/>
          <w:i/>
          <w:sz w:val="20"/>
        </w:rPr>
        <w:t>Irvani</w:t>
      </w:r>
      <w:r>
        <w:rPr>
          <w:rFonts w:ascii="Arial"/>
          <w:i/>
          <w:spacing w:val="12"/>
          <w:sz w:val="20"/>
        </w:rPr>
        <w:t> </w:t>
      </w:r>
      <w:r>
        <w:rPr>
          <w:rFonts w:ascii="Arial"/>
          <w:i/>
          <w:sz w:val="20"/>
        </w:rPr>
        <w:t>[1990]</w:t>
      </w:r>
      <w:r>
        <w:rPr>
          <w:rFonts w:ascii="Arial"/>
          <w:i/>
          <w:spacing w:val="12"/>
          <w:sz w:val="20"/>
        </w:rPr>
        <w:t> </w:t>
      </w:r>
      <w:r>
        <w:rPr>
          <w:rFonts w:ascii="Arial"/>
          <w:i/>
          <w:spacing w:val="-10"/>
          <w:sz w:val="20"/>
        </w:rPr>
        <w:t>1</w:t>
      </w:r>
    </w:p>
    <w:p>
      <w:pPr>
        <w:spacing w:line="225" w:lineRule="exact" w:before="0"/>
        <w:ind w:left="705" w:right="0" w:firstLine="0"/>
        <w:jc w:val="left"/>
        <w:rPr>
          <w:sz w:val="20"/>
        </w:rPr>
      </w:pPr>
      <w:r>
        <w:rPr>
          <w:rFonts w:ascii="Arial"/>
          <w:i/>
          <w:sz w:val="20"/>
        </w:rPr>
        <w:t>W.L.R.</w:t>
      </w:r>
      <w:r>
        <w:rPr>
          <w:rFonts w:ascii="Arial"/>
          <w:i/>
          <w:spacing w:val="-1"/>
          <w:sz w:val="20"/>
        </w:rPr>
        <w:t> </w:t>
      </w:r>
      <w:r>
        <w:rPr>
          <w:rFonts w:ascii="Arial"/>
          <w:i/>
          <w:sz w:val="20"/>
        </w:rPr>
        <w:t>667</w:t>
      </w:r>
      <w:r>
        <w:rPr>
          <w:sz w:val="20"/>
        </w:rPr>
        <w:t>. See too, below, </w:t>
      </w:r>
      <w:r>
        <w:rPr>
          <w:spacing w:val="-2"/>
          <w:sz w:val="20"/>
        </w:rPr>
        <w:t>n.1136.</w:t>
      </w:r>
    </w:p>
    <w:p>
      <w:pPr>
        <w:pStyle w:val="BodyText"/>
        <w:spacing w:before="8"/>
      </w:pPr>
    </w:p>
    <w:p>
      <w:pPr>
        <w:pStyle w:val="BodyText"/>
        <w:spacing w:line="235" w:lineRule="auto"/>
        <w:ind w:left="705" w:hanging="541"/>
      </w:pPr>
      <w:bookmarkStart w:name="_bookmark2234" w:id="2236"/>
      <w:bookmarkEnd w:id="2236"/>
      <w:r>
        <w:rPr/>
      </w:r>
      <w:hyperlink w:history="true" w:anchor="_bookmark2185">
        <w:r>
          <w:rPr>
            <w:color w:val="005DA1"/>
            <w:position w:val="5"/>
            <w:sz w:val="14"/>
            <w:u w:val="single" w:color="005DA1"/>
          </w:rPr>
          <w:t>1148</w:t>
        </w:r>
      </w:hyperlink>
      <w:r>
        <w:rPr>
          <w:position w:val="5"/>
          <w:sz w:val="14"/>
        </w:rPr>
        <w:t>.</w:t>
      </w:r>
      <w:r>
        <w:rPr>
          <w:spacing w:val="80"/>
          <w:w w:val="150"/>
          <w:position w:val="5"/>
          <w:sz w:val="14"/>
        </w:rPr>
        <w:t> </w:t>
      </w:r>
      <w:r>
        <w:rPr/>
        <w:t>Giuliano-Lagarde Report, p.29. This definition does not include the special requirements </w:t>
      </w:r>
      <w:r>
        <w:rPr/>
        <w:t>which have</w:t>
      </w:r>
      <w:r>
        <w:rPr>
          <w:spacing w:val="3"/>
        </w:rPr>
        <w:t> </w:t>
      </w:r>
      <w:r>
        <w:rPr/>
        <w:t>to</w:t>
      </w:r>
      <w:r>
        <w:rPr>
          <w:spacing w:val="3"/>
        </w:rPr>
        <w:t> </w:t>
      </w:r>
      <w:r>
        <w:rPr/>
        <w:t>be</w:t>
      </w:r>
      <w:r>
        <w:rPr>
          <w:spacing w:val="3"/>
        </w:rPr>
        <w:t> </w:t>
      </w:r>
      <w:r>
        <w:rPr/>
        <w:t>fulfilled</w:t>
      </w:r>
      <w:r>
        <w:rPr>
          <w:spacing w:val="3"/>
        </w:rPr>
        <w:t> </w:t>
      </w:r>
      <w:r>
        <w:rPr/>
        <w:t>where</w:t>
      </w:r>
      <w:r>
        <w:rPr>
          <w:spacing w:val="3"/>
        </w:rPr>
        <w:t> </w:t>
      </w:r>
      <w:r>
        <w:rPr/>
        <w:t>there</w:t>
      </w:r>
      <w:r>
        <w:rPr>
          <w:spacing w:val="3"/>
        </w:rPr>
        <w:t> </w:t>
      </w:r>
      <w:r>
        <w:rPr/>
        <w:t>are</w:t>
      </w:r>
      <w:r>
        <w:rPr>
          <w:spacing w:val="3"/>
        </w:rPr>
        <w:t> </w:t>
      </w:r>
      <w:r>
        <w:rPr/>
        <w:t>persons</w:t>
      </w:r>
      <w:r>
        <w:rPr>
          <w:spacing w:val="3"/>
        </w:rPr>
        <w:t> </w:t>
      </w:r>
      <w:r>
        <w:rPr/>
        <w:t>under</w:t>
      </w:r>
      <w:r>
        <w:rPr>
          <w:spacing w:val="3"/>
        </w:rPr>
        <w:t> </w:t>
      </w:r>
      <w:r>
        <w:rPr/>
        <w:t>a</w:t>
      </w:r>
      <w:r>
        <w:rPr>
          <w:spacing w:val="3"/>
        </w:rPr>
        <w:t> </w:t>
      </w:r>
      <w:r>
        <w:rPr/>
        <w:t>disability</w:t>
      </w:r>
      <w:r>
        <w:rPr>
          <w:spacing w:val="3"/>
        </w:rPr>
        <w:t> </w:t>
      </w:r>
      <w:r>
        <w:rPr/>
        <w:t>to</w:t>
      </w:r>
      <w:r>
        <w:rPr>
          <w:spacing w:val="3"/>
        </w:rPr>
        <w:t> </w:t>
      </w:r>
      <w:r>
        <w:rPr/>
        <w:t>be</w:t>
      </w:r>
      <w:r>
        <w:rPr>
          <w:spacing w:val="3"/>
        </w:rPr>
        <w:t> </w:t>
      </w:r>
      <w:r>
        <w:rPr/>
        <w:t>protected,</w:t>
      </w:r>
      <w:r>
        <w:rPr>
          <w:spacing w:val="3"/>
        </w:rPr>
        <w:t> </w:t>
      </w:r>
      <w:r>
        <w:rPr/>
        <w:t>such</w:t>
      </w:r>
      <w:r>
        <w:rPr>
          <w:spacing w:val="3"/>
        </w:rPr>
        <w:t> </w:t>
      </w:r>
      <w:r>
        <w:rPr/>
        <w:t>as</w:t>
      </w:r>
      <w:r>
        <w:rPr>
          <w:spacing w:val="3"/>
        </w:rPr>
        <w:t> </w:t>
      </w:r>
      <w:r>
        <w:rPr/>
        <w:t>the</w:t>
      </w:r>
      <w:r>
        <w:rPr>
          <w:spacing w:val="3"/>
        </w:rPr>
        <w:t> </w:t>
      </w:r>
      <w:r>
        <w:rPr>
          <w:spacing w:val="-4"/>
        </w:rPr>
        <w:t>need</w:t>
      </w:r>
    </w:p>
    <w:p>
      <w:pPr>
        <w:pStyle w:val="BodyText"/>
        <w:spacing w:after="0" w:line="235" w:lineRule="auto"/>
        <w:sectPr>
          <w:pgSz w:w="11900" w:h="16840"/>
          <w:pgMar w:header="971" w:footer="0" w:top="1300" w:bottom="280" w:left="1275" w:right="1275"/>
        </w:sectPr>
      </w:pPr>
    </w:p>
    <w:p>
      <w:pPr>
        <w:pStyle w:val="BodyText"/>
        <w:spacing w:line="235" w:lineRule="auto" w:before="170"/>
        <w:ind w:left="705" w:right="167"/>
        <w:jc w:val="both"/>
      </w:pPr>
      <w:r>
        <w:rPr/>
        <w:t>in French law for the consent of a family council to an act for the benefit of a minor, or where </w:t>
      </w:r>
      <w:r>
        <w:rPr/>
        <w:t>an act is to be valid against third parties, for example the need in English law for a notice of statutory assignment of a chose in action: Giuliano-Lagarde Report, p.29.</w:t>
      </w:r>
    </w:p>
    <w:p>
      <w:pPr>
        <w:pStyle w:val="BodyText"/>
        <w:spacing w:before="9"/>
      </w:pPr>
    </w:p>
    <w:p>
      <w:pPr>
        <w:pStyle w:val="BodyText"/>
        <w:spacing w:line="235" w:lineRule="auto"/>
        <w:ind w:left="705" w:right="167" w:hanging="541"/>
        <w:jc w:val="both"/>
      </w:pPr>
      <w:bookmarkStart w:name="_bookmark2235" w:id="2237"/>
      <w:bookmarkEnd w:id="2237"/>
      <w:r>
        <w:rPr/>
      </w:r>
      <w:hyperlink w:history="true" w:anchor="_bookmark2186">
        <w:r>
          <w:rPr>
            <w:color w:val="005DA1"/>
            <w:position w:val="5"/>
            <w:sz w:val="14"/>
            <w:u w:val="single" w:color="005DA1"/>
          </w:rPr>
          <w:t>1149</w:t>
        </w:r>
      </w:hyperlink>
      <w:r>
        <w:rPr>
          <w:position w:val="5"/>
          <w:sz w:val="14"/>
        </w:rPr>
        <w:t>.</w:t>
      </w:r>
      <w:r>
        <w:rPr>
          <w:spacing w:val="80"/>
          <w:position w:val="5"/>
          <w:sz w:val="14"/>
        </w:rPr>
        <w:t> </w:t>
      </w:r>
      <w:r>
        <w:rPr/>
        <w:t>The rules in the Rome Convention and the Rome I Regulation do not apply to evidence and procedure: above, paras 30-043, 30-160. This process might result in a reversal of </w:t>
      </w:r>
      <w:r>
        <w:rPr>
          <w:rFonts w:ascii="Arial"/>
          <w:i/>
        </w:rPr>
        <w:t>Leroux v Brown (1852) 12 C.B. 801</w:t>
      </w:r>
      <w:r>
        <w:rPr/>
        <w:t>, since s.4 of the Statute of Frauds 1677 could be treated as a formal requirement,</w:t>
      </w:r>
      <w:r>
        <w:rPr>
          <w:spacing w:val="9"/>
        </w:rPr>
        <w:t> </w:t>
      </w:r>
      <w:r>
        <w:rPr/>
        <w:t>the</w:t>
      </w:r>
      <w:r>
        <w:rPr>
          <w:spacing w:val="9"/>
        </w:rPr>
        <w:t> </w:t>
      </w:r>
      <w:r>
        <w:rPr/>
        <w:t>applicability</w:t>
      </w:r>
      <w:r>
        <w:rPr>
          <w:spacing w:val="9"/>
        </w:rPr>
        <w:t> </w:t>
      </w:r>
      <w:r>
        <w:rPr/>
        <w:t>of</w:t>
      </w:r>
      <w:r>
        <w:rPr>
          <w:spacing w:val="9"/>
        </w:rPr>
        <w:t> </w:t>
      </w:r>
      <w:r>
        <w:rPr/>
        <w:t>which</w:t>
      </w:r>
      <w:r>
        <w:rPr>
          <w:spacing w:val="9"/>
        </w:rPr>
        <w:t> </w:t>
      </w:r>
      <w:r>
        <w:rPr/>
        <w:t>depends</w:t>
      </w:r>
      <w:r>
        <w:rPr>
          <w:spacing w:val="9"/>
        </w:rPr>
        <w:t> </w:t>
      </w:r>
      <w:r>
        <w:rPr/>
        <w:t>on</w:t>
      </w:r>
      <w:r>
        <w:rPr>
          <w:spacing w:val="9"/>
        </w:rPr>
        <w:t> </w:t>
      </w:r>
      <w:r>
        <w:rPr/>
        <w:t>art.9.</w:t>
      </w:r>
      <w:r>
        <w:rPr>
          <w:spacing w:val="9"/>
        </w:rPr>
        <w:t> </w:t>
      </w:r>
      <w:r>
        <w:rPr/>
        <w:t>A</w:t>
      </w:r>
      <w:r>
        <w:rPr>
          <w:spacing w:val="9"/>
        </w:rPr>
        <w:t> </w:t>
      </w:r>
      <w:r>
        <w:rPr/>
        <w:t>different</w:t>
      </w:r>
      <w:r>
        <w:rPr>
          <w:spacing w:val="9"/>
        </w:rPr>
        <w:t> </w:t>
      </w:r>
      <w:r>
        <w:rPr/>
        <w:t>approach</w:t>
      </w:r>
      <w:r>
        <w:rPr>
          <w:spacing w:val="9"/>
        </w:rPr>
        <w:t> </w:t>
      </w:r>
      <w:r>
        <w:rPr/>
        <w:t>would</w:t>
      </w:r>
      <w:r>
        <w:rPr>
          <w:spacing w:val="9"/>
        </w:rPr>
        <w:t> </w:t>
      </w:r>
      <w:r>
        <w:rPr/>
        <w:t>be</w:t>
      </w:r>
      <w:r>
        <w:rPr>
          <w:spacing w:val="9"/>
        </w:rPr>
        <w:t> </w:t>
      </w:r>
      <w:r>
        <w:rPr/>
        <w:t>to</w:t>
      </w:r>
      <w:r>
        <w:rPr>
          <w:spacing w:val="9"/>
        </w:rPr>
        <w:t> </w:t>
      </w:r>
      <w:r>
        <w:rPr>
          <w:spacing w:val="-2"/>
        </w:rPr>
        <w:t>treat</w:t>
      </w:r>
    </w:p>
    <w:p>
      <w:pPr>
        <w:pStyle w:val="BodyText"/>
        <w:spacing w:line="235" w:lineRule="auto"/>
        <w:ind w:left="705" w:right="167"/>
        <w:jc w:val="both"/>
      </w:pPr>
      <w:r>
        <w:rPr/>
        <w:t>s.4</w:t>
      </w:r>
      <w:r>
        <w:rPr>
          <w:spacing w:val="-1"/>
        </w:rPr>
        <w:t> </w:t>
      </w:r>
      <w:r>
        <w:rPr/>
        <w:t>as</w:t>
      </w:r>
      <w:r>
        <w:rPr>
          <w:spacing w:val="-1"/>
        </w:rPr>
        <w:t> </w:t>
      </w:r>
      <w:r>
        <w:rPr/>
        <w:t>subject</w:t>
      </w:r>
      <w:r>
        <w:rPr>
          <w:spacing w:val="-1"/>
        </w:rPr>
        <w:t> </w:t>
      </w:r>
      <w:r>
        <w:rPr/>
        <w:t>to</w:t>
      </w:r>
      <w:r>
        <w:rPr>
          <w:spacing w:val="-1"/>
        </w:rPr>
        <w:t> </w:t>
      </w:r>
      <w:r>
        <w:rPr/>
        <w:t>art.14(2)</w:t>
      </w:r>
      <w:r>
        <w:rPr>
          <w:spacing w:val="-1"/>
        </w:rPr>
        <w:t> </w:t>
      </w:r>
      <w:r>
        <w:rPr/>
        <w:t>(as</w:t>
      </w:r>
      <w:r>
        <w:rPr>
          <w:spacing w:val="-1"/>
        </w:rPr>
        <w:t> </w:t>
      </w:r>
      <w:r>
        <w:rPr/>
        <w:t>to</w:t>
      </w:r>
      <w:r>
        <w:rPr>
          <w:spacing w:val="-1"/>
        </w:rPr>
        <w:t> </w:t>
      </w:r>
      <w:r>
        <w:rPr/>
        <w:t>which,</w:t>
      </w:r>
      <w:r>
        <w:rPr>
          <w:spacing w:val="-1"/>
        </w:rPr>
        <w:t> </w:t>
      </w:r>
      <w:r>
        <w:rPr/>
        <w:t>see</w:t>
      </w:r>
      <w:r>
        <w:rPr>
          <w:spacing w:val="-1"/>
        </w:rPr>
        <w:t> </w:t>
      </w:r>
      <w:r>
        <w:rPr/>
        <w:t>below,</w:t>
      </w:r>
      <w:r>
        <w:rPr>
          <w:spacing w:val="-1"/>
        </w:rPr>
        <w:t> </w:t>
      </w:r>
      <w:r>
        <w:rPr/>
        <w:t>para.30-356)</w:t>
      </w:r>
      <w:r>
        <w:rPr>
          <w:spacing w:val="-1"/>
        </w:rPr>
        <w:t> </w:t>
      </w:r>
      <w:r>
        <w:rPr/>
        <w:t>which</w:t>
      </w:r>
      <w:r>
        <w:rPr>
          <w:spacing w:val="-1"/>
        </w:rPr>
        <w:t> </w:t>
      </w:r>
      <w:r>
        <w:rPr/>
        <w:t>permits</w:t>
      </w:r>
      <w:r>
        <w:rPr>
          <w:spacing w:val="-1"/>
        </w:rPr>
        <w:t> </w:t>
      </w:r>
      <w:r>
        <w:rPr/>
        <w:t>any</w:t>
      </w:r>
      <w:r>
        <w:rPr>
          <w:spacing w:val="-1"/>
        </w:rPr>
        <w:t> </w:t>
      </w:r>
      <w:r>
        <w:rPr/>
        <w:t>act</w:t>
      </w:r>
      <w:r>
        <w:rPr>
          <w:spacing w:val="-1"/>
        </w:rPr>
        <w:t> </w:t>
      </w:r>
      <w:r>
        <w:rPr/>
        <w:t>intended to have legal effect to be proved in any manner permitted by the law of the forum or in </w:t>
      </w:r>
      <w:r>
        <w:rPr/>
        <w:t>any manner permitted by the law which renders the contract formally valid under art.9, provided the mode of proof can be administered by the forum. If s.4 falls within this provision, </w:t>
      </w:r>
      <w:r>
        <w:rPr>
          <w:rFonts w:ascii="Arial" w:hAnsi="Arial"/>
          <w:i/>
        </w:rPr>
        <w:t>Leroux v</w:t>
      </w:r>
      <w:r>
        <w:rPr>
          <w:rFonts w:ascii="Arial" w:hAnsi="Arial"/>
          <w:i/>
          <w:spacing w:val="40"/>
        </w:rPr>
        <w:t> </w:t>
      </w:r>
      <w:r>
        <w:rPr>
          <w:rFonts w:ascii="Arial" w:hAnsi="Arial"/>
          <w:i/>
        </w:rPr>
        <w:t>Brown</w:t>
      </w:r>
      <w:r>
        <w:rPr>
          <w:rFonts w:ascii="Arial" w:hAnsi="Arial"/>
          <w:i/>
          <w:spacing w:val="-2"/>
        </w:rPr>
        <w:t> </w:t>
      </w:r>
      <w:r>
        <w:rPr/>
        <w:t>would</w:t>
      </w:r>
      <w:r>
        <w:rPr>
          <w:spacing w:val="-2"/>
        </w:rPr>
        <w:t> </w:t>
      </w:r>
      <w:r>
        <w:rPr/>
        <w:t>be</w:t>
      </w:r>
      <w:r>
        <w:rPr>
          <w:spacing w:val="-2"/>
        </w:rPr>
        <w:t> </w:t>
      </w:r>
      <w:r>
        <w:rPr/>
        <w:t>reversed</w:t>
      </w:r>
      <w:r>
        <w:rPr>
          <w:spacing w:val="-2"/>
        </w:rPr>
        <w:t> </w:t>
      </w:r>
      <w:r>
        <w:rPr/>
        <w:t>since</w:t>
      </w:r>
      <w:r>
        <w:rPr>
          <w:spacing w:val="-2"/>
        </w:rPr>
        <w:t> </w:t>
      </w:r>
      <w:r>
        <w:rPr/>
        <w:t>the</w:t>
      </w:r>
      <w:r>
        <w:rPr>
          <w:spacing w:val="-2"/>
        </w:rPr>
        <w:t> </w:t>
      </w:r>
      <w:r>
        <w:rPr/>
        <w:t>contract</w:t>
      </w:r>
      <w:r>
        <w:rPr>
          <w:spacing w:val="-2"/>
        </w:rPr>
        <w:t> </w:t>
      </w:r>
      <w:r>
        <w:rPr/>
        <w:t>could</w:t>
      </w:r>
      <w:r>
        <w:rPr>
          <w:spacing w:val="-2"/>
        </w:rPr>
        <w:t> </w:t>
      </w:r>
      <w:r>
        <w:rPr/>
        <w:t>have</w:t>
      </w:r>
      <w:r>
        <w:rPr>
          <w:spacing w:val="-2"/>
        </w:rPr>
        <w:t> </w:t>
      </w:r>
      <w:r>
        <w:rPr/>
        <w:t>been</w:t>
      </w:r>
      <w:r>
        <w:rPr>
          <w:spacing w:val="-2"/>
        </w:rPr>
        <w:t> </w:t>
      </w:r>
      <w:r>
        <w:rPr/>
        <w:t>proved</w:t>
      </w:r>
      <w:r>
        <w:rPr>
          <w:spacing w:val="-2"/>
        </w:rPr>
        <w:t> </w:t>
      </w:r>
      <w:r>
        <w:rPr/>
        <w:t>by</w:t>
      </w:r>
      <w:r>
        <w:rPr>
          <w:spacing w:val="-2"/>
        </w:rPr>
        <w:t> </w:t>
      </w:r>
      <w:r>
        <w:rPr/>
        <w:t>oral</w:t>
      </w:r>
      <w:r>
        <w:rPr>
          <w:spacing w:val="-2"/>
        </w:rPr>
        <w:t> </w:t>
      </w:r>
      <w:r>
        <w:rPr/>
        <w:t>testimony</w:t>
      </w:r>
      <w:r>
        <w:rPr>
          <w:spacing w:val="-2"/>
        </w:rPr>
        <w:t> </w:t>
      </w:r>
      <w:r>
        <w:rPr/>
        <w:t>under</w:t>
      </w:r>
      <w:r>
        <w:rPr>
          <w:spacing w:val="-2"/>
        </w:rPr>
        <w:t> </w:t>
      </w:r>
      <w:r>
        <w:rPr/>
        <w:t>its French</w:t>
      </w:r>
      <w:r>
        <w:rPr>
          <w:spacing w:val="-2"/>
        </w:rPr>
        <w:t> </w:t>
      </w:r>
      <w:r>
        <w:rPr/>
        <w:t>governing</w:t>
      </w:r>
      <w:r>
        <w:rPr>
          <w:spacing w:val="-2"/>
        </w:rPr>
        <w:t> </w:t>
      </w:r>
      <w:r>
        <w:rPr/>
        <w:t>law:</w:t>
      </w:r>
      <w:r>
        <w:rPr>
          <w:spacing w:val="-2"/>
        </w:rPr>
        <w:t> </w:t>
      </w:r>
      <w:r>
        <w:rPr/>
        <w:t>see</w:t>
      </w:r>
      <w:r>
        <w:rPr>
          <w:spacing w:val="-2"/>
        </w:rPr>
        <w:t> </w:t>
      </w:r>
      <w:r>
        <w:rPr/>
        <w:t>Dicey,</w:t>
      </w:r>
      <w:r>
        <w:rPr>
          <w:spacing w:val="-2"/>
        </w:rPr>
        <w:t> </w:t>
      </w:r>
      <w:r>
        <w:rPr/>
        <w:t>Morris</w:t>
      </w:r>
      <w:r>
        <w:rPr>
          <w:spacing w:val="-2"/>
        </w:rPr>
        <w:t> </w:t>
      </w:r>
      <w:r>
        <w:rPr/>
        <w:t>and</w:t>
      </w:r>
      <w:r>
        <w:rPr>
          <w:spacing w:val="-2"/>
        </w:rPr>
        <w:t> </w:t>
      </w:r>
      <w:r>
        <w:rPr/>
        <w:t>Collins,</w:t>
      </w:r>
      <w:r>
        <w:rPr>
          <w:spacing w:val="-2"/>
        </w:rPr>
        <w:t> </w:t>
      </w:r>
      <w:r>
        <w:rPr/>
        <w:t>para.32–179;</w:t>
      </w:r>
      <w:r>
        <w:rPr>
          <w:spacing w:val="-2"/>
        </w:rPr>
        <w:t> </w:t>
      </w:r>
      <w:r>
        <w:rPr/>
        <w:t>Lasok</w:t>
      </w:r>
      <w:r>
        <w:rPr>
          <w:spacing w:val="-2"/>
        </w:rPr>
        <w:t> </w:t>
      </w:r>
      <w:r>
        <w:rPr/>
        <w:t>and</w:t>
      </w:r>
      <w:r>
        <w:rPr>
          <w:spacing w:val="-2"/>
        </w:rPr>
        <w:t> </w:t>
      </w:r>
      <w:r>
        <w:rPr/>
        <w:t>Stone,</w:t>
      </w:r>
      <w:r>
        <w:rPr>
          <w:spacing w:val="-4"/>
        </w:rPr>
        <w:t> </w:t>
      </w:r>
      <w:r>
        <w:rPr>
          <w:rFonts w:ascii="Arial" w:hAnsi="Arial"/>
          <w:i/>
        </w:rPr>
        <w:t>Conflict</w:t>
      </w:r>
      <w:r>
        <w:rPr>
          <w:rFonts w:ascii="Arial" w:hAnsi="Arial"/>
          <w:i/>
          <w:spacing w:val="-2"/>
        </w:rPr>
        <w:t> </w:t>
      </w:r>
      <w:r>
        <w:rPr>
          <w:rFonts w:ascii="Arial" w:hAnsi="Arial"/>
          <w:i/>
        </w:rPr>
        <w:t>of Laws in the European Community </w:t>
      </w:r>
      <w:r>
        <w:rPr/>
        <w:t>(1987), pp.366–367.</w:t>
      </w:r>
    </w:p>
    <w:p>
      <w:pPr>
        <w:pStyle w:val="BodyText"/>
        <w:spacing w:before="2"/>
      </w:pPr>
    </w:p>
    <w:p>
      <w:pPr>
        <w:pStyle w:val="BodyText"/>
        <w:ind w:left="165"/>
      </w:pPr>
      <w:bookmarkStart w:name="_bookmark2236" w:id="2238"/>
      <w:bookmarkEnd w:id="2238"/>
      <w:r>
        <w:rPr/>
      </w:r>
      <w:hyperlink w:history="true" w:anchor="_bookmark2187">
        <w:r>
          <w:rPr>
            <w:color w:val="005DA1"/>
            <w:position w:val="5"/>
            <w:sz w:val="14"/>
            <w:u w:val="single" w:color="005DA1"/>
          </w:rPr>
          <w:t>1150</w:t>
        </w:r>
      </w:hyperlink>
      <w:r>
        <w:rPr>
          <w:position w:val="5"/>
          <w:sz w:val="14"/>
        </w:rPr>
        <w:t>.</w:t>
      </w:r>
      <w:r>
        <w:rPr>
          <w:spacing w:val="55"/>
          <w:position w:val="5"/>
          <w:sz w:val="14"/>
        </w:rPr>
        <w:t>  </w:t>
      </w:r>
      <w:r>
        <w:rPr/>
        <w:t>See,</w:t>
      </w:r>
      <w:r>
        <w:rPr>
          <w:spacing w:val="1"/>
        </w:rPr>
        <w:t> </w:t>
      </w:r>
      <w:r>
        <w:rPr/>
        <w:t>e.g. Consumer Credit Act 1974 </w:t>
      </w:r>
      <w:r>
        <w:rPr>
          <w:spacing w:val="-2"/>
        </w:rPr>
        <w:t>ss.60–65.</w:t>
      </w:r>
    </w:p>
    <w:p>
      <w:pPr>
        <w:pStyle w:val="BodyText"/>
        <w:spacing w:before="9"/>
      </w:pPr>
    </w:p>
    <w:p>
      <w:pPr>
        <w:spacing w:line="235" w:lineRule="auto" w:before="0"/>
        <w:ind w:left="705" w:right="168" w:hanging="541"/>
        <w:jc w:val="both"/>
        <w:rPr>
          <w:rFonts w:ascii="Arial" w:hAnsi="Arial"/>
          <w:i/>
          <w:sz w:val="20"/>
        </w:rPr>
      </w:pPr>
      <w:bookmarkStart w:name="_bookmark2237" w:id="2239"/>
      <w:bookmarkEnd w:id="2239"/>
      <w:r>
        <w:rPr/>
      </w:r>
      <w:hyperlink w:history="true" w:anchor="_bookmark2188">
        <w:r>
          <w:rPr>
            <w:color w:val="005DA1"/>
            <w:position w:val="5"/>
            <w:sz w:val="14"/>
            <w:u w:val="single" w:color="005DA1"/>
          </w:rPr>
          <w:t>1151</w:t>
        </w:r>
      </w:hyperlink>
      <w:r>
        <w:rPr>
          <w:position w:val="5"/>
          <w:sz w:val="14"/>
        </w:rPr>
        <w:t>.</w:t>
      </w:r>
      <w:r>
        <w:rPr>
          <w:spacing w:val="80"/>
          <w:position w:val="5"/>
          <w:sz w:val="14"/>
        </w:rPr>
        <w:t> </w:t>
      </w:r>
      <w:r>
        <w:rPr>
          <w:sz w:val="20"/>
        </w:rPr>
        <w:t>cf. </w:t>
      </w:r>
      <w:r>
        <w:rPr>
          <w:rFonts w:ascii="Arial" w:hAnsi="Arial"/>
          <w:i/>
          <w:sz w:val="20"/>
        </w:rPr>
        <w:t>English v Donnelly (1958) S.C. 494</w:t>
      </w:r>
      <w:r>
        <w:rPr>
          <w:sz w:val="20"/>
        </w:rPr>
        <w:t>, not followed in </w:t>
      </w:r>
      <w:r>
        <w:rPr>
          <w:rFonts w:ascii="Arial" w:hAnsi="Arial"/>
          <w:i/>
          <w:sz w:val="20"/>
        </w:rPr>
        <w:t>Hong Kong Shipping Ltd v The </w:t>
      </w:r>
      <w:r>
        <w:rPr>
          <w:rFonts w:ascii="Arial" w:hAnsi="Arial"/>
          <w:i/>
          <w:sz w:val="20"/>
        </w:rPr>
        <w:t>Cavalry [1987] H.K.L. Rep. 287</w:t>
      </w:r>
      <w:r>
        <w:rPr>
          <w:sz w:val="20"/>
        </w:rPr>
        <w:t>; cf. </w:t>
      </w:r>
      <w:r>
        <w:rPr>
          <w:rFonts w:ascii="Arial" w:hAnsi="Arial"/>
          <w:i/>
          <w:sz w:val="20"/>
        </w:rPr>
        <w:t>Kay’s Leasing Corp Pty Ltd v Fletcher (1964) 116 C.L.R. 124</w:t>
      </w:r>
      <w:r>
        <w:rPr>
          <w:sz w:val="20"/>
        </w:rPr>
        <w:t>; </w:t>
      </w:r>
      <w:r>
        <w:rPr>
          <w:rFonts w:ascii="Arial" w:hAnsi="Arial"/>
          <w:i/>
          <w:sz w:val="20"/>
        </w:rPr>
        <w:t>Golden Acres Ltd v Queensland Estates Ltd [1969] St. R. Qd. 378 </w:t>
      </w:r>
      <w:r>
        <w:rPr>
          <w:sz w:val="20"/>
        </w:rPr>
        <w:t>(affirmed on different</w:t>
      </w:r>
      <w:r>
        <w:rPr>
          <w:spacing w:val="40"/>
          <w:sz w:val="20"/>
        </w:rPr>
        <w:t> </w:t>
      </w:r>
      <w:r>
        <w:rPr>
          <w:sz w:val="20"/>
        </w:rPr>
        <w:t>grounds</w:t>
      </w:r>
      <w:r>
        <w:rPr>
          <w:spacing w:val="5"/>
          <w:sz w:val="20"/>
        </w:rPr>
        <w:t> </w:t>
      </w:r>
      <w:r>
        <w:rPr>
          <w:sz w:val="20"/>
        </w:rPr>
        <w:t>sub</w:t>
      </w:r>
      <w:r>
        <w:rPr>
          <w:spacing w:val="5"/>
          <w:sz w:val="20"/>
        </w:rPr>
        <w:t> </w:t>
      </w:r>
      <w:r>
        <w:rPr>
          <w:sz w:val="20"/>
        </w:rPr>
        <w:t>nom.</w:t>
      </w:r>
      <w:r>
        <w:rPr>
          <w:spacing w:val="5"/>
          <w:sz w:val="20"/>
        </w:rPr>
        <w:t> </w:t>
      </w:r>
      <w:r>
        <w:rPr>
          <w:rFonts w:ascii="Arial" w:hAnsi="Arial"/>
          <w:i/>
          <w:sz w:val="20"/>
        </w:rPr>
        <w:t>Freehold</w:t>
      </w:r>
      <w:r>
        <w:rPr>
          <w:rFonts w:ascii="Arial" w:hAnsi="Arial"/>
          <w:i/>
          <w:spacing w:val="5"/>
          <w:sz w:val="20"/>
        </w:rPr>
        <w:t> </w:t>
      </w:r>
      <w:r>
        <w:rPr>
          <w:rFonts w:ascii="Arial" w:hAnsi="Arial"/>
          <w:i/>
          <w:sz w:val="20"/>
        </w:rPr>
        <w:t>Land</w:t>
      </w:r>
      <w:r>
        <w:rPr>
          <w:rFonts w:ascii="Arial" w:hAnsi="Arial"/>
          <w:i/>
          <w:spacing w:val="5"/>
          <w:sz w:val="20"/>
        </w:rPr>
        <w:t> </w:t>
      </w:r>
      <w:r>
        <w:rPr>
          <w:rFonts w:ascii="Arial" w:hAnsi="Arial"/>
          <w:i/>
          <w:sz w:val="20"/>
        </w:rPr>
        <w:t>Investments</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Queensland</w:t>
      </w:r>
      <w:r>
        <w:rPr>
          <w:rFonts w:ascii="Arial" w:hAnsi="Arial"/>
          <w:i/>
          <w:spacing w:val="5"/>
          <w:sz w:val="20"/>
        </w:rPr>
        <w:t> </w:t>
      </w:r>
      <w:r>
        <w:rPr>
          <w:rFonts w:ascii="Arial" w:hAnsi="Arial"/>
          <w:i/>
          <w:sz w:val="20"/>
        </w:rPr>
        <w:t>Estates</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(1970)</w:t>
      </w:r>
      <w:r>
        <w:rPr>
          <w:rFonts w:ascii="Arial" w:hAnsi="Arial"/>
          <w:i/>
          <w:spacing w:val="5"/>
          <w:sz w:val="20"/>
        </w:rPr>
        <w:t> </w:t>
      </w:r>
      <w:r>
        <w:rPr>
          <w:rFonts w:ascii="Arial" w:hAnsi="Arial"/>
          <w:i/>
          <w:sz w:val="20"/>
        </w:rPr>
        <w:t>123</w:t>
      </w:r>
      <w:r>
        <w:rPr>
          <w:rFonts w:ascii="Arial" w:hAnsi="Arial"/>
          <w:i/>
          <w:spacing w:val="5"/>
          <w:sz w:val="20"/>
        </w:rPr>
        <w:t> </w:t>
      </w:r>
      <w:r>
        <w:rPr>
          <w:rFonts w:ascii="Arial" w:hAnsi="Arial"/>
          <w:i/>
          <w:spacing w:val="-2"/>
          <w:sz w:val="20"/>
        </w:rPr>
        <w:t>C.L.R.</w:t>
      </w:r>
    </w:p>
    <w:p>
      <w:pPr>
        <w:spacing w:line="235" w:lineRule="auto" w:before="0"/>
        <w:ind w:left="705" w:right="168" w:firstLine="0"/>
        <w:jc w:val="both"/>
        <w:rPr>
          <w:rFonts w:ascii="Arial"/>
          <w:i/>
          <w:sz w:val="20"/>
        </w:rPr>
      </w:pPr>
      <w:r>
        <w:rPr>
          <w:rFonts w:ascii="Arial"/>
          <w:i/>
          <w:sz w:val="20"/>
        </w:rPr>
        <w:t>418</w:t>
      </w:r>
      <w:r>
        <w:rPr>
          <w:sz w:val="20"/>
        </w:rPr>
        <w:t>); </w:t>
      </w:r>
      <w:r>
        <w:rPr>
          <w:rFonts w:ascii="Arial"/>
          <w:i/>
          <w:sz w:val="20"/>
        </w:rPr>
        <w:t>Nike Information Systems Ltd v Avac Systems Ltd (1979) 105 D.L.R. (3d) </w:t>
      </w:r>
      <w:r>
        <w:rPr>
          <w:rFonts w:ascii="Arial"/>
          <w:i/>
          <w:sz w:val="20"/>
        </w:rPr>
        <w:t>455</w:t>
      </w:r>
      <w:r>
        <w:rPr>
          <w:sz w:val="20"/>
        </w:rPr>
        <w:t>; </w:t>
      </w:r>
      <w:r>
        <w:rPr>
          <w:rFonts w:ascii="Arial"/>
          <w:i/>
          <w:sz w:val="20"/>
        </w:rPr>
        <w:t>Greenshields</w:t>
      </w:r>
      <w:r>
        <w:rPr>
          <w:rFonts w:ascii="Arial"/>
          <w:i/>
          <w:spacing w:val="14"/>
          <w:sz w:val="20"/>
        </w:rPr>
        <w:t> </w:t>
      </w:r>
      <w:r>
        <w:rPr>
          <w:rFonts w:ascii="Arial"/>
          <w:i/>
          <w:sz w:val="20"/>
        </w:rPr>
        <w:t>Inc</w:t>
      </w:r>
      <w:r>
        <w:rPr>
          <w:rFonts w:ascii="Arial"/>
          <w:i/>
          <w:spacing w:val="14"/>
          <w:sz w:val="20"/>
        </w:rPr>
        <w:t> </w:t>
      </w:r>
      <w:r>
        <w:rPr>
          <w:rFonts w:ascii="Arial"/>
          <w:i/>
          <w:sz w:val="20"/>
        </w:rPr>
        <w:t>v</w:t>
      </w:r>
      <w:r>
        <w:rPr>
          <w:rFonts w:ascii="Arial"/>
          <w:i/>
          <w:spacing w:val="14"/>
          <w:sz w:val="20"/>
        </w:rPr>
        <w:t> </w:t>
      </w:r>
      <w:r>
        <w:rPr>
          <w:rFonts w:ascii="Arial"/>
          <w:i/>
          <w:sz w:val="20"/>
        </w:rPr>
        <w:t>Johnston</w:t>
      </w:r>
      <w:r>
        <w:rPr>
          <w:rFonts w:ascii="Arial"/>
          <w:i/>
          <w:spacing w:val="14"/>
          <w:sz w:val="20"/>
        </w:rPr>
        <w:t> </w:t>
      </w:r>
      <w:r>
        <w:rPr>
          <w:rFonts w:ascii="Arial"/>
          <w:i/>
          <w:sz w:val="20"/>
        </w:rPr>
        <w:t>(1981)</w:t>
      </w:r>
      <w:r>
        <w:rPr>
          <w:rFonts w:ascii="Arial"/>
          <w:i/>
          <w:spacing w:val="14"/>
          <w:sz w:val="20"/>
        </w:rPr>
        <w:t> </w:t>
      </w:r>
      <w:r>
        <w:rPr>
          <w:rFonts w:ascii="Arial"/>
          <w:i/>
          <w:sz w:val="20"/>
        </w:rPr>
        <w:t>119</w:t>
      </w:r>
      <w:r>
        <w:rPr>
          <w:rFonts w:ascii="Arial"/>
          <w:i/>
          <w:spacing w:val="14"/>
          <w:sz w:val="20"/>
        </w:rPr>
        <w:t> </w:t>
      </w:r>
      <w:r>
        <w:rPr>
          <w:rFonts w:ascii="Arial"/>
          <w:i/>
          <w:sz w:val="20"/>
        </w:rPr>
        <w:t>D.L.R.</w:t>
      </w:r>
      <w:r>
        <w:rPr>
          <w:rFonts w:ascii="Arial"/>
          <w:i/>
          <w:spacing w:val="14"/>
          <w:sz w:val="20"/>
        </w:rPr>
        <w:t> </w:t>
      </w:r>
      <w:r>
        <w:rPr>
          <w:rFonts w:ascii="Arial"/>
          <w:i/>
          <w:sz w:val="20"/>
        </w:rPr>
        <w:t>(3d)</w:t>
      </w:r>
      <w:r>
        <w:rPr>
          <w:rFonts w:ascii="Arial"/>
          <w:i/>
          <w:spacing w:val="14"/>
          <w:sz w:val="20"/>
        </w:rPr>
        <w:t> </w:t>
      </w:r>
      <w:r>
        <w:rPr>
          <w:rFonts w:ascii="Arial"/>
          <w:i/>
          <w:sz w:val="20"/>
        </w:rPr>
        <w:t>714</w:t>
      </w:r>
      <w:r>
        <w:rPr>
          <w:rFonts w:ascii="Arial"/>
          <w:i/>
          <w:spacing w:val="14"/>
          <w:sz w:val="20"/>
        </w:rPr>
        <w:t> </w:t>
      </w:r>
      <w:r>
        <w:rPr>
          <w:sz w:val="20"/>
        </w:rPr>
        <w:t>(appeal</w:t>
      </w:r>
      <w:r>
        <w:rPr>
          <w:spacing w:val="14"/>
          <w:sz w:val="20"/>
        </w:rPr>
        <w:t> </w:t>
      </w:r>
      <w:r>
        <w:rPr>
          <w:sz w:val="20"/>
        </w:rPr>
        <w:t>dismissed</w:t>
      </w:r>
      <w:r>
        <w:rPr>
          <w:spacing w:val="14"/>
          <w:sz w:val="20"/>
        </w:rPr>
        <w:t> </w:t>
      </w:r>
      <w:r>
        <w:rPr>
          <w:rFonts w:ascii="Arial"/>
          <w:i/>
          <w:sz w:val="20"/>
        </w:rPr>
        <w:t>(1981)</w:t>
      </w:r>
      <w:r>
        <w:rPr>
          <w:rFonts w:ascii="Arial"/>
          <w:i/>
          <w:spacing w:val="14"/>
          <w:sz w:val="20"/>
        </w:rPr>
        <w:t> </w:t>
      </w:r>
      <w:r>
        <w:rPr>
          <w:rFonts w:ascii="Arial"/>
          <w:i/>
          <w:sz w:val="20"/>
        </w:rPr>
        <w:t>131</w:t>
      </w:r>
      <w:r>
        <w:rPr>
          <w:rFonts w:ascii="Arial"/>
          <w:i/>
          <w:spacing w:val="14"/>
          <w:sz w:val="20"/>
        </w:rPr>
        <w:t> </w:t>
      </w:r>
      <w:r>
        <w:rPr>
          <w:rFonts w:ascii="Arial"/>
          <w:i/>
          <w:spacing w:val="-2"/>
          <w:sz w:val="20"/>
        </w:rPr>
        <w:t>D.L.R.</w:t>
      </w:r>
    </w:p>
    <w:p>
      <w:pPr>
        <w:spacing w:line="225" w:lineRule="exact" w:before="0"/>
        <w:ind w:left="705" w:right="0" w:firstLine="0"/>
        <w:jc w:val="both"/>
        <w:rPr>
          <w:sz w:val="20"/>
        </w:rPr>
      </w:pPr>
      <w:r>
        <w:rPr>
          <w:rFonts w:ascii="Arial"/>
          <w:i/>
          <w:sz w:val="20"/>
        </w:rPr>
        <w:t>(3d)</w:t>
      </w:r>
      <w:r>
        <w:rPr>
          <w:rFonts w:ascii="Arial"/>
          <w:i/>
          <w:spacing w:val="-1"/>
          <w:sz w:val="20"/>
        </w:rPr>
        <w:t> </w:t>
      </w:r>
      <w:r>
        <w:rPr>
          <w:rFonts w:ascii="Arial"/>
          <w:i/>
          <w:sz w:val="20"/>
        </w:rPr>
        <w:t>324</w:t>
      </w:r>
      <w:r>
        <w:rPr>
          <w:sz w:val="20"/>
        </w:rPr>
        <w:t>); </w:t>
      </w:r>
      <w:r>
        <w:rPr>
          <w:rFonts w:ascii="Arial"/>
          <w:i/>
          <w:sz w:val="20"/>
        </w:rPr>
        <w:t>Bank of Montreal v Snoxell (1982) 143 D.L.R. (3d) </w:t>
      </w:r>
      <w:r>
        <w:rPr>
          <w:rFonts w:ascii="Arial"/>
          <w:i/>
          <w:spacing w:val="-4"/>
          <w:sz w:val="20"/>
        </w:rPr>
        <w:t>349</w:t>
      </w:r>
      <w:r>
        <w:rPr>
          <w:spacing w:val="-4"/>
          <w:sz w:val="20"/>
        </w:rPr>
        <w:t>.</w:t>
      </w:r>
    </w:p>
    <w:p>
      <w:pPr>
        <w:pStyle w:val="BodyText"/>
        <w:spacing w:before="3"/>
      </w:pPr>
    </w:p>
    <w:p>
      <w:pPr>
        <w:pStyle w:val="BodyText"/>
        <w:ind w:left="165"/>
      </w:pPr>
      <w:bookmarkStart w:name="_bookmark2238" w:id="2240"/>
      <w:bookmarkEnd w:id="2240"/>
      <w:r>
        <w:rPr/>
      </w:r>
      <w:hyperlink w:history="true" w:anchor="_bookmark2189">
        <w:r>
          <w:rPr>
            <w:color w:val="005DA1"/>
            <w:position w:val="5"/>
            <w:sz w:val="14"/>
            <w:u w:val="single" w:color="005DA1"/>
          </w:rPr>
          <w:t>1152</w:t>
        </w:r>
      </w:hyperlink>
      <w:r>
        <w:rPr>
          <w:position w:val="5"/>
          <w:sz w:val="14"/>
        </w:rPr>
        <w:t>.</w:t>
      </w:r>
      <w:r>
        <w:rPr>
          <w:spacing w:val="55"/>
          <w:position w:val="5"/>
          <w:sz w:val="14"/>
        </w:rPr>
        <w:t>  </w:t>
      </w:r>
      <w:r>
        <w:rPr/>
        <w:t>Above,</w:t>
      </w:r>
      <w:r>
        <w:rPr>
          <w:spacing w:val="1"/>
        </w:rPr>
        <w:t> </w:t>
      </w:r>
      <w:r>
        <w:rPr/>
        <w:t>paras 30-067, 30-</w:t>
      </w:r>
      <w:r>
        <w:rPr>
          <w:spacing w:val="-4"/>
        </w:rPr>
        <w:t>180.</w:t>
      </w:r>
    </w:p>
    <w:p>
      <w:pPr>
        <w:pStyle w:val="BodyText"/>
        <w:spacing w:before="5"/>
      </w:pPr>
    </w:p>
    <w:p>
      <w:pPr>
        <w:spacing w:before="1"/>
        <w:ind w:left="165" w:right="0" w:firstLine="0"/>
        <w:jc w:val="left"/>
        <w:rPr>
          <w:sz w:val="20"/>
        </w:rPr>
      </w:pPr>
      <w:bookmarkStart w:name="_bookmark2239" w:id="2241"/>
      <w:bookmarkEnd w:id="2241"/>
      <w:r>
        <w:rPr/>
      </w:r>
      <w:hyperlink w:history="true" w:anchor="_bookmark2190">
        <w:r>
          <w:rPr>
            <w:color w:val="005DA1"/>
            <w:position w:val="5"/>
            <w:sz w:val="14"/>
            <w:u w:val="single" w:color="005DA1"/>
          </w:rPr>
          <w:t>1153</w:t>
        </w:r>
      </w:hyperlink>
      <w:r>
        <w:rPr>
          <w:position w:val="5"/>
          <w:sz w:val="14"/>
        </w:rPr>
        <w:t>.</w:t>
      </w:r>
      <w:r>
        <w:rPr>
          <w:spacing w:val="55"/>
          <w:position w:val="5"/>
          <w:sz w:val="14"/>
        </w:rPr>
        <w:t>  </w:t>
      </w:r>
      <w:r>
        <w:rPr>
          <w:sz w:val="20"/>
        </w:rPr>
        <w:t>Rome</w:t>
      </w:r>
      <w:r>
        <w:rPr>
          <w:spacing w:val="1"/>
          <w:sz w:val="20"/>
        </w:rPr>
        <w:t> </w:t>
      </w:r>
      <w:r>
        <w:rPr>
          <w:sz w:val="20"/>
        </w:rPr>
        <w:t>Convention </w:t>
      </w:r>
      <w:r>
        <w:rPr>
          <w:spacing w:val="-2"/>
          <w:sz w:val="20"/>
        </w:rPr>
        <w:t>art.9(1).</w:t>
      </w:r>
    </w:p>
    <w:p>
      <w:pPr>
        <w:pStyle w:val="BodyText"/>
        <w:spacing w:before="4"/>
      </w:pPr>
    </w:p>
    <w:p>
      <w:pPr>
        <w:spacing w:before="1"/>
        <w:ind w:left="165" w:right="0" w:firstLine="0"/>
        <w:jc w:val="left"/>
        <w:rPr>
          <w:sz w:val="20"/>
        </w:rPr>
      </w:pPr>
      <w:bookmarkStart w:name="_bookmark2240" w:id="2242"/>
      <w:bookmarkEnd w:id="2242"/>
      <w:r>
        <w:rPr/>
      </w:r>
      <w:hyperlink w:history="true" w:anchor="_bookmark2191">
        <w:r>
          <w:rPr>
            <w:color w:val="005DA1"/>
            <w:position w:val="5"/>
            <w:sz w:val="14"/>
            <w:u w:val="single" w:color="005DA1"/>
          </w:rPr>
          <w:t>1154</w:t>
        </w:r>
      </w:hyperlink>
      <w:r>
        <w:rPr>
          <w:position w:val="5"/>
          <w:sz w:val="14"/>
        </w:rPr>
        <w:t>.</w:t>
      </w:r>
      <w:r>
        <w:rPr>
          <w:spacing w:val="55"/>
          <w:position w:val="5"/>
          <w:sz w:val="14"/>
        </w:rPr>
        <w:t>  </w:t>
      </w:r>
      <w:r>
        <w:rPr>
          <w:sz w:val="20"/>
        </w:rPr>
        <w:t>Rome</w:t>
      </w:r>
      <w:r>
        <w:rPr>
          <w:spacing w:val="1"/>
          <w:sz w:val="20"/>
        </w:rPr>
        <w:t> </w:t>
      </w:r>
      <w:r>
        <w:rPr>
          <w:sz w:val="20"/>
        </w:rPr>
        <w:t>Convention </w:t>
      </w:r>
      <w:r>
        <w:rPr>
          <w:spacing w:val="-2"/>
          <w:sz w:val="20"/>
        </w:rPr>
        <w:t>art.9(2).</w:t>
      </w:r>
    </w:p>
    <w:p>
      <w:pPr>
        <w:pStyle w:val="BodyText"/>
        <w:spacing w:before="4"/>
      </w:pPr>
    </w:p>
    <w:p>
      <w:pPr>
        <w:spacing w:before="1"/>
        <w:ind w:left="165" w:right="0" w:firstLine="0"/>
        <w:jc w:val="left"/>
        <w:rPr>
          <w:sz w:val="20"/>
        </w:rPr>
      </w:pPr>
      <w:bookmarkStart w:name="_bookmark2241" w:id="2243"/>
      <w:bookmarkEnd w:id="2243"/>
      <w:r>
        <w:rPr/>
      </w:r>
      <w:hyperlink w:history="true" w:anchor="_bookmark2192">
        <w:r>
          <w:rPr>
            <w:color w:val="005DA1"/>
            <w:position w:val="5"/>
            <w:sz w:val="14"/>
            <w:u w:val="single" w:color="005DA1"/>
          </w:rPr>
          <w:t>1155</w:t>
        </w:r>
      </w:hyperlink>
      <w:r>
        <w:rPr>
          <w:position w:val="5"/>
          <w:sz w:val="14"/>
        </w:rPr>
        <w:t>.</w:t>
      </w:r>
      <w:r>
        <w:rPr>
          <w:spacing w:val="55"/>
          <w:position w:val="5"/>
          <w:sz w:val="14"/>
        </w:rPr>
        <w:t>  </w:t>
      </w:r>
      <w:r>
        <w:rPr>
          <w:sz w:val="20"/>
        </w:rPr>
        <w:t>Rome</w:t>
      </w:r>
      <w:r>
        <w:rPr>
          <w:spacing w:val="1"/>
          <w:sz w:val="20"/>
        </w:rPr>
        <w:t> </w:t>
      </w:r>
      <w:r>
        <w:rPr>
          <w:sz w:val="20"/>
        </w:rPr>
        <w:t>Convention </w:t>
      </w:r>
      <w:r>
        <w:rPr>
          <w:spacing w:val="-2"/>
          <w:sz w:val="20"/>
        </w:rPr>
        <w:t>art.9(3).</w:t>
      </w:r>
    </w:p>
    <w:p>
      <w:pPr>
        <w:pStyle w:val="BodyText"/>
        <w:spacing w:before="4"/>
      </w:pPr>
    </w:p>
    <w:p>
      <w:pPr>
        <w:pStyle w:val="BodyText"/>
        <w:spacing w:before="1"/>
        <w:ind w:left="165"/>
      </w:pPr>
      <w:bookmarkStart w:name="_bookmark2242" w:id="2244"/>
      <w:bookmarkEnd w:id="2244"/>
      <w:r>
        <w:rPr/>
      </w:r>
      <w:hyperlink w:history="true" w:anchor="_bookmark2193">
        <w:r>
          <w:rPr>
            <w:color w:val="005DA1"/>
            <w:position w:val="5"/>
            <w:sz w:val="14"/>
            <w:u w:val="single" w:color="005DA1"/>
          </w:rPr>
          <w:t>1156</w:t>
        </w:r>
      </w:hyperlink>
      <w:r>
        <w:rPr>
          <w:position w:val="5"/>
          <w:sz w:val="14"/>
        </w:rPr>
        <w:t>.</w:t>
      </w:r>
      <w:r>
        <w:rPr>
          <w:spacing w:val="55"/>
          <w:position w:val="5"/>
          <w:sz w:val="14"/>
        </w:rPr>
        <w:t>  </w:t>
      </w:r>
      <w:r>
        <w:rPr/>
        <w:t>Rome</w:t>
      </w:r>
      <w:r>
        <w:rPr>
          <w:spacing w:val="1"/>
        </w:rPr>
        <w:t> </w:t>
      </w:r>
      <w:r>
        <w:rPr/>
        <w:t>Convention art.9(5). As to art.5, see above, paras 30-092 et </w:t>
      </w:r>
      <w:r>
        <w:rPr>
          <w:spacing w:val="-4"/>
        </w:rPr>
        <w:t>seq.</w:t>
      </w:r>
    </w:p>
    <w:p>
      <w:pPr>
        <w:pStyle w:val="BodyText"/>
        <w:spacing w:before="4"/>
      </w:pPr>
    </w:p>
    <w:p>
      <w:pPr>
        <w:pStyle w:val="BodyText"/>
        <w:spacing w:before="1"/>
        <w:ind w:left="165"/>
      </w:pPr>
      <w:bookmarkStart w:name="_bookmark2243" w:id="2245"/>
      <w:bookmarkEnd w:id="2245"/>
      <w:r>
        <w:rPr/>
      </w:r>
      <w:hyperlink w:history="true" w:anchor="_bookmark2194">
        <w:r>
          <w:rPr>
            <w:color w:val="005DA1"/>
            <w:position w:val="5"/>
            <w:sz w:val="14"/>
            <w:u w:val="single" w:color="005DA1"/>
          </w:rPr>
          <w:t>1157</w:t>
        </w:r>
      </w:hyperlink>
      <w:r>
        <w:rPr>
          <w:position w:val="5"/>
          <w:sz w:val="14"/>
        </w:rPr>
        <w:t>.</w:t>
      </w:r>
      <w:r>
        <w:rPr>
          <w:spacing w:val="55"/>
          <w:position w:val="5"/>
          <w:sz w:val="14"/>
        </w:rPr>
        <w:t>  </w:t>
      </w:r>
      <w:r>
        <w:rPr/>
        <w:t>Rome</w:t>
      </w:r>
      <w:r>
        <w:rPr>
          <w:spacing w:val="1"/>
        </w:rPr>
        <w:t> </w:t>
      </w:r>
      <w:r>
        <w:rPr/>
        <w:t>Convention art.9(5). As to the meaning of habitual residence, see above, para.30-</w:t>
      </w:r>
      <w:r>
        <w:rPr>
          <w:spacing w:val="-4"/>
        </w:rPr>
        <w:t>078.</w:t>
      </w:r>
    </w:p>
    <w:p>
      <w:pPr>
        <w:pStyle w:val="BodyText"/>
        <w:spacing w:before="5"/>
      </w:pPr>
    </w:p>
    <w:p>
      <w:pPr>
        <w:pStyle w:val="BodyText"/>
        <w:ind w:left="165"/>
      </w:pPr>
      <w:bookmarkStart w:name="_bookmark2244" w:id="2246"/>
      <w:bookmarkEnd w:id="2246"/>
      <w:r>
        <w:rPr/>
      </w:r>
      <w:hyperlink w:history="true" w:anchor="_bookmark2195">
        <w:r>
          <w:rPr>
            <w:color w:val="005DA1"/>
            <w:position w:val="5"/>
            <w:sz w:val="14"/>
            <w:u w:val="single" w:color="005DA1"/>
          </w:rPr>
          <w:t>1158</w:t>
        </w:r>
      </w:hyperlink>
      <w:r>
        <w:rPr>
          <w:position w:val="5"/>
          <w:sz w:val="14"/>
        </w:rPr>
        <w:t>.</w:t>
      </w:r>
      <w:r>
        <w:rPr>
          <w:spacing w:val="55"/>
          <w:position w:val="5"/>
          <w:sz w:val="14"/>
        </w:rPr>
        <w:t>  </w:t>
      </w:r>
      <w:r>
        <w:rPr/>
        <w:t>See</w:t>
      </w:r>
      <w:r>
        <w:rPr>
          <w:spacing w:val="1"/>
        </w:rPr>
        <w:t> </w:t>
      </w:r>
      <w:r>
        <w:rPr/>
        <w:t>Dicey, Morris and Collins, 15th edn (2012), paras 33–056 et </w:t>
      </w:r>
      <w:r>
        <w:rPr>
          <w:spacing w:val="-4"/>
        </w:rPr>
        <w:t>seq.</w:t>
      </w:r>
    </w:p>
    <w:p>
      <w:pPr>
        <w:pStyle w:val="BodyText"/>
        <w:spacing w:before="5"/>
      </w:pPr>
    </w:p>
    <w:p>
      <w:pPr>
        <w:spacing w:before="0"/>
        <w:ind w:left="165" w:right="0" w:firstLine="0"/>
        <w:jc w:val="left"/>
        <w:rPr>
          <w:sz w:val="20"/>
        </w:rPr>
      </w:pPr>
      <w:bookmarkStart w:name="_bookmark2245" w:id="2247"/>
      <w:bookmarkEnd w:id="2247"/>
      <w:r>
        <w:rPr/>
      </w:r>
      <w:hyperlink w:history="true" w:anchor="_bookmark2196">
        <w:r>
          <w:rPr>
            <w:color w:val="005DA1"/>
            <w:position w:val="5"/>
            <w:sz w:val="14"/>
            <w:u w:val="single" w:color="005DA1"/>
          </w:rPr>
          <w:t>1159</w:t>
        </w:r>
      </w:hyperlink>
      <w:r>
        <w:rPr>
          <w:position w:val="5"/>
          <w:sz w:val="14"/>
        </w:rPr>
        <w:t>.</w:t>
      </w:r>
      <w:r>
        <w:rPr>
          <w:spacing w:val="55"/>
          <w:position w:val="5"/>
          <w:sz w:val="14"/>
        </w:rPr>
        <w:t>  </w:t>
      </w:r>
      <w:r>
        <w:rPr>
          <w:sz w:val="20"/>
        </w:rPr>
        <w:t>See</w:t>
      </w:r>
      <w:r>
        <w:rPr>
          <w:spacing w:val="1"/>
          <w:sz w:val="20"/>
        </w:rPr>
        <w:t> </w:t>
      </w:r>
      <w:r>
        <w:rPr>
          <w:sz w:val="20"/>
        </w:rPr>
        <w:t>above, para.30-</w:t>
      </w:r>
      <w:r>
        <w:rPr>
          <w:spacing w:val="-4"/>
          <w:sz w:val="20"/>
        </w:rPr>
        <w:t>313.</w:t>
      </w:r>
    </w:p>
    <w:p>
      <w:pPr>
        <w:pStyle w:val="BodyText"/>
        <w:spacing w:before="8"/>
      </w:pPr>
    </w:p>
    <w:p>
      <w:pPr>
        <w:pStyle w:val="BodyText"/>
        <w:spacing w:line="235" w:lineRule="auto" w:before="1"/>
        <w:ind w:left="705" w:hanging="541"/>
      </w:pPr>
      <w:bookmarkStart w:name="_bookmark2246" w:id="2248"/>
      <w:bookmarkEnd w:id="2248"/>
      <w:r>
        <w:rPr/>
      </w:r>
      <w:hyperlink w:history="true" w:anchor="_bookmark2197">
        <w:r>
          <w:rPr>
            <w:color w:val="005DA1"/>
            <w:position w:val="5"/>
            <w:sz w:val="14"/>
            <w:u w:val="single" w:color="005DA1"/>
          </w:rPr>
          <w:t>1160</w:t>
        </w:r>
      </w:hyperlink>
      <w:r>
        <w:rPr>
          <w:position w:val="5"/>
          <w:sz w:val="14"/>
        </w:rPr>
        <w:t>.</w:t>
      </w:r>
      <w:r>
        <w:rPr>
          <w:spacing w:val="40"/>
          <w:position w:val="5"/>
          <w:sz w:val="14"/>
        </w:rPr>
        <w:t>  </w:t>
      </w:r>
      <w:r>
        <w:rPr/>
        <w:t>The</w:t>
      </w:r>
      <w:r>
        <w:rPr>
          <w:spacing w:val="22"/>
        </w:rPr>
        <w:t> </w:t>
      </w:r>
      <w:r>
        <w:rPr/>
        <w:t>scope</w:t>
      </w:r>
      <w:r>
        <w:rPr>
          <w:spacing w:val="22"/>
        </w:rPr>
        <w:t> </w:t>
      </w:r>
      <w:r>
        <w:rPr/>
        <w:t>of</w:t>
      </w:r>
      <w:r>
        <w:rPr>
          <w:spacing w:val="22"/>
        </w:rPr>
        <w:t> </w:t>
      </w:r>
      <w:r>
        <w:rPr/>
        <w:t>the</w:t>
      </w:r>
      <w:r>
        <w:rPr>
          <w:spacing w:val="22"/>
        </w:rPr>
        <w:t> </w:t>
      </w:r>
      <w:r>
        <w:rPr/>
        <w:t>provision</w:t>
      </w:r>
      <w:r>
        <w:rPr>
          <w:spacing w:val="22"/>
        </w:rPr>
        <w:t> </w:t>
      </w:r>
      <w:r>
        <w:rPr/>
        <w:t>is</w:t>
      </w:r>
      <w:r>
        <w:rPr>
          <w:spacing w:val="22"/>
        </w:rPr>
        <w:t> </w:t>
      </w:r>
      <w:r>
        <w:rPr/>
        <w:t>coterminous</w:t>
      </w:r>
      <w:r>
        <w:rPr>
          <w:spacing w:val="22"/>
        </w:rPr>
        <w:t> </w:t>
      </w:r>
      <w:r>
        <w:rPr/>
        <w:t>with</w:t>
      </w:r>
      <w:r>
        <w:rPr>
          <w:spacing w:val="22"/>
        </w:rPr>
        <w:t> </w:t>
      </w:r>
      <w:r>
        <w:rPr/>
        <w:t>that</w:t>
      </w:r>
      <w:r>
        <w:rPr>
          <w:spacing w:val="22"/>
        </w:rPr>
        <w:t> </w:t>
      </w:r>
      <w:r>
        <w:rPr/>
        <w:t>of</w:t>
      </w:r>
      <w:r>
        <w:rPr>
          <w:spacing w:val="22"/>
        </w:rPr>
        <w:t> </w:t>
      </w:r>
      <w:r>
        <w:rPr/>
        <w:t>art.4(3):</w:t>
      </w:r>
      <w:r>
        <w:rPr>
          <w:spacing w:val="22"/>
        </w:rPr>
        <w:t> </w:t>
      </w:r>
      <w:r>
        <w:rPr/>
        <w:t>see</w:t>
      </w:r>
      <w:r>
        <w:rPr>
          <w:spacing w:val="22"/>
        </w:rPr>
        <w:t> </w:t>
      </w:r>
      <w:r>
        <w:rPr/>
        <w:t>Giuliano-Lagarde</w:t>
      </w:r>
      <w:r>
        <w:rPr>
          <w:spacing w:val="22"/>
        </w:rPr>
        <w:t> </w:t>
      </w:r>
      <w:r>
        <w:rPr/>
        <w:t>Report, </w:t>
      </w:r>
      <w:r>
        <w:rPr>
          <w:spacing w:val="-2"/>
        </w:rPr>
        <w:t>p.32.</w:t>
      </w:r>
    </w:p>
    <w:p>
      <w:pPr>
        <w:pStyle w:val="BodyText"/>
        <w:spacing w:before="5"/>
      </w:pPr>
    </w:p>
    <w:p>
      <w:pPr>
        <w:pStyle w:val="BodyText"/>
        <w:ind w:left="165"/>
      </w:pPr>
      <w:bookmarkStart w:name="_bookmark2247" w:id="2249"/>
      <w:bookmarkEnd w:id="2249"/>
      <w:r>
        <w:rPr/>
      </w:r>
      <w:hyperlink w:history="true" w:anchor="_bookmark2198">
        <w:r>
          <w:rPr>
            <w:color w:val="005DA1"/>
            <w:position w:val="5"/>
            <w:sz w:val="14"/>
            <w:u w:val="single" w:color="005DA1"/>
          </w:rPr>
          <w:t>1161</w:t>
        </w:r>
      </w:hyperlink>
      <w:r>
        <w:rPr>
          <w:position w:val="5"/>
          <w:sz w:val="14"/>
        </w:rPr>
        <w:t>.</w:t>
      </w:r>
      <w:r>
        <w:rPr>
          <w:spacing w:val="55"/>
          <w:position w:val="5"/>
          <w:sz w:val="14"/>
        </w:rPr>
        <w:t>  </w:t>
      </w:r>
      <w:r>
        <w:rPr/>
        <w:t>See</w:t>
      </w:r>
      <w:r>
        <w:rPr>
          <w:spacing w:val="1"/>
        </w:rPr>
        <w:t> </w:t>
      </w:r>
      <w:r>
        <w:rPr/>
        <w:t>Dicey, Morris and Collins, 15th edn (2012), paras 33–056 et </w:t>
      </w:r>
      <w:r>
        <w:rPr>
          <w:spacing w:val="-4"/>
        </w:rPr>
        <w:t>seq.</w:t>
      </w:r>
    </w:p>
    <w:p>
      <w:pPr>
        <w:pStyle w:val="BodyText"/>
        <w:spacing w:before="9"/>
      </w:pPr>
    </w:p>
    <w:p>
      <w:pPr>
        <w:pStyle w:val="BodyText"/>
        <w:spacing w:line="235" w:lineRule="auto"/>
        <w:ind w:left="705" w:right="167" w:hanging="541"/>
        <w:jc w:val="both"/>
      </w:pPr>
      <w:bookmarkStart w:name="_bookmark2248" w:id="2250"/>
      <w:bookmarkEnd w:id="2250"/>
      <w:r>
        <w:rPr/>
      </w:r>
      <w:hyperlink w:history="true" w:anchor="_bookmark2199">
        <w:r>
          <w:rPr>
            <w:color w:val="005DA1"/>
            <w:position w:val="5"/>
            <w:sz w:val="14"/>
            <w:u w:val="single" w:color="005DA1"/>
          </w:rPr>
          <w:t>1162</w:t>
        </w:r>
      </w:hyperlink>
      <w:r>
        <w:rPr>
          <w:position w:val="5"/>
          <w:sz w:val="14"/>
        </w:rPr>
        <w:t>.</w:t>
      </w:r>
      <w:r>
        <w:rPr>
          <w:spacing w:val="80"/>
          <w:position w:val="5"/>
          <w:sz w:val="14"/>
        </w:rPr>
        <w:t> </w:t>
      </w:r>
      <w:r>
        <w:rPr/>
        <w:t>Giuliano-Lagarde Report, p.32. In relation to a contract for the sale or other disposition </w:t>
      </w:r>
      <w:r>
        <w:rPr/>
        <w:t>of</w:t>
      </w:r>
      <w:r>
        <w:rPr>
          <w:spacing w:val="40"/>
        </w:rPr>
        <w:t> </w:t>
      </w:r>
      <w:r>
        <w:rPr/>
        <w:t>English land, the Law of Property (Miscellaneous Provisions) Act 1989 s.2(1) is likely to be regarded as mandatory for the purposes of art.9(6): see Dicey, Morris and Collins, 15th edn (2012), paras 33–056 et seq.</w:t>
      </w:r>
    </w:p>
    <w:p>
      <w:pPr>
        <w:pStyle w:val="BodyText"/>
        <w:spacing w:before="4"/>
      </w:pPr>
    </w:p>
    <w:p>
      <w:pPr>
        <w:spacing w:before="1"/>
        <w:ind w:left="165" w:right="0" w:firstLine="0"/>
        <w:jc w:val="left"/>
        <w:rPr>
          <w:sz w:val="20"/>
        </w:rPr>
      </w:pPr>
      <w:bookmarkStart w:name="_bookmark2249" w:id="2251"/>
      <w:bookmarkEnd w:id="2251"/>
      <w:r>
        <w:rPr/>
      </w:r>
      <w:hyperlink w:history="true" w:anchor="_bookmark2200">
        <w:r>
          <w:rPr>
            <w:color w:val="005DA1"/>
            <w:position w:val="5"/>
            <w:sz w:val="14"/>
            <w:u w:val="single" w:color="005DA1"/>
          </w:rPr>
          <w:t>1163</w:t>
        </w:r>
      </w:hyperlink>
      <w:r>
        <w:rPr>
          <w:position w:val="5"/>
          <w:sz w:val="14"/>
        </w:rPr>
        <w:t>.</w:t>
      </w:r>
      <w:r>
        <w:rPr>
          <w:spacing w:val="55"/>
          <w:position w:val="5"/>
          <w:sz w:val="14"/>
        </w:rPr>
        <w:t>  </w:t>
      </w:r>
      <w:r>
        <w:rPr>
          <w:sz w:val="20"/>
        </w:rPr>
        <w:t>Rome</w:t>
      </w:r>
      <w:r>
        <w:rPr>
          <w:spacing w:val="1"/>
          <w:sz w:val="20"/>
        </w:rPr>
        <w:t> </w:t>
      </w:r>
      <w:r>
        <w:rPr>
          <w:sz w:val="20"/>
        </w:rPr>
        <w:t>Convention </w:t>
      </w:r>
      <w:r>
        <w:rPr>
          <w:spacing w:val="-2"/>
          <w:sz w:val="20"/>
        </w:rPr>
        <w:t>art.9(4).</w:t>
      </w:r>
    </w:p>
    <w:p>
      <w:pPr>
        <w:pStyle w:val="BodyText"/>
        <w:spacing w:before="8"/>
      </w:pPr>
    </w:p>
    <w:p>
      <w:pPr>
        <w:pStyle w:val="BodyText"/>
        <w:spacing w:line="235" w:lineRule="auto"/>
        <w:ind w:left="705" w:right="167" w:hanging="541"/>
        <w:jc w:val="both"/>
      </w:pPr>
      <w:bookmarkStart w:name="_bookmark2250" w:id="2252"/>
      <w:bookmarkEnd w:id="2252"/>
      <w:r>
        <w:rPr/>
      </w:r>
      <w:hyperlink w:history="true" w:anchor="_bookmark2201">
        <w:r>
          <w:rPr>
            <w:color w:val="005DA1"/>
            <w:position w:val="5"/>
            <w:sz w:val="14"/>
            <w:u w:val="single" w:color="005DA1"/>
          </w:rPr>
          <w:t>1164</w:t>
        </w:r>
      </w:hyperlink>
      <w:r>
        <w:rPr>
          <w:position w:val="5"/>
          <w:sz w:val="14"/>
        </w:rPr>
        <w:t>.</w:t>
      </w:r>
      <w:r>
        <w:rPr>
          <w:spacing w:val="80"/>
          <w:position w:val="5"/>
          <w:sz w:val="14"/>
        </w:rPr>
        <w:t> </w:t>
      </w:r>
      <w:r>
        <w:rPr/>
        <w:t>Giuliano-Lagarde Report, p.29. The requirement, in English law, that a contract unsupported by consideration must be by deed, would not seem to be a rule affecting formal validity, but would rather seem to be a rule of substance affecting the material validity of the contract, and would thus</w:t>
      </w:r>
      <w:r>
        <w:rPr>
          <w:spacing w:val="-2"/>
        </w:rPr>
        <w:t> </w:t>
      </w:r>
      <w:r>
        <w:rPr/>
        <w:t>be</w:t>
      </w:r>
      <w:r>
        <w:rPr>
          <w:spacing w:val="-2"/>
        </w:rPr>
        <w:t> </w:t>
      </w:r>
      <w:r>
        <w:rPr/>
        <w:t>applicable</w:t>
      </w:r>
      <w:r>
        <w:rPr>
          <w:spacing w:val="-2"/>
        </w:rPr>
        <w:t> </w:t>
      </w:r>
      <w:r>
        <w:rPr/>
        <w:t>where</w:t>
      </w:r>
      <w:r>
        <w:rPr>
          <w:spacing w:val="-2"/>
        </w:rPr>
        <w:t> </w:t>
      </w:r>
      <w:r>
        <w:rPr/>
        <w:t>the</w:t>
      </w:r>
      <w:r>
        <w:rPr>
          <w:spacing w:val="-2"/>
        </w:rPr>
        <w:t> </w:t>
      </w:r>
      <w:r>
        <w:rPr/>
        <w:t>contract</w:t>
      </w:r>
      <w:r>
        <w:rPr>
          <w:spacing w:val="-2"/>
        </w:rPr>
        <w:t> </w:t>
      </w:r>
      <w:r>
        <w:rPr/>
        <w:t>is,</w:t>
      </w:r>
      <w:r>
        <w:rPr>
          <w:spacing w:val="-2"/>
        </w:rPr>
        <w:t> </w:t>
      </w:r>
      <w:r>
        <w:rPr/>
        <w:t>or</w:t>
      </w:r>
      <w:r>
        <w:rPr>
          <w:spacing w:val="-2"/>
        </w:rPr>
        <w:t> </w:t>
      </w:r>
      <w:r>
        <w:rPr/>
        <w:t>would</w:t>
      </w:r>
      <w:r>
        <w:rPr>
          <w:spacing w:val="-2"/>
        </w:rPr>
        <w:t> </w:t>
      </w:r>
      <w:r>
        <w:rPr/>
        <w:t>be,</w:t>
      </w:r>
      <w:r>
        <w:rPr>
          <w:spacing w:val="-2"/>
        </w:rPr>
        <w:t> </w:t>
      </w:r>
      <w:r>
        <w:rPr/>
        <w:t>governed</w:t>
      </w:r>
      <w:r>
        <w:rPr>
          <w:spacing w:val="-2"/>
        </w:rPr>
        <w:t> </w:t>
      </w:r>
      <w:r>
        <w:rPr/>
        <w:t>by</w:t>
      </w:r>
      <w:r>
        <w:rPr>
          <w:spacing w:val="-2"/>
        </w:rPr>
        <w:t> </w:t>
      </w:r>
      <w:r>
        <w:rPr/>
        <w:t>English</w:t>
      </w:r>
      <w:r>
        <w:rPr>
          <w:spacing w:val="-2"/>
        </w:rPr>
        <w:t> </w:t>
      </w:r>
      <w:r>
        <w:rPr/>
        <w:t>law.</w:t>
      </w:r>
      <w:r>
        <w:rPr>
          <w:spacing w:val="-2"/>
        </w:rPr>
        <w:t> </w:t>
      </w:r>
      <w:r>
        <w:rPr/>
        <w:t>cf.</w:t>
      </w:r>
      <w:r>
        <w:rPr>
          <w:spacing w:val="-3"/>
        </w:rPr>
        <w:t> </w:t>
      </w:r>
      <w:r>
        <w:rPr>
          <w:rFonts w:ascii="Arial"/>
          <w:i/>
        </w:rPr>
        <w:t>Re</w:t>
      </w:r>
      <w:r>
        <w:rPr>
          <w:rFonts w:ascii="Arial"/>
          <w:i/>
          <w:spacing w:val="-2"/>
        </w:rPr>
        <w:t> </w:t>
      </w:r>
      <w:r>
        <w:rPr>
          <w:rFonts w:ascii="Arial"/>
          <w:i/>
        </w:rPr>
        <w:t>Bonacina [1912] 2 Ch. 394</w:t>
      </w:r>
      <w:r>
        <w:rPr/>
        <w:t>.</w:t>
      </w:r>
    </w:p>
    <w:p>
      <w:pPr>
        <w:pStyle w:val="BodyText"/>
        <w:spacing w:after="0" w:line="235" w:lineRule="auto"/>
        <w:jc w:val="both"/>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1019" w:hRule="atLeast"/>
        </w:trPr>
        <w:tc>
          <w:tcPr>
            <w:tcW w:w="496" w:type="dxa"/>
          </w:tcPr>
          <w:p>
            <w:pPr>
              <w:pStyle w:val="TableParagraph"/>
              <w:spacing w:before="0"/>
              <w:ind w:left="0" w:right="43"/>
              <w:rPr>
                <w:sz w:val="14"/>
              </w:rPr>
            </w:pPr>
            <w:hyperlink w:history="true" w:anchor="_bookmark2202">
              <w:r>
                <w:rPr>
                  <w:color w:val="005DA1"/>
                  <w:spacing w:val="-2"/>
                  <w:sz w:val="14"/>
                  <w:u w:val="single" w:color="005DA1"/>
                </w:rPr>
                <w:t>1165</w:t>
              </w:r>
            </w:hyperlink>
            <w:r>
              <w:rPr>
                <w:spacing w:val="-2"/>
                <w:sz w:val="14"/>
              </w:rPr>
              <w:t>.</w:t>
            </w:r>
          </w:p>
        </w:tc>
        <w:tc>
          <w:tcPr>
            <w:tcW w:w="8620" w:type="dxa"/>
          </w:tcPr>
          <w:p>
            <w:pPr>
              <w:pStyle w:val="TableParagraph"/>
              <w:spacing w:line="235" w:lineRule="auto" w:before="0"/>
              <w:ind w:right="48"/>
              <w:jc w:val="both"/>
              <w:rPr>
                <w:sz w:val="20"/>
              </w:rPr>
            </w:pPr>
            <w:r>
              <w:rPr>
                <w:sz w:val="20"/>
              </w:rPr>
              <w:t>Lasok and Stone, </w:t>
            </w:r>
            <w:r>
              <w:rPr>
                <w:rFonts w:ascii="Arial" w:hAnsi="Arial"/>
                <w:i/>
                <w:sz w:val="20"/>
              </w:rPr>
              <w:t>Conflict of Laws in the European Community </w:t>
            </w:r>
            <w:r>
              <w:rPr>
                <w:sz w:val="20"/>
              </w:rPr>
              <w:t>(1987), p.305; Kaye, p.291. Article 9(4) does not apply to public acts (e.g. the act of a notary in authenticating a</w:t>
            </w:r>
            <w:r>
              <w:rPr>
                <w:spacing w:val="40"/>
                <w:sz w:val="20"/>
              </w:rPr>
              <w:t> </w:t>
            </w:r>
            <w:r>
              <w:rPr>
                <w:sz w:val="20"/>
              </w:rPr>
              <w:t>transaction). The formal validity of such acts is governed by the general rules in Rome Convention art.9(1)–(3): Giuliano-Lagarde Report, p.29.</w:t>
            </w:r>
          </w:p>
        </w:tc>
      </w:tr>
      <w:tr>
        <w:trPr>
          <w:trHeight w:val="465" w:hRule="atLeast"/>
        </w:trPr>
        <w:tc>
          <w:tcPr>
            <w:tcW w:w="496" w:type="dxa"/>
          </w:tcPr>
          <w:p>
            <w:pPr>
              <w:pStyle w:val="TableParagraph"/>
              <w:ind w:left="0" w:right="43"/>
              <w:rPr>
                <w:sz w:val="14"/>
              </w:rPr>
            </w:pPr>
            <w:bookmarkStart w:name="_bookmark2251" w:id="2253"/>
            <w:bookmarkEnd w:id="2253"/>
            <w:r>
              <w:rPr/>
            </w:r>
            <w:hyperlink w:history="true" w:anchor="_bookmark2203">
              <w:r>
                <w:rPr>
                  <w:color w:val="005DA1"/>
                  <w:spacing w:val="-2"/>
                  <w:sz w:val="14"/>
                  <w:u w:val="single" w:color="005DA1"/>
                </w:rPr>
                <w:t>1166</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057.</w:t>
            </w:r>
          </w:p>
        </w:tc>
      </w:tr>
      <w:tr>
        <w:trPr>
          <w:trHeight w:val="465" w:hRule="atLeast"/>
        </w:trPr>
        <w:tc>
          <w:tcPr>
            <w:tcW w:w="496" w:type="dxa"/>
          </w:tcPr>
          <w:p>
            <w:pPr>
              <w:pStyle w:val="TableParagraph"/>
              <w:ind w:left="0" w:right="43"/>
              <w:rPr>
                <w:sz w:val="14"/>
              </w:rPr>
            </w:pPr>
            <w:bookmarkStart w:name="_bookmark2252" w:id="2254"/>
            <w:bookmarkEnd w:id="2254"/>
            <w:r>
              <w:rPr/>
            </w:r>
            <w:hyperlink w:history="true" w:anchor="_bookmark2204">
              <w:r>
                <w:rPr>
                  <w:color w:val="005DA1"/>
                  <w:spacing w:val="-2"/>
                  <w:sz w:val="14"/>
                  <w:u w:val="single" w:color="005DA1"/>
                </w:rPr>
                <w:t>1167</w:t>
              </w:r>
            </w:hyperlink>
            <w:r>
              <w:rPr>
                <w:spacing w:val="-2"/>
                <w:sz w:val="14"/>
              </w:rPr>
              <w:t>.</w:t>
            </w:r>
          </w:p>
        </w:tc>
        <w:tc>
          <w:tcPr>
            <w:tcW w:w="8620" w:type="dxa"/>
          </w:tcPr>
          <w:p>
            <w:pPr>
              <w:pStyle w:val="TableParagraph"/>
              <w:spacing w:before="114"/>
              <w:jc w:val="left"/>
              <w:rPr>
                <w:sz w:val="20"/>
              </w:rPr>
            </w:pPr>
            <w:r>
              <w:rPr>
                <w:sz w:val="20"/>
              </w:rPr>
              <w:t>Rome Convention art.3(2), second </w:t>
            </w:r>
            <w:r>
              <w:rPr>
                <w:spacing w:val="-2"/>
                <w:sz w:val="20"/>
              </w:rPr>
              <w:t>sentence.</w:t>
            </w:r>
          </w:p>
        </w:tc>
      </w:tr>
      <w:tr>
        <w:trPr>
          <w:trHeight w:val="465" w:hRule="atLeast"/>
        </w:trPr>
        <w:tc>
          <w:tcPr>
            <w:tcW w:w="496" w:type="dxa"/>
          </w:tcPr>
          <w:p>
            <w:pPr>
              <w:pStyle w:val="TableParagraph"/>
              <w:ind w:left="0" w:right="43"/>
              <w:rPr>
                <w:sz w:val="14"/>
              </w:rPr>
            </w:pPr>
            <w:bookmarkStart w:name="_bookmark2253" w:id="2255"/>
            <w:bookmarkEnd w:id="2255"/>
            <w:r>
              <w:rPr/>
            </w:r>
            <w:hyperlink w:history="true" w:anchor="_bookmark2205">
              <w:r>
                <w:rPr>
                  <w:color w:val="005DA1"/>
                  <w:spacing w:val="-2"/>
                  <w:sz w:val="14"/>
                  <w:u w:val="single" w:color="005DA1"/>
                </w:rPr>
                <w:t>1168</w:t>
              </w:r>
            </w:hyperlink>
            <w:r>
              <w:rPr>
                <w:spacing w:val="-2"/>
                <w:sz w:val="14"/>
              </w:rPr>
              <w:t>.</w:t>
            </w:r>
          </w:p>
        </w:tc>
        <w:tc>
          <w:tcPr>
            <w:tcW w:w="8620" w:type="dxa"/>
          </w:tcPr>
          <w:p>
            <w:pPr>
              <w:pStyle w:val="TableParagraph"/>
              <w:spacing w:before="114"/>
              <w:jc w:val="left"/>
              <w:rPr>
                <w:sz w:val="20"/>
              </w:rPr>
            </w:pPr>
            <w:r>
              <w:rPr>
                <w:sz w:val="20"/>
              </w:rPr>
              <w:t>Giuliano-Lagarde Report, p.30; Lagarde,</w:t>
            </w:r>
            <w:r>
              <w:rPr>
                <w:spacing w:val="-1"/>
                <w:sz w:val="20"/>
              </w:rPr>
              <w:t> </w:t>
            </w:r>
            <w:r>
              <w:rPr>
                <w:rFonts w:ascii="Arial" w:hAnsi="Arial"/>
                <w:i/>
                <w:sz w:val="20"/>
              </w:rPr>
              <w:t>Contract Conflicts</w:t>
            </w:r>
            <w:r>
              <w:rPr>
                <w:rFonts w:ascii="Arial" w:hAnsi="Arial"/>
                <w:i/>
                <w:spacing w:val="-1"/>
                <w:sz w:val="20"/>
              </w:rPr>
              <w:t> </w:t>
            </w:r>
            <w:r>
              <w:rPr>
                <w:sz w:val="20"/>
              </w:rPr>
              <w:t>(1982), pp.49, </w:t>
            </w:r>
            <w:r>
              <w:rPr>
                <w:spacing w:val="-2"/>
                <w:sz w:val="20"/>
              </w:rPr>
              <w:t>52–53.</w:t>
            </w:r>
          </w:p>
        </w:tc>
      </w:tr>
      <w:tr>
        <w:trPr>
          <w:trHeight w:val="465" w:hRule="atLeast"/>
        </w:trPr>
        <w:tc>
          <w:tcPr>
            <w:tcW w:w="496" w:type="dxa"/>
          </w:tcPr>
          <w:p>
            <w:pPr>
              <w:pStyle w:val="TableParagraph"/>
              <w:ind w:left="0" w:right="43"/>
              <w:rPr>
                <w:sz w:val="14"/>
              </w:rPr>
            </w:pPr>
            <w:bookmarkStart w:name="_bookmark2254" w:id="2256"/>
            <w:bookmarkEnd w:id="2256"/>
            <w:r>
              <w:rPr/>
            </w:r>
            <w:hyperlink w:history="true" w:anchor="_bookmark2206">
              <w:r>
                <w:rPr>
                  <w:color w:val="005DA1"/>
                  <w:spacing w:val="-2"/>
                  <w:sz w:val="14"/>
                  <w:u w:val="single" w:color="005DA1"/>
                </w:rPr>
                <w:t>1169</w:t>
              </w:r>
            </w:hyperlink>
            <w:r>
              <w:rPr>
                <w:spacing w:val="-2"/>
                <w:sz w:val="14"/>
              </w:rPr>
              <w:t>.</w:t>
            </w:r>
          </w:p>
        </w:tc>
        <w:tc>
          <w:tcPr>
            <w:tcW w:w="8620" w:type="dxa"/>
          </w:tcPr>
          <w:p>
            <w:pPr>
              <w:pStyle w:val="TableParagraph"/>
              <w:spacing w:before="114"/>
              <w:jc w:val="left"/>
              <w:rPr>
                <w:sz w:val="20"/>
              </w:rPr>
            </w:pPr>
            <w:r>
              <w:rPr>
                <w:sz w:val="20"/>
              </w:rPr>
              <w:t>Above, paras 30-055 et </w:t>
            </w:r>
            <w:r>
              <w:rPr>
                <w:spacing w:val="-4"/>
                <w:sz w:val="20"/>
              </w:rPr>
              <w:t>seq.</w:t>
            </w:r>
          </w:p>
        </w:tc>
      </w:tr>
      <w:tr>
        <w:trPr>
          <w:trHeight w:val="465" w:hRule="atLeast"/>
        </w:trPr>
        <w:tc>
          <w:tcPr>
            <w:tcW w:w="496" w:type="dxa"/>
          </w:tcPr>
          <w:p>
            <w:pPr>
              <w:pStyle w:val="TableParagraph"/>
              <w:ind w:left="0" w:right="43"/>
              <w:rPr>
                <w:sz w:val="14"/>
              </w:rPr>
            </w:pPr>
            <w:bookmarkStart w:name="_bookmark2255" w:id="2257"/>
            <w:bookmarkEnd w:id="2257"/>
            <w:r>
              <w:rPr/>
            </w:r>
            <w:hyperlink w:history="true" w:anchor="_bookmark2207">
              <w:r>
                <w:rPr>
                  <w:color w:val="005DA1"/>
                  <w:spacing w:val="-2"/>
                  <w:sz w:val="14"/>
                  <w:u w:val="single" w:color="005DA1"/>
                </w:rPr>
                <w:t>1170</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082.</w:t>
            </w:r>
          </w:p>
        </w:tc>
      </w:tr>
      <w:tr>
        <w:trPr>
          <w:trHeight w:val="465" w:hRule="atLeast"/>
        </w:trPr>
        <w:tc>
          <w:tcPr>
            <w:tcW w:w="496" w:type="dxa"/>
          </w:tcPr>
          <w:p>
            <w:pPr>
              <w:pStyle w:val="TableParagraph"/>
              <w:ind w:left="0" w:right="43"/>
              <w:rPr>
                <w:sz w:val="14"/>
              </w:rPr>
            </w:pPr>
            <w:bookmarkStart w:name="_bookmark2256" w:id="2258"/>
            <w:bookmarkEnd w:id="2258"/>
            <w:r>
              <w:rPr/>
            </w:r>
            <w:hyperlink w:history="true" w:anchor="_bookmark2208">
              <w:r>
                <w:rPr>
                  <w:color w:val="005DA1"/>
                  <w:spacing w:val="-2"/>
                  <w:sz w:val="14"/>
                  <w:u w:val="single" w:color="005DA1"/>
                </w:rPr>
                <w:t>1171</w:t>
              </w:r>
            </w:hyperlink>
            <w:r>
              <w:rPr>
                <w:spacing w:val="-2"/>
                <w:sz w:val="14"/>
              </w:rPr>
              <w:t>.</w:t>
            </w:r>
          </w:p>
        </w:tc>
        <w:tc>
          <w:tcPr>
            <w:tcW w:w="8620" w:type="dxa"/>
          </w:tcPr>
          <w:p>
            <w:pPr>
              <w:pStyle w:val="TableParagraph"/>
              <w:spacing w:before="114"/>
              <w:jc w:val="left"/>
              <w:rPr>
                <w:sz w:val="20"/>
              </w:rPr>
            </w:pPr>
            <w:r>
              <w:rPr>
                <w:sz w:val="20"/>
              </w:rPr>
              <w:t>Giuliano-Lagarde Report, </w:t>
            </w:r>
            <w:r>
              <w:rPr>
                <w:spacing w:val="-2"/>
                <w:sz w:val="20"/>
              </w:rPr>
              <w:t>p.30.</w:t>
            </w:r>
          </w:p>
        </w:tc>
      </w:tr>
      <w:tr>
        <w:trPr>
          <w:trHeight w:val="465" w:hRule="atLeast"/>
        </w:trPr>
        <w:tc>
          <w:tcPr>
            <w:tcW w:w="496" w:type="dxa"/>
          </w:tcPr>
          <w:p>
            <w:pPr>
              <w:pStyle w:val="TableParagraph"/>
              <w:ind w:left="0" w:right="43"/>
              <w:rPr>
                <w:sz w:val="14"/>
              </w:rPr>
            </w:pPr>
            <w:bookmarkStart w:name="_bookmark2257" w:id="2259"/>
            <w:bookmarkEnd w:id="2259"/>
            <w:r>
              <w:rPr/>
            </w:r>
            <w:hyperlink w:history="true" w:anchor="_bookmark2209">
              <w:r>
                <w:rPr>
                  <w:color w:val="005DA1"/>
                  <w:spacing w:val="-2"/>
                  <w:sz w:val="14"/>
                  <w:u w:val="single" w:color="005DA1"/>
                </w:rPr>
                <w:t>1172</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313.</w:t>
            </w:r>
          </w:p>
        </w:tc>
      </w:tr>
      <w:tr>
        <w:trPr>
          <w:trHeight w:val="465" w:hRule="atLeast"/>
        </w:trPr>
        <w:tc>
          <w:tcPr>
            <w:tcW w:w="496" w:type="dxa"/>
          </w:tcPr>
          <w:p>
            <w:pPr>
              <w:pStyle w:val="TableParagraph"/>
              <w:ind w:left="0" w:right="43"/>
              <w:rPr>
                <w:sz w:val="14"/>
              </w:rPr>
            </w:pPr>
            <w:bookmarkStart w:name="_bookmark2258" w:id="2260"/>
            <w:bookmarkEnd w:id="2260"/>
            <w:r>
              <w:rPr/>
            </w:r>
            <w:hyperlink w:history="true" w:anchor="_bookmark2210">
              <w:r>
                <w:rPr>
                  <w:color w:val="005DA1"/>
                  <w:spacing w:val="-2"/>
                  <w:sz w:val="14"/>
                  <w:u w:val="single" w:color="005DA1"/>
                </w:rPr>
                <w:t>1173</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313.</w:t>
            </w:r>
          </w:p>
        </w:tc>
      </w:tr>
      <w:tr>
        <w:trPr>
          <w:trHeight w:val="465" w:hRule="atLeast"/>
        </w:trPr>
        <w:tc>
          <w:tcPr>
            <w:tcW w:w="496" w:type="dxa"/>
          </w:tcPr>
          <w:p>
            <w:pPr>
              <w:pStyle w:val="TableParagraph"/>
              <w:ind w:left="0" w:right="43"/>
              <w:rPr>
                <w:sz w:val="14"/>
              </w:rPr>
            </w:pPr>
            <w:bookmarkStart w:name="_bookmark2259" w:id="2261"/>
            <w:bookmarkEnd w:id="2261"/>
            <w:r>
              <w:rPr/>
            </w:r>
            <w:hyperlink w:history="true" w:anchor="_bookmark2211">
              <w:r>
                <w:rPr>
                  <w:color w:val="005DA1"/>
                  <w:spacing w:val="-2"/>
                  <w:sz w:val="14"/>
                  <w:u w:val="single" w:color="005DA1"/>
                </w:rPr>
                <w:t>1174</w:t>
              </w:r>
            </w:hyperlink>
            <w:r>
              <w:rPr>
                <w:spacing w:val="-2"/>
                <w:sz w:val="14"/>
              </w:rPr>
              <w:t>.</w:t>
            </w:r>
          </w:p>
        </w:tc>
        <w:tc>
          <w:tcPr>
            <w:tcW w:w="8620" w:type="dxa"/>
          </w:tcPr>
          <w:p>
            <w:pPr>
              <w:pStyle w:val="TableParagraph"/>
              <w:spacing w:before="114"/>
              <w:jc w:val="left"/>
              <w:rPr>
                <w:sz w:val="20"/>
              </w:rPr>
            </w:pPr>
            <w:r>
              <w:rPr>
                <w:sz w:val="20"/>
              </w:rPr>
              <w:t>As to the meaning of which, see above paras 30-163 et </w:t>
            </w:r>
            <w:r>
              <w:rPr>
                <w:spacing w:val="-4"/>
                <w:sz w:val="20"/>
              </w:rPr>
              <w:t>seq.</w:t>
            </w:r>
          </w:p>
        </w:tc>
      </w:tr>
      <w:tr>
        <w:trPr>
          <w:trHeight w:val="465" w:hRule="atLeast"/>
        </w:trPr>
        <w:tc>
          <w:tcPr>
            <w:tcW w:w="496" w:type="dxa"/>
          </w:tcPr>
          <w:p>
            <w:pPr>
              <w:pStyle w:val="TableParagraph"/>
              <w:ind w:left="0" w:right="43"/>
              <w:rPr>
                <w:sz w:val="14"/>
              </w:rPr>
            </w:pPr>
            <w:bookmarkStart w:name="_bookmark2260" w:id="2262"/>
            <w:bookmarkEnd w:id="2262"/>
            <w:r>
              <w:rPr/>
            </w:r>
            <w:hyperlink w:history="true" w:anchor="_bookmark2212">
              <w:r>
                <w:rPr>
                  <w:color w:val="005DA1"/>
                  <w:spacing w:val="-2"/>
                  <w:sz w:val="14"/>
                  <w:u w:val="single" w:color="005DA1"/>
                </w:rPr>
                <w:t>1175</w:t>
              </w:r>
            </w:hyperlink>
            <w:r>
              <w:rPr>
                <w:spacing w:val="-2"/>
                <w:sz w:val="14"/>
              </w:rPr>
              <w:t>.</w:t>
            </w:r>
          </w:p>
        </w:tc>
        <w:tc>
          <w:tcPr>
            <w:tcW w:w="8620" w:type="dxa"/>
          </w:tcPr>
          <w:p>
            <w:pPr>
              <w:pStyle w:val="TableParagraph"/>
              <w:spacing w:before="114"/>
              <w:jc w:val="left"/>
              <w:rPr>
                <w:sz w:val="20"/>
              </w:rPr>
            </w:pPr>
            <w:r>
              <w:rPr>
                <w:sz w:val="20"/>
              </w:rPr>
              <w:t>See above, para.30-</w:t>
            </w:r>
            <w:r>
              <w:rPr>
                <w:spacing w:val="-4"/>
                <w:sz w:val="20"/>
              </w:rPr>
              <w:t>316.</w:t>
            </w:r>
          </w:p>
        </w:tc>
      </w:tr>
      <w:tr>
        <w:trPr>
          <w:trHeight w:val="465" w:hRule="atLeast"/>
        </w:trPr>
        <w:tc>
          <w:tcPr>
            <w:tcW w:w="496" w:type="dxa"/>
          </w:tcPr>
          <w:p>
            <w:pPr>
              <w:pStyle w:val="TableParagraph"/>
              <w:ind w:left="0" w:right="43"/>
              <w:rPr>
                <w:sz w:val="14"/>
              </w:rPr>
            </w:pPr>
            <w:bookmarkStart w:name="_bookmark2261" w:id="2263"/>
            <w:bookmarkEnd w:id="2263"/>
            <w:r>
              <w:rPr/>
            </w:r>
            <w:hyperlink w:history="true" w:anchor="_bookmark2213">
              <w:r>
                <w:rPr>
                  <w:color w:val="005DA1"/>
                  <w:spacing w:val="-2"/>
                  <w:sz w:val="14"/>
                  <w:u w:val="single" w:color="005DA1"/>
                </w:rPr>
                <w:t>1176</w:t>
              </w:r>
            </w:hyperlink>
            <w:r>
              <w:rPr>
                <w:spacing w:val="-2"/>
                <w:sz w:val="14"/>
              </w:rPr>
              <w:t>.</w:t>
            </w:r>
          </w:p>
        </w:tc>
        <w:tc>
          <w:tcPr>
            <w:tcW w:w="8620" w:type="dxa"/>
          </w:tcPr>
          <w:p>
            <w:pPr>
              <w:pStyle w:val="TableParagraph"/>
              <w:spacing w:before="114"/>
              <w:jc w:val="left"/>
              <w:rPr>
                <w:sz w:val="20"/>
              </w:rPr>
            </w:pPr>
            <w:r>
              <w:rPr>
                <w:sz w:val="20"/>
              </w:rPr>
              <w:t>As to the meaning of which, see above, paras 30-163 et </w:t>
            </w:r>
            <w:r>
              <w:rPr>
                <w:spacing w:val="-4"/>
                <w:sz w:val="20"/>
              </w:rPr>
              <w:t>seq.</w:t>
            </w:r>
          </w:p>
        </w:tc>
      </w:tr>
      <w:tr>
        <w:trPr>
          <w:trHeight w:val="465" w:hRule="atLeast"/>
        </w:trPr>
        <w:tc>
          <w:tcPr>
            <w:tcW w:w="496" w:type="dxa"/>
          </w:tcPr>
          <w:p>
            <w:pPr>
              <w:pStyle w:val="TableParagraph"/>
              <w:ind w:left="0" w:right="43"/>
              <w:rPr>
                <w:sz w:val="14"/>
              </w:rPr>
            </w:pPr>
            <w:bookmarkStart w:name="_bookmark2262" w:id="2264"/>
            <w:bookmarkEnd w:id="2264"/>
            <w:r>
              <w:rPr/>
            </w:r>
            <w:hyperlink w:history="true" w:anchor="_bookmark2214">
              <w:r>
                <w:rPr>
                  <w:color w:val="005DA1"/>
                  <w:spacing w:val="-2"/>
                  <w:sz w:val="14"/>
                  <w:u w:val="single" w:color="005DA1"/>
                </w:rPr>
                <w:t>1177</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313.</w:t>
            </w:r>
          </w:p>
        </w:tc>
      </w:tr>
      <w:tr>
        <w:trPr>
          <w:trHeight w:val="465" w:hRule="atLeast"/>
        </w:trPr>
        <w:tc>
          <w:tcPr>
            <w:tcW w:w="496" w:type="dxa"/>
          </w:tcPr>
          <w:p>
            <w:pPr>
              <w:pStyle w:val="TableParagraph"/>
              <w:ind w:left="0" w:right="43"/>
              <w:rPr>
                <w:sz w:val="14"/>
              </w:rPr>
            </w:pPr>
            <w:bookmarkStart w:name="_bookmark2263" w:id="2265"/>
            <w:bookmarkEnd w:id="2265"/>
            <w:r>
              <w:rPr/>
            </w:r>
            <w:hyperlink w:history="true" w:anchor="_bookmark2215">
              <w:r>
                <w:rPr>
                  <w:color w:val="005DA1"/>
                  <w:spacing w:val="-2"/>
                  <w:sz w:val="14"/>
                  <w:u w:val="single" w:color="005DA1"/>
                </w:rPr>
                <w:t>1178</w:t>
              </w:r>
            </w:hyperlink>
            <w:r>
              <w:rPr>
                <w:spacing w:val="-2"/>
                <w:sz w:val="14"/>
              </w:rPr>
              <w:t>.</w:t>
            </w:r>
          </w:p>
        </w:tc>
        <w:tc>
          <w:tcPr>
            <w:tcW w:w="8620" w:type="dxa"/>
          </w:tcPr>
          <w:p>
            <w:pPr>
              <w:pStyle w:val="TableParagraph"/>
              <w:spacing w:before="114"/>
              <w:jc w:val="left"/>
              <w:rPr>
                <w:sz w:val="20"/>
              </w:rPr>
            </w:pPr>
            <w:r>
              <w:rPr>
                <w:sz w:val="20"/>
              </w:rPr>
              <w:t>As to the meaning of habitual residence, see above, paras 30-163 et </w:t>
            </w:r>
            <w:r>
              <w:rPr>
                <w:spacing w:val="-4"/>
                <w:sz w:val="20"/>
              </w:rPr>
              <w:t>seq.</w:t>
            </w:r>
          </w:p>
        </w:tc>
      </w:tr>
      <w:tr>
        <w:trPr>
          <w:trHeight w:val="465" w:hRule="atLeast"/>
        </w:trPr>
        <w:tc>
          <w:tcPr>
            <w:tcW w:w="496" w:type="dxa"/>
          </w:tcPr>
          <w:p>
            <w:pPr>
              <w:pStyle w:val="TableParagraph"/>
              <w:ind w:left="0" w:right="43"/>
              <w:rPr>
                <w:sz w:val="14"/>
              </w:rPr>
            </w:pPr>
            <w:bookmarkStart w:name="_bookmark2264" w:id="2266"/>
            <w:bookmarkEnd w:id="2266"/>
            <w:r>
              <w:rPr/>
            </w:r>
            <w:hyperlink w:history="true" w:anchor="_bookmark2216">
              <w:r>
                <w:rPr>
                  <w:color w:val="005DA1"/>
                  <w:spacing w:val="-2"/>
                  <w:sz w:val="14"/>
                  <w:u w:val="single" w:color="005DA1"/>
                </w:rPr>
                <w:t>1179</w:t>
              </w:r>
            </w:hyperlink>
            <w:r>
              <w:rPr>
                <w:spacing w:val="-2"/>
                <w:sz w:val="14"/>
              </w:rPr>
              <w:t>.</w:t>
            </w:r>
          </w:p>
        </w:tc>
        <w:tc>
          <w:tcPr>
            <w:tcW w:w="8620" w:type="dxa"/>
          </w:tcPr>
          <w:p>
            <w:pPr>
              <w:pStyle w:val="TableParagraph"/>
              <w:spacing w:before="114"/>
              <w:jc w:val="left"/>
              <w:rPr>
                <w:sz w:val="20"/>
              </w:rPr>
            </w:pPr>
            <w:r>
              <w:rPr>
                <w:sz w:val="20"/>
              </w:rPr>
              <w:t>Above, paras 30-231 et </w:t>
            </w:r>
            <w:r>
              <w:rPr>
                <w:spacing w:val="-4"/>
                <w:sz w:val="20"/>
              </w:rPr>
              <w:t>seq.</w:t>
            </w:r>
          </w:p>
        </w:tc>
      </w:tr>
      <w:tr>
        <w:trPr>
          <w:trHeight w:val="915" w:hRule="atLeast"/>
        </w:trPr>
        <w:tc>
          <w:tcPr>
            <w:tcW w:w="496" w:type="dxa"/>
          </w:tcPr>
          <w:p>
            <w:pPr>
              <w:pStyle w:val="TableParagraph"/>
              <w:ind w:left="0" w:right="43"/>
              <w:rPr>
                <w:sz w:val="14"/>
              </w:rPr>
            </w:pPr>
            <w:bookmarkStart w:name="_bookmark2265" w:id="2267"/>
            <w:bookmarkEnd w:id="2267"/>
            <w:r>
              <w:rPr/>
            </w:r>
            <w:hyperlink w:history="true" w:anchor="_bookmark2217">
              <w:r>
                <w:rPr>
                  <w:color w:val="005DA1"/>
                  <w:spacing w:val="-2"/>
                  <w:sz w:val="14"/>
                  <w:u w:val="single" w:color="005DA1"/>
                </w:rPr>
                <w:t>1180</w:t>
              </w:r>
            </w:hyperlink>
            <w:r>
              <w:rPr>
                <w:spacing w:val="-2"/>
                <w:sz w:val="14"/>
              </w:rPr>
              <w:t>.</w:t>
            </w:r>
          </w:p>
        </w:tc>
        <w:tc>
          <w:tcPr>
            <w:tcW w:w="8620" w:type="dxa"/>
          </w:tcPr>
          <w:p>
            <w:pPr>
              <w:pStyle w:val="TableParagraph"/>
              <w:spacing w:line="235" w:lineRule="auto" w:before="118"/>
              <w:ind w:right="48"/>
              <w:jc w:val="both"/>
              <w:rPr>
                <w:sz w:val="20"/>
              </w:rPr>
            </w:pPr>
            <w:r>
              <w:rPr>
                <w:sz w:val="20"/>
              </w:rPr>
              <w:t>Subject to Rome I art.6(4)(c) excluding, for the most part, contracts relating to immovables from the consumer contract provisions in art.6, so that art.11(5) will not normally apply to the </w:t>
            </w:r>
            <w:r>
              <w:rPr>
                <w:sz w:val="20"/>
              </w:rPr>
              <w:t>formal validity of such contracts.</w:t>
            </w:r>
          </w:p>
        </w:tc>
      </w:tr>
      <w:tr>
        <w:trPr>
          <w:trHeight w:val="465" w:hRule="atLeast"/>
        </w:trPr>
        <w:tc>
          <w:tcPr>
            <w:tcW w:w="496" w:type="dxa"/>
          </w:tcPr>
          <w:p>
            <w:pPr>
              <w:pStyle w:val="TableParagraph"/>
              <w:ind w:left="0" w:right="43"/>
              <w:rPr>
                <w:sz w:val="14"/>
              </w:rPr>
            </w:pPr>
            <w:bookmarkStart w:name="_bookmark2266" w:id="2268"/>
            <w:bookmarkEnd w:id="2268"/>
            <w:r>
              <w:rPr/>
            </w:r>
            <w:hyperlink w:history="true" w:anchor="_bookmark2218">
              <w:r>
                <w:rPr>
                  <w:color w:val="005DA1"/>
                  <w:spacing w:val="-2"/>
                  <w:sz w:val="14"/>
                  <w:u w:val="single" w:color="005DA1"/>
                </w:rPr>
                <w:t>1181</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315.</w:t>
            </w:r>
          </w:p>
        </w:tc>
      </w:tr>
      <w:tr>
        <w:trPr>
          <w:trHeight w:val="465" w:hRule="atLeast"/>
        </w:trPr>
        <w:tc>
          <w:tcPr>
            <w:tcW w:w="496" w:type="dxa"/>
          </w:tcPr>
          <w:p>
            <w:pPr>
              <w:pStyle w:val="TableParagraph"/>
              <w:ind w:left="0" w:right="43"/>
              <w:rPr>
                <w:sz w:val="14"/>
              </w:rPr>
            </w:pPr>
            <w:bookmarkStart w:name="_bookmark2267" w:id="2269"/>
            <w:bookmarkEnd w:id="2269"/>
            <w:r>
              <w:rPr/>
            </w:r>
            <w:hyperlink w:history="true" w:anchor="_bookmark2219">
              <w:r>
                <w:rPr>
                  <w:color w:val="005DA1"/>
                  <w:spacing w:val="-2"/>
                  <w:sz w:val="14"/>
                  <w:u w:val="single" w:color="005DA1"/>
                </w:rPr>
                <w:t>1182</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315.</w:t>
            </w:r>
          </w:p>
        </w:tc>
      </w:tr>
      <w:tr>
        <w:trPr>
          <w:trHeight w:val="465" w:hRule="atLeast"/>
        </w:trPr>
        <w:tc>
          <w:tcPr>
            <w:tcW w:w="496" w:type="dxa"/>
          </w:tcPr>
          <w:p>
            <w:pPr>
              <w:pStyle w:val="TableParagraph"/>
              <w:ind w:left="0" w:right="43"/>
              <w:rPr>
                <w:sz w:val="14"/>
              </w:rPr>
            </w:pPr>
            <w:bookmarkStart w:name="_bookmark2268" w:id="2270"/>
            <w:bookmarkEnd w:id="2270"/>
            <w:r>
              <w:rPr/>
            </w:r>
            <w:hyperlink w:history="true" w:anchor="_bookmark2220">
              <w:r>
                <w:rPr>
                  <w:color w:val="005DA1"/>
                  <w:spacing w:val="-2"/>
                  <w:sz w:val="14"/>
                  <w:u w:val="single" w:color="005DA1"/>
                </w:rPr>
                <w:t>1183</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175.</w:t>
            </w:r>
          </w:p>
        </w:tc>
      </w:tr>
      <w:tr>
        <w:trPr>
          <w:trHeight w:val="465" w:hRule="atLeast"/>
        </w:trPr>
        <w:tc>
          <w:tcPr>
            <w:tcW w:w="496" w:type="dxa"/>
          </w:tcPr>
          <w:p>
            <w:pPr>
              <w:pStyle w:val="TableParagraph"/>
              <w:ind w:left="0" w:right="43"/>
              <w:rPr>
                <w:sz w:val="14"/>
              </w:rPr>
            </w:pPr>
            <w:bookmarkStart w:name="_bookmark2269" w:id="2271"/>
            <w:bookmarkEnd w:id="2271"/>
            <w:r>
              <w:rPr/>
            </w:r>
            <w:hyperlink w:history="true" w:anchor="_bookmark2221">
              <w:r>
                <w:rPr>
                  <w:color w:val="005DA1"/>
                  <w:spacing w:val="-2"/>
                  <w:sz w:val="14"/>
                  <w:u w:val="single" w:color="005DA1"/>
                </w:rPr>
                <w:t>1184</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057.</w:t>
            </w:r>
          </w:p>
        </w:tc>
      </w:tr>
      <w:tr>
        <w:trPr>
          <w:trHeight w:val="465" w:hRule="atLeast"/>
        </w:trPr>
        <w:tc>
          <w:tcPr>
            <w:tcW w:w="496" w:type="dxa"/>
          </w:tcPr>
          <w:p>
            <w:pPr>
              <w:pStyle w:val="TableParagraph"/>
              <w:ind w:left="0" w:right="43"/>
              <w:rPr>
                <w:sz w:val="14"/>
              </w:rPr>
            </w:pPr>
            <w:bookmarkStart w:name="_bookmark2270" w:id="2272"/>
            <w:bookmarkEnd w:id="2272"/>
            <w:r>
              <w:rPr/>
            </w:r>
            <w:hyperlink w:history="true" w:anchor="_bookmark2222">
              <w:r>
                <w:rPr>
                  <w:color w:val="005DA1"/>
                  <w:spacing w:val="-2"/>
                  <w:sz w:val="14"/>
                  <w:u w:val="single" w:color="005DA1"/>
                </w:rPr>
                <w:t>1185</w:t>
              </w:r>
            </w:hyperlink>
            <w:r>
              <w:rPr>
                <w:spacing w:val="-2"/>
                <w:sz w:val="14"/>
              </w:rPr>
              <w:t>.</w:t>
            </w:r>
          </w:p>
        </w:tc>
        <w:tc>
          <w:tcPr>
            <w:tcW w:w="8620" w:type="dxa"/>
          </w:tcPr>
          <w:p>
            <w:pPr>
              <w:pStyle w:val="TableParagraph"/>
              <w:spacing w:before="114"/>
              <w:jc w:val="left"/>
              <w:rPr>
                <w:sz w:val="20"/>
              </w:rPr>
            </w:pPr>
            <w:r>
              <w:rPr>
                <w:sz w:val="20"/>
              </w:rPr>
              <w:t>Rome I art.4 does not, as such, permit </w:t>
            </w:r>
            <w:r>
              <w:rPr>
                <w:spacing w:val="-2"/>
                <w:sz w:val="20"/>
              </w:rPr>
              <w:t>“severance”.</w:t>
            </w:r>
          </w:p>
        </w:tc>
      </w:tr>
      <w:tr>
        <w:trPr>
          <w:trHeight w:val="344" w:hRule="atLeast"/>
        </w:trPr>
        <w:tc>
          <w:tcPr>
            <w:tcW w:w="496" w:type="dxa"/>
          </w:tcPr>
          <w:p>
            <w:pPr>
              <w:pStyle w:val="TableParagraph"/>
              <w:ind w:left="0" w:right="43"/>
              <w:rPr>
                <w:sz w:val="14"/>
              </w:rPr>
            </w:pPr>
            <w:bookmarkStart w:name="_bookmark2271" w:id="2273"/>
            <w:bookmarkEnd w:id="2273"/>
            <w:r>
              <w:rPr/>
            </w:r>
            <w:hyperlink w:history="true" w:anchor="_bookmark2223">
              <w:r>
                <w:rPr>
                  <w:color w:val="005DA1"/>
                  <w:spacing w:val="-2"/>
                  <w:sz w:val="14"/>
                  <w:u w:val="single" w:color="005DA1"/>
                </w:rPr>
                <w:t>1186</w:t>
              </w:r>
            </w:hyperlink>
            <w:r>
              <w:rPr>
                <w:spacing w:val="-2"/>
                <w:sz w:val="14"/>
              </w:rPr>
              <w:t>.</w:t>
            </w:r>
          </w:p>
        </w:tc>
        <w:tc>
          <w:tcPr>
            <w:tcW w:w="8620" w:type="dxa"/>
          </w:tcPr>
          <w:p>
            <w:pPr>
              <w:pStyle w:val="TableParagraph"/>
              <w:spacing w:line="210" w:lineRule="exact" w:before="114"/>
              <w:jc w:val="left"/>
              <w:rPr>
                <w:sz w:val="20"/>
              </w:rPr>
            </w:pPr>
            <w:r>
              <w:rPr>
                <w:sz w:val="20"/>
              </w:rPr>
              <w:t>Above, para.30-</w:t>
            </w:r>
            <w:r>
              <w:rPr>
                <w:spacing w:val="-4"/>
                <w:sz w:val="20"/>
              </w:rPr>
              <w:t>082.</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5. - Scope of the Applicable </w:t>
      </w:r>
      <w:r>
        <w:rPr>
          <w:rFonts w:ascii="Arial"/>
          <w:b/>
          <w:spacing w:val="-5"/>
          <w:sz w:val="24"/>
        </w:rPr>
        <w:t>Law</w:t>
      </w:r>
    </w:p>
    <w:p>
      <w:pPr>
        <w:spacing w:before="194"/>
        <w:ind w:left="3751" w:right="0" w:firstLine="0"/>
        <w:jc w:val="left"/>
        <w:rPr>
          <w:rFonts w:ascii="Arial"/>
          <w:b/>
          <w:position w:val="11"/>
          <w:sz w:val="12"/>
        </w:rPr>
      </w:pPr>
      <w:bookmarkStart w:name="_bookmark2272" w:id="2274"/>
      <w:bookmarkEnd w:id="2274"/>
      <w:r>
        <w:rPr/>
      </w:r>
      <w:r>
        <w:rPr>
          <w:rFonts w:ascii="Arial"/>
          <w:b/>
          <w:sz w:val="24"/>
        </w:rPr>
        <w:t>(c) - Capacity</w:t>
      </w:r>
      <w:r>
        <w:rPr>
          <w:rFonts w:ascii="Arial"/>
          <w:b/>
          <w:spacing w:val="-1"/>
          <w:sz w:val="24"/>
        </w:rPr>
        <w:t> </w:t>
      </w:r>
      <w:r>
        <w:rPr>
          <w:rFonts w:ascii="Arial"/>
          <w:b/>
          <w:color w:val="005DA1"/>
          <w:spacing w:val="-4"/>
          <w:position w:val="11"/>
          <w:sz w:val="12"/>
          <w:u w:val="single" w:color="005DA1"/>
        </w:rPr>
        <w:t>1187</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2"/>
        <w:rPr>
          <w:rFonts w:ascii="Arial"/>
          <w:b/>
          <w:sz w:val="18"/>
        </w:rPr>
      </w:pPr>
    </w:p>
    <w:p>
      <w:pPr>
        <w:pStyle w:val="Heading2"/>
      </w:pPr>
      <w:r>
        <w:rPr/>
        <w:t>30-</w:t>
      </w:r>
      <w:r>
        <w:rPr>
          <w:spacing w:val="-5"/>
        </w:rPr>
        <w:t>324</w:t>
      </w:r>
    </w:p>
    <w:p>
      <w:pPr>
        <w:pStyle w:val="BodyText"/>
        <w:spacing w:line="235" w:lineRule="auto" w:before="202"/>
        <w:ind w:left="165" w:right="167"/>
        <w:jc w:val="both"/>
      </w:pPr>
      <w:bookmarkStart w:name="_bookmark2273" w:id="2275"/>
      <w:bookmarkEnd w:id="2275"/>
      <w:r>
        <w:rPr/>
      </w:r>
      <w:bookmarkStart w:name="_bookmark2274" w:id="2276"/>
      <w:bookmarkEnd w:id="2276"/>
      <w:r>
        <w:rPr/>
      </w:r>
      <w:r>
        <w:rPr/>
        <w:t>Subject to an exception, discussed below, </w:t>
      </w:r>
      <w:r>
        <w:rPr>
          <w:color w:val="005DA1"/>
          <w:u w:val="single" w:color="005DA1"/>
          <w:vertAlign w:val="superscript"/>
        </w:rPr>
        <w:t>1188</w:t>
      </w:r>
      <w:r>
        <w:rPr>
          <w:color w:val="005DA1"/>
          <w:vertAlign w:val="baseline"/>
        </w:rPr>
        <w:t> </w:t>
      </w:r>
      <w:r>
        <w:rPr>
          <w:vertAlign w:val="baseline"/>
        </w:rPr>
        <w:t>the uniform rules of the Rome Convention and the </w:t>
      </w:r>
      <w:bookmarkStart w:name="_bookmark2275" w:id="2277"/>
      <w:bookmarkEnd w:id="2277"/>
      <w:r>
        <w:rPr>
          <w:vertAlign w:val="baseline"/>
        </w:rPr>
        <w:t>Rome</w:t>
      </w:r>
      <w:r>
        <w:rPr>
          <w:vertAlign w:val="baseline"/>
        </w:rPr>
        <w:t> I Regulation do not apply to questions involving the status or legal capacity of natural persons. </w:t>
      </w:r>
      <w:r>
        <w:rPr>
          <w:color w:val="005DA1"/>
          <w:u w:val="single" w:color="005DA1"/>
          <w:vertAlign w:val="superscript"/>
        </w:rPr>
        <w:t>1189</w:t>
      </w:r>
      <w:r>
        <w:rPr>
          <w:color w:val="005DA1"/>
          <w:vertAlign w:val="baseline"/>
        </w:rPr>
        <w:t> </w:t>
      </w:r>
      <w:r>
        <w:rPr>
          <w:vertAlign w:val="baseline"/>
        </w:rPr>
        <w:t>Nor do the rules apply to the legal capacity of bodies corporate or unincorporate. </w:t>
      </w:r>
      <w:r>
        <w:rPr>
          <w:color w:val="005DA1"/>
          <w:u w:val="single" w:color="005DA1"/>
          <w:vertAlign w:val="superscript"/>
        </w:rPr>
        <w:t>1190</w:t>
      </w:r>
      <w:r>
        <w:rPr>
          <w:color w:val="005DA1"/>
          <w:vertAlign w:val="baseline"/>
        </w:rPr>
        <w:t> </w:t>
      </w:r>
      <w:r>
        <w:rPr>
          <w:vertAlign w:val="baseline"/>
        </w:rPr>
        <w:t>Accordingly the law applicable to determine the contractual capacity of a natural person will, subject to the exception, be governed by common law rules, and the law governing the contractual capacity of a body corporate or unincorporate will be entirely governed by common law rules.</w:t>
      </w:r>
    </w:p>
    <w:p>
      <w:pPr>
        <w:pStyle w:val="BodyText"/>
      </w:pPr>
    </w:p>
    <w:p>
      <w:pPr>
        <w:pStyle w:val="BodyText"/>
        <w:spacing w:before="36"/>
      </w:pPr>
    </w:p>
    <w:p>
      <w:pPr>
        <w:spacing w:before="1"/>
        <w:ind w:left="165" w:right="0" w:firstLine="0"/>
        <w:jc w:val="left"/>
        <w:rPr>
          <w:rFonts w:ascii="Arial"/>
          <w:b/>
          <w:sz w:val="18"/>
        </w:rPr>
      </w:pPr>
      <w:r>
        <w:rPr>
          <w:rFonts w:ascii="Arial"/>
          <w:b/>
          <w:sz w:val="18"/>
        </w:rPr>
        <w:t>Natural </w:t>
      </w:r>
      <w:r>
        <w:rPr>
          <w:rFonts w:ascii="Arial"/>
          <w:b/>
          <w:spacing w:val="-2"/>
          <w:sz w:val="18"/>
        </w:rPr>
        <w:t>persons</w:t>
      </w:r>
    </w:p>
    <w:p>
      <w:pPr>
        <w:pStyle w:val="BodyText"/>
        <w:spacing w:before="41"/>
        <w:rPr>
          <w:rFonts w:ascii="Arial"/>
          <w:b/>
          <w:sz w:val="18"/>
        </w:rPr>
      </w:pPr>
    </w:p>
    <w:p>
      <w:pPr>
        <w:pStyle w:val="Heading2"/>
      </w:pPr>
      <w:r>
        <w:rPr/>
        <w:t>30-</w:t>
      </w:r>
      <w:r>
        <w:rPr>
          <w:spacing w:val="-5"/>
        </w:rPr>
        <w:t>325</w:t>
      </w:r>
    </w:p>
    <w:p>
      <w:pPr>
        <w:pStyle w:val="BodyText"/>
        <w:spacing w:line="235" w:lineRule="auto" w:before="203"/>
        <w:ind w:left="165" w:right="167"/>
        <w:jc w:val="both"/>
      </w:pPr>
      <w:bookmarkStart w:name="_bookmark2276" w:id="2278"/>
      <w:bookmarkEnd w:id="2278"/>
      <w:r>
        <w:rPr/>
      </w:r>
      <w:bookmarkStart w:name="_bookmark2277" w:id="2279"/>
      <w:bookmarkEnd w:id="2279"/>
      <w:r>
        <w:rPr/>
      </w:r>
      <w:r>
        <w:rPr/>
        <w:t>Despite contrary suggestions in older authorities, </w:t>
      </w:r>
      <w:r>
        <w:rPr>
          <w:color w:val="005DA1"/>
          <w:u w:val="single" w:color="005DA1"/>
          <w:vertAlign w:val="superscript"/>
        </w:rPr>
        <w:t>1191</w:t>
      </w:r>
      <w:r>
        <w:rPr>
          <w:color w:val="005DA1"/>
          <w:vertAlign w:val="baseline"/>
        </w:rPr>
        <w:t> </w:t>
      </w:r>
      <w:r>
        <w:rPr>
          <w:vertAlign w:val="baseline"/>
        </w:rPr>
        <w:t>it is submitted that the contractual capacity of </w:t>
      </w:r>
      <w:r>
        <w:rPr>
          <w:vertAlign w:val="baseline"/>
        </w:rPr>
        <w:t>a natural person is governed by the law applicable to the contract. </w:t>
      </w:r>
      <w:r>
        <w:rPr>
          <w:color w:val="005DA1"/>
          <w:u w:val="single" w:color="005DA1"/>
          <w:vertAlign w:val="superscript"/>
        </w:rPr>
        <w:t>1192</w:t>
      </w:r>
      <w:r>
        <w:rPr>
          <w:color w:val="005DA1"/>
          <w:vertAlign w:val="baseline"/>
        </w:rPr>
        <w:t> </w:t>
      </w:r>
      <w:r>
        <w:rPr>
          <w:vertAlign w:val="baseline"/>
        </w:rPr>
        <w:t>In this context, however, the </w:t>
      </w:r>
      <w:bookmarkStart w:name="_bookmark2278" w:id="2280"/>
      <w:bookmarkEnd w:id="2280"/>
      <w:r>
        <w:rPr>
          <w:vertAlign w:val="baseline"/>
        </w:rPr>
        <w:t>applicable</w:t>
      </w:r>
      <w:r>
        <w:rPr>
          <w:vertAlign w:val="baseline"/>
        </w:rPr>
        <w:t> law means that law objectively ascertained, without taking account of any choice of law in the contract itself. </w:t>
      </w:r>
      <w:r>
        <w:rPr>
          <w:color w:val="005DA1"/>
          <w:u w:val="single" w:color="005DA1"/>
          <w:vertAlign w:val="superscript"/>
        </w:rPr>
        <w:t>1193</w:t>
      </w:r>
      <w:r>
        <w:rPr>
          <w:color w:val="005DA1"/>
          <w:vertAlign w:val="baseline"/>
        </w:rPr>
        <w:t> </w:t>
      </w:r>
      <w:r>
        <w:rPr>
          <w:vertAlign w:val="baseline"/>
        </w:rPr>
        <w:t>The one intrusion on this state of affairs is to be found in art.11 of the Convention and art.13 of the Regulation (entitled “incapacity”) which provide as follows:</w:t>
      </w:r>
    </w:p>
    <w:p>
      <w:pPr>
        <w:pStyle w:val="BodyText"/>
      </w:pPr>
    </w:p>
    <w:p>
      <w:pPr>
        <w:pStyle w:val="BodyText"/>
        <w:spacing w:before="124"/>
      </w:pPr>
    </w:p>
    <w:p>
      <w:pPr>
        <w:pStyle w:val="BodyText"/>
        <w:spacing w:line="235" w:lineRule="auto"/>
        <w:ind w:left="1245" w:right="167"/>
        <w:jc w:val="both"/>
      </w:pPr>
      <w:r>
        <w:rPr/>
        <w:t>“In a contract concluded between persons who are in the same country, a natural person who would have capacity under the law of that country may invoke his incapacity</w:t>
      </w:r>
      <w:r>
        <w:rPr>
          <w:spacing w:val="80"/>
        </w:rPr>
        <w:t> </w:t>
      </w:r>
      <w:r>
        <w:rPr/>
        <w:t>resulting from another law only if the other party to the contract was aware of this </w:t>
      </w:r>
      <w:bookmarkStart w:name="_bookmark2279" w:id="2281"/>
      <w:bookmarkEnd w:id="2281"/>
      <w:r>
        <w:rPr/>
        <w:t>incapacity</w:t>
      </w:r>
      <w:r>
        <w:rPr/>
        <w:t> at the time of the conclusion of the contract or was not aware thereof as a result of negligence.” </w:t>
      </w:r>
      <w:r>
        <w:rPr>
          <w:color w:val="005DA1"/>
          <w:u w:val="single" w:color="005DA1"/>
          <w:vertAlign w:val="superscript"/>
        </w:rPr>
        <w:t>1194</w:t>
      </w:r>
    </w:p>
    <w:p>
      <w:pPr>
        <w:pStyle w:val="BodyText"/>
        <w:spacing w:before="115"/>
      </w:pPr>
    </w:p>
    <w:p>
      <w:pPr>
        <w:pStyle w:val="BodyText"/>
        <w:spacing w:line="235" w:lineRule="auto"/>
        <w:ind w:left="165" w:right="167"/>
        <w:jc w:val="both"/>
      </w:pPr>
      <w:r>
        <w:rPr/>
        <w:t>In terms, this rule is of limited effect. It only applies to contracts concluded between persons who are in the same country, one of whom must be a natural person who has capacity under that </w:t>
      </w:r>
      <w:r>
        <w:rPr/>
        <w:t>country’s law, but who seeks to rely on a lack of capacity under the law of another country. That lack of</w:t>
      </w:r>
      <w:r>
        <w:rPr>
          <w:spacing w:val="80"/>
        </w:rPr>
        <w:t> </w:t>
      </w:r>
      <w:bookmarkStart w:name="_bookmark2280" w:id="2282"/>
      <w:bookmarkEnd w:id="2282"/>
      <w:r>
        <w:rPr/>
        <w:t>capacity</w:t>
      </w:r>
      <w:r>
        <w:rPr/>
        <w:t> may only successfully be invoked if the other contracting party was aware of it or was unaware of it as a result of negligence. </w:t>
      </w:r>
      <w:r>
        <w:rPr>
          <w:color w:val="005DA1"/>
          <w:u w:val="single" w:color="005DA1"/>
          <w:vertAlign w:val="superscript"/>
        </w:rPr>
        <w:t>1195</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Corporations</w:t>
      </w:r>
    </w:p>
    <w:p>
      <w:pPr>
        <w:pStyle w:val="BodyText"/>
        <w:spacing w:before="41"/>
        <w:rPr>
          <w:rFonts w:ascii="Arial"/>
          <w:b/>
          <w:sz w:val="18"/>
        </w:rPr>
      </w:pPr>
    </w:p>
    <w:p>
      <w:pPr>
        <w:pStyle w:val="Heading2"/>
      </w:pPr>
      <w:r>
        <w:rPr/>
        <w:t>30-</w:t>
      </w:r>
      <w:r>
        <w:rPr>
          <w:spacing w:val="-5"/>
        </w:rPr>
        <w:t>326</w:t>
      </w:r>
    </w:p>
    <w:p>
      <w:pPr>
        <w:pStyle w:val="BodyText"/>
        <w:spacing w:line="235" w:lineRule="auto" w:before="203"/>
        <w:ind w:left="165" w:right="167"/>
        <w:jc w:val="both"/>
      </w:pPr>
      <w:r>
        <w:rPr/>
        <w:t>The contractual capacity of a corporation depends both on its constitution and on the law applicable</w:t>
      </w:r>
      <w:r>
        <w:rPr>
          <w:spacing w:val="80"/>
        </w:rPr>
        <w:t> </w:t>
      </w:r>
      <w:r>
        <w:rPr/>
        <w:t>to</w:t>
      </w:r>
      <w:r>
        <w:rPr>
          <w:spacing w:val="12"/>
        </w:rPr>
        <w:t> </w:t>
      </w:r>
      <w:r>
        <w:rPr/>
        <w:t>the</w:t>
      </w:r>
      <w:r>
        <w:rPr>
          <w:spacing w:val="12"/>
        </w:rPr>
        <w:t> </w:t>
      </w:r>
      <w:r>
        <w:rPr/>
        <w:t>contract</w:t>
      </w:r>
      <w:r>
        <w:rPr>
          <w:spacing w:val="12"/>
        </w:rPr>
        <w:t> </w:t>
      </w:r>
      <w:r>
        <w:rPr/>
        <w:t>which</w:t>
      </w:r>
      <w:r>
        <w:rPr>
          <w:spacing w:val="12"/>
        </w:rPr>
        <w:t> </w:t>
      </w:r>
      <w:r>
        <w:rPr/>
        <w:t>is</w:t>
      </w:r>
      <w:r>
        <w:rPr>
          <w:spacing w:val="12"/>
        </w:rPr>
        <w:t> </w:t>
      </w:r>
      <w:r>
        <w:rPr/>
        <w:t>concluded.</w:t>
      </w:r>
      <w:r>
        <w:rPr>
          <w:spacing w:val="12"/>
        </w:rPr>
        <w:t> </w:t>
      </w:r>
      <w:r>
        <w:rPr/>
        <w:t>Thus</w:t>
      </w:r>
      <w:r>
        <w:rPr>
          <w:spacing w:val="12"/>
        </w:rPr>
        <w:t> </w:t>
      </w:r>
      <w:r>
        <w:rPr/>
        <w:t>in</w:t>
      </w:r>
      <w:r>
        <w:rPr>
          <w:spacing w:val="12"/>
        </w:rPr>
        <w:t> </w:t>
      </w:r>
      <w:r>
        <w:rPr/>
        <w:t>so</w:t>
      </w:r>
      <w:r>
        <w:rPr>
          <w:spacing w:val="12"/>
        </w:rPr>
        <w:t> </w:t>
      </w:r>
      <w:r>
        <w:rPr/>
        <w:t>far</w:t>
      </w:r>
      <w:r>
        <w:rPr>
          <w:spacing w:val="12"/>
        </w:rPr>
        <w:t> </w:t>
      </w:r>
      <w:r>
        <w:rPr/>
        <w:t>as</w:t>
      </w:r>
      <w:r>
        <w:rPr>
          <w:spacing w:val="12"/>
        </w:rPr>
        <w:t> </w:t>
      </w:r>
      <w:r>
        <w:rPr/>
        <w:t>a</w:t>
      </w:r>
      <w:r>
        <w:rPr>
          <w:spacing w:val="12"/>
        </w:rPr>
        <w:t> </w:t>
      </w:r>
      <w:r>
        <w:rPr/>
        <w:t>corporation’s</w:t>
      </w:r>
      <w:r>
        <w:rPr>
          <w:spacing w:val="12"/>
        </w:rPr>
        <w:t> </w:t>
      </w:r>
      <w:r>
        <w:rPr/>
        <w:t>capacity</w:t>
      </w:r>
      <w:r>
        <w:rPr>
          <w:spacing w:val="12"/>
        </w:rPr>
        <w:t> </w:t>
      </w:r>
      <w:r>
        <w:rPr/>
        <w:t>to</w:t>
      </w:r>
      <w:r>
        <w:rPr>
          <w:spacing w:val="12"/>
        </w:rPr>
        <w:t> </w:t>
      </w:r>
      <w:r>
        <w:rPr/>
        <w:t>enter</w:t>
      </w:r>
      <w:r>
        <w:rPr>
          <w:spacing w:val="12"/>
        </w:rPr>
        <w:t> </w:t>
      </w:r>
      <w:r>
        <w:rPr/>
        <w:t>into</w:t>
      </w:r>
      <w:r>
        <w:rPr>
          <w:spacing w:val="12"/>
        </w:rPr>
        <w:t> </w:t>
      </w:r>
      <w:r>
        <w:rPr/>
        <w:t>a</w:t>
      </w:r>
      <w:r>
        <w:rPr>
          <w:spacing w:val="12"/>
        </w:rPr>
        <w:t> </w:t>
      </w:r>
      <w:r>
        <w:rPr>
          <w:spacing w:val="-2"/>
        </w:rPr>
        <w:t>contract</w:t>
      </w:r>
    </w:p>
    <w:p>
      <w:pPr>
        <w:pStyle w:val="BodyText"/>
        <w:spacing w:after="0" w:line="235" w:lineRule="auto"/>
        <w:jc w:val="both"/>
        <w:sectPr>
          <w:headerReference w:type="default" r:id="rId32"/>
          <w:pgSz w:w="11900" w:h="16840"/>
          <w:pgMar w:header="971" w:footer="0" w:top="1300" w:bottom="280" w:left="1275" w:right="1275"/>
          <w:pgNumType w:start="1"/>
        </w:sectPr>
      </w:pPr>
    </w:p>
    <w:p>
      <w:pPr>
        <w:pStyle w:val="BodyText"/>
        <w:spacing w:line="235" w:lineRule="auto" w:before="210"/>
        <w:ind w:left="164" w:right="166"/>
        <w:jc w:val="both"/>
      </w:pPr>
      <w:bookmarkStart w:name="_bookmark2281" w:id="2283"/>
      <w:bookmarkEnd w:id="2283"/>
      <w:r>
        <w:rPr/>
      </w:r>
      <w:bookmarkStart w:name="_bookmark2282" w:id="2284"/>
      <w:bookmarkEnd w:id="2284"/>
      <w:r>
        <w:rPr/>
      </w:r>
      <w:r>
        <w:rPr/>
        <w:t>depends on its constitution, the law of the country of incorporation is the governing law, </w:t>
      </w:r>
      <w:r>
        <w:rPr>
          <w:color w:val="005DA1"/>
          <w:u w:val="single" w:color="005DA1"/>
          <w:vertAlign w:val="superscript"/>
        </w:rPr>
        <w:t>1196</w:t>
      </w:r>
      <w:r>
        <w:rPr>
          <w:color w:val="005DA1"/>
          <w:vertAlign w:val="baseline"/>
        </w:rPr>
        <w:t> </w:t>
      </w:r>
      <w:r>
        <w:rPr>
          <w:vertAlign w:val="baseline"/>
        </w:rPr>
        <w:t>though</w:t>
      </w:r>
      <w:r>
        <w:rPr>
          <w:spacing w:val="40"/>
          <w:vertAlign w:val="baseline"/>
        </w:rPr>
        <w:t> </w:t>
      </w:r>
      <w:r>
        <w:rPr>
          <w:vertAlign w:val="baseline"/>
        </w:rPr>
        <w:t>the corporation must also possess capacity under the law applicable to the contract. </w:t>
      </w:r>
      <w:r>
        <w:rPr>
          <w:color w:val="005DA1"/>
          <w:u w:val="single" w:color="005DA1"/>
          <w:vertAlign w:val="superscript"/>
        </w:rPr>
        <w:t>1197</w:t>
      </w:r>
      <w:r>
        <w:rPr>
          <w:color w:val="005DA1"/>
          <w:vertAlign w:val="baseline"/>
        </w:rPr>
        <w:t> </w:t>
      </w:r>
      <w:r>
        <w:rPr>
          <w:vertAlign w:val="baseline"/>
        </w:rPr>
        <w:t>It may, </w:t>
      </w:r>
      <w:bookmarkStart w:name="_bookmark2283" w:id="2285"/>
      <w:bookmarkEnd w:id="2285"/>
      <w:r>
        <w:rPr>
          <w:vertAlign w:val="baseline"/>
        </w:rPr>
        <w:t>accordingly,</w:t>
      </w:r>
      <w:r>
        <w:rPr>
          <w:vertAlign w:val="baseline"/>
        </w:rPr>
        <w:t> be taken to lack capacity to enter into a contract if the law of the country of </w:t>
      </w:r>
      <w:r>
        <w:rPr>
          <w:vertAlign w:val="baseline"/>
        </w:rPr>
        <w:t>incorporation so</w:t>
      </w:r>
      <w:r>
        <w:rPr>
          <w:spacing w:val="-3"/>
          <w:vertAlign w:val="baseline"/>
        </w:rPr>
        <w:t> </w:t>
      </w:r>
      <w:r>
        <w:rPr>
          <w:vertAlign w:val="baseline"/>
        </w:rPr>
        <w:t>holds</w:t>
      </w:r>
      <w:r>
        <w:rPr>
          <w:spacing w:val="-3"/>
          <w:vertAlign w:val="baseline"/>
        </w:rPr>
        <w:t> </w:t>
      </w:r>
      <w:r>
        <w:rPr>
          <w:vertAlign w:val="baseline"/>
        </w:rPr>
        <w:t>because</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limitation</w:t>
      </w:r>
      <w:r>
        <w:rPr>
          <w:spacing w:val="-3"/>
          <w:vertAlign w:val="baseline"/>
        </w:rPr>
        <w:t> </w:t>
      </w:r>
      <w:r>
        <w:rPr>
          <w:vertAlign w:val="baseline"/>
        </w:rPr>
        <w:t>on</w:t>
      </w:r>
      <w:r>
        <w:rPr>
          <w:spacing w:val="-3"/>
          <w:vertAlign w:val="baseline"/>
        </w:rPr>
        <w:t> </w:t>
      </w:r>
      <w:r>
        <w:rPr>
          <w:vertAlign w:val="baseline"/>
        </w:rPr>
        <w:t>its</w:t>
      </w:r>
      <w:r>
        <w:rPr>
          <w:spacing w:val="-3"/>
          <w:vertAlign w:val="baseline"/>
        </w:rPr>
        <w:t> </w:t>
      </w:r>
      <w:r>
        <w:rPr>
          <w:vertAlign w:val="baseline"/>
        </w:rPr>
        <w:t>powers</w:t>
      </w:r>
      <w:r>
        <w:rPr>
          <w:spacing w:val="-3"/>
          <w:vertAlign w:val="baseline"/>
        </w:rPr>
        <w:t> </w:t>
      </w:r>
      <w:r>
        <w:rPr>
          <w:vertAlign w:val="baseline"/>
        </w:rPr>
        <w:t>under</w:t>
      </w:r>
      <w:r>
        <w:rPr>
          <w:spacing w:val="-3"/>
          <w:vertAlign w:val="baseline"/>
        </w:rPr>
        <w:t> </w:t>
      </w:r>
      <w:r>
        <w:rPr>
          <w:vertAlign w:val="baseline"/>
        </w:rPr>
        <w:t>its</w:t>
      </w:r>
      <w:r>
        <w:rPr>
          <w:spacing w:val="-3"/>
          <w:vertAlign w:val="baseline"/>
        </w:rPr>
        <w:t> </w:t>
      </w:r>
      <w:r>
        <w:rPr>
          <w:vertAlign w:val="baseline"/>
        </w:rPr>
        <w:t>constitution</w:t>
      </w:r>
      <w:r>
        <w:rPr>
          <w:spacing w:val="-3"/>
          <w:vertAlign w:val="baseline"/>
        </w:rPr>
        <w:t> </w:t>
      </w:r>
      <w:r>
        <w:rPr>
          <w:vertAlign w:val="baseline"/>
        </w:rPr>
        <w:t>(e.g.</w:t>
      </w:r>
      <w:r>
        <w:rPr>
          <w:spacing w:val="-3"/>
          <w:vertAlign w:val="baseline"/>
        </w:rPr>
        <w:t> </w:t>
      </w:r>
      <w:r>
        <w:rPr>
          <w:vertAlign w:val="baseline"/>
        </w:rPr>
        <w:t>the</w:t>
      </w:r>
      <w:r>
        <w:rPr>
          <w:spacing w:val="-3"/>
          <w:vertAlign w:val="baseline"/>
        </w:rPr>
        <w:t> </w:t>
      </w:r>
      <w:r>
        <w:rPr>
          <w:vertAlign w:val="baseline"/>
        </w:rPr>
        <w:t>doctrine</w:t>
      </w:r>
      <w:r>
        <w:rPr>
          <w:spacing w:val="-3"/>
          <w:vertAlign w:val="baseline"/>
        </w:rPr>
        <w:t> </w:t>
      </w:r>
      <w:r>
        <w:rPr>
          <w:vertAlign w:val="baseline"/>
        </w:rPr>
        <w:t>of</w:t>
      </w:r>
      <w:r>
        <w:rPr>
          <w:spacing w:val="-3"/>
          <w:vertAlign w:val="baseline"/>
        </w:rPr>
        <w:t> </w:t>
      </w:r>
      <w:r>
        <w:rPr>
          <w:vertAlign w:val="baseline"/>
        </w:rPr>
        <w:t>ultra</w:t>
      </w:r>
      <w:r>
        <w:rPr>
          <w:spacing w:val="-3"/>
          <w:vertAlign w:val="baseline"/>
        </w:rPr>
        <w:t> </w:t>
      </w:r>
      <w:r>
        <w:rPr>
          <w:vertAlign w:val="baseline"/>
        </w:rPr>
        <w:t>vires)</w:t>
      </w:r>
      <w:r>
        <w:rPr>
          <w:spacing w:val="-4"/>
          <w:vertAlign w:val="baseline"/>
        </w:rPr>
        <w:t> </w:t>
      </w:r>
      <w:r>
        <w:rPr>
          <w:color w:val="005DA1"/>
          <w:u w:val="single" w:color="005DA1"/>
          <w:vertAlign w:val="superscript"/>
        </w:rPr>
        <w:t>1198</w:t>
      </w:r>
      <w:r>
        <w:rPr>
          <w:color w:val="005DA1"/>
          <w:vertAlign w:val="baseline"/>
        </w:rPr>
        <w:t> </w:t>
      </w:r>
      <w:bookmarkStart w:name="_bookmark2284" w:id="2286"/>
      <w:bookmarkEnd w:id="2286"/>
      <w:r>
        <w:rPr>
          <w:color w:val="005DA1"/>
          <w:w w:val="92"/>
          <w:vertAlign w:val="baseline"/>
        </w:rPr>
      </w:r>
      <w:r>
        <w:rPr>
          <w:vertAlign w:val="baseline"/>
        </w:rPr>
        <w:t>or if the law applicable to the contract so holds on the basis of a principle of capacity which is </w:t>
      </w:r>
      <w:bookmarkStart w:name="_bookmark2285" w:id="2287"/>
      <w:bookmarkEnd w:id="2287"/>
      <w:r>
        <w:rPr>
          <w:vertAlign w:val="baseline"/>
        </w:rPr>
        <w:t>unrelated</w:t>
      </w:r>
      <w:r>
        <w:rPr>
          <w:vertAlign w:val="baseline"/>
        </w:rPr>
        <w:t> to its constitutional powers. </w:t>
      </w:r>
      <w:r>
        <w:rPr>
          <w:color w:val="005DA1"/>
          <w:u w:val="single" w:color="005DA1"/>
          <w:vertAlign w:val="superscript"/>
        </w:rPr>
        <w:t>1199</w:t>
      </w:r>
      <w:r>
        <w:rPr>
          <w:color w:val="005DA1"/>
          <w:vertAlign w:val="baseline"/>
        </w:rPr>
        <w:t> </w:t>
      </w:r>
      <w:r>
        <w:rPr>
          <w:vertAlign w:val="baseline"/>
        </w:rPr>
        <w:t>According to art.1(2)(e) of the Rome Convention and art.1(2)(f) of the Rome I Regulation, as pointed out above, </w:t>
      </w:r>
      <w:r>
        <w:rPr>
          <w:color w:val="005DA1"/>
          <w:u w:val="single" w:color="005DA1"/>
          <w:vertAlign w:val="superscript"/>
        </w:rPr>
        <w:t>1200</w:t>
      </w:r>
      <w:r>
        <w:rPr>
          <w:color w:val="005DA1"/>
          <w:vertAlign w:val="baseline"/>
        </w:rPr>
        <w:t> </w:t>
      </w:r>
      <w:r>
        <w:rPr>
          <w:vertAlign w:val="baseline"/>
        </w:rPr>
        <w:t>the legal capacity of a corporation is</w:t>
      </w:r>
      <w:r>
        <w:rPr>
          <w:spacing w:val="40"/>
          <w:vertAlign w:val="baseline"/>
        </w:rPr>
        <w:t> </w:t>
      </w:r>
      <w:bookmarkStart w:name="_bookmark2286" w:id="2288"/>
      <w:bookmarkEnd w:id="2288"/>
      <w:r>
        <w:rPr>
          <w:vertAlign w:val="baseline"/>
        </w:rPr>
        <w:t>not</w:t>
      </w:r>
      <w:r>
        <w:rPr>
          <w:vertAlign w:val="baseline"/>
        </w:rPr>
        <w:t> covered by the Convention or by the Regulation. But the Giuliano-Lagarde Report states that this </w:t>
      </w:r>
      <w:bookmarkStart w:name="_bookmark2287" w:id="2289"/>
      <w:bookmarkEnd w:id="2289"/>
      <w:r>
        <w:rPr>
          <w:vertAlign w:val="baseline"/>
        </w:rPr>
        <w:t>reference</w:t>
      </w:r>
      <w:r>
        <w:rPr>
          <w:spacing w:val="-1"/>
          <w:vertAlign w:val="baseline"/>
        </w:rPr>
        <w:t> </w:t>
      </w:r>
      <w:r>
        <w:rPr>
          <w:vertAlign w:val="baseline"/>
        </w:rPr>
        <w:t>is</w:t>
      </w:r>
      <w:r>
        <w:rPr>
          <w:spacing w:val="-1"/>
          <w:vertAlign w:val="baseline"/>
        </w:rPr>
        <w:t> </w:t>
      </w:r>
      <w:r>
        <w:rPr>
          <w:vertAlign w:val="baseline"/>
        </w:rPr>
        <w:t>to</w:t>
      </w:r>
      <w:r>
        <w:rPr>
          <w:spacing w:val="-1"/>
          <w:vertAlign w:val="baseline"/>
        </w:rPr>
        <w:t> </w:t>
      </w:r>
      <w:r>
        <w:rPr>
          <w:vertAlign w:val="baseline"/>
        </w:rPr>
        <w:t>limitations</w:t>
      </w:r>
      <w:r>
        <w:rPr>
          <w:spacing w:val="-1"/>
          <w:vertAlign w:val="baseline"/>
        </w:rPr>
        <w:t> </w:t>
      </w:r>
      <w:r>
        <w:rPr>
          <w:vertAlign w:val="baseline"/>
        </w:rPr>
        <w:t>which</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imposed</w:t>
      </w:r>
      <w:r>
        <w:rPr>
          <w:spacing w:val="-1"/>
          <w:vertAlign w:val="baseline"/>
        </w:rPr>
        <w:t> </w:t>
      </w:r>
      <w:r>
        <w:rPr>
          <w:vertAlign w:val="baseline"/>
        </w:rPr>
        <w:t>by</w:t>
      </w:r>
      <w:r>
        <w:rPr>
          <w:spacing w:val="-1"/>
          <w:vertAlign w:val="baseline"/>
        </w:rPr>
        <w:t> </w:t>
      </w:r>
      <w:r>
        <w:rPr>
          <w:vertAlign w:val="baseline"/>
        </w:rPr>
        <w:t>law</w:t>
      </w:r>
      <w:r>
        <w:rPr>
          <w:spacing w:val="-1"/>
          <w:vertAlign w:val="baseline"/>
        </w:rPr>
        <w:t> </w:t>
      </w:r>
      <w:r>
        <w:rPr>
          <w:vertAlign w:val="baseline"/>
        </w:rPr>
        <w:t>on</w:t>
      </w:r>
      <w:r>
        <w:rPr>
          <w:spacing w:val="-1"/>
          <w:vertAlign w:val="baseline"/>
        </w:rPr>
        <w:t> </w:t>
      </w:r>
      <w:r>
        <w:rPr>
          <w:vertAlign w:val="baseline"/>
        </w:rPr>
        <w:t>companies</w:t>
      </w:r>
      <w:r>
        <w:rPr>
          <w:spacing w:val="-1"/>
          <w:vertAlign w:val="baseline"/>
        </w:rPr>
        <w:t> </w:t>
      </w:r>
      <w:r>
        <w:rPr>
          <w:vertAlign w:val="baseline"/>
        </w:rPr>
        <w:t>or</w:t>
      </w:r>
      <w:r>
        <w:rPr>
          <w:spacing w:val="-1"/>
          <w:vertAlign w:val="baseline"/>
        </w:rPr>
        <w:t> </w:t>
      </w:r>
      <w:r>
        <w:rPr>
          <w:vertAlign w:val="baseline"/>
        </w:rPr>
        <w:t>firms.</w:t>
      </w:r>
      <w:r>
        <w:rPr>
          <w:spacing w:val="-2"/>
          <w:vertAlign w:val="baseline"/>
        </w:rPr>
        <w:t> </w:t>
      </w:r>
      <w:r>
        <w:rPr>
          <w:color w:val="005DA1"/>
          <w:u w:val="single" w:color="005DA1"/>
          <w:vertAlign w:val="superscript"/>
        </w:rPr>
        <w:t>1201</w:t>
      </w:r>
      <w:r>
        <w:rPr>
          <w:color w:val="005DA1"/>
          <w:spacing w:val="-1"/>
          <w:vertAlign w:val="baseline"/>
        </w:rPr>
        <w:t> </w:t>
      </w:r>
      <w:r>
        <w:rPr>
          <w:vertAlign w:val="baseline"/>
        </w:rPr>
        <w:t>It</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extend to ultra vires acts by organs of the company or firm, </w:t>
      </w:r>
      <w:r>
        <w:rPr>
          <w:color w:val="005DA1"/>
          <w:u w:val="single" w:color="005DA1"/>
          <w:vertAlign w:val="superscript"/>
        </w:rPr>
        <w:t>1202</w:t>
      </w:r>
      <w:r>
        <w:rPr>
          <w:color w:val="005DA1"/>
          <w:vertAlign w:val="baseline"/>
        </w:rPr>
        <w:t> </w:t>
      </w:r>
      <w:r>
        <w:rPr>
          <w:vertAlign w:val="baseline"/>
        </w:rPr>
        <w:t>which are excluded by art.1(2)(f) of the Convention and art.1(2)(g) of the Regulation, which provide inter alia, that the Convention and the </w:t>
      </w:r>
      <w:bookmarkStart w:name="_bookmark2288" w:id="2290"/>
      <w:bookmarkEnd w:id="2290"/>
      <w:r>
        <w:rPr>
          <w:vertAlign w:val="baseline"/>
        </w:rPr>
        <w:t>Regulation</w:t>
      </w:r>
      <w:r>
        <w:rPr>
          <w:vertAlign w:val="baseline"/>
        </w:rPr>
        <w:t> do not apply to the question whether an organ can bind a body corporate or unincorporate to a third party. </w:t>
      </w:r>
      <w:r>
        <w:rPr>
          <w:color w:val="005DA1"/>
          <w:u w:val="single" w:color="005DA1"/>
          <w:vertAlign w:val="superscript"/>
        </w:rPr>
        <w:t>1203</w:t>
      </w:r>
      <w:r>
        <w:rPr>
          <w:color w:val="005DA1"/>
          <w:vertAlign w:val="baseline"/>
        </w:rPr>
        <w:t> </w:t>
      </w:r>
      <w:r>
        <w:rPr>
          <w:vertAlign w:val="baseline"/>
        </w:rPr>
        <w:t>Since the combined effect of respectively, art.1(2)(e), (f) and (g) is to exclude the contractual</w:t>
      </w:r>
      <w:r>
        <w:rPr>
          <w:spacing w:val="6"/>
          <w:vertAlign w:val="baseline"/>
        </w:rPr>
        <w:t> </w:t>
      </w:r>
      <w:r>
        <w:rPr>
          <w:vertAlign w:val="baseline"/>
        </w:rPr>
        <w:t>capacity</w:t>
      </w:r>
      <w:r>
        <w:rPr>
          <w:spacing w:val="6"/>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corporation,</w:t>
      </w:r>
      <w:r>
        <w:rPr>
          <w:spacing w:val="6"/>
          <w:vertAlign w:val="baseline"/>
        </w:rPr>
        <w:t> </w:t>
      </w:r>
      <w:r>
        <w:rPr>
          <w:vertAlign w:val="baseline"/>
        </w:rPr>
        <w:t>however</w:t>
      </w:r>
      <w:r>
        <w:rPr>
          <w:spacing w:val="6"/>
          <w:vertAlign w:val="baseline"/>
        </w:rPr>
        <w:t> </w:t>
      </w:r>
      <w:r>
        <w:rPr>
          <w:vertAlign w:val="baseline"/>
        </w:rPr>
        <w:t>arising,</w:t>
      </w:r>
      <w:r>
        <w:rPr>
          <w:spacing w:val="6"/>
          <w:vertAlign w:val="baseline"/>
        </w:rPr>
        <w:t> </w:t>
      </w:r>
      <w:r>
        <w:rPr>
          <w:vertAlign w:val="baseline"/>
        </w:rPr>
        <w:t>exclusion</w:t>
      </w:r>
      <w:r>
        <w:rPr>
          <w:spacing w:val="6"/>
          <w:vertAlign w:val="baseline"/>
        </w:rPr>
        <w:t> </w:t>
      </w:r>
      <w:r>
        <w:rPr>
          <w:vertAlign w:val="baseline"/>
        </w:rPr>
        <w:t>of</w:t>
      </w:r>
      <w:r>
        <w:rPr>
          <w:spacing w:val="6"/>
          <w:vertAlign w:val="baseline"/>
        </w:rPr>
        <w:t> </w:t>
      </w:r>
      <w:r>
        <w:rPr>
          <w:vertAlign w:val="baseline"/>
        </w:rPr>
        <w:t>ultra</w:t>
      </w:r>
      <w:r>
        <w:rPr>
          <w:spacing w:val="6"/>
          <w:vertAlign w:val="baseline"/>
        </w:rPr>
        <w:t> </w:t>
      </w:r>
      <w:r>
        <w:rPr>
          <w:vertAlign w:val="baseline"/>
        </w:rPr>
        <w:t>vires</w:t>
      </w:r>
      <w:r>
        <w:rPr>
          <w:spacing w:val="6"/>
          <w:vertAlign w:val="baseline"/>
        </w:rPr>
        <w:t> </w:t>
      </w:r>
      <w:r>
        <w:rPr>
          <w:vertAlign w:val="baseline"/>
        </w:rPr>
        <w:t>acts</w:t>
      </w:r>
      <w:r>
        <w:rPr>
          <w:spacing w:val="6"/>
          <w:vertAlign w:val="baseline"/>
        </w:rPr>
        <w:t> </w:t>
      </w:r>
      <w:r>
        <w:rPr>
          <w:vertAlign w:val="baseline"/>
        </w:rPr>
        <w:t>under</w:t>
      </w:r>
      <w:r>
        <w:rPr>
          <w:spacing w:val="6"/>
          <w:vertAlign w:val="baseline"/>
        </w:rPr>
        <w:t> </w:t>
      </w:r>
      <w:r>
        <w:rPr>
          <w:vertAlign w:val="baseline"/>
        </w:rPr>
        <w:t>art.1(2)(f)</w:t>
      </w:r>
      <w:r>
        <w:rPr>
          <w:spacing w:val="6"/>
          <w:vertAlign w:val="baseline"/>
        </w:rPr>
        <w:t> </w:t>
      </w:r>
      <w:r>
        <w:rPr>
          <w:spacing w:val="-5"/>
          <w:vertAlign w:val="baseline"/>
        </w:rPr>
        <w:t>or</w:t>
      </w:r>
    </w:p>
    <w:p>
      <w:pPr>
        <w:pStyle w:val="BodyText"/>
        <w:spacing w:line="235" w:lineRule="auto"/>
        <w:ind w:left="165" w:right="167"/>
        <w:jc w:val="both"/>
      </w:pPr>
      <w:bookmarkStart w:name="_bookmark2289" w:id="2291"/>
      <w:bookmarkEnd w:id="2291"/>
      <w:r>
        <w:rPr/>
      </w:r>
      <w:r>
        <w:rPr/>
        <w:t>(g) rather than under art.1(2)(e) or (f) appears to produce no practical consequence, since in either case the common law rules described above will continue to apply. </w:t>
      </w:r>
      <w:r>
        <w:rPr>
          <w:color w:val="005DA1"/>
          <w:u w:val="single" w:color="005DA1"/>
          <w:vertAlign w:val="superscript"/>
        </w:rPr>
        <w:t>1204</w:t>
      </w:r>
    </w:p>
    <w:p>
      <w:pPr>
        <w:pStyle w:val="BodyText"/>
      </w:pPr>
    </w:p>
    <w:p>
      <w:pPr>
        <w:pStyle w:val="BodyText"/>
        <w:spacing w:before="34"/>
      </w:pPr>
      <w:r>
        <w:rPr/>
        <mc:AlternateContent>
          <mc:Choice Requires="wps">
            <w:drawing>
              <wp:anchor distT="0" distB="0" distL="0" distR="0" allowOverlap="1" layoutInCell="1" locked="0" behindDoc="1" simplePos="0" relativeHeight="487627776">
                <wp:simplePos x="0" y="0"/>
                <wp:positionH relativeFrom="page">
                  <wp:posOffset>914400</wp:posOffset>
                </wp:positionH>
                <wp:positionV relativeFrom="paragraph">
                  <wp:posOffset>183069</wp:posOffset>
                </wp:positionV>
                <wp:extent cx="5724525" cy="127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14929pt;width:450.75pt;height:.1pt;mso-position-horizontal-relative:page;mso-position-vertical-relative:paragraph;z-index:-15688704;mso-wrap-distance-left:0;mso-wrap-distance-right:0" id="docshape52" coordorigin="1440,288" coordsize="9015,0" path="m1440,288l10454,288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bookmarkStart w:name="_bookmark2290" w:id="2292"/>
      <w:bookmarkEnd w:id="2292"/>
      <w:r>
        <w:rPr/>
      </w:r>
      <w:hyperlink w:history="true" w:anchor="_bookmark2272">
        <w:r>
          <w:rPr>
            <w:color w:val="005DA1"/>
            <w:position w:val="5"/>
            <w:sz w:val="14"/>
            <w:u w:val="single" w:color="005DA1"/>
          </w:rPr>
          <w:t>1187</w:t>
        </w:r>
      </w:hyperlink>
      <w:r>
        <w:rPr>
          <w:position w:val="5"/>
          <w:sz w:val="14"/>
        </w:rPr>
        <w:t>.</w:t>
      </w:r>
      <w:r>
        <w:rPr>
          <w:spacing w:val="80"/>
          <w:position w:val="5"/>
          <w:sz w:val="14"/>
        </w:rPr>
        <w:t> </w:t>
      </w:r>
      <w:r>
        <w:rPr/>
        <w:t>See the 26th edition of this work, para.2181; Dicey, Morris and Collins on the Conflict of Laws, 15th edn (2012), paras 33R–168 et seq.; Cheshire, North and Fawcett, pp.750–753; </w:t>
      </w:r>
      <w:r>
        <w:rPr/>
        <w:t>Blaikie, 1984 S.L.T. 161.</w:t>
      </w:r>
    </w:p>
    <w:p>
      <w:pPr>
        <w:pStyle w:val="BodyText"/>
        <w:spacing w:before="5"/>
      </w:pPr>
    </w:p>
    <w:p>
      <w:pPr>
        <w:spacing w:before="0"/>
        <w:ind w:left="165" w:right="0" w:firstLine="0"/>
        <w:jc w:val="left"/>
        <w:rPr>
          <w:sz w:val="20"/>
        </w:rPr>
      </w:pPr>
      <w:bookmarkStart w:name="_bookmark2291" w:id="2293"/>
      <w:bookmarkEnd w:id="2293"/>
      <w:r>
        <w:rPr/>
      </w:r>
      <w:hyperlink w:history="true" w:anchor="_bookmark2273">
        <w:r>
          <w:rPr>
            <w:color w:val="005DA1"/>
            <w:position w:val="5"/>
            <w:sz w:val="14"/>
            <w:u w:val="single" w:color="005DA1"/>
          </w:rPr>
          <w:t>1188</w:t>
        </w:r>
      </w:hyperlink>
      <w:r>
        <w:rPr>
          <w:position w:val="5"/>
          <w:sz w:val="14"/>
        </w:rPr>
        <w:t>.</w:t>
      </w:r>
      <w:r>
        <w:rPr>
          <w:spacing w:val="55"/>
          <w:position w:val="5"/>
          <w:sz w:val="14"/>
        </w:rPr>
        <w:t>  </w:t>
      </w:r>
      <w:r>
        <w:rPr>
          <w:sz w:val="20"/>
        </w:rPr>
        <w:t>Below,</w:t>
      </w:r>
      <w:r>
        <w:rPr>
          <w:spacing w:val="1"/>
          <w:sz w:val="20"/>
        </w:rPr>
        <w:t> </w:t>
      </w:r>
      <w:r>
        <w:rPr>
          <w:sz w:val="20"/>
        </w:rPr>
        <w:t>para.30-</w:t>
      </w:r>
      <w:r>
        <w:rPr>
          <w:spacing w:val="-4"/>
          <w:sz w:val="20"/>
        </w:rPr>
        <w:t>325.</w:t>
      </w:r>
    </w:p>
    <w:p>
      <w:pPr>
        <w:pStyle w:val="BodyText"/>
        <w:spacing w:before="5"/>
      </w:pPr>
    </w:p>
    <w:p>
      <w:pPr>
        <w:pStyle w:val="BodyText"/>
        <w:ind w:left="165"/>
      </w:pPr>
      <w:bookmarkStart w:name="_bookmark2292" w:id="2294"/>
      <w:bookmarkEnd w:id="2294"/>
      <w:r>
        <w:rPr/>
      </w:r>
      <w:hyperlink w:history="true" w:anchor="_bookmark2274">
        <w:r>
          <w:rPr>
            <w:color w:val="005DA1"/>
            <w:position w:val="5"/>
            <w:sz w:val="14"/>
            <w:u w:val="single" w:color="005DA1"/>
          </w:rPr>
          <w:t>1189</w:t>
        </w:r>
      </w:hyperlink>
      <w:r>
        <w:rPr>
          <w:position w:val="5"/>
          <w:sz w:val="14"/>
        </w:rPr>
        <w:t>.</w:t>
      </w:r>
      <w:r>
        <w:rPr>
          <w:spacing w:val="55"/>
          <w:position w:val="5"/>
          <w:sz w:val="14"/>
        </w:rPr>
        <w:t>  </w:t>
      </w:r>
      <w:r>
        <w:rPr/>
        <w:t>arts</w:t>
      </w:r>
      <w:r>
        <w:rPr>
          <w:spacing w:val="1"/>
        </w:rPr>
        <w:t> </w:t>
      </w:r>
      <w:r>
        <w:rPr/>
        <w:t>1(2)(a) of the Convention and of the </w:t>
      </w:r>
      <w:r>
        <w:rPr>
          <w:spacing w:val="-2"/>
        </w:rPr>
        <w:t>Regulation.</w:t>
      </w:r>
    </w:p>
    <w:p>
      <w:pPr>
        <w:pStyle w:val="BodyText"/>
        <w:spacing w:before="9"/>
      </w:pPr>
    </w:p>
    <w:p>
      <w:pPr>
        <w:pStyle w:val="BodyText"/>
        <w:spacing w:line="235" w:lineRule="auto"/>
        <w:ind w:left="705" w:right="168" w:hanging="541"/>
      </w:pPr>
      <w:bookmarkStart w:name="_bookmark2293" w:id="2295"/>
      <w:bookmarkEnd w:id="2295"/>
      <w:r>
        <w:rPr/>
      </w:r>
      <w:hyperlink w:history="true" w:anchor="_bookmark2275">
        <w:r>
          <w:rPr>
            <w:color w:val="005DA1"/>
            <w:position w:val="5"/>
            <w:sz w:val="14"/>
            <w:u w:val="single" w:color="005DA1"/>
          </w:rPr>
          <w:t>1190</w:t>
        </w:r>
      </w:hyperlink>
      <w:r>
        <w:rPr>
          <w:position w:val="5"/>
          <w:sz w:val="14"/>
        </w:rPr>
        <w:t>.</w:t>
      </w:r>
      <w:r>
        <w:rPr>
          <w:spacing w:val="80"/>
          <w:w w:val="150"/>
          <w:position w:val="5"/>
          <w:sz w:val="14"/>
        </w:rPr>
        <w:t> </w:t>
      </w:r>
      <w:r>
        <w:rPr/>
        <w:t>art.1(2)(e) of the Convention and art.1(2)(f) of the Regulation; and art.1(2)(f) of the </w:t>
      </w:r>
      <w:r>
        <w:rPr/>
        <w:t>Convention and art.1(2)(g) of the Regulation.</w:t>
      </w:r>
    </w:p>
    <w:p>
      <w:pPr>
        <w:pStyle w:val="BodyText"/>
        <w:spacing w:before="9"/>
      </w:pPr>
    </w:p>
    <w:p>
      <w:pPr>
        <w:spacing w:line="235" w:lineRule="auto" w:before="0"/>
        <w:ind w:left="705" w:right="168" w:hanging="541"/>
        <w:jc w:val="both"/>
        <w:rPr>
          <w:rFonts w:ascii="Arial" w:hAnsi="Arial"/>
          <w:i/>
          <w:sz w:val="20"/>
        </w:rPr>
      </w:pPr>
      <w:bookmarkStart w:name="_bookmark2294" w:id="2296"/>
      <w:bookmarkEnd w:id="2296"/>
      <w:r>
        <w:rPr/>
      </w:r>
      <w:hyperlink w:history="true" w:anchor="_bookmark2276">
        <w:r>
          <w:rPr>
            <w:color w:val="005DA1"/>
            <w:position w:val="5"/>
            <w:sz w:val="14"/>
            <w:u w:val="single" w:color="005DA1"/>
          </w:rPr>
          <w:t>1191</w:t>
        </w:r>
      </w:hyperlink>
      <w:r>
        <w:rPr>
          <w:position w:val="5"/>
          <w:sz w:val="14"/>
        </w:rPr>
        <w:t>.</w:t>
      </w:r>
      <w:r>
        <w:rPr>
          <w:spacing w:val="54"/>
          <w:position w:val="5"/>
          <w:sz w:val="14"/>
        </w:rPr>
        <w:t>  </w:t>
      </w:r>
      <w:r>
        <w:rPr>
          <w:sz w:val="20"/>
        </w:rPr>
        <w:t>In favour of the lex loci contractus, see </w:t>
      </w:r>
      <w:r>
        <w:rPr>
          <w:rFonts w:ascii="Arial" w:hAnsi="Arial"/>
          <w:i/>
          <w:sz w:val="20"/>
        </w:rPr>
        <w:t>Simonin v Mallac (1860) 2 Sw. &amp; Tr. 67, 77</w:t>
      </w:r>
      <w:r>
        <w:rPr>
          <w:sz w:val="20"/>
        </w:rPr>
        <w:t>; </w:t>
      </w:r>
      <w:r>
        <w:rPr>
          <w:rFonts w:ascii="Arial" w:hAnsi="Arial"/>
          <w:i/>
          <w:sz w:val="20"/>
        </w:rPr>
        <w:t>Sottomayor v De Barros (No.2) (1879) 5 P.D. 94, 100–101</w:t>
      </w:r>
      <w:r>
        <w:rPr>
          <w:sz w:val="20"/>
        </w:rPr>
        <w:t>; </w:t>
      </w:r>
      <w:r>
        <w:rPr>
          <w:rFonts w:ascii="Arial" w:hAnsi="Arial"/>
          <w:i/>
          <w:sz w:val="20"/>
        </w:rPr>
        <w:t>Baindail v Baindail [1946] P. 122, 128</w:t>
      </w:r>
      <w:r>
        <w:rPr>
          <w:sz w:val="20"/>
        </w:rPr>
        <w:t>; </w:t>
      </w:r>
      <w:r>
        <w:rPr>
          <w:rFonts w:ascii="Arial" w:hAnsi="Arial"/>
          <w:i/>
          <w:sz w:val="20"/>
        </w:rPr>
        <w:t>McFeetridge v Stewarts and Lloyds Ltd (1913) S.C. 773</w:t>
      </w:r>
      <w:r>
        <w:rPr>
          <w:sz w:val="20"/>
        </w:rPr>
        <w:t>; </w:t>
      </w:r>
      <w:r>
        <w:rPr>
          <w:rFonts w:ascii="Arial" w:hAnsi="Arial"/>
          <w:i/>
          <w:sz w:val="20"/>
        </w:rPr>
        <w:t>Bondholders Securities Corp v Manville [1933] 4 D.L.R. 609</w:t>
      </w:r>
      <w:r>
        <w:rPr>
          <w:sz w:val="20"/>
        </w:rPr>
        <w:t>; cf. </w:t>
      </w:r>
      <w:r>
        <w:rPr>
          <w:rFonts w:ascii="Arial" w:hAnsi="Arial"/>
          <w:i/>
          <w:sz w:val="20"/>
        </w:rPr>
        <w:t>Male v Roberts (1800) 3 Esp. 163</w:t>
      </w:r>
      <w:r>
        <w:rPr>
          <w:sz w:val="20"/>
        </w:rPr>
        <w:t>. In favour of the law of the domicile,</w:t>
      </w:r>
      <w:r>
        <w:rPr>
          <w:spacing w:val="11"/>
          <w:sz w:val="20"/>
        </w:rPr>
        <w:t> </w:t>
      </w:r>
      <w:r>
        <w:rPr>
          <w:sz w:val="20"/>
        </w:rPr>
        <w:t>see</w:t>
      </w:r>
      <w:r>
        <w:rPr>
          <w:spacing w:val="12"/>
          <w:sz w:val="20"/>
        </w:rPr>
        <w:t> </w:t>
      </w:r>
      <w:r>
        <w:rPr>
          <w:rFonts w:ascii="Arial" w:hAnsi="Arial"/>
          <w:i/>
          <w:sz w:val="20"/>
        </w:rPr>
        <w:t>Sottomayor</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De</w:t>
      </w:r>
      <w:r>
        <w:rPr>
          <w:rFonts w:ascii="Arial" w:hAnsi="Arial"/>
          <w:i/>
          <w:spacing w:val="12"/>
          <w:sz w:val="20"/>
        </w:rPr>
        <w:t> </w:t>
      </w:r>
      <w:r>
        <w:rPr>
          <w:rFonts w:ascii="Arial" w:hAnsi="Arial"/>
          <w:i/>
          <w:sz w:val="20"/>
        </w:rPr>
        <w:t>Barros</w:t>
      </w:r>
      <w:r>
        <w:rPr>
          <w:rFonts w:ascii="Arial" w:hAnsi="Arial"/>
          <w:i/>
          <w:spacing w:val="12"/>
          <w:sz w:val="20"/>
        </w:rPr>
        <w:t> </w:t>
      </w:r>
      <w:r>
        <w:rPr>
          <w:rFonts w:ascii="Arial" w:hAnsi="Arial"/>
          <w:i/>
          <w:sz w:val="20"/>
        </w:rPr>
        <w:t>(No.1)</w:t>
      </w:r>
      <w:r>
        <w:rPr>
          <w:rFonts w:ascii="Arial" w:hAnsi="Arial"/>
          <w:i/>
          <w:spacing w:val="12"/>
          <w:sz w:val="20"/>
        </w:rPr>
        <w:t> </w:t>
      </w:r>
      <w:r>
        <w:rPr>
          <w:rFonts w:ascii="Arial" w:hAnsi="Arial"/>
          <w:i/>
          <w:sz w:val="20"/>
        </w:rPr>
        <w:t>(1877)</w:t>
      </w:r>
      <w:r>
        <w:rPr>
          <w:rFonts w:ascii="Arial" w:hAnsi="Arial"/>
          <w:i/>
          <w:spacing w:val="12"/>
          <w:sz w:val="20"/>
        </w:rPr>
        <w:t> </w:t>
      </w:r>
      <w:r>
        <w:rPr>
          <w:rFonts w:ascii="Arial" w:hAnsi="Arial"/>
          <w:i/>
          <w:sz w:val="20"/>
        </w:rPr>
        <w:t>3</w:t>
      </w:r>
      <w:r>
        <w:rPr>
          <w:rFonts w:ascii="Arial" w:hAnsi="Arial"/>
          <w:i/>
          <w:spacing w:val="12"/>
          <w:sz w:val="20"/>
        </w:rPr>
        <w:t> </w:t>
      </w:r>
      <w:r>
        <w:rPr>
          <w:rFonts w:ascii="Arial" w:hAnsi="Arial"/>
          <w:i/>
          <w:sz w:val="20"/>
        </w:rPr>
        <w:t>P.D.</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5</w:t>
      </w:r>
      <w:r>
        <w:rPr>
          <w:sz w:val="20"/>
        </w:rPr>
        <w:t>;</w:t>
      </w:r>
      <w:r>
        <w:rPr>
          <w:spacing w:val="12"/>
          <w:sz w:val="20"/>
        </w:rPr>
        <w:t> </w:t>
      </w:r>
      <w:r>
        <w:rPr>
          <w:rFonts w:ascii="Arial" w:hAnsi="Arial"/>
          <w:i/>
          <w:sz w:val="20"/>
        </w:rPr>
        <w:t>Re</w:t>
      </w:r>
      <w:r>
        <w:rPr>
          <w:rFonts w:ascii="Arial" w:hAnsi="Arial"/>
          <w:i/>
          <w:spacing w:val="12"/>
          <w:sz w:val="20"/>
        </w:rPr>
        <w:t> </w:t>
      </w:r>
      <w:r>
        <w:rPr>
          <w:rFonts w:ascii="Arial" w:hAnsi="Arial"/>
          <w:i/>
          <w:sz w:val="20"/>
        </w:rPr>
        <w:t>Cooke’s</w:t>
      </w:r>
      <w:r>
        <w:rPr>
          <w:rFonts w:ascii="Arial" w:hAnsi="Arial"/>
          <w:i/>
          <w:spacing w:val="12"/>
          <w:sz w:val="20"/>
        </w:rPr>
        <w:t> </w:t>
      </w:r>
      <w:r>
        <w:rPr>
          <w:rFonts w:ascii="Arial" w:hAnsi="Arial"/>
          <w:i/>
          <w:sz w:val="20"/>
        </w:rPr>
        <w:t>Trusts</w:t>
      </w:r>
      <w:r>
        <w:rPr>
          <w:rFonts w:ascii="Arial" w:hAnsi="Arial"/>
          <w:i/>
          <w:spacing w:val="12"/>
          <w:sz w:val="20"/>
        </w:rPr>
        <w:t> </w:t>
      </w:r>
      <w:r>
        <w:rPr>
          <w:rFonts w:ascii="Arial" w:hAnsi="Arial"/>
          <w:i/>
          <w:sz w:val="20"/>
        </w:rPr>
        <w:t>(1887)</w:t>
      </w:r>
      <w:r>
        <w:rPr>
          <w:rFonts w:ascii="Arial" w:hAnsi="Arial"/>
          <w:i/>
          <w:spacing w:val="12"/>
          <w:sz w:val="20"/>
        </w:rPr>
        <w:t> </w:t>
      </w:r>
      <w:r>
        <w:rPr>
          <w:rFonts w:ascii="Arial" w:hAnsi="Arial"/>
          <w:i/>
          <w:spacing w:val="-5"/>
          <w:sz w:val="20"/>
        </w:rPr>
        <w:t>56</w:t>
      </w:r>
    </w:p>
    <w:p>
      <w:pPr>
        <w:spacing w:line="222" w:lineRule="exact" w:before="0"/>
        <w:ind w:left="705" w:right="0" w:firstLine="0"/>
        <w:jc w:val="both"/>
        <w:rPr>
          <w:rFonts w:ascii="Arial" w:hAnsi="Arial"/>
          <w:i/>
          <w:sz w:val="20"/>
        </w:rPr>
      </w:pPr>
      <w:r>
        <w:rPr>
          <w:rFonts w:ascii="Arial" w:hAnsi="Arial"/>
          <w:i/>
          <w:sz w:val="20"/>
        </w:rPr>
        <w:t>L.J.</w:t>
      </w:r>
      <w:r>
        <w:rPr>
          <w:rFonts w:ascii="Arial" w:hAnsi="Arial"/>
          <w:i/>
          <w:spacing w:val="-1"/>
          <w:sz w:val="20"/>
        </w:rPr>
        <w:t> </w:t>
      </w:r>
      <w:r>
        <w:rPr>
          <w:rFonts w:ascii="Arial" w:hAnsi="Arial"/>
          <w:i/>
          <w:sz w:val="20"/>
        </w:rPr>
        <w:t>Ch.</w:t>
      </w:r>
      <w:r>
        <w:rPr>
          <w:rFonts w:ascii="Arial" w:hAnsi="Arial"/>
          <w:i/>
          <w:spacing w:val="2"/>
          <w:sz w:val="20"/>
        </w:rPr>
        <w:t> </w:t>
      </w:r>
      <w:r>
        <w:rPr>
          <w:rFonts w:ascii="Arial" w:hAnsi="Arial"/>
          <w:i/>
          <w:sz w:val="20"/>
        </w:rPr>
        <w:t>637,</w:t>
      </w:r>
      <w:r>
        <w:rPr>
          <w:rFonts w:ascii="Arial" w:hAnsi="Arial"/>
          <w:i/>
          <w:spacing w:val="2"/>
          <w:sz w:val="20"/>
        </w:rPr>
        <w:t> </w:t>
      </w:r>
      <w:r>
        <w:rPr>
          <w:rFonts w:ascii="Arial" w:hAnsi="Arial"/>
          <w:i/>
          <w:sz w:val="20"/>
        </w:rPr>
        <w:t>639</w:t>
      </w:r>
      <w:r>
        <w:rPr>
          <w:sz w:val="20"/>
        </w:rPr>
        <w:t>;</w:t>
      </w:r>
      <w:r>
        <w:rPr>
          <w:spacing w:val="2"/>
          <w:sz w:val="20"/>
        </w:rPr>
        <w:t> </w:t>
      </w:r>
      <w:r>
        <w:rPr>
          <w:rFonts w:ascii="Arial" w:hAnsi="Arial"/>
          <w:i/>
          <w:sz w:val="20"/>
        </w:rPr>
        <w:t>Cooper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Cooper</w:t>
      </w:r>
      <w:r>
        <w:rPr>
          <w:rFonts w:ascii="Arial" w:hAnsi="Arial"/>
          <w:i/>
          <w:spacing w:val="2"/>
          <w:sz w:val="20"/>
        </w:rPr>
        <w:t> </w:t>
      </w:r>
      <w:r>
        <w:rPr>
          <w:rFonts w:ascii="Arial" w:hAnsi="Arial"/>
          <w:i/>
          <w:sz w:val="20"/>
        </w:rPr>
        <w:t>(1883)</w:t>
      </w:r>
      <w:r>
        <w:rPr>
          <w:rFonts w:ascii="Arial" w:hAnsi="Arial"/>
          <w:i/>
          <w:spacing w:val="2"/>
          <w:sz w:val="20"/>
        </w:rPr>
        <w:t> </w:t>
      </w:r>
      <w:r>
        <w:rPr>
          <w:rFonts w:ascii="Arial" w:hAnsi="Arial"/>
          <w:i/>
          <w:sz w:val="20"/>
        </w:rPr>
        <w:t>13</w:t>
      </w:r>
      <w:r>
        <w:rPr>
          <w:rFonts w:ascii="Arial" w:hAnsi="Arial"/>
          <w:i/>
          <w:spacing w:val="2"/>
          <w:sz w:val="20"/>
        </w:rPr>
        <w:t> </w:t>
      </w:r>
      <w:r>
        <w:rPr>
          <w:rFonts w:ascii="Arial" w:hAnsi="Arial"/>
          <w:i/>
          <w:sz w:val="20"/>
        </w:rPr>
        <w:t>App.</w:t>
      </w:r>
      <w:r>
        <w:rPr>
          <w:rFonts w:ascii="Arial" w:hAnsi="Arial"/>
          <w:i/>
          <w:spacing w:val="1"/>
          <w:sz w:val="20"/>
        </w:rPr>
        <w:t> </w:t>
      </w:r>
      <w:r>
        <w:rPr>
          <w:rFonts w:ascii="Arial" w:hAnsi="Arial"/>
          <w:i/>
          <w:sz w:val="20"/>
        </w:rPr>
        <w:t>Cas.</w:t>
      </w:r>
      <w:r>
        <w:rPr>
          <w:rFonts w:ascii="Arial" w:hAnsi="Arial"/>
          <w:i/>
          <w:spacing w:val="2"/>
          <w:sz w:val="20"/>
        </w:rPr>
        <w:t> </w:t>
      </w:r>
      <w:r>
        <w:rPr>
          <w:rFonts w:ascii="Arial" w:hAnsi="Arial"/>
          <w:i/>
          <w:sz w:val="20"/>
        </w:rPr>
        <w:t>88,</w:t>
      </w:r>
      <w:r>
        <w:rPr>
          <w:rFonts w:ascii="Arial" w:hAnsi="Arial"/>
          <w:i/>
          <w:spacing w:val="2"/>
          <w:sz w:val="20"/>
        </w:rPr>
        <w:t> </w:t>
      </w:r>
      <w:r>
        <w:rPr>
          <w:rFonts w:ascii="Arial" w:hAnsi="Arial"/>
          <w:i/>
          <w:sz w:val="20"/>
        </w:rPr>
        <w:t>89,</w:t>
      </w:r>
      <w:r>
        <w:rPr>
          <w:rFonts w:ascii="Arial" w:hAnsi="Arial"/>
          <w:i/>
          <w:spacing w:val="2"/>
          <w:sz w:val="20"/>
        </w:rPr>
        <w:t> </w:t>
      </w:r>
      <w:r>
        <w:rPr>
          <w:rFonts w:ascii="Arial" w:hAnsi="Arial"/>
          <w:i/>
          <w:sz w:val="20"/>
        </w:rPr>
        <w:t>100</w:t>
      </w:r>
      <w:r>
        <w:rPr>
          <w:sz w:val="20"/>
        </w:rPr>
        <w:t>;</w:t>
      </w:r>
      <w:r>
        <w:rPr>
          <w:spacing w:val="2"/>
          <w:sz w:val="20"/>
        </w:rPr>
        <w:t> </w:t>
      </w:r>
      <w:r>
        <w:rPr>
          <w:rFonts w:ascii="Arial" w:hAnsi="Arial"/>
          <w:i/>
          <w:sz w:val="20"/>
        </w:rPr>
        <w:t>Viditz</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O’Hagan</w:t>
      </w:r>
      <w:r>
        <w:rPr>
          <w:rFonts w:ascii="Arial" w:hAnsi="Arial"/>
          <w:i/>
          <w:spacing w:val="2"/>
          <w:sz w:val="20"/>
        </w:rPr>
        <w:t> </w:t>
      </w:r>
      <w:r>
        <w:rPr>
          <w:rFonts w:ascii="Arial" w:hAnsi="Arial"/>
          <w:i/>
          <w:sz w:val="20"/>
        </w:rPr>
        <w:t>[1900]</w:t>
      </w:r>
      <w:r>
        <w:rPr>
          <w:rFonts w:ascii="Arial" w:hAnsi="Arial"/>
          <w:i/>
          <w:spacing w:val="2"/>
          <w:sz w:val="20"/>
        </w:rPr>
        <w:t> </w:t>
      </w:r>
      <w:r>
        <w:rPr>
          <w:rFonts w:ascii="Arial" w:hAnsi="Arial"/>
          <w:i/>
          <w:spacing w:val="-10"/>
          <w:sz w:val="20"/>
        </w:rPr>
        <w:t>2</w:t>
      </w:r>
    </w:p>
    <w:p>
      <w:pPr>
        <w:spacing w:line="227" w:lineRule="exact" w:before="0"/>
        <w:ind w:left="705" w:right="0" w:firstLine="0"/>
        <w:jc w:val="both"/>
        <w:rPr>
          <w:sz w:val="20"/>
        </w:rPr>
      </w:pPr>
      <w:r>
        <w:rPr>
          <w:rFonts w:ascii="Arial"/>
          <w:i/>
          <w:sz w:val="20"/>
        </w:rPr>
        <w:t>Ch. </w:t>
      </w:r>
      <w:r>
        <w:rPr>
          <w:rFonts w:ascii="Arial"/>
          <w:i/>
          <w:spacing w:val="-5"/>
          <w:sz w:val="20"/>
        </w:rPr>
        <w:t>87</w:t>
      </w:r>
      <w:r>
        <w:rPr>
          <w:spacing w:val="-5"/>
          <w:sz w:val="20"/>
        </w:rPr>
        <w:t>.</w:t>
      </w:r>
    </w:p>
    <w:p>
      <w:pPr>
        <w:pStyle w:val="BodyText"/>
        <w:spacing w:before="9"/>
      </w:pPr>
    </w:p>
    <w:p>
      <w:pPr>
        <w:spacing w:line="235" w:lineRule="auto" w:before="0"/>
        <w:ind w:left="705" w:right="167" w:hanging="541"/>
        <w:jc w:val="both"/>
        <w:rPr>
          <w:sz w:val="20"/>
        </w:rPr>
      </w:pPr>
      <w:bookmarkStart w:name="_bookmark2295" w:id="2297"/>
      <w:bookmarkEnd w:id="2297"/>
      <w:r>
        <w:rPr/>
      </w:r>
      <w:hyperlink w:history="true" w:anchor="_bookmark2277">
        <w:r>
          <w:rPr>
            <w:color w:val="005DA1"/>
            <w:position w:val="5"/>
            <w:sz w:val="14"/>
            <w:u w:val="single" w:color="005DA1"/>
          </w:rPr>
          <w:t>1192</w:t>
        </w:r>
      </w:hyperlink>
      <w:r>
        <w:rPr>
          <w:position w:val="5"/>
          <w:sz w:val="14"/>
        </w:rPr>
        <w:t>.</w:t>
      </w:r>
      <w:r>
        <w:rPr>
          <w:spacing w:val="80"/>
          <w:position w:val="5"/>
          <w:sz w:val="14"/>
        </w:rPr>
        <w:t> </w:t>
      </w:r>
      <w:r>
        <w:rPr>
          <w:rFonts w:ascii="Arial" w:hAnsi="Arial"/>
          <w:i/>
          <w:sz w:val="20"/>
        </w:rPr>
        <w:t>Charron</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Montreal</w:t>
      </w:r>
      <w:r>
        <w:rPr>
          <w:rFonts w:ascii="Arial" w:hAnsi="Arial"/>
          <w:i/>
          <w:spacing w:val="39"/>
          <w:sz w:val="20"/>
        </w:rPr>
        <w:t> </w:t>
      </w:r>
      <w:r>
        <w:rPr>
          <w:rFonts w:ascii="Arial" w:hAnsi="Arial"/>
          <w:i/>
          <w:sz w:val="20"/>
        </w:rPr>
        <w:t>Trust</w:t>
      </w:r>
      <w:r>
        <w:rPr>
          <w:rFonts w:ascii="Arial" w:hAnsi="Arial"/>
          <w:i/>
          <w:spacing w:val="39"/>
          <w:sz w:val="20"/>
        </w:rPr>
        <w:t> </w:t>
      </w:r>
      <w:r>
        <w:rPr>
          <w:rFonts w:ascii="Arial" w:hAnsi="Arial"/>
          <w:i/>
          <w:sz w:val="20"/>
        </w:rPr>
        <w:t>Co</w:t>
      </w:r>
      <w:r>
        <w:rPr>
          <w:rFonts w:ascii="Arial" w:hAnsi="Arial"/>
          <w:i/>
          <w:spacing w:val="39"/>
          <w:sz w:val="20"/>
        </w:rPr>
        <w:t> </w:t>
      </w:r>
      <w:r>
        <w:rPr>
          <w:rFonts w:ascii="Arial" w:hAnsi="Arial"/>
          <w:i/>
          <w:sz w:val="20"/>
        </w:rPr>
        <w:t>(1958)</w:t>
      </w:r>
      <w:r>
        <w:rPr>
          <w:rFonts w:ascii="Arial" w:hAnsi="Arial"/>
          <w:i/>
          <w:spacing w:val="39"/>
          <w:sz w:val="20"/>
        </w:rPr>
        <w:t> </w:t>
      </w:r>
      <w:r>
        <w:rPr>
          <w:rFonts w:ascii="Arial" w:hAnsi="Arial"/>
          <w:i/>
          <w:sz w:val="20"/>
        </w:rPr>
        <w:t>15</w:t>
      </w:r>
      <w:r>
        <w:rPr>
          <w:rFonts w:ascii="Arial" w:hAnsi="Arial"/>
          <w:i/>
          <w:spacing w:val="39"/>
          <w:sz w:val="20"/>
        </w:rPr>
        <w:t> </w:t>
      </w:r>
      <w:r>
        <w:rPr>
          <w:rFonts w:ascii="Arial" w:hAnsi="Arial"/>
          <w:i/>
          <w:sz w:val="20"/>
        </w:rPr>
        <w:t>D.L.R.</w:t>
      </w:r>
      <w:r>
        <w:rPr>
          <w:rFonts w:ascii="Arial" w:hAnsi="Arial"/>
          <w:i/>
          <w:spacing w:val="39"/>
          <w:sz w:val="20"/>
        </w:rPr>
        <w:t> </w:t>
      </w:r>
      <w:r>
        <w:rPr>
          <w:rFonts w:ascii="Arial" w:hAnsi="Arial"/>
          <w:i/>
          <w:sz w:val="20"/>
        </w:rPr>
        <w:t>(2d)</w:t>
      </w:r>
      <w:r>
        <w:rPr>
          <w:rFonts w:ascii="Arial" w:hAnsi="Arial"/>
          <w:i/>
          <w:spacing w:val="39"/>
          <w:sz w:val="20"/>
        </w:rPr>
        <w:t> </w:t>
      </w:r>
      <w:r>
        <w:rPr>
          <w:rFonts w:ascii="Arial" w:hAnsi="Arial"/>
          <w:i/>
          <w:sz w:val="20"/>
        </w:rPr>
        <w:t>240</w:t>
      </w:r>
      <w:r>
        <w:rPr>
          <w:sz w:val="20"/>
        </w:rPr>
        <w:t>;</w:t>
      </w:r>
      <w:r>
        <w:rPr>
          <w:spacing w:val="39"/>
          <w:sz w:val="20"/>
        </w:rPr>
        <w:t> </w:t>
      </w:r>
      <w:r>
        <w:rPr>
          <w:sz w:val="20"/>
        </w:rPr>
        <w:t>see</w:t>
      </w:r>
      <w:r>
        <w:rPr>
          <w:spacing w:val="39"/>
          <w:sz w:val="20"/>
        </w:rPr>
        <w:t> </w:t>
      </w:r>
      <w:r>
        <w:rPr>
          <w:sz w:val="20"/>
        </w:rPr>
        <w:t>also</w:t>
      </w:r>
      <w:r>
        <w:rPr>
          <w:spacing w:val="39"/>
          <w:sz w:val="20"/>
        </w:rPr>
        <w:t> </w:t>
      </w:r>
      <w:r>
        <w:rPr>
          <w:rFonts w:ascii="Arial" w:hAnsi="Arial"/>
          <w:i/>
          <w:sz w:val="20"/>
        </w:rPr>
        <w:t>The</w:t>
      </w:r>
      <w:r>
        <w:rPr>
          <w:rFonts w:ascii="Arial" w:hAnsi="Arial"/>
          <w:i/>
          <w:spacing w:val="39"/>
          <w:sz w:val="20"/>
        </w:rPr>
        <w:t> </w:t>
      </w:r>
      <w:r>
        <w:rPr>
          <w:rFonts w:ascii="Arial" w:hAnsi="Arial"/>
          <w:i/>
          <w:sz w:val="20"/>
        </w:rPr>
        <w:t>Bodley</w:t>
      </w:r>
      <w:r>
        <w:rPr>
          <w:rFonts w:ascii="Arial" w:hAnsi="Arial"/>
          <w:i/>
          <w:spacing w:val="39"/>
          <w:sz w:val="20"/>
        </w:rPr>
        <w:t> </w:t>
      </w:r>
      <w:r>
        <w:rPr>
          <w:rFonts w:ascii="Arial" w:hAnsi="Arial"/>
          <w:i/>
          <w:sz w:val="20"/>
        </w:rPr>
        <w:t>Head</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v Flegon [1972] 1 W.L.R. 68</w:t>
      </w:r>
      <w:r>
        <w:rPr>
          <w:sz w:val="20"/>
        </w:rPr>
        <w:t>; </w:t>
      </w:r>
      <w:r>
        <w:rPr>
          <w:rFonts w:ascii="Arial" w:hAnsi="Arial"/>
          <w:i/>
          <w:sz w:val="20"/>
        </w:rPr>
        <w:t>Marubeni Hong Kong and South China Ltd v Mongolian</w:t>
      </w:r>
      <w:r>
        <w:rPr>
          <w:rFonts w:ascii="Arial" w:hAnsi="Arial"/>
          <w:i/>
          <w:spacing w:val="40"/>
          <w:sz w:val="20"/>
        </w:rPr>
        <w:t> </w:t>
      </w:r>
      <w:r>
        <w:rPr>
          <w:rFonts w:ascii="Arial" w:hAnsi="Arial"/>
          <w:i/>
          <w:sz w:val="20"/>
        </w:rPr>
        <w:t>Government [2002] 2 All E.R. (Comm) 873</w:t>
      </w:r>
      <w:r>
        <w:rPr>
          <w:sz w:val="20"/>
        </w:rPr>
        <w:t>. It is possible that the law of the domicile would be applied if it would give capacity but the objective governing law would not: see Dicey, Morris</w:t>
      </w:r>
      <w:r>
        <w:rPr>
          <w:spacing w:val="40"/>
          <w:sz w:val="20"/>
        </w:rPr>
        <w:t> </w:t>
      </w:r>
      <w:r>
        <w:rPr>
          <w:sz w:val="20"/>
        </w:rPr>
        <w:t>and Collins, 15th edn (2012), paras 32–169 et seq.</w:t>
      </w:r>
    </w:p>
    <w:p>
      <w:pPr>
        <w:pStyle w:val="BodyText"/>
        <w:spacing w:before="8"/>
      </w:pPr>
    </w:p>
    <w:p>
      <w:pPr>
        <w:spacing w:line="235" w:lineRule="auto" w:before="0"/>
        <w:ind w:left="705" w:right="0" w:hanging="541"/>
        <w:jc w:val="left"/>
        <w:rPr>
          <w:sz w:val="20"/>
        </w:rPr>
      </w:pPr>
      <w:bookmarkStart w:name="_bookmark2296" w:id="2298"/>
      <w:bookmarkEnd w:id="2298"/>
      <w:r>
        <w:rPr/>
      </w:r>
      <w:hyperlink w:history="true" w:anchor="_bookmark2278">
        <w:r>
          <w:rPr>
            <w:color w:val="005DA1"/>
            <w:position w:val="5"/>
            <w:sz w:val="14"/>
            <w:u w:val="single" w:color="005DA1"/>
          </w:rPr>
          <w:t>1193</w:t>
        </w:r>
      </w:hyperlink>
      <w:r>
        <w:rPr>
          <w:position w:val="5"/>
          <w:sz w:val="14"/>
        </w:rPr>
        <w:t>.</w:t>
      </w:r>
      <w:r>
        <w:rPr>
          <w:spacing w:val="40"/>
          <w:position w:val="5"/>
          <w:sz w:val="14"/>
        </w:rPr>
        <w:t>  </w:t>
      </w:r>
      <w:r>
        <w:rPr>
          <w:sz w:val="20"/>
        </w:rPr>
        <w:t>See </w:t>
      </w:r>
      <w:r>
        <w:rPr>
          <w:rFonts w:ascii="Arial" w:hAnsi="Arial"/>
          <w:i/>
          <w:sz w:val="20"/>
        </w:rPr>
        <w:t>Cooper v Cooper (1883) 13 App. Cas. 88, 108</w:t>
      </w:r>
      <w:r>
        <w:rPr>
          <w:sz w:val="20"/>
        </w:rPr>
        <w:t>; Dicey, Morris and Collins, 15th edn (2012), paras 32–169 et seq.</w:t>
      </w:r>
    </w:p>
    <w:p>
      <w:pPr>
        <w:pStyle w:val="BodyText"/>
        <w:spacing w:before="9"/>
      </w:pPr>
    </w:p>
    <w:p>
      <w:pPr>
        <w:pStyle w:val="BodyText"/>
        <w:spacing w:line="235" w:lineRule="auto"/>
        <w:ind w:left="705" w:right="167" w:hanging="541"/>
        <w:jc w:val="both"/>
      </w:pPr>
      <w:bookmarkStart w:name="_bookmark2297" w:id="2299"/>
      <w:bookmarkEnd w:id="2299"/>
      <w:r>
        <w:rPr/>
      </w:r>
      <w:hyperlink w:history="true" w:anchor="_bookmark2279">
        <w:r>
          <w:rPr>
            <w:color w:val="005DA1"/>
            <w:position w:val="5"/>
            <w:sz w:val="14"/>
            <w:u w:val="single" w:color="005DA1"/>
          </w:rPr>
          <w:t>1194</w:t>
        </w:r>
      </w:hyperlink>
      <w:r>
        <w:rPr>
          <w:position w:val="5"/>
          <w:sz w:val="14"/>
        </w:rPr>
        <w:t>.</w:t>
      </w:r>
      <w:r>
        <w:rPr>
          <w:spacing w:val="80"/>
          <w:position w:val="5"/>
          <w:sz w:val="14"/>
        </w:rPr>
        <w:t> </w:t>
      </w:r>
      <w:r>
        <w:rPr/>
        <w:t>There is a slight difference in the wording of art.13 of the Regulation where “this incapacity” becomes</w:t>
      </w:r>
      <w:r>
        <w:rPr>
          <w:spacing w:val="-2"/>
        </w:rPr>
        <w:t> </w:t>
      </w:r>
      <w:r>
        <w:rPr/>
        <w:t>“that</w:t>
      </w:r>
      <w:r>
        <w:rPr>
          <w:spacing w:val="-2"/>
        </w:rPr>
        <w:t> </w:t>
      </w:r>
      <w:r>
        <w:rPr/>
        <w:t>incapacity”,</w:t>
      </w:r>
      <w:r>
        <w:rPr>
          <w:spacing w:val="-2"/>
        </w:rPr>
        <w:t> </w:t>
      </w:r>
      <w:r>
        <w:rPr/>
        <w:t>but</w:t>
      </w:r>
      <w:r>
        <w:rPr>
          <w:spacing w:val="-2"/>
        </w:rPr>
        <w:t> </w:t>
      </w:r>
      <w:r>
        <w:rPr/>
        <w:t>the</w:t>
      </w:r>
      <w:r>
        <w:rPr>
          <w:spacing w:val="-2"/>
        </w:rPr>
        <w:t> </w:t>
      </w:r>
      <w:r>
        <w:rPr/>
        <w:t>difference</w:t>
      </w:r>
      <w:r>
        <w:rPr>
          <w:spacing w:val="-2"/>
        </w:rPr>
        <w:t> </w:t>
      </w:r>
      <w:r>
        <w:rPr/>
        <w:t>is</w:t>
      </w:r>
      <w:r>
        <w:rPr>
          <w:spacing w:val="-2"/>
        </w:rPr>
        <w:t> </w:t>
      </w:r>
      <w:r>
        <w:rPr/>
        <w:t>of</w:t>
      </w:r>
      <w:r>
        <w:rPr>
          <w:spacing w:val="-2"/>
        </w:rPr>
        <w:t> </w:t>
      </w:r>
      <w:r>
        <w:rPr/>
        <w:t>no</w:t>
      </w:r>
      <w:r>
        <w:rPr>
          <w:spacing w:val="-2"/>
        </w:rPr>
        <w:t> </w:t>
      </w:r>
      <w:r>
        <w:rPr/>
        <w:t>substantive</w:t>
      </w:r>
      <w:r>
        <w:rPr>
          <w:spacing w:val="-2"/>
        </w:rPr>
        <w:t> </w:t>
      </w:r>
      <w:r>
        <w:rPr/>
        <w:t>significance.</w:t>
      </w:r>
      <w:r>
        <w:rPr>
          <w:spacing w:val="-2"/>
        </w:rPr>
        <w:t> </w:t>
      </w:r>
      <w:r>
        <w:rPr/>
        <w:t>Such</w:t>
      </w:r>
      <w:r>
        <w:rPr>
          <w:spacing w:val="-2"/>
        </w:rPr>
        <w:t> </w:t>
      </w:r>
      <w:r>
        <w:rPr/>
        <w:t>a</w:t>
      </w:r>
      <w:r>
        <w:rPr>
          <w:spacing w:val="-2"/>
        </w:rPr>
        <w:t> </w:t>
      </w:r>
      <w:r>
        <w:rPr/>
        <w:t>rule</w:t>
      </w:r>
      <w:r>
        <w:rPr>
          <w:spacing w:val="-2"/>
        </w:rPr>
        <w:t> </w:t>
      </w:r>
      <w:r>
        <w:rPr/>
        <w:t>is</w:t>
      </w:r>
      <w:r>
        <w:rPr>
          <w:spacing w:val="-2"/>
        </w:rPr>
        <w:t> </w:t>
      </w:r>
      <w:r>
        <w:rPr/>
        <w:t>not uncommon in civil law countries which regard contractual capacity as a matter of status to </w:t>
      </w:r>
      <w:r>
        <w:rPr/>
        <w:t>be governed by the personal law: see Giuliano-Lagarde Report, p.34.</w:t>
      </w:r>
    </w:p>
    <w:p>
      <w:pPr>
        <w:pStyle w:val="BodyText"/>
        <w:spacing w:before="9"/>
      </w:pPr>
    </w:p>
    <w:p>
      <w:pPr>
        <w:pStyle w:val="BodyText"/>
        <w:spacing w:line="235" w:lineRule="auto"/>
        <w:ind w:left="705" w:hanging="541"/>
      </w:pPr>
      <w:bookmarkStart w:name="_bookmark2298" w:id="2300"/>
      <w:bookmarkEnd w:id="2300"/>
      <w:r>
        <w:rPr/>
      </w:r>
      <w:hyperlink w:history="true" w:anchor="_bookmark2280">
        <w:r>
          <w:rPr>
            <w:color w:val="005DA1"/>
            <w:position w:val="5"/>
            <w:sz w:val="14"/>
            <w:u w:val="single" w:color="005DA1"/>
          </w:rPr>
          <w:t>1195</w:t>
        </w:r>
      </w:hyperlink>
      <w:r>
        <w:rPr>
          <w:position w:val="5"/>
          <w:sz w:val="14"/>
        </w:rPr>
        <w:t>.</w:t>
      </w:r>
      <w:r>
        <w:rPr>
          <w:spacing w:val="40"/>
          <w:position w:val="5"/>
          <w:sz w:val="14"/>
        </w:rPr>
        <w:t>  </w:t>
      </w:r>
      <w:r>
        <w:rPr/>
        <w:t>The wording implies that the burden of proof lies on the party lacking capacity to show that the other party knew of the incapacity or should have known of it: Giuliano-Lagarde Report, p.34.</w:t>
      </w:r>
    </w:p>
    <w:p>
      <w:pPr>
        <w:pStyle w:val="BodyText"/>
        <w:spacing w:before="5"/>
      </w:pPr>
    </w:p>
    <w:p>
      <w:pPr>
        <w:spacing w:line="227" w:lineRule="exact" w:before="0"/>
        <w:ind w:left="165" w:right="0" w:firstLine="0"/>
        <w:jc w:val="both"/>
        <w:rPr>
          <w:rFonts w:ascii="Arial" w:hAnsi="Arial"/>
          <w:i/>
          <w:sz w:val="20"/>
        </w:rPr>
      </w:pPr>
      <w:bookmarkStart w:name="_bookmark2299" w:id="2301"/>
      <w:bookmarkEnd w:id="2301"/>
      <w:r>
        <w:rPr/>
      </w:r>
      <w:hyperlink w:history="true" w:anchor="_bookmark2281">
        <w:r>
          <w:rPr>
            <w:color w:val="005DA1"/>
            <w:position w:val="5"/>
            <w:sz w:val="14"/>
            <w:u w:val="single" w:color="005DA1"/>
          </w:rPr>
          <w:t>1196</w:t>
        </w:r>
      </w:hyperlink>
      <w:r>
        <w:rPr>
          <w:position w:val="5"/>
          <w:sz w:val="14"/>
        </w:rPr>
        <w:t>.</w:t>
      </w:r>
      <w:r>
        <w:rPr>
          <w:spacing w:val="55"/>
          <w:position w:val="5"/>
          <w:sz w:val="14"/>
        </w:rPr>
        <w:t>  </w:t>
      </w:r>
      <w:r>
        <w:rPr>
          <w:rFonts w:ascii="Arial" w:hAnsi="Arial"/>
          <w:i/>
          <w:sz w:val="20"/>
        </w:rPr>
        <w:t>Risdon</w:t>
      </w:r>
      <w:r>
        <w:rPr>
          <w:rFonts w:ascii="Arial" w:hAnsi="Arial"/>
          <w:i/>
          <w:spacing w:val="66"/>
          <w:w w:val="150"/>
          <w:sz w:val="20"/>
        </w:rPr>
        <w:t> </w:t>
      </w:r>
      <w:r>
        <w:rPr>
          <w:rFonts w:ascii="Arial" w:hAnsi="Arial"/>
          <w:i/>
          <w:sz w:val="20"/>
        </w:rPr>
        <w:t>Iron</w:t>
      </w:r>
      <w:r>
        <w:rPr>
          <w:rFonts w:ascii="Arial" w:hAnsi="Arial"/>
          <w:i/>
          <w:spacing w:val="64"/>
          <w:w w:val="150"/>
          <w:sz w:val="20"/>
        </w:rPr>
        <w:t> </w:t>
      </w:r>
      <w:r>
        <w:rPr>
          <w:rFonts w:ascii="Arial" w:hAnsi="Arial"/>
          <w:i/>
          <w:sz w:val="20"/>
        </w:rPr>
        <w:t>and</w:t>
      </w:r>
      <w:r>
        <w:rPr>
          <w:rFonts w:ascii="Arial" w:hAnsi="Arial"/>
          <w:i/>
          <w:spacing w:val="64"/>
          <w:w w:val="150"/>
          <w:sz w:val="20"/>
        </w:rPr>
        <w:t> </w:t>
      </w:r>
      <w:r>
        <w:rPr>
          <w:rFonts w:ascii="Arial" w:hAnsi="Arial"/>
          <w:i/>
          <w:sz w:val="20"/>
        </w:rPr>
        <w:t>Locomotive</w:t>
      </w:r>
      <w:r>
        <w:rPr>
          <w:rFonts w:ascii="Arial" w:hAnsi="Arial"/>
          <w:i/>
          <w:spacing w:val="64"/>
          <w:w w:val="150"/>
          <w:sz w:val="20"/>
        </w:rPr>
        <w:t> </w:t>
      </w:r>
      <w:r>
        <w:rPr>
          <w:rFonts w:ascii="Arial" w:hAnsi="Arial"/>
          <w:i/>
          <w:sz w:val="20"/>
        </w:rPr>
        <w:t>Works</w:t>
      </w:r>
      <w:r>
        <w:rPr>
          <w:rFonts w:ascii="Arial" w:hAnsi="Arial"/>
          <w:i/>
          <w:spacing w:val="64"/>
          <w:w w:val="150"/>
          <w:sz w:val="20"/>
        </w:rPr>
        <w:t> </w:t>
      </w:r>
      <w:r>
        <w:rPr>
          <w:rFonts w:ascii="Arial" w:hAnsi="Arial"/>
          <w:i/>
          <w:sz w:val="20"/>
        </w:rPr>
        <w:t>Ltd</w:t>
      </w:r>
      <w:r>
        <w:rPr>
          <w:rFonts w:ascii="Arial" w:hAnsi="Arial"/>
          <w:i/>
          <w:spacing w:val="64"/>
          <w:w w:val="150"/>
          <w:sz w:val="20"/>
        </w:rPr>
        <w:t> </w:t>
      </w:r>
      <w:r>
        <w:rPr>
          <w:rFonts w:ascii="Arial" w:hAnsi="Arial"/>
          <w:i/>
          <w:sz w:val="20"/>
        </w:rPr>
        <w:t>v</w:t>
      </w:r>
      <w:r>
        <w:rPr>
          <w:rFonts w:ascii="Arial" w:hAnsi="Arial"/>
          <w:i/>
          <w:spacing w:val="64"/>
          <w:w w:val="150"/>
          <w:sz w:val="20"/>
        </w:rPr>
        <w:t> </w:t>
      </w:r>
      <w:r>
        <w:rPr>
          <w:rFonts w:ascii="Arial" w:hAnsi="Arial"/>
          <w:i/>
          <w:sz w:val="20"/>
        </w:rPr>
        <w:t>Furniss</w:t>
      </w:r>
      <w:r>
        <w:rPr>
          <w:rFonts w:ascii="Arial" w:hAnsi="Arial"/>
          <w:i/>
          <w:spacing w:val="64"/>
          <w:w w:val="150"/>
          <w:sz w:val="20"/>
        </w:rPr>
        <w:t> </w:t>
      </w:r>
      <w:r>
        <w:rPr>
          <w:rFonts w:ascii="Arial" w:hAnsi="Arial"/>
          <w:i/>
          <w:sz w:val="20"/>
        </w:rPr>
        <w:t>[1906]</w:t>
      </w:r>
      <w:r>
        <w:rPr>
          <w:rFonts w:ascii="Arial" w:hAnsi="Arial"/>
          <w:i/>
          <w:spacing w:val="64"/>
          <w:w w:val="150"/>
          <w:sz w:val="20"/>
        </w:rPr>
        <w:t> </w:t>
      </w:r>
      <w:r>
        <w:rPr>
          <w:rFonts w:ascii="Arial" w:hAnsi="Arial"/>
          <w:i/>
          <w:sz w:val="20"/>
        </w:rPr>
        <w:t>1</w:t>
      </w:r>
      <w:r>
        <w:rPr>
          <w:rFonts w:ascii="Arial" w:hAnsi="Arial"/>
          <w:i/>
          <w:spacing w:val="64"/>
          <w:w w:val="150"/>
          <w:sz w:val="20"/>
        </w:rPr>
        <w:t> </w:t>
      </w:r>
      <w:r>
        <w:rPr>
          <w:rFonts w:ascii="Arial" w:hAnsi="Arial"/>
          <w:i/>
          <w:sz w:val="20"/>
        </w:rPr>
        <w:t>K.B.</w:t>
      </w:r>
      <w:r>
        <w:rPr>
          <w:rFonts w:ascii="Arial" w:hAnsi="Arial"/>
          <w:i/>
          <w:spacing w:val="64"/>
          <w:w w:val="150"/>
          <w:sz w:val="20"/>
        </w:rPr>
        <w:t> </w:t>
      </w:r>
      <w:r>
        <w:rPr>
          <w:rFonts w:ascii="Arial" w:hAnsi="Arial"/>
          <w:i/>
          <w:sz w:val="20"/>
        </w:rPr>
        <w:t>49,</w:t>
      </w:r>
      <w:r>
        <w:rPr>
          <w:rFonts w:ascii="Arial" w:hAnsi="Arial"/>
          <w:i/>
          <w:spacing w:val="64"/>
          <w:w w:val="150"/>
          <w:sz w:val="20"/>
        </w:rPr>
        <w:t> </w:t>
      </w:r>
      <w:r>
        <w:rPr>
          <w:rFonts w:ascii="Arial" w:hAnsi="Arial"/>
          <w:i/>
          <w:sz w:val="20"/>
        </w:rPr>
        <w:t>56–57</w:t>
      </w:r>
      <w:r>
        <w:rPr>
          <w:sz w:val="20"/>
        </w:rPr>
        <w:t>;</w:t>
      </w:r>
      <w:r>
        <w:rPr>
          <w:spacing w:val="64"/>
          <w:w w:val="150"/>
          <w:sz w:val="20"/>
        </w:rPr>
        <w:t> </w:t>
      </w:r>
      <w:r>
        <w:rPr>
          <w:rFonts w:ascii="Arial" w:hAnsi="Arial"/>
          <w:i/>
          <w:spacing w:val="-2"/>
          <w:sz w:val="20"/>
        </w:rPr>
        <w:t>Banque</w:t>
      </w:r>
    </w:p>
    <w:p>
      <w:pPr>
        <w:spacing w:line="235" w:lineRule="auto" w:before="2"/>
        <w:ind w:left="705" w:right="167" w:firstLine="0"/>
        <w:jc w:val="both"/>
        <w:rPr>
          <w:rFonts w:ascii="Arial" w:hAnsi="Arial"/>
          <w:i/>
          <w:sz w:val="20"/>
        </w:rPr>
      </w:pPr>
      <w:r>
        <w:rPr>
          <w:rFonts w:ascii="Arial" w:hAnsi="Arial"/>
          <w:i/>
          <w:sz w:val="20"/>
        </w:rPr>
        <w:t>Internationale de Commerce de Petrograd v Goukassow [1923] 2 K.B. 682, 690–691</w:t>
      </w:r>
      <w:r>
        <w:rPr>
          <w:sz w:val="20"/>
        </w:rPr>
        <w:t>; </w:t>
      </w:r>
      <w:r>
        <w:rPr>
          <w:rFonts w:ascii="Arial" w:hAnsi="Arial"/>
          <w:i/>
          <w:sz w:val="20"/>
        </w:rPr>
        <w:t>Janred Properties Ltd v ENIT [1989] 2 All E.R. 444</w:t>
      </w:r>
      <w:r>
        <w:rPr>
          <w:sz w:val="20"/>
        </w:rPr>
        <w:t>; </w:t>
      </w:r>
      <w:r>
        <w:rPr>
          <w:rFonts w:ascii="Arial" w:hAnsi="Arial"/>
          <w:i/>
          <w:sz w:val="20"/>
        </w:rPr>
        <w:t>J.H. Rayner (Mincing Lane) Ltd v Department of Trade and Industry [1990] 2 A.C. 418</w:t>
      </w:r>
      <w:r>
        <w:rPr>
          <w:sz w:val="20"/>
        </w:rPr>
        <w:t>; </w:t>
      </w:r>
      <w:r>
        <w:rPr>
          <w:rFonts w:ascii="Arial" w:hAnsi="Arial"/>
          <w:i/>
          <w:sz w:val="20"/>
        </w:rPr>
        <w:t>Sierra Leone Telecommunications Co Ltd v Barclays Bank</w:t>
      </w:r>
      <w:r>
        <w:rPr>
          <w:rFonts w:ascii="Arial" w:hAnsi="Arial"/>
          <w:i/>
          <w:spacing w:val="32"/>
          <w:sz w:val="20"/>
        </w:rPr>
        <w:t> </w:t>
      </w:r>
      <w:r>
        <w:rPr>
          <w:rFonts w:ascii="Arial" w:hAnsi="Arial"/>
          <w:i/>
          <w:sz w:val="20"/>
        </w:rPr>
        <w:t>Plc</w:t>
      </w:r>
      <w:r>
        <w:rPr>
          <w:rFonts w:ascii="Arial" w:hAnsi="Arial"/>
          <w:i/>
          <w:spacing w:val="33"/>
          <w:sz w:val="20"/>
        </w:rPr>
        <w:t> </w:t>
      </w:r>
      <w:r>
        <w:rPr>
          <w:rFonts w:ascii="Arial" w:hAnsi="Arial"/>
          <w:i/>
          <w:sz w:val="20"/>
        </w:rPr>
        <w:t>[1998]</w:t>
      </w:r>
      <w:r>
        <w:rPr>
          <w:rFonts w:ascii="Arial" w:hAnsi="Arial"/>
          <w:i/>
          <w:spacing w:val="33"/>
          <w:sz w:val="20"/>
        </w:rPr>
        <w:t> </w:t>
      </w:r>
      <w:r>
        <w:rPr>
          <w:rFonts w:ascii="Arial" w:hAnsi="Arial"/>
          <w:i/>
          <w:sz w:val="20"/>
        </w:rPr>
        <w:t>2</w:t>
      </w:r>
      <w:r>
        <w:rPr>
          <w:rFonts w:ascii="Arial" w:hAnsi="Arial"/>
          <w:i/>
          <w:spacing w:val="33"/>
          <w:sz w:val="20"/>
        </w:rPr>
        <w:t> </w:t>
      </w:r>
      <w:r>
        <w:rPr>
          <w:rFonts w:ascii="Arial" w:hAnsi="Arial"/>
          <w:i/>
          <w:sz w:val="20"/>
        </w:rPr>
        <w:t>All</w:t>
      </w:r>
      <w:r>
        <w:rPr>
          <w:rFonts w:ascii="Arial" w:hAnsi="Arial"/>
          <w:i/>
          <w:spacing w:val="33"/>
          <w:sz w:val="20"/>
        </w:rPr>
        <w:t> </w:t>
      </w:r>
      <w:r>
        <w:rPr>
          <w:rFonts w:ascii="Arial" w:hAnsi="Arial"/>
          <w:i/>
          <w:sz w:val="20"/>
        </w:rPr>
        <w:t>E.R.</w:t>
      </w:r>
      <w:r>
        <w:rPr>
          <w:rFonts w:ascii="Arial" w:hAnsi="Arial"/>
          <w:i/>
          <w:spacing w:val="33"/>
          <w:sz w:val="20"/>
        </w:rPr>
        <w:t> </w:t>
      </w:r>
      <w:r>
        <w:rPr>
          <w:rFonts w:ascii="Arial" w:hAnsi="Arial"/>
          <w:i/>
          <w:sz w:val="20"/>
        </w:rPr>
        <w:t>821</w:t>
      </w:r>
      <w:r>
        <w:rPr>
          <w:sz w:val="20"/>
        </w:rPr>
        <w:t>;</w:t>
      </w:r>
      <w:r>
        <w:rPr>
          <w:spacing w:val="33"/>
          <w:sz w:val="20"/>
        </w:rPr>
        <w:t> </w:t>
      </w:r>
      <w:r>
        <w:rPr>
          <w:rFonts w:ascii="Arial" w:hAnsi="Arial"/>
          <w:i/>
          <w:sz w:val="20"/>
        </w:rPr>
        <w:t>Merrill</w:t>
      </w:r>
      <w:r>
        <w:rPr>
          <w:rFonts w:ascii="Arial" w:hAnsi="Arial"/>
          <w:i/>
          <w:spacing w:val="33"/>
          <w:sz w:val="20"/>
        </w:rPr>
        <w:t> </w:t>
      </w:r>
      <w:r>
        <w:rPr>
          <w:rFonts w:ascii="Arial" w:hAnsi="Arial"/>
          <w:i/>
          <w:sz w:val="20"/>
        </w:rPr>
        <w:t>Lynch</w:t>
      </w:r>
      <w:r>
        <w:rPr>
          <w:rFonts w:ascii="Arial" w:hAnsi="Arial"/>
          <w:i/>
          <w:spacing w:val="33"/>
          <w:sz w:val="20"/>
        </w:rPr>
        <w:t> </w:t>
      </w:r>
      <w:r>
        <w:rPr>
          <w:rFonts w:ascii="Arial" w:hAnsi="Arial"/>
          <w:i/>
          <w:sz w:val="20"/>
        </w:rPr>
        <w:t>Capital</w:t>
      </w:r>
      <w:r>
        <w:rPr>
          <w:rFonts w:ascii="Arial" w:hAnsi="Arial"/>
          <w:i/>
          <w:spacing w:val="33"/>
          <w:sz w:val="20"/>
        </w:rPr>
        <w:t> </w:t>
      </w:r>
      <w:r>
        <w:rPr>
          <w:rFonts w:ascii="Arial" w:hAnsi="Arial"/>
          <w:i/>
          <w:sz w:val="20"/>
        </w:rPr>
        <w:t>Services</w:t>
      </w:r>
      <w:r>
        <w:rPr>
          <w:rFonts w:ascii="Arial" w:hAnsi="Arial"/>
          <w:i/>
          <w:spacing w:val="33"/>
          <w:sz w:val="20"/>
        </w:rPr>
        <w:t> </w:t>
      </w:r>
      <w:r>
        <w:rPr>
          <w:rFonts w:ascii="Arial" w:hAnsi="Arial"/>
          <w:i/>
          <w:sz w:val="20"/>
        </w:rPr>
        <w:t>Inc</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Municipality</w:t>
      </w:r>
      <w:r>
        <w:rPr>
          <w:rFonts w:ascii="Arial" w:hAnsi="Arial"/>
          <w:i/>
          <w:spacing w:val="33"/>
          <w:sz w:val="20"/>
        </w:rPr>
        <w:t> </w:t>
      </w:r>
      <w:r>
        <w:rPr>
          <w:rFonts w:ascii="Arial" w:hAnsi="Arial"/>
          <w:i/>
          <w:sz w:val="20"/>
        </w:rPr>
        <w:t>of</w:t>
      </w:r>
      <w:r>
        <w:rPr>
          <w:rFonts w:ascii="Arial" w:hAnsi="Arial"/>
          <w:i/>
          <w:spacing w:val="33"/>
          <w:sz w:val="20"/>
        </w:rPr>
        <w:t> </w:t>
      </w:r>
      <w:r>
        <w:rPr>
          <w:rFonts w:ascii="Arial" w:hAnsi="Arial"/>
          <w:i/>
          <w:spacing w:val="-2"/>
          <w:sz w:val="20"/>
        </w:rPr>
        <w:t>Piraeus</w:t>
      </w:r>
    </w:p>
    <w:p>
      <w:pPr>
        <w:spacing w:after="0" w:line="235" w:lineRule="auto"/>
        <w:jc w:val="both"/>
        <w:rPr>
          <w:rFonts w:ascii="Arial" w:hAnsi="Arial"/>
          <w:i/>
          <w:sz w:val="20"/>
        </w:rPr>
        <w:sectPr>
          <w:pgSz w:w="11900" w:h="16840"/>
          <w:pgMar w:header="971" w:footer="0" w:top="1300" w:bottom="280" w:left="1275" w:right="1275"/>
        </w:sectPr>
      </w:pPr>
    </w:p>
    <w:p>
      <w:pPr>
        <w:spacing w:line="235" w:lineRule="auto" w:before="110"/>
        <w:ind w:left="705" w:right="167" w:firstLine="0"/>
        <w:jc w:val="both"/>
        <w:rPr>
          <w:rFonts w:ascii="Arial" w:hAnsi="Arial"/>
          <w:i/>
          <w:sz w:val="20"/>
        </w:rPr>
      </w:pPr>
      <w:r>
        <w:rPr>
          <w:rFonts w:ascii="Arial" w:hAnsi="Arial"/>
          <w:i/>
          <w:sz w:val="20"/>
        </w:rPr>
        <w:t>[1997] C.L.C. 1214</w:t>
      </w:r>
      <w:r>
        <w:rPr>
          <w:sz w:val="20"/>
        </w:rPr>
        <w:t>; </w:t>
      </w:r>
      <w:r>
        <w:rPr>
          <w:rFonts w:ascii="Arial" w:hAnsi="Arial"/>
          <w:i/>
          <w:sz w:val="20"/>
        </w:rPr>
        <w:t>Azov Shipping Co v Baltic Shipping Co [1999] 2 Lloyd’s Rep. 159</w:t>
      </w:r>
      <w:r>
        <w:rPr>
          <w:sz w:val="20"/>
        </w:rPr>
        <w:t>; </w:t>
      </w:r>
      <w:r>
        <w:rPr>
          <w:rFonts w:ascii="Arial" w:hAnsi="Arial"/>
          <w:i/>
          <w:sz w:val="20"/>
        </w:rPr>
        <w:t>Grupo Torras</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Al-Sabah</w:t>
      </w:r>
      <w:r>
        <w:rPr>
          <w:rFonts w:ascii="Arial" w:hAnsi="Arial"/>
          <w:i/>
          <w:spacing w:val="-3"/>
          <w:sz w:val="20"/>
        </w:rPr>
        <w:t> </w:t>
      </w:r>
      <w:r>
        <w:rPr>
          <w:rFonts w:ascii="Arial" w:hAnsi="Arial"/>
          <w:i/>
          <w:sz w:val="20"/>
        </w:rPr>
        <w:t>[1999]</w:t>
      </w:r>
      <w:r>
        <w:rPr>
          <w:rFonts w:ascii="Arial" w:hAnsi="Arial"/>
          <w:i/>
          <w:spacing w:val="-3"/>
          <w:sz w:val="20"/>
        </w:rPr>
        <w:t> </w:t>
      </w:r>
      <w:r>
        <w:rPr>
          <w:rFonts w:ascii="Arial" w:hAnsi="Arial"/>
          <w:i/>
          <w:sz w:val="20"/>
        </w:rPr>
        <w:t>C.L.C.</w:t>
      </w:r>
      <w:r>
        <w:rPr>
          <w:rFonts w:ascii="Arial" w:hAnsi="Arial"/>
          <w:i/>
          <w:spacing w:val="-3"/>
          <w:sz w:val="20"/>
        </w:rPr>
        <w:t> </w:t>
      </w:r>
      <w:r>
        <w:rPr>
          <w:rFonts w:ascii="Arial" w:hAnsi="Arial"/>
          <w:i/>
          <w:sz w:val="20"/>
        </w:rPr>
        <w:t>1469</w:t>
      </w:r>
      <w:r>
        <w:rPr>
          <w:sz w:val="20"/>
        </w:rPr>
        <w:t>,</w:t>
      </w:r>
      <w:r>
        <w:rPr>
          <w:spacing w:val="-3"/>
          <w:sz w:val="20"/>
        </w:rPr>
        <w:t> </w:t>
      </w:r>
      <w:r>
        <w:rPr>
          <w:sz w:val="20"/>
        </w:rPr>
        <w:t>reversed</w:t>
      </w:r>
      <w:r>
        <w:rPr>
          <w:spacing w:val="-3"/>
          <w:sz w:val="20"/>
        </w:rPr>
        <w:t> </w:t>
      </w:r>
      <w:r>
        <w:rPr>
          <w:sz w:val="20"/>
        </w:rPr>
        <w:t>in</w:t>
      </w:r>
      <w:r>
        <w:rPr>
          <w:spacing w:val="-3"/>
          <w:sz w:val="20"/>
        </w:rPr>
        <w:t> </w:t>
      </w:r>
      <w:r>
        <w:rPr>
          <w:sz w:val="20"/>
        </w:rPr>
        <w:t>part</w:t>
      </w:r>
      <w:r>
        <w:rPr>
          <w:spacing w:val="-3"/>
          <w:sz w:val="20"/>
        </w:rPr>
        <w:t> </w:t>
      </w:r>
      <w:r>
        <w:rPr>
          <w:sz w:val="20"/>
        </w:rPr>
        <w:t>on</w:t>
      </w:r>
      <w:r>
        <w:rPr>
          <w:spacing w:val="-3"/>
          <w:sz w:val="20"/>
        </w:rPr>
        <w:t> </w:t>
      </w:r>
      <w:r>
        <w:rPr>
          <w:sz w:val="20"/>
        </w:rPr>
        <w:t>other</w:t>
      </w:r>
      <w:r>
        <w:rPr>
          <w:spacing w:val="-3"/>
          <w:sz w:val="20"/>
        </w:rPr>
        <w:t> </w:t>
      </w:r>
      <w:r>
        <w:rPr>
          <w:sz w:val="20"/>
        </w:rPr>
        <w:t>grounds,</w:t>
      </w:r>
      <w:r>
        <w:rPr>
          <w:spacing w:val="-4"/>
          <w:sz w:val="20"/>
        </w:rPr>
        <w:t> </w:t>
      </w:r>
      <w:r>
        <w:rPr>
          <w:rFonts w:ascii="Arial" w:hAnsi="Arial"/>
          <w:i/>
          <w:sz w:val="20"/>
        </w:rPr>
        <w:t>[2001]</w:t>
      </w:r>
      <w:r>
        <w:rPr>
          <w:rFonts w:ascii="Arial" w:hAnsi="Arial"/>
          <w:i/>
          <w:spacing w:val="-3"/>
          <w:sz w:val="20"/>
        </w:rPr>
        <w:t> </w:t>
      </w:r>
      <w:r>
        <w:rPr>
          <w:rFonts w:ascii="Arial" w:hAnsi="Arial"/>
          <w:i/>
          <w:sz w:val="20"/>
        </w:rPr>
        <w:t>C.L.C.</w:t>
      </w:r>
      <w:r>
        <w:rPr>
          <w:rFonts w:ascii="Arial" w:hAnsi="Arial"/>
          <w:i/>
          <w:spacing w:val="-3"/>
          <w:sz w:val="20"/>
        </w:rPr>
        <w:t> </w:t>
      </w:r>
      <w:r>
        <w:rPr>
          <w:rFonts w:ascii="Arial" w:hAnsi="Arial"/>
          <w:i/>
          <w:sz w:val="20"/>
        </w:rPr>
        <w:t>221</w:t>
      </w:r>
      <w:r>
        <w:rPr>
          <w:sz w:val="20"/>
        </w:rPr>
        <w:t>; </w:t>
      </w:r>
      <w:r>
        <w:rPr>
          <w:rFonts w:ascii="Arial" w:hAnsi="Arial"/>
          <w:i/>
          <w:sz w:val="20"/>
        </w:rPr>
        <w:t>Continental Enterprises Ltd v Shandong Zucheng Foreign Trade Group Co [2005] EWHC 92 (Comm)</w:t>
      </w:r>
      <w:r>
        <w:rPr>
          <w:sz w:val="20"/>
        </w:rPr>
        <w:t>; </w:t>
      </w:r>
      <w:r>
        <w:rPr>
          <w:rFonts w:ascii="Arial" w:hAnsi="Arial"/>
          <w:i/>
          <w:sz w:val="20"/>
        </w:rPr>
        <w:t>Laemthong International Lines Co Ltd v Artis (No.3) [2005] EWHC 1595 (Comm)</w:t>
      </w:r>
      <w:r>
        <w:rPr>
          <w:sz w:val="20"/>
        </w:rPr>
        <w:t>. See also </w:t>
      </w:r>
      <w:r>
        <w:rPr>
          <w:rFonts w:ascii="Arial" w:hAnsi="Arial"/>
          <w:i/>
          <w:sz w:val="20"/>
        </w:rPr>
        <w:t>Marubeni Hong Kong and South China Ltd v Government of Mongolia [2004] EWHC 472 (Comm),</w:t>
      </w:r>
      <w:r>
        <w:rPr>
          <w:rFonts w:ascii="Arial" w:hAnsi="Arial"/>
          <w:i/>
          <w:spacing w:val="5"/>
          <w:sz w:val="20"/>
        </w:rPr>
        <w:t> </w:t>
      </w:r>
      <w:r>
        <w:rPr>
          <w:rFonts w:ascii="Arial" w:hAnsi="Arial"/>
          <w:i/>
          <w:sz w:val="20"/>
        </w:rPr>
        <w:t>[2004]</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198,</w:t>
      </w:r>
      <w:r>
        <w:rPr>
          <w:rFonts w:ascii="Arial" w:hAnsi="Arial"/>
          <w:i/>
          <w:spacing w:val="5"/>
          <w:sz w:val="20"/>
        </w:rPr>
        <w:t> </w:t>
      </w:r>
      <w:r>
        <w:rPr>
          <w:rFonts w:ascii="Arial" w:hAnsi="Arial"/>
          <w:i/>
          <w:sz w:val="20"/>
        </w:rPr>
        <w:t>affirmed</w:t>
      </w:r>
      <w:r>
        <w:rPr>
          <w:rFonts w:ascii="Arial" w:hAnsi="Arial"/>
          <w:i/>
          <w:spacing w:val="5"/>
          <w:sz w:val="20"/>
        </w:rPr>
        <w:t> </w:t>
      </w:r>
      <w:r>
        <w:rPr>
          <w:rFonts w:ascii="Arial" w:hAnsi="Arial"/>
          <w:i/>
          <w:sz w:val="20"/>
        </w:rPr>
        <w:t>on</w:t>
      </w:r>
      <w:r>
        <w:rPr>
          <w:rFonts w:ascii="Arial" w:hAnsi="Arial"/>
          <w:i/>
          <w:spacing w:val="5"/>
          <w:sz w:val="20"/>
        </w:rPr>
        <w:t> </w:t>
      </w:r>
      <w:r>
        <w:rPr>
          <w:rFonts w:ascii="Arial" w:hAnsi="Arial"/>
          <w:i/>
          <w:sz w:val="20"/>
        </w:rPr>
        <w:t>other</w:t>
      </w:r>
      <w:r>
        <w:rPr>
          <w:rFonts w:ascii="Arial" w:hAnsi="Arial"/>
          <w:i/>
          <w:spacing w:val="5"/>
          <w:sz w:val="20"/>
        </w:rPr>
        <w:t> </w:t>
      </w:r>
      <w:r>
        <w:rPr>
          <w:rFonts w:ascii="Arial" w:hAnsi="Arial"/>
          <w:i/>
          <w:sz w:val="20"/>
        </w:rPr>
        <w:t>grounds,</w:t>
      </w:r>
      <w:r>
        <w:rPr>
          <w:rFonts w:ascii="Arial" w:hAnsi="Arial"/>
          <w:i/>
          <w:spacing w:val="5"/>
          <w:sz w:val="20"/>
        </w:rPr>
        <w:t> </w:t>
      </w:r>
      <w:r>
        <w:rPr>
          <w:rFonts w:ascii="Arial" w:hAnsi="Arial"/>
          <w:i/>
          <w:sz w:val="20"/>
        </w:rPr>
        <w:t>[2005]</w:t>
      </w:r>
      <w:r>
        <w:rPr>
          <w:rFonts w:ascii="Arial" w:hAnsi="Arial"/>
          <w:i/>
          <w:spacing w:val="5"/>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395,</w:t>
      </w:r>
      <w:r>
        <w:rPr>
          <w:rFonts w:ascii="Arial" w:hAnsi="Arial"/>
          <w:i/>
          <w:spacing w:val="5"/>
          <w:sz w:val="20"/>
        </w:rPr>
        <w:t> </w:t>
      </w:r>
      <w:r>
        <w:rPr>
          <w:rFonts w:ascii="Arial" w:hAnsi="Arial"/>
          <w:i/>
          <w:sz w:val="20"/>
        </w:rPr>
        <w:t>[2005]</w:t>
      </w:r>
      <w:r>
        <w:rPr>
          <w:rFonts w:ascii="Arial" w:hAnsi="Arial"/>
          <w:i/>
          <w:spacing w:val="5"/>
          <w:sz w:val="20"/>
        </w:rPr>
        <w:t> </w:t>
      </w:r>
      <w:r>
        <w:rPr>
          <w:rFonts w:ascii="Arial" w:hAnsi="Arial"/>
          <w:i/>
          <w:spacing w:val="-10"/>
          <w:sz w:val="20"/>
        </w:rPr>
        <w:t>1</w:t>
      </w:r>
    </w:p>
    <w:p>
      <w:pPr>
        <w:pStyle w:val="BodyText"/>
        <w:spacing w:line="235" w:lineRule="auto"/>
        <w:ind w:left="705" w:right="167"/>
        <w:jc w:val="both"/>
      </w:pPr>
      <w:r>
        <w:rPr>
          <w:rFonts w:ascii="Arial" w:hAnsi="Arial"/>
          <w:i/>
        </w:rPr>
        <w:t>W.L.R. 2497</w:t>
      </w:r>
      <w:r>
        <w:rPr/>
        <w:t>; Foreign Corporations Act 1991 s.1; Overseas Companies (Execution of Documents and Registration of Charges) Regulations 2009 (SI 2009/1917), inserting </w:t>
      </w:r>
      <w:r>
        <w:rPr/>
        <w:t>modified versions of Companies Act 2006 ss.43–48 and 51, in respect of the execution of documents by overseas companies. See also </w:t>
      </w:r>
      <w:r>
        <w:rPr>
          <w:rFonts w:ascii="Arial" w:hAnsi="Arial"/>
          <w:i/>
        </w:rPr>
        <w:t>Integral Petroleum SA v SCU-Finaz AB [2015] EWCA Civ 144</w:t>
      </w:r>
      <w:r>
        <w:rPr>
          <w:rFonts w:ascii="Arial" w:hAnsi="Arial"/>
          <w:i/>
          <w:spacing w:val="40"/>
        </w:rPr>
        <w:t> </w:t>
      </w:r>
      <w:r>
        <w:rPr/>
        <w:t>(a rule of Swiss law requiring the acts of a company to be authorised by two signatories applied as the law of incorporation).</w:t>
      </w:r>
    </w:p>
    <w:p>
      <w:pPr>
        <w:pStyle w:val="BodyText"/>
        <w:spacing w:before="2"/>
      </w:pPr>
    </w:p>
    <w:p>
      <w:pPr>
        <w:spacing w:line="227" w:lineRule="exact" w:before="0"/>
        <w:ind w:left="165" w:right="0" w:firstLine="0"/>
        <w:jc w:val="both"/>
        <w:rPr>
          <w:rFonts w:ascii="Arial"/>
          <w:i/>
          <w:sz w:val="20"/>
        </w:rPr>
      </w:pPr>
      <w:bookmarkStart w:name="_bookmark2300" w:id="2302"/>
      <w:bookmarkEnd w:id="2302"/>
      <w:r>
        <w:rPr/>
      </w:r>
      <w:hyperlink w:history="true" w:anchor="_bookmark2282">
        <w:r>
          <w:rPr>
            <w:color w:val="005DA1"/>
            <w:position w:val="5"/>
            <w:sz w:val="14"/>
            <w:u w:val="single" w:color="005DA1"/>
          </w:rPr>
          <w:t>1197</w:t>
        </w:r>
      </w:hyperlink>
      <w:r>
        <w:rPr>
          <w:position w:val="5"/>
          <w:sz w:val="14"/>
        </w:rPr>
        <w:t>.</w:t>
      </w:r>
      <w:r>
        <w:rPr>
          <w:spacing w:val="55"/>
          <w:position w:val="5"/>
          <w:sz w:val="14"/>
        </w:rPr>
        <w:t>  </w:t>
      </w:r>
      <w:r>
        <w:rPr>
          <w:sz w:val="20"/>
        </w:rPr>
        <w:t>See</w:t>
      </w:r>
      <w:r>
        <w:rPr>
          <w:spacing w:val="11"/>
          <w:sz w:val="20"/>
        </w:rPr>
        <w:t> </w:t>
      </w:r>
      <w:r>
        <w:rPr>
          <w:sz w:val="20"/>
        </w:rPr>
        <w:t>references</w:t>
      </w:r>
      <w:r>
        <w:rPr>
          <w:spacing w:val="10"/>
          <w:sz w:val="20"/>
        </w:rPr>
        <w:t> </w:t>
      </w:r>
      <w:r>
        <w:rPr>
          <w:sz w:val="20"/>
        </w:rPr>
        <w:t>in</w:t>
      </w:r>
      <w:r>
        <w:rPr>
          <w:spacing w:val="10"/>
          <w:sz w:val="20"/>
        </w:rPr>
        <w:t> </w:t>
      </w:r>
      <w:r>
        <w:rPr>
          <w:sz w:val="20"/>
        </w:rPr>
        <w:t>preceding</w:t>
      </w:r>
      <w:r>
        <w:rPr>
          <w:spacing w:val="10"/>
          <w:sz w:val="20"/>
        </w:rPr>
        <w:t> </w:t>
      </w:r>
      <w:r>
        <w:rPr>
          <w:sz w:val="20"/>
        </w:rPr>
        <w:t>note</w:t>
      </w:r>
      <w:r>
        <w:rPr>
          <w:spacing w:val="10"/>
          <w:sz w:val="20"/>
        </w:rPr>
        <w:t> </w:t>
      </w:r>
      <w:r>
        <w:rPr>
          <w:sz w:val="20"/>
        </w:rPr>
        <w:t>and:</w:t>
      </w:r>
      <w:r>
        <w:rPr>
          <w:spacing w:val="10"/>
          <w:sz w:val="20"/>
        </w:rPr>
        <w:t> </w:t>
      </w:r>
      <w:r>
        <w:rPr>
          <w:rFonts w:ascii="Arial"/>
          <w:i/>
          <w:sz w:val="20"/>
        </w:rPr>
        <w:t>General</w:t>
      </w:r>
      <w:r>
        <w:rPr>
          <w:rFonts w:ascii="Arial"/>
          <w:i/>
          <w:spacing w:val="10"/>
          <w:sz w:val="20"/>
        </w:rPr>
        <w:t> </w:t>
      </w:r>
      <w:r>
        <w:rPr>
          <w:rFonts w:ascii="Arial"/>
          <w:i/>
          <w:sz w:val="20"/>
        </w:rPr>
        <w:t>Steam</w:t>
      </w:r>
      <w:r>
        <w:rPr>
          <w:rFonts w:ascii="Arial"/>
          <w:i/>
          <w:spacing w:val="10"/>
          <w:sz w:val="20"/>
        </w:rPr>
        <w:t> </w:t>
      </w:r>
      <w:r>
        <w:rPr>
          <w:rFonts w:ascii="Arial"/>
          <w:i/>
          <w:sz w:val="20"/>
        </w:rPr>
        <w:t>Navigation</w:t>
      </w:r>
      <w:r>
        <w:rPr>
          <w:rFonts w:ascii="Arial"/>
          <w:i/>
          <w:spacing w:val="10"/>
          <w:sz w:val="20"/>
        </w:rPr>
        <w:t> </w:t>
      </w:r>
      <w:r>
        <w:rPr>
          <w:rFonts w:ascii="Arial"/>
          <w:i/>
          <w:sz w:val="20"/>
        </w:rPr>
        <w:t>Co</w:t>
      </w:r>
      <w:r>
        <w:rPr>
          <w:rFonts w:ascii="Arial"/>
          <w:i/>
          <w:spacing w:val="10"/>
          <w:sz w:val="20"/>
        </w:rPr>
        <w:t> </w:t>
      </w:r>
      <w:r>
        <w:rPr>
          <w:rFonts w:ascii="Arial"/>
          <w:i/>
          <w:sz w:val="20"/>
        </w:rPr>
        <w:t>v</w:t>
      </w:r>
      <w:r>
        <w:rPr>
          <w:rFonts w:ascii="Arial"/>
          <w:i/>
          <w:spacing w:val="10"/>
          <w:sz w:val="20"/>
        </w:rPr>
        <w:t> </w:t>
      </w:r>
      <w:r>
        <w:rPr>
          <w:rFonts w:ascii="Arial"/>
          <w:i/>
          <w:sz w:val="20"/>
        </w:rPr>
        <w:t>Guillou</w:t>
      </w:r>
      <w:r>
        <w:rPr>
          <w:rFonts w:ascii="Arial"/>
          <w:i/>
          <w:spacing w:val="10"/>
          <w:sz w:val="20"/>
        </w:rPr>
        <w:t> </w:t>
      </w:r>
      <w:r>
        <w:rPr>
          <w:rFonts w:ascii="Arial"/>
          <w:i/>
          <w:sz w:val="20"/>
        </w:rPr>
        <w:t>(1843)</w:t>
      </w:r>
      <w:r>
        <w:rPr>
          <w:rFonts w:ascii="Arial"/>
          <w:i/>
          <w:spacing w:val="10"/>
          <w:sz w:val="20"/>
        </w:rPr>
        <w:t> </w:t>
      </w:r>
      <w:r>
        <w:rPr>
          <w:rFonts w:ascii="Arial"/>
          <w:i/>
          <w:sz w:val="20"/>
        </w:rPr>
        <w:t>11</w:t>
      </w:r>
      <w:r>
        <w:rPr>
          <w:rFonts w:ascii="Arial"/>
          <w:i/>
          <w:spacing w:val="10"/>
          <w:sz w:val="20"/>
        </w:rPr>
        <w:t> </w:t>
      </w:r>
      <w:r>
        <w:rPr>
          <w:rFonts w:ascii="Arial"/>
          <w:i/>
          <w:sz w:val="20"/>
        </w:rPr>
        <w:t>M.</w:t>
      </w:r>
      <w:r>
        <w:rPr>
          <w:rFonts w:ascii="Arial"/>
          <w:i/>
          <w:spacing w:val="10"/>
          <w:sz w:val="20"/>
        </w:rPr>
        <w:t> </w:t>
      </w:r>
      <w:r>
        <w:rPr>
          <w:rFonts w:ascii="Arial"/>
          <w:i/>
          <w:spacing w:val="-10"/>
          <w:sz w:val="20"/>
        </w:rPr>
        <w:t>&amp;</w:t>
      </w:r>
    </w:p>
    <w:p>
      <w:pPr>
        <w:spacing w:line="235" w:lineRule="auto" w:before="1"/>
        <w:ind w:left="705" w:right="168" w:firstLine="0"/>
        <w:jc w:val="both"/>
        <w:rPr>
          <w:rFonts w:ascii="Arial"/>
          <w:i/>
          <w:sz w:val="20"/>
        </w:rPr>
      </w:pPr>
      <w:r>
        <w:rPr>
          <w:rFonts w:ascii="Arial"/>
          <w:i/>
          <w:sz w:val="20"/>
        </w:rPr>
        <w:t>W.</w:t>
      </w:r>
      <w:r>
        <w:rPr>
          <w:rFonts w:ascii="Arial"/>
          <w:i/>
          <w:spacing w:val="-1"/>
          <w:sz w:val="20"/>
        </w:rPr>
        <w:t> </w:t>
      </w:r>
      <w:r>
        <w:rPr>
          <w:rFonts w:ascii="Arial"/>
          <w:i/>
          <w:sz w:val="20"/>
        </w:rPr>
        <w:t>877</w:t>
      </w:r>
      <w:r>
        <w:rPr>
          <w:sz w:val="20"/>
        </w:rPr>
        <w:t>;</w:t>
      </w:r>
      <w:r>
        <w:rPr>
          <w:spacing w:val="-1"/>
          <w:sz w:val="20"/>
        </w:rPr>
        <w:t> </w:t>
      </w:r>
      <w:r>
        <w:rPr>
          <w:rFonts w:ascii="Arial"/>
          <w:i/>
          <w:sz w:val="20"/>
        </w:rPr>
        <w:t>Pickering</w:t>
      </w:r>
      <w:r>
        <w:rPr>
          <w:rFonts w:ascii="Arial"/>
          <w:i/>
          <w:spacing w:val="-1"/>
          <w:sz w:val="20"/>
        </w:rPr>
        <w:t> </w:t>
      </w:r>
      <w:r>
        <w:rPr>
          <w:rFonts w:ascii="Arial"/>
          <w:i/>
          <w:sz w:val="20"/>
        </w:rPr>
        <w:t>v</w:t>
      </w:r>
      <w:r>
        <w:rPr>
          <w:rFonts w:ascii="Arial"/>
          <w:i/>
          <w:spacing w:val="-1"/>
          <w:sz w:val="20"/>
        </w:rPr>
        <w:t> </w:t>
      </w:r>
      <w:r>
        <w:rPr>
          <w:rFonts w:ascii="Arial"/>
          <w:i/>
          <w:sz w:val="20"/>
        </w:rPr>
        <w:t>Stephenson</w:t>
      </w:r>
      <w:r>
        <w:rPr>
          <w:rFonts w:ascii="Arial"/>
          <w:i/>
          <w:spacing w:val="-1"/>
          <w:sz w:val="20"/>
        </w:rPr>
        <w:t> </w:t>
      </w:r>
      <w:r>
        <w:rPr>
          <w:rFonts w:ascii="Arial"/>
          <w:i/>
          <w:sz w:val="20"/>
        </w:rPr>
        <w:t>(1872)</w:t>
      </w:r>
      <w:r>
        <w:rPr>
          <w:rFonts w:ascii="Arial"/>
          <w:i/>
          <w:spacing w:val="-1"/>
          <w:sz w:val="20"/>
        </w:rPr>
        <w:t> </w:t>
      </w:r>
      <w:r>
        <w:rPr>
          <w:rFonts w:ascii="Arial"/>
          <w:i/>
          <w:sz w:val="20"/>
        </w:rPr>
        <w:t>L.R.</w:t>
      </w:r>
      <w:r>
        <w:rPr>
          <w:rFonts w:ascii="Arial"/>
          <w:i/>
          <w:spacing w:val="-1"/>
          <w:sz w:val="20"/>
        </w:rPr>
        <w:t> </w:t>
      </w:r>
      <w:r>
        <w:rPr>
          <w:rFonts w:ascii="Arial"/>
          <w:i/>
          <w:sz w:val="20"/>
        </w:rPr>
        <w:t>14</w:t>
      </w:r>
      <w:r>
        <w:rPr>
          <w:rFonts w:ascii="Arial"/>
          <w:i/>
          <w:spacing w:val="-1"/>
          <w:sz w:val="20"/>
        </w:rPr>
        <w:t> </w:t>
      </w:r>
      <w:r>
        <w:rPr>
          <w:rFonts w:ascii="Arial"/>
          <w:i/>
          <w:sz w:val="20"/>
        </w:rPr>
        <w:t>Eq.</w:t>
      </w:r>
      <w:r>
        <w:rPr>
          <w:rFonts w:ascii="Arial"/>
          <w:i/>
          <w:spacing w:val="-1"/>
          <w:sz w:val="20"/>
        </w:rPr>
        <w:t> </w:t>
      </w:r>
      <w:r>
        <w:rPr>
          <w:rFonts w:ascii="Arial"/>
          <w:i/>
          <w:sz w:val="20"/>
        </w:rPr>
        <w:t>322</w:t>
      </w:r>
      <w:r>
        <w:rPr>
          <w:sz w:val="20"/>
        </w:rPr>
        <w:t>;</w:t>
      </w:r>
      <w:r>
        <w:rPr>
          <w:spacing w:val="-1"/>
          <w:sz w:val="20"/>
        </w:rPr>
        <w:t> </w:t>
      </w:r>
      <w:r>
        <w:rPr>
          <w:rFonts w:ascii="Arial"/>
          <w:i/>
          <w:sz w:val="20"/>
        </w:rPr>
        <w:t>Bateman</w:t>
      </w:r>
      <w:r>
        <w:rPr>
          <w:rFonts w:ascii="Arial"/>
          <w:i/>
          <w:spacing w:val="-1"/>
          <w:sz w:val="20"/>
        </w:rPr>
        <w:t> </w:t>
      </w:r>
      <w:r>
        <w:rPr>
          <w:rFonts w:ascii="Arial"/>
          <w:i/>
          <w:sz w:val="20"/>
        </w:rPr>
        <w:t>v</w:t>
      </w:r>
      <w:r>
        <w:rPr>
          <w:rFonts w:ascii="Arial"/>
          <w:i/>
          <w:spacing w:val="-1"/>
          <w:sz w:val="20"/>
        </w:rPr>
        <w:t> </w:t>
      </w:r>
      <w:r>
        <w:rPr>
          <w:rFonts w:ascii="Arial"/>
          <w:i/>
          <w:sz w:val="20"/>
        </w:rPr>
        <w:t>Service</w:t>
      </w:r>
      <w:r>
        <w:rPr>
          <w:rFonts w:ascii="Arial"/>
          <w:i/>
          <w:spacing w:val="-1"/>
          <w:sz w:val="20"/>
        </w:rPr>
        <w:t> </w:t>
      </w:r>
      <w:r>
        <w:rPr>
          <w:rFonts w:ascii="Arial"/>
          <w:i/>
          <w:sz w:val="20"/>
        </w:rPr>
        <w:t>(1881)</w:t>
      </w:r>
      <w:r>
        <w:rPr>
          <w:rFonts w:ascii="Arial"/>
          <w:i/>
          <w:spacing w:val="-1"/>
          <w:sz w:val="20"/>
        </w:rPr>
        <w:t> </w:t>
      </w:r>
      <w:r>
        <w:rPr>
          <w:rFonts w:ascii="Arial"/>
          <w:i/>
          <w:sz w:val="20"/>
        </w:rPr>
        <w:t>6</w:t>
      </w:r>
      <w:r>
        <w:rPr>
          <w:rFonts w:ascii="Arial"/>
          <w:i/>
          <w:spacing w:val="-1"/>
          <w:sz w:val="20"/>
        </w:rPr>
        <w:t> </w:t>
      </w:r>
      <w:r>
        <w:rPr>
          <w:rFonts w:ascii="Arial"/>
          <w:i/>
          <w:sz w:val="20"/>
        </w:rPr>
        <w:t>App.</w:t>
      </w:r>
      <w:r>
        <w:rPr>
          <w:rFonts w:ascii="Arial"/>
          <w:i/>
          <w:spacing w:val="-1"/>
          <w:sz w:val="20"/>
        </w:rPr>
        <w:t> </w:t>
      </w:r>
      <w:r>
        <w:rPr>
          <w:rFonts w:ascii="Arial"/>
          <w:i/>
          <w:sz w:val="20"/>
        </w:rPr>
        <w:t>Cas. 386, 389</w:t>
      </w:r>
      <w:r>
        <w:rPr>
          <w:sz w:val="20"/>
        </w:rPr>
        <w:t>; </w:t>
      </w:r>
      <w:r>
        <w:rPr>
          <w:rFonts w:ascii="Arial"/>
          <w:i/>
          <w:sz w:val="20"/>
        </w:rPr>
        <w:t>Banco de Bilbao v Sancha and Rey [1938] 2 K.B. 176</w:t>
      </w:r>
      <w:r>
        <w:rPr>
          <w:sz w:val="20"/>
        </w:rPr>
        <w:t>; </w:t>
      </w:r>
      <w:r>
        <w:rPr>
          <w:rFonts w:ascii="Arial"/>
          <w:i/>
          <w:sz w:val="20"/>
        </w:rPr>
        <w:t>National Bank of Greece </w:t>
      </w:r>
      <w:r>
        <w:rPr>
          <w:rFonts w:ascii="Arial"/>
          <w:i/>
          <w:sz w:val="20"/>
        </w:rPr>
        <w:t>and Athens</w:t>
      </w:r>
      <w:r>
        <w:rPr>
          <w:rFonts w:ascii="Arial"/>
          <w:i/>
          <w:spacing w:val="5"/>
          <w:sz w:val="20"/>
        </w:rPr>
        <w:t> </w:t>
      </w:r>
      <w:r>
        <w:rPr>
          <w:rFonts w:ascii="Arial"/>
          <w:i/>
          <w:sz w:val="20"/>
        </w:rPr>
        <w:t>SA</w:t>
      </w:r>
      <w:r>
        <w:rPr>
          <w:rFonts w:ascii="Arial"/>
          <w:i/>
          <w:spacing w:val="6"/>
          <w:sz w:val="20"/>
        </w:rPr>
        <w:t> </w:t>
      </w:r>
      <w:r>
        <w:rPr>
          <w:rFonts w:ascii="Arial"/>
          <w:i/>
          <w:sz w:val="20"/>
        </w:rPr>
        <w:t>v</w:t>
      </w:r>
      <w:r>
        <w:rPr>
          <w:rFonts w:ascii="Arial"/>
          <w:i/>
          <w:spacing w:val="6"/>
          <w:sz w:val="20"/>
        </w:rPr>
        <w:t> </w:t>
      </w:r>
      <w:r>
        <w:rPr>
          <w:rFonts w:ascii="Arial"/>
          <w:i/>
          <w:sz w:val="20"/>
        </w:rPr>
        <w:t>Metliss</w:t>
      </w:r>
      <w:r>
        <w:rPr>
          <w:rFonts w:ascii="Arial"/>
          <w:i/>
          <w:spacing w:val="6"/>
          <w:sz w:val="20"/>
        </w:rPr>
        <w:t> </w:t>
      </w:r>
      <w:r>
        <w:rPr>
          <w:rFonts w:ascii="Arial"/>
          <w:i/>
          <w:sz w:val="20"/>
        </w:rPr>
        <w:t>[1958]</w:t>
      </w:r>
      <w:r>
        <w:rPr>
          <w:rFonts w:ascii="Arial"/>
          <w:i/>
          <w:spacing w:val="6"/>
          <w:sz w:val="20"/>
        </w:rPr>
        <w:t> </w:t>
      </w:r>
      <w:r>
        <w:rPr>
          <w:rFonts w:ascii="Arial"/>
          <w:i/>
          <w:sz w:val="20"/>
        </w:rPr>
        <w:t>A.C.</w:t>
      </w:r>
      <w:r>
        <w:rPr>
          <w:rFonts w:ascii="Arial"/>
          <w:i/>
          <w:spacing w:val="6"/>
          <w:sz w:val="20"/>
        </w:rPr>
        <w:t> </w:t>
      </w:r>
      <w:r>
        <w:rPr>
          <w:rFonts w:ascii="Arial"/>
          <w:i/>
          <w:sz w:val="20"/>
        </w:rPr>
        <w:t>509</w:t>
      </w:r>
      <w:r>
        <w:rPr>
          <w:sz w:val="20"/>
        </w:rPr>
        <w:t>;</w:t>
      </w:r>
      <w:r>
        <w:rPr>
          <w:spacing w:val="6"/>
          <w:sz w:val="20"/>
        </w:rPr>
        <w:t> </w:t>
      </w:r>
      <w:r>
        <w:rPr>
          <w:rFonts w:ascii="Arial"/>
          <w:i/>
          <w:sz w:val="20"/>
        </w:rPr>
        <w:t>Carl</w:t>
      </w:r>
      <w:r>
        <w:rPr>
          <w:rFonts w:ascii="Arial"/>
          <w:i/>
          <w:spacing w:val="6"/>
          <w:sz w:val="20"/>
        </w:rPr>
        <w:t> </w:t>
      </w:r>
      <w:r>
        <w:rPr>
          <w:rFonts w:ascii="Arial"/>
          <w:i/>
          <w:sz w:val="20"/>
        </w:rPr>
        <w:t>Zeiss</w:t>
      </w:r>
      <w:r>
        <w:rPr>
          <w:rFonts w:ascii="Arial"/>
          <w:i/>
          <w:spacing w:val="6"/>
          <w:sz w:val="20"/>
        </w:rPr>
        <w:t> </w:t>
      </w:r>
      <w:r>
        <w:rPr>
          <w:rFonts w:ascii="Arial"/>
          <w:i/>
          <w:sz w:val="20"/>
        </w:rPr>
        <w:t>Stiftung</w:t>
      </w:r>
      <w:r>
        <w:rPr>
          <w:rFonts w:ascii="Arial"/>
          <w:i/>
          <w:spacing w:val="6"/>
          <w:sz w:val="20"/>
        </w:rPr>
        <w:t> </w:t>
      </w:r>
      <w:r>
        <w:rPr>
          <w:rFonts w:ascii="Arial"/>
          <w:i/>
          <w:sz w:val="20"/>
        </w:rPr>
        <w:t>v</w:t>
      </w:r>
      <w:r>
        <w:rPr>
          <w:rFonts w:ascii="Arial"/>
          <w:i/>
          <w:spacing w:val="6"/>
          <w:sz w:val="20"/>
        </w:rPr>
        <w:t> </w:t>
      </w:r>
      <w:r>
        <w:rPr>
          <w:rFonts w:ascii="Arial"/>
          <w:i/>
          <w:sz w:val="20"/>
        </w:rPr>
        <w:t>Rayner</w:t>
      </w:r>
      <w:r>
        <w:rPr>
          <w:rFonts w:ascii="Arial"/>
          <w:i/>
          <w:spacing w:val="6"/>
          <w:sz w:val="20"/>
        </w:rPr>
        <w:t> </w:t>
      </w:r>
      <w:r>
        <w:rPr>
          <w:rFonts w:ascii="Arial"/>
          <w:i/>
          <w:sz w:val="20"/>
        </w:rPr>
        <w:t>&amp;</w:t>
      </w:r>
      <w:r>
        <w:rPr>
          <w:rFonts w:ascii="Arial"/>
          <w:i/>
          <w:spacing w:val="6"/>
          <w:sz w:val="20"/>
        </w:rPr>
        <w:t> </w:t>
      </w:r>
      <w:r>
        <w:rPr>
          <w:rFonts w:ascii="Arial"/>
          <w:i/>
          <w:sz w:val="20"/>
        </w:rPr>
        <w:t>Keeler</w:t>
      </w:r>
      <w:r>
        <w:rPr>
          <w:rFonts w:ascii="Arial"/>
          <w:i/>
          <w:spacing w:val="6"/>
          <w:sz w:val="20"/>
        </w:rPr>
        <w:t> </w:t>
      </w:r>
      <w:r>
        <w:rPr>
          <w:rFonts w:ascii="Arial"/>
          <w:i/>
          <w:sz w:val="20"/>
        </w:rPr>
        <w:t>Ltd</w:t>
      </w:r>
      <w:r>
        <w:rPr>
          <w:rFonts w:ascii="Arial"/>
          <w:i/>
          <w:spacing w:val="6"/>
          <w:sz w:val="20"/>
        </w:rPr>
        <w:t> </w:t>
      </w:r>
      <w:r>
        <w:rPr>
          <w:rFonts w:ascii="Arial"/>
          <w:i/>
          <w:sz w:val="20"/>
        </w:rPr>
        <w:t>(No.2)</w:t>
      </w:r>
      <w:r>
        <w:rPr>
          <w:rFonts w:ascii="Arial"/>
          <w:i/>
          <w:spacing w:val="6"/>
          <w:sz w:val="20"/>
        </w:rPr>
        <w:t> </w:t>
      </w:r>
      <w:r>
        <w:rPr>
          <w:rFonts w:ascii="Arial"/>
          <w:i/>
          <w:sz w:val="20"/>
        </w:rPr>
        <w:t>[1967]</w:t>
      </w:r>
      <w:r>
        <w:rPr>
          <w:rFonts w:ascii="Arial"/>
          <w:i/>
          <w:spacing w:val="6"/>
          <w:sz w:val="20"/>
        </w:rPr>
        <w:t> </w:t>
      </w:r>
      <w:r>
        <w:rPr>
          <w:rFonts w:ascii="Arial"/>
          <w:i/>
          <w:spacing w:val="-10"/>
          <w:sz w:val="20"/>
        </w:rPr>
        <w:t>1</w:t>
      </w:r>
    </w:p>
    <w:p>
      <w:pPr>
        <w:spacing w:line="225" w:lineRule="exact" w:before="0"/>
        <w:ind w:left="705" w:right="0" w:firstLine="0"/>
        <w:jc w:val="both"/>
        <w:rPr>
          <w:sz w:val="20"/>
        </w:rPr>
      </w:pPr>
      <w:r>
        <w:rPr>
          <w:rFonts w:ascii="Arial"/>
          <w:i/>
          <w:sz w:val="20"/>
        </w:rPr>
        <w:t>A.C.</w:t>
      </w:r>
      <w:r>
        <w:rPr>
          <w:rFonts w:ascii="Arial"/>
          <w:i/>
          <w:spacing w:val="-2"/>
          <w:sz w:val="20"/>
        </w:rPr>
        <w:t> </w:t>
      </w:r>
      <w:r>
        <w:rPr>
          <w:rFonts w:ascii="Arial"/>
          <w:i/>
          <w:spacing w:val="-4"/>
          <w:sz w:val="20"/>
        </w:rPr>
        <w:t>853</w:t>
      </w:r>
      <w:r>
        <w:rPr>
          <w:spacing w:val="-4"/>
          <w:sz w:val="20"/>
        </w:rPr>
        <w:t>.</w:t>
      </w:r>
    </w:p>
    <w:p>
      <w:pPr>
        <w:pStyle w:val="BodyText"/>
        <w:spacing w:before="9"/>
      </w:pPr>
    </w:p>
    <w:p>
      <w:pPr>
        <w:spacing w:line="235" w:lineRule="auto" w:before="0"/>
        <w:ind w:left="705" w:right="167" w:hanging="541"/>
        <w:jc w:val="both"/>
        <w:rPr>
          <w:sz w:val="20"/>
        </w:rPr>
      </w:pPr>
      <w:bookmarkStart w:name="_bookmark2301" w:id="2303"/>
      <w:bookmarkEnd w:id="2303"/>
      <w:r>
        <w:rPr/>
      </w:r>
      <w:hyperlink w:history="true" w:anchor="_bookmark2283">
        <w:r>
          <w:rPr>
            <w:color w:val="005DA1"/>
            <w:position w:val="5"/>
            <w:sz w:val="14"/>
            <w:u w:val="single" w:color="005DA1"/>
          </w:rPr>
          <w:t>1198</w:t>
        </w:r>
      </w:hyperlink>
      <w:r>
        <w:rPr>
          <w:position w:val="5"/>
          <w:sz w:val="14"/>
        </w:rPr>
        <w:t>.</w:t>
      </w:r>
      <w:r>
        <w:rPr>
          <w:spacing w:val="80"/>
          <w:w w:val="150"/>
          <w:position w:val="5"/>
          <w:sz w:val="14"/>
        </w:rPr>
        <w:t> </w:t>
      </w:r>
      <w:r>
        <w:rPr>
          <w:sz w:val="20"/>
        </w:rPr>
        <w:t>For these purposes, the expression “constitution” comprises all that bundle of powers, </w:t>
      </w:r>
      <w:r>
        <w:rPr>
          <w:sz w:val="20"/>
        </w:rPr>
        <w:t>duties</w:t>
      </w:r>
      <w:r>
        <w:rPr>
          <w:spacing w:val="40"/>
          <w:sz w:val="20"/>
        </w:rPr>
        <w:t> </w:t>
      </w:r>
      <w:r>
        <w:rPr>
          <w:sz w:val="20"/>
        </w:rPr>
        <w:t>and abilities to exercise legal rights that can be attributed to the corporation which are to be derived from the law of the place of incorporation, including relevant provisions of public or administrative</w:t>
      </w:r>
      <w:r>
        <w:rPr>
          <w:spacing w:val="-2"/>
          <w:sz w:val="20"/>
        </w:rPr>
        <w:t> </w:t>
      </w:r>
      <w:r>
        <w:rPr>
          <w:sz w:val="20"/>
        </w:rPr>
        <w:t>law:</w:t>
      </w:r>
      <w:r>
        <w:rPr>
          <w:spacing w:val="-2"/>
          <w:sz w:val="20"/>
        </w:rPr>
        <w:t> </w:t>
      </w:r>
      <w:r>
        <w:rPr>
          <w:sz w:val="20"/>
        </w:rPr>
        <w:t>see</w:t>
      </w:r>
      <w:r>
        <w:rPr>
          <w:spacing w:val="-3"/>
          <w:sz w:val="20"/>
        </w:rPr>
        <w:t> </w:t>
      </w:r>
      <w:r>
        <w:rPr>
          <w:rFonts w:ascii="Arial" w:hAnsi="Arial"/>
          <w:i/>
          <w:sz w:val="20"/>
        </w:rPr>
        <w:t>Haugesund</w:t>
      </w:r>
      <w:r>
        <w:rPr>
          <w:rFonts w:ascii="Arial" w:hAnsi="Arial"/>
          <w:i/>
          <w:spacing w:val="-2"/>
          <w:sz w:val="20"/>
        </w:rPr>
        <w:t> </w:t>
      </w:r>
      <w:r>
        <w:rPr>
          <w:rFonts w:ascii="Arial" w:hAnsi="Arial"/>
          <w:i/>
          <w:sz w:val="20"/>
        </w:rPr>
        <w:t>Kommune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Depfa</w:t>
      </w:r>
      <w:r>
        <w:rPr>
          <w:rFonts w:ascii="Arial" w:hAnsi="Arial"/>
          <w:i/>
          <w:spacing w:val="-2"/>
          <w:sz w:val="20"/>
        </w:rPr>
        <w:t> </w:t>
      </w:r>
      <w:r>
        <w:rPr>
          <w:rFonts w:ascii="Arial" w:hAnsi="Arial"/>
          <w:i/>
          <w:sz w:val="20"/>
        </w:rPr>
        <w:t>ACS</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[2010]</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579,</w:t>
      </w:r>
      <w:r>
        <w:rPr>
          <w:rFonts w:ascii="Arial" w:hAnsi="Arial"/>
          <w:i/>
          <w:spacing w:val="-2"/>
          <w:sz w:val="20"/>
        </w:rPr>
        <w:t> </w:t>
      </w:r>
      <w:r>
        <w:rPr>
          <w:rFonts w:ascii="Arial" w:hAnsi="Arial"/>
          <w:i/>
          <w:sz w:val="20"/>
        </w:rPr>
        <w:t>[2011] 1</w:t>
      </w:r>
      <w:r>
        <w:rPr>
          <w:rFonts w:ascii="Arial" w:hAnsi="Arial"/>
          <w:i/>
          <w:spacing w:val="-3"/>
          <w:sz w:val="20"/>
        </w:rPr>
        <w:t> </w:t>
      </w:r>
      <w:r>
        <w:rPr>
          <w:rFonts w:ascii="Arial" w:hAnsi="Arial"/>
          <w:i/>
          <w:sz w:val="20"/>
        </w:rPr>
        <w:t>All</w:t>
      </w:r>
      <w:r>
        <w:rPr>
          <w:rFonts w:ascii="Arial" w:hAnsi="Arial"/>
          <w:i/>
          <w:spacing w:val="-3"/>
          <w:sz w:val="20"/>
        </w:rPr>
        <w:t> </w:t>
      </w:r>
      <w:r>
        <w:rPr>
          <w:rFonts w:ascii="Arial" w:hAnsi="Arial"/>
          <w:i/>
          <w:sz w:val="20"/>
        </w:rPr>
        <w:t>E.R.</w:t>
      </w:r>
      <w:r>
        <w:rPr>
          <w:rFonts w:ascii="Arial" w:hAnsi="Arial"/>
          <w:i/>
          <w:spacing w:val="-3"/>
          <w:sz w:val="20"/>
        </w:rPr>
        <w:t> </w:t>
      </w:r>
      <w:r>
        <w:rPr>
          <w:rFonts w:ascii="Arial" w:hAnsi="Arial"/>
          <w:i/>
          <w:sz w:val="20"/>
        </w:rPr>
        <w:t>190</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hAnsi="Arial"/>
          <w:i/>
          <w:sz w:val="20"/>
        </w:rPr>
        <w:t>Standard</w:t>
      </w:r>
      <w:r>
        <w:rPr>
          <w:rFonts w:ascii="Arial" w:hAnsi="Arial"/>
          <w:i/>
          <w:spacing w:val="-3"/>
          <w:sz w:val="20"/>
        </w:rPr>
        <w:t> </w:t>
      </w:r>
      <w:r>
        <w:rPr>
          <w:rFonts w:ascii="Arial" w:hAnsi="Arial"/>
          <w:i/>
          <w:sz w:val="20"/>
        </w:rPr>
        <w:t>Chartered</w:t>
      </w:r>
      <w:r>
        <w:rPr>
          <w:rFonts w:ascii="Arial" w:hAnsi="Arial"/>
          <w:i/>
          <w:spacing w:val="-3"/>
          <w:sz w:val="20"/>
        </w:rPr>
        <w:t> </w:t>
      </w:r>
      <w:r>
        <w:rPr>
          <w:rFonts w:ascii="Arial" w:hAnsi="Arial"/>
          <w:i/>
          <w:sz w:val="20"/>
        </w:rPr>
        <w:t>Bank</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Ceylon</w:t>
      </w:r>
      <w:r>
        <w:rPr>
          <w:rFonts w:ascii="Arial" w:hAnsi="Arial"/>
          <w:i/>
          <w:spacing w:val="-3"/>
          <w:sz w:val="20"/>
        </w:rPr>
        <w:t> </w:t>
      </w:r>
      <w:r>
        <w:rPr>
          <w:rFonts w:ascii="Arial" w:hAnsi="Arial"/>
          <w:i/>
          <w:sz w:val="20"/>
        </w:rPr>
        <w:t>Petroleum</w:t>
      </w:r>
      <w:r>
        <w:rPr>
          <w:rFonts w:ascii="Arial" w:hAnsi="Arial"/>
          <w:i/>
          <w:spacing w:val="-3"/>
          <w:sz w:val="20"/>
        </w:rPr>
        <w:t> </w:t>
      </w:r>
      <w:r>
        <w:rPr>
          <w:rFonts w:ascii="Arial" w:hAnsi="Arial"/>
          <w:i/>
          <w:sz w:val="20"/>
        </w:rPr>
        <w:t>Corp</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1785 (Comm)</w:t>
      </w:r>
      <w:r>
        <w:rPr>
          <w:sz w:val="20"/>
        </w:rPr>
        <w:t>; </w:t>
      </w:r>
      <w:r>
        <w:rPr>
          <w:rFonts w:ascii="Arial" w:hAnsi="Arial"/>
          <w:i/>
          <w:sz w:val="20"/>
        </w:rPr>
        <w:t>Credit Suisse International v Stichting Vestia Groep [2014] EWHC 3103 (Comm)</w:t>
      </w:r>
      <w:r>
        <w:rPr>
          <w:sz w:val="20"/>
        </w:rPr>
        <w:t>. cf. </w:t>
      </w:r>
      <w:r>
        <w:rPr>
          <w:rFonts w:ascii="Arial" w:hAnsi="Arial"/>
          <w:i/>
          <w:sz w:val="20"/>
        </w:rPr>
        <w:t>Janred Properties Ltd v ENIT [1989] 2 All E.R. 444</w:t>
      </w:r>
      <w:r>
        <w:rPr>
          <w:sz w:val="20"/>
        </w:rPr>
        <w:t>.</w:t>
      </w:r>
    </w:p>
    <w:p>
      <w:pPr>
        <w:pStyle w:val="BodyText"/>
        <w:spacing w:before="7"/>
      </w:pPr>
    </w:p>
    <w:p>
      <w:pPr>
        <w:pStyle w:val="BodyText"/>
        <w:spacing w:line="235" w:lineRule="auto"/>
        <w:ind w:left="705" w:right="166" w:hanging="541"/>
        <w:jc w:val="both"/>
      </w:pPr>
      <w:bookmarkStart w:name="_bookmark2302" w:id="2304"/>
      <w:bookmarkEnd w:id="2304"/>
      <w:r>
        <w:rPr/>
      </w:r>
      <w:hyperlink w:history="true" w:anchor="_bookmark2284">
        <w:r>
          <w:rPr>
            <w:color w:val="005DA1"/>
            <w:position w:val="5"/>
            <w:sz w:val="14"/>
            <w:u w:val="single" w:color="005DA1"/>
          </w:rPr>
          <w:t>1199</w:t>
        </w:r>
      </w:hyperlink>
      <w:r>
        <w:rPr>
          <w:position w:val="5"/>
          <w:sz w:val="14"/>
        </w:rPr>
        <w:t>.</w:t>
      </w:r>
      <w:r>
        <w:rPr>
          <w:spacing w:val="80"/>
          <w:w w:val="150"/>
          <w:position w:val="5"/>
          <w:sz w:val="14"/>
        </w:rPr>
        <w:t> </w:t>
      </w:r>
      <w:r>
        <w:rPr/>
        <w:t>There is little likelihood of this happening in practice where English law is the applicable law.</w:t>
      </w:r>
      <w:r>
        <w:rPr>
          <w:spacing w:val="40"/>
        </w:rPr>
        <w:t> </w:t>
      </w:r>
      <w:r>
        <w:rPr/>
        <w:t>The nearest English analogy is the now repealed law of Mortmain: see Dicey, Morris and Collins, 15th edn (2012), paras 30–022 et seq.</w:t>
      </w:r>
    </w:p>
    <w:p>
      <w:pPr>
        <w:pStyle w:val="BodyText"/>
        <w:spacing w:before="5"/>
      </w:pPr>
    </w:p>
    <w:p>
      <w:pPr>
        <w:pStyle w:val="BodyText"/>
        <w:ind w:left="165"/>
      </w:pPr>
      <w:bookmarkStart w:name="_bookmark2303" w:id="2305"/>
      <w:bookmarkEnd w:id="2305"/>
      <w:r>
        <w:rPr/>
      </w:r>
      <w:hyperlink w:history="true" w:anchor="_bookmark2285">
        <w:r>
          <w:rPr>
            <w:color w:val="005DA1"/>
            <w:position w:val="5"/>
            <w:sz w:val="14"/>
            <w:u w:val="single" w:color="005DA1"/>
          </w:rPr>
          <w:t>1200</w:t>
        </w:r>
      </w:hyperlink>
      <w:r>
        <w:rPr>
          <w:position w:val="5"/>
          <w:sz w:val="14"/>
        </w:rPr>
        <w:t>.</w:t>
      </w:r>
      <w:r>
        <w:rPr>
          <w:spacing w:val="55"/>
          <w:position w:val="5"/>
          <w:sz w:val="14"/>
        </w:rPr>
        <w:t>  </w:t>
      </w:r>
      <w:r>
        <w:rPr/>
        <w:t>Above,</w:t>
      </w:r>
      <w:r>
        <w:rPr>
          <w:spacing w:val="1"/>
        </w:rPr>
        <w:t> </w:t>
      </w:r>
      <w:r>
        <w:rPr/>
        <w:t>paras 30-040, 30-</w:t>
      </w:r>
      <w:r>
        <w:rPr>
          <w:spacing w:val="-4"/>
        </w:rPr>
        <w:t>157.</w:t>
      </w:r>
    </w:p>
    <w:p>
      <w:pPr>
        <w:pStyle w:val="BodyText"/>
        <w:spacing w:before="9"/>
      </w:pPr>
    </w:p>
    <w:p>
      <w:pPr>
        <w:pStyle w:val="BodyText"/>
        <w:spacing w:line="235" w:lineRule="auto"/>
        <w:ind w:left="705" w:hanging="541"/>
      </w:pPr>
      <w:bookmarkStart w:name="_bookmark2304" w:id="2306"/>
      <w:bookmarkEnd w:id="2306"/>
      <w:r>
        <w:rPr/>
      </w:r>
      <w:hyperlink w:history="true" w:anchor="_bookmark2286">
        <w:r>
          <w:rPr>
            <w:color w:val="005DA1"/>
            <w:position w:val="5"/>
            <w:sz w:val="14"/>
            <w:u w:val="single" w:color="005DA1"/>
          </w:rPr>
          <w:t>1201</w:t>
        </w:r>
      </w:hyperlink>
      <w:r>
        <w:rPr>
          <w:position w:val="5"/>
          <w:sz w:val="14"/>
        </w:rPr>
        <w:t>.</w:t>
      </w:r>
      <w:r>
        <w:rPr>
          <w:spacing w:val="80"/>
          <w:w w:val="150"/>
          <w:position w:val="5"/>
          <w:sz w:val="14"/>
        </w:rPr>
        <w:t> </w:t>
      </w:r>
      <w:r>
        <w:rPr/>
        <w:t>See Giuliano-Lagarde Report, p.12 where the example given is a limitation on power to </w:t>
      </w:r>
      <w:r>
        <w:rPr/>
        <w:t>acquire immovable property.</w:t>
      </w:r>
    </w:p>
    <w:p>
      <w:pPr>
        <w:pStyle w:val="BodyText"/>
        <w:spacing w:before="9"/>
      </w:pPr>
    </w:p>
    <w:p>
      <w:pPr>
        <w:pStyle w:val="BodyText"/>
        <w:spacing w:line="235" w:lineRule="auto" w:before="1"/>
        <w:ind w:left="705" w:hanging="541"/>
      </w:pPr>
      <w:bookmarkStart w:name="_bookmark2305" w:id="2307"/>
      <w:bookmarkEnd w:id="2307"/>
      <w:r>
        <w:rPr/>
      </w:r>
      <w:hyperlink w:history="true" w:anchor="_bookmark2287">
        <w:r>
          <w:rPr>
            <w:color w:val="005DA1"/>
            <w:position w:val="5"/>
            <w:sz w:val="14"/>
            <w:u w:val="single" w:color="005DA1"/>
          </w:rPr>
          <w:t>1202</w:t>
        </w:r>
      </w:hyperlink>
      <w:r>
        <w:rPr>
          <w:position w:val="5"/>
          <w:sz w:val="14"/>
        </w:rPr>
        <w:t>.</w:t>
      </w:r>
      <w:r>
        <w:rPr>
          <w:spacing w:val="40"/>
          <w:position w:val="5"/>
          <w:sz w:val="14"/>
        </w:rPr>
        <w:t>  </w:t>
      </w:r>
      <w:r>
        <w:rPr/>
        <w:t>Giuliano-Lagarde</w:t>
      </w:r>
      <w:r>
        <w:rPr>
          <w:spacing w:val="36"/>
        </w:rPr>
        <w:t> </w:t>
      </w:r>
      <w:r>
        <w:rPr/>
        <w:t>Report,</w:t>
      </w:r>
      <w:r>
        <w:rPr>
          <w:spacing w:val="36"/>
        </w:rPr>
        <w:t> </w:t>
      </w:r>
      <w:r>
        <w:rPr/>
        <w:t>p.13.</w:t>
      </w:r>
      <w:r>
        <w:rPr>
          <w:spacing w:val="36"/>
        </w:rPr>
        <w:t> </w:t>
      </w:r>
      <w:r>
        <w:rPr/>
        <w:t>See,</w:t>
      </w:r>
      <w:r>
        <w:rPr>
          <w:spacing w:val="36"/>
        </w:rPr>
        <w:t> </w:t>
      </w:r>
      <w:r>
        <w:rPr/>
        <w:t>too,</w:t>
      </w:r>
      <w:r>
        <w:rPr>
          <w:spacing w:val="36"/>
        </w:rPr>
        <w:t> </w:t>
      </w:r>
      <w:r>
        <w:rPr/>
        <w:t>Dicey,</w:t>
      </w:r>
      <w:r>
        <w:rPr>
          <w:spacing w:val="36"/>
        </w:rPr>
        <w:t> </w:t>
      </w:r>
      <w:r>
        <w:rPr/>
        <w:t>Morris</w:t>
      </w:r>
      <w:r>
        <w:rPr>
          <w:spacing w:val="36"/>
        </w:rPr>
        <w:t> </w:t>
      </w:r>
      <w:r>
        <w:rPr/>
        <w:t>and</w:t>
      </w:r>
      <w:r>
        <w:rPr>
          <w:spacing w:val="36"/>
        </w:rPr>
        <w:t> </w:t>
      </w:r>
      <w:r>
        <w:rPr/>
        <w:t>Collins,</w:t>
      </w:r>
      <w:r>
        <w:rPr>
          <w:spacing w:val="36"/>
        </w:rPr>
        <w:t> </w:t>
      </w:r>
      <w:r>
        <w:rPr/>
        <w:t>15th</w:t>
      </w:r>
      <w:r>
        <w:rPr>
          <w:spacing w:val="36"/>
        </w:rPr>
        <w:t> </w:t>
      </w:r>
      <w:r>
        <w:rPr/>
        <w:t>edn</w:t>
      </w:r>
      <w:r>
        <w:rPr>
          <w:spacing w:val="36"/>
        </w:rPr>
        <w:t> </w:t>
      </w:r>
      <w:r>
        <w:rPr/>
        <w:t>(2012),</w:t>
      </w:r>
      <w:r>
        <w:rPr>
          <w:spacing w:val="36"/>
        </w:rPr>
        <w:t> </w:t>
      </w:r>
      <w:r>
        <w:rPr/>
        <w:t>paras 30–022 et seq.</w:t>
      </w:r>
    </w:p>
    <w:p>
      <w:pPr>
        <w:pStyle w:val="BodyText"/>
        <w:spacing w:before="5"/>
      </w:pPr>
    </w:p>
    <w:p>
      <w:pPr>
        <w:pStyle w:val="BodyText"/>
        <w:ind w:left="165"/>
      </w:pPr>
      <w:bookmarkStart w:name="_bookmark2306" w:id="2308"/>
      <w:bookmarkEnd w:id="2308"/>
      <w:r>
        <w:rPr/>
      </w:r>
      <w:hyperlink w:history="true" w:anchor="_bookmark2288">
        <w:r>
          <w:rPr>
            <w:color w:val="005DA1"/>
            <w:position w:val="5"/>
            <w:sz w:val="14"/>
            <w:u w:val="single" w:color="005DA1"/>
          </w:rPr>
          <w:t>1203</w:t>
        </w:r>
      </w:hyperlink>
      <w:r>
        <w:rPr>
          <w:position w:val="5"/>
          <w:sz w:val="14"/>
        </w:rPr>
        <w:t>.</w:t>
      </w:r>
      <w:r>
        <w:rPr>
          <w:spacing w:val="55"/>
          <w:position w:val="5"/>
          <w:sz w:val="14"/>
        </w:rPr>
        <w:t>  </w:t>
      </w:r>
      <w:r>
        <w:rPr/>
        <w:t>Above,</w:t>
      </w:r>
      <w:r>
        <w:rPr>
          <w:spacing w:val="1"/>
        </w:rPr>
        <w:t> </w:t>
      </w:r>
      <w:r>
        <w:rPr/>
        <w:t>paras 30-040, 30-</w:t>
      </w:r>
      <w:r>
        <w:rPr>
          <w:spacing w:val="-4"/>
        </w:rPr>
        <w:t>157.</w:t>
      </w:r>
    </w:p>
    <w:p>
      <w:pPr>
        <w:pStyle w:val="BodyText"/>
        <w:spacing w:before="9"/>
      </w:pPr>
    </w:p>
    <w:p>
      <w:pPr>
        <w:pStyle w:val="BodyText"/>
        <w:spacing w:line="235" w:lineRule="auto"/>
        <w:ind w:left="705" w:hanging="541"/>
      </w:pPr>
      <w:bookmarkStart w:name="_bookmark2307" w:id="2309"/>
      <w:bookmarkEnd w:id="2309"/>
      <w:r>
        <w:rPr/>
      </w:r>
      <w:hyperlink w:history="true" w:anchor="_bookmark2289">
        <w:r>
          <w:rPr>
            <w:color w:val="005DA1"/>
            <w:position w:val="5"/>
            <w:sz w:val="14"/>
            <w:u w:val="single" w:color="005DA1"/>
          </w:rPr>
          <w:t>1204</w:t>
        </w:r>
      </w:hyperlink>
      <w:r>
        <w:rPr>
          <w:position w:val="5"/>
          <w:sz w:val="14"/>
        </w:rPr>
        <w:t>.</w:t>
      </w:r>
      <w:r>
        <w:rPr>
          <w:spacing w:val="40"/>
          <w:position w:val="5"/>
          <w:sz w:val="14"/>
        </w:rPr>
        <w:t>  </w:t>
      </w:r>
      <w:r>
        <w:rPr/>
        <w:t>art.11</w:t>
      </w:r>
      <w:r>
        <w:rPr>
          <w:spacing w:val="40"/>
        </w:rPr>
        <w:t> </w:t>
      </w:r>
      <w:r>
        <w:rPr/>
        <w:t>of</w:t>
      </w:r>
      <w:r>
        <w:rPr>
          <w:spacing w:val="40"/>
        </w:rPr>
        <w:t> </w:t>
      </w:r>
      <w:r>
        <w:rPr/>
        <w:t>the</w:t>
      </w:r>
      <w:r>
        <w:rPr>
          <w:spacing w:val="40"/>
        </w:rPr>
        <w:t> </w:t>
      </w:r>
      <w:r>
        <w:rPr/>
        <w:t>Convention</w:t>
      </w:r>
      <w:r>
        <w:rPr>
          <w:spacing w:val="40"/>
        </w:rPr>
        <w:t> </w:t>
      </w:r>
      <w:r>
        <w:rPr/>
        <w:t>and</w:t>
      </w:r>
      <w:r>
        <w:rPr>
          <w:spacing w:val="40"/>
        </w:rPr>
        <w:t> </w:t>
      </w:r>
      <w:r>
        <w:rPr/>
        <w:t>art.13</w:t>
      </w:r>
      <w:r>
        <w:rPr>
          <w:spacing w:val="40"/>
        </w:rPr>
        <w:t> </w:t>
      </w:r>
      <w:r>
        <w:rPr/>
        <w:t>of</w:t>
      </w:r>
      <w:r>
        <w:rPr>
          <w:spacing w:val="40"/>
        </w:rPr>
        <w:t> </w:t>
      </w:r>
      <w:r>
        <w:rPr/>
        <w:t>the</w:t>
      </w:r>
      <w:r>
        <w:rPr>
          <w:spacing w:val="40"/>
        </w:rPr>
        <w:t> </w:t>
      </w:r>
      <w:r>
        <w:rPr/>
        <w:t>Regulation</w:t>
      </w:r>
      <w:r>
        <w:rPr>
          <w:spacing w:val="40"/>
        </w:rPr>
        <w:t> </w:t>
      </w:r>
      <w:r>
        <w:rPr/>
        <w:t>(above,</w:t>
      </w:r>
      <w:r>
        <w:rPr>
          <w:spacing w:val="40"/>
        </w:rPr>
        <w:t> </w:t>
      </w:r>
      <w:r>
        <w:rPr/>
        <w:t>para.30-325)</w:t>
      </w:r>
      <w:r>
        <w:rPr>
          <w:spacing w:val="40"/>
        </w:rPr>
        <w:t> </w:t>
      </w:r>
      <w:r>
        <w:rPr/>
        <w:t>only</w:t>
      </w:r>
      <w:r>
        <w:rPr>
          <w:spacing w:val="40"/>
        </w:rPr>
        <w:t> </w:t>
      </w:r>
      <w:r>
        <w:rPr/>
        <w:t>apply</w:t>
      </w:r>
      <w:r>
        <w:rPr>
          <w:spacing w:val="40"/>
        </w:rPr>
        <w:t> </w:t>
      </w:r>
      <w:r>
        <w:rPr/>
        <w:t>to contracts entered into by natural persons.</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5. - Scope of the Applicable </w:t>
      </w:r>
      <w:r>
        <w:rPr>
          <w:rFonts w:ascii="Arial"/>
          <w:b/>
          <w:spacing w:val="-5"/>
          <w:sz w:val="24"/>
        </w:rPr>
        <w:t>Law</w:t>
      </w:r>
    </w:p>
    <w:p>
      <w:pPr>
        <w:spacing w:before="194"/>
        <w:ind w:left="3285" w:right="0" w:firstLine="0"/>
        <w:jc w:val="left"/>
        <w:rPr>
          <w:rFonts w:ascii="Arial"/>
          <w:b/>
          <w:position w:val="11"/>
          <w:sz w:val="12"/>
        </w:rPr>
      </w:pPr>
      <w:bookmarkStart w:name="_bookmark2308" w:id="2310"/>
      <w:bookmarkEnd w:id="2310"/>
      <w:r>
        <w:rPr/>
      </w:r>
      <w:r>
        <w:rPr>
          <w:rFonts w:ascii="Arial"/>
          <w:b/>
          <w:sz w:val="24"/>
        </w:rPr>
        <w:t>(d)</w:t>
      </w:r>
      <w:r>
        <w:rPr>
          <w:rFonts w:ascii="Arial"/>
          <w:b/>
          <w:spacing w:val="-2"/>
          <w:sz w:val="24"/>
        </w:rPr>
        <w:t> </w:t>
      </w:r>
      <w:r>
        <w:rPr>
          <w:rFonts w:ascii="Arial"/>
          <w:b/>
          <w:sz w:val="24"/>
        </w:rPr>
        <w:t>- Particular Issues</w:t>
      </w:r>
      <w:r>
        <w:rPr>
          <w:rFonts w:ascii="Arial"/>
          <w:b/>
          <w:spacing w:val="-1"/>
          <w:sz w:val="24"/>
        </w:rPr>
        <w:t> </w:t>
      </w:r>
      <w:r>
        <w:rPr>
          <w:rFonts w:ascii="Arial"/>
          <w:b/>
          <w:color w:val="005DA1"/>
          <w:spacing w:val="-4"/>
          <w:position w:val="11"/>
          <w:sz w:val="12"/>
          <w:u w:val="single" w:color="005DA1"/>
        </w:rPr>
        <w:t>1205</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2"/>
        <w:rPr>
          <w:rFonts w:ascii="Arial"/>
          <w:b/>
          <w:sz w:val="18"/>
        </w:rPr>
      </w:pPr>
    </w:p>
    <w:p>
      <w:pPr>
        <w:pStyle w:val="Heading2"/>
      </w:pPr>
      <w:r>
        <w:rPr/>
        <w:t>30-</w:t>
      </w:r>
      <w:r>
        <w:rPr>
          <w:spacing w:val="-5"/>
        </w:rPr>
        <w:t>327</w:t>
      </w:r>
    </w:p>
    <w:p>
      <w:pPr>
        <w:pStyle w:val="BodyText"/>
        <w:spacing w:line="235" w:lineRule="auto" w:before="202"/>
        <w:ind w:left="164" w:right="167"/>
        <w:jc w:val="both"/>
      </w:pPr>
      <w:r>
        <w:rPr/>
        <w:t>Article 10(1) of the Rome Convention and art.12 of the Rome I Regulation, which are expressed in virtually identical language, and each of which is entitled “Scope of the applicable law”, stipulate that </w:t>
      </w:r>
      <w:bookmarkStart w:name="_bookmark2309" w:id="2311"/>
      <w:bookmarkEnd w:id="2311"/>
      <w:r>
        <w:rPr/>
        <w:t>the</w:t>
      </w:r>
      <w:r>
        <w:rPr>
          <w:spacing w:val="-1"/>
        </w:rPr>
        <w:t> </w:t>
      </w:r>
      <w:r>
        <w:rPr/>
        <w:t>law</w:t>
      </w:r>
      <w:r>
        <w:rPr>
          <w:spacing w:val="-1"/>
        </w:rPr>
        <w:t> </w:t>
      </w:r>
      <w:r>
        <w:rPr/>
        <w:t>applicable</w:t>
      </w:r>
      <w:r>
        <w:rPr>
          <w:spacing w:val="-1"/>
        </w:rPr>
        <w:t> </w:t>
      </w:r>
      <w:r>
        <w:rPr/>
        <w:t>to</w:t>
      </w:r>
      <w:r>
        <w:rPr>
          <w:spacing w:val="-1"/>
        </w:rPr>
        <w:t> </w:t>
      </w:r>
      <w:r>
        <w:rPr/>
        <w:t>a</w:t>
      </w:r>
      <w:r>
        <w:rPr>
          <w:spacing w:val="-1"/>
        </w:rPr>
        <w:t> </w:t>
      </w:r>
      <w:r>
        <w:rPr/>
        <w:t>contract</w:t>
      </w:r>
      <w:r>
        <w:rPr>
          <w:spacing w:val="-1"/>
        </w:rPr>
        <w:t> </w:t>
      </w:r>
      <w:r>
        <w:rPr/>
        <w:t>by</w:t>
      </w:r>
      <w:r>
        <w:rPr>
          <w:spacing w:val="-1"/>
        </w:rPr>
        <w:t> </w:t>
      </w:r>
      <w:r>
        <w:rPr/>
        <w:t>virtue</w:t>
      </w:r>
      <w:r>
        <w:rPr>
          <w:spacing w:val="-1"/>
        </w:rPr>
        <w:t> </w:t>
      </w:r>
      <w:r>
        <w:rPr/>
        <w:t>of</w:t>
      </w:r>
      <w:r>
        <w:rPr>
          <w:spacing w:val="-1"/>
        </w:rPr>
        <w:t> </w:t>
      </w:r>
      <w:r>
        <w:rPr/>
        <w:t>the</w:t>
      </w:r>
      <w:r>
        <w:rPr>
          <w:spacing w:val="-1"/>
        </w:rPr>
        <w:t> </w:t>
      </w:r>
      <w:r>
        <w:rPr/>
        <w:t>Convention</w:t>
      </w:r>
      <w:r>
        <w:rPr>
          <w:spacing w:val="-1"/>
        </w:rPr>
        <w:t> </w:t>
      </w:r>
      <w:r>
        <w:rPr/>
        <w:t>or</w:t>
      </w:r>
      <w:r>
        <w:rPr>
          <w:spacing w:val="-1"/>
        </w:rPr>
        <w:t> </w:t>
      </w:r>
      <w:r>
        <w:rPr/>
        <w:t>the</w:t>
      </w:r>
      <w:r>
        <w:rPr>
          <w:spacing w:val="-1"/>
        </w:rPr>
        <w:t> </w:t>
      </w:r>
      <w:r>
        <w:rPr/>
        <w:t>Regulation</w:t>
      </w:r>
      <w:r>
        <w:rPr>
          <w:spacing w:val="-1"/>
        </w:rPr>
        <w:t> </w:t>
      </w:r>
      <w:r>
        <w:rPr/>
        <w:t>will</w:t>
      </w:r>
      <w:r>
        <w:rPr>
          <w:spacing w:val="-1"/>
        </w:rPr>
        <w:t> </w:t>
      </w:r>
      <w:r>
        <w:rPr/>
        <w:t>govern</w:t>
      </w:r>
      <w:r>
        <w:rPr>
          <w:spacing w:val="-1"/>
        </w:rPr>
        <w:t> </w:t>
      </w:r>
      <w:r>
        <w:rPr/>
        <w:t>“in</w:t>
      </w:r>
      <w:r>
        <w:rPr>
          <w:spacing w:val="-1"/>
        </w:rPr>
        <w:t> </w:t>
      </w:r>
      <w:r>
        <w:rPr/>
        <w:t>particular” the following matters: interpretation </w:t>
      </w:r>
      <w:r>
        <w:rPr>
          <w:color w:val="005DA1"/>
          <w:u w:val="single" w:color="005DA1"/>
          <w:vertAlign w:val="superscript"/>
        </w:rPr>
        <w:t>1206</w:t>
      </w:r>
      <w:r>
        <w:rPr>
          <w:vertAlign w:val="baseline"/>
        </w:rPr>
        <w:t>; performance </w:t>
      </w:r>
      <w:r>
        <w:rPr>
          <w:color w:val="005DA1"/>
          <w:u w:val="single" w:color="005DA1"/>
          <w:vertAlign w:val="superscript"/>
        </w:rPr>
        <w:t>1207</w:t>
      </w:r>
      <w:r>
        <w:rPr>
          <w:vertAlign w:val="baseline"/>
        </w:rPr>
        <w:t>; within the limits of the powers conferred on </w:t>
      </w:r>
      <w:bookmarkStart w:name="_bookmark2310" w:id="2312"/>
      <w:bookmarkEnd w:id="2312"/>
      <w:r>
        <w:rPr>
          <w:vertAlign w:val="baseline"/>
        </w:rPr>
        <w:t>the</w:t>
      </w:r>
      <w:r>
        <w:rPr>
          <w:vertAlign w:val="baseline"/>
        </w:rPr>
        <w:t> court by its procedural law, the consequences of breach, including the assessment of damages </w:t>
      </w:r>
      <w:r>
        <w:rPr>
          <w:vertAlign w:val="baseline"/>
        </w:rPr>
        <w:t>in </w:t>
      </w:r>
      <w:bookmarkStart w:name="_bookmark2311" w:id="2313"/>
      <w:bookmarkEnd w:id="2313"/>
      <w:r>
        <w:rPr>
          <w:vertAlign w:val="baseline"/>
        </w:rPr>
        <w:t>so</w:t>
      </w:r>
      <w:r>
        <w:rPr>
          <w:vertAlign w:val="baseline"/>
        </w:rPr>
        <w:t> far as it is governed by rules of law </w:t>
      </w:r>
      <w:r>
        <w:rPr>
          <w:color w:val="005DA1"/>
          <w:u w:val="single" w:color="005DA1"/>
          <w:vertAlign w:val="superscript"/>
        </w:rPr>
        <w:t>1208</w:t>
      </w:r>
      <w:r>
        <w:rPr>
          <w:vertAlign w:val="baseline"/>
        </w:rPr>
        <w:t>; the various ways of extinguishing obligations, and prescription and limitation of actions, </w:t>
      </w:r>
      <w:r>
        <w:rPr>
          <w:color w:val="005DA1"/>
          <w:u w:val="single" w:color="005DA1"/>
          <w:vertAlign w:val="superscript"/>
        </w:rPr>
        <w:t>1209</w:t>
      </w:r>
      <w:r>
        <w:rPr>
          <w:color w:val="005DA1"/>
          <w:vertAlign w:val="baseline"/>
        </w:rPr>
        <w:t> </w:t>
      </w:r>
      <w:r>
        <w:rPr>
          <w:vertAlign w:val="baseline"/>
        </w:rPr>
        <w:t>and the consequences of nullity of the contract. </w:t>
      </w:r>
      <w:r>
        <w:rPr>
          <w:color w:val="005DA1"/>
          <w:u w:val="single" w:color="005DA1"/>
          <w:vertAlign w:val="superscript"/>
        </w:rPr>
        <w:t>1210</w:t>
      </w:r>
    </w:p>
    <w:p>
      <w:pPr>
        <w:pStyle w:val="BodyText"/>
      </w:pPr>
    </w:p>
    <w:p>
      <w:pPr>
        <w:pStyle w:val="BodyText"/>
        <w:spacing w:before="36"/>
      </w:pPr>
    </w:p>
    <w:p>
      <w:pPr>
        <w:spacing w:before="0"/>
        <w:ind w:left="165" w:right="0" w:firstLine="0"/>
        <w:jc w:val="left"/>
        <w:rPr>
          <w:rFonts w:ascii="Arial"/>
          <w:b/>
          <w:sz w:val="18"/>
        </w:rPr>
      </w:pPr>
      <w:r>
        <w:rPr>
          <w:rFonts w:ascii="Arial"/>
          <w:b/>
          <w:sz w:val="18"/>
        </w:rPr>
        <w:t>Rome Convention: consequences of </w:t>
      </w:r>
      <w:r>
        <w:rPr>
          <w:rFonts w:ascii="Arial"/>
          <w:b/>
          <w:spacing w:val="-2"/>
          <w:sz w:val="18"/>
        </w:rPr>
        <w:t>nullity</w:t>
      </w:r>
    </w:p>
    <w:p>
      <w:pPr>
        <w:pStyle w:val="BodyText"/>
        <w:spacing w:before="41"/>
        <w:rPr>
          <w:rFonts w:ascii="Arial"/>
          <w:b/>
          <w:sz w:val="18"/>
        </w:rPr>
      </w:pPr>
    </w:p>
    <w:p>
      <w:pPr>
        <w:pStyle w:val="Heading2"/>
        <w:spacing w:before="1"/>
      </w:pPr>
      <w:r>
        <w:rPr/>
        <w:t>30-</w:t>
      </w:r>
      <w:r>
        <w:rPr>
          <w:spacing w:val="-5"/>
        </w:rPr>
        <w:t>328</w:t>
      </w:r>
    </w:p>
    <w:p>
      <w:pPr>
        <w:pStyle w:val="BodyText"/>
        <w:spacing w:line="235" w:lineRule="auto" w:before="202"/>
        <w:ind w:left="165" w:right="168"/>
        <w:jc w:val="both"/>
      </w:pPr>
      <w:r>
        <w:rPr/>
        <w:t>In</w:t>
      </w:r>
      <w:r>
        <w:rPr>
          <w:spacing w:val="-1"/>
        </w:rPr>
        <w:t> </w:t>
      </w:r>
      <w:r>
        <w:rPr/>
        <w:t>relation</w:t>
      </w:r>
      <w:r>
        <w:rPr>
          <w:spacing w:val="-1"/>
        </w:rPr>
        <w:t> </w:t>
      </w:r>
      <w:r>
        <w:rPr/>
        <w:t>to</w:t>
      </w:r>
      <w:r>
        <w:rPr>
          <w:spacing w:val="-1"/>
        </w:rPr>
        <w:t> </w:t>
      </w:r>
      <w:r>
        <w:rPr/>
        <w:t>the</w:t>
      </w:r>
      <w:r>
        <w:rPr>
          <w:spacing w:val="-1"/>
        </w:rPr>
        <w:t> </w:t>
      </w:r>
      <w:r>
        <w:rPr/>
        <w:t>last</w:t>
      </w:r>
      <w:r>
        <w:rPr>
          <w:spacing w:val="-1"/>
        </w:rPr>
        <w:t> </w:t>
      </w:r>
      <w:r>
        <w:rPr/>
        <w:t>issue</w:t>
      </w:r>
      <w:r>
        <w:rPr>
          <w:spacing w:val="-1"/>
        </w:rPr>
        <w:t> </w:t>
      </w:r>
      <w:r>
        <w:rPr/>
        <w:t>it</w:t>
      </w:r>
      <w:r>
        <w:rPr>
          <w:spacing w:val="-1"/>
        </w:rPr>
        <w:t> </w:t>
      </w:r>
      <w:r>
        <w:rPr/>
        <w:t>must,</w:t>
      </w:r>
      <w:r>
        <w:rPr>
          <w:spacing w:val="-1"/>
        </w:rPr>
        <w:t> </w:t>
      </w:r>
      <w:r>
        <w:rPr/>
        <w:t>however,</w:t>
      </w:r>
      <w:r>
        <w:rPr>
          <w:spacing w:val="-1"/>
        </w:rPr>
        <w:t> </w:t>
      </w:r>
      <w:r>
        <w:rPr/>
        <w:t>be</w:t>
      </w:r>
      <w:r>
        <w:rPr>
          <w:spacing w:val="-1"/>
        </w:rPr>
        <w:t> </w:t>
      </w:r>
      <w:r>
        <w:rPr/>
        <w:t>immediately</w:t>
      </w:r>
      <w:r>
        <w:rPr>
          <w:spacing w:val="-1"/>
        </w:rPr>
        <w:t> </w:t>
      </w:r>
      <w:r>
        <w:rPr/>
        <w:t>pointed</w:t>
      </w:r>
      <w:r>
        <w:rPr>
          <w:spacing w:val="-1"/>
        </w:rPr>
        <w:t> </w:t>
      </w:r>
      <w:r>
        <w:rPr/>
        <w:t>out</w:t>
      </w:r>
      <w:r>
        <w:rPr>
          <w:spacing w:val="-1"/>
        </w:rPr>
        <w:t> </w:t>
      </w:r>
      <w:r>
        <w:rPr/>
        <w:t>that</w:t>
      </w:r>
      <w:r>
        <w:rPr>
          <w:spacing w:val="-1"/>
        </w:rPr>
        <w:t> </w:t>
      </w:r>
      <w:r>
        <w:rPr/>
        <w:t>in</w:t>
      </w:r>
      <w:r>
        <w:rPr>
          <w:spacing w:val="-1"/>
        </w:rPr>
        <w:t> </w:t>
      </w:r>
      <w:r>
        <w:rPr/>
        <w:t>cases</w:t>
      </w:r>
      <w:r>
        <w:rPr>
          <w:spacing w:val="-1"/>
        </w:rPr>
        <w:t> </w:t>
      </w:r>
      <w:r>
        <w:rPr/>
        <w:t>falling</w:t>
      </w:r>
      <w:r>
        <w:rPr>
          <w:spacing w:val="-1"/>
        </w:rPr>
        <w:t> </w:t>
      </w:r>
      <w:r>
        <w:rPr/>
        <w:t>within</w:t>
      </w:r>
      <w:r>
        <w:rPr>
          <w:spacing w:val="-1"/>
        </w:rPr>
        <w:t> </w:t>
      </w:r>
      <w:r>
        <w:rPr/>
        <w:t>the Rome Convention, the applicable law will </w:t>
      </w:r>
      <w:r>
        <w:rPr>
          <w:rFonts w:ascii="Arial"/>
          <w:i/>
        </w:rPr>
        <w:t>not </w:t>
      </w:r>
      <w:r>
        <w:rPr/>
        <w:t>be applied to determine the consequences of nullity of the contract in United Kingdom law. This is because the Convention recognises the power of </w:t>
      </w:r>
      <w:bookmarkStart w:name="_bookmark2312" w:id="2314"/>
      <w:bookmarkEnd w:id="2314"/>
      <w:r>
        <w:rPr/>
        <w:t>contracting</w:t>
      </w:r>
      <w:r>
        <w:rPr>
          <w:spacing w:val="-1"/>
        </w:rPr>
        <w:t> </w:t>
      </w:r>
      <w:r>
        <w:rPr/>
        <w:t>states</w:t>
      </w:r>
      <w:r>
        <w:rPr>
          <w:spacing w:val="-1"/>
        </w:rPr>
        <w:t> </w:t>
      </w:r>
      <w:r>
        <w:rPr/>
        <w:t>to</w:t>
      </w:r>
      <w:r>
        <w:rPr>
          <w:spacing w:val="-1"/>
        </w:rPr>
        <w:t> </w:t>
      </w:r>
      <w:r>
        <w:rPr/>
        <w:t>enter</w:t>
      </w:r>
      <w:r>
        <w:rPr>
          <w:spacing w:val="-1"/>
        </w:rPr>
        <w:t> </w:t>
      </w:r>
      <w:r>
        <w:rPr/>
        <w:t>a</w:t>
      </w:r>
      <w:r>
        <w:rPr>
          <w:spacing w:val="-1"/>
        </w:rPr>
        <w:t> </w:t>
      </w:r>
      <w:r>
        <w:rPr/>
        <w:t>reservation</w:t>
      </w:r>
      <w:r>
        <w:rPr>
          <w:spacing w:val="-1"/>
        </w:rPr>
        <w:t> </w:t>
      </w:r>
      <w:r>
        <w:rPr/>
        <w:t>to</w:t>
      </w:r>
      <w:r>
        <w:rPr>
          <w:spacing w:val="-1"/>
        </w:rPr>
        <w:t> </w:t>
      </w:r>
      <w:r>
        <w:rPr/>
        <w:t>this</w:t>
      </w:r>
      <w:r>
        <w:rPr>
          <w:spacing w:val="-1"/>
        </w:rPr>
        <w:t> </w:t>
      </w:r>
      <w:r>
        <w:rPr/>
        <w:t>particular</w:t>
      </w:r>
      <w:r>
        <w:rPr>
          <w:spacing w:val="-1"/>
        </w:rPr>
        <w:t> </w:t>
      </w:r>
      <w:r>
        <w:rPr/>
        <w:t>provision,</w:t>
      </w:r>
      <w:r>
        <w:rPr>
          <w:spacing w:val="-1"/>
        </w:rPr>
        <w:t> </w:t>
      </w:r>
      <w:r>
        <w:rPr/>
        <w:t>which</w:t>
      </w:r>
      <w:r>
        <w:rPr>
          <w:spacing w:val="-1"/>
        </w:rPr>
        <w:t> </w:t>
      </w:r>
      <w:r>
        <w:rPr/>
        <w:t>power</w:t>
      </w:r>
      <w:r>
        <w:rPr>
          <w:spacing w:val="-1"/>
        </w:rPr>
        <w:t> </w:t>
      </w:r>
      <w:r>
        <w:rPr/>
        <w:t>was</w:t>
      </w:r>
      <w:r>
        <w:rPr>
          <w:spacing w:val="-1"/>
        </w:rPr>
        <w:t> </w:t>
      </w:r>
      <w:r>
        <w:rPr/>
        <w:t>exercised</w:t>
      </w:r>
      <w:r>
        <w:rPr>
          <w:spacing w:val="-1"/>
        </w:rPr>
        <w:t> </w:t>
      </w:r>
      <w:r>
        <w:rPr/>
        <w:t>by</w:t>
      </w:r>
      <w:r>
        <w:rPr>
          <w:spacing w:val="-1"/>
        </w:rPr>
        <w:t> </w:t>
      </w:r>
      <w:r>
        <w:rPr/>
        <w:t>the United Kingdom. </w:t>
      </w:r>
      <w:r>
        <w:rPr>
          <w:color w:val="005DA1"/>
          <w:u w:val="single" w:color="005DA1"/>
          <w:vertAlign w:val="superscript"/>
        </w:rPr>
        <w:t>1211</w:t>
      </w:r>
      <w:r>
        <w:rPr>
          <w:color w:val="005DA1"/>
          <w:vertAlign w:val="baseline"/>
        </w:rPr>
        <w:t> </w:t>
      </w:r>
      <w:r>
        <w:rPr>
          <w:vertAlign w:val="baseline"/>
        </w:rPr>
        <w:t>Accordingly, art.10(1)(e) does not have the force of law in the United Kingdom. </w:t>
      </w:r>
      <w:r>
        <w:rPr>
          <w:color w:val="005DA1"/>
          <w:u w:val="single" w:color="005DA1"/>
          <w:vertAlign w:val="superscript"/>
        </w:rPr>
        <w:t>1212</w:t>
      </w:r>
      <w:r>
        <w:rPr>
          <w:color w:val="005DA1"/>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of</w:t>
      </w:r>
      <w:r>
        <w:rPr>
          <w:spacing w:val="-2"/>
          <w:vertAlign w:val="baseline"/>
        </w:rPr>
        <w:t> </w:t>
      </w:r>
      <w:r>
        <w:rPr>
          <w:vertAlign w:val="baseline"/>
        </w:rPr>
        <w:t>United</w:t>
      </w:r>
      <w:r>
        <w:rPr>
          <w:spacing w:val="-2"/>
          <w:vertAlign w:val="baseline"/>
        </w:rPr>
        <w:t> </w:t>
      </w:r>
      <w:r>
        <w:rPr>
          <w:vertAlign w:val="baseline"/>
        </w:rPr>
        <w:t>Kingdom</w:t>
      </w:r>
      <w:r>
        <w:rPr>
          <w:spacing w:val="-2"/>
          <w:vertAlign w:val="baseline"/>
        </w:rPr>
        <w:t> </w:t>
      </w:r>
      <w:r>
        <w:rPr>
          <w:vertAlign w:val="baseline"/>
        </w:rPr>
        <w:t>jurisdictions</w:t>
      </w:r>
      <w:r>
        <w:rPr>
          <w:spacing w:val="-2"/>
          <w:vertAlign w:val="baseline"/>
        </w:rPr>
        <w:t> </w:t>
      </w:r>
      <w:r>
        <w:rPr>
          <w:vertAlign w:val="baseline"/>
        </w:rPr>
        <w:t>the</w:t>
      </w:r>
      <w:r>
        <w:rPr>
          <w:spacing w:val="-2"/>
          <w:vertAlign w:val="baseline"/>
        </w:rPr>
        <w:t> </w:t>
      </w:r>
      <w:r>
        <w:rPr>
          <w:vertAlign w:val="baseline"/>
        </w:rPr>
        <w:t>consequences</w:t>
      </w:r>
      <w:r>
        <w:rPr>
          <w:spacing w:val="-2"/>
          <w:vertAlign w:val="baseline"/>
        </w:rPr>
        <w:t> </w:t>
      </w:r>
      <w:r>
        <w:rPr>
          <w:vertAlign w:val="baseline"/>
        </w:rPr>
        <w:t>of</w:t>
      </w:r>
      <w:r>
        <w:rPr>
          <w:spacing w:val="-2"/>
          <w:vertAlign w:val="baseline"/>
        </w:rPr>
        <w:t> </w:t>
      </w:r>
      <w:r>
        <w:rPr>
          <w:vertAlign w:val="baseline"/>
        </w:rPr>
        <w:t>nullity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belong</w:t>
      </w:r>
      <w:r>
        <w:rPr>
          <w:spacing w:val="-2"/>
          <w:vertAlign w:val="baseline"/>
        </w:rPr>
        <w:t> </w:t>
      </w:r>
      <w:r>
        <w:rPr>
          <w:vertAlign w:val="baseline"/>
        </w:rPr>
        <w:t>to</w:t>
      </w:r>
      <w:r>
        <w:rPr>
          <w:spacing w:val="-2"/>
          <w:vertAlign w:val="baseline"/>
        </w:rPr>
        <w:t> </w:t>
      </w:r>
      <w:r>
        <w:rPr>
          <w:vertAlign w:val="baseline"/>
        </w:rPr>
        <w:t>the </w:t>
      </w:r>
      <w:bookmarkStart w:name="_bookmark2313" w:id="2315"/>
      <w:bookmarkEnd w:id="2315"/>
      <w:r>
        <w:rPr>
          <w:vertAlign w:val="baseline"/>
        </w:rPr>
        <w:t>law</w:t>
      </w:r>
      <w:r>
        <w:rPr>
          <w:vertAlign w:val="baseline"/>
        </w:rPr>
        <w:t> of restitution, and, as such, the relevant choice of law rules are those applicable to restitution rather those applicable to contractual obligations. </w:t>
      </w:r>
      <w:r>
        <w:rPr>
          <w:color w:val="005DA1"/>
          <w:u w:val="single" w:color="005DA1"/>
          <w:vertAlign w:val="superscript"/>
        </w:rPr>
        <w:t>1213</w:t>
      </w:r>
      <w:r>
        <w:rPr>
          <w:color w:val="005DA1"/>
          <w:vertAlign w:val="baseline"/>
        </w:rPr>
        <w:t> </w:t>
      </w:r>
      <w:r>
        <w:rPr>
          <w:vertAlign w:val="baseline"/>
        </w:rPr>
        <w:t>This may, however be affected by the Rome II Regulation which contains choice of law rules on unjust enrichment which is apt to include the consequences of nullity of a contract, but this is most unclear as the latter concept is to be interpreted in an autonomous fashion and since, as pointed out below, the consequences of nullity of a contract are under the Rome I Regulation, a matter for the law applicable to the contract, it may well be that </w:t>
      </w:r>
      <w:bookmarkStart w:name="_bookmark2314" w:id="2316"/>
      <w:bookmarkEnd w:id="2316"/>
      <w:r>
        <w:rPr>
          <w:vertAlign w:val="baseline"/>
        </w:rPr>
        <w:t>unjust</w:t>
      </w:r>
      <w:r>
        <w:rPr>
          <w:vertAlign w:val="baseline"/>
        </w:rPr>
        <w:t> enrichment under the Rome II Regulation on the law applicable to non-contractual obligations will be interpreted to exclude this issue from its scope. </w:t>
      </w:r>
      <w:r>
        <w:rPr>
          <w:color w:val="005DA1"/>
          <w:u w:val="single" w:color="005DA1"/>
          <w:vertAlign w:val="superscript"/>
        </w:rPr>
        <w:t>1214</w:t>
      </w:r>
    </w:p>
    <w:p>
      <w:pPr>
        <w:pStyle w:val="BodyText"/>
      </w:pPr>
    </w:p>
    <w:p>
      <w:pPr>
        <w:pStyle w:val="BodyText"/>
        <w:spacing w:before="33"/>
      </w:pPr>
    </w:p>
    <w:p>
      <w:pPr>
        <w:spacing w:before="1"/>
        <w:ind w:left="165" w:right="0" w:firstLine="0"/>
        <w:jc w:val="left"/>
        <w:rPr>
          <w:rFonts w:ascii="Arial"/>
          <w:b/>
          <w:sz w:val="18"/>
        </w:rPr>
      </w:pPr>
      <w:r>
        <w:rPr>
          <w:rFonts w:ascii="Arial"/>
          <w:b/>
          <w:sz w:val="18"/>
        </w:rPr>
        <w:t>Rome I Regulation: consequences of </w:t>
      </w:r>
      <w:r>
        <w:rPr>
          <w:rFonts w:ascii="Arial"/>
          <w:b/>
          <w:spacing w:val="-2"/>
          <w:sz w:val="18"/>
        </w:rPr>
        <w:t>nullity</w:t>
      </w:r>
    </w:p>
    <w:p>
      <w:pPr>
        <w:pStyle w:val="BodyText"/>
        <w:spacing w:before="41"/>
        <w:rPr>
          <w:rFonts w:ascii="Arial"/>
          <w:b/>
          <w:sz w:val="18"/>
        </w:rPr>
      </w:pPr>
    </w:p>
    <w:p>
      <w:pPr>
        <w:pStyle w:val="Heading2"/>
      </w:pPr>
      <w:r>
        <w:rPr/>
        <w:t>30-</w:t>
      </w:r>
      <w:r>
        <w:rPr>
          <w:spacing w:val="-5"/>
        </w:rPr>
        <w:t>329</w:t>
      </w:r>
    </w:p>
    <w:p>
      <w:pPr>
        <w:pStyle w:val="BodyText"/>
        <w:spacing w:line="235" w:lineRule="auto" w:before="202"/>
        <w:ind w:left="165" w:right="167"/>
        <w:jc w:val="both"/>
      </w:pPr>
      <w:bookmarkStart w:name="_bookmark2315" w:id="2317"/>
      <w:bookmarkEnd w:id="2317"/>
      <w:r>
        <w:rPr/>
      </w:r>
      <w:r>
        <w:rPr/>
        <w:t>In contrast to the position under the Rome Convention, the law applicable to the contract under the Rome I Regulation will apply to determine the consequences of nullity of a contract </w:t>
      </w:r>
      <w:r>
        <w:rPr>
          <w:color w:val="005DA1"/>
          <w:u w:val="single" w:color="005DA1"/>
          <w:vertAlign w:val="superscript"/>
        </w:rPr>
        <w:t>1215</w:t>
      </w:r>
      <w:r>
        <w:rPr>
          <w:color w:val="005DA1"/>
          <w:vertAlign w:val="baseline"/>
        </w:rPr>
        <w:t> </w:t>
      </w:r>
      <w:r>
        <w:rPr>
          <w:vertAlign w:val="baseline"/>
        </w:rPr>
        <w:t>and Member States have no power to make a reservation on the matter. This would seem to mean that, under </w:t>
      </w:r>
      <w:r>
        <w:rPr>
          <w:vertAlign w:val="baseline"/>
        </w:rPr>
        <w:t>the </w:t>
      </w:r>
      <w:bookmarkStart w:name="_bookmark2316" w:id="2318"/>
      <w:bookmarkEnd w:id="2318"/>
      <w:r>
        <w:rPr>
          <w:vertAlign w:val="baseline"/>
        </w:rPr>
        <w:t>Rome</w:t>
      </w:r>
      <w:r>
        <w:rPr>
          <w:vertAlign w:val="baseline"/>
        </w:rPr>
        <w:t> I Regulation, the law applicable to the contract, or which would have been applicable to the contract had it been valid, </w:t>
      </w:r>
      <w:r>
        <w:rPr>
          <w:color w:val="005DA1"/>
          <w:u w:val="single" w:color="005DA1"/>
          <w:vertAlign w:val="superscript"/>
        </w:rPr>
        <w:t>1216</w:t>
      </w:r>
      <w:r>
        <w:rPr>
          <w:color w:val="005DA1"/>
          <w:vertAlign w:val="baseline"/>
        </w:rPr>
        <w:t> </w:t>
      </w:r>
      <w:r>
        <w:rPr>
          <w:vertAlign w:val="baseline"/>
        </w:rPr>
        <w:t>will be the governing law rather than the rules governing unjust enrichment</w:t>
      </w:r>
      <w:r>
        <w:rPr>
          <w:spacing w:val="50"/>
          <w:vertAlign w:val="baseline"/>
        </w:rPr>
        <w:t> </w:t>
      </w:r>
      <w:r>
        <w:rPr>
          <w:vertAlign w:val="baseline"/>
        </w:rPr>
        <w:t>contained</w:t>
      </w:r>
      <w:r>
        <w:rPr>
          <w:spacing w:val="50"/>
          <w:vertAlign w:val="baseline"/>
        </w:rPr>
        <w:t> </w:t>
      </w:r>
      <w:r>
        <w:rPr>
          <w:vertAlign w:val="baseline"/>
        </w:rPr>
        <w:t>in</w:t>
      </w:r>
      <w:r>
        <w:rPr>
          <w:spacing w:val="50"/>
          <w:vertAlign w:val="baseline"/>
        </w:rPr>
        <w:t> </w:t>
      </w:r>
      <w:r>
        <w:rPr>
          <w:vertAlign w:val="baseline"/>
        </w:rPr>
        <w:t>the</w:t>
      </w:r>
      <w:r>
        <w:rPr>
          <w:spacing w:val="50"/>
          <w:vertAlign w:val="baseline"/>
        </w:rPr>
        <w:t> </w:t>
      </w:r>
      <w:r>
        <w:rPr>
          <w:vertAlign w:val="baseline"/>
        </w:rPr>
        <w:t>Rome</w:t>
      </w:r>
      <w:r>
        <w:rPr>
          <w:spacing w:val="50"/>
          <w:vertAlign w:val="baseline"/>
        </w:rPr>
        <w:t> </w:t>
      </w:r>
      <w:r>
        <w:rPr>
          <w:vertAlign w:val="baseline"/>
        </w:rPr>
        <w:t>II</w:t>
      </w:r>
      <w:r>
        <w:rPr>
          <w:spacing w:val="50"/>
          <w:vertAlign w:val="baseline"/>
        </w:rPr>
        <w:t> </w:t>
      </w:r>
      <w:r>
        <w:rPr>
          <w:vertAlign w:val="baseline"/>
        </w:rPr>
        <w:t>Regulation,</w:t>
      </w:r>
      <w:r>
        <w:rPr>
          <w:spacing w:val="50"/>
          <w:vertAlign w:val="baseline"/>
        </w:rPr>
        <w:t> </w:t>
      </w:r>
      <w:r>
        <w:rPr>
          <w:vertAlign w:val="baseline"/>
        </w:rPr>
        <w:t>because</w:t>
      </w:r>
      <w:r>
        <w:rPr>
          <w:spacing w:val="50"/>
          <w:vertAlign w:val="baseline"/>
        </w:rPr>
        <w:t> </w:t>
      </w:r>
      <w:r>
        <w:rPr>
          <w:vertAlign w:val="baseline"/>
        </w:rPr>
        <w:t>of</w:t>
      </w:r>
      <w:r>
        <w:rPr>
          <w:spacing w:val="50"/>
          <w:vertAlign w:val="baseline"/>
        </w:rPr>
        <w:t> </w:t>
      </w:r>
      <w:r>
        <w:rPr>
          <w:vertAlign w:val="baseline"/>
        </w:rPr>
        <w:t>the</w:t>
      </w:r>
      <w:r>
        <w:rPr>
          <w:spacing w:val="50"/>
          <w:vertAlign w:val="baseline"/>
        </w:rPr>
        <w:t> </w:t>
      </w:r>
      <w:r>
        <w:rPr>
          <w:vertAlign w:val="baseline"/>
        </w:rPr>
        <w:t>principle</w:t>
      </w:r>
      <w:r>
        <w:rPr>
          <w:spacing w:val="50"/>
          <w:vertAlign w:val="baseline"/>
        </w:rPr>
        <w:t> </w:t>
      </w:r>
      <w:r>
        <w:rPr>
          <w:vertAlign w:val="baseline"/>
        </w:rPr>
        <w:t>of</w:t>
      </w:r>
      <w:r>
        <w:rPr>
          <w:spacing w:val="50"/>
          <w:vertAlign w:val="baseline"/>
        </w:rPr>
        <w:t> </w:t>
      </w:r>
      <w:r>
        <w:rPr>
          <w:vertAlign w:val="baseline"/>
        </w:rPr>
        <w:t>mutually</w:t>
      </w:r>
      <w:r>
        <w:rPr>
          <w:spacing w:val="50"/>
          <w:vertAlign w:val="baseline"/>
        </w:rPr>
        <w:t> </w:t>
      </w:r>
      <w:r>
        <w:rPr>
          <w:spacing w:val="-2"/>
          <w:vertAlign w:val="baseline"/>
        </w:rPr>
        <w:t>exclusive</w:t>
      </w:r>
    </w:p>
    <w:p>
      <w:pPr>
        <w:pStyle w:val="BodyText"/>
        <w:spacing w:after="0" w:line="235" w:lineRule="auto"/>
        <w:jc w:val="both"/>
        <w:sectPr>
          <w:headerReference w:type="default" r:id="rId33"/>
          <w:pgSz w:w="11900" w:h="16840"/>
          <w:pgMar w:header="971" w:footer="0" w:top="1300" w:bottom="280" w:left="1275" w:right="1275"/>
          <w:pgNumType w:start="1"/>
        </w:sectPr>
      </w:pPr>
    </w:p>
    <w:p>
      <w:pPr>
        <w:pStyle w:val="BodyText"/>
        <w:spacing w:before="106"/>
        <w:ind w:left="165"/>
        <w:jc w:val="both"/>
      </w:pPr>
      <w:bookmarkStart w:name="_bookmark2317" w:id="2319"/>
      <w:bookmarkEnd w:id="2319"/>
      <w:r>
        <w:rPr/>
      </w:r>
      <w:r>
        <w:rPr/>
        <w:t>interpretation, as between the Rome I Regulation and the Rome II Regulation, described above.</w:t>
      </w:r>
      <w:r>
        <w:rPr>
          <w:spacing w:val="-2"/>
        </w:rPr>
        <w:t> </w:t>
      </w:r>
      <w:r>
        <w:rPr>
          <w:color w:val="005DA1"/>
          <w:spacing w:val="-4"/>
          <w:u w:val="single" w:color="005DA1"/>
          <w:vertAlign w:val="superscript"/>
        </w:rPr>
        <w:t>1217</w:t>
      </w:r>
    </w:p>
    <w:p>
      <w:pPr>
        <w:pStyle w:val="BodyText"/>
      </w:pPr>
    </w:p>
    <w:p>
      <w:pPr>
        <w:pStyle w:val="BodyText"/>
        <w:spacing w:before="38"/>
      </w:pPr>
    </w:p>
    <w:p>
      <w:pPr>
        <w:spacing w:before="0"/>
        <w:ind w:left="165" w:right="0" w:firstLine="0"/>
        <w:jc w:val="left"/>
        <w:rPr>
          <w:rFonts w:ascii="Arial"/>
          <w:b/>
          <w:sz w:val="18"/>
        </w:rPr>
      </w:pPr>
      <w:r>
        <w:rPr>
          <w:rFonts w:ascii="Arial"/>
          <w:b/>
          <w:sz w:val="18"/>
        </w:rPr>
        <w:t>Overlapping </w:t>
      </w:r>
      <w:r>
        <w:rPr>
          <w:rFonts w:ascii="Arial"/>
          <w:b/>
          <w:spacing w:val="-2"/>
          <w:sz w:val="18"/>
        </w:rPr>
        <w:t>categories</w:t>
      </w:r>
    </w:p>
    <w:p>
      <w:pPr>
        <w:pStyle w:val="BodyText"/>
        <w:spacing w:before="41"/>
        <w:rPr>
          <w:rFonts w:ascii="Arial"/>
          <w:b/>
          <w:sz w:val="18"/>
        </w:rPr>
      </w:pPr>
    </w:p>
    <w:p>
      <w:pPr>
        <w:pStyle w:val="Heading2"/>
      </w:pPr>
      <w:r>
        <w:rPr/>
        <w:t>30-</w:t>
      </w:r>
      <w:r>
        <w:rPr>
          <w:spacing w:val="-5"/>
        </w:rPr>
        <w:t>330</w:t>
      </w:r>
    </w:p>
    <w:p>
      <w:pPr>
        <w:pStyle w:val="BodyText"/>
        <w:spacing w:line="235" w:lineRule="auto" w:before="203"/>
        <w:ind w:left="164" w:right="167"/>
        <w:jc w:val="both"/>
      </w:pPr>
      <w:r>
        <w:rPr/>
        <w:t>Questions may arise, of course, which overlap the particular categories of issue expressly referred to </w:t>
      </w:r>
      <w:bookmarkStart w:name="_bookmark2318" w:id="2320"/>
      <w:bookmarkEnd w:id="2320"/>
      <w:r>
        <w:rPr/>
        <w:t>in</w:t>
      </w:r>
      <w:r>
        <w:rPr/>
        <w:t> art.10(1) of the Convention and art.12(1) of the Regulation. For example whether a contract has been frustrated may relate to interpretation, or performance, or to the extinguishing of obligations, </w:t>
      </w:r>
      <w:r>
        <w:rPr>
          <w:color w:val="005DA1"/>
          <w:u w:val="single" w:color="005DA1"/>
          <w:vertAlign w:val="superscript"/>
        </w:rPr>
        <w:t>1218</w:t>
      </w:r>
      <w:r>
        <w:rPr>
          <w:color w:val="005DA1"/>
          <w:vertAlign w:val="baseline"/>
        </w:rPr>
        <w:t> </w:t>
      </w:r>
      <w:bookmarkStart w:name="_bookmark2319" w:id="2321"/>
      <w:bookmarkEnd w:id="2321"/>
      <w:r>
        <w:rPr>
          <w:color w:val="005DA1"/>
          <w:w w:val="92"/>
          <w:vertAlign w:val="baseline"/>
        </w:rPr>
      </w:r>
      <w:r>
        <w:rPr>
          <w:vertAlign w:val="baseline"/>
        </w:rPr>
        <w:t>while, in respect of the Rome I Regulation, the question may relate to the consequences of nullity of the contract. </w:t>
      </w:r>
      <w:r>
        <w:rPr>
          <w:color w:val="005DA1"/>
          <w:u w:val="single" w:color="005DA1"/>
          <w:vertAlign w:val="superscript"/>
        </w:rPr>
        <w:t>1219</w:t>
      </w:r>
      <w:r>
        <w:rPr>
          <w:color w:val="005DA1"/>
          <w:vertAlign w:val="baseline"/>
        </w:rPr>
        <w:t> </w:t>
      </w:r>
      <w:r>
        <w:rPr>
          <w:vertAlign w:val="baseline"/>
        </w:rPr>
        <w:t>But since the applicable law governs all of these issues, no practical consequence can result from placing frustration (or any other overlapping question) in one category or another.</w:t>
      </w:r>
    </w:p>
    <w:p>
      <w:pPr>
        <w:pStyle w:val="BodyText"/>
      </w:pPr>
    </w:p>
    <w:p>
      <w:pPr>
        <w:pStyle w:val="BodyText"/>
        <w:spacing w:before="36"/>
      </w:pPr>
    </w:p>
    <w:p>
      <w:pPr>
        <w:spacing w:before="0"/>
        <w:ind w:left="164" w:right="0" w:firstLine="0"/>
        <w:jc w:val="left"/>
        <w:rPr>
          <w:rFonts w:ascii="Arial"/>
          <w:b/>
          <w:sz w:val="18"/>
        </w:rPr>
      </w:pPr>
      <w:r>
        <w:rPr>
          <w:rFonts w:ascii="Arial"/>
          <w:b/>
          <w:sz w:val="18"/>
        </w:rPr>
        <w:t>Non-exhaustive </w:t>
      </w:r>
      <w:r>
        <w:rPr>
          <w:rFonts w:ascii="Arial"/>
          <w:b/>
          <w:spacing w:val="-4"/>
          <w:sz w:val="18"/>
        </w:rPr>
        <w:t>list</w:t>
      </w:r>
    </w:p>
    <w:p>
      <w:pPr>
        <w:pStyle w:val="BodyText"/>
        <w:spacing w:before="41"/>
        <w:rPr>
          <w:rFonts w:ascii="Arial"/>
          <w:b/>
          <w:sz w:val="18"/>
        </w:rPr>
      </w:pPr>
    </w:p>
    <w:p>
      <w:pPr>
        <w:pStyle w:val="Heading2"/>
        <w:spacing w:before="1"/>
        <w:ind w:left="164"/>
      </w:pPr>
      <w:r>
        <w:rPr/>
        <w:t>30-</w:t>
      </w:r>
      <w:r>
        <w:rPr>
          <w:spacing w:val="-5"/>
        </w:rPr>
        <w:t>331</w:t>
      </w:r>
    </w:p>
    <w:p>
      <w:pPr>
        <w:pStyle w:val="BodyText"/>
        <w:spacing w:line="235" w:lineRule="auto" w:before="202"/>
        <w:ind w:left="165" w:right="167"/>
        <w:jc w:val="both"/>
      </w:pPr>
      <w:bookmarkStart w:name="_bookmark2320" w:id="2322"/>
      <w:bookmarkEnd w:id="2322"/>
      <w:r>
        <w:rPr/>
      </w:r>
      <w:r>
        <w:rPr/>
        <w:t>The list of issues in art.10(1) and art.12(1) is not intended to be exhaustive, </w:t>
      </w:r>
      <w:r>
        <w:rPr>
          <w:color w:val="005DA1"/>
          <w:u w:val="single" w:color="005DA1"/>
          <w:vertAlign w:val="superscript"/>
        </w:rPr>
        <w:t>1220</w:t>
      </w:r>
      <w:r>
        <w:rPr>
          <w:color w:val="005DA1"/>
          <w:vertAlign w:val="baseline"/>
        </w:rPr>
        <w:t> </w:t>
      </w:r>
      <w:r>
        <w:rPr>
          <w:vertAlign w:val="baseline"/>
        </w:rPr>
        <w:t>so that </w:t>
      </w:r>
      <w:r>
        <w:rPr>
          <w:vertAlign w:val="baseline"/>
        </w:rPr>
        <w:t>in </w:t>
      </w:r>
      <w:bookmarkStart w:name="_bookmark2321" w:id="2323"/>
      <w:bookmarkEnd w:id="2323"/>
      <w:r>
        <w:rPr>
          <w:vertAlign w:val="baseline"/>
        </w:rPr>
        <w:t>consequence,</w:t>
      </w:r>
      <w:r>
        <w:rPr>
          <w:vertAlign w:val="baseline"/>
        </w:rPr>
        <w:t> national courts may refer other issues which may arise in a contractual context to the law which governs the contract. Some of these issues are discussed at a later point. </w:t>
      </w:r>
      <w:r>
        <w:rPr>
          <w:color w:val="005DA1"/>
          <w:u w:val="single" w:color="005DA1"/>
          <w:vertAlign w:val="superscript"/>
        </w:rPr>
        <w:t>1221</w:t>
      </w:r>
    </w:p>
    <w:p>
      <w:pPr>
        <w:pStyle w:val="BodyText"/>
      </w:pPr>
    </w:p>
    <w:p>
      <w:pPr>
        <w:pStyle w:val="BodyText"/>
        <w:spacing w:before="38"/>
      </w:pPr>
    </w:p>
    <w:p>
      <w:pPr>
        <w:spacing w:before="0"/>
        <w:ind w:left="165" w:right="0" w:firstLine="0"/>
        <w:jc w:val="left"/>
        <w:rPr>
          <w:rFonts w:ascii="Arial"/>
          <w:b/>
          <w:sz w:val="18"/>
        </w:rPr>
      </w:pPr>
      <w:r>
        <w:rPr>
          <w:rFonts w:ascii="Arial"/>
          <w:b/>
          <w:spacing w:val="-2"/>
          <w:sz w:val="18"/>
        </w:rPr>
        <w:t>Interpretation</w:t>
      </w:r>
    </w:p>
    <w:p>
      <w:pPr>
        <w:pStyle w:val="BodyText"/>
        <w:spacing w:before="41"/>
        <w:rPr>
          <w:rFonts w:ascii="Arial"/>
          <w:b/>
          <w:sz w:val="18"/>
        </w:rPr>
      </w:pPr>
    </w:p>
    <w:p>
      <w:pPr>
        <w:pStyle w:val="Heading2"/>
      </w:pPr>
      <w:r>
        <w:rPr/>
        <w:t>30-</w:t>
      </w:r>
      <w:r>
        <w:rPr>
          <w:spacing w:val="-5"/>
        </w:rPr>
        <w:t>332</w:t>
      </w:r>
    </w:p>
    <w:p>
      <w:pPr>
        <w:pStyle w:val="BodyText"/>
        <w:spacing w:line="235" w:lineRule="auto" w:before="203"/>
        <w:ind w:left="164" w:right="167"/>
        <w:jc w:val="both"/>
      </w:pPr>
      <w:bookmarkStart w:name="_bookmark2322" w:id="2324"/>
      <w:bookmarkEnd w:id="2324"/>
      <w:r>
        <w:rPr/>
      </w:r>
      <w:r>
        <w:rPr/>
        <w:t>At common law, a contract was construed and interpreted according to the canons of construction</w:t>
      </w:r>
      <w:r>
        <w:rPr>
          <w:spacing w:val="40"/>
        </w:rPr>
        <w:t> </w:t>
      </w:r>
      <w:bookmarkStart w:name="_bookmark2323" w:id="2325"/>
      <w:bookmarkEnd w:id="2325"/>
      <w:r>
        <w:rPr/>
        <w:t>that</w:t>
      </w:r>
      <w:r>
        <w:rPr/>
        <w:t> prevailed in the law applicable to the contract. </w:t>
      </w:r>
      <w:r>
        <w:rPr>
          <w:color w:val="005DA1"/>
          <w:u w:val="single" w:color="005DA1"/>
          <w:vertAlign w:val="superscript"/>
        </w:rPr>
        <w:t>1222</w:t>
      </w:r>
      <w:r>
        <w:rPr>
          <w:color w:val="005DA1"/>
          <w:vertAlign w:val="baseline"/>
        </w:rPr>
        <w:t> </w:t>
      </w:r>
      <w:r>
        <w:rPr>
          <w:vertAlign w:val="baseline"/>
        </w:rPr>
        <w:t>The same principle is adopted in the Rome Convention</w:t>
      </w:r>
      <w:r>
        <w:rPr>
          <w:spacing w:val="-1"/>
          <w:vertAlign w:val="baseline"/>
        </w:rPr>
        <w:t> </w:t>
      </w:r>
      <w:r>
        <w:rPr>
          <w:color w:val="005DA1"/>
          <w:u w:val="single" w:color="005DA1"/>
          <w:vertAlign w:val="superscript"/>
        </w:rPr>
        <w:t>1223</w:t>
      </w:r>
      <w:r>
        <w:rPr>
          <w:color w:val="005DA1"/>
          <w:spacing w:val="-1"/>
          <w:vertAlign w:val="baseline"/>
        </w:rPr>
        <w:t> </w:t>
      </w:r>
      <w:r>
        <w:rPr>
          <w:vertAlign w:val="baseline"/>
        </w:rPr>
        <w:t>and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Rome</w:t>
      </w:r>
      <w:r>
        <w:rPr>
          <w:spacing w:val="-1"/>
          <w:vertAlign w:val="baseline"/>
        </w:rPr>
        <w:t> </w:t>
      </w:r>
      <w:r>
        <w:rPr>
          <w:vertAlign w:val="baseline"/>
        </w:rPr>
        <w:t>I</w:t>
      </w:r>
      <w:r>
        <w:rPr>
          <w:spacing w:val="-1"/>
          <w:vertAlign w:val="baseline"/>
        </w:rPr>
        <w:t> </w:t>
      </w:r>
      <w:r>
        <w:rPr>
          <w:vertAlign w:val="baseline"/>
        </w:rPr>
        <w:t>Regulation.</w:t>
      </w:r>
      <w:r>
        <w:rPr>
          <w:spacing w:val="-1"/>
          <w:vertAlign w:val="baseline"/>
        </w:rPr>
        <w:t> </w:t>
      </w:r>
      <w:r>
        <w:rPr>
          <w:color w:val="005DA1"/>
          <w:u w:val="single" w:color="005DA1"/>
          <w:vertAlign w:val="superscript"/>
        </w:rPr>
        <w:t>1224</w:t>
      </w:r>
      <w:r>
        <w:rPr>
          <w:color w:val="005DA1"/>
          <w:spacing w:val="-1"/>
          <w:vertAlign w:val="baseline"/>
        </w:rPr>
        <w:t> </w:t>
      </w:r>
      <w:r>
        <w:rPr>
          <w:vertAlign w:val="baseline"/>
        </w:rPr>
        <w:t>Thus</w:t>
      </w:r>
      <w:r>
        <w:rPr>
          <w:spacing w:val="-1"/>
          <w:vertAlign w:val="baseline"/>
        </w:rPr>
        <w:t> </w:t>
      </w:r>
      <w:r>
        <w:rPr>
          <w:vertAlign w:val="baseline"/>
        </w:rPr>
        <w:t>the</w:t>
      </w:r>
      <w:r>
        <w:rPr>
          <w:spacing w:val="-1"/>
          <w:vertAlign w:val="baseline"/>
        </w:rPr>
        <w:t> </w:t>
      </w:r>
      <w:r>
        <w:rPr>
          <w:vertAlign w:val="baseline"/>
        </w:rPr>
        <w:t>applicable</w:t>
      </w:r>
      <w:r>
        <w:rPr>
          <w:spacing w:val="-1"/>
          <w:vertAlign w:val="baseline"/>
        </w:rPr>
        <w:t> </w:t>
      </w:r>
      <w:r>
        <w:rPr>
          <w:vertAlign w:val="baseline"/>
        </w:rPr>
        <w:t>law</w:t>
      </w:r>
      <w:r>
        <w:rPr>
          <w:spacing w:val="-1"/>
          <w:vertAlign w:val="baseline"/>
        </w:rPr>
        <w:t> </w:t>
      </w:r>
      <w:r>
        <w:rPr>
          <w:vertAlign w:val="baseline"/>
        </w:rPr>
        <w:t>will</w:t>
      </w:r>
      <w:r>
        <w:rPr>
          <w:spacing w:val="-1"/>
          <w:vertAlign w:val="baseline"/>
        </w:rPr>
        <w:t> </w:t>
      </w:r>
      <w:r>
        <w:rPr>
          <w:vertAlign w:val="baseline"/>
        </w:rPr>
        <w:t>determine</w:t>
      </w:r>
      <w:r>
        <w:rPr>
          <w:spacing w:val="-1"/>
          <w:vertAlign w:val="baseline"/>
        </w:rPr>
        <w:t> </w:t>
      </w:r>
      <w:r>
        <w:rPr>
          <w:vertAlign w:val="baseline"/>
        </w:rPr>
        <w:t>the</w:t>
      </w:r>
      <w:r>
        <w:rPr>
          <w:spacing w:val="-1"/>
          <w:vertAlign w:val="baseline"/>
        </w:rPr>
        <w:t> </w:t>
      </w:r>
      <w:r>
        <w:rPr>
          <w:vertAlign w:val="baseline"/>
        </w:rPr>
        <w:t>meaning </w:t>
      </w:r>
      <w:bookmarkStart w:name="_bookmark2324" w:id="2326"/>
      <w:bookmarkEnd w:id="2326"/>
      <w:r>
        <w:rPr>
          <w:vertAlign w:val="baseline"/>
        </w:rPr>
        <w:t>to</w:t>
      </w:r>
      <w:r>
        <w:rPr>
          <w:vertAlign w:val="baseline"/>
        </w:rPr>
        <w:t> be given to particular words or phrases in the contract, for example the meaning of payment in “gold”, </w:t>
      </w:r>
      <w:r>
        <w:rPr>
          <w:color w:val="005DA1"/>
          <w:u w:val="single" w:color="005DA1"/>
          <w:vertAlign w:val="superscript"/>
        </w:rPr>
        <w:t>1225</w:t>
      </w:r>
      <w:r>
        <w:rPr>
          <w:color w:val="005DA1"/>
          <w:vertAlign w:val="baseline"/>
        </w:rPr>
        <w:t> </w:t>
      </w:r>
      <w:r>
        <w:rPr>
          <w:vertAlign w:val="baseline"/>
        </w:rPr>
        <w:t>“pounds” </w:t>
      </w:r>
      <w:r>
        <w:rPr>
          <w:color w:val="005DA1"/>
          <w:u w:val="single" w:color="005DA1"/>
          <w:vertAlign w:val="superscript"/>
        </w:rPr>
        <w:t>1226</w:t>
      </w:r>
      <w:r>
        <w:rPr>
          <w:color w:val="005DA1"/>
          <w:vertAlign w:val="baseline"/>
        </w:rPr>
        <w:t> </w:t>
      </w:r>
      <w:r>
        <w:rPr>
          <w:vertAlign w:val="baseline"/>
        </w:rPr>
        <w:t>or “shillings”. </w:t>
      </w:r>
      <w:r>
        <w:rPr>
          <w:color w:val="005DA1"/>
          <w:u w:val="single" w:color="005DA1"/>
          <w:vertAlign w:val="superscript"/>
        </w:rPr>
        <w:t>1227</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Performance</w:t>
      </w:r>
    </w:p>
    <w:p>
      <w:pPr>
        <w:pStyle w:val="BodyText"/>
        <w:spacing w:before="42"/>
        <w:rPr>
          <w:rFonts w:ascii="Arial"/>
          <w:b/>
          <w:sz w:val="18"/>
        </w:rPr>
      </w:pPr>
    </w:p>
    <w:p>
      <w:pPr>
        <w:pStyle w:val="Heading2"/>
      </w:pPr>
      <w:r>
        <w:rPr/>
        <w:t>30-</w:t>
      </w:r>
      <w:r>
        <w:rPr>
          <w:spacing w:val="-5"/>
        </w:rPr>
        <w:t>333</w:t>
      </w:r>
    </w:p>
    <w:p>
      <w:pPr>
        <w:pStyle w:val="BodyText"/>
        <w:spacing w:line="235" w:lineRule="auto" w:before="202"/>
        <w:ind w:left="165" w:right="167"/>
        <w:jc w:val="both"/>
      </w:pPr>
      <w:bookmarkStart w:name="_bookmark2325" w:id="2327"/>
      <w:bookmarkEnd w:id="2327"/>
      <w:r>
        <w:rPr/>
      </w:r>
      <w:r>
        <w:rPr/>
        <w:t>Article 10(1)(b) of the Rome Convention and art.12(1)(b) of the Rome I Regulation provide that </w:t>
      </w:r>
      <w:r>
        <w:rPr/>
        <w:t>the applicable law shall govern “performance” of the contract. </w:t>
      </w:r>
      <w:r>
        <w:rPr>
          <w:color w:val="005DA1"/>
          <w:u w:val="single" w:color="005DA1"/>
          <w:vertAlign w:val="superscript"/>
        </w:rPr>
        <w:t>1228</w:t>
      </w:r>
      <w:r>
        <w:rPr>
          <w:color w:val="005DA1"/>
          <w:vertAlign w:val="baseline"/>
        </w:rPr>
        <w:t> </w:t>
      </w:r>
      <w:r>
        <w:rPr>
          <w:vertAlign w:val="baseline"/>
        </w:rPr>
        <w:t>The scope of these provisions must, initially, be delimited by reference to art.10(2) of the Convention and art.12(2) of the Regulation, each of which provide that in:</w:t>
      </w:r>
    </w:p>
    <w:p>
      <w:pPr>
        <w:pStyle w:val="BodyText"/>
      </w:pPr>
    </w:p>
    <w:p>
      <w:pPr>
        <w:pStyle w:val="BodyText"/>
        <w:spacing w:before="125"/>
      </w:pPr>
    </w:p>
    <w:p>
      <w:pPr>
        <w:pStyle w:val="BodyText"/>
        <w:spacing w:line="235" w:lineRule="auto" w:before="1"/>
        <w:ind w:left="1245" w:right="167"/>
        <w:jc w:val="both"/>
      </w:pPr>
      <w:r>
        <w:rPr/>
        <w:t>“… relation to the manner of performance and the steps to be taken in the event </w:t>
      </w:r>
      <w:r>
        <w:rPr/>
        <w:t>of defective performance regard shall be had to the law of the country in which performance takes place.”</w:t>
      </w:r>
    </w:p>
    <w:p>
      <w:pPr>
        <w:pStyle w:val="BodyText"/>
        <w:spacing w:before="115"/>
      </w:pPr>
    </w:p>
    <w:p>
      <w:pPr>
        <w:pStyle w:val="BodyText"/>
        <w:spacing w:line="235" w:lineRule="auto"/>
        <w:ind w:left="165" w:right="167"/>
        <w:jc w:val="both"/>
      </w:pPr>
      <w:bookmarkStart w:name="_bookmark2326" w:id="2328"/>
      <w:bookmarkEnd w:id="2328"/>
      <w:r>
        <w:rPr/>
      </w:r>
      <w:r>
        <w:rPr/>
        <w:t>The distinction between “performance” and “manner of performance” is the distinction between the </w:t>
      </w:r>
      <w:bookmarkStart w:name="_bookmark2327" w:id="2329"/>
      <w:bookmarkEnd w:id="2329"/>
      <w:r>
        <w:rPr/>
        <w:t>substance</w:t>
      </w:r>
      <w:r>
        <w:rPr/>
        <w:t> of the obligation to be performed and the mode of performance of that obligation. </w:t>
      </w:r>
      <w:r>
        <w:rPr>
          <w:color w:val="005DA1"/>
          <w:u w:val="single" w:color="005DA1"/>
          <w:vertAlign w:val="superscript"/>
        </w:rPr>
        <w:t>1229</w:t>
      </w:r>
      <w:r>
        <w:rPr>
          <w:color w:val="005DA1"/>
          <w:vertAlign w:val="baseline"/>
        </w:rPr>
        <w:t> </w:t>
      </w:r>
      <w:bookmarkStart w:name="_bookmark2328" w:id="2330"/>
      <w:bookmarkEnd w:id="2330"/>
      <w:r>
        <w:rPr>
          <w:color w:val="005DA1"/>
          <w:w w:val="92"/>
          <w:vertAlign w:val="baseline"/>
        </w:rPr>
      </w:r>
      <w:r>
        <w:rPr>
          <w:vertAlign w:val="baseline"/>
        </w:rPr>
        <w:t>Whereas the former matter is governed by the law applicable to the contract, </w:t>
      </w:r>
      <w:r>
        <w:rPr>
          <w:color w:val="005DA1"/>
          <w:u w:val="single" w:color="005DA1"/>
          <w:vertAlign w:val="superscript"/>
        </w:rPr>
        <w:t>1230</w:t>
      </w:r>
      <w:r>
        <w:rPr>
          <w:color w:val="005DA1"/>
          <w:vertAlign w:val="baseline"/>
        </w:rPr>
        <w:t> </w:t>
      </w:r>
      <w:r>
        <w:rPr>
          <w:vertAlign w:val="baseline"/>
        </w:rPr>
        <w:t>the latter question is </w:t>
      </w:r>
      <w:bookmarkStart w:name="_bookmark2329" w:id="2331"/>
      <w:bookmarkEnd w:id="2331"/>
      <w:r>
        <w:rPr>
          <w:vertAlign w:val="baseline"/>
        </w:rPr>
        <w:t>governed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place</w:t>
      </w:r>
      <w:r>
        <w:rPr>
          <w:spacing w:val="-2"/>
          <w:vertAlign w:val="baseline"/>
        </w:rPr>
        <w:t> </w:t>
      </w:r>
      <w:r>
        <w:rPr>
          <w:vertAlign w:val="baseline"/>
        </w:rPr>
        <w:t>of</w:t>
      </w:r>
      <w:r>
        <w:rPr>
          <w:spacing w:val="-2"/>
          <w:vertAlign w:val="baseline"/>
        </w:rPr>
        <w:t> </w:t>
      </w:r>
      <w:r>
        <w:rPr>
          <w:vertAlign w:val="baseline"/>
        </w:rPr>
        <w:t>performance</w:t>
      </w:r>
      <w:r>
        <w:rPr>
          <w:spacing w:val="-2"/>
          <w:vertAlign w:val="baseline"/>
        </w:rPr>
        <w:t> </w:t>
      </w:r>
      <w:r>
        <w:rPr>
          <w:color w:val="005DA1"/>
          <w:u w:val="single" w:color="005DA1"/>
          <w:vertAlign w:val="superscript"/>
        </w:rPr>
        <w:t>1231</w:t>
      </w:r>
      <w:r>
        <w:rPr>
          <w:color w:val="005DA1"/>
          <w:spacing w:val="-2"/>
          <w:vertAlign w:val="baseline"/>
        </w:rPr>
        <w:t> </w:t>
      </w:r>
      <w:r>
        <w:rPr>
          <w:vertAlign w:val="baseline"/>
        </w:rPr>
        <w:t>which</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a</w:t>
      </w:r>
      <w:r>
        <w:rPr>
          <w:spacing w:val="-2"/>
          <w:vertAlign w:val="baseline"/>
        </w:rPr>
        <w:t> </w:t>
      </w:r>
      <w:r>
        <w:rPr>
          <w:vertAlign w:val="baseline"/>
        </w:rPr>
        <w:t>law</w:t>
      </w:r>
      <w:r>
        <w:rPr>
          <w:spacing w:val="-2"/>
          <w:vertAlign w:val="baseline"/>
        </w:rPr>
        <w:t> </w:t>
      </w:r>
      <w:r>
        <w:rPr>
          <w:vertAlign w:val="baseline"/>
        </w:rPr>
        <w:t>other</w:t>
      </w:r>
      <w:r>
        <w:rPr>
          <w:spacing w:val="-2"/>
          <w:vertAlign w:val="baseline"/>
        </w:rPr>
        <w:t> </w:t>
      </w:r>
      <w:r>
        <w:rPr>
          <w:vertAlign w:val="baseline"/>
        </w:rPr>
        <w:t>than</w:t>
      </w:r>
      <w:r>
        <w:rPr>
          <w:spacing w:val="-2"/>
          <w:vertAlign w:val="baseline"/>
        </w:rPr>
        <w:t> </w:t>
      </w:r>
      <w:r>
        <w:rPr>
          <w:vertAlign w:val="baseline"/>
        </w:rPr>
        <w:t>the</w:t>
      </w:r>
      <w:r>
        <w:rPr>
          <w:spacing w:val="-2"/>
          <w:vertAlign w:val="baseline"/>
        </w:rPr>
        <w:t> </w:t>
      </w:r>
      <w:r>
        <w:rPr>
          <w:vertAlign w:val="baseline"/>
        </w:rPr>
        <w:t>governing</w:t>
      </w:r>
      <w:r>
        <w:rPr>
          <w:spacing w:val="-2"/>
          <w:vertAlign w:val="baseline"/>
        </w:rPr>
        <w:t> </w:t>
      </w:r>
      <w:r>
        <w:rPr>
          <w:vertAlign w:val="baseline"/>
        </w:rPr>
        <w:t>law where the governing law is not that of the country in which the contract was to be performed. </w:t>
      </w:r>
      <w:r>
        <w:rPr>
          <w:color w:val="005DA1"/>
          <w:u w:val="single" w:color="005DA1"/>
          <w:vertAlign w:val="superscript"/>
        </w:rPr>
        <w:t>1232</w:t>
      </w:r>
      <w:r>
        <w:rPr>
          <w:color w:val="005DA1"/>
          <w:vertAlign w:val="baseline"/>
        </w:rPr>
        <w:t> </w:t>
      </w:r>
      <w:r>
        <w:rPr>
          <w:vertAlign w:val="baseline"/>
        </w:rPr>
        <w:t>As far as “performance” is concerned, the Giuliano-Lagarde Report informs that it:</w:t>
      </w:r>
    </w:p>
    <w:p>
      <w:pPr>
        <w:pStyle w:val="BodyText"/>
      </w:pPr>
    </w:p>
    <w:p>
      <w:pPr>
        <w:pStyle w:val="BodyText"/>
        <w:spacing w:before="121"/>
      </w:pPr>
    </w:p>
    <w:p>
      <w:pPr>
        <w:pStyle w:val="BodyText"/>
        <w:ind w:left="1245"/>
        <w:jc w:val="both"/>
      </w:pPr>
      <w:r>
        <w:rPr/>
        <w:t>“…</w:t>
      </w:r>
      <w:r>
        <w:rPr>
          <w:spacing w:val="21"/>
        </w:rPr>
        <w:t> </w:t>
      </w:r>
      <w:r>
        <w:rPr/>
        <w:t>appears</w:t>
      </w:r>
      <w:r>
        <w:rPr>
          <w:spacing w:val="21"/>
        </w:rPr>
        <w:t> </w:t>
      </w:r>
      <w:r>
        <w:rPr/>
        <w:t>to</w:t>
      </w:r>
      <w:r>
        <w:rPr>
          <w:spacing w:val="21"/>
        </w:rPr>
        <w:t> </w:t>
      </w:r>
      <w:r>
        <w:rPr/>
        <w:t>embrace</w:t>
      </w:r>
      <w:r>
        <w:rPr>
          <w:spacing w:val="21"/>
        </w:rPr>
        <w:t> </w:t>
      </w:r>
      <w:r>
        <w:rPr/>
        <w:t>the</w:t>
      </w:r>
      <w:r>
        <w:rPr>
          <w:spacing w:val="21"/>
        </w:rPr>
        <w:t> </w:t>
      </w:r>
      <w:r>
        <w:rPr/>
        <w:t>totality</w:t>
      </w:r>
      <w:r>
        <w:rPr>
          <w:spacing w:val="21"/>
        </w:rPr>
        <w:t> </w:t>
      </w:r>
      <w:r>
        <w:rPr/>
        <w:t>of</w:t>
      </w:r>
      <w:r>
        <w:rPr>
          <w:spacing w:val="21"/>
        </w:rPr>
        <w:t> </w:t>
      </w:r>
      <w:r>
        <w:rPr/>
        <w:t>the</w:t>
      </w:r>
      <w:r>
        <w:rPr>
          <w:spacing w:val="21"/>
        </w:rPr>
        <w:t> </w:t>
      </w:r>
      <w:r>
        <w:rPr/>
        <w:t>conditions,</w:t>
      </w:r>
      <w:r>
        <w:rPr>
          <w:spacing w:val="21"/>
        </w:rPr>
        <w:t> </w:t>
      </w:r>
      <w:r>
        <w:rPr/>
        <w:t>resulting</w:t>
      </w:r>
      <w:r>
        <w:rPr>
          <w:spacing w:val="21"/>
        </w:rPr>
        <w:t> </w:t>
      </w:r>
      <w:r>
        <w:rPr/>
        <w:t>from</w:t>
      </w:r>
      <w:r>
        <w:rPr>
          <w:spacing w:val="21"/>
        </w:rPr>
        <w:t> </w:t>
      </w:r>
      <w:r>
        <w:rPr/>
        <w:t>the</w:t>
      </w:r>
      <w:r>
        <w:rPr>
          <w:spacing w:val="21"/>
        </w:rPr>
        <w:t> </w:t>
      </w:r>
      <w:r>
        <w:rPr/>
        <w:t>law</w:t>
      </w:r>
      <w:r>
        <w:rPr>
          <w:spacing w:val="21"/>
        </w:rPr>
        <w:t> </w:t>
      </w:r>
      <w:r>
        <w:rPr/>
        <w:t>or</w:t>
      </w:r>
      <w:r>
        <w:rPr>
          <w:spacing w:val="21"/>
        </w:rPr>
        <w:t> </w:t>
      </w:r>
      <w:r>
        <w:rPr/>
        <w:t>from</w:t>
      </w:r>
      <w:r>
        <w:rPr>
          <w:spacing w:val="21"/>
        </w:rPr>
        <w:t> </w:t>
      </w:r>
      <w:r>
        <w:rPr>
          <w:spacing w:val="-5"/>
        </w:rPr>
        <w:t>the</w:t>
      </w:r>
    </w:p>
    <w:p>
      <w:pPr>
        <w:pStyle w:val="BodyText"/>
        <w:spacing w:after="0"/>
        <w:jc w:val="both"/>
        <w:sectPr>
          <w:pgSz w:w="11900" w:h="16840"/>
          <w:pgMar w:header="971" w:footer="0" w:top="1300" w:bottom="280" w:left="1275" w:right="1275"/>
        </w:sectPr>
      </w:pPr>
    </w:p>
    <w:p>
      <w:pPr>
        <w:pStyle w:val="BodyText"/>
        <w:spacing w:before="167"/>
      </w:pPr>
    </w:p>
    <w:p>
      <w:pPr>
        <w:pStyle w:val="BodyText"/>
        <w:spacing w:line="235" w:lineRule="auto"/>
        <w:ind w:left="1245"/>
      </w:pPr>
      <w:bookmarkStart w:name="_bookmark2330" w:id="2332"/>
      <w:bookmarkEnd w:id="2332"/>
      <w:r>
        <w:rPr/>
      </w:r>
      <w:r>
        <w:rPr/>
        <w:t>contract,</w:t>
      </w:r>
      <w:r>
        <w:rPr>
          <w:spacing w:val="23"/>
        </w:rPr>
        <w:t> </w:t>
      </w:r>
      <w:r>
        <w:rPr/>
        <w:t>in</w:t>
      </w:r>
      <w:r>
        <w:rPr>
          <w:spacing w:val="23"/>
        </w:rPr>
        <w:t> </w:t>
      </w:r>
      <w:r>
        <w:rPr/>
        <w:t>accordance</w:t>
      </w:r>
      <w:r>
        <w:rPr>
          <w:spacing w:val="23"/>
        </w:rPr>
        <w:t> </w:t>
      </w:r>
      <w:r>
        <w:rPr/>
        <w:t>with</w:t>
      </w:r>
      <w:r>
        <w:rPr>
          <w:spacing w:val="23"/>
        </w:rPr>
        <w:t> </w:t>
      </w:r>
      <w:r>
        <w:rPr/>
        <w:t>which</w:t>
      </w:r>
      <w:r>
        <w:rPr>
          <w:spacing w:val="23"/>
        </w:rPr>
        <w:t> </w:t>
      </w:r>
      <w:r>
        <w:rPr/>
        <w:t>the</w:t>
      </w:r>
      <w:r>
        <w:rPr>
          <w:spacing w:val="23"/>
        </w:rPr>
        <w:t> </w:t>
      </w:r>
      <w:r>
        <w:rPr/>
        <w:t>acts</w:t>
      </w:r>
      <w:r>
        <w:rPr>
          <w:spacing w:val="23"/>
        </w:rPr>
        <w:t> </w:t>
      </w:r>
      <w:r>
        <w:rPr/>
        <w:t>essential</w:t>
      </w:r>
      <w:r>
        <w:rPr>
          <w:spacing w:val="23"/>
        </w:rPr>
        <w:t> </w:t>
      </w:r>
      <w:r>
        <w:rPr/>
        <w:t>for</w:t>
      </w:r>
      <w:r>
        <w:rPr>
          <w:spacing w:val="23"/>
        </w:rPr>
        <w:t> </w:t>
      </w:r>
      <w:r>
        <w:rPr/>
        <w:t>the</w:t>
      </w:r>
      <w:r>
        <w:rPr>
          <w:spacing w:val="23"/>
        </w:rPr>
        <w:t> </w:t>
      </w:r>
      <w:r>
        <w:rPr/>
        <w:t>fulfilment</w:t>
      </w:r>
      <w:r>
        <w:rPr>
          <w:spacing w:val="23"/>
        </w:rPr>
        <w:t> </w:t>
      </w:r>
      <w:r>
        <w:rPr/>
        <w:t>of</w:t>
      </w:r>
      <w:r>
        <w:rPr>
          <w:spacing w:val="23"/>
        </w:rPr>
        <w:t> </w:t>
      </w:r>
      <w:r>
        <w:rPr/>
        <w:t>the</w:t>
      </w:r>
      <w:r>
        <w:rPr>
          <w:spacing w:val="23"/>
        </w:rPr>
        <w:t> </w:t>
      </w:r>
      <w:r>
        <w:rPr/>
        <w:t>obligation must be performed …“ </w:t>
      </w:r>
      <w:r>
        <w:rPr>
          <w:color w:val="005DA1"/>
          <w:u w:val="single" w:color="005DA1"/>
          <w:vertAlign w:val="superscript"/>
        </w:rPr>
        <w:t>1233</w:t>
      </w:r>
    </w:p>
    <w:p>
      <w:pPr>
        <w:pStyle w:val="BodyText"/>
        <w:spacing w:before="116"/>
      </w:pPr>
    </w:p>
    <w:p>
      <w:pPr>
        <w:pStyle w:val="BodyText"/>
        <w:spacing w:line="235" w:lineRule="auto"/>
        <w:ind w:left="165" w:right="166"/>
        <w:jc w:val="both"/>
      </w:pPr>
      <w:r>
        <w:rPr/>
        <w:t>This observation lacks clarity but is rendered less difficult by the examples which follow, namely: the diligence with which the obligation must be performed; conditions relating to the place and time </w:t>
      </w:r>
      <w:r>
        <w:rPr/>
        <w:t>of performance; the extent to which the obligation can be performed by a person other than the party liable; the conditions as to performance of the obligation both in general and in relation to certain categories of obligation (joint and several obligations, alternative obligations, divisible and indivisible obligations, pecuniary obligations); where performance consists of the payment of a sum of money, </w:t>
      </w:r>
      <w:bookmarkStart w:name="_bookmark2331" w:id="2333"/>
      <w:bookmarkEnd w:id="2333"/>
      <w:r>
        <w:rPr/>
        <w:t>the</w:t>
      </w:r>
      <w:r>
        <w:rPr/>
        <w:t> conditions relating to the discharge of the debtor who has made the payment, the appropriation of the payment, the receipt, etc. </w:t>
      </w:r>
      <w:r>
        <w:rPr>
          <w:color w:val="005DA1"/>
          <w:u w:val="single" w:color="005DA1"/>
          <w:vertAlign w:val="superscript"/>
        </w:rPr>
        <w:t>1234</w:t>
      </w:r>
    </w:p>
    <w:p>
      <w:pPr>
        <w:pStyle w:val="BodyText"/>
      </w:pPr>
    </w:p>
    <w:p>
      <w:pPr>
        <w:pStyle w:val="BodyText"/>
        <w:spacing w:before="35"/>
      </w:pPr>
    </w:p>
    <w:p>
      <w:pPr>
        <w:spacing w:before="1"/>
        <w:ind w:left="165" w:right="0" w:firstLine="0"/>
        <w:jc w:val="left"/>
        <w:rPr>
          <w:rFonts w:ascii="Arial"/>
          <w:b/>
          <w:sz w:val="18"/>
        </w:rPr>
      </w:pPr>
      <w:r>
        <w:rPr>
          <w:rFonts w:ascii="Arial"/>
          <w:b/>
          <w:sz w:val="18"/>
        </w:rPr>
        <w:t>Manner of </w:t>
      </w:r>
      <w:r>
        <w:rPr>
          <w:rFonts w:ascii="Arial"/>
          <w:b/>
          <w:spacing w:val="-2"/>
          <w:sz w:val="18"/>
        </w:rPr>
        <w:t>performance</w:t>
      </w:r>
    </w:p>
    <w:p>
      <w:pPr>
        <w:pStyle w:val="BodyText"/>
        <w:spacing w:before="41"/>
        <w:rPr>
          <w:rFonts w:ascii="Arial"/>
          <w:b/>
          <w:sz w:val="18"/>
        </w:rPr>
      </w:pPr>
    </w:p>
    <w:p>
      <w:pPr>
        <w:pStyle w:val="Heading2"/>
      </w:pPr>
      <w:r>
        <w:rPr/>
        <w:t>30-</w:t>
      </w:r>
      <w:r>
        <w:rPr>
          <w:spacing w:val="-5"/>
        </w:rPr>
        <w:t>334</w:t>
      </w:r>
    </w:p>
    <w:p>
      <w:pPr>
        <w:pStyle w:val="BodyText"/>
        <w:spacing w:line="235" w:lineRule="auto" w:before="203"/>
        <w:ind w:left="165" w:right="167"/>
        <w:jc w:val="both"/>
      </w:pPr>
      <w:r>
        <w:rPr/>
        <w:t>The foregoing issues must be distinguished from those which merely affect the “manner of performance” which are subject to art.10(2) of the Convention and art.12(2) of the Regulation. The latter</w:t>
      </w:r>
      <w:r>
        <w:rPr>
          <w:spacing w:val="-1"/>
        </w:rPr>
        <w:t> </w:t>
      </w:r>
      <w:r>
        <w:rPr/>
        <w:t>expression</w:t>
      </w:r>
      <w:r>
        <w:rPr>
          <w:spacing w:val="-1"/>
        </w:rPr>
        <w:t> </w:t>
      </w:r>
      <w:r>
        <w:rPr/>
        <w:t>is</w:t>
      </w:r>
      <w:r>
        <w:rPr>
          <w:spacing w:val="-1"/>
        </w:rPr>
        <w:t> </w:t>
      </w:r>
      <w:r>
        <w:rPr/>
        <w:t>not</w:t>
      </w:r>
      <w:r>
        <w:rPr>
          <w:spacing w:val="-1"/>
        </w:rPr>
        <w:t> </w:t>
      </w:r>
      <w:r>
        <w:rPr/>
        <w:t>defined</w:t>
      </w:r>
      <w:r>
        <w:rPr>
          <w:spacing w:val="-1"/>
        </w:rPr>
        <w:t> </w:t>
      </w:r>
      <w:r>
        <w:rPr/>
        <w:t>in</w:t>
      </w:r>
      <w:r>
        <w:rPr>
          <w:spacing w:val="-1"/>
        </w:rPr>
        <w:t> </w:t>
      </w:r>
      <w:r>
        <w:rPr/>
        <w:t>the</w:t>
      </w:r>
      <w:r>
        <w:rPr>
          <w:spacing w:val="-1"/>
        </w:rPr>
        <w:t> </w:t>
      </w:r>
      <w:r>
        <w:rPr/>
        <w:t>Convention:</w:t>
      </w:r>
      <w:r>
        <w:rPr>
          <w:spacing w:val="-1"/>
        </w:rPr>
        <w:t> </w:t>
      </w:r>
      <w:r>
        <w:rPr/>
        <w:t>no</w:t>
      </w:r>
      <w:r>
        <w:rPr>
          <w:spacing w:val="-1"/>
        </w:rPr>
        <w:t> </w:t>
      </w:r>
      <w:r>
        <w:rPr/>
        <w:t>precise</w:t>
      </w:r>
      <w:r>
        <w:rPr>
          <w:spacing w:val="-1"/>
        </w:rPr>
        <w:t> </w:t>
      </w:r>
      <w:r>
        <w:rPr/>
        <w:t>meaning</w:t>
      </w:r>
      <w:r>
        <w:rPr>
          <w:spacing w:val="-1"/>
        </w:rPr>
        <w:t> </w:t>
      </w:r>
      <w:r>
        <w:rPr/>
        <w:t>is</w:t>
      </w:r>
      <w:r>
        <w:rPr>
          <w:spacing w:val="-1"/>
        </w:rPr>
        <w:t> </w:t>
      </w:r>
      <w:r>
        <w:rPr/>
        <w:t>given</w:t>
      </w:r>
      <w:r>
        <w:rPr>
          <w:spacing w:val="-1"/>
        </w:rPr>
        <w:t> </w:t>
      </w:r>
      <w:r>
        <w:rPr/>
        <w:t>to</w:t>
      </w:r>
      <w:r>
        <w:rPr>
          <w:spacing w:val="-1"/>
        </w:rPr>
        <w:t> </w:t>
      </w:r>
      <w:r>
        <w:rPr/>
        <w:t>it</w:t>
      </w:r>
      <w:r>
        <w:rPr>
          <w:spacing w:val="-1"/>
        </w:rPr>
        <w:t> </w:t>
      </w:r>
      <w:r>
        <w:rPr/>
        <w:t>in</w:t>
      </w:r>
      <w:r>
        <w:rPr>
          <w:spacing w:val="-1"/>
        </w:rPr>
        <w:t> </w:t>
      </w:r>
      <w:r>
        <w:rPr/>
        <w:t>the</w:t>
      </w:r>
      <w:r>
        <w:rPr>
          <w:spacing w:val="-1"/>
        </w:rPr>
        <w:t> </w:t>
      </w:r>
      <w:r>
        <w:rPr/>
        <w:t>various</w:t>
      </w:r>
      <w:r>
        <w:rPr>
          <w:spacing w:val="-1"/>
        </w:rPr>
        <w:t> </w:t>
      </w:r>
      <w:r>
        <w:rPr/>
        <w:t>laws </w:t>
      </w:r>
      <w:bookmarkStart w:name="_bookmark2332" w:id="2334"/>
      <w:bookmarkEnd w:id="2334"/>
      <w:r>
        <w:rPr/>
        <w:t>of</w:t>
      </w:r>
      <w:r>
        <w:rPr/>
        <w:t> contracting states, and, indeed, the drafting group was not prepared to provide a strict (or one</w:t>
      </w:r>
      <w:r>
        <w:rPr>
          <w:spacing w:val="40"/>
        </w:rPr>
        <w:t> </w:t>
      </w:r>
      <w:bookmarkStart w:name="_bookmark2333" w:id="2335"/>
      <w:bookmarkEnd w:id="2335"/>
      <w:r>
        <w:rPr/>
        <w:t>might</w:t>
      </w:r>
      <w:r>
        <w:rPr/>
        <w:t> add, any) definition of it. </w:t>
      </w:r>
      <w:r>
        <w:rPr>
          <w:color w:val="005DA1"/>
          <w:u w:val="single" w:color="005DA1"/>
          <w:vertAlign w:val="superscript"/>
        </w:rPr>
        <w:t>1235</w:t>
      </w:r>
      <w:r>
        <w:rPr>
          <w:color w:val="005DA1"/>
          <w:vertAlign w:val="baseline"/>
        </w:rPr>
        <w:t> </w:t>
      </w:r>
      <w:r>
        <w:rPr>
          <w:vertAlign w:val="baseline"/>
        </w:rPr>
        <w:t>In consequence, the Giuliano-Lagarde Report opines that it will be for the lex fori to determine what is meant by the expression. </w:t>
      </w:r>
      <w:r>
        <w:rPr>
          <w:color w:val="005DA1"/>
          <w:u w:val="single" w:color="005DA1"/>
          <w:vertAlign w:val="superscript"/>
        </w:rPr>
        <w:t>1236</w:t>
      </w:r>
      <w:r>
        <w:rPr>
          <w:color w:val="005DA1"/>
          <w:vertAlign w:val="baseline"/>
        </w:rPr>
        <w:t> </w:t>
      </w:r>
      <w:r>
        <w:rPr>
          <w:vertAlign w:val="baseline"/>
        </w:rPr>
        <w:t>This view has, however, been </w:t>
      </w:r>
      <w:bookmarkStart w:name="_bookmark2334" w:id="2336"/>
      <w:bookmarkEnd w:id="2336"/>
      <w:r>
        <w:rPr>
          <w:vertAlign w:val="baseline"/>
        </w:rPr>
        <w:t>challenged,</w:t>
      </w:r>
      <w:r>
        <w:rPr>
          <w:vertAlign w:val="baseline"/>
        </w:rPr>
        <w:t> it being suggested that it would be more appropriate to draw the distinction in a uniform manner on the basis of a Convention interpretation of the distinction. </w:t>
      </w:r>
      <w:r>
        <w:rPr>
          <w:color w:val="005DA1"/>
          <w:u w:val="single" w:color="005DA1"/>
          <w:vertAlign w:val="superscript"/>
        </w:rPr>
        <w:t>1237</w:t>
      </w:r>
      <w:r>
        <w:rPr>
          <w:color w:val="005DA1"/>
          <w:vertAlign w:val="baseline"/>
        </w:rPr>
        <w:t> </w:t>
      </w:r>
      <w:r>
        <w:rPr>
          <w:vertAlign w:val="baseline"/>
        </w:rPr>
        <w:t>The latter view has much to be said for it. The expression “manner of performance” remains undefined in the Rome I Regulation.</w:t>
      </w:r>
      <w:r>
        <w:rPr>
          <w:spacing w:val="80"/>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suggested,</w:t>
      </w:r>
      <w:r>
        <w:rPr>
          <w:spacing w:val="-2"/>
          <w:vertAlign w:val="baseline"/>
        </w:rPr>
        <w:t> </w:t>
      </w:r>
      <w:r>
        <w:rPr>
          <w:vertAlign w:val="baseline"/>
        </w:rPr>
        <w:t>however,</w:t>
      </w:r>
      <w:r>
        <w:rPr>
          <w:spacing w:val="-2"/>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relation</w:t>
      </w:r>
      <w:r>
        <w:rPr>
          <w:spacing w:val="-2"/>
          <w:vertAlign w:val="baseline"/>
        </w:rPr>
        <w:t> </w:t>
      </w:r>
      <w:r>
        <w:rPr>
          <w:vertAlign w:val="baseline"/>
        </w:rPr>
        <w:t>to</w:t>
      </w:r>
      <w:r>
        <w:rPr>
          <w:spacing w:val="-2"/>
          <w:vertAlign w:val="baseline"/>
        </w:rPr>
        <w:t> </w:t>
      </w:r>
      <w:r>
        <w:rPr>
          <w:vertAlign w:val="baseline"/>
        </w:rPr>
        <w:t>this</w:t>
      </w:r>
      <w:r>
        <w:rPr>
          <w:spacing w:val="-2"/>
          <w:vertAlign w:val="baseline"/>
        </w:rPr>
        <w:t> </w:t>
      </w:r>
      <w:r>
        <w:rPr>
          <w:vertAlign w:val="baseline"/>
        </w:rPr>
        <w:t>instrument,</w:t>
      </w:r>
      <w:r>
        <w:rPr>
          <w:spacing w:val="-2"/>
          <w:vertAlign w:val="baseline"/>
        </w:rPr>
        <w:t> </w:t>
      </w:r>
      <w:r>
        <w:rPr>
          <w:vertAlign w:val="baseline"/>
        </w:rPr>
        <w:t>an</w:t>
      </w:r>
      <w:r>
        <w:rPr>
          <w:spacing w:val="-2"/>
          <w:vertAlign w:val="baseline"/>
        </w:rPr>
        <w:t> </w:t>
      </w:r>
      <w:r>
        <w:rPr>
          <w:vertAlign w:val="baseline"/>
        </w:rPr>
        <w:t>autonomous</w:t>
      </w:r>
      <w:r>
        <w:rPr>
          <w:spacing w:val="-2"/>
          <w:vertAlign w:val="baseline"/>
        </w:rPr>
        <w:t> </w:t>
      </w:r>
      <w:r>
        <w:rPr>
          <w:vertAlign w:val="baseline"/>
        </w:rPr>
        <w:t>interpretation</w:t>
      </w:r>
      <w:r>
        <w:rPr>
          <w:spacing w:val="-2"/>
          <w:vertAlign w:val="baseline"/>
        </w:rPr>
        <w:t> </w:t>
      </w:r>
      <w:r>
        <w:rPr>
          <w:vertAlign w:val="baseline"/>
        </w:rPr>
        <w:t>is</w:t>
      </w:r>
      <w:r>
        <w:rPr>
          <w:spacing w:val="-2"/>
          <w:vertAlign w:val="baseline"/>
        </w:rPr>
        <w:t> </w:t>
      </w:r>
      <w:r>
        <w:rPr>
          <w:vertAlign w:val="baseline"/>
        </w:rPr>
        <w:t>most</w:t>
      </w:r>
      <w:r>
        <w:rPr>
          <w:spacing w:val="-2"/>
          <w:vertAlign w:val="baseline"/>
        </w:rPr>
        <w:t> </w:t>
      </w:r>
      <w:r>
        <w:rPr>
          <w:vertAlign w:val="baseline"/>
        </w:rPr>
        <w:t>likely to be preferred.</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Examples</w:t>
      </w:r>
    </w:p>
    <w:p>
      <w:pPr>
        <w:pStyle w:val="BodyText"/>
        <w:spacing w:before="41"/>
        <w:rPr>
          <w:rFonts w:ascii="Arial"/>
          <w:b/>
          <w:sz w:val="18"/>
        </w:rPr>
      </w:pPr>
    </w:p>
    <w:p>
      <w:pPr>
        <w:pStyle w:val="Heading2"/>
      </w:pPr>
      <w:r>
        <w:rPr/>
        <w:t>30-</w:t>
      </w:r>
      <w:r>
        <w:rPr>
          <w:spacing w:val="-5"/>
        </w:rPr>
        <w:t>335</w:t>
      </w:r>
    </w:p>
    <w:p>
      <w:pPr>
        <w:pStyle w:val="BodyText"/>
        <w:spacing w:line="235" w:lineRule="auto" w:before="203"/>
        <w:ind w:left="165" w:right="167"/>
        <w:jc w:val="both"/>
      </w:pPr>
      <w:r>
        <w:rPr/>
        <w:t>However</w:t>
      </w:r>
      <w:r>
        <w:rPr>
          <w:spacing w:val="-3"/>
        </w:rPr>
        <w:t> </w:t>
      </w:r>
      <w:r>
        <w:rPr/>
        <w:t>the</w:t>
      </w:r>
      <w:r>
        <w:rPr>
          <w:spacing w:val="-3"/>
        </w:rPr>
        <w:t> </w:t>
      </w:r>
      <w:r>
        <w:rPr/>
        <w:t>distinction</w:t>
      </w:r>
      <w:r>
        <w:rPr>
          <w:spacing w:val="-3"/>
        </w:rPr>
        <w:t> </w:t>
      </w:r>
      <w:r>
        <w:rPr/>
        <w:t>is</w:t>
      </w:r>
      <w:r>
        <w:rPr>
          <w:spacing w:val="-3"/>
        </w:rPr>
        <w:t> </w:t>
      </w:r>
      <w:r>
        <w:rPr/>
        <w:t>ultimately</w:t>
      </w:r>
      <w:r>
        <w:rPr>
          <w:spacing w:val="-3"/>
        </w:rPr>
        <w:t> </w:t>
      </w:r>
      <w:r>
        <w:rPr/>
        <w:t>to</w:t>
      </w:r>
      <w:r>
        <w:rPr>
          <w:spacing w:val="-3"/>
        </w:rPr>
        <w:t> </w:t>
      </w:r>
      <w:r>
        <w:rPr/>
        <w:t>be</w:t>
      </w:r>
      <w:r>
        <w:rPr>
          <w:spacing w:val="-3"/>
        </w:rPr>
        <w:t> </w:t>
      </w:r>
      <w:r>
        <w:rPr/>
        <w:t>drawn,</w:t>
      </w:r>
      <w:r>
        <w:rPr>
          <w:spacing w:val="-3"/>
        </w:rPr>
        <w:t> </w:t>
      </w:r>
      <w:r>
        <w:rPr/>
        <w:t>the</w:t>
      </w:r>
      <w:r>
        <w:rPr>
          <w:spacing w:val="-3"/>
        </w:rPr>
        <w:t> </w:t>
      </w:r>
      <w:r>
        <w:rPr/>
        <w:t>Giuliano-Lagarde</w:t>
      </w:r>
      <w:r>
        <w:rPr>
          <w:spacing w:val="-3"/>
        </w:rPr>
        <w:t> </w:t>
      </w:r>
      <w:r>
        <w:rPr/>
        <w:t>Report</w:t>
      </w:r>
      <w:r>
        <w:rPr>
          <w:spacing w:val="-3"/>
        </w:rPr>
        <w:t> </w:t>
      </w:r>
      <w:r>
        <w:rPr/>
        <w:t>mentions,</w:t>
      </w:r>
      <w:r>
        <w:rPr>
          <w:spacing w:val="-3"/>
        </w:rPr>
        <w:t> </w:t>
      </w:r>
      <w:r>
        <w:rPr/>
        <w:t>as</w:t>
      </w:r>
      <w:r>
        <w:rPr>
          <w:spacing w:val="-3"/>
        </w:rPr>
        <w:t> </w:t>
      </w:r>
      <w:r>
        <w:rPr/>
        <w:t>examples of rules affecting the manner of performance:</w:t>
      </w:r>
    </w:p>
    <w:p>
      <w:pPr>
        <w:pStyle w:val="BodyText"/>
      </w:pPr>
    </w:p>
    <w:p>
      <w:pPr>
        <w:pStyle w:val="BodyText"/>
        <w:spacing w:before="126"/>
      </w:pPr>
    </w:p>
    <w:p>
      <w:pPr>
        <w:pStyle w:val="BodyText"/>
        <w:spacing w:line="235" w:lineRule="auto"/>
        <w:ind w:left="1245" w:right="168"/>
      </w:pPr>
      <w:bookmarkStart w:name="_bookmark2335" w:id="2337"/>
      <w:bookmarkEnd w:id="2337"/>
      <w:r>
        <w:rPr/>
      </w:r>
      <w:r>
        <w:rPr/>
        <w:t>“… the rules governing public holidays, the manner in which goods are to be examined, and the steps to be taken if they are refused.” </w:t>
      </w:r>
      <w:r>
        <w:rPr>
          <w:color w:val="005DA1"/>
          <w:u w:val="single" w:color="005DA1"/>
          <w:vertAlign w:val="superscript"/>
        </w:rPr>
        <w:t>1238</w:t>
      </w:r>
    </w:p>
    <w:p>
      <w:pPr>
        <w:pStyle w:val="BodyText"/>
        <w:spacing w:before="116"/>
      </w:pPr>
    </w:p>
    <w:p>
      <w:pPr>
        <w:pStyle w:val="BodyText"/>
        <w:spacing w:line="235" w:lineRule="auto"/>
        <w:ind w:left="165" w:right="167"/>
        <w:jc w:val="both"/>
      </w:pPr>
      <w:r>
        <w:rPr/>
        <w:t>Thus, for example, if a contract governed by English law provides that the seller will deliver goods to the buyer in Paris “during usual business hours”, it will be for French law to determine what business </w:t>
      </w:r>
      <w:bookmarkStart w:name="_bookmark2336" w:id="2338"/>
      <w:bookmarkEnd w:id="2338"/>
      <w:r>
        <w:rPr/>
        <w:t>hours</w:t>
      </w:r>
      <w:r>
        <w:rPr/>
        <w:t> are “usual”, since this relates to the manner of performance, but it will be for English law to determine whether performance of the contract is excused by force majeure. </w:t>
      </w:r>
      <w:r>
        <w:rPr>
          <w:color w:val="005DA1"/>
          <w:u w:val="single" w:color="005DA1"/>
          <w:vertAlign w:val="superscript"/>
        </w:rPr>
        <w:t>1239</w:t>
      </w:r>
      <w:r>
        <w:rPr>
          <w:color w:val="005DA1"/>
          <w:vertAlign w:val="baseline"/>
        </w:rPr>
        <w:t> </w:t>
      </w:r>
      <w:r>
        <w:rPr>
          <w:vertAlign w:val="baseline"/>
        </w:rPr>
        <w:t>And if, pursuant to a contract</w:t>
      </w:r>
      <w:r>
        <w:rPr>
          <w:spacing w:val="-2"/>
          <w:vertAlign w:val="baseline"/>
        </w:rPr>
        <w:t> </w:t>
      </w:r>
      <w:r>
        <w:rPr>
          <w:vertAlign w:val="baseline"/>
        </w:rPr>
        <w:t>governed</w:t>
      </w:r>
      <w:r>
        <w:rPr>
          <w:spacing w:val="-2"/>
          <w:vertAlign w:val="baseline"/>
        </w:rPr>
        <w:t> </w:t>
      </w:r>
      <w:r>
        <w:rPr>
          <w:vertAlign w:val="baseline"/>
        </w:rPr>
        <w:t>by</w:t>
      </w:r>
      <w:r>
        <w:rPr>
          <w:spacing w:val="-2"/>
          <w:vertAlign w:val="baseline"/>
        </w:rPr>
        <w:t> </w:t>
      </w:r>
      <w:r>
        <w:rPr>
          <w:vertAlign w:val="baseline"/>
        </w:rPr>
        <w:t>English</w:t>
      </w:r>
      <w:r>
        <w:rPr>
          <w:spacing w:val="-2"/>
          <w:vertAlign w:val="baseline"/>
        </w:rPr>
        <w:t> </w:t>
      </w:r>
      <w:r>
        <w:rPr>
          <w:vertAlign w:val="baseline"/>
        </w:rPr>
        <w:t>law,</w:t>
      </w:r>
      <w:r>
        <w:rPr>
          <w:spacing w:val="-2"/>
          <w:vertAlign w:val="baseline"/>
        </w:rPr>
        <w:t> </w:t>
      </w:r>
      <w:r>
        <w:rPr>
          <w:vertAlign w:val="baseline"/>
        </w:rPr>
        <w:t>a</w:t>
      </w:r>
      <w:r>
        <w:rPr>
          <w:spacing w:val="-2"/>
          <w:vertAlign w:val="baseline"/>
        </w:rPr>
        <w:t> </w:t>
      </w:r>
      <w:r>
        <w:rPr>
          <w:vertAlign w:val="baseline"/>
        </w:rPr>
        <w:t>seller</w:t>
      </w:r>
      <w:r>
        <w:rPr>
          <w:spacing w:val="-2"/>
          <w:vertAlign w:val="baseline"/>
        </w:rPr>
        <w:t> </w:t>
      </w:r>
      <w:r>
        <w:rPr>
          <w:vertAlign w:val="baseline"/>
        </w:rPr>
        <w:t>agrees</w:t>
      </w:r>
      <w:r>
        <w:rPr>
          <w:spacing w:val="-2"/>
          <w:vertAlign w:val="baseline"/>
        </w:rPr>
        <w:t> </w:t>
      </w:r>
      <w:r>
        <w:rPr>
          <w:vertAlign w:val="baseline"/>
        </w:rPr>
        <w:t>to</w:t>
      </w:r>
      <w:r>
        <w:rPr>
          <w:spacing w:val="-2"/>
          <w:vertAlign w:val="baseline"/>
        </w:rPr>
        <w:t> </w:t>
      </w:r>
      <w:r>
        <w:rPr>
          <w:vertAlign w:val="baseline"/>
        </w:rPr>
        <w:t>deliver</w:t>
      </w:r>
      <w:r>
        <w:rPr>
          <w:spacing w:val="-2"/>
          <w:vertAlign w:val="baseline"/>
        </w:rPr>
        <w:t> </w:t>
      </w:r>
      <w:r>
        <w:rPr>
          <w:vertAlign w:val="baseline"/>
        </w:rPr>
        <w:t>goods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buyer</w:t>
      </w:r>
      <w:r>
        <w:rPr>
          <w:spacing w:val="-2"/>
          <w:vertAlign w:val="baseline"/>
        </w:rPr>
        <w:t> </w:t>
      </w:r>
      <w:r>
        <w:rPr>
          <w:vertAlign w:val="baseline"/>
        </w:rPr>
        <w:t>in</w:t>
      </w:r>
      <w:r>
        <w:rPr>
          <w:spacing w:val="-2"/>
          <w:vertAlign w:val="baseline"/>
        </w:rPr>
        <w:t> </w:t>
      </w:r>
      <w:r>
        <w:rPr>
          <w:vertAlign w:val="baseline"/>
        </w:rPr>
        <w:t>Barcelona</w:t>
      </w:r>
      <w:r>
        <w:rPr>
          <w:spacing w:val="-2"/>
          <w:vertAlign w:val="baseline"/>
        </w:rPr>
        <w:t> </w:t>
      </w:r>
      <w:r>
        <w:rPr>
          <w:vertAlign w:val="baseline"/>
        </w:rPr>
        <w:t>for</w:t>
      </w:r>
      <w:r>
        <w:rPr>
          <w:spacing w:val="-2"/>
          <w:vertAlign w:val="baseline"/>
        </w:rPr>
        <w:t> </w:t>
      </w:r>
      <w:r>
        <w:rPr>
          <w:vertAlign w:val="baseline"/>
        </w:rPr>
        <w:t>export to Athens, Spanish law will determine whether an export licence is required, though English law </w:t>
      </w:r>
      <w:r>
        <w:rPr>
          <w:vertAlign w:val="baseline"/>
        </w:rPr>
        <w:t>will </w:t>
      </w:r>
      <w:bookmarkStart w:name="_bookmark2337" w:id="2339"/>
      <w:bookmarkEnd w:id="2339"/>
      <w:r>
        <w:rPr>
          <w:vertAlign w:val="baseline"/>
        </w:rPr>
        <w:t>determine</w:t>
      </w:r>
      <w:r>
        <w:rPr>
          <w:vertAlign w:val="baseline"/>
        </w:rPr>
        <w:t> whether the seller or the buyer is contractually obliged to obtain a licence and whether, if</w:t>
      </w:r>
      <w:r>
        <w:rPr>
          <w:spacing w:val="40"/>
          <w:vertAlign w:val="baseline"/>
        </w:rPr>
        <w:t> </w:t>
      </w:r>
      <w:r>
        <w:rPr>
          <w:vertAlign w:val="baseline"/>
        </w:rPr>
        <w:t>no licence is obtained, one or other of the parties is in breach of contract. </w:t>
      </w:r>
      <w:r>
        <w:rPr>
          <w:color w:val="005DA1"/>
          <w:u w:val="single" w:color="005DA1"/>
          <w:vertAlign w:val="superscript"/>
        </w:rPr>
        <w:t>1240</w:t>
      </w:r>
      <w:r>
        <w:rPr>
          <w:color w:val="005DA1"/>
          <w:vertAlign w:val="baseline"/>
        </w:rPr>
        <w:t> </w:t>
      </w:r>
      <w:r>
        <w:rPr>
          <w:vertAlign w:val="baseline"/>
        </w:rPr>
        <w:t>Equally, in a contract of sale, the applicable law will determine matters such as the person other than the buyer (if any) to whom delivery may be made, the identity and quantity of goods to be delivered, the nature of any </w:t>
      </w:r>
      <w:bookmarkStart w:name="_bookmark2338" w:id="2340"/>
      <w:bookmarkEnd w:id="2340"/>
      <w:r>
        <w:rPr>
          <w:vertAlign w:val="baseline"/>
        </w:rPr>
        <w:t>additional</w:t>
      </w:r>
      <w:r>
        <w:rPr>
          <w:vertAlign w:val="baseline"/>
        </w:rPr>
        <w:t> duties of the seller in relation to the goods, and the documents, if any, that must be prepared and tendered by the seller. </w:t>
      </w:r>
      <w:r>
        <w:rPr>
          <w:color w:val="005DA1"/>
          <w:u w:val="single" w:color="005DA1"/>
          <w:vertAlign w:val="superscript"/>
        </w:rPr>
        <w:t>1241</w:t>
      </w:r>
      <w:r>
        <w:rPr>
          <w:color w:val="005DA1"/>
          <w:vertAlign w:val="baseline"/>
        </w:rPr>
        <w:t> </w:t>
      </w:r>
      <w:r>
        <w:rPr>
          <w:vertAlign w:val="baseline"/>
        </w:rPr>
        <w:t>But questions relating to the mode of delivery such as the </w:t>
      </w:r>
      <w:bookmarkStart w:name="_bookmark2339" w:id="2341"/>
      <w:bookmarkEnd w:id="2341"/>
      <w:r>
        <w:rPr>
          <w:vertAlign w:val="baseline"/>
        </w:rPr>
        <w:t>usages</w:t>
      </w:r>
      <w:r>
        <w:rPr>
          <w:vertAlign w:val="baseline"/>
        </w:rPr>
        <w:t> governing the unloading of goods at a particular port, will be regulated by the law of the place of performance. </w:t>
      </w:r>
      <w:r>
        <w:rPr>
          <w:color w:val="005DA1"/>
          <w:u w:val="single" w:color="005DA1"/>
          <w:vertAlign w:val="superscript"/>
        </w:rPr>
        <w:t>1242</w:t>
      </w:r>
    </w:p>
    <w:p>
      <w:pPr>
        <w:pStyle w:val="BodyText"/>
      </w:pPr>
    </w:p>
    <w:p>
      <w:pPr>
        <w:pStyle w:val="BodyText"/>
        <w:spacing w:before="33"/>
      </w:pPr>
    </w:p>
    <w:p>
      <w:pPr>
        <w:spacing w:before="0"/>
        <w:ind w:left="165" w:right="0" w:firstLine="0"/>
        <w:jc w:val="left"/>
        <w:rPr>
          <w:rFonts w:ascii="Arial"/>
          <w:b/>
          <w:sz w:val="18"/>
        </w:rPr>
      </w:pPr>
      <w:r>
        <w:rPr>
          <w:rFonts w:ascii="Arial"/>
          <w:b/>
          <w:spacing w:val="-2"/>
          <w:sz w:val="18"/>
        </w:rPr>
        <w:t>Discretion</w:t>
      </w:r>
    </w:p>
    <w:p>
      <w:pPr>
        <w:spacing w:after="0"/>
        <w:jc w:val="left"/>
        <w:rPr>
          <w:rFonts w:ascii="Arial"/>
          <w:b/>
          <w:sz w:val="18"/>
        </w:rPr>
        <w:sectPr>
          <w:pgSz w:w="11900" w:h="16840"/>
          <w:pgMar w:header="971" w:footer="0" w:top="1300" w:bottom="280" w:left="1275" w:right="1275"/>
        </w:sectPr>
      </w:pPr>
    </w:p>
    <w:p>
      <w:pPr>
        <w:pStyle w:val="Heading2"/>
        <w:spacing w:before="262"/>
      </w:pPr>
      <w:r>
        <w:rPr/>
        <w:t>30-</w:t>
      </w:r>
      <w:r>
        <w:rPr>
          <w:spacing w:val="-5"/>
        </w:rPr>
        <w:t>336</w:t>
      </w:r>
    </w:p>
    <w:p>
      <w:pPr>
        <w:pStyle w:val="BodyText"/>
        <w:spacing w:line="235" w:lineRule="auto" w:before="202"/>
        <w:ind w:left="165" w:right="167"/>
        <w:jc w:val="both"/>
      </w:pPr>
      <w:r>
        <w:rPr/>
        <w:t>Although the Convention and the Regulation perpetuate a distinction drawn in the common law between the “substance” of performance and the “manner” of such performance, there may be one difference</w:t>
      </w:r>
      <w:r>
        <w:rPr>
          <w:spacing w:val="-2"/>
        </w:rPr>
        <w:t> </w:t>
      </w:r>
      <w:r>
        <w:rPr/>
        <w:t>between</w:t>
      </w:r>
      <w:r>
        <w:rPr>
          <w:spacing w:val="-2"/>
        </w:rPr>
        <w:t> </w:t>
      </w:r>
      <w:r>
        <w:rPr/>
        <w:t>art.10(2)</w:t>
      </w:r>
      <w:r>
        <w:rPr>
          <w:spacing w:val="-2"/>
        </w:rPr>
        <w:t> </w:t>
      </w:r>
      <w:r>
        <w:rPr/>
        <w:t>and</w:t>
      </w:r>
      <w:r>
        <w:rPr>
          <w:spacing w:val="-2"/>
        </w:rPr>
        <w:t> </w:t>
      </w:r>
      <w:r>
        <w:rPr/>
        <w:t>art.12(2)</w:t>
      </w:r>
      <w:r>
        <w:rPr>
          <w:spacing w:val="-2"/>
        </w:rPr>
        <w:t> </w:t>
      </w:r>
      <w:r>
        <w:rPr/>
        <w:t>and</w:t>
      </w:r>
      <w:r>
        <w:rPr>
          <w:spacing w:val="-2"/>
        </w:rPr>
        <w:t> </w:t>
      </w:r>
      <w:r>
        <w:rPr/>
        <w:t>the</w:t>
      </w:r>
      <w:r>
        <w:rPr>
          <w:spacing w:val="-2"/>
        </w:rPr>
        <w:t> </w:t>
      </w:r>
      <w:r>
        <w:rPr/>
        <w:t>position</w:t>
      </w:r>
      <w:r>
        <w:rPr>
          <w:spacing w:val="-2"/>
        </w:rPr>
        <w:t> </w:t>
      </w:r>
      <w:r>
        <w:rPr/>
        <w:t>at</w:t>
      </w:r>
      <w:r>
        <w:rPr>
          <w:spacing w:val="-2"/>
        </w:rPr>
        <w:t> </w:t>
      </w:r>
      <w:r>
        <w:rPr/>
        <w:t>common</w:t>
      </w:r>
      <w:r>
        <w:rPr>
          <w:spacing w:val="-2"/>
        </w:rPr>
        <w:t> </w:t>
      </w:r>
      <w:r>
        <w:rPr/>
        <w:t>law.</w:t>
      </w:r>
      <w:r>
        <w:rPr>
          <w:spacing w:val="-2"/>
        </w:rPr>
        <w:t> </w:t>
      </w:r>
      <w:r>
        <w:rPr/>
        <w:t>At</w:t>
      </w:r>
      <w:r>
        <w:rPr>
          <w:spacing w:val="-2"/>
        </w:rPr>
        <w:t> </w:t>
      </w:r>
      <w:r>
        <w:rPr/>
        <w:t>common</w:t>
      </w:r>
      <w:r>
        <w:rPr>
          <w:spacing w:val="-2"/>
        </w:rPr>
        <w:t> </w:t>
      </w:r>
      <w:r>
        <w:rPr/>
        <w:t>law,</w:t>
      </w:r>
      <w:r>
        <w:rPr>
          <w:spacing w:val="-2"/>
        </w:rPr>
        <w:t> </w:t>
      </w:r>
      <w:r>
        <w:rPr/>
        <w:t>reference of matters affecting the manner of performance to the law of the place of performance seems to be </w:t>
      </w:r>
      <w:r>
        <w:rPr/>
        <w:t>a choice of law rule the application of which does not depend on any discretionary element. Article</w:t>
      </w:r>
      <w:r>
        <w:rPr>
          <w:spacing w:val="40"/>
        </w:rPr>
        <w:t> </w:t>
      </w:r>
      <w:r>
        <w:rPr/>
        <w:t>10(2) and art.12(2), on the other hand, require simply that “regard shall be had” to the law of the country in which performance takes place. According to the Giuliano-Lagarde Report, the court:</w:t>
      </w:r>
    </w:p>
    <w:p>
      <w:pPr>
        <w:pStyle w:val="BodyText"/>
      </w:pPr>
    </w:p>
    <w:p>
      <w:pPr>
        <w:pStyle w:val="BodyText"/>
        <w:spacing w:before="124"/>
      </w:pPr>
    </w:p>
    <w:p>
      <w:pPr>
        <w:pStyle w:val="BodyText"/>
        <w:spacing w:line="235" w:lineRule="auto"/>
        <w:ind w:left="1245" w:right="167"/>
        <w:jc w:val="both"/>
      </w:pPr>
      <w:r>
        <w:rPr/>
        <w:t>“May consider whether such law has any relevance to the manner in which the contract </w:t>
      </w:r>
      <w:bookmarkStart w:name="_bookmark2340" w:id="2342"/>
      <w:bookmarkEnd w:id="2342"/>
      <w:r>
        <w:rPr/>
        <w:t>should</w:t>
      </w:r>
      <w:r>
        <w:rPr/>
        <w:t> be performed and has a discretion whether to apply it in whole or in part so as </w:t>
      </w:r>
      <w:r>
        <w:rPr/>
        <w:t>to do justice between the parties.” </w:t>
      </w:r>
      <w:r>
        <w:rPr>
          <w:color w:val="005DA1"/>
          <w:u w:val="single" w:color="005DA1"/>
          <w:vertAlign w:val="superscript"/>
        </w:rPr>
        <w:t>1243</w:t>
      </w:r>
    </w:p>
    <w:p>
      <w:pPr>
        <w:pStyle w:val="BodyText"/>
        <w:spacing w:before="116"/>
      </w:pPr>
    </w:p>
    <w:p>
      <w:pPr>
        <w:pStyle w:val="BodyText"/>
        <w:spacing w:line="235" w:lineRule="auto"/>
        <w:ind w:left="165" w:right="167"/>
        <w:jc w:val="both"/>
      </w:pPr>
      <w:r>
        <w:rPr/>
        <w:t>If this view is correct, the role and operation of art.10(2) and art.12(2) becomes somewhat </w:t>
      </w:r>
      <w:r>
        <w:rPr/>
        <w:t>uncertain</w:t>
      </w:r>
      <w:r>
        <w:rPr>
          <w:spacing w:val="80"/>
        </w:rPr>
        <w:t> </w:t>
      </w:r>
      <w:r>
        <w:rPr/>
        <w:t>in scope.</w:t>
      </w:r>
    </w:p>
    <w:p>
      <w:pPr>
        <w:pStyle w:val="BodyText"/>
      </w:pPr>
    </w:p>
    <w:p>
      <w:pPr>
        <w:pStyle w:val="BodyText"/>
        <w:spacing w:before="38"/>
      </w:pPr>
    </w:p>
    <w:p>
      <w:pPr>
        <w:spacing w:before="0"/>
        <w:ind w:left="165" w:right="0" w:firstLine="0"/>
        <w:jc w:val="left"/>
        <w:rPr>
          <w:rFonts w:ascii="Arial"/>
          <w:b/>
          <w:sz w:val="18"/>
        </w:rPr>
      </w:pPr>
      <w:r>
        <w:rPr>
          <w:rFonts w:ascii="Arial"/>
          <w:b/>
          <w:sz w:val="18"/>
        </w:rPr>
        <w:t>Consequences of breach, </w:t>
      </w:r>
      <w:r>
        <w:rPr>
          <w:rFonts w:ascii="Arial"/>
          <w:b/>
          <w:spacing w:val="-5"/>
          <w:sz w:val="18"/>
        </w:rPr>
        <w:t>etc</w:t>
      </w:r>
    </w:p>
    <w:p>
      <w:pPr>
        <w:pStyle w:val="BodyText"/>
        <w:spacing w:before="41"/>
        <w:rPr>
          <w:rFonts w:ascii="Arial"/>
          <w:b/>
          <w:sz w:val="18"/>
        </w:rPr>
      </w:pPr>
    </w:p>
    <w:p>
      <w:pPr>
        <w:pStyle w:val="Heading2"/>
      </w:pPr>
      <w:r>
        <w:rPr/>
        <w:t>30-</w:t>
      </w:r>
      <w:r>
        <w:rPr>
          <w:spacing w:val="-5"/>
        </w:rPr>
        <w:t>337</w:t>
      </w:r>
    </w:p>
    <w:p>
      <w:pPr>
        <w:pStyle w:val="BodyText"/>
        <w:spacing w:line="235" w:lineRule="auto" w:before="203"/>
        <w:ind w:left="165" w:right="167"/>
        <w:jc w:val="both"/>
      </w:pPr>
      <w:r>
        <w:rPr/>
        <w:t>According to art.10(1)(c) of the Rome Convention, the applicable law governs, within the limits of </w:t>
      </w:r>
      <w:r>
        <w:rPr/>
        <w:t>the powers conferred on the court by its procedural law, the consequences of breach including the assessment of damages in so far as it is governed by rules of law. The equivalent provision in art.12(1)(c) of the Rome I Regulation is largely expressed in identical language except that the expression “consequences of breach” becomes “the consequences of the total or partial breach of obligations”. It would seem that it is most unlikely that any substantive change is intended by this different wording, since breach in art.10(1)(c) would surely be apt to cover either a total or partial </w:t>
      </w:r>
      <w:bookmarkStart w:name="_bookmark2341" w:id="2343"/>
      <w:bookmarkEnd w:id="2343"/>
      <w:r>
        <w:rPr/>
        <w:t>breach.</w:t>
      </w:r>
      <w:r>
        <w:rPr/>
        <w:t> The expressions “consequences of breach” and “consequences of total or partial breach” are capable of wide interpretation. </w:t>
      </w:r>
      <w:r>
        <w:rPr>
          <w:color w:val="005DA1"/>
          <w:u w:val="single" w:color="005DA1"/>
          <w:vertAlign w:val="superscript"/>
        </w:rPr>
        <w:t>1244</w:t>
      </w:r>
      <w:r>
        <w:rPr>
          <w:color w:val="005DA1"/>
          <w:vertAlign w:val="baseline"/>
        </w:rPr>
        <w:t> </w:t>
      </w:r>
      <w:r>
        <w:rPr>
          <w:vertAlign w:val="baseline"/>
        </w:rPr>
        <w:t>According to the Giuliano-Lagarde Report, which may be taken as a guide to the meaning of both expressions, the former expression refers to:</w:t>
      </w:r>
    </w:p>
    <w:p>
      <w:pPr>
        <w:pStyle w:val="BodyText"/>
      </w:pPr>
    </w:p>
    <w:p>
      <w:pPr>
        <w:pStyle w:val="BodyText"/>
        <w:spacing w:before="123"/>
      </w:pPr>
    </w:p>
    <w:p>
      <w:pPr>
        <w:pStyle w:val="BodyText"/>
        <w:spacing w:line="235" w:lineRule="auto"/>
        <w:ind w:left="1245" w:right="167"/>
        <w:jc w:val="both"/>
      </w:pPr>
      <w:r>
        <w:rPr/>
        <w:t>“… the consequences which the law or the contract attaches to the breach of </w:t>
      </w:r>
      <w:r>
        <w:rPr/>
        <w:t>a contractual obligation, whether it is a matter of the liability of the party to whom the</w:t>
      </w:r>
      <w:r>
        <w:rPr>
          <w:spacing w:val="80"/>
        </w:rPr>
        <w:t> </w:t>
      </w:r>
      <w:bookmarkStart w:name="_bookmark2342" w:id="2344"/>
      <w:bookmarkEnd w:id="2344"/>
      <w:r>
        <w:rPr/>
        <w:t>breach</w:t>
      </w:r>
      <w:r>
        <w:rPr/>
        <w:t> is attributable or of a claim to terminate the contract for breach. Any requirement</w:t>
      </w:r>
      <w:r>
        <w:rPr>
          <w:spacing w:val="40"/>
        </w:rPr>
        <w:t> </w:t>
      </w:r>
      <w:r>
        <w:rPr/>
        <w:t>of service of notice on the party to assume his liability also comes within this context.”</w:t>
      </w:r>
      <w:r>
        <w:rPr>
          <w:spacing w:val="-1"/>
        </w:rPr>
        <w:t> </w:t>
      </w:r>
      <w:r>
        <w:rPr>
          <w:color w:val="005DA1"/>
          <w:u w:val="single" w:color="005DA1"/>
          <w:vertAlign w:val="superscript"/>
        </w:rPr>
        <w:t>1245</w:t>
      </w:r>
    </w:p>
    <w:p>
      <w:pPr>
        <w:pStyle w:val="BodyText"/>
        <w:spacing w:before="115"/>
      </w:pPr>
    </w:p>
    <w:p>
      <w:pPr>
        <w:pStyle w:val="BodyText"/>
        <w:spacing w:line="235" w:lineRule="auto"/>
        <w:ind w:left="165" w:right="167"/>
        <w:jc w:val="both"/>
      </w:pPr>
      <w:bookmarkStart w:name="_bookmark2343" w:id="2345"/>
      <w:bookmarkEnd w:id="2345"/>
      <w:r>
        <w:rPr/>
      </w:r>
      <w:r>
        <w:rPr/>
        <w:t>The expressions would therefore appear to include the question of whether an innocent party has a right to treat the contract as repudiated or to rescind the contract. </w:t>
      </w:r>
      <w:r>
        <w:rPr>
          <w:color w:val="005DA1"/>
          <w:u w:val="single" w:color="005DA1"/>
          <w:vertAlign w:val="superscript"/>
        </w:rPr>
        <w:t>1246</w:t>
      </w:r>
      <w:r>
        <w:rPr>
          <w:color w:val="005DA1"/>
          <w:vertAlign w:val="baseline"/>
        </w:rPr>
        <w:t> </w:t>
      </w:r>
      <w:r>
        <w:rPr>
          <w:vertAlign w:val="baseline"/>
        </w:rPr>
        <w:t>The expressions (and the remaining words of art.10(1)(c) and art.12(1)(c)) also raise questions as to the effect of the </w:t>
      </w:r>
      <w:r>
        <w:rPr>
          <w:vertAlign w:val="baseline"/>
        </w:rPr>
        <w:t>applicable law on remedies, which questions are discussed in the two paragraphs which follow.</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Damages</w:t>
      </w:r>
    </w:p>
    <w:p>
      <w:pPr>
        <w:pStyle w:val="BodyText"/>
        <w:spacing w:before="41"/>
        <w:rPr>
          <w:rFonts w:ascii="Arial"/>
          <w:b/>
          <w:sz w:val="18"/>
        </w:rPr>
      </w:pPr>
    </w:p>
    <w:p>
      <w:pPr>
        <w:pStyle w:val="Heading2"/>
        <w:spacing w:before="1"/>
      </w:pPr>
      <w:r>
        <w:rPr/>
        <w:t>30-</w:t>
      </w:r>
      <w:r>
        <w:rPr>
          <w:spacing w:val="-5"/>
        </w:rPr>
        <w:t>338</w:t>
      </w:r>
    </w:p>
    <w:p>
      <w:pPr>
        <w:pStyle w:val="BodyText"/>
        <w:spacing w:line="235" w:lineRule="auto" w:before="202"/>
        <w:ind w:left="165" w:right="167"/>
        <w:jc w:val="both"/>
      </w:pPr>
      <w:bookmarkStart w:name="_bookmark2344" w:id="2346"/>
      <w:bookmarkEnd w:id="2346"/>
      <w:r>
        <w:rPr/>
      </w:r>
      <w:r>
        <w:rPr/>
        <w:t>At common law a distinction is drawn between rules relating to remoteness of damage and heads of damages which are governed by the law applicable to the contract, </w:t>
      </w:r>
      <w:r>
        <w:rPr>
          <w:color w:val="005DA1"/>
          <w:u w:val="single" w:color="005DA1"/>
          <w:vertAlign w:val="superscript"/>
        </w:rPr>
        <w:t>1247</w:t>
      </w:r>
      <w:r>
        <w:rPr>
          <w:color w:val="005DA1"/>
          <w:vertAlign w:val="baseline"/>
        </w:rPr>
        <w:t> </w:t>
      </w:r>
      <w:r>
        <w:rPr>
          <w:vertAlign w:val="baseline"/>
        </w:rPr>
        <w:t>and rules relating to the </w:t>
      </w:r>
      <w:bookmarkStart w:name="_bookmark2345" w:id="2347"/>
      <w:bookmarkEnd w:id="2347"/>
      <w:r>
        <w:rPr>
          <w:vertAlign w:val="baseline"/>
        </w:rPr>
        <w:t>measure</w:t>
      </w:r>
      <w:r>
        <w:rPr>
          <w:vertAlign w:val="baseline"/>
        </w:rPr>
        <w:t> or quantification of damages which are governed by the lex fori since they are treated as </w:t>
      </w:r>
      <w:r>
        <w:rPr>
          <w:vertAlign w:val="baseline"/>
        </w:rPr>
        <w:t>a </w:t>
      </w:r>
      <w:bookmarkStart w:name="_bookmark2346" w:id="2348"/>
      <w:bookmarkEnd w:id="2348"/>
      <w:r>
        <w:rPr>
          <w:vertAlign w:val="baseline"/>
        </w:rPr>
        <w:t>matter</w:t>
      </w:r>
      <w:r>
        <w:rPr>
          <w:vertAlign w:val="baseline"/>
        </w:rPr>
        <w:t> of procedure. </w:t>
      </w:r>
      <w:r>
        <w:rPr>
          <w:color w:val="005DA1"/>
          <w:u w:val="single" w:color="005DA1"/>
          <w:vertAlign w:val="superscript"/>
        </w:rPr>
        <w:t>1248</w:t>
      </w:r>
      <w:r>
        <w:rPr>
          <w:color w:val="005DA1"/>
          <w:vertAlign w:val="baseline"/>
        </w:rPr>
        <w:t> </w:t>
      </w:r>
      <w:r>
        <w:rPr>
          <w:vertAlign w:val="baseline"/>
        </w:rPr>
        <w:t>It would seem incontrovertible that remoteness and heads of damage in contract are matters for the applicable law according to art.10(1)(c) and art.12(1)(c). </w:t>
      </w:r>
      <w:r>
        <w:rPr>
          <w:color w:val="005DA1"/>
          <w:u w:val="single" w:color="005DA1"/>
          <w:vertAlign w:val="superscript"/>
        </w:rPr>
        <w:t>1249</w:t>
      </w:r>
      <w:r>
        <w:rPr>
          <w:color w:val="005DA1"/>
          <w:vertAlign w:val="baseline"/>
        </w:rPr>
        <w:t> </w:t>
      </w:r>
      <w:r>
        <w:rPr>
          <w:vertAlign w:val="baseline"/>
        </w:rPr>
        <w:t>More doubt surrounds</w:t>
      </w:r>
      <w:r>
        <w:rPr>
          <w:spacing w:val="-3"/>
          <w:vertAlign w:val="baseline"/>
        </w:rPr>
        <w:t> </w:t>
      </w:r>
      <w:r>
        <w:rPr>
          <w:vertAlign w:val="baseline"/>
        </w:rPr>
        <w:t>the</w:t>
      </w:r>
      <w:r>
        <w:rPr>
          <w:spacing w:val="-3"/>
          <w:vertAlign w:val="baseline"/>
        </w:rPr>
        <w:t> </w:t>
      </w:r>
      <w:r>
        <w:rPr>
          <w:vertAlign w:val="baseline"/>
        </w:rPr>
        <w:t>question</w:t>
      </w:r>
      <w:r>
        <w:rPr>
          <w:spacing w:val="-3"/>
          <w:vertAlign w:val="baseline"/>
        </w:rPr>
        <w:t> </w:t>
      </w:r>
      <w:r>
        <w:rPr>
          <w:vertAlign w:val="baseline"/>
        </w:rPr>
        <w:t>of</w:t>
      </w:r>
      <w:r>
        <w:rPr>
          <w:spacing w:val="-3"/>
          <w:vertAlign w:val="baseline"/>
        </w:rPr>
        <w:t> </w:t>
      </w:r>
      <w:r>
        <w:rPr>
          <w:vertAlign w:val="baseline"/>
        </w:rPr>
        <w:t>measure</w:t>
      </w:r>
      <w:r>
        <w:rPr>
          <w:spacing w:val="-3"/>
          <w:vertAlign w:val="baseline"/>
        </w:rPr>
        <w:t> </w:t>
      </w:r>
      <w:r>
        <w:rPr>
          <w:vertAlign w:val="baseline"/>
        </w:rPr>
        <w:t>or</w:t>
      </w:r>
      <w:r>
        <w:rPr>
          <w:spacing w:val="-3"/>
          <w:vertAlign w:val="baseline"/>
        </w:rPr>
        <w:t> </w:t>
      </w:r>
      <w:r>
        <w:rPr>
          <w:vertAlign w:val="baseline"/>
        </w:rPr>
        <w:t>quantification</w:t>
      </w:r>
      <w:r>
        <w:rPr>
          <w:spacing w:val="-3"/>
          <w:vertAlign w:val="baseline"/>
        </w:rPr>
        <w:t> </w:t>
      </w:r>
      <w:r>
        <w:rPr>
          <w:vertAlign w:val="baseline"/>
        </w:rPr>
        <w:t>of</w:t>
      </w:r>
      <w:r>
        <w:rPr>
          <w:spacing w:val="-3"/>
          <w:vertAlign w:val="baseline"/>
        </w:rPr>
        <w:t> </w:t>
      </w:r>
      <w:r>
        <w:rPr>
          <w:vertAlign w:val="baseline"/>
        </w:rPr>
        <w:t>damages.</w:t>
      </w:r>
      <w:r>
        <w:rPr>
          <w:spacing w:val="-3"/>
          <w:vertAlign w:val="baseline"/>
        </w:rPr>
        <w:t> </w:t>
      </w:r>
      <w:r>
        <w:rPr>
          <w:vertAlign w:val="baseline"/>
        </w:rPr>
        <w:t>Article</w:t>
      </w:r>
      <w:r>
        <w:rPr>
          <w:spacing w:val="-3"/>
          <w:vertAlign w:val="baseline"/>
        </w:rPr>
        <w:t> </w:t>
      </w:r>
      <w:r>
        <w:rPr>
          <w:vertAlign w:val="baseline"/>
        </w:rPr>
        <w:t>10(1)(c)</w:t>
      </w:r>
      <w:r>
        <w:rPr>
          <w:spacing w:val="-3"/>
          <w:vertAlign w:val="baseline"/>
        </w:rPr>
        <w:t> </w:t>
      </w:r>
      <w:r>
        <w:rPr>
          <w:vertAlign w:val="baseline"/>
        </w:rPr>
        <w:t>and</w:t>
      </w:r>
      <w:r>
        <w:rPr>
          <w:spacing w:val="-3"/>
          <w:vertAlign w:val="baseline"/>
        </w:rPr>
        <w:t> </w:t>
      </w:r>
      <w:r>
        <w:rPr>
          <w:vertAlign w:val="baseline"/>
        </w:rPr>
        <w:t>art.12(1)(c)</w:t>
      </w:r>
      <w:r>
        <w:rPr>
          <w:spacing w:val="-3"/>
          <w:vertAlign w:val="baseline"/>
        </w:rPr>
        <w:t> </w:t>
      </w:r>
      <w:r>
        <w:rPr>
          <w:vertAlign w:val="baseline"/>
        </w:rPr>
        <w:t>state that </w:t>
      </w:r>
      <w:r>
        <w:rPr>
          <w:rFonts w:ascii="Arial"/>
          <w:i/>
          <w:vertAlign w:val="baseline"/>
        </w:rPr>
        <w:t>assessment </w:t>
      </w:r>
      <w:r>
        <w:rPr>
          <w:vertAlign w:val="baseline"/>
        </w:rPr>
        <w:t>of damages is a matter for the applicable law in so far as it is governed by rules of law.</w:t>
      </w:r>
      <w:r>
        <w:rPr>
          <w:spacing w:val="8"/>
          <w:vertAlign w:val="baseline"/>
        </w:rPr>
        <w:t> </w:t>
      </w:r>
      <w:r>
        <w:rPr>
          <w:vertAlign w:val="baseline"/>
        </w:rPr>
        <w:t>According</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Giuliano-Lagarde</w:t>
      </w:r>
      <w:r>
        <w:rPr>
          <w:spacing w:val="8"/>
          <w:vertAlign w:val="baseline"/>
        </w:rPr>
        <w:t> </w:t>
      </w:r>
      <w:r>
        <w:rPr>
          <w:vertAlign w:val="baseline"/>
        </w:rPr>
        <w:t>Report,</w:t>
      </w:r>
      <w:r>
        <w:rPr>
          <w:spacing w:val="8"/>
          <w:vertAlign w:val="baseline"/>
        </w:rPr>
        <w:t> </w:t>
      </w:r>
      <w:r>
        <w:rPr>
          <w:vertAlign w:val="baseline"/>
        </w:rPr>
        <w:t>this</w:t>
      </w:r>
      <w:r>
        <w:rPr>
          <w:spacing w:val="8"/>
          <w:vertAlign w:val="baseline"/>
        </w:rPr>
        <w:t> </w:t>
      </w:r>
      <w:r>
        <w:rPr>
          <w:vertAlign w:val="baseline"/>
        </w:rPr>
        <w:t>formulation</w:t>
      </w:r>
      <w:r>
        <w:rPr>
          <w:spacing w:val="8"/>
          <w:vertAlign w:val="baseline"/>
        </w:rPr>
        <w:t> </w:t>
      </w:r>
      <w:r>
        <w:rPr>
          <w:vertAlign w:val="baseline"/>
        </w:rPr>
        <w:t>is</w:t>
      </w:r>
      <w:r>
        <w:rPr>
          <w:spacing w:val="8"/>
          <w:vertAlign w:val="baseline"/>
        </w:rPr>
        <w:t> </w:t>
      </w:r>
      <w:r>
        <w:rPr>
          <w:vertAlign w:val="baseline"/>
        </w:rPr>
        <w:t>intended</w:t>
      </w:r>
      <w:r>
        <w:rPr>
          <w:spacing w:val="8"/>
          <w:vertAlign w:val="baseline"/>
        </w:rPr>
        <w:t> </w:t>
      </w:r>
      <w:r>
        <w:rPr>
          <w:vertAlign w:val="baseline"/>
        </w:rPr>
        <w:t>to</w:t>
      </w:r>
      <w:r>
        <w:rPr>
          <w:spacing w:val="8"/>
          <w:vertAlign w:val="baseline"/>
        </w:rPr>
        <w:t> </w:t>
      </w:r>
      <w:r>
        <w:rPr>
          <w:vertAlign w:val="baseline"/>
        </w:rPr>
        <w:t>exclude</w:t>
      </w:r>
      <w:r>
        <w:rPr>
          <w:spacing w:val="8"/>
          <w:vertAlign w:val="baseline"/>
        </w:rPr>
        <w:t> </w:t>
      </w:r>
      <w:r>
        <w:rPr>
          <w:vertAlign w:val="baseline"/>
        </w:rPr>
        <w:t>assessment</w:t>
      </w:r>
      <w:r>
        <w:rPr>
          <w:spacing w:val="8"/>
          <w:vertAlign w:val="baseline"/>
        </w:rPr>
        <w:t> </w:t>
      </w:r>
      <w:r>
        <w:rPr>
          <w:spacing w:val="-5"/>
          <w:vertAlign w:val="baseline"/>
        </w:rPr>
        <w:t>of</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2347" w:id="2349"/>
      <w:bookmarkEnd w:id="2349"/>
      <w:r>
        <w:rPr/>
      </w:r>
      <w:r>
        <w:rPr/>
        <w:t>damages which is only concerned with questions of fact </w:t>
      </w:r>
      <w:r>
        <w:rPr>
          <w:color w:val="005DA1"/>
          <w:u w:val="single" w:color="005DA1"/>
          <w:vertAlign w:val="superscript"/>
        </w:rPr>
        <w:t>1250</w:t>
      </w:r>
      <w:r>
        <w:rPr>
          <w:color w:val="005DA1"/>
          <w:vertAlign w:val="baseline"/>
        </w:rPr>
        <w:t> </w:t>
      </w:r>
      <w:r>
        <w:rPr>
          <w:vertAlign w:val="baseline"/>
        </w:rPr>
        <w:t>(e.g. arithmetical calculation of </w:t>
      </w:r>
      <w:r>
        <w:rPr>
          <w:vertAlign w:val="baseline"/>
        </w:rPr>
        <w:t>loss</w:t>
      </w:r>
      <w:r>
        <w:rPr>
          <w:spacing w:val="40"/>
          <w:vertAlign w:val="baseline"/>
        </w:rPr>
        <w:t> </w:t>
      </w:r>
      <w:bookmarkStart w:name="_bookmark2348" w:id="2350"/>
      <w:bookmarkEnd w:id="2350"/>
      <w:r>
        <w:rPr>
          <w:vertAlign w:val="baseline"/>
        </w:rPr>
        <w:t>where</w:t>
      </w:r>
      <w:r>
        <w:rPr>
          <w:vertAlign w:val="baseline"/>
        </w:rPr>
        <w:t> the formula for such calculation is not dictated by rules of law). Where, however, a rule of law </w:t>
      </w:r>
      <w:bookmarkStart w:name="_bookmark2349" w:id="2351"/>
      <w:bookmarkEnd w:id="2351"/>
      <w:r>
        <w:rPr>
          <w:vertAlign w:val="baseline"/>
        </w:rPr>
        <w:t>imposes</w:t>
      </w:r>
      <w:r>
        <w:rPr>
          <w:vertAlign w:val="baseline"/>
        </w:rPr>
        <w:t> a limit on compensation, </w:t>
      </w:r>
      <w:r>
        <w:rPr>
          <w:color w:val="005DA1"/>
          <w:u w:val="single" w:color="005DA1"/>
          <w:vertAlign w:val="superscript"/>
        </w:rPr>
        <w:t>1251</w:t>
      </w:r>
      <w:r>
        <w:rPr>
          <w:color w:val="005DA1"/>
          <w:vertAlign w:val="baseline"/>
        </w:rPr>
        <w:t> </w:t>
      </w:r>
      <w:r>
        <w:rPr>
          <w:vertAlign w:val="baseline"/>
        </w:rPr>
        <w:t>or draws distinctions between penalties and liquidated </w:t>
      </w:r>
      <w:bookmarkStart w:name="_bookmark2350" w:id="2352"/>
      <w:bookmarkEnd w:id="2352"/>
      <w:r>
        <w:rPr>
          <w:vertAlign w:val="baseline"/>
        </w:rPr>
        <w:t>damages,</w:t>
      </w:r>
      <w:r>
        <w:rPr>
          <w:vertAlign w:val="baseline"/>
        </w:rPr>
        <w:t> </w:t>
      </w:r>
      <w:r>
        <w:rPr>
          <w:color w:val="005DA1"/>
          <w:u w:val="single" w:color="005DA1"/>
          <w:vertAlign w:val="superscript"/>
        </w:rPr>
        <w:t>1252</w:t>
      </w:r>
      <w:r>
        <w:rPr>
          <w:color w:val="005DA1"/>
          <w:vertAlign w:val="baseline"/>
        </w:rPr>
        <w:t> </w:t>
      </w:r>
      <w:r>
        <w:rPr>
          <w:vertAlign w:val="baseline"/>
        </w:rPr>
        <w:t>or provides a principle by which the measure of damages for, say, non-delivery of goods can be calculated, </w:t>
      </w:r>
      <w:r>
        <w:rPr>
          <w:color w:val="005DA1"/>
          <w:u w:val="single" w:color="005DA1"/>
          <w:vertAlign w:val="superscript"/>
        </w:rPr>
        <w:t>1253</w:t>
      </w:r>
      <w:r>
        <w:rPr>
          <w:color w:val="005DA1"/>
          <w:vertAlign w:val="baseline"/>
        </w:rPr>
        <w:t> </w:t>
      </w:r>
      <w:r>
        <w:rPr>
          <w:vertAlign w:val="baseline"/>
        </w:rPr>
        <w:t>the applicability of the rule will depend on the governing law. In this context (as in other contexts in art.10(1)(c) and art.12(1)(c)) the scope of the applicable law is limited by “the powers conferred on the court by its procedural law”. Thus, for example, an English court </w:t>
      </w:r>
      <w:bookmarkStart w:name="_bookmark2351" w:id="2353"/>
      <w:bookmarkEnd w:id="2353"/>
      <w:r>
        <w:rPr>
          <w:vertAlign w:val="baseline"/>
        </w:rPr>
        <w:t>could</w:t>
      </w:r>
      <w:r>
        <w:rPr>
          <w:vertAlign w:val="baseline"/>
        </w:rPr>
        <w:t> refuse to award damages in the form of periodical payments as required by the law governing the contract, if there was no procedural machinery for making such an award. </w:t>
      </w:r>
      <w:r>
        <w:rPr>
          <w:color w:val="005DA1"/>
          <w:u w:val="single" w:color="005DA1"/>
          <w:vertAlign w:val="superscript"/>
        </w:rPr>
        <w:t>1254</w:t>
      </w:r>
    </w:p>
    <w:p>
      <w:pPr>
        <w:pStyle w:val="BodyText"/>
      </w:pPr>
    </w:p>
    <w:p>
      <w:pPr>
        <w:pStyle w:val="BodyText"/>
        <w:spacing w:before="35"/>
      </w:pPr>
    </w:p>
    <w:p>
      <w:pPr>
        <w:spacing w:before="0"/>
        <w:ind w:left="165" w:right="0" w:firstLine="0"/>
        <w:jc w:val="left"/>
        <w:rPr>
          <w:rFonts w:ascii="Arial"/>
          <w:b/>
          <w:sz w:val="18"/>
        </w:rPr>
      </w:pPr>
      <w:r>
        <w:rPr>
          <w:rFonts w:ascii="Arial"/>
          <w:b/>
          <w:sz w:val="18"/>
        </w:rPr>
        <w:t>Other </w:t>
      </w:r>
      <w:r>
        <w:rPr>
          <w:rFonts w:ascii="Arial"/>
          <w:b/>
          <w:spacing w:val="-2"/>
          <w:sz w:val="18"/>
        </w:rPr>
        <w:t>remedies</w:t>
      </w:r>
    </w:p>
    <w:p>
      <w:pPr>
        <w:pStyle w:val="BodyText"/>
        <w:spacing w:before="42"/>
        <w:rPr>
          <w:rFonts w:ascii="Arial"/>
          <w:b/>
          <w:sz w:val="18"/>
        </w:rPr>
      </w:pPr>
    </w:p>
    <w:p>
      <w:pPr>
        <w:pStyle w:val="Heading2"/>
      </w:pPr>
      <w:r>
        <w:rPr/>
        <w:t>30-</w:t>
      </w:r>
      <w:r>
        <w:rPr>
          <w:spacing w:val="-5"/>
        </w:rPr>
        <w:t>339</w:t>
      </w:r>
    </w:p>
    <w:p>
      <w:pPr>
        <w:pStyle w:val="BodyText"/>
        <w:spacing w:line="235" w:lineRule="auto" w:before="202"/>
        <w:ind w:left="164" w:right="167"/>
        <w:jc w:val="both"/>
      </w:pPr>
      <w:r>
        <w:rPr/>
        <w:t>Although the matter has received little discussion and is the subject of only scanty authority, it was </w:t>
      </w:r>
      <w:bookmarkStart w:name="_bookmark2352" w:id="2354"/>
      <w:bookmarkEnd w:id="2354"/>
      <w:r>
        <w:rPr/>
        <w:t>generally</w:t>
      </w:r>
      <w:r>
        <w:rPr/>
        <w:t> stated that at common law the availability of the equitable remedies of specific performance or injunction was a matter for the lex fori. </w:t>
      </w:r>
      <w:r>
        <w:rPr>
          <w:color w:val="005DA1"/>
          <w:u w:val="single" w:color="005DA1"/>
          <w:vertAlign w:val="superscript"/>
        </w:rPr>
        <w:t>1255</w:t>
      </w:r>
      <w:r>
        <w:rPr>
          <w:color w:val="005DA1"/>
          <w:vertAlign w:val="baseline"/>
        </w:rPr>
        <w:t> </w:t>
      </w:r>
      <w:r>
        <w:rPr>
          <w:vertAlign w:val="baseline"/>
        </w:rPr>
        <w:t>The position appears to be different under the </w:t>
      </w:r>
      <w:r>
        <w:rPr>
          <w:vertAlign w:val="baseline"/>
        </w:rPr>
        <w:t>Rome Convention and the Rome I Regulation, since the availability of a particular remedy would seem to be </w:t>
      </w:r>
      <w:bookmarkStart w:name="_bookmark2353" w:id="2355"/>
      <w:bookmarkEnd w:id="2355"/>
      <w:r>
        <w:rPr>
          <w:vertAlign w:val="baseline"/>
        </w:rPr>
        <w:t>a</w:t>
      </w:r>
      <w:r>
        <w:rPr>
          <w:vertAlign w:val="baseline"/>
        </w:rPr>
        <w:t> consequence of breach which is referable to the applicable law pursuant to either art.10(1)(c) of the </w:t>
      </w:r>
      <w:bookmarkStart w:name="_bookmark2354" w:id="2356"/>
      <w:bookmarkEnd w:id="2356"/>
      <w:r>
        <w:rPr>
          <w:vertAlign w:val="baseline"/>
        </w:rPr>
        <w:t>Convention</w:t>
      </w:r>
      <w:r>
        <w:rPr>
          <w:vertAlign w:val="baseline"/>
        </w:rPr>
        <w:t> or art.12(1)(c) of the Regulation. </w:t>
      </w:r>
      <w:r>
        <w:rPr>
          <w:color w:val="005DA1"/>
          <w:u w:val="single" w:color="005DA1"/>
          <w:vertAlign w:val="superscript"/>
        </w:rPr>
        <w:t>1256</w:t>
      </w:r>
      <w:r>
        <w:rPr>
          <w:color w:val="005DA1"/>
          <w:vertAlign w:val="baseline"/>
        </w:rPr>
        <w:t> </w:t>
      </w:r>
      <w:r>
        <w:rPr>
          <w:vertAlign w:val="baseline"/>
        </w:rPr>
        <w:t>The applicable law should thus determine the availability</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injunction</w:t>
      </w:r>
      <w:r>
        <w:rPr>
          <w:spacing w:val="-3"/>
          <w:vertAlign w:val="baseline"/>
        </w:rPr>
        <w:t> </w:t>
      </w:r>
      <w:r>
        <w:rPr>
          <w:color w:val="005DA1"/>
          <w:u w:val="single" w:color="005DA1"/>
          <w:vertAlign w:val="superscript"/>
        </w:rPr>
        <w:t>1257</w:t>
      </w:r>
      <w:r>
        <w:rPr>
          <w:color w:val="005DA1"/>
          <w:spacing w:val="-2"/>
          <w:vertAlign w:val="baseline"/>
        </w:rPr>
        <w:t> </w:t>
      </w:r>
      <w:r>
        <w:rPr>
          <w:vertAlign w:val="baseline"/>
        </w:rPr>
        <w:t>or</w:t>
      </w:r>
      <w:r>
        <w:rPr>
          <w:spacing w:val="-2"/>
          <w:vertAlign w:val="baseline"/>
        </w:rPr>
        <w:t> </w:t>
      </w:r>
      <w:r>
        <w:rPr>
          <w:vertAlign w:val="baseline"/>
        </w:rPr>
        <w:t>a</w:t>
      </w:r>
      <w:r>
        <w:rPr>
          <w:spacing w:val="-2"/>
          <w:vertAlign w:val="baseline"/>
        </w:rPr>
        <w:t> </w:t>
      </w:r>
      <w:r>
        <w:rPr>
          <w:vertAlign w:val="baseline"/>
        </w:rPr>
        <w:t>decree</w:t>
      </w:r>
      <w:r>
        <w:rPr>
          <w:spacing w:val="-2"/>
          <w:vertAlign w:val="baseline"/>
        </w:rPr>
        <w:t> </w:t>
      </w:r>
      <w:r>
        <w:rPr>
          <w:vertAlign w:val="baseline"/>
        </w:rPr>
        <w:t>of</w:t>
      </w:r>
      <w:r>
        <w:rPr>
          <w:spacing w:val="-2"/>
          <w:vertAlign w:val="baseline"/>
        </w:rPr>
        <w:t> </w:t>
      </w:r>
      <w:r>
        <w:rPr>
          <w:vertAlign w:val="baseline"/>
        </w:rPr>
        <w:t>specific</w:t>
      </w:r>
      <w:r>
        <w:rPr>
          <w:spacing w:val="-2"/>
          <w:vertAlign w:val="baseline"/>
        </w:rPr>
        <w:t> </w:t>
      </w:r>
      <w:r>
        <w:rPr>
          <w:vertAlign w:val="baseline"/>
        </w:rPr>
        <w:t>performance.</w:t>
      </w:r>
      <w:r>
        <w:rPr>
          <w:spacing w:val="-2"/>
          <w:vertAlign w:val="baseline"/>
        </w:rPr>
        <w:t> </w:t>
      </w:r>
      <w:r>
        <w:rPr>
          <w:vertAlign w:val="baseline"/>
        </w:rPr>
        <w:t>Such</w:t>
      </w:r>
      <w:r>
        <w:rPr>
          <w:spacing w:val="-2"/>
          <w:vertAlign w:val="baseline"/>
        </w:rPr>
        <w:t> </w:t>
      </w:r>
      <w:r>
        <w:rPr>
          <w:vertAlign w:val="baseline"/>
        </w:rPr>
        <w:t>availability</w:t>
      </w:r>
      <w:r>
        <w:rPr>
          <w:spacing w:val="-2"/>
          <w:vertAlign w:val="baseline"/>
        </w:rPr>
        <w:t> </w:t>
      </w:r>
      <w:r>
        <w:rPr>
          <w:vertAlign w:val="baseline"/>
        </w:rPr>
        <w:t>will,</w:t>
      </w:r>
      <w:r>
        <w:rPr>
          <w:spacing w:val="-2"/>
          <w:vertAlign w:val="baseline"/>
        </w:rPr>
        <w:t> </w:t>
      </w:r>
      <w:r>
        <w:rPr>
          <w:vertAlign w:val="baseline"/>
        </w:rPr>
        <w:t>of</w:t>
      </w:r>
      <w:r>
        <w:rPr>
          <w:spacing w:val="-2"/>
          <w:vertAlign w:val="baseline"/>
        </w:rPr>
        <w:t> </w:t>
      </w:r>
      <w:r>
        <w:rPr>
          <w:vertAlign w:val="baseline"/>
        </w:rPr>
        <w:t>course,</w:t>
      </w:r>
      <w:r>
        <w:rPr>
          <w:spacing w:val="-2"/>
          <w:vertAlign w:val="baseline"/>
        </w:rPr>
        <w:t> </w:t>
      </w:r>
      <w:r>
        <w:rPr>
          <w:vertAlign w:val="baseline"/>
        </w:rPr>
        <w:t>be subject to the procedural proviso to both arts 10(1)(c) and 12(1)(c), i.e. to “the limits of the powers conferred on the court by its procedural law”. Thus the English court could refuse, for example, a </w:t>
      </w:r>
      <w:bookmarkStart w:name="_bookmark2355" w:id="2357"/>
      <w:bookmarkEnd w:id="2357"/>
      <w:r>
        <w:rPr>
          <w:vertAlign w:val="baseline"/>
        </w:rPr>
        <w:t>decree</w:t>
      </w:r>
      <w:r>
        <w:rPr>
          <w:vertAlign w:val="baseline"/>
        </w:rPr>
        <w:t> of specific performance if the order would require constant supervision by the court, according to English principles. </w:t>
      </w:r>
      <w:r>
        <w:rPr>
          <w:color w:val="005DA1"/>
          <w:u w:val="single" w:color="005DA1"/>
          <w:vertAlign w:val="superscript"/>
        </w:rPr>
        <w:t>1258</w:t>
      </w:r>
    </w:p>
    <w:p>
      <w:pPr>
        <w:pStyle w:val="BodyText"/>
      </w:pPr>
    </w:p>
    <w:p>
      <w:pPr>
        <w:pStyle w:val="BodyText"/>
        <w:spacing w:before="35"/>
      </w:pPr>
    </w:p>
    <w:p>
      <w:pPr>
        <w:spacing w:before="0"/>
        <w:ind w:left="164" w:right="0" w:firstLine="0"/>
        <w:jc w:val="left"/>
        <w:rPr>
          <w:rFonts w:ascii="Arial"/>
          <w:b/>
          <w:sz w:val="18"/>
        </w:rPr>
      </w:pPr>
      <w:r>
        <w:rPr>
          <w:rFonts w:ascii="Arial"/>
          <w:b/>
          <w:spacing w:val="-2"/>
          <w:sz w:val="18"/>
        </w:rPr>
        <w:t>Interest</w:t>
      </w:r>
    </w:p>
    <w:p>
      <w:pPr>
        <w:pStyle w:val="BodyText"/>
        <w:spacing w:before="41"/>
        <w:rPr>
          <w:rFonts w:ascii="Arial"/>
          <w:b/>
          <w:sz w:val="18"/>
        </w:rPr>
      </w:pPr>
    </w:p>
    <w:p>
      <w:pPr>
        <w:pStyle w:val="Heading2"/>
        <w:ind w:left="164"/>
      </w:pPr>
      <w:r>
        <w:rPr/>
        <w:t>30-</w:t>
      </w:r>
      <w:r>
        <w:rPr>
          <w:spacing w:val="-5"/>
        </w:rPr>
        <w:t>340</w:t>
      </w:r>
    </w:p>
    <w:p>
      <w:pPr>
        <w:pStyle w:val="BodyText"/>
        <w:spacing w:line="235" w:lineRule="auto" w:before="203"/>
        <w:ind w:left="164" w:right="167"/>
        <w:jc w:val="both"/>
      </w:pPr>
      <w:r>
        <w:rPr/>
        <w:t>At common law, liability to pay contractual interest and the rate of interest payable in respect of a </w:t>
      </w:r>
      <w:bookmarkStart w:name="_bookmark2356" w:id="2358"/>
      <w:bookmarkEnd w:id="2358"/>
      <w:r>
        <w:rPr/>
        <w:t>contractual</w:t>
      </w:r>
      <w:r>
        <w:rPr/>
        <w:t> debt were determined by the law applicable to the contract under which the debt was incurred. </w:t>
      </w:r>
      <w:r>
        <w:rPr>
          <w:color w:val="005DA1"/>
          <w:u w:val="single" w:color="005DA1"/>
          <w:vertAlign w:val="superscript"/>
        </w:rPr>
        <w:t>1259</w:t>
      </w:r>
      <w:r>
        <w:rPr>
          <w:color w:val="005DA1"/>
          <w:vertAlign w:val="baseline"/>
        </w:rPr>
        <w:t> </w:t>
      </w:r>
      <w:r>
        <w:rPr>
          <w:vertAlign w:val="baseline"/>
        </w:rPr>
        <w:t>This is also the position under the Rome Convention and, it is submitted, under the Rome I Regulation though it would seem that this result is reached by reference to art.10(1)(b) of the </w:t>
      </w:r>
      <w:bookmarkStart w:name="_bookmark2357" w:id="2359"/>
      <w:bookmarkEnd w:id="2359"/>
      <w:r>
        <w:rPr>
          <w:vertAlign w:val="baseline"/>
        </w:rPr>
        <w:t>Convention</w:t>
      </w:r>
      <w:r>
        <w:rPr>
          <w:vertAlign w:val="baseline"/>
        </w:rPr>
        <w:t> or art.12(1)(b) of the Regulation (“performance”) since the liability to pay contractual interest and the rate thereof relate to the substance of the obligation to be performed. </w:t>
      </w:r>
      <w:r>
        <w:rPr>
          <w:color w:val="005DA1"/>
          <w:u w:val="single" w:color="005DA1"/>
          <w:vertAlign w:val="superscript"/>
        </w:rPr>
        <w:t>1260</w:t>
      </w:r>
      <w:r>
        <w:rPr>
          <w:color w:val="005DA1"/>
          <w:vertAlign w:val="baseline"/>
        </w:rPr>
        <w:t> </w:t>
      </w:r>
      <w:r>
        <w:rPr>
          <w:vertAlign w:val="baseline"/>
        </w:rPr>
        <w:t>Where </w:t>
      </w:r>
      <w:bookmarkStart w:name="_bookmark2358" w:id="2360"/>
      <w:bookmarkEnd w:id="2360"/>
      <w:r>
        <w:rPr>
          <w:vertAlign w:val="baseline"/>
        </w:rPr>
        <w:t>interest</w:t>
      </w:r>
      <w:r>
        <w:rPr>
          <w:vertAlign w:val="baseline"/>
        </w:rPr>
        <w:t> was claimed as damages for non-payment of a debt, the better view was that liability at </w:t>
      </w:r>
      <w:bookmarkStart w:name="_bookmark2359" w:id="2361"/>
      <w:bookmarkEnd w:id="2361"/>
      <w:r>
        <w:rPr>
          <w:vertAlign w:val="baseline"/>
        </w:rPr>
        <w:t>common</w:t>
      </w:r>
      <w:r>
        <w:rPr>
          <w:spacing w:val="-1"/>
          <w:vertAlign w:val="baseline"/>
        </w:rPr>
        <w:t> </w:t>
      </w:r>
      <w:r>
        <w:rPr>
          <w:vertAlign w:val="baseline"/>
        </w:rPr>
        <w:t>law</w:t>
      </w:r>
      <w:r>
        <w:rPr>
          <w:spacing w:val="-1"/>
          <w:vertAlign w:val="baseline"/>
        </w:rPr>
        <w:t> </w:t>
      </w:r>
      <w:r>
        <w:rPr>
          <w:vertAlign w:val="baseline"/>
        </w:rPr>
        <w:t>similarly</w:t>
      </w:r>
      <w:r>
        <w:rPr>
          <w:spacing w:val="-1"/>
          <w:vertAlign w:val="baseline"/>
        </w:rPr>
        <w:t> </w:t>
      </w:r>
      <w:r>
        <w:rPr>
          <w:vertAlign w:val="baseline"/>
        </w:rPr>
        <w:t>depended</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applicable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contract.</w:t>
      </w:r>
      <w:r>
        <w:rPr>
          <w:spacing w:val="-2"/>
          <w:vertAlign w:val="baseline"/>
        </w:rPr>
        <w:t> </w:t>
      </w:r>
      <w:r>
        <w:rPr>
          <w:color w:val="005DA1"/>
          <w:u w:val="single" w:color="005DA1"/>
          <w:vertAlign w:val="superscript"/>
        </w:rPr>
        <w:t>1261</w:t>
      </w:r>
      <w:r>
        <w:rPr>
          <w:color w:val="005DA1"/>
          <w:spacing w:val="-1"/>
          <w:vertAlign w:val="baseline"/>
        </w:rPr>
        <w:t> </w:t>
      </w:r>
      <w:r>
        <w:rPr>
          <w:vertAlign w:val="baseline"/>
        </w:rPr>
        <w:t>The</w:t>
      </w:r>
      <w:r>
        <w:rPr>
          <w:spacing w:val="-1"/>
          <w:vertAlign w:val="baseline"/>
        </w:rPr>
        <w:t> </w:t>
      </w:r>
      <w:r>
        <w:rPr>
          <w:vertAlign w:val="baseline"/>
        </w:rPr>
        <w:t>rate</w:t>
      </w:r>
      <w:r>
        <w:rPr>
          <w:spacing w:val="-1"/>
          <w:vertAlign w:val="baseline"/>
        </w:rPr>
        <w:t> </w:t>
      </w:r>
      <w:r>
        <w:rPr>
          <w:vertAlign w:val="baseline"/>
        </w:rPr>
        <w:t>of</w:t>
      </w:r>
      <w:r>
        <w:rPr>
          <w:spacing w:val="-1"/>
          <w:vertAlign w:val="baseline"/>
        </w:rPr>
        <w:t> </w:t>
      </w:r>
      <w:r>
        <w:rPr>
          <w:vertAlign w:val="baseline"/>
        </w:rPr>
        <w:t>interest</w:t>
      </w:r>
      <w:r>
        <w:rPr>
          <w:spacing w:val="-1"/>
          <w:vertAlign w:val="baseline"/>
        </w:rPr>
        <w:t> </w:t>
      </w:r>
      <w:r>
        <w:rPr>
          <w:vertAlign w:val="baseline"/>
        </w:rPr>
        <w:t>payable as damages was, however, governed by the lex fori. </w:t>
      </w:r>
      <w:r>
        <w:rPr>
          <w:color w:val="005DA1"/>
          <w:u w:val="single" w:color="005DA1"/>
          <w:vertAlign w:val="superscript"/>
        </w:rPr>
        <w:t>1262</w:t>
      </w:r>
      <w:r>
        <w:rPr>
          <w:color w:val="005DA1"/>
          <w:vertAlign w:val="baseline"/>
        </w:rPr>
        <w:t> </w:t>
      </w:r>
      <w:r>
        <w:rPr>
          <w:vertAlign w:val="baseline"/>
        </w:rPr>
        <w:t>Under the Rome Convention, the right to claim interest as damages would seem to be a consequence of breach governed by the applicable</w:t>
      </w:r>
      <w:r>
        <w:rPr>
          <w:spacing w:val="40"/>
          <w:vertAlign w:val="baseline"/>
        </w:rPr>
        <w:t> </w:t>
      </w:r>
      <w:bookmarkStart w:name="_bookmark2360" w:id="2362"/>
      <w:bookmarkEnd w:id="2362"/>
      <w:r>
        <w:rPr>
          <w:vertAlign w:val="baseline"/>
        </w:rPr>
        <w:t>law</w:t>
      </w:r>
      <w:r>
        <w:rPr>
          <w:vertAlign w:val="baseline"/>
        </w:rPr>
        <w:t> pursuant to art.10(1)(c) of the Convention and the same position would seem to prevail under art.12(1)(c) of the Rome I Regulation. </w:t>
      </w:r>
      <w:r>
        <w:rPr>
          <w:color w:val="005DA1"/>
          <w:u w:val="single" w:color="005DA1"/>
          <w:vertAlign w:val="superscript"/>
        </w:rPr>
        <w:t>1263</w:t>
      </w:r>
      <w:r>
        <w:rPr>
          <w:color w:val="005DA1"/>
          <w:vertAlign w:val="baseline"/>
        </w:rPr>
        <w:t> </w:t>
      </w:r>
      <w:r>
        <w:rPr>
          <w:vertAlign w:val="baseline"/>
        </w:rPr>
        <w:t>It is also submitted that under the Convention and the Regulation the rate of such interest should continue to be a matter of procedure governed by the lex </w:t>
      </w:r>
      <w:bookmarkStart w:name="_bookmark2361" w:id="2363"/>
      <w:bookmarkEnd w:id="2363"/>
      <w:r>
        <w:rPr>
          <w:vertAlign w:val="baseline"/>
        </w:rPr>
        <w:t>fori,</w:t>
      </w:r>
      <w:r>
        <w:rPr>
          <w:vertAlign w:val="baseline"/>
        </w:rPr>
        <w:t> a result which is not at variance with the terms of the Convention or the Regulation since neither instrument applies to procedure. </w:t>
      </w:r>
      <w:r>
        <w:rPr>
          <w:color w:val="005DA1"/>
          <w:u w:val="single" w:color="005DA1"/>
          <w:vertAlign w:val="superscript"/>
        </w:rPr>
        <w:t>1264</w:t>
      </w:r>
    </w:p>
    <w:p>
      <w:pPr>
        <w:pStyle w:val="BodyText"/>
      </w:pPr>
    </w:p>
    <w:p>
      <w:pPr>
        <w:pStyle w:val="BodyText"/>
        <w:spacing w:before="33"/>
      </w:pPr>
    </w:p>
    <w:p>
      <w:pPr>
        <w:spacing w:before="0"/>
        <w:ind w:left="165" w:right="0" w:firstLine="0"/>
        <w:jc w:val="left"/>
        <w:rPr>
          <w:rFonts w:ascii="Arial"/>
          <w:b/>
          <w:sz w:val="18"/>
        </w:rPr>
      </w:pPr>
      <w:r>
        <w:rPr>
          <w:rFonts w:ascii="Arial"/>
          <w:b/>
          <w:sz w:val="18"/>
        </w:rPr>
        <w:t>Exchange </w:t>
      </w:r>
      <w:r>
        <w:rPr>
          <w:rFonts w:ascii="Arial"/>
          <w:b/>
          <w:spacing w:val="-2"/>
          <w:sz w:val="18"/>
        </w:rPr>
        <w:t>losses</w:t>
      </w:r>
    </w:p>
    <w:p>
      <w:pPr>
        <w:pStyle w:val="BodyText"/>
        <w:spacing w:before="41"/>
        <w:rPr>
          <w:rFonts w:ascii="Arial"/>
          <w:b/>
          <w:sz w:val="18"/>
        </w:rPr>
      </w:pPr>
    </w:p>
    <w:p>
      <w:pPr>
        <w:pStyle w:val="Heading2"/>
      </w:pPr>
      <w:r>
        <w:rPr/>
        <w:t>30-</w:t>
      </w:r>
      <w:r>
        <w:rPr>
          <w:spacing w:val="-5"/>
        </w:rPr>
        <w:t>341</w:t>
      </w:r>
    </w:p>
    <w:p>
      <w:pPr>
        <w:pStyle w:val="BodyText"/>
        <w:spacing w:line="235" w:lineRule="auto" w:before="203"/>
        <w:ind w:left="165" w:right="167"/>
        <w:jc w:val="both"/>
      </w:pPr>
      <w:r>
        <w:rPr/>
        <w:t>The right to claim contractual interest and interest by way of damages must be distinguished from the question whether a contracting party who has paid a contractual debt after the due date is liable </w:t>
      </w:r>
      <w:r>
        <w:rPr/>
        <w:t>for exchange losses if the currency in which payment is expressed to be paid depreciates in value</w:t>
      </w:r>
      <w:r>
        <w:rPr>
          <w:spacing w:val="40"/>
        </w:rPr>
        <w:t> </w:t>
      </w:r>
      <w:bookmarkStart w:name="_bookmark2362" w:id="2364"/>
      <w:bookmarkEnd w:id="2364"/>
      <w:r>
        <w:rPr/>
        <w:t>relative</w:t>
      </w:r>
      <w:r>
        <w:rPr/>
        <w:t> to the currency in which the other contracting party operates. The existence of such liability depended, at common law, on the law applicable to the contract. </w:t>
      </w:r>
      <w:r>
        <w:rPr>
          <w:color w:val="005DA1"/>
          <w:u w:val="single" w:color="005DA1"/>
          <w:vertAlign w:val="superscript"/>
        </w:rPr>
        <w:t>1265</w:t>
      </w:r>
      <w:r>
        <w:rPr>
          <w:color w:val="005DA1"/>
          <w:vertAlign w:val="baseline"/>
        </w:rPr>
        <w:t> </w:t>
      </w:r>
      <w:r>
        <w:rPr>
          <w:vertAlign w:val="baseline"/>
        </w:rPr>
        <w:t>The same result should follow under the Rome Convention since the question relates to the consequences of breach, governed by the</w:t>
      </w:r>
      <w:r>
        <w:rPr>
          <w:spacing w:val="27"/>
          <w:vertAlign w:val="baseline"/>
        </w:rPr>
        <w:t> </w:t>
      </w:r>
      <w:r>
        <w:rPr>
          <w:vertAlign w:val="baseline"/>
        </w:rPr>
        <w:t>applicable</w:t>
      </w:r>
      <w:r>
        <w:rPr>
          <w:spacing w:val="27"/>
          <w:vertAlign w:val="baseline"/>
        </w:rPr>
        <w:t> </w:t>
      </w:r>
      <w:r>
        <w:rPr>
          <w:vertAlign w:val="baseline"/>
        </w:rPr>
        <w:t>law</w:t>
      </w:r>
      <w:r>
        <w:rPr>
          <w:spacing w:val="27"/>
          <w:vertAlign w:val="baseline"/>
        </w:rPr>
        <w:t> </w:t>
      </w:r>
      <w:r>
        <w:rPr>
          <w:vertAlign w:val="baseline"/>
        </w:rPr>
        <w:t>by</w:t>
      </w:r>
      <w:r>
        <w:rPr>
          <w:spacing w:val="27"/>
          <w:vertAlign w:val="baseline"/>
        </w:rPr>
        <w:t> </w:t>
      </w:r>
      <w:r>
        <w:rPr>
          <w:vertAlign w:val="baseline"/>
        </w:rPr>
        <w:t>virtue</w:t>
      </w:r>
      <w:r>
        <w:rPr>
          <w:spacing w:val="27"/>
          <w:vertAlign w:val="baseline"/>
        </w:rPr>
        <w:t> </w:t>
      </w:r>
      <w:r>
        <w:rPr>
          <w:vertAlign w:val="baseline"/>
        </w:rPr>
        <w:t>of</w:t>
      </w:r>
      <w:r>
        <w:rPr>
          <w:spacing w:val="27"/>
          <w:vertAlign w:val="baseline"/>
        </w:rPr>
        <w:t> </w:t>
      </w:r>
      <w:r>
        <w:rPr>
          <w:vertAlign w:val="baseline"/>
        </w:rPr>
        <w:t>art.10(1)(c)</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Convention</w:t>
      </w:r>
      <w:r>
        <w:rPr>
          <w:spacing w:val="27"/>
          <w:vertAlign w:val="baseline"/>
        </w:rPr>
        <w:t> </w:t>
      </w:r>
      <w:r>
        <w:rPr>
          <w:vertAlign w:val="baseline"/>
        </w:rPr>
        <w:t>and</w:t>
      </w:r>
      <w:r>
        <w:rPr>
          <w:spacing w:val="27"/>
          <w:vertAlign w:val="baseline"/>
        </w:rPr>
        <w:t> </w:t>
      </w:r>
      <w:r>
        <w:rPr>
          <w:vertAlign w:val="baseline"/>
        </w:rPr>
        <w:t>under</w:t>
      </w:r>
      <w:r>
        <w:rPr>
          <w:spacing w:val="27"/>
          <w:vertAlign w:val="baseline"/>
        </w:rPr>
        <w:t> </w:t>
      </w:r>
      <w:r>
        <w:rPr>
          <w:vertAlign w:val="baseline"/>
        </w:rPr>
        <w:t>the</w:t>
      </w:r>
      <w:r>
        <w:rPr>
          <w:spacing w:val="27"/>
          <w:vertAlign w:val="baseline"/>
        </w:rPr>
        <w:t> </w:t>
      </w:r>
      <w:r>
        <w:rPr>
          <w:vertAlign w:val="baseline"/>
        </w:rPr>
        <w:t>Rome</w:t>
      </w:r>
      <w:r>
        <w:rPr>
          <w:spacing w:val="27"/>
          <w:vertAlign w:val="baseline"/>
        </w:rPr>
        <w:t> </w:t>
      </w:r>
      <w:r>
        <w:rPr>
          <w:vertAlign w:val="baseline"/>
        </w:rPr>
        <w:t>I</w:t>
      </w:r>
      <w:r>
        <w:rPr>
          <w:spacing w:val="27"/>
          <w:vertAlign w:val="baseline"/>
        </w:rPr>
        <w:t> </w:t>
      </w:r>
      <w:r>
        <w:rPr>
          <w:vertAlign w:val="baseline"/>
        </w:rPr>
        <w:t>Regulation</w:t>
      </w:r>
      <w:r>
        <w:rPr>
          <w:spacing w:val="27"/>
          <w:vertAlign w:val="baseline"/>
        </w:rPr>
        <w:t> </w:t>
      </w:r>
      <w:r>
        <w:rPr>
          <w:spacing w:val="-7"/>
          <w:vertAlign w:val="baseline"/>
        </w:rPr>
        <w:t>by</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bookmarkStart w:name="_bookmark2363" w:id="2365"/>
      <w:bookmarkEnd w:id="2365"/>
      <w:r>
        <w:rPr/>
      </w:r>
      <w:r>
        <w:rPr/>
        <w:t>virtue of art.12(1)(c).</w:t>
      </w:r>
      <w:r>
        <w:rPr>
          <w:spacing w:val="-1"/>
        </w:rPr>
        <w:t> </w:t>
      </w:r>
      <w:r>
        <w:rPr>
          <w:color w:val="005DA1"/>
          <w:spacing w:val="-4"/>
          <w:u w:val="single" w:color="005DA1"/>
          <w:vertAlign w:val="superscript"/>
        </w:rPr>
        <w:t>1266</w:t>
      </w:r>
    </w:p>
    <w:p>
      <w:pPr>
        <w:pStyle w:val="BodyText"/>
      </w:pPr>
    </w:p>
    <w:p>
      <w:pPr>
        <w:pStyle w:val="BodyText"/>
        <w:spacing w:before="38"/>
      </w:pPr>
    </w:p>
    <w:p>
      <w:pPr>
        <w:spacing w:before="0"/>
        <w:ind w:left="165" w:right="0" w:firstLine="0"/>
        <w:jc w:val="both"/>
        <w:rPr>
          <w:rFonts w:ascii="Arial" w:hAnsi="Arial"/>
          <w:b/>
          <w:sz w:val="18"/>
        </w:rPr>
      </w:pPr>
      <w:r>
        <w:rPr>
          <w:rFonts w:ascii="Arial" w:hAnsi="Arial"/>
          <w:b/>
          <w:sz w:val="18"/>
        </w:rPr>
        <w:t>“Statutory </w:t>
      </w:r>
      <w:r>
        <w:rPr>
          <w:rFonts w:ascii="Arial" w:hAnsi="Arial"/>
          <w:b/>
          <w:spacing w:val="-2"/>
          <w:sz w:val="18"/>
        </w:rPr>
        <w:t>interest”</w:t>
      </w:r>
    </w:p>
    <w:p>
      <w:pPr>
        <w:pStyle w:val="BodyText"/>
        <w:spacing w:before="41"/>
        <w:rPr>
          <w:rFonts w:ascii="Arial"/>
          <w:b/>
          <w:sz w:val="18"/>
        </w:rPr>
      </w:pPr>
    </w:p>
    <w:p>
      <w:pPr>
        <w:pStyle w:val="Heading2"/>
      </w:pPr>
      <w:r>
        <w:rPr/>
        <w:t>30-</w:t>
      </w:r>
      <w:r>
        <w:rPr>
          <w:spacing w:val="-5"/>
        </w:rPr>
        <w:t>342</w:t>
      </w:r>
    </w:p>
    <w:p>
      <w:pPr>
        <w:pStyle w:val="BodyText"/>
        <w:spacing w:line="235" w:lineRule="auto" w:before="203"/>
        <w:ind w:left="164" w:right="166"/>
        <w:jc w:val="both"/>
      </w:pPr>
      <w:bookmarkStart w:name="_bookmark2364" w:id="2366"/>
      <w:bookmarkEnd w:id="2366"/>
      <w:r>
        <w:rPr/>
      </w:r>
      <w:r>
        <w:rPr/>
        <w:t>The Late Payment of Commercial Debts (Interest) Act 1998 </w:t>
      </w:r>
      <w:r>
        <w:rPr>
          <w:color w:val="005DA1"/>
          <w:u w:val="single" w:color="005DA1"/>
          <w:vertAlign w:val="superscript"/>
        </w:rPr>
        <w:t>1267</w:t>
      </w:r>
      <w:r>
        <w:rPr>
          <w:color w:val="005DA1"/>
          <w:vertAlign w:val="baseline"/>
        </w:rPr>
        <w:t> </w:t>
      </w:r>
      <w:r>
        <w:rPr>
          <w:vertAlign w:val="baseline"/>
        </w:rPr>
        <w:t>makes provision with respect to interest on the late payment of certain debts. By virtue of Pt I of the Act, it is an implied term in a </w:t>
      </w:r>
      <w:bookmarkStart w:name="_bookmark2365" w:id="2367"/>
      <w:bookmarkEnd w:id="2367"/>
      <w:r>
        <w:rPr>
          <w:vertAlign w:val="baseline"/>
        </w:rPr>
        <w:t>contract</w:t>
      </w:r>
      <w:r>
        <w:rPr>
          <w:vertAlign w:val="baseline"/>
        </w:rPr>
        <w:t> for the supply of goods or services where the purchaser and the supplier are each acting in </w:t>
      </w:r>
      <w:bookmarkStart w:name="_bookmark2366" w:id="2368"/>
      <w:bookmarkEnd w:id="2368"/>
      <w:r>
        <w:rPr>
          <w:vertAlign w:val="baseline"/>
        </w:rPr>
        <w:t>the</w:t>
      </w:r>
      <w:r>
        <w:rPr>
          <w:vertAlign w:val="baseline"/>
        </w:rPr>
        <w:t> course of a business, </w:t>
      </w:r>
      <w:r>
        <w:rPr>
          <w:color w:val="005DA1"/>
          <w:u w:val="single" w:color="005DA1"/>
          <w:vertAlign w:val="superscript"/>
        </w:rPr>
        <w:t>1268</w:t>
      </w:r>
      <w:r>
        <w:rPr>
          <w:color w:val="005DA1"/>
          <w:vertAlign w:val="baseline"/>
        </w:rPr>
        <w:t> </w:t>
      </w:r>
      <w:r>
        <w:rPr>
          <w:vertAlign w:val="baseline"/>
        </w:rPr>
        <w:t>other than an “excepted contract”, </w:t>
      </w:r>
      <w:r>
        <w:rPr>
          <w:color w:val="005DA1"/>
          <w:u w:val="single" w:color="005DA1"/>
          <w:vertAlign w:val="superscript"/>
        </w:rPr>
        <w:t>1269</w:t>
      </w:r>
      <w:r>
        <w:rPr>
          <w:color w:val="005DA1"/>
          <w:vertAlign w:val="baseline"/>
        </w:rPr>
        <w:t> </w:t>
      </w:r>
      <w:r>
        <w:rPr>
          <w:vertAlign w:val="baseline"/>
        </w:rPr>
        <w:t>that any “qualifying debt” </w:t>
      </w:r>
      <w:r>
        <w:rPr>
          <w:color w:val="005DA1"/>
          <w:u w:val="single" w:color="005DA1"/>
          <w:vertAlign w:val="superscript"/>
        </w:rPr>
        <w:t>1270</w:t>
      </w:r>
      <w:r>
        <w:rPr>
          <w:color w:val="005DA1"/>
          <w:vertAlign w:val="baseline"/>
        </w:rPr>
        <w:t> </w:t>
      </w:r>
      <w:bookmarkStart w:name="_bookmark2367" w:id="2369"/>
      <w:bookmarkEnd w:id="2369"/>
      <w:r>
        <w:rPr>
          <w:color w:val="005DA1"/>
          <w:w w:val="92"/>
          <w:vertAlign w:val="baseline"/>
        </w:rPr>
      </w:r>
      <w:r>
        <w:rPr>
          <w:vertAlign w:val="baseline"/>
        </w:rPr>
        <w:t>created by the contract carries simple interest, referred to as “statutory interest”, </w:t>
      </w:r>
      <w:r>
        <w:rPr>
          <w:color w:val="005DA1"/>
          <w:u w:val="single" w:color="005DA1"/>
          <w:vertAlign w:val="superscript"/>
        </w:rPr>
        <w:t>1271</w:t>
      </w:r>
      <w:r>
        <w:rPr>
          <w:color w:val="005DA1"/>
          <w:vertAlign w:val="baseline"/>
        </w:rPr>
        <w:t> </w:t>
      </w:r>
      <w:r>
        <w:rPr>
          <w:vertAlign w:val="baseline"/>
        </w:rPr>
        <w:t>subject to and in </w:t>
      </w:r>
      <w:bookmarkStart w:name="_bookmark2368" w:id="2370"/>
      <w:bookmarkEnd w:id="2370"/>
      <w:r>
        <w:rPr>
          <w:vertAlign w:val="baseline"/>
        </w:rPr>
        <w:t>accordance</w:t>
      </w:r>
      <w:r>
        <w:rPr>
          <w:vertAlign w:val="baseline"/>
        </w:rPr>
        <w:t> with Pt I of the Act. </w:t>
      </w:r>
      <w:r>
        <w:rPr>
          <w:color w:val="005DA1"/>
          <w:u w:val="single" w:color="005DA1"/>
          <w:vertAlign w:val="superscript"/>
        </w:rPr>
        <w:t>1272</w:t>
      </w:r>
      <w:r>
        <w:rPr>
          <w:color w:val="005DA1"/>
          <w:vertAlign w:val="baseline"/>
        </w:rPr>
        <w:t> </w:t>
      </w:r>
      <w:r>
        <w:rPr>
          <w:vertAlign w:val="baseline"/>
        </w:rPr>
        <w:t>Part II of the Act describes the circumstances in which contract terms are permissible to oust or vary this right to statutory interest. </w:t>
      </w:r>
      <w:r>
        <w:rPr>
          <w:color w:val="005DA1"/>
          <w:u w:val="single" w:color="005DA1"/>
          <w:vertAlign w:val="superscript"/>
        </w:rPr>
        <w:t>1273</w:t>
      </w:r>
      <w:r>
        <w:rPr>
          <w:color w:val="005DA1"/>
          <w:vertAlign w:val="baseline"/>
        </w:rPr>
        <w:t> </w:t>
      </w:r>
      <w:r>
        <w:rPr>
          <w:vertAlign w:val="baseline"/>
        </w:rPr>
        <w:t>Section 12 of the Act contains </w:t>
      </w:r>
      <w:bookmarkStart w:name="_bookmark2369" w:id="2371"/>
      <w:bookmarkEnd w:id="2371"/>
      <w:r>
        <w:rPr>
          <w:vertAlign w:val="baseline"/>
        </w:rPr>
        <w:t>provisions</w:t>
      </w:r>
      <w:r>
        <w:rPr>
          <w:vertAlign w:val="baseline"/>
        </w:rPr>
        <w:t> dealing with the scope of the application of the Act in the context of cases involving the conflict of laws. </w:t>
      </w:r>
      <w:r>
        <w:rPr>
          <w:color w:val="005DA1"/>
          <w:u w:val="single" w:color="005DA1"/>
          <w:vertAlign w:val="superscript"/>
        </w:rPr>
        <w:t>1274</w:t>
      </w:r>
      <w:r>
        <w:rPr>
          <w:color w:val="005DA1"/>
          <w:vertAlign w:val="baseline"/>
        </w:rPr>
        <w:t> </w:t>
      </w:r>
      <w:r>
        <w:rPr>
          <w:vertAlign w:val="baseline"/>
        </w:rPr>
        <w:t>According to s.12(1), the provisions of the Act do </w:t>
      </w:r>
      <w:r>
        <w:rPr>
          <w:rFonts w:ascii="Arial" w:hAnsi="Arial"/>
          <w:i/>
          <w:vertAlign w:val="baseline"/>
        </w:rPr>
        <w:t>not </w:t>
      </w:r>
      <w:r>
        <w:rPr>
          <w:vertAlign w:val="baseline"/>
        </w:rPr>
        <w:t>have effect in relation to a contract</w:t>
      </w:r>
      <w:r>
        <w:rPr>
          <w:spacing w:val="-1"/>
          <w:vertAlign w:val="baseline"/>
        </w:rPr>
        <w:t> </w:t>
      </w:r>
      <w:r>
        <w:rPr>
          <w:vertAlign w:val="baseline"/>
        </w:rPr>
        <w:t>governed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part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United</w:t>
      </w:r>
      <w:r>
        <w:rPr>
          <w:spacing w:val="-1"/>
          <w:vertAlign w:val="baseline"/>
        </w:rPr>
        <w:t> </w:t>
      </w:r>
      <w:r>
        <w:rPr>
          <w:vertAlign w:val="baseline"/>
        </w:rPr>
        <w:t>Kingdom</w:t>
      </w:r>
      <w:r>
        <w:rPr>
          <w:spacing w:val="-1"/>
          <w:vertAlign w:val="baseline"/>
        </w:rPr>
        <w:t> </w:t>
      </w:r>
      <w:r>
        <w:rPr>
          <w:vertAlign w:val="baseline"/>
        </w:rPr>
        <w:t>by</w:t>
      </w:r>
      <w:r>
        <w:rPr>
          <w:spacing w:val="-1"/>
          <w:vertAlign w:val="baseline"/>
        </w:rPr>
        <w:t> </w:t>
      </w:r>
      <w:r>
        <w:rPr>
          <w:vertAlign w:val="baseline"/>
        </w:rPr>
        <w:t>choice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if:</w:t>
      </w:r>
      <w:r>
        <w:rPr>
          <w:spacing w:val="-1"/>
          <w:vertAlign w:val="baseline"/>
        </w:rPr>
        <w:t> </w:t>
      </w:r>
      <w:r>
        <w:rPr>
          <w:vertAlign w:val="baseline"/>
        </w:rPr>
        <w:t>(a)</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no significant connection between the contract and that part of the United Kingdom; and (b) but for that </w:t>
      </w:r>
      <w:bookmarkStart w:name="_bookmark2370" w:id="2372"/>
      <w:bookmarkEnd w:id="2372"/>
      <w:r>
        <w:rPr>
          <w:vertAlign w:val="baseline"/>
        </w:rPr>
        <w:t>choice</w:t>
      </w:r>
      <w:r>
        <w:rPr>
          <w:vertAlign w:val="baseline"/>
        </w:rPr>
        <w:t> the applicable law would be a foreign law, defined as the law of a country outside the United Kingdom.</w:t>
      </w:r>
      <w:r>
        <w:rPr>
          <w:spacing w:val="-3"/>
          <w:vertAlign w:val="baseline"/>
        </w:rPr>
        <w:t> </w:t>
      </w:r>
      <w:r>
        <w:rPr>
          <w:color w:val="005DA1"/>
          <w:u w:val="single" w:color="005DA1"/>
          <w:vertAlign w:val="superscript"/>
        </w:rPr>
        <w:t>1275</w:t>
      </w:r>
      <w:r>
        <w:rPr>
          <w:color w:val="005DA1"/>
          <w:spacing w:val="-3"/>
          <w:vertAlign w:val="baseline"/>
        </w:rPr>
        <w:t> </w:t>
      </w:r>
      <w:r>
        <w:rPr>
          <w:vertAlign w:val="baseline"/>
        </w:rPr>
        <w:t>This</w:t>
      </w:r>
      <w:r>
        <w:rPr>
          <w:spacing w:val="-3"/>
          <w:vertAlign w:val="baseline"/>
        </w:rPr>
        <w:t> </w:t>
      </w:r>
      <w:r>
        <w:rPr>
          <w:vertAlign w:val="baseline"/>
        </w:rPr>
        <w:t>would</w:t>
      </w:r>
      <w:r>
        <w:rPr>
          <w:spacing w:val="-3"/>
          <w:vertAlign w:val="baseline"/>
        </w:rPr>
        <w:t> </w:t>
      </w:r>
      <w:r>
        <w:rPr>
          <w:vertAlign w:val="baseline"/>
        </w:rPr>
        <w:t>seem</w:t>
      </w:r>
      <w:r>
        <w:rPr>
          <w:spacing w:val="-3"/>
          <w:vertAlign w:val="baseline"/>
        </w:rPr>
        <w:t> </w:t>
      </w:r>
      <w:r>
        <w:rPr>
          <w:vertAlign w:val="baseline"/>
        </w:rPr>
        <w:t>to</w:t>
      </w:r>
      <w:r>
        <w:rPr>
          <w:spacing w:val="-3"/>
          <w:vertAlign w:val="baseline"/>
        </w:rPr>
        <w:t> </w:t>
      </w:r>
      <w:r>
        <w:rPr>
          <w:vertAlign w:val="baseline"/>
        </w:rPr>
        <w:t>mean</w:t>
      </w:r>
      <w:r>
        <w:rPr>
          <w:spacing w:val="-3"/>
          <w:vertAlign w:val="baseline"/>
        </w:rPr>
        <w:t> </w:t>
      </w:r>
      <w:r>
        <w:rPr>
          <w:vertAlign w:val="baseline"/>
        </w:rPr>
        <w:t>that</w:t>
      </w:r>
      <w:r>
        <w:rPr>
          <w:spacing w:val="-3"/>
          <w:vertAlign w:val="baseline"/>
        </w:rPr>
        <w:t> </w:t>
      </w:r>
      <w:r>
        <w:rPr>
          <w:vertAlign w:val="baseline"/>
        </w:rPr>
        <w:t>if</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vertAlign w:val="baseline"/>
        </w:rPr>
        <w:t>have</w:t>
      </w:r>
      <w:r>
        <w:rPr>
          <w:spacing w:val="-3"/>
          <w:vertAlign w:val="baseline"/>
        </w:rPr>
        <w:t> </w:t>
      </w:r>
      <w:r>
        <w:rPr>
          <w:vertAlign w:val="baseline"/>
        </w:rPr>
        <w:t>chosen,</w:t>
      </w:r>
      <w:r>
        <w:rPr>
          <w:spacing w:val="-3"/>
          <w:vertAlign w:val="baseline"/>
        </w:rPr>
        <w:t> </w:t>
      </w:r>
      <w:r>
        <w:rPr>
          <w:vertAlign w:val="baseline"/>
        </w:rPr>
        <w:t>say,</w:t>
      </w:r>
      <w:r>
        <w:rPr>
          <w:spacing w:val="-3"/>
          <w:vertAlign w:val="baseline"/>
        </w:rPr>
        <w:t> </w:t>
      </w:r>
      <w:r>
        <w:rPr>
          <w:vertAlign w:val="baseline"/>
        </w:rPr>
        <w:t>English</w:t>
      </w:r>
      <w:r>
        <w:rPr>
          <w:spacing w:val="-3"/>
          <w:vertAlign w:val="baseline"/>
        </w:rPr>
        <w:t> </w:t>
      </w:r>
      <w:r>
        <w:rPr>
          <w:vertAlign w:val="baseline"/>
        </w:rPr>
        <w:t>law</w:t>
      </w:r>
      <w:r>
        <w:rPr>
          <w:spacing w:val="-3"/>
          <w:vertAlign w:val="baseline"/>
        </w:rPr>
        <w:t> </w:t>
      </w:r>
      <w:r>
        <w:rPr>
          <w:vertAlign w:val="baseline"/>
        </w:rPr>
        <w:t>to</w:t>
      </w:r>
      <w:r>
        <w:rPr>
          <w:spacing w:val="-3"/>
          <w:vertAlign w:val="baseline"/>
        </w:rPr>
        <w:t> </w:t>
      </w:r>
      <w:r>
        <w:rPr>
          <w:vertAlign w:val="baseline"/>
        </w:rPr>
        <w:t>govern</w:t>
      </w:r>
      <w:r>
        <w:rPr>
          <w:spacing w:val="-3"/>
          <w:vertAlign w:val="baseline"/>
        </w:rPr>
        <w:t> </w:t>
      </w:r>
      <w:r>
        <w:rPr>
          <w:vertAlign w:val="baseline"/>
        </w:rPr>
        <w:t>the </w:t>
      </w:r>
      <w:bookmarkStart w:name="_bookmark2371" w:id="2373"/>
      <w:bookmarkEnd w:id="2373"/>
      <w:r>
        <w:rPr>
          <w:vertAlign w:val="baseline"/>
        </w:rPr>
        <w:t>contract</w:t>
      </w:r>
      <w:r>
        <w:rPr>
          <w:vertAlign w:val="baseline"/>
        </w:rPr>
        <w:t> in accordance with either art.3(1) of the Rome Convention or art.3(1) of the Rome I Regulation, </w:t>
      </w:r>
      <w:r>
        <w:rPr>
          <w:color w:val="005DA1"/>
          <w:u w:val="single" w:color="005DA1"/>
          <w:vertAlign w:val="superscript"/>
        </w:rPr>
        <w:t>1276</w:t>
      </w:r>
      <w:r>
        <w:rPr>
          <w:color w:val="005DA1"/>
          <w:vertAlign w:val="baseline"/>
        </w:rPr>
        <w:t> </w:t>
      </w:r>
      <w:r>
        <w:rPr>
          <w:vertAlign w:val="baseline"/>
        </w:rPr>
        <w:t>but there is no significant connection between the contract and England, and, absent </w:t>
      </w:r>
      <w:bookmarkStart w:name="_bookmark2372" w:id="2374"/>
      <w:bookmarkEnd w:id="2374"/>
      <w:r>
        <w:rPr>
          <w:vertAlign w:val="baseline"/>
        </w:rPr>
        <w:t>the</w:t>
      </w:r>
      <w:r>
        <w:rPr>
          <w:vertAlign w:val="baseline"/>
        </w:rPr>
        <w:t> choice of English law, the contract would, according to art.4 of the Convention or art.4 of the Regulation, </w:t>
      </w:r>
      <w:r>
        <w:rPr>
          <w:color w:val="005DA1"/>
          <w:u w:val="single" w:color="005DA1"/>
          <w:vertAlign w:val="superscript"/>
        </w:rPr>
        <w:t>1277</w:t>
      </w:r>
      <w:r>
        <w:rPr>
          <w:color w:val="005DA1"/>
          <w:vertAlign w:val="baseline"/>
        </w:rPr>
        <w:t> </w:t>
      </w:r>
      <w:r>
        <w:rPr>
          <w:vertAlign w:val="baseline"/>
        </w:rPr>
        <w:t>be governed by the law of a country outside the United Kingdom, e.g. that of France, the provisions of the 1998 Act will not apply. This would appear to be the case even if the contract did have a significant connection with a part of the United Kingdom other than that whose law had been chosen in the contract, since the provision, in terms, requires the absence of a significant connection with the part whose law has been chosen. Conversely, the Act </w:t>
      </w:r>
      <w:r>
        <w:rPr>
          <w:rFonts w:ascii="Arial" w:hAnsi="Arial"/>
          <w:i/>
          <w:vertAlign w:val="baseline"/>
        </w:rPr>
        <w:t>will </w:t>
      </w:r>
      <w:r>
        <w:rPr>
          <w:vertAlign w:val="baseline"/>
        </w:rPr>
        <w:t>apply where English law is chosen but, apart from that, the contract would be governed by the law of a country outside the United Kingdom, if there is, nonetheless, a significant connection between the contract and England. Section 12(1) thus envisages that a contract may have a </w:t>
      </w:r>
      <w:r>
        <w:rPr>
          <w:rFonts w:ascii="Arial" w:hAnsi="Arial"/>
          <w:i/>
          <w:vertAlign w:val="baseline"/>
        </w:rPr>
        <w:t>significant connection </w:t>
      </w:r>
      <w:r>
        <w:rPr>
          <w:vertAlign w:val="baseline"/>
        </w:rPr>
        <w:t>with the part of the United Kingdom</w:t>
      </w:r>
      <w:r>
        <w:rPr>
          <w:spacing w:val="-1"/>
          <w:vertAlign w:val="baseline"/>
        </w:rPr>
        <w:t> </w:t>
      </w:r>
      <w:r>
        <w:rPr>
          <w:vertAlign w:val="baseline"/>
        </w:rPr>
        <w:t>whose</w:t>
      </w:r>
      <w:r>
        <w:rPr>
          <w:spacing w:val="-1"/>
          <w:vertAlign w:val="baseline"/>
        </w:rPr>
        <w:t> </w:t>
      </w:r>
      <w:r>
        <w:rPr>
          <w:vertAlign w:val="baseline"/>
        </w:rPr>
        <w:t>law</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chosen</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pursuant</w:t>
      </w:r>
      <w:r>
        <w:rPr>
          <w:spacing w:val="-1"/>
          <w:vertAlign w:val="baseline"/>
        </w:rPr>
        <w:t> </w:t>
      </w:r>
      <w:r>
        <w:rPr>
          <w:vertAlign w:val="baseline"/>
        </w:rPr>
        <w:t>to</w:t>
      </w:r>
      <w:r>
        <w:rPr>
          <w:spacing w:val="-1"/>
          <w:vertAlign w:val="baseline"/>
        </w:rPr>
        <w:t> </w:t>
      </w:r>
      <w:r>
        <w:rPr>
          <w:vertAlign w:val="baseline"/>
        </w:rPr>
        <w:t>art.4</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Rome</w:t>
      </w:r>
      <w:r>
        <w:rPr>
          <w:spacing w:val="-1"/>
          <w:vertAlign w:val="baseline"/>
        </w:rPr>
        <w:t> </w:t>
      </w:r>
      <w:r>
        <w:rPr>
          <w:vertAlign w:val="baseline"/>
        </w:rPr>
        <w:t>Convention</w:t>
      </w:r>
      <w:r>
        <w:rPr>
          <w:spacing w:val="-1"/>
          <w:vertAlign w:val="baseline"/>
        </w:rPr>
        <w:t> </w:t>
      </w:r>
      <w:r>
        <w:rPr>
          <w:vertAlign w:val="baseline"/>
        </w:rPr>
        <w:t>or</w:t>
      </w:r>
      <w:r>
        <w:rPr>
          <w:spacing w:val="-1"/>
          <w:vertAlign w:val="baseline"/>
        </w:rPr>
        <w:t> </w:t>
      </w:r>
      <w:r>
        <w:rPr>
          <w:vertAlign w:val="baseline"/>
        </w:rPr>
        <w:t>art.4 of the Rome I Regulation, it is </w:t>
      </w:r>
      <w:r>
        <w:rPr>
          <w:rFonts w:ascii="Arial" w:hAnsi="Arial"/>
          <w:i/>
          <w:vertAlign w:val="baseline"/>
        </w:rPr>
        <w:t>most closely connected </w:t>
      </w:r>
      <w:r>
        <w:rPr>
          <w:vertAlign w:val="baseline"/>
        </w:rPr>
        <w:t>with a country outside the United Kingdom.</w:t>
      </w:r>
      <w:r>
        <w:rPr>
          <w:spacing w:val="80"/>
          <w:vertAlign w:val="baseline"/>
        </w:rPr>
        <w:t> </w:t>
      </w:r>
      <w:r>
        <w:rPr>
          <w:vertAlign w:val="baseline"/>
        </w:rPr>
        <w:t>The factors which may be taken to constitute a significant connection are not identified in the Act and when such a connection will or will not be held to exist will depend on the circumstances of individual cases. However, by way of example, such a connection may be found to exist, in a contract of sale, where</w:t>
      </w:r>
      <w:r>
        <w:rPr>
          <w:spacing w:val="-2"/>
          <w:vertAlign w:val="baseline"/>
        </w:rPr>
        <w:t> </w:t>
      </w:r>
      <w:r>
        <w:rPr>
          <w:vertAlign w:val="baseline"/>
        </w:rPr>
        <w:t>English</w:t>
      </w:r>
      <w:r>
        <w:rPr>
          <w:spacing w:val="-2"/>
          <w:vertAlign w:val="baseline"/>
        </w:rPr>
        <w:t> </w:t>
      </w:r>
      <w:r>
        <w:rPr>
          <w:vertAlign w:val="baseline"/>
        </w:rPr>
        <w:t>law</w:t>
      </w:r>
      <w:r>
        <w:rPr>
          <w:spacing w:val="-2"/>
          <w:vertAlign w:val="baseline"/>
        </w:rPr>
        <w:t> </w:t>
      </w:r>
      <w:r>
        <w:rPr>
          <w:vertAlign w:val="baseline"/>
        </w:rPr>
        <w:t>is</w:t>
      </w:r>
      <w:r>
        <w:rPr>
          <w:spacing w:val="-2"/>
          <w:vertAlign w:val="baseline"/>
        </w:rPr>
        <w:t> </w:t>
      </w:r>
      <w:r>
        <w:rPr>
          <w:vertAlign w:val="baseline"/>
        </w:rPr>
        <w:t>chosen</w:t>
      </w:r>
      <w:r>
        <w:rPr>
          <w:spacing w:val="-2"/>
          <w:vertAlign w:val="baseline"/>
        </w:rPr>
        <w:t> </w:t>
      </w:r>
      <w:r>
        <w:rPr>
          <w:vertAlign w:val="baseline"/>
        </w:rPr>
        <w:t>and</w:t>
      </w:r>
      <w:r>
        <w:rPr>
          <w:spacing w:val="-2"/>
          <w:vertAlign w:val="baseline"/>
        </w:rPr>
        <w:t> </w:t>
      </w:r>
      <w:r>
        <w:rPr>
          <w:vertAlign w:val="baseline"/>
        </w:rPr>
        <w:t>England</w:t>
      </w:r>
      <w:r>
        <w:rPr>
          <w:spacing w:val="-2"/>
          <w:vertAlign w:val="baseline"/>
        </w:rPr>
        <w:t> </w:t>
      </w:r>
      <w:r>
        <w:rPr>
          <w:vertAlign w:val="baseline"/>
        </w:rPr>
        <w:t>is</w:t>
      </w:r>
      <w:r>
        <w:rPr>
          <w:spacing w:val="-2"/>
          <w:vertAlign w:val="baseline"/>
        </w:rPr>
        <w:t> </w:t>
      </w:r>
      <w:r>
        <w:rPr>
          <w:vertAlign w:val="baseline"/>
        </w:rPr>
        <w:t>also</w:t>
      </w:r>
      <w:r>
        <w:rPr>
          <w:spacing w:val="-2"/>
          <w:vertAlign w:val="baseline"/>
        </w:rPr>
        <w:t> </w:t>
      </w:r>
      <w:r>
        <w:rPr>
          <w:vertAlign w:val="baseline"/>
        </w:rPr>
        <w:t>the</w:t>
      </w:r>
      <w:r>
        <w:rPr>
          <w:spacing w:val="-2"/>
          <w:vertAlign w:val="baseline"/>
        </w:rPr>
        <w:t> </w:t>
      </w:r>
      <w:r>
        <w:rPr>
          <w:vertAlign w:val="baseline"/>
        </w:rPr>
        <w:t>place</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purchase</w:t>
      </w:r>
      <w:r>
        <w:rPr>
          <w:spacing w:val="-2"/>
          <w:vertAlign w:val="baseline"/>
        </w:rPr>
        <w:t> </w:t>
      </w:r>
      <w:r>
        <w:rPr>
          <w:vertAlign w:val="baseline"/>
        </w:rPr>
        <w:t>price</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paid,</w:t>
      </w:r>
      <w:r>
        <w:rPr>
          <w:spacing w:val="-2"/>
          <w:vertAlign w:val="baseline"/>
        </w:rPr>
        <w:t> </w:t>
      </w:r>
      <w:r>
        <w:rPr>
          <w:vertAlign w:val="baseline"/>
        </w:rPr>
        <w:t>but </w:t>
      </w:r>
      <w:bookmarkStart w:name="_bookmark2373" w:id="2375"/>
      <w:bookmarkEnd w:id="2375"/>
      <w:r>
        <w:rPr>
          <w:vertAlign w:val="baseline"/>
        </w:rPr>
        <w:t>apart</w:t>
      </w:r>
      <w:r>
        <w:rPr>
          <w:vertAlign w:val="baseline"/>
        </w:rPr>
        <w:t> from that choice of law the contract would be governed by the law of France pursuant to art.4(2) of the Rome Convention or art.4(1)(a) of the Rome I Regulation </w:t>
      </w:r>
      <w:r>
        <w:rPr>
          <w:color w:val="005DA1"/>
          <w:u w:val="single" w:color="005DA1"/>
          <w:vertAlign w:val="superscript"/>
        </w:rPr>
        <w:t>1278</w:t>
      </w:r>
      <w:r>
        <w:rPr>
          <w:color w:val="005DA1"/>
          <w:vertAlign w:val="baseline"/>
        </w:rPr>
        <w:t> </w:t>
      </w:r>
      <w:r>
        <w:rPr>
          <w:vertAlign w:val="baseline"/>
        </w:rPr>
        <w:t>since France is the country in which the seller’s principal place of business is situated. Further, the provisions of the Act would appear to apply if the law of one part of the United Kingdom is chosen in the contract, but in the absence of that choice the applicable law would be the law of another part of the United Kingdom. This result appears to ensue irrespective of whether a significant connection between the contract</w:t>
      </w:r>
      <w:r>
        <w:rPr>
          <w:spacing w:val="40"/>
          <w:vertAlign w:val="baseline"/>
        </w:rPr>
        <w:t> </w:t>
      </w:r>
      <w:r>
        <w:rPr>
          <w:vertAlign w:val="baseline"/>
        </w:rPr>
        <w:t>and the part of the United Kingdom whose law has been chosen does or does not exist. This is </w:t>
      </w:r>
      <w:bookmarkStart w:name="_bookmark2374" w:id="2376"/>
      <w:bookmarkEnd w:id="2376"/>
      <w:r>
        <w:rPr>
          <w:vertAlign w:val="baseline"/>
        </w:rPr>
        <w:t>because</w:t>
      </w:r>
      <w:r>
        <w:rPr>
          <w:vertAlign w:val="baseline"/>
        </w:rPr>
        <w:t> s.12(1) only applies where in the absence of choice, the contract would be governed by a </w:t>
      </w:r>
      <w:bookmarkStart w:name="_bookmark2375" w:id="2377"/>
      <w:bookmarkEnd w:id="2377"/>
      <w:r>
        <w:rPr>
          <w:vertAlign w:val="baseline"/>
        </w:rPr>
        <w:t>foreign</w:t>
      </w:r>
      <w:r>
        <w:rPr>
          <w:vertAlign w:val="baseline"/>
        </w:rPr>
        <w:t> law </w:t>
      </w:r>
      <w:r>
        <w:rPr>
          <w:color w:val="005DA1"/>
          <w:u w:val="single" w:color="005DA1"/>
          <w:vertAlign w:val="superscript"/>
        </w:rPr>
        <w:t>1279</w:t>
      </w:r>
      <w:r>
        <w:rPr>
          <w:color w:val="005DA1"/>
          <w:vertAlign w:val="baseline"/>
        </w:rPr>
        <w:t> </w:t>
      </w:r>
      <w:r>
        <w:rPr>
          <w:vertAlign w:val="baseline"/>
        </w:rPr>
        <w:t>and that law is, as pointed out above, defined as the law of a country outside the United Kingdom. </w:t>
      </w:r>
      <w:r>
        <w:rPr>
          <w:color w:val="005DA1"/>
          <w:u w:val="single" w:color="005DA1"/>
          <w:vertAlign w:val="superscript"/>
        </w:rPr>
        <w:t>1280</w:t>
      </w:r>
    </w:p>
    <w:p>
      <w:pPr>
        <w:pStyle w:val="BodyText"/>
        <w:spacing w:before="66"/>
      </w:pPr>
    </w:p>
    <w:p>
      <w:pPr>
        <w:pStyle w:val="Heading2"/>
        <w:ind w:left="164"/>
      </w:pPr>
      <w:r>
        <w:rPr/>
        <w:t>30-</w:t>
      </w:r>
      <w:r>
        <w:rPr>
          <w:spacing w:val="-5"/>
        </w:rPr>
        <w:t>343</w:t>
      </w:r>
    </w:p>
    <w:p>
      <w:pPr>
        <w:pStyle w:val="BodyText"/>
        <w:spacing w:line="235" w:lineRule="auto" w:before="203"/>
        <w:ind w:left="164" w:right="167"/>
        <w:jc w:val="both"/>
      </w:pPr>
      <w:bookmarkStart w:name="_bookmark2376" w:id="2378"/>
      <w:bookmarkEnd w:id="2378"/>
      <w:r>
        <w:rPr/>
      </w:r>
      <w:r>
        <w:rPr/>
        <w:t>Section 12(2) of the 1998 Act is an anti-avoidance provision. </w:t>
      </w:r>
      <w:r>
        <w:rPr>
          <w:color w:val="005DA1"/>
          <w:u w:val="single" w:color="005DA1"/>
          <w:vertAlign w:val="superscript"/>
        </w:rPr>
        <w:t>1281</w:t>
      </w:r>
      <w:r>
        <w:rPr>
          <w:color w:val="005DA1"/>
          <w:vertAlign w:val="baseline"/>
        </w:rPr>
        <w:t> </w:t>
      </w:r>
      <w:r>
        <w:rPr>
          <w:vertAlign w:val="baseline"/>
        </w:rPr>
        <w:t>It provides that the Act </w:t>
      </w:r>
      <w:r>
        <w:rPr>
          <w:rFonts w:ascii="Arial"/>
          <w:i/>
          <w:vertAlign w:val="baseline"/>
        </w:rPr>
        <w:t>has </w:t>
      </w:r>
      <w:r>
        <w:rPr>
          <w:vertAlign w:val="baseline"/>
        </w:rPr>
        <w:t>effect in relation to a contract governed by a foreign law by choice of the parties if: (a) but for that choice, the applicable law would be the law of a part of the United Kingdom; </w:t>
      </w:r>
      <w:r>
        <w:rPr>
          <w:rFonts w:ascii="Arial"/>
          <w:i/>
          <w:vertAlign w:val="baseline"/>
        </w:rPr>
        <w:t>and </w:t>
      </w:r>
      <w:r>
        <w:rPr>
          <w:vertAlign w:val="baseline"/>
        </w:rPr>
        <w:t>(b) there is no significant connection between the contract and any other country other than that part of the United Kingdom. </w:t>
      </w:r>
      <w:bookmarkStart w:name="_bookmark2377" w:id="2379"/>
      <w:bookmarkEnd w:id="2379"/>
      <w:r>
        <w:rPr>
          <w:vertAlign w:val="baseline"/>
        </w:rPr>
        <w:t>The</w:t>
      </w:r>
      <w:r>
        <w:rPr>
          <w:vertAlign w:val="baseline"/>
        </w:rPr>
        <w:t> effect of the provision would seem to be that if, say, a contract contains a choice of French law </w:t>
      </w:r>
      <w:bookmarkStart w:name="_bookmark2378" w:id="2380"/>
      <w:bookmarkEnd w:id="2380"/>
      <w:r>
        <w:rPr>
          <w:vertAlign w:val="baseline"/>
        </w:rPr>
        <w:t>satisfying</w:t>
      </w:r>
      <w:r>
        <w:rPr>
          <w:vertAlign w:val="baseline"/>
        </w:rPr>
        <w:t> art.3(1) of the Rome Convention or art.3(1) of the Rome I Regulation, </w:t>
      </w:r>
      <w:r>
        <w:rPr>
          <w:color w:val="005DA1"/>
          <w:u w:val="single" w:color="005DA1"/>
          <w:vertAlign w:val="superscript"/>
        </w:rPr>
        <w:t>1282</w:t>
      </w:r>
      <w:r>
        <w:rPr>
          <w:color w:val="005DA1"/>
          <w:vertAlign w:val="baseline"/>
        </w:rPr>
        <w:t> </w:t>
      </w:r>
      <w:r>
        <w:rPr>
          <w:vertAlign w:val="baseline"/>
        </w:rPr>
        <w:t>but were it not for that choice, the applicable law would, under art.4 of the Convention or art.4 of the Regulation, </w:t>
      </w:r>
      <w:r>
        <w:rPr>
          <w:color w:val="005DA1"/>
          <w:u w:val="single" w:color="005DA1"/>
          <w:vertAlign w:val="superscript"/>
        </w:rPr>
        <w:t>1283</w:t>
      </w:r>
      <w:r>
        <w:rPr>
          <w:color w:val="005DA1"/>
          <w:vertAlign w:val="baseline"/>
        </w:rPr>
        <w:t> </w:t>
      </w:r>
      <w:r>
        <w:rPr>
          <w:vertAlign w:val="baseline"/>
        </w:rPr>
        <w:t>be English law, the Act </w:t>
      </w:r>
      <w:r>
        <w:rPr>
          <w:rFonts w:ascii="Arial"/>
          <w:i/>
          <w:vertAlign w:val="baseline"/>
        </w:rPr>
        <w:t>will </w:t>
      </w:r>
      <w:r>
        <w:rPr>
          <w:vertAlign w:val="baseline"/>
        </w:rPr>
        <w:t>apply unless the contract has a significant connection with a country other than England. That significant connection may be with the country whose law has been chosen, France in this example, or with a different foreign country, for example Luxembourg, or even with a part</w:t>
      </w:r>
      <w:r>
        <w:rPr>
          <w:spacing w:val="20"/>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United</w:t>
      </w:r>
      <w:r>
        <w:rPr>
          <w:spacing w:val="22"/>
          <w:vertAlign w:val="baseline"/>
        </w:rPr>
        <w:t> </w:t>
      </w:r>
      <w:r>
        <w:rPr>
          <w:vertAlign w:val="baseline"/>
        </w:rPr>
        <w:t>Kingdom</w:t>
      </w:r>
      <w:r>
        <w:rPr>
          <w:spacing w:val="22"/>
          <w:vertAlign w:val="baseline"/>
        </w:rPr>
        <w:t> </w:t>
      </w:r>
      <w:r>
        <w:rPr>
          <w:vertAlign w:val="baseline"/>
        </w:rPr>
        <w:t>other</w:t>
      </w:r>
      <w:r>
        <w:rPr>
          <w:spacing w:val="22"/>
          <w:vertAlign w:val="baseline"/>
        </w:rPr>
        <w:t> </w:t>
      </w:r>
      <w:r>
        <w:rPr>
          <w:vertAlign w:val="baseline"/>
        </w:rPr>
        <w:t>than</w:t>
      </w:r>
      <w:r>
        <w:rPr>
          <w:spacing w:val="22"/>
          <w:vertAlign w:val="baseline"/>
        </w:rPr>
        <w:t> </w:t>
      </w:r>
      <w:r>
        <w:rPr>
          <w:vertAlign w:val="baseline"/>
        </w:rPr>
        <w:t>England,</w:t>
      </w:r>
      <w:r>
        <w:rPr>
          <w:spacing w:val="22"/>
          <w:vertAlign w:val="baseline"/>
        </w:rPr>
        <w:t> </w:t>
      </w:r>
      <w:r>
        <w:rPr>
          <w:vertAlign w:val="baseline"/>
        </w:rPr>
        <w:t>for</w:t>
      </w:r>
      <w:r>
        <w:rPr>
          <w:spacing w:val="22"/>
          <w:vertAlign w:val="baseline"/>
        </w:rPr>
        <w:t> </w:t>
      </w:r>
      <w:r>
        <w:rPr>
          <w:vertAlign w:val="baseline"/>
        </w:rPr>
        <w:t>example</w:t>
      </w:r>
      <w:r>
        <w:rPr>
          <w:spacing w:val="22"/>
          <w:vertAlign w:val="baseline"/>
        </w:rPr>
        <w:t> </w:t>
      </w:r>
      <w:r>
        <w:rPr>
          <w:vertAlign w:val="baseline"/>
        </w:rPr>
        <w:t>Scotland.</w:t>
      </w:r>
      <w:r>
        <w:rPr>
          <w:spacing w:val="22"/>
          <w:vertAlign w:val="baseline"/>
        </w:rPr>
        <w:t> </w:t>
      </w:r>
      <w:r>
        <w:rPr>
          <w:vertAlign w:val="baseline"/>
        </w:rPr>
        <w:t>For</w:t>
      </w:r>
      <w:r>
        <w:rPr>
          <w:spacing w:val="22"/>
          <w:vertAlign w:val="baseline"/>
        </w:rPr>
        <w:t> </w:t>
      </w:r>
      <w:r>
        <w:rPr>
          <w:vertAlign w:val="baseline"/>
        </w:rPr>
        <w:t>although</w:t>
      </w:r>
      <w:r>
        <w:rPr>
          <w:spacing w:val="22"/>
          <w:vertAlign w:val="baseline"/>
        </w:rPr>
        <w:t> </w:t>
      </w:r>
      <w:r>
        <w:rPr>
          <w:vertAlign w:val="baseline"/>
        </w:rPr>
        <w:t>the</w:t>
      </w:r>
      <w:r>
        <w:rPr>
          <w:spacing w:val="22"/>
          <w:vertAlign w:val="baseline"/>
        </w:rPr>
        <w:t> </w:t>
      </w:r>
      <w:r>
        <w:rPr>
          <w:spacing w:val="-2"/>
          <w:vertAlign w:val="baseline"/>
        </w:rPr>
        <w:t>expression</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“country”</w:t>
      </w:r>
      <w:r>
        <w:rPr>
          <w:spacing w:val="-2"/>
        </w:rPr>
        <w:t> </w:t>
      </w:r>
      <w:r>
        <w:rPr/>
        <w:t>is</w:t>
      </w:r>
      <w:r>
        <w:rPr>
          <w:spacing w:val="-2"/>
        </w:rPr>
        <w:t> </w:t>
      </w:r>
      <w:r>
        <w:rPr/>
        <w:t>not</w:t>
      </w:r>
      <w:r>
        <w:rPr>
          <w:spacing w:val="-2"/>
        </w:rPr>
        <w:t> </w:t>
      </w:r>
      <w:r>
        <w:rPr/>
        <w:t>defined</w:t>
      </w:r>
      <w:r>
        <w:rPr>
          <w:spacing w:val="-2"/>
        </w:rPr>
        <w:t> </w:t>
      </w:r>
      <w:r>
        <w:rPr/>
        <w:t>in</w:t>
      </w:r>
      <w:r>
        <w:rPr>
          <w:spacing w:val="-2"/>
        </w:rPr>
        <w:t> </w:t>
      </w:r>
      <w:r>
        <w:rPr/>
        <w:t>the</w:t>
      </w:r>
      <w:r>
        <w:rPr>
          <w:spacing w:val="-2"/>
        </w:rPr>
        <w:t> </w:t>
      </w:r>
      <w:r>
        <w:rPr/>
        <w:t>Act,</w:t>
      </w:r>
      <w:r>
        <w:rPr>
          <w:spacing w:val="-2"/>
        </w:rPr>
        <w:t> </w:t>
      </w:r>
      <w:r>
        <w:rPr/>
        <w:t>it</w:t>
      </w:r>
      <w:r>
        <w:rPr>
          <w:spacing w:val="-2"/>
        </w:rPr>
        <w:t> </w:t>
      </w:r>
      <w:r>
        <w:rPr/>
        <w:t>is</w:t>
      </w:r>
      <w:r>
        <w:rPr>
          <w:spacing w:val="-2"/>
        </w:rPr>
        <w:t> </w:t>
      </w:r>
      <w:r>
        <w:rPr/>
        <w:t>tolerably</w:t>
      </w:r>
      <w:r>
        <w:rPr>
          <w:spacing w:val="-2"/>
        </w:rPr>
        <w:t> </w:t>
      </w:r>
      <w:r>
        <w:rPr/>
        <w:t>clear</w:t>
      </w:r>
      <w:r>
        <w:rPr>
          <w:spacing w:val="-2"/>
        </w:rPr>
        <w:t> </w:t>
      </w:r>
      <w:r>
        <w:rPr/>
        <w:t>that</w:t>
      </w:r>
      <w:r>
        <w:rPr>
          <w:spacing w:val="-2"/>
        </w:rPr>
        <w:t> </w:t>
      </w:r>
      <w:r>
        <w:rPr/>
        <w:t>the</w:t>
      </w:r>
      <w:r>
        <w:rPr>
          <w:spacing w:val="-2"/>
        </w:rPr>
        <w:t> </w:t>
      </w:r>
      <w:r>
        <w:rPr/>
        <w:t>expression</w:t>
      </w:r>
      <w:r>
        <w:rPr>
          <w:spacing w:val="-2"/>
        </w:rPr>
        <w:t> </w:t>
      </w:r>
      <w:r>
        <w:rPr/>
        <w:t>includes</w:t>
      </w:r>
      <w:r>
        <w:rPr>
          <w:spacing w:val="-2"/>
        </w:rPr>
        <w:t> </w:t>
      </w:r>
      <w:r>
        <w:rPr/>
        <w:t>the</w:t>
      </w:r>
      <w:r>
        <w:rPr>
          <w:spacing w:val="-2"/>
        </w:rPr>
        <w:t> </w:t>
      </w:r>
      <w:r>
        <w:rPr/>
        <w:t>different</w:t>
      </w:r>
      <w:r>
        <w:rPr>
          <w:spacing w:val="-2"/>
        </w:rPr>
        <w:t> </w:t>
      </w:r>
      <w:r>
        <w:rPr/>
        <w:t>parts</w:t>
      </w:r>
      <w:r>
        <w:rPr>
          <w:spacing w:val="-2"/>
        </w:rPr>
        <w:t> </w:t>
      </w:r>
      <w:r>
        <w:rPr/>
        <w:t>of </w:t>
      </w:r>
      <w:bookmarkStart w:name="_bookmark2379" w:id="2381"/>
      <w:bookmarkEnd w:id="2381"/>
      <w:r>
        <w:rPr/>
        <w:t>the</w:t>
      </w:r>
      <w:r>
        <w:rPr/>
        <w:t> United Kingdom in s.12(2) since the subsection expressly refers to “any country other than that </w:t>
      </w:r>
      <w:r>
        <w:rPr>
          <w:rFonts w:ascii="Arial" w:hAnsi="Arial"/>
          <w:i/>
        </w:rPr>
        <w:t>part of the United Kingdom</w:t>
      </w:r>
      <w:r>
        <w:rPr/>
        <w:t>” whose law has been chosen </w:t>
      </w:r>
      <w:r>
        <w:rPr>
          <w:color w:val="005DA1"/>
          <w:u w:val="single" w:color="005DA1"/>
          <w:vertAlign w:val="superscript"/>
        </w:rPr>
        <w:t>1284</w:t>
      </w:r>
      <w:r>
        <w:rPr>
          <w:color w:val="005DA1"/>
          <w:vertAlign w:val="baseline"/>
        </w:rPr>
        <w:t> </w:t>
      </w:r>
      <w:r>
        <w:rPr>
          <w:vertAlign w:val="baseline"/>
        </w:rPr>
        <w:t>and that form of words is, in the above example, apt to include Scotland. What will be found to constitute a significant connection for the purposes of the subsection will, as suggested above depend on the circumstances of the individual case,</w:t>
      </w:r>
      <w:r>
        <w:rPr>
          <w:spacing w:val="-1"/>
          <w:vertAlign w:val="baseline"/>
        </w:rPr>
        <w:t> </w:t>
      </w:r>
      <w:r>
        <w:rPr>
          <w:vertAlign w:val="baseline"/>
        </w:rPr>
        <w:t>but,</w:t>
      </w:r>
      <w:r>
        <w:rPr>
          <w:spacing w:val="-1"/>
          <w:vertAlign w:val="baseline"/>
        </w:rPr>
        <w:t> </w:t>
      </w:r>
      <w:r>
        <w:rPr>
          <w:vertAlign w:val="baseline"/>
        </w:rPr>
        <w:t>as</w:t>
      </w:r>
      <w:r>
        <w:rPr>
          <w:spacing w:val="-1"/>
          <w:vertAlign w:val="baseline"/>
        </w:rPr>
        <w:t> </w:t>
      </w:r>
      <w:r>
        <w:rPr>
          <w:vertAlign w:val="baseline"/>
        </w:rPr>
        <w:t>was</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with</w:t>
      </w:r>
      <w:r>
        <w:rPr>
          <w:spacing w:val="-1"/>
          <w:vertAlign w:val="baseline"/>
        </w:rPr>
        <w:t> </w:t>
      </w:r>
      <w:r>
        <w:rPr>
          <w:vertAlign w:val="baseline"/>
        </w:rPr>
        <w:t>s.12(1),</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clear</w:t>
      </w:r>
      <w:r>
        <w:rPr>
          <w:spacing w:val="-1"/>
          <w:vertAlign w:val="baseline"/>
        </w:rPr>
        <w:t> </w:t>
      </w:r>
      <w:r>
        <w:rPr>
          <w:vertAlign w:val="baseline"/>
        </w:rPr>
        <w:t>that</w:t>
      </w:r>
      <w:r>
        <w:rPr>
          <w:spacing w:val="-1"/>
          <w:vertAlign w:val="baseline"/>
        </w:rPr>
        <w:t> </w:t>
      </w:r>
      <w:r>
        <w:rPr>
          <w:vertAlign w:val="baseline"/>
        </w:rPr>
        <w:t>although</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has</w:t>
      </w:r>
      <w:r>
        <w:rPr>
          <w:spacing w:val="-1"/>
          <w:vertAlign w:val="baseline"/>
        </w:rPr>
        <w:t> </w:t>
      </w:r>
      <w:r>
        <w:rPr>
          <w:vertAlign w:val="baseline"/>
        </w:rPr>
        <w:t>its</w:t>
      </w:r>
      <w:r>
        <w:rPr>
          <w:spacing w:val="-1"/>
          <w:vertAlign w:val="baseline"/>
        </w:rPr>
        <w:t> </w:t>
      </w:r>
      <w:r>
        <w:rPr>
          <w:vertAlign w:val="baseline"/>
        </w:rPr>
        <w:t>closest</w:t>
      </w:r>
      <w:r>
        <w:rPr>
          <w:spacing w:val="-1"/>
          <w:vertAlign w:val="baseline"/>
        </w:rPr>
        <w:t> </w:t>
      </w:r>
      <w:r>
        <w:rPr>
          <w:vertAlign w:val="baseline"/>
        </w:rPr>
        <w:t>connection with the law of a particular part of the United Kingdom, the contract may, nonetheless, have a significant connection with a country other than that part of the United Kingdom.</w:t>
      </w:r>
    </w:p>
    <w:p>
      <w:pPr>
        <w:pStyle w:val="BodyText"/>
        <w:spacing w:before="78"/>
      </w:pPr>
    </w:p>
    <w:p>
      <w:pPr>
        <w:pStyle w:val="Heading2"/>
        <w:spacing w:before="1"/>
      </w:pPr>
      <w:r>
        <w:rPr/>
        <w:t>30-</w:t>
      </w:r>
      <w:r>
        <w:rPr>
          <w:spacing w:val="-5"/>
        </w:rPr>
        <w:t>344</w:t>
      </w:r>
    </w:p>
    <w:p>
      <w:pPr>
        <w:pStyle w:val="BodyText"/>
        <w:spacing w:line="235" w:lineRule="auto" w:before="202"/>
        <w:ind w:left="164" w:right="167"/>
        <w:jc w:val="both"/>
      </w:pPr>
      <w:bookmarkStart w:name="_bookmark2380" w:id="2382"/>
      <w:bookmarkEnd w:id="2382"/>
      <w:r>
        <w:rPr/>
      </w:r>
      <w:r>
        <w:rPr/>
        <w:t>Section 12(2) only controls the avoidance of the Act by a choice of foreign law, i.e. the law of </w:t>
      </w:r>
      <w:r>
        <w:rPr/>
        <w:t>a</w:t>
      </w:r>
      <w:r>
        <w:rPr>
          <w:spacing w:val="40"/>
        </w:rPr>
        <w:t> </w:t>
      </w:r>
      <w:r>
        <w:rPr/>
        <w:t>country outside the United Kingdom. </w:t>
      </w:r>
      <w:r>
        <w:rPr>
          <w:color w:val="005DA1"/>
          <w:u w:val="single" w:color="005DA1"/>
          <w:vertAlign w:val="superscript"/>
        </w:rPr>
        <w:t>1285</w:t>
      </w:r>
      <w:r>
        <w:rPr>
          <w:color w:val="005DA1"/>
          <w:vertAlign w:val="baseline"/>
        </w:rPr>
        <w:t> </w:t>
      </w:r>
      <w:r>
        <w:rPr>
          <w:vertAlign w:val="baseline"/>
        </w:rPr>
        <w:t>Where, however, an issue arises in English proceedings </w:t>
      </w:r>
      <w:bookmarkStart w:name="_bookmark2381" w:id="2383"/>
      <w:bookmarkEnd w:id="2383"/>
      <w:r>
        <w:rPr>
          <w:vertAlign w:val="baseline"/>
        </w:rPr>
        <w:t>involving</w:t>
      </w:r>
      <w:r>
        <w:rPr>
          <w:vertAlign w:val="baseline"/>
        </w:rPr>
        <w:t> a contract which contains a choice of the law of a different part of the United Kingdom, the </w:t>
      </w:r>
      <w:bookmarkStart w:name="_bookmark2382" w:id="2384"/>
      <w:bookmarkEnd w:id="2384"/>
      <w:r>
        <w:rPr>
          <w:vertAlign w:val="baseline"/>
        </w:rPr>
        <w:t>Act</w:t>
      </w:r>
      <w:r>
        <w:rPr>
          <w:spacing w:val="-4"/>
          <w:vertAlign w:val="baseline"/>
        </w:rPr>
        <w:t> </w:t>
      </w:r>
      <w:r>
        <w:rPr>
          <w:vertAlign w:val="baseline"/>
        </w:rPr>
        <w:t>would</w:t>
      </w:r>
      <w:r>
        <w:rPr>
          <w:spacing w:val="-4"/>
          <w:vertAlign w:val="baseline"/>
        </w:rPr>
        <w:t> </w:t>
      </w:r>
      <w:r>
        <w:rPr>
          <w:vertAlign w:val="baseline"/>
        </w:rPr>
        <w:t>appear</w:t>
      </w:r>
      <w:r>
        <w:rPr>
          <w:spacing w:val="-4"/>
          <w:vertAlign w:val="baseline"/>
        </w:rPr>
        <w:t> </w:t>
      </w:r>
      <w:r>
        <w:rPr>
          <w:vertAlign w:val="baseline"/>
        </w:rPr>
        <w:t>to</w:t>
      </w:r>
      <w:r>
        <w:rPr>
          <w:spacing w:val="-4"/>
          <w:vertAlign w:val="baseline"/>
        </w:rPr>
        <w:t> </w:t>
      </w:r>
      <w:r>
        <w:rPr>
          <w:vertAlign w:val="baseline"/>
        </w:rPr>
        <w:t>apply</w:t>
      </w:r>
      <w:r>
        <w:rPr>
          <w:spacing w:val="-4"/>
          <w:vertAlign w:val="baseline"/>
        </w:rPr>
        <w:t> </w:t>
      </w:r>
      <w:r>
        <w:rPr>
          <w:vertAlign w:val="baseline"/>
        </w:rPr>
        <w:t>on</w:t>
      </w:r>
      <w:r>
        <w:rPr>
          <w:spacing w:val="-4"/>
          <w:vertAlign w:val="baseline"/>
        </w:rPr>
        <w:t> </w:t>
      </w:r>
      <w:r>
        <w:rPr>
          <w:vertAlign w:val="baseline"/>
        </w:rPr>
        <w:t>general</w:t>
      </w:r>
      <w:r>
        <w:rPr>
          <w:spacing w:val="-4"/>
          <w:vertAlign w:val="baseline"/>
        </w:rPr>
        <w:t> </w:t>
      </w:r>
      <w:r>
        <w:rPr>
          <w:vertAlign w:val="baseline"/>
        </w:rPr>
        <w:t>principles,</w:t>
      </w:r>
      <w:r>
        <w:rPr>
          <w:spacing w:val="-5"/>
          <w:vertAlign w:val="baseline"/>
        </w:rPr>
        <w:t> </w:t>
      </w:r>
      <w:r>
        <w:rPr>
          <w:color w:val="005DA1"/>
          <w:u w:val="single" w:color="005DA1"/>
          <w:vertAlign w:val="superscript"/>
        </w:rPr>
        <w:t>1286</w:t>
      </w:r>
      <w:r>
        <w:rPr>
          <w:color w:val="005DA1"/>
          <w:spacing w:val="-4"/>
          <w:vertAlign w:val="baseline"/>
        </w:rPr>
        <w:t> </w:t>
      </w:r>
      <w:r>
        <w:rPr>
          <w:vertAlign w:val="baseline"/>
        </w:rPr>
        <w:t>unless</w:t>
      </w:r>
      <w:r>
        <w:rPr>
          <w:spacing w:val="-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disapplied</w:t>
      </w:r>
      <w:r>
        <w:rPr>
          <w:spacing w:val="-4"/>
          <w:vertAlign w:val="baseline"/>
        </w:rPr>
        <w:t> </w:t>
      </w:r>
      <w:r>
        <w:rPr>
          <w:vertAlign w:val="baseline"/>
        </w:rPr>
        <w:t>because</w:t>
      </w:r>
      <w:r>
        <w:rPr>
          <w:spacing w:val="-4"/>
          <w:vertAlign w:val="baseline"/>
        </w:rPr>
        <w:t> </w:t>
      </w:r>
      <w:r>
        <w:rPr>
          <w:vertAlign w:val="baseline"/>
        </w:rPr>
        <w:t>the</w:t>
      </w:r>
      <w:r>
        <w:rPr>
          <w:spacing w:val="-4"/>
          <w:vertAlign w:val="baseline"/>
        </w:rPr>
        <w:t> </w:t>
      </w:r>
      <w:r>
        <w:rPr>
          <w:vertAlign w:val="baseline"/>
        </w:rPr>
        <w:t>circumstances </w:t>
      </w:r>
      <w:bookmarkStart w:name="_bookmark2383" w:id="2385"/>
      <w:bookmarkEnd w:id="2385"/>
      <w:r>
        <w:rPr>
          <w:vertAlign w:val="baseline"/>
        </w:rPr>
        <w:t>of</w:t>
      </w:r>
      <w:r>
        <w:rPr>
          <w:vertAlign w:val="baseline"/>
        </w:rPr>
        <w:t> the case fall within s.12(1). </w:t>
      </w:r>
      <w:r>
        <w:rPr>
          <w:color w:val="005DA1"/>
          <w:u w:val="single" w:color="005DA1"/>
          <w:vertAlign w:val="superscript"/>
        </w:rPr>
        <w:t>1287</w:t>
      </w:r>
      <w:r>
        <w:rPr>
          <w:color w:val="005DA1"/>
          <w:vertAlign w:val="baseline"/>
        </w:rPr>
        <w:t> </w:t>
      </w:r>
      <w:r>
        <w:rPr>
          <w:vertAlign w:val="baseline"/>
        </w:rPr>
        <w:t>The Act also seems to apply where the contract contains no choice </w:t>
      </w:r>
      <w:bookmarkStart w:name="_bookmark2384" w:id="2386"/>
      <w:bookmarkEnd w:id="2386"/>
      <w:r>
        <w:rPr>
          <w:vertAlign w:val="baseline"/>
        </w:rPr>
        <w:t>of</w:t>
      </w:r>
      <w:r>
        <w:rPr>
          <w:vertAlign w:val="baseline"/>
        </w:rPr>
        <w:t> law but, as a result of applying art.4 of the Rome Convention or art.4 of the Rome I Regulation, </w:t>
      </w:r>
      <w:r>
        <w:rPr>
          <w:color w:val="005DA1"/>
          <w:u w:val="single" w:color="005DA1"/>
          <w:vertAlign w:val="superscript"/>
        </w:rPr>
        <w:t>1288</w:t>
      </w:r>
      <w:r>
        <w:rPr>
          <w:color w:val="005DA1"/>
          <w:vertAlign w:val="baseline"/>
        </w:rPr>
        <w:t> </w:t>
      </w:r>
      <w:r>
        <w:rPr>
          <w:vertAlign w:val="baseline"/>
        </w:rPr>
        <w:t>the applicable law is the law of a part of the United Kingdom. </w:t>
      </w:r>
      <w:r>
        <w:rPr>
          <w:color w:val="005DA1"/>
          <w:u w:val="single" w:color="005DA1"/>
          <w:vertAlign w:val="superscript"/>
        </w:rPr>
        <w:t>1289</w:t>
      </w:r>
    </w:p>
    <w:p>
      <w:pPr>
        <w:pStyle w:val="BodyText"/>
        <w:spacing w:before="79"/>
      </w:pPr>
    </w:p>
    <w:p>
      <w:pPr>
        <w:pStyle w:val="Heading2"/>
      </w:pPr>
      <w:r>
        <w:rPr/>
        <w:t>30-</w:t>
      </w:r>
      <w:r>
        <w:rPr>
          <w:spacing w:val="-5"/>
        </w:rPr>
        <w:t>345</w:t>
      </w:r>
    </w:p>
    <w:p>
      <w:pPr>
        <w:pStyle w:val="BodyText"/>
        <w:spacing w:before="199"/>
        <w:ind w:left="165"/>
        <w:jc w:val="both"/>
      </w:pPr>
      <w:bookmarkStart w:name="_bookmark2385" w:id="2387"/>
      <w:bookmarkEnd w:id="2387"/>
      <w:r>
        <w:rPr/>
      </w:r>
      <w:r>
        <w:rPr/>
        <w:t>The rate of statutory interest under the 1998 Act shall be that prescribed by the Secretary of State.</w:t>
      </w:r>
      <w:r>
        <w:rPr>
          <w:spacing w:val="-1"/>
        </w:rPr>
        <w:t> </w:t>
      </w:r>
      <w:r>
        <w:rPr>
          <w:color w:val="005DA1"/>
          <w:spacing w:val="-4"/>
          <w:u w:val="single" w:color="005DA1"/>
          <w:vertAlign w:val="superscript"/>
        </w:rPr>
        <w:t>1290</w:t>
      </w:r>
    </w:p>
    <w:p>
      <w:pPr>
        <w:pStyle w:val="BodyText"/>
      </w:pPr>
    </w:p>
    <w:p>
      <w:pPr>
        <w:pStyle w:val="BodyText"/>
        <w:spacing w:before="37"/>
      </w:pPr>
    </w:p>
    <w:p>
      <w:pPr>
        <w:spacing w:before="0"/>
        <w:ind w:left="165" w:right="0" w:firstLine="0"/>
        <w:jc w:val="left"/>
        <w:rPr>
          <w:rFonts w:ascii="Arial"/>
          <w:b/>
          <w:sz w:val="18"/>
        </w:rPr>
      </w:pPr>
      <w:r>
        <w:rPr>
          <w:rFonts w:ascii="Arial"/>
          <w:b/>
          <w:sz w:val="18"/>
        </w:rPr>
        <w:t>Extinguishing obligations, </w:t>
      </w:r>
      <w:r>
        <w:rPr>
          <w:rFonts w:ascii="Arial"/>
          <w:b/>
          <w:spacing w:val="-5"/>
          <w:sz w:val="18"/>
        </w:rPr>
        <w:t>etc</w:t>
      </w:r>
    </w:p>
    <w:p>
      <w:pPr>
        <w:pStyle w:val="BodyText"/>
        <w:spacing w:before="41"/>
        <w:rPr>
          <w:rFonts w:ascii="Arial"/>
          <w:b/>
          <w:sz w:val="18"/>
        </w:rPr>
      </w:pPr>
    </w:p>
    <w:p>
      <w:pPr>
        <w:pStyle w:val="Heading2"/>
        <w:spacing w:before="1"/>
      </w:pPr>
      <w:r>
        <w:rPr/>
        <w:t>30-</w:t>
      </w:r>
      <w:r>
        <w:rPr>
          <w:spacing w:val="-5"/>
        </w:rPr>
        <w:t>346</w:t>
      </w:r>
    </w:p>
    <w:p>
      <w:pPr>
        <w:pStyle w:val="BodyText"/>
        <w:spacing w:line="235" w:lineRule="auto" w:before="202"/>
        <w:ind w:left="165" w:right="167"/>
        <w:jc w:val="both"/>
      </w:pPr>
      <w:r>
        <w:rPr/>
        <w:t>Article 10(1)(d) of the Convention and art.12(1)(d) of the Regulation submit the various “ways of extinguishing obligations, and prescription and limitation of actions” to the applicable law. As to the various ways in which an obligation may be extinguished, it is possible that whether a contract has been discharged by performance or by frustration will fall under art.10(1)(b) or art.12(1)(b) </w:t>
      </w:r>
      <w:bookmarkStart w:name="_bookmark2386" w:id="2388"/>
      <w:bookmarkEnd w:id="2388"/>
      <w:r>
        <w:rPr/>
        <w:t>(“performance”)</w:t>
      </w:r>
      <w:r>
        <w:rPr/>
        <w:t> rather than art.10(1)(d) or art.12(1)(d), but this will make no practical difference since </w:t>
      </w:r>
      <w:bookmarkStart w:name="_bookmark2387" w:id="2389"/>
      <w:bookmarkEnd w:id="2389"/>
      <w:r>
        <w:rPr/>
        <w:t>in</w:t>
      </w:r>
      <w:r>
        <w:rPr/>
        <w:t> either event the issue will be governed by the applicable law. </w:t>
      </w:r>
      <w:r>
        <w:rPr>
          <w:color w:val="005DA1"/>
          <w:u w:val="single" w:color="005DA1"/>
          <w:vertAlign w:val="superscript"/>
        </w:rPr>
        <w:t>1291</w:t>
      </w:r>
      <w:r>
        <w:rPr>
          <w:color w:val="005DA1"/>
          <w:vertAlign w:val="baseline"/>
        </w:rPr>
        <w:t> </w:t>
      </w:r>
      <w:r>
        <w:rPr>
          <w:vertAlign w:val="baseline"/>
        </w:rPr>
        <w:t>Discharge (or extinction) </w:t>
      </w:r>
      <w:r>
        <w:rPr>
          <w:vertAlign w:val="baseline"/>
        </w:rPr>
        <w:t>by </w:t>
      </w:r>
      <w:bookmarkStart w:name="_bookmark2388" w:id="2390"/>
      <w:bookmarkEnd w:id="2390"/>
      <w:r>
        <w:rPr>
          <w:vertAlign w:val="baseline"/>
        </w:rPr>
        <w:t>accord</w:t>
      </w:r>
      <w:r>
        <w:rPr>
          <w:vertAlign w:val="baseline"/>
        </w:rPr>
        <w:t> and satisfaction, </w:t>
      </w:r>
      <w:r>
        <w:rPr>
          <w:color w:val="005DA1"/>
          <w:u w:val="single" w:color="005DA1"/>
          <w:vertAlign w:val="superscript"/>
        </w:rPr>
        <w:t>1292</w:t>
      </w:r>
      <w:r>
        <w:rPr>
          <w:color w:val="005DA1"/>
          <w:vertAlign w:val="baseline"/>
        </w:rPr>
        <w:t> </w:t>
      </w:r>
      <w:r>
        <w:rPr>
          <w:vertAlign w:val="baseline"/>
        </w:rPr>
        <w:t>moratorium, </w:t>
      </w:r>
      <w:r>
        <w:rPr>
          <w:color w:val="005DA1"/>
          <w:u w:val="single" w:color="005DA1"/>
          <w:vertAlign w:val="superscript"/>
        </w:rPr>
        <w:t>1293</w:t>
      </w:r>
      <w:r>
        <w:rPr>
          <w:color w:val="005DA1"/>
          <w:vertAlign w:val="baseline"/>
        </w:rPr>
        <w:t> </w:t>
      </w:r>
      <w:r>
        <w:rPr>
          <w:vertAlign w:val="baseline"/>
        </w:rPr>
        <w:t>outbreak of war </w:t>
      </w:r>
      <w:r>
        <w:rPr>
          <w:color w:val="005DA1"/>
          <w:u w:val="single" w:color="005DA1"/>
          <w:vertAlign w:val="superscript"/>
        </w:rPr>
        <w:t>1294</w:t>
      </w:r>
      <w:r>
        <w:rPr>
          <w:color w:val="005DA1"/>
          <w:vertAlign w:val="baseline"/>
        </w:rPr>
        <w:t> </w:t>
      </w:r>
      <w:r>
        <w:rPr>
          <w:vertAlign w:val="baseline"/>
        </w:rPr>
        <w:t>or legislation </w:t>
      </w:r>
      <w:r>
        <w:rPr>
          <w:color w:val="005DA1"/>
          <w:u w:val="single" w:color="005DA1"/>
          <w:vertAlign w:val="superscript"/>
        </w:rPr>
        <w:t>1295</w:t>
      </w:r>
      <w:r>
        <w:rPr>
          <w:color w:val="005DA1"/>
          <w:vertAlign w:val="baseline"/>
        </w:rPr>
        <w:t> </w:t>
      </w:r>
      <w:r>
        <w:rPr>
          <w:vertAlign w:val="baseline"/>
        </w:rPr>
        <w:t>would seem to fall within art.10(1)(d) of the Convention and within art.12(1)(d) of the Regulation </w:t>
      </w:r>
      <w:r>
        <w:rPr>
          <w:color w:val="005DA1"/>
          <w:u w:val="single" w:color="005DA1"/>
          <w:vertAlign w:val="superscript"/>
        </w:rPr>
        <w:t>1296</w:t>
      </w:r>
      <w:r>
        <w:rPr>
          <w:color w:val="005DA1"/>
          <w:vertAlign w:val="baseline"/>
        </w:rPr>
        <w:t> </w:t>
      </w:r>
      <w:r>
        <w:rPr>
          <w:vertAlign w:val="baseline"/>
        </w:rPr>
        <w:t>and, as such, would be determined by the applicable law. Similarly, the question of whether a contractual debt or liability </w:t>
      </w:r>
      <w:bookmarkStart w:name="_bookmark2389" w:id="2391"/>
      <w:bookmarkEnd w:id="2391"/>
      <w:r>
        <w:rPr>
          <w:vertAlign w:val="baseline"/>
        </w:rPr>
        <w:t>has</w:t>
      </w:r>
      <w:r>
        <w:rPr>
          <w:vertAlign w:val="baseline"/>
        </w:rPr>
        <w:t> been discharged by novation would be a matter for the law applicable to the contract which gives rise to the contractual debt or liability according to art.10(1)(d) or 12(1)(d), as the case may be. </w:t>
      </w:r>
      <w:r>
        <w:rPr>
          <w:color w:val="005DA1"/>
          <w:u w:val="single" w:color="005DA1"/>
          <w:vertAlign w:val="superscript"/>
        </w:rPr>
        <w:t>1297</w:t>
      </w:r>
      <w:r>
        <w:rPr>
          <w:color w:val="005DA1"/>
          <w:vertAlign w:val="baseline"/>
        </w:rPr>
        <w:t> </w:t>
      </w:r>
      <w:r>
        <w:rPr>
          <w:vertAlign w:val="baseline"/>
        </w:rPr>
        <w:t>It </w:t>
      </w:r>
      <w:bookmarkStart w:name="_bookmark2390" w:id="2392"/>
      <w:bookmarkEnd w:id="2392"/>
      <w:r>
        <w:rPr>
          <w:vertAlign w:val="baseline"/>
        </w:rPr>
        <w:t>would</w:t>
      </w:r>
      <w:r>
        <w:rPr>
          <w:vertAlign w:val="baseline"/>
        </w:rPr>
        <w:t> also seem likely that whether a debt has been extinguished by set-off is a matter for the applicable law by virtue of art.10(1)(d) of the Convention. </w:t>
      </w:r>
      <w:r>
        <w:rPr>
          <w:color w:val="005DA1"/>
          <w:u w:val="single" w:color="005DA1"/>
          <w:vertAlign w:val="superscript"/>
        </w:rPr>
        <w:t>1298</w:t>
      </w:r>
    </w:p>
    <w:p>
      <w:pPr>
        <w:pStyle w:val="BodyText"/>
      </w:pPr>
    </w:p>
    <w:p>
      <w:pPr>
        <w:pStyle w:val="BodyText"/>
        <w:spacing w:before="34"/>
      </w:pPr>
    </w:p>
    <w:p>
      <w:pPr>
        <w:spacing w:before="0"/>
        <w:ind w:left="165" w:right="0" w:firstLine="0"/>
        <w:jc w:val="left"/>
        <w:rPr>
          <w:rFonts w:ascii="Arial"/>
          <w:b/>
          <w:sz w:val="18"/>
        </w:rPr>
      </w:pPr>
      <w:r>
        <w:rPr>
          <w:rFonts w:ascii="Arial"/>
          <w:b/>
          <w:sz w:val="18"/>
        </w:rPr>
        <w:t>Set-off and the Rome I </w:t>
      </w:r>
      <w:r>
        <w:rPr>
          <w:rFonts w:ascii="Arial"/>
          <w:b/>
          <w:spacing w:val="-2"/>
          <w:sz w:val="18"/>
        </w:rPr>
        <w:t>Regulation</w:t>
      </w:r>
    </w:p>
    <w:p>
      <w:pPr>
        <w:pStyle w:val="BodyText"/>
        <w:spacing w:before="41"/>
        <w:rPr>
          <w:rFonts w:ascii="Arial"/>
          <w:b/>
          <w:sz w:val="18"/>
        </w:rPr>
      </w:pPr>
    </w:p>
    <w:p>
      <w:pPr>
        <w:pStyle w:val="Heading2"/>
      </w:pPr>
      <w:r>
        <w:rPr/>
        <w:t>30-</w:t>
      </w:r>
      <w:r>
        <w:rPr>
          <w:spacing w:val="-5"/>
        </w:rPr>
        <w:t>347</w:t>
      </w:r>
    </w:p>
    <w:p>
      <w:pPr>
        <w:pStyle w:val="BodyText"/>
        <w:spacing w:line="235" w:lineRule="auto" w:before="203"/>
        <w:ind w:left="165" w:right="167"/>
        <w:jc w:val="both"/>
      </w:pPr>
      <w:bookmarkStart w:name="_bookmark2391" w:id="2393"/>
      <w:bookmarkEnd w:id="2393"/>
      <w:r>
        <w:rPr/>
      </w:r>
      <w:r>
        <w:rPr/>
        <w:t>As discussed earlier in this chapter, art.17 of the Rome I Regulation provides a specific rule </w:t>
      </w:r>
      <w:r>
        <w:rPr/>
        <w:t>for determining the law applicable to set-off. </w:t>
      </w:r>
      <w:r>
        <w:rPr>
          <w:color w:val="005DA1"/>
          <w:u w:val="single" w:color="005DA1"/>
          <w:vertAlign w:val="superscript"/>
        </w:rPr>
        <w:t>1299</w:t>
      </w:r>
    </w:p>
    <w:p>
      <w:pPr>
        <w:pStyle w:val="BodyText"/>
      </w:pPr>
    </w:p>
    <w:p>
      <w:pPr>
        <w:pStyle w:val="BodyText"/>
        <w:spacing w:before="38"/>
      </w:pPr>
    </w:p>
    <w:p>
      <w:pPr>
        <w:spacing w:before="0"/>
        <w:ind w:left="165" w:right="0" w:firstLine="0"/>
        <w:jc w:val="left"/>
        <w:rPr>
          <w:rFonts w:ascii="Arial"/>
          <w:b/>
          <w:sz w:val="18"/>
        </w:rPr>
      </w:pPr>
      <w:r>
        <w:rPr>
          <w:rFonts w:ascii="Arial"/>
          <w:b/>
          <w:sz w:val="18"/>
        </w:rPr>
        <w:t>Prescription and limitation of </w:t>
      </w:r>
      <w:r>
        <w:rPr>
          <w:rFonts w:ascii="Arial"/>
          <w:b/>
          <w:spacing w:val="-2"/>
          <w:sz w:val="18"/>
        </w:rPr>
        <w:t>actions</w:t>
      </w:r>
    </w:p>
    <w:p>
      <w:pPr>
        <w:pStyle w:val="BodyText"/>
        <w:spacing w:before="41"/>
        <w:rPr>
          <w:rFonts w:ascii="Arial"/>
          <w:b/>
          <w:sz w:val="18"/>
        </w:rPr>
      </w:pPr>
    </w:p>
    <w:p>
      <w:pPr>
        <w:pStyle w:val="Heading2"/>
      </w:pPr>
      <w:r>
        <w:rPr/>
        <w:t>30-</w:t>
      </w:r>
      <w:r>
        <w:rPr>
          <w:spacing w:val="-5"/>
        </w:rPr>
        <w:t>348</w:t>
      </w:r>
    </w:p>
    <w:p>
      <w:pPr>
        <w:pStyle w:val="BodyText"/>
        <w:spacing w:line="235" w:lineRule="auto" w:before="203"/>
        <w:ind w:left="165" w:right="167"/>
        <w:jc w:val="both"/>
      </w:pPr>
      <w:r>
        <w:rPr/>
        <w:t>Article 10(1)(d) of the Convention and art.12(1)(d) of the Regulation also refer prescription and </w:t>
      </w:r>
      <w:r>
        <w:rPr/>
        <w:t>the </w:t>
      </w:r>
      <w:bookmarkStart w:name="_bookmark2392" w:id="2394"/>
      <w:bookmarkEnd w:id="2394"/>
      <w:r>
        <w:rPr/>
        <w:t>limitation</w:t>
      </w:r>
      <w:r>
        <w:rPr/>
        <w:t> of actions to the applicable law. Although, at common law, there was a distinct tendency to </w:t>
      </w:r>
      <w:bookmarkStart w:name="_bookmark2393" w:id="2395"/>
      <w:bookmarkEnd w:id="2395"/>
      <w:r>
        <w:rPr/>
        <w:t>classify</w:t>
      </w:r>
      <w:r>
        <w:rPr>
          <w:spacing w:val="-1"/>
        </w:rPr>
        <w:t> </w:t>
      </w:r>
      <w:r>
        <w:rPr/>
        <w:t>the</w:t>
      </w:r>
      <w:r>
        <w:rPr>
          <w:spacing w:val="-1"/>
        </w:rPr>
        <w:t> </w:t>
      </w:r>
      <w:r>
        <w:rPr/>
        <w:t>rules</w:t>
      </w:r>
      <w:r>
        <w:rPr>
          <w:spacing w:val="-1"/>
        </w:rPr>
        <w:t> </w:t>
      </w:r>
      <w:r>
        <w:rPr/>
        <w:t>relating</w:t>
      </w:r>
      <w:r>
        <w:rPr>
          <w:spacing w:val="-1"/>
        </w:rPr>
        <w:t> </w:t>
      </w:r>
      <w:r>
        <w:rPr/>
        <w:t>to</w:t>
      </w:r>
      <w:r>
        <w:rPr>
          <w:spacing w:val="-1"/>
        </w:rPr>
        <w:t> </w:t>
      </w:r>
      <w:r>
        <w:rPr/>
        <w:t>limitation</w:t>
      </w:r>
      <w:r>
        <w:rPr>
          <w:spacing w:val="-1"/>
        </w:rPr>
        <w:t> </w:t>
      </w:r>
      <w:r>
        <w:rPr/>
        <w:t>of</w:t>
      </w:r>
      <w:r>
        <w:rPr>
          <w:spacing w:val="-1"/>
        </w:rPr>
        <w:t> </w:t>
      </w:r>
      <w:r>
        <w:rPr/>
        <w:t>actions</w:t>
      </w:r>
      <w:r>
        <w:rPr>
          <w:spacing w:val="-1"/>
        </w:rPr>
        <w:t> </w:t>
      </w:r>
      <w:r>
        <w:rPr/>
        <w:t>as</w:t>
      </w:r>
      <w:r>
        <w:rPr>
          <w:spacing w:val="-1"/>
        </w:rPr>
        <w:t> </w:t>
      </w:r>
      <w:r>
        <w:rPr/>
        <w:t>procedural</w:t>
      </w:r>
      <w:r>
        <w:rPr>
          <w:spacing w:val="-1"/>
        </w:rPr>
        <w:t> </w:t>
      </w:r>
      <w:r>
        <w:rPr/>
        <w:t>and</w:t>
      </w:r>
      <w:r>
        <w:rPr>
          <w:spacing w:val="-1"/>
        </w:rPr>
        <w:t> </w:t>
      </w:r>
      <w:r>
        <w:rPr/>
        <w:t>thus</w:t>
      </w:r>
      <w:r>
        <w:rPr>
          <w:spacing w:val="-1"/>
        </w:rPr>
        <w:t> </w:t>
      </w:r>
      <w:r>
        <w:rPr/>
        <w:t>as</w:t>
      </w:r>
      <w:r>
        <w:rPr>
          <w:spacing w:val="-1"/>
        </w:rPr>
        <w:t> </w:t>
      </w:r>
      <w:r>
        <w:rPr/>
        <w:t>a</w:t>
      </w:r>
      <w:r>
        <w:rPr>
          <w:spacing w:val="-1"/>
        </w:rPr>
        <w:t> </w:t>
      </w:r>
      <w:r>
        <w:rPr/>
        <w:t>matter</w:t>
      </w:r>
      <w:r>
        <w:rPr>
          <w:spacing w:val="-1"/>
        </w:rPr>
        <w:t> </w:t>
      </w:r>
      <w:r>
        <w:rPr/>
        <w:t>for</w:t>
      </w:r>
      <w:r>
        <w:rPr>
          <w:spacing w:val="-1"/>
        </w:rPr>
        <w:t> </w:t>
      </w:r>
      <w:r>
        <w:rPr/>
        <w:t>the</w:t>
      </w:r>
      <w:r>
        <w:rPr>
          <w:spacing w:val="-1"/>
        </w:rPr>
        <w:t> </w:t>
      </w:r>
      <w:r>
        <w:rPr/>
        <w:t>lex</w:t>
      </w:r>
      <w:r>
        <w:rPr>
          <w:spacing w:val="-1"/>
        </w:rPr>
        <w:t> </w:t>
      </w:r>
      <w:r>
        <w:rPr/>
        <w:t>fori,</w:t>
      </w:r>
      <w:r>
        <w:rPr>
          <w:spacing w:val="-2"/>
        </w:rPr>
        <w:t> </w:t>
      </w:r>
      <w:r>
        <w:rPr>
          <w:color w:val="005DA1"/>
          <w:u w:val="single" w:color="005DA1"/>
          <w:vertAlign w:val="superscript"/>
        </w:rPr>
        <w:t>1300</w:t>
      </w:r>
      <w:r>
        <w:rPr>
          <w:color w:val="005DA1"/>
          <w:vertAlign w:val="baseline"/>
        </w:rPr>
        <w:t> </w:t>
      </w:r>
      <w:r>
        <w:rPr>
          <w:vertAlign w:val="baseline"/>
        </w:rPr>
        <w:t>a</w:t>
      </w:r>
      <w:r>
        <w:rPr>
          <w:spacing w:val="32"/>
          <w:vertAlign w:val="baseline"/>
        </w:rPr>
        <w:t> </w:t>
      </w:r>
      <w:r>
        <w:rPr>
          <w:vertAlign w:val="baseline"/>
        </w:rPr>
        <w:t>considerable</w:t>
      </w:r>
      <w:r>
        <w:rPr>
          <w:spacing w:val="32"/>
          <w:vertAlign w:val="baseline"/>
        </w:rPr>
        <w:t> </w:t>
      </w:r>
      <w:r>
        <w:rPr>
          <w:vertAlign w:val="baseline"/>
        </w:rPr>
        <w:t>inroad</w:t>
      </w:r>
      <w:r>
        <w:rPr>
          <w:spacing w:val="32"/>
          <w:vertAlign w:val="baseline"/>
        </w:rPr>
        <w:t> </w:t>
      </w:r>
      <w:r>
        <w:rPr>
          <w:vertAlign w:val="baseline"/>
        </w:rPr>
        <w:t>on</w:t>
      </w:r>
      <w:r>
        <w:rPr>
          <w:spacing w:val="32"/>
          <w:vertAlign w:val="baseline"/>
        </w:rPr>
        <w:t> </w:t>
      </w:r>
      <w:r>
        <w:rPr>
          <w:vertAlign w:val="baseline"/>
        </w:rPr>
        <w:t>this</w:t>
      </w:r>
      <w:r>
        <w:rPr>
          <w:spacing w:val="32"/>
          <w:vertAlign w:val="baseline"/>
        </w:rPr>
        <w:t> </w:t>
      </w:r>
      <w:r>
        <w:rPr>
          <w:vertAlign w:val="baseline"/>
        </w:rPr>
        <w:t>principle</w:t>
      </w:r>
      <w:r>
        <w:rPr>
          <w:spacing w:val="32"/>
          <w:vertAlign w:val="baseline"/>
        </w:rPr>
        <w:t> </w:t>
      </w:r>
      <w:r>
        <w:rPr>
          <w:vertAlign w:val="baseline"/>
        </w:rPr>
        <w:t>was</w:t>
      </w:r>
      <w:r>
        <w:rPr>
          <w:spacing w:val="32"/>
          <w:vertAlign w:val="baseline"/>
        </w:rPr>
        <w:t> </w:t>
      </w:r>
      <w:r>
        <w:rPr>
          <w:vertAlign w:val="baseline"/>
        </w:rPr>
        <w:t>made</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Foreign</w:t>
      </w:r>
      <w:r>
        <w:rPr>
          <w:spacing w:val="32"/>
          <w:vertAlign w:val="baseline"/>
        </w:rPr>
        <w:t> </w:t>
      </w:r>
      <w:r>
        <w:rPr>
          <w:vertAlign w:val="baseline"/>
        </w:rPr>
        <w:t>Limitation</w:t>
      </w:r>
      <w:r>
        <w:rPr>
          <w:spacing w:val="32"/>
          <w:vertAlign w:val="baseline"/>
        </w:rPr>
        <w:t> </w:t>
      </w:r>
      <w:r>
        <w:rPr>
          <w:vertAlign w:val="baseline"/>
        </w:rPr>
        <w:t>Periods</w:t>
      </w:r>
      <w:r>
        <w:rPr>
          <w:spacing w:val="32"/>
          <w:vertAlign w:val="baseline"/>
        </w:rPr>
        <w:t> </w:t>
      </w:r>
      <w:r>
        <w:rPr>
          <w:vertAlign w:val="baseline"/>
        </w:rPr>
        <w:t>Act</w:t>
      </w:r>
      <w:r>
        <w:rPr>
          <w:spacing w:val="32"/>
          <w:vertAlign w:val="baseline"/>
        </w:rPr>
        <w:t> </w:t>
      </w:r>
      <w:r>
        <w:rPr>
          <w:vertAlign w:val="baseline"/>
        </w:rPr>
        <w:t>1984.</w:t>
      </w:r>
      <w:r>
        <w:rPr>
          <w:spacing w:val="30"/>
          <w:vertAlign w:val="baseline"/>
        </w:rPr>
        <w:t> </w:t>
      </w:r>
      <w:r>
        <w:rPr>
          <w:color w:val="005DA1"/>
          <w:spacing w:val="-6"/>
          <w:u w:val="single" w:color="005DA1"/>
          <w:vertAlign w:val="superscript"/>
        </w:rPr>
        <w:t>1301</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2394" w:id="2396"/>
      <w:bookmarkEnd w:id="2396"/>
      <w:r>
        <w:rPr/>
      </w:r>
      <w:bookmarkStart w:name="_bookmark2395" w:id="2397"/>
      <w:bookmarkEnd w:id="2397"/>
      <w:r>
        <w:rPr/>
      </w:r>
      <w:r>
        <w:rPr/>
        <w:t>Broadly speaking, that Act requires that the rules for the limitation of actions of the lex causae </w:t>
      </w:r>
      <w:r>
        <w:rPr>
          <w:color w:val="005DA1"/>
          <w:u w:val="single" w:color="005DA1"/>
          <w:vertAlign w:val="superscript"/>
        </w:rPr>
        <w:t>1302</w:t>
      </w:r>
      <w:r>
        <w:rPr>
          <w:color w:val="005DA1"/>
          <w:vertAlign w:val="baseline"/>
        </w:rPr>
        <w:t> </w:t>
      </w:r>
      <w:r>
        <w:rPr>
          <w:vertAlign w:val="baseline"/>
        </w:rPr>
        <w:t>are to be applied, which means, in the case of contract, the limitation rules of the governing law </w:t>
      </w:r>
      <w:r>
        <w:rPr>
          <w:color w:val="005DA1"/>
          <w:u w:val="single" w:color="005DA1"/>
          <w:vertAlign w:val="superscript"/>
        </w:rPr>
        <w:t>1303</w:t>
      </w:r>
      <w:r>
        <w:rPr>
          <w:color w:val="005DA1"/>
          <w:vertAlign w:val="baseline"/>
        </w:rPr>
        <w:t> </w:t>
      </w:r>
      <w:r>
        <w:rPr>
          <w:vertAlign w:val="baseline"/>
        </w:rPr>
        <w:t>and not those of the lex fori. The same principle is applied by art.10(1)(d) and art.12(1)(d). Where the Convention or the Regulation apply, the rules as to prescription and limitation of actions will be </w:t>
      </w:r>
      <w:bookmarkStart w:name="_bookmark2396" w:id="2398"/>
      <w:bookmarkEnd w:id="2398"/>
      <w:r>
        <w:rPr>
          <w:vertAlign w:val="baseline"/>
        </w:rPr>
        <w:t>governed</w:t>
      </w:r>
      <w:r>
        <w:rPr>
          <w:vertAlign w:val="baseline"/>
        </w:rPr>
        <w:t> by the applicable law as a result of art.10(1)(d) or art.12(1)(d) rather than as a result of </w:t>
      </w:r>
      <w:r>
        <w:rPr>
          <w:vertAlign w:val="baseline"/>
        </w:rPr>
        <w:t>the 1984 Act. </w:t>
      </w:r>
      <w:r>
        <w:rPr>
          <w:color w:val="005DA1"/>
          <w:u w:val="single" w:color="005DA1"/>
          <w:vertAlign w:val="superscript"/>
        </w:rPr>
        <w:t>1304</w:t>
      </w:r>
      <w:r>
        <w:rPr>
          <w:color w:val="005DA1"/>
          <w:vertAlign w:val="baseline"/>
        </w:rPr>
        <w:t> </w:t>
      </w:r>
      <w:r>
        <w:rPr>
          <w:vertAlign w:val="baseline"/>
        </w:rPr>
        <w:t>The Rome Convention, the Rome I Regulation and the Foreign Limitation Periods Act </w:t>
      </w:r>
      <w:bookmarkStart w:name="_bookmark2397" w:id="2399"/>
      <w:bookmarkEnd w:id="2399"/>
      <w:r>
        <w:rPr>
          <w:vertAlign w:val="baseline"/>
        </w:rPr>
        <w:t>1984</w:t>
      </w:r>
      <w:r>
        <w:rPr>
          <w:vertAlign w:val="baseline"/>
        </w:rPr>
        <w:t> permit a foreign period of limitation to be denied application if its application would infringe</w:t>
      </w:r>
      <w:r>
        <w:rPr>
          <w:spacing w:val="40"/>
          <w:vertAlign w:val="baseline"/>
        </w:rPr>
        <w:t> </w:t>
      </w:r>
      <w:r>
        <w:rPr>
          <w:vertAlign w:val="baseline"/>
        </w:rPr>
        <w:t>public policy. </w:t>
      </w:r>
      <w:r>
        <w:rPr>
          <w:color w:val="005DA1"/>
          <w:u w:val="single" w:color="005DA1"/>
          <w:vertAlign w:val="superscript"/>
        </w:rPr>
        <w:t>1305</w:t>
      </w:r>
      <w:r>
        <w:rPr>
          <w:color w:val="005DA1"/>
          <w:vertAlign w:val="baseline"/>
        </w:rPr>
        <w:t> </w:t>
      </w:r>
      <w:r>
        <w:rPr>
          <w:vertAlign w:val="baseline"/>
        </w:rPr>
        <w:t>According to s.2(2) of the 1984 Act, application of a foreign period of limitation conflicts with public policy:</w:t>
      </w:r>
    </w:p>
    <w:p>
      <w:pPr>
        <w:pStyle w:val="BodyText"/>
      </w:pPr>
    </w:p>
    <w:p>
      <w:pPr>
        <w:pStyle w:val="BodyText"/>
        <w:spacing w:before="123"/>
      </w:pPr>
    </w:p>
    <w:p>
      <w:pPr>
        <w:pStyle w:val="BodyText"/>
        <w:spacing w:line="235" w:lineRule="auto" w:before="1"/>
        <w:ind w:left="1245"/>
      </w:pPr>
      <w:r>
        <w:rPr/>
        <w:t>“… to the extent that its application would cause undue hardship to a person who is, or</w:t>
      </w:r>
      <w:r>
        <w:rPr>
          <w:spacing w:val="80"/>
        </w:rPr>
        <w:t> </w:t>
      </w:r>
      <w:r>
        <w:rPr/>
        <w:t>might be made, a party to the action or proceedings.”</w:t>
      </w:r>
    </w:p>
    <w:p>
      <w:pPr>
        <w:pStyle w:val="BodyText"/>
        <w:spacing w:before="115"/>
      </w:pPr>
    </w:p>
    <w:p>
      <w:pPr>
        <w:pStyle w:val="BodyText"/>
        <w:spacing w:line="235" w:lineRule="auto" w:before="1"/>
        <w:ind w:left="165" w:right="167"/>
        <w:jc w:val="both"/>
      </w:pPr>
      <w:r>
        <w:rPr/>
        <w:t>Although art.16 of the Rome Convention and art.21 of the Rome I Regulation require that </w:t>
      </w:r>
      <w:r>
        <w:rPr/>
        <w:t>the application of a foreign rule must be “manifestly incompatible with the public policy of the forum” it </w:t>
      </w:r>
      <w:bookmarkStart w:name="_bookmark2398" w:id="2400"/>
      <w:bookmarkEnd w:id="2400"/>
      <w:r>
        <w:rPr/>
        <w:t>does</w:t>
      </w:r>
      <w:r>
        <w:rPr/>
        <w:t> not seek to define the content of the forum’s public policy as such. Accordingly, the “undue </w:t>
      </w:r>
      <w:bookmarkStart w:name="_bookmark2399" w:id="2401"/>
      <w:bookmarkEnd w:id="2401"/>
      <w:r>
        <w:rPr/>
        <w:t>hardship”</w:t>
      </w:r>
      <w:r>
        <w:rPr/>
        <w:t> aspect of public policy referred to in s.2(2) of the 1984 Act can in all probability </w:t>
      </w:r>
      <w:r>
        <w:rPr>
          <w:color w:val="005DA1"/>
          <w:u w:val="single" w:color="005DA1"/>
          <w:vertAlign w:val="superscript"/>
        </w:rPr>
        <w:t>1306</w:t>
      </w:r>
      <w:r>
        <w:rPr>
          <w:color w:val="005DA1"/>
          <w:vertAlign w:val="baseline"/>
        </w:rPr>
        <w:t> </w:t>
      </w:r>
      <w:r>
        <w:rPr>
          <w:vertAlign w:val="baseline"/>
        </w:rPr>
        <w:t>be applied</w:t>
      </w:r>
      <w:r>
        <w:rPr>
          <w:spacing w:val="17"/>
          <w:vertAlign w:val="baseline"/>
        </w:rPr>
        <w:t> </w:t>
      </w:r>
      <w:r>
        <w:rPr>
          <w:vertAlign w:val="baseline"/>
        </w:rPr>
        <w:t>as</w:t>
      </w:r>
      <w:r>
        <w:rPr>
          <w:spacing w:val="17"/>
          <w:vertAlign w:val="baseline"/>
        </w:rPr>
        <w:t> </w:t>
      </w:r>
      <w:r>
        <w:rPr>
          <w:vertAlign w:val="baseline"/>
        </w:rPr>
        <w:t>part</w:t>
      </w:r>
      <w:r>
        <w:rPr>
          <w:spacing w:val="17"/>
          <w:vertAlign w:val="baseline"/>
        </w:rPr>
        <w:t> </w:t>
      </w:r>
      <w:r>
        <w:rPr>
          <w:vertAlign w:val="baseline"/>
        </w:rPr>
        <w:t>of</w:t>
      </w:r>
      <w:r>
        <w:rPr>
          <w:spacing w:val="17"/>
          <w:vertAlign w:val="baseline"/>
        </w:rPr>
        <w:t> </w:t>
      </w:r>
      <w:r>
        <w:rPr>
          <w:vertAlign w:val="baseline"/>
        </w:rPr>
        <w:t>English</w:t>
      </w:r>
      <w:r>
        <w:rPr>
          <w:spacing w:val="17"/>
          <w:vertAlign w:val="baseline"/>
        </w:rPr>
        <w:t> </w:t>
      </w:r>
      <w:r>
        <w:rPr>
          <w:vertAlign w:val="baseline"/>
        </w:rPr>
        <w:t>public</w:t>
      </w:r>
      <w:r>
        <w:rPr>
          <w:spacing w:val="17"/>
          <w:vertAlign w:val="baseline"/>
        </w:rPr>
        <w:t> </w:t>
      </w:r>
      <w:r>
        <w:rPr>
          <w:vertAlign w:val="baseline"/>
        </w:rPr>
        <w:t>policy</w:t>
      </w:r>
      <w:r>
        <w:rPr>
          <w:spacing w:val="17"/>
          <w:vertAlign w:val="baseline"/>
        </w:rPr>
        <w:t> </w:t>
      </w:r>
      <w:r>
        <w:rPr>
          <w:vertAlign w:val="baseline"/>
        </w:rPr>
        <w:t>through</w:t>
      </w:r>
      <w:r>
        <w:rPr>
          <w:spacing w:val="17"/>
          <w:vertAlign w:val="baseline"/>
        </w:rPr>
        <w:t> </w:t>
      </w:r>
      <w:r>
        <w:rPr>
          <w:vertAlign w:val="baseline"/>
        </w:rPr>
        <w:t>art.16</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Convention</w:t>
      </w:r>
      <w:r>
        <w:rPr>
          <w:spacing w:val="17"/>
          <w:vertAlign w:val="baseline"/>
        </w:rPr>
        <w:t> </w:t>
      </w:r>
      <w:r>
        <w:rPr>
          <w:vertAlign w:val="baseline"/>
        </w:rPr>
        <w:t>or</w:t>
      </w:r>
      <w:r>
        <w:rPr>
          <w:spacing w:val="17"/>
          <w:vertAlign w:val="baseline"/>
        </w:rPr>
        <w:t> </w:t>
      </w:r>
      <w:r>
        <w:rPr>
          <w:vertAlign w:val="baseline"/>
        </w:rPr>
        <w:t>art.21</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spacing w:val="-2"/>
          <w:vertAlign w:val="baseline"/>
        </w:rPr>
        <w:t>Regulation.</w:t>
      </w:r>
    </w:p>
    <w:p>
      <w:pPr>
        <w:spacing w:line="112" w:lineRule="exact" w:before="0"/>
        <w:ind w:left="165" w:right="0" w:firstLine="0"/>
        <w:jc w:val="left"/>
        <w:rPr>
          <w:sz w:val="12"/>
        </w:rPr>
      </w:pPr>
      <w:r>
        <w:rPr>
          <w:color w:val="005DA1"/>
          <w:spacing w:val="-4"/>
          <w:sz w:val="12"/>
          <w:u w:val="single" w:color="005DA1"/>
        </w:rPr>
        <w:t>1307</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bookmarkStart w:name="_bookmark2400" w:id="2402"/>
      <w:bookmarkEnd w:id="2402"/>
      <w:r>
        <w:rPr/>
      </w:r>
      <w:r>
        <w:rPr>
          <w:rFonts w:ascii="Arial"/>
          <w:b/>
          <w:sz w:val="18"/>
        </w:rPr>
        <w:t>Limitation in equity </w:t>
      </w:r>
      <w:r>
        <w:rPr>
          <w:rFonts w:ascii="Arial"/>
          <w:b/>
          <w:color w:val="005DA1"/>
          <w:spacing w:val="-4"/>
          <w:sz w:val="18"/>
          <w:u w:val="single" w:color="005DA1"/>
          <w:vertAlign w:val="superscript"/>
        </w:rPr>
        <w:t>1308</w:t>
      </w:r>
    </w:p>
    <w:p>
      <w:pPr>
        <w:pStyle w:val="BodyText"/>
        <w:spacing w:before="41"/>
        <w:rPr>
          <w:rFonts w:ascii="Arial"/>
          <w:b/>
          <w:sz w:val="18"/>
        </w:rPr>
      </w:pPr>
    </w:p>
    <w:p>
      <w:pPr>
        <w:pStyle w:val="Heading2"/>
      </w:pPr>
      <w:r>
        <w:rPr/>
        <w:t>30-</w:t>
      </w:r>
      <w:r>
        <w:rPr>
          <w:spacing w:val="-5"/>
        </w:rPr>
        <w:t>349</w:t>
      </w:r>
    </w:p>
    <w:p>
      <w:pPr>
        <w:pStyle w:val="BodyText"/>
        <w:spacing w:line="235" w:lineRule="auto" w:before="203"/>
        <w:ind w:left="165" w:right="167"/>
        <w:jc w:val="both"/>
      </w:pPr>
      <w:r>
        <w:rPr/>
        <w:t>It is unclear (and there is no relevant authority) whether the equitable doctrines of laches </w:t>
      </w:r>
      <w:r>
        <w:rPr/>
        <w:t>and acquiescence or equivalent doctrines in foreign law are matters which relate to “prescription and limitation of actions” for the purposes of art.10(1)(d) and art.12(1)(d) or whether such doctrines relate to the “consequences of breach” within the meaning of art.10(1)(c) or art.12(1)(c) or whether such principles are matters of procedure and thus not within the scope of either of the foregoing rules. It is </w:t>
      </w:r>
      <w:bookmarkStart w:name="_bookmark2401" w:id="2403"/>
      <w:bookmarkEnd w:id="2403"/>
      <w:r>
        <w:rPr/>
        <w:t>tentatively</w:t>
      </w:r>
      <w:r>
        <w:rPr/>
        <w:t> submitted that such doctrines should be accorded a substantive characterisation and should thus in principle be a matter for the governing law of the contract. </w:t>
      </w:r>
      <w:r>
        <w:rPr>
          <w:color w:val="005DA1"/>
          <w:u w:val="single" w:color="005DA1"/>
          <w:vertAlign w:val="superscript"/>
        </w:rPr>
        <w:t>1309</w:t>
      </w:r>
      <w:r>
        <w:rPr>
          <w:color w:val="005DA1"/>
          <w:vertAlign w:val="baseline"/>
        </w:rPr>
        <w:t> </w:t>
      </w:r>
      <w:r>
        <w:rPr>
          <w:vertAlign w:val="baseline"/>
        </w:rPr>
        <w:t>It is also tentatively submitted that since these doctrines relate to the circumstances under which certain remedies are available, they should be regarded as falling within art.10(1)(c) and art.12(1)(c) rather than</w:t>
      </w:r>
      <w:r>
        <w:rPr>
          <w:spacing w:val="40"/>
          <w:vertAlign w:val="baseline"/>
        </w:rPr>
        <w:t> </w:t>
      </w:r>
      <w:r>
        <w:rPr>
          <w:vertAlign w:val="baseline"/>
        </w:rPr>
        <w:t>art.10(1)(d)</w:t>
      </w:r>
      <w:r>
        <w:rPr>
          <w:spacing w:val="-2"/>
          <w:vertAlign w:val="baseline"/>
        </w:rPr>
        <w:t> </w:t>
      </w:r>
      <w:r>
        <w:rPr>
          <w:vertAlign w:val="baseline"/>
        </w:rPr>
        <w:t>and</w:t>
      </w:r>
      <w:r>
        <w:rPr>
          <w:spacing w:val="-2"/>
          <w:vertAlign w:val="baseline"/>
        </w:rPr>
        <w:t> </w:t>
      </w:r>
      <w:r>
        <w:rPr>
          <w:vertAlign w:val="baseline"/>
        </w:rPr>
        <w:t>art.12(1)(d).</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is</w:t>
      </w:r>
      <w:r>
        <w:rPr>
          <w:spacing w:val="-2"/>
          <w:vertAlign w:val="baseline"/>
        </w:rPr>
        <w:t> </w:t>
      </w:r>
      <w:r>
        <w:rPr>
          <w:vertAlign w:val="baseline"/>
        </w:rPr>
        <w:t>governed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foreign</w:t>
      </w:r>
      <w:r>
        <w:rPr>
          <w:spacing w:val="-2"/>
          <w:vertAlign w:val="baseline"/>
        </w:rPr>
        <w:t> </w:t>
      </w:r>
      <w:r>
        <w:rPr>
          <w:vertAlign w:val="baseline"/>
        </w:rPr>
        <w:t>law</w:t>
      </w:r>
      <w:r>
        <w:rPr>
          <w:spacing w:val="-2"/>
          <w:vertAlign w:val="baseline"/>
        </w:rPr>
        <w:t> </w:t>
      </w:r>
      <w:r>
        <w:rPr>
          <w:vertAlign w:val="baseline"/>
        </w:rPr>
        <w:t>it</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for</w:t>
      </w:r>
      <w:r>
        <w:rPr>
          <w:spacing w:val="-2"/>
          <w:vertAlign w:val="baseline"/>
        </w:rPr>
        <w:t> </w:t>
      </w:r>
      <w:r>
        <w:rPr>
          <w:vertAlign w:val="baseline"/>
        </w:rPr>
        <w:t>that</w:t>
      </w:r>
      <w:r>
        <w:rPr>
          <w:spacing w:val="-2"/>
          <w:vertAlign w:val="baseline"/>
        </w:rPr>
        <w:t> </w:t>
      </w:r>
      <w:r>
        <w:rPr>
          <w:vertAlign w:val="baseline"/>
        </w:rPr>
        <w:t>foreign</w:t>
      </w:r>
      <w:r>
        <w:rPr>
          <w:spacing w:val="-2"/>
          <w:vertAlign w:val="baseline"/>
        </w:rPr>
        <w:t> </w:t>
      </w:r>
      <w:r>
        <w:rPr>
          <w:vertAlign w:val="baseline"/>
        </w:rPr>
        <w:t>law</w:t>
      </w:r>
      <w:r>
        <w:rPr>
          <w:spacing w:val="-2"/>
          <w:vertAlign w:val="baseline"/>
        </w:rPr>
        <w:t> </w:t>
      </w:r>
      <w:r>
        <w:rPr>
          <w:vertAlign w:val="baseline"/>
        </w:rPr>
        <w:t>to determine the circumstances in which a particular remedy is available, as a consequence of breach, including the issue of whether the claimant has acted in good time in seeking that remedy. It would appear to be unlikely that foreign rules on the latter question would extend beyond the powers conferred on the English court by its procedural law.</w:t>
      </w:r>
    </w:p>
    <w:p>
      <w:pPr>
        <w:pStyle w:val="BodyText"/>
      </w:pPr>
    </w:p>
    <w:p>
      <w:pPr>
        <w:pStyle w:val="BodyText"/>
        <w:spacing w:before="33"/>
      </w:pPr>
    </w:p>
    <w:p>
      <w:pPr>
        <w:spacing w:before="0"/>
        <w:ind w:left="165" w:right="0" w:firstLine="0"/>
        <w:jc w:val="left"/>
        <w:rPr>
          <w:rFonts w:ascii="Arial"/>
          <w:b/>
          <w:sz w:val="18"/>
        </w:rPr>
      </w:pPr>
      <w:r>
        <w:rPr>
          <w:rFonts w:ascii="Arial"/>
          <w:b/>
          <w:sz w:val="18"/>
        </w:rPr>
        <w:t>Consequences of nullity of </w:t>
      </w:r>
      <w:r>
        <w:rPr>
          <w:rFonts w:ascii="Arial"/>
          <w:b/>
          <w:spacing w:val="-2"/>
          <w:sz w:val="18"/>
        </w:rPr>
        <w:t>contract</w:t>
      </w:r>
    </w:p>
    <w:p>
      <w:pPr>
        <w:pStyle w:val="BodyText"/>
        <w:spacing w:before="41"/>
        <w:rPr>
          <w:rFonts w:ascii="Arial"/>
          <w:b/>
          <w:sz w:val="18"/>
        </w:rPr>
      </w:pPr>
    </w:p>
    <w:p>
      <w:pPr>
        <w:pStyle w:val="Heading2"/>
      </w:pPr>
      <w:r>
        <w:rPr/>
        <w:t>30-</w:t>
      </w:r>
      <w:r>
        <w:rPr>
          <w:spacing w:val="-5"/>
        </w:rPr>
        <w:t>350</w:t>
      </w:r>
    </w:p>
    <w:p>
      <w:pPr>
        <w:pStyle w:val="BodyText"/>
        <w:spacing w:line="235" w:lineRule="auto" w:before="203"/>
        <w:ind w:left="165" w:right="167"/>
        <w:jc w:val="both"/>
      </w:pPr>
      <w:r>
        <w:rPr/>
        <w:t>Although, according to art.10(1)(e) of the Convention, the consequences of nullity of the contract </w:t>
      </w:r>
      <w:r>
        <w:rPr/>
        <w:t>are </w:t>
      </w:r>
      <w:bookmarkStart w:name="_bookmark2402" w:id="2404"/>
      <w:bookmarkEnd w:id="2404"/>
      <w:r>
        <w:rPr/>
        <w:t>governed</w:t>
      </w:r>
      <w:r>
        <w:rPr/>
        <w:t> by the applicable law, the United Kingdom has entered the permitted reservation to this provision so that art.10(1)(e) does not have the force of law in the United Kingdom. </w:t>
      </w:r>
      <w:r>
        <w:rPr>
          <w:color w:val="005DA1"/>
          <w:u w:val="single" w:color="005DA1"/>
          <w:vertAlign w:val="superscript"/>
        </w:rPr>
        <w:t>1310</w:t>
      </w:r>
      <w:r>
        <w:rPr>
          <w:color w:val="005DA1"/>
          <w:vertAlign w:val="baseline"/>
        </w:rPr>
        <w:t> </w:t>
      </w:r>
      <w:r>
        <w:rPr>
          <w:vertAlign w:val="baseline"/>
        </w:rPr>
        <w:t>The </w:t>
      </w:r>
      <w:bookmarkStart w:name="_bookmark2403" w:id="2405"/>
      <w:bookmarkEnd w:id="2405"/>
      <w:r>
        <w:rPr>
          <w:vertAlign w:val="baseline"/>
        </w:rPr>
        <w:t>consequences</w:t>
      </w:r>
      <w:r>
        <w:rPr>
          <w:vertAlign w:val="baseline"/>
        </w:rPr>
        <w:t> of nullity of the contract will be determined according to the choice of law rules applicable to restitutionary claims. </w:t>
      </w:r>
      <w:r>
        <w:rPr>
          <w:color w:val="005DA1"/>
          <w:u w:val="single" w:color="005DA1"/>
          <w:vertAlign w:val="superscript"/>
        </w:rPr>
        <w:t>1311</w:t>
      </w:r>
      <w:r>
        <w:rPr>
          <w:color w:val="005DA1"/>
          <w:vertAlign w:val="baseline"/>
        </w:rPr>
        <w:t> </w:t>
      </w:r>
      <w:r>
        <w:rPr>
          <w:vertAlign w:val="baseline"/>
        </w:rPr>
        <w:t>As explained above, however, in cases falling within the Rome</w:t>
      </w:r>
      <w:r>
        <w:rPr>
          <w:spacing w:val="40"/>
          <w:vertAlign w:val="baseline"/>
        </w:rPr>
        <w:t> </w:t>
      </w:r>
      <w:bookmarkStart w:name="_bookmark2404" w:id="2406"/>
      <w:bookmarkEnd w:id="2406"/>
      <w:r>
        <w:rPr>
          <w:vertAlign w:val="baseline"/>
        </w:rPr>
        <w:t>I</w:t>
      </w:r>
      <w:r>
        <w:rPr>
          <w:vertAlign w:val="baseline"/>
        </w:rPr>
        <w:t> Regulation, the applicable law, pursuant to the Regulation, will govern the consequences of nullity of the contract, as a result of art.12(1)(e) which is applicable in the United Kingdom. </w:t>
      </w:r>
      <w:r>
        <w:rPr>
          <w:color w:val="005DA1"/>
          <w:u w:val="single" w:color="005DA1"/>
          <w:vertAlign w:val="superscript"/>
        </w:rPr>
        <w:t>1312</w:t>
      </w:r>
    </w:p>
    <w:p>
      <w:pPr>
        <w:pStyle w:val="BodyText"/>
      </w:pPr>
    </w:p>
    <w:p>
      <w:pPr>
        <w:pStyle w:val="BodyText"/>
        <w:spacing w:before="36"/>
      </w:pPr>
    </w:p>
    <w:p>
      <w:pPr>
        <w:spacing w:before="0"/>
        <w:ind w:left="165" w:right="0" w:firstLine="0"/>
        <w:jc w:val="left"/>
        <w:rPr>
          <w:rFonts w:ascii="Arial"/>
          <w:b/>
          <w:sz w:val="18"/>
        </w:rPr>
      </w:pPr>
      <w:r>
        <w:rPr>
          <w:rFonts w:ascii="Arial"/>
          <w:b/>
          <w:sz w:val="18"/>
        </w:rPr>
        <w:t>Other unspecified </w:t>
      </w:r>
      <w:r>
        <w:rPr>
          <w:rFonts w:ascii="Arial"/>
          <w:b/>
          <w:spacing w:val="-2"/>
          <w:sz w:val="18"/>
        </w:rPr>
        <w:t>issues</w:t>
      </w:r>
    </w:p>
    <w:p>
      <w:pPr>
        <w:pStyle w:val="BodyText"/>
        <w:spacing w:before="41"/>
        <w:rPr>
          <w:rFonts w:ascii="Arial"/>
          <w:b/>
          <w:sz w:val="18"/>
        </w:rPr>
      </w:pPr>
    </w:p>
    <w:p>
      <w:pPr>
        <w:pStyle w:val="Heading2"/>
      </w:pPr>
      <w:r>
        <w:rPr/>
        <w:t>30-</w:t>
      </w:r>
      <w:r>
        <w:rPr>
          <w:spacing w:val="-5"/>
        </w:rPr>
        <w:t>351</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bookmarkStart w:name="_bookmark2405" w:id="2407"/>
      <w:bookmarkEnd w:id="2407"/>
      <w:r>
        <w:rPr/>
      </w:r>
      <w:r>
        <w:rPr/>
        <w:t>Article 10(1) and art.12(1) do not purport to provide a list of issues which is exhaustive of </w:t>
      </w:r>
      <w:r>
        <w:rPr/>
        <w:t>those intended to be governed by the applicable law. </w:t>
      </w:r>
      <w:r>
        <w:rPr>
          <w:color w:val="005DA1"/>
          <w:u w:val="single" w:color="005DA1"/>
          <w:vertAlign w:val="superscript"/>
        </w:rPr>
        <w:t>1313</w:t>
      </w:r>
      <w:r>
        <w:rPr>
          <w:color w:val="005DA1"/>
          <w:vertAlign w:val="baseline"/>
        </w:rPr>
        <w:t> </w:t>
      </w:r>
      <w:r>
        <w:rPr>
          <w:vertAlign w:val="baseline"/>
        </w:rPr>
        <w:t>Courts in contracting states and Member States </w:t>
      </w:r>
      <w:bookmarkStart w:name="_bookmark2406" w:id="2408"/>
      <w:bookmarkEnd w:id="2408"/>
      <w:r>
        <w:rPr>
          <w:vertAlign w:val="baseline"/>
        </w:rPr>
        <w:t>will</w:t>
      </w:r>
      <w:r>
        <w:rPr>
          <w:vertAlign w:val="baseline"/>
        </w:rPr>
        <w:t> thus be free to submit unspecified issues to that law. Thus it has been held, in the context of the </w:t>
      </w:r>
      <w:bookmarkStart w:name="_bookmark2407" w:id="2409"/>
      <w:bookmarkEnd w:id="2409"/>
      <w:r>
        <w:rPr>
          <w:vertAlign w:val="baseline"/>
        </w:rPr>
        <w:t>Convention,</w:t>
      </w:r>
      <w:r>
        <w:rPr>
          <w:vertAlign w:val="baseline"/>
        </w:rPr>
        <w:t> that whether a person is a party to a contract is a matter for the applicable law. </w:t>
      </w:r>
      <w:r>
        <w:rPr>
          <w:color w:val="005DA1"/>
          <w:u w:val="single" w:color="005DA1"/>
          <w:vertAlign w:val="superscript"/>
        </w:rPr>
        <w:t>1314</w:t>
      </w:r>
      <w:r>
        <w:rPr>
          <w:color w:val="005DA1"/>
          <w:vertAlign w:val="baseline"/>
        </w:rPr>
        <w:t> </w:t>
      </w:r>
      <w:r>
        <w:rPr>
          <w:vertAlign w:val="baseline"/>
        </w:rPr>
        <w:t>Amongst other unspecified issues are certain aspects of the effects of a contract, </w:t>
      </w:r>
      <w:r>
        <w:rPr>
          <w:color w:val="005DA1"/>
          <w:u w:val="single" w:color="005DA1"/>
          <w:vertAlign w:val="superscript"/>
        </w:rPr>
        <w:t>1315</w:t>
      </w:r>
      <w:r>
        <w:rPr>
          <w:color w:val="005DA1"/>
          <w:vertAlign w:val="baseline"/>
        </w:rPr>
        <w:t> </w:t>
      </w:r>
      <w:r>
        <w:rPr>
          <w:vertAlign w:val="baseline"/>
        </w:rPr>
        <w:t>i.e. aspects of the rights and obligations of the parties under the contract (though some of these are covered by the nominated</w:t>
      </w:r>
      <w:r>
        <w:rPr>
          <w:spacing w:val="-1"/>
          <w:vertAlign w:val="baseline"/>
        </w:rPr>
        <w:t> </w:t>
      </w:r>
      <w:r>
        <w:rPr>
          <w:vertAlign w:val="baseline"/>
        </w:rPr>
        <w:t>issues</w:t>
      </w:r>
      <w:r>
        <w:rPr>
          <w:spacing w:val="-2"/>
          <w:vertAlign w:val="baseline"/>
        </w:rPr>
        <w:t> </w:t>
      </w:r>
      <w:r>
        <w:rPr>
          <w:vertAlign w:val="baseline"/>
        </w:rPr>
        <w:t>in</w:t>
      </w:r>
      <w:r>
        <w:rPr>
          <w:spacing w:val="-1"/>
          <w:vertAlign w:val="baseline"/>
        </w:rPr>
        <w:t> </w:t>
      </w:r>
      <w:r>
        <w:rPr>
          <w:vertAlign w:val="baseline"/>
        </w:rPr>
        <w:t>art.10(1)</w:t>
      </w:r>
      <w:r>
        <w:rPr>
          <w:spacing w:val="-2"/>
          <w:vertAlign w:val="baseline"/>
        </w:rPr>
        <w:t> </w:t>
      </w:r>
      <w:r>
        <w:rPr>
          <w:vertAlign w:val="baseline"/>
        </w:rPr>
        <w:t>and</w:t>
      </w:r>
      <w:r>
        <w:rPr>
          <w:spacing w:val="-1"/>
          <w:vertAlign w:val="baseline"/>
        </w:rPr>
        <w:t> </w:t>
      </w:r>
      <w:r>
        <w:rPr>
          <w:vertAlign w:val="baseline"/>
        </w:rPr>
        <w:t>art.12(1)).</w:t>
      </w:r>
      <w:r>
        <w:rPr>
          <w:spacing w:val="-2"/>
          <w:vertAlign w:val="baseline"/>
        </w:rPr>
        <w:t> </w:t>
      </w:r>
      <w:r>
        <w:rPr>
          <w:vertAlign w:val="baseline"/>
        </w:rPr>
        <w:t>More</w:t>
      </w:r>
      <w:r>
        <w:rPr>
          <w:spacing w:val="-1"/>
          <w:vertAlign w:val="baseline"/>
        </w:rPr>
        <w:t> </w:t>
      </w:r>
      <w:r>
        <w:rPr>
          <w:vertAlign w:val="baseline"/>
        </w:rPr>
        <w:t>particularly,</w:t>
      </w:r>
      <w:r>
        <w:rPr>
          <w:spacing w:val="-2"/>
          <w:vertAlign w:val="baseline"/>
        </w:rPr>
        <w:t> </w:t>
      </w:r>
      <w:r>
        <w:rPr>
          <w:vertAlign w:val="baseline"/>
        </w:rPr>
        <w:t>neither</w:t>
      </w:r>
      <w:r>
        <w:rPr>
          <w:spacing w:val="-1"/>
          <w:vertAlign w:val="baseline"/>
        </w:rPr>
        <w:t> </w:t>
      </w:r>
      <w:r>
        <w:rPr>
          <w:vertAlign w:val="baseline"/>
        </w:rPr>
        <w:t>list</w:t>
      </w:r>
      <w:r>
        <w:rPr>
          <w:spacing w:val="-2"/>
          <w:vertAlign w:val="baseline"/>
        </w:rPr>
        <w:t> </w:t>
      </w:r>
      <w:r>
        <w:rPr>
          <w:vertAlign w:val="baseline"/>
        </w:rPr>
        <w:t>explicitly</w:t>
      </w:r>
      <w:r>
        <w:rPr>
          <w:spacing w:val="-1"/>
          <w:vertAlign w:val="baseline"/>
        </w:rPr>
        <w:t> </w:t>
      </w:r>
      <w:r>
        <w:rPr>
          <w:vertAlign w:val="baseline"/>
        </w:rPr>
        <w:t>refers</w:t>
      </w:r>
      <w:r>
        <w:rPr>
          <w:spacing w:val="-2"/>
          <w:vertAlign w:val="baseline"/>
        </w:rPr>
        <w:t> </w:t>
      </w:r>
      <w:r>
        <w:rPr>
          <w:vertAlign w:val="baseline"/>
        </w:rPr>
        <w:t>to</w:t>
      </w:r>
      <w:r>
        <w:rPr>
          <w:spacing w:val="-1"/>
          <w:vertAlign w:val="baseline"/>
        </w:rPr>
        <w:t> </w:t>
      </w:r>
      <w:r>
        <w:rPr>
          <w:vertAlign w:val="baseline"/>
        </w:rPr>
        <w:t>the</w:t>
      </w:r>
      <w:r>
        <w:rPr>
          <w:spacing w:val="-2"/>
          <w:vertAlign w:val="baseline"/>
        </w:rPr>
        <w:t> </w:t>
      </w:r>
      <w:r>
        <w:rPr>
          <w:vertAlign w:val="baseline"/>
        </w:rPr>
        <w:t>extent </w:t>
      </w:r>
      <w:bookmarkStart w:name="_bookmark2408" w:id="2410"/>
      <w:bookmarkEnd w:id="2410"/>
      <w:r>
        <w:rPr>
          <w:vertAlign w:val="baseline"/>
        </w:rPr>
        <w:t>to</w:t>
      </w:r>
      <w:r>
        <w:rPr>
          <w:vertAlign w:val="baseline"/>
        </w:rPr>
        <w:t> which the rights and obligations of the parties to the contract affect third parties. There seems no </w:t>
      </w:r>
      <w:bookmarkStart w:name="_bookmark2409" w:id="2411"/>
      <w:bookmarkEnd w:id="2411"/>
      <w:r>
        <w:rPr>
          <w:vertAlign w:val="baseline"/>
        </w:rPr>
        <w:t>reason</w:t>
      </w:r>
      <w:r>
        <w:rPr>
          <w:vertAlign w:val="baseline"/>
        </w:rPr>
        <w:t> to doubt that this issue is a matter for the applicable law, </w:t>
      </w:r>
      <w:r>
        <w:rPr>
          <w:color w:val="005DA1"/>
          <w:u w:val="single" w:color="005DA1"/>
          <w:vertAlign w:val="superscript"/>
        </w:rPr>
        <w:t>1316</w:t>
      </w:r>
      <w:r>
        <w:rPr>
          <w:color w:val="005DA1"/>
          <w:vertAlign w:val="baseline"/>
        </w:rPr>
        <w:t> </w:t>
      </w:r>
      <w:r>
        <w:rPr>
          <w:vertAlign w:val="baseline"/>
        </w:rPr>
        <w:t>as it has been held to be at </w:t>
      </w:r>
      <w:bookmarkStart w:name="_bookmark2410" w:id="2412"/>
      <w:bookmarkEnd w:id="2412"/>
      <w:r>
        <w:rPr>
          <w:vertAlign w:val="baseline"/>
        </w:rPr>
        <w:t>common</w:t>
      </w:r>
      <w:r>
        <w:rPr>
          <w:vertAlign w:val="baseline"/>
        </w:rPr>
        <w:t> law. </w:t>
      </w:r>
      <w:r>
        <w:rPr>
          <w:color w:val="005DA1"/>
          <w:u w:val="single" w:color="005DA1"/>
          <w:vertAlign w:val="superscript"/>
        </w:rPr>
        <w:t>1317</w:t>
      </w:r>
      <w:r>
        <w:rPr>
          <w:color w:val="005DA1"/>
          <w:vertAlign w:val="baseline"/>
        </w:rPr>
        <w:t> </w:t>
      </w:r>
      <w:r>
        <w:rPr>
          <w:vertAlign w:val="baseline"/>
        </w:rPr>
        <w:t>Similarly, whether a defence, e.g. that of contributory negligence, to a contractual claim is available, should depend on the law applicable to the contract, </w:t>
      </w:r>
      <w:r>
        <w:rPr>
          <w:color w:val="005DA1"/>
          <w:u w:val="single" w:color="005DA1"/>
          <w:vertAlign w:val="superscript"/>
        </w:rPr>
        <w:t>1318</w:t>
      </w:r>
      <w:r>
        <w:rPr>
          <w:color w:val="005DA1"/>
          <w:vertAlign w:val="baseline"/>
        </w:rPr>
        <w:t> </w:t>
      </w:r>
      <w:r>
        <w:rPr>
          <w:vertAlign w:val="baseline"/>
        </w:rPr>
        <w:t>unless, on proper </w:t>
      </w:r>
      <w:bookmarkStart w:name="_bookmark2411" w:id="2413"/>
      <w:bookmarkEnd w:id="2413"/>
      <w:r>
        <w:rPr>
          <w:vertAlign w:val="baseline"/>
        </w:rPr>
        <w:t>characterisation,</w:t>
      </w:r>
      <w:r>
        <w:rPr>
          <w:vertAlign w:val="baseline"/>
        </w:rPr>
        <w:t> the defence arises out of an aspect of the law which has its own rules of the conflict of laws which are different to the conflict of laws’ rules governing contracts. </w:t>
      </w:r>
      <w:r>
        <w:rPr>
          <w:color w:val="005DA1"/>
          <w:u w:val="single" w:color="005DA1"/>
          <w:vertAlign w:val="superscript"/>
        </w:rPr>
        <w:t>1319</w:t>
      </w:r>
    </w:p>
    <w:p>
      <w:pPr>
        <w:pStyle w:val="BodyText"/>
        <w:spacing w:before="77"/>
      </w:pPr>
    </w:p>
    <w:p>
      <w:pPr>
        <w:pStyle w:val="Heading2"/>
      </w:pPr>
      <w:r>
        <w:rPr/>
        <w:t>30-</w:t>
      </w:r>
      <w:r>
        <w:rPr>
          <w:spacing w:val="-5"/>
        </w:rPr>
        <w:t>352</w:t>
      </w:r>
    </w:p>
    <w:p>
      <w:pPr>
        <w:pStyle w:val="BodyText"/>
        <w:spacing w:line="235" w:lineRule="auto" w:before="202"/>
        <w:ind w:left="165" w:right="167"/>
        <w:jc w:val="both"/>
      </w:pPr>
      <w:r>
        <w:rPr/>
        <w:t>Two further issues, illegality and public policy, and foreign currency obligations, are reserved </w:t>
      </w:r>
      <w:r>
        <w:rPr/>
        <w:t>for special consideration in the concluding sub-sections of this chapter. The former presents special </w:t>
      </w:r>
      <w:bookmarkStart w:name="_bookmark2412" w:id="2414"/>
      <w:bookmarkEnd w:id="2414"/>
      <w:r>
        <w:rPr/>
        <w:t>problems</w:t>
      </w:r>
      <w:r>
        <w:rPr/>
        <w:t> in the English conflict of laws while the latter goes beyond pure questions of the conflict of laws. </w:t>
      </w:r>
      <w:r>
        <w:rPr>
          <w:color w:val="005DA1"/>
          <w:u w:val="single" w:color="005DA1"/>
          <w:vertAlign w:val="superscript"/>
        </w:rPr>
        <w:t>1320</w:t>
      </w:r>
    </w:p>
    <w:p>
      <w:pPr>
        <w:pStyle w:val="BodyText"/>
      </w:pPr>
    </w:p>
    <w:p>
      <w:pPr>
        <w:pStyle w:val="BodyText"/>
        <w:spacing w:before="38"/>
      </w:pPr>
      <w:r>
        <w:rPr/>
        <mc:AlternateContent>
          <mc:Choice Requires="wps">
            <w:drawing>
              <wp:anchor distT="0" distB="0" distL="0" distR="0" allowOverlap="1" layoutInCell="1" locked="0" behindDoc="1" simplePos="0" relativeHeight="487628288">
                <wp:simplePos x="0" y="0"/>
                <wp:positionH relativeFrom="page">
                  <wp:posOffset>914400</wp:posOffset>
                </wp:positionH>
                <wp:positionV relativeFrom="paragraph">
                  <wp:posOffset>186030</wp:posOffset>
                </wp:positionV>
                <wp:extent cx="5724525" cy="127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8035pt;width:450.75pt;height:.1pt;mso-position-horizontal-relative:page;mso-position-vertical-relative:paragraph;z-index:-15688192;mso-wrap-distance-left:0;mso-wrap-distance-right:0" id="docshape54"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449" w:hRule="atLeast"/>
        </w:trPr>
        <w:tc>
          <w:tcPr>
            <w:tcW w:w="496" w:type="dxa"/>
          </w:tcPr>
          <w:p>
            <w:pPr>
              <w:pStyle w:val="TableParagraph"/>
              <w:spacing w:before="0"/>
              <w:ind w:left="0" w:right="43"/>
              <w:rPr>
                <w:sz w:val="14"/>
              </w:rPr>
            </w:pPr>
            <w:bookmarkStart w:name="_bookmark2413" w:id="2415"/>
            <w:bookmarkEnd w:id="2415"/>
            <w:r>
              <w:rPr/>
            </w:r>
            <w:hyperlink w:history="true" w:anchor="_bookmark2308">
              <w:r>
                <w:rPr>
                  <w:color w:val="005DA1"/>
                  <w:spacing w:val="-2"/>
                  <w:sz w:val="14"/>
                  <w:u w:val="single" w:color="005DA1"/>
                </w:rPr>
                <w:t>1205</w:t>
              </w:r>
            </w:hyperlink>
            <w:r>
              <w:rPr>
                <w:spacing w:val="-2"/>
                <w:sz w:val="14"/>
              </w:rPr>
              <w:t>.</w:t>
            </w:r>
          </w:p>
        </w:tc>
        <w:tc>
          <w:tcPr>
            <w:tcW w:w="8621" w:type="dxa"/>
          </w:tcPr>
          <w:p>
            <w:pPr>
              <w:pStyle w:val="TableParagraph"/>
              <w:spacing w:line="226" w:lineRule="exact" w:before="0"/>
              <w:jc w:val="left"/>
              <w:rPr>
                <w:sz w:val="20"/>
              </w:rPr>
            </w:pPr>
            <w:r>
              <w:rPr>
                <w:sz w:val="20"/>
              </w:rPr>
              <w:t>See Dicey, Morris and Collins on the Conflict of Laws, 15th edn (2012), paras 32R–140 et seq.; Cheshire,</w:t>
            </w:r>
            <w:r>
              <w:rPr>
                <w:spacing w:val="7"/>
                <w:sz w:val="20"/>
              </w:rPr>
              <w:t> </w:t>
            </w:r>
            <w:r>
              <w:rPr>
                <w:sz w:val="20"/>
              </w:rPr>
              <w:t>North</w:t>
            </w:r>
            <w:r>
              <w:rPr>
                <w:spacing w:val="10"/>
                <w:sz w:val="20"/>
              </w:rPr>
              <w:t> </w:t>
            </w:r>
            <w:r>
              <w:rPr>
                <w:sz w:val="20"/>
              </w:rPr>
              <w:t>and</w:t>
            </w:r>
            <w:r>
              <w:rPr>
                <w:spacing w:val="10"/>
                <w:sz w:val="20"/>
              </w:rPr>
              <w:t> </w:t>
            </w:r>
            <w:r>
              <w:rPr>
                <w:sz w:val="20"/>
              </w:rPr>
              <w:t>Fawcett,</w:t>
            </w:r>
            <w:r>
              <w:rPr>
                <w:spacing w:val="10"/>
                <w:sz w:val="20"/>
              </w:rPr>
              <w:t> </w:t>
            </w:r>
            <w:r>
              <w:rPr>
                <w:rFonts w:ascii="Arial" w:hAnsi="Arial"/>
                <w:i/>
                <w:sz w:val="20"/>
              </w:rPr>
              <w:t>Private</w:t>
            </w:r>
            <w:r>
              <w:rPr>
                <w:rFonts w:ascii="Arial" w:hAnsi="Arial"/>
                <w:i/>
                <w:spacing w:val="10"/>
                <w:sz w:val="20"/>
              </w:rPr>
              <w:t> </w:t>
            </w:r>
            <w:r>
              <w:rPr>
                <w:rFonts w:ascii="Arial" w:hAnsi="Arial"/>
                <w:i/>
                <w:sz w:val="20"/>
              </w:rPr>
              <w:t>International</w:t>
            </w:r>
            <w:r>
              <w:rPr>
                <w:rFonts w:ascii="Arial" w:hAnsi="Arial"/>
                <w:i/>
                <w:spacing w:val="10"/>
                <w:sz w:val="20"/>
              </w:rPr>
              <w:t> </w:t>
            </w:r>
            <w:r>
              <w:rPr>
                <w:rFonts w:ascii="Arial" w:hAnsi="Arial"/>
                <w:i/>
                <w:sz w:val="20"/>
              </w:rPr>
              <w:t>Law</w:t>
            </w:r>
            <w:r>
              <w:rPr>
                <w:sz w:val="20"/>
              </w:rPr>
              <w:t>,</w:t>
            </w:r>
            <w:r>
              <w:rPr>
                <w:spacing w:val="10"/>
                <w:sz w:val="20"/>
              </w:rPr>
              <w:t> </w:t>
            </w:r>
            <w:r>
              <w:rPr>
                <w:sz w:val="20"/>
              </w:rPr>
              <w:t>14th</w:t>
            </w:r>
            <w:r>
              <w:rPr>
                <w:spacing w:val="10"/>
                <w:sz w:val="20"/>
              </w:rPr>
              <w:t> </w:t>
            </w:r>
            <w:r>
              <w:rPr>
                <w:sz w:val="20"/>
              </w:rPr>
              <w:t>edn</w:t>
            </w:r>
            <w:r>
              <w:rPr>
                <w:spacing w:val="10"/>
                <w:sz w:val="20"/>
              </w:rPr>
              <w:t> </w:t>
            </w:r>
            <w:r>
              <w:rPr>
                <w:sz w:val="20"/>
              </w:rPr>
              <w:t>(2002),</w:t>
            </w:r>
            <w:r>
              <w:rPr>
                <w:spacing w:val="10"/>
                <w:sz w:val="20"/>
              </w:rPr>
              <w:t> </w:t>
            </w:r>
            <w:r>
              <w:rPr>
                <w:sz w:val="20"/>
              </w:rPr>
              <w:t>pp.753,</w:t>
            </w:r>
            <w:r>
              <w:rPr>
                <w:spacing w:val="10"/>
                <w:sz w:val="20"/>
              </w:rPr>
              <w:t> </w:t>
            </w:r>
            <w:r>
              <w:rPr>
                <w:sz w:val="20"/>
              </w:rPr>
              <w:t>758;</w:t>
            </w:r>
            <w:r>
              <w:rPr>
                <w:spacing w:val="10"/>
                <w:sz w:val="20"/>
              </w:rPr>
              <w:t> </w:t>
            </w:r>
            <w:r>
              <w:rPr>
                <w:spacing w:val="-2"/>
                <w:sz w:val="20"/>
              </w:rPr>
              <w:t>Plender</w:t>
            </w:r>
          </w:p>
        </w:tc>
      </w:tr>
      <w:tr>
        <w:trPr>
          <w:trHeight w:val="792" w:hRule="atLeast"/>
        </w:trPr>
        <w:tc>
          <w:tcPr>
            <w:tcW w:w="496" w:type="dxa"/>
          </w:tcPr>
          <w:p>
            <w:pPr>
              <w:pStyle w:val="TableParagraph"/>
              <w:spacing w:before="0"/>
              <w:ind w:left="0"/>
              <w:jc w:val="left"/>
              <w:rPr>
                <w:rFonts w:ascii="Times New Roman"/>
                <w:sz w:val="18"/>
              </w:rPr>
            </w:pPr>
          </w:p>
        </w:tc>
        <w:tc>
          <w:tcPr>
            <w:tcW w:w="8621" w:type="dxa"/>
          </w:tcPr>
          <w:p>
            <w:pPr>
              <w:pStyle w:val="TableParagraph"/>
              <w:spacing w:line="235" w:lineRule="auto" w:before="0"/>
              <w:ind w:right="50"/>
              <w:jc w:val="both"/>
              <w:rPr>
                <w:sz w:val="20"/>
              </w:rPr>
            </w:pPr>
            <w:r>
              <w:rPr>
                <w:sz w:val="20"/>
              </w:rPr>
              <w:t>and Wilderspin, 4th edn (2015), Ch.14; Kaye, </w:t>
            </w:r>
            <w:r>
              <w:rPr>
                <w:rFonts w:ascii="Arial" w:hAnsi="Arial"/>
                <w:i/>
                <w:sz w:val="20"/>
              </w:rPr>
              <w:t>The New Private International Law of Contract </w:t>
            </w:r>
            <w:r>
              <w:rPr>
                <w:rFonts w:ascii="Arial" w:hAnsi="Arial"/>
                <w:i/>
                <w:sz w:val="20"/>
              </w:rPr>
              <w:t>of the European Community </w:t>
            </w:r>
            <w:r>
              <w:rPr>
                <w:sz w:val="20"/>
              </w:rPr>
              <w:t>(1993), pp.297–310; Lagarde, </w:t>
            </w:r>
            <w:r>
              <w:rPr>
                <w:rFonts w:ascii="Arial" w:hAnsi="Arial"/>
                <w:i/>
                <w:sz w:val="20"/>
              </w:rPr>
              <w:t>Contract Conflicts </w:t>
            </w:r>
            <w:r>
              <w:rPr>
                <w:sz w:val="20"/>
              </w:rPr>
              <w:t>(1982), p.49, at </w:t>
            </w:r>
            <w:r>
              <w:rPr>
                <w:spacing w:val="-2"/>
                <w:sz w:val="20"/>
              </w:rPr>
              <w:t>pp.54–57.</w:t>
            </w:r>
          </w:p>
        </w:tc>
      </w:tr>
      <w:tr>
        <w:trPr>
          <w:trHeight w:val="465" w:hRule="atLeast"/>
        </w:trPr>
        <w:tc>
          <w:tcPr>
            <w:tcW w:w="496" w:type="dxa"/>
          </w:tcPr>
          <w:p>
            <w:pPr>
              <w:pStyle w:val="TableParagraph"/>
              <w:ind w:left="0" w:right="43"/>
              <w:rPr>
                <w:sz w:val="14"/>
              </w:rPr>
            </w:pPr>
            <w:bookmarkStart w:name="_bookmark2414" w:id="2416"/>
            <w:bookmarkEnd w:id="2416"/>
            <w:r>
              <w:rPr/>
            </w:r>
            <w:hyperlink w:history="true" w:anchor="_bookmark2309">
              <w:r>
                <w:rPr>
                  <w:color w:val="005DA1"/>
                  <w:spacing w:val="-2"/>
                  <w:sz w:val="14"/>
                  <w:u w:val="single" w:color="005DA1"/>
                </w:rPr>
                <w:t>1206</w:t>
              </w:r>
            </w:hyperlink>
            <w:r>
              <w:rPr>
                <w:spacing w:val="-2"/>
                <w:sz w:val="14"/>
              </w:rPr>
              <w:t>.</w:t>
            </w:r>
          </w:p>
        </w:tc>
        <w:tc>
          <w:tcPr>
            <w:tcW w:w="8621" w:type="dxa"/>
          </w:tcPr>
          <w:p>
            <w:pPr>
              <w:pStyle w:val="TableParagraph"/>
              <w:spacing w:before="114"/>
              <w:jc w:val="left"/>
              <w:rPr>
                <w:sz w:val="20"/>
              </w:rPr>
            </w:pPr>
            <w:r>
              <w:rPr>
                <w:sz w:val="20"/>
              </w:rPr>
              <w:t>Rome Convention art.10(1)(a), art.12(1)(a) of the </w:t>
            </w:r>
            <w:r>
              <w:rPr>
                <w:spacing w:val="-2"/>
                <w:sz w:val="20"/>
              </w:rPr>
              <w:t>Regulation.</w:t>
            </w:r>
          </w:p>
        </w:tc>
      </w:tr>
      <w:tr>
        <w:trPr>
          <w:trHeight w:val="690" w:hRule="atLeast"/>
        </w:trPr>
        <w:tc>
          <w:tcPr>
            <w:tcW w:w="496" w:type="dxa"/>
          </w:tcPr>
          <w:p>
            <w:pPr>
              <w:pStyle w:val="TableParagraph"/>
              <w:ind w:left="0" w:right="43"/>
              <w:rPr>
                <w:sz w:val="14"/>
              </w:rPr>
            </w:pPr>
            <w:bookmarkStart w:name="_bookmark2415" w:id="2417"/>
            <w:bookmarkEnd w:id="2417"/>
            <w:r>
              <w:rPr/>
            </w:r>
            <w:hyperlink w:history="true" w:anchor="_bookmark2309">
              <w:r>
                <w:rPr>
                  <w:color w:val="005DA1"/>
                  <w:spacing w:val="-2"/>
                  <w:sz w:val="14"/>
                  <w:u w:val="single" w:color="005DA1"/>
                </w:rPr>
                <w:t>1207</w:t>
              </w:r>
            </w:hyperlink>
            <w:r>
              <w:rPr>
                <w:spacing w:val="-2"/>
                <w:sz w:val="14"/>
              </w:rPr>
              <w:t>.</w:t>
            </w:r>
          </w:p>
        </w:tc>
        <w:tc>
          <w:tcPr>
            <w:tcW w:w="8621" w:type="dxa"/>
          </w:tcPr>
          <w:p>
            <w:pPr>
              <w:pStyle w:val="TableParagraph"/>
              <w:spacing w:line="235" w:lineRule="auto" w:before="118"/>
              <w:jc w:val="left"/>
              <w:rPr>
                <w:sz w:val="20"/>
              </w:rPr>
            </w:pPr>
            <w:r>
              <w:rPr>
                <w:sz w:val="20"/>
              </w:rPr>
              <w:t>Rome</w:t>
            </w:r>
            <w:r>
              <w:rPr>
                <w:spacing w:val="79"/>
                <w:w w:val="150"/>
                <w:sz w:val="20"/>
              </w:rPr>
              <w:t> </w:t>
            </w:r>
            <w:r>
              <w:rPr>
                <w:sz w:val="20"/>
              </w:rPr>
              <w:t>Convention</w:t>
            </w:r>
            <w:r>
              <w:rPr>
                <w:spacing w:val="79"/>
                <w:w w:val="150"/>
                <w:sz w:val="20"/>
              </w:rPr>
              <w:t> </w:t>
            </w:r>
            <w:r>
              <w:rPr>
                <w:sz w:val="20"/>
              </w:rPr>
              <w:t>art.10(1)(b),</w:t>
            </w:r>
            <w:r>
              <w:rPr>
                <w:spacing w:val="79"/>
                <w:w w:val="150"/>
                <w:sz w:val="20"/>
              </w:rPr>
              <w:t> </w:t>
            </w:r>
            <w:r>
              <w:rPr>
                <w:sz w:val="20"/>
              </w:rPr>
              <w:t>art.12(1)(b)</w:t>
            </w:r>
            <w:r>
              <w:rPr>
                <w:spacing w:val="79"/>
                <w:w w:val="150"/>
                <w:sz w:val="20"/>
              </w:rPr>
              <w:t> </w:t>
            </w:r>
            <w:r>
              <w:rPr>
                <w:sz w:val="20"/>
              </w:rPr>
              <w:t>of</w:t>
            </w:r>
            <w:r>
              <w:rPr>
                <w:spacing w:val="79"/>
                <w:w w:val="150"/>
                <w:sz w:val="20"/>
              </w:rPr>
              <w:t> </w:t>
            </w:r>
            <w:r>
              <w:rPr>
                <w:sz w:val="20"/>
              </w:rPr>
              <w:t>the</w:t>
            </w:r>
            <w:r>
              <w:rPr>
                <w:spacing w:val="79"/>
                <w:w w:val="150"/>
                <w:sz w:val="20"/>
              </w:rPr>
              <w:t> </w:t>
            </w:r>
            <w:r>
              <w:rPr>
                <w:sz w:val="20"/>
              </w:rPr>
              <w:t>Regulation.</w:t>
            </w:r>
            <w:r>
              <w:rPr>
                <w:spacing w:val="79"/>
                <w:w w:val="150"/>
                <w:sz w:val="20"/>
              </w:rPr>
              <w:t> </w:t>
            </w:r>
            <w:r>
              <w:rPr>
                <w:sz w:val="20"/>
              </w:rPr>
              <w:t>As</w:t>
            </w:r>
            <w:r>
              <w:rPr>
                <w:spacing w:val="79"/>
                <w:w w:val="150"/>
                <w:sz w:val="20"/>
              </w:rPr>
              <w:t> </w:t>
            </w:r>
            <w:r>
              <w:rPr>
                <w:sz w:val="20"/>
              </w:rPr>
              <w:t>to</w:t>
            </w:r>
            <w:r>
              <w:rPr>
                <w:spacing w:val="79"/>
                <w:w w:val="150"/>
                <w:sz w:val="20"/>
              </w:rPr>
              <w:t> </w:t>
            </w:r>
            <w:r>
              <w:rPr>
                <w:sz w:val="20"/>
              </w:rPr>
              <w:t>the</w:t>
            </w:r>
            <w:r>
              <w:rPr>
                <w:spacing w:val="79"/>
                <w:w w:val="150"/>
                <w:sz w:val="20"/>
              </w:rPr>
              <w:t> </w:t>
            </w:r>
            <w:r>
              <w:rPr>
                <w:sz w:val="20"/>
              </w:rPr>
              <w:t>“manner</w:t>
            </w:r>
            <w:r>
              <w:rPr>
                <w:spacing w:val="79"/>
                <w:w w:val="150"/>
                <w:sz w:val="20"/>
              </w:rPr>
              <w:t> </w:t>
            </w:r>
            <w:r>
              <w:rPr>
                <w:sz w:val="20"/>
              </w:rPr>
              <w:t>of performance”, see art.10(2) of the Convention, art.12(2) of the Regulation.</w:t>
            </w:r>
          </w:p>
        </w:tc>
      </w:tr>
      <w:tr>
        <w:trPr>
          <w:trHeight w:val="465" w:hRule="atLeast"/>
        </w:trPr>
        <w:tc>
          <w:tcPr>
            <w:tcW w:w="496" w:type="dxa"/>
          </w:tcPr>
          <w:p>
            <w:pPr>
              <w:pStyle w:val="TableParagraph"/>
              <w:ind w:left="0" w:right="43"/>
              <w:rPr>
                <w:sz w:val="14"/>
              </w:rPr>
            </w:pPr>
            <w:bookmarkStart w:name="_bookmark2416" w:id="2418"/>
            <w:bookmarkEnd w:id="2418"/>
            <w:r>
              <w:rPr/>
            </w:r>
            <w:hyperlink w:history="true" w:anchor="_bookmark2310">
              <w:r>
                <w:rPr>
                  <w:color w:val="005DA1"/>
                  <w:spacing w:val="-2"/>
                  <w:sz w:val="14"/>
                  <w:u w:val="single" w:color="005DA1"/>
                </w:rPr>
                <w:t>1208</w:t>
              </w:r>
            </w:hyperlink>
            <w:r>
              <w:rPr>
                <w:spacing w:val="-2"/>
                <w:sz w:val="14"/>
              </w:rPr>
              <w:t>.</w:t>
            </w:r>
          </w:p>
        </w:tc>
        <w:tc>
          <w:tcPr>
            <w:tcW w:w="8621" w:type="dxa"/>
          </w:tcPr>
          <w:p>
            <w:pPr>
              <w:pStyle w:val="TableParagraph"/>
              <w:spacing w:before="114"/>
              <w:jc w:val="left"/>
              <w:rPr>
                <w:sz w:val="20"/>
              </w:rPr>
            </w:pPr>
            <w:r>
              <w:rPr>
                <w:sz w:val="20"/>
              </w:rPr>
              <w:t>Rome Convention art.10(1)(c), art.12(1)(c) of the </w:t>
            </w:r>
            <w:r>
              <w:rPr>
                <w:spacing w:val="-2"/>
                <w:sz w:val="20"/>
              </w:rPr>
              <w:t>Regulation.</w:t>
            </w:r>
          </w:p>
        </w:tc>
      </w:tr>
      <w:tr>
        <w:trPr>
          <w:trHeight w:val="465" w:hRule="atLeast"/>
        </w:trPr>
        <w:tc>
          <w:tcPr>
            <w:tcW w:w="496" w:type="dxa"/>
          </w:tcPr>
          <w:p>
            <w:pPr>
              <w:pStyle w:val="TableParagraph"/>
              <w:ind w:left="0" w:right="43"/>
              <w:rPr>
                <w:sz w:val="14"/>
              </w:rPr>
            </w:pPr>
            <w:bookmarkStart w:name="_bookmark2417" w:id="2419"/>
            <w:bookmarkEnd w:id="2419"/>
            <w:r>
              <w:rPr/>
            </w:r>
            <w:hyperlink w:history="true" w:anchor="_bookmark2311">
              <w:r>
                <w:rPr>
                  <w:color w:val="005DA1"/>
                  <w:spacing w:val="-2"/>
                  <w:sz w:val="14"/>
                  <w:u w:val="single" w:color="005DA1"/>
                </w:rPr>
                <w:t>1209</w:t>
              </w:r>
            </w:hyperlink>
            <w:r>
              <w:rPr>
                <w:spacing w:val="-2"/>
                <w:sz w:val="14"/>
              </w:rPr>
              <w:t>.</w:t>
            </w:r>
          </w:p>
        </w:tc>
        <w:tc>
          <w:tcPr>
            <w:tcW w:w="8621" w:type="dxa"/>
          </w:tcPr>
          <w:p>
            <w:pPr>
              <w:pStyle w:val="TableParagraph"/>
              <w:spacing w:before="114"/>
              <w:jc w:val="left"/>
              <w:rPr>
                <w:sz w:val="20"/>
              </w:rPr>
            </w:pPr>
            <w:r>
              <w:rPr>
                <w:sz w:val="20"/>
              </w:rPr>
              <w:t>Rome Convention art.10(1)(d), art.12(1)(d) of the </w:t>
            </w:r>
            <w:r>
              <w:rPr>
                <w:spacing w:val="-2"/>
                <w:sz w:val="20"/>
              </w:rPr>
              <w:t>Regulation.</w:t>
            </w:r>
          </w:p>
        </w:tc>
      </w:tr>
      <w:tr>
        <w:trPr>
          <w:trHeight w:val="465" w:hRule="atLeast"/>
        </w:trPr>
        <w:tc>
          <w:tcPr>
            <w:tcW w:w="496" w:type="dxa"/>
          </w:tcPr>
          <w:p>
            <w:pPr>
              <w:pStyle w:val="TableParagraph"/>
              <w:ind w:left="0" w:right="43"/>
              <w:rPr>
                <w:sz w:val="14"/>
              </w:rPr>
            </w:pPr>
            <w:bookmarkStart w:name="_bookmark2418" w:id="2420"/>
            <w:bookmarkEnd w:id="2420"/>
            <w:r>
              <w:rPr/>
            </w:r>
            <w:hyperlink w:history="true" w:anchor="_bookmark2311">
              <w:r>
                <w:rPr>
                  <w:color w:val="005DA1"/>
                  <w:spacing w:val="-2"/>
                  <w:sz w:val="14"/>
                  <w:u w:val="single" w:color="005DA1"/>
                </w:rPr>
                <w:t>1210</w:t>
              </w:r>
            </w:hyperlink>
            <w:r>
              <w:rPr>
                <w:spacing w:val="-2"/>
                <w:sz w:val="14"/>
              </w:rPr>
              <w:t>.</w:t>
            </w:r>
          </w:p>
        </w:tc>
        <w:tc>
          <w:tcPr>
            <w:tcW w:w="8621" w:type="dxa"/>
          </w:tcPr>
          <w:p>
            <w:pPr>
              <w:pStyle w:val="TableParagraph"/>
              <w:spacing w:before="114"/>
              <w:jc w:val="left"/>
              <w:rPr>
                <w:sz w:val="20"/>
              </w:rPr>
            </w:pPr>
            <w:r>
              <w:rPr>
                <w:sz w:val="20"/>
              </w:rPr>
              <w:t>Rome Convention art.10(1)(e), art.12(1)(e) of the </w:t>
            </w:r>
            <w:r>
              <w:rPr>
                <w:spacing w:val="-2"/>
                <w:sz w:val="20"/>
              </w:rPr>
              <w:t>Regulation.</w:t>
            </w:r>
          </w:p>
        </w:tc>
      </w:tr>
      <w:tr>
        <w:trPr>
          <w:trHeight w:val="465" w:hRule="atLeast"/>
        </w:trPr>
        <w:tc>
          <w:tcPr>
            <w:tcW w:w="496" w:type="dxa"/>
          </w:tcPr>
          <w:p>
            <w:pPr>
              <w:pStyle w:val="TableParagraph"/>
              <w:ind w:left="0" w:right="43"/>
              <w:rPr>
                <w:sz w:val="14"/>
              </w:rPr>
            </w:pPr>
            <w:bookmarkStart w:name="_bookmark2419" w:id="2421"/>
            <w:bookmarkEnd w:id="2421"/>
            <w:r>
              <w:rPr/>
            </w:r>
            <w:hyperlink w:history="true" w:anchor="_bookmark2312">
              <w:r>
                <w:rPr>
                  <w:color w:val="005DA1"/>
                  <w:spacing w:val="-2"/>
                  <w:sz w:val="14"/>
                  <w:u w:val="single" w:color="005DA1"/>
                </w:rPr>
                <w:t>1211</w:t>
              </w:r>
            </w:hyperlink>
            <w:r>
              <w:rPr>
                <w:spacing w:val="-2"/>
                <w:sz w:val="14"/>
              </w:rPr>
              <w:t>.</w:t>
            </w:r>
          </w:p>
        </w:tc>
        <w:tc>
          <w:tcPr>
            <w:tcW w:w="8621" w:type="dxa"/>
          </w:tcPr>
          <w:p>
            <w:pPr>
              <w:pStyle w:val="TableParagraph"/>
              <w:spacing w:before="114"/>
              <w:jc w:val="left"/>
              <w:rPr>
                <w:sz w:val="20"/>
              </w:rPr>
            </w:pPr>
            <w:r>
              <w:rPr>
                <w:sz w:val="20"/>
              </w:rPr>
              <w:t>Rome Convention </w:t>
            </w:r>
            <w:r>
              <w:rPr>
                <w:spacing w:val="-2"/>
                <w:sz w:val="20"/>
              </w:rPr>
              <w:t>art.22(1)(b).</w:t>
            </w:r>
          </w:p>
        </w:tc>
      </w:tr>
      <w:tr>
        <w:trPr>
          <w:trHeight w:val="465" w:hRule="atLeast"/>
        </w:trPr>
        <w:tc>
          <w:tcPr>
            <w:tcW w:w="496" w:type="dxa"/>
          </w:tcPr>
          <w:p>
            <w:pPr>
              <w:pStyle w:val="TableParagraph"/>
              <w:ind w:left="0" w:right="43"/>
              <w:rPr>
                <w:sz w:val="14"/>
              </w:rPr>
            </w:pPr>
            <w:bookmarkStart w:name="_bookmark2420" w:id="2422"/>
            <w:bookmarkEnd w:id="2422"/>
            <w:r>
              <w:rPr/>
            </w:r>
            <w:hyperlink w:history="true" w:anchor="_bookmark2312">
              <w:r>
                <w:rPr>
                  <w:color w:val="005DA1"/>
                  <w:spacing w:val="-2"/>
                  <w:sz w:val="14"/>
                  <w:u w:val="single" w:color="005DA1"/>
                </w:rPr>
                <w:t>1212</w:t>
              </w:r>
            </w:hyperlink>
            <w:r>
              <w:rPr>
                <w:spacing w:val="-2"/>
                <w:sz w:val="14"/>
              </w:rPr>
              <w:t>.</w:t>
            </w:r>
          </w:p>
        </w:tc>
        <w:tc>
          <w:tcPr>
            <w:tcW w:w="8621" w:type="dxa"/>
          </w:tcPr>
          <w:p>
            <w:pPr>
              <w:pStyle w:val="TableParagraph"/>
              <w:spacing w:before="114"/>
              <w:jc w:val="left"/>
              <w:rPr>
                <w:sz w:val="20"/>
              </w:rPr>
            </w:pPr>
            <w:r>
              <w:rPr>
                <w:sz w:val="20"/>
              </w:rPr>
              <w:t>Contracts (Applicable Law) Act 1990 </w:t>
            </w:r>
            <w:r>
              <w:rPr>
                <w:spacing w:val="-2"/>
                <w:sz w:val="20"/>
              </w:rPr>
              <w:t>s.2(2).</w:t>
            </w:r>
          </w:p>
        </w:tc>
      </w:tr>
      <w:tr>
        <w:trPr>
          <w:trHeight w:val="1815" w:hRule="atLeast"/>
        </w:trPr>
        <w:tc>
          <w:tcPr>
            <w:tcW w:w="496" w:type="dxa"/>
          </w:tcPr>
          <w:p>
            <w:pPr>
              <w:pStyle w:val="TableParagraph"/>
              <w:ind w:left="0" w:right="43"/>
              <w:rPr>
                <w:sz w:val="14"/>
              </w:rPr>
            </w:pPr>
            <w:bookmarkStart w:name="_bookmark2421" w:id="2423"/>
            <w:bookmarkEnd w:id="2423"/>
            <w:r>
              <w:rPr/>
            </w:r>
            <w:hyperlink w:history="true" w:anchor="_bookmark2313">
              <w:r>
                <w:rPr>
                  <w:color w:val="005DA1"/>
                  <w:spacing w:val="-2"/>
                  <w:sz w:val="14"/>
                  <w:u w:val="single" w:color="005DA1"/>
                </w:rPr>
                <w:t>1213</w:t>
              </w:r>
            </w:hyperlink>
            <w:r>
              <w:rPr>
                <w:spacing w:val="-2"/>
                <w:sz w:val="14"/>
              </w:rPr>
              <w:t>.</w:t>
            </w:r>
          </w:p>
        </w:tc>
        <w:tc>
          <w:tcPr>
            <w:tcW w:w="8621" w:type="dxa"/>
          </w:tcPr>
          <w:p>
            <w:pPr>
              <w:pStyle w:val="TableParagraph"/>
              <w:spacing w:line="235" w:lineRule="auto" w:before="118"/>
              <w:ind w:right="49"/>
              <w:jc w:val="both"/>
              <w:rPr>
                <w:sz w:val="20"/>
              </w:rPr>
            </w:pPr>
            <w:r>
              <w:rPr>
                <w:sz w:val="20"/>
              </w:rPr>
              <w:t>See North, </w:t>
            </w:r>
            <w:r>
              <w:rPr>
                <w:rFonts w:ascii="Arial" w:hAnsi="Arial"/>
                <w:i/>
                <w:sz w:val="20"/>
              </w:rPr>
              <w:t>Contract Conflicts </w:t>
            </w:r>
            <w:r>
              <w:rPr>
                <w:sz w:val="20"/>
              </w:rPr>
              <w:t>(1982), p.3, at pp.16–17; Giuliano-Lagarde Report, p.33; </w:t>
            </w:r>
            <w:r>
              <w:rPr>
                <w:sz w:val="20"/>
              </w:rPr>
              <w:t>cf. </w:t>
            </w:r>
            <w:r>
              <w:rPr>
                <w:rFonts w:ascii="Arial" w:hAnsi="Arial"/>
                <w:i/>
                <w:sz w:val="20"/>
              </w:rPr>
              <w:t>Caterpillar Financial Services Corp v SNC Passion [2004] EWHC 569 (Comm), [2004] 2 Lloyd’s Rep. 99 </w:t>
            </w:r>
            <w:r>
              <w:rPr>
                <w:sz w:val="20"/>
              </w:rPr>
              <w:t>at [16]. On the choice of law rules applicable to restitution, see generally, Dicey, Morris and Collins, 15th edn (2012) para.32–162; Cheshire and North, Ch.20; Panagopoulos, </w:t>
            </w:r>
            <w:r>
              <w:rPr>
                <w:rFonts w:ascii="Arial" w:hAnsi="Arial"/>
                <w:i/>
                <w:sz w:val="20"/>
              </w:rPr>
              <w:t>Restitution in Private International Law </w:t>
            </w:r>
            <w:r>
              <w:rPr>
                <w:sz w:val="20"/>
              </w:rPr>
              <w:t>(2000); Rose, </w:t>
            </w:r>
            <w:r>
              <w:rPr>
                <w:rFonts w:ascii="Arial" w:hAnsi="Arial"/>
                <w:i/>
                <w:sz w:val="20"/>
              </w:rPr>
              <w:t>Restitution and the Conflict of Laws </w:t>
            </w:r>
            <w:r>
              <w:rPr>
                <w:sz w:val="20"/>
              </w:rPr>
              <w:t>(1995); Dickinson [1996] LMCLQ 556. See also </w:t>
            </w:r>
            <w:r>
              <w:rPr>
                <w:rFonts w:ascii="Arial" w:hAnsi="Arial"/>
                <w:i/>
                <w:sz w:val="20"/>
              </w:rPr>
              <w:t>Baring Bros &amp; Co Ltd v Cunninghame DC [1997] C.L.C. 108 (Outer House of the Court of Session)</w:t>
            </w:r>
            <w:r>
              <w:rPr>
                <w:sz w:val="20"/>
              </w:rPr>
              <w:t>.</w:t>
            </w:r>
          </w:p>
        </w:tc>
      </w:tr>
      <w:tr>
        <w:trPr>
          <w:trHeight w:val="465" w:hRule="atLeast"/>
        </w:trPr>
        <w:tc>
          <w:tcPr>
            <w:tcW w:w="496" w:type="dxa"/>
          </w:tcPr>
          <w:p>
            <w:pPr>
              <w:pStyle w:val="TableParagraph"/>
              <w:ind w:left="0" w:right="43"/>
              <w:rPr>
                <w:sz w:val="14"/>
              </w:rPr>
            </w:pPr>
            <w:bookmarkStart w:name="_bookmark2422" w:id="2424"/>
            <w:bookmarkEnd w:id="2424"/>
            <w:r>
              <w:rPr/>
            </w:r>
            <w:hyperlink w:history="true" w:anchor="_bookmark2314">
              <w:r>
                <w:rPr>
                  <w:color w:val="005DA1"/>
                  <w:spacing w:val="-2"/>
                  <w:sz w:val="14"/>
                  <w:u w:val="single" w:color="005DA1"/>
                </w:rPr>
                <w:t>1214</w:t>
              </w:r>
            </w:hyperlink>
            <w:r>
              <w:rPr>
                <w:spacing w:val="-2"/>
                <w:sz w:val="14"/>
              </w:rPr>
              <w:t>.</w:t>
            </w:r>
          </w:p>
        </w:tc>
        <w:tc>
          <w:tcPr>
            <w:tcW w:w="8621" w:type="dxa"/>
          </w:tcPr>
          <w:p>
            <w:pPr>
              <w:pStyle w:val="TableParagraph"/>
              <w:spacing w:before="114"/>
              <w:jc w:val="left"/>
              <w:rPr>
                <w:sz w:val="20"/>
              </w:rPr>
            </w:pPr>
            <w:r>
              <w:rPr>
                <w:sz w:val="20"/>
              </w:rPr>
              <w:t>See above, para.30-</w:t>
            </w:r>
            <w:r>
              <w:rPr>
                <w:spacing w:val="-4"/>
                <w:sz w:val="20"/>
              </w:rPr>
              <w:t>149.</w:t>
            </w:r>
          </w:p>
        </w:tc>
      </w:tr>
      <w:tr>
        <w:trPr>
          <w:trHeight w:val="465" w:hRule="atLeast"/>
        </w:trPr>
        <w:tc>
          <w:tcPr>
            <w:tcW w:w="496" w:type="dxa"/>
          </w:tcPr>
          <w:p>
            <w:pPr>
              <w:pStyle w:val="TableParagraph"/>
              <w:ind w:left="0" w:right="43"/>
              <w:rPr>
                <w:sz w:val="14"/>
              </w:rPr>
            </w:pPr>
            <w:bookmarkStart w:name="_bookmark2423" w:id="2425"/>
            <w:bookmarkEnd w:id="2425"/>
            <w:r>
              <w:rPr/>
            </w:r>
            <w:hyperlink w:history="true" w:anchor="_bookmark2315">
              <w:r>
                <w:rPr>
                  <w:color w:val="005DA1"/>
                  <w:spacing w:val="-2"/>
                  <w:sz w:val="14"/>
                  <w:u w:val="single" w:color="005DA1"/>
                </w:rPr>
                <w:t>1215</w:t>
              </w:r>
            </w:hyperlink>
            <w:r>
              <w:rPr>
                <w:spacing w:val="-2"/>
                <w:sz w:val="14"/>
              </w:rPr>
              <w:t>.</w:t>
            </w:r>
          </w:p>
        </w:tc>
        <w:tc>
          <w:tcPr>
            <w:tcW w:w="8621" w:type="dxa"/>
          </w:tcPr>
          <w:p>
            <w:pPr>
              <w:pStyle w:val="TableParagraph"/>
              <w:spacing w:before="114"/>
              <w:jc w:val="left"/>
              <w:rPr>
                <w:sz w:val="20"/>
              </w:rPr>
            </w:pPr>
            <w:r>
              <w:rPr>
                <w:sz w:val="20"/>
              </w:rPr>
              <w:t>Rome I </w:t>
            </w:r>
            <w:r>
              <w:rPr>
                <w:spacing w:val="-2"/>
                <w:sz w:val="20"/>
              </w:rPr>
              <w:t>art.12(1)(e).</w:t>
            </w:r>
          </w:p>
        </w:tc>
      </w:tr>
      <w:tr>
        <w:trPr>
          <w:trHeight w:val="465" w:hRule="atLeast"/>
        </w:trPr>
        <w:tc>
          <w:tcPr>
            <w:tcW w:w="496" w:type="dxa"/>
          </w:tcPr>
          <w:p>
            <w:pPr>
              <w:pStyle w:val="TableParagraph"/>
              <w:ind w:left="0" w:right="43"/>
              <w:rPr>
                <w:sz w:val="14"/>
              </w:rPr>
            </w:pPr>
            <w:bookmarkStart w:name="_bookmark2424" w:id="2426"/>
            <w:bookmarkEnd w:id="2426"/>
            <w:r>
              <w:rPr/>
            </w:r>
            <w:hyperlink w:history="true" w:anchor="_bookmark2316">
              <w:r>
                <w:rPr>
                  <w:color w:val="005DA1"/>
                  <w:spacing w:val="-2"/>
                  <w:sz w:val="14"/>
                  <w:u w:val="single" w:color="005DA1"/>
                </w:rPr>
                <w:t>1216</w:t>
              </w:r>
            </w:hyperlink>
            <w:r>
              <w:rPr>
                <w:spacing w:val="-2"/>
                <w:sz w:val="14"/>
              </w:rPr>
              <w:t>.</w:t>
            </w:r>
          </w:p>
        </w:tc>
        <w:tc>
          <w:tcPr>
            <w:tcW w:w="8621" w:type="dxa"/>
          </w:tcPr>
          <w:p>
            <w:pPr>
              <w:pStyle w:val="TableParagraph"/>
              <w:spacing w:before="114"/>
              <w:jc w:val="left"/>
              <w:rPr>
                <w:sz w:val="20"/>
              </w:rPr>
            </w:pPr>
            <w:r>
              <w:rPr>
                <w:sz w:val="20"/>
              </w:rPr>
              <w:t>And see art.10(1) of the Regulation, above, para.30-</w:t>
            </w:r>
            <w:r>
              <w:rPr>
                <w:spacing w:val="-4"/>
                <w:sz w:val="20"/>
              </w:rPr>
              <w:t>149.</w:t>
            </w:r>
          </w:p>
        </w:tc>
      </w:tr>
      <w:tr>
        <w:trPr>
          <w:trHeight w:val="344" w:hRule="atLeast"/>
        </w:trPr>
        <w:tc>
          <w:tcPr>
            <w:tcW w:w="496" w:type="dxa"/>
          </w:tcPr>
          <w:p>
            <w:pPr>
              <w:pStyle w:val="TableParagraph"/>
              <w:ind w:left="0" w:right="43"/>
              <w:rPr>
                <w:sz w:val="14"/>
              </w:rPr>
            </w:pPr>
            <w:bookmarkStart w:name="_bookmark2425" w:id="2427"/>
            <w:bookmarkEnd w:id="2427"/>
            <w:r>
              <w:rPr/>
            </w:r>
            <w:hyperlink w:history="true" w:anchor="_bookmark2317">
              <w:r>
                <w:rPr>
                  <w:color w:val="005DA1"/>
                  <w:spacing w:val="-2"/>
                  <w:sz w:val="14"/>
                  <w:u w:val="single" w:color="005DA1"/>
                </w:rPr>
                <w:t>1217</w:t>
              </w:r>
            </w:hyperlink>
            <w:r>
              <w:rPr>
                <w:spacing w:val="-2"/>
                <w:sz w:val="14"/>
              </w:rPr>
              <w:t>.</w:t>
            </w:r>
          </w:p>
        </w:tc>
        <w:tc>
          <w:tcPr>
            <w:tcW w:w="8621" w:type="dxa"/>
          </w:tcPr>
          <w:p>
            <w:pPr>
              <w:pStyle w:val="TableParagraph"/>
              <w:spacing w:line="210" w:lineRule="exact" w:before="114"/>
              <w:jc w:val="left"/>
              <w:rPr>
                <w:sz w:val="20"/>
              </w:rPr>
            </w:pPr>
            <w:r>
              <w:rPr>
                <w:sz w:val="20"/>
              </w:rPr>
              <w:t>Above, para.30-</w:t>
            </w:r>
            <w:r>
              <w:rPr>
                <w:spacing w:val="-4"/>
                <w:sz w:val="20"/>
              </w:rPr>
              <w:t>149.</w:t>
            </w:r>
          </w:p>
        </w:tc>
      </w:tr>
    </w:tbl>
    <w:p>
      <w:pPr>
        <w:pStyle w:val="TableParagraph"/>
        <w:spacing w:after="0" w:line="210" w:lineRule="exact"/>
        <w:jc w:val="left"/>
        <w:rPr>
          <w:sz w:val="20"/>
        </w:rPr>
        <w:sectPr>
          <w:pgSz w:w="11900" w:h="16840"/>
          <w:pgMar w:header="971" w:footer="0" w:top="1300" w:bottom="280" w:left="1275" w:right="1275"/>
        </w:sectPr>
      </w:pPr>
    </w:p>
    <w:p>
      <w:pPr>
        <w:pStyle w:val="BodyText"/>
        <w:spacing w:before="166"/>
        <w:ind w:left="165"/>
      </w:pPr>
      <w:hyperlink w:history="true" w:anchor="_bookmark2318">
        <w:r>
          <w:rPr>
            <w:color w:val="005DA1"/>
            <w:position w:val="5"/>
            <w:sz w:val="14"/>
            <w:u w:val="single" w:color="005DA1"/>
          </w:rPr>
          <w:t>1218</w:t>
        </w:r>
      </w:hyperlink>
      <w:r>
        <w:rPr>
          <w:position w:val="5"/>
          <w:sz w:val="14"/>
        </w:rPr>
        <w:t>.</w:t>
      </w:r>
      <w:r>
        <w:rPr>
          <w:spacing w:val="55"/>
          <w:position w:val="5"/>
          <w:sz w:val="14"/>
        </w:rPr>
        <w:t>  </w:t>
      </w:r>
      <w:r>
        <w:rPr/>
        <w:t>Dicey,</w:t>
      </w:r>
      <w:r>
        <w:rPr>
          <w:spacing w:val="1"/>
        </w:rPr>
        <w:t> </w:t>
      </w:r>
      <w:r>
        <w:rPr/>
        <w:t>Morris and Collins, 15th edn (2012), </w:t>
      </w:r>
      <w:r>
        <w:rPr>
          <w:spacing w:val="-2"/>
        </w:rPr>
        <w:t>para.32–162.</w:t>
      </w:r>
    </w:p>
    <w:p>
      <w:pPr>
        <w:pStyle w:val="BodyText"/>
        <w:spacing w:before="9"/>
      </w:pPr>
    </w:p>
    <w:p>
      <w:pPr>
        <w:pStyle w:val="BodyText"/>
        <w:spacing w:line="235" w:lineRule="auto"/>
        <w:ind w:left="705" w:right="167" w:hanging="541"/>
        <w:jc w:val="both"/>
      </w:pPr>
      <w:bookmarkStart w:name="_bookmark2426" w:id="2428"/>
      <w:bookmarkEnd w:id="2428"/>
      <w:r>
        <w:rPr/>
      </w:r>
      <w:hyperlink w:history="true" w:anchor="_bookmark2319">
        <w:r>
          <w:rPr>
            <w:color w:val="005DA1"/>
            <w:position w:val="5"/>
            <w:sz w:val="14"/>
            <w:u w:val="single" w:color="005DA1"/>
          </w:rPr>
          <w:t>1219</w:t>
        </w:r>
      </w:hyperlink>
      <w:r>
        <w:rPr>
          <w:position w:val="5"/>
          <w:sz w:val="14"/>
        </w:rPr>
        <w:t>.</w:t>
      </w:r>
      <w:r>
        <w:rPr>
          <w:spacing w:val="80"/>
          <w:position w:val="5"/>
          <w:sz w:val="14"/>
        </w:rPr>
        <w:t> </w:t>
      </w:r>
      <w:r>
        <w:rPr/>
        <w:t>Rome</w:t>
      </w:r>
      <w:r>
        <w:rPr>
          <w:spacing w:val="40"/>
        </w:rPr>
        <w:t> </w:t>
      </w:r>
      <w:r>
        <w:rPr/>
        <w:t>I</w:t>
      </w:r>
      <w:r>
        <w:rPr>
          <w:spacing w:val="40"/>
        </w:rPr>
        <w:t> </w:t>
      </w:r>
      <w:r>
        <w:rPr/>
        <w:t>art.12(1)(e).</w:t>
      </w:r>
      <w:r>
        <w:rPr>
          <w:spacing w:val="40"/>
        </w:rPr>
        <w:t> </w:t>
      </w:r>
      <w:r>
        <w:rPr/>
        <w:t>The</w:t>
      </w:r>
      <w:r>
        <w:rPr>
          <w:spacing w:val="40"/>
        </w:rPr>
        <w:t> </w:t>
      </w:r>
      <w:r>
        <w:rPr/>
        <w:t>consequences</w:t>
      </w:r>
      <w:r>
        <w:rPr>
          <w:spacing w:val="40"/>
        </w:rPr>
        <w:t> </w:t>
      </w:r>
      <w:r>
        <w:rPr/>
        <w:t>which</w:t>
      </w:r>
      <w:r>
        <w:rPr>
          <w:spacing w:val="40"/>
        </w:rPr>
        <w:t> </w:t>
      </w:r>
      <w:r>
        <w:rPr/>
        <w:t>flow</w:t>
      </w:r>
      <w:r>
        <w:rPr>
          <w:spacing w:val="40"/>
        </w:rPr>
        <w:t> </w:t>
      </w:r>
      <w:r>
        <w:rPr/>
        <w:t>after</w:t>
      </w:r>
      <w:r>
        <w:rPr>
          <w:spacing w:val="40"/>
        </w:rPr>
        <w:t> </w:t>
      </w:r>
      <w:r>
        <w:rPr/>
        <w:t>it</w:t>
      </w:r>
      <w:r>
        <w:rPr>
          <w:spacing w:val="40"/>
        </w:rPr>
        <w:t> </w:t>
      </w:r>
      <w:r>
        <w:rPr/>
        <w:t>has</w:t>
      </w:r>
      <w:r>
        <w:rPr>
          <w:spacing w:val="40"/>
        </w:rPr>
        <w:t> </w:t>
      </w:r>
      <w:r>
        <w:rPr/>
        <w:t>been</w:t>
      </w:r>
      <w:r>
        <w:rPr>
          <w:spacing w:val="40"/>
        </w:rPr>
        <w:t> </w:t>
      </w:r>
      <w:r>
        <w:rPr/>
        <w:t>determined</w:t>
      </w:r>
      <w:r>
        <w:rPr>
          <w:spacing w:val="40"/>
        </w:rPr>
        <w:t> </w:t>
      </w:r>
      <w:r>
        <w:rPr/>
        <w:t>that</w:t>
      </w:r>
      <w:r>
        <w:rPr>
          <w:spacing w:val="40"/>
        </w:rPr>
        <w:t> </w:t>
      </w:r>
      <w:r>
        <w:rPr/>
        <w:t>the contract has been frustrated according to its applicable law will probably not be determined by the Rome Convention at all, because of the United Kingdom’s reservation to art.10(1)(e), discussed above, para.30-032 above. See below, para.30-350.</w:t>
      </w:r>
    </w:p>
    <w:p>
      <w:pPr>
        <w:pStyle w:val="BodyText"/>
        <w:spacing w:before="5"/>
      </w:pPr>
    </w:p>
    <w:p>
      <w:pPr>
        <w:spacing w:before="0"/>
        <w:ind w:left="165" w:right="0" w:firstLine="0"/>
        <w:jc w:val="left"/>
        <w:rPr>
          <w:sz w:val="20"/>
        </w:rPr>
      </w:pPr>
      <w:bookmarkStart w:name="_bookmark2427" w:id="2429"/>
      <w:bookmarkEnd w:id="2429"/>
      <w:r>
        <w:rPr/>
      </w:r>
      <w:hyperlink w:history="true" w:anchor="_bookmark2320">
        <w:r>
          <w:rPr>
            <w:color w:val="005DA1"/>
            <w:position w:val="5"/>
            <w:sz w:val="14"/>
            <w:u w:val="single" w:color="005DA1"/>
          </w:rPr>
          <w:t>1220</w:t>
        </w:r>
      </w:hyperlink>
      <w:r>
        <w:rPr>
          <w:position w:val="5"/>
          <w:sz w:val="14"/>
        </w:rPr>
        <w:t>.</w:t>
      </w:r>
      <w:r>
        <w:rPr>
          <w:spacing w:val="55"/>
          <w:position w:val="5"/>
          <w:sz w:val="14"/>
        </w:rPr>
        <w:t>  </w:t>
      </w:r>
      <w:r>
        <w:rPr>
          <w:sz w:val="20"/>
        </w:rPr>
        <w:t>“The</w:t>
      </w:r>
      <w:r>
        <w:rPr>
          <w:spacing w:val="1"/>
          <w:sz w:val="20"/>
        </w:rPr>
        <w:t> </w:t>
      </w:r>
      <w:r>
        <w:rPr>
          <w:sz w:val="20"/>
        </w:rPr>
        <w:t>law applicable to a contract</w:t>
      </w:r>
      <w:r>
        <w:rPr>
          <w:spacing w:val="-1"/>
          <w:sz w:val="20"/>
        </w:rPr>
        <w:t> </w:t>
      </w:r>
      <w:r>
        <w:rPr>
          <w:sz w:val="20"/>
        </w:rPr>
        <w:t>… shall govern</w:t>
      </w:r>
      <w:r>
        <w:rPr>
          <w:spacing w:val="-1"/>
          <w:sz w:val="20"/>
        </w:rPr>
        <w:t> </w:t>
      </w:r>
      <w:r>
        <w:rPr>
          <w:rFonts w:ascii="Arial" w:hAnsi="Arial"/>
          <w:i/>
          <w:sz w:val="20"/>
        </w:rPr>
        <w:t>in particular</w:t>
      </w:r>
      <w:r>
        <w:rPr>
          <w:sz w:val="20"/>
        </w:rPr>
        <w:t>” [emphasis </w:t>
      </w:r>
      <w:r>
        <w:rPr>
          <w:spacing w:val="-2"/>
          <w:sz w:val="20"/>
        </w:rPr>
        <w:t>added].</w:t>
      </w:r>
    </w:p>
    <w:p>
      <w:pPr>
        <w:pStyle w:val="BodyText"/>
        <w:spacing w:before="5"/>
      </w:pPr>
    </w:p>
    <w:p>
      <w:pPr>
        <w:spacing w:before="0"/>
        <w:ind w:left="165" w:right="0" w:firstLine="0"/>
        <w:jc w:val="left"/>
        <w:rPr>
          <w:sz w:val="20"/>
        </w:rPr>
      </w:pPr>
      <w:bookmarkStart w:name="_bookmark2428" w:id="2430"/>
      <w:bookmarkEnd w:id="2430"/>
      <w:r>
        <w:rPr/>
      </w:r>
      <w:hyperlink w:history="true" w:anchor="_bookmark2321">
        <w:r>
          <w:rPr>
            <w:color w:val="005DA1"/>
            <w:position w:val="5"/>
            <w:sz w:val="14"/>
            <w:u w:val="single" w:color="005DA1"/>
          </w:rPr>
          <w:t>1221</w:t>
        </w:r>
      </w:hyperlink>
      <w:r>
        <w:rPr>
          <w:position w:val="5"/>
          <w:sz w:val="14"/>
        </w:rPr>
        <w:t>.</w:t>
      </w:r>
      <w:r>
        <w:rPr>
          <w:spacing w:val="55"/>
          <w:position w:val="5"/>
          <w:sz w:val="14"/>
        </w:rPr>
        <w:t>  </w:t>
      </w:r>
      <w:r>
        <w:rPr>
          <w:sz w:val="20"/>
        </w:rPr>
        <w:t>Below,</w:t>
      </w:r>
      <w:r>
        <w:rPr>
          <w:spacing w:val="1"/>
          <w:sz w:val="20"/>
        </w:rPr>
        <w:t> </w:t>
      </w:r>
      <w:r>
        <w:rPr>
          <w:sz w:val="20"/>
        </w:rPr>
        <w:t>para.30-</w:t>
      </w:r>
      <w:r>
        <w:rPr>
          <w:spacing w:val="-4"/>
          <w:sz w:val="20"/>
        </w:rPr>
        <w:t>351.</w:t>
      </w:r>
    </w:p>
    <w:p>
      <w:pPr>
        <w:pStyle w:val="BodyText"/>
        <w:spacing w:before="9"/>
      </w:pPr>
    </w:p>
    <w:p>
      <w:pPr>
        <w:spacing w:line="235" w:lineRule="auto" w:before="0"/>
        <w:ind w:left="705" w:right="218" w:hanging="541"/>
        <w:jc w:val="left"/>
        <w:rPr>
          <w:sz w:val="20"/>
        </w:rPr>
      </w:pPr>
      <w:bookmarkStart w:name="_bookmark2429" w:id="2431"/>
      <w:bookmarkEnd w:id="2431"/>
      <w:r>
        <w:rPr/>
      </w:r>
      <w:hyperlink w:history="true" w:anchor="_bookmark2322">
        <w:r>
          <w:rPr>
            <w:color w:val="005DA1"/>
            <w:position w:val="5"/>
            <w:sz w:val="14"/>
            <w:u w:val="single" w:color="005DA1"/>
          </w:rPr>
          <w:t>1222</w:t>
        </w:r>
      </w:hyperlink>
      <w:r>
        <w:rPr>
          <w:position w:val="5"/>
          <w:sz w:val="14"/>
        </w:rPr>
        <w:t>.</w:t>
      </w:r>
      <w:r>
        <w:rPr>
          <w:spacing w:val="40"/>
          <w:position w:val="5"/>
          <w:sz w:val="14"/>
        </w:rPr>
        <w:t>  </w:t>
      </w:r>
      <w:r>
        <w:rPr>
          <w:sz w:val="20"/>
        </w:rPr>
        <w:t>e.g. </w:t>
      </w:r>
      <w:r>
        <w:rPr>
          <w:rFonts w:ascii="Arial" w:hAnsi="Arial"/>
          <w:i/>
          <w:sz w:val="20"/>
        </w:rPr>
        <w:t>St Pierre v South American Stores Ltd [1937] 3 All E.R. 349</w:t>
      </w:r>
      <w:r>
        <w:rPr>
          <w:sz w:val="20"/>
        </w:rPr>
        <w:t>; </w:t>
      </w:r>
      <w:r>
        <w:rPr>
          <w:rFonts w:ascii="Arial" w:hAnsi="Arial"/>
          <w:i/>
          <w:sz w:val="20"/>
        </w:rPr>
        <w:t>AB Bofors-Uva C.A.V. Ltd </w:t>
      </w:r>
      <w:r>
        <w:rPr>
          <w:rFonts w:ascii="Arial" w:hAnsi="Arial"/>
          <w:i/>
          <w:sz w:val="20"/>
        </w:rPr>
        <w:t>v</w:t>
      </w:r>
      <w:r>
        <w:rPr>
          <w:rFonts w:ascii="Arial" w:hAnsi="Arial"/>
          <w:i/>
          <w:spacing w:val="80"/>
          <w:sz w:val="20"/>
        </w:rPr>
        <w:t> </w:t>
      </w:r>
      <w:r>
        <w:rPr>
          <w:rFonts w:ascii="Arial" w:hAnsi="Arial"/>
          <w:i/>
          <w:sz w:val="20"/>
        </w:rPr>
        <w:t>AB Skandia Transport [1982] 1 Lloyd’s Rep. 410</w:t>
      </w:r>
      <w:r>
        <w:rPr>
          <w:sz w:val="20"/>
        </w:rPr>
        <w:t>.</w:t>
      </w:r>
    </w:p>
    <w:p>
      <w:pPr>
        <w:pStyle w:val="BodyText"/>
        <w:spacing w:before="5"/>
      </w:pPr>
    </w:p>
    <w:p>
      <w:pPr>
        <w:spacing w:line="227" w:lineRule="exact" w:before="0"/>
        <w:ind w:left="165" w:right="0" w:firstLine="0"/>
        <w:jc w:val="left"/>
        <w:rPr>
          <w:rFonts w:ascii="Arial" w:hAnsi="Arial"/>
          <w:i/>
          <w:sz w:val="20"/>
        </w:rPr>
      </w:pPr>
      <w:bookmarkStart w:name="_bookmark2430" w:id="2432"/>
      <w:bookmarkEnd w:id="2432"/>
      <w:r>
        <w:rPr/>
      </w:r>
      <w:hyperlink w:history="true" w:anchor="_bookmark2323">
        <w:r>
          <w:rPr>
            <w:color w:val="005DA1"/>
            <w:position w:val="5"/>
            <w:sz w:val="14"/>
            <w:u w:val="single" w:color="005DA1"/>
          </w:rPr>
          <w:t>1223</w:t>
        </w:r>
      </w:hyperlink>
      <w:r>
        <w:rPr>
          <w:position w:val="5"/>
          <w:sz w:val="14"/>
        </w:rPr>
        <w:t>.</w:t>
      </w:r>
      <w:r>
        <w:rPr>
          <w:spacing w:val="55"/>
          <w:position w:val="5"/>
          <w:sz w:val="14"/>
        </w:rPr>
        <w:t>  </w:t>
      </w:r>
      <w:r>
        <w:rPr>
          <w:sz w:val="20"/>
        </w:rPr>
        <w:t>Rome</w:t>
      </w:r>
      <w:r>
        <w:rPr>
          <w:spacing w:val="6"/>
          <w:sz w:val="20"/>
        </w:rPr>
        <w:t> </w:t>
      </w:r>
      <w:r>
        <w:rPr>
          <w:sz w:val="20"/>
        </w:rPr>
        <w:t>Convention</w:t>
      </w:r>
      <w:r>
        <w:rPr>
          <w:spacing w:val="5"/>
          <w:sz w:val="20"/>
        </w:rPr>
        <w:t> </w:t>
      </w:r>
      <w:r>
        <w:rPr>
          <w:sz w:val="20"/>
        </w:rPr>
        <w:t>art.10(1)(a).</w:t>
      </w:r>
      <w:r>
        <w:rPr>
          <w:spacing w:val="5"/>
          <w:sz w:val="20"/>
        </w:rPr>
        <w:t> </w:t>
      </w:r>
      <w:r>
        <w:rPr>
          <w:sz w:val="20"/>
        </w:rPr>
        <w:t>And</w:t>
      </w:r>
      <w:r>
        <w:rPr>
          <w:spacing w:val="5"/>
          <w:sz w:val="20"/>
        </w:rPr>
        <w:t> </w:t>
      </w:r>
      <w:r>
        <w:rPr>
          <w:sz w:val="20"/>
        </w:rPr>
        <w:t>see</w:t>
      </w:r>
      <w:r>
        <w:rPr>
          <w:spacing w:val="5"/>
          <w:sz w:val="20"/>
        </w:rPr>
        <w:t> </w:t>
      </w:r>
      <w:r>
        <w:rPr>
          <w:rFonts w:ascii="Arial" w:hAnsi="Arial"/>
          <w:i/>
          <w:sz w:val="20"/>
        </w:rPr>
        <w:t>The</w:t>
      </w:r>
      <w:r>
        <w:rPr>
          <w:rFonts w:ascii="Arial" w:hAnsi="Arial"/>
          <w:i/>
          <w:spacing w:val="5"/>
          <w:sz w:val="20"/>
        </w:rPr>
        <w:t> </w:t>
      </w:r>
      <w:r>
        <w:rPr>
          <w:rFonts w:ascii="Arial" w:hAnsi="Arial"/>
          <w:i/>
          <w:sz w:val="20"/>
        </w:rPr>
        <w:t>Ikariada</w:t>
      </w:r>
      <w:r>
        <w:rPr>
          <w:rFonts w:ascii="Arial" w:hAnsi="Arial"/>
          <w:i/>
          <w:spacing w:val="4"/>
          <w:sz w:val="20"/>
        </w:rPr>
        <w:t> </w:t>
      </w:r>
      <w:r>
        <w:rPr>
          <w:rFonts w:ascii="Arial" w:hAnsi="Arial"/>
          <w:i/>
          <w:sz w:val="20"/>
        </w:rPr>
        <w:t>[1999]</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365,</w:t>
      </w:r>
      <w:r>
        <w:rPr>
          <w:rFonts w:ascii="Arial" w:hAnsi="Arial"/>
          <w:i/>
          <w:spacing w:val="5"/>
          <w:sz w:val="20"/>
        </w:rPr>
        <w:t> </w:t>
      </w:r>
      <w:r>
        <w:rPr>
          <w:rFonts w:ascii="Arial" w:hAnsi="Arial"/>
          <w:i/>
          <w:sz w:val="20"/>
        </w:rPr>
        <w:t>373</w:t>
      </w:r>
      <w:r>
        <w:rPr>
          <w:sz w:val="20"/>
        </w:rPr>
        <w:t>;</w:t>
      </w:r>
      <w:r>
        <w:rPr>
          <w:spacing w:val="5"/>
          <w:sz w:val="20"/>
        </w:rPr>
        <w:t> </w:t>
      </w:r>
      <w:r>
        <w:rPr>
          <w:rFonts w:ascii="Arial" w:hAnsi="Arial"/>
          <w:i/>
          <w:sz w:val="20"/>
        </w:rPr>
        <w:t>OT</w:t>
      </w:r>
      <w:r>
        <w:rPr>
          <w:rFonts w:ascii="Arial" w:hAnsi="Arial"/>
          <w:i/>
          <w:spacing w:val="5"/>
          <w:sz w:val="20"/>
        </w:rPr>
        <w:t> </w:t>
      </w:r>
      <w:r>
        <w:rPr>
          <w:rFonts w:ascii="Arial" w:hAnsi="Arial"/>
          <w:i/>
          <w:spacing w:val="-2"/>
          <w:sz w:val="20"/>
        </w:rPr>
        <w:t>Africa</w:t>
      </w:r>
    </w:p>
    <w:p>
      <w:pPr>
        <w:spacing w:line="235" w:lineRule="auto" w:before="2"/>
        <w:ind w:left="705" w:right="0" w:firstLine="0"/>
        <w:jc w:val="left"/>
        <w:rPr>
          <w:rFonts w:ascii="Arial" w:hAnsi="Arial"/>
          <w:i/>
          <w:sz w:val="20"/>
        </w:rPr>
      </w:pPr>
      <w:r>
        <w:rPr>
          <w:rFonts w:ascii="Arial" w:hAnsi="Arial"/>
          <w:i/>
          <w:sz w:val="20"/>
        </w:rPr>
        <w:t>Line</w:t>
      </w:r>
      <w:r>
        <w:rPr>
          <w:rFonts w:ascii="Arial" w:hAnsi="Arial"/>
          <w:i/>
          <w:spacing w:val="32"/>
          <w:sz w:val="20"/>
        </w:rPr>
        <w:t> </w:t>
      </w:r>
      <w:r>
        <w:rPr>
          <w:rFonts w:ascii="Arial" w:hAnsi="Arial"/>
          <w:i/>
          <w:sz w:val="20"/>
        </w:rPr>
        <w:t>Ltd</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Magic</w:t>
      </w:r>
      <w:r>
        <w:rPr>
          <w:rFonts w:ascii="Arial" w:hAnsi="Arial"/>
          <w:i/>
          <w:spacing w:val="32"/>
          <w:sz w:val="20"/>
        </w:rPr>
        <w:t> </w:t>
      </w:r>
      <w:r>
        <w:rPr>
          <w:rFonts w:ascii="Arial" w:hAnsi="Arial"/>
          <w:i/>
          <w:sz w:val="20"/>
        </w:rPr>
        <w:t>Sportswear</w:t>
      </w:r>
      <w:r>
        <w:rPr>
          <w:rFonts w:ascii="Arial" w:hAnsi="Arial"/>
          <w:i/>
          <w:spacing w:val="32"/>
          <w:sz w:val="20"/>
        </w:rPr>
        <w:t> </w:t>
      </w:r>
      <w:r>
        <w:rPr>
          <w:rFonts w:ascii="Arial" w:hAnsi="Arial"/>
          <w:i/>
          <w:sz w:val="20"/>
        </w:rPr>
        <w:t>Corp</w:t>
      </w:r>
      <w:r>
        <w:rPr>
          <w:rFonts w:ascii="Arial" w:hAnsi="Arial"/>
          <w:i/>
          <w:spacing w:val="32"/>
          <w:sz w:val="20"/>
        </w:rPr>
        <w:t> </w:t>
      </w:r>
      <w:r>
        <w:rPr>
          <w:rFonts w:ascii="Arial" w:hAnsi="Arial"/>
          <w:i/>
          <w:sz w:val="20"/>
        </w:rPr>
        <w:t>[2005]</w:t>
      </w:r>
      <w:r>
        <w:rPr>
          <w:rFonts w:ascii="Arial" w:hAnsi="Arial"/>
          <w:i/>
          <w:spacing w:val="32"/>
          <w:sz w:val="20"/>
        </w:rPr>
        <w:t> </w:t>
      </w:r>
      <w:r>
        <w:rPr>
          <w:rFonts w:ascii="Arial" w:hAnsi="Arial"/>
          <w:i/>
          <w:sz w:val="20"/>
        </w:rPr>
        <w:t>EWCA</w:t>
      </w:r>
      <w:r>
        <w:rPr>
          <w:rFonts w:ascii="Arial" w:hAnsi="Arial"/>
          <w:i/>
          <w:spacing w:val="32"/>
          <w:sz w:val="20"/>
        </w:rPr>
        <w:t> </w:t>
      </w:r>
      <w:r>
        <w:rPr>
          <w:rFonts w:ascii="Arial" w:hAnsi="Arial"/>
          <w:i/>
          <w:sz w:val="20"/>
        </w:rPr>
        <w:t>Civ</w:t>
      </w:r>
      <w:r>
        <w:rPr>
          <w:rFonts w:ascii="Arial" w:hAnsi="Arial"/>
          <w:i/>
          <w:spacing w:val="32"/>
          <w:sz w:val="20"/>
        </w:rPr>
        <w:t> </w:t>
      </w:r>
      <w:r>
        <w:rPr>
          <w:rFonts w:ascii="Arial" w:hAnsi="Arial"/>
          <w:i/>
          <w:sz w:val="20"/>
        </w:rPr>
        <w:t>710,</w:t>
      </w:r>
      <w:r>
        <w:rPr>
          <w:rFonts w:ascii="Arial" w:hAnsi="Arial"/>
          <w:i/>
          <w:spacing w:val="32"/>
          <w:sz w:val="20"/>
        </w:rPr>
        <w:t> </w:t>
      </w:r>
      <w:r>
        <w:rPr>
          <w:rFonts w:ascii="Arial" w:hAnsi="Arial"/>
          <w:i/>
          <w:sz w:val="20"/>
        </w:rPr>
        <w:t>[2005]</w:t>
      </w:r>
      <w:r>
        <w:rPr>
          <w:rFonts w:ascii="Arial" w:hAnsi="Arial"/>
          <w:i/>
          <w:spacing w:val="32"/>
          <w:sz w:val="20"/>
        </w:rPr>
        <w:t> </w:t>
      </w:r>
      <w:r>
        <w:rPr>
          <w:rFonts w:ascii="Arial" w:hAnsi="Arial"/>
          <w:i/>
          <w:sz w:val="20"/>
        </w:rPr>
        <w:t>2</w:t>
      </w:r>
      <w:r>
        <w:rPr>
          <w:rFonts w:ascii="Arial" w:hAnsi="Arial"/>
          <w:i/>
          <w:spacing w:val="32"/>
          <w:sz w:val="20"/>
        </w:rPr>
        <w:t> </w:t>
      </w:r>
      <w:r>
        <w:rPr>
          <w:rFonts w:ascii="Arial" w:hAnsi="Arial"/>
          <w:i/>
          <w:sz w:val="20"/>
        </w:rPr>
        <w:t>Lloyd’s</w:t>
      </w:r>
      <w:r>
        <w:rPr>
          <w:rFonts w:ascii="Arial" w:hAnsi="Arial"/>
          <w:i/>
          <w:spacing w:val="32"/>
          <w:sz w:val="20"/>
        </w:rPr>
        <w:t> </w:t>
      </w:r>
      <w:r>
        <w:rPr>
          <w:rFonts w:ascii="Arial" w:hAnsi="Arial"/>
          <w:i/>
          <w:sz w:val="20"/>
        </w:rPr>
        <w:t>Rep.</w:t>
      </w:r>
      <w:r>
        <w:rPr>
          <w:rFonts w:ascii="Arial" w:hAnsi="Arial"/>
          <w:i/>
          <w:spacing w:val="32"/>
          <w:sz w:val="20"/>
        </w:rPr>
        <w:t> </w:t>
      </w:r>
      <w:r>
        <w:rPr>
          <w:rFonts w:ascii="Arial" w:hAnsi="Arial"/>
          <w:i/>
          <w:sz w:val="20"/>
        </w:rPr>
        <w:t>170</w:t>
      </w:r>
      <w:r>
        <w:rPr>
          <w:sz w:val="20"/>
        </w:rPr>
        <w:t>;</w:t>
      </w:r>
      <w:r>
        <w:rPr>
          <w:spacing w:val="32"/>
          <w:sz w:val="20"/>
        </w:rPr>
        <w:t> </w:t>
      </w:r>
      <w:r>
        <w:rPr>
          <w:rFonts w:ascii="Arial" w:hAnsi="Arial"/>
          <w:i/>
          <w:sz w:val="20"/>
        </w:rPr>
        <w:t>CGU International</w:t>
      </w:r>
      <w:r>
        <w:rPr>
          <w:rFonts w:ascii="Arial" w:hAnsi="Arial"/>
          <w:i/>
          <w:spacing w:val="28"/>
          <w:sz w:val="20"/>
        </w:rPr>
        <w:t> </w:t>
      </w:r>
      <w:r>
        <w:rPr>
          <w:rFonts w:ascii="Arial" w:hAnsi="Arial"/>
          <w:i/>
          <w:sz w:val="20"/>
        </w:rPr>
        <w:t>Insurance</w:t>
      </w:r>
      <w:r>
        <w:rPr>
          <w:rFonts w:ascii="Arial" w:hAnsi="Arial"/>
          <w:i/>
          <w:spacing w:val="28"/>
          <w:sz w:val="20"/>
        </w:rPr>
        <w:t> </w:t>
      </w:r>
      <w:r>
        <w:rPr>
          <w:rFonts w:ascii="Arial" w:hAnsi="Arial"/>
          <w:i/>
          <w:sz w:val="20"/>
        </w:rPr>
        <w:t>Plc</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Astrazeneca</w:t>
      </w:r>
      <w:r>
        <w:rPr>
          <w:rFonts w:ascii="Arial" w:hAnsi="Arial"/>
          <w:i/>
          <w:spacing w:val="28"/>
          <w:sz w:val="20"/>
        </w:rPr>
        <w:t> </w:t>
      </w:r>
      <w:r>
        <w:rPr>
          <w:rFonts w:ascii="Arial" w:hAnsi="Arial"/>
          <w:i/>
          <w:sz w:val="20"/>
        </w:rPr>
        <w:t>Insurance</w:t>
      </w:r>
      <w:r>
        <w:rPr>
          <w:rFonts w:ascii="Arial" w:hAnsi="Arial"/>
          <w:i/>
          <w:spacing w:val="28"/>
          <w:sz w:val="20"/>
        </w:rPr>
        <w:t> </w:t>
      </w:r>
      <w:r>
        <w:rPr>
          <w:rFonts w:ascii="Arial" w:hAnsi="Arial"/>
          <w:i/>
          <w:sz w:val="20"/>
        </w:rPr>
        <w:t>Co</w:t>
      </w:r>
      <w:r>
        <w:rPr>
          <w:rFonts w:ascii="Arial" w:hAnsi="Arial"/>
          <w:i/>
          <w:spacing w:val="28"/>
          <w:sz w:val="20"/>
        </w:rPr>
        <w:t> </w:t>
      </w:r>
      <w:r>
        <w:rPr>
          <w:rFonts w:ascii="Arial" w:hAnsi="Arial"/>
          <w:i/>
          <w:sz w:val="20"/>
        </w:rPr>
        <w:t>[2005]</w:t>
      </w:r>
      <w:r>
        <w:rPr>
          <w:rFonts w:ascii="Arial" w:hAnsi="Arial"/>
          <w:i/>
          <w:spacing w:val="28"/>
          <w:sz w:val="20"/>
        </w:rPr>
        <w:t> </w:t>
      </w:r>
      <w:r>
        <w:rPr>
          <w:rFonts w:ascii="Arial" w:hAnsi="Arial"/>
          <w:i/>
          <w:sz w:val="20"/>
        </w:rPr>
        <w:t>EWHC</w:t>
      </w:r>
      <w:r>
        <w:rPr>
          <w:rFonts w:ascii="Arial" w:hAnsi="Arial"/>
          <w:i/>
          <w:spacing w:val="28"/>
          <w:sz w:val="20"/>
        </w:rPr>
        <w:t> </w:t>
      </w:r>
      <w:r>
        <w:rPr>
          <w:rFonts w:ascii="Arial" w:hAnsi="Arial"/>
          <w:i/>
          <w:sz w:val="20"/>
        </w:rPr>
        <w:t>2755</w:t>
      </w:r>
      <w:r>
        <w:rPr>
          <w:rFonts w:ascii="Arial" w:hAnsi="Arial"/>
          <w:i/>
          <w:spacing w:val="28"/>
          <w:sz w:val="20"/>
        </w:rPr>
        <w:t> </w:t>
      </w:r>
      <w:r>
        <w:rPr>
          <w:rFonts w:ascii="Arial" w:hAnsi="Arial"/>
          <w:i/>
          <w:sz w:val="20"/>
        </w:rPr>
        <w:t>(Comm),</w:t>
      </w:r>
      <w:r>
        <w:rPr>
          <w:rFonts w:ascii="Arial" w:hAnsi="Arial"/>
          <w:i/>
          <w:spacing w:val="28"/>
          <w:sz w:val="20"/>
        </w:rPr>
        <w:t> </w:t>
      </w:r>
      <w:r>
        <w:rPr>
          <w:rFonts w:ascii="Arial" w:hAnsi="Arial"/>
          <w:i/>
          <w:spacing w:val="-2"/>
          <w:sz w:val="20"/>
        </w:rPr>
        <w:t>[2006]</w:t>
      </w:r>
    </w:p>
    <w:p>
      <w:pPr>
        <w:spacing w:line="225" w:lineRule="exact" w:before="0"/>
        <w:ind w:left="705" w:right="0" w:firstLine="0"/>
        <w:jc w:val="left"/>
        <w:rPr>
          <w:sz w:val="20"/>
        </w:rPr>
      </w:pPr>
      <w:r>
        <w:rPr>
          <w:rFonts w:ascii="Arial"/>
          <w:i/>
          <w:sz w:val="20"/>
        </w:rPr>
        <w:t>C.L.C.</w:t>
      </w:r>
      <w:r>
        <w:rPr>
          <w:rFonts w:ascii="Arial"/>
          <w:i/>
          <w:spacing w:val="-2"/>
          <w:sz w:val="20"/>
        </w:rPr>
        <w:t> </w:t>
      </w:r>
      <w:r>
        <w:rPr>
          <w:rFonts w:ascii="Arial"/>
          <w:i/>
          <w:spacing w:val="-4"/>
          <w:sz w:val="20"/>
        </w:rPr>
        <w:t>162</w:t>
      </w:r>
      <w:r>
        <w:rPr>
          <w:spacing w:val="-4"/>
          <w:sz w:val="20"/>
        </w:rPr>
        <w:t>.</w:t>
      </w:r>
    </w:p>
    <w:p>
      <w:pPr>
        <w:pStyle w:val="BodyText"/>
        <w:spacing w:before="4"/>
      </w:pPr>
    </w:p>
    <w:p>
      <w:pPr>
        <w:spacing w:before="1"/>
        <w:ind w:left="165" w:right="0" w:firstLine="0"/>
        <w:jc w:val="left"/>
        <w:rPr>
          <w:sz w:val="20"/>
        </w:rPr>
      </w:pPr>
      <w:bookmarkStart w:name="_bookmark2431" w:id="2433"/>
      <w:bookmarkEnd w:id="2433"/>
      <w:r>
        <w:rPr/>
      </w:r>
      <w:hyperlink w:history="true" w:anchor="_bookmark2323">
        <w:r>
          <w:rPr>
            <w:color w:val="005DA1"/>
            <w:position w:val="5"/>
            <w:sz w:val="14"/>
            <w:u w:val="single" w:color="005DA1"/>
          </w:rPr>
          <w:t>1224</w:t>
        </w:r>
      </w:hyperlink>
      <w:r>
        <w:rPr>
          <w:position w:val="5"/>
          <w:sz w:val="14"/>
        </w:rPr>
        <w:t>.</w:t>
      </w:r>
      <w:r>
        <w:rPr>
          <w:spacing w:val="55"/>
          <w:position w:val="5"/>
          <w:sz w:val="14"/>
        </w:rPr>
        <w:t>  </w:t>
      </w:r>
      <w:r>
        <w:rPr>
          <w:sz w:val="20"/>
        </w:rPr>
        <w:t>Rome</w:t>
      </w:r>
      <w:r>
        <w:rPr>
          <w:spacing w:val="1"/>
          <w:sz w:val="20"/>
        </w:rPr>
        <w:t> </w:t>
      </w:r>
      <w:r>
        <w:rPr>
          <w:sz w:val="20"/>
        </w:rPr>
        <w:t>I </w:t>
      </w:r>
      <w:r>
        <w:rPr>
          <w:spacing w:val="-2"/>
          <w:sz w:val="20"/>
        </w:rPr>
        <w:t>art.12(1)(a).</w:t>
      </w:r>
    </w:p>
    <w:p>
      <w:pPr>
        <w:pStyle w:val="BodyText"/>
        <w:spacing w:before="8"/>
      </w:pPr>
    </w:p>
    <w:p>
      <w:pPr>
        <w:spacing w:line="235" w:lineRule="auto" w:before="0"/>
        <w:ind w:left="705" w:right="168" w:hanging="541"/>
        <w:jc w:val="both"/>
        <w:rPr>
          <w:rFonts w:ascii="Arial" w:hAnsi="Arial"/>
          <w:i/>
          <w:sz w:val="20"/>
        </w:rPr>
      </w:pPr>
      <w:bookmarkStart w:name="_bookmark2432" w:id="2434"/>
      <w:bookmarkEnd w:id="2434"/>
      <w:r>
        <w:rPr/>
      </w:r>
      <w:hyperlink w:history="true" w:anchor="_bookmark2324">
        <w:r>
          <w:rPr>
            <w:color w:val="005DA1"/>
            <w:position w:val="5"/>
            <w:sz w:val="14"/>
            <w:u w:val="single" w:color="005DA1"/>
          </w:rPr>
          <w:t>1225</w:t>
        </w:r>
      </w:hyperlink>
      <w:r>
        <w:rPr>
          <w:position w:val="5"/>
          <w:sz w:val="14"/>
        </w:rPr>
        <w:t>.</w:t>
      </w:r>
      <w:r>
        <w:rPr>
          <w:spacing w:val="40"/>
          <w:position w:val="5"/>
          <w:sz w:val="14"/>
        </w:rPr>
        <w:t> </w:t>
      </w:r>
      <w:r>
        <w:rPr>
          <w:sz w:val="20"/>
        </w:rPr>
        <w:t>cf. </w:t>
      </w:r>
      <w:r>
        <w:rPr>
          <w:rFonts w:ascii="Arial" w:hAnsi="Arial"/>
          <w:i/>
          <w:sz w:val="20"/>
        </w:rPr>
        <w:t>St Pierre v South American Stores Ltd [1937] 3 All E.R. 349</w:t>
      </w:r>
      <w:r>
        <w:rPr>
          <w:sz w:val="20"/>
        </w:rPr>
        <w:t>. See also </w:t>
      </w:r>
      <w:r>
        <w:rPr>
          <w:rFonts w:ascii="Arial" w:hAnsi="Arial"/>
          <w:i/>
          <w:sz w:val="20"/>
        </w:rPr>
        <w:t>Feist v Société Intercommunale Belge d’Electricité [1934] A.C. 161</w:t>
      </w:r>
      <w:r>
        <w:rPr>
          <w:sz w:val="20"/>
        </w:rPr>
        <w:t>; </w:t>
      </w:r>
      <w:r>
        <w:rPr>
          <w:rFonts w:ascii="Arial" w:hAnsi="Arial"/>
          <w:i/>
          <w:sz w:val="20"/>
        </w:rPr>
        <w:t>Treseder-Griffin v Co-operative </w:t>
      </w:r>
      <w:r>
        <w:rPr>
          <w:rFonts w:ascii="Arial" w:hAnsi="Arial"/>
          <w:i/>
          <w:sz w:val="20"/>
        </w:rPr>
        <w:t>Insurance Society</w:t>
      </w:r>
      <w:r>
        <w:rPr>
          <w:rFonts w:ascii="Arial" w:hAnsi="Arial"/>
          <w:i/>
          <w:spacing w:val="51"/>
          <w:sz w:val="20"/>
        </w:rPr>
        <w:t> </w:t>
      </w:r>
      <w:r>
        <w:rPr>
          <w:rFonts w:ascii="Arial" w:hAnsi="Arial"/>
          <w:i/>
          <w:sz w:val="20"/>
        </w:rPr>
        <w:t>Ltd</w:t>
      </w:r>
      <w:r>
        <w:rPr>
          <w:rFonts w:ascii="Arial" w:hAnsi="Arial"/>
          <w:i/>
          <w:spacing w:val="52"/>
          <w:sz w:val="20"/>
        </w:rPr>
        <w:t> </w:t>
      </w:r>
      <w:r>
        <w:rPr>
          <w:rFonts w:ascii="Arial" w:hAnsi="Arial"/>
          <w:i/>
          <w:sz w:val="20"/>
        </w:rPr>
        <w:t>[1956]</w:t>
      </w:r>
      <w:r>
        <w:rPr>
          <w:rFonts w:ascii="Arial" w:hAnsi="Arial"/>
          <w:i/>
          <w:spacing w:val="52"/>
          <w:sz w:val="20"/>
        </w:rPr>
        <w:t> </w:t>
      </w:r>
      <w:r>
        <w:rPr>
          <w:rFonts w:ascii="Arial" w:hAnsi="Arial"/>
          <w:i/>
          <w:sz w:val="20"/>
        </w:rPr>
        <w:t>2</w:t>
      </w:r>
      <w:r>
        <w:rPr>
          <w:rFonts w:ascii="Arial" w:hAnsi="Arial"/>
          <w:i/>
          <w:spacing w:val="52"/>
          <w:sz w:val="20"/>
        </w:rPr>
        <w:t> </w:t>
      </w:r>
      <w:r>
        <w:rPr>
          <w:rFonts w:ascii="Arial" w:hAnsi="Arial"/>
          <w:i/>
          <w:sz w:val="20"/>
        </w:rPr>
        <w:t>Q.B.</w:t>
      </w:r>
      <w:r>
        <w:rPr>
          <w:rFonts w:ascii="Arial" w:hAnsi="Arial"/>
          <w:i/>
          <w:spacing w:val="52"/>
          <w:sz w:val="20"/>
        </w:rPr>
        <w:t> </w:t>
      </w:r>
      <w:r>
        <w:rPr>
          <w:rFonts w:ascii="Arial" w:hAnsi="Arial"/>
          <w:i/>
          <w:sz w:val="20"/>
        </w:rPr>
        <w:t>127</w:t>
      </w:r>
      <w:r>
        <w:rPr>
          <w:sz w:val="20"/>
        </w:rPr>
        <w:t>;</w:t>
      </w:r>
      <w:r>
        <w:rPr>
          <w:spacing w:val="52"/>
          <w:sz w:val="20"/>
        </w:rPr>
        <w:t> </w:t>
      </w:r>
      <w:r>
        <w:rPr>
          <w:rFonts w:ascii="Arial" w:hAnsi="Arial"/>
          <w:i/>
          <w:sz w:val="20"/>
        </w:rPr>
        <w:t>The</w:t>
      </w:r>
      <w:r>
        <w:rPr>
          <w:rFonts w:ascii="Arial" w:hAnsi="Arial"/>
          <w:i/>
          <w:spacing w:val="52"/>
          <w:sz w:val="20"/>
        </w:rPr>
        <w:t> </w:t>
      </w:r>
      <w:r>
        <w:rPr>
          <w:rFonts w:ascii="Arial" w:hAnsi="Arial"/>
          <w:i/>
          <w:sz w:val="20"/>
        </w:rPr>
        <w:t>Rosa</w:t>
      </w:r>
      <w:r>
        <w:rPr>
          <w:rFonts w:ascii="Arial" w:hAnsi="Arial"/>
          <w:i/>
          <w:spacing w:val="51"/>
          <w:sz w:val="20"/>
        </w:rPr>
        <w:t> </w:t>
      </w:r>
      <w:r>
        <w:rPr>
          <w:rFonts w:ascii="Arial" w:hAnsi="Arial"/>
          <w:i/>
          <w:sz w:val="20"/>
        </w:rPr>
        <w:t>S.</w:t>
      </w:r>
      <w:r>
        <w:rPr>
          <w:rFonts w:ascii="Arial" w:hAnsi="Arial"/>
          <w:i/>
          <w:spacing w:val="52"/>
          <w:sz w:val="20"/>
        </w:rPr>
        <w:t> </w:t>
      </w:r>
      <w:r>
        <w:rPr>
          <w:rFonts w:ascii="Arial" w:hAnsi="Arial"/>
          <w:i/>
          <w:sz w:val="20"/>
        </w:rPr>
        <w:t>[1989]</w:t>
      </w:r>
      <w:r>
        <w:rPr>
          <w:rFonts w:ascii="Arial" w:hAnsi="Arial"/>
          <w:i/>
          <w:spacing w:val="52"/>
          <w:sz w:val="20"/>
        </w:rPr>
        <w:t> </w:t>
      </w:r>
      <w:r>
        <w:rPr>
          <w:rFonts w:ascii="Arial" w:hAnsi="Arial"/>
          <w:i/>
          <w:sz w:val="20"/>
        </w:rPr>
        <w:t>Q.B.</w:t>
      </w:r>
      <w:r>
        <w:rPr>
          <w:rFonts w:ascii="Arial" w:hAnsi="Arial"/>
          <w:i/>
          <w:spacing w:val="52"/>
          <w:sz w:val="20"/>
        </w:rPr>
        <w:t> </w:t>
      </w:r>
      <w:r>
        <w:rPr>
          <w:rFonts w:ascii="Arial" w:hAnsi="Arial"/>
          <w:i/>
          <w:sz w:val="20"/>
        </w:rPr>
        <w:t>419</w:t>
      </w:r>
      <w:r>
        <w:rPr>
          <w:sz w:val="20"/>
        </w:rPr>
        <w:t>;</w:t>
      </w:r>
      <w:r>
        <w:rPr>
          <w:spacing w:val="52"/>
          <w:sz w:val="20"/>
        </w:rPr>
        <w:t> </w:t>
      </w:r>
      <w:r>
        <w:rPr>
          <w:rFonts w:ascii="Arial" w:hAnsi="Arial"/>
          <w:i/>
          <w:sz w:val="20"/>
        </w:rPr>
        <w:t>S.S.</w:t>
      </w:r>
      <w:r>
        <w:rPr>
          <w:rFonts w:ascii="Arial" w:hAnsi="Arial"/>
          <w:i/>
          <w:spacing w:val="52"/>
          <w:sz w:val="20"/>
        </w:rPr>
        <w:t> </w:t>
      </w:r>
      <w:r>
        <w:rPr>
          <w:rFonts w:ascii="Arial" w:hAnsi="Arial"/>
          <w:i/>
          <w:sz w:val="20"/>
        </w:rPr>
        <w:t>Pharmaceutical</w:t>
      </w:r>
      <w:r>
        <w:rPr>
          <w:rFonts w:ascii="Arial" w:hAnsi="Arial"/>
          <w:i/>
          <w:spacing w:val="52"/>
          <w:sz w:val="20"/>
        </w:rPr>
        <w:t> </w:t>
      </w:r>
      <w:r>
        <w:rPr>
          <w:rFonts w:ascii="Arial" w:hAnsi="Arial"/>
          <w:i/>
          <w:sz w:val="20"/>
        </w:rPr>
        <w:t>Co</w:t>
      </w:r>
      <w:r>
        <w:rPr>
          <w:rFonts w:ascii="Arial" w:hAnsi="Arial"/>
          <w:i/>
          <w:spacing w:val="52"/>
          <w:sz w:val="20"/>
        </w:rPr>
        <w:t> </w:t>
      </w:r>
      <w:r>
        <w:rPr>
          <w:rFonts w:ascii="Arial" w:hAnsi="Arial"/>
          <w:i/>
          <w:spacing w:val="-10"/>
          <w:sz w:val="20"/>
        </w:rPr>
        <w:t>v</w:t>
      </w:r>
    </w:p>
    <w:p>
      <w:pPr>
        <w:spacing w:line="225" w:lineRule="exact" w:before="0"/>
        <w:ind w:left="705" w:right="0" w:firstLine="0"/>
        <w:jc w:val="both"/>
        <w:rPr>
          <w:sz w:val="20"/>
        </w:rPr>
      </w:pPr>
      <w:r>
        <w:rPr>
          <w:rFonts w:ascii="Arial" w:hAnsi="Arial"/>
          <w:i/>
          <w:sz w:val="20"/>
        </w:rPr>
        <w:t>Quantas</w:t>
      </w:r>
      <w:r>
        <w:rPr>
          <w:rFonts w:ascii="Arial" w:hAnsi="Arial"/>
          <w:i/>
          <w:spacing w:val="-1"/>
          <w:sz w:val="20"/>
        </w:rPr>
        <w:t> </w:t>
      </w:r>
      <w:r>
        <w:rPr>
          <w:rFonts w:ascii="Arial" w:hAnsi="Arial"/>
          <w:i/>
          <w:sz w:val="20"/>
        </w:rPr>
        <w:t>Airways [1991] 1 Lloyd’s Rep. 288</w:t>
      </w:r>
      <w:r>
        <w:rPr>
          <w:sz w:val="20"/>
        </w:rPr>
        <w:t>. See below, paras 30-371 et </w:t>
      </w:r>
      <w:r>
        <w:rPr>
          <w:spacing w:val="-4"/>
          <w:sz w:val="20"/>
        </w:rPr>
        <w:t>seq.</w:t>
      </w:r>
    </w:p>
    <w:p>
      <w:pPr>
        <w:pStyle w:val="BodyText"/>
        <w:spacing w:before="5"/>
      </w:pPr>
    </w:p>
    <w:p>
      <w:pPr>
        <w:spacing w:before="0"/>
        <w:ind w:left="165" w:right="0" w:firstLine="0"/>
        <w:jc w:val="left"/>
        <w:rPr>
          <w:sz w:val="20"/>
        </w:rPr>
      </w:pPr>
      <w:bookmarkStart w:name="_bookmark2433" w:id="2435"/>
      <w:bookmarkEnd w:id="2435"/>
      <w:r>
        <w:rPr/>
      </w:r>
      <w:hyperlink w:history="true" w:anchor="_bookmark2324">
        <w:r>
          <w:rPr>
            <w:color w:val="005DA1"/>
            <w:position w:val="5"/>
            <w:sz w:val="14"/>
            <w:u w:val="single" w:color="005DA1"/>
          </w:rPr>
          <w:t>1226</w:t>
        </w:r>
      </w:hyperlink>
      <w:r>
        <w:rPr>
          <w:position w:val="5"/>
          <w:sz w:val="14"/>
        </w:rPr>
        <w:t>.</w:t>
      </w:r>
      <w:r>
        <w:rPr>
          <w:spacing w:val="55"/>
          <w:position w:val="5"/>
          <w:sz w:val="14"/>
        </w:rPr>
        <w:t>  </w:t>
      </w:r>
      <w:r>
        <w:rPr>
          <w:sz w:val="20"/>
        </w:rPr>
        <w:t>cf.</w:t>
      </w:r>
      <w:r>
        <w:rPr>
          <w:spacing w:val="1"/>
          <w:sz w:val="20"/>
        </w:rPr>
        <w:t> </w:t>
      </w:r>
      <w:r>
        <w:rPr>
          <w:rFonts w:ascii="Arial"/>
          <w:i/>
          <w:sz w:val="20"/>
        </w:rPr>
        <w:t>Bonython v Commonwealth of Australia [1951] A.C. </w:t>
      </w:r>
      <w:r>
        <w:rPr>
          <w:rFonts w:ascii="Arial"/>
          <w:i/>
          <w:spacing w:val="-4"/>
          <w:sz w:val="20"/>
        </w:rPr>
        <w:t>201</w:t>
      </w:r>
      <w:r>
        <w:rPr>
          <w:spacing w:val="-4"/>
          <w:sz w:val="20"/>
        </w:rPr>
        <w:t>.</w:t>
      </w:r>
    </w:p>
    <w:p>
      <w:pPr>
        <w:pStyle w:val="BodyText"/>
        <w:spacing w:before="9"/>
      </w:pPr>
    </w:p>
    <w:p>
      <w:pPr>
        <w:pStyle w:val="BodyText"/>
        <w:spacing w:line="235" w:lineRule="auto"/>
        <w:ind w:left="705" w:right="167" w:hanging="541"/>
        <w:jc w:val="both"/>
      </w:pPr>
      <w:bookmarkStart w:name="_bookmark2434" w:id="2436"/>
      <w:bookmarkEnd w:id="2436"/>
      <w:r>
        <w:rPr/>
      </w:r>
      <w:hyperlink w:history="true" w:anchor="_bookmark2324">
        <w:r>
          <w:rPr>
            <w:color w:val="005DA1"/>
            <w:position w:val="5"/>
            <w:sz w:val="14"/>
            <w:u w:val="single" w:color="005DA1"/>
          </w:rPr>
          <w:t>1227</w:t>
        </w:r>
      </w:hyperlink>
      <w:r>
        <w:rPr>
          <w:position w:val="5"/>
          <w:sz w:val="14"/>
        </w:rPr>
        <w:t>.</w:t>
      </w:r>
      <w:r>
        <w:rPr>
          <w:spacing w:val="80"/>
          <w:position w:val="5"/>
          <w:sz w:val="14"/>
        </w:rPr>
        <w:t> </w:t>
      </w:r>
      <w:r>
        <w:rPr/>
        <w:t>cf. </w:t>
      </w:r>
      <w:r>
        <w:rPr>
          <w:rFonts w:ascii="Arial" w:hAnsi="Arial"/>
          <w:i/>
        </w:rPr>
        <w:t>W.J. Alan &amp; Co Ltd v El Nasr Export and Import Co [1972] Q.B. 189</w:t>
      </w:r>
      <w:r>
        <w:rPr/>
        <w:t>. If, however, there is </w:t>
      </w:r>
      <w:r>
        <w:rPr/>
        <w:t>no doubt as to the identity of the currency referred to, then it is for the law of the country whose currency is mentioned to determine what is legal tender in that currency: this seems to rest on an “implied” choice of law (art.3(1) of the Rome Convention, above, para.30-050 and below, paras 30-371 et seq.) which implied choice may be limited to this question alone (i.e. the issue is</w:t>
      </w:r>
      <w:r>
        <w:rPr>
          <w:spacing w:val="-2"/>
        </w:rPr>
        <w:t> </w:t>
      </w:r>
      <w:r>
        <w:rPr/>
        <w:t>“severed”,</w:t>
      </w:r>
      <w:r>
        <w:rPr>
          <w:spacing w:val="-2"/>
        </w:rPr>
        <w:t> </w:t>
      </w:r>
      <w:r>
        <w:rPr/>
        <w:t>see</w:t>
      </w:r>
      <w:r>
        <w:rPr>
          <w:spacing w:val="-2"/>
        </w:rPr>
        <w:t> </w:t>
      </w:r>
      <w:r>
        <w:rPr/>
        <w:t>above,</w:t>
      </w:r>
      <w:r>
        <w:rPr>
          <w:spacing w:val="-2"/>
        </w:rPr>
        <w:t> </w:t>
      </w:r>
      <w:r>
        <w:rPr/>
        <w:t>paras</w:t>
      </w:r>
      <w:r>
        <w:rPr>
          <w:spacing w:val="-2"/>
        </w:rPr>
        <w:t> </w:t>
      </w:r>
      <w:r>
        <w:rPr/>
        <w:t>30-055</w:t>
      </w:r>
      <w:r>
        <w:rPr>
          <w:spacing w:val="-2"/>
        </w:rPr>
        <w:t> </w:t>
      </w:r>
      <w:r>
        <w:rPr/>
        <w:t>et</w:t>
      </w:r>
      <w:r>
        <w:rPr>
          <w:spacing w:val="-2"/>
        </w:rPr>
        <w:t> </w:t>
      </w:r>
      <w:r>
        <w:rPr/>
        <w:t>seq.</w:t>
      </w:r>
      <w:r>
        <w:rPr>
          <w:spacing w:val="-2"/>
        </w:rPr>
        <w:t> </w:t>
      </w:r>
      <w:r>
        <w:rPr/>
        <w:t>and</w:t>
      </w:r>
      <w:r>
        <w:rPr>
          <w:spacing w:val="-2"/>
        </w:rPr>
        <w:t> </w:t>
      </w:r>
      <w:r>
        <w:rPr/>
        <w:t>below,</w:t>
      </w:r>
      <w:r>
        <w:rPr>
          <w:spacing w:val="-2"/>
        </w:rPr>
        <w:t> </w:t>
      </w:r>
      <w:r>
        <w:rPr/>
        <w:t>para.30-374)</w:t>
      </w:r>
      <w:r>
        <w:rPr>
          <w:spacing w:val="-2"/>
        </w:rPr>
        <w:t> </w:t>
      </w:r>
      <w:r>
        <w:rPr/>
        <w:t>and</w:t>
      </w:r>
      <w:r>
        <w:rPr>
          <w:spacing w:val="-2"/>
        </w:rPr>
        <w:t> </w:t>
      </w:r>
      <w:r>
        <w:rPr/>
        <w:t>submitted</w:t>
      </w:r>
      <w:r>
        <w:rPr>
          <w:spacing w:val="-2"/>
        </w:rPr>
        <w:t> </w:t>
      </w:r>
      <w:r>
        <w:rPr/>
        <w:t>to</w:t>
      </w:r>
      <w:r>
        <w:rPr>
          <w:spacing w:val="-2"/>
        </w:rPr>
        <w:t> </w:t>
      </w:r>
      <w:r>
        <w:rPr/>
        <w:t>its</w:t>
      </w:r>
      <w:r>
        <w:rPr>
          <w:spacing w:val="-2"/>
        </w:rPr>
        <w:t> </w:t>
      </w:r>
      <w:r>
        <w:rPr/>
        <w:t>own governing law under art.3(1) of the Convention or the Regulation, as the case may be.) cf. </w:t>
      </w:r>
      <w:r>
        <w:rPr>
          <w:rFonts w:ascii="Arial" w:hAnsi="Arial"/>
          <w:i/>
        </w:rPr>
        <w:t>Pyrmont v Schott [1939] A.C. 145</w:t>
      </w:r>
      <w:r>
        <w:rPr/>
        <w:t>. See Dicey, Morris and Collins, 15th edn (2012),</w:t>
      </w:r>
      <w:r>
        <w:rPr>
          <w:spacing w:val="40"/>
        </w:rPr>
        <w:t> </w:t>
      </w:r>
      <w:r>
        <w:rPr/>
        <w:t>para.37–010. As to currency questions, see further, below, paras 30-371 et seq.</w:t>
      </w:r>
    </w:p>
    <w:p>
      <w:pPr>
        <w:pStyle w:val="BodyText"/>
        <w:spacing w:before="7"/>
      </w:pPr>
    </w:p>
    <w:p>
      <w:pPr>
        <w:spacing w:line="235" w:lineRule="auto" w:before="0"/>
        <w:ind w:left="705" w:right="0" w:hanging="541"/>
        <w:jc w:val="left"/>
        <w:rPr>
          <w:rFonts w:ascii="Arial"/>
          <w:i/>
          <w:sz w:val="20"/>
        </w:rPr>
      </w:pPr>
      <w:bookmarkStart w:name="_bookmark2435" w:id="2437"/>
      <w:bookmarkEnd w:id="2437"/>
      <w:r>
        <w:rPr/>
      </w:r>
      <w:hyperlink w:history="true" w:anchor="_bookmark2325">
        <w:r>
          <w:rPr>
            <w:color w:val="005DA1"/>
            <w:position w:val="5"/>
            <w:sz w:val="14"/>
            <w:u w:val="single" w:color="005DA1"/>
          </w:rPr>
          <w:t>1228</w:t>
        </w:r>
      </w:hyperlink>
      <w:r>
        <w:rPr>
          <w:position w:val="5"/>
          <w:sz w:val="14"/>
        </w:rPr>
        <w:t>.</w:t>
      </w:r>
      <w:r>
        <w:rPr>
          <w:spacing w:val="80"/>
          <w:w w:val="150"/>
          <w:position w:val="5"/>
          <w:sz w:val="14"/>
        </w:rPr>
        <w:t> </w:t>
      </w:r>
      <w:r>
        <w:rPr>
          <w:rFonts w:ascii="Arial"/>
          <w:i/>
          <w:sz w:val="20"/>
        </w:rPr>
        <w:t>Import Export Metro Ltd v Compania Sud Americana de Vapores SA [2003] EWHC 11 (Comm), [2003]</w:t>
      </w:r>
      <w:r>
        <w:rPr>
          <w:rFonts w:ascii="Arial"/>
          <w:i/>
          <w:spacing w:val="6"/>
          <w:sz w:val="20"/>
        </w:rPr>
        <w:t> </w:t>
      </w:r>
      <w:r>
        <w:rPr>
          <w:rFonts w:ascii="Arial"/>
          <w:i/>
          <w:sz w:val="20"/>
        </w:rPr>
        <w:t>1</w:t>
      </w:r>
      <w:r>
        <w:rPr>
          <w:rFonts w:ascii="Arial"/>
          <w:i/>
          <w:spacing w:val="9"/>
          <w:sz w:val="20"/>
        </w:rPr>
        <w:t> </w:t>
      </w:r>
      <w:r>
        <w:rPr>
          <w:rFonts w:ascii="Arial"/>
          <w:i/>
          <w:sz w:val="20"/>
        </w:rPr>
        <w:t>All</w:t>
      </w:r>
      <w:r>
        <w:rPr>
          <w:rFonts w:ascii="Arial"/>
          <w:i/>
          <w:spacing w:val="9"/>
          <w:sz w:val="20"/>
        </w:rPr>
        <w:t> </w:t>
      </w:r>
      <w:r>
        <w:rPr>
          <w:rFonts w:ascii="Arial"/>
          <w:i/>
          <w:sz w:val="20"/>
        </w:rPr>
        <w:t>E.R.</w:t>
      </w:r>
      <w:r>
        <w:rPr>
          <w:rFonts w:ascii="Arial"/>
          <w:i/>
          <w:spacing w:val="9"/>
          <w:sz w:val="20"/>
        </w:rPr>
        <w:t> </w:t>
      </w:r>
      <w:r>
        <w:rPr>
          <w:rFonts w:ascii="Arial"/>
          <w:i/>
          <w:sz w:val="20"/>
        </w:rPr>
        <w:t>(Comm)</w:t>
      </w:r>
      <w:r>
        <w:rPr>
          <w:rFonts w:ascii="Arial"/>
          <w:i/>
          <w:spacing w:val="9"/>
          <w:sz w:val="20"/>
        </w:rPr>
        <w:t> </w:t>
      </w:r>
      <w:r>
        <w:rPr>
          <w:rFonts w:ascii="Arial"/>
          <w:i/>
          <w:sz w:val="20"/>
        </w:rPr>
        <w:t>703</w:t>
      </w:r>
      <w:r>
        <w:rPr>
          <w:sz w:val="20"/>
        </w:rPr>
        <w:t>;</w:t>
      </w:r>
      <w:r>
        <w:rPr>
          <w:spacing w:val="9"/>
          <w:sz w:val="20"/>
        </w:rPr>
        <w:t> </w:t>
      </w:r>
      <w:r>
        <w:rPr>
          <w:rFonts w:ascii="Arial"/>
          <w:i/>
          <w:sz w:val="20"/>
        </w:rPr>
        <w:t>East</w:t>
      </w:r>
      <w:r>
        <w:rPr>
          <w:rFonts w:ascii="Arial"/>
          <w:i/>
          <w:spacing w:val="9"/>
          <w:sz w:val="20"/>
        </w:rPr>
        <w:t> </w:t>
      </w:r>
      <w:r>
        <w:rPr>
          <w:rFonts w:ascii="Arial"/>
          <w:i/>
          <w:sz w:val="20"/>
        </w:rPr>
        <w:t>West</w:t>
      </w:r>
      <w:r>
        <w:rPr>
          <w:rFonts w:ascii="Arial"/>
          <w:i/>
          <w:spacing w:val="9"/>
          <w:sz w:val="20"/>
        </w:rPr>
        <w:t> </w:t>
      </w:r>
      <w:r>
        <w:rPr>
          <w:rFonts w:ascii="Arial"/>
          <w:i/>
          <w:sz w:val="20"/>
        </w:rPr>
        <w:t>Corp</w:t>
      </w:r>
      <w:r>
        <w:rPr>
          <w:rFonts w:ascii="Arial"/>
          <w:i/>
          <w:spacing w:val="9"/>
          <w:sz w:val="20"/>
        </w:rPr>
        <w:t> </w:t>
      </w:r>
      <w:r>
        <w:rPr>
          <w:rFonts w:ascii="Arial"/>
          <w:i/>
          <w:sz w:val="20"/>
        </w:rPr>
        <w:t>v</w:t>
      </w:r>
      <w:r>
        <w:rPr>
          <w:rFonts w:ascii="Arial"/>
          <w:i/>
          <w:spacing w:val="9"/>
          <w:sz w:val="20"/>
        </w:rPr>
        <w:t> </w:t>
      </w:r>
      <w:r>
        <w:rPr>
          <w:rFonts w:ascii="Arial"/>
          <w:i/>
          <w:sz w:val="20"/>
        </w:rPr>
        <w:t>DKBS</w:t>
      </w:r>
      <w:r>
        <w:rPr>
          <w:rFonts w:ascii="Arial"/>
          <w:i/>
          <w:spacing w:val="9"/>
          <w:sz w:val="20"/>
        </w:rPr>
        <w:t> </w:t>
      </w:r>
      <w:r>
        <w:rPr>
          <w:rFonts w:ascii="Arial"/>
          <w:i/>
          <w:sz w:val="20"/>
        </w:rPr>
        <w:t>1912</w:t>
      </w:r>
      <w:r>
        <w:rPr>
          <w:rFonts w:ascii="Arial"/>
          <w:i/>
          <w:spacing w:val="9"/>
          <w:sz w:val="20"/>
        </w:rPr>
        <w:t> </w:t>
      </w:r>
      <w:r>
        <w:rPr>
          <w:rFonts w:ascii="Arial"/>
          <w:i/>
          <w:sz w:val="20"/>
        </w:rPr>
        <w:t>A/S</w:t>
      </w:r>
      <w:r>
        <w:rPr>
          <w:rFonts w:ascii="Arial"/>
          <w:i/>
          <w:spacing w:val="9"/>
          <w:sz w:val="20"/>
        </w:rPr>
        <w:t> </w:t>
      </w:r>
      <w:r>
        <w:rPr>
          <w:rFonts w:ascii="Arial"/>
          <w:i/>
          <w:sz w:val="20"/>
        </w:rPr>
        <w:t>[2003]</w:t>
      </w:r>
      <w:r>
        <w:rPr>
          <w:rFonts w:ascii="Arial"/>
          <w:i/>
          <w:spacing w:val="9"/>
          <w:sz w:val="20"/>
        </w:rPr>
        <w:t> </w:t>
      </w:r>
      <w:r>
        <w:rPr>
          <w:rFonts w:ascii="Arial"/>
          <w:i/>
          <w:sz w:val="20"/>
        </w:rPr>
        <w:t>EWCA</w:t>
      </w:r>
      <w:r>
        <w:rPr>
          <w:rFonts w:ascii="Arial"/>
          <w:i/>
          <w:spacing w:val="9"/>
          <w:sz w:val="20"/>
        </w:rPr>
        <w:t> </w:t>
      </w:r>
      <w:r>
        <w:rPr>
          <w:rFonts w:ascii="Arial"/>
          <w:i/>
          <w:sz w:val="20"/>
        </w:rPr>
        <w:t>Civ</w:t>
      </w:r>
      <w:r>
        <w:rPr>
          <w:rFonts w:ascii="Arial"/>
          <w:i/>
          <w:spacing w:val="9"/>
          <w:sz w:val="20"/>
        </w:rPr>
        <w:t> </w:t>
      </w:r>
      <w:r>
        <w:rPr>
          <w:rFonts w:ascii="Arial"/>
          <w:i/>
          <w:sz w:val="20"/>
        </w:rPr>
        <w:t>83,</w:t>
      </w:r>
      <w:r>
        <w:rPr>
          <w:rFonts w:ascii="Arial"/>
          <w:i/>
          <w:spacing w:val="9"/>
          <w:sz w:val="20"/>
        </w:rPr>
        <w:t> </w:t>
      </w:r>
      <w:r>
        <w:rPr>
          <w:rFonts w:ascii="Arial"/>
          <w:i/>
          <w:spacing w:val="-2"/>
          <w:sz w:val="20"/>
        </w:rPr>
        <w:t>[2003]</w:t>
      </w:r>
    </w:p>
    <w:p>
      <w:pPr>
        <w:pStyle w:val="BodyText"/>
        <w:spacing w:line="235" w:lineRule="auto"/>
        <w:ind w:left="705" w:right="168"/>
      </w:pPr>
      <w:r>
        <w:rPr>
          <w:rFonts w:ascii="Arial"/>
          <w:i/>
        </w:rPr>
        <w:t>Q.B. 1509</w:t>
      </w:r>
      <w:r>
        <w:rPr/>
        <w:t>. As to illegality by the law of the place of performance, see below, paras 30-357 et</w:t>
      </w:r>
      <w:r>
        <w:rPr>
          <w:spacing w:val="40"/>
        </w:rPr>
        <w:t> </w:t>
      </w:r>
      <w:r>
        <w:rPr>
          <w:spacing w:val="-4"/>
        </w:rPr>
        <w:t>seq.</w:t>
      </w:r>
    </w:p>
    <w:p>
      <w:pPr>
        <w:pStyle w:val="BodyText"/>
        <w:spacing w:before="8"/>
      </w:pPr>
    </w:p>
    <w:p>
      <w:pPr>
        <w:spacing w:line="235" w:lineRule="auto" w:before="0"/>
        <w:ind w:left="705" w:right="168" w:hanging="541"/>
        <w:jc w:val="both"/>
        <w:rPr>
          <w:sz w:val="20"/>
        </w:rPr>
      </w:pPr>
      <w:bookmarkStart w:name="_bookmark2436" w:id="2438"/>
      <w:bookmarkEnd w:id="2438"/>
      <w:r>
        <w:rPr/>
      </w:r>
      <w:hyperlink w:history="true" w:anchor="_bookmark2326">
        <w:r>
          <w:rPr>
            <w:color w:val="005DA1"/>
            <w:position w:val="5"/>
            <w:sz w:val="14"/>
            <w:u w:val="single" w:color="005DA1"/>
          </w:rPr>
          <w:t>1229</w:t>
        </w:r>
      </w:hyperlink>
      <w:r>
        <w:rPr>
          <w:position w:val="5"/>
          <w:sz w:val="14"/>
        </w:rPr>
        <w:t>.</w:t>
      </w:r>
      <w:r>
        <w:rPr>
          <w:spacing w:val="80"/>
          <w:position w:val="5"/>
          <w:sz w:val="14"/>
        </w:rPr>
        <w:t> </w:t>
      </w:r>
      <w:r>
        <w:rPr>
          <w:rFonts w:ascii="Arial" w:hAnsi="Arial"/>
          <w:i/>
          <w:sz w:val="20"/>
        </w:rPr>
        <w:t>East West Corp v DKBS 1912 A/S [2003] EWCA Civ 83, [2003] Q.B. 1509</w:t>
      </w:r>
      <w:r>
        <w:rPr>
          <w:sz w:val="20"/>
        </w:rPr>
        <w:t>. This distinction </w:t>
      </w:r>
      <w:r>
        <w:rPr>
          <w:sz w:val="20"/>
        </w:rPr>
        <w:t>was recognised in the common law. See </w:t>
      </w:r>
      <w:r>
        <w:rPr>
          <w:rFonts w:ascii="Arial" w:hAnsi="Arial"/>
          <w:i/>
          <w:sz w:val="20"/>
        </w:rPr>
        <w:t>Jacobs v Crédit Lyonnais (1884) 12 Q.B.D. 589</w:t>
      </w:r>
      <w:r>
        <w:rPr>
          <w:sz w:val="20"/>
        </w:rPr>
        <w:t>; </w:t>
      </w:r>
      <w:r>
        <w:rPr>
          <w:rFonts w:ascii="Arial" w:hAnsi="Arial"/>
          <w:i/>
          <w:sz w:val="20"/>
        </w:rPr>
        <w:t>Mount Albert BC v Australian Temperance &amp; General Mutual Life Assurance Society [1938] A.C. 224</w:t>
      </w:r>
      <w:r>
        <w:rPr>
          <w:sz w:val="20"/>
        </w:rPr>
        <w:t>; </w:t>
      </w:r>
      <w:r>
        <w:rPr>
          <w:rFonts w:ascii="Arial" w:hAnsi="Arial"/>
          <w:i/>
          <w:sz w:val="20"/>
        </w:rPr>
        <w:t>Bonython v Commonwealth of Australia [1951] A.C. 201</w:t>
      </w:r>
      <w:r>
        <w:rPr>
          <w:sz w:val="20"/>
        </w:rPr>
        <w:t>. See the 26th edition of this work, </w:t>
      </w:r>
      <w:r>
        <w:rPr>
          <w:spacing w:val="-2"/>
          <w:sz w:val="20"/>
        </w:rPr>
        <w:t>para.2184.</w:t>
      </w:r>
    </w:p>
    <w:p>
      <w:pPr>
        <w:pStyle w:val="BodyText"/>
        <w:spacing w:before="8"/>
      </w:pPr>
    </w:p>
    <w:p>
      <w:pPr>
        <w:spacing w:line="235" w:lineRule="auto" w:before="0"/>
        <w:ind w:left="705" w:right="0" w:hanging="541"/>
        <w:jc w:val="left"/>
        <w:rPr>
          <w:sz w:val="20"/>
        </w:rPr>
      </w:pPr>
      <w:bookmarkStart w:name="_bookmark2437" w:id="2439"/>
      <w:bookmarkEnd w:id="2439"/>
      <w:r>
        <w:rPr/>
      </w:r>
      <w:hyperlink w:history="true" w:anchor="_bookmark2327">
        <w:r>
          <w:rPr>
            <w:color w:val="005DA1"/>
            <w:position w:val="5"/>
            <w:sz w:val="14"/>
            <w:u w:val="single" w:color="005DA1"/>
          </w:rPr>
          <w:t>1230</w:t>
        </w:r>
      </w:hyperlink>
      <w:r>
        <w:rPr>
          <w:position w:val="5"/>
          <w:sz w:val="14"/>
        </w:rPr>
        <w:t>.</w:t>
      </w:r>
      <w:r>
        <w:rPr>
          <w:spacing w:val="80"/>
          <w:w w:val="150"/>
          <w:position w:val="5"/>
          <w:sz w:val="14"/>
        </w:rPr>
        <w:t> </w:t>
      </w:r>
      <w:r>
        <w:rPr>
          <w:rFonts w:ascii="Arial"/>
          <w:i/>
          <w:sz w:val="20"/>
        </w:rPr>
        <w:t>Import Export Metro Ltd v Compania Sud Americana de Vapores SA [2003] EWHC 11 (Comm)</w:t>
      </w:r>
      <w:r>
        <w:rPr>
          <w:sz w:val="20"/>
        </w:rPr>
        <w:t>; </w:t>
      </w:r>
      <w:r>
        <w:rPr>
          <w:rFonts w:ascii="Arial"/>
          <w:i/>
          <w:sz w:val="20"/>
        </w:rPr>
        <w:t>East West Corp v DKBS 1912 A/S [2003] EWCA Civ 83</w:t>
      </w:r>
      <w:r>
        <w:rPr>
          <w:sz w:val="20"/>
        </w:rPr>
        <w:t>.</w:t>
      </w:r>
    </w:p>
    <w:p>
      <w:pPr>
        <w:pStyle w:val="BodyText"/>
        <w:spacing w:before="6"/>
      </w:pPr>
    </w:p>
    <w:p>
      <w:pPr>
        <w:spacing w:before="0"/>
        <w:ind w:left="165" w:right="0" w:firstLine="0"/>
        <w:jc w:val="left"/>
        <w:rPr>
          <w:sz w:val="20"/>
        </w:rPr>
      </w:pPr>
      <w:bookmarkStart w:name="_bookmark2438" w:id="2440"/>
      <w:bookmarkEnd w:id="2440"/>
      <w:r>
        <w:rPr/>
      </w:r>
      <w:hyperlink w:history="true" w:anchor="_bookmark2328">
        <w:r>
          <w:rPr>
            <w:color w:val="005DA1"/>
            <w:position w:val="5"/>
            <w:sz w:val="14"/>
            <w:u w:val="single" w:color="005DA1"/>
          </w:rPr>
          <w:t>1231</w:t>
        </w:r>
      </w:hyperlink>
      <w:r>
        <w:rPr>
          <w:position w:val="5"/>
          <w:sz w:val="14"/>
        </w:rPr>
        <w:t>.</w:t>
      </w:r>
      <w:r>
        <w:rPr>
          <w:spacing w:val="55"/>
          <w:position w:val="5"/>
          <w:sz w:val="14"/>
        </w:rPr>
        <w:t>  </w:t>
      </w:r>
      <w:r>
        <w:rPr>
          <w:rFonts w:ascii="Arial"/>
          <w:i/>
          <w:sz w:val="20"/>
        </w:rPr>
        <w:t>East</w:t>
      </w:r>
      <w:r>
        <w:rPr>
          <w:rFonts w:ascii="Arial"/>
          <w:i/>
          <w:spacing w:val="1"/>
          <w:sz w:val="20"/>
        </w:rPr>
        <w:t> </w:t>
      </w:r>
      <w:r>
        <w:rPr>
          <w:rFonts w:ascii="Arial"/>
          <w:i/>
          <w:sz w:val="20"/>
        </w:rPr>
        <w:t>West Corp v DKBS 1912 A/S [2003] EWCA Civ 83, [2003] Q.B. </w:t>
      </w:r>
      <w:r>
        <w:rPr>
          <w:rFonts w:ascii="Arial"/>
          <w:i/>
          <w:spacing w:val="-2"/>
          <w:sz w:val="20"/>
        </w:rPr>
        <w:t>1509</w:t>
      </w:r>
      <w:r>
        <w:rPr>
          <w:spacing w:val="-2"/>
          <w:sz w:val="20"/>
        </w:rPr>
        <w:t>.</w:t>
      </w:r>
    </w:p>
    <w:p>
      <w:pPr>
        <w:pStyle w:val="BodyText"/>
        <w:spacing w:before="5"/>
      </w:pPr>
    </w:p>
    <w:p>
      <w:pPr>
        <w:spacing w:before="0"/>
        <w:ind w:left="165" w:right="0" w:firstLine="0"/>
        <w:jc w:val="left"/>
        <w:rPr>
          <w:sz w:val="20"/>
        </w:rPr>
      </w:pPr>
      <w:bookmarkStart w:name="_bookmark2439" w:id="2441"/>
      <w:bookmarkEnd w:id="2441"/>
      <w:r>
        <w:rPr/>
      </w:r>
      <w:hyperlink w:history="true" w:anchor="_bookmark2329">
        <w:r>
          <w:rPr>
            <w:color w:val="005DA1"/>
            <w:position w:val="5"/>
            <w:sz w:val="14"/>
            <w:u w:val="single" w:color="005DA1"/>
          </w:rPr>
          <w:t>1232</w:t>
        </w:r>
      </w:hyperlink>
      <w:r>
        <w:rPr>
          <w:position w:val="5"/>
          <w:sz w:val="14"/>
        </w:rPr>
        <w:t>.</w:t>
      </w:r>
      <w:r>
        <w:rPr>
          <w:spacing w:val="55"/>
          <w:position w:val="5"/>
          <w:sz w:val="14"/>
        </w:rPr>
        <w:t>  </w:t>
      </w:r>
      <w:r>
        <w:rPr>
          <w:rFonts w:ascii="Arial"/>
          <w:i/>
          <w:sz w:val="20"/>
        </w:rPr>
        <w:t>East</w:t>
      </w:r>
      <w:r>
        <w:rPr>
          <w:rFonts w:ascii="Arial"/>
          <w:i/>
          <w:spacing w:val="1"/>
          <w:sz w:val="20"/>
        </w:rPr>
        <w:t> </w:t>
      </w:r>
      <w:r>
        <w:rPr>
          <w:rFonts w:ascii="Arial"/>
          <w:i/>
          <w:sz w:val="20"/>
        </w:rPr>
        <w:t>West Corp v DKBS 1912 A/S [2003] EWCA Civ 83, [2003] Q.B. </w:t>
      </w:r>
      <w:r>
        <w:rPr>
          <w:rFonts w:ascii="Arial"/>
          <w:i/>
          <w:spacing w:val="-2"/>
          <w:sz w:val="20"/>
        </w:rPr>
        <w:t>1509</w:t>
      </w:r>
      <w:r>
        <w:rPr>
          <w:spacing w:val="-2"/>
          <w:sz w:val="20"/>
        </w:rPr>
        <w:t>.</w:t>
      </w:r>
    </w:p>
    <w:p>
      <w:pPr>
        <w:pStyle w:val="BodyText"/>
        <w:spacing w:before="5"/>
      </w:pPr>
    </w:p>
    <w:p>
      <w:pPr>
        <w:pStyle w:val="BodyText"/>
        <w:ind w:left="165"/>
      </w:pPr>
      <w:bookmarkStart w:name="_bookmark2440" w:id="2442"/>
      <w:bookmarkEnd w:id="2442"/>
      <w:r>
        <w:rPr/>
      </w:r>
      <w:hyperlink w:history="true" w:anchor="_bookmark2330">
        <w:r>
          <w:rPr>
            <w:color w:val="005DA1"/>
            <w:position w:val="5"/>
            <w:sz w:val="14"/>
            <w:u w:val="single" w:color="005DA1"/>
          </w:rPr>
          <w:t>1233</w:t>
        </w:r>
      </w:hyperlink>
      <w:r>
        <w:rPr>
          <w:position w:val="5"/>
          <w:sz w:val="14"/>
        </w:rPr>
        <w:t>.</w:t>
      </w:r>
      <w:r>
        <w:rPr>
          <w:spacing w:val="55"/>
          <w:position w:val="5"/>
          <w:sz w:val="14"/>
        </w:rPr>
        <w:t>  </w:t>
      </w:r>
      <w:r>
        <w:rPr/>
        <w:t>Giuliano-Lagarde</w:t>
      </w:r>
      <w:r>
        <w:rPr>
          <w:spacing w:val="1"/>
        </w:rPr>
        <w:t> </w:t>
      </w:r>
      <w:r>
        <w:rPr/>
        <w:t>Report, </w:t>
      </w:r>
      <w:r>
        <w:rPr>
          <w:spacing w:val="-2"/>
        </w:rPr>
        <w:t>p.32.</w:t>
      </w:r>
    </w:p>
    <w:p>
      <w:pPr>
        <w:pStyle w:val="BodyText"/>
        <w:spacing w:before="5"/>
      </w:pPr>
    </w:p>
    <w:p>
      <w:pPr>
        <w:pStyle w:val="BodyText"/>
        <w:ind w:left="165"/>
      </w:pPr>
      <w:bookmarkStart w:name="_bookmark2441" w:id="2443"/>
      <w:bookmarkEnd w:id="2443"/>
      <w:r>
        <w:rPr/>
      </w:r>
      <w:hyperlink w:history="true" w:anchor="_bookmark2331">
        <w:r>
          <w:rPr>
            <w:color w:val="005DA1"/>
            <w:position w:val="5"/>
            <w:sz w:val="14"/>
            <w:u w:val="single" w:color="005DA1"/>
          </w:rPr>
          <w:t>1234</w:t>
        </w:r>
      </w:hyperlink>
      <w:r>
        <w:rPr>
          <w:position w:val="5"/>
          <w:sz w:val="14"/>
        </w:rPr>
        <w:t>.</w:t>
      </w:r>
      <w:r>
        <w:rPr>
          <w:spacing w:val="55"/>
          <w:position w:val="5"/>
          <w:sz w:val="14"/>
        </w:rPr>
        <w:t>  </w:t>
      </w:r>
      <w:r>
        <w:rPr/>
        <w:t>Giuliano-Lagarde</w:t>
      </w:r>
      <w:r>
        <w:rPr>
          <w:spacing w:val="1"/>
        </w:rPr>
        <w:t> </w:t>
      </w:r>
      <w:r>
        <w:rPr/>
        <w:t>Report, </w:t>
      </w:r>
      <w:r>
        <w:rPr>
          <w:spacing w:val="-2"/>
        </w:rPr>
        <w:t>pp.32–33.</w:t>
      </w:r>
    </w:p>
    <w:p>
      <w:pPr>
        <w:pStyle w:val="BodyText"/>
        <w:spacing w:after="0"/>
        <w:sectPr>
          <w:pgSz w:w="11900" w:h="16840"/>
          <w:pgMar w:header="971" w:footer="0" w:top="1300" w:bottom="280" w:left="1275" w:right="1275"/>
        </w:sectPr>
      </w:pPr>
    </w:p>
    <w:p>
      <w:pPr>
        <w:pStyle w:val="BodyText"/>
        <w:spacing w:before="166"/>
        <w:ind w:left="165"/>
      </w:pPr>
      <w:hyperlink w:history="true" w:anchor="_bookmark2332">
        <w:r>
          <w:rPr>
            <w:color w:val="005DA1"/>
            <w:position w:val="5"/>
            <w:sz w:val="14"/>
            <w:u w:val="single" w:color="005DA1"/>
          </w:rPr>
          <w:t>1235</w:t>
        </w:r>
      </w:hyperlink>
      <w:r>
        <w:rPr>
          <w:position w:val="5"/>
          <w:sz w:val="14"/>
        </w:rPr>
        <w:t>.</w:t>
      </w:r>
      <w:r>
        <w:rPr>
          <w:spacing w:val="55"/>
          <w:position w:val="5"/>
          <w:sz w:val="14"/>
        </w:rPr>
        <w:t>  </w:t>
      </w:r>
      <w:r>
        <w:rPr/>
        <w:t>Giuliano-Lagarde</w:t>
      </w:r>
      <w:r>
        <w:rPr>
          <w:spacing w:val="1"/>
        </w:rPr>
        <w:t> </w:t>
      </w:r>
      <w:r>
        <w:rPr/>
        <w:t>Report, </w:t>
      </w:r>
      <w:r>
        <w:rPr>
          <w:spacing w:val="-2"/>
        </w:rPr>
        <w:t>p.33.</w:t>
      </w:r>
    </w:p>
    <w:p>
      <w:pPr>
        <w:pStyle w:val="BodyText"/>
        <w:spacing w:before="5"/>
      </w:pPr>
    </w:p>
    <w:p>
      <w:pPr>
        <w:pStyle w:val="BodyText"/>
        <w:spacing w:before="1"/>
        <w:ind w:left="165"/>
      </w:pPr>
      <w:bookmarkStart w:name="_bookmark2442" w:id="2444"/>
      <w:bookmarkEnd w:id="2444"/>
      <w:r>
        <w:rPr/>
      </w:r>
      <w:hyperlink w:history="true" w:anchor="_bookmark2333">
        <w:r>
          <w:rPr>
            <w:color w:val="005DA1"/>
            <w:position w:val="5"/>
            <w:sz w:val="14"/>
            <w:u w:val="single" w:color="005DA1"/>
          </w:rPr>
          <w:t>1236</w:t>
        </w:r>
      </w:hyperlink>
      <w:r>
        <w:rPr>
          <w:position w:val="5"/>
          <w:sz w:val="14"/>
        </w:rPr>
        <w:t>.</w:t>
      </w:r>
      <w:r>
        <w:rPr>
          <w:spacing w:val="55"/>
          <w:position w:val="5"/>
          <w:sz w:val="14"/>
        </w:rPr>
        <w:t>  </w:t>
      </w:r>
      <w:r>
        <w:rPr/>
        <w:t>Giuliano-Lagarde</w:t>
      </w:r>
      <w:r>
        <w:rPr>
          <w:spacing w:val="1"/>
        </w:rPr>
        <w:t> </w:t>
      </w:r>
      <w:r>
        <w:rPr/>
        <w:t>Report, </w:t>
      </w:r>
      <w:r>
        <w:rPr>
          <w:spacing w:val="-2"/>
        </w:rPr>
        <w:t>p.33.</w:t>
      </w:r>
    </w:p>
    <w:p>
      <w:pPr>
        <w:pStyle w:val="BodyText"/>
        <w:spacing w:before="4"/>
      </w:pPr>
    </w:p>
    <w:p>
      <w:pPr>
        <w:pStyle w:val="BodyText"/>
        <w:spacing w:before="1"/>
        <w:ind w:left="165"/>
      </w:pPr>
      <w:bookmarkStart w:name="_bookmark2443" w:id="2445"/>
      <w:bookmarkEnd w:id="2445"/>
      <w:r>
        <w:rPr/>
      </w:r>
      <w:hyperlink w:history="true" w:anchor="_bookmark2334">
        <w:r>
          <w:rPr>
            <w:color w:val="005DA1"/>
            <w:position w:val="5"/>
            <w:sz w:val="14"/>
            <w:u w:val="single" w:color="005DA1"/>
          </w:rPr>
          <w:t>1237</w:t>
        </w:r>
      </w:hyperlink>
      <w:r>
        <w:rPr>
          <w:position w:val="5"/>
          <w:sz w:val="14"/>
        </w:rPr>
        <w:t>.</w:t>
      </w:r>
      <w:r>
        <w:rPr>
          <w:spacing w:val="55"/>
          <w:position w:val="5"/>
          <w:sz w:val="14"/>
        </w:rPr>
        <w:t>  </w:t>
      </w:r>
      <w:r>
        <w:rPr/>
        <w:t>Dicey,</w:t>
      </w:r>
      <w:r>
        <w:rPr>
          <w:spacing w:val="1"/>
        </w:rPr>
        <w:t> </w:t>
      </w:r>
      <w:r>
        <w:rPr/>
        <w:t>Morris and Collins, 15th edn (2012), paras 32–146 et </w:t>
      </w:r>
      <w:r>
        <w:rPr>
          <w:spacing w:val="-4"/>
        </w:rPr>
        <w:t>seq.</w:t>
      </w:r>
    </w:p>
    <w:p>
      <w:pPr>
        <w:pStyle w:val="BodyText"/>
        <w:spacing w:before="8"/>
      </w:pPr>
    </w:p>
    <w:p>
      <w:pPr>
        <w:spacing w:line="235" w:lineRule="auto" w:before="0"/>
        <w:ind w:left="705" w:right="168" w:hanging="541"/>
        <w:jc w:val="both"/>
        <w:rPr>
          <w:sz w:val="20"/>
        </w:rPr>
      </w:pPr>
      <w:bookmarkStart w:name="_bookmark2444" w:id="2446"/>
      <w:bookmarkEnd w:id="2446"/>
      <w:r>
        <w:rPr/>
      </w:r>
      <w:hyperlink w:history="true" w:anchor="_bookmark2335">
        <w:r>
          <w:rPr>
            <w:color w:val="005DA1"/>
            <w:position w:val="5"/>
            <w:sz w:val="14"/>
            <w:u w:val="single" w:color="005DA1"/>
          </w:rPr>
          <w:t>1238</w:t>
        </w:r>
      </w:hyperlink>
      <w:r>
        <w:rPr>
          <w:position w:val="5"/>
          <w:sz w:val="14"/>
        </w:rPr>
        <w:t>.</w:t>
      </w:r>
      <w:r>
        <w:rPr>
          <w:spacing w:val="80"/>
          <w:w w:val="150"/>
          <w:position w:val="5"/>
          <w:sz w:val="14"/>
        </w:rPr>
        <w:t> </w:t>
      </w:r>
      <w:r>
        <w:rPr>
          <w:sz w:val="20"/>
        </w:rPr>
        <w:t>Giuliano-Lagarde Report, p.33. See also </w:t>
      </w:r>
      <w:r>
        <w:rPr>
          <w:rFonts w:ascii="Arial"/>
          <w:i/>
          <w:sz w:val="20"/>
        </w:rPr>
        <w:t>Import Export Metro Ltd v Compania Sud </w:t>
      </w:r>
      <w:r>
        <w:rPr>
          <w:rFonts w:ascii="Arial"/>
          <w:i/>
          <w:sz w:val="20"/>
        </w:rPr>
        <w:t>Americana</w:t>
      </w:r>
      <w:r>
        <w:rPr>
          <w:rFonts w:ascii="Arial"/>
          <w:i/>
          <w:spacing w:val="40"/>
          <w:sz w:val="20"/>
        </w:rPr>
        <w:t> </w:t>
      </w:r>
      <w:r>
        <w:rPr>
          <w:rFonts w:ascii="Arial"/>
          <w:i/>
          <w:sz w:val="20"/>
        </w:rPr>
        <w:t>de Vapores SA [2003] EWHC 11 (Comm), [2003] 1 All E.R. (Comm) 703</w:t>
      </w:r>
      <w:r>
        <w:rPr>
          <w:sz w:val="20"/>
        </w:rPr>
        <w:t>; </w:t>
      </w:r>
      <w:r>
        <w:rPr>
          <w:rFonts w:ascii="Arial"/>
          <w:i/>
          <w:sz w:val="20"/>
        </w:rPr>
        <w:t>East West Corp v DKBS 1912 A/S [2003] EWCA Civ 83, [2003] Q.B. 1509</w:t>
      </w:r>
      <w:r>
        <w:rPr>
          <w:sz w:val="20"/>
        </w:rPr>
        <w:t>.</w:t>
      </w:r>
    </w:p>
    <w:p>
      <w:pPr>
        <w:pStyle w:val="BodyText"/>
        <w:spacing w:before="9"/>
      </w:pPr>
    </w:p>
    <w:p>
      <w:pPr>
        <w:spacing w:line="235" w:lineRule="auto" w:before="0"/>
        <w:ind w:left="705" w:right="0" w:hanging="541"/>
        <w:jc w:val="left"/>
        <w:rPr>
          <w:sz w:val="20"/>
        </w:rPr>
      </w:pPr>
      <w:bookmarkStart w:name="_bookmark2445" w:id="2447"/>
      <w:bookmarkEnd w:id="2447"/>
      <w:r>
        <w:rPr/>
      </w:r>
      <w:hyperlink w:history="true" w:anchor="_bookmark2336">
        <w:r>
          <w:rPr>
            <w:color w:val="005DA1"/>
            <w:position w:val="5"/>
            <w:sz w:val="14"/>
            <w:u w:val="single" w:color="005DA1"/>
          </w:rPr>
          <w:t>1239</w:t>
        </w:r>
      </w:hyperlink>
      <w:r>
        <w:rPr>
          <w:position w:val="5"/>
          <w:sz w:val="14"/>
        </w:rPr>
        <w:t>.</w:t>
      </w:r>
      <w:r>
        <w:rPr>
          <w:spacing w:val="40"/>
          <w:position w:val="5"/>
          <w:sz w:val="14"/>
        </w:rPr>
        <w:t>  </w:t>
      </w:r>
      <w:r>
        <w:rPr>
          <w:sz w:val="20"/>
        </w:rPr>
        <w:t>cf. </w:t>
      </w:r>
      <w:r>
        <w:rPr>
          <w:rFonts w:ascii="Arial" w:hAnsi="Arial"/>
          <w:i/>
          <w:sz w:val="20"/>
        </w:rPr>
        <w:t>Jacobs v Crédit Lyonnais (1884) 12 Q.B.D. 589</w:t>
      </w:r>
      <w:r>
        <w:rPr>
          <w:sz w:val="20"/>
        </w:rPr>
        <w:t>; Dicey, Morris and Collins, 15th edn (2012), </w:t>
      </w:r>
      <w:r>
        <w:rPr>
          <w:spacing w:val="-2"/>
          <w:sz w:val="20"/>
        </w:rPr>
        <w:t>para.32–151.</w:t>
      </w:r>
    </w:p>
    <w:p>
      <w:pPr>
        <w:pStyle w:val="BodyText"/>
        <w:spacing w:before="9"/>
      </w:pPr>
    </w:p>
    <w:p>
      <w:pPr>
        <w:spacing w:line="235" w:lineRule="auto" w:before="0"/>
        <w:ind w:left="705" w:right="0" w:hanging="541"/>
        <w:jc w:val="left"/>
        <w:rPr>
          <w:sz w:val="20"/>
        </w:rPr>
      </w:pPr>
      <w:bookmarkStart w:name="_bookmark2446" w:id="2448"/>
      <w:bookmarkEnd w:id="2448"/>
      <w:r>
        <w:rPr/>
      </w:r>
      <w:hyperlink w:history="true" w:anchor="_bookmark2337">
        <w:r>
          <w:rPr>
            <w:color w:val="005DA1"/>
            <w:position w:val="5"/>
            <w:sz w:val="14"/>
            <w:u w:val="single" w:color="005DA1"/>
          </w:rPr>
          <w:t>1240</w:t>
        </w:r>
      </w:hyperlink>
      <w:r>
        <w:rPr>
          <w:position w:val="5"/>
          <w:sz w:val="14"/>
        </w:rPr>
        <w:t>.</w:t>
      </w:r>
      <w:r>
        <w:rPr>
          <w:spacing w:val="40"/>
          <w:position w:val="5"/>
          <w:sz w:val="14"/>
        </w:rPr>
        <w:t>  </w:t>
      </w:r>
      <w:r>
        <w:rPr>
          <w:sz w:val="20"/>
        </w:rPr>
        <w:t>cf.</w:t>
      </w:r>
      <w:r>
        <w:rPr>
          <w:spacing w:val="29"/>
          <w:sz w:val="20"/>
        </w:rPr>
        <w:t> </w:t>
      </w:r>
      <w:r>
        <w:rPr>
          <w:rFonts w:ascii="Arial" w:hAnsi="Arial"/>
          <w:i/>
          <w:sz w:val="20"/>
        </w:rPr>
        <w:t>Pound</w:t>
      </w:r>
      <w:r>
        <w:rPr>
          <w:rFonts w:ascii="Arial" w:hAnsi="Arial"/>
          <w:i/>
          <w:spacing w:val="29"/>
          <w:sz w:val="20"/>
        </w:rPr>
        <w:t> </w:t>
      </w:r>
      <w:r>
        <w:rPr>
          <w:rFonts w:ascii="Arial" w:hAnsi="Arial"/>
          <w:i/>
          <w:sz w:val="20"/>
        </w:rPr>
        <w:t>&amp;</w:t>
      </w:r>
      <w:r>
        <w:rPr>
          <w:rFonts w:ascii="Arial" w:hAnsi="Arial"/>
          <w:i/>
          <w:spacing w:val="29"/>
          <w:sz w:val="20"/>
        </w:rPr>
        <w:t> </w:t>
      </w:r>
      <w:r>
        <w:rPr>
          <w:rFonts w:ascii="Arial" w:hAnsi="Arial"/>
          <w:i/>
          <w:sz w:val="20"/>
        </w:rPr>
        <w:t>Co</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Hardy</w:t>
      </w:r>
      <w:r>
        <w:rPr>
          <w:rFonts w:ascii="Arial" w:hAnsi="Arial"/>
          <w:i/>
          <w:spacing w:val="29"/>
          <w:sz w:val="20"/>
        </w:rPr>
        <w:t> </w:t>
      </w:r>
      <w:r>
        <w:rPr>
          <w:rFonts w:ascii="Arial" w:hAnsi="Arial"/>
          <w:i/>
          <w:sz w:val="20"/>
        </w:rPr>
        <w:t>&amp;</w:t>
      </w:r>
      <w:r>
        <w:rPr>
          <w:rFonts w:ascii="Arial" w:hAnsi="Arial"/>
          <w:i/>
          <w:spacing w:val="29"/>
          <w:sz w:val="20"/>
        </w:rPr>
        <w:t> </w:t>
      </w:r>
      <w:r>
        <w:rPr>
          <w:rFonts w:ascii="Arial" w:hAnsi="Arial"/>
          <w:i/>
          <w:sz w:val="20"/>
        </w:rPr>
        <w:t>Co</w:t>
      </w:r>
      <w:r>
        <w:rPr>
          <w:rFonts w:ascii="Arial" w:hAnsi="Arial"/>
          <w:i/>
          <w:spacing w:val="29"/>
          <w:sz w:val="20"/>
        </w:rPr>
        <w:t> </w:t>
      </w:r>
      <w:r>
        <w:rPr>
          <w:rFonts w:ascii="Arial" w:hAnsi="Arial"/>
          <w:i/>
          <w:sz w:val="20"/>
        </w:rPr>
        <w:t>Inc</w:t>
      </w:r>
      <w:r>
        <w:rPr>
          <w:rFonts w:ascii="Arial" w:hAnsi="Arial"/>
          <w:i/>
          <w:spacing w:val="29"/>
          <w:sz w:val="20"/>
        </w:rPr>
        <w:t> </w:t>
      </w:r>
      <w:r>
        <w:rPr>
          <w:rFonts w:ascii="Arial" w:hAnsi="Arial"/>
          <w:i/>
          <w:sz w:val="20"/>
        </w:rPr>
        <w:t>[1956]</w:t>
      </w:r>
      <w:r>
        <w:rPr>
          <w:rFonts w:ascii="Arial" w:hAnsi="Arial"/>
          <w:i/>
          <w:spacing w:val="29"/>
          <w:sz w:val="20"/>
        </w:rPr>
        <w:t> </w:t>
      </w:r>
      <w:r>
        <w:rPr>
          <w:rFonts w:ascii="Arial" w:hAnsi="Arial"/>
          <w:i/>
          <w:sz w:val="20"/>
        </w:rPr>
        <w:t>A.C.</w:t>
      </w:r>
      <w:r>
        <w:rPr>
          <w:rFonts w:ascii="Arial" w:hAnsi="Arial"/>
          <w:i/>
          <w:spacing w:val="29"/>
          <w:sz w:val="20"/>
        </w:rPr>
        <w:t> </w:t>
      </w:r>
      <w:r>
        <w:rPr>
          <w:rFonts w:ascii="Arial" w:hAnsi="Arial"/>
          <w:i/>
          <w:sz w:val="20"/>
        </w:rPr>
        <w:t>588</w:t>
      </w:r>
      <w:r>
        <w:rPr>
          <w:sz w:val="20"/>
        </w:rPr>
        <w:t>;</w:t>
      </w:r>
      <w:r>
        <w:rPr>
          <w:spacing w:val="29"/>
          <w:sz w:val="20"/>
        </w:rPr>
        <w:t> </w:t>
      </w:r>
      <w:r>
        <w:rPr>
          <w:sz w:val="20"/>
        </w:rPr>
        <w:t>Dicey,</w:t>
      </w:r>
      <w:r>
        <w:rPr>
          <w:spacing w:val="29"/>
          <w:sz w:val="20"/>
        </w:rPr>
        <w:t> </w:t>
      </w:r>
      <w:r>
        <w:rPr>
          <w:sz w:val="20"/>
        </w:rPr>
        <w:t>Morris</w:t>
      </w:r>
      <w:r>
        <w:rPr>
          <w:spacing w:val="29"/>
          <w:sz w:val="20"/>
        </w:rPr>
        <w:t> </w:t>
      </w:r>
      <w:r>
        <w:rPr>
          <w:sz w:val="20"/>
        </w:rPr>
        <w:t>and</w:t>
      </w:r>
      <w:r>
        <w:rPr>
          <w:spacing w:val="29"/>
          <w:sz w:val="20"/>
        </w:rPr>
        <w:t> </w:t>
      </w:r>
      <w:r>
        <w:rPr>
          <w:sz w:val="20"/>
        </w:rPr>
        <w:t>Collins,</w:t>
      </w:r>
      <w:r>
        <w:rPr>
          <w:spacing w:val="29"/>
          <w:sz w:val="20"/>
        </w:rPr>
        <w:t> </w:t>
      </w:r>
      <w:r>
        <w:rPr>
          <w:sz w:val="20"/>
        </w:rPr>
        <w:t>15th</w:t>
      </w:r>
      <w:r>
        <w:rPr>
          <w:spacing w:val="29"/>
          <w:sz w:val="20"/>
        </w:rPr>
        <w:t> </w:t>
      </w:r>
      <w:r>
        <w:rPr>
          <w:sz w:val="20"/>
        </w:rPr>
        <w:t>edn (2012), para.32–151.</w:t>
      </w:r>
    </w:p>
    <w:p>
      <w:pPr>
        <w:pStyle w:val="BodyText"/>
        <w:spacing w:before="6"/>
      </w:pPr>
    </w:p>
    <w:p>
      <w:pPr>
        <w:pStyle w:val="BodyText"/>
        <w:ind w:left="165"/>
      </w:pPr>
      <w:bookmarkStart w:name="_bookmark2447" w:id="2449"/>
      <w:bookmarkEnd w:id="2449"/>
      <w:r>
        <w:rPr/>
      </w:r>
      <w:hyperlink w:history="true" w:anchor="_bookmark2338">
        <w:r>
          <w:rPr>
            <w:color w:val="005DA1"/>
            <w:position w:val="5"/>
            <w:sz w:val="14"/>
            <w:u w:val="single" w:color="005DA1"/>
          </w:rPr>
          <w:t>1241</w:t>
        </w:r>
      </w:hyperlink>
      <w:r>
        <w:rPr>
          <w:position w:val="5"/>
          <w:sz w:val="14"/>
        </w:rPr>
        <w:t>.</w:t>
      </w:r>
      <w:r>
        <w:rPr>
          <w:spacing w:val="55"/>
          <w:position w:val="5"/>
          <w:sz w:val="14"/>
        </w:rPr>
        <w:t>  </w:t>
      </w:r>
      <w:r>
        <w:rPr/>
        <w:t>See</w:t>
      </w:r>
      <w:r>
        <w:rPr>
          <w:spacing w:val="1"/>
        </w:rPr>
        <w:t> </w:t>
      </w:r>
      <w:r>
        <w:rPr/>
        <w:t>Benjamin’s Sale of Goods, 9th edn (2014), paras 26–167—</w:t>
      </w:r>
      <w:r>
        <w:rPr>
          <w:spacing w:val="-2"/>
        </w:rPr>
        <w:t>26–168.</w:t>
      </w:r>
    </w:p>
    <w:p>
      <w:pPr>
        <w:pStyle w:val="BodyText"/>
        <w:spacing w:before="9"/>
      </w:pPr>
    </w:p>
    <w:p>
      <w:pPr>
        <w:spacing w:line="235" w:lineRule="auto" w:before="0"/>
        <w:ind w:left="705" w:right="167" w:hanging="541"/>
        <w:jc w:val="both"/>
        <w:rPr>
          <w:sz w:val="20"/>
        </w:rPr>
      </w:pPr>
      <w:bookmarkStart w:name="_bookmark2448" w:id="2450"/>
      <w:bookmarkEnd w:id="2450"/>
      <w:r>
        <w:rPr/>
      </w:r>
      <w:hyperlink w:history="true" w:anchor="_bookmark2339">
        <w:r>
          <w:rPr>
            <w:color w:val="005DA1"/>
            <w:position w:val="5"/>
            <w:sz w:val="14"/>
            <w:u w:val="single" w:color="005DA1"/>
          </w:rPr>
          <w:t>1242</w:t>
        </w:r>
      </w:hyperlink>
      <w:r>
        <w:rPr>
          <w:position w:val="5"/>
          <w:sz w:val="14"/>
        </w:rPr>
        <w:t>.</w:t>
      </w:r>
      <w:r>
        <w:rPr>
          <w:spacing w:val="80"/>
          <w:position w:val="5"/>
          <w:sz w:val="14"/>
        </w:rPr>
        <w:t> </w:t>
      </w:r>
      <w:r>
        <w:rPr>
          <w:sz w:val="20"/>
        </w:rPr>
        <w:t>See </w:t>
      </w:r>
      <w:r>
        <w:rPr>
          <w:rFonts w:ascii="Arial"/>
          <w:i/>
          <w:sz w:val="20"/>
        </w:rPr>
        <w:t>Import Export Metro Ltd v Compania Sud Americana de Vapores SA [2003] EWHC </w:t>
      </w:r>
      <w:r>
        <w:rPr>
          <w:rFonts w:ascii="Arial"/>
          <w:i/>
          <w:sz w:val="20"/>
        </w:rPr>
        <w:t>11 (Comm), [2003] 1 All E.R. (Comm) 703</w:t>
      </w:r>
      <w:r>
        <w:rPr>
          <w:sz w:val="20"/>
        </w:rPr>
        <w:t>; </w:t>
      </w:r>
      <w:r>
        <w:rPr>
          <w:rFonts w:ascii="Arial"/>
          <w:i/>
          <w:sz w:val="20"/>
        </w:rPr>
        <w:t>East West Corp v DKBS 1912 A/S [2003] EWCA Civ 83, [2003] Q.B. 1509</w:t>
      </w:r>
      <w:r>
        <w:rPr>
          <w:sz w:val="20"/>
        </w:rPr>
        <w:t>. cf. </w:t>
      </w:r>
      <w:r>
        <w:rPr>
          <w:rFonts w:ascii="Arial"/>
          <w:i/>
          <w:sz w:val="20"/>
        </w:rPr>
        <w:t>Robertson v Jackson (1845) 2 C.B. 412</w:t>
      </w:r>
      <w:r>
        <w:rPr>
          <w:sz w:val="20"/>
        </w:rPr>
        <w:t>.</w:t>
      </w:r>
    </w:p>
    <w:p>
      <w:pPr>
        <w:pStyle w:val="BodyText"/>
        <w:spacing w:before="5"/>
      </w:pPr>
    </w:p>
    <w:p>
      <w:pPr>
        <w:pStyle w:val="BodyText"/>
        <w:ind w:left="165"/>
      </w:pPr>
      <w:bookmarkStart w:name="_bookmark2449" w:id="2451"/>
      <w:bookmarkEnd w:id="2451"/>
      <w:r>
        <w:rPr/>
      </w:r>
      <w:hyperlink w:history="true" w:anchor="_bookmark2340">
        <w:r>
          <w:rPr>
            <w:color w:val="005DA1"/>
            <w:position w:val="5"/>
            <w:sz w:val="14"/>
            <w:u w:val="single" w:color="005DA1"/>
          </w:rPr>
          <w:t>1243</w:t>
        </w:r>
      </w:hyperlink>
      <w:r>
        <w:rPr>
          <w:position w:val="5"/>
          <w:sz w:val="14"/>
        </w:rPr>
        <w:t>.</w:t>
      </w:r>
      <w:r>
        <w:rPr>
          <w:spacing w:val="55"/>
          <w:position w:val="5"/>
          <w:sz w:val="14"/>
        </w:rPr>
        <w:t>  </w:t>
      </w:r>
      <w:r>
        <w:rPr/>
        <w:t>Giuliano-Lagarde</w:t>
      </w:r>
      <w:r>
        <w:rPr>
          <w:spacing w:val="1"/>
        </w:rPr>
        <w:t> </w:t>
      </w:r>
      <w:r>
        <w:rPr/>
        <w:t>Report, </w:t>
      </w:r>
      <w:r>
        <w:rPr>
          <w:spacing w:val="-2"/>
        </w:rPr>
        <w:t>p.33.</w:t>
      </w:r>
    </w:p>
    <w:p>
      <w:pPr>
        <w:pStyle w:val="BodyText"/>
        <w:spacing w:before="5"/>
      </w:pPr>
    </w:p>
    <w:p>
      <w:pPr>
        <w:spacing w:line="227" w:lineRule="exact" w:before="0"/>
        <w:ind w:left="165" w:right="0" w:firstLine="0"/>
        <w:jc w:val="both"/>
        <w:rPr>
          <w:rFonts w:ascii="Arial" w:hAnsi="Arial"/>
          <w:i/>
          <w:sz w:val="20"/>
        </w:rPr>
      </w:pPr>
      <w:bookmarkStart w:name="_bookmark2450" w:id="2452"/>
      <w:bookmarkEnd w:id="2452"/>
      <w:r>
        <w:rPr/>
      </w:r>
      <w:hyperlink w:history="true" w:anchor="_bookmark2341">
        <w:r>
          <w:rPr>
            <w:color w:val="005DA1"/>
            <w:position w:val="5"/>
            <w:sz w:val="14"/>
            <w:u w:val="single" w:color="005DA1"/>
          </w:rPr>
          <w:t>1244</w:t>
        </w:r>
      </w:hyperlink>
      <w:r>
        <w:rPr>
          <w:position w:val="5"/>
          <w:sz w:val="14"/>
        </w:rPr>
        <w:t>.</w:t>
      </w:r>
      <w:r>
        <w:rPr>
          <w:spacing w:val="55"/>
          <w:position w:val="5"/>
          <w:sz w:val="14"/>
        </w:rPr>
        <w:t>  </w:t>
      </w:r>
      <w:r>
        <w:rPr>
          <w:sz w:val="20"/>
        </w:rPr>
        <w:t>See</w:t>
      </w:r>
      <w:r>
        <w:rPr>
          <w:spacing w:val="39"/>
          <w:sz w:val="20"/>
        </w:rPr>
        <w:t> </w:t>
      </w:r>
      <w:r>
        <w:rPr>
          <w:sz w:val="20"/>
        </w:rPr>
        <w:t>Kaye,</w:t>
      </w:r>
      <w:r>
        <w:rPr>
          <w:spacing w:val="38"/>
          <w:sz w:val="20"/>
        </w:rPr>
        <w:t> </w:t>
      </w:r>
      <w:r>
        <w:rPr>
          <w:sz w:val="20"/>
        </w:rPr>
        <w:t>pp.304–305.</w:t>
      </w:r>
      <w:r>
        <w:rPr>
          <w:spacing w:val="38"/>
          <w:sz w:val="20"/>
        </w:rPr>
        <w:t> </w:t>
      </w:r>
      <w:r>
        <w:rPr>
          <w:sz w:val="20"/>
        </w:rPr>
        <w:t>See</w:t>
      </w:r>
      <w:r>
        <w:rPr>
          <w:spacing w:val="38"/>
          <w:sz w:val="20"/>
        </w:rPr>
        <w:t> </w:t>
      </w:r>
      <w:r>
        <w:rPr>
          <w:sz w:val="20"/>
        </w:rPr>
        <w:t>also</w:t>
      </w:r>
      <w:r>
        <w:rPr>
          <w:spacing w:val="38"/>
          <w:sz w:val="20"/>
        </w:rPr>
        <w:t> </w:t>
      </w:r>
      <w:r>
        <w:rPr>
          <w:sz w:val="20"/>
        </w:rPr>
        <w:t>the</w:t>
      </w:r>
      <w:r>
        <w:rPr>
          <w:spacing w:val="38"/>
          <w:sz w:val="20"/>
        </w:rPr>
        <w:t> </w:t>
      </w:r>
      <w:r>
        <w:rPr>
          <w:sz w:val="20"/>
        </w:rPr>
        <w:t>Dutch</w:t>
      </w:r>
      <w:r>
        <w:rPr>
          <w:spacing w:val="38"/>
          <w:sz w:val="20"/>
        </w:rPr>
        <w:t> </w:t>
      </w:r>
      <w:r>
        <w:rPr>
          <w:sz w:val="20"/>
        </w:rPr>
        <w:t>case,</w:t>
      </w:r>
      <w:r>
        <w:rPr>
          <w:spacing w:val="37"/>
          <w:sz w:val="20"/>
        </w:rPr>
        <w:t> </w:t>
      </w:r>
      <w:r>
        <w:rPr>
          <w:rFonts w:ascii="Arial" w:hAnsi="Arial"/>
          <w:i/>
          <w:sz w:val="20"/>
        </w:rPr>
        <w:t>Buenaventura</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Ocean</w:t>
      </w:r>
      <w:r>
        <w:rPr>
          <w:rFonts w:ascii="Arial" w:hAnsi="Arial"/>
          <w:i/>
          <w:spacing w:val="38"/>
          <w:sz w:val="20"/>
        </w:rPr>
        <w:t> </w:t>
      </w:r>
      <w:r>
        <w:rPr>
          <w:rFonts w:ascii="Arial" w:hAnsi="Arial"/>
          <w:i/>
          <w:sz w:val="20"/>
        </w:rPr>
        <w:t>Trade</w:t>
      </w:r>
      <w:r>
        <w:rPr>
          <w:rFonts w:ascii="Arial" w:hAnsi="Arial"/>
          <w:i/>
          <w:spacing w:val="38"/>
          <w:sz w:val="20"/>
        </w:rPr>
        <w:t> </w:t>
      </w:r>
      <w:r>
        <w:rPr>
          <w:rFonts w:ascii="Arial" w:hAnsi="Arial"/>
          <w:i/>
          <w:sz w:val="20"/>
        </w:rPr>
        <w:t>Co</w:t>
      </w:r>
      <w:r>
        <w:rPr>
          <w:rFonts w:ascii="Arial" w:hAnsi="Arial"/>
          <w:i/>
          <w:spacing w:val="38"/>
          <w:sz w:val="20"/>
        </w:rPr>
        <w:t> </w:t>
      </w:r>
      <w:r>
        <w:rPr>
          <w:rFonts w:ascii="Arial" w:hAnsi="Arial"/>
          <w:i/>
          <w:spacing w:val="-2"/>
          <w:sz w:val="20"/>
        </w:rPr>
        <w:t>[1984]</w:t>
      </w:r>
    </w:p>
    <w:p>
      <w:pPr>
        <w:pStyle w:val="BodyText"/>
        <w:spacing w:line="235" w:lineRule="auto" w:before="1"/>
        <w:ind w:left="705" w:right="167"/>
        <w:jc w:val="both"/>
      </w:pPr>
      <w:r>
        <w:rPr>
          <w:rFonts w:ascii="Arial"/>
          <w:i/>
        </w:rPr>
        <w:t>E.C.C.</w:t>
      </w:r>
      <w:r>
        <w:rPr>
          <w:rFonts w:ascii="Arial"/>
          <w:i/>
          <w:spacing w:val="-1"/>
        </w:rPr>
        <w:t> </w:t>
      </w:r>
      <w:r>
        <w:rPr>
          <w:rFonts w:ascii="Arial"/>
          <w:i/>
        </w:rPr>
        <w:t>183</w:t>
      </w:r>
      <w:r>
        <w:rPr/>
        <w:t>,</w:t>
      </w:r>
      <w:r>
        <w:rPr>
          <w:spacing w:val="-1"/>
        </w:rPr>
        <w:t> </w:t>
      </w:r>
      <w:r>
        <w:rPr/>
        <w:t>cited</w:t>
      </w:r>
      <w:r>
        <w:rPr>
          <w:spacing w:val="-1"/>
        </w:rPr>
        <w:t> </w:t>
      </w:r>
      <w:r>
        <w:rPr/>
        <w:t>in</w:t>
      </w:r>
      <w:r>
        <w:rPr>
          <w:spacing w:val="-1"/>
        </w:rPr>
        <w:t> </w:t>
      </w:r>
      <w:r>
        <w:rPr/>
        <w:t>Cheshire</w:t>
      </w:r>
      <w:r>
        <w:rPr>
          <w:spacing w:val="-1"/>
        </w:rPr>
        <w:t> </w:t>
      </w:r>
      <w:r>
        <w:rPr/>
        <w:t>and</w:t>
      </w:r>
      <w:r>
        <w:rPr>
          <w:spacing w:val="-1"/>
        </w:rPr>
        <w:t> </w:t>
      </w:r>
      <w:r>
        <w:rPr/>
        <w:t>North,</w:t>
      </w:r>
      <w:r>
        <w:rPr>
          <w:spacing w:val="-1"/>
        </w:rPr>
        <w:t> </w:t>
      </w:r>
      <w:r>
        <w:rPr/>
        <w:t>p.598,</w:t>
      </w:r>
      <w:r>
        <w:rPr>
          <w:spacing w:val="-1"/>
        </w:rPr>
        <w:t> </w:t>
      </w:r>
      <w:r>
        <w:rPr/>
        <w:t>where</w:t>
      </w:r>
      <w:r>
        <w:rPr>
          <w:spacing w:val="-1"/>
        </w:rPr>
        <w:t> </w:t>
      </w:r>
      <w:r>
        <w:rPr/>
        <w:t>it</w:t>
      </w:r>
      <w:r>
        <w:rPr>
          <w:spacing w:val="-1"/>
        </w:rPr>
        <w:t> </w:t>
      </w:r>
      <w:r>
        <w:rPr/>
        <w:t>was</w:t>
      </w:r>
      <w:r>
        <w:rPr>
          <w:spacing w:val="-1"/>
        </w:rPr>
        <w:t> </w:t>
      </w:r>
      <w:r>
        <w:rPr/>
        <w:t>said</w:t>
      </w:r>
      <w:r>
        <w:rPr>
          <w:spacing w:val="-1"/>
        </w:rPr>
        <w:t> </w:t>
      </w:r>
      <w:r>
        <w:rPr/>
        <w:t>(before</w:t>
      </w:r>
      <w:r>
        <w:rPr>
          <w:spacing w:val="-1"/>
        </w:rPr>
        <w:t> </w:t>
      </w:r>
      <w:r>
        <w:rPr/>
        <w:t>the</w:t>
      </w:r>
      <w:r>
        <w:rPr>
          <w:spacing w:val="-1"/>
        </w:rPr>
        <w:t> </w:t>
      </w:r>
      <w:r>
        <w:rPr/>
        <w:t>Rome</w:t>
      </w:r>
      <w:r>
        <w:rPr>
          <w:spacing w:val="-1"/>
        </w:rPr>
        <w:t> </w:t>
      </w:r>
      <w:r>
        <w:rPr/>
        <w:t>Convention entered into force) that the expression must be construed widely, and could include strikes </w:t>
      </w:r>
      <w:r>
        <w:rPr/>
        <w:t>so that striking crew members on a Saudi Arabian ship lying at a Dutch port could be ordered </w:t>
      </w:r>
      <w:r>
        <w:rPr/>
        <w:t>to return to work on the ground that the strike was illegal under the governing law of the </w:t>
      </w:r>
      <w:r>
        <w:rPr/>
        <w:t>contract, the law of the Philippines: sed quaere.</w:t>
      </w:r>
    </w:p>
    <w:p>
      <w:pPr>
        <w:pStyle w:val="BodyText"/>
        <w:spacing w:before="8"/>
      </w:pPr>
    </w:p>
    <w:p>
      <w:pPr>
        <w:spacing w:line="235" w:lineRule="auto" w:before="0"/>
        <w:ind w:left="705" w:right="167" w:hanging="541"/>
        <w:jc w:val="both"/>
        <w:rPr>
          <w:sz w:val="20"/>
        </w:rPr>
      </w:pPr>
      <w:bookmarkStart w:name="_bookmark2451" w:id="2453"/>
      <w:bookmarkEnd w:id="2453"/>
      <w:r>
        <w:rPr/>
      </w:r>
      <w:hyperlink w:history="true" w:anchor="_bookmark2342">
        <w:r>
          <w:rPr>
            <w:color w:val="005DA1"/>
            <w:position w:val="5"/>
            <w:sz w:val="14"/>
            <w:u w:val="single" w:color="005DA1"/>
          </w:rPr>
          <w:t>1245</w:t>
        </w:r>
      </w:hyperlink>
      <w:r>
        <w:rPr>
          <w:position w:val="5"/>
          <w:sz w:val="14"/>
        </w:rPr>
        <w:t>.</w:t>
      </w:r>
      <w:r>
        <w:rPr>
          <w:spacing w:val="80"/>
          <w:w w:val="150"/>
          <w:position w:val="5"/>
          <w:sz w:val="14"/>
        </w:rPr>
        <w:t> </w:t>
      </w:r>
      <w:r>
        <w:rPr>
          <w:sz w:val="20"/>
        </w:rPr>
        <w:t>Giuliano-Lagarde</w:t>
      </w:r>
      <w:r>
        <w:rPr>
          <w:spacing w:val="-2"/>
          <w:sz w:val="20"/>
        </w:rPr>
        <w:t> </w:t>
      </w:r>
      <w:r>
        <w:rPr>
          <w:sz w:val="20"/>
        </w:rPr>
        <w:t>Report,</w:t>
      </w:r>
      <w:r>
        <w:rPr>
          <w:spacing w:val="-2"/>
          <w:sz w:val="20"/>
        </w:rPr>
        <w:t> </w:t>
      </w:r>
      <w:r>
        <w:rPr>
          <w:sz w:val="20"/>
        </w:rPr>
        <w:t>p.33.</w:t>
      </w:r>
      <w:r>
        <w:rPr>
          <w:spacing w:val="-2"/>
          <w:sz w:val="20"/>
        </w:rPr>
        <w:t> </w:t>
      </w:r>
      <w:r>
        <w:rPr>
          <w:sz w:val="20"/>
        </w:rPr>
        <w:t>See</w:t>
      </w:r>
      <w:r>
        <w:rPr>
          <w:spacing w:val="-2"/>
          <w:sz w:val="20"/>
        </w:rPr>
        <w:t> </w:t>
      </w:r>
      <w:r>
        <w:rPr>
          <w:sz w:val="20"/>
        </w:rPr>
        <w:t>also</w:t>
      </w:r>
      <w:r>
        <w:rPr>
          <w:spacing w:val="-3"/>
          <w:sz w:val="20"/>
        </w:rPr>
        <w:t> </w:t>
      </w:r>
      <w:r>
        <w:rPr>
          <w:rFonts w:ascii="Arial" w:hAnsi="Arial"/>
          <w:i/>
          <w:sz w:val="20"/>
        </w:rPr>
        <w:t>Arcado</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Haviland</w:t>
      </w:r>
      <w:r>
        <w:rPr>
          <w:rFonts w:ascii="Arial" w:hAnsi="Arial"/>
          <w:i/>
          <w:spacing w:val="-2"/>
          <w:sz w:val="20"/>
        </w:rPr>
        <w:t> </w:t>
      </w:r>
      <w:r>
        <w:rPr>
          <w:rFonts w:ascii="Arial" w:hAnsi="Arial"/>
          <w:i/>
          <w:sz w:val="20"/>
        </w:rPr>
        <w:t>(9/87)</w:t>
      </w:r>
      <w:r>
        <w:rPr>
          <w:rFonts w:ascii="Arial" w:hAnsi="Arial"/>
          <w:i/>
          <w:spacing w:val="-2"/>
          <w:sz w:val="20"/>
        </w:rPr>
        <w:t> </w:t>
      </w:r>
      <w:r>
        <w:rPr>
          <w:rFonts w:ascii="Arial" w:hAnsi="Arial"/>
          <w:i/>
          <w:sz w:val="20"/>
        </w:rPr>
        <w:t>[1988]</w:t>
      </w:r>
      <w:r>
        <w:rPr>
          <w:rFonts w:ascii="Arial" w:hAnsi="Arial"/>
          <w:i/>
          <w:spacing w:val="-2"/>
          <w:sz w:val="20"/>
        </w:rPr>
        <w:t> </w:t>
      </w:r>
      <w:r>
        <w:rPr>
          <w:rFonts w:ascii="Arial" w:hAnsi="Arial"/>
          <w:i/>
          <w:sz w:val="20"/>
        </w:rPr>
        <w:t>E.C.R.</w:t>
      </w:r>
      <w:r>
        <w:rPr>
          <w:rFonts w:ascii="Arial" w:hAnsi="Arial"/>
          <w:i/>
          <w:spacing w:val="-2"/>
          <w:sz w:val="20"/>
        </w:rPr>
        <w:t> </w:t>
      </w:r>
      <w:r>
        <w:rPr>
          <w:rFonts w:ascii="Arial" w:hAnsi="Arial"/>
          <w:i/>
          <w:sz w:val="20"/>
        </w:rPr>
        <w:t>1539,</w:t>
      </w:r>
      <w:r>
        <w:rPr>
          <w:rFonts w:ascii="Arial" w:hAnsi="Arial"/>
          <w:i/>
          <w:spacing w:val="-2"/>
          <w:sz w:val="20"/>
        </w:rPr>
        <w:t> </w:t>
      </w:r>
      <w:r>
        <w:rPr>
          <w:rFonts w:ascii="Arial" w:hAnsi="Arial"/>
          <w:i/>
          <w:sz w:val="20"/>
        </w:rPr>
        <w:t>1555 </w:t>
      </w:r>
      <w:r>
        <w:rPr>
          <w:sz w:val="20"/>
        </w:rPr>
        <w:t>(art.10(1)(c) governs consequences of total or partial failure to comply with obligations under</w:t>
      </w:r>
      <w:r>
        <w:rPr>
          <w:spacing w:val="40"/>
          <w:sz w:val="20"/>
        </w:rPr>
        <w:t> </w:t>
      </w:r>
      <w:r>
        <w:rPr>
          <w:sz w:val="20"/>
        </w:rPr>
        <w:t>the contract and consequently the contractual liability of the party responsible for breach); cf. </w:t>
      </w:r>
      <w:r>
        <w:rPr>
          <w:rFonts w:ascii="Arial" w:hAnsi="Arial"/>
          <w:i/>
          <w:sz w:val="20"/>
        </w:rPr>
        <w:t>Kuwait Oil Tanker Co S.A.K v Al Bader [2000] 2 All E.R. (Comm) 271, 333–334 </w:t>
      </w:r>
      <w:r>
        <w:rPr>
          <w:sz w:val="20"/>
        </w:rPr>
        <w:t>(no view expressed as to whether right to claim interest was one of “the consequences of breach”).</w:t>
      </w:r>
    </w:p>
    <w:p>
      <w:pPr>
        <w:pStyle w:val="BodyText"/>
        <w:spacing w:before="4"/>
      </w:pPr>
    </w:p>
    <w:p>
      <w:pPr>
        <w:pStyle w:val="BodyText"/>
        <w:spacing w:before="1"/>
        <w:ind w:left="165"/>
      </w:pPr>
      <w:bookmarkStart w:name="_bookmark2452" w:id="2454"/>
      <w:bookmarkEnd w:id="2454"/>
      <w:r>
        <w:rPr/>
      </w:r>
      <w:hyperlink w:history="true" w:anchor="_bookmark2343">
        <w:r>
          <w:rPr>
            <w:color w:val="005DA1"/>
            <w:position w:val="5"/>
            <w:sz w:val="14"/>
            <w:u w:val="single" w:color="005DA1"/>
          </w:rPr>
          <w:t>1246</w:t>
        </w:r>
      </w:hyperlink>
      <w:r>
        <w:rPr>
          <w:position w:val="5"/>
          <w:sz w:val="14"/>
        </w:rPr>
        <w:t>.</w:t>
      </w:r>
      <w:r>
        <w:rPr>
          <w:spacing w:val="55"/>
          <w:position w:val="5"/>
          <w:sz w:val="14"/>
        </w:rPr>
        <w:t>  </w:t>
      </w:r>
      <w:r>
        <w:rPr/>
        <w:t>Dicey,</w:t>
      </w:r>
      <w:r>
        <w:rPr>
          <w:spacing w:val="1"/>
        </w:rPr>
        <w:t> </w:t>
      </w:r>
      <w:r>
        <w:rPr/>
        <w:t>Morris and Collins, 15th edn (2012), para.32–153; Kaye, </w:t>
      </w:r>
      <w:r>
        <w:rPr>
          <w:spacing w:val="-2"/>
        </w:rPr>
        <w:t>p.305.</w:t>
      </w:r>
    </w:p>
    <w:p>
      <w:pPr>
        <w:pStyle w:val="BodyText"/>
        <w:spacing w:before="8"/>
      </w:pPr>
    </w:p>
    <w:p>
      <w:pPr>
        <w:spacing w:line="235" w:lineRule="auto" w:before="0"/>
        <w:ind w:left="705" w:right="167" w:hanging="541"/>
        <w:jc w:val="both"/>
        <w:rPr>
          <w:rFonts w:ascii="Arial" w:hAnsi="Arial"/>
          <w:i/>
          <w:sz w:val="20"/>
        </w:rPr>
      </w:pPr>
      <w:bookmarkStart w:name="_bookmark2453" w:id="2455"/>
      <w:bookmarkEnd w:id="2455"/>
      <w:r>
        <w:rPr/>
      </w:r>
      <w:hyperlink w:history="true" w:anchor="_bookmark2344">
        <w:r>
          <w:rPr>
            <w:color w:val="005DA1"/>
            <w:position w:val="5"/>
            <w:sz w:val="14"/>
            <w:u w:val="single" w:color="005DA1"/>
          </w:rPr>
          <w:t>1247</w:t>
        </w:r>
      </w:hyperlink>
      <w:r>
        <w:rPr>
          <w:position w:val="5"/>
          <w:sz w:val="14"/>
        </w:rPr>
        <w:t>.</w:t>
      </w:r>
      <w:r>
        <w:rPr>
          <w:spacing w:val="80"/>
          <w:w w:val="150"/>
          <w:position w:val="5"/>
          <w:sz w:val="14"/>
        </w:rPr>
        <w:t> </w:t>
      </w:r>
      <w:r>
        <w:rPr>
          <w:rFonts w:ascii="Arial" w:hAnsi="Arial"/>
          <w:i/>
          <w:sz w:val="20"/>
        </w:rPr>
        <w:t>D’Almedia</w:t>
      </w:r>
      <w:r>
        <w:rPr>
          <w:rFonts w:ascii="Arial" w:hAnsi="Arial"/>
          <w:i/>
          <w:spacing w:val="-1"/>
          <w:sz w:val="20"/>
        </w:rPr>
        <w:t> </w:t>
      </w:r>
      <w:r>
        <w:rPr>
          <w:rFonts w:ascii="Arial" w:hAnsi="Arial"/>
          <w:i/>
          <w:sz w:val="20"/>
        </w:rPr>
        <w:t>Araujo</w:t>
      </w:r>
      <w:r>
        <w:rPr>
          <w:rFonts w:ascii="Arial" w:hAnsi="Arial"/>
          <w:i/>
          <w:spacing w:val="-1"/>
          <w:sz w:val="20"/>
        </w:rPr>
        <w:t> </w:t>
      </w:r>
      <w:r>
        <w:rPr>
          <w:rFonts w:ascii="Arial" w:hAnsi="Arial"/>
          <w:i/>
          <w:sz w:val="20"/>
        </w:rPr>
        <w:t>Lda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Sir</w:t>
      </w:r>
      <w:r>
        <w:rPr>
          <w:rFonts w:ascii="Arial" w:hAnsi="Arial"/>
          <w:i/>
          <w:spacing w:val="-1"/>
          <w:sz w:val="20"/>
        </w:rPr>
        <w:t> </w:t>
      </w:r>
      <w:r>
        <w:rPr>
          <w:rFonts w:ascii="Arial" w:hAnsi="Arial"/>
          <w:i/>
          <w:sz w:val="20"/>
        </w:rPr>
        <w:t>Frederick</w:t>
      </w:r>
      <w:r>
        <w:rPr>
          <w:rFonts w:ascii="Arial" w:hAnsi="Arial"/>
          <w:i/>
          <w:spacing w:val="-1"/>
          <w:sz w:val="20"/>
        </w:rPr>
        <w:t> </w:t>
      </w:r>
      <w:r>
        <w:rPr>
          <w:rFonts w:ascii="Arial" w:hAnsi="Arial"/>
          <w:i/>
          <w:sz w:val="20"/>
        </w:rPr>
        <w:t>Becker</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[1953]</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329</w:t>
      </w:r>
      <w:r>
        <w:rPr>
          <w:rFonts w:ascii="Arial" w:hAnsi="Arial"/>
          <w:i/>
          <w:spacing w:val="-2"/>
          <w:sz w:val="20"/>
        </w:rPr>
        <w:t> </w:t>
      </w:r>
      <w:r>
        <w:rPr>
          <w:sz w:val="20"/>
        </w:rPr>
        <w:t>(where</w:t>
      </w:r>
      <w:r>
        <w:rPr>
          <w:spacing w:val="-1"/>
          <w:sz w:val="20"/>
        </w:rPr>
        <w:t> </w:t>
      </w:r>
      <w:r>
        <w:rPr>
          <w:sz w:val="20"/>
        </w:rPr>
        <w:t>the</w:t>
      </w:r>
      <w:r>
        <w:rPr>
          <w:spacing w:val="-1"/>
          <w:sz w:val="20"/>
        </w:rPr>
        <w:t> </w:t>
      </w:r>
      <w:r>
        <w:rPr>
          <w:sz w:val="20"/>
        </w:rPr>
        <w:t>question</w:t>
      </w:r>
      <w:r>
        <w:rPr>
          <w:spacing w:val="-1"/>
          <w:sz w:val="20"/>
        </w:rPr>
        <w:t> </w:t>
      </w:r>
      <w:r>
        <w:rPr>
          <w:sz w:val="20"/>
        </w:rPr>
        <w:t>of the existence of a duty to mitigate damage was also said to be governed by the law </w:t>
      </w:r>
      <w:r>
        <w:rPr>
          <w:sz w:val="20"/>
        </w:rPr>
        <w:t>applicable to the contract); </w:t>
      </w:r>
      <w:r>
        <w:rPr>
          <w:rFonts w:ascii="Arial" w:hAnsi="Arial"/>
          <w:i/>
          <w:sz w:val="20"/>
        </w:rPr>
        <w:t>Livesley v Clemens Horst Co [1925] 1 D.L.R. 159</w:t>
      </w:r>
      <w:r>
        <w:rPr>
          <w:sz w:val="20"/>
        </w:rPr>
        <w:t>. A contractual term which limits the obligation to pay damages for a breach of contract or a statutory provision which is deemed</w:t>
      </w:r>
      <w:r>
        <w:rPr>
          <w:spacing w:val="-1"/>
          <w:sz w:val="20"/>
        </w:rPr>
        <w:t> </w:t>
      </w:r>
      <w:r>
        <w:rPr>
          <w:sz w:val="20"/>
        </w:rPr>
        <w:t>to</w:t>
      </w:r>
      <w:r>
        <w:rPr>
          <w:spacing w:val="-1"/>
          <w:sz w:val="20"/>
        </w:rPr>
        <w:t> </w:t>
      </w:r>
      <w:r>
        <w:rPr>
          <w:sz w:val="20"/>
        </w:rPr>
        <w:t>operate</w:t>
      </w:r>
      <w:r>
        <w:rPr>
          <w:spacing w:val="-1"/>
          <w:sz w:val="20"/>
        </w:rPr>
        <w:t> </w:t>
      </w:r>
      <w:r>
        <w:rPr>
          <w:sz w:val="20"/>
        </w:rPr>
        <w:t>as</w:t>
      </w:r>
      <w:r>
        <w:rPr>
          <w:spacing w:val="-1"/>
          <w:sz w:val="20"/>
        </w:rPr>
        <w:t> </w:t>
      </w:r>
      <w:r>
        <w:rPr>
          <w:sz w:val="20"/>
        </w:rPr>
        <w:t>such</w:t>
      </w:r>
      <w:r>
        <w:rPr>
          <w:spacing w:val="-1"/>
          <w:sz w:val="20"/>
        </w:rPr>
        <w:t> </w:t>
      </w:r>
      <w:r>
        <w:rPr>
          <w:sz w:val="20"/>
        </w:rPr>
        <w:t>a</w:t>
      </w:r>
      <w:r>
        <w:rPr>
          <w:spacing w:val="-1"/>
          <w:sz w:val="20"/>
        </w:rPr>
        <w:t> </w:t>
      </w:r>
      <w:r>
        <w:rPr>
          <w:sz w:val="20"/>
        </w:rPr>
        <w:t>term</w:t>
      </w:r>
      <w:r>
        <w:rPr>
          <w:spacing w:val="-1"/>
          <w:sz w:val="20"/>
        </w:rPr>
        <w:t> </w:t>
      </w:r>
      <w:r>
        <w:rPr>
          <w:sz w:val="20"/>
        </w:rPr>
        <w:t>has</w:t>
      </w:r>
      <w:r>
        <w:rPr>
          <w:spacing w:val="-1"/>
          <w:sz w:val="20"/>
        </w:rPr>
        <w:t> </w:t>
      </w:r>
      <w:r>
        <w:rPr>
          <w:sz w:val="20"/>
        </w:rPr>
        <w:t>been</w:t>
      </w:r>
      <w:r>
        <w:rPr>
          <w:spacing w:val="-1"/>
          <w:sz w:val="20"/>
        </w:rPr>
        <w:t> </w:t>
      </w:r>
      <w:r>
        <w:rPr>
          <w:sz w:val="20"/>
        </w:rPr>
        <w:t>held</w:t>
      </w:r>
      <w:r>
        <w:rPr>
          <w:spacing w:val="-1"/>
          <w:sz w:val="20"/>
        </w:rPr>
        <w:t> </w:t>
      </w:r>
      <w:r>
        <w:rPr>
          <w:sz w:val="20"/>
        </w:rPr>
        <w:t>to</w:t>
      </w:r>
      <w:r>
        <w:rPr>
          <w:spacing w:val="-1"/>
          <w:sz w:val="20"/>
        </w:rPr>
        <w:t> </w:t>
      </w:r>
      <w:r>
        <w:rPr>
          <w:sz w:val="20"/>
        </w:rPr>
        <w:t>be</w:t>
      </w:r>
      <w:r>
        <w:rPr>
          <w:spacing w:val="-1"/>
          <w:sz w:val="20"/>
        </w:rPr>
        <w:t> </w:t>
      </w:r>
      <w:r>
        <w:rPr>
          <w:sz w:val="20"/>
        </w:rPr>
        <w:t>substantive</w:t>
      </w:r>
      <w:r>
        <w:rPr>
          <w:spacing w:val="-1"/>
          <w:sz w:val="20"/>
        </w:rPr>
        <w:t> </w:t>
      </w:r>
      <w:r>
        <w:rPr>
          <w:sz w:val="20"/>
        </w:rPr>
        <w:t>at</w:t>
      </w:r>
      <w:r>
        <w:rPr>
          <w:spacing w:val="-1"/>
          <w:sz w:val="20"/>
        </w:rPr>
        <w:t> </w:t>
      </w:r>
      <w:r>
        <w:rPr>
          <w:sz w:val="20"/>
        </w:rPr>
        <w:t>common</w:t>
      </w:r>
      <w:r>
        <w:rPr>
          <w:spacing w:val="-1"/>
          <w:sz w:val="20"/>
        </w:rPr>
        <w:t> </w:t>
      </w:r>
      <w:r>
        <w:rPr>
          <w:sz w:val="20"/>
        </w:rPr>
        <w:t>law:</w:t>
      </w:r>
      <w:r>
        <w:rPr>
          <w:spacing w:val="-1"/>
          <w:sz w:val="20"/>
        </w:rPr>
        <w:t> </w:t>
      </w:r>
      <w:r>
        <w:rPr>
          <w:sz w:val="20"/>
        </w:rPr>
        <w:t>see</w:t>
      </w:r>
      <w:r>
        <w:rPr>
          <w:spacing w:val="-2"/>
          <w:sz w:val="20"/>
        </w:rPr>
        <w:t> </w:t>
      </w:r>
      <w:r>
        <w:rPr>
          <w:rFonts w:ascii="Arial" w:hAnsi="Arial"/>
          <w:i/>
          <w:sz w:val="20"/>
        </w:rPr>
        <w:t>Cope</w:t>
      </w:r>
      <w:r>
        <w:rPr>
          <w:rFonts w:ascii="Arial" w:hAnsi="Arial"/>
          <w:i/>
          <w:spacing w:val="-1"/>
          <w:sz w:val="20"/>
        </w:rPr>
        <w:t> </w:t>
      </w:r>
      <w:r>
        <w:rPr>
          <w:rFonts w:ascii="Arial" w:hAnsi="Arial"/>
          <w:i/>
          <w:sz w:val="20"/>
        </w:rPr>
        <w:t>v Doherty (1858) 2 De G. &amp;J. 614 </w:t>
      </w:r>
      <w:r>
        <w:rPr>
          <w:sz w:val="20"/>
        </w:rPr>
        <w:t>at 626; </w:t>
      </w:r>
      <w:r>
        <w:rPr>
          <w:rFonts w:ascii="Arial" w:hAnsi="Arial"/>
          <w:i/>
          <w:sz w:val="20"/>
        </w:rPr>
        <w:t>Allen J. Panozza &amp; Co Pty Ltd v Allied Interstate (Qld) Pty</w:t>
      </w:r>
      <w:r>
        <w:rPr>
          <w:rFonts w:ascii="Arial" w:hAnsi="Arial"/>
          <w:i/>
          <w:spacing w:val="3"/>
          <w:sz w:val="20"/>
        </w:rPr>
        <w:t> </w:t>
      </w:r>
      <w:r>
        <w:rPr>
          <w:rFonts w:ascii="Arial" w:hAnsi="Arial"/>
          <w:i/>
          <w:sz w:val="20"/>
        </w:rPr>
        <w:t>Ltd</w:t>
      </w:r>
      <w:r>
        <w:rPr>
          <w:rFonts w:ascii="Arial" w:hAnsi="Arial"/>
          <w:i/>
          <w:spacing w:val="4"/>
          <w:sz w:val="20"/>
        </w:rPr>
        <w:t> </w:t>
      </w:r>
      <w:r>
        <w:rPr>
          <w:rFonts w:ascii="Arial" w:hAnsi="Arial"/>
          <w:i/>
          <w:sz w:val="20"/>
        </w:rPr>
        <w:t>[1976]</w:t>
      </w:r>
      <w:r>
        <w:rPr>
          <w:rFonts w:ascii="Arial" w:hAnsi="Arial"/>
          <w:i/>
          <w:spacing w:val="4"/>
          <w:sz w:val="20"/>
        </w:rPr>
        <w:t> </w:t>
      </w:r>
      <w:r>
        <w:rPr>
          <w:rFonts w:ascii="Arial" w:hAnsi="Arial"/>
          <w:i/>
          <w:sz w:val="20"/>
        </w:rPr>
        <w:t>2</w:t>
      </w:r>
      <w:r>
        <w:rPr>
          <w:rFonts w:ascii="Arial" w:hAnsi="Arial"/>
          <w:i/>
          <w:spacing w:val="4"/>
          <w:sz w:val="20"/>
        </w:rPr>
        <w:t> </w:t>
      </w:r>
      <w:r>
        <w:rPr>
          <w:rFonts w:ascii="Arial" w:hAnsi="Arial"/>
          <w:i/>
          <w:sz w:val="20"/>
        </w:rPr>
        <w:t>N.S.W.L.R.</w:t>
      </w:r>
      <w:r>
        <w:rPr>
          <w:rFonts w:ascii="Arial" w:hAnsi="Arial"/>
          <w:i/>
          <w:spacing w:val="4"/>
          <w:sz w:val="20"/>
        </w:rPr>
        <w:t> </w:t>
      </w:r>
      <w:r>
        <w:rPr>
          <w:rFonts w:ascii="Arial" w:hAnsi="Arial"/>
          <w:i/>
          <w:sz w:val="20"/>
        </w:rPr>
        <w:t>192,</w:t>
      </w:r>
      <w:r>
        <w:rPr>
          <w:rFonts w:ascii="Arial" w:hAnsi="Arial"/>
          <w:i/>
          <w:spacing w:val="4"/>
          <w:sz w:val="20"/>
        </w:rPr>
        <w:t> </w:t>
      </w:r>
      <w:r>
        <w:rPr>
          <w:rFonts w:ascii="Arial" w:hAnsi="Arial"/>
          <w:i/>
          <w:sz w:val="20"/>
        </w:rPr>
        <w:t>196–197</w:t>
      </w:r>
      <w:r>
        <w:rPr>
          <w:sz w:val="20"/>
        </w:rPr>
        <w:t>;</w:t>
      </w:r>
      <w:r>
        <w:rPr>
          <w:spacing w:val="4"/>
          <w:sz w:val="20"/>
        </w:rPr>
        <w:t> </w:t>
      </w:r>
      <w:r>
        <w:rPr>
          <w:rFonts w:ascii="Arial" w:hAnsi="Arial"/>
          <w:i/>
          <w:sz w:val="20"/>
        </w:rPr>
        <w:t>Harding</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Wealands</w:t>
      </w:r>
      <w:r>
        <w:rPr>
          <w:rFonts w:ascii="Arial" w:hAnsi="Arial"/>
          <w:i/>
          <w:spacing w:val="4"/>
          <w:sz w:val="20"/>
        </w:rPr>
        <w:t> </w:t>
      </w:r>
      <w:r>
        <w:rPr>
          <w:rFonts w:ascii="Arial" w:hAnsi="Arial"/>
          <w:i/>
          <w:sz w:val="20"/>
        </w:rPr>
        <w:t>[2006]</w:t>
      </w:r>
      <w:r>
        <w:rPr>
          <w:rFonts w:ascii="Arial" w:hAnsi="Arial"/>
          <w:i/>
          <w:spacing w:val="4"/>
          <w:sz w:val="20"/>
        </w:rPr>
        <w:t> </w:t>
      </w:r>
      <w:r>
        <w:rPr>
          <w:rFonts w:ascii="Arial" w:hAnsi="Arial"/>
          <w:i/>
          <w:sz w:val="20"/>
        </w:rPr>
        <w:t>UKHL</w:t>
      </w:r>
      <w:r>
        <w:rPr>
          <w:rFonts w:ascii="Arial" w:hAnsi="Arial"/>
          <w:i/>
          <w:spacing w:val="4"/>
          <w:sz w:val="20"/>
        </w:rPr>
        <w:t> </w:t>
      </w:r>
      <w:r>
        <w:rPr>
          <w:rFonts w:ascii="Arial" w:hAnsi="Arial"/>
          <w:i/>
          <w:sz w:val="20"/>
        </w:rPr>
        <w:t>32,</w:t>
      </w:r>
      <w:r>
        <w:rPr>
          <w:rFonts w:ascii="Arial" w:hAnsi="Arial"/>
          <w:i/>
          <w:spacing w:val="4"/>
          <w:sz w:val="20"/>
        </w:rPr>
        <w:t> </w:t>
      </w:r>
      <w:r>
        <w:rPr>
          <w:rFonts w:ascii="Arial" w:hAnsi="Arial"/>
          <w:i/>
          <w:sz w:val="20"/>
        </w:rPr>
        <w:t>[2007]</w:t>
      </w:r>
      <w:r>
        <w:rPr>
          <w:rFonts w:ascii="Arial" w:hAnsi="Arial"/>
          <w:i/>
          <w:spacing w:val="4"/>
          <w:sz w:val="20"/>
        </w:rPr>
        <w:t> </w:t>
      </w:r>
      <w:r>
        <w:rPr>
          <w:rFonts w:ascii="Arial" w:hAnsi="Arial"/>
          <w:i/>
          <w:sz w:val="20"/>
        </w:rPr>
        <w:t>2</w:t>
      </w:r>
      <w:r>
        <w:rPr>
          <w:rFonts w:ascii="Arial" w:hAnsi="Arial"/>
          <w:i/>
          <w:spacing w:val="4"/>
          <w:sz w:val="20"/>
        </w:rPr>
        <w:t> </w:t>
      </w:r>
      <w:r>
        <w:rPr>
          <w:rFonts w:ascii="Arial" w:hAnsi="Arial"/>
          <w:i/>
          <w:spacing w:val="-4"/>
          <w:sz w:val="20"/>
        </w:rPr>
        <w:t>A.C.</w:t>
      </w:r>
    </w:p>
    <w:p>
      <w:pPr>
        <w:spacing w:line="235" w:lineRule="auto" w:before="0"/>
        <w:ind w:left="705" w:right="168" w:firstLine="0"/>
        <w:jc w:val="both"/>
        <w:rPr>
          <w:sz w:val="20"/>
        </w:rPr>
      </w:pPr>
      <w:r>
        <w:rPr>
          <w:rFonts w:ascii="Arial" w:hAnsi="Arial"/>
          <w:i/>
          <w:sz w:val="20"/>
        </w:rPr>
        <w:t>1 </w:t>
      </w:r>
      <w:r>
        <w:rPr>
          <w:sz w:val="20"/>
        </w:rPr>
        <w:t>at [44]–[46]; and see </w:t>
      </w:r>
      <w:r>
        <w:rPr>
          <w:rFonts w:ascii="Arial" w:hAnsi="Arial"/>
          <w:i/>
          <w:sz w:val="20"/>
        </w:rPr>
        <w:t>Stevens v Head (1993) 176 C.L.R. 433, 458</w:t>
      </w:r>
      <w:r>
        <w:rPr>
          <w:sz w:val="20"/>
        </w:rPr>
        <w:t>. See also </w:t>
      </w:r>
      <w:r>
        <w:rPr>
          <w:rFonts w:ascii="Arial" w:hAnsi="Arial"/>
          <w:i/>
          <w:sz w:val="20"/>
        </w:rPr>
        <w:t>Boys v </w:t>
      </w:r>
      <w:r>
        <w:rPr>
          <w:rFonts w:ascii="Arial" w:hAnsi="Arial"/>
          <w:i/>
          <w:sz w:val="20"/>
        </w:rPr>
        <w:t>Chaplin [1971] A.C. 356</w:t>
      </w:r>
      <w:r>
        <w:rPr>
          <w:sz w:val="20"/>
        </w:rPr>
        <w:t>; Dicey, Morris and Collins, 15th edn (2012), para.32–154.</w:t>
      </w:r>
    </w:p>
    <w:p>
      <w:pPr>
        <w:pStyle w:val="BodyText"/>
        <w:spacing w:before="7"/>
      </w:pPr>
    </w:p>
    <w:p>
      <w:pPr>
        <w:spacing w:line="235" w:lineRule="auto" w:before="0"/>
        <w:ind w:left="705" w:right="168" w:hanging="541"/>
        <w:jc w:val="both"/>
        <w:rPr>
          <w:sz w:val="20"/>
        </w:rPr>
      </w:pPr>
      <w:bookmarkStart w:name="_bookmark2454" w:id="2456"/>
      <w:bookmarkEnd w:id="2456"/>
      <w:r>
        <w:rPr/>
      </w:r>
      <w:hyperlink w:history="true" w:anchor="_bookmark2345">
        <w:r>
          <w:rPr>
            <w:color w:val="005DA1"/>
            <w:position w:val="5"/>
            <w:sz w:val="14"/>
            <w:u w:val="single" w:color="005DA1"/>
          </w:rPr>
          <w:t>1248</w:t>
        </w:r>
      </w:hyperlink>
      <w:r>
        <w:rPr>
          <w:position w:val="5"/>
          <w:sz w:val="14"/>
        </w:rPr>
        <w:t>.</w:t>
      </w:r>
      <w:r>
        <w:rPr>
          <w:spacing w:val="80"/>
          <w:position w:val="5"/>
          <w:sz w:val="14"/>
        </w:rPr>
        <w:t> </w:t>
      </w:r>
      <w:r>
        <w:rPr>
          <w:rFonts w:ascii="Arial" w:hAnsi="Arial"/>
          <w:i/>
          <w:sz w:val="20"/>
        </w:rPr>
        <w:t>D’Almedia Araujo Lda v Sir Frederick Becker &amp; Co Ltd [1953] 2 Q.B. 328, 338</w:t>
      </w:r>
      <w:r>
        <w:rPr>
          <w:sz w:val="20"/>
        </w:rPr>
        <w:t>; </w:t>
      </w:r>
      <w:r>
        <w:rPr>
          <w:rFonts w:ascii="Arial" w:hAnsi="Arial"/>
          <w:i/>
          <w:sz w:val="20"/>
        </w:rPr>
        <w:t>Livesley v Clemens Horst Co [1925] 1 D.L.R. 159</w:t>
      </w:r>
      <w:r>
        <w:rPr>
          <w:sz w:val="20"/>
        </w:rPr>
        <w:t>; see also </w:t>
      </w:r>
      <w:r>
        <w:rPr>
          <w:rFonts w:ascii="Arial" w:hAnsi="Arial"/>
          <w:i/>
          <w:sz w:val="20"/>
        </w:rPr>
        <w:t>Harding v Wealands [2006] UKHL 32</w:t>
      </w:r>
      <w:r>
        <w:rPr>
          <w:sz w:val="20"/>
        </w:rPr>
        <w:t>; </w:t>
      </w:r>
      <w:r>
        <w:rPr>
          <w:rFonts w:ascii="Arial" w:hAnsi="Arial"/>
          <w:i/>
          <w:sz w:val="20"/>
        </w:rPr>
        <w:t>Boys </w:t>
      </w:r>
      <w:r>
        <w:rPr>
          <w:rFonts w:ascii="Arial" w:hAnsi="Arial"/>
          <w:i/>
          <w:sz w:val="20"/>
        </w:rPr>
        <w:t>v Chaplin</w:t>
      </w:r>
      <w:r>
        <w:rPr>
          <w:rFonts w:ascii="Arial" w:hAnsi="Arial"/>
          <w:i/>
          <w:spacing w:val="-3"/>
          <w:sz w:val="20"/>
        </w:rPr>
        <w:t> </w:t>
      </w:r>
      <w:r>
        <w:rPr>
          <w:rFonts w:ascii="Arial" w:hAnsi="Arial"/>
          <w:i/>
          <w:sz w:val="20"/>
        </w:rPr>
        <w:t>[1971] A.C. 356, 378, 381–382, 383, 394</w:t>
      </w:r>
      <w:r>
        <w:rPr>
          <w:sz w:val="20"/>
        </w:rPr>
        <w:t>; </w:t>
      </w:r>
      <w:r>
        <w:rPr>
          <w:rFonts w:ascii="Arial" w:hAnsi="Arial"/>
          <w:i/>
          <w:sz w:val="20"/>
        </w:rPr>
        <w:t>Edmunds v Simmonds [2001] 1 W.L.R. </w:t>
      </w:r>
      <w:r>
        <w:rPr>
          <w:rFonts w:ascii="Arial" w:hAnsi="Arial"/>
          <w:i/>
          <w:spacing w:val="-2"/>
          <w:sz w:val="20"/>
        </w:rPr>
        <w:t>1003</w:t>
      </w:r>
      <w:r>
        <w:rPr>
          <w:spacing w:val="-2"/>
          <w:sz w:val="20"/>
        </w:rPr>
        <w:t>;</w:t>
      </w:r>
    </w:p>
    <w:p>
      <w:pPr>
        <w:spacing w:line="235" w:lineRule="auto" w:before="0"/>
        <w:ind w:left="705" w:right="167" w:firstLine="0"/>
        <w:jc w:val="both"/>
        <w:rPr>
          <w:rFonts w:ascii="Arial" w:hAnsi="Arial"/>
          <w:i/>
          <w:sz w:val="20"/>
        </w:rPr>
      </w:pPr>
      <w:r>
        <w:rPr>
          <w:rFonts w:ascii="Arial" w:hAnsi="Arial"/>
          <w:i/>
          <w:sz w:val="20"/>
        </w:rPr>
        <w:t>Hulse v Chambers [2001] 1 W.L.R. 2386</w:t>
      </w:r>
      <w:r>
        <w:rPr>
          <w:sz w:val="20"/>
        </w:rPr>
        <w:t>; </w:t>
      </w:r>
      <w:r>
        <w:rPr>
          <w:rFonts w:ascii="Arial" w:hAnsi="Arial"/>
          <w:i/>
          <w:sz w:val="20"/>
        </w:rPr>
        <w:t>Roerig v Valiant Trawlers Ltd [2002] EWCA Civ </w:t>
      </w:r>
      <w:r>
        <w:rPr>
          <w:rFonts w:ascii="Arial" w:hAnsi="Arial"/>
          <w:i/>
          <w:sz w:val="20"/>
        </w:rPr>
        <w:t>21, [2002] 1 W.L.R. 2304</w:t>
      </w:r>
      <w:r>
        <w:rPr>
          <w:sz w:val="20"/>
        </w:rPr>
        <w:t>; and material cited in preceding note. cf. </w:t>
      </w:r>
      <w:r>
        <w:rPr>
          <w:rFonts w:ascii="Arial" w:hAnsi="Arial"/>
          <w:i/>
          <w:sz w:val="20"/>
        </w:rPr>
        <w:t>John Pfeiffer Pty Ltd v Rogerson (2000)</w:t>
      </w:r>
      <w:r>
        <w:rPr>
          <w:rFonts w:ascii="Arial" w:hAnsi="Arial"/>
          <w:i/>
          <w:spacing w:val="1"/>
          <w:sz w:val="20"/>
        </w:rPr>
        <w:t> </w:t>
      </w:r>
      <w:r>
        <w:rPr>
          <w:rFonts w:ascii="Arial" w:hAnsi="Arial"/>
          <w:i/>
          <w:sz w:val="20"/>
        </w:rPr>
        <w:t>203</w:t>
      </w:r>
      <w:r>
        <w:rPr>
          <w:rFonts w:ascii="Arial" w:hAnsi="Arial"/>
          <w:i/>
          <w:spacing w:val="2"/>
          <w:sz w:val="20"/>
        </w:rPr>
        <w:t> </w:t>
      </w:r>
      <w:r>
        <w:rPr>
          <w:rFonts w:ascii="Arial" w:hAnsi="Arial"/>
          <w:i/>
          <w:sz w:val="20"/>
        </w:rPr>
        <w:t>C.L.R.</w:t>
      </w:r>
      <w:r>
        <w:rPr>
          <w:rFonts w:ascii="Arial" w:hAnsi="Arial"/>
          <w:i/>
          <w:spacing w:val="2"/>
          <w:sz w:val="20"/>
        </w:rPr>
        <w:t> </w:t>
      </w:r>
      <w:r>
        <w:rPr>
          <w:rFonts w:ascii="Arial" w:hAnsi="Arial"/>
          <w:i/>
          <w:sz w:val="20"/>
        </w:rPr>
        <w:t>503</w:t>
      </w:r>
      <w:r>
        <w:rPr>
          <w:sz w:val="20"/>
        </w:rPr>
        <w:t>;</w:t>
      </w:r>
      <w:r>
        <w:rPr>
          <w:spacing w:val="2"/>
          <w:sz w:val="20"/>
        </w:rPr>
        <w:t> </w:t>
      </w:r>
      <w:r>
        <w:rPr>
          <w:rFonts w:ascii="Arial" w:hAnsi="Arial"/>
          <w:i/>
          <w:sz w:val="20"/>
        </w:rPr>
        <w:t>Régie</w:t>
      </w:r>
      <w:r>
        <w:rPr>
          <w:rFonts w:ascii="Arial" w:hAnsi="Arial"/>
          <w:i/>
          <w:spacing w:val="2"/>
          <w:sz w:val="20"/>
        </w:rPr>
        <w:t> </w:t>
      </w:r>
      <w:r>
        <w:rPr>
          <w:rFonts w:ascii="Arial" w:hAnsi="Arial"/>
          <w:i/>
          <w:sz w:val="20"/>
        </w:rPr>
        <w:t>Nationale</w:t>
      </w:r>
      <w:r>
        <w:rPr>
          <w:rFonts w:ascii="Arial" w:hAnsi="Arial"/>
          <w:i/>
          <w:spacing w:val="2"/>
          <w:sz w:val="20"/>
        </w:rPr>
        <w:t> </w:t>
      </w:r>
      <w:r>
        <w:rPr>
          <w:rFonts w:ascii="Arial" w:hAnsi="Arial"/>
          <w:i/>
          <w:sz w:val="20"/>
        </w:rPr>
        <w:t>des</w:t>
      </w:r>
      <w:r>
        <w:rPr>
          <w:rFonts w:ascii="Arial" w:hAnsi="Arial"/>
          <w:i/>
          <w:spacing w:val="2"/>
          <w:sz w:val="20"/>
        </w:rPr>
        <w:t> </w:t>
      </w:r>
      <w:r>
        <w:rPr>
          <w:rFonts w:ascii="Arial" w:hAnsi="Arial"/>
          <w:i/>
          <w:sz w:val="20"/>
        </w:rPr>
        <w:t>Usines</w:t>
      </w:r>
      <w:r>
        <w:rPr>
          <w:rFonts w:ascii="Arial" w:hAnsi="Arial"/>
          <w:i/>
          <w:spacing w:val="2"/>
          <w:sz w:val="20"/>
        </w:rPr>
        <w:t> </w:t>
      </w:r>
      <w:r>
        <w:rPr>
          <w:rFonts w:ascii="Arial" w:hAnsi="Arial"/>
          <w:i/>
          <w:sz w:val="20"/>
        </w:rPr>
        <w:t>Renault</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Zhang</w:t>
      </w:r>
      <w:r>
        <w:rPr>
          <w:rFonts w:ascii="Arial" w:hAnsi="Arial"/>
          <w:i/>
          <w:spacing w:val="2"/>
          <w:sz w:val="20"/>
        </w:rPr>
        <w:t> </w:t>
      </w:r>
      <w:r>
        <w:rPr>
          <w:rFonts w:ascii="Arial" w:hAnsi="Arial"/>
          <w:i/>
          <w:sz w:val="20"/>
        </w:rPr>
        <w:t>(2003)</w:t>
      </w:r>
      <w:r>
        <w:rPr>
          <w:rFonts w:ascii="Arial" w:hAnsi="Arial"/>
          <w:i/>
          <w:spacing w:val="2"/>
          <w:sz w:val="20"/>
        </w:rPr>
        <w:t> </w:t>
      </w:r>
      <w:r>
        <w:rPr>
          <w:rFonts w:ascii="Arial" w:hAnsi="Arial"/>
          <w:i/>
          <w:sz w:val="20"/>
        </w:rPr>
        <w:t>210</w:t>
      </w:r>
      <w:r>
        <w:rPr>
          <w:rFonts w:ascii="Arial" w:hAnsi="Arial"/>
          <w:i/>
          <w:spacing w:val="2"/>
          <w:sz w:val="20"/>
        </w:rPr>
        <w:t> </w:t>
      </w:r>
      <w:r>
        <w:rPr>
          <w:rFonts w:ascii="Arial" w:hAnsi="Arial"/>
          <w:i/>
          <w:sz w:val="20"/>
        </w:rPr>
        <w:t>C.L.R.</w:t>
      </w:r>
      <w:r>
        <w:rPr>
          <w:rFonts w:ascii="Arial" w:hAnsi="Arial"/>
          <w:i/>
          <w:spacing w:val="2"/>
          <w:sz w:val="20"/>
        </w:rPr>
        <w:t> </w:t>
      </w:r>
      <w:r>
        <w:rPr>
          <w:rFonts w:ascii="Arial" w:hAnsi="Arial"/>
          <w:i/>
          <w:spacing w:val="-5"/>
          <w:sz w:val="20"/>
        </w:rPr>
        <w:t>491</w:t>
      </w:r>
    </w:p>
    <w:p>
      <w:pPr>
        <w:spacing w:line="225" w:lineRule="exact" w:before="0"/>
        <w:ind w:left="705" w:right="0" w:firstLine="0"/>
        <w:jc w:val="left"/>
        <w:rPr>
          <w:sz w:val="20"/>
        </w:rPr>
      </w:pPr>
      <w:r>
        <w:rPr>
          <w:spacing w:val="-10"/>
          <w:sz w:val="20"/>
        </w:rPr>
        <w:t>.</w:t>
      </w:r>
    </w:p>
    <w:p>
      <w:pPr>
        <w:pStyle w:val="BodyText"/>
        <w:spacing w:before="4"/>
      </w:pPr>
    </w:p>
    <w:p>
      <w:pPr>
        <w:pStyle w:val="BodyText"/>
        <w:ind w:left="165"/>
      </w:pPr>
      <w:bookmarkStart w:name="_bookmark2455" w:id="2457"/>
      <w:bookmarkEnd w:id="2457"/>
      <w:r>
        <w:rPr/>
      </w:r>
      <w:hyperlink w:history="true" w:anchor="_bookmark2346">
        <w:r>
          <w:rPr>
            <w:color w:val="005DA1"/>
            <w:position w:val="5"/>
            <w:sz w:val="14"/>
            <w:u w:val="single" w:color="005DA1"/>
          </w:rPr>
          <w:t>1249</w:t>
        </w:r>
      </w:hyperlink>
      <w:r>
        <w:rPr>
          <w:position w:val="5"/>
          <w:sz w:val="14"/>
        </w:rPr>
        <w:t>.</w:t>
      </w:r>
      <w:r>
        <w:rPr>
          <w:spacing w:val="55"/>
          <w:position w:val="5"/>
          <w:sz w:val="14"/>
        </w:rPr>
        <w:t>  </w:t>
      </w:r>
      <w:r>
        <w:rPr/>
        <w:t>As</w:t>
      </w:r>
      <w:r>
        <w:rPr>
          <w:spacing w:val="1"/>
        </w:rPr>
        <w:t> </w:t>
      </w:r>
      <w:r>
        <w:rPr/>
        <w:t>would the existence of a duty to mitigate damage: cf. above, </w:t>
      </w:r>
      <w:r>
        <w:rPr>
          <w:spacing w:val="-2"/>
        </w:rPr>
        <w:t>n.1250.</w:t>
      </w:r>
    </w:p>
    <w:p>
      <w:pPr>
        <w:pStyle w:val="BodyText"/>
        <w:spacing w:before="5"/>
      </w:pPr>
    </w:p>
    <w:p>
      <w:pPr>
        <w:pStyle w:val="BodyText"/>
        <w:ind w:left="165"/>
      </w:pPr>
      <w:bookmarkStart w:name="_bookmark2456" w:id="2458"/>
      <w:bookmarkEnd w:id="2458"/>
      <w:r>
        <w:rPr/>
      </w:r>
      <w:hyperlink w:history="true" w:anchor="_bookmark2347">
        <w:r>
          <w:rPr>
            <w:color w:val="005DA1"/>
            <w:position w:val="5"/>
            <w:sz w:val="14"/>
            <w:u w:val="single" w:color="005DA1"/>
          </w:rPr>
          <w:t>1250</w:t>
        </w:r>
      </w:hyperlink>
      <w:r>
        <w:rPr>
          <w:position w:val="5"/>
          <w:sz w:val="14"/>
        </w:rPr>
        <w:t>.</w:t>
      </w:r>
      <w:r>
        <w:rPr>
          <w:spacing w:val="55"/>
          <w:position w:val="5"/>
          <w:sz w:val="14"/>
        </w:rPr>
        <w:t>  </w:t>
      </w:r>
      <w:r>
        <w:rPr/>
        <w:t>Giuliano-Lagarde</w:t>
      </w:r>
      <w:r>
        <w:rPr>
          <w:spacing w:val="1"/>
        </w:rPr>
        <w:t> </w:t>
      </w:r>
      <w:r>
        <w:rPr/>
        <w:t>Report, </w:t>
      </w:r>
      <w:r>
        <w:rPr>
          <w:spacing w:val="-2"/>
        </w:rPr>
        <w:t>p.33.</w:t>
      </w:r>
    </w:p>
    <w:p>
      <w:pPr>
        <w:pStyle w:val="BodyText"/>
        <w:spacing w:after="0"/>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2348">
        <w:r>
          <w:rPr>
            <w:color w:val="005DA1"/>
            <w:position w:val="5"/>
            <w:sz w:val="14"/>
            <w:u w:val="single" w:color="005DA1"/>
          </w:rPr>
          <w:t>1251</w:t>
        </w:r>
      </w:hyperlink>
      <w:r>
        <w:rPr>
          <w:position w:val="5"/>
          <w:sz w:val="14"/>
        </w:rPr>
        <w:t>.</w:t>
      </w:r>
      <w:r>
        <w:rPr>
          <w:spacing w:val="80"/>
          <w:position w:val="5"/>
          <w:sz w:val="14"/>
        </w:rPr>
        <w:t> </w:t>
      </w:r>
      <w:r>
        <w:rPr>
          <w:sz w:val="20"/>
        </w:rPr>
        <w:t>Giuliano-Lagarde Report, p.33. In </w:t>
      </w:r>
      <w:r>
        <w:rPr>
          <w:rFonts w:ascii="Arial" w:hAnsi="Arial"/>
          <w:i/>
          <w:sz w:val="20"/>
        </w:rPr>
        <w:t>Harding v Wealands [2006] UKHL 32, [2007] 2 A.C. 1 </w:t>
      </w:r>
      <w:r>
        <w:rPr>
          <w:sz w:val="20"/>
        </w:rPr>
        <w:t>it was held that a statutory ceiling on damages in tort imposed by a foreign law was procedural rather than substantive and that the quantification of damages in tort was exclusively a matter for </w:t>
      </w:r>
      <w:r>
        <w:rPr>
          <w:sz w:val="20"/>
        </w:rPr>
        <w:t>the law of the forum. But it was accepted that a contractual term which limits the obligation to pay damages for breach of contract or a statutory provision which is deemed to operate as such a term was substantive: </w:t>
      </w:r>
      <w:r>
        <w:rPr>
          <w:rFonts w:ascii="Arial" w:hAnsi="Arial"/>
          <w:i/>
          <w:sz w:val="20"/>
        </w:rPr>
        <w:t>[2006] UKHL 32 </w:t>
      </w:r>
      <w:r>
        <w:rPr>
          <w:sz w:val="20"/>
        </w:rPr>
        <w:t>at [44]–[46]. In any event the views expressed in</w:t>
      </w:r>
      <w:r>
        <w:rPr>
          <w:spacing w:val="40"/>
          <w:sz w:val="20"/>
        </w:rPr>
        <w:t> </w:t>
      </w:r>
      <w:r>
        <w:rPr>
          <w:rFonts w:ascii="Arial" w:hAnsi="Arial"/>
          <w:i/>
          <w:sz w:val="20"/>
        </w:rPr>
        <w:t>Harding v Wealands</w:t>
      </w:r>
      <w:r>
        <w:rPr>
          <w:sz w:val="20"/>
        </w:rPr>
        <w:t>, above cannot affect the position under either the Rome Convention or the Rome I Regulation. See also </w:t>
      </w:r>
      <w:r>
        <w:rPr>
          <w:rFonts w:ascii="Arial" w:hAnsi="Arial"/>
          <w:i/>
          <w:sz w:val="20"/>
        </w:rPr>
        <w:t>Wall v Mutuelle de Poities Assurances [2014] EWCA Civ 138, [2014] 1 W.L.R. 4263</w:t>
      </w:r>
      <w:r>
        <w:rPr>
          <w:sz w:val="20"/>
        </w:rPr>
        <w:t>.</w:t>
      </w:r>
    </w:p>
    <w:p>
      <w:pPr>
        <w:pStyle w:val="BodyText"/>
        <w:spacing w:before="7"/>
      </w:pPr>
    </w:p>
    <w:p>
      <w:pPr>
        <w:spacing w:line="235" w:lineRule="auto" w:before="0"/>
        <w:ind w:left="705" w:right="168" w:hanging="541"/>
        <w:jc w:val="both"/>
        <w:rPr>
          <w:sz w:val="20"/>
        </w:rPr>
      </w:pPr>
      <w:bookmarkStart w:name="_bookmark2457" w:id="2459"/>
      <w:bookmarkEnd w:id="2459"/>
      <w:r>
        <w:rPr/>
      </w:r>
      <w:hyperlink w:history="true" w:anchor="_bookmark2349">
        <w:r>
          <w:rPr>
            <w:color w:val="005DA1"/>
            <w:position w:val="5"/>
            <w:sz w:val="14"/>
            <w:u w:val="single" w:color="005DA1"/>
          </w:rPr>
          <w:t>1252</w:t>
        </w:r>
      </w:hyperlink>
      <w:r>
        <w:rPr>
          <w:position w:val="5"/>
          <w:sz w:val="14"/>
        </w:rPr>
        <w:t>.</w:t>
      </w:r>
      <w:r>
        <w:rPr>
          <w:spacing w:val="80"/>
          <w:position w:val="5"/>
          <w:sz w:val="14"/>
        </w:rPr>
        <w:t> </w:t>
      </w:r>
      <w:r>
        <w:rPr>
          <w:sz w:val="20"/>
        </w:rPr>
        <w:t>Dicey, Morris and Collins, 15th edn (2012), para.32–153. And see </w:t>
      </w:r>
      <w:r>
        <w:rPr>
          <w:rFonts w:ascii="Arial" w:hAnsi="Arial"/>
          <w:i/>
          <w:sz w:val="20"/>
        </w:rPr>
        <w:t>Excalibur Ventures LLC v Texas Keystone Inc [2013] EWHC 2767 (Comm) </w:t>
      </w:r>
      <w:r>
        <w:rPr>
          <w:sz w:val="20"/>
        </w:rPr>
        <w:t>at [1422]–[1423] (date and </w:t>
      </w:r>
      <w:r>
        <w:rPr>
          <w:sz w:val="20"/>
        </w:rPr>
        <w:t>principles according to which damages are to be assessed a matter for law applicable to the contract).</w:t>
      </w:r>
    </w:p>
    <w:p>
      <w:pPr>
        <w:pStyle w:val="BodyText"/>
        <w:spacing w:before="5"/>
      </w:pPr>
    </w:p>
    <w:p>
      <w:pPr>
        <w:pStyle w:val="BodyText"/>
        <w:ind w:left="165"/>
      </w:pPr>
      <w:bookmarkStart w:name="_bookmark2458" w:id="2460"/>
      <w:bookmarkEnd w:id="2460"/>
      <w:r>
        <w:rPr/>
      </w:r>
      <w:hyperlink w:history="true" w:anchor="_bookmark2350">
        <w:r>
          <w:rPr>
            <w:color w:val="005DA1"/>
            <w:position w:val="5"/>
            <w:sz w:val="14"/>
            <w:u w:val="single" w:color="005DA1"/>
          </w:rPr>
          <w:t>1253</w:t>
        </w:r>
      </w:hyperlink>
      <w:r>
        <w:rPr>
          <w:position w:val="5"/>
          <w:sz w:val="14"/>
        </w:rPr>
        <w:t>.</w:t>
      </w:r>
      <w:r>
        <w:rPr>
          <w:spacing w:val="55"/>
          <w:position w:val="5"/>
          <w:sz w:val="14"/>
        </w:rPr>
        <w:t>  </w:t>
      </w:r>
      <w:r>
        <w:rPr/>
        <w:t>See,</w:t>
      </w:r>
      <w:r>
        <w:rPr>
          <w:spacing w:val="1"/>
        </w:rPr>
        <w:t> </w:t>
      </w:r>
      <w:r>
        <w:rPr/>
        <w:t>e.g. Sale of Goods Act 1979 ss.51(2) and (3); Vol.II, paras 44-387 et </w:t>
      </w:r>
      <w:r>
        <w:rPr>
          <w:spacing w:val="-4"/>
        </w:rPr>
        <w:t>seq.</w:t>
      </w:r>
    </w:p>
    <w:p>
      <w:pPr>
        <w:pStyle w:val="BodyText"/>
        <w:spacing w:before="9"/>
      </w:pPr>
    </w:p>
    <w:p>
      <w:pPr>
        <w:spacing w:line="235" w:lineRule="auto" w:before="0"/>
        <w:ind w:left="705" w:right="0" w:hanging="541"/>
        <w:jc w:val="left"/>
        <w:rPr>
          <w:sz w:val="20"/>
        </w:rPr>
      </w:pPr>
      <w:bookmarkStart w:name="_bookmark2459" w:id="2461"/>
      <w:bookmarkEnd w:id="2461"/>
      <w:r>
        <w:rPr/>
      </w:r>
      <w:hyperlink w:history="true" w:anchor="_bookmark2351">
        <w:r>
          <w:rPr>
            <w:color w:val="005DA1"/>
            <w:position w:val="5"/>
            <w:sz w:val="14"/>
            <w:u w:val="single" w:color="005DA1"/>
          </w:rPr>
          <w:t>1254</w:t>
        </w:r>
      </w:hyperlink>
      <w:r>
        <w:rPr>
          <w:position w:val="5"/>
          <w:sz w:val="14"/>
        </w:rPr>
        <w:t>.</w:t>
      </w:r>
      <w:r>
        <w:rPr>
          <w:spacing w:val="40"/>
          <w:position w:val="5"/>
          <w:sz w:val="14"/>
        </w:rPr>
        <w:t>  </w:t>
      </w:r>
      <w:r>
        <w:rPr>
          <w:sz w:val="20"/>
        </w:rPr>
        <w:t>See</w:t>
      </w:r>
      <w:r>
        <w:rPr>
          <w:spacing w:val="-1"/>
          <w:sz w:val="20"/>
        </w:rPr>
        <w:t> </w:t>
      </w:r>
      <w:r>
        <w:rPr>
          <w:sz w:val="20"/>
        </w:rPr>
        <w:t>Morse</w:t>
      </w:r>
      <w:r>
        <w:rPr>
          <w:spacing w:val="-1"/>
          <w:sz w:val="20"/>
        </w:rPr>
        <w:t> </w:t>
      </w:r>
      <w:r>
        <w:rPr>
          <w:sz w:val="20"/>
        </w:rPr>
        <w:t>(1982)</w:t>
      </w:r>
      <w:r>
        <w:rPr>
          <w:spacing w:val="-1"/>
          <w:sz w:val="20"/>
        </w:rPr>
        <w:t> </w:t>
      </w:r>
      <w:r>
        <w:rPr>
          <w:sz w:val="20"/>
        </w:rPr>
        <w:t>2</w:t>
      </w:r>
      <w:r>
        <w:rPr>
          <w:spacing w:val="-1"/>
          <w:sz w:val="20"/>
        </w:rPr>
        <w:t> </w:t>
      </w:r>
      <w:r>
        <w:rPr>
          <w:sz w:val="20"/>
        </w:rPr>
        <w:t>Ybk.</w:t>
      </w:r>
      <w:r>
        <w:rPr>
          <w:spacing w:val="-1"/>
          <w:sz w:val="20"/>
        </w:rPr>
        <w:t> </w:t>
      </w:r>
      <w:r>
        <w:rPr>
          <w:sz w:val="20"/>
        </w:rPr>
        <w:t>Eur.</w:t>
      </w:r>
      <w:r>
        <w:rPr>
          <w:spacing w:val="-1"/>
          <w:sz w:val="20"/>
        </w:rPr>
        <w:t> </w:t>
      </w:r>
      <w:r>
        <w:rPr>
          <w:sz w:val="20"/>
        </w:rPr>
        <w:t>L.</w:t>
      </w:r>
      <w:r>
        <w:rPr>
          <w:spacing w:val="-1"/>
          <w:sz w:val="20"/>
        </w:rPr>
        <w:t> </w:t>
      </w:r>
      <w:r>
        <w:rPr>
          <w:sz w:val="20"/>
        </w:rPr>
        <w:t>107,</w:t>
      </w:r>
      <w:r>
        <w:rPr>
          <w:spacing w:val="-1"/>
          <w:sz w:val="20"/>
        </w:rPr>
        <w:t> </w:t>
      </w:r>
      <w:r>
        <w:rPr>
          <w:sz w:val="20"/>
        </w:rPr>
        <w:t>154–155;</w:t>
      </w:r>
      <w:r>
        <w:rPr>
          <w:spacing w:val="-1"/>
          <w:sz w:val="20"/>
        </w:rPr>
        <w:t> </w:t>
      </w:r>
      <w:r>
        <w:rPr>
          <w:sz w:val="20"/>
        </w:rPr>
        <w:t>cf.</w:t>
      </w:r>
      <w:r>
        <w:rPr>
          <w:spacing w:val="-1"/>
          <w:sz w:val="20"/>
        </w:rPr>
        <w:t> </w:t>
      </w:r>
      <w:r>
        <w:rPr>
          <w:rFonts w:ascii="Arial" w:hAnsi="Arial"/>
          <w:i/>
          <w:sz w:val="20"/>
        </w:rPr>
        <w:t>The</w:t>
      </w:r>
      <w:r>
        <w:rPr>
          <w:rFonts w:ascii="Arial" w:hAnsi="Arial"/>
          <w:i/>
          <w:spacing w:val="-1"/>
          <w:sz w:val="20"/>
        </w:rPr>
        <w:t> </w:t>
      </w:r>
      <w:r>
        <w:rPr>
          <w:rFonts w:ascii="Arial" w:hAnsi="Arial"/>
          <w:i/>
          <w:sz w:val="20"/>
        </w:rPr>
        <w:t>Indian</w:t>
      </w:r>
      <w:r>
        <w:rPr>
          <w:rFonts w:ascii="Arial" w:hAnsi="Arial"/>
          <w:i/>
          <w:spacing w:val="-1"/>
          <w:sz w:val="20"/>
        </w:rPr>
        <w:t> </w:t>
      </w:r>
      <w:r>
        <w:rPr>
          <w:rFonts w:ascii="Arial" w:hAnsi="Arial"/>
          <w:i/>
          <w:sz w:val="20"/>
        </w:rPr>
        <w:t>Grace</w:t>
      </w:r>
      <w:r>
        <w:rPr>
          <w:rFonts w:ascii="Arial" w:hAnsi="Arial"/>
          <w:i/>
          <w:spacing w:val="-1"/>
          <w:sz w:val="20"/>
        </w:rPr>
        <w:t> </w:t>
      </w:r>
      <w:r>
        <w:rPr>
          <w:rFonts w:ascii="Arial" w:hAnsi="Arial"/>
          <w:i/>
          <w:sz w:val="20"/>
        </w:rPr>
        <w:t>[1992]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124</w:t>
      </w:r>
      <w:r>
        <w:rPr>
          <w:sz w:val="20"/>
        </w:rPr>
        <w:t>, reversed, on other grounds, </w:t>
      </w:r>
      <w:r>
        <w:rPr>
          <w:rFonts w:ascii="Arial" w:hAnsi="Arial"/>
          <w:i/>
          <w:sz w:val="20"/>
        </w:rPr>
        <w:t>sub nom. Republic of India v India S.S. Co [1993] A.C. 410</w:t>
      </w:r>
      <w:r>
        <w:rPr>
          <w:sz w:val="20"/>
        </w:rPr>
        <w:t>.</w:t>
      </w:r>
    </w:p>
    <w:p>
      <w:pPr>
        <w:pStyle w:val="BodyText"/>
        <w:spacing w:before="5"/>
      </w:pPr>
    </w:p>
    <w:p>
      <w:pPr>
        <w:spacing w:line="227" w:lineRule="exact" w:before="0"/>
        <w:ind w:left="165" w:right="0" w:firstLine="0"/>
        <w:jc w:val="left"/>
        <w:rPr>
          <w:rFonts w:ascii="Arial"/>
          <w:i/>
          <w:sz w:val="20"/>
        </w:rPr>
      </w:pPr>
      <w:bookmarkStart w:name="_bookmark2460" w:id="2462"/>
      <w:bookmarkEnd w:id="2462"/>
      <w:r>
        <w:rPr/>
      </w:r>
      <w:hyperlink w:history="true" w:anchor="_bookmark2352">
        <w:r>
          <w:rPr>
            <w:color w:val="005DA1"/>
            <w:position w:val="5"/>
            <w:sz w:val="14"/>
            <w:u w:val="single" w:color="005DA1"/>
          </w:rPr>
          <w:t>1255</w:t>
        </w:r>
      </w:hyperlink>
      <w:r>
        <w:rPr>
          <w:position w:val="5"/>
          <w:sz w:val="14"/>
        </w:rPr>
        <w:t>.</w:t>
      </w:r>
      <w:r>
        <w:rPr>
          <w:spacing w:val="55"/>
          <w:position w:val="5"/>
          <w:sz w:val="14"/>
        </w:rPr>
        <w:t>  </w:t>
      </w:r>
      <w:r>
        <w:rPr>
          <w:rFonts w:ascii="Arial"/>
          <w:i/>
          <w:sz w:val="20"/>
        </w:rPr>
        <w:t>Baschet</w:t>
      </w:r>
      <w:r>
        <w:rPr>
          <w:rFonts w:ascii="Arial"/>
          <w:i/>
          <w:spacing w:val="1"/>
          <w:sz w:val="20"/>
        </w:rPr>
        <w:t> </w:t>
      </w:r>
      <w:r>
        <w:rPr>
          <w:rFonts w:ascii="Arial"/>
          <w:i/>
          <w:sz w:val="20"/>
        </w:rPr>
        <w:t>v London Illustrated Standard Co [1900] 1</w:t>
      </w:r>
      <w:r>
        <w:rPr>
          <w:rFonts w:ascii="Arial"/>
          <w:i/>
          <w:spacing w:val="-1"/>
          <w:sz w:val="20"/>
        </w:rPr>
        <w:t> </w:t>
      </w:r>
      <w:r>
        <w:rPr>
          <w:rFonts w:ascii="Arial"/>
          <w:i/>
          <w:sz w:val="20"/>
        </w:rPr>
        <w:t>Ch. 73</w:t>
      </w:r>
      <w:r>
        <w:rPr>
          <w:sz w:val="20"/>
        </w:rPr>
        <w:t>; </w:t>
      </w:r>
      <w:r>
        <w:rPr>
          <w:rFonts w:ascii="Arial"/>
          <w:i/>
          <w:sz w:val="20"/>
        </w:rPr>
        <w:t>Boys v Chaplin [1971] A.C. 356, </w:t>
      </w:r>
      <w:r>
        <w:rPr>
          <w:rFonts w:ascii="Arial"/>
          <w:i/>
          <w:spacing w:val="-5"/>
          <w:sz w:val="20"/>
        </w:rPr>
        <w:t>394</w:t>
      </w:r>
    </w:p>
    <w:p>
      <w:pPr>
        <w:spacing w:line="235" w:lineRule="auto" w:before="2"/>
        <w:ind w:left="705" w:right="218" w:firstLine="0"/>
        <w:jc w:val="left"/>
        <w:rPr>
          <w:sz w:val="20"/>
        </w:rPr>
      </w:pPr>
      <w:r>
        <w:rPr>
          <w:sz w:val="20"/>
        </w:rPr>
        <w:t>; Dicey, Morris and Collins, 15th edn (2012), para.7–011. See also </w:t>
      </w:r>
      <w:r>
        <w:rPr>
          <w:rFonts w:ascii="Arial" w:hAnsi="Arial"/>
          <w:i/>
          <w:sz w:val="20"/>
        </w:rPr>
        <w:t>Warner Brothers </w:t>
      </w:r>
      <w:r>
        <w:rPr>
          <w:rFonts w:ascii="Arial" w:hAnsi="Arial"/>
          <w:i/>
          <w:sz w:val="20"/>
        </w:rPr>
        <w:t>Pictures</w:t>
      </w:r>
      <w:r>
        <w:rPr>
          <w:rFonts w:ascii="Arial" w:hAnsi="Arial"/>
          <w:i/>
          <w:spacing w:val="80"/>
          <w:w w:val="150"/>
          <w:sz w:val="20"/>
        </w:rPr>
        <w:t> </w:t>
      </w:r>
      <w:r>
        <w:rPr>
          <w:rFonts w:ascii="Arial" w:hAnsi="Arial"/>
          <w:i/>
          <w:sz w:val="20"/>
        </w:rPr>
        <w:t>Inc v Nelson [1937] 1 K.B. 209 </w:t>
      </w:r>
      <w:r>
        <w:rPr>
          <w:sz w:val="20"/>
        </w:rPr>
        <w:t>where the point was neither raised nor discussed.</w:t>
      </w:r>
    </w:p>
    <w:p>
      <w:pPr>
        <w:pStyle w:val="BodyText"/>
        <w:spacing w:before="9"/>
      </w:pPr>
    </w:p>
    <w:p>
      <w:pPr>
        <w:pStyle w:val="BodyText"/>
        <w:spacing w:line="235" w:lineRule="auto"/>
        <w:ind w:left="705" w:right="167" w:hanging="541"/>
        <w:jc w:val="both"/>
      </w:pPr>
      <w:bookmarkStart w:name="_bookmark2461" w:id="2463"/>
      <w:bookmarkEnd w:id="2463"/>
      <w:r>
        <w:rPr/>
      </w:r>
      <w:hyperlink w:history="true" w:anchor="_bookmark2353">
        <w:r>
          <w:rPr>
            <w:color w:val="005DA1"/>
            <w:position w:val="5"/>
            <w:sz w:val="14"/>
            <w:u w:val="single" w:color="005DA1"/>
          </w:rPr>
          <w:t>1256</w:t>
        </w:r>
      </w:hyperlink>
      <w:r>
        <w:rPr>
          <w:position w:val="5"/>
          <w:sz w:val="14"/>
        </w:rPr>
        <w:t>.</w:t>
      </w:r>
      <w:r>
        <w:rPr>
          <w:spacing w:val="40"/>
          <w:position w:val="5"/>
          <w:sz w:val="14"/>
        </w:rPr>
        <w:t> </w:t>
      </w:r>
      <w:r>
        <w:rPr/>
        <w:t>Dicey, Morris and Collins, 15th edn (2012), para.32–155; Cheshire, North and Fawcett, pp.755–757. Dicta in </w:t>
      </w:r>
      <w:r>
        <w:rPr>
          <w:rFonts w:ascii="Arial" w:hAnsi="Arial"/>
          <w:i/>
        </w:rPr>
        <w:t>Harding v Wealands [2006] UKHL 32, [2007] 2 A.C. 1 </w:t>
      </w:r>
      <w:r>
        <w:rPr/>
        <w:t>at [32] suggest that the nature of the available remedy is a matter of procedure, at common law, but this cannot affect the position under either the Rome Convention or the Rome I Regulation.</w:t>
      </w:r>
    </w:p>
    <w:p>
      <w:pPr>
        <w:pStyle w:val="BodyText"/>
        <w:spacing w:before="8"/>
      </w:pPr>
    </w:p>
    <w:p>
      <w:pPr>
        <w:spacing w:line="235" w:lineRule="auto" w:before="0"/>
        <w:ind w:left="705" w:right="167" w:hanging="541"/>
        <w:jc w:val="both"/>
        <w:rPr>
          <w:sz w:val="20"/>
        </w:rPr>
      </w:pPr>
      <w:bookmarkStart w:name="_bookmark2462" w:id="2464"/>
      <w:bookmarkEnd w:id="2464"/>
      <w:r>
        <w:rPr/>
      </w:r>
      <w:hyperlink w:history="true" w:anchor="_bookmark2354">
        <w:r>
          <w:rPr>
            <w:color w:val="005DA1"/>
            <w:position w:val="5"/>
            <w:sz w:val="14"/>
            <w:u w:val="single" w:color="005DA1"/>
          </w:rPr>
          <w:t>1257</w:t>
        </w:r>
      </w:hyperlink>
      <w:r>
        <w:rPr>
          <w:position w:val="5"/>
          <w:sz w:val="14"/>
        </w:rPr>
        <w:t>.</w:t>
      </w:r>
      <w:r>
        <w:rPr>
          <w:spacing w:val="80"/>
          <w:position w:val="5"/>
          <w:sz w:val="14"/>
        </w:rPr>
        <w:t> </w:t>
      </w:r>
      <w:r>
        <w:rPr>
          <w:sz w:val="20"/>
        </w:rPr>
        <w:t>This refers to a final injunction. The right to an interlocutory injunction would seem to be a</w:t>
      </w:r>
      <w:r>
        <w:rPr>
          <w:spacing w:val="80"/>
          <w:sz w:val="20"/>
        </w:rPr>
        <w:t> </w:t>
      </w:r>
      <w:r>
        <w:rPr>
          <w:sz w:val="20"/>
        </w:rPr>
        <w:t>matter of procedure for the lex fori as would other forms of interlocutory relief. See for </w:t>
      </w:r>
      <w:r>
        <w:rPr>
          <w:sz w:val="20"/>
        </w:rPr>
        <w:t>the position under the Rome II Regulation </w:t>
      </w:r>
      <w:r>
        <w:rPr>
          <w:rFonts w:ascii="Arial"/>
          <w:i/>
          <w:sz w:val="20"/>
        </w:rPr>
        <w:t>Actavis UK Ltd v Eli Lilly &amp; Co [2014] EWHC 1511 (Pat), [2014] 4 All E.R. 331</w:t>
      </w:r>
      <w:r>
        <w:rPr>
          <w:sz w:val="20"/>
        </w:rPr>
        <w:t>.</w:t>
      </w:r>
    </w:p>
    <w:p>
      <w:pPr>
        <w:pStyle w:val="BodyText"/>
        <w:spacing w:before="5"/>
      </w:pPr>
    </w:p>
    <w:p>
      <w:pPr>
        <w:spacing w:before="0"/>
        <w:ind w:left="165" w:right="0" w:firstLine="0"/>
        <w:jc w:val="left"/>
        <w:rPr>
          <w:sz w:val="20"/>
        </w:rPr>
      </w:pPr>
      <w:bookmarkStart w:name="_bookmark2463" w:id="2465"/>
      <w:bookmarkEnd w:id="2465"/>
      <w:r>
        <w:rPr/>
      </w:r>
      <w:hyperlink w:history="true" w:anchor="_bookmark2355">
        <w:r>
          <w:rPr>
            <w:color w:val="005DA1"/>
            <w:position w:val="5"/>
            <w:sz w:val="14"/>
            <w:u w:val="single" w:color="005DA1"/>
          </w:rPr>
          <w:t>1258</w:t>
        </w:r>
      </w:hyperlink>
      <w:r>
        <w:rPr>
          <w:position w:val="5"/>
          <w:sz w:val="14"/>
        </w:rPr>
        <w:t>.</w:t>
      </w:r>
      <w:r>
        <w:rPr>
          <w:spacing w:val="55"/>
          <w:position w:val="5"/>
          <w:sz w:val="14"/>
        </w:rPr>
        <w:t>  </w:t>
      </w:r>
      <w:r>
        <w:rPr>
          <w:sz w:val="20"/>
        </w:rPr>
        <w:t>See</w:t>
      </w:r>
      <w:r>
        <w:rPr>
          <w:spacing w:val="1"/>
          <w:sz w:val="20"/>
        </w:rPr>
        <w:t> </w:t>
      </w:r>
      <w:r>
        <w:rPr>
          <w:sz w:val="20"/>
        </w:rPr>
        <w:t>above, </w:t>
      </w:r>
      <w:r>
        <w:rPr>
          <w:spacing w:val="-2"/>
          <w:sz w:val="20"/>
        </w:rPr>
        <w:t>n.1257.</w:t>
      </w:r>
    </w:p>
    <w:p>
      <w:pPr>
        <w:pStyle w:val="BodyText"/>
        <w:spacing w:before="9"/>
      </w:pPr>
    </w:p>
    <w:p>
      <w:pPr>
        <w:spacing w:line="235" w:lineRule="auto" w:before="0"/>
        <w:ind w:left="705" w:right="167" w:hanging="541"/>
        <w:jc w:val="both"/>
        <w:rPr>
          <w:sz w:val="20"/>
        </w:rPr>
      </w:pPr>
      <w:bookmarkStart w:name="_bookmark2464" w:id="2466"/>
      <w:bookmarkEnd w:id="2466"/>
      <w:r>
        <w:rPr/>
      </w:r>
      <w:hyperlink w:history="true" w:anchor="_bookmark2356">
        <w:r>
          <w:rPr>
            <w:color w:val="005DA1"/>
            <w:position w:val="5"/>
            <w:sz w:val="14"/>
            <w:u w:val="single" w:color="005DA1"/>
          </w:rPr>
          <w:t>1259</w:t>
        </w:r>
      </w:hyperlink>
      <w:r>
        <w:rPr>
          <w:position w:val="5"/>
          <w:sz w:val="14"/>
        </w:rPr>
        <w:t>.</w:t>
      </w:r>
      <w:r>
        <w:rPr>
          <w:spacing w:val="80"/>
          <w:position w:val="5"/>
          <w:sz w:val="14"/>
        </w:rPr>
        <w:t> </w:t>
      </w:r>
      <w:r>
        <w:rPr>
          <w:sz w:val="20"/>
        </w:rPr>
        <w:t>See e.g. </w:t>
      </w:r>
      <w:r>
        <w:rPr>
          <w:rFonts w:ascii="Arial" w:hAnsi="Arial"/>
          <w:i/>
          <w:sz w:val="20"/>
        </w:rPr>
        <w:t>Mount Albert BC v Australasian Temperance &amp; General Mutual Life Insurance </w:t>
      </w:r>
      <w:r>
        <w:rPr>
          <w:rFonts w:ascii="Arial" w:hAnsi="Arial"/>
          <w:i/>
          <w:sz w:val="20"/>
        </w:rPr>
        <w:t>Society [1938] A.C. 224</w:t>
      </w:r>
      <w:r>
        <w:rPr>
          <w:sz w:val="20"/>
        </w:rPr>
        <w:t>. See generally on interest Dicey, Morris and Collins, 15th edn (2012), paras 7–082</w:t>
      </w:r>
      <w:r>
        <w:rPr>
          <w:spacing w:val="-1"/>
          <w:sz w:val="20"/>
        </w:rPr>
        <w:t> </w:t>
      </w:r>
      <w:r>
        <w:rPr>
          <w:sz w:val="20"/>
        </w:rPr>
        <w:t>et</w:t>
      </w:r>
      <w:r>
        <w:rPr>
          <w:spacing w:val="-1"/>
          <w:sz w:val="20"/>
        </w:rPr>
        <w:t> </w:t>
      </w:r>
      <w:r>
        <w:rPr>
          <w:sz w:val="20"/>
        </w:rPr>
        <w:t>seq.</w:t>
      </w:r>
      <w:r>
        <w:rPr>
          <w:spacing w:val="-1"/>
          <w:sz w:val="20"/>
        </w:rPr>
        <w:t> </w:t>
      </w:r>
      <w:r>
        <w:rPr>
          <w:sz w:val="20"/>
        </w:rPr>
        <w:t>As</w:t>
      </w:r>
      <w:r>
        <w:rPr>
          <w:spacing w:val="-1"/>
          <w:sz w:val="20"/>
        </w:rPr>
        <w:t> </w:t>
      </w:r>
      <w:r>
        <w:rPr>
          <w:sz w:val="20"/>
        </w:rPr>
        <w:t>to</w:t>
      </w:r>
      <w:r>
        <w:rPr>
          <w:spacing w:val="-1"/>
          <w:sz w:val="20"/>
        </w:rPr>
        <w:t> </w:t>
      </w:r>
      <w:r>
        <w:rPr>
          <w:sz w:val="20"/>
        </w:rPr>
        <w:t>other</w:t>
      </w:r>
      <w:r>
        <w:rPr>
          <w:spacing w:val="-1"/>
          <w:sz w:val="20"/>
        </w:rPr>
        <w:t> </w:t>
      </w:r>
      <w:r>
        <w:rPr>
          <w:sz w:val="20"/>
        </w:rPr>
        <w:t>currency</w:t>
      </w:r>
      <w:r>
        <w:rPr>
          <w:spacing w:val="-1"/>
          <w:sz w:val="20"/>
        </w:rPr>
        <w:t> </w:t>
      </w:r>
      <w:r>
        <w:rPr>
          <w:sz w:val="20"/>
        </w:rPr>
        <w:t>questions,</w:t>
      </w:r>
      <w:r>
        <w:rPr>
          <w:spacing w:val="-1"/>
          <w:sz w:val="20"/>
        </w:rPr>
        <w:t> </w:t>
      </w:r>
      <w:r>
        <w:rPr>
          <w:sz w:val="20"/>
        </w:rPr>
        <w:t>see</w:t>
      </w:r>
      <w:r>
        <w:rPr>
          <w:spacing w:val="-1"/>
          <w:sz w:val="20"/>
        </w:rPr>
        <w:t> </w:t>
      </w:r>
      <w:r>
        <w:rPr>
          <w:sz w:val="20"/>
        </w:rPr>
        <w:t>below,</w:t>
      </w:r>
      <w:r>
        <w:rPr>
          <w:spacing w:val="-1"/>
          <w:sz w:val="20"/>
        </w:rPr>
        <w:t> </w:t>
      </w:r>
      <w:r>
        <w:rPr>
          <w:sz w:val="20"/>
        </w:rPr>
        <w:t>paras</w:t>
      </w:r>
      <w:r>
        <w:rPr>
          <w:spacing w:val="-1"/>
          <w:sz w:val="20"/>
        </w:rPr>
        <w:t> </w:t>
      </w:r>
      <w:r>
        <w:rPr>
          <w:sz w:val="20"/>
        </w:rPr>
        <w:t>30-371</w:t>
      </w:r>
      <w:r>
        <w:rPr>
          <w:spacing w:val="-1"/>
          <w:sz w:val="20"/>
        </w:rPr>
        <w:t> </w:t>
      </w:r>
      <w:r>
        <w:rPr>
          <w:sz w:val="20"/>
        </w:rPr>
        <w:t>et</w:t>
      </w:r>
      <w:r>
        <w:rPr>
          <w:spacing w:val="-1"/>
          <w:sz w:val="20"/>
        </w:rPr>
        <w:t> </w:t>
      </w:r>
      <w:r>
        <w:rPr>
          <w:sz w:val="20"/>
        </w:rPr>
        <w:t>seq.</w:t>
      </w:r>
      <w:r>
        <w:rPr>
          <w:spacing w:val="-1"/>
          <w:sz w:val="20"/>
        </w:rPr>
        <w:t> </w:t>
      </w:r>
      <w:r>
        <w:rPr>
          <w:sz w:val="20"/>
        </w:rPr>
        <w:t>For</w:t>
      </w:r>
      <w:r>
        <w:rPr>
          <w:spacing w:val="-1"/>
          <w:sz w:val="20"/>
        </w:rPr>
        <w:t> </w:t>
      </w:r>
      <w:r>
        <w:rPr>
          <w:sz w:val="20"/>
        </w:rPr>
        <w:t>a</w:t>
      </w:r>
      <w:r>
        <w:rPr>
          <w:spacing w:val="-1"/>
          <w:sz w:val="20"/>
        </w:rPr>
        <w:t> </w:t>
      </w:r>
      <w:r>
        <w:rPr>
          <w:sz w:val="20"/>
        </w:rPr>
        <w:t>discussion of prejudgment interest in the conflict of laws, see Guest, </w:t>
      </w:r>
      <w:r>
        <w:rPr>
          <w:rFonts w:ascii="Arial" w:hAnsi="Arial"/>
          <w:i/>
          <w:sz w:val="20"/>
        </w:rPr>
        <w:t>Lex Mercatoria: Essays in Honour of Francis Reynolds </w:t>
      </w:r>
      <w:r>
        <w:rPr>
          <w:sz w:val="20"/>
        </w:rPr>
        <w:t>(2000), p.271.</w:t>
      </w:r>
    </w:p>
    <w:p>
      <w:pPr>
        <w:pStyle w:val="BodyText"/>
        <w:spacing w:before="4"/>
      </w:pPr>
    </w:p>
    <w:p>
      <w:pPr>
        <w:pStyle w:val="BodyText"/>
        <w:ind w:left="165"/>
      </w:pPr>
      <w:bookmarkStart w:name="_bookmark2465" w:id="2467"/>
      <w:bookmarkEnd w:id="2467"/>
      <w:r>
        <w:rPr/>
      </w:r>
      <w:hyperlink w:history="true" w:anchor="_bookmark2357">
        <w:r>
          <w:rPr>
            <w:color w:val="005DA1"/>
            <w:position w:val="5"/>
            <w:sz w:val="14"/>
            <w:u w:val="single" w:color="005DA1"/>
          </w:rPr>
          <w:t>1260</w:t>
        </w:r>
      </w:hyperlink>
      <w:r>
        <w:rPr>
          <w:position w:val="5"/>
          <w:sz w:val="14"/>
        </w:rPr>
        <w:t>.</w:t>
      </w:r>
      <w:r>
        <w:rPr>
          <w:spacing w:val="55"/>
          <w:position w:val="5"/>
          <w:sz w:val="14"/>
        </w:rPr>
        <w:t>  </w:t>
      </w:r>
      <w:r>
        <w:rPr/>
        <w:t>Dicey,</w:t>
      </w:r>
      <w:r>
        <w:rPr>
          <w:spacing w:val="1"/>
        </w:rPr>
        <w:t> </w:t>
      </w:r>
      <w:r>
        <w:rPr/>
        <w:t>Morris and Collins, 15th edn (2012), paras 7–085 et </w:t>
      </w:r>
      <w:r>
        <w:rPr>
          <w:spacing w:val="-4"/>
        </w:rPr>
        <w:t>seq.</w:t>
      </w:r>
    </w:p>
    <w:p>
      <w:pPr>
        <w:pStyle w:val="BodyText"/>
        <w:spacing w:before="9"/>
      </w:pPr>
    </w:p>
    <w:p>
      <w:pPr>
        <w:spacing w:line="235" w:lineRule="auto" w:before="0"/>
        <w:ind w:left="705" w:right="167" w:hanging="541"/>
        <w:jc w:val="both"/>
        <w:rPr>
          <w:sz w:val="20"/>
        </w:rPr>
      </w:pPr>
      <w:bookmarkStart w:name="_bookmark2466" w:id="2468"/>
      <w:bookmarkEnd w:id="2468"/>
      <w:r>
        <w:rPr/>
      </w:r>
      <w:hyperlink w:history="true" w:anchor="_bookmark2358">
        <w:r>
          <w:rPr>
            <w:color w:val="005DA1"/>
            <w:position w:val="5"/>
            <w:sz w:val="14"/>
            <w:u w:val="single" w:color="005DA1"/>
          </w:rPr>
          <w:t>1261</w:t>
        </w:r>
      </w:hyperlink>
      <w:r>
        <w:rPr>
          <w:position w:val="5"/>
          <w:sz w:val="14"/>
        </w:rPr>
        <w:t>.</w:t>
      </w:r>
      <w:r>
        <w:rPr>
          <w:spacing w:val="80"/>
          <w:position w:val="5"/>
          <w:sz w:val="14"/>
        </w:rPr>
        <w:t> </w:t>
      </w:r>
      <w:r>
        <w:rPr>
          <w:rFonts w:ascii="Arial" w:hAnsi="Arial"/>
          <w:i/>
          <w:sz w:val="20"/>
        </w:rPr>
        <w:t>Miliangos v George Frank (Textiles) Ltd (No.2) [1977] Q.B. 489, 496–497</w:t>
      </w:r>
      <w:r>
        <w:rPr>
          <w:sz w:val="20"/>
        </w:rPr>
        <w:t>; </w:t>
      </w:r>
      <w:r>
        <w:rPr>
          <w:rFonts w:ascii="Arial" w:hAnsi="Arial"/>
          <w:i/>
          <w:sz w:val="20"/>
        </w:rPr>
        <w:t>Helmsing Schiffahrts GmbH v Malta Drydocks Corp [1977] 2 Lloyd’s Rep. 444, 449–450</w:t>
      </w:r>
      <w:r>
        <w:rPr>
          <w:sz w:val="20"/>
        </w:rPr>
        <w:t>; </w:t>
      </w:r>
      <w:r>
        <w:rPr>
          <w:rFonts w:ascii="Arial" w:hAnsi="Arial"/>
          <w:i/>
          <w:sz w:val="20"/>
        </w:rPr>
        <w:t>Lesotho </w:t>
      </w:r>
      <w:r>
        <w:rPr>
          <w:rFonts w:ascii="Arial" w:hAnsi="Arial"/>
          <w:i/>
          <w:sz w:val="20"/>
        </w:rPr>
        <w:t>Highlands Development Authority v Impregilo SpA [2002] EWHC 2435 (Comm), [2003] 1 All E.R. (Comm) 22</w:t>
      </w:r>
      <w:r>
        <w:rPr>
          <w:sz w:val="20"/>
        </w:rPr>
        <w:t>, affirmed without deciding this point, </w:t>
      </w:r>
      <w:r>
        <w:rPr>
          <w:rFonts w:ascii="Arial" w:hAnsi="Arial"/>
          <w:i/>
          <w:sz w:val="20"/>
        </w:rPr>
        <w:t>[2003] EWCA Civ 1159, [2003] 2 Lloyd’s Rep. 497</w:t>
      </w:r>
      <w:r>
        <w:rPr>
          <w:sz w:val="20"/>
        </w:rPr>
        <w:t>. The contrary view, that the question is a matter of procedure governed by the lex fori, was</w:t>
      </w:r>
      <w:r>
        <w:rPr>
          <w:spacing w:val="40"/>
          <w:sz w:val="20"/>
        </w:rPr>
        <w:t> </w:t>
      </w:r>
      <w:r>
        <w:rPr>
          <w:sz w:val="20"/>
        </w:rPr>
        <w:t>expressed in </w:t>
      </w:r>
      <w:r>
        <w:rPr>
          <w:rFonts w:ascii="Arial" w:hAnsi="Arial"/>
          <w:i/>
          <w:sz w:val="20"/>
        </w:rPr>
        <w:t>Midland International Trade Services v Sudairy, Financial Times, May 2, 1990 </w:t>
      </w:r>
      <w:r>
        <w:rPr>
          <w:sz w:val="20"/>
        </w:rPr>
        <w:t>(Hobhouse J.) and in </w:t>
      </w:r>
      <w:r>
        <w:rPr>
          <w:rFonts w:ascii="Arial" w:hAnsi="Arial"/>
          <w:i/>
          <w:sz w:val="20"/>
        </w:rPr>
        <w:t>Kuwait Oil Tanker Co SAK v Al Bader, The Independent, January 11,</w:t>
      </w:r>
      <w:r>
        <w:rPr>
          <w:rFonts w:ascii="Arial" w:hAnsi="Arial"/>
          <w:i/>
          <w:spacing w:val="40"/>
          <w:sz w:val="20"/>
        </w:rPr>
        <w:t> </w:t>
      </w:r>
      <w:r>
        <w:rPr>
          <w:rFonts w:ascii="Arial" w:hAnsi="Arial"/>
          <w:i/>
          <w:sz w:val="20"/>
        </w:rPr>
        <w:t>1999 </w:t>
      </w:r>
      <w:r>
        <w:rPr>
          <w:sz w:val="20"/>
        </w:rPr>
        <w:t>(Moore-Bick J.). On appeal in the latter case, the Court of Appeal found it unnecessary to express a concluded view: see </w:t>
      </w:r>
      <w:r>
        <w:rPr>
          <w:rFonts w:ascii="Arial" w:hAnsi="Arial"/>
          <w:i/>
          <w:sz w:val="20"/>
        </w:rPr>
        <w:t>[2000] 2 All E.R. (Comm) 271, 339–344</w:t>
      </w:r>
      <w:r>
        <w:rPr>
          <w:sz w:val="20"/>
        </w:rPr>
        <w:t>. In </w:t>
      </w:r>
      <w:r>
        <w:rPr>
          <w:rFonts w:ascii="Arial" w:hAnsi="Arial"/>
          <w:i/>
          <w:sz w:val="20"/>
        </w:rPr>
        <w:t>Lesotho Highlands Development</w:t>
      </w:r>
      <w:r>
        <w:rPr>
          <w:rFonts w:ascii="Arial" w:hAnsi="Arial"/>
          <w:i/>
          <w:spacing w:val="-3"/>
          <w:sz w:val="20"/>
        </w:rPr>
        <w:t> </w:t>
      </w:r>
      <w:r>
        <w:rPr>
          <w:rFonts w:ascii="Arial" w:hAnsi="Arial"/>
          <w:i/>
          <w:sz w:val="20"/>
        </w:rPr>
        <w:t>Authority</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Impregilo</w:t>
      </w:r>
      <w:r>
        <w:rPr>
          <w:rFonts w:ascii="Arial" w:hAnsi="Arial"/>
          <w:i/>
          <w:spacing w:val="-3"/>
          <w:sz w:val="20"/>
        </w:rPr>
        <w:t> </w:t>
      </w:r>
      <w:r>
        <w:rPr>
          <w:rFonts w:ascii="Arial" w:hAnsi="Arial"/>
          <w:i/>
          <w:sz w:val="20"/>
        </w:rPr>
        <w:t>SpA</w:t>
      </w:r>
      <w:r>
        <w:rPr>
          <w:sz w:val="20"/>
        </w:rPr>
        <w:t>,</w:t>
      </w:r>
      <w:r>
        <w:rPr>
          <w:spacing w:val="-3"/>
          <w:sz w:val="20"/>
        </w:rPr>
        <w:t> </w:t>
      </w:r>
      <w:r>
        <w:rPr>
          <w:sz w:val="20"/>
        </w:rPr>
        <w:t>Morison</w:t>
      </w:r>
      <w:r>
        <w:rPr>
          <w:spacing w:val="-3"/>
          <w:sz w:val="20"/>
        </w:rPr>
        <w:t> </w:t>
      </w:r>
      <w:r>
        <w:rPr>
          <w:sz w:val="20"/>
        </w:rPr>
        <w:t>J.</w:t>
      </w:r>
      <w:r>
        <w:rPr>
          <w:spacing w:val="-3"/>
          <w:sz w:val="20"/>
        </w:rPr>
        <w:t> </w:t>
      </w:r>
      <w:r>
        <w:rPr>
          <w:sz w:val="20"/>
        </w:rPr>
        <w:t>preferred</w:t>
      </w:r>
      <w:r>
        <w:rPr>
          <w:spacing w:val="-3"/>
          <w:sz w:val="20"/>
        </w:rPr>
        <w:t> </w:t>
      </w:r>
      <w:r>
        <w:rPr>
          <w:sz w:val="20"/>
        </w:rPr>
        <w:t>the</w:t>
      </w:r>
      <w:r>
        <w:rPr>
          <w:spacing w:val="-3"/>
          <w:sz w:val="20"/>
        </w:rPr>
        <w:t> </w:t>
      </w:r>
      <w:r>
        <w:rPr>
          <w:sz w:val="20"/>
        </w:rPr>
        <w:t>view</w:t>
      </w:r>
      <w:r>
        <w:rPr>
          <w:spacing w:val="-3"/>
          <w:sz w:val="20"/>
        </w:rPr>
        <w:t> </w:t>
      </w:r>
      <w:r>
        <w:rPr>
          <w:sz w:val="20"/>
        </w:rPr>
        <w:t>expressed</w:t>
      </w:r>
      <w:r>
        <w:rPr>
          <w:spacing w:val="-3"/>
          <w:sz w:val="20"/>
        </w:rPr>
        <w:t> </w:t>
      </w:r>
      <w:r>
        <w:rPr>
          <w:sz w:val="20"/>
        </w:rPr>
        <w:t>in</w:t>
      </w:r>
      <w:r>
        <w:rPr>
          <w:spacing w:val="-3"/>
          <w:sz w:val="20"/>
        </w:rPr>
        <w:t> </w:t>
      </w:r>
      <w:r>
        <w:rPr>
          <w:sz w:val="20"/>
        </w:rPr>
        <w:t>the</w:t>
      </w:r>
      <w:r>
        <w:rPr>
          <w:spacing w:val="-3"/>
          <w:sz w:val="20"/>
        </w:rPr>
        <w:t> </w:t>
      </w:r>
      <w:r>
        <w:rPr>
          <w:sz w:val="20"/>
        </w:rPr>
        <w:t>text</w:t>
      </w:r>
      <w:r>
        <w:rPr>
          <w:spacing w:val="-3"/>
          <w:sz w:val="20"/>
        </w:rPr>
        <w:t> </w:t>
      </w:r>
      <w:r>
        <w:rPr>
          <w:sz w:val="20"/>
        </w:rPr>
        <w:t>and in Dicey, Morris and Collins, 15th edn (2012), paras 7–099 et seq., but the Court of Appeal, again found it unnecessary to express a concluded view. The House of Lords allowed an</w:t>
      </w:r>
      <w:r>
        <w:rPr>
          <w:spacing w:val="40"/>
          <w:sz w:val="20"/>
        </w:rPr>
        <w:t> </w:t>
      </w:r>
      <w:r>
        <w:rPr>
          <w:sz w:val="20"/>
        </w:rPr>
        <w:t>appeal from the decision of the Court of Appeal, </w:t>
      </w:r>
      <w:r>
        <w:rPr>
          <w:rFonts w:ascii="Arial" w:hAnsi="Arial"/>
          <w:i/>
          <w:sz w:val="20"/>
        </w:rPr>
        <w:t>[2003] UKHL 43, [2006] 1 A.C. 221</w:t>
      </w:r>
      <w:r>
        <w:rPr>
          <w:sz w:val="20"/>
        </w:rPr>
        <w:t>, but no</w:t>
      </w:r>
      <w:r>
        <w:rPr>
          <w:spacing w:val="40"/>
          <w:sz w:val="20"/>
        </w:rPr>
        <w:t> </w:t>
      </w:r>
      <w:r>
        <w:rPr>
          <w:sz w:val="20"/>
        </w:rPr>
        <w:t>view was expressed on the point. The case was concerned with an arbitrator’s power to award interest and it was held that Arbitration Act 1996 s.49(3) had not been expressly excluded by</w:t>
      </w:r>
      <w:r>
        <w:rPr>
          <w:spacing w:val="40"/>
          <w:sz w:val="20"/>
        </w:rPr>
        <w:t> </w:t>
      </w:r>
      <w:r>
        <w:rPr>
          <w:sz w:val="20"/>
        </w:rPr>
        <w:t>the parties. In </w:t>
      </w:r>
      <w:r>
        <w:rPr>
          <w:rFonts w:ascii="Arial" w:hAnsi="Arial"/>
          <w:i/>
          <w:sz w:val="20"/>
        </w:rPr>
        <w:t>Yukos Capital SARL v OJSC Oil Co Rosneft [2014] EWHC 2188 (Comm) </w:t>
      </w:r>
      <w:r>
        <w:rPr>
          <w:sz w:val="20"/>
        </w:rPr>
        <w:t>the converse issue was considered, namely, when an agreement to arbitrate excluded an award of interest</w:t>
      </w:r>
      <w:r>
        <w:rPr>
          <w:spacing w:val="30"/>
          <w:sz w:val="20"/>
        </w:rPr>
        <w:t> </w:t>
      </w:r>
      <w:r>
        <w:rPr>
          <w:sz w:val="20"/>
        </w:rPr>
        <w:t>under</w:t>
      </w:r>
      <w:r>
        <w:rPr>
          <w:spacing w:val="30"/>
          <w:sz w:val="20"/>
        </w:rPr>
        <w:t> </w:t>
      </w:r>
      <w:r>
        <w:rPr>
          <w:sz w:val="20"/>
        </w:rPr>
        <w:t>s.35A</w:t>
      </w:r>
      <w:r>
        <w:rPr>
          <w:spacing w:val="30"/>
          <w:sz w:val="20"/>
        </w:rPr>
        <w:t> </w:t>
      </w:r>
      <w:r>
        <w:rPr>
          <w:sz w:val="20"/>
        </w:rPr>
        <w:t>of</w:t>
      </w:r>
      <w:r>
        <w:rPr>
          <w:spacing w:val="30"/>
          <w:sz w:val="20"/>
        </w:rPr>
        <w:t> </w:t>
      </w:r>
      <w:r>
        <w:rPr>
          <w:sz w:val="20"/>
        </w:rPr>
        <w:t>Senior</w:t>
      </w:r>
      <w:r>
        <w:rPr>
          <w:spacing w:val="30"/>
          <w:sz w:val="20"/>
        </w:rPr>
        <w:t> </w:t>
      </w:r>
      <w:r>
        <w:rPr>
          <w:sz w:val="20"/>
        </w:rPr>
        <w:t>Courts</w:t>
      </w:r>
      <w:r>
        <w:rPr>
          <w:spacing w:val="30"/>
          <w:sz w:val="20"/>
        </w:rPr>
        <w:t> </w:t>
      </w:r>
      <w:r>
        <w:rPr>
          <w:sz w:val="20"/>
        </w:rPr>
        <w:t>Act</w:t>
      </w:r>
      <w:r>
        <w:rPr>
          <w:spacing w:val="30"/>
          <w:sz w:val="20"/>
        </w:rPr>
        <w:t> </w:t>
      </w:r>
      <w:r>
        <w:rPr>
          <w:sz w:val="20"/>
        </w:rPr>
        <w:t>1981.</w:t>
      </w:r>
      <w:r>
        <w:rPr>
          <w:spacing w:val="30"/>
          <w:sz w:val="20"/>
        </w:rPr>
        <w:t> </w:t>
      </w:r>
      <w:r>
        <w:rPr>
          <w:sz w:val="20"/>
        </w:rPr>
        <w:t>For</w:t>
      </w:r>
      <w:r>
        <w:rPr>
          <w:spacing w:val="30"/>
          <w:sz w:val="20"/>
        </w:rPr>
        <w:t> </w:t>
      </w:r>
      <w:r>
        <w:rPr>
          <w:sz w:val="20"/>
        </w:rPr>
        <w:t>an</w:t>
      </w:r>
      <w:r>
        <w:rPr>
          <w:spacing w:val="30"/>
          <w:sz w:val="20"/>
        </w:rPr>
        <w:t> </w:t>
      </w:r>
      <w:r>
        <w:rPr>
          <w:sz w:val="20"/>
        </w:rPr>
        <w:t>earlier</w:t>
      </w:r>
      <w:r>
        <w:rPr>
          <w:spacing w:val="30"/>
          <w:sz w:val="20"/>
        </w:rPr>
        <w:t> </w:t>
      </w:r>
      <w:r>
        <w:rPr>
          <w:sz w:val="20"/>
        </w:rPr>
        <w:t>but</w:t>
      </w:r>
      <w:r>
        <w:rPr>
          <w:spacing w:val="30"/>
          <w:sz w:val="20"/>
        </w:rPr>
        <w:t> </w:t>
      </w:r>
      <w:r>
        <w:rPr>
          <w:sz w:val="20"/>
        </w:rPr>
        <w:t>inconclusive</w:t>
      </w:r>
      <w:r>
        <w:rPr>
          <w:spacing w:val="30"/>
          <w:sz w:val="20"/>
        </w:rPr>
        <w:t> </w:t>
      </w:r>
      <w:r>
        <w:rPr>
          <w:sz w:val="20"/>
        </w:rPr>
        <w:t>case</w:t>
      </w:r>
      <w:r>
        <w:rPr>
          <w:spacing w:val="30"/>
          <w:sz w:val="20"/>
        </w:rPr>
        <w:t> </w:t>
      </w:r>
      <w:r>
        <w:rPr>
          <w:sz w:val="20"/>
        </w:rPr>
        <w:t>on</w:t>
      </w:r>
      <w:r>
        <w:rPr>
          <w:spacing w:val="30"/>
          <w:sz w:val="20"/>
        </w:rPr>
        <w:t> </w:t>
      </w:r>
      <w:r>
        <w:rPr>
          <w:spacing w:val="-5"/>
          <w:sz w:val="20"/>
        </w:rPr>
        <w:t>the</w:t>
      </w:r>
    </w:p>
    <w:p>
      <w:pPr>
        <w:spacing w:after="0" w:line="235" w:lineRule="auto"/>
        <w:jc w:val="both"/>
        <w:rPr>
          <w:sz w:val="20"/>
        </w:rPr>
        <w:sectPr>
          <w:pgSz w:w="11900" w:h="16840"/>
          <w:pgMar w:header="971" w:footer="0" w:top="1300" w:bottom="280" w:left="1275" w:right="1275"/>
        </w:sectPr>
      </w:pPr>
    </w:p>
    <w:p>
      <w:pPr>
        <w:spacing w:line="235" w:lineRule="auto" w:before="110"/>
        <w:ind w:left="705" w:right="167" w:firstLine="0"/>
        <w:jc w:val="both"/>
        <w:rPr>
          <w:sz w:val="20"/>
        </w:rPr>
      </w:pPr>
      <w:r>
        <w:rPr>
          <w:sz w:val="20"/>
        </w:rPr>
        <w:t>point, see </w:t>
      </w:r>
      <w:r>
        <w:rPr>
          <w:rFonts w:ascii="Arial" w:hAnsi="Arial"/>
          <w:i/>
          <w:sz w:val="20"/>
        </w:rPr>
        <w:t>Zebrarise Ltd v De Nieffe [2004] EWHC 1842 (Comm), [2005] 1 Lloyd’s Rep. 154</w:t>
      </w:r>
      <w:r>
        <w:rPr>
          <w:sz w:val="20"/>
        </w:rPr>
        <w:t>. </w:t>
      </w:r>
      <w:r>
        <w:rPr>
          <w:sz w:val="20"/>
        </w:rPr>
        <w:t>In </w:t>
      </w:r>
      <w:r>
        <w:rPr>
          <w:rFonts w:ascii="Arial" w:hAnsi="Arial"/>
          <w:i/>
          <w:sz w:val="20"/>
        </w:rPr>
        <w:t>Kuwait Oil Tanker Co SAK v Al Bader</w:t>
      </w:r>
      <w:r>
        <w:rPr>
          <w:sz w:val="20"/>
        </w:rPr>
        <w:t>, above, the Court of Appeal found it unnecessary to express a view on whether the right to claim compound interest should be regarded as substantive or procedural in nature. cf. </w:t>
      </w:r>
      <w:r>
        <w:rPr>
          <w:rFonts w:ascii="Arial" w:hAnsi="Arial"/>
          <w:i/>
          <w:sz w:val="20"/>
        </w:rPr>
        <w:t>Abdel Hadi Abdallah Al Qahtani &amp; Sons Beverage Industry Co v Antliff [2010] EWHC 1735 (Comm)</w:t>
      </w:r>
      <w:r>
        <w:rPr>
          <w:sz w:val="20"/>
        </w:rPr>
        <w:t>; </w:t>
      </w:r>
      <w:r>
        <w:rPr>
          <w:rFonts w:ascii="Arial" w:hAnsi="Arial"/>
          <w:i/>
          <w:sz w:val="20"/>
        </w:rPr>
        <w:t>Maher v Groupama Grand Est [2009] EWCA Civ 1191, [2010] 1 W.L.R. 1564 </w:t>
      </w:r>
      <w:r>
        <w:rPr>
          <w:sz w:val="20"/>
        </w:rPr>
        <w:t>(a case on interest on damages in tort). See also </w:t>
      </w:r>
      <w:r>
        <w:rPr>
          <w:rFonts w:ascii="Arial" w:hAnsi="Arial"/>
          <w:i/>
          <w:sz w:val="20"/>
        </w:rPr>
        <w:t>Gater Assets Ltd</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Nak</w:t>
      </w:r>
      <w:r>
        <w:rPr>
          <w:rFonts w:ascii="Arial" w:hAnsi="Arial"/>
          <w:i/>
          <w:spacing w:val="18"/>
          <w:sz w:val="20"/>
        </w:rPr>
        <w:t> </w:t>
      </w:r>
      <w:r>
        <w:rPr>
          <w:rFonts w:ascii="Arial" w:hAnsi="Arial"/>
          <w:i/>
          <w:sz w:val="20"/>
        </w:rPr>
        <w:t>Naftogaz</w:t>
      </w:r>
      <w:r>
        <w:rPr>
          <w:rFonts w:ascii="Arial" w:hAnsi="Arial"/>
          <w:i/>
          <w:spacing w:val="18"/>
          <w:sz w:val="20"/>
        </w:rPr>
        <w:t> </w:t>
      </w:r>
      <w:r>
        <w:rPr>
          <w:rFonts w:ascii="Arial" w:hAnsi="Arial"/>
          <w:i/>
          <w:sz w:val="20"/>
        </w:rPr>
        <w:t>Ukrainy</w:t>
      </w:r>
      <w:r>
        <w:rPr>
          <w:rFonts w:ascii="Arial" w:hAnsi="Arial"/>
          <w:i/>
          <w:spacing w:val="18"/>
          <w:sz w:val="20"/>
        </w:rPr>
        <w:t> </w:t>
      </w:r>
      <w:r>
        <w:rPr>
          <w:rFonts w:ascii="Arial" w:hAnsi="Arial"/>
          <w:i/>
          <w:sz w:val="20"/>
        </w:rPr>
        <w:t>(No.3)</w:t>
      </w:r>
      <w:r>
        <w:rPr>
          <w:rFonts w:ascii="Arial" w:hAnsi="Arial"/>
          <w:i/>
          <w:spacing w:val="18"/>
          <w:sz w:val="20"/>
        </w:rPr>
        <w:t> </w:t>
      </w:r>
      <w:r>
        <w:rPr>
          <w:rFonts w:ascii="Arial" w:hAnsi="Arial"/>
          <w:i/>
          <w:sz w:val="20"/>
        </w:rPr>
        <w:t>[2008]</w:t>
      </w:r>
      <w:r>
        <w:rPr>
          <w:rFonts w:ascii="Arial" w:hAnsi="Arial"/>
          <w:i/>
          <w:spacing w:val="18"/>
          <w:sz w:val="20"/>
        </w:rPr>
        <w:t> </w:t>
      </w:r>
      <w:r>
        <w:rPr>
          <w:rFonts w:ascii="Arial" w:hAnsi="Arial"/>
          <w:i/>
          <w:sz w:val="20"/>
        </w:rPr>
        <w:t>EWHC</w:t>
      </w:r>
      <w:r>
        <w:rPr>
          <w:rFonts w:ascii="Arial" w:hAnsi="Arial"/>
          <w:i/>
          <w:spacing w:val="18"/>
          <w:sz w:val="20"/>
        </w:rPr>
        <w:t> </w:t>
      </w:r>
      <w:r>
        <w:rPr>
          <w:rFonts w:ascii="Arial" w:hAnsi="Arial"/>
          <w:i/>
          <w:sz w:val="20"/>
        </w:rPr>
        <w:t>1108</w:t>
      </w:r>
      <w:r>
        <w:rPr>
          <w:rFonts w:ascii="Arial" w:hAnsi="Arial"/>
          <w:i/>
          <w:spacing w:val="18"/>
          <w:sz w:val="20"/>
        </w:rPr>
        <w:t> </w:t>
      </w:r>
      <w:r>
        <w:rPr>
          <w:rFonts w:ascii="Arial" w:hAnsi="Arial"/>
          <w:i/>
          <w:sz w:val="20"/>
        </w:rPr>
        <w:t>(Comm),</w:t>
      </w:r>
      <w:r>
        <w:rPr>
          <w:rFonts w:ascii="Arial" w:hAnsi="Arial"/>
          <w:i/>
          <w:spacing w:val="18"/>
          <w:sz w:val="20"/>
        </w:rPr>
        <w:t> </w:t>
      </w:r>
      <w:r>
        <w:rPr>
          <w:rFonts w:ascii="Arial" w:hAnsi="Arial"/>
          <w:i/>
          <w:sz w:val="20"/>
        </w:rPr>
        <w:t>[2008]</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295</w:t>
      </w:r>
      <w:r>
        <w:rPr>
          <w:rFonts w:ascii="Arial" w:hAnsi="Arial"/>
          <w:i/>
          <w:spacing w:val="17"/>
          <w:sz w:val="20"/>
        </w:rPr>
        <w:t> </w:t>
      </w:r>
      <w:r>
        <w:rPr>
          <w:spacing w:val="-5"/>
          <w:sz w:val="20"/>
        </w:rPr>
        <w:t>at</w:t>
      </w:r>
    </w:p>
    <w:p>
      <w:pPr>
        <w:spacing w:line="235" w:lineRule="auto" w:before="0"/>
        <w:ind w:left="705" w:right="167" w:firstLine="0"/>
        <w:jc w:val="both"/>
        <w:rPr>
          <w:sz w:val="20"/>
        </w:rPr>
      </w:pPr>
      <w:r>
        <w:rPr>
          <w:sz w:val="20"/>
        </w:rPr>
        <w:t>[19] (English procedural rules, including those relating to interest, apply to English judgment); </w:t>
      </w:r>
      <w:r>
        <w:rPr>
          <w:rFonts w:ascii="Arial"/>
          <w:i/>
          <w:sz w:val="20"/>
        </w:rPr>
        <w:t>JSC BTA Bank v Ablyazof [2013] EWHC 867 (Comm) </w:t>
      </w:r>
      <w:r>
        <w:rPr>
          <w:sz w:val="20"/>
        </w:rPr>
        <w:t>(interest under s.35A of Senior Courts</w:t>
      </w:r>
      <w:r>
        <w:rPr>
          <w:spacing w:val="40"/>
          <w:sz w:val="20"/>
        </w:rPr>
        <w:t> </w:t>
      </w:r>
      <w:r>
        <w:rPr>
          <w:sz w:val="20"/>
        </w:rPr>
        <w:t>Act 1981 essentially a procedural remedy).</w:t>
      </w:r>
    </w:p>
    <w:p>
      <w:pPr>
        <w:pStyle w:val="BodyText"/>
        <w:spacing w:before="6"/>
      </w:pPr>
    </w:p>
    <w:p>
      <w:pPr>
        <w:spacing w:line="235" w:lineRule="auto" w:before="0"/>
        <w:ind w:left="705" w:right="167" w:hanging="541"/>
        <w:jc w:val="both"/>
        <w:rPr>
          <w:sz w:val="20"/>
        </w:rPr>
      </w:pPr>
      <w:bookmarkStart w:name="_bookmark2467" w:id="2469"/>
      <w:bookmarkEnd w:id="2469"/>
      <w:r>
        <w:rPr/>
      </w:r>
      <w:hyperlink w:history="true" w:anchor="_bookmark2359">
        <w:r>
          <w:rPr>
            <w:color w:val="005DA1"/>
            <w:position w:val="5"/>
            <w:sz w:val="14"/>
            <w:u w:val="single" w:color="005DA1"/>
          </w:rPr>
          <w:t>1262</w:t>
        </w:r>
      </w:hyperlink>
      <w:r>
        <w:rPr>
          <w:position w:val="5"/>
          <w:sz w:val="14"/>
        </w:rPr>
        <w:t>.</w:t>
      </w:r>
      <w:r>
        <w:rPr>
          <w:spacing w:val="80"/>
          <w:position w:val="5"/>
          <w:sz w:val="14"/>
        </w:rPr>
        <w:t> </w:t>
      </w:r>
      <w:r>
        <w:rPr>
          <w:sz w:val="20"/>
        </w:rPr>
        <w:t>This is controversial: in favour, see </w:t>
      </w:r>
      <w:r>
        <w:rPr>
          <w:rFonts w:ascii="Arial" w:hAnsi="Arial"/>
          <w:i/>
          <w:sz w:val="20"/>
        </w:rPr>
        <w:t>Rogers v Markel Corp [2004] EWHC 1375 (QB), </w:t>
      </w:r>
      <w:r>
        <w:rPr>
          <w:rFonts w:ascii="Arial" w:hAnsi="Arial"/>
          <w:i/>
          <w:sz w:val="20"/>
        </w:rPr>
        <w:t>[2004] EWHC</w:t>
      </w:r>
      <w:r>
        <w:rPr>
          <w:rFonts w:ascii="Arial" w:hAnsi="Arial"/>
          <w:i/>
          <w:spacing w:val="-2"/>
          <w:sz w:val="20"/>
        </w:rPr>
        <w:t> </w:t>
      </w:r>
      <w:r>
        <w:rPr>
          <w:rFonts w:ascii="Arial" w:hAnsi="Arial"/>
          <w:i/>
          <w:sz w:val="20"/>
        </w:rPr>
        <w:t>2046</w:t>
      </w:r>
      <w:r>
        <w:rPr>
          <w:rFonts w:ascii="Arial" w:hAnsi="Arial"/>
          <w:i/>
          <w:spacing w:val="-2"/>
          <w:sz w:val="20"/>
        </w:rPr>
        <w:t> </w:t>
      </w:r>
      <w:r>
        <w:rPr>
          <w:rFonts w:ascii="Arial" w:hAnsi="Arial"/>
          <w:i/>
          <w:sz w:val="20"/>
        </w:rPr>
        <w:t>(QB)</w:t>
      </w:r>
      <w:r>
        <w:rPr>
          <w:sz w:val="20"/>
        </w:rPr>
        <w:t>;</w:t>
      </w:r>
      <w:r>
        <w:rPr>
          <w:spacing w:val="-2"/>
          <w:sz w:val="20"/>
        </w:rPr>
        <w:t> </w:t>
      </w:r>
      <w:r>
        <w:rPr>
          <w:rFonts w:ascii="Arial" w:hAnsi="Arial"/>
          <w:i/>
          <w:sz w:val="20"/>
        </w:rPr>
        <w:t>Miliangos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George</w:t>
      </w:r>
      <w:r>
        <w:rPr>
          <w:rFonts w:ascii="Arial" w:hAnsi="Arial"/>
          <w:i/>
          <w:spacing w:val="-2"/>
          <w:sz w:val="20"/>
        </w:rPr>
        <w:t> </w:t>
      </w:r>
      <w:r>
        <w:rPr>
          <w:rFonts w:ascii="Arial" w:hAnsi="Arial"/>
          <w:i/>
          <w:sz w:val="20"/>
        </w:rPr>
        <w:t>Frank</w:t>
      </w:r>
      <w:r>
        <w:rPr>
          <w:rFonts w:ascii="Arial" w:hAnsi="Arial"/>
          <w:i/>
          <w:spacing w:val="-2"/>
          <w:sz w:val="20"/>
        </w:rPr>
        <w:t> </w:t>
      </w:r>
      <w:r>
        <w:rPr>
          <w:rFonts w:ascii="Arial" w:hAnsi="Arial"/>
          <w:i/>
          <w:sz w:val="20"/>
        </w:rPr>
        <w:t>(Textiles)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(No.2)</w:t>
      </w:r>
      <w:r>
        <w:rPr>
          <w:rFonts w:ascii="Arial" w:hAnsi="Arial"/>
          <w:i/>
          <w:spacing w:val="-2"/>
          <w:sz w:val="20"/>
        </w:rPr>
        <w:t> </w:t>
      </w:r>
      <w:r>
        <w:rPr>
          <w:rFonts w:ascii="Arial" w:hAnsi="Arial"/>
          <w:i/>
          <w:sz w:val="20"/>
        </w:rPr>
        <w:t>[1977]</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489</w:t>
      </w:r>
      <w:r>
        <w:rPr>
          <w:sz w:val="20"/>
        </w:rPr>
        <w:t>;</w:t>
      </w:r>
      <w:r>
        <w:rPr>
          <w:spacing w:val="-2"/>
          <w:sz w:val="20"/>
        </w:rPr>
        <w:t> </w:t>
      </w:r>
      <w:r>
        <w:rPr>
          <w:sz w:val="20"/>
        </w:rPr>
        <w:t>against,</w:t>
      </w:r>
      <w:r>
        <w:rPr>
          <w:spacing w:val="-2"/>
          <w:sz w:val="20"/>
        </w:rPr>
        <w:t> </w:t>
      </w:r>
      <w:r>
        <w:rPr>
          <w:sz w:val="20"/>
        </w:rPr>
        <w:t>see </w:t>
      </w:r>
      <w:r>
        <w:rPr>
          <w:rFonts w:ascii="Arial" w:hAnsi="Arial"/>
          <w:i/>
          <w:sz w:val="20"/>
        </w:rPr>
        <w:t>Helmsing Schiffahrts GmbH v Malta Drydocks Corp [1977] 2 Lloyd’s Rep. 444</w:t>
      </w:r>
      <w:r>
        <w:rPr>
          <w:sz w:val="20"/>
        </w:rPr>
        <w:t>. The Law Commission conducted a thorough examination of the question and has concluded that the</w:t>
      </w:r>
      <w:r>
        <w:rPr>
          <w:spacing w:val="40"/>
          <w:sz w:val="20"/>
        </w:rPr>
        <w:t> </w:t>
      </w:r>
      <w:r>
        <w:rPr>
          <w:sz w:val="20"/>
        </w:rPr>
        <w:t>view expressed in the text should be preferred: see Law Com. No.124, 1983, paras 2.32, 3.55 and Law Com. Working Paper No.80, 1981, paras 4.22–4.27. See also, </w:t>
      </w:r>
      <w:r>
        <w:rPr>
          <w:rFonts w:ascii="Arial" w:hAnsi="Arial"/>
          <w:i/>
          <w:sz w:val="20"/>
        </w:rPr>
        <w:t>The Pacific Colocotronis</w:t>
      </w:r>
      <w:r>
        <w:rPr>
          <w:rFonts w:ascii="Arial" w:hAnsi="Arial"/>
          <w:i/>
          <w:spacing w:val="-3"/>
          <w:sz w:val="20"/>
        </w:rPr>
        <w:t> </w:t>
      </w:r>
      <w:r>
        <w:rPr>
          <w:rFonts w:ascii="Arial" w:hAnsi="Arial"/>
          <w:i/>
          <w:sz w:val="20"/>
        </w:rPr>
        <w:t>[1981]</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40</w:t>
      </w:r>
      <w:r>
        <w:rPr>
          <w:sz w:val="20"/>
        </w:rPr>
        <w:t>;</w:t>
      </w:r>
      <w:r>
        <w:rPr>
          <w:spacing w:val="-3"/>
          <w:sz w:val="20"/>
        </w:rPr>
        <w:t> </w:t>
      </w:r>
      <w:r>
        <w:rPr>
          <w:rFonts w:ascii="Arial" w:hAnsi="Arial"/>
          <w:i/>
          <w:sz w:val="20"/>
        </w:rPr>
        <w:t>Swiss</w:t>
      </w:r>
      <w:r>
        <w:rPr>
          <w:rFonts w:ascii="Arial" w:hAnsi="Arial"/>
          <w:i/>
          <w:spacing w:val="-3"/>
          <w:sz w:val="20"/>
        </w:rPr>
        <w:t> </w:t>
      </w:r>
      <w:r>
        <w:rPr>
          <w:rFonts w:ascii="Arial" w:hAnsi="Arial"/>
          <w:i/>
          <w:sz w:val="20"/>
        </w:rPr>
        <w:t>Bank</w:t>
      </w:r>
      <w:r>
        <w:rPr>
          <w:rFonts w:ascii="Arial" w:hAnsi="Arial"/>
          <w:i/>
          <w:spacing w:val="-3"/>
          <w:sz w:val="20"/>
        </w:rPr>
        <w:t> </w:t>
      </w:r>
      <w:r>
        <w:rPr>
          <w:rFonts w:ascii="Arial" w:hAnsi="Arial"/>
          <w:i/>
          <w:sz w:val="20"/>
        </w:rPr>
        <w:t>Corp</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State</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New</w:t>
      </w:r>
      <w:r>
        <w:rPr>
          <w:rFonts w:ascii="Arial" w:hAnsi="Arial"/>
          <w:i/>
          <w:spacing w:val="-3"/>
          <w:sz w:val="20"/>
        </w:rPr>
        <w:t> </w:t>
      </w:r>
      <w:r>
        <w:rPr>
          <w:rFonts w:ascii="Arial" w:hAnsi="Arial"/>
          <w:i/>
          <w:sz w:val="20"/>
        </w:rPr>
        <w:t>South</w:t>
      </w:r>
      <w:r>
        <w:rPr>
          <w:rFonts w:ascii="Arial" w:hAnsi="Arial"/>
          <w:i/>
          <w:spacing w:val="-3"/>
          <w:sz w:val="20"/>
        </w:rPr>
        <w:t> </w:t>
      </w:r>
      <w:r>
        <w:rPr>
          <w:rFonts w:ascii="Arial" w:hAnsi="Arial"/>
          <w:i/>
          <w:sz w:val="20"/>
        </w:rPr>
        <w:t>Wales</w:t>
      </w:r>
      <w:r>
        <w:rPr>
          <w:rFonts w:ascii="Arial" w:hAnsi="Arial"/>
          <w:i/>
          <w:spacing w:val="-3"/>
          <w:sz w:val="20"/>
        </w:rPr>
        <w:t> </w:t>
      </w:r>
      <w:r>
        <w:rPr>
          <w:rFonts w:ascii="Arial" w:hAnsi="Arial"/>
          <w:i/>
          <w:sz w:val="20"/>
        </w:rPr>
        <w:t>(1993–94) 33 N.S.W.L.R. 63</w:t>
      </w:r>
      <w:r>
        <w:rPr>
          <w:sz w:val="20"/>
        </w:rPr>
        <w:t>; Dicey, Morris and Collins, 15th edn (2012), paras 7–100 et seq.</w:t>
      </w:r>
    </w:p>
    <w:p>
      <w:pPr>
        <w:pStyle w:val="BodyText"/>
        <w:spacing w:before="7"/>
      </w:pPr>
    </w:p>
    <w:p>
      <w:pPr>
        <w:spacing w:line="235" w:lineRule="auto" w:before="0"/>
        <w:ind w:left="705" w:right="167" w:hanging="541"/>
        <w:jc w:val="both"/>
        <w:rPr>
          <w:sz w:val="20"/>
        </w:rPr>
      </w:pPr>
      <w:bookmarkStart w:name="_bookmark2468" w:id="2470"/>
      <w:bookmarkEnd w:id="2470"/>
      <w:r>
        <w:rPr/>
      </w:r>
      <w:hyperlink w:history="true" w:anchor="_bookmark2360">
        <w:r>
          <w:rPr>
            <w:color w:val="005DA1"/>
            <w:position w:val="5"/>
            <w:sz w:val="14"/>
            <w:u w:val="single" w:color="005DA1"/>
          </w:rPr>
          <w:t>1263</w:t>
        </w:r>
      </w:hyperlink>
      <w:r>
        <w:rPr>
          <w:position w:val="5"/>
          <w:sz w:val="14"/>
        </w:rPr>
        <w:t>.</w:t>
      </w:r>
      <w:r>
        <w:rPr>
          <w:spacing w:val="80"/>
          <w:w w:val="150"/>
          <w:position w:val="5"/>
          <w:sz w:val="14"/>
        </w:rPr>
        <w:t> </w:t>
      </w:r>
      <w:r>
        <w:rPr>
          <w:sz w:val="20"/>
        </w:rPr>
        <w:t>Giuliano-Lagarde Report, p.32; Dicey, Morris and Collins, 15th edn (2012), paras 7–087, 7–098 et seq. And see </w:t>
      </w:r>
      <w:r>
        <w:rPr>
          <w:rFonts w:ascii="Arial" w:hAnsi="Arial"/>
          <w:i/>
          <w:sz w:val="20"/>
        </w:rPr>
        <w:t>Lesotho Highlands Development Authority v Impregilo SpA [2000] EWHC 2435 (Comm)</w:t>
      </w:r>
      <w:r>
        <w:rPr>
          <w:sz w:val="20"/>
        </w:rPr>
        <w:t>. cf. </w:t>
      </w:r>
      <w:r>
        <w:rPr>
          <w:rFonts w:ascii="Arial" w:hAnsi="Arial"/>
          <w:i/>
          <w:sz w:val="20"/>
        </w:rPr>
        <w:t>Kuwait Oil Tanker Co SAK v Al Bader [2000] 2 All E.R. (Comm) 271, 333–334 </w:t>
      </w:r>
      <w:r>
        <w:rPr>
          <w:sz w:val="20"/>
        </w:rPr>
        <w:t>(no view expressed on question of whether the right to claim interest by way of damages </w:t>
      </w:r>
      <w:r>
        <w:rPr>
          <w:sz w:val="20"/>
        </w:rPr>
        <w:t>belonged to the “consequences of breach” for the purposes of art.10(1)(c) of the Rome Convention).</w:t>
      </w:r>
    </w:p>
    <w:p>
      <w:pPr>
        <w:pStyle w:val="BodyText"/>
        <w:spacing w:before="5"/>
      </w:pPr>
    </w:p>
    <w:p>
      <w:pPr>
        <w:spacing w:line="227" w:lineRule="exact" w:before="0"/>
        <w:ind w:left="165" w:right="0" w:firstLine="0"/>
        <w:jc w:val="left"/>
        <w:rPr>
          <w:rFonts w:ascii="Arial" w:hAnsi="Arial"/>
          <w:i/>
          <w:sz w:val="20"/>
        </w:rPr>
      </w:pPr>
      <w:bookmarkStart w:name="_bookmark2469" w:id="2471"/>
      <w:bookmarkEnd w:id="2471"/>
      <w:r>
        <w:rPr/>
      </w:r>
      <w:hyperlink w:history="true" w:anchor="_bookmark2361">
        <w:r>
          <w:rPr>
            <w:color w:val="005DA1"/>
            <w:position w:val="5"/>
            <w:sz w:val="14"/>
            <w:u w:val="single" w:color="005DA1"/>
          </w:rPr>
          <w:t>1264</w:t>
        </w:r>
      </w:hyperlink>
      <w:r>
        <w:rPr>
          <w:position w:val="5"/>
          <w:sz w:val="14"/>
        </w:rPr>
        <w:t>.</w:t>
      </w:r>
      <w:r>
        <w:rPr>
          <w:spacing w:val="55"/>
          <w:position w:val="5"/>
          <w:sz w:val="14"/>
        </w:rPr>
        <w:t>  </w:t>
      </w:r>
      <w:r>
        <w:rPr>
          <w:rFonts w:ascii="Arial" w:hAnsi="Arial"/>
          <w:i/>
          <w:sz w:val="20"/>
        </w:rPr>
        <w:t>Lesotho</w:t>
      </w:r>
      <w:r>
        <w:rPr>
          <w:rFonts w:ascii="Arial" w:hAnsi="Arial"/>
          <w:i/>
          <w:spacing w:val="7"/>
          <w:sz w:val="20"/>
        </w:rPr>
        <w:t> </w:t>
      </w:r>
      <w:r>
        <w:rPr>
          <w:rFonts w:ascii="Arial" w:hAnsi="Arial"/>
          <w:i/>
          <w:sz w:val="20"/>
        </w:rPr>
        <w:t>Highlands</w:t>
      </w:r>
      <w:r>
        <w:rPr>
          <w:rFonts w:ascii="Arial" w:hAnsi="Arial"/>
          <w:i/>
          <w:spacing w:val="6"/>
          <w:sz w:val="20"/>
        </w:rPr>
        <w:t> </w:t>
      </w:r>
      <w:r>
        <w:rPr>
          <w:rFonts w:ascii="Arial" w:hAnsi="Arial"/>
          <w:i/>
          <w:sz w:val="20"/>
        </w:rPr>
        <w:t>Development</w:t>
      </w:r>
      <w:r>
        <w:rPr>
          <w:rFonts w:ascii="Arial" w:hAnsi="Arial"/>
          <w:i/>
          <w:spacing w:val="6"/>
          <w:sz w:val="20"/>
        </w:rPr>
        <w:t> </w:t>
      </w:r>
      <w:r>
        <w:rPr>
          <w:rFonts w:ascii="Arial" w:hAnsi="Arial"/>
          <w:i/>
          <w:sz w:val="20"/>
        </w:rPr>
        <w:t>Authority</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Impregilo</w:t>
      </w:r>
      <w:r>
        <w:rPr>
          <w:rFonts w:ascii="Arial" w:hAnsi="Arial"/>
          <w:i/>
          <w:spacing w:val="6"/>
          <w:sz w:val="20"/>
        </w:rPr>
        <w:t> </w:t>
      </w:r>
      <w:r>
        <w:rPr>
          <w:rFonts w:ascii="Arial" w:hAnsi="Arial"/>
          <w:i/>
          <w:sz w:val="20"/>
        </w:rPr>
        <w:t>[2003]</w:t>
      </w:r>
      <w:r>
        <w:rPr>
          <w:rFonts w:ascii="Arial" w:hAnsi="Arial"/>
          <w:i/>
          <w:spacing w:val="6"/>
          <w:sz w:val="20"/>
        </w:rPr>
        <w:t> </w:t>
      </w:r>
      <w:r>
        <w:rPr>
          <w:rFonts w:ascii="Arial" w:hAnsi="Arial"/>
          <w:i/>
          <w:sz w:val="20"/>
        </w:rPr>
        <w:t>EWCA</w:t>
      </w:r>
      <w:r>
        <w:rPr>
          <w:rFonts w:ascii="Arial" w:hAnsi="Arial"/>
          <w:i/>
          <w:spacing w:val="6"/>
          <w:sz w:val="20"/>
        </w:rPr>
        <w:t> </w:t>
      </w:r>
      <w:r>
        <w:rPr>
          <w:rFonts w:ascii="Arial" w:hAnsi="Arial"/>
          <w:i/>
          <w:sz w:val="20"/>
        </w:rPr>
        <w:t>Civ</w:t>
      </w:r>
      <w:r>
        <w:rPr>
          <w:rFonts w:ascii="Arial" w:hAnsi="Arial"/>
          <w:i/>
          <w:spacing w:val="6"/>
          <w:sz w:val="20"/>
        </w:rPr>
        <w:t> </w:t>
      </w:r>
      <w:r>
        <w:rPr>
          <w:rFonts w:ascii="Arial" w:hAnsi="Arial"/>
          <w:i/>
          <w:sz w:val="20"/>
        </w:rPr>
        <w:t>1159,</w:t>
      </w:r>
      <w:r>
        <w:rPr>
          <w:rFonts w:ascii="Arial" w:hAnsi="Arial"/>
          <w:i/>
          <w:spacing w:val="6"/>
          <w:sz w:val="20"/>
        </w:rPr>
        <w:t> </w:t>
      </w:r>
      <w:r>
        <w:rPr>
          <w:rFonts w:ascii="Arial" w:hAnsi="Arial"/>
          <w:i/>
          <w:sz w:val="20"/>
        </w:rPr>
        <w:t>[2003]</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pacing w:val="-2"/>
          <w:sz w:val="20"/>
        </w:rPr>
        <w:t>Lloyd’s</w:t>
      </w:r>
    </w:p>
    <w:p>
      <w:pPr>
        <w:pStyle w:val="BodyText"/>
        <w:spacing w:line="235" w:lineRule="auto" w:before="1"/>
        <w:ind w:left="705" w:right="167"/>
        <w:jc w:val="both"/>
      </w:pPr>
      <w:r>
        <w:rPr>
          <w:rFonts w:ascii="Arial" w:hAnsi="Arial"/>
          <w:i/>
        </w:rPr>
        <w:t>Rep. 497</w:t>
      </w:r>
      <w:r>
        <w:rPr/>
        <w:t>, reversed, without reference to the point, </w:t>
      </w:r>
      <w:r>
        <w:rPr>
          <w:rFonts w:ascii="Arial" w:hAnsi="Arial"/>
          <w:i/>
        </w:rPr>
        <w:t>[2005] UKHL 43, [2006] 1 A.C. 221</w:t>
      </w:r>
      <w:r>
        <w:rPr/>
        <w:t>; Rome Convention art.1(2)(h); Rome I Regulation art.1(2)(i); Dicey, Morris and Collins, 15th </w:t>
      </w:r>
      <w:r>
        <w:rPr/>
        <w:t>edn</w:t>
      </w:r>
      <w:r>
        <w:rPr>
          <w:spacing w:val="40"/>
        </w:rPr>
        <w:t> </w:t>
      </w:r>
      <w:r>
        <w:rPr/>
        <w:t>(2012), paras 7–098 et seq. It is possible, however, that the applicable law may have rules which fix the computation of interest, in which case it is possible that, under the Rome Convention</w:t>
      </w:r>
      <w:r>
        <w:rPr>
          <w:spacing w:val="-2"/>
        </w:rPr>
        <w:t> </w:t>
      </w:r>
      <w:r>
        <w:rPr/>
        <w:t>and</w:t>
      </w:r>
      <w:r>
        <w:rPr>
          <w:spacing w:val="-2"/>
        </w:rPr>
        <w:t> </w:t>
      </w:r>
      <w:r>
        <w:rPr/>
        <w:t>Rome</w:t>
      </w:r>
      <w:r>
        <w:rPr>
          <w:spacing w:val="-2"/>
        </w:rPr>
        <w:t> </w:t>
      </w:r>
      <w:r>
        <w:rPr/>
        <w:t>I,</w:t>
      </w:r>
      <w:r>
        <w:rPr>
          <w:spacing w:val="-2"/>
        </w:rPr>
        <w:t> </w:t>
      </w:r>
      <w:r>
        <w:rPr/>
        <w:t>in</w:t>
      </w:r>
      <w:r>
        <w:rPr>
          <w:spacing w:val="-2"/>
        </w:rPr>
        <w:t> </w:t>
      </w:r>
      <w:r>
        <w:rPr/>
        <w:t>such</w:t>
      </w:r>
      <w:r>
        <w:rPr>
          <w:spacing w:val="-2"/>
        </w:rPr>
        <w:t> </w:t>
      </w:r>
      <w:r>
        <w:rPr/>
        <w:t>cases,</w:t>
      </w:r>
      <w:r>
        <w:rPr>
          <w:spacing w:val="-2"/>
        </w:rPr>
        <w:t> </w:t>
      </w:r>
      <w:r>
        <w:rPr/>
        <w:t>the</w:t>
      </w:r>
      <w:r>
        <w:rPr>
          <w:spacing w:val="-2"/>
        </w:rPr>
        <w:t> </w:t>
      </w:r>
      <w:r>
        <w:rPr/>
        <w:t>rate</w:t>
      </w:r>
      <w:r>
        <w:rPr>
          <w:spacing w:val="-2"/>
        </w:rPr>
        <w:t> </w:t>
      </w:r>
      <w:r>
        <w:rPr/>
        <w:t>of</w:t>
      </w:r>
      <w:r>
        <w:rPr>
          <w:spacing w:val="-2"/>
        </w:rPr>
        <w:t> </w:t>
      </w:r>
      <w:r>
        <w:rPr/>
        <w:t>interest</w:t>
      </w:r>
      <w:r>
        <w:rPr>
          <w:spacing w:val="-2"/>
        </w:rPr>
        <w:t> </w:t>
      </w:r>
      <w:r>
        <w:rPr/>
        <w:t>may</w:t>
      </w:r>
      <w:r>
        <w:rPr>
          <w:spacing w:val="-2"/>
        </w:rPr>
        <w:t> </w:t>
      </w:r>
      <w:r>
        <w:rPr/>
        <w:t>be</w:t>
      </w:r>
      <w:r>
        <w:rPr>
          <w:spacing w:val="-2"/>
        </w:rPr>
        <w:t> </w:t>
      </w:r>
      <w:r>
        <w:rPr/>
        <w:t>regarded</w:t>
      </w:r>
      <w:r>
        <w:rPr>
          <w:spacing w:val="-2"/>
        </w:rPr>
        <w:t> </w:t>
      </w:r>
      <w:r>
        <w:rPr/>
        <w:t>as</w:t>
      </w:r>
      <w:r>
        <w:rPr>
          <w:spacing w:val="-2"/>
        </w:rPr>
        <w:t> </w:t>
      </w:r>
      <w:r>
        <w:rPr/>
        <w:t>governed</w:t>
      </w:r>
      <w:r>
        <w:rPr>
          <w:spacing w:val="-2"/>
        </w:rPr>
        <w:t> </w:t>
      </w:r>
      <w:r>
        <w:rPr/>
        <w:t>by</w:t>
      </w:r>
      <w:r>
        <w:rPr>
          <w:spacing w:val="-2"/>
        </w:rPr>
        <w:t> </w:t>
      </w:r>
      <w:r>
        <w:rPr/>
        <w:t>the applicable law.</w:t>
      </w:r>
    </w:p>
    <w:p>
      <w:pPr>
        <w:pStyle w:val="BodyText"/>
        <w:spacing w:before="8"/>
      </w:pPr>
    </w:p>
    <w:p>
      <w:pPr>
        <w:spacing w:line="235" w:lineRule="auto" w:before="0"/>
        <w:ind w:left="705" w:right="167" w:hanging="541"/>
        <w:jc w:val="both"/>
        <w:rPr>
          <w:rFonts w:ascii="Arial" w:hAnsi="Arial"/>
          <w:i/>
          <w:sz w:val="20"/>
        </w:rPr>
      </w:pPr>
      <w:bookmarkStart w:name="_bookmark2470" w:id="2472"/>
      <w:bookmarkEnd w:id="2472"/>
      <w:r>
        <w:rPr/>
      </w:r>
      <w:hyperlink w:history="true" w:anchor="_bookmark2362">
        <w:r>
          <w:rPr>
            <w:color w:val="005DA1"/>
            <w:position w:val="5"/>
            <w:sz w:val="14"/>
            <w:u w:val="single" w:color="005DA1"/>
          </w:rPr>
          <w:t>1265</w:t>
        </w:r>
      </w:hyperlink>
      <w:r>
        <w:rPr>
          <w:position w:val="5"/>
          <w:sz w:val="14"/>
        </w:rPr>
        <w:t>.</w:t>
      </w:r>
      <w:r>
        <w:rPr>
          <w:spacing w:val="80"/>
          <w:position w:val="5"/>
          <w:sz w:val="14"/>
        </w:rPr>
        <w:t> </w:t>
      </w:r>
      <w:r>
        <w:rPr>
          <w:rFonts w:ascii="Arial" w:hAnsi="Arial"/>
          <w:i/>
          <w:sz w:val="20"/>
        </w:rPr>
        <w:t>President of India v Lips Maritime Corp [1988] A.C. 395</w:t>
      </w:r>
      <w:r>
        <w:rPr>
          <w:sz w:val="20"/>
        </w:rPr>
        <w:t>; </w:t>
      </w:r>
      <w:r>
        <w:rPr>
          <w:rFonts w:ascii="Arial" w:hAnsi="Arial"/>
          <w:i/>
          <w:sz w:val="20"/>
        </w:rPr>
        <w:t>Ozalid Group (Export) Ltd v African Continental Bank Ltd [1979] 2 Lloyd’s Rep. 331</w:t>
      </w:r>
      <w:r>
        <w:rPr>
          <w:sz w:val="20"/>
        </w:rPr>
        <w:t>; </w:t>
      </w:r>
      <w:r>
        <w:rPr>
          <w:rFonts w:ascii="Arial" w:hAnsi="Arial"/>
          <w:i/>
          <w:sz w:val="20"/>
        </w:rPr>
        <w:t>International Minerals and Chemicals Corp </w:t>
      </w:r>
      <w:r>
        <w:rPr>
          <w:rFonts w:ascii="Arial" w:hAnsi="Arial"/>
          <w:i/>
          <w:sz w:val="20"/>
        </w:rPr>
        <w:t>v Karl O. Helm AG [1986] 1 Lloyd’s Rep. 81</w:t>
      </w:r>
      <w:r>
        <w:rPr>
          <w:sz w:val="20"/>
        </w:rPr>
        <w:t>; </w:t>
      </w:r>
      <w:r>
        <w:rPr>
          <w:rFonts w:ascii="Arial" w:hAnsi="Arial"/>
          <w:i/>
          <w:sz w:val="20"/>
        </w:rPr>
        <w:t>Rogers v Markel Corp [2004] EWHC 2046 (QB)</w:t>
      </w:r>
      <w:r>
        <w:rPr>
          <w:sz w:val="20"/>
        </w:rPr>
        <w:t>; </w:t>
      </w:r>
      <w:r>
        <w:rPr>
          <w:rFonts w:ascii="Arial" w:hAnsi="Arial"/>
          <w:i/>
          <w:sz w:val="20"/>
        </w:rPr>
        <w:t>Isaac</w:t>
      </w:r>
      <w:r>
        <w:rPr>
          <w:rFonts w:ascii="Arial" w:hAnsi="Arial"/>
          <w:i/>
          <w:spacing w:val="7"/>
          <w:sz w:val="20"/>
        </w:rPr>
        <w:t> </w:t>
      </w:r>
      <w:r>
        <w:rPr>
          <w:rFonts w:ascii="Arial" w:hAnsi="Arial"/>
          <w:i/>
          <w:sz w:val="20"/>
        </w:rPr>
        <w:t>Naylor</w:t>
      </w:r>
      <w:r>
        <w:rPr>
          <w:rFonts w:ascii="Arial" w:hAnsi="Arial"/>
          <w:i/>
          <w:spacing w:val="7"/>
          <w:sz w:val="20"/>
        </w:rPr>
        <w:t> </w:t>
      </w:r>
      <w:r>
        <w:rPr>
          <w:rFonts w:ascii="Arial" w:hAnsi="Arial"/>
          <w:i/>
          <w:sz w:val="20"/>
        </w:rPr>
        <w:t>&amp;</w:t>
      </w:r>
      <w:r>
        <w:rPr>
          <w:rFonts w:ascii="Arial" w:hAnsi="Arial"/>
          <w:i/>
          <w:spacing w:val="7"/>
          <w:sz w:val="20"/>
        </w:rPr>
        <w:t> </w:t>
      </w:r>
      <w:r>
        <w:rPr>
          <w:rFonts w:ascii="Arial" w:hAnsi="Arial"/>
          <w:i/>
          <w:sz w:val="20"/>
        </w:rPr>
        <w:t>Sons</w:t>
      </w:r>
      <w:r>
        <w:rPr>
          <w:rFonts w:ascii="Arial" w:hAnsi="Arial"/>
          <w:i/>
          <w:spacing w:val="7"/>
          <w:sz w:val="20"/>
        </w:rPr>
        <w:t> </w:t>
      </w:r>
      <w:r>
        <w:rPr>
          <w:rFonts w:ascii="Arial" w:hAnsi="Arial"/>
          <w:i/>
          <w:sz w:val="20"/>
        </w:rPr>
        <w:t>Ltd</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New</w:t>
      </w:r>
      <w:r>
        <w:rPr>
          <w:rFonts w:ascii="Arial" w:hAnsi="Arial"/>
          <w:i/>
          <w:spacing w:val="7"/>
          <w:sz w:val="20"/>
        </w:rPr>
        <w:t> </w:t>
      </w:r>
      <w:r>
        <w:rPr>
          <w:rFonts w:ascii="Arial" w:hAnsi="Arial"/>
          <w:i/>
          <w:sz w:val="20"/>
        </w:rPr>
        <w:t>Zealand</w:t>
      </w:r>
      <w:r>
        <w:rPr>
          <w:rFonts w:ascii="Arial" w:hAnsi="Arial"/>
          <w:i/>
          <w:spacing w:val="7"/>
          <w:sz w:val="20"/>
        </w:rPr>
        <w:t> </w:t>
      </w:r>
      <w:r>
        <w:rPr>
          <w:rFonts w:ascii="Arial" w:hAnsi="Arial"/>
          <w:i/>
          <w:sz w:val="20"/>
        </w:rPr>
        <w:t>Co-operative</w:t>
      </w:r>
      <w:r>
        <w:rPr>
          <w:rFonts w:ascii="Arial" w:hAnsi="Arial"/>
          <w:i/>
          <w:spacing w:val="7"/>
          <w:sz w:val="20"/>
        </w:rPr>
        <w:t> </w:t>
      </w:r>
      <w:r>
        <w:rPr>
          <w:rFonts w:ascii="Arial" w:hAnsi="Arial"/>
          <w:i/>
          <w:sz w:val="20"/>
        </w:rPr>
        <w:t>Wool</w:t>
      </w:r>
      <w:r>
        <w:rPr>
          <w:rFonts w:ascii="Arial" w:hAnsi="Arial"/>
          <w:i/>
          <w:spacing w:val="7"/>
          <w:sz w:val="20"/>
        </w:rPr>
        <w:t> </w:t>
      </w:r>
      <w:r>
        <w:rPr>
          <w:rFonts w:ascii="Arial" w:hAnsi="Arial"/>
          <w:i/>
          <w:sz w:val="20"/>
        </w:rPr>
        <w:t>Marketing</w:t>
      </w:r>
      <w:r>
        <w:rPr>
          <w:rFonts w:ascii="Arial" w:hAnsi="Arial"/>
          <w:i/>
          <w:spacing w:val="7"/>
          <w:sz w:val="20"/>
        </w:rPr>
        <w:t> </w:t>
      </w:r>
      <w:r>
        <w:rPr>
          <w:rFonts w:ascii="Arial" w:hAnsi="Arial"/>
          <w:i/>
          <w:sz w:val="20"/>
        </w:rPr>
        <w:t>Association</w:t>
      </w:r>
      <w:r>
        <w:rPr>
          <w:rFonts w:ascii="Arial" w:hAnsi="Arial"/>
          <w:i/>
          <w:spacing w:val="7"/>
          <w:sz w:val="20"/>
        </w:rPr>
        <w:t> </w:t>
      </w:r>
      <w:r>
        <w:rPr>
          <w:rFonts w:ascii="Arial" w:hAnsi="Arial"/>
          <w:i/>
          <w:sz w:val="20"/>
        </w:rPr>
        <w:t>Ltd</w:t>
      </w:r>
      <w:r>
        <w:rPr>
          <w:rFonts w:ascii="Arial" w:hAnsi="Arial"/>
          <w:i/>
          <w:spacing w:val="7"/>
          <w:sz w:val="20"/>
        </w:rPr>
        <w:t> </w:t>
      </w:r>
      <w:r>
        <w:rPr>
          <w:rFonts w:ascii="Arial" w:hAnsi="Arial"/>
          <w:i/>
          <w:sz w:val="20"/>
        </w:rPr>
        <w:t>[1981]</w:t>
      </w:r>
      <w:r>
        <w:rPr>
          <w:rFonts w:ascii="Arial" w:hAnsi="Arial"/>
          <w:i/>
          <w:spacing w:val="7"/>
          <w:sz w:val="20"/>
        </w:rPr>
        <w:t> </w:t>
      </w:r>
      <w:r>
        <w:rPr>
          <w:rFonts w:ascii="Arial" w:hAnsi="Arial"/>
          <w:i/>
          <w:spacing w:val="-10"/>
          <w:sz w:val="20"/>
        </w:rPr>
        <w:t>1</w:t>
      </w:r>
    </w:p>
    <w:p>
      <w:pPr>
        <w:spacing w:line="225" w:lineRule="exact" w:before="0"/>
        <w:ind w:left="705" w:right="0" w:firstLine="0"/>
        <w:jc w:val="left"/>
        <w:rPr>
          <w:sz w:val="20"/>
        </w:rPr>
      </w:pPr>
      <w:r>
        <w:rPr>
          <w:rFonts w:ascii="Arial"/>
          <w:i/>
          <w:sz w:val="20"/>
        </w:rPr>
        <w:t>N.Z.L.R.</w:t>
      </w:r>
      <w:r>
        <w:rPr>
          <w:rFonts w:ascii="Arial"/>
          <w:i/>
          <w:spacing w:val="-2"/>
          <w:sz w:val="20"/>
        </w:rPr>
        <w:t> </w:t>
      </w:r>
      <w:r>
        <w:rPr>
          <w:rFonts w:ascii="Arial"/>
          <w:i/>
          <w:spacing w:val="-4"/>
          <w:sz w:val="20"/>
        </w:rPr>
        <w:t>361</w:t>
      </w:r>
      <w:r>
        <w:rPr>
          <w:spacing w:val="-4"/>
          <w:sz w:val="20"/>
        </w:rPr>
        <w:t>.</w:t>
      </w:r>
    </w:p>
    <w:p>
      <w:pPr>
        <w:pStyle w:val="BodyText"/>
        <w:spacing w:before="8"/>
      </w:pPr>
    </w:p>
    <w:p>
      <w:pPr>
        <w:spacing w:line="235" w:lineRule="auto" w:before="1"/>
        <w:ind w:left="705" w:right="167" w:hanging="541"/>
        <w:jc w:val="both"/>
        <w:rPr>
          <w:sz w:val="20"/>
        </w:rPr>
      </w:pPr>
      <w:bookmarkStart w:name="_bookmark2471" w:id="2473"/>
      <w:bookmarkEnd w:id="2473"/>
      <w:r>
        <w:rPr/>
      </w:r>
      <w:hyperlink w:history="true" w:anchor="_bookmark2363">
        <w:r>
          <w:rPr>
            <w:color w:val="005DA1"/>
            <w:position w:val="5"/>
            <w:sz w:val="14"/>
            <w:u w:val="single" w:color="005DA1"/>
          </w:rPr>
          <w:t>1266</w:t>
        </w:r>
      </w:hyperlink>
      <w:r>
        <w:rPr>
          <w:position w:val="5"/>
          <w:sz w:val="14"/>
        </w:rPr>
        <w:t>.</w:t>
      </w:r>
      <w:r>
        <w:rPr>
          <w:spacing w:val="80"/>
          <w:position w:val="5"/>
          <w:sz w:val="14"/>
        </w:rPr>
        <w:t> </w:t>
      </w:r>
      <w:r>
        <w:rPr>
          <w:sz w:val="20"/>
        </w:rPr>
        <w:t>The cases in the preceding note establish that the question is one of remoteness of damage which is thus governed by the applicable law according to art.10(1)(c) of the Convention </w:t>
      </w:r>
      <w:r>
        <w:rPr>
          <w:sz w:val="20"/>
        </w:rPr>
        <w:t>and art.12(1)(c) of the Regulation; see also </w:t>
      </w:r>
      <w:r>
        <w:rPr>
          <w:rFonts w:ascii="Arial" w:hAnsi="Arial"/>
          <w:i/>
          <w:sz w:val="20"/>
        </w:rPr>
        <w:t>Milan Nigeria Ltd v Angeliki B Maritime Co [2011]</w:t>
      </w:r>
      <w:r>
        <w:rPr>
          <w:rFonts w:ascii="Arial" w:hAnsi="Arial"/>
          <w:i/>
          <w:spacing w:val="40"/>
          <w:sz w:val="20"/>
        </w:rPr>
        <w:t> </w:t>
      </w:r>
      <w:r>
        <w:rPr>
          <w:rFonts w:ascii="Arial" w:hAnsi="Arial"/>
          <w:i/>
          <w:sz w:val="20"/>
        </w:rPr>
        <w:t>EWHC 892 (Comm)</w:t>
      </w:r>
      <w:r>
        <w:rPr>
          <w:sz w:val="20"/>
        </w:rPr>
        <w:t>. Dicey, Morris and Collins, 15th edn (2012), para.37–084.</w:t>
      </w:r>
    </w:p>
    <w:p>
      <w:pPr>
        <w:pStyle w:val="BodyText"/>
        <w:spacing w:before="8"/>
      </w:pPr>
    </w:p>
    <w:p>
      <w:pPr>
        <w:pStyle w:val="BodyText"/>
        <w:spacing w:line="235" w:lineRule="auto"/>
        <w:ind w:left="705" w:right="167" w:hanging="541"/>
        <w:jc w:val="both"/>
      </w:pPr>
      <w:bookmarkStart w:name="_bookmark2472" w:id="2474"/>
      <w:bookmarkEnd w:id="2474"/>
      <w:r>
        <w:rPr/>
      </w:r>
      <w:hyperlink w:history="true" w:anchor="_bookmark2364">
        <w:r>
          <w:rPr>
            <w:color w:val="005DA1"/>
            <w:position w:val="5"/>
            <w:sz w:val="14"/>
            <w:u w:val="single" w:color="005DA1"/>
          </w:rPr>
          <w:t>1267</w:t>
        </w:r>
      </w:hyperlink>
      <w:r>
        <w:rPr>
          <w:position w:val="5"/>
          <w:sz w:val="14"/>
        </w:rPr>
        <w:t>.</w:t>
      </w:r>
      <w:r>
        <w:rPr>
          <w:spacing w:val="80"/>
          <w:position w:val="5"/>
          <w:sz w:val="14"/>
        </w:rPr>
        <w:t> </w:t>
      </w:r>
      <w:r>
        <w:rPr/>
        <w:t>As amended by Late Payment of Commercial Debts Regulations 2002 (SI 2002/1674), fully in force from August 7, 2002. These Regulations partially implement Directive 2000/35 </w:t>
      </w:r>
      <w:r>
        <w:rPr/>
        <w:t>on combating late payment in commercial transactions [2000] O.J. L200/35.</w:t>
      </w:r>
    </w:p>
    <w:p>
      <w:pPr>
        <w:pStyle w:val="BodyText"/>
        <w:spacing w:before="5"/>
      </w:pPr>
    </w:p>
    <w:p>
      <w:pPr>
        <w:pStyle w:val="BodyText"/>
        <w:ind w:left="165"/>
      </w:pPr>
      <w:bookmarkStart w:name="_bookmark2473" w:id="2475"/>
      <w:bookmarkEnd w:id="2475"/>
      <w:r>
        <w:rPr/>
      </w:r>
      <w:hyperlink w:history="true" w:anchor="_bookmark2365">
        <w:r>
          <w:rPr>
            <w:color w:val="005DA1"/>
            <w:position w:val="5"/>
            <w:sz w:val="14"/>
            <w:u w:val="single" w:color="005DA1"/>
          </w:rPr>
          <w:t>1268</w:t>
        </w:r>
      </w:hyperlink>
      <w:r>
        <w:rPr>
          <w:position w:val="5"/>
          <w:sz w:val="14"/>
        </w:rPr>
        <w:t>.</w:t>
      </w:r>
      <w:r>
        <w:rPr>
          <w:spacing w:val="55"/>
          <w:position w:val="5"/>
          <w:sz w:val="14"/>
        </w:rPr>
        <w:t>  </w:t>
      </w:r>
      <w:r>
        <w:rPr/>
        <w:t>Late</w:t>
      </w:r>
      <w:r>
        <w:rPr>
          <w:spacing w:val="1"/>
        </w:rPr>
        <w:t> </w:t>
      </w:r>
      <w:r>
        <w:rPr/>
        <w:t>Payment of Commercial Debts (Interest) Act 1998 ss.1(1), 2(1), (2), (3), (7), </w:t>
      </w:r>
      <w:r>
        <w:rPr>
          <w:spacing w:val="-2"/>
        </w:rPr>
        <w:t>12(3).</w:t>
      </w:r>
    </w:p>
    <w:p>
      <w:pPr>
        <w:pStyle w:val="BodyText"/>
        <w:spacing w:before="9"/>
      </w:pPr>
    </w:p>
    <w:p>
      <w:pPr>
        <w:pStyle w:val="BodyText"/>
        <w:spacing w:line="235" w:lineRule="auto"/>
        <w:ind w:left="705" w:right="167" w:hanging="541"/>
        <w:jc w:val="both"/>
      </w:pPr>
      <w:bookmarkStart w:name="_bookmark2474" w:id="2476"/>
      <w:bookmarkEnd w:id="2476"/>
      <w:r>
        <w:rPr/>
      </w:r>
      <w:hyperlink w:history="true" w:anchor="_bookmark2365">
        <w:r>
          <w:rPr>
            <w:color w:val="005DA1"/>
            <w:position w:val="5"/>
            <w:sz w:val="14"/>
            <w:u w:val="single" w:color="005DA1"/>
          </w:rPr>
          <w:t>1269</w:t>
        </w:r>
      </w:hyperlink>
      <w:r>
        <w:rPr>
          <w:position w:val="5"/>
          <w:sz w:val="14"/>
        </w:rPr>
        <w:t>.</w:t>
      </w:r>
      <w:r>
        <w:rPr>
          <w:spacing w:val="80"/>
          <w:position w:val="5"/>
          <w:sz w:val="14"/>
        </w:rPr>
        <w:t> </w:t>
      </w:r>
      <w:r>
        <w:rPr/>
        <w:t>Defined in s.2(5) and (7) as a consumer credit agreement within the meaning of the </w:t>
      </w:r>
      <w:r>
        <w:rPr/>
        <w:t>Consumer Credit Act 1974, a contract intended to operate by way of mortgage, pledge, charge or other security and any other contract specified in an order made by the Secretary of State.</w:t>
      </w:r>
    </w:p>
    <w:p>
      <w:pPr>
        <w:pStyle w:val="BodyText"/>
        <w:spacing w:before="5"/>
      </w:pPr>
    </w:p>
    <w:p>
      <w:pPr>
        <w:spacing w:before="0"/>
        <w:ind w:left="165" w:right="0" w:firstLine="0"/>
        <w:jc w:val="left"/>
        <w:rPr>
          <w:sz w:val="20"/>
        </w:rPr>
      </w:pPr>
      <w:bookmarkStart w:name="_bookmark2475" w:id="2477"/>
      <w:bookmarkEnd w:id="2477"/>
      <w:r>
        <w:rPr/>
      </w:r>
      <w:hyperlink w:history="true" w:anchor="_bookmark2365">
        <w:r>
          <w:rPr>
            <w:color w:val="005DA1"/>
            <w:position w:val="5"/>
            <w:sz w:val="14"/>
            <w:u w:val="single" w:color="005DA1"/>
          </w:rPr>
          <w:t>1270</w:t>
        </w:r>
      </w:hyperlink>
      <w:r>
        <w:rPr>
          <w:position w:val="5"/>
          <w:sz w:val="14"/>
        </w:rPr>
        <w:t>.</w:t>
      </w:r>
      <w:r>
        <w:rPr>
          <w:spacing w:val="55"/>
          <w:position w:val="5"/>
          <w:sz w:val="14"/>
        </w:rPr>
        <w:t>  </w:t>
      </w:r>
      <w:r>
        <w:rPr>
          <w:sz w:val="20"/>
        </w:rPr>
        <w:t>ss.1(1),</w:t>
      </w:r>
      <w:r>
        <w:rPr>
          <w:spacing w:val="1"/>
          <w:sz w:val="20"/>
        </w:rPr>
        <w:t> </w:t>
      </w:r>
      <w:r>
        <w:rPr>
          <w:spacing w:val="-2"/>
          <w:sz w:val="20"/>
        </w:rPr>
        <w:t>3(1).</w:t>
      </w:r>
    </w:p>
    <w:p>
      <w:pPr>
        <w:pStyle w:val="BodyText"/>
        <w:spacing w:before="5"/>
      </w:pPr>
    </w:p>
    <w:p>
      <w:pPr>
        <w:spacing w:before="0"/>
        <w:ind w:left="165" w:right="0" w:firstLine="0"/>
        <w:jc w:val="left"/>
        <w:rPr>
          <w:sz w:val="20"/>
        </w:rPr>
      </w:pPr>
      <w:bookmarkStart w:name="_bookmark2476" w:id="2478"/>
      <w:bookmarkEnd w:id="2478"/>
      <w:r>
        <w:rPr/>
      </w:r>
      <w:hyperlink w:history="true" w:anchor="_bookmark2366">
        <w:r>
          <w:rPr>
            <w:color w:val="005DA1"/>
            <w:position w:val="5"/>
            <w:sz w:val="14"/>
            <w:u w:val="single" w:color="005DA1"/>
          </w:rPr>
          <w:t>1271</w:t>
        </w:r>
      </w:hyperlink>
      <w:r>
        <w:rPr>
          <w:position w:val="5"/>
          <w:sz w:val="14"/>
        </w:rPr>
        <w:t>.</w:t>
      </w:r>
      <w:r>
        <w:rPr>
          <w:spacing w:val="55"/>
          <w:position w:val="5"/>
          <w:sz w:val="14"/>
        </w:rPr>
        <w:t>  </w:t>
      </w:r>
      <w:r>
        <w:rPr>
          <w:spacing w:val="-2"/>
          <w:sz w:val="20"/>
        </w:rPr>
        <w:t>s.1(2).</w:t>
      </w:r>
    </w:p>
    <w:p>
      <w:pPr>
        <w:pStyle w:val="BodyText"/>
        <w:spacing w:before="5"/>
      </w:pPr>
    </w:p>
    <w:p>
      <w:pPr>
        <w:spacing w:before="0"/>
        <w:ind w:left="165" w:right="0" w:firstLine="0"/>
        <w:jc w:val="left"/>
        <w:rPr>
          <w:sz w:val="20"/>
        </w:rPr>
      </w:pPr>
      <w:bookmarkStart w:name="_bookmark2477" w:id="2479"/>
      <w:bookmarkEnd w:id="2479"/>
      <w:r>
        <w:rPr/>
      </w:r>
      <w:hyperlink w:history="true" w:anchor="_bookmark2367">
        <w:r>
          <w:rPr>
            <w:color w:val="005DA1"/>
            <w:position w:val="5"/>
            <w:sz w:val="14"/>
            <w:u w:val="single" w:color="005DA1"/>
          </w:rPr>
          <w:t>1272</w:t>
        </w:r>
      </w:hyperlink>
      <w:r>
        <w:rPr>
          <w:position w:val="5"/>
          <w:sz w:val="14"/>
        </w:rPr>
        <w:t>.</w:t>
      </w:r>
      <w:r>
        <w:rPr>
          <w:spacing w:val="55"/>
          <w:position w:val="5"/>
          <w:sz w:val="14"/>
        </w:rPr>
        <w:t>  </w:t>
      </w:r>
      <w:r>
        <w:rPr>
          <w:spacing w:val="-2"/>
          <w:sz w:val="20"/>
        </w:rPr>
        <w:t>s.1(1).</w:t>
      </w:r>
    </w:p>
    <w:p>
      <w:pPr>
        <w:spacing w:after="0"/>
        <w:jc w:val="lef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344" w:hRule="atLeast"/>
        </w:trPr>
        <w:tc>
          <w:tcPr>
            <w:tcW w:w="496" w:type="dxa"/>
          </w:tcPr>
          <w:p>
            <w:pPr>
              <w:pStyle w:val="TableParagraph"/>
              <w:spacing w:before="0"/>
              <w:ind w:left="0" w:right="43"/>
              <w:rPr>
                <w:sz w:val="14"/>
              </w:rPr>
            </w:pPr>
            <w:hyperlink w:history="true" w:anchor="_bookmark2368">
              <w:r>
                <w:rPr>
                  <w:color w:val="005DA1"/>
                  <w:spacing w:val="-2"/>
                  <w:sz w:val="14"/>
                  <w:u w:val="single" w:color="005DA1"/>
                </w:rPr>
                <w:t>1273</w:t>
              </w:r>
            </w:hyperlink>
            <w:r>
              <w:rPr>
                <w:spacing w:val="-2"/>
                <w:sz w:val="14"/>
              </w:rPr>
              <w:t>.</w:t>
            </w:r>
          </w:p>
        </w:tc>
        <w:tc>
          <w:tcPr>
            <w:tcW w:w="8621" w:type="dxa"/>
          </w:tcPr>
          <w:p>
            <w:pPr>
              <w:pStyle w:val="TableParagraph"/>
              <w:spacing w:line="223" w:lineRule="exact" w:before="0"/>
              <w:jc w:val="left"/>
              <w:rPr>
                <w:sz w:val="20"/>
              </w:rPr>
            </w:pPr>
            <w:r>
              <w:rPr>
                <w:sz w:val="20"/>
              </w:rPr>
              <w:t>ss.7 </w:t>
            </w:r>
            <w:r>
              <w:rPr>
                <w:spacing w:val="-5"/>
                <w:sz w:val="20"/>
              </w:rPr>
              <w:t>10.</w:t>
            </w:r>
          </w:p>
        </w:tc>
      </w:tr>
      <w:tr>
        <w:trPr>
          <w:trHeight w:val="915" w:hRule="atLeast"/>
        </w:trPr>
        <w:tc>
          <w:tcPr>
            <w:tcW w:w="496" w:type="dxa"/>
          </w:tcPr>
          <w:p>
            <w:pPr>
              <w:pStyle w:val="TableParagraph"/>
              <w:ind w:left="0" w:right="43"/>
              <w:rPr>
                <w:sz w:val="14"/>
              </w:rPr>
            </w:pPr>
            <w:bookmarkStart w:name="_bookmark2478" w:id="2480"/>
            <w:bookmarkEnd w:id="2480"/>
            <w:r>
              <w:rPr/>
            </w:r>
            <w:hyperlink w:history="true" w:anchor="_bookmark2369">
              <w:r>
                <w:rPr>
                  <w:color w:val="005DA1"/>
                  <w:spacing w:val="-2"/>
                  <w:sz w:val="14"/>
                  <w:u w:val="single" w:color="005DA1"/>
                </w:rPr>
                <w:t>1274</w:t>
              </w:r>
            </w:hyperlink>
            <w:r>
              <w:rPr>
                <w:spacing w:val="-2"/>
                <w:sz w:val="14"/>
              </w:rPr>
              <w:t>.</w:t>
            </w:r>
          </w:p>
        </w:tc>
        <w:tc>
          <w:tcPr>
            <w:tcW w:w="8621" w:type="dxa"/>
          </w:tcPr>
          <w:p>
            <w:pPr>
              <w:pStyle w:val="TableParagraph"/>
              <w:spacing w:line="235" w:lineRule="auto" w:before="118"/>
              <w:ind w:right="50"/>
              <w:jc w:val="both"/>
              <w:rPr>
                <w:sz w:val="20"/>
              </w:rPr>
            </w:pPr>
            <w:r>
              <w:rPr>
                <w:sz w:val="20"/>
              </w:rPr>
              <w:t>cf. Unfair Contract Terms Act 1977 s.27. See on this section </w:t>
            </w:r>
            <w:r>
              <w:rPr>
                <w:rFonts w:ascii="Arial" w:hAnsi="Arial"/>
                <w:i/>
                <w:sz w:val="20"/>
              </w:rPr>
              <w:t>Bulk Ship Union SA v Clipper </w:t>
            </w:r>
            <w:r>
              <w:rPr>
                <w:rFonts w:ascii="Arial" w:hAnsi="Arial"/>
                <w:i/>
                <w:sz w:val="20"/>
              </w:rPr>
              <w:t>Bulk Shipping Ltd [2012] EWHC 2595 (Comm), [2012] 2 Lloyd’s Rep. 533</w:t>
            </w:r>
            <w:r>
              <w:rPr>
                <w:sz w:val="20"/>
              </w:rPr>
              <w:t>; </w:t>
            </w:r>
            <w:r>
              <w:rPr>
                <w:rFonts w:ascii="Arial" w:hAnsi="Arial"/>
                <w:i/>
                <w:sz w:val="20"/>
              </w:rPr>
              <w:t>Martrade Shipping and Transport v United Enterprises Corp [2014] EWHC 1884 (Comm)</w:t>
            </w:r>
            <w:r>
              <w:rPr>
                <w:sz w:val="20"/>
              </w:rPr>
              <w:t>.</w:t>
            </w:r>
          </w:p>
        </w:tc>
      </w:tr>
      <w:tr>
        <w:trPr>
          <w:trHeight w:val="465" w:hRule="atLeast"/>
        </w:trPr>
        <w:tc>
          <w:tcPr>
            <w:tcW w:w="496" w:type="dxa"/>
          </w:tcPr>
          <w:p>
            <w:pPr>
              <w:pStyle w:val="TableParagraph"/>
              <w:ind w:left="0" w:right="43"/>
              <w:rPr>
                <w:sz w:val="14"/>
              </w:rPr>
            </w:pPr>
            <w:bookmarkStart w:name="_bookmark2479" w:id="2481"/>
            <w:bookmarkEnd w:id="2481"/>
            <w:r>
              <w:rPr/>
            </w:r>
            <w:hyperlink w:history="true" w:anchor="_bookmark2370">
              <w:r>
                <w:rPr>
                  <w:color w:val="005DA1"/>
                  <w:spacing w:val="-2"/>
                  <w:sz w:val="14"/>
                  <w:u w:val="single" w:color="005DA1"/>
                </w:rPr>
                <w:t>1275</w:t>
              </w:r>
            </w:hyperlink>
            <w:r>
              <w:rPr>
                <w:spacing w:val="-2"/>
                <w:sz w:val="14"/>
              </w:rPr>
              <w:t>.</w:t>
            </w:r>
          </w:p>
        </w:tc>
        <w:tc>
          <w:tcPr>
            <w:tcW w:w="8621" w:type="dxa"/>
          </w:tcPr>
          <w:p>
            <w:pPr>
              <w:pStyle w:val="TableParagraph"/>
              <w:spacing w:before="114"/>
              <w:jc w:val="left"/>
              <w:rPr>
                <w:sz w:val="20"/>
              </w:rPr>
            </w:pPr>
            <w:r>
              <w:rPr>
                <w:sz w:val="20"/>
              </w:rPr>
              <w:t>s.12(3). cf. Unfair Contract Terms Act 1977 </w:t>
            </w:r>
            <w:r>
              <w:rPr>
                <w:spacing w:val="-2"/>
                <w:sz w:val="20"/>
              </w:rPr>
              <w:t>s.27(1).</w:t>
            </w:r>
          </w:p>
        </w:tc>
      </w:tr>
      <w:tr>
        <w:trPr>
          <w:trHeight w:val="465" w:hRule="atLeast"/>
        </w:trPr>
        <w:tc>
          <w:tcPr>
            <w:tcW w:w="496" w:type="dxa"/>
          </w:tcPr>
          <w:p>
            <w:pPr>
              <w:pStyle w:val="TableParagraph"/>
              <w:ind w:left="0" w:right="43"/>
              <w:rPr>
                <w:sz w:val="14"/>
              </w:rPr>
            </w:pPr>
            <w:bookmarkStart w:name="_bookmark2480" w:id="2482"/>
            <w:bookmarkEnd w:id="2482"/>
            <w:r>
              <w:rPr/>
            </w:r>
            <w:hyperlink w:history="true" w:anchor="_bookmark2371">
              <w:r>
                <w:rPr>
                  <w:color w:val="005DA1"/>
                  <w:spacing w:val="-2"/>
                  <w:sz w:val="14"/>
                  <w:u w:val="single" w:color="005DA1"/>
                </w:rPr>
                <w:t>1276</w:t>
              </w:r>
            </w:hyperlink>
            <w:r>
              <w:rPr>
                <w:spacing w:val="-2"/>
                <w:sz w:val="14"/>
              </w:rPr>
              <w:t>.</w:t>
            </w:r>
          </w:p>
        </w:tc>
        <w:tc>
          <w:tcPr>
            <w:tcW w:w="8621" w:type="dxa"/>
          </w:tcPr>
          <w:p>
            <w:pPr>
              <w:pStyle w:val="TableParagraph"/>
              <w:spacing w:before="114"/>
              <w:jc w:val="left"/>
              <w:rPr>
                <w:sz w:val="20"/>
              </w:rPr>
            </w:pPr>
            <w:r>
              <w:rPr>
                <w:sz w:val="20"/>
              </w:rPr>
              <w:t>Above, paras 30-046 et seq., 30-169 et </w:t>
            </w:r>
            <w:r>
              <w:rPr>
                <w:spacing w:val="-4"/>
                <w:sz w:val="20"/>
              </w:rPr>
              <w:t>seq.</w:t>
            </w:r>
          </w:p>
        </w:tc>
      </w:tr>
      <w:tr>
        <w:trPr>
          <w:trHeight w:val="465" w:hRule="atLeast"/>
        </w:trPr>
        <w:tc>
          <w:tcPr>
            <w:tcW w:w="496" w:type="dxa"/>
          </w:tcPr>
          <w:p>
            <w:pPr>
              <w:pStyle w:val="TableParagraph"/>
              <w:ind w:left="0" w:right="43"/>
              <w:rPr>
                <w:sz w:val="14"/>
              </w:rPr>
            </w:pPr>
            <w:bookmarkStart w:name="_bookmark2481" w:id="2483"/>
            <w:bookmarkEnd w:id="2483"/>
            <w:r>
              <w:rPr/>
            </w:r>
            <w:hyperlink w:history="true" w:anchor="_bookmark2372">
              <w:r>
                <w:rPr>
                  <w:color w:val="005DA1"/>
                  <w:spacing w:val="-2"/>
                  <w:sz w:val="14"/>
                  <w:u w:val="single" w:color="005DA1"/>
                </w:rPr>
                <w:t>1277</w:t>
              </w:r>
            </w:hyperlink>
            <w:r>
              <w:rPr>
                <w:spacing w:val="-2"/>
                <w:sz w:val="14"/>
              </w:rPr>
              <w:t>.</w:t>
            </w:r>
          </w:p>
        </w:tc>
        <w:tc>
          <w:tcPr>
            <w:tcW w:w="8621" w:type="dxa"/>
          </w:tcPr>
          <w:p>
            <w:pPr>
              <w:pStyle w:val="TableParagraph"/>
              <w:spacing w:before="114"/>
              <w:jc w:val="left"/>
              <w:rPr>
                <w:sz w:val="20"/>
              </w:rPr>
            </w:pPr>
            <w:r>
              <w:rPr>
                <w:sz w:val="20"/>
              </w:rPr>
              <w:t>Above, paras 30-070 et seq., 30-185 et </w:t>
            </w:r>
            <w:r>
              <w:rPr>
                <w:spacing w:val="-4"/>
                <w:sz w:val="20"/>
              </w:rPr>
              <w:t>seq.</w:t>
            </w:r>
          </w:p>
        </w:tc>
      </w:tr>
      <w:tr>
        <w:trPr>
          <w:trHeight w:val="465" w:hRule="atLeast"/>
        </w:trPr>
        <w:tc>
          <w:tcPr>
            <w:tcW w:w="496" w:type="dxa"/>
          </w:tcPr>
          <w:p>
            <w:pPr>
              <w:pStyle w:val="TableParagraph"/>
              <w:ind w:left="0" w:right="43"/>
              <w:rPr>
                <w:sz w:val="14"/>
              </w:rPr>
            </w:pPr>
            <w:bookmarkStart w:name="_bookmark2482" w:id="2484"/>
            <w:bookmarkEnd w:id="2484"/>
            <w:r>
              <w:rPr/>
            </w:r>
            <w:hyperlink w:history="true" w:anchor="_bookmark2373">
              <w:r>
                <w:rPr>
                  <w:color w:val="005DA1"/>
                  <w:spacing w:val="-2"/>
                  <w:sz w:val="14"/>
                  <w:u w:val="single" w:color="005DA1"/>
                </w:rPr>
                <w:t>1278</w:t>
              </w:r>
            </w:hyperlink>
            <w:r>
              <w:rPr>
                <w:spacing w:val="-2"/>
                <w:sz w:val="14"/>
              </w:rPr>
              <w:t>.</w:t>
            </w:r>
          </w:p>
        </w:tc>
        <w:tc>
          <w:tcPr>
            <w:tcW w:w="8621" w:type="dxa"/>
          </w:tcPr>
          <w:p>
            <w:pPr>
              <w:pStyle w:val="TableParagraph"/>
              <w:spacing w:before="114"/>
              <w:jc w:val="left"/>
              <w:rPr>
                <w:sz w:val="20"/>
              </w:rPr>
            </w:pPr>
            <w:r>
              <w:rPr>
                <w:sz w:val="20"/>
              </w:rPr>
              <w:t>Above, paras 30-070 et seq., 30-185 et </w:t>
            </w:r>
            <w:r>
              <w:rPr>
                <w:spacing w:val="-4"/>
                <w:sz w:val="20"/>
              </w:rPr>
              <w:t>seq.</w:t>
            </w:r>
          </w:p>
        </w:tc>
      </w:tr>
      <w:tr>
        <w:trPr>
          <w:trHeight w:val="465" w:hRule="atLeast"/>
        </w:trPr>
        <w:tc>
          <w:tcPr>
            <w:tcW w:w="496" w:type="dxa"/>
          </w:tcPr>
          <w:p>
            <w:pPr>
              <w:pStyle w:val="TableParagraph"/>
              <w:ind w:left="0" w:right="43"/>
              <w:rPr>
                <w:sz w:val="14"/>
              </w:rPr>
            </w:pPr>
            <w:bookmarkStart w:name="_bookmark2483" w:id="2485"/>
            <w:bookmarkEnd w:id="2485"/>
            <w:r>
              <w:rPr/>
            </w:r>
            <w:hyperlink w:history="true" w:anchor="_bookmark2374">
              <w:r>
                <w:rPr>
                  <w:color w:val="005DA1"/>
                  <w:spacing w:val="-2"/>
                  <w:sz w:val="14"/>
                  <w:u w:val="single" w:color="005DA1"/>
                </w:rPr>
                <w:t>1279</w:t>
              </w:r>
            </w:hyperlink>
            <w:r>
              <w:rPr>
                <w:spacing w:val="-2"/>
                <w:sz w:val="14"/>
              </w:rPr>
              <w:t>.</w:t>
            </w:r>
          </w:p>
        </w:tc>
        <w:tc>
          <w:tcPr>
            <w:tcW w:w="8621" w:type="dxa"/>
          </w:tcPr>
          <w:p>
            <w:pPr>
              <w:pStyle w:val="TableParagraph"/>
              <w:spacing w:before="114"/>
              <w:jc w:val="left"/>
              <w:rPr>
                <w:sz w:val="20"/>
              </w:rPr>
            </w:pPr>
            <w:r>
              <w:rPr>
                <w:spacing w:val="-2"/>
                <w:sz w:val="20"/>
              </w:rPr>
              <w:t>s.12(1)(b).</w:t>
            </w:r>
          </w:p>
        </w:tc>
      </w:tr>
      <w:tr>
        <w:trPr>
          <w:trHeight w:val="465" w:hRule="atLeast"/>
        </w:trPr>
        <w:tc>
          <w:tcPr>
            <w:tcW w:w="496" w:type="dxa"/>
          </w:tcPr>
          <w:p>
            <w:pPr>
              <w:pStyle w:val="TableParagraph"/>
              <w:ind w:left="0" w:right="43"/>
              <w:rPr>
                <w:sz w:val="14"/>
              </w:rPr>
            </w:pPr>
            <w:bookmarkStart w:name="_bookmark2484" w:id="2486"/>
            <w:bookmarkEnd w:id="2486"/>
            <w:r>
              <w:rPr/>
            </w:r>
            <w:hyperlink w:history="true" w:anchor="_bookmark2375">
              <w:r>
                <w:rPr>
                  <w:color w:val="005DA1"/>
                  <w:spacing w:val="-2"/>
                  <w:sz w:val="14"/>
                  <w:u w:val="single" w:color="005DA1"/>
                </w:rPr>
                <w:t>1280</w:t>
              </w:r>
            </w:hyperlink>
            <w:r>
              <w:rPr>
                <w:spacing w:val="-2"/>
                <w:sz w:val="14"/>
              </w:rPr>
              <w:t>.</w:t>
            </w:r>
          </w:p>
        </w:tc>
        <w:tc>
          <w:tcPr>
            <w:tcW w:w="8621" w:type="dxa"/>
          </w:tcPr>
          <w:p>
            <w:pPr>
              <w:pStyle w:val="TableParagraph"/>
              <w:spacing w:before="114"/>
              <w:jc w:val="left"/>
              <w:rPr>
                <w:sz w:val="20"/>
              </w:rPr>
            </w:pPr>
            <w:r>
              <w:rPr>
                <w:spacing w:val="-2"/>
                <w:sz w:val="20"/>
              </w:rPr>
              <w:t>s.12(3).</w:t>
            </w:r>
          </w:p>
        </w:tc>
      </w:tr>
      <w:tr>
        <w:trPr>
          <w:trHeight w:val="465" w:hRule="atLeast"/>
        </w:trPr>
        <w:tc>
          <w:tcPr>
            <w:tcW w:w="496" w:type="dxa"/>
          </w:tcPr>
          <w:p>
            <w:pPr>
              <w:pStyle w:val="TableParagraph"/>
              <w:ind w:left="0" w:right="43"/>
              <w:rPr>
                <w:sz w:val="14"/>
              </w:rPr>
            </w:pPr>
            <w:bookmarkStart w:name="_bookmark2485" w:id="2487"/>
            <w:bookmarkEnd w:id="2487"/>
            <w:r>
              <w:rPr/>
            </w:r>
            <w:hyperlink w:history="true" w:anchor="_bookmark2376">
              <w:r>
                <w:rPr>
                  <w:color w:val="005DA1"/>
                  <w:spacing w:val="-2"/>
                  <w:sz w:val="14"/>
                  <w:u w:val="single" w:color="005DA1"/>
                </w:rPr>
                <w:t>1281</w:t>
              </w:r>
            </w:hyperlink>
            <w:r>
              <w:rPr>
                <w:spacing w:val="-2"/>
                <w:sz w:val="14"/>
              </w:rPr>
              <w:t>.</w:t>
            </w:r>
          </w:p>
        </w:tc>
        <w:tc>
          <w:tcPr>
            <w:tcW w:w="8621" w:type="dxa"/>
          </w:tcPr>
          <w:p>
            <w:pPr>
              <w:pStyle w:val="TableParagraph"/>
              <w:spacing w:before="114"/>
              <w:jc w:val="left"/>
              <w:rPr>
                <w:sz w:val="20"/>
              </w:rPr>
            </w:pPr>
            <w:r>
              <w:rPr>
                <w:sz w:val="20"/>
              </w:rPr>
              <w:t>cf. Unfair Contract Terms Act 1977 </w:t>
            </w:r>
            <w:r>
              <w:rPr>
                <w:spacing w:val="-2"/>
                <w:sz w:val="20"/>
              </w:rPr>
              <w:t>s.27(2).</w:t>
            </w:r>
          </w:p>
        </w:tc>
      </w:tr>
      <w:tr>
        <w:trPr>
          <w:trHeight w:val="465" w:hRule="atLeast"/>
        </w:trPr>
        <w:tc>
          <w:tcPr>
            <w:tcW w:w="496" w:type="dxa"/>
          </w:tcPr>
          <w:p>
            <w:pPr>
              <w:pStyle w:val="TableParagraph"/>
              <w:ind w:left="0" w:right="43"/>
              <w:rPr>
                <w:sz w:val="14"/>
              </w:rPr>
            </w:pPr>
            <w:bookmarkStart w:name="_bookmark2486" w:id="2488"/>
            <w:bookmarkEnd w:id="2488"/>
            <w:r>
              <w:rPr/>
            </w:r>
            <w:hyperlink w:history="true" w:anchor="_bookmark2377">
              <w:r>
                <w:rPr>
                  <w:color w:val="005DA1"/>
                  <w:spacing w:val="-2"/>
                  <w:sz w:val="14"/>
                  <w:u w:val="single" w:color="005DA1"/>
                </w:rPr>
                <w:t>1282</w:t>
              </w:r>
            </w:hyperlink>
            <w:r>
              <w:rPr>
                <w:spacing w:val="-2"/>
                <w:sz w:val="14"/>
              </w:rPr>
              <w:t>.</w:t>
            </w:r>
          </w:p>
        </w:tc>
        <w:tc>
          <w:tcPr>
            <w:tcW w:w="8621" w:type="dxa"/>
          </w:tcPr>
          <w:p>
            <w:pPr>
              <w:pStyle w:val="TableParagraph"/>
              <w:spacing w:before="114"/>
              <w:jc w:val="left"/>
              <w:rPr>
                <w:sz w:val="20"/>
              </w:rPr>
            </w:pPr>
            <w:r>
              <w:rPr>
                <w:sz w:val="20"/>
              </w:rPr>
              <w:t>Above, paras 30-046 et seq., 30-169 et </w:t>
            </w:r>
            <w:r>
              <w:rPr>
                <w:spacing w:val="-4"/>
                <w:sz w:val="20"/>
              </w:rPr>
              <w:t>seq.</w:t>
            </w:r>
          </w:p>
        </w:tc>
      </w:tr>
      <w:tr>
        <w:trPr>
          <w:trHeight w:val="465" w:hRule="atLeast"/>
        </w:trPr>
        <w:tc>
          <w:tcPr>
            <w:tcW w:w="496" w:type="dxa"/>
          </w:tcPr>
          <w:p>
            <w:pPr>
              <w:pStyle w:val="TableParagraph"/>
              <w:ind w:left="0" w:right="43"/>
              <w:rPr>
                <w:sz w:val="14"/>
              </w:rPr>
            </w:pPr>
            <w:bookmarkStart w:name="_bookmark2487" w:id="2489"/>
            <w:bookmarkEnd w:id="2489"/>
            <w:r>
              <w:rPr/>
            </w:r>
            <w:hyperlink w:history="true" w:anchor="_bookmark2378">
              <w:r>
                <w:rPr>
                  <w:color w:val="005DA1"/>
                  <w:spacing w:val="-2"/>
                  <w:sz w:val="14"/>
                  <w:u w:val="single" w:color="005DA1"/>
                </w:rPr>
                <w:t>1283</w:t>
              </w:r>
            </w:hyperlink>
            <w:r>
              <w:rPr>
                <w:spacing w:val="-2"/>
                <w:sz w:val="14"/>
              </w:rPr>
              <w:t>.</w:t>
            </w:r>
          </w:p>
        </w:tc>
        <w:tc>
          <w:tcPr>
            <w:tcW w:w="8621" w:type="dxa"/>
          </w:tcPr>
          <w:p>
            <w:pPr>
              <w:pStyle w:val="TableParagraph"/>
              <w:spacing w:before="114"/>
              <w:jc w:val="left"/>
              <w:rPr>
                <w:sz w:val="20"/>
              </w:rPr>
            </w:pPr>
            <w:r>
              <w:rPr>
                <w:sz w:val="20"/>
              </w:rPr>
              <w:t>Above, paras 30-070 et seq., 30-185 et </w:t>
            </w:r>
            <w:r>
              <w:rPr>
                <w:spacing w:val="-4"/>
                <w:sz w:val="20"/>
              </w:rPr>
              <w:t>seq.</w:t>
            </w:r>
          </w:p>
        </w:tc>
      </w:tr>
      <w:tr>
        <w:trPr>
          <w:trHeight w:val="690" w:hRule="atLeast"/>
        </w:trPr>
        <w:tc>
          <w:tcPr>
            <w:tcW w:w="496" w:type="dxa"/>
          </w:tcPr>
          <w:p>
            <w:pPr>
              <w:pStyle w:val="TableParagraph"/>
              <w:ind w:left="0" w:right="43"/>
              <w:rPr>
                <w:sz w:val="14"/>
              </w:rPr>
            </w:pPr>
            <w:bookmarkStart w:name="_bookmark2488" w:id="2490"/>
            <w:bookmarkEnd w:id="2490"/>
            <w:r>
              <w:rPr/>
            </w:r>
            <w:hyperlink w:history="true" w:anchor="_bookmark2379">
              <w:r>
                <w:rPr>
                  <w:color w:val="005DA1"/>
                  <w:spacing w:val="-2"/>
                  <w:sz w:val="14"/>
                  <w:u w:val="single" w:color="005DA1"/>
                </w:rPr>
                <w:t>1284</w:t>
              </w:r>
            </w:hyperlink>
            <w:r>
              <w:rPr>
                <w:spacing w:val="-2"/>
                <w:sz w:val="14"/>
              </w:rPr>
              <w:t>.</w:t>
            </w:r>
          </w:p>
        </w:tc>
        <w:tc>
          <w:tcPr>
            <w:tcW w:w="8621" w:type="dxa"/>
          </w:tcPr>
          <w:p>
            <w:pPr>
              <w:pStyle w:val="TableParagraph"/>
              <w:spacing w:line="235" w:lineRule="auto" w:before="118"/>
              <w:jc w:val="left"/>
              <w:rPr>
                <w:sz w:val="20"/>
              </w:rPr>
            </w:pPr>
            <w:r>
              <w:rPr>
                <w:sz w:val="20"/>
              </w:rPr>
              <w:t>Emphasis</w:t>
            </w:r>
            <w:r>
              <w:rPr>
                <w:spacing w:val="25"/>
                <w:sz w:val="20"/>
              </w:rPr>
              <w:t> </w:t>
            </w:r>
            <w:r>
              <w:rPr>
                <w:sz w:val="20"/>
              </w:rPr>
              <w:t>added.</w:t>
            </w:r>
            <w:r>
              <w:rPr>
                <w:spacing w:val="25"/>
                <w:sz w:val="20"/>
              </w:rPr>
              <w:t> </w:t>
            </w:r>
            <w:r>
              <w:rPr>
                <w:sz w:val="20"/>
              </w:rPr>
              <w:t>cf.</w:t>
            </w:r>
            <w:r>
              <w:rPr>
                <w:spacing w:val="25"/>
                <w:sz w:val="20"/>
              </w:rPr>
              <w:t> </w:t>
            </w:r>
            <w:r>
              <w:rPr>
                <w:sz w:val="20"/>
              </w:rPr>
              <w:t>s.12(3),</w:t>
            </w:r>
            <w:r>
              <w:rPr>
                <w:spacing w:val="25"/>
                <w:sz w:val="20"/>
              </w:rPr>
              <w:t> </w:t>
            </w:r>
            <w:r>
              <w:rPr>
                <w:sz w:val="20"/>
              </w:rPr>
              <w:t>defining</w:t>
            </w:r>
            <w:r>
              <w:rPr>
                <w:spacing w:val="25"/>
                <w:sz w:val="20"/>
              </w:rPr>
              <w:t> </w:t>
            </w:r>
            <w:r>
              <w:rPr>
                <w:sz w:val="20"/>
              </w:rPr>
              <w:t>foreign</w:t>
            </w:r>
            <w:r>
              <w:rPr>
                <w:spacing w:val="25"/>
                <w:sz w:val="20"/>
              </w:rPr>
              <w:t> </w:t>
            </w:r>
            <w:r>
              <w:rPr>
                <w:sz w:val="20"/>
              </w:rPr>
              <w:t>law</w:t>
            </w:r>
            <w:r>
              <w:rPr>
                <w:spacing w:val="25"/>
                <w:sz w:val="20"/>
              </w:rPr>
              <w:t> </w:t>
            </w:r>
            <w:r>
              <w:rPr>
                <w:sz w:val="20"/>
              </w:rPr>
              <w:t>as</w:t>
            </w:r>
            <w:r>
              <w:rPr>
                <w:spacing w:val="25"/>
                <w:sz w:val="20"/>
              </w:rPr>
              <w:t> </w:t>
            </w:r>
            <w:r>
              <w:rPr>
                <w:sz w:val="20"/>
              </w:rPr>
              <w:t>the</w:t>
            </w:r>
            <w:r>
              <w:rPr>
                <w:spacing w:val="25"/>
                <w:sz w:val="20"/>
              </w:rPr>
              <w:t> </w:t>
            </w:r>
            <w:r>
              <w:rPr>
                <w:sz w:val="20"/>
              </w:rPr>
              <w:t>law</w:t>
            </w:r>
            <w:r>
              <w:rPr>
                <w:spacing w:val="25"/>
                <w:sz w:val="20"/>
              </w:rPr>
              <w:t> </w:t>
            </w:r>
            <w:r>
              <w:rPr>
                <w:sz w:val="20"/>
              </w:rPr>
              <w:t>of</w:t>
            </w:r>
            <w:r>
              <w:rPr>
                <w:spacing w:val="25"/>
                <w:sz w:val="20"/>
              </w:rPr>
              <w:t> </w:t>
            </w:r>
            <w:r>
              <w:rPr>
                <w:sz w:val="20"/>
              </w:rPr>
              <w:t>a</w:t>
            </w:r>
            <w:r>
              <w:rPr>
                <w:spacing w:val="25"/>
                <w:sz w:val="20"/>
              </w:rPr>
              <w:t> </w:t>
            </w:r>
            <w:r>
              <w:rPr>
                <w:sz w:val="20"/>
              </w:rPr>
              <w:t>country</w:t>
            </w:r>
            <w:r>
              <w:rPr>
                <w:spacing w:val="25"/>
                <w:sz w:val="20"/>
              </w:rPr>
              <w:t> </w:t>
            </w:r>
            <w:r>
              <w:rPr>
                <w:sz w:val="20"/>
              </w:rPr>
              <w:t>outside</w:t>
            </w:r>
            <w:r>
              <w:rPr>
                <w:spacing w:val="25"/>
                <w:sz w:val="20"/>
              </w:rPr>
              <w:t> </w:t>
            </w:r>
            <w:r>
              <w:rPr>
                <w:sz w:val="20"/>
              </w:rPr>
              <w:t>the</w:t>
            </w:r>
            <w:r>
              <w:rPr>
                <w:spacing w:val="25"/>
                <w:sz w:val="20"/>
              </w:rPr>
              <w:t> </w:t>
            </w:r>
            <w:r>
              <w:rPr>
                <w:rFonts w:ascii="Arial"/>
                <w:i/>
                <w:sz w:val="20"/>
              </w:rPr>
              <w:t>United Kingdom </w:t>
            </w:r>
            <w:r>
              <w:rPr>
                <w:sz w:val="20"/>
              </w:rPr>
              <w:t>(emphasis added).</w:t>
            </w:r>
          </w:p>
        </w:tc>
      </w:tr>
      <w:tr>
        <w:trPr>
          <w:trHeight w:val="465" w:hRule="atLeast"/>
        </w:trPr>
        <w:tc>
          <w:tcPr>
            <w:tcW w:w="496" w:type="dxa"/>
          </w:tcPr>
          <w:p>
            <w:pPr>
              <w:pStyle w:val="TableParagraph"/>
              <w:ind w:left="0" w:right="43"/>
              <w:rPr>
                <w:sz w:val="14"/>
              </w:rPr>
            </w:pPr>
            <w:bookmarkStart w:name="_bookmark2489" w:id="2491"/>
            <w:bookmarkEnd w:id="2491"/>
            <w:r>
              <w:rPr/>
            </w:r>
            <w:hyperlink w:history="true" w:anchor="_bookmark2380">
              <w:r>
                <w:rPr>
                  <w:color w:val="005DA1"/>
                  <w:spacing w:val="-2"/>
                  <w:sz w:val="14"/>
                  <w:u w:val="single" w:color="005DA1"/>
                </w:rPr>
                <w:t>1285</w:t>
              </w:r>
            </w:hyperlink>
            <w:r>
              <w:rPr>
                <w:spacing w:val="-2"/>
                <w:sz w:val="14"/>
              </w:rPr>
              <w:t>.</w:t>
            </w:r>
          </w:p>
        </w:tc>
        <w:tc>
          <w:tcPr>
            <w:tcW w:w="8621" w:type="dxa"/>
          </w:tcPr>
          <w:p>
            <w:pPr>
              <w:pStyle w:val="TableParagraph"/>
              <w:spacing w:before="114"/>
              <w:jc w:val="left"/>
              <w:rPr>
                <w:sz w:val="20"/>
              </w:rPr>
            </w:pPr>
            <w:r>
              <w:rPr>
                <w:spacing w:val="-2"/>
                <w:sz w:val="20"/>
              </w:rPr>
              <w:t>s.12(3).</w:t>
            </w:r>
          </w:p>
        </w:tc>
      </w:tr>
      <w:tr>
        <w:trPr>
          <w:trHeight w:val="690" w:hRule="atLeast"/>
        </w:trPr>
        <w:tc>
          <w:tcPr>
            <w:tcW w:w="496" w:type="dxa"/>
          </w:tcPr>
          <w:p>
            <w:pPr>
              <w:pStyle w:val="TableParagraph"/>
              <w:ind w:left="0" w:right="43"/>
              <w:rPr>
                <w:sz w:val="14"/>
              </w:rPr>
            </w:pPr>
            <w:bookmarkStart w:name="_bookmark2490" w:id="2492"/>
            <w:bookmarkEnd w:id="2492"/>
            <w:r>
              <w:rPr/>
            </w:r>
            <w:hyperlink w:history="true" w:anchor="_bookmark2381">
              <w:r>
                <w:rPr>
                  <w:color w:val="005DA1"/>
                  <w:spacing w:val="-2"/>
                  <w:sz w:val="14"/>
                  <w:u w:val="single" w:color="005DA1"/>
                </w:rPr>
                <w:t>1286</w:t>
              </w:r>
            </w:hyperlink>
            <w:r>
              <w:rPr>
                <w:spacing w:val="-2"/>
                <w:sz w:val="14"/>
              </w:rPr>
              <w:t>.</w:t>
            </w:r>
          </w:p>
        </w:tc>
        <w:tc>
          <w:tcPr>
            <w:tcW w:w="8621" w:type="dxa"/>
          </w:tcPr>
          <w:p>
            <w:pPr>
              <w:pStyle w:val="TableParagraph"/>
              <w:spacing w:line="235" w:lineRule="auto" w:before="118"/>
              <w:jc w:val="left"/>
              <w:rPr>
                <w:sz w:val="20"/>
              </w:rPr>
            </w:pPr>
            <w:r>
              <w:rPr>
                <w:sz w:val="20"/>
              </w:rPr>
              <w:t>The</w:t>
            </w:r>
            <w:r>
              <w:rPr>
                <w:spacing w:val="27"/>
                <w:sz w:val="20"/>
              </w:rPr>
              <w:t> </w:t>
            </w:r>
            <w:r>
              <w:rPr>
                <w:sz w:val="20"/>
              </w:rPr>
              <w:t>Act</w:t>
            </w:r>
            <w:r>
              <w:rPr>
                <w:spacing w:val="27"/>
                <w:sz w:val="20"/>
              </w:rPr>
              <w:t> </w:t>
            </w:r>
            <w:r>
              <w:rPr>
                <w:sz w:val="20"/>
              </w:rPr>
              <w:t>applies</w:t>
            </w:r>
            <w:r>
              <w:rPr>
                <w:spacing w:val="27"/>
                <w:sz w:val="20"/>
              </w:rPr>
              <w:t> </w:t>
            </w:r>
            <w:r>
              <w:rPr>
                <w:sz w:val="20"/>
              </w:rPr>
              <w:t>in</w:t>
            </w:r>
            <w:r>
              <w:rPr>
                <w:spacing w:val="27"/>
                <w:sz w:val="20"/>
              </w:rPr>
              <w:t> </w:t>
            </w:r>
            <w:r>
              <w:rPr>
                <w:sz w:val="20"/>
              </w:rPr>
              <w:t>England</w:t>
            </w:r>
            <w:r>
              <w:rPr>
                <w:spacing w:val="27"/>
                <w:sz w:val="20"/>
              </w:rPr>
              <w:t> </w:t>
            </w:r>
            <w:r>
              <w:rPr>
                <w:sz w:val="20"/>
              </w:rPr>
              <w:t>and</w:t>
            </w:r>
            <w:r>
              <w:rPr>
                <w:spacing w:val="27"/>
                <w:sz w:val="20"/>
              </w:rPr>
              <w:t> </w:t>
            </w:r>
            <w:r>
              <w:rPr>
                <w:sz w:val="20"/>
              </w:rPr>
              <w:t>Wales</w:t>
            </w:r>
            <w:r>
              <w:rPr>
                <w:spacing w:val="27"/>
                <w:sz w:val="20"/>
              </w:rPr>
              <w:t> </w:t>
            </w:r>
            <w:r>
              <w:rPr>
                <w:sz w:val="20"/>
              </w:rPr>
              <w:t>and</w:t>
            </w:r>
            <w:r>
              <w:rPr>
                <w:spacing w:val="27"/>
                <w:sz w:val="20"/>
              </w:rPr>
              <w:t> </w:t>
            </w:r>
            <w:r>
              <w:rPr>
                <w:sz w:val="20"/>
              </w:rPr>
              <w:t>in</w:t>
            </w:r>
            <w:r>
              <w:rPr>
                <w:spacing w:val="27"/>
                <w:sz w:val="20"/>
              </w:rPr>
              <w:t> </w:t>
            </w:r>
            <w:r>
              <w:rPr>
                <w:sz w:val="20"/>
              </w:rPr>
              <w:t>Scotland</w:t>
            </w:r>
            <w:r>
              <w:rPr>
                <w:spacing w:val="27"/>
                <w:sz w:val="20"/>
              </w:rPr>
              <w:t> </w:t>
            </w:r>
            <w:r>
              <w:rPr>
                <w:sz w:val="20"/>
              </w:rPr>
              <w:t>and</w:t>
            </w:r>
            <w:r>
              <w:rPr>
                <w:spacing w:val="27"/>
                <w:sz w:val="20"/>
              </w:rPr>
              <w:t> </w:t>
            </w:r>
            <w:r>
              <w:rPr>
                <w:sz w:val="20"/>
              </w:rPr>
              <w:t>is</w:t>
            </w:r>
            <w:r>
              <w:rPr>
                <w:spacing w:val="27"/>
                <w:sz w:val="20"/>
              </w:rPr>
              <w:t> </w:t>
            </w:r>
            <w:r>
              <w:rPr>
                <w:sz w:val="20"/>
              </w:rPr>
              <w:t>expressly</w:t>
            </w:r>
            <w:r>
              <w:rPr>
                <w:spacing w:val="27"/>
                <w:sz w:val="20"/>
              </w:rPr>
              <w:t> </w:t>
            </w:r>
            <w:r>
              <w:rPr>
                <w:sz w:val="20"/>
              </w:rPr>
              <w:t>stated</w:t>
            </w:r>
            <w:r>
              <w:rPr>
                <w:spacing w:val="27"/>
                <w:sz w:val="20"/>
              </w:rPr>
              <w:t> </w:t>
            </w:r>
            <w:r>
              <w:rPr>
                <w:sz w:val="20"/>
              </w:rPr>
              <w:t>to</w:t>
            </w:r>
            <w:r>
              <w:rPr>
                <w:spacing w:val="27"/>
                <w:sz w:val="20"/>
              </w:rPr>
              <w:t> </w:t>
            </w:r>
            <w:r>
              <w:rPr>
                <w:sz w:val="20"/>
              </w:rPr>
              <w:t>extend</w:t>
            </w:r>
            <w:r>
              <w:rPr>
                <w:spacing w:val="27"/>
                <w:sz w:val="20"/>
              </w:rPr>
              <w:t> </w:t>
            </w:r>
            <w:r>
              <w:rPr>
                <w:sz w:val="20"/>
              </w:rPr>
              <w:t>to Northern Ireland: s.17(5).</w:t>
            </w:r>
          </w:p>
        </w:tc>
      </w:tr>
      <w:tr>
        <w:trPr>
          <w:trHeight w:val="465" w:hRule="atLeast"/>
        </w:trPr>
        <w:tc>
          <w:tcPr>
            <w:tcW w:w="496" w:type="dxa"/>
          </w:tcPr>
          <w:p>
            <w:pPr>
              <w:pStyle w:val="TableParagraph"/>
              <w:ind w:left="0" w:right="43"/>
              <w:rPr>
                <w:sz w:val="14"/>
              </w:rPr>
            </w:pPr>
            <w:bookmarkStart w:name="_bookmark2491" w:id="2493"/>
            <w:bookmarkEnd w:id="2493"/>
            <w:r>
              <w:rPr/>
            </w:r>
            <w:hyperlink w:history="true" w:anchor="_bookmark2382">
              <w:r>
                <w:rPr>
                  <w:color w:val="005DA1"/>
                  <w:spacing w:val="-2"/>
                  <w:sz w:val="14"/>
                  <w:u w:val="single" w:color="005DA1"/>
                </w:rPr>
                <w:t>1287</w:t>
              </w:r>
            </w:hyperlink>
            <w:r>
              <w:rPr>
                <w:spacing w:val="-2"/>
                <w:sz w:val="14"/>
              </w:rPr>
              <w:t>.</w:t>
            </w:r>
          </w:p>
        </w:tc>
        <w:tc>
          <w:tcPr>
            <w:tcW w:w="8621" w:type="dxa"/>
          </w:tcPr>
          <w:p>
            <w:pPr>
              <w:pStyle w:val="TableParagraph"/>
              <w:spacing w:before="114"/>
              <w:jc w:val="left"/>
              <w:rPr>
                <w:sz w:val="20"/>
              </w:rPr>
            </w:pPr>
            <w:r>
              <w:rPr>
                <w:sz w:val="20"/>
              </w:rPr>
              <w:t>Above, para.30-</w:t>
            </w:r>
            <w:r>
              <w:rPr>
                <w:spacing w:val="-4"/>
                <w:sz w:val="20"/>
              </w:rPr>
              <w:t>342.</w:t>
            </w:r>
          </w:p>
        </w:tc>
      </w:tr>
      <w:tr>
        <w:trPr>
          <w:trHeight w:val="465" w:hRule="atLeast"/>
        </w:trPr>
        <w:tc>
          <w:tcPr>
            <w:tcW w:w="496" w:type="dxa"/>
          </w:tcPr>
          <w:p>
            <w:pPr>
              <w:pStyle w:val="TableParagraph"/>
              <w:ind w:left="0" w:right="43"/>
              <w:rPr>
                <w:sz w:val="14"/>
              </w:rPr>
            </w:pPr>
            <w:bookmarkStart w:name="_bookmark2492" w:id="2494"/>
            <w:bookmarkEnd w:id="2494"/>
            <w:r>
              <w:rPr/>
            </w:r>
            <w:hyperlink w:history="true" w:anchor="_bookmark2383">
              <w:r>
                <w:rPr>
                  <w:color w:val="005DA1"/>
                  <w:spacing w:val="-2"/>
                  <w:sz w:val="14"/>
                  <w:u w:val="single" w:color="005DA1"/>
                </w:rPr>
                <w:t>1288</w:t>
              </w:r>
            </w:hyperlink>
            <w:r>
              <w:rPr>
                <w:spacing w:val="-2"/>
                <w:sz w:val="14"/>
              </w:rPr>
              <w:t>.</w:t>
            </w:r>
          </w:p>
        </w:tc>
        <w:tc>
          <w:tcPr>
            <w:tcW w:w="8621" w:type="dxa"/>
          </w:tcPr>
          <w:p>
            <w:pPr>
              <w:pStyle w:val="TableParagraph"/>
              <w:spacing w:before="114"/>
              <w:jc w:val="left"/>
              <w:rPr>
                <w:sz w:val="20"/>
              </w:rPr>
            </w:pPr>
            <w:r>
              <w:rPr>
                <w:sz w:val="20"/>
              </w:rPr>
              <w:t>Above, paras 30-070 et seq., 30-185 et </w:t>
            </w:r>
            <w:r>
              <w:rPr>
                <w:spacing w:val="-4"/>
                <w:sz w:val="20"/>
              </w:rPr>
              <w:t>seq.</w:t>
            </w:r>
          </w:p>
        </w:tc>
      </w:tr>
      <w:tr>
        <w:trPr>
          <w:trHeight w:val="465" w:hRule="atLeast"/>
        </w:trPr>
        <w:tc>
          <w:tcPr>
            <w:tcW w:w="496" w:type="dxa"/>
          </w:tcPr>
          <w:p>
            <w:pPr>
              <w:pStyle w:val="TableParagraph"/>
              <w:ind w:left="0" w:right="43"/>
              <w:rPr>
                <w:sz w:val="14"/>
              </w:rPr>
            </w:pPr>
            <w:bookmarkStart w:name="_bookmark2493" w:id="2495"/>
            <w:bookmarkEnd w:id="2495"/>
            <w:r>
              <w:rPr/>
            </w:r>
            <w:hyperlink w:history="true" w:anchor="_bookmark2384">
              <w:r>
                <w:rPr>
                  <w:color w:val="005DA1"/>
                  <w:spacing w:val="-2"/>
                  <w:sz w:val="14"/>
                  <w:u w:val="single" w:color="005DA1"/>
                </w:rPr>
                <w:t>1289</w:t>
              </w:r>
            </w:hyperlink>
            <w:r>
              <w:rPr>
                <w:spacing w:val="-2"/>
                <w:sz w:val="14"/>
              </w:rPr>
              <w:t>.</w:t>
            </w:r>
          </w:p>
        </w:tc>
        <w:tc>
          <w:tcPr>
            <w:tcW w:w="8621" w:type="dxa"/>
          </w:tcPr>
          <w:p>
            <w:pPr>
              <w:pStyle w:val="TableParagraph"/>
              <w:spacing w:before="114"/>
              <w:jc w:val="left"/>
              <w:rPr>
                <w:sz w:val="20"/>
              </w:rPr>
            </w:pPr>
            <w:r>
              <w:rPr>
                <w:sz w:val="20"/>
              </w:rPr>
              <w:t>This is because the Act extends to each part of the United </w:t>
            </w:r>
            <w:r>
              <w:rPr>
                <w:spacing w:val="-2"/>
                <w:sz w:val="20"/>
              </w:rPr>
              <w:t>Kingdom.</w:t>
            </w:r>
          </w:p>
        </w:tc>
      </w:tr>
      <w:tr>
        <w:trPr>
          <w:trHeight w:val="915" w:hRule="atLeast"/>
        </w:trPr>
        <w:tc>
          <w:tcPr>
            <w:tcW w:w="496" w:type="dxa"/>
          </w:tcPr>
          <w:p>
            <w:pPr>
              <w:pStyle w:val="TableParagraph"/>
              <w:ind w:left="0" w:right="43"/>
              <w:rPr>
                <w:sz w:val="14"/>
              </w:rPr>
            </w:pPr>
            <w:bookmarkStart w:name="_bookmark2494" w:id="2496"/>
            <w:bookmarkEnd w:id="2496"/>
            <w:r>
              <w:rPr/>
            </w:r>
            <w:hyperlink w:history="true" w:anchor="_bookmark2385">
              <w:r>
                <w:rPr>
                  <w:color w:val="005DA1"/>
                  <w:spacing w:val="-2"/>
                  <w:sz w:val="14"/>
                  <w:u w:val="single" w:color="005DA1"/>
                </w:rPr>
                <w:t>1290</w:t>
              </w:r>
            </w:hyperlink>
            <w:r>
              <w:rPr>
                <w:spacing w:val="-2"/>
                <w:sz w:val="14"/>
              </w:rPr>
              <w:t>.</w:t>
            </w:r>
          </w:p>
        </w:tc>
        <w:tc>
          <w:tcPr>
            <w:tcW w:w="8621" w:type="dxa"/>
          </w:tcPr>
          <w:p>
            <w:pPr>
              <w:pStyle w:val="TableParagraph"/>
              <w:spacing w:line="235" w:lineRule="auto" w:before="118"/>
              <w:ind w:right="49"/>
              <w:jc w:val="both"/>
              <w:rPr>
                <w:sz w:val="20"/>
              </w:rPr>
            </w:pPr>
            <w:r>
              <w:rPr>
                <w:sz w:val="20"/>
              </w:rPr>
              <w:t>s.6. A debt does not carry statutory interest if, or to the extent that it consists of a sum to </w:t>
            </w:r>
            <w:r>
              <w:rPr>
                <w:sz w:val="20"/>
              </w:rPr>
              <w:t>which</w:t>
            </w:r>
            <w:r>
              <w:rPr>
                <w:spacing w:val="40"/>
                <w:sz w:val="20"/>
              </w:rPr>
              <w:t> </w:t>
            </w:r>
            <w:r>
              <w:rPr>
                <w:sz w:val="20"/>
              </w:rPr>
              <w:t>a right to interest or to charge interest applies by virtue of a statute other than the </w:t>
            </w:r>
            <w:r>
              <w:rPr>
                <w:sz w:val="20"/>
              </w:rPr>
              <w:t>1998 </w:t>
            </w:r>
            <w:r>
              <w:rPr>
                <w:spacing w:val="-2"/>
                <w:sz w:val="20"/>
              </w:rPr>
              <w:t>Act:s.3(2).</w:t>
            </w:r>
          </w:p>
        </w:tc>
      </w:tr>
      <w:tr>
        <w:trPr>
          <w:trHeight w:val="465" w:hRule="atLeast"/>
        </w:trPr>
        <w:tc>
          <w:tcPr>
            <w:tcW w:w="496" w:type="dxa"/>
          </w:tcPr>
          <w:p>
            <w:pPr>
              <w:pStyle w:val="TableParagraph"/>
              <w:ind w:left="0" w:right="43"/>
              <w:rPr>
                <w:sz w:val="14"/>
              </w:rPr>
            </w:pPr>
            <w:bookmarkStart w:name="_bookmark2495" w:id="2497"/>
            <w:bookmarkEnd w:id="2497"/>
            <w:r>
              <w:rPr/>
            </w:r>
            <w:hyperlink w:history="true" w:anchor="_bookmark2386">
              <w:r>
                <w:rPr>
                  <w:color w:val="005DA1"/>
                  <w:spacing w:val="-2"/>
                  <w:sz w:val="14"/>
                  <w:u w:val="single" w:color="005DA1"/>
                </w:rPr>
                <w:t>1291</w:t>
              </w:r>
            </w:hyperlink>
            <w:r>
              <w:rPr>
                <w:spacing w:val="-2"/>
                <w:sz w:val="14"/>
              </w:rPr>
              <w:t>.</w:t>
            </w:r>
          </w:p>
        </w:tc>
        <w:tc>
          <w:tcPr>
            <w:tcW w:w="8621" w:type="dxa"/>
          </w:tcPr>
          <w:p>
            <w:pPr>
              <w:pStyle w:val="TableParagraph"/>
              <w:spacing w:before="114"/>
              <w:jc w:val="left"/>
              <w:rPr>
                <w:sz w:val="20"/>
              </w:rPr>
            </w:pPr>
            <w:r>
              <w:rPr>
                <w:sz w:val="20"/>
              </w:rPr>
              <w:t>Dicey, Morris and Collins, 15th edn (2012), paras 32–156 et </w:t>
            </w:r>
            <w:r>
              <w:rPr>
                <w:spacing w:val="-4"/>
                <w:sz w:val="20"/>
              </w:rPr>
              <w:t>seq.</w:t>
            </w:r>
          </w:p>
        </w:tc>
      </w:tr>
      <w:tr>
        <w:trPr>
          <w:trHeight w:val="465" w:hRule="atLeast"/>
        </w:trPr>
        <w:tc>
          <w:tcPr>
            <w:tcW w:w="496" w:type="dxa"/>
          </w:tcPr>
          <w:p>
            <w:pPr>
              <w:pStyle w:val="TableParagraph"/>
              <w:ind w:left="0" w:right="43"/>
              <w:rPr>
                <w:sz w:val="14"/>
              </w:rPr>
            </w:pPr>
            <w:bookmarkStart w:name="_bookmark2496" w:id="2498"/>
            <w:bookmarkEnd w:id="2498"/>
            <w:r>
              <w:rPr/>
            </w:r>
            <w:hyperlink w:history="true" w:anchor="_bookmark2387">
              <w:r>
                <w:rPr>
                  <w:color w:val="005DA1"/>
                  <w:spacing w:val="-2"/>
                  <w:sz w:val="14"/>
                  <w:u w:val="single" w:color="005DA1"/>
                </w:rPr>
                <w:t>1292</w:t>
              </w:r>
            </w:hyperlink>
            <w:r>
              <w:rPr>
                <w:spacing w:val="-2"/>
                <w:sz w:val="14"/>
              </w:rPr>
              <w:t>.</w:t>
            </w:r>
          </w:p>
        </w:tc>
        <w:tc>
          <w:tcPr>
            <w:tcW w:w="8621" w:type="dxa"/>
          </w:tcPr>
          <w:p>
            <w:pPr>
              <w:pStyle w:val="TableParagraph"/>
              <w:spacing w:before="114"/>
              <w:jc w:val="left"/>
              <w:rPr>
                <w:sz w:val="20"/>
              </w:rPr>
            </w:pPr>
            <w:r>
              <w:rPr>
                <w:sz w:val="20"/>
              </w:rPr>
              <w:t>cf. </w:t>
            </w:r>
            <w:r>
              <w:rPr>
                <w:rFonts w:ascii="Arial"/>
                <w:i/>
                <w:sz w:val="20"/>
              </w:rPr>
              <w:t>Ralli v Denistoun (1851) 6 Ex. </w:t>
            </w:r>
            <w:r>
              <w:rPr>
                <w:rFonts w:ascii="Arial"/>
                <w:i/>
                <w:spacing w:val="-4"/>
                <w:sz w:val="20"/>
              </w:rPr>
              <w:t>488</w:t>
            </w:r>
            <w:r>
              <w:rPr>
                <w:spacing w:val="-4"/>
                <w:sz w:val="20"/>
              </w:rPr>
              <w:t>.</w:t>
            </w:r>
          </w:p>
        </w:tc>
      </w:tr>
      <w:tr>
        <w:trPr>
          <w:trHeight w:val="2490" w:hRule="atLeast"/>
        </w:trPr>
        <w:tc>
          <w:tcPr>
            <w:tcW w:w="496" w:type="dxa"/>
          </w:tcPr>
          <w:p>
            <w:pPr>
              <w:pStyle w:val="TableParagraph"/>
              <w:ind w:left="0" w:right="43"/>
              <w:rPr>
                <w:sz w:val="14"/>
              </w:rPr>
            </w:pPr>
            <w:bookmarkStart w:name="_bookmark2497" w:id="2499"/>
            <w:bookmarkEnd w:id="2499"/>
            <w:r>
              <w:rPr/>
            </w:r>
            <w:hyperlink w:history="true" w:anchor="_bookmark2387">
              <w:r>
                <w:rPr>
                  <w:color w:val="005DA1"/>
                  <w:spacing w:val="-2"/>
                  <w:sz w:val="14"/>
                  <w:u w:val="single" w:color="005DA1"/>
                </w:rPr>
                <w:t>1293</w:t>
              </w:r>
            </w:hyperlink>
            <w:r>
              <w:rPr>
                <w:spacing w:val="-2"/>
                <w:sz w:val="14"/>
              </w:rPr>
              <w:t>.</w:t>
            </w:r>
          </w:p>
        </w:tc>
        <w:tc>
          <w:tcPr>
            <w:tcW w:w="8621" w:type="dxa"/>
          </w:tcPr>
          <w:p>
            <w:pPr>
              <w:pStyle w:val="TableParagraph"/>
              <w:spacing w:line="235" w:lineRule="auto" w:before="118"/>
              <w:ind w:right="49"/>
              <w:jc w:val="both"/>
              <w:rPr>
                <w:sz w:val="20"/>
              </w:rPr>
            </w:pPr>
            <w:r>
              <w:rPr>
                <w:sz w:val="20"/>
              </w:rPr>
              <w:t>cf. </w:t>
            </w:r>
            <w:r>
              <w:rPr>
                <w:rFonts w:ascii="Arial" w:hAnsi="Arial"/>
                <w:i/>
                <w:sz w:val="20"/>
              </w:rPr>
              <w:t>Re Helbert Wagg &amp; Co Ltd’s Claim [1956] Ch. 323</w:t>
            </w:r>
            <w:r>
              <w:rPr>
                <w:sz w:val="20"/>
              </w:rPr>
              <w:t>; </w:t>
            </w:r>
            <w:r>
              <w:rPr>
                <w:rFonts w:ascii="Arial" w:hAnsi="Arial"/>
                <w:i/>
                <w:sz w:val="20"/>
              </w:rPr>
              <w:t>National Bank of Greece and Athens SA v Metliss [1958] A.C. 509</w:t>
            </w:r>
            <w:r>
              <w:rPr>
                <w:sz w:val="20"/>
              </w:rPr>
              <w:t>; </w:t>
            </w:r>
            <w:r>
              <w:rPr>
                <w:rFonts w:ascii="Arial" w:hAnsi="Arial"/>
                <w:i/>
                <w:sz w:val="20"/>
              </w:rPr>
              <w:t>Adams v National Bank of Greece SA [1961] A.C. 509</w:t>
            </w:r>
            <w:r>
              <w:rPr>
                <w:sz w:val="20"/>
              </w:rPr>
              <w:t>. The </w:t>
            </w:r>
            <w:r>
              <w:rPr>
                <w:sz w:val="20"/>
              </w:rPr>
              <w:t>distinct question raised in the last two cases as to whether there was a successio in universum jus on the amalgamation of the banks would not fall within either the Convention rules because of art.1(2)(e), or within the Regulation because of art.1(2)(f). That question will be determined according to the law of the place of incorporation: see further </w:t>
            </w:r>
            <w:r>
              <w:rPr>
                <w:rFonts w:ascii="Arial" w:hAnsi="Arial"/>
                <w:i/>
                <w:sz w:val="20"/>
              </w:rPr>
              <w:t>The Rio Assu [1999] 1 Lloyd’s Rep. 201</w:t>
            </w:r>
            <w:r>
              <w:rPr>
                <w:sz w:val="20"/>
              </w:rPr>
              <w:t>; </w:t>
            </w:r>
            <w:r>
              <w:rPr>
                <w:rFonts w:ascii="Arial" w:hAnsi="Arial"/>
                <w:i/>
                <w:sz w:val="20"/>
              </w:rPr>
              <w:t>J.H. Rayner (Mincing Lane) Ltd v Cafenorte SA Importadora [1999] 2 All E.R.</w:t>
            </w:r>
            <w:r>
              <w:rPr>
                <w:rFonts w:ascii="Arial" w:hAnsi="Arial"/>
                <w:i/>
                <w:spacing w:val="40"/>
                <w:sz w:val="20"/>
              </w:rPr>
              <w:t> </w:t>
            </w:r>
            <w:r>
              <w:rPr>
                <w:rFonts w:ascii="Arial" w:hAnsi="Arial"/>
                <w:i/>
                <w:sz w:val="20"/>
              </w:rPr>
              <w:t>(Comm) 577</w:t>
            </w:r>
            <w:r>
              <w:rPr>
                <w:sz w:val="20"/>
              </w:rPr>
              <w:t>; </w:t>
            </w:r>
            <w:r>
              <w:rPr>
                <w:rFonts w:ascii="Arial" w:hAnsi="Arial"/>
                <w:i/>
                <w:sz w:val="20"/>
              </w:rPr>
              <w:t>Eurosteel Ltd v Stinnes AG [2000] 1 All E.R. (Comm) 964</w:t>
            </w:r>
            <w:r>
              <w:rPr>
                <w:sz w:val="20"/>
              </w:rPr>
              <w:t>; </w:t>
            </w:r>
            <w:r>
              <w:rPr>
                <w:rFonts w:ascii="Arial" w:hAnsi="Arial"/>
                <w:i/>
                <w:sz w:val="20"/>
              </w:rPr>
              <w:t>Astra SA Insurance</w:t>
            </w:r>
            <w:r>
              <w:rPr>
                <w:rFonts w:ascii="Arial" w:hAnsi="Arial"/>
                <w:i/>
                <w:spacing w:val="40"/>
                <w:sz w:val="20"/>
              </w:rPr>
              <w:t> </w:t>
            </w:r>
            <w:r>
              <w:rPr>
                <w:rFonts w:ascii="Arial" w:hAnsi="Arial"/>
                <w:i/>
                <w:sz w:val="20"/>
              </w:rPr>
              <w:t>and Reinsurance Co v Sphere Drake Insurance Ltd [2000] 2 Lloyd’s Rep. 550</w:t>
            </w:r>
            <w:r>
              <w:rPr>
                <w:sz w:val="20"/>
              </w:rPr>
              <w:t>; Dicey, Morris and Collins, 15th edn (2012), paras 30R–020 et seq.</w:t>
            </w:r>
          </w:p>
        </w:tc>
      </w:tr>
      <w:tr>
        <w:trPr>
          <w:trHeight w:val="465" w:hRule="atLeast"/>
        </w:trPr>
        <w:tc>
          <w:tcPr>
            <w:tcW w:w="496" w:type="dxa"/>
          </w:tcPr>
          <w:p>
            <w:pPr>
              <w:pStyle w:val="TableParagraph"/>
              <w:ind w:left="0" w:right="43"/>
              <w:rPr>
                <w:sz w:val="14"/>
              </w:rPr>
            </w:pPr>
            <w:bookmarkStart w:name="_bookmark2498" w:id="2500"/>
            <w:bookmarkEnd w:id="2500"/>
            <w:r>
              <w:rPr/>
            </w:r>
            <w:hyperlink w:history="true" w:anchor="_bookmark2387">
              <w:r>
                <w:rPr>
                  <w:color w:val="005DA1"/>
                  <w:spacing w:val="-2"/>
                  <w:sz w:val="14"/>
                  <w:u w:val="single" w:color="005DA1"/>
                </w:rPr>
                <w:t>1294</w:t>
              </w:r>
            </w:hyperlink>
            <w:r>
              <w:rPr>
                <w:spacing w:val="-2"/>
                <w:sz w:val="14"/>
              </w:rPr>
              <w:t>.</w:t>
            </w:r>
          </w:p>
        </w:tc>
        <w:tc>
          <w:tcPr>
            <w:tcW w:w="8621" w:type="dxa"/>
          </w:tcPr>
          <w:p>
            <w:pPr>
              <w:pStyle w:val="TableParagraph"/>
              <w:spacing w:before="114"/>
              <w:jc w:val="left"/>
              <w:rPr>
                <w:sz w:val="20"/>
              </w:rPr>
            </w:pPr>
            <w:r>
              <w:rPr>
                <w:sz w:val="20"/>
              </w:rPr>
              <w:t>cf. </w:t>
            </w:r>
            <w:r>
              <w:rPr>
                <w:rFonts w:ascii="Arial"/>
                <w:i/>
                <w:sz w:val="20"/>
              </w:rPr>
              <w:t>Re Anglo-Austrian Bank [1920] 1 Ch. </w:t>
            </w:r>
            <w:r>
              <w:rPr>
                <w:rFonts w:ascii="Arial"/>
                <w:i/>
                <w:spacing w:val="-5"/>
                <w:sz w:val="20"/>
              </w:rPr>
              <w:t>69</w:t>
            </w:r>
            <w:r>
              <w:rPr>
                <w:spacing w:val="-5"/>
                <w:sz w:val="20"/>
              </w:rPr>
              <w:t>.</w:t>
            </w:r>
          </w:p>
        </w:tc>
      </w:tr>
      <w:tr>
        <w:trPr>
          <w:trHeight w:val="344" w:hRule="atLeast"/>
        </w:trPr>
        <w:tc>
          <w:tcPr>
            <w:tcW w:w="496" w:type="dxa"/>
          </w:tcPr>
          <w:p>
            <w:pPr>
              <w:pStyle w:val="TableParagraph"/>
              <w:ind w:left="0" w:right="43"/>
              <w:rPr>
                <w:sz w:val="14"/>
              </w:rPr>
            </w:pPr>
            <w:bookmarkStart w:name="_bookmark2499" w:id="2501"/>
            <w:bookmarkEnd w:id="2501"/>
            <w:r>
              <w:rPr/>
            </w:r>
            <w:hyperlink w:history="true" w:anchor="_bookmark2387">
              <w:r>
                <w:rPr>
                  <w:color w:val="005DA1"/>
                  <w:spacing w:val="-2"/>
                  <w:sz w:val="14"/>
                  <w:u w:val="single" w:color="005DA1"/>
                </w:rPr>
                <w:t>1295</w:t>
              </w:r>
            </w:hyperlink>
            <w:r>
              <w:rPr>
                <w:spacing w:val="-2"/>
                <w:sz w:val="14"/>
              </w:rPr>
              <w:t>.</w:t>
            </w:r>
          </w:p>
        </w:tc>
        <w:tc>
          <w:tcPr>
            <w:tcW w:w="8621" w:type="dxa"/>
          </w:tcPr>
          <w:p>
            <w:pPr>
              <w:pStyle w:val="TableParagraph"/>
              <w:spacing w:line="210" w:lineRule="exact" w:before="114"/>
              <w:jc w:val="left"/>
              <w:rPr>
                <w:rFonts w:ascii="Arial"/>
                <w:i/>
                <w:sz w:val="20"/>
              </w:rPr>
            </w:pPr>
            <w:r>
              <w:rPr>
                <w:sz w:val="20"/>
              </w:rPr>
              <w:t>cf.</w:t>
            </w:r>
            <w:r>
              <w:rPr>
                <w:spacing w:val="10"/>
                <w:sz w:val="20"/>
              </w:rPr>
              <w:t> </w:t>
            </w:r>
            <w:r>
              <w:rPr>
                <w:rFonts w:ascii="Arial"/>
                <w:i/>
                <w:sz w:val="20"/>
              </w:rPr>
              <w:t>Perry</w:t>
            </w:r>
            <w:r>
              <w:rPr>
                <w:rFonts w:ascii="Arial"/>
                <w:i/>
                <w:spacing w:val="11"/>
                <w:sz w:val="20"/>
              </w:rPr>
              <w:t> </w:t>
            </w:r>
            <w:r>
              <w:rPr>
                <w:rFonts w:ascii="Arial"/>
                <w:i/>
                <w:sz w:val="20"/>
              </w:rPr>
              <w:t>v</w:t>
            </w:r>
            <w:r>
              <w:rPr>
                <w:rFonts w:ascii="Arial"/>
                <w:i/>
                <w:spacing w:val="11"/>
                <w:sz w:val="20"/>
              </w:rPr>
              <w:t> </w:t>
            </w:r>
            <w:r>
              <w:rPr>
                <w:rFonts w:ascii="Arial"/>
                <w:i/>
                <w:sz w:val="20"/>
              </w:rPr>
              <w:t>Equitable</w:t>
            </w:r>
            <w:r>
              <w:rPr>
                <w:rFonts w:ascii="Arial"/>
                <w:i/>
                <w:spacing w:val="11"/>
                <w:sz w:val="20"/>
              </w:rPr>
              <w:t> </w:t>
            </w:r>
            <w:r>
              <w:rPr>
                <w:rFonts w:ascii="Arial"/>
                <w:i/>
                <w:sz w:val="20"/>
              </w:rPr>
              <w:t>Life</w:t>
            </w:r>
            <w:r>
              <w:rPr>
                <w:rFonts w:ascii="Arial"/>
                <w:i/>
                <w:spacing w:val="11"/>
                <w:sz w:val="20"/>
              </w:rPr>
              <w:t> </w:t>
            </w:r>
            <w:r>
              <w:rPr>
                <w:rFonts w:ascii="Arial"/>
                <w:i/>
                <w:sz w:val="20"/>
              </w:rPr>
              <w:t>Insurance</w:t>
            </w:r>
            <w:r>
              <w:rPr>
                <w:rFonts w:ascii="Arial"/>
                <w:i/>
                <w:spacing w:val="11"/>
                <w:sz w:val="20"/>
              </w:rPr>
              <w:t> </w:t>
            </w:r>
            <w:r>
              <w:rPr>
                <w:rFonts w:ascii="Arial"/>
                <w:i/>
                <w:sz w:val="20"/>
              </w:rPr>
              <w:t>Co</w:t>
            </w:r>
            <w:r>
              <w:rPr>
                <w:rFonts w:ascii="Arial"/>
                <w:i/>
                <w:spacing w:val="11"/>
                <w:sz w:val="20"/>
              </w:rPr>
              <w:t> </w:t>
            </w:r>
            <w:r>
              <w:rPr>
                <w:rFonts w:ascii="Arial"/>
                <w:i/>
                <w:sz w:val="20"/>
              </w:rPr>
              <w:t>(1929)</w:t>
            </w:r>
            <w:r>
              <w:rPr>
                <w:rFonts w:ascii="Arial"/>
                <w:i/>
                <w:spacing w:val="11"/>
                <w:sz w:val="20"/>
              </w:rPr>
              <w:t> </w:t>
            </w:r>
            <w:r>
              <w:rPr>
                <w:rFonts w:ascii="Arial"/>
                <w:i/>
                <w:sz w:val="20"/>
              </w:rPr>
              <w:t>45</w:t>
            </w:r>
            <w:r>
              <w:rPr>
                <w:rFonts w:ascii="Arial"/>
                <w:i/>
                <w:spacing w:val="11"/>
                <w:sz w:val="20"/>
              </w:rPr>
              <w:t> </w:t>
            </w:r>
            <w:r>
              <w:rPr>
                <w:rFonts w:ascii="Arial"/>
                <w:i/>
                <w:sz w:val="20"/>
              </w:rPr>
              <w:t>T.L.R.</w:t>
            </w:r>
            <w:r>
              <w:rPr>
                <w:rFonts w:ascii="Arial"/>
                <w:i/>
                <w:spacing w:val="11"/>
                <w:sz w:val="20"/>
              </w:rPr>
              <w:t> </w:t>
            </w:r>
            <w:r>
              <w:rPr>
                <w:rFonts w:ascii="Arial"/>
                <w:i/>
                <w:sz w:val="20"/>
              </w:rPr>
              <w:t>468</w:t>
            </w:r>
            <w:r>
              <w:rPr>
                <w:sz w:val="20"/>
              </w:rPr>
              <w:t>;</w:t>
            </w:r>
            <w:r>
              <w:rPr>
                <w:spacing w:val="11"/>
                <w:sz w:val="20"/>
              </w:rPr>
              <w:t> </w:t>
            </w:r>
            <w:r>
              <w:rPr>
                <w:rFonts w:ascii="Arial"/>
                <w:i/>
                <w:sz w:val="20"/>
              </w:rPr>
              <w:t>R.</w:t>
            </w:r>
            <w:r>
              <w:rPr>
                <w:rFonts w:ascii="Arial"/>
                <w:i/>
                <w:spacing w:val="11"/>
                <w:sz w:val="20"/>
              </w:rPr>
              <w:t> </w:t>
            </w:r>
            <w:r>
              <w:rPr>
                <w:rFonts w:ascii="Arial"/>
                <w:i/>
                <w:sz w:val="20"/>
              </w:rPr>
              <w:t>v</w:t>
            </w:r>
            <w:r>
              <w:rPr>
                <w:rFonts w:ascii="Arial"/>
                <w:i/>
                <w:spacing w:val="11"/>
                <w:sz w:val="20"/>
              </w:rPr>
              <w:t> </w:t>
            </w:r>
            <w:r>
              <w:rPr>
                <w:rFonts w:ascii="Arial"/>
                <w:i/>
                <w:sz w:val="20"/>
              </w:rPr>
              <w:t>International</w:t>
            </w:r>
            <w:r>
              <w:rPr>
                <w:rFonts w:ascii="Arial"/>
                <w:i/>
                <w:spacing w:val="11"/>
                <w:sz w:val="20"/>
              </w:rPr>
              <w:t> </w:t>
            </w:r>
            <w:r>
              <w:rPr>
                <w:rFonts w:ascii="Arial"/>
                <w:i/>
                <w:sz w:val="20"/>
              </w:rPr>
              <w:t>Trustee</w:t>
            </w:r>
            <w:r>
              <w:rPr>
                <w:rFonts w:ascii="Arial"/>
                <w:i/>
                <w:spacing w:val="11"/>
                <w:sz w:val="20"/>
              </w:rPr>
              <w:t> </w:t>
            </w:r>
            <w:r>
              <w:rPr>
                <w:rFonts w:ascii="Arial"/>
                <w:i/>
                <w:sz w:val="20"/>
              </w:rPr>
              <w:t>for</w:t>
            </w:r>
            <w:r>
              <w:rPr>
                <w:rFonts w:ascii="Arial"/>
                <w:i/>
                <w:spacing w:val="11"/>
                <w:sz w:val="20"/>
              </w:rPr>
              <w:t> </w:t>
            </w:r>
            <w:r>
              <w:rPr>
                <w:rFonts w:ascii="Arial"/>
                <w:i/>
                <w:spacing w:val="-5"/>
                <w:sz w:val="20"/>
              </w:rPr>
              <w:t>the</w:t>
            </w:r>
          </w:p>
        </w:tc>
      </w:tr>
    </w:tbl>
    <w:p>
      <w:pPr>
        <w:pStyle w:val="TableParagraph"/>
        <w:spacing w:after="0" w:line="210" w:lineRule="exact"/>
        <w:jc w:val="left"/>
        <w:rPr>
          <w:rFonts w:ascii="Arial"/>
          <w:i/>
          <w:sz w:val="20"/>
        </w:rPr>
        <w:sectPr>
          <w:pgSz w:w="11900" w:h="16840"/>
          <w:pgMar w:header="971" w:footer="0" w:top="1300" w:bottom="280" w:left="1275" w:right="1275"/>
        </w:sectPr>
      </w:pPr>
    </w:p>
    <w:p>
      <w:pPr>
        <w:spacing w:line="235" w:lineRule="auto" w:before="110"/>
        <w:ind w:left="705" w:right="168" w:firstLine="0"/>
        <w:jc w:val="both"/>
        <w:rPr>
          <w:sz w:val="20"/>
        </w:rPr>
      </w:pPr>
      <w:r>
        <w:rPr>
          <w:rFonts w:ascii="Arial" w:hAnsi="Arial"/>
          <w:i/>
          <w:sz w:val="20"/>
        </w:rPr>
        <w:t>Protection of Bondholders AG [1937] A.C. 500</w:t>
      </w:r>
      <w:r>
        <w:rPr>
          <w:sz w:val="20"/>
        </w:rPr>
        <w:t>; </w:t>
      </w:r>
      <w:r>
        <w:rPr>
          <w:rFonts w:ascii="Arial" w:hAnsi="Arial"/>
          <w:i/>
          <w:sz w:val="20"/>
        </w:rPr>
        <w:t>Mount Albert BC v Australasian Temperance &amp; General Mutual Life Assurance Society [1938] A.C. 224</w:t>
      </w:r>
      <w:r>
        <w:rPr>
          <w:sz w:val="20"/>
        </w:rPr>
        <w:t>; </w:t>
      </w:r>
      <w:r>
        <w:rPr>
          <w:rFonts w:ascii="Arial" w:hAnsi="Arial"/>
          <w:i/>
          <w:sz w:val="20"/>
        </w:rPr>
        <w:t>Re Helbert Wagg &amp; Co Ltd’s </w:t>
      </w:r>
      <w:r>
        <w:rPr>
          <w:rFonts w:ascii="Arial" w:hAnsi="Arial"/>
          <w:i/>
          <w:sz w:val="20"/>
        </w:rPr>
        <w:t>Claim [1956] Ch. 323, 340</w:t>
      </w:r>
      <w:r>
        <w:rPr>
          <w:sz w:val="20"/>
        </w:rPr>
        <w:t>.</w:t>
      </w:r>
    </w:p>
    <w:p>
      <w:pPr>
        <w:pStyle w:val="BodyText"/>
        <w:spacing w:before="9"/>
      </w:pPr>
    </w:p>
    <w:p>
      <w:pPr>
        <w:spacing w:line="235" w:lineRule="auto" w:before="0"/>
        <w:ind w:left="705" w:right="167" w:hanging="541"/>
        <w:jc w:val="both"/>
        <w:rPr>
          <w:sz w:val="20"/>
        </w:rPr>
      </w:pPr>
      <w:bookmarkStart w:name="_bookmark2500" w:id="2502"/>
      <w:bookmarkEnd w:id="2502"/>
      <w:r>
        <w:rPr/>
      </w:r>
      <w:hyperlink w:history="true" w:anchor="_bookmark2388">
        <w:r>
          <w:rPr>
            <w:color w:val="005DA1"/>
            <w:position w:val="5"/>
            <w:sz w:val="14"/>
            <w:u w:val="single" w:color="005DA1"/>
          </w:rPr>
          <w:t>1296</w:t>
        </w:r>
      </w:hyperlink>
      <w:r>
        <w:rPr>
          <w:position w:val="5"/>
          <w:sz w:val="14"/>
        </w:rPr>
        <w:t>.</w:t>
      </w:r>
      <w:r>
        <w:rPr>
          <w:spacing w:val="80"/>
          <w:position w:val="5"/>
          <w:sz w:val="14"/>
        </w:rPr>
        <w:t> </w:t>
      </w:r>
      <w:r>
        <w:rPr>
          <w:sz w:val="20"/>
        </w:rPr>
        <w:t>See Dicey Morris and Collins, 15th edn (2012), para.32–157. The same principle applied </w:t>
      </w:r>
      <w:r>
        <w:rPr>
          <w:sz w:val="20"/>
        </w:rPr>
        <w:t>at common law: see </w:t>
      </w:r>
      <w:r>
        <w:rPr>
          <w:rFonts w:ascii="Arial" w:hAnsi="Arial"/>
          <w:i/>
          <w:sz w:val="20"/>
        </w:rPr>
        <w:t>Wight v Eckhardt Marine GmbH [2003] UKPC 37, [2004] 1 A.C. 147</w:t>
      </w:r>
      <w:r>
        <w:rPr>
          <w:sz w:val="20"/>
        </w:rPr>
        <w:t>; 26th edition of this work, para.2192. For the special case of discharge by bankruptcy, see Dicey, Morris and Collins, 15th edn (2012), para.31–114.</w:t>
      </w:r>
    </w:p>
    <w:p>
      <w:pPr>
        <w:pStyle w:val="BodyText"/>
        <w:spacing w:before="8"/>
      </w:pPr>
    </w:p>
    <w:p>
      <w:pPr>
        <w:spacing w:line="235" w:lineRule="auto" w:before="1"/>
        <w:ind w:left="705" w:right="167" w:hanging="541"/>
        <w:jc w:val="both"/>
        <w:rPr>
          <w:sz w:val="20"/>
        </w:rPr>
      </w:pPr>
      <w:bookmarkStart w:name="_bookmark2501" w:id="2503"/>
      <w:bookmarkEnd w:id="2503"/>
      <w:r>
        <w:rPr/>
      </w:r>
      <w:hyperlink w:history="true" w:anchor="_bookmark2389">
        <w:r>
          <w:rPr>
            <w:color w:val="005DA1"/>
            <w:position w:val="5"/>
            <w:sz w:val="14"/>
            <w:u w:val="single" w:color="005DA1"/>
          </w:rPr>
          <w:t>1297</w:t>
        </w:r>
      </w:hyperlink>
      <w:r>
        <w:rPr>
          <w:position w:val="5"/>
          <w:sz w:val="14"/>
        </w:rPr>
        <w:t>.</w:t>
      </w:r>
      <w:r>
        <w:rPr>
          <w:spacing w:val="80"/>
          <w:w w:val="150"/>
          <w:position w:val="5"/>
          <w:sz w:val="14"/>
        </w:rPr>
        <w:t> </w:t>
      </w:r>
      <w:r>
        <w:rPr>
          <w:sz w:val="20"/>
        </w:rPr>
        <w:t>See </w:t>
      </w:r>
      <w:r>
        <w:rPr>
          <w:rFonts w:ascii="Arial" w:hAnsi="Arial"/>
          <w:i/>
          <w:sz w:val="20"/>
        </w:rPr>
        <w:t>Raiffeisen Zentralbank Osterreich AG v Five Star General Trading LLC [2001] EWCA Civ 68, [2001] Q.B. 825 </w:t>
      </w:r>
      <w:r>
        <w:rPr>
          <w:sz w:val="20"/>
        </w:rPr>
        <w:t>at [34]. cf. </w:t>
      </w:r>
      <w:r>
        <w:rPr>
          <w:rFonts w:ascii="Arial" w:hAnsi="Arial"/>
          <w:i/>
          <w:sz w:val="20"/>
        </w:rPr>
        <w:t>Re United Railways of the Havana and Regla Warehouses </w:t>
      </w:r>
      <w:r>
        <w:rPr>
          <w:rFonts w:ascii="Arial" w:hAnsi="Arial"/>
          <w:i/>
          <w:sz w:val="20"/>
        </w:rPr>
        <w:t>Ltd [1960] Ch. 52 </w:t>
      </w:r>
      <w:r>
        <w:rPr>
          <w:sz w:val="20"/>
        </w:rPr>
        <w:t>(reversed on other grounds sub nom. </w:t>
      </w:r>
      <w:r>
        <w:rPr>
          <w:rFonts w:ascii="Arial" w:hAnsi="Arial"/>
          <w:i/>
          <w:sz w:val="20"/>
        </w:rPr>
        <w:t>Tomkinson v First Pennsylvania Banking and Trust Co [1961] A.C. 1007</w:t>
      </w:r>
      <w:r>
        <w:rPr>
          <w:sz w:val="20"/>
        </w:rPr>
        <w:t>). See also </w:t>
      </w:r>
      <w:r>
        <w:rPr>
          <w:rFonts w:ascii="Arial" w:hAnsi="Arial"/>
          <w:i/>
          <w:sz w:val="20"/>
        </w:rPr>
        <w:t>Wight v Eckhardt Marine GmbH [2003] UKPC 37, [2003] 3 W.L.R. 414 </w:t>
      </w:r>
      <w:r>
        <w:rPr>
          <w:sz w:val="20"/>
        </w:rPr>
        <w:t>at [13]–[14].</w:t>
      </w:r>
    </w:p>
    <w:p>
      <w:pPr>
        <w:pStyle w:val="BodyText"/>
        <w:spacing w:before="8"/>
      </w:pPr>
    </w:p>
    <w:p>
      <w:pPr>
        <w:pStyle w:val="BodyText"/>
        <w:spacing w:line="235" w:lineRule="auto"/>
        <w:ind w:left="705" w:right="167" w:hanging="541"/>
        <w:jc w:val="both"/>
      </w:pPr>
      <w:bookmarkStart w:name="_bookmark2502" w:id="2504"/>
      <w:bookmarkEnd w:id="2504"/>
      <w:r>
        <w:rPr/>
      </w:r>
      <w:hyperlink w:history="true" w:anchor="_bookmark2390">
        <w:r>
          <w:rPr>
            <w:color w:val="005DA1"/>
            <w:position w:val="5"/>
            <w:sz w:val="14"/>
            <w:u w:val="single" w:color="005DA1"/>
          </w:rPr>
          <w:t>1298</w:t>
        </w:r>
      </w:hyperlink>
      <w:r>
        <w:rPr>
          <w:position w:val="5"/>
          <w:sz w:val="14"/>
        </w:rPr>
        <w:t>.</w:t>
      </w:r>
      <w:r>
        <w:rPr>
          <w:spacing w:val="80"/>
          <w:position w:val="5"/>
          <w:sz w:val="14"/>
        </w:rPr>
        <w:t> </w:t>
      </w:r>
      <w:r>
        <w:rPr/>
        <w:t>Dicey, Morris and Collins, 15th edn (2012), paras 7–039—7–040. A set-off which is merely a claim of a certain kind which the defendant has against the claimant and which can </w:t>
      </w:r>
      <w:r>
        <w:rPr/>
        <w:t>be conveniently tried together with the claimant’s claim against the defendant is procedural and thus a matter for the lex fori both at common law and under the Rome Convention: see</w:t>
      </w:r>
      <w:r>
        <w:rPr>
          <w:spacing w:val="-1"/>
        </w:rPr>
        <w:t> </w:t>
      </w:r>
      <w:r>
        <w:rPr>
          <w:rFonts w:ascii="Arial" w:hAnsi="Arial"/>
          <w:i/>
        </w:rPr>
        <w:t>Meher v Dresser (1864) 16 C.B.(N.S.) 646</w:t>
      </w:r>
      <w:r>
        <w:rPr/>
        <w:t>.</w:t>
      </w:r>
    </w:p>
    <w:p>
      <w:pPr>
        <w:pStyle w:val="BodyText"/>
        <w:spacing w:before="4"/>
      </w:pPr>
    </w:p>
    <w:p>
      <w:pPr>
        <w:pStyle w:val="BodyText"/>
        <w:ind w:left="165"/>
      </w:pPr>
      <w:bookmarkStart w:name="_bookmark2503" w:id="2505"/>
      <w:bookmarkEnd w:id="2505"/>
      <w:r>
        <w:rPr/>
      </w:r>
      <w:hyperlink w:history="true" w:anchor="_bookmark2391">
        <w:r>
          <w:rPr>
            <w:color w:val="005DA1"/>
            <w:position w:val="5"/>
            <w:sz w:val="14"/>
            <w:u w:val="single" w:color="005DA1"/>
          </w:rPr>
          <w:t>1299</w:t>
        </w:r>
      </w:hyperlink>
      <w:r>
        <w:rPr>
          <w:position w:val="5"/>
          <w:sz w:val="14"/>
        </w:rPr>
        <w:t>.</w:t>
      </w:r>
      <w:r>
        <w:rPr>
          <w:spacing w:val="55"/>
          <w:position w:val="5"/>
          <w:sz w:val="14"/>
        </w:rPr>
        <w:t>  </w:t>
      </w:r>
      <w:r>
        <w:rPr/>
        <w:t>See</w:t>
      </w:r>
      <w:r>
        <w:rPr>
          <w:spacing w:val="1"/>
        </w:rPr>
        <w:t> </w:t>
      </w:r>
      <w:r>
        <w:rPr/>
        <w:t>above, paras 30-300 et </w:t>
      </w:r>
      <w:r>
        <w:rPr>
          <w:spacing w:val="-4"/>
        </w:rPr>
        <w:t>seq.</w:t>
      </w:r>
    </w:p>
    <w:p>
      <w:pPr>
        <w:pStyle w:val="BodyText"/>
        <w:spacing w:before="9"/>
      </w:pPr>
    </w:p>
    <w:p>
      <w:pPr>
        <w:spacing w:line="235" w:lineRule="auto" w:before="0"/>
        <w:ind w:left="705" w:right="167" w:hanging="541"/>
        <w:jc w:val="both"/>
        <w:rPr>
          <w:sz w:val="20"/>
        </w:rPr>
      </w:pPr>
      <w:bookmarkStart w:name="_bookmark2504" w:id="2506"/>
      <w:bookmarkEnd w:id="2506"/>
      <w:r>
        <w:rPr/>
      </w:r>
      <w:hyperlink w:history="true" w:anchor="_bookmark2392">
        <w:r>
          <w:rPr>
            <w:color w:val="005DA1"/>
            <w:position w:val="5"/>
            <w:sz w:val="14"/>
            <w:u w:val="single" w:color="005DA1"/>
          </w:rPr>
          <w:t>1300</w:t>
        </w:r>
      </w:hyperlink>
      <w:r>
        <w:rPr>
          <w:position w:val="5"/>
          <w:sz w:val="14"/>
        </w:rPr>
        <w:t>.</w:t>
      </w:r>
      <w:r>
        <w:rPr>
          <w:spacing w:val="80"/>
          <w:position w:val="5"/>
          <w:sz w:val="14"/>
        </w:rPr>
        <w:t> </w:t>
      </w:r>
      <w:r>
        <w:rPr>
          <w:sz w:val="20"/>
        </w:rPr>
        <w:t>As to the common law position, see Dicey, Morris and Collins, 15th edn (2012), para.7–055; Cheshire and North, p.73. cf. </w:t>
      </w:r>
      <w:r>
        <w:rPr>
          <w:rFonts w:ascii="Arial" w:hAnsi="Arial"/>
          <w:i/>
          <w:sz w:val="20"/>
        </w:rPr>
        <w:t>John Pfeiffer Pty Ltd v Rogerson (2000) 203 C.L.R. 503 </w:t>
      </w:r>
      <w:r>
        <w:rPr>
          <w:sz w:val="20"/>
        </w:rPr>
        <w:t>(obiter to effect that statutes of limitation substantive at common law).</w:t>
      </w:r>
    </w:p>
    <w:p>
      <w:pPr>
        <w:pStyle w:val="BodyText"/>
        <w:spacing w:before="9"/>
      </w:pPr>
    </w:p>
    <w:p>
      <w:pPr>
        <w:pStyle w:val="BodyText"/>
        <w:spacing w:line="235" w:lineRule="auto"/>
        <w:ind w:left="705" w:right="167" w:hanging="541"/>
        <w:jc w:val="both"/>
      </w:pPr>
      <w:bookmarkStart w:name="_bookmark2505" w:id="2507"/>
      <w:bookmarkEnd w:id="2507"/>
      <w:r>
        <w:rPr/>
      </w:r>
      <w:hyperlink w:history="true" w:anchor="_bookmark2393">
        <w:r>
          <w:rPr>
            <w:color w:val="005DA1"/>
            <w:position w:val="5"/>
            <w:sz w:val="14"/>
            <w:u w:val="single" w:color="005DA1"/>
          </w:rPr>
          <w:t>1301</w:t>
        </w:r>
      </w:hyperlink>
      <w:r>
        <w:rPr>
          <w:position w:val="5"/>
          <w:sz w:val="14"/>
        </w:rPr>
        <w:t>.</w:t>
      </w:r>
      <w:r>
        <w:rPr>
          <w:spacing w:val="80"/>
          <w:position w:val="5"/>
          <w:sz w:val="14"/>
        </w:rPr>
        <w:t> </w:t>
      </w:r>
      <w:r>
        <w:rPr/>
        <w:t>For comment, see Dicey, Morris and Collins, 15th edn (2012), paras 7–058 et seq.; </w:t>
      </w:r>
      <w:r>
        <w:rPr/>
        <w:t>Cheshire, North and Fawcett, pp.80–81; Carter (1985) 101 L.Q.R. 68; Stone [1985] L.M.C.L.Q. 497. The 1984 Act implements recommendations of the Law Commission: see Law Com. No.114, 1982.</w:t>
      </w:r>
    </w:p>
    <w:p>
      <w:pPr>
        <w:pStyle w:val="BodyText"/>
        <w:spacing w:before="5"/>
      </w:pPr>
    </w:p>
    <w:p>
      <w:pPr>
        <w:pStyle w:val="BodyText"/>
        <w:ind w:left="165"/>
      </w:pPr>
      <w:bookmarkStart w:name="_bookmark2506" w:id="2508"/>
      <w:bookmarkEnd w:id="2508"/>
      <w:r>
        <w:rPr/>
      </w:r>
      <w:hyperlink w:history="true" w:anchor="_bookmark2394">
        <w:r>
          <w:rPr>
            <w:color w:val="005DA1"/>
            <w:position w:val="5"/>
            <w:sz w:val="14"/>
            <w:u w:val="single" w:color="005DA1"/>
          </w:rPr>
          <w:t>1302</w:t>
        </w:r>
      </w:hyperlink>
      <w:r>
        <w:rPr>
          <w:position w:val="5"/>
          <w:sz w:val="14"/>
        </w:rPr>
        <w:t>.</w:t>
      </w:r>
      <w:r>
        <w:rPr>
          <w:spacing w:val="55"/>
          <w:position w:val="5"/>
          <w:sz w:val="14"/>
        </w:rPr>
        <w:t>  </w:t>
      </w:r>
      <w:r>
        <w:rPr/>
        <w:t>Foreign</w:t>
      </w:r>
      <w:r>
        <w:rPr>
          <w:spacing w:val="1"/>
        </w:rPr>
        <w:t> </w:t>
      </w:r>
      <w:r>
        <w:rPr/>
        <w:t>Limitation Periods Act 1984 </w:t>
      </w:r>
      <w:r>
        <w:rPr>
          <w:spacing w:val="-2"/>
        </w:rPr>
        <w:t>s.1(1).</w:t>
      </w:r>
    </w:p>
    <w:p>
      <w:pPr>
        <w:pStyle w:val="BodyText"/>
        <w:spacing w:before="8"/>
      </w:pPr>
    </w:p>
    <w:p>
      <w:pPr>
        <w:pStyle w:val="BodyText"/>
        <w:spacing w:line="235" w:lineRule="auto" w:before="1"/>
        <w:ind w:left="705" w:right="167" w:hanging="541"/>
        <w:jc w:val="both"/>
      </w:pPr>
      <w:bookmarkStart w:name="_bookmark2507" w:id="2509"/>
      <w:bookmarkEnd w:id="2509"/>
      <w:r>
        <w:rPr/>
      </w:r>
      <w:hyperlink w:history="true" w:anchor="_bookmark2395">
        <w:r>
          <w:rPr>
            <w:color w:val="005DA1"/>
            <w:position w:val="5"/>
            <w:sz w:val="14"/>
            <w:u w:val="single" w:color="005DA1"/>
          </w:rPr>
          <w:t>1303</w:t>
        </w:r>
      </w:hyperlink>
      <w:r>
        <w:rPr>
          <w:position w:val="5"/>
          <w:sz w:val="14"/>
        </w:rPr>
        <w:t>.</w:t>
      </w:r>
      <w:r>
        <w:rPr>
          <w:spacing w:val="80"/>
          <w:position w:val="5"/>
          <w:sz w:val="14"/>
        </w:rPr>
        <w:t> </w:t>
      </w:r>
      <w:r>
        <w:rPr/>
        <w:t>The foreign lex causae is defined to include both procedural and substantive rules in respect </w:t>
      </w:r>
      <w:r>
        <w:rPr/>
        <w:t>to limitation: Foreign Limitation Periods Act 1984 s.4. But renvoi is excluded: ss.1(5), 4(2). A foreign rule under which a limitation period is or may be extended or interrupted, in respect to the absence of a party from any specified jurisdiction or country, must be disregarded: s.2(3). If the lex causae confers a discretion, it should be exercised, so far as practicable, in the manner in which it is exercised in comparable cases by the courts of that country: s.2(4). English law will, however, determine the time at which proceedings have been commenced: s.1(3).</w:t>
      </w:r>
    </w:p>
    <w:p>
      <w:pPr>
        <w:pStyle w:val="BodyText"/>
        <w:spacing w:before="7"/>
      </w:pPr>
    </w:p>
    <w:p>
      <w:pPr>
        <w:spacing w:line="235" w:lineRule="auto" w:before="0"/>
        <w:ind w:left="705" w:right="167" w:hanging="541"/>
        <w:jc w:val="both"/>
        <w:rPr>
          <w:rFonts w:ascii="Arial"/>
          <w:i/>
          <w:sz w:val="20"/>
        </w:rPr>
      </w:pPr>
      <w:bookmarkStart w:name="_bookmark2508" w:id="2510"/>
      <w:bookmarkEnd w:id="2510"/>
      <w:r>
        <w:rPr/>
      </w:r>
      <w:hyperlink w:history="true" w:anchor="_bookmark2396">
        <w:r>
          <w:rPr>
            <w:color w:val="005DA1"/>
            <w:position w:val="5"/>
            <w:sz w:val="14"/>
            <w:u w:val="single" w:color="005DA1"/>
          </w:rPr>
          <w:t>1304</w:t>
        </w:r>
      </w:hyperlink>
      <w:r>
        <w:rPr>
          <w:position w:val="5"/>
          <w:sz w:val="14"/>
        </w:rPr>
        <w:t>.</w:t>
      </w:r>
      <w:r>
        <w:rPr>
          <w:spacing w:val="80"/>
          <w:position w:val="5"/>
          <w:sz w:val="14"/>
        </w:rPr>
        <w:t> </w:t>
      </w:r>
      <w:r>
        <w:rPr>
          <w:rFonts w:ascii="Arial"/>
          <w:i/>
          <w:sz w:val="20"/>
        </w:rPr>
        <w:t>Intercontainer</w:t>
      </w:r>
      <w:r>
        <w:rPr>
          <w:rFonts w:ascii="Arial"/>
          <w:i/>
          <w:spacing w:val="31"/>
          <w:sz w:val="20"/>
        </w:rPr>
        <w:t> </w:t>
      </w:r>
      <w:r>
        <w:rPr>
          <w:rFonts w:ascii="Arial"/>
          <w:i/>
          <w:sz w:val="20"/>
        </w:rPr>
        <w:t>Interfrigo</w:t>
      </w:r>
      <w:r>
        <w:rPr>
          <w:rFonts w:ascii="Arial"/>
          <w:i/>
          <w:spacing w:val="31"/>
          <w:sz w:val="20"/>
        </w:rPr>
        <w:t> </w:t>
      </w:r>
      <w:r>
        <w:rPr>
          <w:rFonts w:ascii="Arial"/>
          <w:i/>
          <w:sz w:val="20"/>
        </w:rPr>
        <w:t>SC</w:t>
      </w:r>
      <w:r>
        <w:rPr>
          <w:rFonts w:ascii="Arial"/>
          <w:i/>
          <w:spacing w:val="31"/>
          <w:sz w:val="20"/>
        </w:rPr>
        <w:t> </w:t>
      </w:r>
      <w:r>
        <w:rPr>
          <w:rFonts w:ascii="Arial"/>
          <w:i/>
          <w:sz w:val="20"/>
        </w:rPr>
        <w:t>(ICF)</w:t>
      </w:r>
      <w:r>
        <w:rPr>
          <w:rFonts w:ascii="Arial"/>
          <w:i/>
          <w:spacing w:val="31"/>
          <w:sz w:val="20"/>
        </w:rPr>
        <w:t> </w:t>
      </w:r>
      <w:r>
        <w:rPr>
          <w:rFonts w:ascii="Arial"/>
          <w:i/>
          <w:sz w:val="20"/>
        </w:rPr>
        <w:t>v</w:t>
      </w:r>
      <w:r>
        <w:rPr>
          <w:rFonts w:ascii="Arial"/>
          <w:i/>
          <w:spacing w:val="31"/>
          <w:sz w:val="20"/>
        </w:rPr>
        <w:t> </w:t>
      </w:r>
      <w:r>
        <w:rPr>
          <w:rFonts w:ascii="Arial"/>
          <w:i/>
          <w:sz w:val="20"/>
        </w:rPr>
        <w:t>Balkenende</w:t>
      </w:r>
      <w:r>
        <w:rPr>
          <w:rFonts w:ascii="Arial"/>
          <w:i/>
          <w:spacing w:val="31"/>
          <w:sz w:val="20"/>
        </w:rPr>
        <w:t> </w:t>
      </w:r>
      <w:r>
        <w:rPr>
          <w:rFonts w:ascii="Arial"/>
          <w:i/>
          <w:sz w:val="20"/>
        </w:rPr>
        <w:t>Oosthuizen</w:t>
      </w:r>
      <w:r>
        <w:rPr>
          <w:rFonts w:ascii="Arial"/>
          <w:i/>
          <w:spacing w:val="31"/>
          <w:sz w:val="20"/>
        </w:rPr>
        <w:t> </w:t>
      </w:r>
      <w:r>
        <w:rPr>
          <w:rFonts w:ascii="Arial"/>
          <w:i/>
          <w:sz w:val="20"/>
        </w:rPr>
        <w:t>BV</w:t>
      </w:r>
      <w:r>
        <w:rPr>
          <w:rFonts w:ascii="Arial"/>
          <w:i/>
          <w:spacing w:val="31"/>
          <w:sz w:val="20"/>
        </w:rPr>
        <w:t> </w:t>
      </w:r>
      <w:r>
        <w:rPr>
          <w:rFonts w:ascii="Arial"/>
          <w:i/>
          <w:sz w:val="20"/>
        </w:rPr>
        <w:t>(C-133/08)</w:t>
      </w:r>
      <w:r>
        <w:rPr>
          <w:rFonts w:ascii="Arial"/>
          <w:i/>
          <w:spacing w:val="31"/>
          <w:sz w:val="20"/>
        </w:rPr>
        <w:t> </w:t>
      </w:r>
      <w:r>
        <w:rPr>
          <w:rFonts w:ascii="Arial"/>
          <w:i/>
          <w:sz w:val="20"/>
        </w:rPr>
        <w:t>[2010]</w:t>
      </w:r>
      <w:r>
        <w:rPr>
          <w:rFonts w:ascii="Arial"/>
          <w:i/>
          <w:spacing w:val="31"/>
          <w:sz w:val="20"/>
        </w:rPr>
        <w:t> </w:t>
      </w:r>
      <w:r>
        <w:rPr>
          <w:rFonts w:ascii="Arial"/>
          <w:i/>
          <w:sz w:val="20"/>
        </w:rPr>
        <w:t>Q.B.</w:t>
      </w:r>
      <w:r>
        <w:rPr>
          <w:rFonts w:ascii="Arial"/>
          <w:i/>
          <w:spacing w:val="31"/>
          <w:sz w:val="20"/>
        </w:rPr>
        <w:t> </w:t>
      </w:r>
      <w:r>
        <w:rPr>
          <w:rFonts w:ascii="Arial"/>
          <w:i/>
          <w:sz w:val="20"/>
        </w:rPr>
        <w:t>411</w:t>
      </w:r>
      <w:r>
        <w:rPr>
          <w:sz w:val="20"/>
        </w:rPr>
        <w:t>. See</w:t>
      </w:r>
      <w:r>
        <w:rPr>
          <w:spacing w:val="1"/>
          <w:sz w:val="20"/>
        </w:rPr>
        <w:t> </w:t>
      </w:r>
      <w:r>
        <w:rPr>
          <w:rFonts w:ascii="Arial"/>
          <w:i/>
          <w:sz w:val="20"/>
        </w:rPr>
        <w:t>Ennstone</w:t>
      </w:r>
      <w:r>
        <w:rPr>
          <w:rFonts w:ascii="Arial"/>
          <w:i/>
          <w:spacing w:val="1"/>
          <w:sz w:val="20"/>
        </w:rPr>
        <w:t> </w:t>
      </w:r>
      <w:r>
        <w:rPr>
          <w:rFonts w:ascii="Arial"/>
          <w:i/>
          <w:sz w:val="20"/>
        </w:rPr>
        <w:t>Building</w:t>
      </w:r>
      <w:r>
        <w:rPr>
          <w:rFonts w:ascii="Arial"/>
          <w:i/>
          <w:spacing w:val="1"/>
          <w:sz w:val="20"/>
        </w:rPr>
        <w:t> </w:t>
      </w:r>
      <w:r>
        <w:rPr>
          <w:rFonts w:ascii="Arial"/>
          <w:i/>
          <w:sz w:val="20"/>
        </w:rPr>
        <w:t>Products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Stanger</w:t>
      </w:r>
      <w:r>
        <w:rPr>
          <w:rFonts w:ascii="Arial"/>
          <w:i/>
          <w:spacing w:val="1"/>
          <w:sz w:val="20"/>
        </w:rPr>
        <w:t> </w:t>
      </w:r>
      <w:r>
        <w:rPr>
          <w:rFonts w:ascii="Arial"/>
          <w:i/>
          <w:sz w:val="20"/>
        </w:rPr>
        <w:t>Ltd</w:t>
      </w:r>
      <w:r>
        <w:rPr>
          <w:rFonts w:ascii="Arial"/>
          <w:i/>
          <w:spacing w:val="1"/>
          <w:sz w:val="20"/>
        </w:rPr>
        <w:t> </w:t>
      </w:r>
      <w:r>
        <w:rPr>
          <w:rFonts w:ascii="Arial"/>
          <w:i/>
          <w:sz w:val="20"/>
        </w:rPr>
        <w:t>[2002]</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916,</w:t>
      </w:r>
      <w:r>
        <w:rPr>
          <w:rFonts w:ascii="Arial"/>
          <w:i/>
          <w:spacing w:val="1"/>
          <w:sz w:val="20"/>
        </w:rPr>
        <w:t> </w:t>
      </w:r>
      <w:r>
        <w:rPr>
          <w:rFonts w:ascii="Arial"/>
          <w:i/>
          <w:sz w:val="20"/>
        </w:rPr>
        <w:t>[2002]</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pacing w:val="-4"/>
          <w:sz w:val="20"/>
        </w:rPr>
        <w:t>3059</w:t>
      </w:r>
    </w:p>
    <w:p>
      <w:pPr>
        <w:spacing w:line="235" w:lineRule="auto" w:before="0"/>
        <w:ind w:left="705" w:right="168" w:firstLine="0"/>
        <w:jc w:val="both"/>
        <w:rPr>
          <w:sz w:val="20"/>
        </w:rPr>
      </w:pPr>
      <w:r>
        <w:rPr>
          <w:sz w:val="20"/>
        </w:rPr>
        <w:t>at [5], [43]; Dicey, Morris and Collins 15th edn (2012), paras 7–062, 32–161. And see </w:t>
      </w:r>
      <w:r>
        <w:rPr>
          <w:rFonts w:ascii="Arial" w:hAnsi="Arial"/>
          <w:i/>
          <w:sz w:val="20"/>
        </w:rPr>
        <w:t>Crédit Lyonnais v New Hampshire Insurance Co [1997] 2 Lloyd’s Rep. 1</w:t>
      </w:r>
      <w:r>
        <w:rPr>
          <w:sz w:val="20"/>
        </w:rPr>
        <w:t>; </w:t>
      </w:r>
      <w:r>
        <w:rPr>
          <w:rFonts w:ascii="Arial" w:hAnsi="Arial"/>
          <w:i/>
          <w:sz w:val="20"/>
        </w:rPr>
        <w:t>Zebrarise Ltd v De Nieffe [2004] EWHC 1842 (Comm), [2005] 1 Lloyd’s Rep. 154</w:t>
      </w:r>
      <w:r>
        <w:rPr>
          <w:sz w:val="20"/>
        </w:rPr>
        <w:t>. As to restitutionary claims and the Foreign Limitation Periods Act 1984, see </w:t>
      </w:r>
      <w:r>
        <w:rPr>
          <w:rFonts w:ascii="Arial" w:hAnsi="Arial"/>
          <w:i/>
          <w:sz w:val="20"/>
        </w:rPr>
        <w:t>Barros Mattos Junior v MacDaniels Ltd [2004] </w:t>
      </w:r>
      <w:r>
        <w:rPr>
          <w:rFonts w:ascii="Arial" w:hAnsi="Arial"/>
          <w:i/>
          <w:sz w:val="20"/>
        </w:rPr>
        <w:t>EWHC 1323 (Ch), [2005] 1 W.L.R. 247</w:t>
      </w:r>
      <w:r>
        <w:rPr>
          <w:sz w:val="20"/>
        </w:rPr>
        <w:t>.</w:t>
      </w:r>
    </w:p>
    <w:p>
      <w:pPr>
        <w:pStyle w:val="BodyText"/>
        <w:spacing w:before="7"/>
      </w:pPr>
    </w:p>
    <w:p>
      <w:pPr>
        <w:pStyle w:val="BodyText"/>
        <w:spacing w:line="235" w:lineRule="auto"/>
        <w:ind w:left="705" w:right="166" w:hanging="541"/>
        <w:jc w:val="both"/>
      </w:pPr>
      <w:bookmarkStart w:name="_bookmark2509" w:id="2511"/>
      <w:bookmarkEnd w:id="2511"/>
      <w:r>
        <w:rPr/>
      </w:r>
      <w:hyperlink w:history="true" w:anchor="_bookmark2397">
        <w:r>
          <w:rPr>
            <w:color w:val="005DA1"/>
            <w:position w:val="5"/>
            <w:sz w:val="14"/>
            <w:u w:val="single" w:color="005DA1"/>
          </w:rPr>
          <w:t>1305</w:t>
        </w:r>
      </w:hyperlink>
      <w:r>
        <w:rPr>
          <w:position w:val="5"/>
          <w:sz w:val="14"/>
        </w:rPr>
        <w:t>.</w:t>
      </w:r>
      <w:r>
        <w:rPr>
          <w:spacing w:val="80"/>
          <w:position w:val="5"/>
          <w:sz w:val="14"/>
        </w:rPr>
        <w:t> </w:t>
      </w:r>
      <w:r>
        <w:rPr/>
        <w:t>Foreign Limitation Periods Act 1984 s.2(1), (2); Rome Convention art.16; Rome I Regulation art.21. And see below, paras 30-368 et seq. The 1984 Act is not intended to apply to periods of limitation referred to in the contract itself: see Law Com. No.114, 1982, para.4.52; Dicey, Morris and Collins, 15th edn (2012), para.7–056. At common law such periods were </w:t>
      </w:r>
      <w:r>
        <w:rPr/>
        <w:t>probably substantive and thus referable to the law governing the contract: Dicey, Morris and Collins, para.7–054; cf. </w:t>
      </w:r>
      <w:r>
        <w:rPr>
          <w:rFonts w:ascii="Arial" w:hAnsi="Arial"/>
          <w:i/>
        </w:rPr>
        <w:t>Harding v Wealands [2006] UKHL 32, [2007] 1 A.C. 1 </w:t>
      </w:r>
      <w:r>
        <w:rPr/>
        <w:t>at [44]–[46]; </w:t>
      </w:r>
      <w:r>
        <w:rPr>
          <w:rFonts w:ascii="Arial" w:hAnsi="Arial"/>
          <w:i/>
        </w:rPr>
        <w:t>Allan J. Panozza &amp; Co Pty Ltd v Allied Interstate (Queensland) Pty Ltd [1976] 2 N.S.W.L.R. 192</w:t>
      </w:r>
      <w:r>
        <w:rPr/>
        <w:t>. It is unclear whether such a clause would be regarded as affecting limitation of actions for the purpose of art.10(1)(d) or art.12(1)(d), but if it does not it would nevertheless be regarded as a way of extinguishing an obligation which is also governed by the applicable law according to each provision.</w:t>
      </w:r>
    </w:p>
    <w:p>
      <w:pPr>
        <w:pStyle w:val="BodyText"/>
        <w:spacing w:after="0" w:line="235" w:lineRule="auto"/>
        <w:jc w:val="both"/>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2398">
        <w:r>
          <w:rPr>
            <w:color w:val="005DA1"/>
            <w:position w:val="5"/>
            <w:sz w:val="14"/>
            <w:u w:val="single" w:color="005DA1"/>
          </w:rPr>
          <w:t>1306</w:t>
        </w:r>
      </w:hyperlink>
      <w:r>
        <w:rPr>
          <w:position w:val="5"/>
          <w:sz w:val="14"/>
        </w:rPr>
        <w:t>.</w:t>
      </w:r>
      <w:r>
        <w:rPr>
          <w:spacing w:val="80"/>
          <w:position w:val="5"/>
          <w:sz w:val="14"/>
        </w:rPr>
        <w:t> </w:t>
      </w:r>
      <w:r>
        <w:rPr>
          <w:sz w:val="20"/>
        </w:rPr>
        <w:t>On undue hardship, see </w:t>
      </w:r>
      <w:r>
        <w:rPr>
          <w:rFonts w:ascii="Arial" w:hAnsi="Arial"/>
          <w:i/>
          <w:sz w:val="20"/>
        </w:rPr>
        <w:t>The Komninos S. [1990] 1 Lloyd’s Rep. 541 </w:t>
      </w:r>
      <w:r>
        <w:rPr>
          <w:sz w:val="20"/>
        </w:rPr>
        <w:t>(reversed but not on this point </w:t>
      </w:r>
      <w:r>
        <w:rPr>
          <w:rFonts w:ascii="Arial" w:hAnsi="Arial"/>
          <w:i/>
          <w:sz w:val="20"/>
        </w:rPr>
        <w:t>[1991] 1 Lloyd’s Rep. 370 </w:t>
      </w:r>
      <w:r>
        <w:rPr>
          <w:sz w:val="20"/>
        </w:rPr>
        <w:t>(undue hardship where defendants agreed to an extension </w:t>
      </w:r>
      <w:r>
        <w:rPr>
          <w:sz w:val="20"/>
        </w:rPr>
        <w:t>of time which turned out to be ineffective under foreign lex causae)); </w:t>
      </w:r>
      <w:r>
        <w:rPr>
          <w:rFonts w:ascii="Arial" w:hAnsi="Arial"/>
          <w:i/>
          <w:sz w:val="20"/>
        </w:rPr>
        <w:t>Jones v Trollope Colls Cementation Overseas Ltd, The Times, January 26, 1990 </w:t>
      </w:r>
      <w:r>
        <w:rPr>
          <w:sz w:val="20"/>
        </w:rPr>
        <w:t>(12 months’ limitation period caused undue hardship where plaintiff had spent time in hospital and had been led to believe her claim would be met); </w:t>
      </w:r>
      <w:r>
        <w:rPr>
          <w:rFonts w:ascii="Arial" w:hAnsi="Arial"/>
          <w:i/>
          <w:sz w:val="20"/>
        </w:rPr>
        <w:t>Arab Monetary Fund v Hashim [1993] 1 Lloyd’s Rep. 543 </w:t>
      </w:r>
      <w:r>
        <w:rPr>
          <w:sz w:val="20"/>
        </w:rPr>
        <w:t>(impossible to hold</w:t>
      </w:r>
      <w:r>
        <w:rPr>
          <w:spacing w:val="40"/>
          <w:sz w:val="20"/>
        </w:rPr>
        <w:t> </w:t>
      </w:r>
      <w:r>
        <w:rPr>
          <w:sz w:val="20"/>
        </w:rPr>
        <w:t>that application of a threeyear limitation period caused undue hardship); </w:t>
      </w:r>
      <w:r>
        <w:rPr>
          <w:rFonts w:ascii="Arial" w:hAnsi="Arial"/>
          <w:i/>
          <w:sz w:val="20"/>
        </w:rPr>
        <w:t>Harley v Smith [2010] EWCA Civ 78</w:t>
      </w:r>
      <w:r>
        <w:rPr>
          <w:sz w:val="20"/>
        </w:rPr>
        <w:t>; </w:t>
      </w:r>
      <w:r>
        <w:rPr>
          <w:rFonts w:ascii="Arial" w:hAnsi="Arial"/>
          <w:i/>
          <w:sz w:val="20"/>
        </w:rPr>
        <w:t>Naraji v Shelbourne [2011] EWHC 3298 (QB) </w:t>
      </w:r>
      <w:r>
        <w:rPr>
          <w:sz w:val="20"/>
        </w:rPr>
        <w:t>considered in </w:t>
      </w:r>
      <w:r>
        <w:rPr>
          <w:rFonts w:ascii="Arial" w:hAnsi="Arial"/>
          <w:i/>
          <w:sz w:val="20"/>
        </w:rPr>
        <w:t>Bank St Petersburg, Alexander</w:t>
      </w:r>
      <w:r>
        <w:rPr>
          <w:rFonts w:ascii="Arial" w:hAnsi="Arial"/>
          <w:i/>
          <w:spacing w:val="-5"/>
          <w:sz w:val="20"/>
        </w:rPr>
        <w:t> </w:t>
      </w:r>
      <w:r>
        <w:rPr>
          <w:rFonts w:ascii="Arial" w:hAnsi="Arial"/>
          <w:i/>
          <w:sz w:val="20"/>
        </w:rPr>
        <w:t>Savelyev</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Vitaly</w:t>
      </w:r>
      <w:r>
        <w:rPr>
          <w:rFonts w:ascii="Arial" w:hAnsi="Arial"/>
          <w:i/>
          <w:spacing w:val="-3"/>
          <w:sz w:val="20"/>
        </w:rPr>
        <w:t> </w:t>
      </w:r>
      <w:r>
        <w:rPr>
          <w:rFonts w:ascii="Arial" w:hAnsi="Arial"/>
          <w:i/>
          <w:sz w:val="20"/>
        </w:rPr>
        <w:t>Arkhangelsky,</w:t>
      </w:r>
      <w:r>
        <w:rPr>
          <w:rFonts w:ascii="Arial" w:hAnsi="Arial"/>
          <w:i/>
          <w:spacing w:val="-3"/>
          <w:sz w:val="20"/>
        </w:rPr>
        <w:t> </w:t>
      </w:r>
      <w:r>
        <w:rPr>
          <w:rFonts w:ascii="Arial" w:hAnsi="Arial"/>
          <w:i/>
          <w:sz w:val="20"/>
        </w:rPr>
        <w:t>Julia</w:t>
      </w:r>
      <w:r>
        <w:rPr>
          <w:rFonts w:ascii="Arial" w:hAnsi="Arial"/>
          <w:i/>
          <w:spacing w:val="-3"/>
          <w:sz w:val="20"/>
        </w:rPr>
        <w:t> </w:t>
      </w:r>
      <w:r>
        <w:rPr>
          <w:rFonts w:ascii="Arial" w:hAnsi="Arial"/>
          <w:i/>
          <w:sz w:val="20"/>
        </w:rPr>
        <w:t>Arkhangelskaya</w:t>
      </w:r>
      <w:r>
        <w:rPr>
          <w:rFonts w:ascii="Arial" w:hAnsi="Arial"/>
          <w:i/>
          <w:spacing w:val="-3"/>
          <w:sz w:val="20"/>
        </w:rPr>
        <w:t> </w:t>
      </w:r>
      <w:r>
        <w:rPr>
          <w:rFonts w:ascii="Arial" w:hAnsi="Arial"/>
          <w:i/>
          <w:sz w:val="20"/>
        </w:rPr>
        <w:t>[[2013]</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3674</w:t>
      </w:r>
      <w:r>
        <w:rPr>
          <w:rFonts w:ascii="Arial" w:hAnsi="Arial"/>
          <w:i/>
          <w:spacing w:val="-3"/>
          <w:sz w:val="20"/>
        </w:rPr>
        <w:t> </w:t>
      </w:r>
      <w:r>
        <w:rPr>
          <w:rFonts w:ascii="Arial" w:hAnsi="Arial"/>
          <w:i/>
          <w:sz w:val="20"/>
        </w:rPr>
        <w:t>(Ch)</w:t>
      </w:r>
      <w:r>
        <w:rPr>
          <w:sz w:val="20"/>
        </w:rPr>
        <w:t>.</w:t>
      </w:r>
      <w:r>
        <w:rPr>
          <w:spacing w:val="-3"/>
          <w:sz w:val="20"/>
        </w:rPr>
        <w:t> </w:t>
      </w:r>
      <w:r>
        <w:rPr>
          <w:sz w:val="20"/>
        </w:rPr>
        <w:t>See also s.1A of the Foreign Limitation Periods Act 1984 on the extension of limitation periods because of mediation of certain cross-border disputes, inserted by SI 2011/1133 Pt 3 reg.29.</w:t>
      </w:r>
    </w:p>
    <w:p>
      <w:pPr>
        <w:pStyle w:val="BodyText"/>
        <w:spacing w:before="6"/>
      </w:pPr>
    </w:p>
    <w:p>
      <w:pPr>
        <w:pStyle w:val="BodyText"/>
        <w:spacing w:line="235" w:lineRule="auto"/>
        <w:ind w:left="705" w:hanging="541"/>
      </w:pPr>
      <w:bookmarkStart w:name="_bookmark2510" w:id="2512"/>
      <w:bookmarkEnd w:id="2512"/>
      <w:r>
        <w:rPr/>
      </w:r>
      <w:hyperlink w:history="true" w:anchor="_bookmark2399">
        <w:r>
          <w:rPr>
            <w:color w:val="005DA1"/>
            <w:position w:val="5"/>
            <w:sz w:val="14"/>
            <w:u w:val="single" w:color="005DA1"/>
          </w:rPr>
          <w:t>1307</w:t>
        </w:r>
      </w:hyperlink>
      <w:r>
        <w:rPr>
          <w:position w:val="5"/>
          <w:sz w:val="14"/>
        </w:rPr>
        <w:t>.</w:t>
      </w:r>
      <w:r>
        <w:rPr>
          <w:spacing w:val="40"/>
          <w:position w:val="5"/>
          <w:sz w:val="14"/>
        </w:rPr>
        <w:t>  </w:t>
      </w:r>
      <w:r>
        <w:rPr/>
        <w:t>Dicey,</w:t>
      </w:r>
      <w:r>
        <w:rPr>
          <w:spacing w:val="-2"/>
        </w:rPr>
        <w:t> </w:t>
      </w:r>
      <w:r>
        <w:rPr/>
        <w:t>Morris</w:t>
      </w:r>
      <w:r>
        <w:rPr>
          <w:spacing w:val="-2"/>
        </w:rPr>
        <w:t> </w:t>
      </w:r>
      <w:r>
        <w:rPr/>
        <w:t>and</w:t>
      </w:r>
      <w:r>
        <w:rPr>
          <w:spacing w:val="-2"/>
        </w:rPr>
        <w:t> </w:t>
      </w:r>
      <w:r>
        <w:rPr/>
        <w:t>Collins,</w:t>
      </w:r>
      <w:r>
        <w:rPr>
          <w:spacing w:val="-2"/>
        </w:rPr>
        <w:t> </w:t>
      </w:r>
      <w:r>
        <w:rPr/>
        <w:t>15th</w:t>
      </w:r>
      <w:r>
        <w:rPr>
          <w:spacing w:val="-2"/>
        </w:rPr>
        <w:t> </w:t>
      </w:r>
      <w:r>
        <w:rPr/>
        <w:t>edn</w:t>
      </w:r>
      <w:r>
        <w:rPr>
          <w:spacing w:val="-2"/>
        </w:rPr>
        <w:t> </w:t>
      </w:r>
      <w:r>
        <w:rPr/>
        <w:t>(2012),</w:t>
      </w:r>
      <w:r>
        <w:rPr>
          <w:spacing w:val="-2"/>
        </w:rPr>
        <w:t> </w:t>
      </w:r>
      <w:r>
        <w:rPr/>
        <w:t>paras</w:t>
      </w:r>
      <w:r>
        <w:rPr>
          <w:spacing w:val="-2"/>
        </w:rPr>
        <w:t> </w:t>
      </w:r>
      <w:r>
        <w:rPr/>
        <w:t>7–062,</w:t>
      </w:r>
      <w:r>
        <w:rPr>
          <w:spacing w:val="-2"/>
        </w:rPr>
        <w:t> </w:t>
      </w:r>
      <w:r>
        <w:rPr/>
        <w:t>32–161</w:t>
      </w:r>
      <w:r>
        <w:rPr>
          <w:spacing w:val="-2"/>
        </w:rPr>
        <w:t> </w:t>
      </w:r>
      <w:r>
        <w:rPr/>
        <w:t>(but</w:t>
      </w:r>
      <w:r>
        <w:rPr>
          <w:spacing w:val="-2"/>
        </w:rPr>
        <w:t> </w:t>
      </w:r>
      <w:r>
        <w:rPr/>
        <w:t>undue</w:t>
      </w:r>
      <w:r>
        <w:rPr>
          <w:spacing w:val="-2"/>
        </w:rPr>
        <w:t> </w:t>
      </w:r>
      <w:r>
        <w:rPr/>
        <w:t>hardship</w:t>
      </w:r>
      <w:r>
        <w:rPr>
          <w:spacing w:val="-2"/>
        </w:rPr>
        <w:t> </w:t>
      </w:r>
      <w:r>
        <w:rPr/>
        <w:t>under</w:t>
      </w:r>
      <w:r>
        <w:rPr>
          <w:spacing w:val="-2"/>
        </w:rPr>
        <w:t> </w:t>
      </w:r>
      <w:r>
        <w:rPr/>
        <w:t>the 1984 Act may be less stringent than public policy under Rome I).</w:t>
      </w:r>
    </w:p>
    <w:p>
      <w:pPr>
        <w:pStyle w:val="BodyText"/>
        <w:spacing w:before="5"/>
      </w:pPr>
    </w:p>
    <w:p>
      <w:pPr>
        <w:pStyle w:val="BodyText"/>
        <w:spacing w:before="1"/>
        <w:ind w:left="165"/>
      </w:pPr>
      <w:bookmarkStart w:name="_bookmark2511" w:id="2513"/>
      <w:bookmarkEnd w:id="2513"/>
      <w:r>
        <w:rPr/>
      </w:r>
      <w:hyperlink w:history="true" w:anchor="_bookmark2400">
        <w:r>
          <w:rPr>
            <w:color w:val="005DA1"/>
            <w:position w:val="5"/>
            <w:sz w:val="14"/>
            <w:u w:val="single" w:color="005DA1"/>
          </w:rPr>
          <w:t>1308</w:t>
        </w:r>
      </w:hyperlink>
      <w:r>
        <w:rPr>
          <w:position w:val="5"/>
          <w:sz w:val="14"/>
        </w:rPr>
        <w:t>.</w:t>
      </w:r>
      <w:r>
        <w:rPr>
          <w:spacing w:val="55"/>
          <w:position w:val="5"/>
          <w:sz w:val="14"/>
        </w:rPr>
        <w:t>  </w:t>
      </w:r>
      <w:r>
        <w:rPr/>
        <w:t>See</w:t>
      </w:r>
      <w:r>
        <w:rPr>
          <w:spacing w:val="1"/>
        </w:rPr>
        <w:t> </w:t>
      </w:r>
      <w:r>
        <w:rPr/>
        <w:t>above, paras 28-135 et </w:t>
      </w:r>
      <w:r>
        <w:rPr>
          <w:spacing w:val="-4"/>
        </w:rPr>
        <w:t>seq.</w:t>
      </w:r>
    </w:p>
    <w:p>
      <w:pPr>
        <w:pStyle w:val="BodyText"/>
        <w:spacing w:before="8"/>
      </w:pPr>
    </w:p>
    <w:p>
      <w:pPr>
        <w:pStyle w:val="BodyText"/>
        <w:spacing w:line="235" w:lineRule="auto"/>
        <w:ind w:left="705" w:right="167" w:hanging="541"/>
        <w:jc w:val="both"/>
      </w:pPr>
      <w:bookmarkStart w:name="_bookmark2512" w:id="2514"/>
      <w:bookmarkEnd w:id="2514"/>
      <w:r>
        <w:rPr/>
      </w:r>
      <w:hyperlink w:history="true" w:anchor="_bookmark2401">
        <w:r>
          <w:rPr>
            <w:color w:val="005DA1"/>
            <w:position w:val="5"/>
            <w:sz w:val="14"/>
            <w:u w:val="single" w:color="005DA1"/>
          </w:rPr>
          <w:t>1309</w:t>
        </w:r>
      </w:hyperlink>
      <w:r>
        <w:rPr>
          <w:position w:val="5"/>
          <w:sz w:val="14"/>
        </w:rPr>
        <w:t>.</w:t>
      </w:r>
      <w:r>
        <w:rPr>
          <w:spacing w:val="80"/>
          <w:position w:val="5"/>
          <w:sz w:val="14"/>
        </w:rPr>
        <w:t> </w:t>
      </w:r>
      <w:r>
        <w:rPr/>
        <w:t>See Dicey, Morris and Collins, 15th edn (2012), para.7–063.cf. Foreign Limitation Periods Act 1984 s.4(3) which provides that the Act does not prevent the court, in the exercise of </w:t>
      </w:r>
      <w:r>
        <w:rPr/>
        <w:t>any discretion, from refusing equitable relief on the grounds of acquiescence or otherwise, but does require that, in applying the equitable rules, regard shall be had in particular to the provisions of a foreign applicable law. cf. Restatement, Second, Conflict of Laws, para.142 (substantive).</w:t>
      </w:r>
    </w:p>
    <w:p>
      <w:pPr>
        <w:pStyle w:val="BodyText"/>
        <w:spacing w:before="5"/>
      </w:pPr>
    </w:p>
    <w:p>
      <w:pPr>
        <w:pStyle w:val="BodyText"/>
        <w:ind w:left="165"/>
      </w:pPr>
      <w:bookmarkStart w:name="_bookmark2513" w:id="2515"/>
      <w:bookmarkEnd w:id="2515"/>
      <w:r>
        <w:rPr/>
      </w:r>
      <w:hyperlink w:history="true" w:anchor="_bookmark2402">
        <w:r>
          <w:rPr>
            <w:color w:val="005DA1"/>
            <w:position w:val="5"/>
            <w:sz w:val="14"/>
            <w:u w:val="single" w:color="005DA1"/>
          </w:rPr>
          <w:t>1310</w:t>
        </w:r>
      </w:hyperlink>
      <w:r>
        <w:rPr>
          <w:position w:val="5"/>
          <w:sz w:val="14"/>
        </w:rPr>
        <w:t>.</w:t>
      </w:r>
      <w:r>
        <w:rPr>
          <w:spacing w:val="55"/>
          <w:position w:val="5"/>
          <w:sz w:val="14"/>
        </w:rPr>
        <w:t>  </w:t>
      </w:r>
      <w:r>
        <w:rPr/>
        <w:t>See</w:t>
      </w:r>
      <w:r>
        <w:rPr>
          <w:spacing w:val="1"/>
        </w:rPr>
        <w:t> </w:t>
      </w:r>
      <w:r>
        <w:rPr/>
        <w:t>above, paras 30-032, 30-</w:t>
      </w:r>
      <w:r>
        <w:rPr>
          <w:spacing w:val="-4"/>
        </w:rPr>
        <w:t>149.</w:t>
      </w:r>
    </w:p>
    <w:p>
      <w:pPr>
        <w:pStyle w:val="BodyText"/>
        <w:spacing w:before="5"/>
      </w:pPr>
    </w:p>
    <w:p>
      <w:pPr>
        <w:spacing w:before="0"/>
        <w:ind w:left="165" w:right="0" w:firstLine="0"/>
        <w:jc w:val="left"/>
        <w:rPr>
          <w:sz w:val="20"/>
        </w:rPr>
      </w:pPr>
      <w:bookmarkStart w:name="_bookmark2514" w:id="2516"/>
      <w:bookmarkEnd w:id="2516"/>
      <w:r>
        <w:rPr/>
      </w:r>
      <w:hyperlink w:history="true" w:anchor="_bookmark2403">
        <w:r>
          <w:rPr>
            <w:color w:val="005DA1"/>
            <w:position w:val="5"/>
            <w:sz w:val="14"/>
            <w:u w:val="single" w:color="005DA1"/>
          </w:rPr>
          <w:t>1311</w:t>
        </w:r>
      </w:hyperlink>
      <w:r>
        <w:rPr>
          <w:position w:val="5"/>
          <w:sz w:val="14"/>
        </w:rPr>
        <w:t>.</w:t>
      </w:r>
      <w:r>
        <w:rPr>
          <w:spacing w:val="55"/>
          <w:position w:val="5"/>
          <w:sz w:val="14"/>
        </w:rPr>
        <w:t>  </w:t>
      </w:r>
      <w:r>
        <w:rPr>
          <w:sz w:val="20"/>
        </w:rPr>
        <w:t>See</w:t>
      </w:r>
      <w:r>
        <w:rPr>
          <w:spacing w:val="1"/>
          <w:sz w:val="20"/>
        </w:rPr>
        <w:t> </w:t>
      </w:r>
      <w:r>
        <w:rPr>
          <w:sz w:val="20"/>
        </w:rPr>
        <w:t>preceding </w:t>
      </w:r>
      <w:r>
        <w:rPr>
          <w:spacing w:val="-2"/>
          <w:sz w:val="20"/>
        </w:rPr>
        <w:t>note.</w:t>
      </w:r>
    </w:p>
    <w:p>
      <w:pPr>
        <w:pStyle w:val="BodyText"/>
        <w:spacing w:before="5"/>
      </w:pPr>
    </w:p>
    <w:p>
      <w:pPr>
        <w:spacing w:before="0"/>
        <w:ind w:left="165" w:right="0" w:firstLine="0"/>
        <w:jc w:val="left"/>
        <w:rPr>
          <w:sz w:val="20"/>
        </w:rPr>
      </w:pPr>
      <w:bookmarkStart w:name="_bookmark2515" w:id="2517"/>
      <w:bookmarkEnd w:id="2517"/>
      <w:r>
        <w:rPr/>
      </w:r>
      <w:hyperlink w:history="true" w:anchor="_bookmark2404">
        <w:r>
          <w:rPr>
            <w:color w:val="005DA1"/>
            <w:position w:val="5"/>
            <w:sz w:val="14"/>
            <w:u w:val="single" w:color="005DA1"/>
          </w:rPr>
          <w:t>1312</w:t>
        </w:r>
      </w:hyperlink>
      <w:r>
        <w:rPr>
          <w:position w:val="5"/>
          <w:sz w:val="14"/>
        </w:rPr>
        <w:t>.</w:t>
      </w:r>
      <w:r>
        <w:rPr>
          <w:spacing w:val="55"/>
          <w:position w:val="5"/>
          <w:sz w:val="14"/>
        </w:rPr>
        <w:t>  </w:t>
      </w:r>
      <w:r>
        <w:rPr>
          <w:sz w:val="20"/>
        </w:rPr>
        <w:t>Above,</w:t>
      </w:r>
      <w:r>
        <w:rPr>
          <w:spacing w:val="1"/>
          <w:sz w:val="20"/>
        </w:rPr>
        <w:t> </w:t>
      </w:r>
      <w:r>
        <w:rPr>
          <w:sz w:val="20"/>
        </w:rPr>
        <w:t>paras 30-032—30-</w:t>
      </w:r>
      <w:r>
        <w:rPr>
          <w:spacing w:val="-4"/>
          <w:sz w:val="20"/>
        </w:rPr>
        <w:t>149.</w:t>
      </w:r>
    </w:p>
    <w:p>
      <w:pPr>
        <w:pStyle w:val="BodyText"/>
        <w:spacing w:before="5"/>
      </w:pPr>
    </w:p>
    <w:p>
      <w:pPr>
        <w:spacing w:before="0"/>
        <w:ind w:left="165" w:right="0" w:firstLine="0"/>
        <w:jc w:val="left"/>
        <w:rPr>
          <w:sz w:val="20"/>
        </w:rPr>
      </w:pPr>
      <w:bookmarkStart w:name="_bookmark2516" w:id="2518"/>
      <w:bookmarkEnd w:id="2518"/>
      <w:r>
        <w:rPr/>
      </w:r>
      <w:hyperlink w:history="true" w:anchor="_bookmark2405">
        <w:r>
          <w:rPr>
            <w:color w:val="005DA1"/>
            <w:position w:val="5"/>
            <w:sz w:val="14"/>
            <w:u w:val="single" w:color="005DA1"/>
          </w:rPr>
          <w:t>1313</w:t>
        </w:r>
      </w:hyperlink>
      <w:r>
        <w:rPr>
          <w:position w:val="5"/>
          <w:sz w:val="14"/>
        </w:rPr>
        <w:t>.</w:t>
      </w:r>
      <w:r>
        <w:rPr>
          <w:spacing w:val="55"/>
          <w:position w:val="5"/>
          <w:sz w:val="14"/>
        </w:rPr>
        <w:t>  </w:t>
      </w:r>
      <w:r>
        <w:rPr>
          <w:sz w:val="20"/>
        </w:rPr>
        <w:t>See</w:t>
      </w:r>
      <w:r>
        <w:rPr>
          <w:spacing w:val="1"/>
          <w:sz w:val="20"/>
        </w:rPr>
        <w:t> </w:t>
      </w:r>
      <w:r>
        <w:rPr>
          <w:sz w:val="20"/>
        </w:rPr>
        <w:t>above, para.30-</w:t>
      </w:r>
      <w:r>
        <w:rPr>
          <w:spacing w:val="-4"/>
          <w:sz w:val="20"/>
        </w:rPr>
        <w:t>331.</w:t>
      </w:r>
    </w:p>
    <w:p>
      <w:pPr>
        <w:pStyle w:val="BodyText"/>
        <w:spacing w:before="5"/>
      </w:pPr>
    </w:p>
    <w:p>
      <w:pPr>
        <w:spacing w:before="0"/>
        <w:ind w:left="165" w:right="0" w:firstLine="0"/>
        <w:jc w:val="left"/>
        <w:rPr>
          <w:sz w:val="20"/>
        </w:rPr>
      </w:pPr>
      <w:bookmarkStart w:name="_bookmark2517" w:id="2519"/>
      <w:bookmarkEnd w:id="2519"/>
      <w:r>
        <w:rPr/>
      </w:r>
      <w:hyperlink w:history="true" w:anchor="_bookmark2406">
        <w:r>
          <w:rPr>
            <w:color w:val="005DA1"/>
            <w:position w:val="5"/>
            <w:sz w:val="14"/>
            <w:u w:val="single" w:color="005DA1"/>
          </w:rPr>
          <w:t>1314</w:t>
        </w:r>
      </w:hyperlink>
      <w:r>
        <w:rPr>
          <w:position w:val="5"/>
          <w:sz w:val="14"/>
        </w:rPr>
        <w:t>.</w:t>
      </w:r>
      <w:r>
        <w:rPr>
          <w:spacing w:val="55"/>
          <w:position w:val="5"/>
          <w:sz w:val="14"/>
        </w:rPr>
        <w:t>  </w:t>
      </w:r>
      <w:r>
        <w:rPr>
          <w:rFonts w:ascii="Arial"/>
          <w:i/>
          <w:sz w:val="20"/>
        </w:rPr>
        <w:t>Laemthong</w:t>
      </w:r>
      <w:r>
        <w:rPr>
          <w:rFonts w:ascii="Arial"/>
          <w:i/>
          <w:spacing w:val="1"/>
          <w:sz w:val="20"/>
        </w:rPr>
        <w:t> </w:t>
      </w:r>
      <w:r>
        <w:rPr>
          <w:rFonts w:ascii="Arial"/>
          <w:i/>
          <w:sz w:val="20"/>
        </w:rPr>
        <w:t>International Lines Co v ARTIS (No.3) [2005] EWHC 1595 </w:t>
      </w:r>
      <w:r>
        <w:rPr>
          <w:rFonts w:ascii="Arial"/>
          <w:i/>
          <w:spacing w:val="-2"/>
          <w:sz w:val="20"/>
        </w:rPr>
        <w:t>(Comm)</w:t>
      </w:r>
      <w:r>
        <w:rPr>
          <w:spacing w:val="-2"/>
          <w:sz w:val="20"/>
        </w:rPr>
        <w:t>.</w:t>
      </w:r>
    </w:p>
    <w:p>
      <w:pPr>
        <w:pStyle w:val="BodyText"/>
        <w:spacing w:before="8"/>
      </w:pPr>
    </w:p>
    <w:p>
      <w:pPr>
        <w:spacing w:line="235" w:lineRule="auto" w:before="1"/>
        <w:ind w:left="705" w:right="168" w:hanging="541"/>
        <w:jc w:val="both"/>
        <w:rPr>
          <w:sz w:val="20"/>
        </w:rPr>
      </w:pPr>
      <w:bookmarkStart w:name="_bookmark2518" w:id="2520"/>
      <w:bookmarkEnd w:id="2520"/>
      <w:r>
        <w:rPr/>
      </w:r>
      <w:hyperlink w:history="true" w:anchor="_bookmark2407">
        <w:r>
          <w:rPr>
            <w:color w:val="005DA1"/>
            <w:position w:val="5"/>
            <w:sz w:val="14"/>
            <w:u w:val="single" w:color="005DA1"/>
          </w:rPr>
          <w:t>1315</w:t>
        </w:r>
      </w:hyperlink>
      <w:r>
        <w:rPr>
          <w:position w:val="5"/>
          <w:sz w:val="14"/>
        </w:rPr>
        <w:t>.</w:t>
      </w:r>
      <w:r>
        <w:rPr>
          <w:spacing w:val="80"/>
          <w:position w:val="5"/>
          <w:sz w:val="14"/>
        </w:rPr>
        <w:t> </w:t>
      </w:r>
      <w:r>
        <w:rPr>
          <w:sz w:val="20"/>
        </w:rPr>
        <w:t>See Dicey, Morris and Collins, 15th edn (2012), para.32–142. As to set-off, see </w:t>
      </w:r>
      <w:r>
        <w:rPr>
          <w:rFonts w:ascii="Arial" w:hAnsi="Arial"/>
          <w:i/>
          <w:sz w:val="20"/>
        </w:rPr>
        <w:t>Meridien Biao Bank GmbH v Bank of New York [1997] 1 Lloyd’s Rep. 437 </w:t>
      </w:r>
      <w:r>
        <w:rPr>
          <w:sz w:val="20"/>
        </w:rPr>
        <w:t>and above, para.30-300; Rome I Regulation art.17, above, paras 30-300 et seq.</w:t>
      </w:r>
    </w:p>
    <w:p>
      <w:pPr>
        <w:pStyle w:val="BodyText"/>
        <w:spacing w:before="8"/>
      </w:pPr>
    </w:p>
    <w:p>
      <w:pPr>
        <w:spacing w:line="235" w:lineRule="auto" w:before="1"/>
        <w:ind w:left="705" w:right="167" w:hanging="541"/>
        <w:jc w:val="both"/>
        <w:rPr>
          <w:sz w:val="20"/>
        </w:rPr>
      </w:pPr>
      <w:bookmarkStart w:name="_bookmark2519" w:id="2521"/>
      <w:bookmarkEnd w:id="2521"/>
      <w:r>
        <w:rPr/>
      </w:r>
      <w:hyperlink w:history="true" w:anchor="_bookmark2408">
        <w:r>
          <w:rPr>
            <w:color w:val="005DA1"/>
            <w:position w:val="5"/>
            <w:sz w:val="14"/>
            <w:u w:val="single" w:color="005DA1"/>
          </w:rPr>
          <w:t>1316</w:t>
        </w:r>
      </w:hyperlink>
      <w:r>
        <w:rPr>
          <w:position w:val="5"/>
          <w:sz w:val="14"/>
        </w:rPr>
        <w:t>.</w:t>
      </w:r>
      <w:r>
        <w:rPr>
          <w:spacing w:val="80"/>
          <w:w w:val="150"/>
          <w:position w:val="5"/>
          <w:sz w:val="14"/>
        </w:rPr>
        <w:t> </w:t>
      </w:r>
      <w:r>
        <w:rPr>
          <w:sz w:val="20"/>
        </w:rPr>
        <w:t>See </w:t>
      </w:r>
      <w:r>
        <w:rPr>
          <w:rFonts w:ascii="Arial" w:hAnsi="Arial"/>
          <w:i/>
          <w:sz w:val="20"/>
        </w:rPr>
        <w:t>Raiffeisen Zentralbank Osterreich AG v Five Star General Trading LLC [2001] EWCA Civ 68, [2001] Q.B. 825 </w:t>
      </w:r>
      <w:r>
        <w:rPr>
          <w:sz w:val="20"/>
        </w:rPr>
        <w:t>at [34]; </w:t>
      </w:r>
      <w:r>
        <w:rPr>
          <w:rFonts w:ascii="Arial" w:hAnsi="Arial"/>
          <w:i/>
          <w:sz w:val="20"/>
        </w:rPr>
        <w:t>Navig8 Pte v Al-Riyadh Co for Vegetable Oil Industry [2013] EWHC 328 (Comm)</w:t>
      </w:r>
      <w:r>
        <w:rPr>
          <w:sz w:val="20"/>
        </w:rPr>
        <w:t>; </w:t>
      </w:r>
      <w:r>
        <w:rPr>
          <w:rFonts w:ascii="Arial" w:hAnsi="Arial"/>
          <w:i/>
          <w:sz w:val="20"/>
        </w:rPr>
        <w:t>Secure Capital SA v Credit Suisse AG [2015] EWHC 388 (Comm), [2015] 1 Lloyd’s Rep. 536 </w:t>
      </w:r>
      <w:r>
        <w:rPr>
          <w:sz w:val="20"/>
        </w:rPr>
        <w:t>at [34]. This is subject to the exclusion of “the question of whether an agent </w:t>
      </w:r>
      <w:r>
        <w:rPr>
          <w:sz w:val="20"/>
        </w:rPr>
        <w:t>is able to bind a principal, or an organ to bind a body corporate or unincorporate, to a third party”: art.1(2)(f)</w:t>
      </w:r>
      <w:r>
        <w:rPr>
          <w:spacing w:val="-3"/>
          <w:sz w:val="20"/>
        </w:rPr>
        <w:t> </w:t>
      </w:r>
      <w:r>
        <w:rPr>
          <w:sz w:val="20"/>
        </w:rPr>
        <w:t>of</w:t>
      </w:r>
      <w:r>
        <w:rPr>
          <w:spacing w:val="-3"/>
          <w:sz w:val="20"/>
        </w:rPr>
        <w:t> </w:t>
      </w:r>
      <w:r>
        <w:rPr>
          <w:sz w:val="20"/>
        </w:rPr>
        <w:t>the</w:t>
      </w:r>
      <w:r>
        <w:rPr>
          <w:spacing w:val="-3"/>
          <w:sz w:val="20"/>
        </w:rPr>
        <w:t> </w:t>
      </w:r>
      <w:r>
        <w:rPr>
          <w:sz w:val="20"/>
        </w:rPr>
        <w:t>Convention</w:t>
      </w:r>
      <w:r>
        <w:rPr>
          <w:spacing w:val="-3"/>
          <w:sz w:val="20"/>
        </w:rPr>
        <w:t> </w:t>
      </w:r>
      <w:r>
        <w:rPr>
          <w:sz w:val="20"/>
        </w:rPr>
        <w:t>art.1(2)(g)</w:t>
      </w:r>
      <w:r>
        <w:rPr>
          <w:spacing w:val="-3"/>
          <w:sz w:val="20"/>
        </w:rPr>
        <w:t> </w:t>
      </w:r>
      <w:r>
        <w:rPr>
          <w:sz w:val="20"/>
        </w:rPr>
        <w:t>of</w:t>
      </w:r>
      <w:r>
        <w:rPr>
          <w:spacing w:val="-3"/>
          <w:sz w:val="20"/>
        </w:rPr>
        <w:t> </w:t>
      </w:r>
      <w:r>
        <w:rPr>
          <w:sz w:val="20"/>
        </w:rPr>
        <w:t>the</w:t>
      </w:r>
      <w:r>
        <w:rPr>
          <w:spacing w:val="-3"/>
          <w:sz w:val="20"/>
        </w:rPr>
        <w:t> </w:t>
      </w:r>
      <w:r>
        <w:rPr>
          <w:sz w:val="20"/>
        </w:rPr>
        <w:t>Regulation,</w:t>
      </w:r>
      <w:r>
        <w:rPr>
          <w:spacing w:val="-3"/>
          <w:sz w:val="20"/>
        </w:rPr>
        <w:t> </w:t>
      </w:r>
      <w:r>
        <w:rPr>
          <w:sz w:val="20"/>
        </w:rPr>
        <w:t>above,</w:t>
      </w:r>
      <w:r>
        <w:rPr>
          <w:spacing w:val="-3"/>
          <w:sz w:val="20"/>
        </w:rPr>
        <w:t> </w:t>
      </w:r>
      <w:r>
        <w:rPr>
          <w:sz w:val="20"/>
        </w:rPr>
        <w:t>paras</w:t>
      </w:r>
      <w:r>
        <w:rPr>
          <w:spacing w:val="-3"/>
          <w:sz w:val="20"/>
        </w:rPr>
        <w:t> </w:t>
      </w:r>
      <w:r>
        <w:rPr>
          <w:sz w:val="20"/>
        </w:rPr>
        <w:t>30-041,</w:t>
      </w:r>
      <w:r>
        <w:rPr>
          <w:spacing w:val="-3"/>
          <w:sz w:val="20"/>
        </w:rPr>
        <w:t> </w:t>
      </w:r>
      <w:r>
        <w:rPr>
          <w:sz w:val="20"/>
        </w:rPr>
        <w:t>30-158.</w:t>
      </w:r>
      <w:r>
        <w:rPr>
          <w:spacing w:val="-3"/>
          <w:sz w:val="20"/>
        </w:rPr>
        <w:t> </w:t>
      </w:r>
      <w:r>
        <w:rPr>
          <w:sz w:val="20"/>
        </w:rPr>
        <w:t>cf.</w:t>
      </w:r>
      <w:r>
        <w:rPr>
          <w:spacing w:val="-4"/>
          <w:sz w:val="20"/>
        </w:rPr>
        <w:t> </w:t>
      </w:r>
      <w:r>
        <w:rPr>
          <w:rFonts w:ascii="Arial" w:hAnsi="Arial"/>
          <w:i/>
          <w:sz w:val="20"/>
        </w:rPr>
        <w:t>Atlas Shipping Agency (UK) Ltd v Suisse Atlantique Société D’Armement Maritime SA [1995] 2 Lloyd’s Rep. 188</w:t>
      </w:r>
      <w:r>
        <w:rPr>
          <w:sz w:val="20"/>
        </w:rPr>
        <w:t>. On agency see also </w:t>
      </w:r>
      <w:r>
        <w:rPr>
          <w:rFonts w:ascii="Arial" w:hAnsi="Arial"/>
          <w:i/>
          <w:sz w:val="20"/>
        </w:rPr>
        <w:t>PEC Ltd v Asia Golden Rice [2014] EWHC 1583 </w:t>
      </w:r>
      <w:r>
        <w:rPr>
          <w:rFonts w:ascii="Arial" w:hAnsi="Arial"/>
          <w:i/>
          <w:spacing w:val="-2"/>
          <w:sz w:val="20"/>
        </w:rPr>
        <w:t>(Comm)</w:t>
      </w:r>
      <w:r>
        <w:rPr>
          <w:spacing w:val="-2"/>
          <w:sz w:val="20"/>
        </w:rPr>
        <w:t>.</w:t>
      </w:r>
    </w:p>
    <w:p>
      <w:pPr>
        <w:pStyle w:val="BodyText"/>
        <w:spacing w:before="2"/>
      </w:pPr>
    </w:p>
    <w:p>
      <w:pPr>
        <w:spacing w:before="0"/>
        <w:ind w:left="165" w:right="0" w:firstLine="0"/>
        <w:jc w:val="left"/>
        <w:rPr>
          <w:sz w:val="20"/>
        </w:rPr>
      </w:pPr>
      <w:bookmarkStart w:name="_bookmark2520" w:id="2522"/>
      <w:bookmarkEnd w:id="2522"/>
      <w:r>
        <w:rPr/>
      </w:r>
      <w:hyperlink w:history="true" w:anchor="_bookmark2409">
        <w:r>
          <w:rPr>
            <w:color w:val="005DA1"/>
            <w:position w:val="5"/>
            <w:sz w:val="14"/>
            <w:u w:val="single" w:color="005DA1"/>
          </w:rPr>
          <w:t>1317</w:t>
        </w:r>
      </w:hyperlink>
      <w:r>
        <w:rPr>
          <w:position w:val="5"/>
          <w:sz w:val="14"/>
        </w:rPr>
        <w:t>.</w:t>
      </w:r>
      <w:r>
        <w:rPr>
          <w:spacing w:val="55"/>
          <w:position w:val="5"/>
          <w:sz w:val="14"/>
        </w:rPr>
        <w:t>  </w:t>
      </w:r>
      <w:r>
        <w:rPr>
          <w:rFonts w:ascii="Arial"/>
          <w:i/>
          <w:sz w:val="20"/>
        </w:rPr>
        <w:t>Scott</w:t>
      </w:r>
      <w:r>
        <w:rPr>
          <w:rFonts w:ascii="Arial"/>
          <w:i/>
          <w:spacing w:val="1"/>
          <w:sz w:val="20"/>
        </w:rPr>
        <w:t> </w:t>
      </w:r>
      <w:r>
        <w:rPr>
          <w:rFonts w:ascii="Arial"/>
          <w:i/>
          <w:sz w:val="20"/>
        </w:rPr>
        <w:t>v Pilkington (1862) 2 B. &amp; S.</w:t>
      </w:r>
      <w:r>
        <w:rPr>
          <w:rFonts w:ascii="Arial"/>
          <w:i/>
          <w:spacing w:val="-1"/>
          <w:sz w:val="20"/>
        </w:rPr>
        <w:t> </w:t>
      </w:r>
      <w:r>
        <w:rPr>
          <w:rFonts w:ascii="Arial"/>
          <w:i/>
          <w:sz w:val="20"/>
        </w:rPr>
        <w:t>11</w:t>
      </w:r>
      <w:r>
        <w:rPr>
          <w:sz w:val="20"/>
        </w:rPr>
        <w:t>. See the 26th edition of this work, </w:t>
      </w:r>
      <w:r>
        <w:rPr>
          <w:spacing w:val="-2"/>
          <w:sz w:val="20"/>
        </w:rPr>
        <w:t>para.2177.</w:t>
      </w:r>
    </w:p>
    <w:p>
      <w:pPr>
        <w:pStyle w:val="BodyText"/>
        <w:spacing w:before="5"/>
      </w:pPr>
    </w:p>
    <w:p>
      <w:pPr>
        <w:spacing w:before="0"/>
        <w:ind w:left="165" w:right="0" w:firstLine="0"/>
        <w:jc w:val="left"/>
        <w:rPr>
          <w:sz w:val="20"/>
        </w:rPr>
      </w:pPr>
      <w:bookmarkStart w:name="_bookmark2521" w:id="2523"/>
      <w:bookmarkEnd w:id="2523"/>
      <w:r>
        <w:rPr/>
      </w:r>
      <w:hyperlink w:history="true" w:anchor="_bookmark2410">
        <w:r>
          <w:rPr>
            <w:color w:val="005DA1"/>
            <w:position w:val="5"/>
            <w:sz w:val="14"/>
            <w:u w:val="single" w:color="005DA1"/>
          </w:rPr>
          <w:t>1318</w:t>
        </w:r>
      </w:hyperlink>
      <w:r>
        <w:rPr>
          <w:position w:val="5"/>
          <w:sz w:val="14"/>
        </w:rPr>
        <w:t>.</w:t>
      </w:r>
      <w:r>
        <w:rPr>
          <w:spacing w:val="55"/>
          <w:position w:val="5"/>
          <w:sz w:val="14"/>
        </w:rPr>
        <w:t>  </w:t>
      </w:r>
      <w:r>
        <w:rPr>
          <w:sz w:val="20"/>
        </w:rPr>
        <w:t>See </w:t>
      </w:r>
      <w:r>
        <w:rPr>
          <w:rFonts w:ascii="Arial" w:hAnsi="Arial"/>
          <w:i/>
          <w:sz w:val="20"/>
        </w:rPr>
        <w:t>Meridien Biao Bank GmbH v Bank of New York [1997] 1 Lloyd’s Rep. </w:t>
      </w:r>
      <w:r>
        <w:rPr>
          <w:rFonts w:ascii="Arial" w:hAnsi="Arial"/>
          <w:i/>
          <w:spacing w:val="-4"/>
          <w:sz w:val="20"/>
        </w:rPr>
        <w:t>437</w:t>
      </w:r>
      <w:r>
        <w:rPr>
          <w:spacing w:val="-4"/>
          <w:sz w:val="20"/>
        </w:rPr>
        <w:t>.</w:t>
      </w:r>
    </w:p>
    <w:p>
      <w:pPr>
        <w:pStyle w:val="BodyText"/>
        <w:spacing w:before="9"/>
      </w:pPr>
    </w:p>
    <w:p>
      <w:pPr>
        <w:spacing w:line="235" w:lineRule="auto" w:before="0"/>
        <w:ind w:left="705" w:right="167" w:hanging="541"/>
        <w:jc w:val="both"/>
        <w:rPr>
          <w:sz w:val="20"/>
        </w:rPr>
      </w:pPr>
      <w:bookmarkStart w:name="_bookmark2522" w:id="2524"/>
      <w:bookmarkEnd w:id="2524"/>
      <w:r>
        <w:rPr/>
      </w:r>
      <w:hyperlink w:history="true" w:anchor="_bookmark2411">
        <w:r>
          <w:rPr>
            <w:color w:val="005DA1"/>
            <w:position w:val="5"/>
            <w:sz w:val="14"/>
            <w:u w:val="single" w:color="005DA1"/>
          </w:rPr>
          <w:t>1319</w:t>
        </w:r>
      </w:hyperlink>
      <w:r>
        <w:rPr>
          <w:position w:val="5"/>
          <w:sz w:val="14"/>
        </w:rPr>
        <w:t>.</w:t>
      </w:r>
      <w:r>
        <w:rPr>
          <w:spacing w:val="80"/>
          <w:position w:val="5"/>
          <w:sz w:val="14"/>
        </w:rPr>
        <w:t> </w:t>
      </w:r>
      <w:r>
        <w:rPr>
          <w:rFonts w:ascii="Arial" w:hAnsi="Arial"/>
          <w:i/>
          <w:sz w:val="20"/>
        </w:rPr>
        <w:t>Meridien Biao Bank GmbH v Bank of New York [1997] 1 Lloyd’s Rep. 437 </w:t>
      </w:r>
      <w:r>
        <w:rPr>
          <w:sz w:val="20"/>
        </w:rPr>
        <w:t>(set-off in insolvency proceedings). See also </w:t>
      </w:r>
      <w:r>
        <w:rPr>
          <w:rFonts w:ascii="Arial" w:hAnsi="Arial"/>
          <w:i/>
          <w:sz w:val="20"/>
        </w:rPr>
        <w:t>Re Bank of Credit and Commerce International SA (No.10) [1997] Ch. 213 </w:t>
      </w:r>
      <w:r>
        <w:rPr>
          <w:sz w:val="20"/>
        </w:rPr>
        <w:t>(English rule on insolvency set-off (Insolvency Rules 1986 r.4.90) always to be applied in English insolvency proceedings). As to set-off and the Rome I Regulation, see art.17, </w:t>
      </w:r>
      <w:r>
        <w:rPr>
          <w:sz w:val="20"/>
        </w:rPr>
        <w:t>above, paras 30-300 et seq.</w:t>
      </w:r>
    </w:p>
    <w:p>
      <w:pPr>
        <w:pStyle w:val="BodyText"/>
        <w:spacing w:before="4"/>
      </w:pPr>
    </w:p>
    <w:p>
      <w:pPr>
        <w:spacing w:before="1"/>
        <w:ind w:left="165" w:right="0" w:firstLine="0"/>
        <w:jc w:val="left"/>
        <w:rPr>
          <w:sz w:val="20"/>
        </w:rPr>
      </w:pPr>
      <w:bookmarkStart w:name="_bookmark2523" w:id="2525"/>
      <w:bookmarkEnd w:id="2525"/>
      <w:r>
        <w:rPr/>
      </w:r>
      <w:hyperlink w:history="true" w:anchor="_bookmark2412">
        <w:r>
          <w:rPr>
            <w:color w:val="005DA1"/>
            <w:position w:val="5"/>
            <w:sz w:val="14"/>
            <w:u w:val="single" w:color="005DA1"/>
          </w:rPr>
          <w:t>1320</w:t>
        </w:r>
      </w:hyperlink>
      <w:r>
        <w:rPr>
          <w:position w:val="5"/>
          <w:sz w:val="14"/>
        </w:rPr>
        <w:t>.</w:t>
      </w:r>
      <w:r>
        <w:rPr>
          <w:spacing w:val="55"/>
          <w:position w:val="5"/>
          <w:sz w:val="14"/>
        </w:rPr>
        <w:t>  </w:t>
      </w:r>
      <w:r>
        <w:rPr>
          <w:sz w:val="20"/>
        </w:rPr>
        <w:t>Below,</w:t>
      </w:r>
      <w:r>
        <w:rPr>
          <w:spacing w:val="1"/>
          <w:sz w:val="20"/>
        </w:rPr>
        <w:t> </w:t>
      </w:r>
      <w:r>
        <w:rPr>
          <w:sz w:val="20"/>
        </w:rPr>
        <w:t>paras 30-357 et </w:t>
      </w:r>
      <w:r>
        <w:rPr>
          <w:spacing w:val="-4"/>
          <w:sz w:val="20"/>
        </w:rPr>
        <w:t>seq.</w:t>
      </w:r>
    </w:p>
    <w:p>
      <w:pPr>
        <w:spacing w:after="0"/>
        <w:jc w:val="left"/>
        <w:rPr>
          <w:sz w:val="20"/>
        </w:rPr>
        <w:sectPr>
          <w:pgSz w:w="11900" w:h="16840"/>
          <w:pgMar w:header="971" w:footer="0" w:top="1300" w:bottom="280" w:left="1275" w:right="1275"/>
        </w:sectPr>
      </w:pPr>
    </w:p>
    <w:p>
      <w:pPr>
        <w:pStyle w:val="BodyText"/>
        <w:spacing w:before="7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5. - Scope of the Applicable </w:t>
      </w:r>
      <w:r>
        <w:rPr>
          <w:rFonts w:ascii="Arial"/>
          <w:b/>
          <w:spacing w:val="-5"/>
          <w:sz w:val="24"/>
        </w:rPr>
        <w:t>Law</w:t>
      </w:r>
    </w:p>
    <w:p>
      <w:pPr>
        <w:pStyle w:val="ListParagraph"/>
        <w:numPr>
          <w:ilvl w:val="0"/>
          <w:numId w:val="4"/>
        </w:numPr>
        <w:tabs>
          <w:tab w:pos="3425" w:val="left" w:leader="none"/>
        </w:tabs>
        <w:spacing w:line="240" w:lineRule="auto" w:before="194" w:after="0"/>
        <w:ind w:left="3425" w:right="0" w:hanging="360"/>
        <w:jc w:val="left"/>
        <w:rPr>
          <w:b/>
          <w:position w:val="11"/>
          <w:sz w:val="12"/>
        </w:rPr>
      </w:pPr>
      <w:bookmarkStart w:name="_bookmark2524" w:id="2526"/>
      <w:bookmarkEnd w:id="2526"/>
      <w:r>
        <w:rPr/>
      </w:r>
      <w:r>
        <w:rPr>
          <w:b/>
          <w:sz w:val="24"/>
        </w:rPr>
        <w:t>- Burden of Proof, etc. </w:t>
      </w:r>
      <w:r>
        <w:rPr>
          <w:b/>
          <w:color w:val="005DA1"/>
          <w:spacing w:val="-4"/>
          <w:position w:val="11"/>
          <w:sz w:val="12"/>
          <w:u w:val="single" w:color="005DA1"/>
        </w:rPr>
        <w:t>1321</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Generally</w:t>
      </w:r>
    </w:p>
    <w:p>
      <w:pPr>
        <w:pStyle w:val="BodyText"/>
        <w:spacing w:before="42"/>
        <w:rPr>
          <w:rFonts w:ascii="Arial"/>
          <w:b/>
          <w:sz w:val="18"/>
        </w:rPr>
      </w:pPr>
    </w:p>
    <w:p>
      <w:pPr>
        <w:pStyle w:val="Heading2"/>
      </w:pPr>
      <w:r>
        <w:rPr/>
        <w:t>30-</w:t>
      </w:r>
      <w:r>
        <w:rPr>
          <w:spacing w:val="-5"/>
        </w:rPr>
        <w:t>353</w:t>
      </w:r>
    </w:p>
    <w:p>
      <w:pPr>
        <w:pStyle w:val="BodyText"/>
        <w:spacing w:line="235" w:lineRule="auto" w:before="202"/>
        <w:ind w:left="165" w:right="167"/>
        <w:jc w:val="both"/>
      </w:pPr>
      <w:r>
        <w:rPr/>
        <w:t>Article 14 of the Rome Convention and art.18 of the Rome I Regulation each contain two provisions </w:t>
      </w:r>
      <w:bookmarkStart w:name="_bookmark2525" w:id="2527"/>
      <w:bookmarkEnd w:id="2527"/>
      <w:r>
        <w:rPr/>
        <w:t>expressed</w:t>
      </w:r>
      <w:r>
        <w:rPr/>
        <w:t> to be applicable to burden of proof. One such provision deals, in effect, with the burden of proof and presumptions, </w:t>
      </w:r>
      <w:r>
        <w:rPr>
          <w:color w:val="005DA1"/>
          <w:u w:val="single" w:color="005DA1"/>
          <w:vertAlign w:val="superscript"/>
        </w:rPr>
        <w:t>1322</w:t>
      </w:r>
      <w:r>
        <w:rPr>
          <w:color w:val="005DA1"/>
          <w:vertAlign w:val="baseline"/>
        </w:rPr>
        <w:t> </w:t>
      </w:r>
      <w:r>
        <w:rPr>
          <w:vertAlign w:val="baseline"/>
        </w:rPr>
        <w:t>the other with “contracts or acts intended to have legal effect”. </w:t>
      </w:r>
      <w:r>
        <w:rPr>
          <w:color w:val="005DA1"/>
          <w:u w:val="single" w:color="005DA1"/>
          <w:vertAlign w:val="superscript"/>
        </w:rPr>
        <w:t>1323</w:t>
      </w:r>
    </w:p>
    <w:p>
      <w:pPr>
        <w:pStyle w:val="BodyText"/>
      </w:pPr>
    </w:p>
    <w:p>
      <w:pPr>
        <w:pStyle w:val="BodyText"/>
        <w:spacing w:before="38"/>
      </w:pPr>
    </w:p>
    <w:p>
      <w:pPr>
        <w:spacing w:before="0"/>
        <w:ind w:left="165" w:right="0" w:firstLine="0"/>
        <w:jc w:val="left"/>
        <w:rPr>
          <w:rFonts w:ascii="Arial"/>
          <w:b/>
          <w:sz w:val="18"/>
        </w:rPr>
      </w:pPr>
      <w:r>
        <w:rPr>
          <w:rFonts w:ascii="Arial"/>
          <w:b/>
          <w:sz w:val="18"/>
        </w:rPr>
        <w:t>Burden of proof and </w:t>
      </w:r>
      <w:r>
        <w:rPr>
          <w:rFonts w:ascii="Arial"/>
          <w:b/>
          <w:spacing w:val="-2"/>
          <w:sz w:val="18"/>
        </w:rPr>
        <w:t>presumptions</w:t>
      </w:r>
    </w:p>
    <w:p>
      <w:pPr>
        <w:pStyle w:val="BodyText"/>
        <w:spacing w:before="41"/>
        <w:rPr>
          <w:rFonts w:ascii="Arial"/>
          <w:b/>
          <w:sz w:val="18"/>
        </w:rPr>
      </w:pPr>
    </w:p>
    <w:p>
      <w:pPr>
        <w:pStyle w:val="Heading2"/>
      </w:pPr>
      <w:r>
        <w:rPr/>
        <w:t>30-</w:t>
      </w:r>
      <w:r>
        <w:rPr>
          <w:spacing w:val="-5"/>
        </w:rPr>
        <w:t>354</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Article 14(1) of the Convention and art.18(1) of the Regulation provide that the law governing the contract</w:t>
      </w:r>
      <w:r>
        <w:rPr>
          <w:spacing w:val="-1"/>
        </w:rPr>
        <w:t> </w:t>
      </w:r>
      <w:r>
        <w:rPr/>
        <w:t>pursuant</w:t>
      </w:r>
      <w:r>
        <w:rPr>
          <w:spacing w:val="-1"/>
        </w:rPr>
        <w:t> </w:t>
      </w:r>
      <w:r>
        <w:rPr/>
        <w:t>to</w:t>
      </w:r>
      <w:r>
        <w:rPr>
          <w:spacing w:val="-1"/>
        </w:rPr>
        <w:t> </w:t>
      </w:r>
      <w:r>
        <w:rPr/>
        <w:t>the</w:t>
      </w:r>
      <w:r>
        <w:rPr>
          <w:spacing w:val="-1"/>
        </w:rPr>
        <w:t> </w:t>
      </w:r>
      <w:r>
        <w:rPr/>
        <w:t>rules</w:t>
      </w:r>
      <w:r>
        <w:rPr>
          <w:spacing w:val="-1"/>
        </w:rPr>
        <w:t> </w:t>
      </w:r>
      <w:r>
        <w:rPr/>
        <w:t>of</w:t>
      </w:r>
      <w:r>
        <w:rPr>
          <w:spacing w:val="-1"/>
        </w:rPr>
        <w:t> </w:t>
      </w:r>
      <w:r>
        <w:rPr/>
        <w:t>the</w:t>
      </w:r>
      <w:r>
        <w:rPr>
          <w:spacing w:val="-1"/>
        </w:rPr>
        <w:t> </w:t>
      </w:r>
      <w:r>
        <w:rPr/>
        <w:t>Convention</w:t>
      </w:r>
      <w:r>
        <w:rPr>
          <w:spacing w:val="-1"/>
        </w:rPr>
        <w:t> </w:t>
      </w:r>
      <w:r>
        <w:rPr/>
        <w:t>or,</w:t>
      </w:r>
      <w:r>
        <w:rPr>
          <w:spacing w:val="-1"/>
        </w:rPr>
        <w:t> </w:t>
      </w:r>
      <w:r>
        <w:rPr/>
        <w:t>as</w:t>
      </w:r>
      <w:r>
        <w:rPr>
          <w:spacing w:val="-1"/>
        </w:rPr>
        <w:t> </w:t>
      </w:r>
      <w:r>
        <w:rPr/>
        <w:t>the</w:t>
      </w:r>
      <w:r>
        <w:rPr>
          <w:spacing w:val="-1"/>
        </w:rPr>
        <w:t> </w:t>
      </w:r>
      <w:r>
        <w:rPr/>
        <w:t>case</w:t>
      </w:r>
      <w:r>
        <w:rPr>
          <w:spacing w:val="-1"/>
        </w:rPr>
        <w:t> </w:t>
      </w:r>
      <w:r>
        <w:rPr/>
        <w:t>may</w:t>
      </w:r>
      <w:r>
        <w:rPr>
          <w:spacing w:val="-1"/>
        </w:rPr>
        <w:t> </w:t>
      </w:r>
      <w:r>
        <w:rPr/>
        <w:t>be,</w:t>
      </w:r>
      <w:r>
        <w:rPr>
          <w:spacing w:val="-1"/>
        </w:rPr>
        <w:t> </w:t>
      </w:r>
      <w:r>
        <w:rPr/>
        <w:t>the</w:t>
      </w:r>
      <w:r>
        <w:rPr>
          <w:spacing w:val="-1"/>
        </w:rPr>
        <w:t> </w:t>
      </w:r>
      <w:r>
        <w:rPr/>
        <w:t>Regulation,</w:t>
      </w:r>
      <w:r>
        <w:rPr>
          <w:spacing w:val="-1"/>
        </w:rPr>
        <w:t> </w:t>
      </w:r>
      <w:r>
        <w:rPr/>
        <w:t>applies</w:t>
      </w:r>
      <w:r>
        <w:rPr>
          <w:spacing w:val="-1"/>
        </w:rPr>
        <w:t> </w:t>
      </w:r>
      <w:r>
        <w:rPr/>
        <w:t>to</w:t>
      </w:r>
      <w:r>
        <w:rPr>
          <w:spacing w:val="-1"/>
        </w:rPr>
        <w:t> </w:t>
      </w:r>
      <w:r>
        <w:rPr/>
        <w:t>the extent that it contains, in the “law of contract”, the expression used in the Convention, or in “matters relating to contractual obligations”, the expression used in the Regulation, rules which raise presumptions of law or determine the burden of proof. In relation to the burden of proof, the tendency </w:t>
      </w:r>
      <w:bookmarkStart w:name="_bookmark2526" w:id="2528"/>
      <w:bookmarkEnd w:id="2528"/>
      <w:r>
        <w:rPr/>
        <w:t>of</w:t>
      </w:r>
      <w:r>
        <w:rPr/>
        <w:t> the common law was to characterise the burden of proof as a procedural matter to be governed by the lex fori. </w:t>
      </w:r>
      <w:r>
        <w:rPr>
          <w:color w:val="005DA1"/>
          <w:u w:val="single" w:color="005DA1"/>
          <w:vertAlign w:val="superscript"/>
        </w:rPr>
        <w:t>1324</w:t>
      </w:r>
      <w:r>
        <w:rPr>
          <w:color w:val="005DA1"/>
          <w:vertAlign w:val="baseline"/>
        </w:rPr>
        <w:t> </w:t>
      </w:r>
      <w:r>
        <w:rPr>
          <w:vertAlign w:val="baseline"/>
        </w:rPr>
        <w:t>The effect of art.14(1) and art.18(1), however, is that the applicable law will determine the location of the burden of proof provided that the relevant rules for identifying its location are contained </w:t>
      </w:r>
      <w:r>
        <w:rPr>
          <w:rFonts w:ascii="Arial" w:hAnsi="Arial"/>
          <w:i/>
          <w:vertAlign w:val="baseline"/>
        </w:rPr>
        <w:t>in the law of contract</w:t>
      </w:r>
      <w:r>
        <w:rPr>
          <w:vertAlign w:val="baseline"/>
        </w:rPr>
        <w:t>, for the purposes of the Convention, or involve </w:t>
      </w:r>
      <w:r>
        <w:rPr>
          <w:rFonts w:ascii="Arial" w:hAnsi="Arial"/>
          <w:i/>
          <w:vertAlign w:val="baseline"/>
        </w:rPr>
        <w:t>matters of contractual obligations</w:t>
      </w:r>
      <w:r>
        <w:rPr>
          <w:vertAlign w:val="baseline"/>
        </w:rPr>
        <w:t>, for the purposes of the Regulation. The meaning of these italicised words is by no means clear, though it is suggested that the difference in formulation in, respectively, the Convention and the Regulation, is not intended to have any substantive effect and that each formulation should be construed in the same fashion. The Giuliano-Lagarde Report suggests that a rule relating to the burden of proof is a rule contained in the law of contract:</w:t>
      </w:r>
    </w:p>
    <w:p>
      <w:pPr>
        <w:pStyle w:val="BodyText"/>
      </w:pPr>
    </w:p>
    <w:p>
      <w:pPr>
        <w:pStyle w:val="BodyText"/>
        <w:spacing w:before="121"/>
      </w:pPr>
    </w:p>
    <w:p>
      <w:pPr>
        <w:pStyle w:val="BodyText"/>
        <w:spacing w:line="235" w:lineRule="auto"/>
        <w:ind w:left="1245" w:right="167"/>
        <w:jc w:val="both"/>
      </w:pPr>
      <w:r>
        <w:rPr/>
        <w:t>“… to the extent that the law of contract determines it with regard to contractual </w:t>
      </w:r>
      <w:bookmarkStart w:name="_bookmark2527" w:id="2529"/>
      <w:bookmarkEnd w:id="2529"/>
      <w:r>
        <w:rPr/>
        <w:t>obligations</w:t>
      </w:r>
      <w:r>
        <w:rPr/>
        <w:t> … that is to say only to the extent to which the rules relating to the burden </w:t>
      </w:r>
      <w:r>
        <w:rPr/>
        <w:t>of proof are in effect rules of substance,” </w:t>
      </w:r>
      <w:r>
        <w:rPr>
          <w:color w:val="005DA1"/>
          <w:u w:val="single" w:color="005DA1"/>
          <w:vertAlign w:val="superscript"/>
        </w:rPr>
        <w:t>1325</w:t>
      </w:r>
    </w:p>
    <w:p>
      <w:pPr>
        <w:pStyle w:val="BodyText"/>
        <w:spacing w:before="116"/>
      </w:pPr>
    </w:p>
    <w:p>
      <w:pPr>
        <w:pStyle w:val="BodyText"/>
        <w:spacing w:line="235" w:lineRule="auto"/>
        <w:ind w:left="165" w:right="167"/>
        <w:jc w:val="both"/>
      </w:pPr>
      <w:r>
        <w:rPr/>
        <w:t>as opposed to rules which are part of procedural law. The example given is art.1147 of the French </w:t>
      </w:r>
      <w:bookmarkStart w:name="_bookmark2528" w:id="2530"/>
      <w:bookmarkEnd w:id="2530"/>
      <w:r>
        <w:rPr/>
        <w:t>Civil</w:t>
      </w:r>
      <w:r>
        <w:rPr>
          <w:spacing w:val="46"/>
        </w:rPr>
        <w:t> </w:t>
      </w:r>
      <w:r>
        <w:rPr/>
        <w:t>Code</w:t>
      </w:r>
      <w:r>
        <w:rPr>
          <w:spacing w:val="46"/>
        </w:rPr>
        <w:t> </w:t>
      </w:r>
      <w:r>
        <w:rPr/>
        <w:t>which</w:t>
      </w:r>
      <w:r>
        <w:rPr>
          <w:spacing w:val="46"/>
        </w:rPr>
        <w:t> </w:t>
      </w:r>
      <w:r>
        <w:rPr/>
        <w:t>provides</w:t>
      </w:r>
      <w:r>
        <w:rPr>
          <w:spacing w:val="46"/>
        </w:rPr>
        <w:t> </w:t>
      </w:r>
      <w:r>
        <w:rPr/>
        <w:t>that</w:t>
      </w:r>
      <w:r>
        <w:rPr>
          <w:spacing w:val="46"/>
        </w:rPr>
        <w:t> </w:t>
      </w:r>
      <w:r>
        <w:rPr/>
        <w:t>a</w:t>
      </w:r>
      <w:r>
        <w:rPr>
          <w:spacing w:val="46"/>
        </w:rPr>
        <w:t> </w:t>
      </w:r>
      <w:r>
        <w:rPr/>
        <w:t>debtor</w:t>
      </w:r>
      <w:r>
        <w:rPr>
          <w:spacing w:val="46"/>
        </w:rPr>
        <w:t> </w:t>
      </w:r>
      <w:r>
        <w:rPr/>
        <w:t>who</w:t>
      </w:r>
      <w:r>
        <w:rPr>
          <w:spacing w:val="46"/>
        </w:rPr>
        <w:t> </w:t>
      </w:r>
      <w:r>
        <w:rPr/>
        <w:t>has</w:t>
      </w:r>
      <w:r>
        <w:rPr>
          <w:spacing w:val="46"/>
        </w:rPr>
        <w:t> </w:t>
      </w:r>
      <w:r>
        <w:rPr/>
        <w:t>failed</w:t>
      </w:r>
      <w:r>
        <w:rPr>
          <w:spacing w:val="46"/>
        </w:rPr>
        <w:t> </w:t>
      </w:r>
      <w:r>
        <w:rPr/>
        <w:t>to</w:t>
      </w:r>
      <w:r>
        <w:rPr>
          <w:spacing w:val="46"/>
        </w:rPr>
        <w:t> </w:t>
      </w:r>
      <w:r>
        <w:rPr/>
        <w:t>fulfil</w:t>
      </w:r>
      <w:r>
        <w:rPr>
          <w:spacing w:val="46"/>
        </w:rPr>
        <w:t> </w:t>
      </w:r>
      <w:r>
        <w:rPr/>
        <w:t>his</w:t>
      </w:r>
      <w:r>
        <w:rPr>
          <w:spacing w:val="46"/>
        </w:rPr>
        <w:t> </w:t>
      </w:r>
      <w:r>
        <w:rPr/>
        <w:t>obligation</w:t>
      </w:r>
      <w:r>
        <w:rPr>
          <w:spacing w:val="46"/>
        </w:rPr>
        <w:t> </w:t>
      </w:r>
      <w:r>
        <w:rPr/>
        <w:t>shall</w:t>
      </w:r>
      <w:r>
        <w:rPr>
          <w:spacing w:val="46"/>
        </w:rPr>
        <w:t> </w:t>
      </w:r>
      <w:r>
        <w:rPr/>
        <w:t>be</w:t>
      </w:r>
      <w:r>
        <w:rPr>
          <w:spacing w:val="46"/>
        </w:rPr>
        <w:t> </w:t>
      </w:r>
      <w:r>
        <w:rPr/>
        <w:t>liable</w:t>
      </w:r>
      <w:r>
        <w:rPr>
          <w:spacing w:val="46"/>
        </w:rPr>
        <w:t> </w:t>
      </w:r>
      <w:r>
        <w:rPr>
          <w:spacing w:val="-5"/>
        </w:rPr>
        <w:t>for</w:t>
      </w:r>
    </w:p>
    <w:p>
      <w:pPr>
        <w:pStyle w:val="BodyText"/>
        <w:spacing w:before="115"/>
        <w:ind w:left="165"/>
        <w:jc w:val="both"/>
        <w:rPr>
          <w:position w:val="-2"/>
        </w:rPr>
      </w:pPr>
      <w:r>
        <w:rPr/>
        <w:t>damages “unless he shows that this failure is due to an extraneous cause outside his control”. </w:t>
      </w:r>
      <w:hyperlink w:history="true" w:anchor="_bookmark2544">
        <w:r>
          <w:rPr>
            <w:color w:val="005DA1"/>
            <w:u w:val="single" w:color="005DA1"/>
            <w:vertAlign w:val="superscript"/>
          </w:rPr>
          <w:t>1326</w:t>
        </w:r>
        <w:r>
          <w:rPr>
            <w:color w:val="005DA1"/>
            <w:spacing w:val="80"/>
            <w:w w:val="150"/>
            <w:vertAlign w:val="baseline"/>
          </w:rPr>
          <w:t> </w:t>
        </w:r>
        <w:r>
          <w:rPr>
            <w:color w:val="005DA1"/>
            <w:position w:val="-2"/>
            <w:vertAlign w:val="baseline"/>
          </w:rPr>
          <w:drawing>
            <wp:inline distT="0" distB="0" distL="0" distR="0">
              <wp:extent cx="107988" cy="107988"/>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34"/>
        <w:rPr>
          <w:sz w:val="24"/>
        </w:rPr>
      </w:pPr>
    </w:p>
    <w:p>
      <w:pPr>
        <w:pStyle w:val="Heading2"/>
        <w:spacing w:before="1"/>
      </w:pPr>
      <w:r>
        <w:rPr/>
        <w:t>30-</w:t>
      </w:r>
      <w:r>
        <w:rPr>
          <w:spacing w:val="-5"/>
        </w:rPr>
        <w:t>355</w:t>
      </w:r>
    </w:p>
    <w:p>
      <w:pPr>
        <w:pStyle w:val="BodyText"/>
        <w:spacing w:before="88"/>
        <w:rPr>
          <w:rFonts w:ascii="Arial"/>
          <w:b/>
        </w:rPr>
      </w:pPr>
    </w:p>
    <w:p>
      <w:pPr>
        <w:pStyle w:val="BodyText"/>
        <w:ind w:left="165"/>
      </w:pPr>
      <w:r>
        <w:rPr>
          <w:position w:val="-2"/>
        </w:rPr>
        <w:drawing>
          <wp:inline distT="0" distB="0" distL="0" distR="0">
            <wp:extent cx="107988" cy="107988"/>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4"/>
        </w:rPr>
        <w:t> </w:t>
      </w:r>
      <w:bookmarkStart w:name="_bookmark2529" w:id="2531"/>
      <w:bookmarkEnd w:id="2531"/>
      <w:r>
        <w:rPr>
          <w:rFonts w:ascii="Times New Roman"/>
          <w:spacing w:val="4"/>
        </w:rPr>
      </w:r>
      <w:r>
        <w:rPr/>
        <w:t>In</w:t>
      </w:r>
      <w:r>
        <w:rPr>
          <w:spacing w:val="50"/>
        </w:rPr>
        <w:t> </w:t>
      </w:r>
      <w:r>
        <w:rPr/>
        <w:t>relation</w:t>
      </w:r>
      <w:r>
        <w:rPr>
          <w:spacing w:val="50"/>
        </w:rPr>
        <w:t> </w:t>
      </w:r>
      <w:r>
        <w:rPr/>
        <w:t>to</w:t>
      </w:r>
      <w:r>
        <w:rPr>
          <w:spacing w:val="50"/>
        </w:rPr>
        <w:t> </w:t>
      </w:r>
      <w:r>
        <w:rPr/>
        <w:t>presumptions,</w:t>
      </w:r>
      <w:r>
        <w:rPr>
          <w:spacing w:val="50"/>
        </w:rPr>
        <w:t> </w:t>
      </w:r>
      <w:r>
        <w:rPr/>
        <w:t>art.14(1)</w:t>
      </w:r>
      <w:r>
        <w:rPr>
          <w:spacing w:val="50"/>
        </w:rPr>
        <w:t> </w:t>
      </w:r>
      <w:r>
        <w:rPr/>
        <w:t>and</w:t>
      </w:r>
      <w:r>
        <w:rPr>
          <w:spacing w:val="50"/>
        </w:rPr>
        <w:t> </w:t>
      </w:r>
      <w:r>
        <w:rPr/>
        <w:t>art.18(1)</w:t>
      </w:r>
      <w:r>
        <w:rPr>
          <w:spacing w:val="50"/>
        </w:rPr>
        <w:t> </w:t>
      </w:r>
      <w:r>
        <w:rPr/>
        <w:t>only</w:t>
      </w:r>
      <w:r>
        <w:rPr>
          <w:spacing w:val="50"/>
        </w:rPr>
        <w:t> </w:t>
      </w:r>
      <w:r>
        <w:rPr/>
        <w:t>apply</w:t>
      </w:r>
      <w:r>
        <w:rPr>
          <w:spacing w:val="50"/>
        </w:rPr>
        <w:t> </w:t>
      </w:r>
      <w:r>
        <w:rPr/>
        <w:t>to</w:t>
      </w:r>
      <w:r>
        <w:rPr>
          <w:spacing w:val="50"/>
        </w:rPr>
        <w:t> </w:t>
      </w:r>
      <w:r>
        <w:rPr/>
        <w:t>presumptions</w:t>
      </w:r>
      <w:r>
        <w:rPr>
          <w:spacing w:val="50"/>
        </w:rPr>
        <w:t> </w:t>
      </w:r>
      <w:r>
        <w:rPr/>
        <w:t>of</w:t>
      </w:r>
      <w:r>
        <w:rPr>
          <w:spacing w:val="50"/>
        </w:rPr>
        <w:t> </w:t>
      </w:r>
      <w:r>
        <w:rPr/>
        <w:t>law.</w:t>
      </w:r>
      <w:r>
        <w:rPr>
          <w:spacing w:val="49"/>
        </w:rPr>
        <w:t> </w:t>
      </w:r>
      <w:r>
        <w:rPr>
          <w:color w:val="005DA1"/>
          <w:u w:val="single" w:color="005DA1"/>
          <w:vertAlign w:val="superscript"/>
        </w:rPr>
        <w:t>1327</w:t>
      </w:r>
      <w:r>
        <w:rPr>
          <w:color w:val="005DA1"/>
          <w:spacing w:val="50"/>
          <w:vertAlign w:val="baseline"/>
        </w:rPr>
        <w:t> </w:t>
      </w:r>
      <w:r>
        <w:rPr>
          <w:vertAlign w:val="baseline"/>
        </w:rPr>
        <w:t>At</w:t>
      </w:r>
    </w:p>
    <w:p>
      <w:pPr>
        <w:pStyle w:val="BodyText"/>
        <w:spacing w:after="0"/>
        <w:sectPr>
          <w:headerReference w:type="default" r:id="rId34"/>
          <w:pgSz w:w="11900" w:h="16840"/>
          <w:pgMar w:header="971" w:footer="0" w:top="1300" w:bottom="280" w:left="1275" w:right="1275"/>
          <w:pgNumType w:start="1"/>
        </w:sectPr>
      </w:pPr>
    </w:p>
    <w:p>
      <w:pPr>
        <w:pStyle w:val="BodyText"/>
        <w:spacing w:line="235" w:lineRule="auto" w:before="110"/>
        <w:ind w:left="165" w:right="167"/>
        <w:jc w:val="both"/>
      </w:pPr>
      <w:bookmarkStart w:name="_bookmark2530" w:id="2532"/>
      <w:bookmarkEnd w:id="2532"/>
      <w:r>
        <w:rPr/>
      </w:r>
      <w:bookmarkStart w:name="_bookmark2531" w:id="2533"/>
      <w:bookmarkEnd w:id="2533"/>
      <w:r>
        <w:rPr/>
      </w:r>
      <w:r>
        <w:rPr/>
        <w:t>common</w:t>
      </w:r>
      <w:r>
        <w:rPr>
          <w:spacing w:val="-4"/>
        </w:rPr>
        <w:t> </w:t>
      </w:r>
      <w:r>
        <w:rPr/>
        <w:t>law,</w:t>
      </w:r>
      <w:r>
        <w:rPr>
          <w:spacing w:val="-4"/>
        </w:rPr>
        <w:t> </w:t>
      </w:r>
      <w:r>
        <w:rPr/>
        <w:t>an</w:t>
      </w:r>
      <w:r>
        <w:rPr>
          <w:spacing w:val="-4"/>
        </w:rPr>
        <w:t> </w:t>
      </w:r>
      <w:r>
        <w:rPr/>
        <w:t>irrebuttable</w:t>
      </w:r>
      <w:r>
        <w:rPr>
          <w:spacing w:val="-4"/>
        </w:rPr>
        <w:t> </w:t>
      </w:r>
      <w:r>
        <w:rPr/>
        <w:t>presumption</w:t>
      </w:r>
      <w:r>
        <w:rPr>
          <w:spacing w:val="-4"/>
        </w:rPr>
        <w:t> </w:t>
      </w:r>
      <w:r>
        <w:rPr/>
        <w:t>of</w:t>
      </w:r>
      <w:r>
        <w:rPr>
          <w:spacing w:val="-4"/>
        </w:rPr>
        <w:t> </w:t>
      </w:r>
      <w:r>
        <w:rPr/>
        <w:t>law</w:t>
      </w:r>
      <w:r>
        <w:rPr>
          <w:spacing w:val="-4"/>
        </w:rPr>
        <w:t> </w:t>
      </w:r>
      <w:r>
        <w:rPr/>
        <w:t>is</w:t>
      </w:r>
      <w:r>
        <w:rPr>
          <w:spacing w:val="-4"/>
        </w:rPr>
        <w:t> </w:t>
      </w:r>
      <w:r>
        <w:rPr/>
        <w:t>regarded</w:t>
      </w:r>
      <w:r>
        <w:rPr>
          <w:spacing w:val="-4"/>
        </w:rPr>
        <w:t> </w:t>
      </w:r>
      <w:r>
        <w:rPr/>
        <w:t>as</w:t>
      </w:r>
      <w:r>
        <w:rPr>
          <w:spacing w:val="-4"/>
        </w:rPr>
        <w:t> </w:t>
      </w:r>
      <w:r>
        <w:rPr/>
        <w:t>substantive</w:t>
      </w:r>
      <w:r>
        <w:rPr>
          <w:spacing w:val="-4"/>
        </w:rPr>
        <w:t> </w:t>
      </w:r>
      <w:r>
        <w:rPr>
          <w:color w:val="005DA1"/>
          <w:u w:val="single" w:color="005DA1"/>
          <w:vertAlign w:val="superscript"/>
        </w:rPr>
        <w:t>1328</w:t>
      </w:r>
      <w:r>
        <w:rPr>
          <w:vertAlign w:val="baseline"/>
        </w:rPr>
        <w:t>:</w:t>
      </w:r>
      <w:r>
        <w:rPr>
          <w:spacing w:val="-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probably</w:t>
      </w:r>
      <w:r>
        <w:rPr>
          <w:spacing w:val="-4"/>
          <w:vertAlign w:val="baseline"/>
        </w:rPr>
        <w:t> </w:t>
      </w:r>
      <w:r>
        <w:rPr>
          <w:vertAlign w:val="baseline"/>
        </w:rPr>
        <w:t>the</w:t>
      </w:r>
      <w:r>
        <w:rPr>
          <w:spacing w:val="-4"/>
          <w:vertAlign w:val="baseline"/>
        </w:rPr>
        <w:t> </w:t>
      </w:r>
      <w:r>
        <w:rPr>
          <w:vertAlign w:val="baseline"/>
        </w:rPr>
        <w:t>case that</w:t>
      </w:r>
      <w:r>
        <w:rPr>
          <w:spacing w:val="-1"/>
          <w:vertAlign w:val="baseline"/>
        </w:rPr>
        <w:t> </w:t>
      </w:r>
      <w:r>
        <w:rPr>
          <w:vertAlign w:val="baseline"/>
        </w:rPr>
        <w:t>rebuttable</w:t>
      </w:r>
      <w:r>
        <w:rPr>
          <w:spacing w:val="-1"/>
          <w:vertAlign w:val="baseline"/>
        </w:rPr>
        <w:t> </w:t>
      </w:r>
      <w:r>
        <w:rPr>
          <w:vertAlign w:val="baseline"/>
        </w:rPr>
        <w:t>resumptions</w:t>
      </w:r>
      <w:r>
        <w:rPr>
          <w:spacing w:val="-1"/>
          <w:vertAlign w:val="baseline"/>
        </w:rPr>
        <w:t> </w:t>
      </w:r>
      <w:r>
        <w:rPr>
          <w:vertAlign w:val="baseline"/>
        </w:rPr>
        <w:t>of</w:t>
      </w:r>
      <w:r>
        <w:rPr>
          <w:spacing w:val="-1"/>
          <w:vertAlign w:val="baseline"/>
        </w:rPr>
        <w:t> </w:t>
      </w:r>
      <w:r>
        <w:rPr>
          <w:vertAlign w:val="baseline"/>
        </w:rPr>
        <w:t>law</w:t>
      </w:r>
      <w:r>
        <w:rPr>
          <w:spacing w:val="-1"/>
          <w:vertAlign w:val="baseline"/>
        </w:rPr>
        <w:t> </w:t>
      </w:r>
      <w:r>
        <w:rPr>
          <w:vertAlign w:val="baseline"/>
        </w:rPr>
        <w:t>bear</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characteristic.</w:t>
      </w:r>
      <w:r>
        <w:rPr>
          <w:spacing w:val="-1"/>
          <w:vertAlign w:val="baseline"/>
        </w:rPr>
        <w:t> </w:t>
      </w:r>
      <w:r>
        <w:rPr>
          <w:color w:val="005DA1"/>
          <w:u w:val="single" w:color="005DA1"/>
          <w:vertAlign w:val="superscript"/>
        </w:rPr>
        <w:t>1329</w:t>
      </w:r>
      <w:r>
        <w:rPr>
          <w:color w:val="005DA1"/>
          <w:spacing w:val="-1"/>
          <w:vertAlign w:val="baseline"/>
        </w:rPr>
        <w:t> </w:t>
      </w:r>
      <w:r>
        <w:rPr>
          <w:vertAlign w:val="baseline"/>
        </w:rPr>
        <w:t>Article</w:t>
      </w:r>
      <w:r>
        <w:rPr>
          <w:spacing w:val="-1"/>
          <w:vertAlign w:val="baseline"/>
        </w:rPr>
        <w:t> </w:t>
      </w:r>
      <w:r>
        <w:rPr>
          <w:vertAlign w:val="baseline"/>
        </w:rPr>
        <w:t>14(1)</w:t>
      </w:r>
      <w:r>
        <w:rPr>
          <w:spacing w:val="-1"/>
          <w:vertAlign w:val="baseline"/>
        </w:rPr>
        <w:t> </w:t>
      </w:r>
      <w:r>
        <w:rPr>
          <w:vertAlign w:val="baseline"/>
        </w:rPr>
        <w:t>and</w:t>
      </w:r>
      <w:r>
        <w:rPr>
          <w:spacing w:val="-1"/>
          <w:vertAlign w:val="baseline"/>
        </w:rPr>
        <w:t> </w:t>
      </w:r>
      <w:r>
        <w:rPr>
          <w:vertAlign w:val="baseline"/>
        </w:rPr>
        <w:t>art.18(1)</w:t>
      </w:r>
      <w:r>
        <w:rPr>
          <w:spacing w:val="-1"/>
          <w:vertAlign w:val="baseline"/>
        </w:rPr>
        <w:t> </w:t>
      </w:r>
      <w:r>
        <w:rPr>
          <w:vertAlign w:val="baseline"/>
        </w:rPr>
        <w:t>appear to contemplate the inclusion of both types of presumption under the aegis of the applicable </w:t>
      </w:r>
      <w:r>
        <w:rPr>
          <w:vertAlign w:val="baseline"/>
        </w:rPr>
        <w:t>law, subject to the relevant presumption being contained, again, in the law of contract. As far as irrebuttable presumptions of law are concerned, it is not easy to think of pertinent examples in the law </w:t>
      </w:r>
      <w:bookmarkStart w:name="_bookmark2532" w:id="2534"/>
      <w:bookmarkEnd w:id="2534"/>
      <w:r>
        <w:rPr>
          <w:vertAlign w:val="baseline"/>
        </w:rPr>
        <w:t>of</w:t>
      </w:r>
      <w:r>
        <w:rPr>
          <w:vertAlign w:val="baseline"/>
        </w:rPr>
        <w:t> contract. This is because, in effect, an irrebuttable presumption of law is a rule of substantive law </w:t>
      </w:r>
      <w:bookmarkStart w:name="_bookmark2533" w:id="2535"/>
      <w:bookmarkEnd w:id="2535"/>
      <w:r>
        <w:rPr>
          <w:vertAlign w:val="baseline"/>
        </w:rPr>
        <w:t>and</w:t>
      </w:r>
      <w:r>
        <w:rPr>
          <w:spacing w:val="18"/>
          <w:vertAlign w:val="baseline"/>
        </w:rPr>
        <w:t> </w:t>
      </w:r>
      <w:r>
        <w:rPr>
          <w:vertAlign w:val="baseline"/>
        </w:rPr>
        <w:t>what</w:t>
      </w:r>
      <w:r>
        <w:rPr>
          <w:spacing w:val="19"/>
          <w:vertAlign w:val="baseline"/>
        </w:rPr>
        <w:t> </w:t>
      </w:r>
      <w:r>
        <w:rPr>
          <w:vertAlign w:val="baseline"/>
        </w:rPr>
        <w:t>might,</w:t>
      </w:r>
      <w:r>
        <w:rPr>
          <w:spacing w:val="18"/>
          <w:vertAlign w:val="baseline"/>
        </w:rPr>
        <w:t> </w:t>
      </w:r>
      <w:r>
        <w:rPr>
          <w:vertAlign w:val="baseline"/>
        </w:rPr>
        <w:t>in</w:t>
      </w:r>
      <w:r>
        <w:rPr>
          <w:spacing w:val="19"/>
          <w:vertAlign w:val="baseline"/>
        </w:rPr>
        <w:t> </w:t>
      </w:r>
      <w:r>
        <w:rPr>
          <w:vertAlign w:val="baseline"/>
        </w:rPr>
        <w:t>some</w:t>
      </w:r>
      <w:r>
        <w:rPr>
          <w:spacing w:val="18"/>
          <w:vertAlign w:val="baseline"/>
        </w:rPr>
        <w:t> </w:t>
      </w:r>
      <w:r>
        <w:rPr>
          <w:vertAlign w:val="baseline"/>
        </w:rPr>
        <w:t>legal</w:t>
      </w:r>
      <w:r>
        <w:rPr>
          <w:spacing w:val="19"/>
          <w:vertAlign w:val="baseline"/>
        </w:rPr>
        <w:t> </w:t>
      </w:r>
      <w:r>
        <w:rPr>
          <w:vertAlign w:val="baseline"/>
        </w:rPr>
        <w:t>systems,</w:t>
      </w:r>
      <w:r>
        <w:rPr>
          <w:spacing w:val="18"/>
          <w:vertAlign w:val="baseline"/>
        </w:rPr>
        <w:t> </w:t>
      </w:r>
      <w:r>
        <w:rPr>
          <w:vertAlign w:val="baseline"/>
        </w:rPr>
        <w:t>be</w:t>
      </w:r>
      <w:r>
        <w:rPr>
          <w:spacing w:val="19"/>
          <w:vertAlign w:val="baseline"/>
        </w:rPr>
        <w:t> </w:t>
      </w:r>
      <w:r>
        <w:rPr>
          <w:vertAlign w:val="baseline"/>
        </w:rPr>
        <w:t>formulated</w:t>
      </w:r>
      <w:r>
        <w:rPr>
          <w:spacing w:val="18"/>
          <w:vertAlign w:val="baseline"/>
        </w:rPr>
        <w:t> </w:t>
      </w:r>
      <w:r>
        <w:rPr>
          <w:vertAlign w:val="baseline"/>
        </w:rPr>
        <w:t>as</w:t>
      </w:r>
      <w:r>
        <w:rPr>
          <w:spacing w:val="19"/>
          <w:vertAlign w:val="baseline"/>
        </w:rPr>
        <w:t> </w:t>
      </w:r>
      <w:r>
        <w:rPr>
          <w:vertAlign w:val="baseline"/>
        </w:rPr>
        <w:t>an</w:t>
      </w:r>
      <w:r>
        <w:rPr>
          <w:spacing w:val="19"/>
          <w:vertAlign w:val="baseline"/>
        </w:rPr>
        <w:t> </w:t>
      </w:r>
      <w:r>
        <w:rPr>
          <w:vertAlign w:val="baseline"/>
        </w:rPr>
        <w:t>irrebuttable</w:t>
      </w:r>
      <w:r>
        <w:rPr>
          <w:spacing w:val="18"/>
          <w:vertAlign w:val="baseline"/>
        </w:rPr>
        <w:t> </w:t>
      </w:r>
      <w:r>
        <w:rPr>
          <w:vertAlign w:val="baseline"/>
        </w:rPr>
        <w:t>presumption</w:t>
      </w:r>
      <w:r>
        <w:rPr>
          <w:spacing w:val="19"/>
          <w:vertAlign w:val="baseline"/>
        </w:rPr>
        <w:t> </w:t>
      </w:r>
      <w:r>
        <w:rPr>
          <w:vertAlign w:val="baseline"/>
        </w:rPr>
        <w:t>of</w:t>
      </w:r>
      <w:r>
        <w:rPr>
          <w:spacing w:val="18"/>
          <w:vertAlign w:val="baseline"/>
        </w:rPr>
        <w:t> </w:t>
      </w:r>
      <w:r>
        <w:rPr>
          <w:vertAlign w:val="baseline"/>
        </w:rPr>
        <w:t>law,</w:t>
      </w:r>
      <w:r>
        <w:rPr>
          <w:spacing w:val="18"/>
          <w:vertAlign w:val="baseline"/>
        </w:rPr>
        <w:t> </w:t>
      </w:r>
      <w:r>
        <w:rPr>
          <w:color w:val="005DA1"/>
          <w:u w:val="single" w:color="005DA1"/>
          <w:vertAlign w:val="superscript"/>
        </w:rPr>
        <w:t>1330</w:t>
      </w:r>
      <w:r>
        <w:rPr>
          <w:color w:val="005DA1"/>
          <w:spacing w:val="18"/>
          <w:vertAlign w:val="baseline"/>
        </w:rPr>
        <w:t> </w:t>
      </w:r>
      <w:r>
        <w:rPr>
          <w:spacing w:val="-5"/>
          <w:vertAlign w:val="baseline"/>
        </w:rPr>
        <w:t>is</w:t>
      </w:r>
    </w:p>
    <w:p>
      <w:pPr>
        <w:pStyle w:val="BodyText"/>
        <w:spacing w:line="235" w:lineRule="auto" w:before="118"/>
        <w:ind w:left="165" w:right="190"/>
      </w:pPr>
      <w:r>
        <w:rPr/>
        <w:t>more likely, in the English law of contract, to be formulated as a rule of substantive contract law. </w:t>
      </w:r>
      <w:hyperlink w:history="true" w:anchor="_bookmark2549">
        <w:r>
          <w:rPr>
            <w:color w:val="005DA1"/>
            <w:u w:val="single" w:color="005DA1"/>
            <w:vertAlign w:val="superscript"/>
          </w:rPr>
          <w:t>1331</w:t>
        </w:r>
      </w:hyperlink>
      <w:r>
        <w:rPr>
          <w:color w:val="005DA1"/>
          <w:spacing w:val="40"/>
          <w:vertAlign w:val="baseline"/>
        </w:rPr>
        <w:t> </w:t>
      </w:r>
      <w:r>
        <w:rPr>
          <w:color w:val="005DA1"/>
          <w:position w:val="-2"/>
          <w:vertAlign w:val="baseline"/>
        </w:rPr>
        <w:drawing>
          <wp:inline distT="0" distB="0" distL="0" distR="0">
            <wp:extent cx="107988" cy="107988"/>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Examples</w:t>
      </w:r>
      <w:r>
        <w:rPr>
          <w:spacing w:val="-2"/>
          <w:vertAlign w:val="baseline"/>
        </w:rPr>
        <w:t> </w:t>
      </w:r>
      <w:r>
        <w:rPr>
          <w:vertAlign w:val="baseline"/>
        </w:rPr>
        <w:t>of</w:t>
      </w:r>
      <w:r>
        <w:rPr>
          <w:spacing w:val="-2"/>
          <w:vertAlign w:val="baseline"/>
        </w:rPr>
        <w:t> </w:t>
      </w:r>
      <w:r>
        <w:rPr>
          <w:vertAlign w:val="baseline"/>
        </w:rPr>
        <w:t>rebuttable</w:t>
      </w:r>
      <w:r>
        <w:rPr>
          <w:spacing w:val="-2"/>
          <w:vertAlign w:val="baseline"/>
        </w:rPr>
        <w:t> </w:t>
      </w:r>
      <w:r>
        <w:rPr>
          <w:vertAlign w:val="baseline"/>
        </w:rPr>
        <w:t>presumptions</w:t>
      </w:r>
      <w:r>
        <w:rPr>
          <w:spacing w:val="-2"/>
          <w:vertAlign w:val="baseline"/>
        </w:rPr>
        <w:t> </w:t>
      </w:r>
      <w:r>
        <w:rPr>
          <w:vertAlign w:val="baseline"/>
        </w:rPr>
        <w:t>spring</w:t>
      </w:r>
      <w:r>
        <w:rPr>
          <w:spacing w:val="-2"/>
          <w:vertAlign w:val="baseline"/>
        </w:rPr>
        <w:t> </w:t>
      </w:r>
      <w:r>
        <w:rPr>
          <w:vertAlign w:val="baseline"/>
        </w:rPr>
        <w:t>more</w:t>
      </w:r>
      <w:r>
        <w:rPr>
          <w:spacing w:val="-2"/>
          <w:vertAlign w:val="baseline"/>
        </w:rPr>
        <w:t> </w:t>
      </w:r>
      <w:r>
        <w:rPr>
          <w:vertAlign w:val="baseline"/>
        </w:rPr>
        <w:t>readily</w:t>
      </w:r>
      <w:r>
        <w:rPr>
          <w:spacing w:val="-2"/>
          <w:vertAlign w:val="baseline"/>
        </w:rPr>
        <w:t> </w:t>
      </w:r>
      <w:r>
        <w:rPr>
          <w:vertAlign w:val="baseline"/>
        </w:rPr>
        <w:t>to</w:t>
      </w:r>
      <w:r>
        <w:rPr>
          <w:spacing w:val="-2"/>
          <w:vertAlign w:val="baseline"/>
        </w:rPr>
        <w:t> </w:t>
      </w:r>
      <w:r>
        <w:rPr>
          <w:vertAlign w:val="baseline"/>
        </w:rPr>
        <w:t>mind</w:t>
      </w:r>
      <w:r>
        <w:rPr>
          <w:spacing w:val="-2"/>
          <w:vertAlign w:val="baseline"/>
        </w:rPr>
        <w:t> </w:t>
      </w:r>
      <w:r>
        <w:rPr>
          <w:vertAlign w:val="baseline"/>
        </w:rPr>
        <w:t>and</w:t>
      </w:r>
      <w:r>
        <w:rPr>
          <w:spacing w:val="-2"/>
          <w:vertAlign w:val="baseline"/>
        </w:rPr>
        <w:t> </w:t>
      </w:r>
      <w:r>
        <w:rPr>
          <w:vertAlign w:val="baseline"/>
        </w:rPr>
        <w:t>might</w:t>
      </w:r>
      <w:r>
        <w:rPr>
          <w:spacing w:val="-2"/>
          <w:vertAlign w:val="baseline"/>
        </w:rPr>
        <w:t> </w:t>
      </w:r>
      <w:r>
        <w:rPr>
          <w:vertAlign w:val="baseline"/>
        </w:rPr>
        <w:t>include,</w:t>
      </w:r>
      <w:r>
        <w:rPr>
          <w:spacing w:val="-2"/>
          <w:vertAlign w:val="baseline"/>
        </w:rPr>
        <w:t> </w:t>
      </w:r>
      <w:r>
        <w:rPr>
          <w:vertAlign w:val="baseline"/>
        </w:rPr>
        <w:t>in</w:t>
      </w:r>
      <w:r>
        <w:rPr>
          <w:spacing w:val="-2"/>
          <w:vertAlign w:val="baseline"/>
        </w:rPr>
        <w:t> </w:t>
      </w:r>
      <w:r>
        <w:rPr>
          <w:vertAlign w:val="baseline"/>
        </w:rPr>
        <w:t>English</w:t>
      </w:r>
      <w:r>
        <w:rPr>
          <w:spacing w:val="-2"/>
          <w:vertAlign w:val="baseline"/>
        </w:rPr>
        <w:t> </w:t>
      </w:r>
      <w:r>
        <w:rPr>
          <w:vertAlign w:val="baseline"/>
        </w:rPr>
        <w:t>law, </w:t>
      </w:r>
      <w:bookmarkStart w:name="_bookmark2534" w:id="2536"/>
      <w:bookmarkEnd w:id="2536"/>
      <w:r>
        <w:rPr>
          <w:vertAlign w:val="baseline"/>
        </w:rPr>
        <w:t>the</w:t>
      </w:r>
      <w:r>
        <w:rPr>
          <w:vertAlign w:val="baseline"/>
        </w:rPr>
        <w:t> presumption of undue influence in relation to contracts between persons in a special relationship with</w:t>
      </w:r>
      <w:r>
        <w:rPr>
          <w:spacing w:val="-2"/>
          <w:vertAlign w:val="baseline"/>
        </w:rPr>
        <w:t> </w:t>
      </w:r>
      <w:r>
        <w:rPr>
          <w:vertAlign w:val="baseline"/>
        </w:rPr>
        <w:t>one</w:t>
      </w:r>
      <w:r>
        <w:rPr>
          <w:spacing w:val="-2"/>
          <w:vertAlign w:val="baseline"/>
        </w:rPr>
        <w:t> </w:t>
      </w:r>
      <w:r>
        <w:rPr>
          <w:vertAlign w:val="baseline"/>
        </w:rPr>
        <w:t>another</w:t>
      </w:r>
      <w:r>
        <w:rPr>
          <w:spacing w:val="-2"/>
          <w:vertAlign w:val="baseline"/>
        </w:rPr>
        <w:t> </w:t>
      </w:r>
      <w:r>
        <w:rPr>
          <w:vertAlign w:val="baseline"/>
        </w:rPr>
        <w:t>(e.g.</w:t>
      </w:r>
      <w:r>
        <w:rPr>
          <w:spacing w:val="-2"/>
          <w:vertAlign w:val="baseline"/>
        </w:rPr>
        <w:t> </w:t>
      </w:r>
      <w:r>
        <w:rPr>
          <w:vertAlign w:val="baseline"/>
        </w:rPr>
        <w:t>parent</w:t>
      </w:r>
      <w:r>
        <w:rPr>
          <w:spacing w:val="-2"/>
          <w:vertAlign w:val="baseline"/>
        </w:rPr>
        <w:t> </w:t>
      </w:r>
      <w:r>
        <w:rPr>
          <w:vertAlign w:val="baseline"/>
        </w:rPr>
        <w:t>and</w:t>
      </w:r>
      <w:r>
        <w:rPr>
          <w:spacing w:val="-2"/>
          <w:vertAlign w:val="baseline"/>
        </w:rPr>
        <w:t> </w:t>
      </w:r>
      <w:r>
        <w:rPr>
          <w:vertAlign w:val="baseline"/>
        </w:rPr>
        <w:t>child).</w:t>
      </w:r>
      <w:r>
        <w:rPr>
          <w:spacing w:val="-2"/>
          <w:vertAlign w:val="baseline"/>
        </w:rPr>
        <w:t> </w:t>
      </w:r>
      <w:r>
        <w:rPr>
          <w:color w:val="005DA1"/>
          <w:u w:val="single" w:color="005DA1"/>
          <w:vertAlign w:val="superscript"/>
        </w:rPr>
        <w:t>1332</w:t>
      </w:r>
      <w:r>
        <w:rPr>
          <w:color w:val="005DA1"/>
          <w:spacing w:val="-2"/>
          <w:vertAlign w:val="baseline"/>
        </w:rPr>
        <w:t> </w:t>
      </w:r>
      <w:r>
        <w:rPr>
          <w:vertAlign w:val="baseline"/>
        </w:rPr>
        <w:t>Although</w:t>
      </w:r>
      <w:r>
        <w:rPr>
          <w:spacing w:val="-2"/>
          <w:vertAlign w:val="baseline"/>
        </w:rPr>
        <w:t> </w:t>
      </w:r>
      <w:r>
        <w:rPr>
          <w:vertAlign w:val="baseline"/>
        </w:rPr>
        <w:t>this</w:t>
      </w:r>
      <w:r>
        <w:rPr>
          <w:spacing w:val="-2"/>
          <w:vertAlign w:val="baseline"/>
        </w:rPr>
        <w:t> </w:t>
      </w:r>
      <w:r>
        <w:rPr>
          <w:vertAlign w:val="baseline"/>
        </w:rPr>
        <w:t>presumption</w:t>
      </w:r>
      <w:r>
        <w:rPr>
          <w:spacing w:val="-2"/>
          <w:vertAlign w:val="baseline"/>
        </w:rPr>
        <w:t> </w:t>
      </w:r>
      <w:r>
        <w:rPr>
          <w:vertAlign w:val="baseline"/>
        </w:rPr>
        <w:t>may</w:t>
      </w:r>
      <w:r>
        <w:rPr>
          <w:spacing w:val="-2"/>
          <w:vertAlign w:val="baseline"/>
        </w:rPr>
        <w:t> </w:t>
      </w:r>
      <w:r>
        <w:rPr>
          <w:vertAlign w:val="baseline"/>
        </w:rPr>
        <w:t>arise</w:t>
      </w:r>
      <w:r>
        <w:rPr>
          <w:spacing w:val="-2"/>
          <w:vertAlign w:val="baseline"/>
        </w:rPr>
        <w:t> </w:t>
      </w:r>
      <w:r>
        <w:rPr>
          <w:vertAlign w:val="baseline"/>
        </w:rPr>
        <w:t>in</w:t>
      </w:r>
      <w:r>
        <w:rPr>
          <w:spacing w:val="-2"/>
          <w:vertAlign w:val="baseline"/>
        </w:rPr>
        <w:t> </w:t>
      </w:r>
      <w:r>
        <w:rPr>
          <w:vertAlign w:val="baseline"/>
        </w:rPr>
        <w:t>other</w:t>
      </w:r>
      <w:r>
        <w:rPr>
          <w:spacing w:val="-2"/>
          <w:vertAlign w:val="baseline"/>
        </w:rPr>
        <w:t> </w:t>
      </w:r>
      <w:r>
        <w:rPr>
          <w:vertAlign w:val="baseline"/>
        </w:rPr>
        <w:t>areas</w:t>
      </w:r>
      <w:r>
        <w:rPr>
          <w:spacing w:val="-2"/>
          <w:vertAlign w:val="baseline"/>
        </w:rPr>
        <w:t> </w:t>
      </w:r>
      <w:r>
        <w:rPr>
          <w:vertAlign w:val="baseline"/>
        </w:rPr>
        <w:t>of</w:t>
      </w:r>
      <w:r>
        <w:rPr>
          <w:spacing w:val="-2"/>
          <w:vertAlign w:val="baseline"/>
        </w:rPr>
        <w:t> </w:t>
      </w:r>
      <w:r>
        <w:rPr>
          <w:vertAlign w:val="baseline"/>
        </w:rPr>
        <w:t>the </w:t>
      </w:r>
      <w:bookmarkStart w:name="_bookmark2535" w:id="2537"/>
      <w:bookmarkEnd w:id="2537"/>
      <w:r>
        <w:rPr>
          <w:vertAlign w:val="baseline"/>
        </w:rPr>
        <w:t>law,</w:t>
      </w:r>
      <w:r>
        <w:rPr>
          <w:spacing w:val="34"/>
          <w:vertAlign w:val="baseline"/>
        </w:rPr>
        <w:t> </w:t>
      </w:r>
      <w:r>
        <w:rPr>
          <w:vertAlign w:val="baseline"/>
        </w:rPr>
        <w:t>for</w:t>
      </w:r>
      <w:r>
        <w:rPr>
          <w:spacing w:val="34"/>
          <w:vertAlign w:val="baseline"/>
        </w:rPr>
        <w:t> </w:t>
      </w:r>
      <w:r>
        <w:rPr>
          <w:vertAlign w:val="baseline"/>
        </w:rPr>
        <w:t>example</w:t>
      </w:r>
      <w:r>
        <w:rPr>
          <w:spacing w:val="34"/>
          <w:vertAlign w:val="baseline"/>
        </w:rPr>
        <w:t> </w:t>
      </w:r>
      <w:r>
        <w:rPr>
          <w:vertAlign w:val="baseline"/>
        </w:rPr>
        <w:t>the</w:t>
      </w:r>
      <w:r>
        <w:rPr>
          <w:spacing w:val="34"/>
          <w:vertAlign w:val="baseline"/>
        </w:rPr>
        <w:t> </w:t>
      </w:r>
      <w:r>
        <w:rPr>
          <w:vertAlign w:val="baseline"/>
        </w:rPr>
        <w:t>law</w:t>
      </w:r>
      <w:r>
        <w:rPr>
          <w:spacing w:val="34"/>
          <w:vertAlign w:val="baseline"/>
        </w:rPr>
        <w:t> </w:t>
      </w:r>
      <w:r>
        <w:rPr>
          <w:vertAlign w:val="baseline"/>
        </w:rPr>
        <w:t>of</w:t>
      </w:r>
      <w:r>
        <w:rPr>
          <w:spacing w:val="34"/>
          <w:vertAlign w:val="baseline"/>
        </w:rPr>
        <w:t> </w:t>
      </w:r>
      <w:r>
        <w:rPr>
          <w:vertAlign w:val="baseline"/>
        </w:rPr>
        <w:t>trusts,</w:t>
      </w:r>
      <w:r>
        <w:rPr>
          <w:spacing w:val="34"/>
          <w:vertAlign w:val="baseline"/>
        </w:rPr>
        <w:t> </w:t>
      </w:r>
      <w:r>
        <w:rPr>
          <w:vertAlign w:val="baseline"/>
        </w:rPr>
        <w:t>that</w:t>
      </w:r>
      <w:r>
        <w:rPr>
          <w:spacing w:val="34"/>
          <w:vertAlign w:val="baseline"/>
        </w:rPr>
        <w:t> </w:t>
      </w:r>
      <w:r>
        <w:rPr>
          <w:vertAlign w:val="baseline"/>
        </w:rPr>
        <w:t>should</w:t>
      </w:r>
      <w:r>
        <w:rPr>
          <w:spacing w:val="34"/>
          <w:vertAlign w:val="baseline"/>
        </w:rPr>
        <w:t> </w:t>
      </w:r>
      <w:r>
        <w:rPr>
          <w:vertAlign w:val="baseline"/>
        </w:rPr>
        <w:t>not</w:t>
      </w:r>
      <w:r>
        <w:rPr>
          <w:spacing w:val="34"/>
          <w:vertAlign w:val="baseline"/>
        </w:rPr>
        <w:t> </w:t>
      </w:r>
      <w:r>
        <w:rPr>
          <w:vertAlign w:val="baseline"/>
        </w:rPr>
        <w:t>preclude</w:t>
      </w:r>
      <w:r>
        <w:rPr>
          <w:spacing w:val="34"/>
          <w:vertAlign w:val="baseline"/>
        </w:rPr>
        <w:t> </w:t>
      </w:r>
      <w:r>
        <w:rPr>
          <w:vertAlign w:val="baseline"/>
        </w:rPr>
        <w:t>it</w:t>
      </w:r>
      <w:r>
        <w:rPr>
          <w:spacing w:val="34"/>
          <w:vertAlign w:val="baseline"/>
        </w:rPr>
        <w:t> </w:t>
      </w:r>
      <w:r>
        <w:rPr>
          <w:vertAlign w:val="baseline"/>
        </w:rPr>
        <w:t>from</w:t>
      </w:r>
      <w:r>
        <w:rPr>
          <w:spacing w:val="34"/>
          <w:vertAlign w:val="baseline"/>
        </w:rPr>
        <w:t> </w:t>
      </w:r>
      <w:r>
        <w:rPr>
          <w:vertAlign w:val="baseline"/>
        </w:rPr>
        <w:t>being</w:t>
      </w:r>
      <w:r>
        <w:rPr>
          <w:spacing w:val="34"/>
          <w:vertAlign w:val="baseline"/>
        </w:rPr>
        <w:t> </w:t>
      </w:r>
      <w:r>
        <w:rPr>
          <w:vertAlign w:val="baseline"/>
        </w:rPr>
        <w:t>contained</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law</w:t>
      </w:r>
      <w:r>
        <w:rPr>
          <w:spacing w:val="34"/>
          <w:vertAlign w:val="baseline"/>
        </w:rPr>
        <w:t> </w:t>
      </w:r>
      <w:r>
        <w:rPr>
          <w:vertAlign w:val="baseline"/>
        </w:rPr>
        <w:t>of contract for the purposes of art.14(1) and art.18(1). </w:t>
      </w:r>
      <w:r>
        <w:rPr>
          <w:color w:val="005DA1"/>
          <w:u w:val="single" w:color="005DA1"/>
          <w:vertAlign w:val="superscript"/>
        </w:rPr>
        <w:t>1333</w:t>
      </w:r>
    </w:p>
    <w:p>
      <w:pPr>
        <w:pStyle w:val="BodyText"/>
      </w:pPr>
    </w:p>
    <w:p>
      <w:pPr>
        <w:pStyle w:val="BodyText"/>
        <w:spacing w:before="36"/>
      </w:pPr>
    </w:p>
    <w:p>
      <w:pPr>
        <w:spacing w:before="0"/>
        <w:ind w:left="165" w:right="0" w:firstLine="0"/>
        <w:jc w:val="left"/>
        <w:rPr>
          <w:rFonts w:ascii="Arial"/>
          <w:b/>
          <w:sz w:val="18"/>
        </w:rPr>
      </w:pPr>
      <w:r>
        <w:rPr>
          <w:rFonts w:ascii="Arial"/>
          <w:b/>
          <w:sz w:val="18"/>
        </w:rPr>
        <w:t>Contract or act intended to have legal </w:t>
      </w:r>
      <w:r>
        <w:rPr>
          <w:rFonts w:ascii="Arial"/>
          <w:b/>
          <w:spacing w:val="-2"/>
          <w:sz w:val="18"/>
        </w:rPr>
        <w:t>effect</w:t>
      </w:r>
    </w:p>
    <w:p>
      <w:pPr>
        <w:pStyle w:val="BodyText"/>
        <w:spacing w:before="41"/>
        <w:rPr>
          <w:rFonts w:ascii="Arial"/>
          <w:b/>
          <w:sz w:val="18"/>
        </w:rPr>
      </w:pPr>
    </w:p>
    <w:p>
      <w:pPr>
        <w:pStyle w:val="Heading2"/>
      </w:pPr>
      <w:r>
        <w:rPr/>
        <w:t>30-</w:t>
      </w:r>
      <w:r>
        <w:rPr>
          <w:spacing w:val="-5"/>
        </w:rPr>
        <w:t>356</w:t>
      </w:r>
    </w:p>
    <w:p>
      <w:pPr>
        <w:pStyle w:val="BodyText"/>
        <w:spacing w:line="235" w:lineRule="auto" w:before="203"/>
        <w:ind w:left="165" w:right="167"/>
        <w:jc w:val="both"/>
      </w:pPr>
      <w:r>
        <w:rPr/>
        <w:t>Article 14(2) of the Rome Convention and art.18(2) of the Rome I Regulation provide that a contract</w:t>
      </w:r>
      <w:r>
        <w:rPr>
          <w:spacing w:val="40"/>
        </w:rPr>
        <w:t> </w:t>
      </w:r>
      <w:r>
        <w:rPr/>
        <w:t>or act intended to have legal effect may be proved by any mode of proof recognised by the law of the forum or by any of the laws referred to in art.9 of the Convention or art.11 of the Regulation, under which that contract or act is formally valid, provided that such mode of proof can be administered </w:t>
      </w:r>
      <w:r>
        <w:rPr/>
        <w:t>by </w:t>
      </w:r>
      <w:bookmarkStart w:name="_bookmark2536" w:id="2538"/>
      <w:bookmarkEnd w:id="2538"/>
      <w:r>
        <w:rPr/>
        <w:t>the</w:t>
      </w:r>
      <w:r>
        <w:rPr/>
        <w:t> forum. Thus, in English proceedings, a contract, or the terms thereof, may be proved by any method of proof available in English law. If a law applicable by virtue of art.9 or art.11 </w:t>
      </w:r>
      <w:r>
        <w:rPr>
          <w:color w:val="005DA1"/>
          <w:u w:val="single" w:color="005DA1"/>
          <w:vertAlign w:val="superscript"/>
        </w:rPr>
        <w:t>1334</w:t>
      </w:r>
      <w:r>
        <w:rPr>
          <w:color w:val="005DA1"/>
          <w:vertAlign w:val="baseline"/>
        </w:rPr>
        <w:t> </w:t>
      </w:r>
      <w:r>
        <w:rPr>
          <w:vertAlign w:val="baseline"/>
        </w:rPr>
        <w:t>would </w:t>
      </w:r>
      <w:bookmarkStart w:name="_bookmark2537" w:id="2539"/>
      <w:bookmarkEnd w:id="2539"/>
      <w:r>
        <w:rPr>
          <w:vertAlign w:val="baseline"/>
        </w:rPr>
        <w:t>render</w:t>
      </w:r>
      <w:r>
        <w:rPr>
          <w:vertAlign w:val="baseline"/>
        </w:rPr>
        <w:t> the contract formally valid, the English court can allow any method of proof permitted by that law to the extent that such method of proof can be administered by the forum. </w:t>
      </w:r>
      <w:r>
        <w:rPr>
          <w:color w:val="005DA1"/>
          <w:u w:val="single" w:color="005DA1"/>
          <w:vertAlign w:val="superscript"/>
        </w:rPr>
        <w:t>1335</w:t>
      </w:r>
      <w:r>
        <w:rPr>
          <w:color w:val="005DA1"/>
          <w:vertAlign w:val="baseline"/>
        </w:rPr>
        <w:t> </w:t>
      </w:r>
      <w:r>
        <w:rPr>
          <w:vertAlign w:val="baseline"/>
        </w:rPr>
        <w:t>According to the Giuliano-Lagarde Report, this proviso enables the court to disregard modes of proof which its law of </w:t>
      </w:r>
      <w:bookmarkStart w:name="_bookmark2538" w:id="2540"/>
      <w:bookmarkEnd w:id="2540"/>
      <w:r>
        <w:rPr>
          <w:vertAlign w:val="baseline"/>
        </w:rPr>
        <w:t>procedure</w:t>
      </w:r>
      <w:r>
        <w:rPr>
          <w:vertAlign w:val="baseline"/>
        </w:rPr>
        <w:t> cannot generally allow, such as an affidavit, the testimony of a party, or common knowledge. </w:t>
      </w:r>
      <w:r>
        <w:rPr>
          <w:color w:val="005DA1"/>
          <w:u w:val="single" w:color="005DA1"/>
          <w:vertAlign w:val="superscript"/>
        </w:rPr>
        <w:t>1336</w:t>
      </w:r>
    </w:p>
    <w:p>
      <w:pPr>
        <w:pStyle w:val="BodyText"/>
      </w:pPr>
    </w:p>
    <w:p>
      <w:pPr>
        <w:pStyle w:val="BodyText"/>
        <w:spacing w:before="35"/>
      </w:pPr>
      <w:r>
        <w:rPr/>
        <mc:AlternateContent>
          <mc:Choice Requires="wps">
            <w:drawing>
              <wp:anchor distT="0" distB="0" distL="0" distR="0" allowOverlap="1" layoutInCell="1" locked="0" behindDoc="1" simplePos="0" relativeHeight="487628800">
                <wp:simplePos x="0" y="0"/>
                <wp:positionH relativeFrom="page">
                  <wp:posOffset>914400</wp:posOffset>
                </wp:positionH>
                <wp:positionV relativeFrom="paragraph">
                  <wp:posOffset>184054</wp:posOffset>
                </wp:positionV>
                <wp:extent cx="5724525"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92469pt;width:450.75pt;height:.1pt;mso-position-horizontal-relative:page;mso-position-vertical-relative:paragraph;z-index:-15687680;mso-wrap-distance-left:0;mso-wrap-distance-right:0" id="docshape56" coordorigin="1440,290" coordsize="9015,0" path="m1440,290l10454,290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1244" w:hRule="atLeast"/>
        </w:trPr>
        <w:tc>
          <w:tcPr>
            <w:tcW w:w="496" w:type="dxa"/>
          </w:tcPr>
          <w:p>
            <w:pPr>
              <w:pStyle w:val="TableParagraph"/>
              <w:spacing w:before="0"/>
              <w:ind w:left="0" w:right="43"/>
              <w:rPr>
                <w:sz w:val="14"/>
              </w:rPr>
            </w:pPr>
            <w:bookmarkStart w:name="_bookmark2539" w:id="2541"/>
            <w:bookmarkEnd w:id="2541"/>
            <w:r>
              <w:rPr/>
            </w:r>
            <w:hyperlink w:history="true" w:anchor="_bookmark2524">
              <w:r>
                <w:rPr>
                  <w:color w:val="005DA1"/>
                  <w:spacing w:val="-2"/>
                  <w:sz w:val="14"/>
                  <w:u w:val="single" w:color="005DA1"/>
                </w:rPr>
                <w:t>1321</w:t>
              </w:r>
            </w:hyperlink>
            <w:r>
              <w:rPr>
                <w:spacing w:val="-2"/>
                <w:sz w:val="14"/>
              </w:rPr>
              <w:t>.</w:t>
            </w:r>
          </w:p>
        </w:tc>
        <w:tc>
          <w:tcPr>
            <w:tcW w:w="8620" w:type="dxa"/>
          </w:tcPr>
          <w:p>
            <w:pPr>
              <w:pStyle w:val="TableParagraph"/>
              <w:spacing w:line="235" w:lineRule="auto" w:before="0"/>
              <w:ind w:right="48"/>
              <w:jc w:val="both"/>
              <w:rPr>
                <w:sz w:val="20"/>
              </w:rPr>
            </w:pPr>
            <w:r>
              <w:rPr>
                <w:sz w:val="20"/>
              </w:rPr>
              <w:t>Dicey, Morris and Collins on the Conflict of Laws, 15th edn (2012), paras 7–043 et seq., 32–034; Cheshire, North and Fawcett, </w:t>
            </w:r>
            <w:r>
              <w:rPr>
                <w:rFonts w:ascii="Arial" w:hAnsi="Arial"/>
                <w:i/>
                <w:sz w:val="20"/>
              </w:rPr>
              <w:t>Private International Law</w:t>
            </w:r>
            <w:r>
              <w:rPr>
                <w:sz w:val="20"/>
              </w:rPr>
              <w:t>, 14th edn (1999), pp.88–89; Kaye, </w:t>
            </w:r>
            <w:r>
              <w:rPr>
                <w:rFonts w:ascii="Arial" w:hAnsi="Arial"/>
                <w:i/>
                <w:sz w:val="20"/>
              </w:rPr>
              <w:t>The New Private International Law of Contract of the European Community </w:t>
            </w:r>
            <w:r>
              <w:rPr>
                <w:sz w:val="20"/>
              </w:rPr>
              <w:t>(1993), pp.331–341; Lasok and Stone, </w:t>
            </w:r>
            <w:r>
              <w:rPr>
                <w:rFonts w:ascii="Arial" w:hAnsi="Arial"/>
                <w:i/>
                <w:sz w:val="20"/>
              </w:rPr>
              <w:t>Conflict of Laws in the European Community </w:t>
            </w:r>
            <w:r>
              <w:rPr>
                <w:sz w:val="20"/>
              </w:rPr>
              <w:t>(1987), pp.354–355; Morse (1982) 2 Ybk. Eur. L. 107, 156–157.</w:t>
            </w:r>
          </w:p>
        </w:tc>
      </w:tr>
      <w:tr>
        <w:trPr>
          <w:trHeight w:val="465" w:hRule="atLeast"/>
        </w:trPr>
        <w:tc>
          <w:tcPr>
            <w:tcW w:w="496" w:type="dxa"/>
          </w:tcPr>
          <w:p>
            <w:pPr>
              <w:pStyle w:val="TableParagraph"/>
              <w:ind w:left="0" w:right="43"/>
              <w:rPr>
                <w:sz w:val="14"/>
              </w:rPr>
            </w:pPr>
            <w:bookmarkStart w:name="_bookmark2540" w:id="2542"/>
            <w:bookmarkEnd w:id="2542"/>
            <w:r>
              <w:rPr/>
            </w:r>
            <w:hyperlink w:history="true" w:anchor="_bookmark2525">
              <w:r>
                <w:rPr>
                  <w:color w:val="005DA1"/>
                  <w:spacing w:val="-2"/>
                  <w:sz w:val="14"/>
                  <w:u w:val="single" w:color="005DA1"/>
                </w:rPr>
                <w:t>1322</w:t>
              </w:r>
            </w:hyperlink>
            <w:r>
              <w:rPr>
                <w:spacing w:val="-2"/>
                <w:sz w:val="14"/>
              </w:rPr>
              <w:t>.</w:t>
            </w:r>
          </w:p>
        </w:tc>
        <w:tc>
          <w:tcPr>
            <w:tcW w:w="8620" w:type="dxa"/>
          </w:tcPr>
          <w:p>
            <w:pPr>
              <w:pStyle w:val="TableParagraph"/>
              <w:spacing w:before="114"/>
              <w:jc w:val="left"/>
              <w:rPr>
                <w:sz w:val="20"/>
              </w:rPr>
            </w:pPr>
            <w:r>
              <w:rPr>
                <w:sz w:val="20"/>
              </w:rPr>
              <w:t>Rome Convention art.14(1), Rome I Regulation art.18(1), below, paras 30-354 et </w:t>
            </w:r>
            <w:r>
              <w:rPr>
                <w:spacing w:val="-4"/>
                <w:sz w:val="20"/>
              </w:rPr>
              <w:t>seq.</w:t>
            </w:r>
          </w:p>
        </w:tc>
      </w:tr>
      <w:tr>
        <w:trPr>
          <w:trHeight w:val="465" w:hRule="atLeast"/>
        </w:trPr>
        <w:tc>
          <w:tcPr>
            <w:tcW w:w="496" w:type="dxa"/>
          </w:tcPr>
          <w:p>
            <w:pPr>
              <w:pStyle w:val="TableParagraph"/>
              <w:ind w:left="0" w:right="43"/>
              <w:rPr>
                <w:sz w:val="14"/>
              </w:rPr>
            </w:pPr>
            <w:bookmarkStart w:name="_bookmark2541" w:id="2543"/>
            <w:bookmarkEnd w:id="2543"/>
            <w:r>
              <w:rPr/>
            </w:r>
            <w:hyperlink w:history="true" w:anchor="_bookmark2525">
              <w:r>
                <w:rPr>
                  <w:color w:val="005DA1"/>
                  <w:spacing w:val="-2"/>
                  <w:sz w:val="14"/>
                  <w:u w:val="single" w:color="005DA1"/>
                </w:rPr>
                <w:t>1323</w:t>
              </w:r>
            </w:hyperlink>
            <w:r>
              <w:rPr>
                <w:spacing w:val="-2"/>
                <w:sz w:val="14"/>
              </w:rPr>
              <w:t>.</w:t>
            </w:r>
          </w:p>
        </w:tc>
        <w:tc>
          <w:tcPr>
            <w:tcW w:w="8620" w:type="dxa"/>
          </w:tcPr>
          <w:p>
            <w:pPr>
              <w:pStyle w:val="TableParagraph"/>
              <w:spacing w:before="114"/>
              <w:jc w:val="left"/>
              <w:rPr>
                <w:sz w:val="20"/>
              </w:rPr>
            </w:pPr>
            <w:r>
              <w:rPr>
                <w:sz w:val="20"/>
              </w:rPr>
              <w:t>Rome Convention art.14(2), Rome I Regulation art.18(2), below, para.30-</w:t>
            </w:r>
            <w:r>
              <w:rPr>
                <w:spacing w:val="-4"/>
                <w:sz w:val="20"/>
              </w:rPr>
              <w:t>356.</w:t>
            </w:r>
          </w:p>
        </w:tc>
      </w:tr>
      <w:tr>
        <w:trPr>
          <w:trHeight w:val="690" w:hRule="atLeast"/>
        </w:trPr>
        <w:tc>
          <w:tcPr>
            <w:tcW w:w="496" w:type="dxa"/>
          </w:tcPr>
          <w:p>
            <w:pPr>
              <w:pStyle w:val="TableParagraph"/>
              <w:ind w:left="0" w:right="43"/>
              <w:rPr>
                <w:sz w:val="14"/>
              </w:rPr>
            </w:pPr>
            <w:bookmarkStart w:name="_bookmark2542" w:id="2544"/>
            <w:bookmarkEnd w:id="2544"/>
            <w:r>
              <w:rPr/>
            </w:r>
            <w:hyperlink w:history="true" w:anchor="_bookmark2526">
              <w:r>
                <w:rPr>
                  <w:color w:val="005DA1"/>
                  <w:spacing w:val="-2"/>
                  <w:sz w:val="14"/>
                  <w:u w:val="single" w:color="005DA1"/>
                </w:rPr>
                <w:t>1324</w:t>
              </w:r>
            </w:hyperlink>
            <w:r>
              <w:rPr>
                <w:spacing w:val="-2"/>
                <w:sz w:val="14"/>
              </w:rPr>
              <w:t>.</w:t>
            </w:r>
          </w:p>
        </w:tc>
        <w:tc>
          <w:tcPr>
            <w:tcW w:w="8620" w:type="dxa"/>
          </w:tcPr>
          <w:p>
            <w:pPr>
              <w:pStyle w:val="TableParagraph"/>
              <w:spacing w:line="235" w:lineRule="auto" w:before="118"/>
              <w:jc w:val="left"/>
              <w:rPr>
                <w:sz w:val="20"/>
              </w:rPr>
            </w:pPr>
            <w:r>
              <w:rPr>
                <w:sz w:val="20"/>
              </w:rPr>
              <w:t>e.g.</w:t>
            </w:r>
            <w:r>
              <w:rPr>
                <w:spacing w:val="22"/>
                <w:sz w:val="20"/>
              </w:rPr>
              <w:t> </w:t>
            </w:r>
            <w:r>
              <w:rPr>
                <w:rFonts w:ascii="Arial" w:hAnsi="Arial"/>
                <w:i/>
                <w:sz w:val="20"/>
              </w:rPr>
              <w:t>The</w:t>
            </w:r>
            <w:r>
              <w:rPr>
                <w:rFonts w:ascii="Arial" w:hAnsi="Arial"/>
                <w:i/>
                <w:spacing w:val="22"/>
                <w:sz w:val="20"/>
              </w:rPr>
              <w:t> </w:t>
            </w:r>
            <w:r>
              <w:rPr>
                <w:rFonts w:ascii="Arial" w:hAnsi="Arial"/>
                <w:i/>
                <w:sz w:val="20"/>
              </w:rPr>
              <w:t>Roberta</w:t>
            </w:r>
            <w:r>
              <w:rPr>
                <w:rFonts w:ascii="Arial" w:hAnsi="Arial"/>
                <w:i/>
                <w:spacing w:val="22"/>
                <w:sz w:val="20"/>
              </w:rPr>
              <w:t> </w:t>
            </w:r>
            <w:r>
              <w:rPr>
                <w:rFonts w:ascii="Arial" w:hAnsi="Arial"/>
                <w:i/>
                <w:sz w:val="20"/>
              </w:rPr>
              <w:t>(1937)</w:t>
            </w:r>
            <w:r>
              <w:rPr>
                <w:rFonts w:ascii="Arial" w:hAnsi="Arial"/>
                <w:i/>
                <w:spacing w:val="22"/>
                <w:sz w:val="20"/>
              </w:rPr>
              <w:t> </w:t>
            </w:r>
            <w:r>
              <w:rPr>
                <w:rFonts w:ascii="Arial" w:hAnsi="Arial"/>
                <w:i/>
                <w:sz w:val="20"/>
              </w:rPr>
              <w:t>58</w:t>
            </w:r>
            <w:r>
              <w:rPr>
                <w:rFonts w:ascii="Arial" w:hAnsi="Arial"/>
                <w:i/>
                <w:spacing w:val="22"/>
                <w:sz w:val="20"/>
              </w:rPr>
              <w:t> </w:t>
            </w:r>
            <w:r>
              <w:rPr>
                <w:rFonts w:ascii="Arial" w:hAnsi="Arial"/>
                <w:i/>
                <w:sz w:val="20"/>
              </w:rPr>
              <w:t>Ll.L.</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159</w:t>
            </w:r>
            <w:r>
              <w:rPr>
                <w:sz w:val="20"/>
              </w:rPr>
              <w:t>.</w:t>
            </w:r>
            <w:r>
              <w:rPr>
                <w:spacing w:val="22"/>
                <w:sz w:val="20"/>
              </w:rPr>
              <w:t> </w:t>
            </w:r>
            <w:r>
              <w:rPr>
                <w:sz w:val="20"/>
              </w:rPr>
              <w:t>For</w:t>
            </w:r>
            <w:r>
              <w:rPr>
                <w:spacing w:val="22"/>
                <w:sz w:val="20"/>
              </w:rPr>
              <w:t> </w:t>
            </w:r>
            <w:r>
              <w:rPr>
                <w:sz w:val="20"/>
              </w:rPr>
              <w:t>criticism,</w:t>
            </w:r>
            <w:r>
              <w:rPr>
                <w:spacing w:val="22"/>
                <w:sz w:val="20"/>
              </w:rPr>
              <w:t> </w:t>
            </w:r>
            <w:r>
              <w:rPr>
                <w:sz w:val="20"/>
              </w:rPr>
              <w:t>see</w:t>
            </w:r>
            <w:r>
              <w:rPr>
                <w:spacing w:val="22"/>
                <w:sz w:val="20"/>
              </w:rPr>
              <w:t> </w:t>
            </w:r>
            <w:r>
              <w:rPr>
                <w:sz w:val="20"/>
              </w:rPr>
              <w:t>Dicey,</w:t>
            </w:r>
            <w:r>
              <w:rPr>
                <w:spacing w:val="22"/>
                <w:sz w:val="20"/>
              </w:rPr>
              <w:t> </w:t>
            </w:r>
            <w:r>
              <w:rPr>
                <w:sz w:val="20"/>
              </w:rPr>
              <w:t>Morris</w:t>
            </w:r>
            <w:r>
              <w:rPr>
                <w:spacing w:val="22"/>
                <w:sz w:val="20"/>
              </w:rPr>
              <w:t> </w:t>
            </w:r>
            <w:r>
              <w:rPr>
                <w:sz w:val="20"/>
              </w:rPr>
              <w:t>and</w:t>
            </w:r>
            <w:r>
              <w:rPr>
                <w:spacing w:val="22"/>
                <w:sz w:val="20"/>
              </w:rPr>
              <w:t> </w:t>
            </w:r>
            <w:r>
              <w:rPr>
                <w:sz w:val="20"/>
              </w:rPr>
              <w:t>Collins,</w:t>
            </w:r>
            <w:r>
              <w:rPr>
                <w:spacing w:val="22"/>
                <w:sz w:val="20"/>
              </w:rPr>
              <w:t> </w:t>
            </w:r>
            <w:r>
              <w:rPr>
                <w:sz w:val="20"/>
              </w:rPr>
              <w:t>15th edn (2012), para.7–034; Cheshire, North and Fawcett, pp.88–89.</w:t>
            </w:r>
          </w:p>
        </w:tc>
      </w:tr>
      <w:tr>
        <w:trPr>
          <w:trHeight w:val="344" w:hRule="atLeast"/>
        </w:trPr>
        <w:tc>
          <w:tcPr>
            <w:tcW w:w="496" w:type="dxa"/>
          </w:tcPr>
          <w:p>
            <w:pPr>
              <w:pStyle w:val="TableParagraph"/>
              <w:ind w:left="0" w:right="43"/>
              <w:rPr>
                <w:sz w:val="14"/>
              </w:rPr>
            </w:pPr>
            <w:bookmarkStart w:name="_bookmark2543" w:id="2545"/>
            <w:bookmarkEnd w:id="2545"/>
            <w:r>
              <w:rPr/>
            </w:r>
            <w:hyperlink w:history="true" w:anchor="_bookmark2527">
              <w:r>
                <w:rPr>
                  <w:color w:val="005DA1"/>
                  <w:spacing w:val="-2"/>
                  <w:sz w:val="14"/>
                  <w:u w:val="single" w:color="005DA1"/>
                </w:rPr>
                <w:t>1325</w:t>
              </w:r>
            </w:hyperlink>
            <w:r>
              <w:rPr>
                <w:spacing w:val="-2"/>
                <w:sz w:val="14"/>
              </w:rPr>
              <w:t>.</w:t>
            </w:r>
          </w:p>
        </w:tc>
        <w:tc>
          <w:tcPr>
            <w:tcW w:w="8620" w:type="dxa"/>
          </w:tcPr>
          <w:p>
            <w:pPr>
              <w:pStyle w:val="TableParagraph"/>
              <w:spacing w:line="210" w:lineRule="exact" w:before="114"/>
              <w:jc w:val="left"/>
              <w:rPr>
                <w:sz w:val="20"/>
              </w:rPr>
            </w:pPr>
            <w:r>
              <w:rPr>
                <w:sz w:val="20"/>
              </w:rPr>
              <w:t>Giuliano-Lagarde Report, </w:t>
            </w:r>
            <w:r>
              <w:rPr>
                <w:spacing w:val="-2"/>
                <w:sz w:val="20"/>
              </w:rPr>
              <w:t>p.36.</w:t>
            </w:r>
          </w:p>
        </w:tc>
      </w:tr>
    </w:tbl>
    <w:p>
      <w:pPr>
        <w:pStyle w:val="BodyText"/>
        <w:spacing w:before="129"/>
      </w:pPr>
    </w:p>
    <w:p>
      <w:pPr>
        <w:pStyle w:val="BodyText"/>
        <w:spacing w:line="235" w:lineRule="auto"/>
        <w:ind w:left="705" w:right="167" w:hanging="541"/>
        <w:jc w:val="both"/>
        <w:rPr>
          <w:rFonts w:ascii="Arial"/>
          <w:i/>
        </w:rPr>
      </w:pPr>
      <w:bookmarkStart w:name="_bookmark2544" w:id="2546"/>
      <w:bookmarkEnd w:id="2546"/>
      <w:r>
        <w:rPr/>
      </w:r>
      <w:hyperlink w:history="true" w:anchor="_bookmark2528">
        <w:r>
          <w:rPr>
            <w:color w:val="005DA1"/>
            <w:u w:val="single" w:color="005DA1"/>
            <w:vertAlign w:val="superscript"/>
          </w:rPr>
          <w:t>1326</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Giuliano-Lagarde Report, p.36. For possible examples in English law see above, para.7-</w:t>
      </w:r>
      <w:r>
        <w:rPr>
          <w:vertAlign w:val="baseline"/>
        </w:rPr>
        <w:t>075 (Misrepresentation Act 1967 s.2(1)); paras 15-078, 15-100 (Unfair Contract Terms Act 1977 ss.11(5), 12(3)); Vol.II, para.38-222 (Unfair Terms in Consumer Contracts Regulations 1999 reg.5(4); for seller or supplier who claims that a term was individually negotiated to show that it was) (for contracts entered into after October 1, 2015, the Unfair Terms in Consumer Contracts Regulations 1999 are replaced by the Consumer Rights Act 2015); para.39-506 (Consumer Credit Act 1974 s.171(4)(b); Consumer Protection (Distance Selling) Regulations 2000 reg.21(3);</w:t>
      </w:r>
      <w:r>
        <w:rPr>
          <w:spacing w:val="-3"/>
          <w:vertAlign w:val="baseline"/>
        </w:rPr>
        <w:t> </w:t>
      </w:r>
      <w:r>
        <w:rPr>
          <w:vertAlign w:val="baseline"/>
        </w:rPr>
        <w:t>if</w:t>
      </w:r>
      <w:r>
        <w:rPr>
          <w:spacing w:val="-3"/>
          <w:vertAlign w:val="baseline"/>
        </w:rPr>
        <w:t> </w:t>
      </w:r>
      <w:r>
        <w:rPr>
          <w:vertAlign w:val="baseline"/>
        </w:rPr>
        <w:t>in</w:t>
      </w:r>
      <w:r>
        <w:rPr>
          <w:spacing w:val="-3"/>
          <w:vertAlign w:val="baseline"/>
        </w:rPr>
        <w:t> </w:t>
      </w:r>
      <w:r>
        <w:rPr>
          <w:vertAlign w:val="baseline"/>
        </w:rPr>
        <w:t>proceedings</w:t>
      </w:r>
      <w:r>
        <w:rPr>
          <w:spacing w:val="-3"/>
          <w:vertAlign w:val="baseline"/>
        </w:rPr>
        <w:t> </w:t>
      </w:r>
      <w:r>
        <w:rPr>
          <w:vertAlign w:val="baseline"/>
        </w:rPr>
        <w:t>falling</w:t>
      </w:r>
      <w:r>
        <w:rPr>
          <w:spacing w:val="-3"/>
          <w:vertAlign w:val="baseline"/>
        </w:rPr>
        <w:t> </w:t>
      </w:r>
      <w:r>
        <w:rPr>
          <w:vertAlign w:val="baseline"/>
        </w:rPr>
        <w:t>within</w:t>
      </w:r>
      <w:r>
        <w:rPr>
          <w:spacing w:val="-3"/>
          <w:vertAlign w:val="baseline"/>
        </w:rPr>
        <w:t> </w:t>
      </w:r>
      <w:r>
        <w:rPr>
          <w:vertAlign w:val="baseline"/>
        </w:rPr>
        <w:t>reg.21(1)</w:t>
      </w:r>
      <w:r>
        <w:rPr>
          <w:spacing w:val="-3"/>
          <w:vertAlign w:val="baseline"/>
        </w:rPr>
        <w:t> </w:t>
      </w:r>
      <w:r>
        <w:rPr>
          <w:vertAlign w:val="baseline"/>
        </w:rPr>
        <w:t>or</w:t>
      </w:r>
      <w:r>
        <w:rPr>
          <w:spacing w:val="-3"/>
          <w:vertAlign w:val="baseline"/>
        </w:rPr>
        <w:t> </w:t>
      </w:r>
      <w:r>
        <w:rPr>
          <w:vertAlign w:val="baseline"/>
        </w:rPr>
        <w:t>(2),</w:t>
      </w:r>
      <w:r>
        <w:rPr>
          <w:spacing w:val="-3"/>
          <w:vertAlign w:val="baseline"/>
        </w:rPr>
        <w:t> </w:t>
      </w:r>
      <w:r>
        <w:rPr>
          <w:vertAlign w:val="baseline"/>
        </w:rPr>
        <w:t>a</w:t>
      </w:r>
      <w:r>
        <w:rPr>
          <w:spacing w:val="-3"/>
          <w:vertAlign w:val="baseline"/>
        </w:rPr>
        <w:t> </w:t>
      </w:r>
      <w:r>
        <w:rPr>
          <w:vertAlign w:val="baseline"/>
        </w:rPr>
        <w:t>consumer</w:t>
      </w:r>
      <w:r>
        <w:rPr>
          <w:spacing w:val="-3"/>
          <w:vertAlign w:val="baseline"/>
        </w:rPr>
        <w:t> </w:t>
      </w:r>
      <w:r>
        <w:rPr>
          <w:vertAlign w:val="baseline"/>
        </w:rPr>
        <w:t>alleges</w:t>
      </w:r>
      <w:r>
        <w:rPr>
          <w:spacing w:val="-3"/>
          <w:vertAlign w:val="baseline"/>
        </w:rPr>
        <w:t> </w:t>
      </w:r>
      <w:r>
        <w:rPr>
          <w:vertAlign w:val="baseline"/>
        </w:rPr>
        <w:t>that</w:t>
      </w:r>
      <w:r>
        <w:rPr>
          <w:spacing w:val="-3"/>
          <w:vertAlign w:val="baseline"/>
        </w:rPr>
        <w:t> </w:t>
      </w:r>
      <w:r>
        <w:rPr>
          <w:vertAlign w:val="baseline"/>
        </w:rPr>
        <w:t>any</w:t>
      </w:r>
      <w:r>
        <w:rPr>
          <w:spacing w:val="-3"/>
          <w:vertAlign w:val="baseline"/>
        </w:rPr>
        <w:t> </w:t>
      </w:r>
      <w:r>
        <w:rPr>
          <w:vertAlign w:val="baseline"/>
        </w:rPr>
        <w:t>use</w:t>
      </w:r>
      <w:r>
        <w:rPr>
          <w:spacing w:val="-3"/>
          <w:vertAlign w:val="baseline"/>
        </w:rPr>
        <w:t> </w:t>
      </w:r>
      <w:r>
        <w:rPr>
          <w:vertAlign w:val="baseline"/>
        </w:rPr>
        <w:t>made of a payment card was not authorised by him it is for card issuer to prove that the use was authorised); (plaintiff has legal burden of proving fault when frustration pleaded as defence to action</w:t>
      </w:r>
      <w:r>
        <w:rPr>
          <w:spacing w:val="12"/>
          <w:vertAlign w:val="baseline"/>
        </w:rPr>
        <w:t> </w:t>
      </w:r>
      <w:r>
        <w:rPr>
          <w:vertAlign w:val="baseline"/>
        </w:rPr>
        <w:t>on</w:t>
      </w:r>
      <w:r>
        <w:rPr>
          <w:spacing w:val="12"/>
          <w:vertAlign w:val="baseline"/>
        </w:rPr>
        <w:t> </w:t>
      </w:r>
      <w:r>
        <w:rPr>
          <w:vertAlign w:val="baseline"/>
        </w:rPr>
        <w:t>contract:</w:t>
      </w:r>
      <w:r>
        <w:rPr>
          <w:spacing w:val="12"/>
          <w:vertAlign w:val="baseline"/>
        </w:rPr>
        <w:t> </w:t>
      </w:r>
      <w:r>
        <w:rPr>
          <w:rFonts w:ascii="Arial"/>
          <w:i/>
          <w:vertAlign w:val="baseline"/>
        </w:rPr>
        <w:t>Joseph</w:t>
      </w:r>
      <w:r>
        <w:rPr>
          <w:rFonts w:ascii="Arial"/>
          <w:i/>
          <w:spacing w:val="12"/>
          <w:vertAlign w:val="baseline"/>
        </w:rPr>
        <w:t> </w:t>
      </w:r>
      <w:r>
        <w:rPr>
          <w:rFonts w:ascii="Arial"/>
          <w:i/>
          <w:vertAlign w:val="baseline"/>
        </w:rPr>
        <w:t>Constantine</w:t>
      </w:r>
      <w:r>
        <w:rPr>
          <w:rFonts w:ascii="Arial"/>
          <w:i/>
          <w:spacing w:val="12"/>
          <w:vertAlign w:val="baseline"/>
        </w:rPr>
        <w:t> </w:t>
      </w:r>
      <w:r>
        <w:rPr>
          <w:rFonts w:ascii="Arial"/>
          <w:i/>
          <w:vertAlign w:val="baseline"/>
        </w:rPr>
        <w:t>S.S.</w:t>
      </w:r>
      <w:r>
        <w:rPr>
          <w:rFonts w:ascii="Arial"/>
          <w:i/>
          <w:spacing w:val="12"/>
          <w:vertAlign w:val="baseline"/>
        </w:rPr>
        <w:t> </w:t>
      </w:r>
      <w:r>
        <w:rPr>
          <w:rFonts w:ascii="Arial"/>
          <w:i/>
          <w:vertAlign w:val="baseline"/>
        </w:rPr>
        <w:t>Line</w:t>
      </w:r>
      <w:r>
        <w:rPr>
          <w:rFonts w:ascii="Arial"/>
          <w:i/>
          <w:spacing w:val="12"/>
          <w:vertAlign w:val="baseline"/>
        </w:rPr>
        <w:t> </w:t>
      </w:r>
      <w:r>
        <w:rPr>
          <w:rFonts w:ascii="Arial"/>
          <w:i/>
          <w:vertAlign w:val="baseline"/>
        </w:rPr>
        <w:t>Ltd</w:t>
      </w:r>
      <w:r>
        <w:rPr>
          <w:rFonts w:ascii="Arial"/>
          <w:i/>
          <w:spacing w:val="12"/>
          <w:vertAlign w:val="baseline"/>
        </w:rPr>
        <w:t> </w:t>
      </w:r>
      <w:r>
        <w:rPr>
          <w:rFonts w:ascii="Arial"/>
          <w:i/>
          <w:vertAlign w:val="baseline"/>
        </w:rPr>
        <w:t>v</w:t>
      </w:r>
      <w:r>
        <w:rPr>
          <w:rFonts w:ascii="Arial"/>
          <w:i/>
          <w:spacing w:val="12"/>
          <w:vertAlign w:val="baseline"/>
        </w:rPr>
        <w:t> </w:t>
      </w:r>
      <w:r>
        <w:rPr>
          <w:rFonts w:ascii="Arial"/>
          <w:i/>
          <w:vertAlign w:val="baseline"/>
        </w:rPr>
        <w:t>Imperial</w:t>
      </w:r>
      <w:r>
        <w:rPr>
          <w:rFonts w:ascii="Arial"/>
          <w:i/>
          <w:spacing w:val="12"/>
          <w:vertAlign w:val="baseline"/>
        </w:rPr>
        <w:t> </w:t>
      </w:r>
      <w:r>
        <w:rPr>
          <w:rFonts w:ascii="Arial"/>
          <w:i/>
          <w:vertAlign w:val="baseline"/>
        </w:rPr>
        <w:t>Smelting</w:t>
      </w:r>
      <w:r>
        <w:rPr>
          <w:rFonts w:ascii="Arial"/>
          <w:i/>
          <w:spacing w:val="12"/>
          <w:vertAlign w:val="baseline"/>
        </w:rPr>
        <w:t> </w:t>
      </w:r>
      <w:r>
        <w:rPr>
          <w:rFonts w:ascii="Arial"/>
          <w:i/>
          <w:vertAlign w:val="baseline"/>
        </w:rPr>
        <w:t>Corp</w:t>
      </w:r>
      <w:r>
        <w:rPr>
          <w:rFonts w:ascii="Arial"/>
          <w:i/>
          <w:spacing w:val="12"/>
          <w:vertAlign w:val="baseline"/>
        </w:rPr>
        <w:t> </w:t>
      </w:r>
      <w:r>
        <w:rPr>
          <w:rFonts w:ascii="Arial"/>
          <w:i/>
          <w:vertAlign w:val="baseline"/>
        </w:rPr>
        <w:t>Ltd</w:t>
      </w:r>
      <w:r>
        <w:rPr>
          <w:rFonts w:ascii="Arial"/>
          <w:i/>
          <w:spacing w:val="12"/>
          <w:vertAlign w:val="baseline"/>
        </w:rPr>
        <w:t> </w:t>
      </w:r>
      <w:r>
        <w:rPr>
          <w:rFonts w:ascii="Arial"/>
          <w:i/>
          <w:vertAlign w:val="baseline"/>
        </w:rPr>
        <w:t>[1942]</w:t>
      </w:r>
      <w:r>
        <w:rPr>
          <w:rFonts w:ascii="Arial"/>
          <w:i/>
          <w:spacing w:val="12"/>
          <w:vertAlign w:val="baseline"/>
        </w:rPr>
        <w:t> </w:t>
      </w:r>
      <w:r>
        <w:rPr>
          <w:rFonts w:ascii="Arial"/>
          <w:i/>
          <w:spacing w:val="-4"/>
          <w:vertAlign w:val="baseline"/>
        </w:rPr>
        <w:t>A.C.</w:t>
      </w:r>
    </w:p>
    <w:p>
      <w:pPr>
        <w:pStyle w:val="BodyText"/>
        <w:spacing w:after="0" w:line="235" w:lineRule="auto"/>
        <w:jc w:val="both"/>
        <w:rPr>
          <w:rFonts w:ascii="Arial"/>
          <w:i/>
        </w:rPr>
        <w:sectPr>
          <w:pgSz w:w="11900" w:h="16840"/>
          <w:pgMar w:header="971" w:footer="0" w:top="1300" w:bottom="280" w:left="1275" w:right="1275"/>
        </w:sectPr>
      </w:pPr>
    </w:p>
    <w:p>
      <w:pPr>
        <w:pStyle w:val="BodyText"/>
        <w:spacing w:line="235" w:lineRule="auto" w:before="110"/>
        <w:ind w:left="705" w:right="167"/>
        <w:jc w:val="both"/>
      </w:pPr>
      <w:r>
        <w:rPr>
          <w:rFonts w:ascii="Arial"/>
          <w:i/>
        </w:rPr>
        <w:t>154</w:t>
      </w:r>
      <w:r>
        <w:rPr/>
        <w:t>); para.15-155 (burden of proof and force majeure clauses); para.25-024 (burden on party seeking to enforce altered instrument to show that alteration made in circumstances such </w:t>
      </w:r>
      <w:r>
        <w:rPr/>
        <w:t>as</w:t>
      </w:r>
      <w:r>
        <w:rPr>
          <w:spacing w:val="40"/>
        </w:rPr>
        <w:t> </w:t>
      </w:r>
      <w:r>
        <w:rPr/>
        <w:t>not</w:t>
      </w:r>
      <w:r>
        <w:rPr>
          <w:spacing w:val="-3"/>
        </w:rPr>
        <w:t> </w:t>
      </w:r>
      <w:r>
        <w:rPr/>
        <w:t>to</w:t>
      </w:r>
      <w:r>
        <w:rPr>
          <w:spacing w:val="-3"/>
        </w:rPr>
        <w:t> </w:t>
      </w:r>
      <w:r>
        <w:rPr/>
        <w:t>invalidate</w:t>
      </w:r>
      <w:r>
        <w:rPr>
          <w:spacing w:val="-3"/>
        </w:rPr>
        <w:t> </w:t>
      </w:r>
      <w:r>
        <w:rPr/>
        <w:t>it);</w:t>
      </w:r>
      <w:r>
        <w:rPr>
          <w:spacing w:val="-3"/>
        </w:rPr>
        <w:t> </w:t>
      </w:r>
      <w:r>
        <w:rPr/>
        <w:t>Vol.II,</w:t>
      </w:r>
      <w:r>
        <w:rPr>
          <w:spacing w:val="-3"/>
        </w:rPr>
        <w:t> </w:t>
      </w:r>
      <w:r>
        <w:rPr/>
        <w:t>para.33-012</w:t>
      </w:r>
      <w:r>
        <w:rPr>
          <w:spacing w:val="-3"/>
        </w:rPr>
        <w:t> </w:t>
      </w:r>
      <w:r>
        <w:rPr/>
        <w:t>(burden</w:t>
      </w:r>
      <w:r>
        <w:rPr>
          <w:spacing w:val="-3"/>
        </w:rPr>
        <w:t> </w:t>
      </w:r>
      <w:r>
        <w:rPr/>
        <w:t>of</w:t>
      </w:r>
      <w:r>
        <w:rPr>
          <w:spacing w:val="-3"/>
        </w:rPr>
        <w:t> </w:t>
      </w:r>
      <w:r>
        <w:rPr/>
        <w:t>proving</w:t>
      </w:r>
      <w:r>
        <w:rPr>
          <w:spacing w:val="-3"/>
        </w:rPr>
        <w:t> </w:t>
      </w:r>
      <w:r>
        <w:rPr/>
        <w:t>loss</w:t>
      </w:r>
      <w:r>
        <w:rPr>
          <w:spacing w:val="-3"/>
        </w:rPr>
        <w:t> </w:t>
      </w:r>
      <w:r>
        <w:rPr/>
        <w:t>not</w:t>
      </w:r>
      <w:r>
        <w:rPr>
          <w:spacing w:val="-3"/>
        </w:rPr>
        <w:t> </w:t>
      </w:r>
      <w:r>
        <w:rPr/>
        <w:t>caused</w:t>
      </w:r>
      <w:r>
        <w:rPr>
          <w:spacing w:val="-3"/>
        </w:rPr>
        <w:t> </w:t>
      </w:r>
      <w:r>
        <w:rPr/>
        <w:t>by</w:t>
      </w:r>
      <w:r>
        <w:rPr>
          <w:spacing w:val="-3"/>
        </w:rPr>
        <w:t> </w:t>
      </w:r>
      <w:r>
        <w:rPr/>
        <w:t>failure</w:t>
      </w:r>
      <w:r>
        <w:rPr>
          <w:spacing w:val="-3"/>
        </w:rPr>
        <w:t> </w:t>
      </w:r>
      <w:r>
        <w:rPr/>
        <w:t>to</w:t>
      </w:r>
      <w:r>
        <w:rPr>
          <w:spacing w:val="-3"/>
        </w:rPr>
        <w:t> </w:t>
      </w:r>
      <w:r>
        <w:rPr/>
        <w:t>take</w:t>
      </w:r>
      <w:r>
        <w:rPr>
          <w:spacing w:val="-3"/>
        </w:rPr>
        <w:t> </w:t>
      </w:r>
      <w:r>
        <w:rPr/>
        <w:t>care rests</w:t>
      </w:r>
      <w:r>
        <w:rPr>
          <w:spacing w:val="-3"/>
        </w:rPr>
        <w:t> </w:t>
      </w:r>
      <w:r>
        <w:rPr/>
        <w:t>on</w:t>
      </w:r>
      <w:r>
        <w:rPr>
          <w:spacing w:val="-3"/>
        </w:rPr>
        <w:t> </w:t>
      </w:r>
      <w:r>
        <w:rPr/>
        <w:t>bailee);</w:t>
      </w:r>
      <w:r>
        <w:rPr>
          <w:spacing w:val="-3"/>
        </w:rPr>
        <w:t> </w:t>
      </w:r>
      <w:r>
        <w:rPr/>
        <w:t>Vol.II,</w:t>
      </w:r>
      <w:r>
        <w:rPr>
          <w:spacing w:val="-3"/>
        </w:rPr>
        <w:t> </w:t>
      </w:r>
      <w:r>
        <w:rPr/>
        <w:t>para.42-101</w:t>
      </w:r>
      <w:r>
        <w:rPr>
          <w:spacing w:val="-3"/>
        </w:rPr>
        <w:t> </w:t>
      </w:r>
      <w:r>
        <w:rPr/>
        <w:t>(insurance);</w:t>
      </w:r>
      <w:r>
        <w:rPr>
          <w:spacing w:val="-3"/>
        </w:rPr>
        <w:t> </w:t>
      </w:r>
      <w:r>
        <w:rPr/>
        <w:t>Consumer</w:t>
      </w:r>
      <w:r>
        <w:rPr>
          <w:spacing w:val="-3"/>
        </w:rPr>
        <w:t> </w:t>
      </w:r>
      <w:r>
        <w:rPr/>
        <w:t>Contracts</w:t>
      </w:r>
      <w:r>
        <w:rPr>
          <w:spacing w:val="-3"/>
        </w:rPr>
        <w:t> </w:t>
      </w:r>
      <w:r>
        <w:rPr/>
        <w:t>(Information,</w:t>
      </w:r>
      <w:r>
        <w:rPr>
          <w:spacing w:val="-3"/>
        </w:rPr>
        <w:t> </w:t>
      </w:r>
      <w:r>
        <w:rPr/>
        <w:t>Cancellation and Additional Charges) Regulations 2013 reg.17 (Vol.II, para.38-090) and Consumer </w:t>
      </w:r>
      <w:r>
        <w:rPr/>
        <w:t>Rights Act 2015 s.2(4) (Vol.II, para.38-354).</w:t>
      </w:r>
    </w:p>
    <w:p>
      <w:pPr>
        <w:pStyle w:val="BodyText"/>
        <w:spacing w:before="8"/>
      </w:pPr>
    </w:p>
    <w:p>
      <w:pPr>
        <w:pStyle w:val="BodyText"/>
        <w:spacing w:line="235" w:lineRule="auto"/>
        <w:ind w:left="705" w:right="167" w:hanging="541"/>
        <w:jc w:val="both"/>
      </w:pPr>
      <w:bookmarkStart w:name="_bookmark2545" w:id="2547"/>
      <w:bookmarkEnd w:id="2547"/>
      <w:r>
        <w:rPr/>
      </w:r>
      <w:hyperlink w:history="true" w:anchor="_bookmark2529">
        <w:r>
          <w:rPr>
            <w:color w:val="005DA1"/>
            <w:position w:val="5"/>
            <w:sz w:val="14"/>
            <w:u w:val="single" w:color="005DA1"/>
          </w:rPr>
          <w:t>1327</w:t>
        </w:r>
      </w:hyperlink>
      <w:r>
        <w:rPr>
          <w:position w:val="5"/>
          <w:sz w:val="14"/>
        </w:rPr>
        <w:t>.</w:t>
      </w:r>
      <w:r>
        <w:rPr>
          <w:spacing w:val="80"/>
          <w:position w:val="5"/>
          <w:sz w:val="14"/>
        </w:rPr>
        <w:t> </w:t>
      </w:r>
      <w:r>
        <w:rPr/>
        <w:t>This is clearly stated in the text of Rome Convention art.14(1) and the Rome I Regulation art.18(1).</w:t>
      </w:r>
      <w:r>
        <w:rPr>
          <w:spacing w:val="-2"/>
        </w:rPr>
        <w:t> </w:t>
      </w:r>
      <w:r>
        <w:rPr/>
        <w:t>In</w:t>
      </w:r>
      <w:r>
        <w:rPr>
          <w:spacing w:val="-2"/>
        </w:rPr>
        <w:t> </w:t>
      </w:r>
      <w:r>
        <w:rPr/>
        <w:t>some</w:t>
      </w:r>
      <w:r>
        <w:rPr>
          <w:spacing w:val="-2"/>
        </w:rPr>
        <w:t> </w:t>
      </w:r>
      <w:r>
        <w:rPr/>
        <w:t>cases,</w:t>
      </w:r>
      <w:r>
        <w:rPr>
          <w:spacing w:val="-2"/>
        </w:rPr>
        <w:t> </w:t>
      </w:r>
      <w:r>
        <w:rPr/>
        <w:t>however,</w:t>
      </w:r>
      <w:r>
        <w:rPr>
          <w:spacing w:val="-2"/>
        </w:rPr>
        <w:t> </w:t>
      </w:r>
      <w:r>
        <w:rPr/>
        <w:t>a</w:t>
      </w:r>
      <w:r>
        <w:rPr>
          <w:spacing w:val="-2"/>
        </w:rPr>
        <w:t> </w:t>
      </w:r>
      <w:r>
        <w:rPr/>
        <w:t>rule</w:t>
      </w:r>
      <w:r>
        <w:rPr>
          <w:spacing w:val="-2"/>
        </w:rPr>
        <w:t> </w:t>
      </w:r>
      <w:r>
        <w:rPr/>
        <w:t>formulated</w:t>
      </w:r>
      <w:r>
        <w:rPr>
          <w:spacing w:val="-2"/>
        </w:rPr>
        <w:t> </w:t>
      </w:r>
      <w:r>
        <w:rPr/>
        <w:t>as</w:t>
      </w:r>
      <w:r>
        <w:rPr>
          <w:spacing w:val="-2"/>
        </w:rPr>
        <w:t> </w:t>
      </w:r>
      <w:r>
        <w:rPr/>
        <w:t>presumption</w:t>
      </w:r>
      <w:r>
        <w:rPr>
          <w:spacing w:val="-2"/>
        </w:rPr>
        <w:t> </w:t>
      </w:r>
      <w:r>
        <w:rPr/>
        <w:t>of</w:t>
      </w:r>
      <w:r>
        <w:rPr>
          <w:spacing w:val="-2"/>
        </w:rPr>
        <w:t> </w:t>
      </w:r>
      <w:r>
        <w:rPr/>
        <w:t>law</w:t>
      </w:r>
      <w:r>
        <w:rPr>
          <w:spacing w:val="-2"/>
        </w:rPr>
        <w:t> </w:t>
      </w:r>
      <w:r>
        <w:rPr/>
        <w:t>in</w:t>
      </w:r>
      <w:r>
        <w:rPr>
          <w:spacing w:val="-2"/>
        </w:rPr>
        <w:t> </w:t>
      </w:r>
      <w:r>
        <w:rPr/>
        <w:t>one</w:t>
      </w:r>
      <w:r>
        <w:rPr>
          <w:spacing w:val="-2"/>
        </w:rPr>
        <w:t> </w:t>
      </w:r>
      <w:r>
        <w:rPr/>
        <w:t>legal</w:t>
      </w:r>
      <w:r>
        <w:rPr>
          <w:spacing w:val="-2"/>
        </w:rPr>
        <w:t> </w:t>
      </w:r>
      <w:r>
        <w:rPr/>
        <w:t>system, may not be so formulated in another. In the Giuliano-Lagarde Report, p.36, reference is made</w:t>
      </w:r>
      <w:r>
        <w:rPr>
          <w:spacing w:val="40"/>
        </w:rPr>
        <w:t> </w:t>
      </w:r>
      <w:r>
        <w:rPr/>
        <w:t>to a procedural presumption: “[W]hereby the claim of a party who appears is deemed to be substantiated if the other party fails to appear, or the rule making silence on the party to an action with regard to the facts alleged by the other party equivalent to an admission of those facts”, but neither of these rules involves any “presumption” in English law.</w:t>
      </w:r>
    </w:p>
    <w:p>
      <w:pPr>
        <w:pStyle w:val="BodyText"/>
        <w:spacing w:before="3"/>
      </w:pPr>
    </w:p>
    <w:p>
      <w:pPr>
        <w:pStyle w:val="BodyText"/>
        <w:spacing w:before="1"/>
        <w:ind w:left="165"/>
      </w:pPr>
      <w:bookmarkStart w:name="_bookmark2546" w:id="2548"/>
      <w:bookmarkEnd w:id="2548"/>
      <w:r>
        <w:rPr/>
      </w:r>
      <w:hyperlink w:history="true" w:anchor="_bookmark2530">
        <w:r>
          <w:rPr>
            <w:color w:val="005DA1"/>
            <w:position w:val="5"/>
            <w:sz w:val="14"/>
            <w:u w:val="single" w:color="005DA1"/>
          </w:rPr>
          <w:t>1328</w:t>
        </w:r>
      </w:hyperlink>
      <w:r>
        <w:rPr>
          <w:position w:val="5"/>
          <w:sz w:val="14"/>
        </w:rPr>
        <w:t>.</w:t>
      </w:r>
      <w:r>
        <w:rPr>
          <w:spacing w:val="55"/>
          <w:position w:val="5"/>
          <w:sz w:val="14"/>
        </w:rPr>
        <w:t>  </w:t>
      </w:r>
      <w:r>
        <w:rPr/>
        <w:t>Dicey,</w:t>
      </w:r>
      <w:r>
        <w:rPr>
          <w:spacing w:val="1"/>
        </w:rPr>
        <w:t> </w:t>
      </w:r>
      <w:r>
        <w:rPr/>
        <w:t>Morris and Collins, 15th edn (2012), </w:t>
      </w:r>
      <w:r>
        <w:rPr>
          <w:spacing w:val="-2"/>
        </w:rPr>
        <w:t>para.7–036.</w:t>
      </w:r>
    </w:p>
    <w:p>
      <w:pPr>
        <w:pStyle w:val="BodyText"/>
        <w:spacing w:before="4"/>
      </w:pPr>
    </w:p>
    <w:p>
      <w:pPr>
        <w:pStyle w:val="BodyText"/>
        <w:spacing w:before="1"/>
        <w:ind w:left="165"/>
      </w:pPr>
      <w:bookmarkStart w:name="_bookmark2547" w:id="2549"/>
      <w:bookmarkEnd w:id="2549"/>
      <w:r>
        <w:rPr/>
      </w:r>
      <w:hyperlink w:history="true" w:anchor="_bookmark2531">
        <w:r>
          <w:rPr>
            <w:color w:val="005DA1"/>
            <w:position w:val="5"/>
            <w:sz w:val="14"/>
            <w:u w:val="single" w:color="005DA1"/>
          </w:rPr>
          <w:t>1329</w:t>
        </w:r>
      </w:hyperlink>
      <w:r>
        <w:rPr>
          <w:position w:val="5"/>
          <w:sz w:val="14"/>
        </w:rPr>
        <w:t>.</w:t>
      </w:r>
      <w:r>
        <w:rPr>
          <w:spacing w:val="55"/>
          <w:position w:val="5"/>
          <w:sz w:val="14"/>
        </w:rPr>
        <w:t>  </w:t>
      </w:r>
      <w:r>
        <w:rPr/>
        <w:t>Dicey,</w:t>
      </w:r>
      <w:r>
        <w:rPr>
          <w:spacing w:val="1"/>
        </w:rPr>
        <w:t> </w:t>
      </w:r>
      <w:r>
        <w:rPr/>
        <w:t>Morris and Collins, 15th edn (2012), </w:t>
      </w:r>
      <w:r>
        <w:rPr>
          <w:spacing w:val="-2"/>
        </w:rPr>
        <w:t>para.7–036.</w:t>
      </w:r>
    </w:p>
    <w:p>
      <w:pPr>
        <w:pStyle w:val="BodyText"/>
        <w:spacing w:before="4"/>
      </w:pPr>
    </w:p>
    <w:p>
      <w:pPr>
        <w:pStyle w:val="BodyText"/>
        <w:spacing w:before="1"/>
        <w:ind w:left="165"/>
      </w:pPr>
      <w:bookmarkStart w:name="_bookmark2548" w:id="2550"/>
      <w:bookmarkEnd w:id="2550"/>
      <w:r>
        <w:rPr/>
      </w:r>
      <w:hyperlink w:history="true" w:anchor="_bookmark2532">
        <w:r>
          <w:rPr>
            <w:color w:val="005DA1"/>
            <w:position w:val="5"/>
            <w:sz w:val="14"/>
            <w:u w:val="single" w:color="005DA1"/>
          </w:rPr>
          <w:t>1330</w:t>
        </w:r>
      </w:hyperlink>
      <w:r>
        <w:rPr>
          <w:position w:val="5"/>
          <w:sz w:val="14"/>
        </w:rPr>
        <w:t>.</w:t>
      </w:r>
      <w:r>
        <w:rPr>
          <w:spacing w:val="55"/>
          <w:position w:val="5"/>
          <w:sz w:val="14"/>
        </w:rPr>
        <w:t>  </w:t>
      </w:r>
      <w:r>
        <w:rPr/>
        <w:t>It</w:t>
      </w:r>
      <w:r>
        <w:rPr>
          <w:spacing w:val="1"/>
        </w:rPr>
        <w:t> </w:t>
      </w:r>
      <w:r>
        <w:rPr/>
        <w:t>is noteworthy that the Giuliano-Lagarde Report gives no </w:t>
      </w:r>
      <w:r>
        <w:rPr>
          <w:spacing w:val="-2"/>
        </w:rPr>
        <w:t>examples.</w:t>
      </w:r>
    </w:p>
    <w:p>
      <w:pPr>
        <w:pStyle w:val="BodyText"/>
        <w:spacing w:before="12"/>
      </w:pPr>
    </w:p>
    <w:p>
      <w:pPr>
        <w:spacing w:line="137" w:lineRule="exact" w:before="0"/>
        <w:ind w:left="165" w:right="0" w:firstLine="0"/>
        <w:jc w:val="left"/>
        <w:rPr>
          <w:sz w:val="14"/>
        </w:rPr>
      </w:pPr>
      <w:bookmarkStart w:name="_bookmark2549" w:id="2551"/>
      <w:bookmarkEnd w:id="2551"/>
      <w:r>
        <w:rPr/>
      </w:r>
      <w:hyperlink w:history="true" w:anchor="_bookmark2533">
        <w:r>
          <w:rPr>
            <w:color w:val="005DA1"/>
            <w:spacing w:val="-2"/>
            <w:sz w:val="14"/>
            <w:u w:val="single" w:color="005DA1"/>
          </w:rPr>
          <w:t>1331</w:t>
        </w:r>
      </w:hyperlink>
      <w:r>
        <w:rPr>
          <w:spacing w:val="-2"/>
          <w:sz w:val="14"/>
        </w:rPr>
        <w:t>.</w:t>
      </w:r>
    </w:p>
    <w:p>
      <w:pPr>
        <w:pStyle w:val="BodyText"/>
        <w:spacing w:line="206" w:lineRule="exact"/>
        <w:ind w:left="875"/>
      </w:pPr>
      <w:r>
        <w:rPr/>
        <w:drawing>
          <wp:anchor distT="0" distB="0" distL="0" distR="0" allowOverlap="1" layoutInCell="1" locked="0" behindDoc="0" simplePos="0" relativeHeight="15770112">
            <wp:simplePos x="0" y="0"/>
            <wp:positionH relativeFrom="page">
              <wp:posOffset>1257846</wp:posOffset>
            </wp:positionH>
            <wp:positionV relativeFrom="paragraph">
              <wp:posOffset>12753</wp:posOffset>
            </wp:positionV>
            <wp:extent cx="107988" cy="107988"/>
            <wp:effectExtent l="0" t="0" r="0" b="0"/>
            <wp:wrapNone/>
            <wp:docPr id="184" name="Image 184"/>
            <wp:cNvGraphicFramePr>
              <a:graphicFrameLocks/>
            </wp:cNvGraphicFramePr>
            <a:graphic>
              <a:graphicData uri="http://schemas.openxmlformats.org/drawingml/2006/picture">
                <pic:pic>
                  <pic:nvPicPr>
                    <pic:cNvPr id="184" name="Image 184"/>
                    <pic:cNvPicPr/>
                  </pic:nvPicPr>
                  <pic:blipFill>
                    <a:blip r:embed="rId6" cstate="print"/>
                    <a:stretch>
                      <a:fillRect/>
                    </a:stretch>
                  </pic:blipFill>
                  <pic:spPr>
                    <a:xfrm>
                      <a:off x="0" y="0"/>
                      <a:ext cx="107988" cy="107988"/>
                    </a:xfrm>
                    <a:prstGeom prst="rect">
                      <a:avLst/>
                    </a:prstGeom>
                  </pic:spPr>
                </pic:pic>
              </a:graphicData>
            </a:graphic>
          </wp:anchor>
        </w:drawing>
      </w:r>
      <w:r>
        <w:rPr/>
        <w:t>See,</w:t>
      </w:r>
      <w:r>
        <w:rPr>
          <w:spacing w:val="48"/>
        </w:rPr>
        <w:t> </w:t>
      </w:r>
      <w:r>
        <w:rPr/>
        <w:t>e.g.</w:t>
      </w:r>
      <w:r>
        <w:rPr>
          <w:spacing w:val="48"/>
        </w:rPr>
        <w:t> </w:t>
      </w:r>
      <w:r>
        <w:rPr/>
        <w:t>Unfair</w:t>
      </w:r>
      <w:r>
        <w:rPr>
          <w:spacing w:val="48"/>
        </w:rPr>
        <w:t> </w:t>
      </w:r>
      <w:r>
        <w:rPr/>
        <w:t>Contract</w:t>
      </w:r>
      <w:r>
        <w:rPr>
          <w:spacing w:val="48"/>
        </w:rPr>
        <w:t> </w:t>
      </w:r>
      <w:r>
        <w:rPr/>
        <w:t>Terms</w:t>
      </w:r>
      <w:r>
        <w:rPr>
          <w:spacing w:val="48"/>
        </w:rPr>
        <w:t> </w:t>
      </w:r>
      <w:r>
        <w:rPr/>
        <w:t>Act</w:t>
      </w:r>
      <w:r>
        <w:rPr>
          <w:spacing w:val="48"/>
        </w:rPr>
        <w:t> </w:t>
      </w:r>
      <w:r>
        <w:rPr/>
        <w:t>1977</w:t>
      </w:r>
      <w:r>
        <w:rPr>
          <w:spacing w:val="48"/>
        </w:rPr>
        <w:t> </w:t>
      </w:r>
      <w:r>
        <w:rPr/>
        <w:t>s.12(2);</w:t>
      </w:r>
      <w:r>
        <w:rPr>
          <w:spacing w:val="48"/>
        </w:rPr>
        <w:t> </w:t>
      </w:r>
      <w:r>
        <w:rPr/>
        <w:t>Unfair</w:t>
      </w:r>
      <w:r>
        <w:rPr>
          <w:spacing w:val="48"/>
        </w:rPr>
        <w:t> </w:t>
      </w:r>
      <w:r>
        <w:rPr/>
        <w:t>Terms</w:t>
      </w:r>
      <w:r>
        <w:rPr>
          <w:spacing w:val="48"/>
        </w:rPr>
        <w:t> </w:t>
      </w:r>
      <w:r>
        <w:rPr/>
        <w:t>in</w:t>
      </w:r>
      <w:r>
        <w:rPr>
          <w:spacing w:val="48"/>
        </w:rPr>
        <w:t> </w:t>
      </w:r>
      <w:r>
        <w:rPr/>
        <w:t>Consumer</w:t>
      </w:r>
      <w:r>
        <w:rPr>
          <w:spacing w:val="48"/>
        </w:rPr>
        <w:t> </w:t>
      </w:r>
      <w:r>
        <w:rPr>
          <w:spacing w:val="-2"/>
        </w:rPr>
        <w:t>Contracts</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794" w:hRule="atLeast"/>
        </w:trPr>
        <w:tc>
          <w:tcPr>
            <w:tcW w:w="496" w:type="dxa"/>
          </w:tcPr>
          <w:p>
            <w:pPr>
              <w:pStyle w:val="TableParagraph"/>
              <w:spacing w:before="0"/>
              <w:ind w:left="0"/>
              <w:jc w:val="left"/>
              <w:rPr>
                <w:rFonts w:ascii="Times New Roman"/>
                <w:sz w:val="18"/>
              </w:rPr>
            </w:pPr>
          </w:p>
        </w:tc>
        <w:tc>
          <w:tcPr>
            <w:tcW w:w="8620" w:type="dxa"/>
          </w:tcPr>
          <w:p>
            <w:pPr>
              <w:pStyle w:val="TableParagraph"/>
              <w:spacing w:line="235" w:lineRule="auto" w:before="0"/>
              <w:ind w:right="48"/>
              <w:jc w:val="both"/>
              <w:rPr>
                <w:sz w:val="20"/>
              </w:rPr>
            </w:pPr>
            <w:r>
              <w:rPr>
                <w:sz w:val="20"/>
              </w:rPr>
              <w:t>Regulations</w:t>
            </w:r>
            <w:r>
              <w:rPr>
                <w:spacing w:val="-2"/>
                <w:sz w:val="20"/>
              </w:rPr>
              <w:t> </w:t>
            </w:r>
            <w:r>
              <w:rPr>
                <w:sz w:val="20"/>
              </w:rPr>
              <w:t>1999</w:t>
            </w:r>
            <w:r>
              <w:rPr>
                <w:spacing w:val="-2"/>
                <w:sz w:val="20"/>
              </w:rPr>
              <w:t> </w:t>
            </w:r>
            <w:r>
              <w:rPr>
                <w:sz w:val="20"/>
              </w:rPr>
              <w:t>reg.5(4),</w:t>
            </w:r>
            <w:r>
              <w:rPr>
                <w:spacing w:val="-2"/>
                <w:sz w:val="20"/>
              </w:rPr>
              <w:t> </w:t>
            </w:r>
            <w:r>
              <w:rPr>
                <w:sz w:val="20"/>
              </w:rPr>
              <w:t>Vol.II,</w:t>
            </w:r>
            <w:r>
              <w:rPr>
                <w:spacing w:val="-2"/>
                <w:sz w:val="20"/>
              </w:rPr>
              <w:t> </w:t>
            </w:r>
            <w:r>
              <w:rPr>
                <w:sz w:val="20"/>
              </w:rPr>
              <w:t>para.38-222.</w:t>
            </w:r>
            <w:r>
              <w:rPr>
                <w:spacing w:val="-2"/>
                <w:sz w:val="20"/>
              </w:rPr>
              <w:t> </w:t>
            </w:r>
            <w:r>
              <w:rPr>
                <w:sz w:val="20"/>
              </w:rPr>
              <w:t>For</w:t>
            </w:r>
            <w:r>
              <w:rPr>
                <w:spacing w:val="-2"/>
                <w:sz w:val="20"/>
              </w:rPr>
              <w:t> </w:t>
            </w:r>
            <w:r>
              <w:rPr>
                <w:sz w:val="20"/>
              </w:rPr>
              <w:t>contracts</w:t>
            </w:r>
            <w:r>
              <w:rPr>
                <w:spacing w:val="-2"/>
                <w:sz w:val="20"/>
              </w:rPr>
              <w:t> </w:t>
            </w:r>
            <w:r>
              <w:rPr>
                <w:sz w:val="20"/>
              </w:rPr>
              <w:t>entered</w:t>
            </w:r>
            <w:r>
              <w:rPr>
                <w:spacing w:val="-2"/>
                <w:sz w:val="20"/>
              </w:rPr>
              <w:t> </w:t>
            </w:r>
            <w:r>
              <w:rPr>
                <w:sz w:val="20"/>
              </w:rPr>
              <w:t>into</w:t>
            </w:r>
            <w:r>
              <w:rPr>
                <w:spacing w:val="-2"/>
                <w:sz w:val="20"/>
              </w:rPr>
              <w:t> </w:t>
            </w:r>
            <w:r>
              <w:rPr>
                <w:sz w:val="20"/>
              </w:rPr>
              <w:t>after</w:t>
            </w:r>
            <w:r>
              <w:rPr>
                <w:spacing w:val="-2"/>
                <w:sz w:val="20"/>
              </w:rPr>
              <w:t> </w:t>
            </w:r>
            <w:r>
              <w:rPr>
                <w:sz w:val="20"/>
              </w:rPr>
              <w:t>October</w:t>
            </w:r>
            <w:r>
              <w:rPr>
                <w:spacing w:val="-2"/>
                <w:sz w:val="20"/>
              </w:rPr>
              <w:t> </w:t>
            </w:r>
            <w:r>
              <w:rPr>
                <w:sz w:val="20"/>
              </w:rPr>
              <w:t>1,</w:t>
            </w:r>
            <w:r>
              <w:rPr>
                <w:spacing w:val="-2"/>
                <w:sz w:val="20"/>
              </w:rPr>
              <w:t> </w:t>
            </w:r>
            <w:r>
              <w:rPr>
                <w:sz w:val="20"/>
              </w:rPr>
              <w:t>2015, the Unfair Terms in Consumer Contracts Regulations 1999 are replaced by the Consumer Rights Act 2015.</w:t>
            </w:r>
          </w:p>
        </w:tc>
      </w:tr>
      <w:tr>
        <w:trPr>
          <w:trHeight w:val="465" w:hRule="atLeast"/>
        </w:trPr>
        <w:tc>
          <w:tcPr>
            <w:tcW w:w="496" w:type="dxa"/>
          </w:tcPr>
          <w:p>
            <w:pPr>
              <w:pStyle w:val="TableParagraph"/>
              <w:ind w:left="0" w:right="43"/>
              <w:rPr>
                <w:sz w:val="14"/>
              </w:rPr>
            </w:pPr>
            <w:bookmarkStart w:name="_bookmark2550" w:id="2552"/>
            <w:bookmarkEnd w:id="2552"/>
            <w:r>
              <w:rPr/>
            </w:r>
            <w:hyperlink w:history="true" w:anchor="_bookmark2534">
              <w:r>
                <w:rPr>
                  <w:color w:val="005DA1"/>
                  <w:spacing w:val="-2"/>
                  <w:sz w:val="14"/>
                  <w:u w:val="single" w:color="005DA1"/>
                </w:rPr>
                <w:t>1332</w:t>
              </w:r>
            </w:hyperlink>
            <w:r>
              <w:rPr>
                <w:spacing w:val="-2"/>
                <w:sz w:val="14"/>
              </w:rPr>
              <w:t>.</w:t>
            </w:r>
          </w:p>
        </w:tc>
        <w:tc>
          <w:tcPr>
            <w:tcW w:w="8620" w:type="dxa"/>
          </w:tcPr>
          <w:p>
            <w:pPr>
              <w:pStyle w:val="TableParagraph"/>
              <w:spacing w:before="114"/>
              <w:jc w:val="left"/>
              <w:rPr>
                <w:sz w:val="20"/>
              </w:rPr>
            </w:pPr>
            <w:r>
              <w:rPr>
                <w:sz w:val="20"/>
              </w:rPr>
              <w:t>Above, paras 8-078 et </w:t>
            </w:r>
            <w:r>
              <w:rPr>
                <w:spacing w:val="-4"/>
                <w:sz w:val="20"/>
              </w:rPr>
              <w:t>seq.</w:t>
            </w:r>
          </w:p>
        </w:tc>
      </w:tr>
      <w:tr>
        <w:trPr>
          <w:trHeight w:val="465" w:hRule="atLeast"/>
        </w:trPr>
        <w:tc>
          <w:tcPr>
            <w:tcW w:w="496" w:type="dxa"/>
          </w:tcPr>
          <w:p>
            <w:pPr>
              <w:pStyle w:val="TableParagraph"/>
              <w:ind w:left="0" w:right="43"/>
              <w:rPr>
                <w:sz w:val="14"/>
              </w:rPr>
            </w:pPr>
            <w:bookmarkStart w:name="_bookmark2551" w:id="2553"/>
            <w:bookmarkEnd w:id="2553"/>
            <w:r>
              <w:rPr/>
            </w:r>
            <w:hyperlink w:history="true" w:anchor="_bookmark2535">
              <w:r>
                <w:rPr>
                  <w:color w:val="005DA1"/>
                  <w:spacing w:val="-2"/>
                  <w:sz w:val="14"/>
                  <w:u w:val="single" w:color="005DA1"/>
                </w:rPr>
                <w:t>1333</w:t>
              </w:r>
            </w:hyperlink>
            <w:r>
              <w:rPr>
                <w:spacing w:val="-2"/>
                <w:sz w:val="14"/>
              </w:rPr>
              <w:t>.</w:t>
            </w:r>
          </w:p>
        </w:tc>
        <w:tc>
          <w:tcPr>
            <w:tcW w:w="8620" w:type="dxa"/>
          </w:tcPr>
          <w:p>
            <w:pPr>
              <w:pStyle w:val="TableParagraph"/>
              <w:spacing w:before="114"/>
              <w:jc w:val="left"/>
              <w:rPr>
                <w:sz w:val="20"/>
              </w:rPr>
            </w:pPr>
            <w:r>
              <w:rPr>
                <w:sz w:val="20"/>
              </w:rPr>
              <w:t>See text at nn.1331-1336, </w:t>
            </w:r>
            <w:r>
              <w:rPr>
                <w:spacing w:val="-2"/>
                <w:sz w:val="20"/>
              </w:rPr>
              <w:t>above.</w:t>
            </w:r>
          </w:p>
        </w:tc>
      </w:tr>
      <w:tr>
        <w:trPr>
          <w:trHeight w:val="465" w:hRule="atLeast"/>
        </w:trPr>
        <w:tc>
          <w:tcPr>
            <w:tcW w:w="496" w:type="dxa"/>
          </w:tcPr>
          <w:p>
            <w:pPr>
              <w:pStyle w:val="TableParagraph"/>
              <w:ind w:left="0" w:right="43"/>
              <w:rPr>
                <w:sz w:val="14"/>
              </w:rPr>
            </w:pPr>
            <w:bookmarkStart w:name="_bookmark2552" w:id="2554"/>
            <w:bookmarkEnd w:id="2554"/>
            <w:r>
              <w:rPr/>
            </w:r>
            <w:hyperlink w:history="true" w:anchor="_bookmark2536">
              <w:r>
                <w:rPr>
                  <w:color w:val="005DA1"/>
                  <w:spacing w:val="-2"/>
                  <w:sz w:val="14"/>
                  <w:u w:val="single" w:color="005DA1"/>
                </w:rPr>
                <w:t>1334</w:t>
              </w:r>
            </w:hyperlink>
            <w:r>
              <w:rPr>
                <w:spacing w:val="-2"/>
                <w:sz w:val="14"/>
              </w:rPr>
              <w:t>.</w:t>
            </w:r>
          </w:p>
        </w:tc>
        <w:tc>
          <w:tcPr>
            <w:tcW w:w="8620" w:type="dxa"/>
          </w:tcPr>
          <w:p>
            <w:pPr>
              <w:pStyle w:val="TableParagraph"/>
              <w:spacing w:before="114"/>
              <w:jc w:val="left"/>
              <w:rPr>
                <w:sz w:val="20"/>
              </w:rPr>
            </w:pPr>
            <w:r>
              <w:rPr>
                <w:sz w:val="20"/>
              </w:rPr>
              <w:t>Above, para.30-</w:t>
            </w:r>
            <w:r>
              <w:rPr>
                <w:spacing w:val="-4"/>
                <w:sz w:val="20"/>
              </w:rPr>
              <w:t>312.</w:t>
            </w:r>
          </w:p>
        </w:tc>
      </w:tr>
      <w:tr>
        <w:trPr>
          <w:trHeight w:val="690" w:hRule="atLeast"/>
        </w:trPr>
        <w:tc>
          <w:tcPr>
            <w:tcW w:w="496" w:type="dxa"/>
          </w:tcPr>
          <w:p>
            <w:pPr>
              <w:pStyle w:val="TableParagraph"/>
              <w:ind w:left="0" w:right="43"/>
              <w:rPr>
                <w:sz w:val="14"/>
              </w:rPr>
            </w:pPr>
            <w:bookmarkStart w:name="_bookmark2553" w:id="2555"/>
            <w:bookmarkEnd w:id="2555"/>
            <w:r>
              <w:rPr/>
            </w:r>
            <w:hyperlink w:history="true" w:anchor="_bookmark2537">
              <w:r>
                <w:rPr>
                  <w:color w:val="005DA1"/>
                  <w:spacing w:val="-2"/>
                  <w:sz w:val="14"/>
                  <w:u w:val="single" w:color="005DA1"/>
                </w:rPr>
                <w:t>1335</w:t>
              </w:r>
            </w:hyperlink>
            <w:r>
              <w:rPr>
                <w:spacing w:val="-2"/>
                <w:sz w:val="14"/>
              </w:rPr>
              <w:t>.</w:t>
            </w:r>
          </w:p>
        </w:tc>
        <w:tc>
          <w:tcPr>
            <w:tcW w:w="8620" w:type="dxa"/>
          </w:tcPr>
          <w:p>
            <w:pPr>
              <w:pStyle w:val="TableParagraph"/>
              <w:spacing w:line="235" w:lineRule="auto" w:before="118"/>
              <w:ind w:right="49"/>
              <w:jc w:val="left"/>
              <w:rPr>
                <w:sz w:val="20"/>
              </w:rPr>
            </w:pPr>
            <w:r>
              <w:rPr>
                <w:sz w:val="20"/>
              </w:rPr>
              <w:t>For</w:t>
            </w:r>
            <w:r>
              <w:rPr>
                <w:spacing w:val="29"/>
                <w:sz w:val="20"/>
              </w:rPr>
              <w:t> </w:t>
            </w:r>
            <w:r>
              <w:rPr>
                <w:sz w:val="20"/>
              </w:rPr>
              <w:t>the</w:t>
            </w:r>
            <w:r>
              <w:rPr>
                <w:spacing w:val="29"/>
                <w:sz w:val="20"/>
              </w:rPr>
              <w:t> </w:t>
            </w:r>
            <w:r>
              <w:rPr>
                <w:sz w:val="20"/>
              </w:rPr>
              <w:t>possible</w:t>
            </w:r>
            <w:r>
              <w:rPr>
                <w:spacing w:val="29"/>
                <w:sz w:val="20"/>
              </w:rPr>
              <w:t> </w:t>
            </w:r>
            <w:r>
              <w:rPr>
                <w:sz w:val="20"/>
              </w:rPr>
              <w:t>effect</w:t>
            </w:r>
            <w:r>
              <w:rPr>
                <w:spacing w:val="29"/>
                <w:sz w:val="20"/>
              </w:rPr>
              <w:t> </w:t>
            </w:r>
            <w:r>
              <w:rPr>
                <w:sz w:val="20"/>
              </w:rPr>
              <w:t>of</w:t>
            </w:r>
            <w:r>
              <w:rPr>
                <w:spacing w:val="29"/>
                <w:sz w:val="20"/>
              </w:rPr>
              <w:t> </w:t>
            </w:r>
            <w:r>
              <w:rPr>
                <w:sz w:val="20"/>
              </w:rPr>
              <w:t>this</w:t>
            </w:r>
            <w:r>
              <w:rPr>
                <w:spacing w:val="29"/>
                <w:sz w:val="20"/>
              </w:rPr>
              <w:t> </w:t>
            </w:r>
            <w:r>
              <w:rPr>
                <w:sz w:val="20"/>
              </w:rPr>
              <w:t>provision</w:t>
            </w:r>
            <w:r>
              <w:rPr>
                <w:spacing w:val="29"/>
                <w:sz w:val="20"/>
              </w:rPr>
              <w:t> </w:t>
            </w:r>
            <w:r>
              <w:rPr>
                <w:sz w:val="20"/>
              </w:rPr>
              <w:t>on</w:t>
            </w:r>
            <w:r>
              <w:rPr>
                <w:spacing w:val="29"/>
                <w:sz w:val="20"/>
              </w:rPr>
              <w:t> </w:t>
            </w:r>
            <w:r>
              <w:rPr>
                <w:rFonts w:ascii="Arial"/>
                <w:i/>
                <w:sz w:val="20"/>
              </w:rPr>
              <w:t>Leroux</w:t>
            </w:r>
            <w:r>
              <w:rPr>
                <w:rFonts w:ascii="Arial"/>
                <w:i/>
                <w:spacing w:val="29"/>
                <w:sz w:val="20"/>
              </w:rPr>
              <w:t> </w:t>
            </w:r>
            <w:r>
              <w:rPr>
                <w:rFonts w:ascii="Arial"/>
                <w:i/>
                <w:sz w:val="20"/>
              </w:rPr>
              <w:t>v</w:t>
            </w:r>
            <w:r>
              <w:rPr>
                <w:rFonts w:ascii="Arial"/>
                <w:i/>
                <w:spacing w:val="29"/>
                <w:sz w:val="20"/>
              </w:rPr>
              <w:t> </w:t>
            </w:r>
            <w:r>
              <w:rPr>
                <w:rFonts w:ascii="Arial"/>
                <w:i/>
                <w:sz w:val="20"/>
              </w:rPr>
              <w:t>Brown</w:t>
            </w:r>
            <w:r>
              <w:rPr>
                <w:rFonts w:ascii="Arial"/>
                <w:i/>
                <w:spacing w:val="29"/>
                <w:sz w:val="20"/>
              </w:rPr>
              <w:t> </w:t>
            </w:r>
            <w:r>
              <w:rPr>
                <w:rFonts w:ascii="Arial"/>
                <w:i/>
                <w:sz w:val="20"/>
              </w:rPr>
              <w:t>(1852)</w:t>
            </w:r>
            <w:r>
              <w:rPr>
                <w:rFonts w:ascii="Arial"/>
                <w:i/>
                <w:spacing w:val="29"/>
                <w:sz w:val="20"/>
              </w:rPr>
              <w:t> </w:t>
            </w:r>
            <w:r>
              <w:rPr>
                <w:rFonts w:ascii="Arial"/>
                <w:i/>
                <w:sz w:val="20"/>
              </w:rPr>
              <w:t>12</w:t>
            </w:r>
            <w:r>
              <w:rPr>
                <w:rFonts w:ascii="Arial"/>
                <w:i/>
                <w:spacing w:val="29"/>
                <w:sz w:val="20"/>
              </w:rPr>
              <w:t> </w:t>
            </w:r>
            <w:r>
              <w:rPr>
                <w:rFonts w:ascii="Arial"/>
                <w:i/>
                <w:sz w:val="20"/>
              </w:rPr>
              <w:t>C.B.</w:t>
            </w:r>
            <w:r>
              <w:rPr>
                <w:rFonts w:ascii="Arial"/>
                <w:i/>
                <w:spacing w:val="29"/>
                <w:sz w:val="20"/>
              </w:rPr>
              <w:t> </w:t>
            </w:r>
            <w:r>
              <w:rPr>
                <w:rFonts w:ascii="Arial"/>
                <w:i/>
                <w:sz w:val="20"/>
              </w:rPr>
              <w:t>801</w:t>
            </w:r>
            <w:r>
              <w:rPr>
                <w:sz w:val="20"/>
              </w:rPr>
              <w:t>,</w:t>
            </w:r>
            <w:r>
              <w:rPr>
                <w:spacing w:val="29"/>
                <w:sz w:val="20"/>
              </w:rPr>
              <w:t> </w:t>
            </w:r>
            <w:r>
              <w:rPr>
                <w:sz w:val="20"/>
              </w:rPr>
              <w:t>see</w:t>
            </w:r>
            <w:r>
              <w:rPr>
                <w:spacing w:val="29"/>
                <w:sz w:val="20"/>
              </w:rPr>
              <w:t> </w:t>
            </w:r>
            <w:r>
              <w:rPr>
                <w:sz w:val="20"/>
              </w:rPr>
              <w:t>above, </w:t>
            </w:r>
            <w:r>
              <w:rPr>
                <w:spacing w:val="-2"/>
                <w:sz w:val="20"/>
              </w:rPr>
              <w:t>para.30-312.</w:t>
            </w:r>
          </w:p>
        </w:tc>
      </w:tr>
      <w:tr>
        <w:trPr>
          <w:trHeight w:val="344" w:hRule="atLeast"/>
        </w:trPr>
        <w:tc>
          <w:tcPr>
            <w:tcW w:w="496" w:type="dxa"/>
          </w:tcPr>
          <w:p>
            <w:pPr>
              <w:pStyle w:val="TableParagraph"/>
              <w:ind w:left="0" w:right="43"/>
              <w:rPr>
                <w:sz w:val="14"/>
              </w:rPr>
            </w:pPr>
            <w:bookmarkStart w:name="_bookmark2554" w:id="2556"/>
            <w:bookmarkEnd w:id="2556"/>
            <w:r>
              <w:rPr/>
            </w:r>
            <w:hyperlink w:history="true" w:anchor="_bookmark2538">
              <w:r>
                <w:rPr>
                  <w:color w:val="005DA1"/>
                  <w:spacing w:val="-2"/>
                  <w:sz w:val="14"/>
                  <w:u w:val="single" w:color="005DA1"/>
                </w:rPr>
                <w:t>1336</w:t>
              </w:r>
            </w:hyperlink>
            <w:r>
              <w:rPr>
                <w:spacing w:val="-2"/>
                <w:sz w:val="14"/>
              </w:rPr>
              <w:t>.</w:t>
            </w:r>
          </w:p>
        </w:tc>
        <w:tc>
          <w:tcPr>
            <w:tcW w:w="8620" w:type="dxa"/>
          </w:tcPr>
          <w:p>
            <w:pPr>
              <w:pStyle w:val="TableParagraph"/>
              <w:spacing w:line="210" w:lineRule="exact" w:before="114"/>
              <w:jc w:val="left"/>
              <w:rPr>
                <w:sz w:val="20"/>
              </w:rPr>
            </w:pPr>
            <w:r>
              <w:rPr>
                <w:sz w:val="20"/>
              </w:rPr>
              <w:t>See Giuliano-Lagarde Report, </w:t>
            </w:r>
            <w:r>
              <w:rPr>
                <w:spacing w:val="-2"/>
                <w:sz w:val="20"/>
              </w:rPr>
              <w:t>pp.36–37.</w:t>
            </w:r>
          </w:p>
        </w:tc>
      </w:tr>
    </w:tbl>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5. - Scope of the Applicable </w:t>
      </w:r>
      <w:r>
        <w:rPr>
          <w:rFonts w:ascii="Arial"/>
          <w:b/>
          <w:spacing w:val="-5"/>
          <w:sz w:val="24"/>
        </w:rPr>
        <w:t>Law</w:t>
      </w:r>
    </w:p>
    <w:p>
      <w:pPr>
        <w:pStyle w:val="ListParagraph"/>
        <w:numPr>
          <w:ilvl w:val="0"/>
          <w:numId w:val="4"/>
        </w:numPr>
        <w:tabs>
          <w:tab w:pos="3077" w:val="left" w:leader="none"/>
        </w:tabs>
        <w:spacing w:line="240" w:lineRule="auto" w:before="194" w:after="0"/>
        <w:ind w:left="3077" w:right="0" w:hanging="306"/>
        <w:jc w:val="left"/>
        <w:rPr>
          <w:b/>
          <w:position w:val="11"/>
          <w:sz w:val="12"/>
        </w:rPr>
      </w:pPr>
      <w:bookmarkStart w:name="_bookmark2555" w:id="2557"/>
      <w:bookmarkEnd w:id="2557"/>
      <w:r>
        <w:rPr/>
      </w:r>
      <w:r>
        <w:rPr>
          <w:b/>
          <w:sz w:val="24"/>
        </w:rPr>
        <w:t>- Illegality and Public Policy </w:t>
      </w:r>
      <w:r>
        <w:rPr>
          <w:b/>
          <w:color w:val="005DA1"/>
          <w:spacing w:val="-4"/>
          <w:position w:val="11"/>
          <w:sz w:val="12"/>
          <w:u w:val="single" w:color="005DA1"/>
        </w:rPr>
        <w:t>1337</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Illegality</w:t>
      </w:r>
    </w:p>
    <w:p>
      <w:pPr>
        <w:pStyle w:val="BodyText"/>
        <w:spacing w:before="42"/>
        <w:rPr>
          <w:rFonts w:ascii="Arial"/>
          <w:b/>
          <w:sz w:val="18"/>
        </w:rPr>
      </w:pPr>
    </w:p>
    <w:p>
      <w:pPr>
        <w:pStyle w:val="Heading2"/>
      </w:pPr>
      <w:r>
        <w:rPr/>
        <w:t>30-</w:t>
      </w:r>
      <w:r>
        <w:rPr>
          <w:spacing w:val="-5"/>
        </w:rPr>
        <w:t>357</w:t>
      </w:r>
    </w:p>
    <w:p>
      <w:pPr>
        <w:pStyle w:val="BodyText"/>
        <w:spacing w:line="235" w:lineRule="auto" w:before="202"/>
        <w:ind w:left="165" w:right="167"/>
        <w:jc w:val="both"/>
      </w:pPr>
      <w:bookmarkStart w:name="_bookmark2556" w:id="2558"/>
      <w:bookmarkEnd w:id="2558"/>
      <w:r>
        <w:rPr/>
      </w:r>
      <w:r>
        <w:rPr/>
        <w:t>The question of whether a contract is unenforceable or void for illegality justifies separate </w:t>
      </w:r>
      <w:r>
        <w:rPr/>
        <w:t>treatment because it involves reference to a number of different principles at common law </w:t>
      </w:r>
      <w:r>
        <w:rPr>
          <w:color w:val="005DA1"/>
          <w:u w:val="single" w:color="005DA1"/>
          <w:vertAlign w:val="superscript"/>
        </w:rPr>
        <w:t>1338</w:t>
      </w:r>
      <w:r>
        <w:rPr>
          <w:color w:val="005DA1"/>
          <w:vertAlign w:val="baseline"/>
        </w:rPr>
        <w:t> </w:t>
      </w:r>
      <w:r>
        <w:rPr>
          <w:vertAlign w:val="baseline"/>
        </w:rPr>
        <w:t>and possible reference to several provisions of, respectively, the Rome Convention and the Rome I Regulation.</w:t>
      </w:r>
    </w:p>
    <w:p>
      <w:pPr>
        <w:pStyle w:val="BodyText"/>
      </w:pPr>
    </w:p>
    <w:p>
      <w:pPr>
        <w:pStyle w:val="BodyText"/>
        <w:spacing w:before="38"/>
      </w:pPr>
    </w:p>
    <w:p>
      <w:pPr>
        <w:spacing w:before="0"/>
        <w:ind w:left="165" w:right="0" w:firstLine="0"/>
        <w:jc w:val="left"/>
        <w:rPr>
          <w:rFonts w:ascii="Arial"/>
          <w:b/>
          <w:sz w:val="18"/>
        </w:rPr>
      </w:pPr>
      <w:r>
        <w:rPr>
          <w:rFonts w:ascii="Arial"/>
          <w:b/>
          <w:sz w:val="18"/>
        </w:rPr>
        <w:t>Illegality under applicable </w:t>
      </w:r>
      <w:r>
        <w:rPr>
          <w:rFonts w:ascii="Arial"/>
          <w:b/>
          <w:spacing w:val="-5"/>
          <w:sz w:val="18"/>
        </w:rPr>
        <w:t>law</w:t>
      </w:r>
    </w:p>
    <w:p>
      <w:pPr>
        <w:pStyle w:val="BodyText"/>
        <w:spacing w:before="41"/>
        <w:rPr>
          <w:rFonts w:ascii="Arial"/>
          <w:b/>
          <w:sz w:val="18"/>
        </w:rPr>
      </w:pPr>
    </w:p>
    <w:p>
      <w:pPr>
        <w:pStyle w:val="Heading2"/>
      </w:pPr>
      <w:r>
        <w:rPr/>
        <w:t>30-</w:t>
      </w:r>
      <w:r>
        <w:rPr>
          <w:spacing w:val="-5"/>
        </w:rPr>
        <w:t>358</w:t>
      </w:r>
    </w:p>
    <w:p>
      <w:pPr>
        <w:pStyle w:val="BodyText"/>
        <w:spacing w:line="235" w:lineRule="auto" w:before="203"/>
        <w:ind w:left="165" w:right="167"/>
        <w:jc w:val="both"/>
      </w:pPr>
      <w:bookmarkStart w:name="_bookmark2557" w:id="2559"/>
      <w:bookmarkEnd w:id="2559"/>
      <w:r>
        <w:rPr/>
      </w:r>
      <w:r>
        <w:rPr/>
        <w:t>First, a contract is unenforceable for illegality to the extent that it is illegal under its governing law, according to common law rules, </w:t>
      </w:r>
      <w:r>
        <w:rPr>
          <w:color w:val="005DA1"/>
          <w:u w:val="single" w:color="005DA1"/>
          <w:vertAlign w:val="superscript"/>
        </w:rPr>
        <w:t>1339</w:t>
      </w:r>
      <w:r>
        <w:rPr>
          <w:color w:val="005DA1"/>
          <w:vertAlign w:val="baseline"/>
        </w:rPr>
        <w:t> </w:t>
      </w:r>
      <w:r>
        <w:rPr>
          <w:vertAlign w:val="baseline"/>
        </w:rPr>
        <w:t>or, under the rules of the Rome Convention or the Rome I </w:t>
      </w:r>
      <w:bookmarkStart w:name="_bookmark2558" w:id="2560"/>
      <w:bookmarkEnd w:id="2560"/>
      <w:r>
        <w:rPr>
          <w:vertAlign w:val="baseline"/>
        </w:rPr>
        <w:t>Regulation,</w:t>
      </w:r>
      <w:r>
        <w:rPr>
          <w:spacing w:val="-1"/>
          <w:vertAlign w:val="baseline"/>
        </w:rPr>
        <w:t> </w:t>
      </w:r>
      <w:r>
        <w:rPr>
          <w:vertAlign w:val="baseline"/>
        </w:rPr>
        <w:t>illegal</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which</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applicable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(or</w:t>
      </w:r>
      <w:r>
        <w:rPr>
          <w:spacing w:val="-1"/>
          <w:vertAlign w:val="baseline"/>
        </w:rPr>
        <w:t> </w:t>
      </w:r>
      <w:r>
        <w:rPr>
          <w:vertAlign w:val="baseline"/>
        </w:rPr>
        <w:t>term</w:t>
      </w:r>
      <w:r>
        <w:rPr>
          <w:spacing w:val="-1"/>
          <w:vertAlign w:val="baseline"/>
        </w:rPr>
        <w:t> </w:t>
      </w:r>
      <w:r>
        <w:rPr>
          <w:vertAlign w:val="baseline"/>
        </w:rPr>
        <w:t>thereof) was valid. </w:t>
      </w:r>
      <w:r>
        <w:rPr>
          <w:color w:val="005DA1"/>
          <w:u w:val="single" w:color="005DA1"/>
          <w:vertAlign w:val="superscript"/>
        </w:rPr>
        <w:t>1340</w:t>
      </w:r>
    </w:p>
    <w:p>
      <w:pPr>
        <w:pStyle w:val="BodyText"/>
      </w:pPr>
    </w:p>
    <w:p>
      <w:pPr>
        <w:pStyle w:val="BodyText"/>
        <w:spacing w:before="37"/>
      </w:pPr>
    </w:p>
    <w:p>
      <w:pPr>
        <w:spacing w:before="0"/>
        <w:ind w:left="165" w:right="0" w:firstLine="0"/>
        <w:jc w:val="left"/>
        <w:rPr>
          <w:rFonts w:ascii="Arial"/>
          <w:b/>
          <w:sz w:val="18"/>
        </w:rPr>
      </w:pPr>
      <w:r>
        <w:rPr>
          <w:rFonts w:ascii="Arial"/>
          <w:b/>
          <w:sz w:val="18"/>
        </w:rPr>
        <w:t>Illegality under English </w:t>
      </w:r>
      <w:r>
        <w:rPr>
          <w:rFonts w:ascii="Arial"/>
          <w:b/>
          <w:spacing w:val="-5"/>
          <w:sz w:val="18"/>
        </w:rPr>
        <w:t>law</w:t>
      </w:r>
    </w:p>
    <w:p>
      <w:pPr>
        <w:pStyle w:val="BodyText"/>
        <w:spacing w:before="41"/>
        <w:rPr>
          <w:rFonts w:ascii="Arial"/>
          <w:b/>
          <w:sz w:val="18"/>
        </w:rPr>
      </w:pPr>
    </w:p>
    <w:p>
      <w:pPr>
        <w:pStyle w:val="Heading2"/>
      </w:pPr>
      <w:r>
        <w:rPr/>
        <w:t>30-</w:t>
      </w:r>
      <w:r>
        <w:rPr>
          <w:spacing w:val="-5"/>
        </w:rPr>
        <w:t>359</w:t>
      </w:r>
    </w:p>
    <w:p>
      <w:pPr>
        <w:pStyle w:val="BodyText"/>
        <w:spacing w:line="235" w:lineRule="auto" w:before="203"/>
        <w:ind w:left="164" w:right="167"/>
        <w:jc w:val="both"/>
      </w:pPr>
      <w:bookmarkStart w:name="_bookmark2559" w:id="2561"/>
      <w:bookmarkEnd w:id="2561"/>
      <w:r>
        <w:rPr/>
      </w:r>
      <w:r>
        <w:rPr/>
        <w:t>Secondly, at common law, if any party in making or performing the contract commits, or assists another to commit, in England, a criminal offence under English law </w:t>
      </w:r>
      <w:r>
        <w:rPr>
          <w:color w:val="005DA1"/>
          <w:u w:val="single" w:color="005DA1"/>
          <w:vertAlign w:val="superscript"/>
        </w:rPr>
        <w:t>1341</w:t>
      </w:r>
      <w:r>
        <w:rPr>
          <w:color w:val="005DA1"/>
          <w:vertAlign w:val="baseline"/>
        </w:rPr>
        <w:t> </w:t>
      </w:r>
      <w:r>
        <w:rPr>
          <w:vertAlign w:val="baseline"/>
        </w:rPr>
        <w:t>or commits abroad an act </w:t>
      </w:r>
      <w:bookmarkStart w:name="_bookmark2560" w:id="2562"/>
      <w:bookmarkEnd w:id="2562"/>
      <w:r>
        <w:rPr>
          <w:vertAlign w:val="baseline"/>
        </w:rPr>
        <w:t>which</w:t>
      </w:r>
      <w:r>
        <w:rPr>
          <w:vertAlign w:val="baseline"/>
        </w:rPr>
        <w:t> is a criminal offence under English law by virtue of a statutory provision having extra-territorial </w:t>
      </w:r>
      <w:bookmarkStart w:name="_bookmark2561" w:id="2563"/>
      <w:bookmarkEnd w:id="2563"/>
      <w:r>
        <w:rPr>
          <w:vertAlign w:val="baseline"/>
        </w:rPr>
        <w:t>operation,</w:t>
      </w:r>
      <w:r>
        <w:rPr>
          <w:vertAlign w:val="baseline"/>
        </w:rPr>
        <w:t> </w:t>
      </w:r>
      <w:r>
        <w:rPr>
          <w:color w:val="005DA1"/>
          <w:u w:val="single" w:color="005DA1"/>
          <w:vertAlign w:val="superscript"/>
        </w:rPr>
        <w:t>1342</w:t>
      </w:r>
      <w:r>
        <w:rPr>
          <w:color w:val="005DA1"/>
          <w:vertAlign w:val="baseline"/>
        </w:rPr>
        <w:t> </w:t>
      </w:r>
      <w:r>
        <w:rPr>
          <w:vertAlign w:val="baseline"/>
        </w:rPr>
        <w:t>then even though the governing law is not English law, the contract is unenforceable in England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party</w:t>
      </w:r>
      <w:r>
        <w:rPr>
          <w:spacing w:val="-1"/>
          <w:vertAlign w:val="baseline"/>
        </w:rPr>
        <w:t> </w:t>
      </w:r>
      <w:r>
        <w:rPr>
          <w:vertAlign w:val="baseline"/>
        </w:rPr>
        <w:t>in</w:t>
      </w:r>
      <w:r>
        <w:rPr>
          <w:spacing w:val="-1"/>
          <w:vertAlign w:val="baseline"/>
        </w:rPr>
        <w:t> </w:t>
      </w:r>
      <w:r>
        <w:rPr>
          <w:vertAlign w:val="baseline"/>
        </w:rPr>
        <w:t>question.</w:t>
      </w:r>
      <w:r>
        <w:rPr>
          <w:spacing w:val="-1"/>
          <w:vertAlign w:val="baseline"/>
        </w:rPr>
        <w:t> </w:t>
      </w:r>
      <w:r>
        <w:rPr>
          <w:color w:val="005DA1"/>
          <w:u w:val="single" w:color="005DA1"/>
          <w:vertAlign w:val="superscript"/>
        </w:rPr>
        <w:t>1343</w:t>
      </w:r>
      <w:r>
        <w:rPr>
          <w:color w:val="005DA1"/>
          <w:spacing w:val="-1"/>
          <w:vertAlign w:val="baseline"/>
        </w:rPr>
        <w:t> </w:t>
      </w:r>
      <w:r>
        <w:rPr>
          <w:vertAlign w:val="baseline"/>
        </w:rPr>
        <w:t>In</w:t>
      </w:r>
      <w:r>
        <w:rPr>
          <w:spacing w:val="-1"/>
          <w:vertAlign w:val="baseline"/>
        </w:rPr>
        <w:t> </w:t>
      </w:r>
      <w:r>
        <w:rPr>
          <w:vertAlign w:val="baseline"/>
        </w:rPr>
        <w:t>cases</w:t>
      </w:r>
      <w:r>
        <w:rPr>
          <w:spacing w:val="-1"/>
          <w:vertAlign w:val="baseline"/>
        </w:rPr>
        <w:t> </w:t>
      </w:r>
      <w:r>
        <w:rPr>
          <w:vertAlign w:val="baseline"/>
        </w:rPr>
        <w:t>falling</w:t>
      </w:r>
      <w:r>
        <w:rPr>
          <w:spacing w:val="-1"/>
          <w:vertAlign w:val="baseline"/>
        </w:rPr>
        <w:t> </w:t>
      </w:r>
      <w:r>
        <w:rPr>
          <w:vertAlign w:val="baseline"/>
        </w:rPr>
        <w:t>within</w:t>
      </w:r>
      <w:r>
        <w:rPr>
          <w:spacing w:val="-1"/>
          <w:vertAlign w:val="baseline"/>
        </w:rPr>
        <w:t> </w:t>
      </w:r>
      <w:r>
        <w:rPr>
          <w:vertAlign w:val="baseline"/>
        </w:rPr>
        <w:t>the</w:t>
      </w:r>
      <w:r>
        <w:rPr>
          <w:spacing w:val="-1"/>
          <w:vertAlign w:val="baseline"/>
        </w:rPr>
        <w:t> </w:t>
      </w:r>
      <w:r>
        <w:rPr>
          <w:vertAlign w:val="baseline"/>
        </w:rPr>
        <w:t>Rome</w:t>
      </w:r>
      <w:r>
        <w:rPr>
          <w:spacing w:val="-1"/>
          <w:vertAlign w:val="baseline"/>
        </w:rPr>
        <w:t> </w:t>
      </w:r>
      <w:r>
        <w:rPr>
          <w:vertAlign w:val="baseline"/>
        </w:rPr>
        <w:t>Convention,</w:t>
      </w:r>
      <w:r>
        <w:rPr>
          <w:spacing w:val="-1"/>
          <w:vertAlign w:val="baseline"/>
        </w:rPr>
        <w:t> </w:t>
      </w:r>
      <w:r>
        <w:rPr>
          <w:vertAlign w:val="baseline"/>
        </w:rPr>
        <w:t>this</w:t>
      </w:r>
      <w:r>
        <w:rPr>
          <w:spacing w:val="-1"/>
          <w:vertAlign w:val="baseline"/>
        </w:rPr>
        <w:t> </w:t>
      </w:r>
      <w:r>
        <w:rPr>
          <w:vertAlign w:val="baseline"/>
        </w:rPr>
        <w:t>principle</w:t>
      </w:r>
      <w:r>
        <w:rPr>
          <w:spacing w:val="-1"/>
          <w:vertAlign w:val="baseline"/>
        </w:rPr>
        <w:t> </w:t>
      </w:r>
      <w:r>
        <w:rPr>
          <w:vertAlign w:val="baseline"/>
        </w:rPr>
        <w:t>would seem to continue to have effect since the rules applicable by virtue of it appear to be mandatory </w:t>
      </w:r>
      <w:r>
        <w:rPr>
          <w:vertAlign w:val="baseline"/>
        </w:rPr>
        <w:t>rules </w:t>
      </w:r>
      <w:bookmarkStart w:name="_bookmark2562" w:id="2564"/>
      <w:bookmarkEnd w:id="2564"/>
      <w:r>
        <w:rPr>
          <w:vertAlign w:val="baseline"/>
        </w:rPr>
        <w:t>of</w:t>
      </w:r>
      <w:r>
        <w:rPr>
          <w:vertAlign w:val="baseline"/>
        </w:rPr>
        <w:t> the law of the English forum which apply irrespective of the law applicable to the contract, so that, accordingly, art.7(2) may be invoked to secure their application. </w:t>
      </w:r>
      <w:r>
        <w:rPr>
          <w:color w:val="005DA1"/>
          <w:u w:val="single" w:color="005DA1"/>
          <w:vertAlign w:val="superscript"/>
        </w:rPr>
        <w:t>1344</w:t>
      </w:r>
      <w:r>
        <w:rPr>
          <w:color w:val="005DA1"/>
          <w:vertAlign w:val="baseline"/>
        </w:rPr>
        <w:t> </w:t>
      </w:r>
      <w:r>
        <w:rPr>
          <w:vertAlign w:val="baseline"/>
        </w:rPr>
        <w:t>It would also seem that these rules are, for the purposes of the Rome I Regulation, overriding mandatory provisions the respect for </w:t>
      </w:r>
      <w:bookmarkStart w:name="_bookmark2563" w:id="2565"/>
      <w:bookmarkEnd w:id="2565"/>
      <w:r>
        <w:rPr>
          <w:vertAlign w:val="baseline"/>
        </w:rPr>
        <w:t>which</w:t>
      </w:r>
      <w:r>
        <w:rPr>
          <w:vertAlign w:val="baseline"/>
        </w:rPr>
        <w:t> would be regarded as crucial by England for safeguarding its public interests and which would </w:t>
      </w:r>
      <w:bookmarkStart w:name="_bookmark2564" w:id="2566"/>
      <w:bookmarkEnd w:id="2566"/>
      <w:r>
        <w:rPr>
          <w:vertAlign w:val="baseline"/>
        </w:rPr>
        <w:t>be</w:t>
      </w:r>
      <w:r>
        <w:rPr>
          <w:spacing w:val="-3"/>
          <w:vertAlign w:val="baseline"/>
        </w:rPr>
        <w:t> </w:t>
      </w:r>
      <w:r>
        <w:rPr>
          <w:vertAlign w:val="baseline"/>
        </w:rPr>
        <w:t>applicable,</w:t>
      </w:r>
      <w:r>
        <w:rPr>
          <w:spacing w:val="-3"/>
          <w:vertAlign w:val="baseline"/>
        </w:rPr>
        <w:t> </w:t>
      </w:r>
      <w:r>
        <w:rPr>
          <w:vertAlign w:val="baseline"/>
        </w:rPr>
        <w:t>irrespective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law</w:t>
      </w:r>
      <w:r>
        <w:rPr>
          <w:spacing w:val="-3"/>
          <w:vertAlign w:val="baseline"/>
        </w:rPr>
        <w:t> </w:t>
      </w:r>
      <w:r>
        <w:rPr>
          <w:vertAlign w:val="baseline"/>
        </w:rPr>
        <w:t>otherwise</w:t>
      </w:r>
      <w:r>
        <w:rPr>
          <w:spacing w:val="-3"/>
          <w:vertAlign w:val="baseline"/>
        </w:rPr>
        <w:t> </w:t>
      </w:r>
      <w:r>
        <w:rPr>
          <w:vertAlign w:val="baseline"/>
        </w:rPr>
        <w:t>applicable</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under</w:t>
      </w:r>
      <w:r>
        <w:rPr>
          <w:spacing w:val="-3"/>
          <w:vertAlign w:val="baseline"/>
        </w:rPr>
        <w:t> </w:t>
      </w:r>
      <w:r>
        <w:rPr>
          <w:vertAlign w:val="baseline"/>
        </w:rPr>
        <w:t>the</w:t>
      </w:r>
      <w:r>
        <w:rPr>
          <w:spacing w:val="-3"/>
          <w:vertAlign w:val="baseline"/>
        </w:rPr>
        <w:t> </w:t>
      </w:r>
      <w:r>
        <w:rPr>
          <w:vertAlign w:val="baseline"/>
        </w:rPr>
        <w:t>Regulation.</w:t>
      </w:r>
      <w:r>
        <w:rPr>
          <w:spacing w:val="-5"/>
          <w:vertAlign w:val="baseline"/>
        </w:rPr>
        <w:t> </w:t>
      </w:r>
      <w:r>
        <w:rPr>
          <w:color w:val="005DA1"/>
          <w:u w:val="single" w:color="005DA1"/>
          <w:vertAlign w:val="superscript"/>
        </w:rPr>
        <w:t>1345</w:t>
      </w:r>
      <w:r>
        <w:rPr>
          <w:color w:val="005DA1"/>
          <w:spacing w:val="-3"/>
          <w:vertAlign w:val="baseline"/>
        </w:rPr>
        <w:t> </w:t>
      </w:r>
      <w:r>
        <w:rPr>
          <w:vertAlign w:val="baseline"/>
        </w:rPr>
        <w:t>As such, art.9(2) of the Regulation may be invoked to secure their application. </w:t>
      </w:r>
      <w:r>
        <w:rPr>
          <w:color w:val="005DA1"/>
          <w:u w:val="single" w:color="005DA1"/>
          <w:vertAlign w:val="superscript"/>
        </w:rPr>
        <w:t>1346</w:t>
      </w:r>
    </w:p>
    <w:p>
      <w:pPr>
        <w:pStyle w:val="BodyText"/>
      </w:pPr>
    </w:p>
    <w:p>
      <w:pPr>
        <w:pStyle w:val="BodyText"/>
        <w:spacing w:before="34"/>
      </w:pPr>
    </w:p>
    <w:p>
      <w:pPr>
        <w:spacing w:before="0"/>
        <w:ind w:left="165" w:right="0" w:firstLine="0"/>
        <w:jc w:val="left"/>
        <w:rPr>
          <w:rFonts w:ascii="Arial"/>
          <w:b/>
          <w:sz w:val="18"/>
        </w:rPr>
      </w:pPr>
      <w:r>
        <w:rPr>
          <w:rFonts w:ascii="Arial"/>
          <w:b/>
          <w:sz w:val="18"/>
        </w:rPr>
        <w:t>Act illegal under law of country where to be </w:t>
      </w:r>
      <w:r>
        <w:rPr>
          <w:rFonts w:ascii="Arial"/>
          <w:b/>
          <w:spacing w:val="-2"/>
          <w:sz w:val="18"/>
        </w:rPr>
        <w:t>performed</w:t>
      </w:r>
    </w:p>
    <w:p>
      <w:pPr>
        <w:pStyle w:val="BodyText"/>
        <w:spacing w:before="41"/>
        <w:rPr>
          <w:rFonts w:ascii="Arial"/>
          <w:b/>
          <w:sz w:val="18"/>
        </w:rPr>
      </w:pPr>
    </w:p>
    <w:p>
      <w:pPr>
        <w:pStyle w:val="Heading2"/>
      </w:pPr>
      <w:r>
        <w:rPr/>
        <w:t>30-</w:t>
      </w:r>
      <w:r>
        <w:rPr>
          <w:spacing w:val="-5"/>
        </w:rPr>
        <w:t>360</w:t>
      </w:r>
    </w:p>
    <w:p>
      <w:pPr>
        <w:spacing w:line="235" w:lineRule="auto" w:before="203"/>
        <w:ind w:left="164" w:right="167" w:firstLine="0"/>
        <w:jc w:val="both"/>
        <w:rPr>
          <w:sz w:val="20"/>
        </w:rPr>
      </w:pPr>
      <w:bookmarkStart w:name="_bookmark2565" w:id="2567"/>
      <w:bookmarkEnd w:id="2567"/>
      <w:r>
        <w:rPr/>
      </w:r>
      <w:r>
        <w:rPr>
          <w:sz w:val="20"/>
        </w:rPr>
        <w:t>Thirdly, in </w:t>
      </w:r>
      <w:r>
        <w:rPr>
          <w:rFonts w:ascii="Arial"/>
          <w:i/>
          <w:sz w:val="20"/>
        </w:rPr>
        <w:t>Ralli Bros v Compania Naviera Sota y Aznar</w:t>
      </w:r>
      <w:r>
        <w:rPr>
          <w:sz w:val="20"/>
        </w:rPr>
        <w:t>, </w:t>
      </w:r>
      <w:r>
        <w:rPr>
          <w:color w:val="005DA1"/>
          <w:sz w:val="20"/>
          <w:u w:val="single" w:color="005DA1"/>
          <w:vertAlign w:val="superscript"/>
        </w:rPr>
        <w:t>1347</w:t>
      </w:r>
      <w:r>
        <w:rPr>
          <w:color w:val="005DA1"/>
          <w:sz w:val="20"/>
          <w:vertAlign w:val="baseline"/>
        </w:rPr>
        <w:t> </w:t>
      </w:r>
      <w:r>
        <w:rPr>
          <w:sz w:val="20"/>
          <w:vertAlign w:val="baseline"/>
        </w:rPr>
        <w:t>the Court of Appeal established </w:t>
      </w:r>
      <w:r>
        <w:rPr>
          <w:sz w:val="20"/>
          <w:vertAlign w:val="baseline"/>
        </w:rPr>
        <w:t>a common</w:t>
      </w:r>
      <w:r>
        <w:rPr>
          <w:spacing w:val="40"/>
          <w:sz w:val="20"/>
          <w:vertAlign w:val="baseline"/>
        </w:rPr>
        <w:t> </w:t>
      </w:r>
      <w:r>
        <w:rPr>
          <w:sz w:val="20"/>
          <w:vertAlign w:val="baseline"/>
        </w:rPr>
        <w:t>law</w:t>
      </w:r>
      <w:r>
        <w:rPr>
          <w:spacing w:val="40"/>
          <w:sz w:val="20"/>
          <w:vertAlign w:val="baseline"/>
        </w:rPr>
        <w:t> </w:t>
      </w:r>
      <w:r>
        <w:rPr>
          <w:sz w:val="20"/>
          <w:vertAlign w:val="baseline"/>
        </w:rPr>
        <w:t>rule</w:t>
      </w:r>
      <w:r>
        <w:rPr>
          <w:spacing w:val="40"/>
          <w:sz w:val="20"/>
          <w:vertAlign w:val="baseline"/>
        </w:rPr>
        <w:t> </w:t>
      </w:r>
      <w:r>
        <w:rPr>
          <w:sz w:val="20"/>
          <w:vertAlign w:val="baseline"/>
        </w:rPr>
        <w:t>that</w:t>
      </w:r>
      <w:r>
        <w:rPr>
          <w:spacing w:val="40"/>
          <w:sz w:val="20"/>
          <w:vertAlign w:val="baseline"/>
        </w:rPr>
        <w:t> </w:t>
      </w:r>
      <w:r>
        <w:rPr>
          <w:sz w:val="20"/>
          <w:vertAlign w:val="baseline"/>
        </w:rPr>
        <w:t>where</w:t>
      </w:r>
      <w:r>
        <w:rPr>
          <w:spacing w:val="40"/>
          <w:sz w:val="20"/>
          <w:vertAlign w:val="baseline"/>
        </w:rPr>
        <w:t> </w:t>
      </w:r>
      <w:r>
        <w:rPr>
          <w:sz w:val="20"/>
          <w:vertAlign w:val="baseline"/>
        </w:rPr>
        <w:t>an</w:t>
      </w:r>
      <w:r>
        <w:rPr>
          <w:spacing w:val="40"/>
          <w:sz w:val="20"/>
          <w:vertAlign w:val="baseline"/>
        </w:rPr>
        <w:t> </w:t>
      </w:r>
      <w:r>
        <w:rPr>
          <w:sz w:val="20"/>
          <w:vertAlign w:val="baseline"/>
        </w:rPr>
        <w:t>act</w:t>
      </w:r>
      <w:r>
        <w:rPr>
          <w:spacing w:val="40"/>
          <w:sz w:val="20"/>
          <w:vertAlign w:val="baseline"/>
        </w:rPr>
        <w:t> </w:t>
      </w:r>
      <w:r>
        <w:rPr>
          <w:sz w:val="20"/>
          <w:vertAlign w:val="baseline"/>
        </w:rPr>
        <w:t>required</w:t>
      </w:r>
      <w:r>
        <w:rPr>
          <w:spacing w:val="40"/>
          <w:sz w:val="20"/>
          <w:vertAlign w:val="baseline"/>
        </w:rPr>
        <w:t> </w:t>
      </w:r>
      <w:r>
        <w:rPr>
          <w:sz w:val="20"/>
          <w:vertAlign w:val="baseline"/>
        </w:rPr>
        <w:t>by</w:t>
      </w:r>
      <w:r>
        <w:rPr>
          <w:spacing w:val="40"/>
          <w:sz w:val="20"/>
          <w:vertAlign w:val="baseline"/>
        </w:rPr>
        <w:t> </w:t>
      </w:r>
      <w:r>
        <w:rPr>
          <w:sz w:val="20"/>
          <w:vertAlign w:val="baseline"/>
        </w:rPr>
        <w:t>a</w:t>
      </w:r>
      <w:r>
        <w:rPr>
          <w:spacing w:val="40"/>
          <w:sz w:val="20"/>
          <w:vertAlign w:val="baseline"/>
        </w:rPr>
        <w:t> </w:t>
      </w:r>
      <w:r>
        <w:rPr>
          <w:sz w:val="20"/>
          <w:vertAlign w:val="baseline"/>
        </w:rPr>
        <w:t>contract</w:t>
      </w:r>
      <w:r>
        <w:rPr>
          <w:spacing w:val="40"/>
          <w:sz w:val="20"/>
          <w:vertAlign w:val="baseline"/>
        </w:rPr>
        <w:t> </w:t>
      </w:r>
      <w:r>
        <w:rPr>
          <w:sz w:val="20"/>
          <w:vertAlign w:val="baseline"/>
        </w:rPr>
        <w:t>to</w:t>
      </w:r>
      <w:r>
        <w:rPr>
          <w:spacing w:val="40"/>
          <w:sz w:val="20"/>
          <w:vertAlign w:val="baseline"/>
        </w:rPr>
        <w:t> </w:t>
      </w:r>
      <w:r>
        <w:rPr>
          <w:sz w:val="20"/>
          <w:vertAlign w:val="baseline"/>
        </w:rPr>
        <w:t>be</w:t>
      </w:r>
      <w:r>
        <w:rPr>
          <w:spacing w:val="40"/>
          <w:sz w:val="20"/>
          <w:vertAlign w:val="baseline"/>
        </w:rPr>
        <w:t> </w:t>
      </w:r>
      <w:r>
        <w:rPr>
          <w:sz w:val="20"/>
          <w:vertAlign w:val="baseline"/>
        </w:rPr>
        <w:t>performed</w:t>
      </w:r>
      <w:r>
        <w:rPr>
          <w:spacing w:val="40"/>
          <w:sz w:val="20"/>
          <w:vertAlign w:val="baseline"/>
        </w:rPr>
        <w:t> </w:t>
      </w:r>
      <w:r>
        <w:rPr>
          <w:sz w:val="20"/>
          <w:vertAlign w:val="baseline"/>
        </w:rPr>
        <w:t>in</w:t>
      </w:r>
      <w:r>
        <w:rPr>
          <w:spacing w:val="40"/>
          <w:sz w:val="20"/>
          <w:vertAlign w:val="baseline"/>
        </w:rPr>
        <w:t> </w:t>
      </w:r>
      <w:r>
        <w:rPr>
          <w:sz w:val="20"/>
          <w:vertAlign w:val="baseline"/>
        </w:rPr>
        <w:t>a</w:t>
      </w:r>
      <w:r>
        <w:rPr>
          <w:spacing w:val="40"/>
          <w:sz w:val="20"/>
          <w:vertAlign w:val="baseline"/>
        </w:rPr>
        <w:t> </w:t>
      </w:r>
      <w:r>
        <w:rPr>
          <w:sz w:val="20"/>
          <w:vertAlign w:val="baseline"/>
        </w:rPr>
        <w:t>foreign</w:t>
      </w:r>
      <w:r>
        <w:rPr>
          <w:spacing w:val="40"/>
          <w:sz w:val="20"/>
          <w:vertAlign w:val="baseline"/>
        </w:rPr>
        <w:t> </w:t>
      </w:r>
      <w:r>
        <w:rPr>
          <w:spacing w:val="-2"/>
          <w:sz w:val="20"/>
          <w:vertAlign w:val="baseline"/>
        </w:rPr>
        <w:t>country</w:t>
      </w:r>
    </w:p>
    <w:p>
      <w:pPr>
        <w:spacing w:after="0" w:line="235" w:lineRule="auto"/>
        <w:jc w:val="both"/>
        <w:rPr>
          <w:sz w:val="20"/>
        </w:rPr>
        <w:sectPr>
          <w:headerReference w:type="default" r:id="rId35"/>
          <w:pgSz w:w="11900" w:h="16840"/>
          <w:pgMar w:header="971" w:footer="0" w:top="1300" w:bottom="280" w:left="1275" w:right="1275"/>
          <w:pgNumType w:start="1"/>
        </w:sectPr>
      </w:pPr>
    </w:p>
    <w:p>
      <w:pPr>
        <w:pStyle w:val="BodyText"/>
        <w:spacing w:line="232" w:lineRule="auto" w:before="112"/>
        <w:ind w:left="164" w:right="167"/>
        <w:jc w:val="both"/>
        <w:rPr>
          <w:sz w:val="12"/>
        </w:rPr>
      </w:pPr>
      <w:r>
        <w:rPr/>
        <w:t>becomes illegal under that country’s law, the contractual obligation to perform that act is discharged. Applying that principle, it was held that where under a contract governed by English law, charterers had agreed to pay freight in Spain to shipowners at a particular rate, and the Spanish government, after the conclusion of the contract, promulgated an order that freight should not exceed a fixed </w:t>
      </w:r>
      <w:r>
        <w:rPr/>
        <w:t>sum which</w:t>
      </w:r>
      <w:r>
        <w:rPr>
          <w:spacing w:val="-1"/>
        </w:rPr>
        <w:t> </w:t>
      </w:r>
      <w:r>
        <w:rPr/>
        <w:t>was</w:t>
      </w:r>
      <w:r>
        <w:rPr>
          <w:spacing w:val="-1"/>
        </w:rPr>
        <w:t> </w:t>
      </w:r>
      <w:r>
        <w:rPr/>
        <w:t>less</w:t>
      </w:r>
      <w:r>
        <w:rPr>
          <w:spacing w:val="-1"/>
        </w:rPr>
        <w:t> </w:t>
      </w:r>
      <w:r>
        <w:rPr/>
        <w:t>than</w:t>
      </w:r>
      <w:r>
        <w:rPr>
          <w:spacing w:val="-1"/>
        </w:rPr>
        <w:t> </w:t>
      </w:r>
      <w:r>
        <w:rPr/>
        <w:t>the</w:t>
      </w:r>
      <w:r>
        <w:rPr>
          <w:spacing w:val="-1"/>
        </w:rPr>
        <w:t> </w:t>
      </w:r>
      <w:r>
        <w:rPr/>
        <w:t>agreed</w:t>
      </w:r>
      <w:r>
        <w:rPr>
          <w:spacing w:val="-1"/>
        </w:rPr>
        <w:t> </w:t>
      </w:r>
      <w:r>
        <w:rPr/>
        <w:t>rate,</w:t>
      </w:r>
      <w:r>
        <w:rPr>
          <w:spacing w:val="-1"/>
        </w:rPr>
        <w:t> </w:t>
      </w:r>
      <w:r>
        <w:rPr/>
        <w:t>the</w:t>
      </w:r>
      <w:r>
        <w:rPr>
          <w:spacing w:val="-1"/>
        </w:rPr>
        <w:t> </w:t>
      </w:r>
      <w:r>
        <w:rPr/>
        <w:t>charterers</w:t>
      </w:r>
      <w:r>
        <w:rPr>
          <w:spacing w:val="-1"/>
        </w:rPr>
        <w:t> </w:t>
      </w:r>
      <w:r>
        <w:rPr/>
        <w:t>were</w:t>
      </w:r>
      <w:r>
        <w:rPr>
          <w:spacing w:val="-1"/>
        </w:rPr>
        <w:t> </w:t>
      </w:r>
      <w:r>
        <w:rPr/>
        <w:t>only</w:t>
      </w:r>
      <w:r>
        <w:rPr>
          <w:spacing w:val="-1"/>
        </w:rPr>
        <w:t> </w:t>
      </w:r>
      <w:r>
        <w:rPr/>
        <w:t>obliged</w:t>
      </w:r>
      <w:r>
        <w:rPr>
          <w:spacing w:val="-1"/>
        </w:rPr>
        <w:t> </w:t>
      </w:r>
      <w:r>
        <w:rPr/>
        <w:t>to</w:t>
      </w:r>
      <w:r>
        <w:rPr>
          <w:spacing w:val="-1"/>
        </w:rPr>
        <w:t> </w:t>
      </w:r>
      <w:r>
        <w:rPr/>
        <w:t>pay</w:t>
      </w:r>
      <w:r>
        <w:rPr>
          <w:spacing w:val="-1"/>
        </w:rPr>
        <w:t> </w:t>
      </w:r>
      <w:r>
        <w:rPr/>
        <w:t>the</w:t>
      </w:r>
      <w:r>
        <w:rPr>
          <w:spacing w:val="-1"/>
        </w:rPr>
        <w:t> </w:t>
      </w:r>
      <w:r>
        <w:rPr/>
        <w:t>fixed</w:t>
      </w:r>
      <w:r>
        <w:rPr>
          <w:spacing w:val="-1"/>
        </w:rPr>
        <w:t> </w:t>
      </w:r>
      <w:r>
        <w:rPr/>
        <w:t>rate</w:t>
      </w:r>
      <w:r>
        <w:rPr>
          <w:spacing w:val="-1"/>
        </w:rPr>
        <w:t> </w:t>
      </w:r>
      <w:r>
        <w:rPr/>
        <w:t>rather</w:t>
      </w:r>
      <w:r>
        <w:rPr>
          <w:spacing w:val="-1"/>
        </w:rPr>
        <w:t> </w:t>
      </w:r>
      <w:r>
        <w:rPr/>
        <w:t>than </w:t>
      </w:r>
      <w:bookmarkStart w:name="_bookmark2566" w:id="2568"/>
      <w:bookmarkEnd w:id="2568"/>
      <w:r>
        <w:rPr/>
        <w:t>the</w:t>
      </w:r>
      <w:r>
        <w:rPr/>
        <w:t> agreed rate. The exact scope of this decision is, however, controversial. It has been suggested that the principle of </w:t>
      </w:r>
      <w:r>
        <w:rPr>
          <w:rFonts w:ascii="Arial" w:hAnsi="Arial"/>
          <w:i/>
        </w:rPr>
        <w:t>Ralli Bros </w:t>
      </w:r>
      <w:r>
        <w:rPr/>
        <w:t>applies whether or not the contract is governed by English law. </w:t>
      </w:r>
      <w:r>
        <w:rPr>
          <w:color w:val="005DA1"/>
          <w:u w:val="single" w:color="005DA1"/>
          <w:vertAlign w:val="superscript"/>
        </w:rPr>
        <w:t>1348</w:t>
      </w:r>
      <w:r>
        <w:rPr>
          <w:color w:val="005DA1"/>
          <w:vertAlign w:val="baseline"/>
        </w:rPr>
        <w:t> </w:t>
      </w:r>
      <w:r>
        <w:rPr>
          <w:vertAlign w:val="baseline"/>
        </w:rPr>
        <w:t>But </w:t>
      </w:r>
      <w:bookmarkStart w:name="_bookmark2567" w:id="2569"/>
      <w:bookmarkEnd w:id="2569"/>
      <w:r>
        <w:rPr>
          <w:vertAlign w:val="baseline"/>
        </w:rPr>
        <w:t>the</w:t>
      </w:r>
      <w:r>
        <w:rPr>
          <w:vertAlign w:val="baseline"/>
        </w:rPr>
        <w:t> better view, it is submitted, is that for the principle to apply, the applicable law must, as it was in </w:t>
      </w:r>
      <w:bookmarkStart w:name="_bookmark2568" w:id="2570"/>
      <w:bookmarkEnd w:id="2570"/>
      <w:r>
        <w:rPr>
          <w:vertAlign w:val="baseline"/>
        </w:rPr>
      </w:r>
      <w:r>
        <w:rPr>
          <w:rFonts w:ascii="Arial" w:hAnsi="Arial"/>
          <w:i/>
          <w:vertAlign w:val="baseline"/>
        </w:rPr>
        <w:t>Ralli Bros </w:t>
      </w:r>
      <w:r>
        <w:rPr>
          <w:vertAlign w:val="baseline"/>
        </w:rPr>
        <w:t>itself, be English law. </w:t>
      </w:r>
      <w:r>
        <w:rPr>
          <w:color w:val="005DA1"/>
          <w:u w:val="single" w:color="005DA1"/>
          <w:vertAlign w:val="superscript"/>
        </w:rPr>
        <w:t>1349</w:t>
      </w:r>
      <w:r>
        <w:rPr>
          <w:color w:val="005DA1"/>
          <w:vertAlign w:val="baseline"/>
        </w:rPr>
        <w:t> </w:t>
      </w:r>
      <w:r>
        <w:rPr>
          <w:vertAlign w:val="baseline"/>
        </w:rPr>
        <w:t>If the latter view is accepted, it follows that </w:t>
      </w:r>
      <w:r>
        <w:rPr>
          <w:rFonts w:ascii="Arial" w:hAnsi="Arial"/>
          <w:i/>
          <w:vertAlign w:val="baseline"/>
        </w:rPr>
        <w:t>Ralli Bros </w:t>
      </w:r>
      <w:r>
        <w:rPr>
          <w:vertAlign w:val="baseline"/>
        </w:rPr>
        <w:t>established </w:t>
      </w:r>
      <w:bookmarkStart w:name="_bookmark2569" w:id="2571"/>
      <w:bookmarkEnd w:id="2571"/>
      <w:r>
        <w:rPr>
          <w:vertAlign w:val="baseline"/>
        </w:rPr>
        <w:t>a</w:t>
      </w:r>
      <w:r>
        <w:rPr>
          <w:vertAlign w:val="baseline"/>
        </w:rPr>
        <w:t> principle of the domestic English law of contract relating to discharge by supervening illegality </w:t>
      </w:r>
      <w:r>
        <w:rPr>
          <w:color w:val="005DA1"/>
          <w:u w:val="single" w:color="005DA1"/>
          <w:vertAlign w:val="superscript"/>
        </w:rPr>
        <w:t>1350</w:t>
      </w:r>
      <w:r>
        <w:rPr>
          <w:color w:val="005DA1"/>
          <w:vertAlign w:val="baseline"/>
        </w:rPr>
        <w:t> </w:t>
      </w:r>
      <w:r>
        <w:rPr>
          <w:vertAlign w:val="baseline"/>
        </w:rPr>
        <w:t>and does not establish a rule of the conflict of laws. </w:t>
      </w:r>
      <w:r>
        <w:rPr>
          <w:color w:val="005DA1"/>
          <w:u w:val="single" w:color="005DA1"/>
          <w:vertAlign w:val="superscript"/>
        </w:rPr>
        <w:t>1351</w:t>
      </w:r>
      <w:r>
        <w:rPr>
          <w:color w:val="005DA1"/>
          <w:vertAlign w:val="baseline"/>
        </w:rPr>
        <w:t> </w:t>
      </w:r>
      <w:r>
        <w:rPr>
          <w:vertAlign w:val="baseline"/>
        </w:rPr>
        <w:t>Accordingly, the effect of illegality by the law </w:t>
      </w:r>
      <w:bookmarkStart w:name="_bookmark2570" w:id="2572"/>
      <w:bookmarkEnd w:id="2572"/>
      <w:r>
        <w:rPr>
          <w:vertAlign w:val="baseline"/>
        </w:rPr>
        <w:t>of</w:t>
      </w:r>
      <w:r>
        <w:rPr>
          <w:vertAlign w:val="baseline"/>
        </w:rPr>
        <w:t> the place of performance where a contract is governed by a foreign law is a matter for that foreign </w:t>
      </w:r>
      <w:r>
        <w:rPr>
          <w:position w:val="-9"/>
          <w:vertAlign w:val="baseline"/>
        </w:rPr>
        <w:t>law. </w:t>
      </w:r>
      <w:r>
        <w:rPr>
          <w:color w:val="005DA1"/>
          <w:sz w:val="12"/>
          <w:u w:val="single" w:color="005DA1"/>
          <w:vertAlign w:val="baseline"/>
        </w:rPr>
        <w:t>1352</w:t>
      </w:r>
    </w:p>
    <w:p>
      <w:pPr>
        <w:pStyle w:val="BodyText"/>
      </w:pPr>
    </w:p>
    <w:p>
      <w:pPr>
        <w:pStyle w:val="BodyText"/>
        <w:spacing w:before="37"/>
      </w:pPr>
    </w:p>
    <w:p>
      <w:pPr>
        <w:spacing w:before="0"/>
        <w:ind w:left="165" w:right="0" w:firstLine="0"/>
        <w:jc w:val="both"/>
        <w:rPr>
          <w:rFonts w:ascii="Arial"/>
          <w:b/>
          <w:sz w:val="18"/>
        </w:rPr>
      </w:pPr>
      <w:r>
        <w:rPr>
          <w:rFonts w:ascii="Arial"/>
          <w:b/>
          <w:sz w:val="18"/>
        </w:rPr>
        <w:t>Ralli Bros and The Rome </w:t>
      </w:r>
      <w:r>
        <w:rPr>
          <w:rFonts w:ascii="Arial"/>
          <w:b/>
          <w:spacing w:val="-2"/>
          <w:sz w:val="18"/>
        </w:rPr>
        <w:t>Convention</w:t>
      </w:r>
    </w:p>
    <w:p>
      <w:pPr>
        <w:pStyle w:val="BodyText"/>
        <w:spacing w:before="41"/>
        <w:rPr>
          <w:rFonts w:ascii="Arial"/>
          <w:b/>
          <w:sz w:val="18"/>
        </w:rPr>
      </w:pPr>
    </w:p>
    <w:p>
      <w:pPr>
        <w:pStyle w:val="Heading2"/>
      </w:pPr>
      <w:r>
        <w:rPr/>
        <w:t>30-</w:t>
      </w:r>
      <w:r>
        <w:rPr>
          <w:spacing w:val="-5"/>
        </w:rPr>
        <w:t>361</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next question which arises is as to the status of the principle in </w:t>
      </w:r>
      <w:r>
        <w:rPr>
          <w:rFonts w:ascii="Arial"/>
          <w:i/>
        </w:rPr>
        <w:t>Ralli Bros </w:t>
      </w:r>
      <w:r>
        <w:rPr/>
        <w:t>in cases which fall within the Rome Convention. Since the United Kingdom has made a reservation to art.7(1) of the </w:t>
      </w:r>
      <w:bookmarkStart w:name="_bookmark2571" w:id="2573"/>
      <w:bookmarkEnd w:id="2573"/>
      <w:r>
        <w:rPr/>
        <w:t>Convention,</w:t>
      </w:r>
      <w:r>
        <w:rPr/>
        <w:t> that article cannot be used to give effect, even as a matter of discretion, to the </w:t>
      </w:r>
      <w:r>
        <w:rPr>
          <w:rFonts w:ascii="Arial"/>
          <w:i/>
        </w:rPr>
        <w:t>Ralli Bros </w:t>
      </w:r>
      <w:bookmarkStart w:name="_bookmark2572" w:id="2574"/>
      <w:bookmarkEnd w:id="2574"/>
      <w:r>
        <w:rPr>
          <w:rFonts w:ascii="Arial"/>
          <w:i/>
        </w:rPr>
      </w:r>
      <w:r>
        <w:rPr/>
        <w:t>principle. </w:t>
      </w:r>
      <w:r>
        <w:rPr>
          <w:color w:val="005DA1"/>
          <w:u w:val="single" w:color="005DA1"/>
          <w:vertAlign w:val="superscript"/>
        </w:rPr>
        <w:t>1353</w:t>
      </w:r>
      <w:r>
        <w:rPr>
          <w:color w:val="005DA1"/>
          <w:vertAlign w:val="baseline"/>
        </w:rPr>
        <w:t> </w:t>
      </w:r>
      <w:r>
        <w:rPr>
          <w:vertAlign w:val="baseline"/>
        </w:rPr>
        <w:t>If the principle only applies, as suggested above and by a dictum in the Court of Appeal </w:t>
      </w:r>
      <w:bookmarkStart w:name="_bookmark2573" w:id="2575"/>
      <w:bookmarkEnd w:id="2575"/>
      <w:r>
        <w:rPr>
          <w:vertAlign w:val="baseline"/>
        </w:rPr>
        <w:t>which</w:t>
      </w:r>
      <w:r>
        <w:rPr>
          <w:spacing w:val="-1"/>
          <w:vertAlign w:val="baseline"/>
        </w:rPr>
        <w:t> </w:t>
      </w:r>
      <w:r>
        <w:rPr>
          <w:vertAlign w:val="baseline"/>
        </w:rPr>
        <w:t>found</w:t>
      </w:r>
      <w:r>
        <w:rPr>
          <w:spacing w:val="-1"/>
          <w:vertAlign w:val="baseline"/>
        </w:rPr>
        <w:t> </w:t>
      </w:r>
      <w:r>
        <w:rPr>
          <w:vertAlign w:val="baseline"/>
        </w:rPr>
        <w:t>it</w:t>
      </w:r>
      <w:r>
        <w:rPr>
          <w:spacing w:val="-1"/>
          <w:vertAlign w:val="baseline"/>
        </w:rPr>
        <w:t> </w:t>
      </w:r>
      <w:r>
        <w:rPr>
          <w:vertAlign w:val="baseline"/>
        </w:rPr>
        <w:t>unnecessary</w:t>
      </w:r>
      <w:r>
        <w:rPr>
          <w:spacing w:val="-1"/>
          <w:vertAlign w:val="baseline"/>
        </w:rPr>
        <w:t> </w:t>
      </w:r>
      <w:r>
        <w:rPr>
          <w:vertAlign w:val="baseline"/>
        </w:rPr>
        <w:t>to</w:t>
      </w:r>
      <w:r>
        <w:rPr>
          <w:spacing w:val="-1"/>
          <w:vertAlign w:val="baseline"/>
        </w:rPr>
        <w:t> </w:t>
      </w:r>
      <w:r>
        <w:rPr>
          <w:vertAlign w:val="baseline"/>
        </w:rPr>
        <w:t>express</w:t>
      </w:r>
      <w:r>
        <w:rPr>
          <w:spacing w:val="-1"/>
          <w:vertAlign w:val="baseline"/>
        </w:rPr>
        <w:t> </w:t>
      </w:r>
      <w:r>
        <w:rPr>
          <w:vertAlign w:val="baseline"/>
        </w:rPr>
        <w:t>a</w:t>
      </w:r>
      <w:r>
        <w:rPr>
          <w:spacing w:val="-1"/>
          <w:vertAlign w:val="baseline"/>
        </w:rPr>
        <w:t> </w:t>
      </w:r>
      <w:r>
        <w:rPr>
          <w:vertAlign w:val="baseline"/>
        </w:rPr>
        <w:t>final</w:t>
      </w:r>
      <w:r>
        <w:rPr>
          <w:spacing w:val="-1"/>
          <w:vertAlign w:val="baseline"/>
        </w:rPr>
        <w:t> </w:t>
      </w:r>
      <w:r>
        <w:rPr>
          <w:vertAlign w:val="baseline"/>
        </w:rPr>
        <w:t>view</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point,</w:t>
      </w:r>
      <w:r>
        <w:rPr>
          <w:spacing w:val="-2"/>
          <w:vertAlign w:val="baseline"/>
        </w:rPr>
        <w:t> </w:t>
      </w:r>
      <w:r>
        <w:rPr>
          <w:color w:val="005DA1"/>
          <w:u w:val="single" w:color="005DA1"/>
          <w:vertAlign w:val="superscript"/>
        </w:rPr>
        <w:t>1354</w:t>
      </w:r>
      <w:r>
        <w:rPr>
          <w:color w:val="005DA1"/>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is</w:t>
      </w:r>
      <w:r>
        <w:rPr>
          <w:spacing w:val="-1"/>
          <w:vertAlign w:val="baseline"/>
        </w:rPr>
        <w:t> </w:t>
      </w:r>
      <w:r>
        <w:rPr>
          <w:vertAlign w:val="baseline"/>
        </w:rPr>
        <w:t>governed</w:t>
      </w:r>
      <w:r>
        <w:rPr>
          <w:spacing w:val="-1"/>
          <w:vertAlign w:val="baseline"/>
        </w:rPr>
        <w:t> </w:t>
      </w:r>
      <w:r>
        <w:rPr>
          <w:vertAlign w:val="baseline"/>
        </w:rPr>
        <w:t>by English</w:t>
      </w:r>
      <w:r>
        <w:rPr>
          <w:spacing w:val="1"/>
          <w:vertAlign w:val="baseline"/>
        </w:rPr>
        <w:t> </w:t>
      </w:r>
      <w:r>
        <w:rPr>
          <w:vertAlign w:val="baseline"/>
        </w:rPr>
        <w:t>law,</w:t>
      </w:r>
      <w:r>
        <w:rPr>
          <w:spacing w:val="1"/>
          <w:vertAlign w:val="baseline"/>
        </w:rPr>
        <w:t> </w:t>
      </w:r>
      <w:r>
        <w:rPr>
          <w:vertAlign w:val="baseline"/>
        </w:rPr>
        <w:t>than</w:t>
      </w:r>
      <w:r>
        <w:rPr>
          <w:spacing w:val="1"/>
          <w:vertAlign w:val="baseline"/>
        </w:rPr>
        <w:t> </w:t>
      </w:r>
      <w:r>
        <w:rPr>
          <w:vertAlign w:val="baseline"/>
        </w:rPr>
        <w:t>it</w:t>
      </w:r>
      <w:r>
        <w:rPr>
          <w:spacing w:val="1"/>
          <w:vertAlign w:val="baseline"/>
        </w:rPr>
        <w:t> </w:t>
      </w:r>
      <w:r>
        <w:rPr>
          <w:vertAlign w:val="baseline"/>
        </w:rPr>
        <w:t>will</w:t>
      </w:r>
      <w:r>
        <w:rPr>
          <w:spacing w:val="1"/>
          <w:vertAlign w:val="baseline"/>
        </w:rPr>
        <w:t> </w:t>
      </w:r>
      <w:r>
        <w:rPr>
          <w:vertAlign w:val="baseline"/>
        </w:rPr>
        <w:t>operate,</w:t>
      </w:r>
      <w:r>
        <w:rPr>
          <w:spacing w:val="1"/>
          <w:vertAlign w:val="baseline"/>
        </w:rPr>
        <w:t> </w:t>
      </w:r>
      <w:r>
        <w:rPr>
          <w:vertAlign w:val="baseline"/>
        </w:rPr>
        <w:t>where</w:t>
      </w:r>
      <w:r>
        <w:rPr>
          <w:spacing w:val="1"/>
          <w:vertAlign w:val="baseline"/>
        </w:rPr>
        <w:t> </w:t>
      </w:r>
      <w:r>
        <w:rPr>
          <w:vertAlign w:val="baseline"/>
        </w:rPr>
        <w:t>relevant,</w:t>
      </w:r>
      <w:r>
        <w:rPr>
          <w:spacing w:val="1"/>
          <w:vertAlign w:val="baseline"/>
        </w:rPr>
        <w:t> </w:t>
      </w:r>
      <w:r>
        <w:rPr>
          <w:vertAlign w:val="baseline"/>
        </w:rPr>
        <w:t>if</w:t>
      </w:r>
      <w:r>
        <w:rPr>
          <w:spacing w:val="1"/>
          <w:vertAlign w:val="baseline"/>
        </w:rPr>
        <w:t> </w:t>
      </w:r>
      <w:r>
        <w:rPr>
          <w:vertAlign w:val="baseline"/>
        </w:rPr>
        <w:t>English</w:t>
      </w:r>
      <w:r>
        <w:rPr>
          <w:spacing w:val="1"/>
          <w:vertAlign w:val="baseline"/>
        </w:rPr>
        <w:t> </w:t>
      </w:r>
      <w:r>
        <w:rPr>
          <w:vertAlign w:val="baseline"/>
        </w:rPr>
        <w:t>law</w:t>
      </w:r>
      <w:r>
        <w:rPr>
          <w:spacing w:val="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applicable</w:t>
      </w:r>
      <w:r>
        <w:rPr>
          <w:spacing w:val="1"/>
          <w:vertAlign w:val="baseline"/>
        </w:rPr>
        <w:t> </w:t>
      </w:r>
      <w:r>
        <w:rPr>
          <w:vertAlign w:val="baseline"/>
        </w:rPr>
        <w:t>law</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 </w:t>
      </w:r>
      <w:r>
        <w:rPr>
          <w:color w:val="005DA1"/>
          <w:spacing w:val="-5"/>
          <w:u w:val="single" w:color="005DA1"/>
          <w:vertAlign w:val="superscript"/>
        </w:rPr>
        <w:t>1355</w:t>
      </w:r>
    </w:p>
    <w:p>
      <w:pPr>
        <w:pStyle w:val="BodyText"/>
        <w:spacing w:line="235" w:lineRule="auto" w:before="118"/>
        <w:ind w:left="165" w:right="167" w:firstLine="140"/>
        <w:jc w:val="both"/>
      </w:pPr>
      <w:r>
        <w:rPr>
          <w:position w:val="-2"/>
        </w:rPr>
        <w:drawing>
          <wp:inline distT="0" distB="0" distL="0" distR="0">
            <wp:extent cx="107988" cy="107988"/>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But if, contrary to this view, it is eventually decided that the principle is of wider import so that it </w:t>
      </w:r>
      <w:bookmarkStart w:name="_bookmark2574" w:id="2576"/>
      <w:bookmarkEnd w:id="2576"/>
      <w:r>
        <w:rPr/>
        <w:t>applies</w:t>
      </w:r>
      <w:r>
        <w:rPr/>
        <w:t> irrespective of the law applicable to the contract, it is difficult to accommodate it within </w:t>
      </w:r>
      <w:r>
        <w:rPr/>
        <w:t>the Convention. The first possibility is to argue that it can be applied pursuant to art.16, </w:t>
      </w:r>
      <w:r>
        <w:rPr>
          <w:color w:val="005DA1"/>
          <w:u w:val="single" w:color="005DA1"/>
          <w:vertAlign w:val="superscript"/>
        </w:rPr>
        <w:t>1356</w:t>
      </w:r>
      <w:r>
        <w:rPr>
          <w:color w:val="005DA1"/>
          <w:vertAlign w:val="baseline"/>
        </w:rPr>
        <w:t> </w:t>
      </w:r>
      <w:r>
        <w:rPr>
          <w:vertAlign w:val="baseline"/>
        </w:rPr>
        <w:t>as a principle </w:t>
      </w:r>
      <w:bookmarkStart w:name="_bookmark2575" w:id="2577"/>
      <w:bookmarkEnd w:id="2577"/>
      <w:r>
        <w:rPr>
          <w:vertAlign w:val="baseline"/>
        </w:rPr>
        <w:t>of</w:t>
      </w:r>
      <w:r>
        <w:rPr>
          <w:vertAlign w:val="baseline"/>
        </w:rPr>
        <w:t> English public policy, but it is doubtful whether the principle bears the character of a rule of English public policy. </w:t>
      </w:r>
      <w:r>
        <w:rPr>
          <w:color w:val="005DA1"/>
          <w:u w:val="single" w:color="005DA1"/>
          <w:vertAlign w:val="superscript"/>
        </w:rPr>
        <w:t>1357</w:t>
      </w:r>
      <w:r>
        <w:rPr>
          <w:color w:val="005DA1"/>
          <w:vertAlign w:val="baseline"/>
        </w:rPr>
        <w:t> </w:t>
      </w:r>
      <w:r>
        <w:rPr>
          <w:vertAlign w:val="baseline"/>
        </w:rPr>
        <w:t>Secondly, but more doubtfully, the principle of </w:t>
      </w:r>
      <w:r>
        <w:rPr>
          <w:rFonts w:ascii="Arial"/>
          <w:i/>
          <w:vertAlign w:val="baseline"/>
        </w:rPr>
        <w:t>Ralli Bros </w:t>
      </w:r>
      <w:r>
        <w:rPr>
          <w:vertAlign w:val="baseline"/>
        </w:rPr>
        <w:t>could be construed as a mandatory rule of English law, applicable by virtue of art.7(2) of the Convention. Thirdly, but even </w:t>
      </w:r>
      <w:bookmarkStart w:name="_bookmark2576" w:id="2578"/>
      <w:bookmarkEnd w:id="2578"/>
      <w:r>
        <w:rPr>
          <w:vertAlign w:val="baseline"/>
        </w:rPr>
        <w:t>more</w:t>
      </w:r>
      <w:r>
        <w:rPr>
          <w:vertAlign w:val="baseline"/>
        </w:rPr>
        <w:t> doubtfully, it has been suggested that the principle could be applied by virtue of art.10(2) of the Convention, </w:t>
      </w:r>
      <w:r>
        <w:rPr>
          <w:color w:val="005DA1"/>
          <w:u w:val="single" w:color="005DA1"/>
          <w:vertAlign w:val="superscript"/>
        </w:rPr>
        <w:t>1358</w:t>
      </w:r>
      <w:r>
        <w:rPr>
          <w:color w:val="005DA1"/>
          <w:vertAlign w:val="baseline"/>
        </w:rPr>
        <w:t> </w:t>
      </w:r>
      <w:r>
        <w:rPr>
          <w:vertAlign w:val="baseline"/>
        </w:rPr>
        <w:t>but this is most unlikely since art.10(2) only submits to the law of the place of </w:t>
      </w:r>
      <w:bookmarkStart w:name="_bookmark2577" w:id="2579"/>
      <w:bookmarkEnd w:id="2579"/>
      <w:r>
        <w:rPr>
          <w:vertAlign w:val="baseline"/>
        </w:rPr>
        <w:t>performance</w:t>
      </w:r>
      <w:r>
        <w:rPr>
          <w:vertAlign w:val="baseline"/>
        </w:rPr>
        <w:t> minor matters affecting the detail of performance rather than the substance of the obligation to be performed, </w:t>
      </w:r>
      <w:r>
        <w:rPr>
          <w:color w:val="005DA1"/>
          <w:u w:val="single" w:color="005DA1"/>
          <w:vertAlign w:val="superscript"/>
        </w:rPr>
        <w:t>1359</w:t>
      </w:r>
      <w:r>
        <w:rPr>
          <w:color w:val="005DA1"/>
          <w:vertAlign w:val="baseline"/>
        </w:rPr>
        <w:t> </w:t>
      </w:r>
      <w:r>
        <w:rPr>
          <w:vertAlign w:val="baseline"/>
        </w:rPr>
        <w:t>and the latter, not the former, was what was at issue in the </w:t>
      </w:r>
      <w:r>
        <w:rPr>
          <w:rFonts w:ascii="Arial"/>
          <w:i/>
          <w:vertAlign w:val="baseline"/>
        </w:rPr>
        <w:t>Ralli Bros </w:t>
      </w:r>
      <w:r>
        <w:rPr>
          <w:spacing w:val="-2"/>
          <w:vertAlign w:val="baseline"/>
        </w:rPr>
        <w:t>case.</w:t>
      </w:r>
    </w:p>
    <w:p>
      <w:pPr>
        <w:pStyle w:val="BodyText"/>
      </w:pPr>
    </w:p>
    <w:p>
      <w:pPr>
        <w:pStyle w:val="BodyText"/>
        <w:spacing w:before="34"/>
      </w:pPr>
    </w:p>
    <w:p>
      <w:pPr>
        <w:spacing w:before="0"/>
        <w:ind w:left="165" w:right="0" w:firstLine="0"/>
        <w:jc w:val="both"/>
        <w:rPr>
          <w:rFonts w:ascii="Arial"/>
          <w:b/>
          <w:sz w:val="18"/>
        </w:rPr>
      </w:pPr>
      <w:r>
        <w:rPr>
          <w:rFonts w:ascii="Arial"/>
          <w:b/>
          <w:sz w:val="18"/>
        </w:rPr>
        <w:t>Effect of Rome I </w:t>
      </w:r>
      <w:r>
        <w:rPr>
          <w:rFonts w:ascii="Arial"/>
          <w:b/>
          <w:spacing w:val="-2"/>
          <w:sz w:val="18"/>
        </w:rPr>
        <w:t>Regulation</w:t>
      </w:r>
    </w:p>
    <w:p>
      <w:pPr>
        <w:pStyle w:val="BodyText"/>
        <w:spacing w:before="41"/>
        <w:rPr>
          <w:rFonts w:ascii="Arial"/>
          <w:b/>
          <w:sz w:val="18"/>
        </w:rPr>
      </w:pPr>
    </w:p>
    <w:p>
      <w:pPr>
        <w:pStyle w:val="Heading2"/>
      </w:pPr>
      <w:r>
        <w:rPr/>
        <w:t>30-</w:t>
      </w:r>
      <w:r>
        <w:rPr>
          <w:spacing w:val="-5"/>
        </w:rPr>
        <w:t>362</w:t>
      </w:r>
    </w:p>
    <w:p>
      <w:pPr>
        <w:pStyle w:val="BodyText"/>
        <w:spacing w:before="93"/>
        <w:rPr>
          <w:rFonts w:ascii="Arial"/>
          <w:b/>
        </w:rPr>
      </w:pPr>
    </w:p>
    <w:p>
      <w:pPr>
        <w:pStyle w:val="BodyText"/>
        <w:spacing w:line="235" w:lineRule="auto"/>
        <w:ind w:left="165" w:right="166"/>
        <w:jc w:val="both"/>
      </w:pPr>
      <w:r>
        <w:rPr>
          <w:position w:val="-2"/>
        </w:rPr>
        <w:drawing>
          <wp:inline distT="0" distB="0" distL="0" distR="0">
            <wp:extent cx="107988" cy="107988"/>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8"/>
        </w:rPr>
        <w:t> </w:t>
      </w:r>
      <w:r>
        <w:rPr/>
        <w:t>To the extent that the principle in </w:t>
      </w:r>
      <w:r>
        <w:rPr>
          <w:rFonts w:ascii="Arial"/>
          <w:i/>
        </w:rPr>
        <w:t>Ralli Bros </w:t>
      </w:r>
      <w:r>
        <w:rPr/>
        <w:t>is a rule of the domestic English law of contract (and this it is submitted is the better view), it will continue to apply in cases falling within the Rome I </w:t>
      </w:r>
      <w:bookmarkStart w:name="_bookmark2578" w:id="2580"/>
      <w:bookmarkEnd w:id="2580"/>
      <w:r>
        <w:rPr/>
        <w:t>Regulation</w:t>
      </w:r>
      <w:r>
        <w:rPr>
          <w:spacing w:val="5"/>
        </w:rPr>
        <w:t> </w:t>
      </w:r>
      <w:r>
        <w:rPr/>
        <w:t>where,</w:t>
      </w:r>
      <w:r>
        <w:rPr>
          <w:spacing w:val="5"/>
        </w:rPr>
        <w:t> </w:t>
      </w:r>
      <w:r>
        <w:rPr/>
        <w:t>pursuant</w:t>
      </w:r>
      <w:r>
        <w:rPr>
          <w:spacing w:val="5"/>
        </w:rPr>
        <w:t> </w:t>
      </w:r>
      <w:r>
        <w:rPr/>
        <w:t>to</w:t>
      </w:r>
      <w:r>
        <w:rPr>
          <w:spacing w:val="5"/>
        </w:rPr>
        <w:t> </w:t>
      </w:r>
      <w:r>
        <w:rPr/>
        <w:t>the</w:t>
      </w:r>
      <w:r>
        <w:rPr>
          <w:spacing w:val="5"/>
        </w:rPr>
        <w:t> </w:t>
      </w:r>
      <w:r>
        <w:rPr/>
        <w:t>rules</w:t>
      </w:r>
      <w:r>
        <w:rPr>
          <w:spacing w:val="5"/>
        </w:rPr>
        <w:t> </w:t>
      </w:r>
      <w:r>
        <w:rPr/>
        <w:t>contained</w:t>
      </w:r>
      <w:r>
        <w:rPr>
          <w:spacing w:val="5"/>
        </w:rPr>
        <w:t> </w:t>
      </w:r>
      <w:r>
        <w:rPr/>
        <w:t>in</w:t>
      </w:r>
      <w:r>
        <w:rPr>
          <w:spacing w:val="5"/>
        </w:rPr>
        <w:t> </w:t>
      </w:r>
      <w:r>
        <w:rPr/>
        <w:t>the</w:t>
      </w:r>
      <w:r>
        <w:rPr>
          <w:spacing w:val="5"/>
        </w:rPr>
        <w:t> </w:t>
      </w:r>
      <w:r>
        <w:rPr/>
        <w:t>Regulation,</w:t>
      </w:r>
      <w:r>
        <w:rPr>
          <w:spacing w:val="5"/>
        </w:rPr>
        <w:t> </w:t>
      </w:r>
      <w:r>
        <w:rPr/>
        <w:t>English</w:t>
      </w:r>
      <w:r>
        <w:rPr>
          <w:spacing w:val="5"/>
        </w:rPr>
        <w:t> </w:t>
      </w:r>
      <w:r>
        <w:rPr/>
        <w:t>law</w:t>
      </w:r>
      <w:r>
        <w:rPr>
          <w:spacing w:val="5"/>
        </w:rPr>
        <w:t> </w:t>
      </w:r>
      <w:r>
        <w:rPr/>
        <w:t>is</w:t>
      </w:r>
      <w:r>
        <w:rPr>
          <w:spacing w:val="5"/>
        </w:rPr>
        <w:t> </w:t>
      </w:r>
      <w:r>
        <w:rPr/>
        <w:t>the</w:t>
      </w:r>
      <w:r>
        <w:rPr>
          <w:spacing w:val="5"/>
        </w:rPr>
        <w:t> </w:t>
      </w:r>
      <w:r>
        <w:rPr/>
        <w:t>law</w:t>
      </w:r>
      <w:r>
        <w:rPr>
          <w:spacing w:val="5"/>
        </w:rPr>
        <w:t> </w:t>
      </w:r>
      <w:r>
        <w:rPr>
          <w:spacing w:val="-2"/>
        </w:rPr>
        <w:t>applicable</w:t>
      </w:r>
    </w:p>
    <w:p>
      <w:pPr>
        <w:pStyle w:val="BodyText"/>
        <w:spacing w:line="235" w:lineRule="auto" w:before="119"/>
        <w:ind w:left="165" w:right="167"/>
        <w:jc w:val="both"/>
      </w:pPr>
      <w:r>
        <w:rPr/>
        <w:t>to the contract. </w:t>
      </w:r>
      <w:hyperlink w:history="true" w:anchor="_bookmark2634">
        <w:r>
          <w:rPr>
            <w:color w:val="005DA1"/>
            <w:u w:val="single" w:color="005DA1"/>
            <w:vertAlign w:val="superscript"/>
          </w:rPr>
          <w:t>1360</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8"/>
            <w:vertAlign w:val="baseline"/>
          </w:rPr>
          <w:t> </w:t>
        </w:r>
        <w:r>
          <w:rPr>
            <w:vertAlign w:val="baseline"/>
          </w:rPr>
          <w:t>It is, however, unnecessary to consider whether the rule is of wider import, since the Regulation provides a specific rule enabling account to be taken of illegality by the law of</w:t>
        </w:r>
        <w:r>
          <w:rPr>
            <w:spacing w:val="80"/>
            <w:vertAlign w:val="baseline"/>
          </w:rPr>
          <w:t> </w:t>
        </w:r>
        <w:r>
          <w:rPr>
            <w:vertAlign w:val="baseline"/>
          </w:rPr>
          <w:t>the place of performance and the existence of this rule appears to mean that otherwise illegality </w:t>
        </w:r>
        <w:r>
          <w:rPr>
            <w:vertAlign w:val="baseline"/>
          </w:rPr>
          <w:t>by</w:t>
        </w:r>
        <w:r>
          <w:rPr>
            <w:spacing w:val="40"/>
            <w:vertAlign w:val="baseline"/>
          </w:rPr>
          <w:t> </w:t>
        </w:r>
        <w:r>
          <w:rPr>
            <w:vertAlign w:val="baseline"/>
          </w:rPr>
          <w:t>the law of the place of performance will only be relevant where, under the law applicable to the contract, account is taken of such illegality. Article 9(3) of the Regulation provides as follows:</w:t>
        </w:r>
      </w:hyperlink>
    </w:p>
    <w:p>
      <w:pPr>
        <w:pStyle w:val="BodyText"/>
      </w:pPr>
    </w:p>
    <w:p>
      <w:pPr>
        <w:pStyle w:val="BodyText"/>
        <w:spacing w:before="125"/>
      </w:pPr>
    </w:p>
    <w:p>
      <w:pPr>
        <w:pStyle w:val="BodyText"/>
        <w:spacing w:line="235" w:lineRule="auto"/>
        <w:ind w:left="1245" w:right="167"/>
        <w:jc w:val="both"/>
      </w:pPr>
      <w:r>
        <w:rPr/>
        <w:t>“Effect may be given to the overriding mandatory provisions of the law of the </w:t>
      </w:r>
      <w:r>
        <w:rPr/>
        <w:t>country where</w:t>
      </w:r>
      <w:r>
        <w:rPr>
          <w:spacing w:val="-1"/>
        </w:rPr>
        <w:t> </w:t>
      </w:r>
      <w:r>
        <w:rPr/>
        <w:t>the</w:t>
      </w:r>
      <w:r>
        <w:rPr>
          <w:spacing w:val="-1"/>
        </w:rPr>
        <w:t> </w:t>
      </w:r>
      <w:r>
        <w:rPr/>
        <w:t>obligations</w:t>
      </w:r>
      <w:r>
        <w:rPr>
          <w:spacing w:val="-1"/>
        </w:rPr>
        <w:t> </w:t>
      </w:r>
      <w:r>
        <w:rPr/>
        <w:t>arising</w:t>
      </w:r>
      <w:r>
        <w:rPr>
          <w:spacing w:val="-1"/>
        </w:rPr>
        <w:t> </w:t>
      </w:r>
      <w:r>
        <w:rPr/>
        <w:t>out</w:t>
      </w:r>
      <w:r>
        <w:rPr>
          <w:spacing w:val="-1"/>
        </w:rPr>
        <w:t> </w:t>
      </w:r>
      <w:r>
        <w:rPr/>
        <w:t>of</w:t>
      </w:r>
      <w:r>
        <w:rPr>
          <w:spacing w:val="-1"/>
        </w:rPr>
        <w:t> </w:t>
      </w:r>
      <w:r>
        <w:rPr/>
        <w:t>the</w:t>
      </w:r>
      <w:r>
        <w:rPr>
          <w:spacing w:val="-1"/>
        </w:rPr>
        <w:t> </w:t>
      </w:r>
      <w:r>
        <w:rPr/>
        <w:t>contract</w:t>
      </w:r>
      <w:r>
        <w:rPr>
          <w:spacing w:val="-1"/>
        </w:rPr>
        <w:t> </w:t>
      </w:r>
      <w:r>
        <w:rPr/>
        <w:t>have</w:t>
      </w:r>
      <w:r>
        <w:rPr>
          <w:spacing w:val="-1"/>
        </w:rPr>
        <w:t> </w:t>
      </w:r>
      <w:r>
        <w:rPr/>
        <w:t>to</w:t>
      </w:r>
      <w:r>
        <w:rPr>
          <w:spacing w:val="-1"/>
        </w:rPr>
        <w:t> </w:t>
      </w:r>
      <w:r>
        <w:rPr/>
        <w:t>be</w:t>
      </w:r>
      <w:r>
        <w:rPr>
          <w:spacing w:val="-1"/>
        </w:rPr>
        <w:t> </w:t>
      </w:r>
      <w:r>
        <w:rPr/>
        <w:t>or</w:t>
      </w:r>
      <w:r>
        <w:rPr>
          <w:spacing w:val="-1"/>
        </w:rPr>
        <w:t> </w:t>
      </w:r>
      <w:r>
        <w:rPr/>
        <w:t>have</w:t>
      </w:r>
      <w:r>
        <w:rPr>
          <w:spacing w:val="-1"/>
        </w:rPr>
        <w:t> </w:t>
      </w:r>
      <w:r>
        <w:rPr/>
        <w:t>been</w:t>
      </w:r>
      <w:r>
        <w:rPr>
          <w:spacing w:val="-1"/>
        </w:rPr>
        <w:t> </w:t>
      </w:r>
      <w:r>
        <w:rPr/>
        <w:t>performed,</w:t>
      </w:r>
      <w:r>
        <w:rPr>
          <w:spacing w:val="-1"/>
        </w:rPr>
        <w:t> </w:t>
      </w:r>
      <w:r>
        <w:rPr/>
        <w:t>in</w:t>
      </w:r>
      <w:r>
        <w:rPr>
          <w:spacing w:val="-1"/>
        </w:rPr>
        <w:t> </w:t>
      </w:r>
      <w:r>
        <w:rPr/>
        <w:t>so far</w:t>
      </w:r>
      <w:r>
        <w:rPr>
          <w:spacing w:val="-2"/>
        </w:rPr>
        <w:t> </w:t>
      </w:r>
      <w:r>
        <w:rPr/>
        <w:t>as</w:t>
      </w:r>
      <w:r>
        <w:rPr>
          <w:spacing w:val="-2"/>
        </w:rPr>
        <w:t> </w:t>
      </w:r>
      <w:r>
        <w:rPr/>
        <w:t>those</w:t>
      </w:r>
      <w:r>
        <w:rPr>
          <w:spacing w:val="-2"/>
        </w:rPr>
        <w:t> </w:t>
      </w:r>
      <w:r>
        <w:rPr/>
        <w:t>overriding</w:t>
      </w:r>
      <w:r>
        <w:rPr>
          <w:spacing w:val="-2"/>
        </w:rPr>
        <w:t> </w:t>
      </w:r>
      <w:r>
        <w:rPr/>
        <w:t>mandatory</w:t>
      </w:r>
      <w:r>
        <w:rPr>
          <w:spacing w:val="-2"/>
        </w:rPr>
        <w:t> </w:t>
      </w:r>
      <w:r>
        <w:rPr/>
        <w:t>provisions</w:t>
      </w:r>
      <w:r>
        <w:rPr>
          <w:spacing w:val="-2"/>
        </w:rPr>
        <w:t> </w:t>
      </w:r>
      <w:r>
        <w:rPr/>
        <w:t>render</w:t>
      </w:r>
      <w:r>
        <w:rPr>
          <w:spacing w:val="-2"/>
        </w:rPr>
        <w:t> </w:t>
      </w:r>
      <w:r>
        <w:rPr/>
        <w:t>performance</w:t>
      </w:r>
      <w:r>
        <w:rPr>
          <w:spacing w:val="-2"/>
        </w:rPr>
        <w:t> </w:t>
      </w:r>
      <w:r>
        <w:rPr/>
        <w:t>of</w:t>
      </w:r>
      <w:r>
        <w:rPr>
          <w:spacing w:val="-2"/>
        </w:rPr>
        <w:t> </w:t>
      </w:r>
      <w:r>
        <w:rPr/>
        <w:t>the</w:t>
      </w:r>
      <w:r>
        <w:rPr>
          <w:spacing w:val="-2"/>
        </w:rPr>
        <w:t> </w:t>
      </w:r>
      <w:r>
        <w:rPr/>
        <w:t>contract</w:t>
      </w:r>
      <w:r>
        <w:rPr>
          <w:spacing w:val="-2"/>
        </w:rPr>
        <w:t> </w:t>
      </w:r>
      <w:r>
        <w:rPr/>
        <w:t>unlawful. In considering whether to give effect to those provisions, regard shall be had to their nature and purpose and to the consequences of their application or nonapplication.”</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The second sentence of this formulation is taken from art.7(1) of the Rome Convention, but the first sentence is of narrower import than the equivalent provision in the Convention which allowed effect to </w:t>
      </w:r>
      <w:bookmarkStart w:name="_bookmark2579" w:id="2581"/>
      <w:bookmarkEnd w:id="2581"/>
      <w:r>
        <w:rPr/>
        <w:t>be</w:t>
      </w:r>
      <w:r>
        <w:rPr/>
        <w:t> given to the mandatory rules of the law of another country with which “the situation has a close connection”. </w:t>
      </w:r>
      <w:r>
        <w:rPr>
          <w:color w:val="005DA1"/>
          <w:u w:val="single" w:color="005DA1"/>
          <w:vertAlign w:val="superscript"/>
        </w:rPr>
        <w:t>1361</w:t>
      </w:r>
      <w:r>
        <w:rPr>
          <w:color w:val="005DA1"/>
          <w:vertAlign w:val="baseline"/>
        </w:rPr>
        <w:t> </w:t>
      </w:r>
      <w:r>
        <w:rPr>
          <w:vertAlign w:val="baseline"/>
        </w:rPr>
        <w:t>In contrast, art.9(3) of the Regulation only allows account to be taken of relevant rules of the place of performance. Thus art.9(3) only appears to be relevant where a contract, valid by its applicable law, is alleged to be invalid by reference to that provision.</w:t>
      </w:r>
    </w:p>
    <w:p>
      <w:pPr>
        <w:pStyle w:val="BodyText"/>
      </w:pPr>
    </w:p>
    <w:p>
      <w:pPr>
        <w:pStyle w:val="BodyText"/>
        <w:spacing w:before="36"/>
      </w:pPr>
    </w:p>
    <w:p>
      <w:pPr>
        <w:spacing w:before="1"/>
        <w:ind w:left="165" w:right="0" w:firstLine="0"/>
        <w:jc w:val="both"/>
        <w:rPr>
          <w:rFonts w:ascii="Arial" w:hAnsi="Arial"/>
          <w:b/>
          <w:sz w:val="18"/>
        </w:rPr>
      </w:pPr>
      <w:r>
        <w:rPr>
          <w:rFonts w:ascii="Arial" w:hAnsi="Arial"/>
          <w:b/>
          <w:sz w:val="18"/>
        </w:rPr>
        <w:t>“Overriding mandatory </w:t>
      </w:r>
      <w:r>
        <w:rPr>
          <w:rFonts w:ascii="Arial" w:hAnsi="Arial"/>
          <w:b/>
          <w:spacing w:val="-2"/>
          <w:sz w:val="18"/>
        </w:rPr>
        <w:t>provisions”</w:t>
      </w:r>
    </w:p>
    <w:p>
      <w:pPr>
        <w:pStyle w:val="BodyText"/>
        <w:spacing w:before="41"/>
        <w:rPr>
          <w:rFonts w:ascii="Arial"/>
          <w:b/>
          <w:sz w:val="18"/>
        </w:rPr>
      </w:pPr>
    </w:p>
    <w:p>
      <w:pPr>
        <w:pStyle w:val="Heading2"/>
      </w:pPr>
      <w:r>
        <w:rPr/>
        <w:t>30-</w:t>
      </w:r>
      <w:r>
        <w:rPr>
          <w:spacing w:val="-5"/>
        </w:rPr>
        <w:t>363</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r>
        <w:rPr/>
        <w:t>As explained earlier in this chapter, overriding mandatory provisions are defined in art.9(1) as:</w:t>
      </w:r>
    </w:p>
    <w:p>
      <w:pPr>
        <w:pStyle w:val="BodyText"/>
      </w:pPr>
    </w:p>
    <w:p>
      <w:pPr>
        <w:pStyle w:val="BodyText"/>
        <w:spacing w:before="125"/>
      </w:pPr>
    </w:p>
    <w:p>
      <w:pPr>
        <w:pStyle w:val="BodyText"/>
        <w:spacing w:line="235" w:lineRule="auto"/>
        <w:ind w:left="1245" w:right="167"/>
        <w:jc w:val="both"/>
      </w:pPr>
      <w:r>
        <w:rPr/>
        <w:t>“… provisions the respect for which is regarded as crucial by a country for safeguarding its</w:t>
      </w:r>
      <w:r>
        <w:rPr>
          <w:spacing w:val="-2"/>
        </w:rPr>
        <w:t> </w:t>
      </w:r>
      <w:r>
        <w:rPr/>
        <w:t>public</w:t>
      </w:r>
      <w:r>
        <w:rPr>
          <w:spacing w:val="-2"/>
        </w:rPr>
        <w:t> </w:t>
      </w:r>
      <w:r>
        <w:rPr/>
        <w:t>interests,</w:t>
      </w:r>
      <w:r>
        <w:rPr>
          <w:spacing w:val="-2"/>
        </w:rPr>
        <w:t> </w:t>
      </w:r>
      <w:r>
        <w:rPr/>
        <w:t>such</w:t>
      </w:r>
      <w:r>
        <w:rPr>
          <w:spacing w:val="-2"/>
        </w:rPr>
        <w:t> </w:t>
      </w:r>
      <w:r>
        <w:rPr/>
        <w:t>as</w:t>
      </w:r>
      <w:r>
        <w:rPr>
          <w:spacing w:val="-2"/>
        </w:rPr>
        <w:t> </w:t>
      </w:r>
      <w:r>
        <w:rPr/>
        <w:t>its</w:t>
      </w:r>
      <w:r>
        <w:rPr>
          <w:spacing w:val="-2"/>
        </w:rPr>
        <w:t> </w:t>
      </w:r>
      <w:r>
        <w:rPr/>
        <w:t>political,</w:t>
      </w:r>
      <w:r>
        <w:rPr>
          <w:spacing w:val="-2"/>
        </w:rPr>
        <w:t> </w:t>
      </w:r>
      <w:r>
        <w:rPr/>
        <w:t>social</w:t>
      </w:r>
      <w:r>
        <w:rPr>
          <w:spacing w:val="-2"/>
        </w:rPr>
        <w:t> </w:t>
      </w:r>
      <w:r>
        <w:rPr/>
        <w:t>or</w:t>
      </w:r>
      <w:r>
        <w:rPr>
          <w:spacing w:val="-2"/>
        </w:rPr>
        <w:t> </w:t>
      </w:r>
      <w:r>
        <w:rPr/>
        <w:t>economic</w:t>
      </w:r>
      <w:r>
        <w:rPr>
          <w:spacing w:val="-2"/>
        </w:rPr>
        <w:t> </w:t>
      </w:r>
      <w:r>
        <w:rPr/>
        <w:t>organisation,</w:t>
      </w:r>
      <w:r>
        <w:rPr>
          <w:spacing w:val="-2"/>
        </w:rPr>
        <w:t> </w:t>
      </w:r>
      <w:r>
        <w:rPr/>
        <w:t>to</w:t>
      </w:r>
      <w:r>
        <w:rPr>
          <w:spacing w:val="-2"/>
        </w:rPr>
        <w:t> </w:t>
      </w:r>
      <w:r>
        <w:rPr/>
        <w:t>such</w:t>
      </w:r>
      <w:r>
        <w:rPr>
          <w:spacing w:val="-2"/>
        </w:rPr>
        <w:t> </w:t>
      </w:r>
      <w:r>
        <w:rPr/>
        <w:t>an</w:t>
      </w:r>
      <w:r>
        <w:rPr>
          <w:spacing w:val="-2"/>
        </w:rPr>
        <w:t> </w:t>
      </w:r>
      <w:r>
        <w:rPr/>
        <w:t>extent that they are applicable to any situation falling within their scope, irrespective of the law otherwise applicable to the contract”</w:t>
      </w:r>
    </w:p>
    <w:p>
      <w:pPr>
        <w:pStyle w:val="BodyText"/>
        <w:spacing w:before="115"/>
      </w:pPr>
    </w:p>
    <w:p>
      <w:pPr>
        <w:pStyle w:val="BodyText"/>
        <w:spacing w:line="235" w:lineRule="auto" w:before="1"/>
        <w:ind w:left="165" w:right="167"/>
        <w:jc w:val="both"/>
      </w:pPr>
      <w:bookmarkStart w:name="_bookmark2580" w:id="2582"/>
      <w:bookmarkEnd w:id="2582"/>
      <w:r>
        <w:rPr/>
      </w:r>
      <w:bookmarkStart w:name="_bookmark2581" w:id="2583"/>
      <w:bookmarkEnd w:id="2583"/>
      <w:r>
        <w:rPr/>
      </w:r>
      <w:r>
        <w:rPr/>
        <w:t>under the Regulation. </w:t>
      </w:r>
      <w:r>
        <w:rPr>
          <w:color w:val="005DA1"/>
          <w:u w:val="single" w:color="005DA1"/>
          <w:vertAlign w:val="superscript"/>
        </w:rPr>
        <w:t>1362</w:t>
      </w:r>
      <w:r>
        <w:rPr>
          <w:color w:val="005DA1"/>
          <w:vertAlign w:val="baseline"/>
        </w:rPr>
        <w:t> </w:t>
      </w:r>
      <w:r>
        <w:rPr>
          <w:vertAlign w:val="baseline"/>
        </w:rPr>
        <w:t>It will be noted that these rules are to be distinguished from </w:t>
      </w:r>
      <w:r>
        <w:rPr>
          <w:vertAlign w:val="baseline"/>
        </w:rPr>
        <w:t>“provisions which cannot be derogated from by agreement” referred to, for example, in art.3(3) of the Regulation, </w:t>
      </w:r>
      <w:r>
        <w:rPr>
          <w:color w:val="005DA1"/>
          <w:u w:val="single" w:color="005DA1"/>
          <w:vertAlign w:val="superscript"/>
        </w:rPr>
        <w:t>1363</w:t>
      </w:r>
      <w:r>
        <w:rPr>
          <w:color w:val="005DA1"/>
          <w:spacing w:val="20"/>
          <w:vertAlign w:val="baseline"/>
        </w:rPr>
        <w:t> </w:t>
      </w:r>
      <w:bookmarkStart w:name="_bookmark2582" w:id="2584"/>
      <w:bookmarkEnd w:id="2584"/>
      <w:r>
        <w:rPr>
          <w:color w:val="005DA1"/>
          <w:spacing w:val="22"/>
          <w:vertAlign w:val="baseline"/>
        </w:rPr>
      </w:r>
      <w:r>
        <w:rPr>
          <w:vertAlign w:val="baseline"/>
        </w:rPr>
        <w:t>since</w:t>
      </w:r>
      <w:r>
        <w:rPr>
          <w:spacing w:val="21"/>
          <w:vertAlign w:val="baseline"/>
        </w:rPr>
        <w:t> </w:t>
      </w:r>
      <w:r>
        <w:rPr>
          <w:vertAlign w:val="baseline"/>
        </w:rPr>
        <w:t>they</w:t>
      </w:r>
      <w:r>
        <w:rPr>
          <w:spacing w:val="22"/>
          <w:vertAlign w:val="baseline"/>
        </w:rPr>
        <w:t> </w:t>
      </w:r>
      <w:r>
        <w:rPr>
          <w:vertAlign w:val="baseline"/>
        </w:rPr>
        <w:t>must</w:t>
      </w:r>
      <w:r>
        <w:rPr>
          <w:spacing w:val="21"/>
          <w:vertAlign w:val="baseline"/>
        </w:rPr>
        <w:t> </w:t>
      </w:r>
      <w:r>
        <w:rPr>
          <w:vertAlign w:val="baseline"/>
        </w:rPr>
        <w:t>possess</w:t>
      </w:r>
      <w:r>
        <w:rPr>
          <w:spacing w:val="21"/>
          <w:vertAlign w:val="baseline"/>
        </w:rPr>
        <w:t> </w:t>
      </w:r>
      <w:r>
        <w:rPr>
          <w:vertAlign w:val="baseline"/>
        </w:rPr>
        <w:t>the</w:t>
      </w:r>
      <w:r>
        <w:rPr>
          <w:spacing w:val="22"/>
          <w:vertAlign w:val="baseline"/>
        </w:rPr>
        <w:t> </w:t>
      </w:r>
      <w:r>
        <w:rPr>
          <w:vertAlign w:val="baseline"/>
        </w:rPr>
        <w:t>additional</w:t>
      </w:r>
      <w:r>
        <w:rPr>
          <w:spacing w:val="21"/>
          <w:vertAlign w:val="baseline"/>
        </w:rPr>
        <w:t> </w:t>
      </w:r>
      <w:r>
        <w:rPr>
          <w:vertAlign w:val="baseline"/>
        </w:rPr>
        <w:t>characteristic</w:t>
      </w:r>
      <w:r>
        <w:rPr>
          <w:spacing w:val="21"/>
          <w:vertAlign w:val="baseline"/>
        </w:rPr>
        <w:t> </w:t>
      </w:r>
      <w:r>
        <w:rPr>
          <w:vertAlign w:val="baseline"/>
        </w:rPr>
        <w:t>of</w:t>
      </w:r>
      <w:r>
        <w:rPr>
          <w:spacing w:val="22"/>
          <w:vertAlign w:val="baseline"/>
        </w:rPr>
        <w:t> </w:t>
      </w:r>
      <w:r>
        <w:rPr>
          <w:vertAlign w:val="baseline"/>
        </w:rPr>
        <w:t>being</w:t>
      </w:r>
      <w:r>
        <w:rPr>
          <w:spacing w:val="21"/>
          <w:vertAlign w:val="baseline"/>
        </w:rPr>
        <w:t> </w:t>
      </w:r>
      <w:r>
        <w:rPr>
          <w:vertAlign w:val="baseline"/>
        </w:rPr>
        <w:t>applicable</w:t>
      </w:r>
      <w:r>
        <w:rPr>
          <w:spacing w:val="21"/>
          <w:vertAlign w:val="baseline"/>
        </w:rPr>
        <w:t> </w:t>
      </w:r>
      <w:r>
        <w:rPr>
          <w:vertAlign w:val="baseline"/>
        </w:rPr>
        <w:t>irrespective</w:t>
      </w:r>
      <w:r>
        <w:rPr>
          <w:spacing w:val="22"/>
          <w:vertAlign w:val="baseline"/>
        </w:rPr>
        <w:t> </w:t>
      </w:r>
      <w:r>
        <w:rPr>
          <w:vertAlign w:val="baseline"/>
        </w:rPr>
        <w:t>of</w:t>
      </w:r>
      <w:r>
        <w:rPr>
          <w:spacing w:val="21"/>
          <w:vertAlign w:val="baseline"/>
        </w:rPr>
        <w:t> </w:t>
      </w:r>
      <w:r>
        <w:rPr>
          <w:vertAlign w:val="baseline"/>
        </w:rPr>
        <w:t>the</w:t>
      </w:r>
      <w:r>
        <w:rPr>
          <w:spacing w:val="21"/>
          <w:vertAlign w:val="baseline"/>
        </w:rPr>
        <w:t> </w:t>
      </w:r>
      <w:r>
        <w:rPr>
          <w:spacing w:val="-5"/>
          <w:vertAlign w:val="baseline"/>
        </w:rPr>
        <w:t>law</w:t>
      </w:r>
    </w:p>
    <w:p>
      <w:pPr>
        <w:pStyle w:val="BodyText"/>
        <w:spacing w:line="235" w:lineRule="auto" w:before="118"/>
        <w:ind w:left="165" w:right="167"/>
        <w:jc w:val="both"/>
      </w:pPr>
      <w:r>
        <w:rPr/>
        <w:t>applicable to the contract. Such rules must be construed “more restrictively” </w:t>
      </w:r>
      <w:hyperlink w:history="true" w:anchor="_bookmark2638">
        <w:r>
          <w:rPr>
            <w:color w:val="005DA1"/>
            <w:u w:val="single" w:color="005DA1"/>
            <w:vertAlign w:val="superscript"/>
          </w:rPr>
          <w:t>1364</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11"/>
            <w:vertAlign w:val="baseline"/>
          </w:rPr>
          <w:t> </w:t>
        </w:r>
        <w:r>
          <w:rPr>
            <w:vertAlign w:val="baseline"/>
          </w:rPr>
          <w:t>than the rules referred to in art.3(3). But it would seem that art.9(1) necessarily entails the conclusion that it will </w:t>
        </w:r>
        <w:r>
          <w:rPr>
            <w:vertAlign w:val="baseline"/>
          </w:rPr>
          <w:t>be </w:t>
        </w:r>
        <w:bookmarkStart w:name="_bookmark2583" w:id="2585"/>
        <w:bookmarkEnd w:id="2585"/>
        <w:r>
          <w:rPr>
            <w:vertAlign w:val="baseline"/>
          </w:rPr>
          <w:t>for</w:t>
        </w:r>
        <w:r>
          <w:rPr>
            <w:vertAlign w:val="baseline"/>
          </w:rPr>
          <w:t> the law of the country of which the rule forms part to determine whether it possesses the</w:t>
        </w:r>
        <w:r>
          <w:rPr>
            <w:spacing w:val="40"/>
            <w:vertAlign w:val="baseline"/>
          </w:rPr>
          <w:t> </w:t>
        </w:r>
        <w:r>
          <w:rPr>
            <w:vertAlign w:val="baseline"/>
          </w:rPr>
          <w:t>necessary characteristics and that the forum must scrutinise the rule to ensure that this is the case. </w:t>
        </w:r>
        <w:r>
          <w:rPr>
            <w:color w:val="005DA1"/>
            <w:u w:val="single" w:color="005DA1"/>
            <w:vertAlign w:val="superscript"/>
          </w:rPr>
          <w:t>1365</w:t>
        </w:r>
        <w:r>
          <w:rPr>
            <w:color w:val="005DA1"/>
            <w:vertAlign w:val="baseline"/>
          </w:rPr>
          <w:t> </w:t>
        </w:r>
        <w:bookmarkStart w:name="_bookmark2584" w:id="2586"/>
        <w:bookmarkEnd w:id="2586"/>
        <w:r>
          <w:rPr>
            <w:color w:val="005DA1"/>
            <w:spacing w:val="-19"/>
            <w:vertAlign w:val="baseline"/>
          </w:rPr>
        </w:r>
        <w:r>
          <w:rPr>
            <w:vertAlign w:val="baseline"/>
          </w:rPr>
          <w:t>Examples of potentially relevant rules might be provisions imposing economic sanctions on a </w:t>
        </w:r>
        <w:bookmarkStart w:name="_bookmark2585" w:id="2587"/>
        <w:bookmarkEnd w:id="2587"/>
        <w:r>
          <w:rPr>
            <w:vertAlign w:val="baseline"/>
          </w:rPr>
          <w:t>particular</w:t>
        </w:r>
        <w:r>
          <w:rPr>
            <w:vertAlign w:val="baseline"/>
          </w:rPr>
          <w:t> country, </w:t>
        </w:r>
        <w:r>
          <w:rPr>
            <w:color w:val="005DA1"/>
            <w:u w:val="single" w:color="005DA1"/>
            <w:vertAlign w:val="superscript"/>
          </w:rPr>
          <w:t>1366</w:t>
        </w:r>
        <w:r>
          <w:rPr>
            <w:color w:val="005DA1"/>
            <w:vertAlign w:val="baseline"/>
          </w:rPr>
          <w:t> </w:t>
        </w:r>
        <w:r>
          <w:rPr>
            <w:vertAlign w:val="baseline"/>
          </w:rPr>
          <w:t>rules imposing an embargo on exports to a particular country, </w:t>
        </w:r>
        <w:r>
          <w:rPr>
            <w:color w:val="005DA1"/>
            <w:u w:val="single" w:color="005DA1"/>
            <w:vertAlign w:val="superscript"/>
          </w:rPr>
          <w:t>1367</w:t>
        </w:r>
        <w:r>
          <w:rPr>
            <w:color w:val="005DA1"/>
            <w:vertAlign w:val="baseline"/>
          </w:rPr>
          <w:t> </w:t>
        </w:r>
        <w:r>
          <w:rPr>
            <w:vertAlign w:val="baseline"/>
          </w:rPr>
          <w:t>rules imposing price, or exchange, controls </w:t>
        </w:r>
        <w:r>
          <w:rPr>
            <w:color w:val="005DA1"/>
            <w:u w:val="single" w:color="005DA1"/>
            <w:vertAlign w:val="superscript"/>
          </w:rPr>
          <w:t>1368</w:t>
        </w:r>
        <w:r>
          <w:rPr>
            <w:color w:val="005DA1"/>
            <w:vertAlign w:val="baseline"/>
          </w:rPr>
          <w:t> </w:t>
        </w:r>
        <w:r>
          <w:rPr>
            <w:vertAlign w:val="baseline"/>
          </w:rPr>
          <w:t>and rules prohibiting cartels. </w:t>
        </w:r>
        <w:r>
          <w:rPr>
            <w:color w:val="005DA1"/>
            <w:u w:val="single" w:color="005DA1"/>
            <w:vertAlign w:val="superscript"/>
          </w:rPr>
          <w:t>1369</w:t>
        </w:r>
      </w:hyperlink>
    </w:p>
    <w:p>
      <w:pPr>
        <w:pStyle w:val="BodyText"/>
      </w:pPr>
    </w:p>
    <w:p>
      <w:pPr>
        <w:pStyle w:val="BodyText"/>
        <w:spacing w:before="36"/>
      </w:pPr>
    </w:p>
    <w:p>
      <w:pPr>
        <w:spacing w:before="1"/>
        <w:ind w:left="165" w:right="0" w:firstLine="0"/>
        <w:jc w:val="both"/>
        <w:rPr>
          <w:rFonts w:ascii="Arial"/>
          <w:b/>
          <w:sz w:val="18"/>
        </w:rPr>
      </w:pPr>
      <w:r>
        <w:rPr>
          <w:rFonts w:ascii="Arial"/>
          <w:b/>
          <w:sz w:val="18"/>
        </w:rPr>
        <w:t>Relevant </w:t>
      </w:r>
      <w:r>
        <w:rPr>
          <w:rFonts w:ascii="Arial"/>
          <w:b/>
          <w:spacing w:val="-2"/>
          <w:sz w:val="18"/>
        </w:rPr>
        <w:t>country</w:t>
      </w:r>
    </w:p>
    <w:p>
      <w:pPr>
        <w:pStyle w:val="BodyText"/>
        <w:spacing w:before="41"/>
        <w:rPr>
          <w:rFonts w:ascii="Arial"/>
          <w:b/>
          <w:sz w:val="18"/>
        </w:rPr>
      </w:pPr>
    </w:p>
    <w:p>
      <w:pPr>
        <w:pStyle w:val="Heading2"/>
      </w:pPr>
      <w:r>
        <w:rPr/>
        <w:t>30-</w:t>
      </w:r>
      <w:r>
        <w:rPr>
          <w:spacing w:val="-5"/>
        </w:rPr>
        <w:t>364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Article 9(3) allows effect to be given to overriding mandatory provisions of the “country where the obligations arising out of the contract have to be or have been performed”. The relevant country (which need not be a Member State) may, thus be either the country where, as required by the </w:t>
      </w:r>
      <w:bookmarkStart w:name="_bookmark2586" w:id="2588"/>
      <w:bookmarkEnd w:id="2588"/>
      <w:r>
        <w:rPr/>
        <w:t>contract,</w:t>
      </w:r>
      <w:r>
        <w:rPr/>
        <w:t> performance must take place, or the country where performance actually takes place if it is not required that performance take place there. </w:t>
      </w:r>
      <w:r>
        <w:rPr>
          <w:color w:val="005DA1"/>
          <w:u w:val="single" w:color="005DA1"/>
          <w:vertAlign w:val="superscript"/>
        </w:rPr>
        <w:t>1370</w:t>
      </w:r>
      <w:r>
        <w:rPr>
          <w:color w:val="005DA1"/>
          <w:vertAlign w:val="baseline"/>
        </w:rPr>
        <w:t> </w:t>
      </w:r>
      <w:r>
        <w:rPr>
          <w:vertAlign w:val="baseline"/>
        </w:rPr>
        <w:t>The list of the overriding mandatory provisions </w:t>
      </w:r>
      <w:r>
        <w:rPr>
          <w:vertAlign w:val="baseline"/>
        </w:rPr>
        <w:t>to which the court of the forum may give effect in art.9 of the Rome I Regulation is exhaustive and must accordingly be interpreted as precluding the court of the forum from applying, as legal rules,</w:t>
      </w:r>
      <w:r>
        <w:rPr>
          <w:spacing w:val="40"/>
          <w:vertAlign w:val="baseline"/>
        </w:rPr>
        <w:t> </w:t>
      </w:r>
      <w:bookmarkStart w:name="_bookmark2587" w:id="2589"/>
      <w:bookmarkEnd w:id="2589"/>
      <w:r>
        <w:rPr>
          <w:vertAlign w:val="baseline"/>
        </w:rPr>
        <w:t>overriding</w:t>
      </w:r>
      <w:r>
        <w:rPr>
          <w:spacing w:val="13"/>
          <w:vertAlign w:val="baseline"/>
        </w:rPr>
        <w:t> </w:t>
      </w:r>
      <w:r>
        <w:rPr>
          <w:vertAlign w:val="baseline"/>
        </w:rPr>
        <w:t>mandatory</w:t>
      </w:r>
      <w:r>
        <w:rPr>
          <w:spacing w:val="13"/>
          <w:vertAlign w:val="baseline"/>
        </w:rPr>
        <w:t> </w:t>
      </w:r>
      <w:r>
        <w:rPr>
          <w:vertAlign w:val="baseline"/>
        </w:rPr>
        <w:t>provisions</w:t>
      </w:r>
      <w:r>
        <w:rPr>
          <w:spacing w:val="13"/>
          <w:vertAlign w:val="baseline"/>
        </w:rPr>
        <w:t> </w:t>
      </w:r>
      <w:r>
        <w:rPr>
          <w:vertAlign w:val="baseline"/>
        </w:rPr>
        <w:t>other</w:t>
      </w:r>
      <w:r>
        <w:rPr>
          <w:spacing w:val="13"/>
          <w:vertAlign w:val="baseline"/>
        </w:rPr>
        <w:t> </w:t>
      </w:r>
      <w:r>
        <w:rPr>
          <w:vertAlign w:val="baseline"/>
        </w:rPr>
        <w:t>than</w:t>
      </w:r>
      <w:r>
        <w:rPr>
          <w:spacing w:val="13"/>
          <w:vertAlign w:val="baseline"/>
        </w:rPr>
        <w:t> </w:t>
      </w:r>
      <w:r>
        <w:rPr>
          <w:vertAlign w:val="baseline"/>
        </w:rPr>
        <w:t>those</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State</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forum</w:t>
      </w:r>
      <w:r>
        <w:rPr>
          <w:spacing w:val="13"/>
          <w:vertAlign w:val="baseline"/>
        </w:rPr>
        <w:t> </w:t>
      </w:r>
      <w:r>
        <w:rPr>
          <w:vertAlign w:val="baseline"/>
        </w:rPr>
        <w:t>or</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State</w:t>
      </w:r>
      <w:r>
        <w:rPr>
          <w:spacing w:val="13"/>
          <w:vertAlign w:val="baseline"/>
        </w:rPr>
        <w:t> </w:t>
      </w:r>
      <w:r>
        <w:rPr>
          <w:vertAlign w:val="baseline"/>
        </w:rPr>
        <w:t>where</w:t>
      </w:r>
      <w:r>
        <w:rPr>
          <w:spacing w:val="13"/>
          <w:vertAlign w:val="baseline"/>
        </w:rPr>
        <w:t> </w:t>
      </w:r>
      <w:r>
        <w:rPr>
          <w:spacing w:val="-5"/>
          <w:vertAlign w:val="baseline"/>
        </w:rPr>
        <w:t>the</w:t>
      </w:r>
    </w:p>
    <w:p>
      <w:pPr>
        <w:pStyle w:val="BodyText"/>
        <w:spacing w:before="114"/>
        <w:ind w:left="165"/>
        <w:jc w:val="both"/>
        <w:rPr>
          <w:position w:val="-2"/>
        </w:rPr>
      </w:pPr>
      <w:r>
        <w:rPr/>
        <w:t>obligations arising out of the contract have to be or have been performed. </w:t>
      </w:r>
      <w:hyperlink w:history="true" w:anchor="_bookmark2645">
        <w:r>
          <w:rPr>
            <w:color w:val="005DA1"/>
            <w:u w:val="single" w:color="005DA1"/>
            <w:vertAlign w:val="superscript"/>
          </w:rPr>
          <w:t>1371</w:t>
        </w:r>
        <w:r>
          <w:rPr>
            <w:color w:val="005DA1"/>
            <w:spacing w:val="80"/>
            <w:w w:val="150"/>
            <w:vertAlign w:val="baseline"/>
          </w:rPr>
          <w:t> </w:t>
        </w:r>
        <w:r>
          <w:rPr>
            <w:color w:val="005DA1"/>
            <w:position w:val="-2"/>
            <w:vertAlign w:val="baseline"/>
          </w:rPr>
          <w:drawing>
            <wp:inline distT="0" distB="0" distL="0" distR="0">
              <wp:extent cx="107988" cy="107988"/>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165" w:right="0" w:firstLine="0"/>
        <w:jc w:val="left"/>
        <w:rPr>
          <w:rFonts w:ascii="Arial" w:hAnsi="Arial"/>
          <w:b/>
          <w:sz w:val="18"/>
        </w:rPr>
      </w:pPr>
      <w:r>
        <w:rPr>
          <w:rFonts w:ascii="Arial" w:hAnsi="Arial"/>
          <w:b/>
          <w:sz w:val="18"/>
        </w:rPr>
        <w:t>Performance </w:t>
      </w:r>
      <w:r>
        <w:rPr>
          <w:rFonts w:ascii="Arial" w:hAnsi="Arial"/>
          <w:b/>
          <w:spacing w:val="-2"/>
          <w:sz w:val="18"/>
        </w:rPr>
        <w:t>“unlawful”</w:t>
      </w:r>
    </w:p>
    <w:p>
      <w:pPr>
        <w:pStyle w:val="BodyText"/>
        <w:spacing w:before="41"/>
        <w:rPr>
          <w:rFonts w:ascii="Arial"/>
          <w:b/>
          <w:sz w:val="18"/>
        </w:rPr>
      </w:pPr>
    </w:p>
    <w:p>
      <w:pPr>
        <w:pStyle w:val="Heading2"/>
      </w:pPr>
      <w:r>
        <w:rPr/>
        <w:t>30-</w:t>
      </w:r>
      <w:r>
        <w:rPr>
          <w:spacing w:val="-5"/>
        </w:rPr>
        <w:t>365</w:t>
      </w:r>
    </w:p>
    <w:p>
      <w:pPr>
        <w:pStyle w:val="BodyText"/>
        <w:spacing w:line="235" w:lineRule="auto" w:before="203"/>
        <w:ind w:left="165" w:right="167"/>
        <w:jc w:val="both"/>
      </w:pPr>
      <w:r>
        <w:rPr/>
        <w:t>The relevant overriding mandatory provisions must render performance unlawful. It would seem that </w:t>
      </w:r>
      <w:bookmarkStart w:name="_bookmark2588" w:id="2590"/>
      <w:bookmarkEnd w:id="2590"/>
      <w:r>
        <w:rPr/>
        <w:t>performance</w:t>
      </w:r>
      <w:r>
        <w:rPr/>
        <w:t> may be unlawful for these purposes if, at the time the contract is concluded, it would be </w:t>
      </w:r>
      <w:bookmarkStart w:name="_bookmark2589" w:id="2591"/>
      <w:bookmarkEnd w:id="2591"/>
      <w:r>
        <w:rPr/>
        <w:t>unlawful</w:t>
      </w:r>
      <w:r>
        <w:rPr/>
        <w:t> to perform the relevant obligations </w:t>
      </w:r>
      <w:r>
        <w:rPr>
          <w:color w:val="005DA1"/>
          <w:u w:val="single" w:color="005DA1"/>
          <w:vertAlign w:val="superscript"/>
        </w:rPr>
        <w:t>1372</w:t>
      </w:r>
      <w:r>
        <w:rPr>
          <w:color w:val="005DA1"/>
          <w:vertAlign w:val="baseline"/>
        </w:rPr>
        <w:t> </w:t>
      </w:r>
      <w:r>
        <w:rPr>
          <w:vertAlign w:val="baseline"/>
        </w:rPr>
        <w:t>and where performance becomes unlawful, subsequent to the conclusion of the contract, by reason of, e.g. supervening legislation. </w:t>
      </w:r>
      <w:r>
        <w:rPr>
          <w:color w:val="005DA1"/>
          <w:u w:val="single" w:color="005DA1"/>
          <w:vertAlign w:val="superscript"/>
        </w:rPr>
        <w:t>1373</w:t>
      </w:r>
      <w:r>
        <w:rPr>
          <w:color w:val="005DA1"/>
          <w:vertAlign w:val="baseline"/>
        </w:rPr>
        <w:t> </w:t>
      </w:r>
      <w:r>
        <w:rPr>
          <w:vertAlign w:val="baseline"/>
        </w:rPr>
        <w:t>It would </w:t>
      </w:r>
      <w:bookmarkStart w:name="_bookmark2590" w:id="2592"/>
      <w:bookmarkEnd w:id="2592"/>
      <w:r>
        <w:rPr>
          <w:vertAlign w:val="baseline"/>
        </w:rPr>
        <w:t>appear,</w:t>
      </w:r>
      <w:r>
        <w:rPr>
          <w:vertAlign w:val="baseline"/>
        </w:rPr>
        <w:t> however, to be insufficient that performance of the obligations under the contract has been excused, e.g. by force majeure. </w:t>
      </w:r>
      <w:r>
        <w:rPr>
          <w:color w:val="005DA1"/>
          <w:u w:val="single" w:color="005DA1"/>
          <w:vertAlign w:val="superscript"/>
        </w:rPr>
        <w:t>1374</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pacing w:val="-2"/>
          <w:sz w:val="18"/>
        </w:rPr>
        <w:t>Discretion</w:t>
      </w:r>
    </w:p>
    <w:p>
      <w:pPr>
        <w:pStyle w:val="BodyText"/>
        <w:spacing w:before="41"/>
        <w:rPr>
          <w:rFonts w:ascii="Arial"/>
          <w:b/>
          <w:sz w:val="18"/>
        </w:rPr>
      </w:pPr>
    </w:p>
    <w:p>
      <w:pPr>
        <w:pStyle w:val="Heading2"/>
      </w:pPr>
      <w:r>
        <w:rPr/>
        <w:t>30-</w:t>
      </w:r>
      <w:r>
        <w:rPr>
          <w:spacing w:val="-5"/>
        </w:rPr>
        <w:t>366</w:t>
      </w:r>
    </w:p>
    <w:p>
      <w:pPr>
        <w:pStyle w:val="BodyText"/>
        <w:spacing w:line="235" w:lineRule="auto" w:before="203"/>
        <w:ind w:left="165" w:right="166"/>
        <w:jc w:val="both"/>
      </w:pPr>
      <w:r>
        <w:rPr/>
        <w:t>Article 9(3) contains a discretionary principle, in the sense that the forum is not required to give effect to the relevant provisions. This much is clear from the opening words of the provision (“effect may </w:t>
      </w:r>
      <w:r>
        <w:rPr/>
        <w:t>be given”) and from the second sentence of the provision where supposed guidance is given as to the considerations to be taken into account in considering whether to give effect to the relevant</w:t>
      </w:r>
      <w:r>
        <w:rPr>
          <w:spacing w:val="40"/>
        </w:rPr>
        <w:t> </w:t>
      </w:r>
      <w:bookmarkStart w:name="_bookmark2591" w:id="2593"/>
      <w:bookmarkEnd w:id="2593"/>
      <w:r>
        <w:rPr/>
        <w:t>provisions.</w:t>
      </w:r>
      <w:r>
        <w:rPr/>
        <w:t> Although it is said that the application of the provision is envisaged only in exceptional circumstances,</w:t>
      </w:r>
      <w:r>
        <w:rPr>
          <w:spacing w:val="-1"/>
        </w:rPr>
        <w:t> </w:t>
      </w:r>
      <w:r>
        <w:rPr>
          <w:color w:val="005DA1"/>
          <w:u w:val="single" w:color="005DA1"/>
          <w:vertAlign w:val="superscript"/>
        </w:rPr>
        <w:t>1375</w:t>
      </w:r>
      <w:r>
        <w:rPr>
          <w:color w:val="005DA1"/>
          <w:spacing w:val="-1"/>
          <w:vertAlign w:val="baseline"/>
        </w:rPr>
        <w:t> </w:t>
      </w:r>
      <w:r>
        <w:rPr>
          <w:vertAlign w:val="baseline"/>
        </w:rPr>
        <w:t>it</w:t>
      </w:r>
      <w:r>
        <w:rPr>
          <w:spacing w:val="-1"/>
          <w:vertAlign w:val="baseline"/>
        </w:rPr>
        <w:t> </w:t>
      </w:r>
      <w:r>
        <w:rPr>
          <w:vertAlign w:val="baseline"/>
        </w:rPr>
        <w:t>cannot</w:t>
      </w:r>
      <w:r>
        <w:rPr>
          <w:spacing w:val="-1"/>
          <w:vertAlign w:val="baseline"/>
        </w:rPr>
        <w:t> </w:t>
      </w:r>
      <w:r>
        <w:rPr>
          <w:vertAlign w:val="baseline"/>
        </w:rPr>
        <w:t>be</w:t>
      </w:r>
      <w:r>
        <w:rPr>
          <w:spacing w:val="-1"/>
          <w:vertAlign w:val="baseline"/>
        </w:rPr>
        <w:t> </w:t>
      </w:r>
      <w:r>
        <w:rPr>
          <w:vertAlign w:val="baseline"/>
        </w:rPr>
        <w:t>said</w:t>
      </w:r>
      <w:r>
        <w:rPr>
          <w:spacing w:val="-1"/>
          <w:vertAlign w:val="baseline"/>
        </w:rPr>
        <w:t> </w:t>
      </w:r>
      <w:r>
        <w:rPr>
          <w:vertAlign w:val="baseline"/>
        </w:rPr>
        <w:t>with</w:t>
      </w:r>
      <w:r>
        <w:rPr>
          <w:spacing w:val="-1"/>
          <w:vertAlign w:val="baseline"/>
        </w:rPr>
        <w:t> </w:t>
      </w:r>
      <w:r>
        <w:rPr>
          <w:vertAlign w:val="baseline"/>
        </w:rPr>
        <w:t>any</w:t>
      </w:r>
      <w:r>
        <w:rPr>
          <w:spacing w:val="-1"/>
          <w:vertAlign w:val="baseline"/>
        </w:rPr>
        <w:t> </w:t>
      </w:r>
      <w:r>
        <w:rPr>
          <w:vertAlign w:val="baseline"/>
        </w:rPr>
        <w:t>confidence</w:t>
      </w:r>
      <w:r>
        <w:rPr>
          <w:spacing w:val="-1"/>
          <w:vertAlign w:val="baseline"/>
        </w:rPr>
        <w:t> </w:t>
      </w:r>
      <w:r>
        <w:rPr>
          <w:vertAlign w:val="baseline"/>
        </w:rPr>
        <w:t>that</w:t>
      </w:r>
      <w:r>
        <w:rPr>
          <w:spacing w:val="-1"/>
          <w:vertAlign w:val="baseline"/>
        </w:rPr>
        <w:t> </w:t>
      </w:r>
      <w:r>
        <w:rPr>
          <w:vertAlign w:val="baseline"/>
        </w:rPr>
        <w:t>reference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“nature</w:t>
      </w:r>
      <w:r>
        <w:rPr>
          <w:spacing w:val="-1"/>
          <w:vertAlign w:val="baseline"/>
        </w:rPr>
        <w:t> </w:t>
      </w:r>
      <w:r>
        <w:rPr>
          <w:vertAlign w:val="baseline"/>
        </w:rPr>
        <w:t>and</w:t>
      </w:r>
      <w:r>
        <w:rPr>
          <w:spacing w:val="-1"/>
          <w:vertAlign w:val="baseline"/>
        </w:rPr>
        <w:t> </w:t>
      </w:r>
      <w:r>
        <w:rPr>
          <w:vertAlign w:val="baseline"/>
        </w:rPr>
        <w:t>purpose”</w:t>
      </w:r>
      <w:r>
        <w:rPr>
          <w:spacing w:val="-1"/>
          <w:vertAlign w:val="baseline"/>
        </w:rPr>
        <w:t> </w:t>
      </w:r>
      <w:r>
        <w:rPr>
          <w:vertAlign w:val="baseline"/>
        </w:rPr>
        <w:t>of the</w:t>
      </w:r>
      <w:r>
        <w:rPr>
          <w:spacing w:val="-3"/>
          <w:vertAlign w:val="baseline"/>
        </w:rPr>
        <w:t> </w:t>
      </w:r>
      <w:r>
        <w:rPr>
          <w:vertAlign w:val="baseline"/>
        </w:rPr>
        <w:t>relevant</w:t>
      </w:r>
      <w:r>
        <w:rPr>
          <w:spacing w:val="-3"/>
          <w:vertAlign w:val="baseline"/>
        </w:rPr>
        <w:t> </w:t>
      </w:r>
      <w:r>
        <w:rPr>
          <w:vertAlign w:val="baseline"/>
        </w:rPr>
        <w:t>provisions</w:t>
      </w:r>
      <w:r>
        <w:rPr>
          <w:spacing w:val="-3"/>
          <w:vertAlign w:val="baseline"/>
        </w:rPr>
        <w:t> </w:t>
      </w:r>
      <w:r>
        <w:rPr>
          <w:vertAlign w:val="baseline"/>
        </w:rPr>
        <w:t>and</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consequences</w:t>
      </w:r>
      <w:r>
        <w:rPr>
          <w:spacing w:val="-3"/>
          <w:vertAlign w:val="baseline"/>
        </w:rPr>
        <w:t> </w:t>
      </w:r>
      <w:r>
        <w:rPr>
          <w:vertAlign w:val="baseline"/>
        </w:rPr>
        <w:t>of</w:t>
      </w:r>
      <w:r>
        <w:rPr>
          <w:spacing w:val="-3"/>
          <w:vertAlign w:val="baseline"/>
        </w:rPr>
        <w:t> </w:t>
      </w:r>
      <w:r>
        <w:rPr>
          <w:vertAlign w:val="baseline"/>
        </w:rPr>
        <w:t>their</w:t>
      </w:r>
      <w:r>
        <w:rPr>
          <w:spacing w:val="-3"/>
          <w:vertAlign w:val="baseline"/>
        </w:rPr>
        <w:t> </w:t>
      </w:r>
      <w:r>
        <w:rPr>
          <w:vertAlign w:val="baseline"/>
        </w:rPr>
        <w:t>application</w:t>
      </w:r>
      <w:r>
        <w:rPr>
          <w:spacing w:val="-3"/>
          <w:vertAlign w:val="baseline"/>
        </w:rPr>
        <w:t> </w:t>
      </w:r>
      <w:r>
        <w:rPr>
          <w:vertAlign w:val="baseline"/>
        </w:rPr>
        <w:t>or</w:t>
      </w:r>
      <w:r>
        <w:rPr>
          <w:spacing w:val="-3"/>
          <w:vertAlign w:val="baseline"/>
        </w:rPr>
        <w:t> </w:t>
      </w:r>
      <w:r>
        <w:rPr>
          <w:vertAlign w:val="baseline"/>
        </w:rPr>
        <w:t>non-application”</w:t>
      </w:r>
      <w:r>
        <w:rPr>
          <w:spacing w:val="-3"/>
          <w:vertAlign w:val="baseline"/>
        </w:rPr>
        <w:t> </w:t>
      </w:r>
      <w:r>
        <w:rPr>
          <w:vertAlign w:val="baseline"/>
        </w:rPr>
        <w:t>provides</w:t>
      </w:r>
      <w:r>
        <w:rPr>
          <w:spacing w:val="-3"/>
          <w:vertAlign w:val="baseline"/>
        </w:rPr>
        <w:t> </w:t>
      </w:r>
      <w:r>
        <w:rPr>
          <w:vertAlign w:val="baseline"/>
        </w:rPr>
        <w:t>sure guidance. How these formulae will be applied remains to be seen and will doubtless depend on the circumstances of individual cases. It is suggested, however, that the forum will take account of the extent to which the “public interests” of the country to which the provisions belong will be furthered by application of the rule in the instant case, a factor which will have to be balanced against the interest of the country whose law is applicable to the contract in upholding the contract, and, perhaps, to the interests of the forum in upholding a contract valid by its applicable law. It is also suggested that it is inappropriate for the forum to take account of purely political considerations and that account should </w:t>
      </w:r>
      <w:bookmarkStart w:name="_bookmark2592" w:id="2594"/>
      <w:bookmarkEnd w:id="2594"/>
      <w:r>
        <w:rPr>
          <w:vertAlign w:val="baseline"/>
        </w:rPr>
        <w:t>primarily</w:t>
      </w:r>
      <w:r>
        <w:rPr>
          <w:vertAlign w:val="baseline"/>
        </w:rPr>
        <w:t> be taken of considerations of legal policy which affect the parties to the contract, but it is not obvious</w:t>
      </w:r>
      <w:r>
        <w:rPr>
          <w:spacing w:val="7"/>
          <w:vertAlign w:val="baseline"/>
        </w:rPr>
        <w:t> </w:t>
      </w:r>
      <w:r>
        <w:rPr>
          <w:vertAlign w:val="baseline"/>
        </w:rPr>
        <w:t>that</w:t>
      </w:r>
      <w:r>
        <w:rPr>
          <w:spacing w:val="7"/>
          <w:vertAlign w:val="baseline"/>
        </w:rPr>
        <w:t> </w:t>
      </w:r>
      <w:r>
        <w:rPr>
          <w:vertAlign w:val="baseline"/>
        </w:rPr>
        <w:t>either</w:t>
      </w:r>
      <w:r>
        <w:rPr>
          <w:spacing w:val="7"/>
          <w:vertAlign w:val="baseline"/>
        </w:rPr>
        <w:t> </w:t>
      </w:r>
      <w:r>
        <w:rPr>
          <w:vertAlign w:val="baseline"/>
        </w:rPr>
        <w:t>formula</w:t>
      </w:r>
      <w:r>
        <w:rPr>
          <w:spacing w:val="7"/>
          <w:vertAlign w:val="baseline"/>
        </w:rPr>
        <w:t> </w:t>
      </w:r>
      <w:r>
        <w:rPr>
          <w:vertAlign w:val="baseline"/>
        </w:rPr>
        <w:t>referred</w:t>
      </w:r>
      <w:r>
        <w:rPr>
          <w:spacing w:val="7"/>
          <w:vertAlign w:val="baseline"/>
        </w:rPr>
        <w:t> </w:t>
      </w:r>
      <w:r>
        <w:rPr>
          <w:vertAlign w:val="baseline"/>
        </w:rPr>
        <w:t>to</w:t>
      </w:r>
      <w:r>
        <w:rPr>
          <w:spacing w:val="7"/>
          <w:vertAlign w:val="baseline"/>
        </w:rPr>
        <w:t> </w:t>
      </w:r>
      <w:r>
        <w:rPr>
          <w:vertAlign w:val="baseline"/>
        </w:rPr>
        <w:t>above</w:t>
      </w:r>
      <w:r>
        <w:rPr>
          <w:spacing w:val="7"/>
          <w:vertAlign w:val="baseline"/>
        </w:rPr>
        <w:t> </w:t>
      </w:r>
      <w:r>
        <w:rPr>
          <w:vertAlign w:val="baseline"/>
        </w:rPr>
        <w:t>enables</w:t>
      </w:r>
      <w:r>
        <w:rPr>
          <w:spacing w:val="7"/>
          <w:vertAlign w:val="baseline"/>
        </w:rPr>
        <w:t> </w:t>
      </w:r>
      <w:r>
        <w:rPr>
          <w:vertAlign w:val="baseline"/>
        </w:rPr>
        <w:t>a</w:t>
      </w:r>
      <w:r>
        <w:rPr>
          <w:spacing w:val="7"/>
          <w:vertAlign w:val="baseline"/>
        </w:rPr>
        <w:t> </w:t>
      </w:r>
      <w:r>
        <w:rPr>
          <w:vertAlign w:val="baseline"/>
        </w:rPr>
        <w:t>clash</w:t>
      </w:r>
      <w:r>
        <w:rPr>
          <w:spacing w:val="7"/>
          <w:vertAlign w:val="baseline"/>
        </w:rPr>
        <w:t> </w:t>
      </w:r>
      <w:r>
        <w:rPr>
          <w:vertAlign w:val="baseline"/>
        </w:rPr>
        <w:t>of</w:t>
      </w:r>
      <w:r>
        <w:rPr>
          <w:spacing w:val="7"/>
          <w:vertAlign w:val="baseline"/>
        </w:rPr>
        <w:t> </w:t>
      </w:r>
      <w:r>
        <w:rPr>
          <w:vertAlign w:val="baseline"/>
        </w:rPr>
        <w:t>these</w:t>
      </w:r>
      <w:r>
        <w:rPr>
          <w:spacing w:val="7"/>
          <w:vertAlign w:val="baseline"/>
        </w:rPr>
        <w:t> </w:t>
      </w:r>
      <w:r>
        <w:rPr>
          <w:vertAlign w:val="baseline"/>
        </w:rPr>
        <w:t>interests</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easily</w:t>
      </w:r>
      <w:r>
        <w:rPr>
          <w:spacing w:val="7"/>
          <w:vertAlign w:val="baseline"/>
        </w:rPr>
        <w:t> </w:t>
      </w:r>
      <w:r>
        <w:rPr>
          <w:spacing w:val="-2"/>
          <w:vertAlign w:val="baseline"/>
        </w:rPr>
        <w:t>resolved.</w:t>
      </w:r>
    </w:p>
    <w:p>
      <w:pPr>
        <w:spacing w:line="107" w:lineRule="exact" w:before="0"/>
        <w:ind w:left="165" w:right="0" w:firstLine="0"/>
        <w:jc w:val="left"/>
        <w:rPr>
          <w:sz w:val="12"/>
        </w:rPr>
      </w:pPr>
      <w:r>
        <w:rPr>
          <w:color w:val="005DA1"/>
          <w:spacing w:val="-4"/>
          <w:sz w:val="12"/>
          <w:u w:val="single" w:color="005DA1"/>
        </w:rPr>
        <w:t>1376</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Illegality under other foreign </w:t>
      </w:r>
      <w:r>
        <w:rPr>
          <w:rFonts w:ascii="Arial"/>
          <w:b/>
          <w:spacing w:val="-5"/>
          <w:sz w:val="18"/>
        </w:rPr>
        <w:t>law</w:t>
      </w:r>
    </w:p>
    <w:p>
      <w:pPr>
        <w:pStyle w:val="BodyText"/>
        <w:spacing w:before="41"/>
        <w:rPr>
          <w:rFonts w:ascii="Arial"/>
          <w:b/>
          <w:sz w:val="18"/>
        </w:rPr>
      </w:pPr>
    </w:p>
    <w:p>
      <w:pPr>
        <w:pStyle w:val="Heading2"/>
      </w:pPr>
      <w:r>
        <w:rPr/>
        <w:t>30-</w:t>
      </w:r>
      <w:r>
        <w:rPr>
          <w:spacing w:val="-5"/>
        </w:rPr>
        <w:t>367</w:t>
      </w:r>
    </w:p>
    <w:p>
      <w:pPr>
        <w:pStyle w:val="BodyText"/>
        <w:spacing w:line="235" w:lineRule="auto" w:before="203"/>
        <w:ind w:left="165" w:right="167"/>
        <w:jc w:val="both"/>
      </w:pPr>
      <w:bookmarkStart w:name="_bookmark2593" w:id="2595"/>
      <w:bookmarkEnd w:id="2595"/>
      <w:r>
        <w:rPr/>
      </w:r>
      <w:bookmarkStart w:name="_bookmark2594" w:id="2596"/>
      <w:bookmarkEnd w:id="2596"/>
      <w:r>
        <w:rPr/>
      </w:r>
      <w:r>
        <w:rPr/>
        <w:t>Illegality under any foreign law, be it the law of one party’s nationality, </w:t>
      </w:r>
      <w:r>
        <w:rPr>
          <w:color w:val="005DA1"/>
          <w:u w:val="single" w:color="005DA1"/>
          <w:vertAlign w:val="superscript"/>
        </w:rPr>
        <w:t>1377</w:t>
      </w:r>
      <w:r>
        <w:rPr>
          <w:color w:val="005DA1"/>
          <w:vertAlign w:val="baseline"/>
        </w:rPr>
        <w:t> </w:t>
      </w:r>
      <w:r>
        <w:rPr>
          <w:vertAlign w:val="baseline"/>
        </w:rPr>
        <w:t>or of a country where performance may, but need not, take place, </w:t>
      </w:r>
      <w:r>
        <w:rPr>
          <w:color w:val="005DA1"/>
          <w:u w:val="single" w:color="005DA1"/>
          <w:vertAlign w:val="superscript"/>
        </w:rPr>
        <w:t>1378</w:t>
      </w:r>
      <w:r>
        <w:rPr>
          <w:color w:val="005DA1"/>
          <w:vertAlign w:val="baseline"/>
        </w:rPr>
        <w:t> </w:t>
      </w:r>
      <w:r>
        <w:rPr>
          <w:vertAlign w:val="baseline"/>
        </w:rPr>
        <w:t>or of the place of contracting </w:t>
      </w:r>
      <w:r>
        <w:rPr>
          <w:color w:val="005DA1"/>
          <w:u w:val="single" w:color="005DA1"/>
          <w:vertAlign w:val="superscript"/>
        </w:rPr>
        <w:t>1379</w:t>
      </w:r>
      <w:r>
        <w:rPr>
          <w:color w:val="005DA1"/>
          <w:vertAlign w:val="baseline"/>
        </w:rPr>
        <w:t> </w:t>
      </w:r>
      <w:r>
        <w:rPr>
          <w:vertAlign w:val="baseline"/>
        </w:rPr>
        <w:t>does not per se </w:t>
      </w:r>
      <w:bookmarkStart w:name="_bookmark2595" w:id="2597"/>
      <w:bookmarkEnd w:id="2597"/>
      <w:r>
        <w:rPr>
          <w:vertAlign w:val="baseline"/>
        </w:rPr>
        <w:t>affect</w:t>
      </w:r>
      <w:r>
        <w:rPr>
          <w:vertAlign w:val="baseline"/>
        </w:rPr>
        <w:t> the enforceability of the contract either at common law or, because of the United Kingdom’s reservation to art.7(1) of the Convention, </w:t>
      </w:r>
      <w:r>
        <w:rPr>
          <w:color w:val="005DA1"/>
          <w:u w:val="single" w:color="005DA1"/>
          <w:vertAlign w:val="superscript"/>
        </w:rPr>
        <w:t>1380</w:t>
      </w:r>
      <w:r>
        <w:rPr>
          <w:color w:val="005DA1"/>
          <w:vertAlign w:val="baseline"/>
        </w:rPr>
        <w:t> </w:t>
      </w:r>
      <w:r>
        <w:rPr>
          <w:vertAlign w:val="baseline"/>
        </w:rPr>
        <w:t>under the provisions of the Rome Convention. </w:t>
      </w:r>
      <w:r>
        <w:rPr>
          <w:vertAlign w:val="baseline"/>
        </w:rPr>
        <w:t>Article 9(3) of the Rome I Regulation, likewise, does not allow illegality by the law of a party’s nationality or the law of the place of contracting to affect the validity of the contract per se, but it does open up the </w:t>
      </w:r>
      <w:bookmarkStart w:name="_bookmark2596" w:id="2598"/>
      <w:bookmarkEnd w:id="2598"/>
      <w:r>
        <w:rPr>
          <w:vertAlign w:val="baseline"/>
        </w:rPr>
        <w:t>possibility</w:t>
      </w:r>
      <w:r>
        <w:rPr>
          <w:spacing w:val="-1"/>
          <w:vertAlign w:val="baseline"/>
        </w:rPr>
        <w:t> </w:t>
      </w:r>
      <w:r>
        <w:rPr>
          <w:vertAlign w:val="baseline"/>
        </w:rPr>
        <w:t>of</w:t>
      </w:r>
      <w:r>
        <w:rPr>
          <w:spacing w:val="-1"/>
          <w:vertAlign w:val="baseline"/>
        </w:rPr>
        <w:t> </w:t>
      </w:r>
      <w:r>
        <w:rPr>
          <w:vertAlign w:val="baseline"/>
        </w:rPr>
        <w:t>application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place</w:t>
      </w:r>
      <w:r>
        <w:rPr>
          <w:spacing w:val="-1"/>
          <w:vertAlign w:val="baseline"/>
        </w:rPr>
        <w:t> </w:t>
      </w:r>
      <w:r>
        <w:rPr>
          <w:vertAlign w:val="baseline"/>
        </w:rPr>
        <w:t>of</w:t>
      </w:r>
      <w:r>
        <w:rPr>
          <w:spacing w:val="-1"/>
          <w:vertAlign w:val="baseline"/>
        </w:rPr>
        <w:t> </w:t>
      </w:r>
      <w:r>
        <w:rPr>
          <w:vertAlign w:val="baseline"/>
        </w:rPr>
        <w:t>performance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obligations</w:t>
      </w:r>
      <w:r>
        <w:rPr>
          <w:spacing w:val="-1"/>
          <w:vertAlign w:val="baseline"/>
        </w:rPr>
        <w:t> </w:t>
      </w:r>
      <w:r>
        <w:rPr>
          <w:vertAlign w:val="baseline"/>
        </w:rPr>
        <w:t>arising</w:t>
      </w:r>
      <w:r>
        <w:rPr>
          <w:spacing w:val="-1"/>
          <w:vertAlign w:val="baseline"/>
        </w:rPr>
        <w:t> </w:t>
      </w:r>
      <w:r>
        <w:rPr>
          <w:vertAlign w:val="baseline"/>
        </w:rPr>
        <w:t>out</w:t>
      </w:r>
      <w:r>
        <w:rPr>
          <w:spacing w:val="-1"/>
          <w:vertAlign w:val="baseline"/>
        </w:rPr>
        <w:t> </w:t>
      </w:r>
      <w:r>
        <w:rPr>
          <w:vertAlign w:val="baseline"/>
        </w:rPr>
        <w:t>of</w:t>
      </w:r>
      <w:r>
        <w:rPr>
          <w:spacing w:val="-1"/>
          <w:vertAlign w:val="baseline"/>
        </w:rPr>
        <w:t> </w:t>
      </w:r>
      <w:r>
        <w:rPr>
          <w:vertAlign w:val="baseline"/>
        </w:rPr>
        <w:t>the contract have been, but do not have to be, performed in a particular country. </w:t>
      </w:r>
      <w:r>
        <w:rPr>
          <w:color w:val="005DA1"/>
          <w:u w:val="single" w:color="005DA1"/>
          <w:vertAlign w:val="superscript"/>
        </w:rPr>
        <w:t>1381</w:t>
      </w:r>
    </w:p>
    <w:p>
      <w:pPr>
        <w:pStyle w:val="BodyText"/>
      </w:pPr>
    </w:p>
    <w:p>
      <w:pPr>
        <w:pStyle w:val="BodyText"/>
        <w:spacing w:before="35"/>
      </w:pPr>
    </w:p>
    <w:p>
      <w:pPr>
        <w:spacing w:before="1"/>
        <w:ind w:left="165" w:right="0" w:firstLine="0"/>
        <w:jc w:val="left"/>
        <w:rPr>
          <w:rFonts w:ascii="Arial"/>
          <w:b/>
          <w:sz w:val="18"/>
        </w:rPr>
      </w:pPr>
      <w:bookmarkStart w:name="_bookmark2597" w:id="2599"/>
      <w:bookmarkEnd w:id="2599"/>
      <w:r>
        <w:rPr/>
      </w:r>
      <w:r>
        <w:rPr>
          <w:rFonts w:ascii="Arial"/>
          <w:b/>
          <w:sz w:val="18"/>
        </w:rPr>
        <w:t>Public policy </w:t>
      </w:r>
      <w:r>
        <w:rPr>
          <w:rFonts w:ascii="Arial"/>
          <w:b/>
          <w:color w:val="005DA1"/>
          <w:spacing w:val="-4"/>
          <w:sz w:val="18"/>
          <w:u w:val="single" w:color="005DA1"/>
          <w:vertAlign w:val="superscript"/>
        </w:rPr>
        <w:t>1382</w:t>
      </w:r>
    </w:p>
    <w:p>
      <w:pPr>
        <w:pStyle w:val="BodyText"/>
        <w:spacing w:before="41"/>
        <w:rPr>
          <w:rFonts w:ascii="Arial"/>
          <w:b/>
          <w:sz w:val="18"/>
        </w:rPr>
      </w:pPr>
    </w:p>
    <w:p>
      <w:pPr>
        <w:pStyle w:val="Heading2"/>
      </w:pPr>
      <w:r>
        <w:rPr/>
        <w:t>30-</w:t>
      </w:r>
      <w:r>
        <w:rPr>
          <w:spacing w:val="-5"/>
        </w:rPr>
        <w:t>368</w:t>
      </w:r>
    </w:p>
    <w:p>
      <w:pPr>
        <w:pStyle w:val="BodyText"/>
        <w:spacing w:line="235" w:lineRule="auto" w:before="202"/>
        <w:ind w:left="165" w:right="166"/>
        <w:jc w:val="both"/>
      </w:pPr>
      <w:r>
        <w:rPr/>
        <w:t>It</w:t>
      </w:r>
      <w:r>
        <w:rPr>
          <w:spacing w:val="-1"/>
        </w:rPr>
        <w:t> </w:t>
      </w:r>
      <w:r>
        <w:rPr/>
        <w:t>is</w:t>
      </w:r>
      <w:r>
        <w:rPr>
          <w:spacing w:val="-1"/>
        </w:rPr>
        <w:t> </w:t>
      </w:r>
      <w:r>
        <w:rPr/>
        <w:t>axiomatic,</w:t>
      </w:r>
      <w:r>
        <w:rPr>
          <w:spacing w:val="-1"/>
        </w:rPr>
        <w:t> </w:t>
      </w:r>
      <w:r>
        <w:rPr/>
        <w:t>and</w:t>
      </w:r>
      <w:r>
        <w:rPr>
          <w:spacing w:val="-1"/>
        </w:rPr>
        <w:t> </w:t>
      </w:r>
      <w:r>
        <w:rPr/>
        <w:t>a</w:t>
      </w:r>
      <w:r>
        <w:rPr>
          <w:spacing w:val="-1"/>
        </w:rPr>
        <w:t> </w:t>
      </w:r>
      <w:r>
        <w:rPr/>
        <w:t>general</w:t>
      </w:r>
      <w:r>
        <w:rPr>
          <w:spacing w:val="-1"/>
        </w:rPr>
        <w:t> </w:t>
      </w:r>
      <w:r>
        <w:rPr/>
        <w:t>principle</w:t>
      </w:r>
      <w:r>
        <w:rPr>
          <w:spacing w:val="-1"/>
        </w:rPr>
        <w:t> </w:t>
      </w:r>
      <w:r>
        <w:rPr/>
        <w:t>of</w:t>
      </w:r>
      <w:r>
        <w:rPr>
          <w:spacing w:val="-1"/>
        </w:rPr>
        <w:t> </w:t>
      </w:r>
      <w:r>
        <w:rPr/>
        <w:t>the</w:t>
      </w:r>
      <w:r>
        <w:rPr>
          <w:spacing w:val="-1"/>
        </w:rPr>
        <w:t> </w:t>
      </w:r>
      <w:r>
        <w:rPr/>
        <w:t>conflict</w:t>
      </w:r>
      <w:r>
        <w:rPr>
          <w:spacing w:val="-1"/>
        </w:rPr>
        <w:t> </w:t>
      </w:r>
      <w:r>
        <w:rPr/>
        <w:t>of</w:t>
      </w:r>
      <w:r>
        <w:rPr>
          <w:spacing w:val="-1"/>
        </w:rPr>
        <w:t> </w:t>
      </w:r>
      <w:r>
        <w:rPr/>
        <w:t>laws,</w:t>
      </w:r>
      <w:r>
        <w:rPr>
          <w:spacing w:val="-1"/>
        </w:rPr>
        <w:t> </w:t>
      </w:r>
      <w:r>
        <w:rPr/>
        <w:t>that</w:t>
      </w:r>
      <w:r>
        <w:rPr>
          <w:spacing w:val="-1"/>
        </w:rPr>
        <w:t> </w:t>
      </w:r>
      <w:r>
        <w:rPr/>
        <w:t>the</w:t>
      </w:r>
      <w:r>
        <w:rPr>
          <w:spacing w:val="-1"/>
        </w:rPr>
        <w:t> </w:t>
      </w:r>
      <w:r>
        <w:rPr/>
        <w:t>forum</w:t>
      </w:r>
      <w:r>
        <w:rPr>
          <w:spacing w:val="-1"/>
        </w:rPr>
        <w:t> </w:t>
      </w:r>
      <w:r>
        <w:rPr/>
        <w:t>will</w:t>
      </w:r>
      <w:r>
        <w:rPr>
          <w:spacing w:val="-1"/>
        </w:rPr>
        <w:t> </w:t>
      </w:r>
      <w:r>
        <w:rPr/>
        <w:t>not</w:t>
      </w:r>
      <w:r>
        <w:rPr>
          <w:spacing w:val="-1"/>
        </w:rPr>
        <w:t> </w:t>
      </w:r>
      <w:r>
        <w:rPr/>
        <w:t>apply</w:t>
      </w:r>
      <w:r>
        <w:rPr>
          <w:spacing w:val="-1"/>
        </w:rPr>
        <w:t> </w:t>
      </w:r>
      <w:r>
        <w:rPr/>
        <w:t>a</w:t>
      </w:r>
      <w:r>
        <w:rPr>
          <w:spacing w:val="-1"/>
        </w:rPr>
        <w:t> </w:t>
      </w:r>
      <w:r>
        <w:rPr/>
        <w:t>foreign</w:t>
      </w:r>
      <w:r>
        <w:rPr>
          <w:spacing w:val="-1"/>
        </w:rPr>
        <w:t> </w:t>
      </w:r>
      <w:r>
        <w:rPr/>
        <w:t>law which is contrary to the public policy of the forum. The public policy principle may have the result of rendering void or unenforceable a contract which is valid under its foreign governing law or it may result in the enforcement of a contract which is invalid by its governing law, if, in either case, the</w:t>
      </w:r>
      <w:r>
        <w:rPr>
          <w:spacing w:val="40"/>
        </w:rPr>
        <w:t> </w:t>
      </w:r>
      <w:r>
        <w:rPr/>
        <w:t>forum regards the public policy principle as applicable. The principle of public policy is recognised in art.16 of the Rome Convention which provides that the:</w:t>
      </w:r>
    </w:p>
    <w:p>
      <w:pPr>
        <w:pStyle w:val="BodyText"/>
      </w:pPr>
    </w:p>
    <w:p>
      <w:pPr>
        <w:pStyle w:val="BodyText"/>
        <w:spacing w:before="125"/>
      </w:pPr>
    </w:p>
    <w:p>
      <w:pPr>
        <w:pStyle w:val="BodyText"/>
        <w:spacing w:line="235" w:lineRule="auto"/>
        <w:ind w:left="1245" w:right="167"/>
        <w:jc w:val="both"/>
      </w:pPr>
      <w:r>
        <w:rPr/>
        <w:t>“…</w:t>
      </w:r>
      <w:r>
        <w:rPr>
          <w:spacing w:val="-2"/>
        </w:rPr>
        <w:t> </w:t>
      </w:r>
      <w:r>
        <w:rPr/>
        <w:t>application</w:t>
      </w:r>
      <w:r>
        <w:rPr>
          <w:spacing w:val="-2"/>
        </w:rPr>
        <w:t> </w:t>
      </w:r>
      <w:r>
        <w:rPr/>
        <w:t>of</w:t>
      </w:r>
      <w:r>
        <w:rPr>
          <w:spacing w:val="-2"/>
        </w:rPr>
        <w:t> </w:t>
      </w:r>
      <w:r>
        <w:rPr/>
        <w:t>a</w:t>
      </w:r>
      <w:r>
        <w:rPr>
          <w:spacing w:val="-2"/>
        </w:rPr>
        <w:t> </w:t>
      </w:r>
      <w:r>
        <w:rPr/>
        <w:t>rule</w:t>
      </w:r>
      <w:r>
        <w:rPr>
          <w:spacing w:val="-2"/>
        </w:rPr>
        <w:t> </w:t>
      </w:r>
      <w:r>
        <w:rPr/>
        <w:t>of</w:t>
      </w:r>
      <w:r>
        <w:rPr>
          <w:spacing w:val="-2"/>
        </w:rPr>
        <w:t> </w:t>
      </w:r>
      <w:r>
        <w:rPr/>
        <w:t>law</w:t>
      </w:r>
      <w:r>
        <w:rPr>
          <w:spacing w:val="-2"/>
        </w:rPr>
        <w:t> </w:t>
      </w:r>
      <w:r>
        <w:rPr/>
        <w:t>of</w:t>
      </w:r>
      <w:r>
        <w:rPr>
          <w:spacing w:val="-2"/>
        </w:rPr>
        <w:t> </w:t>
      </w:r>
      <w:r>
        <w:rPr/>
        <w:t>any</w:t>
      </w:r>
      <w:r>
        <w:rPr>
          <w:spacing w:val="-2"/>
        </w:rPr>
        <w:t> </w:t>
      </w:r>
      <w:r>
        <w:rPr/>
        <w:t>country</w:t>
      </w:r>
      <w:r>
        <w:rPr>
          <w:spacing w:val="-2"/>
        </w:rPr>
        <w:t> </w:t>
      </w:r>
      <w:r>
        <w:rPr/>
        <w:t>specified</w:t>
      </w:r>
      <w:r>
        <w:rPr>
          <w:spacing w:val="-2"/>
        </w:rPr>
        <w:t> </w:t>
      </w:r>
      <w:r>
        <w:rPr/>
        <w:t>by</w:t>
      </w:r>
      <w:r>
        <w:rPr>
          <w:spacing w:val="-2"/>
        </w:rPr>
        <w:t> </w:t>
      </w:r>
      <w:r>
        <w:rPr/>
        <w:t>this</w:t>
      </w:r>
      <w:r>
        <w:rPr>
          <w:spacing w:val="-2"/>
        </w:rPr>
        <w:t> </w:t>
      </w:r>
      <w:r>
        <w:rPr/>
        <w:t>Convention</w:t>
      </w:r>
      <w:r>
        <w:rPr>
          <w:spacing w:val="-2"/>
        </w:rPr>
        <w:t> </w:t>
      </w:r>
      <w:r>
        <w:rPr/>
        <w:t>may</w:t>
      </w:r>
      <w:r>
        <w:rPr>
          <w:spacing w:val="-2"/>
        </w:rPr>
        <w:t> </w:t>
      </w:r>
      <w:r>
        <w:rPr/>
        <w:t>be</w:t>
      </w:r>
      <w:r>
        <w:rPr>
          <w:spacing w:val="-2"/>
        </w:rPr>
        <w:t> </w:t>
      </w:r>
      <w:r>
        <w:rPr/>
        <w:t>refused only if such application is manifestly incompatible with the public policy (‘ordre public’) of the forum.”</w:t>
      </w:r>
    </w:p>
    <w:p>
      <w:pPr>
        <w:pStyle w:val="BodyText"/>
        <w:spacing w:before="115"/>
      </w:pPr>
    </w:p>
    <w:p>
      <w:pPr>
        <w:pStyle w:val="BodyText"/>
        <w:spacing w:line="235" w:lineRule="auto" w:before="1"/>
        <w:ind w:left="165" w:right="167"/>
        <w:jc w:val="both"/>
      </w:pPr>
      <w:r>
        <w:rPr/>
        <w:t>and art.21 of the Rome I Regulation, which provides, subject to substituting the words “rules of the</w:t>
      </w:r>
      <w:r>
        <w:rPr>
          <w:spacing w:val="40"/>
        </w:rPr>
        <w:t> </w:t>
      </w:r>
      <w:r>
        <w:rPr/>
        <w:t>law of any country” with the words “a provision of the law of any country”, to identical effect. </w:t>
      </w:r>
      <w:r>
        <w:rPr/>
        <w:t>These provisions clearly reflect the common law subject to the expression “manifestly incompatible”, an </w:t>
      </w:r>
      <w:bookmarkStart w:name="_bookmark2598" w:id="2600"/>
      <w:bookmarkEnd w:id="2600"/>
      <w:r>
        <w:rPr/>
        <w:t>expression</w:t>
      </w:r>
      <w:r>
        <w:rPr/>
        <w:t> designed to indicate that overzealous resort should not be made to the public policy doctrine.</w:t>
      </w:r>
      <w:r>
        <w:rPr>
          <w:spacing w:val="10"/>
        </w:rPr>
        <w:t> </w:t>
      </w:r>
      <w:r>
        <w:rPr>
          <w:color w:val="005DA1"/>
          <w:u w:val="single" w:color="005DA1"/>
          <w:vertAlign w:val="superscript"/>
        </w:rPr>
        <w:t>1383</w:t>
      </w:r>
      <w:r>
        <w:rPr>
          <w:color w:val="005DA1"/>
          <w:spacing w:val="11"/>
          <w:vertAlign w:val="baseline"/>
        </w:rPr>
        <w:t> </w:t>
      </w:r>
      <w:r>
        <w:rPr>
          <w:vertAlign w:val="baseline"/>
        </w:rPr>
        <w:t>It</w:t>
      </w:r>
      <w:r>
        <w:rPr>
          <w:spacing w:val="10"/>
          <w:vertAlign w:val="baseline"/>
        </w:rPr>
        <w:t> </w:t>
      </w:r>
      <w:r>
        <w:rPr>
          <w:vertAlign w:val="baseline"/>
        </w:rPr>
        <w:t>is</w:t>
      </w:r>
      <w:r>
        <w:rPr>
          <w:spacing w:val="11"/>
          <w:vertAlign w:val="baseline"/>
        </w:rPr>
        <w:t> </w:t>
      </w:r>
      <w:r>
        <w:rPr>
          <w:vertAlign w:val="baseline"/>
        </w:rPr>
        <w:t>also</w:t>
      </w:r>
      <w:r>
        <w:rPr>
          <w:spacing w:val="11"/>
          <w:vertAlign w:val="baseline"/>
        </w:rPr>
        <w:t> </w:t>
      </w:r>
      <w:r>
        <w:rPr>
          <w:vertAlign w:val="baseline"/>
        </w:rPr>
        <w:t>important</w:t>
      </w:r>
      <w:r>
        <w:rPr>
          <w:spacing w:val="10"/>
          <w:vertAlign w:val="baseline"/>
        </w:rPr>
        <w:t> </w:t>
      </w:r>
      <w:r>
        <w:rPr>
          <w:vertAlign w:val="baseline"/>
        </w:rPr>
        <w:t>to</w:t>
      </w:r>
      <w:r>
        <w:rPr>
          <w:spacing w:val="11"/>
          <w:vertAlign w:val="baseline"/>
        </w:rPr>
        <w:t> </w:t>
      </w:r>
      <w:r>
        <w:rPr>
          <w:vertAlign w:val="baseline"/>
        </w:rPr>
        <w:t>stress</w:t>
      </w:r>
      <w:r>
        <w:rPr>
          <w:spacing w:val="11"/>
          <w:vertAlign w:val="baseline"/>
        </w:rPr>
        <w:t> </w:t>
      </w:r>
      <w:r>
        <w:rPr>
          <w:vertAlign w:val="baseline"/>
        </w:rPr>
        <w:t>that</w:t>
      </w:r>
      <w:r>
        <w:rPr>
          <w:spacing w:val="10"/>
          <w:vertAlign w:val="baseline"/>
        </w:rPr>
        <w:t> </w:t>
      </w:r>
      <w:r>
        <w:rPr>
          <w:vertAlign w:val="baseline"/>
        </w:rPr>
        <w:t>art.16,</w:t>
      </w:r>
      <w:r>
        <w:rPr>
          <w:spacing w:val="11"/>
          <w:vertAlign w:val="baseline"/>
        </w:rPr>
        <w:t> </w:t>
      </w:r>
      <w:r>
        <w:rPr>
          <w:vertAlign w:val="baseline"/>
        </w:rPr>
        <w:t>art.21</w:t>
      </w:r>
      <w:r>
        <w:rPr>
          <w:spacing w:val="11"/>
          <w:vertAlign w:val="baseline"/>
        </w:rPr>
        <w:t> </w:t>
      </w:r>
      <w:r>
        <w:rPr>
          <w:vertAlign w:val="baseline"/>
        </w:rPr>
        <w:t>and</w:t>
      </w:r>
      <w:r>
        <w:rPr>
          <w:spacing w:val="10"/>
          <w:vertAlign w:val="baseline"/>
        </w:rPr>
        <w:t> </w:t>
      </w:r>
      <w:r>
        <w:rPr>
          <w:vertAlign w:val="baseline"/>
        </w:rPr>
        <w:t>the</w:t>
      </w:r>
      <w:r>
        <w:rPr>
          <w:spacing w:val="11"/>
          <w:vertAlign w:val="baseline"/>
        </w:rPr>
        <w:t> </w:t>
      </w:r>
      <w:r>
        <w:rPr>
          <w:vertAlign w:val="baseline"/>
        </w:rPr>
        <w:t>common</w:t>
      </w:r>
      <w:r>
        <w:rPr>
          <w:spacing w:val="10"/>
          <w:vertAlign w:val="baseline"/>
        </w:rPr>
        <w:t> </w:t>
      </w:r>
      <w:r>
        <w:rPr>
          <w:vertAlign w:val="baseline"/>
        </w:rPr>
        <w:t>law</w:t>
      </w:r>
      <w:r>
        <w:rPr>
          <w:spacing w:val="11"/>
          <w:vertAlign w:val="baseline"/>
        </w:rPr>
        <w:t> </w:t>
      </w:r>
      <w:r>
        <w:rPr>
          <w:vertAlign w:val="baseline"/>
        </w:rPr>
        <w:t>are</w:t>
      </w:r>
      <w:r>
        <w:rPr>
          <w:spacing w:val="11"/>
          <w:vertAlign w:val="baseline"/>
        </w:rPr>
        <w:t> </w:t>
      </w:r>
      <w:r>
        <w:rPr>
          <w:vertAlign w:val="baseline"/>
        </w:rPr>
        <w:t>concerned</w:t>
      </w:r>
      <w:r>
        <w:rPr>
          <w:spacing w:val="10"/>
          <w:vertAlign w:val="baseline"/>
        </w:rPr>
        <w:t> </w:t>
      </w:r>
      <w:r>
        <w:rPr>
          <w:spacing w:val="-4"/>
          <w:vertAlign w:val="baseline"/>
        </w:rPr>
        <w:t>with</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public policy in the international sense, rather than the public policy in the domestic sense. Thus, </w:t>
      </w:r>
      <w:r>
        <w:rPr/>
        <w:t>for </w:t>
      </w:r>
      <w:bookmarkStart w:name="_bookmark2599" w:id="2601"/>
      <w:bookmarkEnd w:id="2601"/>
      <w:r>
        <w:rPr/>
        <w:t>example,</w:t>
      </w:r>
      <w:r>
        <w:rPr/>
        <w:t> the fact that a contract, valid under its foreign governing law, lacks a requirement (e.g. </w:t>
      </w:r>
      <w:bookmarkStart w:name="_bookmark2600" w:id="2602"/>
      <w:bookmarkEnd w:id="2602"/>
      <w:r>
        <w:rPr/>
        <w:t>consideration</w:t>
      </w:r>
      <w:r>
        <w:rPr>
          <w:spacing w:val="-3"/>
        </w:rPr>
        <w:t> </w:t>
      </w:r>
      <w:r>
        <w:rPr>
          <w:color w:val="005DA1"/>
          <w:u w:val="single" w:color="005DA1"/>
          <w:vertAlign w:val="superscript"/>
        </w:rPr>
        <w:t>1384</w:t>
      </w:r>
      <w:r>
        <w:rPr>
          <w:vertAlign w:val="baseline"/>
        </w:rPr>
        <w:t>)</w:t>
      </w:r>
      <w:r>
        <w:rPr>
          <w:spacing w:val="-3"/>
          <w:vertAlign w:val="baseline"/>
        </w:rPr>
        <w:t> </w:t>
      </w:r>
      <w:r>
        <w:rPr>
          <w:vertAlign w:val="baseline"/>
        </w:rPr>
        <w:t>which</w:t>
      </w:r>
      <w:r>
        <w:rPr>
          <w:spacing w:val="-3"/>
          <w:vertAlign w:val="baseline"/>
        </w:rPr>
        <w:t> </w:t>
      </w:r>
      <w:r>
        <w:rPr>
          <w:vertAlign w:val="baseline"/>
        </w:rPr>
        <w:t>is</w:t>
      </w:r>
      <w:r>
        <w:rPr>
          <w:spacing w:val="-3"/>
          <w:vertAlign w:val="baseline"/>
        </w:rPr>
        <w:t> </w:t>
      </w:r>
      <w:r>
        <w:rPr>
          <w:vertAlign w:val="baseline"/>
        </w:rPr>
        <w:t>essential</w:t>
      </w:r>
      <w:r>
        <w:rPr>
          <w:spacing w:val="-3"/>
          <w:vertAlign w:val="baseline"/>
        </w:rPr>
        <w:t> </w:t>
      </w:r>
      <w:r>
        <w:rPr>
          <w:vertAlign w:val="baseline"/>
        </w:rPr>
        <w:t>to</w:t>
      </w:r>
      <w:r>
        <w:rPr>
          <w:spacing w:val="-3"/>
          <w:vertAlign w:val="baseline"/>
        </w:rPr>
        <w:t> </w:t>
      </w:r>
      <w:r>
        <w:rPr>
          <w:vertAlign w:val="baseline"/>
        </w:rPr>
        <w:t>its</w:t>
      </w:r>
      <w:r>
        <w:rPr>
          <w:spacing w:val="-3"/>
          <w:vertAlign w:val="baseline"/>
        </w:rPr>
        <w:t> </w:t>
      </w:r>
      <w:r>
        <w:rPr>
          <w:vertAlign w:val="baseline"/>
        </w:rPr>
        <w:t>validity</w:t>
      </w:r>
      <w:r>
        <w:rPr>
          <w:spacing w:val="-3"/>
          <w:vertAlign w:val="baseline"/>
        </w:rPr>
        <w:t> </w:t>
      </w:r>
      <w:r>
        <w:rPr>
          <w:vertAlign w:val="baseline"/>
        </w:rPr>
        <w:t>under</w:t>
      </w:r>
      <w:r>
        <w:rPr>
          <w:spacing w:val="-3"/>
          <w:vertAlign w:val="baseline"/>
        </w:rPr>
        <w:t> </w:t>
      </w:r>
      <w:r>
        <w:rPr>
          <w:vertAlign w:val="baseline"/>
        </w:rPr>
        <w:t>English</w:t>
      </w:r>
      <w:r>
        <w:rPr>
          <w:spacing w:val="-3"/>
          <w:vertAlign w:val="baseline"/>
        </w:rPr>
        <w:t> </w:t>
      </w:r>
      <w:r>
        <w:rPr>
          <w:vertAlign w:val="baseline"/>
        </w:rPr>
        <w:t>law,</w:t>
      </w:r>
      <w:r>
        <w:rPr>
          <w:spacing w:val="-3"/>
          <w:vertAlign w:val="baseline"/>
        </w:rPr>
        <w:t> </w:t>
      </w:r>
      <w:r>
        <w:rPr>
          <w:vertAlign w:val="baseline"/>
        </w:rPr>
        <w:t>is</w:t>
      </w:r>
      <w:r>
        <w:rPr>
          <w:spacing w:val="-3"/>
          <w:vertAlign w:val="baseline"/>
        </w:rPr>
        <w:t> </w:t>
      </w:r>
      <w:r>
        <w:rPr>
          <w:vertAlign w:val="baseline"/>
        </w:rPr>
        <w:t>insufficient</w:t>
      </w:r>
      <w:r>
        <w:rPr>
          <w:spacing w:val="-3"/>
          <w:vertAlign w:val="baseline"/>
        </w:rPr>
        <w:t> </w:t>
      </w:r>
      <w:r>
        <w:rPr>
          <w:vertAlign w:val="baseline"/>
        </w:rPr>
        <w:t>to</w:t>
      </w:r>
      <w:r>
        <w:rPr>
          <w:spacing w:val="-3"/>
          <w:vertAlign w:val="baseline"/>
        </w:rPr>
        <w:t> </w:t>
      </w:r>
      <w:r>
        <w:rPr>
          <w:vertAlign w:val="baseline"/>
        </w:rPr>
        <w:t>render</w:t>
      </w:r>
      <w:r>
        <w:rPr>
          <w:spacing w:val="-3"/>
          <w:vertAlign w:val="baseline"/>
        </w:rPr>
        <w:t> </w:t>
      </w:r>
      <w:r>
        <w:rPr>
          <w:vertAlign w:val="baseline"/>
        </w:rPr>
        <w:t>the</w:t>
      </w:r>
      <w:r>
        <w:rPr>
          <w:spacing w:val="-3"/>
          <w:vertAlign w:val="baseline"/>
        </w:rPr>
        <w:t> </w:t>
      </w:r>
      <w:r>
        <w:rPr>
          <w:vertAlign w:val="baseline"/>
        </w:rPr>
        <w:t>public </w:t>
      </w:r>
      <w:bookmarkStart w:name="_bookmark2601" w:id="2603"/>
      <w:bookmarkEnd w:id="2603"/>
      <w:r>
        <w:rPr>
          <w:vertAlign w:val="baseline"/>
        </w:rPr>
        <w:t>policy</w:t>
      </w:r>
      <w:r>
        <w:rPr>
          <w:vertAlign w:val="baseline"/>
        </w:rPr>
        <w:t> principle applicable. </w:t>
      </w:r>
      <w:r>
        <w:rPr>
          <w:color w:val="005DA1"/>
          <w:u w:val="single" w:color="005DA1"/>
          <w:vertAlign w:val="superscript"/>
        </w:rPr>
        <w:t>1385</w:t>
      </w:r>
      <w:r>
        <w:rPr>
          <w:color w:val="005DA1"/>
          <w:vertAlign w:val="baseline"/>
        </w:rPr>
        <w:t> </w:t>
      </w:r>
      <w:r>
        <w:rPr>
          <w:vertAlign w:val="baseline"/>
        </w:rPr>
        <w:t>There must be some more fundamental objection to the application of</w:t>
      </w:r>
      <w:r>
        <w:rPr>
          <w:spacing w:val="40"/>
          <w:vertAlign w:val="baseline"/>
        </w:rPr>
        <w:t> </w:t>
      </w:r>
      <w:r>
        <w:rPr>
          <w:vertAlign w:val="baseline"/>
        </w:rPr>
        <w:t>a foreign law before public policy, in the international sense, may be invoked. </w:t>
      </w:r>
      <w:r>
        <w:rPr>
          <w:color w:val="005DA1"/>
          <w:u w:val="single" w:color="005DA1"/>
          <w:vertAlign w:val="superscript"/>
        </w:rPr>
        <w:t>1386</w:t>
      </w:r>
      <w:r>
        <w:rPr>
          <w:color w:val="005DA1"/>
          <w:vertAlign w:val="baseline"/>
        </w:rPr>
        <w:t> </w:t>
      </w:r>
      <w:r>
        <w:rPr>
          <w:vertAlign w:val="baseline"/>
        </w:rPr>
        <w:t>Further, at common </w:t>
      </w:r>
      <w:bookmarkStart w:name="_bookmark2602" w:id="2604"/>
      <w:bookmarkEnd w:id="2604"/>
      <w:r>
        <w:rPr>
          <w:vertAlign w:val="baseline"/>
        </w:rPr>
        <w:t>law</w:t>
      </w:r>
      <w:r>
        <w:rPr>
          <w:vertAlign w:val="baseline"/>
        </w:rPr>
        <w:t> and under art.16 of the Convention, it is the </w:t>
      </w:r>
      <w:r>
        <w:rPr>
          <w:rFonts w:ascii="Arial"/>
          <w:i/>
          <w:vertAlign w:val="baseline"/>
        </w:rPr>
        <w:t>application </w:t>
      </w:r>
      <w:r>
        <w:rPr>
          <w:vertAlign w:val="baseline"/>
        </w:rPr>
        <w:t>of the foreign law in the circumstances of the case which must infringe English public policy rather than the </w:t>
      </w:r>
      <w:r>
        <w:rPr>
          <w:rFonts w:ascii="Arial"/>
          <w:i/>
          <w:vertAlign w:val="baseline"/>
        </w:rPr>
        <w:t>content </w:t>
      </w:r>
      <w:r>
        <w:rPr>
          <w:vertAlign w:val="baseline"/>
        </w:rPr>
        <w:t>of the foreign law as such. </w:t>
      </w:r>
      <w:r>
        <w:rPr>
          <w:color w:val="005DA1"/>
          <w:u w:val="single" w:color="005DA1"/>
          <w:vertAlign w:val="superscript"/>
        </w:rPr>
        <w:t>1387</w:t>
      </w:r>
      <w:r>
        <w:rPr>
          <w:color w:val="005DA1"/>
          <w:vertAlign w:val="baseline"/>
        </w:rPr>
        <w:t> </w:t>
      </w:r>
      <w:r>
        <w:rPr>
          <w:vertAlign w:val="baseline"/>
        </w:rPr>
        <w:t>The position will surely be the same under art.21 of the Rome I Regulation.</w:t>
      </w:r>
    </w:p>
    <w:p>
      <w:pPr>
        <w:pStyle w:val="BodyText"/>
        <w:spacing w:before="78"/>
      </w:pPr>
    </w:p>
    <w:p>
      <w:pPr>
        <w:pStyle w:val="Heading2"/>
        <w:spacing w:before="1"/>
      </w:pPr>
      <w:r>
        <w:rPr/>
        <w:t>30-</w:t>
      </w:r>
      <w:r>
        <w:rPr>
          <w:spacing w:val="-5"/>
        </w:rPr>
        <w:t>369</w:t>
      </w:r>
    </w:p>
    <w:p>
      <w:pPr>
        <w:pStyle w:val="BodyText"/>
        <w:spacing w:line="235" w:lineRule="auto" w:before="202"/>
        <w:ind w:left="164" w:right="167"/>
        <w:jc w:val="both"/>
      </w:pPr>
      <w:r>
        <w:rPr/>
        <w:t>Since the application of the doctrine of public policy must depend very much on the circumstances of </w:t>
      </w:r>
      <w:bookmarkStart w:name="_bookmark2603" w:id="2605"/>
      <w:bookmarkEnd w:id="2605"/>
      <w:r>
        <w:rPr/>
        <w:t>individual</w:t>
      </w:r>
      <w:r>
        <w:rPr/>
        <w:t> cases, it is not possible to categorise the situations justifying its invocation with any </w:t>
      </w:r>
      <w:bookmarkStart w:name="_bookmark2604" w:id="2606"/>
      <w:bookmarkEnd w:id="2606"/>
      <w:r>
        <w:rPr/>
        <w:t>precision.</w:t>
      </w:r>
      <w:r>
        <w:rPr/>
        <w:t> However, in the past, English courts have refused to enforce champertous contracts, </w:t>
      </w:r>
      <w:r>
        <w:rPr>
          <w:color w:val="005DA1"/>
          <w:u w:val="single" w:color="005DA1"/>
          <w:vertAlign w:val="superscript"/>
        </w:rPr>
        <w:t>1388</w:t>
      </w:r>
      <w:r>
        <w:rPr>
          <w:color w:val="005DA1"/>
          <w:vertAlign w:val="baseline"/>
        </w:rPr>
        <w:t> </w:t>
      </w:r>
      <w:bookmarkStart w:name="_bookmark2605" w:id="2607"/>
      <w:bookmarkEnd w:id="2607"/>
      <w:r>
        <w:rPr>
          <w:color w:val="005DA1"/>
          <w:w w:val="92"/>
          <w:vertAlign w:val="baseline"/>
        </w:rPr>
      </w:r>
      <w:r>
        <w:rPr>
          <w:vertAlign w:val="baseline"/>
        </w:rPr>
        <w:t>contracts in restraint of trade, </w:t>
      </w:r>
      <w:r>
        <w:rPr>
          <w:color w:val="005DA1"/>
          <w:u w:val="single" w:color="005DA1"/>
          <w:vertAlign w:val="superscript"/>
        </w:rPr>
        <w:t>1389</w:t>
      </w:r>
      <w:r>
        <w:rPr>
          <w:color w:val="005DA1"/>
          <w:vertAlign w:val="baseline"/>
        </w:rPr>
        <w:t> </w:t>
      </w:r>
      <w:r>
        <w:rPr>
          <w:vertAlign w:val="baseline"/>
        </w:rPr>
        <w:t>contracts involving trading with the enemy, </w:t>
      </w:r>
      <w:r>
        <w:rPr>
          <w:color w:val="005DA1"/>
          <w:u w:val="single" w:color="005DA1"/>
          <w:vertAlign w:val="superscript"/>
        </w:rPr>
        <w:t>1390</w:t>
      </w:r>
      <w:r>
        <w:rPr>
          <w:color w:val="005DA1"/>
          <w:vertAlign w:val="baseline"/>
        </w:rPr>
        <w:t> </w:t>
      </w:r>
      <w:r>
        <w:rPr>
          <w:vertAlign w:val="baseline"/>
        </w:rPr>
        <w:t>and contracts involving collusive arrangements for a divorce. </w:t>
      </w:r>
      <w:r>
        <w:rPr>
          <w:color w:val="005DA1"/>
          <w:u w:val="single" w:color="005DA1"/>
          <w:vertAlign w:val="superscript"/>
        </w:rPr>
        <w:t>1391</w:t>
      </w:r>
      <w:r>
        <w:rPr>
          <w:color w:val="005DA1"/>
          <w:vertAlign w:val="baseline"/>
        </w:rPr>
        <w:t> </w:t>
      </w:r>
      <w:r>
        <w:rPr>
          <w:vertAlign w:val="baseline"/>
        </w:rPr>
        <w:t>The principle will also apply where the parties </w:t>
      </w:r>
      <w:bookmarkStart w:name="_bookmark2606" w:id="2608"/>
      <w:bookmarkEnd w:id="2608"/>
      <w:r>
        <w:rPr>
          <w:vertAlign w:val="baseline"/>
        </w:rPr>
        <w:t>make</w:t>
      </w:r>
      <w:r>
        <w:rPr>
          <w:vertAlign w:val="baseline"/>
        </w:rPr>
        <w:t> the contract with the intention that its performance should involve the commission in a foreign and friendly country of an act which would violate that country’s laws. </w:t>
      </w:r>
      <w:r>
        <w:rPr>
          <w:color w:val="005DA1"/>
          <w:u w:val="single" w:color="005DA1"/>
          <w:vertAlign w:val="superscript"/>
        </w:rPr>
        <w:t>1392</w:t>
      </w:r>
      <w:r>
        <w:rPr>
          <w:color w:val="005DA1"/>
          <w:vertAlign w:val="baseline"/>
        </w:rPr>
        <w:t> </w:t>
      </w:r>
      <w:r>
        <w:rPr>
          <w:vertAlign w:val="baseline"/>
        </w:rPr>
        <w:t>It has also been held that </w:t>
      </w:r>
      <w:bookmarkStart w:name="_bookmark2607" w:id="2609"/>
      <w:bookmarkEnd w:id="2609"/>
      <w:r>
        <w:rPr>
          <w:vertAlign w:val="baseline"/>
        </w:rPr>
        <w:t>public</w:t>
      </w:r>
      <w:r>
        <w:rPr>
          <w:vertAlign w:val="baseline"/>
        </w:rPr>
        <w:t> policy is infringed where the contract, or circumstances in which it was made, render it incompatible</w:t>
      </w:r>
      <w:r>
        <w:rPr>
          <w:spacing w:val="-3"/>
          <w:vertAlign w:val="baseline"/>
        </w:rPr>
        <w:t> </w:t>
      </w:r>
      <w:r>
        <w:rPr>
          <w:vertAlign w:val="baseline"/>
        </w:rPr>
        <w:t>with</w:t>
      </w:r>
      <w:r>
        <w:rPr>
          <w:spacing w:val="-3"/>
          <w:vertAlign w:val="baseline"/>
        </w:rPr>
        <w:t> </w:t>
      </w:r>
      <w:r>
        <w:rPr>
          <w:vertAlign w:val="baseline"/>
        </w:rPr>
        <w:t>English</w:t>
      </w:r>
      <w:r>
        <w:rPr>
          <w:spacing w:val="-3"/>
          <w:vertAlign w:val="baseline"/>
        </w:rPr>
        <w:t> </w:t>
      </w:r>
      <w:r>
        <w:rPr>
          <w:vertAlign w:val="baseline"/>
        </w:rPr>
        <w:t>ideas</w:t>
      </w:r>
      <w:r>
        <w:rPr>
          <w:spacing w:val="-3"/>
          <w:vertAlign w:val="baseline"/>
        </w:rPr>
        <w:t> </w:t>
      </w:r>
      <w:r>
        <w:rPr>
          <w:vertAlign w:val="baseline"/>
        </w:rPr>
        <w:t>of</w:t>
      </w:r>
      <w:r>
        <w:rPr>
          <w:spacing w:val="-3"/>
          <w:vertAlign w:val="baseline"/>
        </w:rPr>
        <w:t> </w:t>
      </w:r>
      <w:r>
        <w:rPr>
          <w:vertAlign w:val="baseline"/>
        </w:rPr>
        <w:t>justice</w:t>
      </w:r>
      <w:r>
        <w:rPr>
          <w:spacing w:val="-3"/>
          <w:vertAlign w:val="baseline"/>
        </w:rPr>
        <w:t> </w:t>
      </w:r>
      <w:r>
        <w:rPr>
          <w:vertAlign w:val="baseline"/>
        </w:rPr>
        <w:t>and</w:t>
      </w:r>
      <w:r>
        <w:rPr>
          <w:spacing w:val="-3"/>
          <w:vertAlign w:val="baseline"/>
        </w:rPr>
        <w:t> </w:t>
      </w:r>
      <w:r>
        <w:rPr>
          <w:vertAlign w:val="baseline"/>
        </w:rPr>
        <w:t>morality.</w:t>
      </w:r>
      <w:r>
        <w:rPr>
          <w:spacing w:val="-4"/>
          <w:vertAlign w:val="baseline"/>
        </w:rPr>
        <w:t> </w:t>
      </w:r>
      <w:r>
        <w:rPr>
          <w:color w:val="005DA1"/>
          <w:u w:val="single" w:color="005DA1"/>
          <w:vertAlign w:val="superscript"/>
        </w:rPr>
        <w:t>1393</w:t>
      </w:r>
      <w:r>
        <w:rPr>
          <w:color w:val="005DA1"/>
          <w:spacing w:val="-3"/>
          <w:vertAlign w:val="baseline"/>
        </w:rPr>
        <w:t> </w:t>
      </w:r>
      <w:r>
        <w:rPr>
          <w:vertAlign w:val="baseline"/>
        </w:rPr>
        <w:t>Thus</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governed</w:t>
      </w:r>
      <w:r>
        <w:rPr>
          <w:spacing w:val="-3"/>
          <w:vertAlign w:val="baseline"/>
        </w:rPr>
        <w:t> </w:t>
      </w:r>
      <w:r>
        <w:rPr>
          <w:vertAlign w:val="baseline"/>
        </w:rPr>
        <w:t>by</w:t>
      </w:r>
      <w:r>
        <w:rPr>
          <w:spacing w:val="-3"/>
          <w:vertAlign w:val="baseline"/>
        </w:rPr>
        <w:t> </w:t>
      </w:r>
      <w:r>
        <w:rPr>
          <w:vertAlign w:val="baseline"/>
        </w:rPr>
        <w:t>(and</w:t>
      </w:r>
      <w:r>
        <w:rPr>
          <w:spacing w:val="-3"/>
          <w:vertAlign w:val="baseline"/>
        </w:rPr>
        <w:t> </w:t>
      </w:r>
      <w:r>
        <w:rPr>
          <w:vertAlign w:val="baseline"/>
        </w:rPr>
        <w:t>valid</w:t>
      </w:r>
      <w:r>
        <w:rPr>
          <w:spacing w:val="-3"/>
          <w:vertAlign w:val="baseline"/>
        </w:rPr>
        <w:t> </w:t>
      </w:r>
      <w:r>
        <w:rPr>
          <w:vertAlign w:val="baseline"/>
        </w:rPr>
        <w:t>by) </w:t>
      </w:r>
      <w:bookmarkStart w:name="_bookmark2608" w:id="2610"/>
      <w:bookmarkEnd w:id="2610"/>
      <w:r>
        <w:rPr>
          <w:vertAlign w:val="baseline"/>
        </w:rPr>
        <w:t>its</w:t>
      </w:r>
      <w:r>
        <w:rPr>
          <w:vertAlign w:val="baseline"/>
        </w:rPr>
        <w:t> foreign applicable law may be held unenforceable in England because it was entered into as a result of coercion. </w:t>
      </w:r>
      <w:r>
        <w:rPr>
          <w:color w:val="005DA1"/>
          <w:u w:val="single" w:color="005DA1"/>
          <w:vertAlign w:val="superscript"/>
        </w:rPr>
        <w:t>1394</w:t>
      </w:r>
      <w:r>
        <w:rPr>
          <w:color w:val="005DA1"/>
          <w:vertAlign w:val="baseline"/>
        </w:rPr>
        <w:t> </w:t>
      </w:r>
      <w:r>
        <w:rPr>
          <w:vertAlign w:val="baseline"/>
        </w:rPr>
        <w:t>And where a contract governed by English law involved a transaction, to be performed abroad, which was contrary to a head of English public policy based on general principles </w:t>
      </w:r>
      <w:bookmarkStart w:name="_bookmark2609" w:id="2611"/>
      <w:bookmarkEnd w:id="2611"/>
      <w:r>
        <w:rPr>
          <w:vertAlign w:val="baseline"/>
        </w:rPr>
        <w:t>of</w:t>
      </w:r>
      <w:r>
        <w:rPr>
          <w:vertAlign w:val="baseline"/>
        </w:rPr>
        <w:t> morality, the same public policy applying in the country of performance, the contract was similarly unenforceable. </w:t>
      </w:r>
      <w:r>
        <w:rPr>
          <w:color w:val="005DA1"/>
          <w:u w:val="single" w:color="005DA1"/>
          <w:vertAlign w:val="superscript"/>
        </w:rPr>
        <w:t>1395</w:t>
      </w:r>
    </w:p>
    <w:p>
      <w:pPr>
        <w:pStyle w:val="BodyText"/>
        <w:spacing w:before="76"/>
      </w:pPr>
    </w:p>
    <w:p>
      <w:pPr>
        <w:pStyle w:val="Heading2"/>
      </w:pPr>
      <w:r>
        <w:rPr/>
        <w:t>30-</w:t>
      </w:r>
      <w:r>
        <w:rPr>
          <w:spacing w:val="-5"/>
        </w:rPr>
        <w:t>370</w:t>
      </w:r>
    </w:p>
    <w:p>
      <w:pPr>
        <w:pStyle w:val="BodyText"/>
        <w:spacing w:line="235" w:lineRule="auto" w:before="203"/>
        <w:ind w:left="164" w:right="167"/>
        <w:jc w:val="both"/>
      </w:pPr>
      <w:r>
        <w:rPr/>
        <w:t>There is no reason to doubt that similar conclusions to the above may be reached by applying art.16 of the Rome Convention or art.21 of the Rome I Regulation subject, possibly, to the requirement </w:t>
      </w:r>
      <w:r>
        <w:rPr/>
        <w:t>that the application of foreign law be “manifestly incompatible” with public policy necessitating a more cautious view of the doctrine than was exhibited in some of the decisions rendered at common law, </w:t>
      </w:r>
      <w:bookmarkStart w:name="_bookmark2610" w:id="2612"/>
      <w:bookmarkEnd w:id="2612"/>
      <w:r>
        <w:rPr/>
        <w:t>because</w:t>
      </w:r>
      <w:r>
        <w:rPr/>
        <w:t> the intention behind art.16 and art.21 is that public policy should be used in only exceptional circumstances. </w:t>
      </w:r>
      <w:r>
        <w:rPr>
          <w:color w:val="005DA1"/>
          <w:u w:val="single" w:color="005DA1"/>
          <w:vertAlign w:val="superscript"/>
        </w:rPr>
        <w:t>1396</w:t>
      </w:r>
      <w:r>
        <w:rPr>
          <w:color w:val="005DA1"/>
          <w:vertAlign w:val="baseline"/>
        </w:rPr>
        <w:t> </w:t>
      </w:r>
      <w:r>
        <w:rPr>
          <w:vertAlign w:val="baseline"/>
        </w:rPr>
        <w:t>On the other hand, art.16 and art.21 import a new dimension into the content of </w:t>
      </w:r>
      <w:bookmarkStart w:name="_bookmark2611" w:id="2613"/>
      <w:bookmarkEnd w:id="2613"/>
      <w:r>
        <w:rPr>
          <w:vertAlign w:val="baseline"/>
        </w:rPr>
        <w:t>public</w:t>
      </w:r>
      <w:r>
        <w:rPr>
          <w:vertAlign w:val="baseline"/>
        </w:rPr>
        <w:t> policy as understood in traditional English conflict of laws, for public policy, in these contexts, must be understood as including European Community public policy. </w:t>
      </w:r>
      <w:r>
        <w:rPr>
          <w:color w:val="005DA1"/>
          <w:u w:val="single" w:color="005DA1"/>
          <w:vertAlign w:val="superscript"/>
        </w:rPr>
        <w:t>1397</w:t>
      </w:r>
    </w:p>
    <w:p>
      <w:pPr>
        <w:pStyle w:val="BodyText"/>
      </w:pPr>
    </w:p>
    <w:p>
      <w:pPr>
        <w:pStyle w:val="BodyText"/>
        <w:spacing w:before="37"/>
      </w:pPr>
      <w:r>
        <w:rPr/>
        <mc:AlternateContent>
          <mc:Choice Requires="wps">
            <w:drawing>
              <wp:anchor distT="0" distB="0" distL="0" distR="0" allowOverlap="1" layoutInCell="1" locked="0" behindDoc="1" simplePos="0" relativeHeight="487629824">
                <wp:simplePos x="0" y="0"/>
                <wp:positionH relativeFrom="page">
                  <wp:posOffset>914400</wp:posOffset>
                </wp:positionH>
                <wp:positionV relativeFrom="paragraph">
                  <wp:posOffset>184818</wp:posOffset>
                </wp:positionV>
                <wp:extent cx="5724525" cy="127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2625pt;width:450.75pt;height:.1pt;mso-position-horizontal-relative:page;mso-position-vertical-relative:paragraph;z-index:-15686656;mso-wrap-distance-left:0;mso-wrap-distance-right:0" id="docshape58"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rFonts w:ascii="Arial" w:hAnsi="Arial"/>
          <w:i/>
          <w:sz w:val="20"/>
        </w:rPr>
      </w:pPr>
      <w:bookmarkStart w:name="_bookmark2612" w:id="2614"/>
      <w:bookmarkEnd w:id="2614"/>
      <w:r>
        <w:rPr/>
      </w:r>
      <w:hyperlink w:history="true" w:anchor="_bookmark2555">
        <w:r>
          <w:rPr>
            <w:color w:val="005DA1"/>
            <w:position w:val="5"/>
            <w:sz w:val="14"/>
            <w:u w:val="single" w:color="005DA1"/>
          </w:rPr>
          <w:t>1337</w:t>
        </w:r>
      </w:hyperlink>
      <w:r>
        <w:rPr>
          <w:position w:val="5"/>
          <w:sz w:val="14"/>
        </w:rPr>
        <w:t>.</w:t>
      </w:r>
      <w:r>
        <w:rPr>
          <w:spacing w:val="80"/>
          <w:w w:val="150"/>
          <w:position w:val="5"/>
          <w:sz w:val="14"/>
        </w:rPr>
        <w:t> </w:t>
      </w:r>
      <w:r>
        <w:rPr>
          <w:sz w:val="20"/>
        </w:rPr>
        <w:t>Dicey, Morris and Collins on the Conflict of Laws, 15th edn (2012), paras 5–009, 32–083 et</w:t>
      </w:r>
      <w:r>
        <w:rPr>
          <w:spacing w:val="80"/>
          <w:sz w:val="20"/>
        </w:rPr>
        <w:t> </w:t>
      </w:r>
      <w:r>
        <w:rPr>
          <w:sz w:val="20"/>
        </w:rPr>
        <w:t>seq., 33R–181 et seq.; Cheshire, North and Fawcett, </w:t>
      </w:r>
      <w:r>
        <w:rPr>
          <w:rFonts w:ascii="Arial" w:hAnsi="Arial"/>
          <w:i/>
          <w:sz w:val="20"/>
        </w:rPr>
        <w:t>Private International Law</w:t>
      </w:r>
      <w:r>
        <w:rPr>
          <w:sz w:val="20"/>
        </w:rPr>
        <w:t>, 14th </w:t>
      </w:r>
      <w:r>
        <w:rPr>
          <w:sz w:val="20"/>
        </w:rPr>
        <w:t>edn</w:t>
      </w:r>
      <w:r>
        <w:rPr>
          <w:spacing w:val="40"/>
          <w:sz w:val="20"/>
        </w:rPr>
        <w:t> </w:t>
      </w:r>
      <w:r>
        <w:rPr>
          <w:sz w:val="20"/>
        </w:rPr>
        <w:t>(2008), pp.139–146, 728–743, 758–761; Kaye, </w:t>
      </w:r>
      <w:r>
        <w:rPr>
          <w:rFonts w:ascii="Arial" w:hAnsi="Arial"/>
          <w:i/>
          <w:sz w:val="20"/>
        </w:rPr>
        <w:t>The New Private International Law of Contract</w:t>
      </w:r>
      <w:r>
        <w:rPr>
          <w:rFonts w:ascii="Arial" w:hAnsi="Arial"/>
          <w:i/>
          <w:spacing w:val="40"/>
          <w:sz w:val="20"/>
        </w:rPr>
        <w:t> </w:t>
      </w:r>
      <w:r>
        <w:rPr>
          <w:rFonts w:ascii="Arial" w:hAnsi="Arial"/>
          <w:i/>
          <w:sz w:val="20"/>
        </w:rPr>
        <w:t>of the European Community </w:t>
      </w:r>
      <w:r>
        <w:rPr>
          <w:sz w:val="20"/>
        </w:rPr>
        <w:t>(1993), pp.239–268, 345–350; Peruzetto, </w:t>
      </w:r>
      <w:r>
        <w:rPr>
          <w:rFonts w:ascii="Arial" w:hAnsi="Arial"/>
          <w:i/>
          <w:sz w:val="20"/>
        </w:rPr>
        <w:t>The Enforcement of International Contracts in the European Union </w:t>
      </w:r>
      <w:r>
        <w:rPr>
          <w:sz w:val="20"/>
        </w:rPr>
        <w:t>(2004), pp.343–361. The separate questions of illegality and public policy in the conflict of laws are, nonetheless, closely linked and not always clearly distinguished: see </w:t>
      </w:r>
      <w:r>
        <w:rPr>
          <w:rFonts w:ascii="Arial" w:hAnsi="Arial"/>
          <w:i/>
          <w:sz w:val="20"/>
        </w:rPr>
        <w:t>Royal Boskalis Westminster NV v Mountain [1999] Q.B. 674</w:t>
      </w:r>
      <w:r>
        <w:rPr>
          <w:sz w:val="20"/>
        </w:rPr>
        <w:t>; </w:t>
      </w:r>
      <w:r>
        <w:rPr>
          <w:rFonts w:ascii="Arial" w:hAnsi="Arial"/>
          <w:i/>
          <w:sz w:val="20"/>
        </w:rPr>
        <w:t>Soleimany v Soleimany [1999] Q.B. 785</w:t>
      </w:r>
      <w:r>
        <w:rPr>
          <w:sz w:val="20"/>
        </w:rPr>
        <w:t>; </w:t>
      </w:r>
      <w:r>
        <w:rPr>
          <w:rFonts w:ascii="Arial" w:hAnsi="Arial"/>
          <w:i/>
          <w:sz w:val="20"/>
        </w:rPr>
        <w:t>Westacre Investments Inc v Jugoimport-SDPR</w:t>
      </w:r>
      <w:r>
        <w:rPr>
          <w:rFonts w:ascii="Arial" w:hAnsi="Arial"/>
          <w:i/>
          <w:spacing w:val="40"/>
          <w:sz w:val="20"/>
        </w:rPr>
        <w:t> </w:t>
      </w:r>
      <w:r>
        <w:rPr>
          <w:rFonts w:ascii="Arial" w:hAnsi="Arial"/>
          <w:i/>
          <w:sz w:val="20"/>
        </w:rPr>
        <w:t>Holding Co Ltd [1999] Q.B. 740 affirmed, [2000] Q.B. 288</w:t>
      </w:r>
      <w:r>
        <w:rPr>
          <w:sz w:val="20"/>
        </w:rPr>
        <w:t>. cf. </w:t>
      </w:r>
      <w:r>
        <w:rPr>
          <w:rFonts w:ascii="Arial" w:hAnsi="Arial"/>
          <w:i/>
          <w:sz w:val="20"/>
        </w:rPr>
        <w:t>Ispahani v Bank Melli Iran [1998] 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133</w:t>
      </w:r>
      <w:r>
        <w:rPr>
          <w:sz w:val="20"/>
        </w:rPr>
        <w:t>;</w:t>
      </w:r>
      <w:r>
        <w:rPr>
          <w:spacing w:val="-1"/>
          <w:sz w:val="20"/>
        </w:rPr>
        <w:t> </w:t>
      </w:r>
      <w:r>
        <w:rPr>
          <w:rFonts w:ascii="Arial" w:hAnsi="Arial"/>
          <w:i/>
          <w:sz w:val="20"/>
        </w:rPr>
        <w:t>Tekron</w:t>
      </w:r>
      <w:r>
        <w:rPr>
          <w:rFonts w:ascii="Arial" w:hAnsi="Arial"/>
          <w:i/>
          <w:spacing w:val="-1"/>
          <w:sz w:val="20"/>
        </w:rPr>
        <w:t> </w:t>
      </w:r>
      <w:r>
        <w:rPr>
          <w:rFonts w:ascii="Arial" w:hAnsi="Arial"/>
          <w:i/>
          <w:sz w:val="20"/>
        </w:rPr>
        <w:t>Resources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Guinea</w:t>
      </w:r>
      <w:r>
        <w:rPr>
          <w:rFonts w:ascii="Arial" w:hAnsi="Arial"/>
          <w:i/>
          <w:spacing w:val="-1"/>
          <w:sz w:val="20"/>
        </w:rPr>
        <w:t> </w:t>
      </w:r>
      <w:r>
        <w:rPr>
          <w:rFonts w:ascii="Arial" w:hAnsi="Arial"/>
          <w:i/>
          <w:sz w:val="20"/>
        </w:rPr>
        <w:t>Investment</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[2004]</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2577 (Comm),</w:t>
      </w:r>
      <w:r>
        <w:rPr>
          <w:rFonts w:ascii="Arial" w:hAnsi="Arial"/>
          <w:i/>
          <w:spacing w:val="10"/>
          <w:sz w:val="20"/>
        </w:rPr>
        <w:t> </w:t>
      </w:r>
      <w:r>
        <w:rPr>
          <w:rFonts w:ascii="Arial" w:hAnsi="Arial"/>
          <w:i/>
          <w:sz w:val="20"/>
        </w:rPr>
        <w:t>[2004]</w:t>
      </w:r>
      <w:r>
        <w:rPr>
          <w:rFonts w:ascii="Arial" w:hAnsi="Arial"/>
          <w:i/>
          <w:spacing w:val="11"/>
          <w:sz w:val="20"/>
        </w:rPr>
        <w:t> </w:t>
      </w:r>
      <w:r>
        <w:rPr>
          <w:rFonts w:ascii="Arial" w:hAnsi="Arial"/>
          <w:i/>
          <w:sz w:val="20"/>
        </w:rPr>
        <w:t>2</w:t>
      </w:r>
      <w:r>
        <w:rPr>
          <w:rFonts w:ascii="Arial" w:hAnsi="Arial"/>
          <w:i/>
          <w:spacing w:val="11"/>
          <w:sz w:val="20"/>
        </w:rPr>
        <w:t> </w:t>
      </w:r>
      <w:r>
        <w:rPr>
          <w:rFonts w:ascii="Arial" w:hAnsi="Arial"/>
          <w:i/>
          <w:sz w:val="20"/>
        </w:rPr>
        <w:t>Lloyd’s</w:t>
      </w:r>
      <w:r>
        <w:rPr>
          <w:rFonts w:ascii="Arial" w:hAnsi="Arial"/>
          <w:i/>
          <w:spacing w:val="11"/>
          <w:sz w:val="20"/>
        </w:rPr>
        <w:t> </w:t>
      </w:r>
      <w:r>
        <w:rPr>
          <w:rFonts w:ascii="Arial" w:hAnsi="Arial"/>
          <w:i/>
          <w:sz w:val="20"/>
        </w:rPr>
        <w:t>Rep.</w:t>
      </w:r>
      <w:r>
        <w:rPr>
          <w:rFonts w:ascii="Arial" w:hAnsi="Arial"/>
          <w:i/>
          <w:spacing w:val="11"/>
          <w:sz w:val="20"/>
        </w:rPr>
        <w:t> </w:t>
      </w:r>
      <w:r>
        <w:rPr>
          <w:rFonts w:ascii="Arial" w:hAnsi="Arial"/>
          <w:i/>
          <w:sz w:val="20"/>
        </w:rPr>
        <w:t>26</w:t>
      </w:r>
      <w:r>
        <w:rPr>
          <w:sz w:val="20"/>
        </w:rPr>
        <w:t>;</w:t>
      </w:r>
      <w:r>
        <w:rPr>
          <w:spacing w:val="11"/>
          <w:sz w:val="20"/>
        </w:rPr>
        <w:t> </w:t>
      </w:r>
      <w:r>
        <w:rPr>
          <w:rFonts w:ascii="Arial" w:hAnsi="Arial"/>
          <w:i/>
          <w:sz w:val="20"/>
        </w:rPr>
        <w:t>Barros</w:t>
      </w:r>
      <w:r>
        <w:rPr>
          <w:rFonts w:ascii="Arial" w:hAnsi="Arial"/>
          <w:i/>
          <w:spacing w:val="11"/>
          <w:sz w:val="20"/>
        </w:rPr>
        <w:t> </w:t>
      </w:r>
      <w:r>
        <w:rPr>
          <w:rFonts w:ascii="Arial" w:hAnsi="Arial"/>
          <w:i/>
          <w:sz w:val="20"/>
        </w:rPr>
        <w:t>Mattos</w:t>
      </w:r>
      <w:r>
        <w:rPr>
          <w:rFonts w:ascii="Arial" w:hAnsi="Arial"/>
          <w:i/>
          <w:spacing w:val="11"/>
          <w:sz w:val="20"/>
        </w:rPr>
        <w:t> </w:t>
      </w:r>
      <w:r>
        <w:rPr>
          <w:rFonts w:ascii="Arial" w:hAnsi="Arial"/>
          <w:i/>
          <w:sz w:val="20"/>
        </w:rPr>
        <w:t>Junior</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MacDaniels</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[2004]</w:t>
      </w:r>
      <w:r>
        <w:rPr>
          <w:rFonts w:ascii="Arial" w:hAnsi="Arial"/>
          <w:i/>
          <w:spacing w:val="11"/>
          <w:sz w:val="20"/>
        </w:rPr>
        <w:t> </w:t>
      </w:r>
      <w:r>
        <w:rPr>
          <w:rFonts w:ascii="Arial" w:hAnsi="Arial"/>
          <w:i/>
          <w:sz w:val="20"/>
        </w:rPr>
        <w:t>EWHC</w:t>
      </w:r>
      <w:r>
        <w:rPr>
          <w:rFonts w:ascii="Arial" w:hAnsi="Arial"/>
          <w:i/>
          <w:spacing w:val="11"/>
          <w:sz w:val="20"/>
        </w:rPr>
        <w:t> </w:t>
      </w:r>
      <w:r>
        <w:rPr>
          <w:rFonts w:ascii="Arial" w:hAnsi="Arial"/>
          <w:i/>
          <w:spacing w:val="-4"/>
          <w:sz w:val="20"/>
        </w:rPr>
        <w:t>1188</w:t>
      </w:r>
    </w:p>
    <w:p>
      <w:pPr>
        <w:spacing w:line="220" w:lineRule="exact" w:before="0"/>
        <w:ind w:left="705" w:right="0" w:firstLine="0"/>
        <w:jc w:val="left"/>
        <w:rPr>
          <w:sz w:val="20"/>
        </w:rPr>
      </w:pPr>
      <w:r>
        <w:rPr>
          <w:rFonts w:ascii="Arial"/>
          <w:i/>
          <w:sz w:val="20"/>
        </w:rPr>
        <w:t>(Ch),</w:t>
      </w:r>
      <w:r>
        <w:rPr>
          <w:rFonts w:ascii="Arial"/>
          <w:i/>
          <w:spacing w:val="28"/>
          <w:sz w:val="20"/>
        </w:rPr>
        <w:t> </w:t>
      </w:r>
      <w:r>
        <w:rPr>
          <w:rFonts w:ascii="Arial"/>
          <w:i/>
          <w:sz w:val="20"/>
        </w:rPr>
        <w:t>[2005]</w:t>
      </w:r>
      <w:r>
        <w:rPr>
          <w:rFonts w:ascii="Arial"/>
          <w:i/>
          <w:spacing w:val="29"/>
          <w:sz w:val="20"/>
        </w:rPr>
        <w:t> </w:t>
      </w:r>
      <w:r>
        <w:rPr>
          <w:rFonts w:ascii="Arial"/>
          <w:i/>
          <w:sz w:val="20"/>
        </w:rPr>
        <w:t>1</w:t>
      </w:r>
      <w:r>
        <w:rPr>
          <w:rFonts w:ascii="Arial"/>
          <w:i/>
          <w:spacing w:val="29"/>
          <w:sz w:val="20"/>
        </w:rPr>
        <w:t> </w:t>
      </w:r>
      <w:r>
        <w:rPr>
          <w:rFonts w:ascii="Arial"/>
          <w:i/>
          <w:sz w:val="20"/>
        </w:rPr>
        <w:t>W.L.R.</w:t>
      </w:r>
      <w:r>
        <w:rPr>
          <w:rFonts w:ascii="Arial"/>
          <w:i/>
          <w:spacing w:val="29"/>
          <w:sz w:val="20"/>
        </w:rPr>
        <w:t> </w:t>
      </w:r>
      <w:r>
        <w:rPr>
          <w:rFonts w:ascii="Arial"/>
          <w:i/>
          <w:sz w:val="20"/>
        </w:rPr>
        <w:t>247</w:t>
      </w:r>
      <w:r>
        <w:rPr>
          <w:sz w:val="20"/>
        </w:rPr>
        <w:t>;</w:t>
      </w:r>
      <w:r>
        <w:rPr>
          <w:spacing w:val="29"/>
          <w:sz w:val="20"/>
        </w:rPr>
        <w:t> </w:t>
      </w:r>
      <w:r>
        <w:rPr>
          <w:rFonts w:ascii="Arial"/>
          <w:i/>
          <w:sz w:val="20"/>
        </w:rPr>
        <w:t>Marlwood</w:t>
      </w:r>
      <w:r>
        <w:rPr>
          <w:rFonts w:ascii="Arial"/>
          <w:i/>
          <w:spacing w:val="29"/>
          <w:sz w:val="20"/>
        </w:rPr>
        <w:t> </w:t>
      </w:r>
      <w:r>
        <w:rPr>
          <w:rFonts w:ascii="Arial"/>
          <w:i/>
          <w:sz w:val="20"/>
        </w:rPr>
        <w:t>Commercial</w:t>
      </w:r>
      <w:r>
        <w:rPr>
          <w:rFonts w:ascii="Arial"/>
          <w:i/>
          <w:spacing w:val="29"/>
          <w:sz w:val="20"/>
        </w:rPr>
        <w:t> </w:t>
      </w:r>
      <w:r>
        <w:rPr>
          <w:rFonts w:ascii="Arial"/>
          <w:i/>
          <w:sz w:val="20"/>
        </w:rPr>
        <w:t>Inc</w:t>
      </w:r>
      <w:r>
        <w:rPr>
          <w:rFonts w:ascii="Arial"/>
          <w:i/>
          <w:spacing w:val="29"/>
          <w:sz w:val="20"/>
        </w:rPr>
        <w:t> </w:t>
      </w:r>
      <w:r>
        <w:rPr>
          <w:rFonts w:ascii="Arial"/>
          <w:i/>
          <w:sz w:val="20"/>
        </w:rPr>
        <w:t>v</w:t>
      </w:r>
      <w:r>
        <w:rPr>
          <w:rFonts w:ascii="Arial"/>
          <w:i/>
          <w:spacing w:val="29"/>
          <w:sz w:val="20"/>
        </w:rPr>
        <w:t> </w:t>
      </w:r>
      <w:r>
        <w:rPr>
          <w:rFonts w:ascii="Arial"/>
          <w:i/>
          <w:sz w:val="20"/>
        </w:rPr>
        <w:t>Kozeny</w:t>
      </w:r>
      <w:r>
        <w:rPr>
          <w:rFonts w:ascii="Arial"/>
          <w:i/>
          <w:spacing w:val="29"/>
          <w:sz w:val="20"/>
        </w:rPr>
        <w:t> </w:t>
      </w:r>
      <w:r>
        <w:rPr>
          <w:rFonts w:ascii="Arial"/>
          <w:i/>
          <w:sz w:val="20"/>
        </w:rPr>
        <w:t>[2006]</w:t>
      </w:r>
      <w:r>
        <w:rPr>
          <w:rFonts w:ascii="Arial"/>
          <w:i/>
          <w:spacing w:val="29"/>
          <w:sz w:val="20"/>
        </w:rPr>
        <w:t> </w:t>
      </w:r>
      <w:r>
        <w:rPr>
          <w:rFonts w:ascii="Arial"/>
          <w:i/>
          <w:sz w:val="20"/>
        </w:rPr>
        <w:t>EWHC</w:t>
      </w:r>
      <w:r>
        <w:rPr>
          <w:rFonts w:ascii="Arial"/>
          <w:i/>
          <w:spacing w:val="29"/>
          <w:sz w:val="20"/>
        </w:rPr>
        <w:t> </w:t>
      </w:r>
      <w:r>
        <w:rPr>
          <w:rFonts w:ascii="Arial"/>
          <w:i/>
          <w:sz w:val="20"/>
        </w:rPr>
        <w:t>872</w:t>
      </w:r>
      <w:r>
        <w:rPr>
          <w:rFonts w:ascii="Arial"/>
          <w:i/>
          <w:spacing w:val="29"/>
          <w:sz w:val="20"/>
        </w:rPr>
        <w:t> </w:t>
      </w:r>
      <w:r>
        <w:rPr>
          <w:rFonts w:ascii="Arial"/>
          <w:i/>
          <w:spacing w:val="-2"/>
          <w:sz w:val="20"/>
        </w:rPr>
        <w:t>(Comm)</w:t>
      </w:r>
      <w:r>
        <w:rPr>
          <w:spacing w:val="-2"/>
          <w:sz w:val="20"/>
        </w:rPr>
        <w:t>;</w:t>
      </w:r>
    </w:p>
    <w:p>
      <w:pPr>
        <w:spacing w:line="225" w:lineRule="exact" w:before="0"/>
        <w:ind w:left="705" w:right="0" w:firstLine="0"/>
        <w:jc w:val="left"/>
        <w:rPr>
          <w:rFonts w:ascii="Arial" w:hAnsi="Arial"/>
          <w:i/>
          <w:sz w:val="20"/>
        </w:rPr>
      </w:pPr>
      <w:r>
        <w:rPr>
          <w:rFonts w:ascii="Arial" w:hAnsi="Arial"/>
          <w:i/>
          <w:sz w:val="20"/>
        </w:rPr>
        <w:t>Donegal</w:t>
      </w:r>
      <w:r>
        <w:rPr>
          <w:rFonts w:ascii="Arial" w:hAnsi="Arial"/>
          <w:i/>
          <w:spacing w:val="7"/>
          <w:sz w:val="20"/>
        </w:rPr>
        <w:t> </w:t>
      </w:r>
      <w:r>
        <w:rPr>
          <w:rFonts w:ascii="Arial" w:hAnsi="Arial"/>
          <w:i/>
          <w:sz w:val="20"/>
        </w:rPr>
        <w:t>International</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Zambia</w:t>
      </w:r>
      <w:r>
        <w:rPr>
          <w:rFonts w:ascii="Arial" w:hAnsi="Arial"/>
          <w:i/>
          <w:spacing w:val="8"/>
          <w:sz w:val="20"/>
        </w:rPr>
        <w:t> </w:t>
      </w:r>
      <w:r>
        <w:rPr>
          <w:rFonts w:ascii="Arial" w:hAnsi="Arial"/>
          <w:i/>
          <w:sz w:val="20"/>
        </w:rPr>
        <w:t>[2007]</w:t>
      </w:r>
      <w:r>
        <w:rPr>
          <w:rFonts w:ascii="Arial" w:hAnsi="Arial"/>
          <w:i/>
          <w:spacing w:val="8"/>
          <w:sz w:val="20"/>
        </w:rPr>
        <w:t> </w:t>
      </w:r>
      <w:r>
        <w:rPr>
          <w:rFonts w:ascii="Arial" w:hAnsi="Arial"/>
          <w:i/>
          <w:sz w:val="20"/>
        </w:rPr>
        <w:t>EWHC</w:t>
      </w:r>
      <w:r>
        <w:rPr>
          <w:rFonts w:ascii="Arial" w:hAnsi="Arial"/>
          <w:i/>
          <w:spacing w:val="8"/>
          <w:sz w:val="20"/>
        </w:rPr>
        <w:t> </w:t>
      </w:r>
      <w:r>
        <w:rPr>
          <w:rFonts w:ascii="Arial" w:hAnsi="Arial"/>
          <w:i/>
          <w:sz w:val="20"/>
        </w:rPr>
        <w:t>197</w:t>
      </w:r>
      <w:r>
        <w:rPr>
          <w:rFonts w:ascii="Arial" w:hAnsi="Arial"/>
          <w:i/>
          <w:spacing w:val="7"/>
          <w:sz w:val="20"/>
        </w:rPr>
        <w:t> </w:t>
      </w:r>
      <w:r>
        <w:rPr>
          <w:rFonts w:ascii="Arial" w:hAnsi="Arial"/>
          <w:i/>
          <w:sz w:val="20"/>
        </w:rPr>
        <w:t>(Comm),</w:t>
      </w:r>
      <w:r>
        <w:rPr>
          <w:rFonts w:ascii="Arial" w:hAnsi="Arial"/>
          <w:i/>
          <w:spacing w:val="8"/>
          <w:sz w:val="20"/>
        </w:rPr>
        <w:t> </w:t>
      </w:r>
      <w:r>
        <w:rPr>
          <w:rFonts w:ascii="Arial" w:hAnsi="Arial"/>
          <w:i/>
          <w:sz w:val="20"/>
        </w:rPr>
        <w:t>[2007]</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z w:val="20"/>
        </w:rPr>
        <w:t>Rep.</w:t>
      </w:r>
      <w:r>
        <w:rPr>
          <w:rFonts w:ascii="Arial" w:hAnsi="Arial"/>
          <w:i/>
          <w:spacing w:val="8"/>
          <w:sz w:val="20"/>
        </w:rPr>
        <w:t> </w:t>
      </w:r>
      <w:r>
        <w:rPr>
          <w:rFonts w:ascii="Arial" w:hAnsi="Arial"/>
          <w:i/>
          <w:sz w:val="20"/>
        </w:rPr>
        <w:t>397</w:t>
      </w:r>
      <w:r>
        <w:rPr>
          <w:sz w:val="20"/>
        </w:rPr>
        <w:t>;</w:t>
      </w:r>
      <w:r>
        <w:rPr>
          <w:spacing w:val="8"/>
          <w:sz w:val="20"/>
        </w:rPr>
        <w:t> </w:t>
      </w:r>
      <w:r>
        <w:rPr>
          <w:rFonts w:ascii="Arial" w:hAnsi="Arial"/>
          <w:i/>
          <w:sz w:val="20"/>
        </w:rPr>
        <w:t>R</w:t>
      </w:r>
      <w:r>
        <w:rPr>
          <w:rFonts w:ascii="Arial" w:hAnsi="Arial"/>
          <w:i/>
          <w:spacing w:val="8"/>
          <w:sz w:val="20"/>
        </w:rPr>
        <w:t> </w:t>
      </w:r>
      <w:r>
        <w:rPr>
          <w:rFonts w:ascii="Arial" w:hAnsi="Arial"/>
          <w:i/>
          <w:spacing w:val="-10"/>
          <w:sz w:val="20"/>
        </w:rPr>
        <w:t>v</w:t>
      </w:r>
    </w:p>
    <w:p>
      <w:pPr>
        <w:spacing w:line="227" w:lineRule="exact" w:before="0"/>
        <w:ind w:left="705" w:right="0" w:firstLine="0"/>
        <w:jc w:val="left"/>
        <w:rPr>
          <w:sz w:val="20"/>
        </w:rPr>
      </w:pPr>
      <w:r>
        <w:rPr>
          <w:rFonts w:ascii="Arial" w:hAnsi="Arial"/>
          <w:i/>
          <w:sz w:val="20"/>
        </w:rPr>
        <w:t>V [2008] EWHC 1531 (Comm), [2009] 1 Lloyd’s Rep. </w:t>
      </w:r>
      <w:r>
        <w:rPr>
          <w:rFonts w:ascii="Arial" w:hAnsi="Arial"/>
          <w:i/>
          <w:spacing w:val="-5"/>
          <w:sz w:val="20"/>
        </w:rPr>
        <w:t>97</w:t>
      </w:r>
      <w:r>
        <w:rPr>
          <w:spacing w:val="-5"/>
          <w:sz w:val="20"/>
        </w:rPr>
        <w:t>.</w:t>
      </w:r>
    </w:p>
    <w:p>
      <w:pPr>
        <w:pStyle w:val="BodyText"/>
        <w:spacing w:before="5"/>
      </w:pPr>
    </w:p>
    <w:p>
      <w:pPr>
        <w:pStyle w:val="BodyText"/>
        <w:ind w:left="165"/>
      </w:pPr>
      <w:bookmarkStart w:name="_bookmark2613" w:id="2615"/>
      <w:bookmarkEnd w:id="2615"/>
      <w:r>
        <w:rPr/>
      </w:r>
      <w:hyperlink w:history="true" w:anchor="_bookmark2556">
        <w:r>
          <w:rPr>
            <w:color w:val="005DA1"/>
            <w:position w:val="5"/>
            <w:sz w:val="14"/>
            <w:u w:val="single" w:color="005DA1"/>
          </w:rPr>
          <w:t>1338</w:t>
        </w:r>
      </w:hyperlink>
      <w:r>
        <w:rPr>
          <w:position w:val="5"/>
          <w:sz w:val="14"/>
        </w:rPr>
        <w:t>.</w:t>
      </w:r>
      <w:r>
        <w:rPr>
          <w:spacing w:val="55"/>
          <w:position w:val="5"/>
          <w:sz w:val="14"/>
        </w:rPr>
        <w:t>  </w:t>
      </w:r>
      <w:r>
        <w:rPr/>
        <w:t>See</w:t>
      </w:r>
      <w:r>
        <w:rPr>
          <w:spacing w:val="1"/>
        </w:rPr>
        <w:t> </w:t>
      </w:r>
      <w:r>
        <w:rPr/>
        <w:t>the 26th edition of this work, paras 2187-</w:t>
      </w:r>
      <w:r>
        <w:rPr>
          <w:spacing w:val="-2"/>
        </w:rPr>
        <w:t>2191.</w:t>
      </w:r>
    </w:p>
    <w:p>
      <w:pPr>
        <w:pStyle w:val="BodyText"/>
        <w:spacing w:before="5"/>
      </w:pPr>
    </w:p>
    <w:p>
      <w:pPr>
        <w:spacing w:line="227" w:lineRule="exact" w:before="0"/>
        <w:ind w:left="165" w:right="0" w:firstLine="0"/>
        <w:jc w:val="left"/>
        <w:rPr>
          <w:sz w:val="20"/>
        </w:rPr>
      </w:pPr>
      <w:bookmarkStart w:name="_bookmark2614" w:id="2616"/>
      <w:bookmarkEnd w:id="2616"/>
      <w:r>
        <w:rPr/>
      </w:r>
      <w:hyperlink w:history="true" w:anchor="_bookmark2557">
        <w:r>
          <w:rPr>
            <w:color w:val="005DA1"/>
            <w:position w:val="5"/>
            <w:sz w:val="14"/>
            <w:u w:val="single" w:color="005DA1"/>
          </w:rPr>
          <w:t>1339</w:t>
        </w:r>
      </w:hyperlink>
      <w:r>
        <w:rPr>
          <w:position w:val="5"/>
          <w:sz w:val="14"/>
        </w:rPr>
        <w:t>.</w:t>
      </w:r>
      <w:r>
        <w:rPr>
          <w:spacing w:val="55"/>
          <w:position w:val="5"/>
          <w:sz w:val="14"/>
        </w:rPr>
        <w:t>  </w:t>
      </w:r>
      <w:r>
        <w:rPr>
          <w:rFonts w:ascii="Arial"/>
          <w:i/>
          <w:sz w:val="20"/>
        </w:rPr>
        <w:t>Kahler</w:t>
      </w:r>
      <w:r>
        <w:rPr>
          <w:rFonts w:ascii="Arial"/>
          <w:i/>
          <w:spacing w:val="28"/>
          <w:sz w:val="20"/>
        </w:rPr>
        <w:t> </w:t>
      </w:r>
      <w:r>
        <w:rPr>
          <w:rFonts w:ascii="Arial"/>
          <w:i/>
          <w:sz w:val="20"/>
        </w:rPr>
        <w:t>v</w:t>
      </w:r>
      <w:r>
        <w:rPr>
          <w:rFonts w:ascii="Arial"/>
          <w:i/>
          <w:spacing w:val="27"/>
          <w:sz w:val="20"/>
        </w:rPr>
        <w:t> </w:t>
      </w:r>
      <w:r>
        <w:rPr>
          <w:rFonts w:ascii="Arial"/>
          <w:i/>
          <w:sz w:val="20"/>
        </w:rPr>
        <w:t>Midland</w:t>
      </w:r>
      <w:r>
        <w:rPr>
          <w:rFonts w:ascii="Arial"/>
          <w:i/>
          <w:spacing w:val="27"/>
          <w:sz w:val="20"/>
        </w:rPr>
        <w:t> </w:t>
      </w:r>
      <w:r>
        <w:rPr>
          <w:rFonts w:ascii="Arial"/>
          <w:i/>
          <w:sz w:val="20"/>
        </w:rPr>
        <w:t>Bank</w:t>
      </w:r>
      <w:r>
        <w:rPr>
          <w:rFonts w:ascii="Arial"/>
          <w:i/>
          <w:spacing w:val="27"/>
          <w:sz w:val="20"/>
        </w:rPr>
        <w:t> </w:t>
      </w:r>
      <w:r>
        <w:rPr>
          <w:rFonts w:ascii="Arial"/>
          <w:i/>
          <w:sz w:val="20"/>
        </w:rPr>
        <w:t>Ltd</w:t>
      </w:r>
      <w:r>
        <w:rPr>
          <w:rFonts w:ascii="Arial"/>
          <w:i/>
          <w:spacing w:val="27"/>
          <w:sz w:val="20"/>
        </w:rPr>
        <w:t> </w:t>
      </w:r>
      <w:r>
        <w:rPr>
          <w:rFonts w:ascii="Arial"/>
          <w:i/>
          <w:sz w:val="20"/>
        </w:rPr>
        <w:t>[1950]</w:t>
      </w:r>
      <w:r>
        <w:rPr>
          <w:rFonts w:ascii="Arial"/>
          <w:i/>
          <w:spacing w:val="27"/>
          <w:sz w:val="20"/>
        </w:rPr>
        <w:t> </w:t>
      </w:r>
      <w:r>
        <w:rPr>
          <w:rFonts w:ascii="Arial"/>
          <w:i/>
          <w:sz w:val="20"/>
        </w:rPr>
        <w:t>A.C.</w:t>
      </w:r>
      <w:r>
        <w:rPr>
          <w:rFonts w:ascii="Arial"/>
          <w:i/>
          <w:spacing w:val="26"/>
          <w:sz w:val="20"/>
        </w:rPr>
        <w:t> </w:t>
      </w:r>
      <w:r>
        <w:rPr>
          <w:rFonts w:ascii="Arial"/>
          <w:i/>
          <w:sz w:val="20"/>
        </w:rPr>
        <w:t>24</w:t>
      </w:r>
      <w:r>
        <w:rPr>
          <w:sz w:val="20"/>
        </w:rPr>
        <w:t>;</w:t>
      </w:r>
      <w:r>
        <w:rPr>
          <w:spacing w:val="27"/>
          <w:sz w:val="20"/>
        </w:rPr>
        <w:t> </w:t>
      </w:r>
      <w:r>
        <w:rPr>
          <w:rFonts w:ascii="Arial"/>
          <w:i/>
          <w:sz w:val="20"/>
        </w:rPr>
        <w:t>Zivnostenska</w:t>
      </w:r>
      <w:r>
        <w:rPr>
          <w:rFonts w:ascii="Arial"/>
          <w:i/>
          <w:spacing w:val="27"/>
          <w:sz w:val="20"/>
        </w:rPr>
        <w:t> </w:t>
      </w:r>
      <w:r>
        <w:rPr>
          <w:rFonts w:ascii="Arial"/>
          <w:i/>
          <w:sz w:val="20"/>
        </w:rPr>
        <w:t>Banka</w:t>
      </w:r>
      <w:r>
        <w:rPr>
          <w:rFonts w:ascii="Arial"/>
          <w:i/>
          <w:spacing w:val="27"/>
          <w:sz w:val="20"/>
        </w:rPr>
        <w:t> </w:t>
      </w:r>
      <w:r>
        <w:rPr>
          <w:rFonts w:ascii="Arial"/>
          <w:i/>
          <w:sz w:val="20"/>
        </w:rPr>
        <w:t>v</w:t>
      </w:r>
      <w:r>
        <w:rPr>
          <w:rFonts w:ascii="Arial"/>
          <w:i/>
          <w:spacing w:val="27"/>
          <w:sz w:val="20"/>
        </w:rPr>
        <w:t> </w:t>
      </w:r>
      <w:r>
        <w:rPr>
          <w:rFonts w:ascii="Arial"/>
          <w:i/>
          <w:sz w:val="20"/>
        </w:rPr>
        <w:t>Frankman</w:t>
      </w:r>
      <w:r>
        <w:rPr>
          <w:rFonts w:ascii="Arial"/>
          <w:i/>
          <w:spacing w:val="27"/>
          <w:sz w:val="20"/>
        </w:rPr>
        <w:t> </w:t>
      </w:r>
      <w:r>
        <w:rPr>
          <w:rFonts w:ascii="Arial"/>
          <w:i/>
          <w:sz w:val="20"/>
        </w:rPr>
        <w:t>[1950]</w:t>
      </w:r>
      <w:r>
        <w:rPr>
          <w:rFonts w:ascii="Arial"/>
          <w:i/>
          <w:spacing w:val="27"/>
          <w:sz w:val="20"/>
        </w:rPr>
        <w:t> </w:t>
      </w:r>
      <w:r>
        <w:rPr>
          <w:rFonts w:ascii="Arial"/>
          <w:i/>
          <w:sz w:val="20"/>
        </w:rPr>
        <w:t>A.C.</w:t>
      </w:r>
      <w:r>
        <w:rPr>
          <w:rFonts w:ascii="Arial"/>
          <w:i/>
          <w:spacing w:val="27"/>
          <w:sz w:val="20"/>
        </w:rPr>
        <w:t> </w:t>
      </w:r>
      <w:r>
        <w:rPr>
          <w:rFonts w:ascii="Arial"/>
          <w:i/>
          <w:spacing w:val="-5"/>
          <w:sz w:val="20"/>
        </w:rPr>
        <w:t>57</w:t>
      </w:r>
      <w:r>
        <w:rPr>
          <w:spacing w:val="-5"/>
          <w:sz w:val="20"/>
        </w:rPr>
        <w:t>;</w:t>
      </w:r>
    </w:p>
    <w:p>
      <w:pPr>
        <w:spacing w:line="235" w:lineRule="auto" w:before="1"/>
        <w:ind w:left="705" w:right="0" w:firstLine="0"/>
        <w:jc w:val="left"/>
        <w:rPr>
          <w:sz w:val="20"/>
        </w:rPr>
      </w:pPr>
      <w:r>
        <w:rPr>
          <w:rFonts w:ascii="Arial"/>
          <w:i/>
          <w:sz w:val="20"/>
        </w:rPr>
        <w:t>Barros Mattos Junior v MacDaniels Ltd [2004] EWHC 1188 (Comm), [2005] 1 W.L.R. 247</w:t>
      </w:r>
      <w:r>
        <w:rPr>
          <w:sz w:val="20"/>
        </w:rPr>
        <w:t>. The rule</w:t>
      </w:r>
      <w:r>
        <w:rPr>
          <w:spacing w:val="13"/>
          <w:sz w:val="20"/>
        </w:rPr>
        <w:t> </w:t>
      </w:r>
      <w:r>
        <w:rPr>
          <w:sz w:val="20"/>
        </w:rPr>
        <w:t>rendering</w:t>
      </w:r>
      <w:r>
        <w:rPr>
          <w:spacing w:val="13"/>
          <w:sz w:val="20"/>
        </w:rPr>
        <w:t> </w:t>
      </w:r>
      <w:r>
        <w:rPr>
          <w:sz w:val="20"/>
        </w:rPr>
        <w:t>the</w:t>
      </w:r>
      <w:r>
        <w:rPr>
          <w:spacing w:val="13"/>
          <w:sz w:val="20"/>
        </w:rPr>
        <w:t> </w:t>
      </w:r>
      <w:r>
        <w:rPr>
          <w:sz w:val="20"/>
        </w:rPr>
        <w:t>contract</w:t>
      </w:r>
      <w:r>
        <w:rPr>
          <w:spacing w:val="13"/>
          <w:sz w:val="20"/>
        </w:rPr>
        <w:t> </w:t>
      </w:r>
      <w:r>
        <w:rPr>
          <w:sz w:val="20"/>
        </w:rPr>
        <w:t>illegal</w:t>
      </w:r>
      <w:r>
        <w:rPr>
          <w:spacing w:val="13"/>
          <w:sz w:val="20"/>
        </w:rPr>
        <w:t> </w:t>
      </w:r>
      <w:r>
        <w:rPr>
          <w:sz w:val="20"/>
        </w:rPr>
        <w:t>under</w:t>
      </w:r>
      <w:r>
        <w:rPr>
          <w:spacing w:val="13"/>
          <w:sz w:val="20"/>
        </w:rPr>
        <w:t> </w:t>
      </w:r>
      <w:r>
        <w:rPr>
          <w:sz w:val="20"/>
        </w:rPr>
        <w:t>the</w:t>
      </w:r>
      <w:r>
        <w:rPr>
          <w:spacing w:val="13"/>
          <w:sz w:val="20"/>
        </w:rPr>
        <w:t> </w:t>
      </w:r>
      <w:r>
        <w:rPr>
          <w:sz w:val="20"/>
        </w:rPr>
        <w:t>governing</w:t>
      </w:r>
      <w:r>
        <w:rPr>
          <w:spacing w:val="13"/>
          <w:sz w:val="20"/>
        </w:rPr>
        <w:t> </w:t>
      </w:r>
      <w:r>
        <w:rPr>
          <w:sz w:val="20"/>
        </w:rPr>
        <w:t>law</w:t>
      </w:r>
      <w:r>
        <w:rPr>
          <w:spacing w:val="13"/>
          <w:sz w:val="20"/>
        </w:rPr>
        <w:t> </w:t>
      </w:r>
      <w:r>
        <w:rPr>
          <w:sz w:val="20"/>
        </w:rPr>
        <w:t>will</w:t>
      </w:r>
      <w:r>
        <w:rPr>
          <w:spacing w:val="13"/>
          <w:sz w:val="20"/>
        </w:rPr>
        <w:t> </w:t>
      </w:r>
      <w:r>
        <w:rPr>
          <w:sz w:val="20"/>
        </w:rPr>
        <w:t>not</w:t>
      </w:r>
      <w:r>
        <w:rPr>
          <w:spacing w:val="13"/>
          <w:sz w:val="20"/>
        </w:rPr>
        <w:t> </w:t>
      </w:r>
      <w:r>
        <w:rPr>
          <w:sz w:val="20"/>
        </w:rPr>
        <w:t>be</w:t>
      </w:r>
      <w:r>
        <w:rPr>
          <w:spacing w:val="13"/>
          <w:sz w:val="20"/>
        </w:rPr>
        <w:t> </w:t>
      </w:r>
      <w:r>
        <w:rPr>
          <w:sz w:val="20"/>
        </w:rPr>
        <w:t>applied</w:t>
      </w:r>
      <w:r>
        <w:rPr>
          <w:spacing w:val="13"/>
          <w:sz w:val="20"/>
        </w:rPr>
        <w:t> </w:t>
      </w:r>
      <w:r>
        <w:rPr>
          <w:sz w:val="20"/>
        </w:rPr>
        <w:t>if</w:t>
      </w:r>
      <w:r>
        <w:rPr>
          <w:spacing w:val="13"/>
          <w:sz w:val="20"/>
        </w:rPr>
        <w:t> </w:t>
      </w:r>
      <w:r>
        <w:rPr>
          <w:sz w:val="20"/>
        </w:rPr>
        <w:t>to</w:t>
      </w:r>
      <w:r>
        <w:rPr>
          <w:spacing w:val="13"/>
          <w:sz w:val="20"/>
        </w:rPr>
        <w:t> </w:t>
      </w:r>
      <w:r>
        <w:rPr>
          <w:sz w:val="20"/>
        </w:rPr>
        <w:t>do</w:t>
      </w:r>
      <w:r>
        <w:rPr>
          <w:spacing w:val="13"/>
          <w:sz w:val="20"/>
        </w:rPr>
        <w:t> </w:t>
      </w:r>
      <w:r>
        <w:rPr>
          <w:sz w:val="20"/>
        </w:rPr>
        <w:t>so</w:t>
      </w:r>
      <w:r>
        <w:rPr>
          <w:spacing w:val="13"/>
          <w:sz w:val="20"/>
        </w:rPr>
        <w:t> </w:t>
      </w:r>
      <w:r>
        <w:rPr>
          <w:spacing w:val="-2"/>
          <w:sz w:val="20"/>
        </w:rPr>
        <w:t>would</w:t>
      </w:r>
    </w:p>
    <w:p>
      <w:pPr>
        <w:spacing w:after="0" w:line="235" w:lineRule="auto"/>
        <w:jc w:val="left"/>
        <w:rPr>
          <w:sz w:val="20"/>
        </w:rPr>
        <w:sectPr>
          <w:pgSz w:w="11900" w:h="16840"/>
          <w:pgMar w:header="971" w:footer="0" w:top="1300" w:bottom="280" w:left="1275" w:right="1275"/>
        </w:sectPr>
      </w:pPr>
    </w:p>
    <w:p>
      <w:pPr>
        <w:spacing w:line="235" w:lineRule="auto" w:before="110"/>
        <w:ind w:left="705" w:right="0" w:firstLine="0"/>
        <w:jc w:val="left"/>
        <w:rPr>
          <w:sz w:val="20"/>
        </w:rPr>
      </w:pPr>
      <w:r>
        <w:rPr>
          <w:sz w:val="20"/>
        </w:rPr>
        <w:t>infringe</w:t>
      </w:r>
      <w:r>
        <w:rPr>
          <w:spacing w:val="22"/>
          <w:sz w:val="20"/>
        </w:rPr>
        <w:t> </w:t>
      </w:r>
      <w:r>
        <w:rPr>
          <w:sz w:val="20"/>
        </w:rPr>
        <w:t>English</w:t>
      </w:r>
      <w:r>
        <w:rPr>
          <w:spacing w:val="22"/>
          <w:sz w:val="20"/>
        </w:rPr>
        <w:t> </w:t>
      </w:r>
      <w:r>
        <w:rPr>
          <w:sz w:val="20"/>
        </w:rPr>
        <w:t>public</w:t>
      </w:r>
      <w:r>
        <w:rPr>
          <w:spacing w:val="22"/>
          <w:sz w:val="20"/>
        </w:rPr>
        <w:t> </w:t>
      </w:r>
      <w:r>
        <w:rPr>
          <w:sz w:val="20"/>
        </w:rPr>
        <w:t>policy:</w:t>
      </w:r>
      <w:r>
        <w:rPr>
          <w:spacing w:val="22"/>
          <w:sz w:val="20"/>
        </w:rPr>
        <w:t> </w:t>
      </w:r>
      <w:r>
        <w:rPr>
          <w:sz w:val="20"/>
        </w:rPr>
        <w:t>see</w:t>
      </w:r>
      <w:r>
        <w:rPr>
          <w:spacing w:val="21"/>
          <w:sz w:val="20"/>
        </w:rPr>
        <w:t> </w:t>
      </w:r>
      <w:r>
        <w:rPr>
          <w:rFonts w:ascii="Arial" w:hAnsi="Arial"/>
          <w:i/>
          <w:sz w:val="20"/>
        </w:rPr>
        <w:t>The</w:t>
      </w:r>
      <w:r>
        <w:rPr>
          <w:rFonts w:ascii="Arial" w:hAnsi="Arial"/>
          <w:i/>
          <w:spacing w:val="22"/>
          <w:sz w:val="20"/>
        </w:rPr>
        <w:t> </w:t>
      </w:r>
      <w:r>
        <w:rPr>
          <w:rFonts w:ascii="Arial" w:hAnsi="Arial"/>
          <w:i/>
          <w:sz w:val="20"/>
        </w:rPr>
        <w:t>Playa</w:t>
      </w:r>
      <w:r>
        <w:rPr>
          <w:rFonts w:ascii="Arial" w:hAnsi="Arial"/>
          <w:i/>
          <w:spacing w:val="22"/>
          <w:sz w:val="20"/>
        </w:rPr>
        <w:t> </w:t>
      </w:r>
      <w:r>
        <w:rPr>
          <w:rFonts w:ascii="Arial" w:hAnsi="Arial"/>
          <w:i/>
          <w:sz w:val="20"/>
        </w:rPr>
        <w:t>Larga</w:t>
      </w:r>
      <w:r>
        <w:rPr>
          <w:rFonts w:ascii="Arial" w:hAnsi="Arial"/>
          <w:i/>
          <w:spacing w:val="22"/>
          <w:sz w:val="20"/>
        </w:rPr>
        <w:t> </w:t>
      </w:r>
      <w:r>
        <w:rPr>
          <w:rFonts w:ascii="Arial" w:hAnsi="Arial"/>
          <w:i/>
          <w:sz w:val="20"/>
        </w:rPr>
        <w:t>[1983]</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171,</w:t>
      </w:r>
      <w:r>
        <w:rPr>
          <w:rFonts w:ascii="Arial" w:hAnsi="Arial"/>
          <w:i/>
          <w:spacing w:val="22"/>
          <w:sz w:val="20"/>
        </w:rPr>
        <w:t> </w:t>
      </w:r>
      <w:r>
        <w:rPr>
          <w:rFonts w:ascii="Arial" w:hAnsi="Arial"/>
          <w:i/>
          <w:sz w:val="20"/>
        </w:rPr>
        <w:t>189–190</w:t>
      </w:r>
      <w:r>
        <w:rPr>
          <w:sz w:val="20"/>
        </w:rPr>
        <w:t>;</w:t>
      </w:r>
      <w:r>
        <w:rPr>
          <w:spacing w:val="22"/>
          <w:sz w:val="20"/>
        </w:rPr>
        <w:t> </w:t>
      </w:r>
      <w:r>
        <w:rPr>
          <w:sz w:val="20"/>
        </w:rPr>
        <w:t>see also </w:t>
      </w:r>
      <w:r>
        <w:rPr>
          <w:rFonts w:ascii="Arial" w:hAnsi="Arial"/>
          <w:i/>
          <w:sz w:val="20"/>
        </w:rPr>
        <w:t>Re Helbert Wagg &amp; Co Ltd’s Claim [1956] Ch. 323, 345–346, 351–352</w:t>
      </w:r>
      <w:r>
        <w:rPr>
          <w:sz w:val="20"/>
        </w:rPr>
        <w:t>.</w:t>
      </w:r>
    </w:p>
    <w:p>
      <w:pPr>
        <w:pStyle w:val="BodyText"/>
        <w:spacing w:before="9"/>
      </w:pPr>
    </w:p>
    <w:p>
      <w:pPr>
        <w:spacing w:line="235" w:lineRule="auto" w:before="0"/>
        <w:ind w:left="705" w:right="168" w:hanging="541"/>
        <w:jc w:val="left"/>
        <w:rPr>
          <w:sz w:val="20"/>
        </w:rPr>
      </w:pPr>
      <w:bookmarkStart w:name="_bookmark2615" w:id="2617"/>
      <w:bookmarkEnd w:id="2617"/>
      <w:r>
        <w:rPr/>
      </w:r>
      <w:hyperlink w:history="true" w:anchor="_bookmark2558">
        <w:r>
          <w:rPr>
            <w:color w:val="005DA1"/>
            <w:position w:val="5"/>
            <w:sz w:val="14"/>
            <w:u w:val="single" w:color="005DA1"/>
          </w:rPr>
          <w:t>1340</w:t>
        </w:r>
      </w:hyperlink>
      <w:r>
        <w:rPr>
          <w:position w:val="5"/>
          <w:sz w:val="14"/>
        </w:rPr>
        <w:t>.</w:t>
      </w:r>
      <w:r>
        <w:rPr>
          <w:spacing w:val="80"/>
          <w:w w:val="150"/>
          <w:position w:val="5"/>
          <w:sz w:val="14"/>
        </w:rPr>
        <w:t> </w:t>
      </w:r>
      <w:r>
        <w:rPr>
          <w:sz w:val="20"/>
        </w:rPr>
        <w:t>Rome Convention art.8(1), art.10(1) of the Regulation. This is, again, subject to compliance of</w:t>
      </w:r>
      <w:r>
        <w:rPr>
          <w:spacing w:val="40"/>
          <w:sz w:val="20"/>
        </w:rPr>
        <w:t> </w:t>
      </w:r>
      <w:r>
        <w:rPr>
          <w:sz w:val="20"/>
        </w:rPr>
        <w:t>the applicable law with English public policy: see </w:t>
      </w:r>
      <w:r>
        <w:rPr>
          <w:rFonts w:ascii="Arial"/>
          <w:i/>
          <w:sz w:val="20"/>
        </w:rPr>
        <w:t>Hathurani v Jassat [2010] EWHC 2077 (Ch)</w:t>
      </w:r>
      <w:r>
        <w:rPr>
          <w:sz w:val="20"/>
        </w:rPr>
        <w:t>.</w:t>
      </w:r>
    </w:p>
    <w:p>
      <w:pPr>
        <w:pStyle w:val="BodyText"/>
        <w:spacing w:before="6"/>
      </w:pPr>
    </w:p>
    <w:p>
      <w:pPr>
        <w:spacing w:before="0"/>
        <w:ind w:left="165" w:right="0" w:firstLine="0"/>
        <w:jc w:val="left"/>
        <w:rPr>
          <w:sz w:val="20"/>
        </w:rPr>
      </w:pPr>
      <w:bookmarkStart w:name="_bookmark2616" w:id="2618"/>
      <w:bookmarkEnd w:id="2618"/>
      <w:r>
        <w:rPr/>
      </w:r>
      <w:hyperlink w:history="true" w:anchor="_bookmark2559">
        <w:r>
          <w:rPr>
            <w:color w:val="005DA1"/>
            <w:position w:val="5"/>
            <w:sz w:val="14"/>
            <w:u w:val="single" w:color="005DA1"/>
          </w:rPr>
          <w:t>1341</w:t>
        </w:r>
      </w:hyperlink>
      <w:r>
        <w:rPr>
          <w:position w:val="5"/>
          <w:sz w:val="14"/>
        </w:rPr>
        <w:t>.</w:t>
      </w:r>
      <w:r>
        <w:rPr>
          <w:spacing w:val="55"/>
          <w:position w:val="5"/>
          <w:sz w:val="14"/>
        </w:rPr>
        <w:t>  </w:t>
      </w:r>
      <w:r>
        <w:rPr>
          <w:sz w:val="20"/>
        </w:rPr>
        <w:t>e.g.</w:t>
      </w:r>
      <w:r>
        <w:rPr>
          <w:spacing w:val="1"/>
          <w:sz w:val="20"/>
        </w:rPr>
        <w:t> </w:t>
      </w:r>
      <w:r>
        <w:rPr>
          <w:rFonts w:ascii="Arial"/>
          <w:i/>
          <w:sz w:val="20"/>
        </w:rPr>
        <w:t>Clugas v Penaluna (1791) 4 T.R. </w:t>
      </w:r>
      <w:r>
        <w:rPr>
          <w:rFonts w:ascii="Arial"/>
          <w:i/>
          <w:spacing w:val="-4"/>
          <w:sz w:val="20"/>
        </w:rPr>
        <w:t>466</w:t>
      </w:r>
      <w:r>
        <w:rPr>
          <w:spacing w:val="-4"/>
          <w:sz w:val="20"/>
        </w:rPr>
        <w:t>.</w:t>
      </w:r>
    </w:p>
    <w:p>
      <w:pPr>
        <w:pStyle w:val="BodyText"/>
        <w:spacing w:before="9"/>
      </w:pPr>
    </w:p>
    <w:p>
      <w:pPr>
        <w:spacing w:line="235" w:lineRule="auto" w:before="0"/>
        <w:ind w:left="705" w:right="101" w:hanging="541"/>
        <w:jc w:val="left"/>
        <w:rPr>
          <w:sz w:val="20"/>
        </w:rPr>
      </w:pPr>
      <w:bookmarkStart w:name="_bookmark2617" w:id="2619"/>
      <w:bookmarkEnd w:id="2619"/>
      <w:r>
        <w:rPr/>
      </w:r>
      <w:hyperlink w:history="true" w:anchor="_bookmark2560">
        <w:r>
          <w:rPr>
            <w:color w:val="005DA1"/>
            <w:position w:val="5"/>
            <w:sz w:val="14"/>
            <w:u w:val="single" w:color="005DA1"/>
          </w:rPr>
          <w:t>1342</w:t>
        </w:r>
      </w:hyperlink>
      <w:r>
        <w:rPr>
          <w:position w:val="5"/>
          <w:sz w:val="14"/>
        </w:rPr>
        <w:t>.</w:t>
      </w:r>
      <w:r>
        <w:rPr>
          <w:spacing w:val="80"/>
          <w:w w:val="150"/>
          <w:position w:val="5"/>
          <w:sz w:val="14"/>
        </w:rPr>
        <w:t> </w:t>
      </w:r>
      <w:r>
        <w:rPr>
          <w:sz w:val="20"/>
        </w:rPr>
        <w:t>e.g. </w:t>
      </w:r>
      <w:r>
        <w:rPr>
          <w:rFonts w:ascii="Arial"/>
          <w:i/>
          <w:sz w:val="20"/>
        </w:rPr>
        <w:t>Boissevain v Weil [1950] A.C. 327</w:t>
      </w:r>
      <w:r>
        <w:rPr>
          <w:sz w:val="20"/>
        </w:rPr>
        <w:t>; </w:t>
      </w:r>
      <w:r>
        <w:rPr>
          <w:rFonts w:ascii="Arial"/>
          <w:i/>
          <w:sz w:val="20"/>
        </w:rPr>
        <w:t>Shanshal v Al-Kishtaini [2001] EWCA Civ 264, [2001] </w:t>
      </w:r>
      <w:r>
        <w:rPr>
          <w:rFonts w:ascii="Arial"/>
          <w:i/>
          <w:sz w:val="20"/>
        </w:rPr>
        <w:t>2 All E.R. (Comm) 601</w:t>
      </w:r>
      <w:r>
        <w:rPr>
          <w:sz w:val="20"/>
        </w:rPr>
        <w:t>.</w:t>
      </w:r>
    </w:p>
    <w:p>
      <w:pPr>
        <w:pStyle w:val="BodyText"/>
        <w:spacing w:before="9"/>
      </w:pPr>
    </w:p>
    <w:p>
      <w:pPr>
        <w:pStyle w:val="BodyText"/>
        <w:spacing w:line="235" w:lineRule="auto"/>
        <w:ind w:left="705" w:hanging="541"/>
      </w:pPr>
      <w:bookmarkStart w:name="_bookmark2618" w:id="2620"/>
      <w:bookmarkEnd w:id="2620"/>
      <w:r>
        <w:rPr/>
      </w:r>
      <w:hyperlink w:history="true" w:anchor="_bookmark2561">
        <w:r>
          <w:rPr>
            <w:color w:val="005DA1"/>
            <w:position w:val="5"/>
            <w:sz w:val="14"/>
            <w:u w:val="single" w:color="005DA1"/>
          </w:rPr>
          <w:t>1343</w:t>
        </w:r>
      </w:hyperlink>
      <w:r>
        <w:rPr>
          <w:position w:val="5"/>
          <w:sz w:val="14"/>
        </w:rPr>
        <w:t>.</w:t>
      </w:r>
      <w:r>
        <w:rPr>
          <w:spacing w:val="40"/>
          <w:position w:val="5"/>
          <w:sz w:val="14"/>
        </w:rPr>
        <w:t>  </w:t>
      </w:r>
      <w:r>
        <w:rPr/>
        <w:t>The</w:t>
      </w:r>
      <w:r>
        <w:rPr>
          <w:spacing w:val="-1"/>
        </w:rPr>
        <w:t> </w:t>
      </w:r>
      <w:r>
        <w:rPr/>
        <w:t>relevant</w:t>
      </w:r>
      <w:r>
        <w:rPr>
          <w:spacing w:val="-1"/>
        </w:rPr>
        <w:t> </w:t>
      </w:r>
      <w:r>
        <w:rPr/>
        <w:t>rule</w:t>
      </w:r>
      <w:r>
        <w:rPr>
          <w:spacing w:val="-1"/>
        </w:rPr>
        <w:t> </w:t>
      </w:r>
      <w:r>
        <w:rPr/>
        <w:t>of</w:t>
      </w:r>
      <w:r>
        <w:rPr>
          <w:spacing w:val="-1"/>
        </w:rPr>
        <w:t> </w:t>
      </w:r>
      <w:r>
        <w:rPr/>
        <w:t>English</w:t>
      </w:r>
      <w:r>
        <w:rPr>
          <w:spacing w:val="-1"/>
        </w:rPr>
        <w:t> </w:t>
      </w:r>
      <w:r>
        <w:rPr/>
        <w:t>law</w:t>
      </w:r>
      <w:r>
        <w:rPr>
          <w:spacing w:val="-1"/>
        </w:rPr>
        <w:t> </w:t>
      </w:r>
      <w:r>
        <w:rPr/>
        <w:t>must</w:t>
      </w:r>
      <w:r>
        <w:rPr>
          <w:spacing w:val="-1"/>
        </w:rPr>
        <w:t> </w:t>
      </w:r>
      <w:r>
        <w:rPr/>
        <w:t>be</w:t>
      </w:r>
      <w:r>
        <w:rPr>
          <w:spacing w:val="-1"/>
        </w:rPr>
        <w:t> </w:t>
      </w:r>
      <w:r>
        <w:rPr/>
        <w:t>one</w:t>
      </w:r>
      <w:r>
        <w:rPr>
          <w:spacing w:val="-1"/>
        </w:rPr>
        <w:t> </w:t>
      </w:r>
      <w:r>
        <w:rPr/>
        <w:t>which</w:t>
      </w:r>
      <w:r>
        <w:rPr>
          <w:spacing w:val="-1"/>
        </w:rPr>
        <w:t> </w:t>
      </w:r>
      <w:r>
        <w:rPr/>
        <w:t>is</w:t>
      </w:r>
      <w:r>
        <w:rPr>
          <w:spacing w:val="-1"/>
        </w:rPr>
        <w:t> </w:t>
      </w:r>
      <w:r>
        <w:rPr/>
        <w:t>intended</w:t>
      </w:r>
      <w:r>
        <w:rPr>
          <w:spacing w:val="-1"/>
        </w:rPr>
        <w:t> </w:t>
      </w:r>
      <w:r>
        <w:rPr/>
        <w:t>to</w:t>
      </w:r>
      <w:r>
        <w:rPr>
          <w:spacing w:val="-1"/>
        </w:rPr>
        <w:t> </w:t>
      </w:r>
      <w:r>
        <w:rPr/>
        <w:t>affect</w:t>
      </w:r>
      <w:r>
        <w:rPr>
          <w:spacing w:val="-1"/>
        </w:rPr>
        <w:t> </w:t>
      </w:r>
      <w:r>
        <w:rPr/>
        <w:t>the</w:t>
      </w:r>
      <w:r>
        <w:rPr>
          <w:spacing w:val="-1"/>
        </w:rPr>
        <w:t> </w:t>
      </w:r>
      <w:r>
        <w:rPr/>
        <w:t>validity</w:t>
      </w:r>
      <w:r>
        <w:rPr>
          <w:spacing w:val="-1"/>
        </w:rPr>
        <w:t> </w:t>
      </w:r>
      <w:r>
        <w:rPr/>
        <w:t>of</w:t>
      </w:r>
      <w:r>
        <w:rPr>
          <w:spacing w:val="-1"/>
        </w:rPr>
        <w:t> </w:t>
      </w:r>
      <w:r>
        <w:rPr/>
        <w:t>contracts: see on this aspect of English domestic law, above, paras 16-023 et seq.</w:t>
      </w:r>
    </w:p>
    <w:p>
      <w:pPr>
        <w:pStyle w:val="BodyText"/>
        <w:spacing w:before="9"/>
      </w:pPr>
    </w:p>
    <w:p>
      <w:pPr>
        <w:spacing w:line="235" w:lineRule="auto" w:before="0"/>
        <w:ind w:left="705" w:right="167" w:hanging="541"/>
        <w:jc w:val="both"/>
        <w:rPr>
          <w:sz w:val="20"/>
        </w:rPr>
      </w:pPr>
      <w:bookmarkStart w:name="_bookmark2619" w:id="2621"/>
      <w:bookmarkEnd w:id="2621"/>
      <w:r>
        <w:rPr/>
      </w:r>
      <w:hyperlink w:history="true" w:anchor="_bookmark2562">
        <w:r>
          <w:rPr>
            <w:color w:val="005DA1"/>
            <w:position w:val="5"/>
            <w:sz w:val="14"/>
            <w:u w:val="single" w:color="005DA1"/>
          </w:rPr>
          <w:t>1344</w:t>
        </w:r>
      </w:hyperlink>
      <w:r>
        <w:rPr>
          <w:position w:val="5"/>
          <w:sz w:val="14"/>
        </w:rPr>
        <w:t>.</w:t>
      </w:r>
      <w:r>
        <w:rPr>
          <w:spacing w:val="80"/>
          <w:position w:val="5"/>
          <w:sz w:val="14"/>
        </w:rPr>
        <w:t> </w:t>
      </w:r>
      <w:r>
        <w:rPr>
          <w:sz w:val="20"/>
        </w:rPr>
        <w:t>Above, para.30-065. See </w:t>
      </w:r>
      <w:r>
        <w:rPr>
          <w:rFonts w:ascii="Arial" w:hAnsi="Arial"/>
          <w:i/>
          <w:sz w:val="20"/>
        </w:rPr>
        <w:t>United Antwerp Maritime Agencies NV (Unamar) v </w:t>
      </w:r>
      <w:r>
        <w:rPr>
          <w:rFonts w:ascii="Arial" w:hAnsi="Arial"/>
          <w:i/>
          <w:sz w:val="20"/>
        </w:rPr>
        <w:t>Navigation</w:t>
      </w:r>
      <w:r>
        <w:rPr>
          <w:rFonts w:ascii="Arial" w:hAnsi="Arial"/>
          <w:i/>
          <w:spacing w:val="40"/>
          <w:sz w:val="20"/>
        </w:rPr>
        <w:t> </w:t>
      </w:r>
      <w:r>
        <w:rPr>
          <w:rFonts w:ascii="Arial" w:hAnsi="Arial"/>
          <w:i/>
          <w:sz w:val="20"/>
        </w:rPr>
        <w:t>Maritime Bulgare (C-184/12) [2014] 1 Lloyd’s Rep. 161 </w:t>
      </w:r>
      <w:r>
        <w:rPr>
          <w:sz w:val="20"/>
        </w:rPr>
        <w:t>(stating that mandatory rules of law of the forum should be given a narrow interpretation).</w:t>
      </w:r>
    </w:p>
    <w:p>
      <w:pPr>
        <w:pStyle w:val="BodyText"/>
        <w:spacing w:before="9"/>
      </w:pPr>
    </w:p>
    <w:p>
      <w:pPr>
        <w:spacing w:line="235" w:lineRule="auto" w:before="0"/>
        <w:ind w:left="705" w:right="167" w:hanging="541"/>
        <w:jc w:val="both"/>
        <w:rPr>
          <w:sz w:val="20"/>
        </w:rPr>
      </w:pPr>
      <w:bookmarkStart w:name="_bookmark2620" w:id="2622"/>
      <w:bookmarkEnd w:id="2622"/>
      <w:r>
        <w:rPr/>
      </w:r>
      <w:hyperlink w:history="true" w:anchor="_bookmark2563">
        <w:r>
          <w:rPr>
            <w:color w:val="005DA1"/>
            <w:position w:val="5"/>
            <w:sz w:val="14"/>
            <w:u w:val="single" w:color="005DA1"/>
          </w:rPr>
          <w:t>1345</w:t>
        </w:r>
      </w:hyperlink>
      <w:r>
        <w:rPr>
          <w:position w:val="5"/>
          <w:sz w:val="14"/>
        </w:rPr>
        <w:t>.</w:t>
      </w:r>
      <w:r>
        <w:rPr>
          <w:spacing w:val="40"/>
          <w:position w:val="5"/>
          <w:sz w:val="14"/>
        </w:rPr>
        <w:t> </w:t>
      </w:r>
      <w:r>
        <w:rPr>
          <w:sz w:val="20"/>
        </w:rPr>
        <w:t>Rome I art.9(1), above para.30-179, below, para.30-363. See </w:t>
      </w:r>
      <w:r>
        <w:rPr>
          <w:rFonts w:ascii="Arial" w:hAnsi="Arial"/>
          <w:i/>
          <w:sz w:val="20"/>
        </w:rPr>
        <w:t>United Antwerp Maritime</w:t>
      </w:r>
      <w:r>
        <w:rPr>
          <w:rFonts w:ascii="Arial" w:hAnsi="Arial"/>
          <w:i/>
          <w:spacing w:val="80"/>
          <w:w w:val="150"/>
          <w:sz w:val="20"/>
        </w:rPr>
        <w:t> </w:t>
      </w:r>
      <w:r>
        <w:rPr>
          <w:rFonts w:ascii="Arial" w:hAnsi="Arial"/>
          <w:i/>
          <w:sz w:val="20"/>
        </w:rPr>
        <w:t>Agencies NV (Unamar) v Navigation Maritime Bulgare (C-184/12) [2014] 1 Lloyd’s Rep. </w:t>
      </w:r>
      <w:r>
        <w:rPr>
          <w:rFonts w:ascii="Arial" w:hAnsi="Arial"/>
          <w:i/>
          <w:sz w:val="20"/>
        </w:rPr>
        <w:t>161 </w:t>
      </w:r>
      <w:r>
        <w:rPr>
          <w:sz w:val="20"/>
        </w:rPr>
        <w:t>(stating that mandatory rules of law of the forum should be given a narrow interpretation).</w:t>
      </w:r>
    </w:p>
    <w:p>
      <w:pPr>
        <w:pStyle w:val="BodyText"/>
        <w:spacing w:before="9"/>
      </w:pPr>
    </w:p>
    <w:p>
      <w:pPr>
        <w:spacing w:line="235" w:lineRule="auto" w:before="0"/>
        <w:ind w:left="705" w:right="168" w:hanging="541"/>
        <w:jc w:val="both"/>
        <w:rPr>
          <w:sz w:val="20"/>
        </w:rPr>
      </w:pPr>
      <w:bookmarkStart w:name="_bookmark2621" w:id="2623"/>
      <w:bookmarkEnd w:id="2623"/>
      <w:r>
        <w:rPr/>
      </w:r>
      <w:hyperlink w:history="true" w:anchor="_bookmark2564">
        <w:r>
          <w:rPr>
            <w:color w:val="005DA1"/>
            <w:position w:val="5"/>
            <w:sz w:val="14"/>
            <w:u w:val="single" w:color="005DA1"/>
          </w:rPr>
          <w:t>1346</w:t>
        </w:r>
      </w:hyperlink>
      <w:r>
        <w:rPr>
          <w:position w:val="5"/>
          <w:sz w:val="14"/>
        </w:rPr>
        <w:t>.</w:t>
      </w:r>
      <w:r>
        <w:rPr>
          <w:spacing w:val="80"/>
          <w:position w:val="5"/>
          <w:sz w:val="14"/>
        </w:rPr>
        <w:t> </w:t>
      </w:r>
      <w:r>
        <w:rPr>
          <w:sz w:val="20"/>
        </w:rPr>
        <w:t>Above, para.30-181, below paras 30-362 et seq. See </w:t>
      </w:r>
      <w:r>
        <w:rPr>
          <w:rFonts w:ascii="Arial" w:hAnsi="Arial"/>
          <w:i/>
          <w:sz w:val="20"/>
        </w:rPr>
        <w:t>United Antwerp Maritime Agencies </w:t>
      </w:r>
      <w:r>
        <w:rPr>
          <w:rFonts w:ascii="Arial" w:hAnsi="Arial"/>
          <w:i/>
          <w:sz w:val="20"/>
        </w:rPr>
        <w:t>NV (Unamar) v Navigation Maritime Bulgare (C-184/12) [2014] 1 Lloyd’s Rep. 161 </w:t>
      </w:r>
      <w:r>
        <w:rPr>
          <w:sz w:val="20"/>
        </w:rPr>
        <w:t>(stating that mandatory rules of law of the forum should be given a narrow interpretation).</w:t>
      </w:r>
    </w:p>
    <w:p>
      <w:pPr>
        <w:pStyle w:val="BodyText"/>
        <w:spacing w:before="5"/>
      </w:pPr>
    </w:p>
    <w:p>
      <w:pPr>
        <w:spacing w:before="0"/>
        <w:ind w:left="165" w:right="0" w:firstLine="0"/>
        <w:jc w:val="left"/>
        <w:rPr>
          <w:sz w:val="20"/>
        </w:rPr>
      </w:pPr>
      <w:bookmarkStart w:name="_bookmark2622" w:id="2624"/>
      <w:bookmarkEnd w:id="2624"/>
      <w:r>
        <w:rPr/>
      </w:r>
      <w:hyperlink w:history="true" w:anchor="_bookmark2565">
        <w:r>
          <w:rPr>
            <w:color w:val="005DA1"/>
            <w:position w:val="5"/>
            <w:sz w:val="14"/>
            <w:u w:val="single" w:color="005DA1"/>
          </w:rPr>
          <w:t>1347</w:t>
        </w:r>
      </w:hyperlink>
      <w:r>
        <w:rPr>
          <w:position w:val="5"/>
          <w:sz w:val="14"/>
        </w:rPr>
        <w:t>.</w:t>
      </w:r>
      <w:r>
        <w:rPr>
          <w:spacing w:val="55"/>
          <w:position w:val="5"/>
          <w:sz w:val="14"/>
        </w:rPr>
        <w:t>  </w:t>
      </w:r>
      <w:r>
        <w:rPr>
          <w:rFonts w:ascii="Arial"/>
          <w:i/>
          <w:sz w:val="20"/>
        </w:rPr>
        <w:t>[1920]</w:t>
      </w:r>
      <w:r>
        <w:rPr>
          <w:rFonts w:ascii="Arial"/>
          <w:i/>
          <w:spacing w:val="1"/>
          <w:sz w:val="20"/>
        </w:rPr>
        <w:t> </w:t>
      </w:r>
      <w:r>
        <w:rPr>
          <w:rFonts w:ascii="Arial"/>
          <w:i/>
          <w:sz w:val="20"/>
        </w:rPr>
        <w:t>2 K.B. </w:t>
      </w:r>
      <w:r>
        <w:rPr>
          <w:rFonts w:ascii="Arial"/>
          <w:i/>
          <w:spacing w:val="-4"/>
          <w:sz w:val="20"/>
        </w:rPr>
        <w:t>287</w:t>
      </w:r>
      <w:r>
        <w:rPr>
          <w:spacing w:val="-4"/>
          <w:sz w:val="20"/>
        </w:rPr>
        <w:t>.</w:t>
      </w:r>
    </w:p>
    <w:p>
      <w:pPr>
        <w:pStyle w:val="BodyText"/>
        <w:spacing w:before="9"/>
      </w:pPr>
    </w:p>
    <w:p>
      <w:pPr>
        <w:spacing w:line="235" w:lineRule="auto" w:before="0"/>
        <w:ind w:left="705" w:right="167" w:hanging="541"/>
        <w:jc w:val="both"/>
        <w:rPr>
          <w:sz w:val="20"/>
        </w:rPr>
      </w:pPr>
      <w:bookmarkStart w:name="_bookmark2623" w:id="2625"/>
      <w:bookmarkEnd w:id="2625"/>
      <w:r>
        <w:rPr/>
      </w:r>
      <w:hyperlink w:history="true" w:anchor="_bookmark2566">
        <w:r>
          <w:rPr>
            <w:color w:val="005DA1"/>
            <w:position w:val="5"/>
            <w:sz w:val="14"/>
            <w:u w:val="single" w:color="005DA1"/>
          </w:rPr>
          <w:t>1348</w:t>
        </w:r>
      </w:hyperlink>
      <w:r>
        <w:rPr>
          <w:position w:val="5"/>
          <w:sz w:val="14"/>
        </w:rPr>
        <w:t>.</w:t>
      </w:r>
      <w:r>
        <w:rPr>
          <w:spacing w:val="80"/>
          <w:w w:val="150"/>
          <w:position w:val="5"/>
          <w:sz w:val="14"/>
        </w:rPr>
        <w:t> </w:t>
      </w:r>
      <w:r>
        <w:rPr>
          <w:rFonts w:ascii="Arial" w:hAnsi="Arial"/>
          <w:i/>
          <w:sz w:val="20"/>
        </w:rPr>
        <w:t>Zivnostenska Banka v Frankman [1950] A.C. 57, 78</w:t>
      </w:r>
      <w:r>
        <w:rPr>
          <w:sz w:val="20"/>
        </w:rPr>
        <w:t>; </w:t>
      </w:r>
      <w:r>
        <w:rPr>
          <w:rFonts w:ascii="Arial" w:hAnsi="Arial"/>
          <w:i/>
          <w:sz w:val="20"/>
        </w:rPr>
        <w:t>Mackender v Feldia [1967] 2 Q.B. 590,</w:t>
      </w:r>
      <w:r>
        <w:rPr>
          <w:rFonts w:ascii="Arial" w:hAnsi="Arial"/>
          <w:i/>
          <w:spacing w:val="40"/>
          <w:sz w:val="20"/>
        </w:rPr>
        <w:t> </w:t>
      </w:r>
      <w:r>
        <w:rPr>
          <w:rFonts w:ascii="Arial" w:hAnsi="Arial"/>
          <w:i/>
          <w:sz w:val="20"/>
        </w:rPr>
        <w:t>601</w:t>
      </w:r>
      <w:r>
        <w:rPr>
          <w:sz w:val="20"/>
        </w:rPr>
        <w:t>; </w:t>
      </w:r>
      <w:r>
        <w:rPr>
          <w:rFonts w:ascii="Arial" w:hAnsi="Arial"/>
          <w:i/>
          <w:sz w:val="20"/>
        </w:rPr>
        <w:t>R. v International Trustee for the Protection of Bondholders AG [1937] A.C. 500, </w:t>
      </w:r>
      <w:r>
        <w:rPr>
          <w:rFonts w:ascii="Arial" w:hAnsi="Arial"/>
          <w:i/>
          <w:sz w:val="20"/>
        </w:rPr>
        <w:t>519</w:t>
      </w:r>
      <w:r>
        <w:rPr>
          <w:sz w:val="20"/>
        </w:rPr>
        <w:t>; </w:t>
      </w:r>
      <w:r>
        <w:rPr>
          <w:rFonts w:ascii="Arial" w:hAnsi="Arial"/>
          <w:i/>
          <w:sz w:val="20"/>
        </w:rPr>
        <w:t>Kleinwort Sons &amp; Co v Ungarische Baumwolle Industrie AG [1939] 2 K.B. 678, 697–698</w:t>
      </w:r>
      <w:r>
        <w:rPr>
          <w:sz w:val="20"/>
        </w:rPr>
        <w:t>; </w:t>
      </w:r>
      <w:r>
        <w:rPr>
          <w:rFonts w:ascii="Arial" w:hAnsi="Arial"/>
          <w:i/>
          <w:sz w:val="20"/>
        </w:rPr>
        <w:t>Tamil Nadu Electricity Board v ST-CMS Electric Co Private Ltd [2007] EWHC 1713 (Comm), [2007] 2 All E.R. (Comm) 701 </w:t>
      </w:r>
      <w:r>
        <w:rPr>
          <w:sz w:val="20"/>
        </w:rPr>
        <w:t>at [46]–[47].</w:t>
      </w:r>
    </w:p>
    <w:p>
      <w:pPr>
        <w:pStyle w:val="BodyText"/>
        <w:spacing w:before="8"/>
      </w:pPr>
    </w:p>
    <w:p>
      <w:pPr>
        <w:spacing w:line="235" w:lineRule="auto" w:before="0"/>
        <w:ind w:left="705" w:right="167" w:hanging="541"/>
        <w:jc w:val="both"/>
        <w:rPr>
          <w:sz w:val="20"/>
        </w:rPr>
      </w:pPr>
      <w:bookmarkStart w:name="_bookmark2624" w:id="2626"/>
      <w:bookmarkEnd w:id="2626"/>
      <w:r>
        <w:rPr/>
      </w:r>
      <w:hyperlink w:history="true" w:anchor="_bookmark2567">
        <w:r>
          <w:rPr>
            <w:color w:val="005DA1"/>
            <w:position w:val="5"/>
            <w:sz w:val="14"/>
            <w:u w:val="single" w:color="005DA1"/>
          </w:rPr>
          <w:t>1349</w:t>
        </w:r>
      </w:hyperlink>
      <w:r>
        <w:rPr>
          <w:position w:val="5"/>
          <w:sz w:val="14"/>
        </w:rPr>
        <w:t>.</w:t>
      </w:r>
      <w:r>
        <w:rPr>
          <w:spacing w:val="80"/>
          <w:position w:val="5"/>
          <w:sz w:val="14"/>
        </w:rPr>
        <w:t> </w:t>
      </w:r>
      <w:r>
        <w:rPr>
          <w:rFonts w:ascii="Arial" w:hAnsi="Arial"/>
          <w:i/>
          <w:sz w:val="20"/>
        </w:rPr>
        <w:t>Kahler v Midland Bank Ltd [1950] A.C. 24, 48</w:t>
      </w:r>
      <w:r>
        <w:rPr>
          <w:sz w:val="20"/>
        </w:rPr>
        <w:t>; </w:t>
      </w:r>
      <w:r>
        <w:rPr>
          <w:rFonts w:ascii="Arial" w:hAnsi="Arial"/>
          <w:i/>
          <w:sz w:val="20"/>
        </w:rPr>
        <w:t>Société Co-operative Suisse des Cereales, etc v Plata Cereal Co SA (1949) 80 Ll.L. Rep. 530, 543–544</w:t>
      </w:r>
      <w:r>
        <w:rPr>
          <w:sz w:val="20"/>
        </w:rPr>
        <w:t>: </w:t>
      </w:r>
      <w:r>
        <w:rPr>
          <w:rFonts w:ascii="Arial" w:hAnsi="Arial"/>
          <w:i/>
          <w:sz w:val="20"/>
        </w:rPr>
        <w:t>Walton (Grain and Shipping) Ltd v British Italian Trading Co [1959] 1 Lloyd’s Rep. 223, 236</w:t>
      </w:r>
      <w:r>
        <w:rPr>
          <w:sz w:val="20"/>
        </w:rPr>
        <w:t>; </w:t>
      </w:r>
      <w:r>
        <w:rPr>
          <w:rFonts w:ascii="Arial" w:hAnsi="Arial"/>
          <w:i/>
          <w:sz w:val="20"/>
        </w:rPr>
        <w:t>Bangladesh Export Import Co Ltd v Sucden Kerry SA [1995] 2 Lloyd’s Rep. 1, 5</w:t>
      </w:r>
      <w:r>
        <w:rPr>
          <w:sz w:val="20"/>
        </w:rPr>
        <w:t>; </w:t>
      </w:r>
      <w:r>
        <w:rPr>
          <w:rFonts w:ascii="Arial" w:hAnsi="Arial"/>
          <w:i/>
          <w:sz w:val="20"/>
        </w:rPr>
        <w:t>Ispahani v Bank Melli Iran [1998] Lloyd’s Rep. Bank. 133</w:t>
      </w:r>
      <w:r>
        <w:rPr>
          <w:sz w:val="20"/>
        </w:rPr>
        <w:t>; see also </w:t>
      </w:r>
      <w:r>
        <w:rPr>
          <w:rFonts w:ascii="Arial" w:hAnsi="Arial"/>
          <w:i/>
          <w:sz w:val="20"/>
        </w:rPr>
        <w:t>Society of Lloyd’s v Fraser [1998] C.L.C. 1630, 1652</w:t>
      </w:r>
      <w:r>
        <w:rPr>
          <w:sz w:val="20"/>
        </w:rPr>
        <w:t>; </w:t>
      </w:r>
      <w:r>
        <w:rPr>
          <w:rFonts w:ascii="Arial" w:hAnsi="Arial"/>
          <w:i/>
          <w:sz w:val="20"/>
        </w:rPr>
        <w:t>Fox v </w:t>
      </w:r>
      <w:r>
        <w:rPr>
          <w:rFonts w:ascii="Arial" w:hAnsi="Arial"/>
          <w:i/>
          <w:sz w:val="20"/>
        </w:rPr>
        <w:t>Henderson Investment Fund Ltd [1999] 2 Lloyd’s Rep. 303</w:t>
      </w:r>
      <w:r>
        <w:rPr>
          <w:sz w:val="20"/>
        </w:rPr>
        <w:t>; </w:t>
      </w:r>
      <w:r>
        <w:rPr>
          <w:rFonts w:ascii="Arial" w:hAnsi="Arial"/>
          <w:i/>
          <w:sz w:val="20"/>
        </w:rPr>
        <w:t>Tekron Resources Ltd v Guinea Investment Co Ltd [2004] EWHC 2577, [2004] 2 Lloyd’s Rep. 26</w:t>
      </w:r>
      <w:r>
        <w:rPr>
          <w:sz w:val="20"/>
        </w:rPr>
        <w:t>; </w:t>
      </w:r>
      <w:r>
        <w:rPr>
          <w:rFonts w:ascii="Arial" w:hAnsi="Arial"/>
          <w:i/>
          <w:sz w:val="20"/>
        </w:rPr>
        <w:t>Continental Enterprises Ltd v Shandong Zucheng Foreign Trade Group Co [2005] EWHC 95 (Comm)</w:t>
      </w:r>
      <w:r>
        <w:rPr>
          <w:sz w:val="20"/>
        </w:rPr>
        <w:t>; </w:t>
      </w:r>
      <w:r>
        <w:rPr>
          <w:rFonts w:ascii="Arial" w:hAnsi="Arial"/>
          <w:i/>
          <w:sz w:val="20"/>
        </w:rPr>
        <w:t>Marlwood Commercial Inc v Kozeny [2006] EWHC 872 (Comm)</w:t>
      </w:r>
      <w:r>
        <w:rPr>
          <w:sz w:val="20"/>
        </w:rPr>
        <w:t>; </w:t>
      </w:r>
      <w:r>
        <w:rPr>
          <w:rFonts w:ascii="Arial" w:hAnsi="Arial"/>
          <w:i/>
          <w:sz w:val="20"/>
        </w:rPr>
        <w:t>Lilly Icos LLC v 8PM Chemists Ltd [2009] EWHC 1905 (Ch), [2010] F.S.R. 95 </w:t>
      </w:r>
      <w:r>
        <w:rPr>
          <w:sz w:val="20"/>
        </w:rPr>
        <w:t>at [260]–[266]; Dicey, Morris and Collins, 15th edn (2012), paras 32–094 et seq.; Cheshire, North and Fawcett, pp.759–761; F.A. Mann (1937) 18 B.Y.I.L. 97, 107–113; Morris (1953) 6 Vand. L. Rev. 510; Reynolds (1992) 108 L.Q.R. 553.</w:t>
      </w:r>
    </w:p>
    <w:p>
      <w:pPr>
        <w:pStyle w:val="BodyText"/>
        <w:spacing w:before="2"/>
      </w:pPr>
    </w:p>
    <w:p>
      <w:pPr>
        <w:pStyle w:val="BodyText"/>
        <w:ind w:left="165"/>
      </w:pPr>
      <w:bookmarkStart w:name="_bookmark2625" w:id="2627"/>
      <w:bookmarkEnd w:id="2627"/>
      <w:r>
        <w:rPr/>
      </w:r>
      <w:hyperlink w:history="true" w:anchor="_bookmark2568">
        <w:r>
          <w:rPr>
            <w:color w:val="005DA1"/>
            <w:position w:val="5"/>
            <w:sz w:val="14"/>
            <w:u w:val="single" w:color="005DA1"/>
          </w:rPr>
          <w:t>1350</w:t>
        </w:r>
      </w:hyperlink>
      <w:r>
        <w:rPr>
          <w:position w:val="5"/>
          <w:sz w:val="14"/>
        </w:rPr>
        <w:t>.</w:t>
      </w:r>
      <w:r>
        <w:rPr>
          <w:spacing w:val="55"/>
          <w:position w:val="5"/>
          <w:sz w:val="14"/>
        </w:rPr>
        <w:t>  </w:t>
      </w:r>
      <w:r>
        <w:rPr/>
        <w:t>See</w:t>
      </w:r>
      <w:r>
        <w:rPr>
          <w:spacing w:val="1"/>
        </w:rPr>
        <w:t> </w:t>
      </w:r>
      <w:r>
        <w:rPr/>
        <w:t>above, paras 23-024 et </w:t>
      </w:r>
      <w:r>
        <w:rPr>
          <w:spacing w:val="-4"/>
        </w:rPr>
        <w:t>seq.</w:t>
      </w:r>
    </w:p>
    <w:p>
      <w:pPr>
        <w:pStyle w:val="BodyText"/>
        <w:spacing w:before="5"/>
      </w:pPr>
    </w:p>
    <w:p>
      <w:pPr>
        <w:pStyle w:val="BodyText"/>
        <w:ind w:left="165"/>
      </w:pPr>
      <w:bookmarkStart w:name="_bookmark2626" w:id="2628"/>
      <w:bookmarkEnd w:id="2628"/>
      <w:r>
        <w:rPr/>
      </w:r>
      <w:hyperlink w:history="true" w:anchor="_bookmark2569">
        <w:r>
          <w:rPr>
            <w:color w:val="005DA1"/>
            <w:position w:val="5"/>
            <w:sz w:val="14"/>
            <w:u w:val="single" w:color="005DA1"/>
          </w:rPr>
          <w:t>1351</w:t>
        </w:r>
      </w:hyperlink>
      <w:r>
        <w:rPr>
          <w:position w:val="5"/>
          <w:sz w:val="14"/>
        </w:rPr>
        <w:t>.</w:t>
      </w:r>
      <w:r>
        <w:rPr>
          <w:spacing w:val="55"/>
          <w:position w:val="5"/>
          <w:sz w:val="14"/>
        </w:rPr>
        <w:t>  </w:t>
      </w:r>
      <w:r>
        <w:rPr/>
        <w:t>See</w:t>
      </w:r>
      <w:r>
        <w:rPr>
          <w:spacing w:val="1"/>
        </w:rPr>
        <w:t> </w:t>
      </w:r>
      <w:r>
        <w:rPr/>
        <w:t>authorities in n.1352, </w:t>
      </w:r>
      <w:r>
        <w:rPr>
          <w:spacing w:val="-2"/>
        </w:rPr>
        <w:t>above.</w:t>
      </w:r>
    </w:p>
    <w:p>
      <w:pPr>
        <w:pStyle w:val="BodyText"/>
        <w:spacing w:before="5"/>
      </w:pPr>
    </w:p>
    <w:p>
      <w:pPr>
        <w:pStyle w:val="BodyText"/>
        <w:ind w:left="165"/>
      </w:pPr>
      <w:bookmarkStart w:name="_bookmark2627" w:id="2629"/>
      <w:bookmarkEnd w:id="2629"/>
      <w:r>
        <w:rPr/>
      </w:r>
      <w:hyperlink w:history="true" w:anchor="_bookmark2570">
        <w:r>
          <w:rPr>
            <w:color w:val="005DA1"/>
            <w:position w:val="5"/>
            <w:sz w:val="14"/>
            <w:u w:val="single" w:color="005DA1"/>
          </w:rPr>
          <w:t>1352</w:t>
        </w:r>
      </w:hyperlink>
      <w:r>
        <w:rPr>
          <w:position w:val="5"/>
          <w:sz w:val="14"/>
        </w:rPr>
        <w:t>.</w:t>
      </w:r>
      <w:r>
        <w:rPr>
          <w:spacing w:val="55"/>
          <w:position w:val="5"/>
          <w:sz w:val="14"/>
        </w:rPr>
        <w:t>  </w:t>
      </w:r>
      <w:r>
        <w:rPr/>
        <w:t>See</w:t>
      </w:r>
      <w:r>
        <w:rPr>
          <w:spacing w:val="1"/>
        </w:rPr>
        <w:t> </w:t>
      </w:r>
      <w:r>
        <w:rPr/>
        <w:t>authorities in n.1352, </w:t>
      </w:r>
      <w:r>
        <w:rPr>
          <w:spacing w:val="-2"/>
        </w:rPr>
        <w:t>above.</w:t>
      </w:r>
    </w:p>
    <w:p>
      <w:pPr>
        <w:pStyle w:val="BodyText"/>
        <w:spacing w:before="8"/>
      </w:pPr>
    </w:p>
    <w:p>
      <w:pPr>
        <w:pStyle w:val="BodyText"/>
        <w:spacing w:line="235" w:lineRule="auto" w:before="1"/>
        <w:ind w:left="705" w:right="167" w:hanging="541"/>
        <w:jc w:val="both"/>
      </w:pPr>
      <w:bookmarkStart w:name="_bookmark2628" w:id="2630"/>
      <w:bookmarkEnd w:id="2630"/>
      <w:r>
        <w:rPr/>
      </w:r>
      <w:hyperlink w:history="true" w:anchor="_bookmark2571">
        <w:r>
          <w:rPr>
            <w:color w:val="005DA1"/>
            <w:position w:val="5"/>
            <w:sz w:val="14"/>
            <w:u w:val="single" w:color="005DA1"/>
          </w:rPr>
          <w:t>1353</w:t>
        </w:r>
      </w:hyperlink>
      <w:r>
        <w:rPr>
          <w:position w:val="5"/>
          <w:sz w:val="14"/>
        </w:rPr>
        <w:t>.</w:t>
      </w:r>
      <w:r>
        <w:rPr>
          <w:spacing w:val="80"/>
          <w:w w:val="150"/>
          <w:position w:val="5"/>
          <w:sz w:val="14"/>
        </w:rPr>
        <w:t> </w:t>
      </w:r>
      <w:r>
        <w:rPr/>
        <w:t>Contracts</w:t>
      </w:r>
      <w:r>
        <w:rPr>
          <w:spacing w:val="-2"/>
        </w:rPr>
        <w:t> </w:t>
      </w:r>
      <w:r>
        <w:rPr/>
        <w:t>(Applicable</w:t>
      </w:r>
      <w:r>
        <w:rPr>
          <w:spacing w:val="-2"/>
        </w:rPr>
        <w:t> </w:t>
      </w:r>
      <w:r>
        <w:rPr/>
        <w:t>Law)</w:t>
      </w:r>
      <w:r>
        <w:rPr>
          <w:spacing w:val="-2"/>
        </w:rPr>
        <w:t> </w:t>
      </w:r>
      <w:r>
        <w:rPr/>
        <w:t>Act</w:t>
      </w:r>
      <w:r>
        <w:rPr>
          <w:spacing w:val="-2"/>
        </w:rPr>
        <w:t> </w:t>
      </w:r>
      <w:r>
        <w:rPr/>
        <w:t>1990</w:t>
      </w:r>
      <w:r>
        <w:rPr>
          <w:spacing w:val="-2"/>
        </w:rPr>
        <w:t> </w:t>
      </w:r>
      <w:r>
        <w:rPr/>
        <w:t>s.2(2)</w:t>
      </w:r>
      <w:r>
        <w:rPr>
          <w:spacing w:val="-2"/>
        </w:rPr>
        <w:t> </w:t>
      </w:r>
      <w:r>
        <w:rPr/>
        <w:t>and</w:t>
      </w:r>
      <w:r>
        <w:rPr>
          <w:spacing w:val="-2"/>
        </w:rPr>
        <w:t> </w:t>
      </w:r>
      <w:r>
        <w:rPr/>
        <w:t>Sch.1</w:t>
      </w:r>
      <w:r>
        <w:rPr>
          <w:spacing w:val="-2"/>
        </w:rPr>
        <w:t> </w:t>
      </w:r>
      <w:r>
        <w:rPr/>
        <w:t>art.22.</w:t>
      </w:r>
      <w:r>
        <w:rPr>
          <w:spacing w:val="-2"/>
        </w:rPr>
        <w:t> </w:t>
      </w:r>
      <w:r>
        <w:rPr/>
        <w:t>See</w:t>
      </w:r>
      <w:r>
        <w:rPr>
          <w:spacing w:val="-2"/>
        </w:rPr>
        <w:t> </w:t>
      </w:r>
      <w:r>
        <w:rPr/>
        <w:t>on</w:t>
      </w:r>
      <w:r>
        <w:rPr>
          <w:spacing w:val="-2"/>
        </w:rPr>
        <w:t> </w:t>
      </w:r>
      <w:r>
        <w:rPr/>
        <w:t>the</w:t>
      </w:r>
      <w:r>
        <w:rPr>
          <w:spacing w:val="-2"/>
        </w:rPr>
        <w:t> </w:t>
      </w:r>
      <w:r>
        <w:rPr/>
        <w:t>status</w:t>
      </w:r>
      <w:r>
        <w:rPr>
          <w:spacing w:val="-2"/>
        </w:rPr>
        <w:t> </w:t>
      </w:r>
      <w:r>
        <w:rPr/>
        <w:t>of</w:t>
      </w:r>
      <w:r>
        <w:rPr>
          <w:spacing w:val="-2"/>
        </w:rPr>
        <w:t> </w:t>
      </w:r>
      <w:r>
        <w:rPr/>
        <w:t>the</w:t>
      </w:r>
      <w:r>
        <w:rPr>
          <w:spacing w:val="-2"/>
        </w:rPr>
        <w:t> </w:t>
      </w:r>
      <w:r>
        <w:rPr>
          <w:rFonts w:ascii="Arial" w:hAnsi="Arial"/>
          <w:i/>
        </w:rPr>
        <w:t>Ralli</w:t>
      </w:r>
      <w:r>
        <w:rPr>
          <w:rFonts w:ascii="Arial" w:hAnsi="Arial"/>
          <w:i/>
          <w:spacing w:val="-2"/>
        </w:rPr>
        <w:t> </w:t>
      </w:r>
      <w:r>
        <w:rPr>
          <w:rFonts w:ascii="Arial" w:hAnsi="Arial"/>
          <w:i/>
        </w:rPr>
        <w:t>Bros </w:t>
      </w:r>
      <w:r>
        <w:rPr/>
        <w:t>rule in the Convention context, Dicey, Morris and Collins, paras 32–148—32–151; </w:t>
      </w:r>
      <w:r>
        <w:rPr/>
        <w:t>Reynolds, </w:t>
      </w:r>
      <w:r>
        <w:rPr>
          <w:spacing w:val="-2"/>
        </w:rPr>
        <w:t>above.</w:t>
      </w:r>
    </w:p>
    <w:p>
      <w:pPr>
        <w:pStyle w:val="BodyText"/>
        <w:spacing w:before="8"/>
      </w:pPr>
    </w:p>
    <w:p>
      <w:pPr>
        <w:spacing w:line="235" w:lineRule="auto" w:before="1"/>
        <w:ind w:left="705" w:right="168" w:hanging="541"/>
        <w:jc w:val="both"/>
        <w:rPr>
          <w:sz w:val="20"/>
        </w:rPr>
      </w:pPr>
      <w:bookmarkStart w:name="_bookmark2629" w:id="2631"/>
      <w:bookmarkEnd w:id="2631"/>
      <w:r>
        <w:rPr/>
      </w:r>
      <w:hyperlink w:history="true" w:anchor="_bookmark2572">
        <w:r>
          <w:rPr>
            <w:color w:val="005DA1"/>
            <w:position w:val="5"/>
            <w:sz w:val="14"/>
            <w:u w:val="single" w:color="005DA1"/>
          </w:rPr>
          <w:t>1354</w:t>
        </w:r>
      </w:hyperlink>
      <w:r>
        <w:rPr>
          <w:position w:val="5"/>
          <w:sz w:val="14"/>
        </w:rPr>
        <w:t>.</w:t>
      </w:r>
      <w:r>
        <w:rPr>
          <w:spacing w:val="40"/>
          <w:position w:val="5"/>
          <w:sz w:val="14"/>
        </w:rPr>
        <w:t> </w:t>
      </w:r>
      <w:r>
        <w:rPr>
          <w:sz w:val="20"/>
        </w:rPr>
        <w:t>See </w:t>
      </w:r>
      <w:r>
        <w:rPr>
          <w:rFonts w:ascii="Arial" w:hAnsi="Arial"/>
          <w:i/>
          <w:sz w:val="20"/>
        </w:rPr>
        <w:t>Ispahani v Bank Melli Iran [1998] Lloyd’s Rep. Bank. 133</w:t>
      </w:r>
      <w:r>
        <w:rPr>
          <w:sz w:val="20"/>
        </w:rPr>
        <w:t>. See also </w:t>
      </w:r>
      <w:r>
        <w:rPr>
          <w:rFonts w:ascii="Arial" w:hAnsi="Arial"/>
          <w:i/>
          <w:sz w:val="20"/>
        </w:rPr>
        <w:t>Royal </w:t>
      </w:r>
      <w:r>
        <w:rPr>
          <w:rFonts w:ascii="Arial" w:hAnsi="Arial"/>
          <w:i/>
          <w:sz w:val="20"/>
        </w:rPr>
        <w:t>Boskalis Westminster</w:t>
      </w:r>
      <w:r>
        <w:rPr>
          <w:rFonts w:ascii="Arial" w:hAnsi="Arial"/>
          <w:i/>
          <w:spacing w:val="-2"/>
          <w:sz w:val="20"/>
        </w:rPr>
        <w:t> </w:t>
      </w:r>
      <w:r>
        <w:rPr>
          <w:rFonts w:ascii="Arial" w:hAnsi="Arial"/>
          <w:i/>
          <w:sz w:val="20"/>
        </w:rPr>
        <w:t>NV</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Mountain</w:t>
      </w:r>
      <w:r>
        <w:rPr>
          <w:rFonts w:ascii="Arial" w:hAnsi="Arial"/>
          <w:i/>
          <w:spacing w:val="-2"/>
          <w:sz w:val="20"/>
        </w:rPr>
        <w:t> </w:t>
      </w:r>
      <w:r>
        <w:rPr>
          <w:rFonts w:ascii="Arial" w:hAnsi="Arial"/>
          <w:i/>
          <w:sz w:val="20"/>
        </w:rPr>
        <w:t>[1999]</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674,</w:t>
      </w:r>
      <w:r>
        <w:rPr>
          <w:rFonts w:ascii="Arial" w:hAnsi="Arial"/>
          <w:i/>
          <w:spacing w:val="-2"/>
          <w:sz w:val="20"/>
        </w:rPr>
        <w:t> </w:t>
      </w:r>
      <w:r>
        <w:rPr>
          <w:rFonts w:ascii="Arial" w:hAnsi="Arial"/>
          <w:i/>
          <w:sz w:val="20"/>
        </w:rPr>
        <w:t>733–734</w:t>
      </w:r>
      <w:r>
        <w:rPr>
          <w:sz w:val="20"/>
        </w:rPr>
        <w:t>;</w:t>
      </w:r>
      <w:r>
        <w:rPr>
          <w:spacing w:val="-2"/>
          <w:sz w:val="20"/>
        </w:rPr>
        <w:t> </w:t>
      </w:r>
      <w:r>
        <w:rPr>
          <w:rFonts w:ascii="Arial" w:hAnsi="Arial"/>
          <w:i/>
          <w:sz w:val="20"/>
        </w:rPr>
        <w:t>Tekron</w:t>
      </w:r>
      <w:r>
        <w:rPr>
          <w:rFonts w:ascii="Arial" w:hAnsi="Arial"/>
          <w:i/>
          <w:spacing w:val="-2"/>
          <w:sz w:val="20"/>
        </w:rPr>
        <w:t> </w:t>
      </w:r>
      <w:r>
        <w:rPr>
          <w:rFonts w:ascii="Arial" w:hAnsi="Arial"/>
          <w:i/>
          <w:sz w:val="20"/>
        </w:rPr>
        <w:t>Resources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Guinea</w:t>
      </w:r>
      <w:r>
        <w:rPr>
          <w:rFonts w:ascii="Arial" w:hAnsi="Arial"/>
          <w:i/>
          <w:spacing w:val="-2"/>
          <w:sz w:val="20"/>
        </w:rPr>
        <w:t> </w:t>
      </w:r>
      <w:r>
        <w:rPr>
          <w:rFonts w:ascii="Arial" w:hAnsi="Arial"/>
          <w:i/>
          <w:sz w:val="20"/>
        </w:rPr>
        <w:t>Investment Co Ltd [2004] EWHC 2577</w:t>
      </w:r>
      <w:r>
        <w:rPr>
          <w:sz w:val="20"/>
        </w:rPr>
        <w:t>; </w:t>
      </w:r>
      <w:r>
        <w:rPr>
          <w:rFonts w:ascii="Arial" w:hAnsi="Arial"/>
          <w:i/>
          <w:sz w:val="20"/>
        </w:rPr>
        <w:t>Marlwood Commercial Inc v Kozeny [2006] EWHC 872 (Comm)</w:t>
      </w:r>
      <w:r>
        <w:rPr>
          <w:sz w:val="20"/>
        </w:rPr>
        <w:t>.</w:t>
      </w:r>
    </w:p>
    <w:p>
      <w:pPr>
        <w:spacing w:after="0" w:line="235" w:lineRule="auto"/>
        <w:jc w:val="both"/>
        <w:rPr>
          <w:sz w:val="20"/>
        </w:rPr>
        <w:sectPr>
          <w:pgSz w:w="11900" w:h="16840"/>
          <w:pgMar w:header="971" w:footer="0" w:top="1300" w:bottom="280" w:left="1275" w:right="1275"/>
        </w:sectPr>
      </w:pPr>
    </w:p>
    <w:p>
      <w:pPr>
        <w:pStyle w:val="BodyText"/>
        <w:spacing w:before="12"/>
        <w:rPr>
          <w:sz w:val="14"/>
        </w:rPr>
      </w:pPr>
    </w:p>
    <w:p>
      <w:pPr>
        <w:spacing w:line="137" w:lineRule="exact" w:before="1"/>
        <w:ind w:left="165" w:right="0" w:firstLine="0"/>
        <w:jc w:val="left"/>
        <w:rPr>
          <w:sz w:val="14"/>
        </w:rPr>
      </w:pPr>
      <w:hyperlink w:history="true" w:anchor="_bookmark2573">
        <w:r>
          <w:rPr>
            <w:color w:val="005DA1"/>
            <w:spacing w:val="-2"/>
            <w:sz w:val="14"/>
            <w:u w:val="single" w:color="005DA1"/>
          </w:rPr>
          <w:t>1355</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771136">
            <wp:simplePos x="0" y="0"/>
            <wp:positionH relativeFrom="page">
              <wp:posOffset>1257846</wp:posOffset>
            </wp:positionH>
            <wp:positionV relativeFrom="paragraph">
              <wp:posOffset>12632</wp:posOffset>
            </wp:positionV>
            <wp:extent cx="107988" cy="107988"/>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See</w:t>
      </w:r>
      <w:r>
        <w:rPr>
          <w:spacing w:val="65"/>
          <w:sz w:val="20"/>
        </w:rPr>
        <w:t> </w:t>
      </w:r>
      <w:r>
        <w:rPr>
          <w:rFonts w:ascii="Arial"/>
          <w:i/>
          <w:sz w:val="20"/>
        </w:rPr>
        <w:t>Eurobank</w:t>
      </w:r>
      <w:r>
        <w:rPr>
          <w:rFonts w:ascii="Arial"/>
          <w:i/>
          <w:spacing w:val="67"/>
          <w:sz w:val="20"/>
        </w:rPr>
        <w:t> </w:t>
      </w:r>
      <w:r>
        <w:rPr>
          <w:rFonts w:ascii="Arial"/>
          <w:i/>
          <w:sz w:val="20"/>
        </w:rPr>
        <w:t>Ergasias</w:t>
      </w:r>
      <w:r>
        <w:rPr>
          <w:rFonts w:ascii="Arial"/>
          <w:i/>
          <w:spacing w:val="67"/>
          <w:sz w:val="20"/>
        </w:rPr>
        <w:t> </w:t>
      </w:r>
      <w:r>
        <w:rPr>
          <w:rFonts w:ascii="Arial"/>
          <w:i/>
          <w:sz w:val="20"/>
        </w:rPr>
        <w:t>SA</w:t>
      </w:r>
      <w:r>
        <w:rPr>
          <w:rFonts w:ascii="Arial"/>
          <w:i/>
          <w:spacing w:val="67"/>
          <w:sz w:val="20"/>
        </w:rPr>
        <w:t> </w:t>
      </w:r>
      <w:r>
        <w:rPr>
          <w:rFonts w:ascii="Arial"/>
          <w:i/>
          <w:sz w:val="20"/>
        </w:rPr>
        <w:t>v</w:t>
      </w:r>
      <w:r>
        <w:rPr>
          <w:rFonts w:ascii="Arial"/>
          <w:i/>
          <w:spacing w:val="67"/>
          <w:sz w:val="20"/>
        </w:rPr>
        <w:t> </w:t>
      </w:r>
      <w:r>
        <w:rPr>
          <w:rFonts w:ascii="Arial"/>
          <w:i/>
          <w:sz w:val="20"/>
        </w:rPr>
        <w:t>Kallirio</w:t>
      </w:r>
      <w:r>
        <w:rPr>
          <w:rFonts w:ascii="Arial"/>
          <w:i/>
          <w:spacing w:val="67"/>
          <w:sz w:val="20"/>
        </w:rPr>
        <w:t> </w:t>
      </w:r>
      <w:r>
        <w:rPr>
          <w:rFonts w:ascii="Arial"/>
          <w:i/>
          <w:sz w:val="20"/>
        </w:rPr>
        <w:t>Navigation</w:t>
      </w:r>
      <w:r>
        <w:rPr>
          <w:rFonts w:ascii="Arial"/>
          <w:i/>
          <w:spacing w:val="67"/>
          <w:sz w:val="20"/>
        </w:rPr>
        <w:t> </w:t>
      </w:r>
      <w:r>
        <w:rPr>
          <w:rFonts w:ascii="Arial"/>
          <w:i/>
          <w:sz w:val="20"/>
        </w:rPr>
        <w:t>Co</w:t>
      </w:r>
      <w:r>
        <w:rPr>
          <w:rFonts w:ascii="Arial"/>
          <w:i/>
          <w:spacing w:val="67"/>
          <w:sz w:val="20"/>
        </w:rPr>
        <w:t> </w:t>
      </w:r>
      <w:r>
        <w:rPr>
          <w:rFonts w:ascii="Arial"/>
          <w:i/>
          <w:sz w:val="20"/>
        </w:rPr>
        <w:t>Ltd</w:t>
      </w:r>
      <w:r>
        <w:rPr>
          <w:rFonts w:ascii="Arial"/>
          <w:i/>
          <w:spacing w:val="67"/>
          <w:sz w:val="20"/>
        </w:rPr>
        <w:t> </w:t>
      </w:r>
      <w:r>
        <w:rPr>
          <w:rFonts w:ascii="Arial"/>
          <w:i/>
          <w:sz w:val="20"/>
        </w:rPr>
        <w:t>[2015]</w:t>
      </w:r>
      <w:r>
        <w:rPr>
          <w:rFonts w:ascii="Arial"/>
          <w:i/>
          <w:spacing w:val="67"/>
          <w:sz w:val="20"/>
        </w:rPr>
        <w:t> </w:t>
      </w:r>
      <w:r>
        <w:rPr>
          <w:rFonts w:ascii="Arial"/>
          <w:i/>
          <w:sz w:val="20"/>
        </w:rPr>
        <w:t>EWHC</w:t>
      </w:r>
      <w:r>
        <w:rPr>
          <w:rFonts w:ascii="Arial"/>
          <w:i/>
          <w:spacing w:val="67"/>
          <w:sz w:val="20"/>
        </w:rPr>
        <w:t> </w:t>
      </w:r>
      <w:r>
        <w:rPr>
          <w:rFonts w:ascii="Arial"/>
          <w:i/>
          <w:sz w:val="20"/>
        </w:rPr>
        <w:t>2377</w:t>
      </w:r>
      <w:r>
        <w:rPr>
          <w:rFonts w:ascii="Arial"/>
          <w:i/>
          <w:spacing w:val="67"/>
          <w:sz w:val="20"/>
        </w:rPr>
        <w:t> </w:t>
      </w:r>
      <w:r>
        <w:rPr>
          <w:rFonts w:ascii="Arial"/>
          <w:i/>
          <w:spacing w:val="-2"/>
          <w:sz w:val="20"/>
        </w:rPr>
        <w:t>(Comm)</w:t>
      </w:r>
      <w:r>
        <w:rPr>
          <w:spacing w:val="-2"/>
          <w:sz w:val="20"/>
        </w:rPr>
        <w:t>,</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344" w:hRule="atLeast"/>
        </w:trPr>
        <w:tc>
          <w:tcPr>
            <w:tcW w:w="496" w:type="dxa"/>
          </w:tcPr>
          <w:p>
            <w:pPr>
              <w:pStyle w:val="TableParagraph"/>
              <w:spacing w:before="0"/>
              <w:ind w:left="0"/>
              <w:jc w:val="left"/>
              <w:rPr>
                <w:rFonts w:ascii="Times New Roman"/>
                <w:sz w:val="18"/>
              </w:rPr>
            </w:pPr>
          </w:p>
        </w:tc>
        <w:tc>
          <w:tcPr>
            <w:tcW w:w="8621" w:type="dxa"/>
          </w:tcPr>
          <w:p>
            <w:pPr>
              <w:pStyle w:val="TableParagraph"/>
              <w:spacing w:line="223" w:lineRule="exact" w:before="0"/>
              <w:jc w:val="left"/>
              <w:rPr>
                <w:sz w:val="20"/>
              </w:rPr>
            </w:pPr>
            <w:r>
              <w:rPr>
                <w:sz w:val="20"/>
              </w:rPr>
              <w:t>approving this reasoning as expressed in the previous edition of this </w:t>
            </w:r>
            <w:r>
              <w:rPr>
                <w:spacing w:val="-2"/>
                <w:sz w:val="20"/>
              </w:rPr>
              <w:t>book.</w:t>
            </w:r>
          </w:p>
        </w:tc>
      </w:tr>
      <w:tr>
        <w:trPr>
          <w:trHeight w:val="465" w:hRule="atLeast"/>
        </w:trPr>
        <w:tc>
          <w:tcPr>
            <w:tcW w:w="496" w:type="dxa"/>
          </w:tcPr>
          <w:p>
            <w:pPr>
              <w:pStyle w:val="TableParagraph"/>
              <w:ind w:left="0" w:right="43"/>
              <w:rPr>
                <w:sz w:val="14"/>
              </w:rPr>
            </w:pPr>
            <w:bookmarkStart w:name="_bookmark2630" w:id="2632"/>
            <w:bookmarkEnd w:id="2632"/>
            <w:r>
              <w:rPr/>
            </w:r>
            <w:hyperlink w:history="true" w:anchor="_bookmark2574">
              <w:r>
                <w:rPr>
                  <w:color w:val="005DA1"/>
                  <w:spacing w:val="-2"/>
                  <w:sz w:val="14"/>
                  <w:u w:val="single" w:color="005DA1"/>
                </w:rPr>
                <w:t>1356</w:t>
              </w:r>
            </w:hyperlink>
            <w:r>
              <w:rPr>
                <w:spacing w:val="-2"/>
                <w:sz w:val="14"/>
              </w:rPr>
              <w:t>.</w:t>
            </w:r>
          </w:p>
        </w:tc>
        <w:tc>
          <w:tcPr>
            <w:tcW w:w="8621" w:type="dxa"/>
          </w:tcPr>
          <w:p>
            <w:pPr>
              <w:pStyle w:val="TableParagraph"/>
              <w:spacing w:before="114"/>
              <w:jc w:val="left"/>
              <w:rPr>
                <w:sz w:val="20"/>
              </w:rPr>
            </w:pPr>
            <w:r>
              <w:rPr>
                <w:sz w:val="20"/>
              </w:rPr>
              <w:t>See below, paras 30-368 et </w:t>
            </w:r>
            <w:r>
              <w:rPr>
                <w:spacing w:val="-4"/>
                <w:sz w:val="20"/>
              </w:rPr>
              <w:t>seq.</w:t>
            </w:r>
          </w:p>
        </w:tc>
      </w:tr>
      <w:tr>
        <w:trPr>
          <w:trHeight w:val="1140" w:hRule="atLeast"/>
        </w:trPr>
        <w:tc>
          <w:tcPr>
            <w:tcW w:w="496" w:type="dxa"/>
          </w:tcPr>
          <w:p>
            <w:pPr>
              <w:pStyle w:val="TableParagraph"/>
              <w:ind w:left="0" w:right="43"/>
              <w:rPr>
                <w:sz w:val="14"/>
              </w:rPr>
            </w:pPr>
            <w:bookmarkStart w:name="_bookmark2631" w:id="2633"/>
            <w:bookmarkEnd w:id="2633"/>
            <w:r>
              <w:rPr/>
            </w:r>
            <w:hyperlink w:history="true" w:anchor="_bookmark2575">
              <w:r>
                <w:rPr>
                  <w:color w:val="005DA1"/>
                  <w:spacing w:val="-2"/>
                  <w:sz w:val="14"/>
                  <w:u w:val="single" w:color="005DA1"/>
                </w:rPr>
                <w:t>1357</w:t>
              </w:r>
            </w:hyperlink>
            <w:r>
              <w:rPr>
                <w:spacing w:val="-2"/>
                <w:sz w:val="14"/>
              </w:rPr>
              <w:t>.</w:t>
            </w:r>
          </w:p>
        </w:tc>
        <w:tc>
          <w:tcPr>
            <w:tcW w:w="8621" w:type="dxa"/>
          </w:tcPr>
          <w:p>
            <w:pPr>
              <w:pStyle w:val="TableParagraph"/>
              <w:spacing w:line="235" w:lineRule="auto" w:before="118"/>
              <w:ind w:right="49"/>
              <w:jc w:val="both"/>
              <w:rPr>
                <w:sz w:val="20"/>
              </w:rPr>
            </w:pPr>
            <w:r>
              <w:rPr>
                <w:sz w:val="20"/>
              </w:rPr>
              <w:t>See Dicey, Morris and Collins, para.32–150. If the only remedy provided by the foreign </w:t>
            </w:r>
            <w:r>
              <w:rPr>
                <w:sz w:val="20"/>
              </w:rPr>
              <w:t>law compelled the defendant to act illegally in the place of performance, as opposed to paying damages elsewhere, this might justify invocation of public policy as a last resort. cf. </w:t>
            </w:r>
            <w:r>
              <w:rPr>
                <w:rFonts w:ascii="Arial" w:hAnsi="Arial"/>
                <w:i/>
                <w:sz w:val="20"/>
              </w:rPr>
              <w:t>Royal Boskalis Westminster NV v Mountain [1999] Q.B. 674, 733–734</w:t>
            </w:r>
            <w:r>
              <w:rPr>
                <w:sz w:val="20"/>
              </w:rPr>
              <w:t>.</w:t>
            </w:r>
          </w:p>
        </w:tc>
      </w:tr>
      <w:tr>
        <w:trPr>
          <w:trHeight w:val="465" w:hRule="atLeast"/>
        </w:trPr>
        <w:tc>
          <w:tcPr>
            <w:tcW w:w="496" w:type="dxa"/>
          </w:tcPr>
          <w:p>
            <w:pPr>
              <w:pStyle w:val="TableParagraph"/>
              <w:ind w:left="0" w:right="43"/>
              <w:rPr>
                <w:sz w:val="14"/>
              </w:rPr>
            </w:pPr>
            <w:bookmarkStart w:name="_bookmark2632" w:id="2634"/>
            <w:bookmarkEnd w:id="2634"/>
            <w:r>
              <w:rPr/>
            </w:r>
            <w:hyperlink w:history="true" w:anchor="_bookmark2576">
              <w:r>
                <w:rPr>
                  <w:color w:val="005DA1"/>
                  <w:spacing w:val="-2"/>
                  <w:sz w:val="14"/>
                  <w:u w:val="single" w:color="005DA1"/>
                </w:rPr>
                <w:t>1358</w:t>
              </w:r>
            </w:hyperlink>
            <w:r>
              <w:rPr>
                <w:spacing w:val="-2"/>
                <w:sz w:val="14"/>
              </w:rPr>
              <w:t>.</w:t>
            </w:r>
          </w:p>
        </w:tc>
        <w:tc>
          <w:tcPr>
            <w:tcW w:w="8621" w:type="dxa"/>
          </w:tcPr>
          <w:p>
            <w:pPr>
              <w:pStyle w:val="TableParagraph"/>
              <w:spacing w:before="114"/>
              <w:jc w:val="left"/>
              <w:rPr>
                <w:sz w:val="20"/>
              </w:rPr>
            </w:pPr>
            <w:r>
              <w:rPr>
                <w:sz w:val="20"/>
              </w:rPr>
              <w:t>See Diamond (1986) 216 Recueil des Cours IV, 236, </w:t>
            </w:r>
            <w:r>
              <w:rPr>
                <w:spacing w:val="-4"/>
                <w:sz w:val="20"/>
              </w:rPr>
              <w:t>296.</w:t>
            </w:r>
          </w:p>
        </w:tc>
      </w:tr>
      <w:tr>
        <w:trPr>
          <w:trHeight w:val="344" w:hRule="atLeast"/>
        </w:trPr>
        <w:tc>
          <w:tcPr>
            <w:tcW w:w="496" w:type="dxa"/>
          </w:tcPr>
          <w:p>
            <w:pPr>
              <w:pStyle w:val="TableParagraph"/>
              <w:ind w:left="0" w:right="43"/>
              <w:rPr>
                <w:sz w:val="14"/>
              </w:rPr>
            </w:pPr>
            <w:bookmarkStart w:name="_bookmark2633" w:id="2635"/>
            <w:bookmarkEnd w:id="2635"/>
            <w:r>
              <w:rPr/>
            </w:r>
            <w:hyperlink w:history="true" w:anchor="_bookmark2577">
              <w:r>
                <w:rPr>
                  <w:color w:val="005DA1"/>
                  <w:spacing w:val="-2"/>
                  <w:sz w:val="14"/>
                  <w:u w:val="single" w:color="005DA1"/>
                </w:rPr>
                <w:t>1359</w:t>
              </w:r>
            </w:hyperlink>
            <w:r>
              <w:rPr>
                <w:spacing w:val="-2"/>
                <w:sz w:val="14"/>
              </w:rPr>
              <w:t>.</w:t>
            </w:r>
          </w:p>
        </w:tc>
        <w:tc>
          <w:tcPr>
            <w:tcW w:w="8621" w:type="dxa"/>
          </w:tcPr>
          <w:p>
            <w:pPr>
              <w:pStyle w:val="TableParagraph"/>
              <w:spacing w:line="210" w:lineRule="exact" w:before="114"/>
              <w:jc w:val="left"/>
              <w:rPr>
                <w:sz w:val="20"/>
              </w:rPr>
            </w:pPr>
            <w:r>
              <w:rPr>
                <w:sz w:val="20"/>
              </w:rPr>
              <w:t>Above, paras 30-334 et </w:t>
            </w:r>
            <w:r>
              <w:rPr>
                <w:spacing w:val="-4"/>
                <w:sz w:val="20"/>
              </w:rPr>
              <w:t>seq.</w:t>
            </w:r>
          </w:p>
        </w:tc>
      </w:tr>
    </w:tbl>
    <w:p>
      <w:pPr>
        <w:pStyle w:val="BodyText"/>
        <w:spacing w:before="12"/>
      </w:pPr>
    </w:p>
    <w:p>
      <w:pPr>
        <w:spacing w:line="137" w:lineRule="exact" w:before="0"/>
        <w:ind w:left="165" w:right="0" w:firstLine="0"/>
        <w:jc w:val="left"/>
        <w:rPr>
          <w:sz w:val="14"/>
        </w:rPr>
      </w:pPr>
      <w:bookmarkStart w:name="_bookmark2634" w:id="2636"/>
      <w:bookmarkEnd w:id="2636"/>
      <w:r>
        <w:rPr/>
      </w:r>
      <w:hyperlink w:history="true" w:anchor="_bookmark2578">
        <w:r>
          <w:rPr>
            <w:color w:val="005DA1"/>
            <w:spacing w:val="-2"/>
            <w:sz w:val="14"/>
            <w:u w:val="single" w:color="005DA1"/>
          </w:rPr>
          <w:t>1360</w:t>
        </w:r>
      </w:hyperlink>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771648">
            <wp:simplePos x="0" y="0"/>
            <wp:positionH relativeFrom="page">
              <wp:posOffset>1257846</wp:posOffset>
            </wp:positionH>
            <wp:positionV relativeFrom="paragraph">
              <wp:posOffset>13068</wp:posOffset>
            </wp:positionV>
            <wp:extent cx="107988" cy="107988"/>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6" cstate="print"/>
                    <a:stretch>
                      <a:fillRect/>
                    </a:stretch>
                  </pic:blipFill>
                  <pic:spPr>
                    <a:xfrm>
                      <a:off x="0" y="0"/>
                      <a:ext cx="107988" cy="107988"/>
                    </a:xfrm>
                    <a:prstGeom prst="rect">
                      <a:avLst/>
                    </a:prstGeom>
                  </pic:spPr>
                </pic:pic>
              </a:graphicData>
            </a:graphic>
          </wp:anchor>
        </w:drawing>
      </w:r>
      <w:r>
        <w:rPr>
          <w:sz w:val="20"/>
        </w:rPr>
        <w:t>See</w:t>
      </w:r>
      <w:r>
        <w:rPr>
          <w:spacing w:val="65"/>
          <w:sz w:val="20"/>
        </w:rPr>
        <w:t> </w:t>
      </w:r>
      <w:r>
        <w:rPr>
          <w:rFonts w:ascii="Arial"/>
          <w:i/>
          <w:sz w:val="20"/>
        </w:rPr>
        <w:t>Eurobank</w:t>
      </w:r>
      <w:r>
        <w:rPr>
          <w:rFonts w:ascii="Arial"/>
          <w:i/>
          <w:spacing w:val="67"/>
          <w:sz w:val="20"/>
        </w:rPr>
        <w:t> </w:t>
      </w:r>
      <w:r>
        <w:rPr>
          <w:rFonts w:ascii="Arial"/>
          <w:i/>
          <w:sz w:val="20"/>
        </w:rPr>
        <w:t>Ergasias</w:t>
      </w:r>
      <w:r>
        <w:rPr>
          <w:rFonts w:ascii="Arial"/>
          <w:i/>
          <w:spacing w:val="67"/>
          <w:sz w:val="20"/>
        </w:rPr>
        <w:t> </w:t>
      </w:r>
      <w:r>
        <w:rPr>
          <w:rFonts w:ascii="Arial"/>
          <w:i/>
          <w:sz w:val="20"/>
        </w:rPr>
        <w:t>SA</w:t>
      </w:r>
      <w:r>
        <w:rPr>
          <w:rFonts w:ascii="Arial"/>
          <w:i/>
          <w:spacing w:val="67"/>
          <w:sz w:val="20"/>
        </w:rPr>
        <w:t> </w:t>
      </w:r>
      <w:r>
        <w:rPr>
          <w:rFonts w:ascii="Arial"/>
          <w:i/>
          <w:sz w:val="20"/>
        </w:rPr>
        <w:t>v</w:t>
      </w:r>
      <w:r>
        <w:rPr>
          <w:rFonts w:ascii="Arial"/>
          <w:i/>
          <w:spacing w:val="67"/>
          <w:sz w:val="20"/>
        </w:rPr>
        <w:t> </w:t>
      </w:r>
      <w:r>
        <w:rPr>
          <w:rFonts w:ascii="Arial"/>
          <w:i/>
          <w:sz w:val="20"/>
        </w:rPr>
        <w:t>Kallirio</w:t>
      </w:r>
      <w:r>
        <w:rPr>
          <w:rFonts w:ascii="Arial"/>
          <w:i/>
          <w:spacing w:val="67"/>
          <w:sz w:val="20"/>
        </w:rPr>
        <w:t> </w:t>
      </w:r>
      <w:r>
        <w:rPr>
          <w:rFonts w:ascii="Arial"/>
          <w:i/>
          <w:sz w:val="20"/>
        </w:rPr>
        <w:t>Navigation</w:t>
      </w:r>
      <w:r>
        <w:rPr>
          <w:rFonts w:ascii="Arial"/>
          <w:i/>
          <w:spacing w:val="67"/>
          <w:sz w:val="20"/>
        </w:rPr>
        <w:t> </w:t>
      </w:r>
      <w:r>
        <w:rPr>
          <w:rFonts w:ascii="Arial"/>
          <w:i/>
          <w:sz w:val="20"/>
        </w:rPr>
        <w:t>Co</w:t>
      </w:r>
      <w:r>
        <w:rPr>
          <w:rFonts w:ascii="Arial"/>
          <w:i/>
          <w:spacing w:val="67"/>
          <w:sz w:val="20"/>
        </w:rPr>
        <w:t> </w:t>
      </w:r>
      <w:r>
        <w:rPr>
          <w:rFonts w:ascii="Arial"/>
          <w:i/>
          <w:sz w:val="20"/>
        </w:rPr>
        <w:t>Ltd</w:t>
      </w:r>
      <w:r>
        <w:rPr>
          <w:rFonts w:ascii="Arial"/>
          <w:i/>
          <w:spacing w:val="67"/>
          <w:sz w:val="20"/>
        </w:rPr>
        <w:t> </w:t>
      </w:r>
      <w:r>
        <w:rPr>
          <w:rFonts w:ascii="Arial"/>
          <w:i/>
          <w:sz w:val="20"/>
        </w:rPr>
        <w:t>[2015]</w:t>
      </w:r>
      <w:r>
        <w:rPr>
          <w:rFonts w:ascii="Arial"/>
          <w:i/>
          <w:spacing w:val="67"/>
          <w:sz w:val="20"/>
        </w:rPr>
        <w:t> </w:t>
      </w:r>
      <w:r>
        <w:rPr>
          <w:rFonts w:ascii="Arial"/>
          <w:i/>
          <w:sz w:val="20"/>
        </w:rPr>
        <w:t>EWHC</w:t>
      </w:r>
      <w:r>
        <w:rPr>
          <w:rFonts w:ascii="Arial"/>
          <w:i/>
          <w:spacing w:val="67"/>
          <w:sz w:val="20"/>
        </w:rPr>
        <w:t> </w:t>
      </w:r>
      <w:r>
        <w:rPr>
          <w:rFonts w:ascii="Arial"/>
          <w:i/>
          <w:sz w:val="20"/>
        </w:rPr>
        <w:t>2377</w:t>
      </w:r>
      <w:r>
        <w:rPr>
          <w:rFonts w:ascii="Arial"/>
          <w:i/>
          <w:spacing w:val="67"/>
          <w:sz w:val="20"/>
        </w:rPr>
        <w:t> </w:t>
      </w:r>
      <w:r>
        <w:rPr>
          <w:rFonts w:ascii="Arial"/>
          <w:i/>
          <w:spacing w:val="-2"/>
          <w:sz w:val="20"/>
        </w:rPr>
        <w:t>(Comm)</w:t>
      </w:r>
      <w:r>
        <w:rPr>
          <w:spacing w:val="-2"/>
          <w:sz w:val="20"/>
        </w:rPr>
        <w:t>,</w:t>
      </w:r>
    </w:p>
    <w:p>
      <w:pPr>
        <w:pStyle w:val="BodyText"/>
        <w:spacing w:line="227" w:lineRule="exact"/>
        <w:ind w:left="705"/>
      </w:pPr>
      <w:r>
        <w:rPr/>
        <w:t>approving this reasoning as expressed in the previous edition of this </w:t>
      </w:r>
      <w:r>
        <w:rPr>
          <w:spacing w:val="-2"/>
        </w:rPr>
        <w:t>book.</w:t>
      </w:r>
    </w:p>
    <w:p>
      <w:pPr>
        <w:pStyle w:val="BodyText"/>
        <w:spacing w:before="9"/>
      </w:pPr>
    </w:p>
    <w:p>
      <w:pPr>
        <w:spacing w:line="235" w:lineRule="auto" w:before="0"/>
        <w:ind w:left="705" w:right="167" w:hanging="541"/>
        <w:jc w:val="both"/>
        <w:rPr>
          <w:sz w:val="20"/>
        </w:rPr>
      </w:pPr>
      <w:bookmarkStart w:name="_bookmark2635" w:id="2637"/>
      <w:bookmarkEnd w:id="2637"/>
      <w:r>
        <w:rPr/>
      </w:r>
      <w:hyperlink w:history="true" w:anchor="_bookmark2579">
        <w:r>
          <w:rPr>
            <w:color w:val="005DA1"/>
            <w:position w:val="5"/>
            <w:sz w:val="14"/>
            <w:u w:val="single" w:color="005DA1"/>
          </w:rPr>
          <w:t>1361</w:t>
        </w:r>
      </w:hyperlink>
      <w:r>
        <w:rPr>
          <w:position w:val="5"/>
          <w:sz w:val="14"/>
        </w:rPr>
        <w:t>.</w:t>
      </w:r>
      <w:r>
        <w:rPr>
          <w:spacing w:val="80"/>
          <w:w w:val="150"/>
          <w:position w:val="5"/>
          <w:sz w:val="14"/>
        </w:rPr>
        <w:t> </w:t>
      </w:r>
      <w:r>
        <w:rPr>
          <w:sz w:val="20"/>
        </w:rPr>
        <w:t>Above, para.30-062, where it is also pointed out that art.7(1) of the Convention does not </w:t>
      </w:r>
      <w:r>
        <w:rPr>
          <w:sz w:val="20"/>
        </w:rPr>
        <w:t>have the force of law in the United Kingdom; Cheshire, North and Fawcett, pp.738–741; Nishitani, </w:t>
      </w:r>
      <w:r>
        <w:rPr>
          <w:rFonts w:ascii="Arial" w:hAnsi="Arial"/>
          <w:i/>
          <w:sz w:val="20"/>
        </w:rPr>
        <w:t>The Rome I Regulation: the Law Applicable to Contractual Obligations in Europe </w:t>
      </w:r>
      <w:r>
        <w:rPr>
          <w:sz w:val="20"/>
        </w:rPr>
        <w:t>(2009);</w:t>
      </w:r>
      <w:r>
        <w:rPr>
          <w:spacing w:val="40"/>
          <w:sz w:val="20"/>
        </w:rPr>
        <w:t> </w:t>
      </w:r>
      <w:r>
        <w:rPr>
          <w:sz w:val="20"/>
        </w:rPr>
        <w:t>Hellner (2009) 5 J. Priv. Int. L. 447.</w:t>
      </w:r>
    </w:p>
    <w:p>
      <w:pPr>
        <w:pStyle w:val="BodyText"/>
        <w:spacing w:before="5"/>
      </w:pPr>
    </w:p>
    <w:p>
      <w:pPr>
        <w:spacing w:before="0"/>
        <w:ind w:left="165" w:right="0" w:firstLine="0"/>
        <w:jc w:val="left"/>
        <w:rPr>
          <w:sz w:val="20"/>
        </w:rPr>
      </w:pPr>
      <w:bookmarkStart w:name="_bookmark2636" w:id="2638"/>
      <w:bookmarkEnd w:id="2638"/>
      <w:r>
        <w:rPr/>
      </w:r>
      <w:hyperlink w:history="true" w:anchor="_bookmark2580">
        <w:r>
          <w:rPr>
            <w:color w:val="005DA1"/>
            <w:position w:val="5"/>
            <w:sz w:val="14"/>
            <w:u w:val="single" w:color="005DA1"/>
          </w:rPr>
          <w:t>1362</w:t>
        </w:r>
      </w:hyperlink>
      <w:r>
        <w:rPr>
          <w:position w:val="5"/>
          <w:sz w:val="14"/>
        </w:rPr>
        <w:t>.</w:t>
      </w:r>
      <w:r>
        <w:rPr>
          <w:spacing w:val="55"/>
          <w:position w:val="5"/>
          <w:sz w:val="14"/>
        </w:rPr>
        <w:t>  </w:t>
      </w:r>
      <w:r>
        <w:rPr>
          <w:sz w:val="20"/>
        </w:rPr>
        <w:t>Above,</w:t>
      </w:r>
      <w:r>
        <w:rPr>
          <w:spacing w:val="1"/>
          <w:sz w:val="20"/>
        </w:rPr>
        <w:t> </w:t>
      </w:r>
      <w:r>
        <w:rPr>
          <w:sz w:val="20"/>
        </w:rPr>
        <w:t>para.30-</w:t>
      </w:r>
      <w:r>
        <w:rPr>
          <w:spacing w:val="-4"/>
          <w:sz w:val="20"/>
        </w:rPr>
        <w:t>179.</w:t>
      </w:r>
    </w:p>
    <w:p>
      <w:pPr>
        <w:pStyle w:val="BodyText"/>
        <w:spacing w:before="5"/>
      </w:pPr>
    </w:p>
    <w:p>
      <w:pPr>
        <w:spacing w:before="0"/>
        <w:ind w:left="165" w:right="0" w:firstLine="0"/>
        <w:jc w:val="left"/>
        <w:rPr>
          <w:sz w:val="20"/>
        </w:rPr>
      </w:pPr>
      <w:bookmarkStart w:name="_bookmark2637" w:id="2639"/>
      <w:bookmarkEnd w:id="2639"/>
      <w:r>
        <w:rPr/>
      </w:r>
      <w:hyperlink w:history="true" w:anchor="_bookmark2581">
        <w:r>
          <w:rPr>
            <w:color w:val="005DA1"/>
            <w:position w:val="5"/>
            <w:sz w:val="14"/>
            <w:u w:val="single" w:color="005DA1"/>
          </w:rPr>
          <w:t>1363</w:t>
        </w:r>
      </w:hyperlink>
      <w:r>
        <w:rPr>
          <w:position w:val="5"/>
          <w:sz w:val="14"/>
        </w:rPr>
        <w:t>.</w:t>
      </w:r>
      <w:r>
        <w:rPr>
          <w:spacing w:val="55"/>
          <w:position w:val="5"/>
          <w:sz w:val="14"/>
        </w:rPr>
        <w:t>  </w:t>
      </w:r>
      <w:r>
        <w:rPr>
          <w:sz w:val="20"/>
        </w:rPr>
        <w:t>Above</w:t>
      </w:r>
      <w:r>
        <w:rPr>
          <w:spacing w:val="1"/>
          <w:sz w:val="20"/>
        </w:rPr>
        <w:t> </w:t>
      </w:r>
      <w:r>
        <w:rPr>
          <w:sz w:val="20"/>
        </w:rPr>
        <w:t>para.30-</w:t>
      </w:r>
      <w:r>
        <w:rPr>
          <w:spacing w:val="-4"/>
          <w:sz w:val="20"/>
        </w:rPr>
        <w:t>179.</w:t>
      </w:r>
    </w:p>
    <w:p>
      <w:pPr>
        <w:pStyle w:val="BodyText"/>
        <w:spacing w:before="12"/>
      </w:pPr>
    </w:p>
    <w:p>
      <w:pPr>
        <w:spacing w:line="137" w:lineRule="exact" w:before="0"/>
        <w:ind w:left="165" w:right="0" w:firstLine="0"/>
        <w:jc w:val="left"/>
        <w:rPr>
          <w:sz w:val="14"/>
        </w:rPr>
      </w:pPr>
      <w:bookmarkStart w:name="_bookmark2638" w:id="2640"/>
      <w:bookmarkEnd w:id="2640"/>
      <w:r>
        <w:rPr/>
      </w:r>
      <w:hyperlink w:history="true" w:anchor="_bookmark2582">
        <w:r>
          <w:rPr>
            <w:color w:val="005DA1"/>
            <w:spacing w:val="-2"/>
            <w:sz w:val="14"/>
            <w:u w:val="single" w:color="005DA1"/>
          </w:rPr>
          <w:t>1364</w:t>
        </w:r>
      </w:hyperlink>
      <w:r>
        <w:rPr>
          <w:spacing w:val="-2"/>
          <w:sz w:val="14"/>
        </w:rPr>
        <w:t>.</w:t>
      </w:r>
    </w:p>
    <w:p>
      <w:pPr>
        <w:pStyle w:val="BodyText"/>
        <w:spacing w:line="203" w:lineRule="exact"/>
        <w:ind w:left="875"/>
      </w:pPr>
      <w:r>
        <w:rPr/>
        <w:drawing>
          <wp:anchor distT="0" distB="0" distL="0" distR="0" allowOverlap="1" layoutInCell="1" locked="0" behindDoc="0" simplePos="0" relativeHeight="15772160">
            <wp:simplePos x="0" y="0"/>
            <wp:positionH relativeFrom="page">
              <wp:posOffset>1257846</wp:posOffset>
            </wp:positionH>
            <wp:positionV relativeFrom="paragraph">
              <wp:posOffset>12949</wp:posOffset>
            </wp:positionV>
            <wp:extent cx="107988" cy="107988"/>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6" cstate="print"/>
                    <a:stretch>
                      <a:fillRect/>
                    </a:stretch>
                  </pic:blipFill>
                  <pic:spPr>
                    <a:xfrm>
                      <a:off x="0" y="0"/>
                      <a:ext cx="107988" cy="107988"/>
                    </a:xfrm>
                    <a:prstGeom prst="rect">
                      <a:avLst/>
                    </a:prstGeom>
                  </pic:spPr>
                </pic:pic>
              </a:graphicData>
            </a:graphic>
          </wp:anchor>
        </w:drawing>
      </w:r>
      <w:r>
        <w:rPr/>
        <w:t>Recital</w:t>
      </w:r>
      <w:r>
        <w:rPr>
          <w:spacing w:val="40"/>
        </w:rPr>
        <w:t> </w:t>
      </w:r>
      <w:r>
        <w:rPr/>
        <w:t>37</w:t>
      </w:r>
      <w:r>
        <w:rPr>
          <w:spacing w:val="40"/>
        </w:rPr>
        <w:t> </w:t>
      </w:r>
      <w:r>
        <w:rPr/>
        <w:t>to</w:t>
      </w:r>
      <w:r>
        <w:rPr>
          <w:spacing w:val="40"/>
        </w:rPr>
        <w:t> </w:t>
      </w:r>
      <w:r>
        <w:rPr/>
        <w:t>the</w:t>
      </w:r>
      <w:r>
        <w:rPr>
          <w:spacing w:val="40"/>
        </w:rPr>
        <w:t> </w:t>
      </w:r>
      <w:r>
        <w:rPr/>
        <w:t>Regulation.</w:t>
      </w:r>
      <w:r>
        <w:rPr>
          <w:spacing w:val="40"/>
        </w:rPr>
        <w:t> </w:t>
      </w:r>
      <w:r>
        <w:rPr/>
        <w:t>As</w:t>
      </w:r>
      <w:r>
        <w:rPr>
          <w:spacing w:val="40"/>
        </w:rPr>
        <w:t> </w:t>
      </w:r>
      <w:r>
        <w:rPr/>
        <w:t>a</w:t>
      </w:r>
      <w:r>
        <w:rPr>
          <w:spacing w:val="40"/>
        </w:rPr>
        <w:t> </w:t>
      </w:r>
      <w:r>
        <w:rPr/>
        <w:t>derogating</w:t>
      </w:r>
      <w:r>
        <w:rPr>
          <w:spacing w:val="40"/>
        </w:rPr>
        <w:t> </w:t>
      </w:r>
      <w:r>
        <w:rPr/>
        <w:t>measure,</w:t>
      </w:r>
      <w:r>
        <w:rPr>
          <w:spacing w:val="40"/>
        </w:rPr>
        <w:t> </w:t>
      </w:r>
      <w:r>
        <w:rPr/>
        <w:t>art.9</w:t>
      </w:r>
      <w:r>
        <w:rPr>
          <w:spacing w:val="40"/>
        </w:rPr>
        <w:t> </w:t>
      </w:r>
      <w:r>
        <w:rPr/>
        <w:t>must</w:t>
      </w:r>
      <w:r>
        <w:rPr>
          <w:spacing w:val="40"/>
        </w:rPr>
        <w:t> </w:t>
      </w:r>
      <w:r>
        <w:rPr/>
        <w:t>be</w:t>
      </w:r>
      <w:r>
        <w:rPr>
          <w:spacing w:val="40"/>
        </w:rPr>
        <w:t> </w:t>
      </w:r>
      <w:r>
        <w:rPr/>
        <w:t>interpreted</w:t>
      </w:r>
      <w:r>
        <w:rPr>
          <w:spacing w:val="40"/>
        </w:rPr>
        <w:t> </w:t>
      </w:r>
      <w:r>
        <w:rPr>
          <w:spacing w:val="-2"/>
        </w:rPr>
        <w:t>strictly:</w:t>
      </w:r>
    </w:p>
    <w:p>
      <w:pPr>
        <w:spacing w:line="227" w:lineRule="exact" w:before="0"/>
        <w:ind w:left="705" w:right="0" w:firstLine="0"/>
        <w:jc w:val="left"/>
        <w:rPr>
          <w:sz w:val="20"/>
        </w:rPr>
      </w:pPr>
      <w:r>
        <w:rPr>
          <w:rFonts w:ascii="Arial"/>
          <w:i/>
          <w:sz w:val="20"/>
        </w:rPr>
        <w:t>Greece v Nikiforidis (C-135/15) [2017] I.C.R. 147</w:t>
      </w:r>
      <w:r>
        <w:rPr>
          <w:rFonts w:ascii="Arial"/>
          <w:i/>
          <w:spacing w:val="-1"/>
          <w:sz w:val="20"/>
        </w:rPr>
        <w:t> </w:t>
      </w:r>
      <w:r>
        <w:rPr>
          <w:sz w:val="20"/>
        </w:rPr>
        <w:t>at </w:t>
      </w:r>
      <w:r>
        <w:rPr>
          <w:spacing w:val="-4"/>
          <w:sz w:val="20"/>
        </w:rPr>
        <w:t>[44].</w:t>
      </w:r>
    </w:p>
    <w:p>
      <w:pPr>
        <w:pStyle w:val="BodyText"/>
        <w:spacing w:before="9"/>
      </w:pPr>
    </w:p>
    <w:p>
      <w:pPr>
        <w:spacing w:line="235" w:lineRule="auto" w:before="0"/>
        <w:ind w:left="705" w:right="167" w:hanging="541"/>
        <w:jc w:val="both"/>
        <w:rPr>
          <w:sz w:val="20"/>
        </w:rPr>
      </w:pPr>
      <w:bookmarkStart w:name="_bookmark2639" w:id="2641"/>
      <w:bookmarkEnd w:id="2641"/>
      <w:r>
        <w:rPr/>
      </w:r>
      <w:hyperlink w:history="true" w:anchor="_bookmark2583">
        <w:r>
          <w:rPr>
            <w:color w:val="005DA1"/>
            <w:position w:val="5"/>
            <w:sz w:val="14"/>
            <w:u w:val="single" w:color="005DA1"/>
          </w:rPr>
          <w:t>1365</w:t>
        </w:r>
      </w:hyperlink>
      <w:r>
        <w:rPr>
          <w:position w:val="5"/>
          <w:sz w:val="14"/>
        </w:rPr>
        <w:t>.</w:t>
      </w:r>
      <w:r>
        <w:rPr>
          <w:spacing w:val="40"/>
          <w:position w:val="5"/>
          <w:sz w:val="14"/>
        </w:rPr>
        <w:t> </w:t>
      </w:r>
      <w:r>
        <w:rPr>
          <w:sz w:val="20"/>
        </w:rPr>
        <w:t>cf. above, para.30-064. cf. </w:t>
      </w:r>
      <w:r>
        <w:rPr>
          <w:rFonts w:ascii="Arial" w:hAnsi="Arial"/>
          <w:i/>
          <w:sz w:val="20"/>
        </w:rPr>
        <w:t>United Antwerp Maritime Agencies NV (Unamar) v </w:t>
      </w:r>
      <w:r>
        <w:rPr>
          <w:rFonts w:ascii="Arial" w:hAnsi="Arial"/>
          <w:i/>
          <w:sz w:val="20"/>
        </w:rPr>
        <w:t>Navigation Maritime Bulgare (C-184/12) [2014] 1 Lloyd’s Rep. 161 </w:t>
      </w:r>
      <w:r>
        <w:rPr>
          <w:sz w:val="20"/>
        </w:rPr>
        <w:t>(stating that mandatory rules of law of the</w:t>
      </w:r>
      <w:r>
        <w:rPr>
          <w:spacing w:val="-1"/>
          <w:sz w:val="20"/>
        </w:rPr>
        <w:t> </w:t>
      </w:r>
      <w:r>
        <w:rPr>
          <w:sz w:val="20"/>
        </w:rPr>
        <w:t>forum</w:t>
      </w:r>
      <w:r>
        <w:rPr>
          <w:spacing w:val="-1"/>
          <w:sz w:val="20"/>
        </w:rPr>
        <w:t> </w:t>
      </w:r>
      <w:r>
        <w:rPr>
          <w:sz w:val="20"/>
        </w:rPr>
        <w:t>should</w:t>
      </w:r>
      <w:r>
        <w:rPr>
          <w:spacing w:val="-1"/>
          <w:sz w:val="20"/>
        </w:rPr>
        <w:t> </w:t>
      </w:r>
      <w:r>
        <w:rPr>
          <w:sz w:val="20"/>
        </w:rPr>
        <w:t>be</w:t>
      </w:r>
      <w:r>
        <w:rPr>
          <w:spacing w:val="-1"/>
          <w:sz w:val="20"/>
        </w:rPr>
        <w:t> </w:t>
      </w:r>
      <w:r>
        <w:rPr>
          <w:sz w:val="20"/>
        </w:rPr>
        <w:t>given</w:t>
      </w:r>
      <w:r>
        <w:rPr>
          <w:spacing w:val="-1"/>
          <w:sz w:val="20"/>
        </w:rPr>
        <w:t> </w:t>
      </w:r>
      <w:r>
        <w:rPr>
          <w:sz w:val="20"/>
        </w:rPr>
        <w:t>a</w:t>
      </w:r>
      <w:r>
        <w:rPr>
          <w:spacing w:val="-1"/>
          <w:sz w:val="20"/>
        </w:rPr>
        <w:t> </w:t>
      </w:r>
      <w:r>
        <w:rPr>
          <w:sz w:val="20"/>
        </w:rPr>
        <w:t>narrow</w:t>
      </w:r>
      <w:r>
        <w:rPr>
          <w:spacing w:val="-1"/>
          <w:sz w:val="20"/>
        </w:rPr>
        <w:t> </w:t>
      </w:r>
      <w:r>
        <w:rPr>
          <w:sz w:val="20"/>
        </w:rPr>
        <w:t>interpretation).</w:t>
      </w:r>
      <w:r>
        <w:rPr>
          <w:spacing w:val="-1"/>
          <w:sz w:val="20"/>
        </w:rPr>
        <w:t> </w:t>
      </w:r>
      <w:r>
        <w:rPr>
          <w:sz w:val="20"/>
        </w:rPr>
        <w:t>See</w:t>
      </w:r>
      <w:r>
        <w:rPr>
          <w:spacing w:val="-1"/>
          <w:sz w:val="20"/>
        </w:rPr>
        <w:t> </w:t>
      </w:r>
      <w:r>
        <w:rPr>
          <w:sz w:val="20"/>
        </w:rPr>
        <w:t>also</w:t>
      </w:r>
      <w:r>
        <w:rPr>
          <w:spacing w:val="-2"/>
          <w:sz w:val="20"/>
        </w:rPr>
        <w:t> </w:t>
      </w:r>
      <w:r>
        <w:rPr>
          <w:rFonts w:ascii="Arial" w:hAnsi="Arial"/>
          <w:i/>
          <w:sz w:val="20"/>
        </w:rPr>
        <w:t>Gujarat</w:t>
      </w:r>
      <w:r>
        <w:rPr>
          <w:rFonts w:ascii="Arial" w:hAnsi="Arial"/>
          <w:i/>
          <w:spacing w:val="-1"/>
          <w:sz w:val="20"/>
        </w:rPr>
        <w:t> </w:t>
      </w:r>
      <w:r>
        <w:rPr>
          <w:rFonts w:ascii="Arial" w:hAnsi="Arial"/>
          <w:i/>
          <w:sz w:val="20"/>
        </w:rPr>
        <w:t>NRE</w:t>
      </w:r>
      <w:r>
        <w:rPr>
          <w:rFonts w:ascii="Arial" w:hAnsi="Arial"/>
          <w:i/>
          <w:spacing w:val="-1"/>
          <w:sz w:val="20"/>
        </w:rPr>
        <w:t> </w:t>
      </w:r>
      <w:r>
        <w:rPr>
          <w:rFonts w:ascii="Arial" w:hAnsi="Arial"/>
          <w:i/>
          <w:sz w:val="20"/>
        </w:rPr>
        <w:t>Coke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Coeclerici Asia (Pte) Ltd [2013] EWHC 1987 (Comm)</w:t>
      </w:r>
      <w:r>
        <w:rPr>
          <w:sz w:val="20"/>
        </w:rPr>
        <w:t>: for Australian proceedings arising out of this case, see </w:t>
      </w:r>
      <w:r>
        <w:rPr>
          <w:rFonts w:ascii="Arial" w:hAnsi="Arial"/>
          <w:i/>
          <w:sz w:val="20"/>
        </w:rPr>
        <w:t>Gujarat NRE Coke Ltd v Coeclerici Asia (Pte) Ltd [2013] FCAFC 109</w:t>
      </w:r>
      <w:r>
        <w:rPr>
          <w:sz w:val="20"/>
        </w:rPr>
        <w:t>.</w:t>
      </w:r>
    </w:p>
    <w:p>
      <w:pPr>
        <w:pStyle w:val="BodyText"/>
        <w:spacing w:before="8"/>
      </w:pPr>
    </w:p>
    <w:p>
      <w:pPr>
        <w:spacing w:line="235" w:lineRule="auto" w:before="0"/>
        <w:ind w:left="705" w:right="168" w:hanging="541"/>
        <w:jc w:val="left"/>
        <w:rPr>
          <w:sz w:val="20"/>
        </w:rPr>
      </w:pPr>
      <w:bookmarkStart w:name="_bookmark2640" w:id="2642"/>
      <w:bookmarkEnd w:id="2642"/>
      <w:r>
        <w:rPr/>
      </w:r>
      <w:hyperlink w:history="true" w:anchor="_bookmark2584">
        <w:r>
          <w:rPr>
            <w:color w:val="005DA1"/>
            <w:position w:val="5"/>
            <w:sz w:val="14"/>
            <w:u w:val="single" w:color="005DA1"/>
          </w:rPr>
          <w:t>1366</w:t>
        </w:r>
      </w:hyperlink>
      <w:r>
        <w:rPr>
          <w:position w:val="5"/>
          <w:sz w:val="14"/>
        </w:rPr>
        <w:t>.</w:t>
      </w:r>
      <w:r>
        <w:rPr>
          <w:spacing w:val="40"/>
          <w:position w:val="5"/>
          <w:sz w:val="14"/>
        </w:rPr>
        <w:t>  </w:t>
      </w:r>
      <w:r>
        <w:rPr>
          <w:sz w:val="20"/>
        </w:rPr>
        <w:t>cf. </w:t>
      </w:r>
      <w:r>
        <w:rPr>
          <w:rFonts w:ascii="Arial"/>
          <w:i/>
          <w:sz w:val="20"/>
        </w:rPr>
        <w:t>Regazzoni v K.C. Sethia Ltd [1956] 2 Q.B. 490</w:t>
      </w:r>
      <w:r>
        <w:rPr>
          <w:sz w:val="20"/>
        </w:rPr>
        <w:t>; </w:t>
      </w:r>
      <w:r>
        <w:rPr>
          <w:rFonts w:ascii="Arial"/>
          <w:i/>
          <w:sz w:val="20"/>
        </w:rPr>
        <w:t>Libyan Arab Foreign Bank v Bankers Trust</w:t>
      </w:r>
      <w:r>
        <w:rPr>
          <w:rFonts w:ascii="Arial"/>
          <w:i/>
          <w:spacing w:val="40"/>
          <w:sz w:val="20"/>
        </w:rPr>
        <w:t> </w:t>
      </w:r>
      <w:r>
        <w:rPr>
          <w:rFonts w:ascii="Arial"/>
          <w:i/>
          <w:sz w:val="20"/>
        </w:rPr>
        <w:t>Co [1989] Q.B. 728</w:t>
      </w:r>
      <w:r>
        <w:rPr>
          <w:sz w:val="20"/>
        </w:rPr>
        <w:t>.</w:t>
      </w:r>
    </w:p>
    <w:p>
      <w:pPr>
        <w:pStyle w:val="BodyText"/>
        <w:spacing w:before="9"/>
      </w:pPr>
    </w:p>
    <w:p>
      <w:pPr>
        <w:spacing w:line="235" w:lineRule="auto" w:before="0"/>
        <w:ind w:left="705" w:right="0" w:hanging="541"/>
        <w:jc w:val="left"/>
        <w:rPr>
          <w:sz w:val="20"/>
        </w:rPr>
      </w:pPr>
      <w:bookmarkStart w:name="_bookmark2641" w:id="2643"/>
      <w:bookmarkEnd w:id="2643"/>
      <w:r>
        <w:rPr/>
      </w:r>
      <w:hyperlink w:history="true" w:anchor="_bookmark2584">
        <w:r>
          <w:rPr>
            <w:color w:val="005DA1"/>
            <w:position w:val="5"/>
            <w:sz w:val="14"/>
            <w:u w:val="single" w:color="005DA1"/>
          </w:rPr>
          <w:t>1367</w:t>
        </w:r>
      </w:hyperlink>
      <w:r>
        <w:rPr>
          <w:position w:val="5"/>
          <w:sz w:val="14"/>
        </w:rPr>
        <w:t>.</w:t>
      </w:r>
      <w:r>
        <w:rPr>
          <w:spacing w:val="40"/>
          <w:position w:val="5"/>
          <w:sz w:val="14"/>
        </w:rPr>
        <w:t>  </w:t>
      </w:r>
      <w:r>
        <w:rPr>
          <w:sz w:val="20"/>
        </w:rPr>
        <w:t>cf.</w:t>
      </w:r>
      <w:r>
        <w:rPr>
          <w:spacing w:val="17"/>
          <w:sz w:val="20"/>
        </w:rPr>
        <w:t> </w:t>
      </w:r>
      <w:r>
        <w:rPr>
          <w:rFonts w:ascii="Arial"/>
          <w:i/>
          <w:sz w:val="20"/>
        </w:rPr>
        <w:t>Regazzoni</w:t>
      </w:r>
      <w:r>
        <w:rPr>
          <w:rFonts w:ascii="Arial"/>
          <w:i/>
          <w:spacing w:val="16"/>
          <w:sz w:val="20"/>
        </w:rPr>
        <w:t> </w:t>
      </w:r>
      <w:r>
        <w:rPr>
          <w:rFonts w:ascii="Arial"/>
          <w:i/>
          <w:sz w:val="20"/>
        </w:rPr>
        <w:t>v</w:t>
      </w:r>
      <w:r>
        <w:rPr>
          <w:rFonts w:ascii="Arial"/>
          <w:i/>
          <w:spacing w:val="16"/>
          <w:sz w:val="20"/>
        </w:rPr>
        <w:t> </w:t>
      </w:r>
      <w:r>
        <w:rPr>
          <w:rFonts w:ascii="Arial"/>
          <w:i/>
          <w:sz w:val="20"/>
        </w:rPr>
        <w:t>K.C.</w:t>
      </w:r>
      <w:r>
        <w:rPr>
          <w:rFonts w:ascii="Arial"/>
          <w:i/>
          <w:spacing w:val="16"/>
          <w:sz w:val="20"/>
        </w:rPr>
        <w:t> </w:t>
      </w:r>
      <w:r>
        <w:rPr>
          <w:rFonts w:ascii="Arial"/>
          <w:i/>
          <w:sz w:val="20"/>
        </w:rPr>
        <w:t>Sethia</w:t>
      </w:r>
      <w:r>
        <w:rPr>
          <w:rFonts w:ascii="Arial"/>
          <w:i/>
          <w:spacing w:val="16"/>
          <w:sz w:val="20"/>
        </w:rPr>
        <w:t> </w:t>
      </w:r>
      <w:r>
        <w:rPr>
          <w:rFonts w:ascii="Arial"/>
          <w:i/>
          <w:sz w:val="20"/>
        </w:rPr>
        <w:t>Ltd</w:t>
      </w:r>
      <w:r>
        <w:rPr>
          <w:rFonts w:ascii="Arial"/>
          <w:i/>
          <w:spacing w:val="16"/>
          <w:sz w:val="20"/>
        </w:rPr>
        <w:t> </w:t>
      </w:r>
      <w:r>
        <w:rPr>
          <w:rFonts w:ascii="Arial"/>
          <w:i/>
          <w:sz w:val="20"/>
        </w:rPr>
        <w:t>[1956]</w:t>
      </w:r>
      <w:r>
        <w:rPr>
          <w:rFonts w:ascii="Arial"/>
          <w:i/>
          <w:spacing w:val="16"/>
          <w:sz w:val="20"/>
        </w:rPr>
        <w:t> </w:t>
      </w:r>
      <w:r>
        <w:rPr>
          <w:rFonts w:ascii="Arial"/>
          <w:i/>
          <w:sz w:val="20"/>
        </w:rPr>
        <w:t>2</w:t>
      </w:r>
      <w:r>
        <w:rPr>
          <w:rFonts w:ascii="Arial"/>
          <w:i/>
          <w:spacing w:val="16"/>
          <w:sz w:val="20"/>
        </w:rPr>
        <w:t> </w:t>
      </w:r>
      <w:r>
        <w:rPr>
          <w:rFonts w:ascii="Arial"/>
          <w:i/>
          <w:sz w:val="20"/>
        </w:rPr>
        <w:t>Q.B.</w:t>
      </w:r>
      <w:r>
        <w:rPr>
          <w:rFonts w:ascii="Arial"/>
          <w:i/>
          <w:spacing w:val="16"/>
          <w:sz w:val="20"/>
        </w:rPr>
        <w:t> </w:t>
      </w:r>
      <w:r>
        <w:rPr>
          <w:rFonts w:ascii="Arial"/>
          <w:i/>
          <w:sz w:val="20"/>
        </w:rPr>
        <w:t>490</w:t>
      </w:r>
      <w:r>
        <w:rPr>
          <w:sz w:val="20"/>
        </w:rPr>
        <w:t>;</w:t>
      </w:r>
      <w:r>
        <w:rPr>
          <w:spacing w:val="16"/>
          <w:sz w:val="20"/>
        </w:rPr>
        <w:t> </w:t>
      </w:r>
      <w:r>
        <w:rPr>
          <w:rFonts w:ascii="Arial"/>
          <w:i/>
          <w:sz w:val="20"/>
        </w:rPr>
        <w:t>Cie</w:t>
      </w:r>
      <w:r>
        <w:rPr>
          <w:rFonts w:ascii="Arial"/>
          <w:i/>
          <w:spacing w:val="16"/>
          <w:sz w:val="20"/>
        </w:rPr>
        <w:t> </w:t>
      </w:r>
      <w:r>
        <w:rPr>
          <w:rFonts w:ascii="Arial"/>
          <w:i/>
          <w:sz w:val="20"/>
        </w:rPr>
        <w:t>Europeene</w:t>
      </w:r>
      <w:r>
        <w:rPr>
          <w:rFonts w:ascii="Arial"/>
          <w:i/>
          <w:spacing w:val="16"/>
          <w:sz w:val="20"/>
        </w:rPr>
        <w:t> </w:t>
      </w:r>
      <w:r>
        <w:rPr>
          <w:rFonts w:ascii="Arial"/>
          <w:i/>
          <w:sz w:val="20"/>
        </w:rPr>
        <w:t>des</w:t>
      </w:r>
      <w:r>
        <w:rPr>
          <w:rFonts w:ascii="Arial"/>
          <w:i/>
          <w:spacing w:val="16"/>
          <w:sz w:val="20"/>
        </w:rPr>
        <w:t> </w:t>
      </w:r>
      <w:r>
        <w:rPr>
          <w:rFonts w:ascii="Arial"/>
          <w:i/>
          <w:sz w:val="20"/>
        </w:rPr>
        <w:t>Petroles</w:t>
      </w:r>
      <w:r>
        <w:rPr>
          <w:rFonts w:ascii="Arial"/>
          <w:i/>
          <w:spacing w:val="16"/>
          <w:sz w:val="20"/>
        </w:rPr>
        <w:t> </w:t>
      </w:r>
      <w:r>
        <w:rPr>
          <w:rFonts w:ascii="Arial"/>
          <w:i/>
          <w:sz w:val="20"/>
        </w:rPr>
        <w:t>SA</w:t>
      </w:r>
      <w:r>
        <w:rPr>
          <w:rFonts w:ascii="Arial"/>
          <w:i/>
          <w:spacing w:val="16"/>
          <w:sz w:val="20"/>
        </w:rPr>
        <w:t> </w:t>
      </w:r>
      <w:r>
        <w:rPr>
          <w:rFonts w:ascii="Arial"/>
          <w:i/>
          <w:sz w:val="20"/>
        </w:rPr>
        <w:t>v</w:t>
      </w:r>
      <w:r>
        <w:rPr>
          <w:rFonts w:ascii="Arial"/>
          <w:i/>
          <w:spacing w:val="16"/>
          <w:sz w:val="20"/>
        </w:rPr>
        <w:t> </w:t>
      </w:r>
      <w:r>
        <w:rPr>
          <w:rFonts w:ascii="Arial"/>
          <w:i/>
          <w:sz w:val="20"/>
        </w:rPr>
        <w:t>Sensor Nederland BV, The Hague, 1982 (1983) Int. Legal Mat. 66</w:t>
      </w:r>
      <w:r>
        <w:rPr>
          <w:sz w:val="20"/>
        </w:rPr>
        <w:t>.</w:t>
      </w:r>
    </w:p>
    <w:p>
      <w:pPr>
        <w:pStyle w:val="BodyText"/>
        <w:spacing w:before="9"/>
      </w:pPr>
    </w:p>
    <w:p>
      <w:pPr>
        <w:spacing w:line="235" w:lineRule="auto" w:before="1"/>
        <w:ind w:left="705" w:right="0" w:hanging="541"/>
        <w:jc w:val="left"/>
        <w:rPr>
          <w:sz w:val="20"/>
        </w:rPr>
      </w:pPr>
      <w:bookmarkStart w:name="_bookmark2642" w:id="2644"/>
      <w:bookmarkEnd w:id="2644"/>
      <w:r>
        <w:rPr/>
      </w:r>
      <w:hyperlink w:history="true" w:anchor="_bookmark2585">
        <w:r>
          <w:rPr>
            <w:color w:val="005DA1"/>
            <w:position w:val="5"/>
            <w:sz w:val="14"/>
            <w:u w:val="single" w:color="005DA1"/>
          </w:rPr>
          <w:t>1368</w:t>
        </w:r>
      </w:hyperlink>
      <w:r>
        <w:rPr>
          <w:position w:val="5"/>
          <w:sz w:val="14"/>
        </w:rPr>
        <w:t>.</w:t>
      </w:r>
      <w:r>
        <w:rPr>
          <w:spacing w:val="40"/>
          <w:position w:val="5"/>
          <w:sz w:val="14"/>
        </w:rPr>
        <w:t>  </w:t>
      </w:r>
      <w:r>
        <w:rPr>
          <w:sz w:val="20"/>
        </w:rPr>
        <w:t>cf.</w:t>
      </w:r>
      <w:r>
        <w:rPr>
          <w:spacing w:val="25"/>
          <w:sz w:val="20"/>
        </w:rPr>
        <w:t> </w:t>
      </w:r>
      <w:r>
        <w:rPr>
          <w:rFonts w:ascii="Arial" w:hAnsi="Arial"/>
          <w:i/>
          <w:sz w:val="20"/>
        </w:rPr>
        <w:t>Ralli</w:t>
      </w:r>
      <w:r>
        <w:rPr>
          <w:rFonts w:ascii="Arial" w:hAnsi="Arial"/>
          <w:i/>
          <w:spacing w:val="25"/>
          <w:sz w:val="20"/>
        </w:rPr>
        <w:t> </w:t>
      </w:r>
      <w:r>
        <w:rPr>
          <w:rFonts w:ascii="Arial" w:hAnsi="Arial"/>
          <w:i/>
          <w:sz w:val="20"/>
        </w:rPr>
        <w:t>Bros</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Compania</w:t>
      </w:r>
      <w:r>
        <w:rPr>
          <w:rFonts w:ascii="Arial" w:hAnsi="Arial"/>
          <w:i/>
          <w:spacing w:val="25"/>
          <w:sz w:val="20"/>
        </w:rPr>
        <w:t> </w:t>
      </w:r>
      <w:r>
        <w:rPr>
          <w:rFonts w:ascii="Arial" w:hAnsi="Arial"/>
          <w:i/>
          <w:sz w:val="20"/>
        </w:rPr>
        <w:t>Naviera</w:t>
      </w:r>
      <w:r>
        <w:rPr>
          <w:rFonts w:ascii="Arial" w:hAnsi="Arial"/>
          <w:i/>
          <w:spacing w:val="25"/>
          <w:sz w:val="20"/>
        </w:rPr>
        <w:t> </w:t>
      </w:r>
      <w:r>
        <w:rPr>
          <w:rFonts w:ascii="Arial" w:hAnsi="Arial"/>
          <w:i/>
          <w:sz w:val="20"/>
        </w:rPr>
        <w:t>Sota</w:t>
      </w:r>
      <w:r>
        <w:rPr>
          <w:rFonts w:ascii="Arial" w:hAnsi="Arial"/>
          <w:i/>
          <w:spacing w:val="25"/>
          <w:sz w:val="20"/>
        </w:rPr>
        <w:t> </w:t>
      </w:r>
      <w:r>
        <w:rPr>
          <w:rFonts w:ascii="Arial" w:hAnsi="Arial"/>
          <w:i/>
          <w:sz w:val="20"/>
        </w:rPr>
        <w:t>y</w:t>
      </w:r>
      <w:r>
        <w:rPr>
          <w:rFonts w:ascii="Arial" w:hAnsi="Arial"/>
          <w:i/>
          <w:spacing w:val="25"/>
          <w:sz w:val="20"/>
        </w:rPr>
        <w:t> </w:t>
      </w:r>
      <w:r>
        <w:rPr>
          <w:rFonts w:ascii="Arial" w:hAnsi="Arial"/>
          <w:i/>
          <w:sz w:val="20"/>
        </w:rPr>
        <w:t>Aznar</w:t>
      </w:r>
      <w:r>
        <w:rPr>
          <w:rFonts w:ascii="Arial" w:hAnsi="Arial"/>
          <w:i/>
          <w:spacing w:val="25"/>
          <w:sz w:val="20"/>
        </w:rPr>
        <w:t> </w:t>
      </w:r>
      <w:r>
        <w:rPr>
          <w:rFonts w:ascii="Arial" w:hAnsi="Arial"/>
          <w:i/>
          <w:sz w:val="20"/>
        </w:rPr>
        <w:t>[1920]</w:t>
      </w:r>
      <w:r>
        <w:rPr>
          <w:rFonts w:ascii="Arial" w:hAnsi="Arial"/>
          <w:i/>
          <w:spacing w:val="25"/>
          <w:sz w:val="20"/>
        </w:rPr>
        <w:t> </w:t>
      </w:r>
      <w:r>
        <w:rPr>
          <w:rFonts w:ascii="Arial" w:hAnsi="Arial"/>
          <w:i/>
          <w:sz w:val="20"/>
        </w:rPr>
        <w:t>K.B.</w:t>
      </w:r>
      <w:r>
        <w:rPr>
          <w:rFonts w:ascii="Arial" w:hAnsi="Arial"/>
          <w:i/>
          <w:spacing w:val="25"/>
          <w:sz w:val="20"/>
        </w:rPr>
        <w:t> </w:t>
      </w:r>
      <w:r>
        <w:rPr>
          <w:rFonts w:ascii="Arial" w:hAnsi="Arial"/>
          <w:i/>
          <w:sz w:val="20"/>
        </w:rPr>
        <w:t>287</w:t>
      </w:r>
      <w:r>
        <w:rPr>
          <w:sz w:val="20"/>
        </w:rPr>
        <w:t>;</w:t>
      </w:r>
      <w:r>
        <w:rPr>
          <w:spacing w:val="25"/>
          <w:sz w:val="20"/>
        </w:rPr>
        <w:t> </w:t>
      </w:r>
      <w:r>
        <w:rPr>
          <w:rFonts w:ascii="Arial" w:hAnsi="Arial"/>
          <w:i/>
          <w:sz w:val="20"/>
        </w:rPr>
        <w:t>Ispahani</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Bank</w:t>
      </w:r>
      <w:r>
        <w:rPr>
          <w:rFonts w:ascii="Arial" w:hAnsi="Arial"/>
          <w:i/>
          <w:spacing w:val="25"/>
          <w:sz w:val="20"/>
        </w:rPr>
        <w:t> </w:t>
      </w:r>
      <w:r>
        <w:rPr>
          <w:rFonts w:ascii="Arial" w:hAnsi="Arial"/>
          <w:i/>
          <w:sz w:val="20"/>
        </w:rPr>
        <w:t>Melli</w:t>
      </w:r>
      <w:r>
        <w:rPr>
          <w:rFonts w:ascii="Arial" w:hAnsi="Arial"/>
          <w:i/>
          <w:spacing w:val="25"/>
          <w:sz w:val="20"/>
        </w:rPr>
        <w:t> </w:t>
      </w:r>
      <w:r>
        <w:rPr>
          <w:rFonts w:ascii="Arial" w:hAnsi="Arial"/>
          <w:i/>
          <w:sz w:val="20"/>
        </w:rPr>
        <w:t>Iran [1998] Lloyd’s Rep. Bank. 133</w:t>
      </w:r>
      <w:r>
        <w:rPr>
          <w:sz w:val="20"/>
        </w:rPr>
        <w:t>.</w:t>
      </w:r>
    </w:p>
    <w:p>
      <w:pPr>
        <w:pStyle w:val="BodyText"/>
        <w:spacing w:before="5"/>
      </w:pPr>
    </w:p>
    <w:p>
      <w:pPr>
        <w:pStyle w:val="BodyText"/>
        <w:ind w:left="165"/>
      </w:pPr>
      <w:bookmarkStart w:name="_bookmark2643" w:id="2645"/>
      <w:bookmarkEnd w:id="2645"/>
      <w:r>
        <w:rPr/>
      </w:r>
      <w:hyperlink w:history="true" w:anchor="_bookmark2585">
        <w:r>
          <w:rPr>
            <w:color w:val="005DA1"/>
            <w:position w:val="5"/>
            <w:sz w:val="14"/>
            <w:u w:val="single" w:color="005DA1"/>
          </w:rPr>
          <w:t>1369</w:t>
        </w:r>
      </w:hyperlink>
      <w:r>
        <w:rPr>
          <w:position w:val="5"/>
          <w:sz w:val="14"/>
        </w:rPr>
        <w:t>.</w:t>
      </w:r>
      <w:r>
        <w:rPr>
          <w:spacing w:val="55"/>
          <w:position w:val="5"/>
          <w:sz w:val="14"/>
        </w:rPr>
        <w:t>  </w:t>
      </w:r>
      <w:r>
        <w:rPr/>
        <w:t>cf.</w:t>
      </w:r>
      <w:r>
        <w:rPr>
          <w:spacing w:val="1"/>
        </w:rPr>
        <w:t> </w:t>
      </w:r>
      <w:r>
        <w:rPr/>
        <w:t>Dicey, Morris and Collins, 15th edn (2012), </w:t>
      </w:r>
      <w:r>
        <w:rPr>
          <w:spacing w:val="-2"/>
        </w:rPr>
        <w:t>para.32–089.</w:t>
      </w:r>
    </w:p>
    <w:p>
      <w:pPr>
        <w:pStyle w:val="BodyText"/>
        <w:spacing w:before="9"/>
      </w:pPr>
    </w:p>
    <w:p>
      <w:pPr>
        <w:spacing w:line="235" w:lineRule="auto" w:before="0"/>
        <w:ind w:left="705" w:right="0" w:hanging="541"/>
        <w:jc w:val="left"/>
        <w:rPr>
          <w:sz w:val="20"/>
        </w:rPr>
      </w:pPr>
      <w:bookmarkStart w:name="_bookmark2644" w:id="2646"/>
      <w:bookmarkEnd w:id="2646"/>
      <w:r>
        <w:rPr/>
      </w:r>
      <w:hyperlink w:history="true" w:anchor="_bookmark2586">
        <w:r>
          <w:rPr>
            <w:color w:val="005DA1"/>
            <w:position w:val="5"/>
            <w:sz w:val="14"/>
            <w:u w:val="single" w:color="005DA1"/>
          </w:rPr>
          <w:t>1370</w:t>
        </w:r>
      </w:hyperlink>
      <w:r>
        <w:rPr>
          <w:position w:val="5"/>
          <w:sz w:val="14"/>
        </w:rPr>
        <w:t>.</w:t>
      </w:r>
      <w:r>
        <w:rPr>
          <w:spacing w:val="40"/>
          <w:position w:val="5"/>
          <w:sz w:val="14"/>
        </w:rPr>
        <w:t>  </w:t>
      </w:r>
      <w:r>
        <w:rPr>
          <w:sz w:val="20"/>
        </w:rPr>
        <w:t>cf. </w:t>
      </w:r>
      <w:r>
        <w:rPr>
          <w:rFonts w:ascii="Arial" w:hAnsi="Arial"/>
          <w:i/>
          <w:sz w:val="20"/>
        </w:rPr>
        <w:t>Kahler v Midland Bank Ltd [1950] A.C. 24 </w:t>
      </w:r>
      <w:r>
        <w:rPr>
          <w:sz w:val="20"/>
        </w:rPr>
        <w:t>at 48; Dicey, Morris and Collins, 15th edn </w:t>
      </w:r>
      <w:r>
        <w:rPr>
          <w:sz w:val="20"/>
        </w:rPr>
        <w:t>(2012), </w:t>
      </w:r>
      <w:r>
        <w:rPr>
          <w:spacing w:val="-2"/>
          <w:sz w:val="20"/>
        </w:rPr>
        <w:t>para.32–098.</w:t>
      </w:r>
    </w:p>
    <w:p>
      <w:pPr>
        <w:pStyle w:val="BodyText"/>
        <w:spacing w:before="125"/>
      </w:pPr>
    </w:p>
    <w:p>
      <w:pPr>
        <w:spacing w:before="0"/>
        <w:ind w:left="165" w:right="0" w:firstLine="0"/>
        <w:jc w:val="left"/>
        <w:rPr>
          <w:sz w:val="20"/>
        </w:rPr>
      </w:pPr>
      <w:bookmarkStart w:name="_bookmark2645" w:id="2647"/>
      <w:bookmarkEnd w:id="2647"/>
      <w:r>
        <w:rPr/>
      </w:r>
      <w:hyperlink w:history="true" w:anchor="_bookmark2587">
        <w:r>
          <w:rPr>
            <w:color w:val="005DA1"/>
            <w:sz w:val="20"/>
            <w:u w:val="single" w:color="005DA1"/>
            <w:vertAlign w:val="superscript"/>
          </w:rPr>
          <w:t>1371</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Greece</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Nikiforidis</w:t>
      </w:r>
      <w:r>
        <w:rPr>
          <w:rFonts w:ascii="Arial"/>
          <w:i/>
          <w:spacing w:val="2"/>
          <w:sz w:val="20"/>
          <w:vertAlign w:val="baseline"/>
        </w:rPr>
        <w:t> </w:t>
      </w:r>
      <w:r>
        <w:rPr>
          <w:rFonts w:ascii="Arial"/>
          <w:i/>
          <w:sz w:val="20"/>
          <w:vertAlign w:val="baseline"/>
        </w:rPr>
        <w:t>(C-135/15)</w:t>
      </w:r>
      <w:r>
        <w:rPr>
          <w:rFonts w:ascii="Arial"/>
          <w:i/>
          <w:spacing w:val="2"/>
          <w:sz w:val="20"/>
          <w:vertAlign w:val="baseline"/>
        </w:rPr>
        <w:t> </w:t>
      </w:r>
      <w:r>
        <w:rPr>
          <w:rFonts w:ascii="Arial"/>
          <w:i/>
          <w:sz w:val="20"/>
          <w:vertAlign w:val="baseline"/>
        </w:rPr>
        <w:t>[2017]</w:t>
      </w:r>
      <w:r>
        <w:rPr>
          <w:rFonts w:ascii="Arial"/>
          <w:i/>
          <w:spacing w:val="2"/>
          <w:sz w:val="20"/>
          <w:vertAlign w:val="baseline"/>
        </w:rPr>
        <w:t> </w:t>
      </w:r>
      <w:r>
        <w:rPr>
          <w:rFonts w:ascii="Arial"/>
          <w:i/>
          <w:sz w:val="20"/>
          <w:vertAlign w:val="baseline"/>
        </w:rPr>
        <w:t>I.C.R.</w:t>
      </w:r>
      <w:r>
        <w:rPr>
          <w:rFonts w:ascii="Arial"/>
          <w:i/>
          <w:spacing w:val="2"/>
          <w:sz w:val="20"/>
          <w:vertAlign w:val="baseline"/>
        </w:rPr>
        <w:t> </w:t>
      </w:r>
      <w:r>
        <w:rPr>
          <w:rFonts w:ascii="Arial"/>
          <w:i/>
          <w:sz w:val="20"/>
          <w:vertAlign w:val="baseline"/>
        </w:rPr>
        <w:t>147</w:t>
      </w:r>
      <w:r>
        <w:rPr>
          <w:rFonts w:ascii="Arial"/>
          <w:i/>
          <w:spacing w:val="1"/>
          <w:sz w:val="20"/>
          <w:vertAlign w:val="baseline"/>
        </w:rPr>
        <w:t> </w:t>
      </w:r>
      <w:r>
        <w:rPr>
          <w:sz w:val="20"/>
          <w:vertAlign w:val="baseline"/>
        </w:rPr>
        <w:t>at</w:t>
      </w:r>
      <w:r>
        <w:rPr>
          <w:spacing w:val="2"/>
          <w:sz w:val="20"/>
          <w:vertAlign w:val="baseline"/>
        </w:rPr>
        <w:t> </w:t>
      </w:r>
      <w:r>
        <w:rPr>
          <w:spacing w:val="-2"/>
          <w:sz w:val="20"/>
          <w:vertAlign w:val="baseline"/>
        </w:rPr>
        <w:t>[49].</w:t>
      </w:r>
    </w:p>
    <w:p>
      <w:pPr>
        <w:pStyle w:val="BodyText"/>
        <w:spacing w:before="12"/>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7739"/>
      </w:tblGrid>
      <w:tr>
        <w:trPr>
          <w:trHeight w:val="344" w:hRule="atLeast"/>
        </w:trPr>
        <w:tc>
          <w:tcPr>
            <w:tcW w:w="496" w:type="dxa"/>
          </w:tcPr>
          <w:p>
            <w:pPr>
              <w:pStyle w:val="TableParagraph"/>
              <w:spacing w:before="0"/>
              <w:ind w:left="0" w:right="43"/>
              <w:rPr>
                <w:sz w:val="14"/>
              </w:rPr>
            </w:pPr>
            <w:bookmarkStart w:name="_bookmark2646" w:id="2648"/>
            <w:bookmarkEnd w:id="2648"/>
            <w:r>
              <w:rPr/>
            </w:r>
            <w:hyperlink w:history="true" w:anchor="_bookmark2588">
              <w:r>
                <w:rPr>
                  <w:color w:val="005DA1"/>
                  <w:spacing w:val="-2"/>
                  <w:sz w:val="14"/>
                  <w:u w:val="single" w:color="005DA1"/>
                </w:rPr>
                <w:t>1372</w:t>
              </w:r>
            </w:hyperlink>
            <w:r>
              <w:rPr>
                <w:spacing w:val="-2"/>
                <w:sz w:val="14"/>
              </w:rPr>
              <w:t>.</w:t>
            </w:r>
          </w:p>
        </w:tc>
        <w:tc>
          <w:tcPr>
            <w:tcW w:w="7739" w:type="dxa"/>
          </w:tcPr>
          <w:p>
            <w:pPr>
              <w:pStyle w:val="TableParagraph"/>
              <w:spacing w:line="223" w:lineRule="exact" w:before="0"/>
              <w:jc w:val="left"/>
              <w:rPr>
                <w:sz w:val="20"/>
              </w:rPr>
            </w:pPr>
            <w:r>
              <w:rPr>
                <w:sz w:val="20"/>
              </w:rPr>
              <w:t>cf.</w:t>
            </w:r>
            <w:r>
              <w:rPr>
                <w:spacing w:val="-1"/>
                <w:sz w:val="20"/>
              </w:rPr>
              <w:t> </w:t>
            </w:r>
            <w:r>
              <w:rPr>
                <w:rFonts w:ascii="Arial"/>
                <w:i/>
                <w:sz w:val="20"/>
              </w:rPr>
              <w:t>Regazzoni v K.C. Sethia Ltd [1956] 2 Q.B. 490</w:t>
            </w:r>
            <w:r>
              <w:rPr>
                <w:sz w:val="20"/>
              </w:rPr>
              <w:t>; </w:t>
            </w:r>
            <w:r>
              <w:rPr>
                <w:rFonts w:ascii="Arial"/>
                <w:i/>
                <w:sz w:val="20"/>
              </w:rPr>
              <w:t>Foster v Driscoll [1929] 1 K.B. </w:t>
            </w:r>
            <w:r>
              <w:rPr>
                <w:rFonts w:ascii="Arial"/>
                <w:i/>
                <w:spacing w:val="-4"/>
                <w:sz w:val="20"/>
              </w:rPr>
              <w:t>470</w:t>
            </w:r>
            <w:r>
              <w:rPr>
                <w:spacing w:val="-4"/>
                <w:sz w:val="20"/>
              </w:rPr>
              <w:t>.</w:t>
            </w:r>
          </w:p>
        </w:tc>
      </w:tr>
      <w:tr>
        <w:trPr>
          <w:trHeight w:val="465" w:hRule="atLeast"/>
        </w:trPr>
        <w:tc>
          <w:tcPr>
            <w:tcW w:w="496" w:type="dxa"/>
          </w:tcPr>
          <w:p>
            <w:pPr>
              <w:pStyle w:val="TableParagraph"/>
              <w:ind w:left="0" w:right="43"/>
              <w:rPr>
                <w:sz w:val="14"/>
              </w:rPr>
            </w:pPr>
            <w:bookmarkStart w:name="_bookmark2647" w:id="2649"/>
            <w:bookmarkEnd w:id="2649"/>
            <w:r>
              <w:rPr/>
            </w:r>
            <w:hyperlink w:history="true" w:anchor="_bookmark2589">
              <w:r>
                <w:rPr>
                  <w:color w:val="005DA1"/>
                  <w:spacing w:val="-2"/>
                  <w:sz w:val="14"/>
                  <w:u w:val="single" w:color="005DA1"/>
                </w:rPr>
                <w:t>1373</w:t>
              </w:r>
            </w:hyperlink>
            <w:r>
              <w:rPr>
                <w:spacing w:val="-2"/>
                <w:sz w:val="14"/>
              </w:rPr>
              <w:t>.</w:t>
            </w:r>
          </w:p>
        </w:tc>
        <w:tc>
          <w:tcPr>
            <w:tcW w:w="7739" w:type="dxa"/>
          </w:tcPr>
          <w:p>
            <w:pPr>
              <w:pStyle w:val="TableParagraph"/>
              <w:spacing w:before="114"/>
              <w:jc w:val="left"/>
              <w:rPr>
                <w:sz w:val="20"/>
              </w:rPr>
            </w:pPr>
            <w:r>
              <w:rPr>
                <w:sz w:val="20"/>
              </w:rPr>
              <w:t>cf. </w:t>
            </w:r>
            <w:r>
              <w:rPr>
                <w:rFonts w:ascii="Arial"/>
                <w:i/>
                <w:sz w:val="20"/>
              </w:rPr>
              <w:t>Ralli Bros v Compania Naviera Sota y Aznar [1920] K.B. </w:t>
            </w:r>
            <w:r>
              <w:rPr>
                <w:rFonts w:ascii="Arial"/>
                <w:i/>
                <w:spacing w:val="-4"/>
                <w:sz w:val="20"/>
              </w:rPr>
              <w:t>287</w:t>
            </w:r>
            <w:r>
              <w:rPr>
                <w:spacing w:val="-4"/>
                <w:sz w:val="20"/>
              </w:rPr>
              <w:t>.</w:t>
            </w:r>
          </w:p>
        </w:tc>
      </w:tr>
      <w:tr>
        <w:trPr>
          <w:trHeight w:val="465" w:hRule="atLeast"/>
        </w:trPr>
        <w:tc>
          <w:tcPr>
            <w:tcW w:w="496" w:type="dxa"/>
          </w:tcPr>
          <w:p>
            <w:pPr>
              <w:pStyle w:val="TableParagraph"/>
              <w:ind w:left="0" w:right="43"/>
              <w:rPr>
                <w:sz w:val="14"/>
              </w:rPr>
            </w:pPr>
            <w:bookmarkStart w:name="_bookmark2648" w:id="2650"/>
            <w:bookmarkEnd w:id="2650"/>
            <w:r>
              <w:rPr/>
            </w:r>
            <w:hyperlink w:history="true" w:anchor="_bookmark2590">
              <w:r>
                <w:rPr>
                  <w:color w:val="005DA1"/>
                  <w:spacing w:val="-2"/>
                  <w:sz w:val="14"/>
                  <w:u w:val="single" w:color="005DA1"/>
                </w:rPr>
                <w:t>1374</w:t>
              </w:r>
            </w:hyperlink>
            <w:r>
              <w:rPr>
                <w:spacing w:val="-2"/>
                <w:sz w:val="14"/>
              </w:rPr>
              <w:t>.</w:t>
            </w:r>
          </w:p>
        </w:tc>
        <w:tc>
          <w:tcPr>
            <w:tcW w:w="7739" w:type="dxa"/>
          </w:tcPr>
          <w:p>
            <w:pPr>
              <w:pStyle w:val="TableParagraph"/>
              <w:spacing w:before="114"/>
              <w:jc w:val="left"/>
              <w:rPr>
                <w:sz w:val="20"/>
              </w:rPr>
            </w:pPr>
            <w:r>
              <w:rPr>
                <w:sz w:val="20"/>
              </w:rPr>
              <w:t>cf. </w:t>
            </w:r>
            <w:r>
              <w:rPr>
                <w:rFonts w:ascii="Arial"/>
                <w:i/>
                <w:sz w:val="20"/>
              </w:rPr>
              <w:t>Jacobs v Credit Lyonnais (1884) 12 Q.B.D. </w:t>
            </w:r>
            <w:r>
              <w:rPr>
                <w:rFonts w:ascii="Arial"/>
                <w:i/>
                <w:spacing w:val="-4"/>
                <w:sz w:val="20"/>
              </w:rPr>
              <w:t>589</w:t>
            </w:r>
            <w:r>
              <w:rPr>
                <w:spacing w:val="-4"/>
                <w:sz w:val="20"/>
              </w:rPr>
              <w:t>.</w:t>
            </w:r>
          </w:p>
        </w:tc>
      </w:tr>
      <w:tr>
        <w:trPr>
          <w:trHeight w:val="344" w:hRule="atLeast"/>
        </w:trPr>
        <w:tc>
          <w:tcPr>
            <w:tcW w:w="496" w:type="dxa"/>
          </w:tcPr>
          <w:p>
            <w:pPr>
              <w:pStyle w:val="TableParagraph"/>
              <w:ind w:left="0" w:right="43"/>
              <w:rPr>
                <w:sz w:val="14"/>
              </w:rPr>
            </w:pPr>
            <w:bookmarkStart w:name="_bookmark2649" w:id="2651"/>
            <w:bookmarkEnd w:id="2651"/>
            <w:r>
              <w:rPr/>
            </w:r>
            <w:hyperlink w:history="true" w:anchor="_bookmark2591">
              <w:r>
                <w:rPr>
                  <w:color w:val="005DA1"/>
                  <w:spacing w:val="-2"/>
                  <w:sz w:val="14"/>
                  <w:u w:val="single" w:color="005DA1"/>
                </w:rPr>
                <w:t>1375</w:t>
              </w:r>
            </w:hyperlink>
            <w:r>
              <w:rPr>
                <w:spacing w:val="-2"/>
                <w:sz w:val="14"/>
              </w:rPr>
              <w:t>.</w:t>
            </w:r>
          </w:p>
        </w:tc>
        <w:tc>
          <w:tcPr>
            <w:tcW w:w="7739" w:type="dxa"/>
          </w:tcPr>
          <w:p>
            <w:pPr>
              <w:pStyle w:val="TableParagraph"/>
              <w:spacing w:line="210" w:lineRule="exact" w:before="114"/>
              <w:jc w:val="left"/>
              <w:rPr>
                <w:sz w:val="20"/>
              </w:rPr>
            </w:pPr>
            <w:r>
              <w:rPr>
                <w:sz w:val="20"/>
              </w:rPr>
              <w:t>See Recital 37 to the </w:t>
            </w:r>
            <w:r>
              <w:rPr>
                <w:spacing w:val="-2"/>
                <w:sz w:val="20"/>
              </w:rPr>
              <w:t>Regulation.</w:t>
            </w:r>
          </w:p>
        </w:tc>
      </w:tr>
    </w:tbl>
    <w:p>
      <w:pPr>
        <w:pStyle w:val="TableParagraph"/>
        <w:spacing w:after="0" w:line="210" w:lineRule="exact"/>
        <w:jc w:val="left"/>
        <w:rPr>
          <w:sz w:val="20"/>
        </w:rPr>
        <w:sectPr>
          <w:pgSz w:w="11900" w:h="16840"/>
          <w:pgMar w:header="971" w:footer="0" w:top="1300" w:bottom="280" w:left="1275" w:right="1275"/>
        </w:sectPr>
      </w:pPr>
    </w:p>
    <w:p>
      <w:pPr>
        <w:pStyle w:val="BodyText"/>
        <w:spacing w:before="166"/>
        <w:ind w:left="165"/>
      </w:pPr>
      <w:hyperlink w:history="true" w:anchor="_bookmark2592">
        <w:r>
          <w:rPr>
            <w:color w:val="005DA1"/>
            <w:position w:val="5"/>
            <w:sz w:val="14"/>
            <w:u w:val="single" w:color="005DA1"/>
          </w:rPr>
          <w:t>1376</w:t>
        </w:r>
      </w:hyperlink>
      <w:r>
        <w:rPr>
          <w:position w:val="5"/>
          <w:sz w:val="14"/>
        </w:rPr>
        <w:t>.</w:t>
      </w:r>
      <w:r>
        <w:rPr>
          <w:spacing w:val="55"/>
          <w:position w:val="5"/>
          <w:sz w:val="14"/>
        </w:rPr>
        <w:t>  </w:t>
      </w:r>
      <w:r>
        <w:rPr/>
        <w:t>See</w:t>
      </w:r>
      <w:r>
        <w:rPr>
          <w:spacing w:val="1"/>
        </w:rPr>
        <w:t> </w:t>
      </w:r>
      <w:r>
        <w:rPr/>
        <w:t>Chong (2006) 2 J. Priv. Int. L. 27; Dickinson (2007) 3 J. Priv. Int. L. </w:t>
      </w:r>
      <w:r>
        <w:rPr>
          <w:spacing w:val="-5"/>
        </w:rPr>
        <w:t>53.</w:t>
      </w:r>
    </w:p>
    <w:p>
      <w:pPr>
        <w:pStyle w:val="BodyText"/>
        <w:spacing w:before="9"/>
      </w:pPr>
    </w:p>
    <w:p>
      <w:pPr>
        <w:spacing w:line="235" w:lineRule="auto" w:before="0"/>
        <w:ind w:left="705" w:right="167" w:hanging="541"/>
        <w:jc w:val="both"/>
        <w:rPr>
          <w:sz w:val="20"/>
        </w:rPr>
      </w:pPr>
      <w:bookmarkStart w:name="_bookmark2650" w:id="2652"/>
      <w:bookmarkEnd w:id="2652"/>
      <w:r>
        <w:rPr/>
      </w:r>
      <w:hyperlink w:history="true" w:anchor="_bookmark2593">
        <w:r>
          <w:rPr>
            <w:color w:val="005DA1"/>
            <w:position w:val="5"/>
            <w:sz w:val="14"/>
            <w:u w:val="single" w:color="005DA1"/>
          </w:rPr>
          <w:t>1377</w:t>
        </w:r>
      </w:hyperlink>
      <w:r>
        <w:rPr>
          <w:position w:val="5"/>
          <w:sz w:val="14"/>
        </w:rPr>
        <w:t>.</w:t>
      </w:r>
      <w:r>
        <w:rPr>
          <w:spacing w:val="80"/>
          <w:position w:val="5"/>
          <w:sz w:val="14"/>
        </w:rPr>
        <w:t> </w:t>
      </w:r>
      <w:r>
        <w:rPr>
          <w:rFonts w:ascii="Arial" w:hAnsi="Arial"/>
          <w:i/>
          <w:sz w:val="20"/>
        </w:rPr>
        <w:t>Kleinwort Sons &amp; Co v Ungarische Baumwolle Industrie AG [1939] K.B. 678</w:t>
      </w:r>
      <w:r>
        <w:rPr>
          <w:sz w:val="20"/>
        </w:rPr>
        <w:t>; </w:t>
      </w:r>
      <w:r>
        <w:rPr>
          <w:rFonts w:ascii="Arial" w:hAnsi="Arial"/>
          <w:i/>
          <w:sz w:val="20"/>
        </w:rPr>
        <w:t>Kahler v Midland Bank Ltd [1950] A.C. 24, 48</w:t>
      </w:r>
      <w:r>
        <w:rPr>
          <w:sz w:val="20"/>
        </w:rPr>
        <w:t>; </w:t>
      </w:r>
      <w:r>
        <w:rPr>
          <w:rFonts w:ascii="Arial" w:hAnsi="Arial"/>
          <w:i/>
          <w:sz w:val="20"/>
        </w:rPr>
        <w:t>Toprak Mahsulleri Ofisi v Finagrain Compagnie </w:t>
      </w:r>
      <w:r>
        <w:rPr>
          <w:rFonts w:ascii="Arial" w:hAnsi="Arial"/>
          <w:i/>
          <w:sz w:val="20"/>
        </w:rPr>
        <w:t>Commerciale Agricole et Financière SA [1979] 2 Lloyd’s Rep. 98</w:t>
      </w:r>
      <w:r>
        <w:rPr>
          <w:sz w:val="20"/>
        </w:rPr>
        <w:t>.</w:t>
      </w:r>
    </w:p>
    <w:p>
      <w:pPr>
        <w:pStyle w:val="BodyText"/>
        <w:spacing w:before="5"/>
      </w:pPr>
    </w:p>
    <w:p>
      <w:pPr>
        <w:spacing w:line="227" w:lineRule="exact" w:before="0"/>
        <w:ind w:left="165" w:right="0" w:firstLine="0"/>
        <w:jc w:val="left"/>
        <w:rPr>
          <w:rFonts w:ascii="Arial"/>
          <w:i/>
          <w:sz w:val="20"/>
        </w:rPr>
      </w:pPr>
      <w:bookmarkStart w:name="_bookmark2651" w:id="2653"/>
      <w:bookmarkEnd w:id="2653"/>
      <w:r>
        <w:rPr/>
      </w:r>
      <w:hyperlink w:history="true" w:anchor="_bookmark2594">
        <w:r>
          <w:rPr>
            <w:color w:val="005DA1"/>
            <w:position w:val="5"/>
            <w:sz w:val="14"/>
            <w:u w:val="single" w:color="005DA1"/>
          </w:rPr>
          <w:t>1378</w:t>
        </w:r>
      </w:hyperlink>
      <w:r>
        <w:rPr>
          <w:position w:val="5"/>
          <w:sz w:val="14"/>
        </w:rPr>
        <w:t>.</w:t>
      </w:r>
      <w:r>
        <w:rPr>
          <w:spacing w:val="55"/>
          <w:position w:val="5"/>
          <w:sz w:val="14"/>
        </w:rPr>
        <w:t>  </w:t>
      </w:r>
      <w:r>
        <w:rPr>
          <w:rFonts w:ascii="Arial"/>
          <w:i/>
          <w:sz w:val="20"/>
        </w:rPr>
        <w:t>Kahler</w:t>
      </w:r>
      <w:r>
        <w:rPr>
          <w:rFonts w:ascii="Arial"/>
          <w:i/>
          <w:spacing w:val="63"/>
          <w:sz w:val="20"/>
        </w:rPr>
        <w:t> </w:t>
      </w:r>
      <w:r>
        <w:rPr>
          <w:rFonts w:ascii="Arial"/>
          <w:i/>
          <w:sz w:val="20"/>
        </w:rPr>
        <w:t>v</w:t>
      </w:r>
      <w:r>
        <w:rPr>
          <w:rFonts w:ascii="Arial"/>
          <w:i/>
          <w:spacing w:val="62"/>
          <w:sz w:val="20"/>
        </w:rPr>
        <w:t> </w:t>
      </w:r>
      <w:r>
        <w:rPr>
          <w:rFonts w:ascii="Arial"/>
          <w:i/>
          <w:sz w:val="20"/>
        </w:rPr>
        <w:t>Midland</w:t>
      </w:r>
      <w:r>
        <w:rPr>
          <w:rFonts w:ascii="Arial"/>
          <w:i/>
          <w:spacing w:val="62"/>
          <w:sz w:val="20"/>
        </w:rPr>
        <w:t> </w:t>
      </w:r>
      <w:r>
        <w:rPr>
          <w:rFonts w:ascii="Arial"/>
          <w:i/>
          <w:sz w:val="20"/>
        </w:rPr>
        <w:t>Bank</w:t>
      </w:r>
      <w:r>
        <w:rPr>
          <w:rFonts w:ascii="Arial"/>
          <w:i/>
          <w:spacing w:val="62"/>
          <w:sz w:val="20"/>
        </w:rPr>
        <w:t> </w:t>
      </w:r>
      <w:r>
        <w:rPr>
          <w:rFonts w:ascii="Arial"/>
          <w:i/>
          <w:sz w:val="20"/>
        </w:rPr>
        <w:t>Ltd</w:t>
      </w:r>
      <w:r>
        <w:rPr>
          <w:rFonts w:ascii="Arial"/>
          <w:i/>
          <w:spacing w:val="62"/>
          <w:sz w:val="20"/>
        </w:rPr>
        <w:t> </w:t>
      </w:r>
      <w:r>
        <w:rPr>
          <w:rFonts w:ascii="Arial"/>
          <w:i/>
          <w:sz w:val="20"/>
        </w:rPr>
        <w:t>[1950]</w:t>
      </w:r>
      <w:r>
        <w:rPr>
          <w:rFonts w:ascii="Arial"/>
          <w:i/>
          <w:spacing w:val="62"/>
          <w:sz w:val="20"/>
        </w:rPr>
        <w:t> </w:t>
      </w:r>
      <w:r>
        <w:rPr>
          <w:rFonts w:ascii="Arial"/>
          <w:i/>
          <w:sz w:val="20"/>
        </w:rPr>
        <w:t>A.C.</w:t>
      </w:r>
      <w:r>
        <w:rPr>
          <w:rFonts w:ascii="Arial"/>
          <w:i/>
          <w:spacing w:val="62"/>
          <w:sz w:val="20"/>
        </w:rPr>
        <w:t> </w:t>
      </w:r>
      <w:r>
        <w:rPr>
          <w:rFonts w:ascii="Arial"/>
          <w:i/>
          <w:sz w:val="20"/>
        </w:rPr>
        <w:t>24,</w:t>
      </w:r>
      <w:r>
        <w:rPr>
          <w:rFonts w:ascii="Arial"/>
          <w:i/>
          <w:spacing w:val="61"/>
          <w:sz w:val="20"/>
        </w:rPr>
        <w:t> </w:t>
      </w:r>
      <w:r>
        <w:rPr>
          <w:rFonts w:ascii="Arial"/>
          <w:i/>
          <w:sz w:val="20"/>
        </w:rPr>
        <w:t>36,</w:t>
      </w:r>
      <w:r>
        <w:rPr>
          <w:rFonts w:ascii="Arial"/>
          <w:i/>
          <w:spacing w:val="62"/>
          <w:sz w:val="20"/>
        </w:rPr>
        <w:t> </w:t>
      </w:r>
      <w:r>
        <w:rPr>
          <w:rFonts w:ascii="Arial"/>
          <w:i/>
          <w:sz w:val="20"/>
        </w:rPr>
        <w:t>39,</w:t>
      </w:r>
      <w:r>
        <w:rPr>
          <w:rFonts w:ascii="Arial"/>
          <w:i/>
          <w:spacing w:val="62"/>
          <w:sz w:val="20"/>
        </w:rPr>
        <w:t> </w:t>
      </w:r>
      <w:r>
        <w:rPr>
          <w:rFonts w:ascii="Arial"/>
          <w:i/>
          <w:sz w:val="20"/>
        </w:rPr>
        <w:t>48</w:t>
      </w:r>
      <w:r>
        <w:rPr>
          <w:sz w:val="20"/>
        </w:rPr>
        <w:t>.</w:t>
      </w:r>
      <w:r>
        <w:rPr>
          <w:spacing w:val="62"/>
          <w:sz w:val="20"/>
        </w:rPr>
        <w:t> </w:t>
      </w:r>
      <w:r>
        <w:rPr>
          <w:sz w:val="20"/>
        </w:rPr>
        <w:t>And</w:t>
      </w:r>
      <w:r>
        <w:rPr>
          <w:spacing w:val="62"/>
          <w:sz w:val="20"/>
        </w:rPr>
        <w:t> </w:t>
      </w:r>
      <w:r>
        <w:rPr>
          <w:sz w:val="20"/>
        </w:rPr>
        <w:t>see</w:t>
      </w:r>
      <w:r>
        <w:rPr>
          <w:spacing w:val="62"/>
          <w:sz w:val="20"/>
        </w:rPr>
        <w:t> </w:t>
      </w:r>
      <w:r>
        <w:rPr>
          <w:rFonts w:ascii="Arial"/>
          <w:i/>
          <w:sz w:val="20"/>
        </w:rPr>
        <w:t>Zivnostenska</w:t>
      </w:r>
      <w:r>
        <w:rPr>
          <w:rFonts w:ascii="Arial"/>
          <w:i/>
          <w:spacing w:val="62"/>
          <w:sz w:val="20"/>
        </w:rPr>
        <w:t> </w:t>
      </w:r>
      <w:r>
        <w:rPr>
          <w:rFonts w:ascii="Arial"/>
          <w:i/>
          <w:sz w:val="20"/>
        </w:rPr>
        <w:t>Banka</w:t>
      </w:r>
      <w:r>
        <w:rPr>
          <w:rFonts w:ascii="Arial"/>
          <w:i/>
          <w:spacing w:val="62"/>
          <w:sz w:val="20"/>
        </w:rPr>
        <w:t> </w:t>
      </w:r>
      <w:r>
        <w:rPr>
          <w:rFonts w:ascii="Arial"/>
          <w:i/>
          <w:spacing w:val="-10"/>
          <w:sz w:val="20"/>
        </w:rPr>
        <w:t>v</w:t>
      </w:r>
    </w:p>
    <w:p>
      <w:pPr>
        <w:spacing w:line="235" w:lineRule="auto" w:before="2"/>
        <w:ind w:left="705" w:right="162" w:firstLine="0"/>
        <w:jc w:val="left"/>
        <w:rPr>
          <w:rFonts w:ascii="Arial" w:hAnsi="Arial"/>
          <w:i/>
          <w:sz w:val="20"/>
        </w:rPr>
      </w:pPr>
      <w:r>
        <w:rPr>
          <w:rFonts w:ascii="Arial" w:hAnsi="Arial"/>
          <w:i/>
          <w:sz w:val="20"/>
        </w:rPr>
        <w:t>Frankman</w:t>
      </w:r>
      <w:r>
        <w:rPr>
          <w:rFonts w:ascii="Arial" w:hAnsi="Arial"/>
          <w:i/>
          <w:spacing w:val="-2"/>
          <w:sz w:val="20"/>
        </w:rPr>
        <w:t> </w:t>
      </w:r>
      <w:r>
        <w:rPr>
          <w:rFonts w:ascii="Arial" w:hAnsi="Arial"/>
          <w:i/>
          <w:sz w:val="20"/>
        </w:rPr>
        <w:t>[1950]</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57,</w:t>
      </w:r>
      <w:r>
        <w:rPr>
          <w:rFonts w:ascii="Arial" w:hAnsi="Arial"/>
          <w:i/>
          <w:spacing w:val="-2"/>
          <w:sz w:val="20"/>
        </w:rPr>
        <w:t> </w:t>
      </w:r>
      <w:r>
        <w:rPr>
          <w:rFonts w:ascii="Arial" w:hAnsi="Arial"/>
          <w:i/>
          <w:sz w:val="20"/>
        </w:rPr>
        <w:t>79</w:t>
      </w:r>
      <w:r>
        <w:rPr>
          <w:sz w:val="20"/>
        </w:rPr>
        <w:t>;</w:t>
      </w:r>
      <w:r>
        <w:rPr>
          <w:spacing w:val="-2"/>
          <w:sz w:val="20"/>
        </w:rPr>
        <w:t> </w:t>
      </w:r>
      <w:r>
        <w:rPr>
          <w:rFonts w:ascii="Arial" w:hAnsi="Arial"/>
          <w:i/>
          <w:sz w:val="20"/>
        </w:rPr>
        <w:t>Regazzoni</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K.C.</w:t>
      </w:r>
      <w:r>
        <w:rPr>
          <w:rFonts w:ascii="Arial" w:hAnsi="Arial"/>
          <w:i/>
          <w:spacing w:val="-2"/>
          <w:sz w:val="20"/>
        </w:rPr>
        <w:t> </w:t>
      </w:r>
      <w:r>
        <w:rPr>
          <w:rFonts w:ascii="Arial" w:hAnsi="Arial"/>
          <w:i/>
          <w:sz w:val="20"/>
        </w:rPr>
        <w:t>Sethia</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[1956]</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490,</w:t>
      </w:r>
      <w:r>
        <w:rPr>
          <w:rFonts w:ascii="Arial" w:hAnsi="Arial"/>
          <w:i/>
          <w:spacing w:val="-2"/>
          <w:sz w:val="20"/>
        </w:rPr>
        <w:t> </w:t>
      </w:r>
      <w:r>
        <w:rPr>
          <w:rFonts w:ascii="Arial" w:hAnsi="Arial"/>
          <w:i/>
          <w:sz w:val="20"/>
        </w:rPr>
        <w:t>514,</w:t>
      </w:r>
      <w:r>
        <w:rPr>
          <w:rFonts w:ascii="Arial" w:hAnsi="Arial"/>
          <w:i/>
          <w:spacing w:val="-2"/>
          <w:sz w:val="20"/>
        </w:rPr>
        <w:t> </w:t>
      </w:r>
      <w:r>
        <w:rPr>
          <w:rFonts w:ascii="Arial" w:hAnsi="Arial"/>
          <w:i/>
          <w:sz w:val="20"/>
        </w:rPr>
        <w:t>523</w:t>
      </w:r>
      <w:r>
        <w:rPr>
          <w:sz w:val="20"/>
        </w:rPr>
        <w:t>;</w:t>
      </w:r>
      <w:r>
        <w:rPr>
          <w:spacing w:val="-2"/>
          <w:sz w:val="20"/>
        </w:rPr>
        <w:t> </w:t>
      </w:r>
      <w:r>
        <w:rPr>
          <w:rFonts w:ascii="Arial" w:hAnsi="Arial"/>
          <w:i/>
          <w:sz w:val="20"/>
        </w:rPr>
        <w:t>Nile</w:t>
      </w:r>
      <w:r>
        <w:rPr>
          <w:rFonts w:ascii="Arial" w:hAnsi="Arial"/>
          <w:i/>
          <w:spacing w:val="-2"/>
          <w:sz w:val="20"/>
        </w:rPr>
        <w:t> </w:t>
      </w:r>
      <w:r>
        <w:rPr>
          <w:rFonts w:ascii="Arial" w:hAnsi="Arial"/>
          <w:i/>
          <w:sz w:val="20"/>
        </w:rPr>
        <w:t>Co for</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Export</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Agricultural</w:t>
      </w:r>
      <w:r>
        <w:rPr>
          <w:rFonts w:ascii="Arial" w:hAnsi="Arial"/>
          <w:i/>
          <w:spacing w:val="3"/>
          <w:sz w:val="20"/>
        </w:rPr>
        <w:t> </w:t>
      </w:r>
      <w:r>
        <w:rPr>
          <w:rFonts w:ascii="Arial" w:hAnsi="Arial"/>
          <w:i/>
          <w:sz w:val="20"/>
        </w:rPr>
        <w:t>Crops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Bennett</w:t>
      </w:r>
      <w:r>
        <w:rPr>
          <w:rFonts w:ascii="Arial" w:hAnsi="Arial"/>
          <w:i/>
          <w:spacing w:val="3"/>
          <w:sz w:val="20"/>
        </w:rPr>
        <w:t> </w:t>
      </w:r>
      <w:r>
        <w:rPr>
          <w:rFonts w:ascii="Arial" w:hAnsi="Arial"/>
          <w:i/>
          <w:sz w:val="20"/>
        </w:rPr>
        <w:t>(Commodities)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[1986]</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555,</w:t>
      </w:r>
      <w:r>
        <w:rPr>
          <w:rFonts w:ascii="Arial" w:hAnsi="Arial"/>
          <w:i/>
          <w:spacing w:val="3"/>
          <w:sz w:val="20"/>
        </w:rPr>
        <w:t> </w:t>
      </w:r>
      <w:r>
        <w:rPr>
          <w:rFonts w:ascii="Arial" w:hAnsi="Arial"/>
          <w:i/>
          <w:spacing w:val="-5"/>
          <w:sz w:val="20"/>
        </w:rPr>
        <w:t>581</w:t>
      </w:r>
    </w:p>
    <w:p>
      <w:pPr>
        <w:spacing w:line="225" w:lineRule="exact" w:before="0"/>
        <w:ind w:left="705" w:right="0" w:firstLine="0"/>
        <w:jc w:val="left"/>
        <w:rPr>
          <w:sz w:val="20"/>
        </w:rPr>
      </w:pPr>
      <w:r>
        <w:rPr>
          <w:sz w:val="20"/>
        </w:rPr>
        <w:t>. See also</w:t>
      </w:r>
      <w:r>
        <w:rPr>
          <w:spacing w:val="-1"/>
          <w:sz w:val="20"/>
        </w:rPr>
        <w:t> </w:t>
      </w:r>
      <w:r>
        <w:rPr>
          <w:rFonts w:ascii="Arial" w:hAnsi="Arial"/>
          <w:i/>
          <w:sz w:val="20"/>
        </w:rPr>
        <w:t>Fox v Henderson Investment Fund Ltd [1999] 2 Lloyd’s Rep. </w:t>
      </w:r>
      <w:r>
        <w:rPr>
          <w:rFonts w:ascii="Arial" w:hAnsi="Arial"/>
          <w:i/>
          <w:spacing w:val="-4"/>
          <w:sz w:val="20"/>
        </w:rPr>
        <w:t>303</w:t>
      </w:r>
      <w:r>
        <w:rPr>
          <w:spacing w:val="-4"/>
          <w:sz w:val="20"/>
        </w:rPr>
        <w:t>.</w:t>
      </w:r>
    </w:p>
    <w:p>
      <w:pPr>
        <w:pStyle w:val="BodyText"/>
        <w:spacing w:before="8"/>
      </w:pPr>
    </w:p>
    <w:p>
      <w:pPr>
        <w:spacing w:line="235" w:lineRule="auto" w:before="0"/>
        <w:ind w:left="705" w:right="0" w:hanging="541"/>
        <w:jc w:val="left"/>
        <w:rPr>
          <w:rFonts w:ascii="Arial" w:hAnsi="Arial"/>
          <w:i/>
          <w:sz w:val="20"/>
        </w:rPr>
      </w:pPr>
      <w:bookmarkStart w:name="_bookmark2652" w:id="2654"/>
      <w:bookmarkEnd w:id="2654"/>
      <w:r>
        <w:rPr/>
      </w:r>
      <w:hyperlink w:history="true" w:anchor="_bookmark2594">
        <w:r>
          <w:rPr>
            <w:color w:val="005DA1"/>
            <w:position w:val="5"/>
            <w:sz w:val="14"/>
            <w:u w:val="single" w:color="005DA1"/>
          </w:rPr>
          <w:t>1379</w:t>
        </w:r>
      </w:hyperlink>
      <w:r>
        <w:rPr>
          <w:position w:val="5"/>
          <w:sz w:val="14"/>
        </w:rPr>
        <w:t>.</w:t>
      </w:r>
      <w:r>
        <w:rPr>
          <w:spacing w:val="40"/>
          <w:position w:val="5"/>
          <w:sz w:val="14"/>
        </w:rPr>
        <w:t>  </w:t>
      </w:r>
      <w:r>
        <w:rPr>
          <w:rFonts w:ascii="Arial" w:hAnsi="Arial"/>
          <w:i/>
          <w:sz w:val="20"/>
        </w:rPr>
        <w:t>Vita</w:t>
      </w:r>
      <w:r>
        <w:rPr>
          <w:rFonts w:ascii="Arial" w:hAnsi="Arial"/>
          <w:i/>
          <w:spacing w:val="25"/>
          <w:sz w:val="20"/>
        </w:rPr>
        <w:t> </w:t>
      </w:r>
      <w:r>
        <w:rPr>
          <w:rFonts w:ascii="Arial" w:hAnsi="Arial"/>
          <w:i/>
          <w:sz w:val="20"/>
        </w:rPr>
        <w:t>Foods</w:t>
      </w:r>
      <w:r>
        <w:rPr>
          <w:rFonts w:ascii="Arial" w:hAnsi="Arial"/>
          <w:i/>
          <w:spacing w:val="25"/>
          <w:sz w:val="20"/>
        </w:rPr>
        <w:t> </w:t>
      </w:r>
      <w:r>
        <w:rPr>
          <w:rFonts w:ascii="Arial" w:hAnsi="Arial"/>
          <w:i/>
          <w:sz w:val="20"/>
        </w:rPr>
        <w:t>Products</w:t>
      </w:r>
      <w:r>
        <w:rPr>
          <w:rFonts w:ascii="Arial" w:hAnsi="Arial"/>
          <w:i/>
          <w:spacing w:val="25"/>
          <w:sz w:val="20"/>
        </w:rPr>
        <w:t> </w:t>
      </w:r>
      <w:r>
        <w:rPr>
          <w:rFonts w:ascii="Arial" w:hAnsi="Arial"/>
          <w:i/>
          <w:sz w:val="20"/>
        </w:rPr>
        <w:t>Inc</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Unus</w:t>
      </w:r>
      <w:r>
        <w:rPr>
          <w:rFonts w:ascii="Arial" w:hAnsi="Arial"/>
          <w:i/>
          <w:spacing w:val="25"/>
          <w:sz w:val="20"/>
        </w:rPr>
        <w:t> </w:t>
      </w:r>
      <w:r>
        <w:rPr>
          <w:rFonts w:ascii="Arial" w:hAnsi="Arial"/>
          <w:i/>
          <w:sz w:val="20"/>
        </w:rPr>
        <w:t>Shipping</w:t>
      </w:r>
      <w:r>
        <w:rPr>
          <w:rFonts w:ascii="Arial" w:hAnsi="Arial"/>
          <w:i/>
          <w:spacing w:val="25"/>
          <w:sz w:val="20"/>
        </w:rPr>
        <w:t> </w:t>
      </w:r>
      <w:r>
        <w:rPr>
          <w:rFonts w:ascii="Arial" w:hAnsi="Arial"/>
          <w:i/>
          <w:sz w:val="20"/>
        </w:rPr>
        <w:t>Co</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[1939]</w:t>
      </w:r>
      <w:r>
        <w:rPr>
          <w:rFonts w:ascii="Arial" w:hAnsi="Arial"/>
          <w:i/>
          <w:spacing w:val="25"/>
          <w:sz w:val="20"/>
        </w:rPr>
        <w:t> </w:t>
      </w:r>
      <w:r>
        <w:rPr>
          <w:rFonts w:ascii="Arial" w:hAnsi="Arial"/>
          <w:i/>
          <w:sz w:val="20"/>
        </w:rPr>
        <w:t>A.C.</w:t>
      </w:r>
      <w:r>
        <w:rPr>
          <w:rFonts w:ascii="Arial" w:hAnsi="Arial"/>
          <w:i/>
          <w:spacing w:val="25"/>
          <w:sz w:val="20"/>
        </w:rPr>
        <w:t> </w:t>
      </w:r>
      <w:r>
        <w:rPr>
          <w:rFonts w:ascii="Arial" w:hAnsi="Arial"/>
          <w:i/>
          <w:sz w:val="20"/>
        </w:rPr>
        <w:t>277,</w:t>
      </w:r>
      <w:r>
        <w:rPr>
          <w:rFonts w:ascii="Arial" w:hAnsi="Arial"/>
          <w:i/>
          <w:spacing w:val="25"/>
          <w:sz w:val="20"/>
        </w:rPr>
        <w:t> </w:t>
      </w:r>
      <w:r>
        <w:rPr>
          <w:rFonts w:ascii="Arial" w:hAnsi="Arial"/>
          <w:i/>
          <w:sz w:val="20"/>
        </w:rPr>
        <w:t>297–300</w:t>
      </w:r>
      <w:r>
        <w:rPr>
          <w:sz w:val="20"/>
        </w:rPr>
        <w:t>.</w:t>
      </w:r>
      <w:r>
        <w:rPr>
          <w:spacing w:val="25"/>
          <w:sz w:val="20"/>
        </w:rPr>
        <w:t> </w:t>
      </w:r>
      <w:r>
        <w:rPr>
          <w:sz w:val="20"/>
        </w:rPr>
        <w:t>See</w:t>
      </w:r>
      <w:r>
        <w:rPr>
          <w:spacing w:val="25"/>
          <w:sz w:val="20"/>
        </w:rPr>
        <w:t> </w:t>
      </w:r>
      <w:r>
        <w:rPr>
          <w:sz w:val="20"/>
        </w:rPr>
        <w:t>F.A.</w:t>
      </w:r>
      <w:r>
        <w:rPr>
          <w:spacing w:val="25"/>
          <w:sz w:val="20"/>
        </w:rPr>
        <w:t> </w:t>
      </w:r>
      <w:r>
        <w:rPr>
          <w:sz w:val="20"/>
        </w:rPr>
        <w:t>Mann (1937)</w:t>
      </w:r>
      <w:r>
        <w:rPr>
          <w:spacing w:val="11"/>
          <w:sz w:val="20"/>
        </w:rPr>
        <w:t> </w:t>
      </w:r>
      <w:r>
        <w:rPr>
          <w:sz w:val="20"/>
        </w:rPr>
        <w:t>18</w:t>
      </w:r>
      <w:r>
        <w:rPr>
          <w:spacing w:val="12"/>
          <w:sz w:val="20"/>
        </w:rPr>
        <w:t> </w:t>
      </w:r>
      <w:r>
        <w:rPr>
          <w:sz w:val="20"/>
        </w:rPr>
        <w:t>B.Y.I.L.</w:t>
      </w:r>
      <w:r>
        <w:rPr>
          <w:spacing w:val="12"/>
          <w:sz w:val="20"/>
        </w:rPr>
        <w:t> </w:t>
      </w:r>
      <w:r>
        <w:rPr>
          <w:sz w:val="20"/>
        </w:rPr>
        <w:t>97,</w:t>
      </w:r>
      <w:r>
        <w:rPr>
          <w:spacing w:val="12"/>
          <w:sz w:val="20"/>
        </w:rPr>
        <w:t> </w:t>
      </w:r>
      <w:r>
        <w:rPr>
          <w:sz w:val="20"/>
        </w:rPr>
        <w:t>107–113.</w:t>
      </w:r>
      <w:r>
        <w:rPr>
          <w:spacing w:val="12"/>
          <w:sz w:val="20"/>
        </w:rPr>
        <w:t> </w:t>
      </w:r>
      <w:r>
        <w:rPr>
          <w:sz w:val="20"/>
        </w:rPr>
        <w:t>cf.</w:t>
      </w:r>
      <w:r>
        <w:rPr>
          <w:spacing w:val="12"/>
          <w:sz w:val="20"/>
        </w:rPr>
        <w:t> </w:t>
      </w:r>
      <w:r>
        <w:rPr>
          <w:rFonts w:ascii="Arial" w:hAnsi="Arial"/>
          <w:i/>
          <w:sz w:val="20"/>
        </w:rPr>
        <w:t>The</w:t>
      </w:r>
      <w:r>
        <w:rPr>
          <w:rFonts w:ascii="Arial" w:hAnsi="Arial"/>
          <w:i/>
          <w:spacing w:val="12"/>
          <w:sz w:val="20"/>
        </w:rPr>
        <w:t> </w:t>
      </w:r>
      <w:r>
        <w:rPr>
          <w:rFonts w:ascii="Arial" w:hAnsi="Arial"/>
          <w:i/>
          <w:sz w:val="20"/>
        </w:rPr>
        <w:t>Torni</w:t>
      </w:r>
      <w:r>
        <w:rPr>
          <w:rFonts w:ascii="Arial" w:hAnsi="Arial"/>
          <w:i/>
          <w:spacing w:val="12"/>
          <w:sz w:val="20"/>
        </w:rPr>
        <w:t> </w:t>
      </w:r>
      <w:r>
        <w:rPr>
          <w:rFonts w:ascii="Arial" w:hAnsi="Arial"/>
          <w:i/>
          <w:sz w:val="20"/>
        </w:rPr>
        <w:t>[1932]</w:t>
      </w:r>
      <w:r>
        <w:rPr>
          <w:rFonts w:ascii="Arial" w:hAnsi="Arial"/>
          <w:i/>
          <w:spacing w:val="12"/>
          <w:sz w:val="20"/>
        </w:rPr>
        <w:t> </w:t>
      </w:r>
      <w:r>
        <w:rPr>
          <w:rFonts w:ascii="Arial" w:hAnsi="Arial"/>
          <w:i/>
          <w:sz w:val="20"/>
        </w:rPr>
        <w:t>P.</w:t>
      </w:r>
      <w:r>
        <w:rPr>
          <w:rFonts w:ascii="Arial" w:hAnsi="Arial"/>
          <w:i/>
          <w:spacing w:val="12"/>
          <w:sz w:val="20"/>
        </w:rPr>
        <w:t> </w:t>
      </w:r>
      <w:r>
        <w:rPr>
          <w:rFonts w:ascii="Arial" w:hAnsi="Arial"/>
          <w:i/>
          <w:sz w:val="20"/>
        </w:rPr>
        <w:t>78</w:t>
      </w:r>
      <w:r>
        <w:rPr>
          <w:sz w:val="20"/>
        </w:rPr>
        <w:t>;</w:t>
      </w:r>
      <w:r>
        <w:rPr>
          <w:spacing w:val="12"/>
          <w:sz w:val="20"/>
        </w:rPr>
        <w:t> </w:t>
      </w:r>
      <w:r>
        <w:rPr>
          <w:rFonts w:ascii="Arial" w:hAnsi="Arial"/>
          <w:i/>
          <w:sz w:val="20"/>
        </w:rPr>
        <w:t>Re</w:t>
      </w:r>
      <w:r>
        <w:rPr>
          <w:rFonts w:ascii="Arial" w:hAnsi="Arial"/>
          <w:i/>
          <w:spacing w:val="12"/>
          <w:sz w:val="20"/>
        </w:rPr>
        <w:t> </w:t>
      </w:r>
      <w:r>
        <w:rPr>
          <w:rFonts w:ascii="Arial" w:hAnsi="Arial"/>
          <w:i/>
          <w:sz w:val="20"/>
        </w:rPr>
        <w:t>Missouri</w:t>
      </w:r>
      <w:r>
        <w:rPr>
          <w:rFonts w:ascii="Arial" w:hAnsi="Arial"/>
          <w:i/>
          <w:spacing w:val="12"/>
          <w:sz w:val="20"/>
        </w:rPr>
        <w:t> </w:t>
      </w:r>
      <w:r>
        <w:rPr>
          <w:rFonts w:ascii="Arial" w:hAnsi="Arial"/>
          <w:i/>
          <w:sz w:val="20"/>
        </w:rPr>
        <w:t>S.S.</w:t>
      </w:r>
      <w:r>
        <w:rPr>
          <w:rFonts w:ascii="Arial" w:hAnsi="Arial"/>
          <w:i/>
          <w:spacing w:val="12"/>
          <w:sz w:val="20"/>
        </w:rPr>
        <w:t> </w:t>
      </w:r>
      <w:r>
        <w:rPr>
          <w:rFonts w:ascii="Arial" w:hAnsi="Arial"/>
          <w:i/>
          <w:sz w:val="20"/>
        </w:rPr>
        <w:t>Co</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(1889)</w:t>
      </w:r>
      <w:r>
        <w:rPr>
          <w:rFonts w:ascii="Arial" w:hAnsi="Arial"/>
          <w:i/>
          <w:spacing w:val="12"/>
          <w:sz w:val="20"/>
        </w:rPr>
        <w:t> </w:t>
      </w:r>
      <w:r>
        <w:rPr>
          <w:rFonts w:ascii="Arial" w:hAnsi="Arial"/>
          <w:i/>
          <w:spacing w:val="-5"/>
          <w:sz w:val="20"/>
        </w:rPr>
        <w:t>42</w:t>
      </w:r>
    </w:p>
    <w:p>
      <w:pPr>
        <w:spacing w:line="225" w:lineRule="exact" w:before="0"/>
        <w:ind w:left="705" w:right="0" w:firstLine="0"/>
        <w:jc w:val="left"/>
        <w:rPr>
          <w:sz w:val="20"/>
        </w:rPr>
      </w:pPr>
      <w:r>
        <w:rPr>
          <w:rFonts w:ascii="Arial"/>
          <w:i/>
          <w:sz w:val="20"/>
        </w:rPr>
        <w:t>Ch.</w:t>
      </w:r>
      <w:r>
        <w:rPr>
          <w:rFonts w:ascii="Arial"/>
          <w:i/>
          <w:spacing w:val="-1"/>
          <w:sz w:val="20"/>
        </w:rPr>
        <w:t> </w:t>
      </w:r>
      <w:r>
        <w:rPr>
          <w:rFonts w:ascii="Arial"/>
          <w:i/>
          <w:sz w:val="20"/>
        </w:rPr>
        <w:t>D. 321, 336</w:t>
      </w:r>
      <w:r>
        <w:rPr>
          <w:sz w:val="20"/>
        </w:rPr>
        <w:t>; </w:t>
      </w:r>
      <w:r>
        <w:rPr>
          <w:rFonts w:ascii="Arial"/>
          <w:i/>
          <w:sz w:val="20"/>
        </w:rPr>
        <w:t>The Hollandia [1983] 1 A.C. 565, </w:t>
      </w:r>
      <w:r>
        <w:rPr>
          <w:rFonts w:ascii="Arial"/>
          <w:i/>
          <w:spacing w:val="-4"/>
          <w:sz w:val="20"/>
        </w:rPr>
        <w:t>576</w:t>
      </w:r>
      <w:r>
        <w:rPr>
          <w:spacing w:val="-4"/>
          <w:sz w:val="20"/>
        </w:rPr>
        <w:t>.</w:t>
      </w:r>
    </w:p>
    <w:p>
      <w:pPr>
        <w:pStyle w:val="BodyText"/>
        <w:spacing w:before="5"/>
      </w:pPr>
    </w:p>
    <w:p>
      <w:pPr>
        <w:spacing w:before="0"/>
        <w:ind w:left="165" w:right="0" w:firstLine="0"/>
        <w:jc w:val="left"/>
        <w:rPr>
          <w:sz w:val="20"/>
        </w:rPr>
      </w:pPr>
      <w:bookmarkStart w:name="_bookmark2653" w:id="2655"/>
      <w:bookmarkEnd w:id="2655"/>
      <w:r>
        <w:rPr/>
      </w:r>
      <w:hyperlink w:history="true" w:anchor="_bookmark2595">
        <w:r>
          <w:rPr>
            <w:color w:val="005DA1"/>
            <w:position w:val="5"/>
            <w:sz w:val="14"/>
            <w:u w:val="single" w:color="005DA1"/>
          </w:rPr>
          <w:t>1380</w:t>
        </w:r>
      </w:hyperlink>
      <w:r>
        <w:rPr>
          <w:position w:val="5"/>
          <w:sz w:val="14"/>
        </w:rPr>
        <w:t>.</w:t>
      </w:r>
      <w:r>
        <w:rPr>
          <w:spacing w:val="55"/>
          <w:position w:val="5"/>
          <w:sz w:val="14"/>
        </w:rPr>
        <w:t>  </w:t>
      </w:r>
      <w:r>
        <w:rPr>
          <w:sz w:val="20"/>
        </w:rPr>
        <w:t>See</w:t>
      </w:r>
      <w:r>
        <w:rPr>
          <w:spacing w:val="1"/>
          <w:sz w:val="20"/>
        </w:rPr>
        <w:t> </w:t>
      </w:r>
      <w:r>
        <w:rPr>
          <w:sz w:val="20"/>
        </w:rPr>
        <w:t>above, para.30-</w:t>
      </w:r>
      <w:r>
        <w:rPr>
          <w:spacing w:val="-4"/>
          <w:sz w:val="20"/>
        </w:rPr>
        <w:t>361.</w:t>
      </w:r>
    </w:p>
    <w:p>
      <w:pPr>
        <w:pStyle w:val="BodyText"/>
        <w:spacing w:before="5"/>
      </w:pPr>
    </w:p>
    <w:p>
      <w:pPr>
        <w:pStyle w:val="BodyText"/>
        <w:spacing w:before="1"/>
        <w:ind w:left="165"/>
      </w:pPr>
      <w:bookmarkStart w:name="_bookmark2654" w:id="2656"/>
      <w:bookmarkEnd w:id="2656"/>
      <w:r>
        <w:rPr/>
      </w:r>
      <w:hyperlink w:history="true" w:anchor="_bookmark2596">
        <w:r>
          <w:rPr>
            <w:color w:val="005DA1"/>
            <w:position w:val="5"/>
            <w:sz w:val="14"/>
            <w:u w:val="single" w:color="005DA1"/>
          </w:rPr>
          <w:t>1381</w:t>
        </w:r>
      </w:hyperlink>
      <w:r>
        <w:rPr>
          <w:position w:val="5"/>
          <w:sz w:val="14"/>
        </w:rPr>
        <w:t>.</w:t>
      </w:r>
      <w:r>
        <w:rPr>
          <w:spacing w:val="55"/>
          <w:position w:val="5"/>
          <w:sz w:val="14"/>
        </w:rPr>
        <w:t>  </w:t>
      </w:r>
      <w:r>
        <w:rPr/>
        <w:t>Rome</w:t>
      </w:r>
      <w:r>
        <w:rPr>
          <w:spacing w:val="1"/>
        </w:rPr>
        <w:t> </w:t>
      </w:r>
      <w:r>
        <w:rPr/>
        <w:t>I art.9(3), above, para.30-</w:t>
      </w:r>
      <w:r>
        <w:rPr>
          <w:spacing w:val="-4"/>
        </w:rPr>
        <w:t>362.</w:t>
      </w:r>
    </w:p>
    <w:p>
      <w:pPr>
        <w:pStyle w:val="BodyText"/>
        <w:spacing w:before="4"/>
      </w:pPr>
    </w:p>
    <w:p>
      <w:pPr>
        <w:pStyle w:val="BodyText"/>
        <w:spacing w:before="1"/>
        <w:ind w:left="165"/>
      </w:pPr>
      <w:bookmarkStart w:name="_bookmark2655" w:id="2657"/>
      <w:bookmarkEnd w:id="2657"/>
      <w:r>
        <w:rPr/>
      </w:r>
      <w:hyperlink w:history="true" w:anchor="_bookmark2597">
        <w:r>
          <w:rPr>
            <w:color w:val="005DA1"/>
            <w:position w:val="5"/>
            <w:sz w:val="14"/>
            <w:u w:val="single" w:color="005DA1"/>
          </w:rPr>
          <w:t>1382</w:t>
        </w:r>
      </w:hyperlink>
      <w:r>
        <w:rPr>
          <w:position w:val="5"/>
          <w:sz w:val="14"/>
        </w:rPr>
        <w:t>.</w:t>
      </w:r>
      <w:r>
        <w:rPr>
          <w:spacing w:val="55"/>
          <w:position w:val="5"/>
          <w:sz w:val="14"/>
        </w:rPr>
        <w:t>  </w:t>
      </w:r>
      <w:r>
        <w:rPr/>
        <w:t>See</w:t>
      </w:r>
      <w:r>
        <w:rPr>
          <w:spacing w:val="1"/>
        </w:rPr>
        <w:t> </w:t>
      </w:r>
      <w:r>
        <w:rPr/>
        <w:t>also, above, para.30-</w:t>
      </w:r>
      <w:r>
        <w:rPr>
          <w:spacing w:val="-4"/>
        </w:rPr>
        <w:t>068.</w:t>
      </w:r>
    </w:p>
    <w:p>
      <w:pPr>
        <w:pStyle w:val="BodyText"/>
        <w:spacing w:before="8"/>
      </w:pPr>
    </w:p>
    <w:p>
      <w:pPr>
        <w:spacing w:line="235" w:lineRule="auto" w:before="0"/>
        <w:ind w:left="705" w:right="167" w:hanging="541"/>
        <w:jc w:val="both"/>
        <w:rPr>
          <w:sz w:val="20"/>
        </w:rPr>
      </w:pPr>
      <w:bookmarkStart w:name="_bookmark2656" w:id="2658"/>
      <w:bookmarkEnd w:id="2658"/>
      <w:r>
        <w:rPr/>
      </w:r>
      <w:hyperlink w:history="true" w:anchor="_bookmark2598">
        <w:r>
          <w:rPr>
            <w:color w:val="005DA1"/>
            <w:position w:val="5"/>
            <w:sz w:val="14"/>
            <w:u w:val="single" w:color="005DA1"/>
          </w:rPr>
          <w:t>1383</w:t>
        </w:r>
      </w:hyperlink>
      <w:r>
        <w:rPr>
          <w:position w:val="5"/>
          <w:sz w:val="14"/>
        </w:rPr>
        <w:t>.</w:t>
      </w:r>
      <w:r>
        <w:rPr>
          <w:spacing w:val="80"/>
          <w:position w:val="5"/>
          <w:sz w:val="14"/>
        </w:rPr>
        <w:t> </w:t>
      </w:r>
      <w:r>
        <w:rPr>
          <w:rFonts w:ascii="Arial" w:hAnsi="Arial"/>
          <w:i/>
          <w:sz w:val="20"/>
        </w:rPr>
        <w:t>Continental Enterprises Ltd v Shandong Zucheng Foreign Trade Group Co [2005] EWHC </w:t>
      </w:r>
      <w:r>
        <w:rPr>
          <w:rFonts w:ascii="Arial" w:hAnsi="Arial"/>
          <w:i/>
          <w:sz w:val="20"/>
        </w:rPr>
        <w:t>95 (Comm)</w:t>
      </w:r>
      <w:r>
        <w:rPr>
          <w:sz w:val="20"/>
        </w:rPr>
        <w:t>; Giuliano-Lagarde Report, p.38. In Recital 37 to the Rome I Regulation it is said that considerations “of public interest justify giving the courts of Member States the possibility, in exceptional circumstances, of applying exceptions based on public policy”.</w:t>
      </w:r>
    </w:p>
    <w:p>
      <w:pPr>
        <w:pStyle w:val="BodyText"/>
        <w:spacing w:before="5"/>
      </w:pPr>
    </w:p>
    <w:p>
      <w:pPr>
        <w:spacing w:before="0"/>
        <w:ind w:left="165" w:right="0" w:firstLine="0"/>
        <w:jc w:val="left"/>
        <w:rPr>
          <w:sz w:val="20"/>
        </w:rPr>
      </w:pPr>
      <w:bookmarkStart w:name="_bookmark2657" w:id="2659"/>
      <w:bookmarkEnd w:id="2659"/>
      <w:r>
        <w:rPr/>
      </w:r>
      <w:hyperlink w:history="true" w:anchor="_bookmark2599">
        <w:r>
          <w:rPr>
            <w:color w:val="005DA1"/>
            <w:position w:val="5"/>
            <w:sz w:val="14"/>
            <w:u w:val="single" w:color="005DA1"/>
          </w:rPr>
          <w:t>1384</w:t>
        </w:r>
      </w:hyperlink>
      <w:r>
        <w:rPr>
          <w:position w:val="5"/>
          <w:sz w:val="14"/>
        </w:rPr>
        <w:t>.</w:t>
      </w:r>
      <w:r>
        <w:rPr>
          <w:spacing w:val="55"/>
          <w:position w:val="5"/>
          <w:sz w:val="14"/>
        </w:rPr>
        <w:t>  </w:t>
      </w:r>
      <w:r>
        <w:rPr>
          <w:rFonts w:ascii="Arial"/>
          <w:i/>
          <w:sz w:val="20"/>
        </w:rPr>
        <w:t>Re</w:t>
      </w:r>
      <w:r>
        <w:rPr>
          <w:rFonts w:ascii="Arial"/>
          <w:i/>
          <w:spacing w:val="1"/>
          <w:sz w:val="20"/>
        </w:rPr>
        <w:t> </w:t>
      </w:r>
      <w:r>
        <w:rPr>
          <w:rFonts w:ascii="Arial"/>
          <w:i/>
          <w:sz w:val="20"/>
        </w:rPr>
        <w:t>Bonacina [1912] 2 Ch. </w:t>
      </w:r>
      <w:r>
        <w:rPr>
          <w:rFonts w:ascii="Arial"/>
          <w:i/>
          <w:spacing w:val="-4"/>
          <w:sz w:val="20"/>
        </w:rPr>
        <w:t>394</w:t>
      </w:r>
      <w:r>
        <w:rPr>
          <w:spacing w:val="-4"/>
          <w:sz w:val="20"/>
        </w:rPr>
        <w:t>.</w:t>
      </w:r>
    </w:p>
    <w:p>
      <w:pPr>
        <w:pStyle w:val="BodyText"/>
        <w:spacing w:before="9"/>
      </w:pPr>
    </w:p>
    <w:p>
      <w:pPr>
        <w:pStyle w:val="BodyText"/>
        <w:spacing w:line="235" w:lineRule="auto"/>
        <w:ind w:left="705" w:right="168" w:hanging="541"/>
      </w:pPr>
      <w:bookmarkStart w:name="_bookmark2658" w:id="2660"/>
      <w:bookmarkEnd w:id="2660"/>
      <w:r>
        <w:rPr/>
      </w:r>
      <w:hyperlink w:history="true" w:anchor="_bookmark2600">
        <w:r>
          <w:rPr>
            <w:color w:val="005DA1"/>
            <w:position w:val="5"/>
            <w:sz w:val="14"/>
            <w:u w:val="single" w:color="005DA1"/>
          </w:rPr>
          <w:t>1385</w:t>
        </w:r>
      </w:hyperlink>
      <w:r>
        <w:rPr>
          <w:position w:val="5"/>
          <w:sz w:val="14"/>
        </w:rPr>
        <w:t>.</w:t>
      </w:r>
      <w:r>
        <w:rPr>
          <w:spacing w:val="80"/>
          <w:w w:val="150"/>
          <w:position w:val="5"/>
          <w:sz w:val="14"/>
        </w:rPr>
        <w:t> </w:t>
      </w:r>
      <w:r>
        <w:rPr/>
        <w:t>See, e.g. Dicey, Morris and Collins, 15th edn (2012), para.32–188. The distinction is </w:t>
      </w:r>
      <w:r>
        <w:rPr/>
        <w:t>expressed by French jurists as one between ordre public interne and ordre public international.</w:t>
      </w:r>
    </w:p>
    <w:p>
      <w:pPr>
        <w:pStyle w:val="BodyText"/>
        <w:spacing w:before="9"/>
      </w:pPr>
    </w:p>
    <w:p>
      <w:pPr>
        <w:spacing w:line="235" w:lineRule="auto" w:before="0"/>
        <w:ind w:left="705" w:right="167" w:hanging="541"/>
        <w:jc w:val="both"/>
        <w:rPr>
          <w:sz w:val="20"/>
        </w:rPr>
      </w:pPr>
      <w:bookmarkStart w:name="_bookmark2659" w:id="2661"/>
      <w:bookmarkEnd w:id="2661"/>
      <w:r>
        <w:rPr/>
      </w:r>
      <w:hyperlink w:history="true" w:anchor="_bookmark2601">
        <w:r>
          <w:rPr>
            <w:color w:val="005DA1"/>
            <w:position w:val="5"/>
            <w:sz w:val="14"/>
            <w:u w:val="single" w:color="005DA1"/>
          </w:rPr>
          <w:t>1386</w:t>
        </w:r>
      </w:hyperlink>
      <w:r>
        <w:rPr>
          <w:position w:val="5"/>
          <w:sz w:val="14"/>
        </w:rPr>
        <w:t>.</w:t>
      </w:r>
      <w:r>
        <w:rPr>
          <w:spacing w:val="40"/>
          <w:position w:val="5"/>
          <w:sz w:val="14"/>
        </w:rPr>
        <w:t> </w:t>
      </w:r>
      <w:r>
        <w:rPr>
          <w:rFonts w:ascii="Arial" w:hAnsi="Arial"/>
          <w:i/>
          <w:sz w:val="20"/>
        </w:rPr>
        <w:t>Re COLT Telecom Group Plc [2002] EWHC 2815 (Ch), [2003] B.P.I.R. 324</w:t>
      </w:r>
      <w:r>
        <w:rPr>
          <w:sz w:val="20"/>
        </w:rPr>
        <w:t>; </w:t>
      </w:r>
      <w:r>
        <w:rPr>
          <w:rFonts w:ascii="Arial" w:hAnsi="Arial"/>
          <w:i/>
          <w:sz w:val="20"/>
        </w:rPr>
        <w:t>Continental Enterprises Ltd v Shandong Foreign Trade Group Co [2005] EWHC 95 (Comm)</w:t>
      </w:r>
      <w:r>
        <w:rPr>
          <w:sz w:val="20"/>
        </w:rPr>
        <w:t>. Compare the language of Cardozo J. in </w:t>
      </w:r>
      <w:r>
        <w:rPr>
          <w:rFonts w:ascii="Arial" w:hAnsi="Arial"/>
          <w:i/>
          <w:sz w:val="20"/>
        </w:rPr>
        <w:t>Loucks v Standard Oil Co of New York (1918) 224 N.Y. 99, 120 N.E. 198</w:t>
      </w:r>
      <w:r>
        <w:rPr>
          <w:sz w:val="20"/>
        </w:rPr>
        <w:t>: “If a foreign statute gives the right, the mere fact that we do not give a like right is no reason for refusing the plaintiff what belongs to him. We are not so provincial as to say that every solution of a problem is wrong because we deal with it otherwise at home”.</w:t>
      </w:r>
    </w:p>
    <w:p>
      <w:pPr>
        <w:pStyle w:val="BodyText"/>
        <w:spacing w:before="8"/>
      </w:pPr>
    </w:p>
    <w:p>
      <w:pPr>
        <w:spacing w:line="235" w:lineRule="auto" w:before="0"/>
        <w:ind w:left="705" w:right="167" w:hanging="541"/>
        <w:jc w:val="both"/>
        <w:rPr>
          <w:sz w:val="20"/>
        </w:rPr>
      </w:pPr>
      <w:bookmarkStart w:name="_bookmark2660" w:id="2662"/>
      <w:bookmarkEnd w:id="2662"/>
      <w:r>
        <w:rPr/>
      </w:r>
      <w:hyperlink w:history="true" w:anchor="_bookmark2602">
        <w:r>
          <w:rPr>
            <w:color w:val="005DA1"/>
            <w:position w:val="5"/>
            <w:sz w:val="14"/>
            <w:u w:val="single" w:color="005DA1"/>
          </w:rPr>
          <w:t>1387</w:t>
        </w:r>
      </w:hyperlink>
      <w:r>
        <w:rPr>
          <w:position w:val="5"/>
          <w:sz w:val="14"/>
        </w:rPr>
        <w:t>.</w:t>
      </w:r>
      <w:r>
        <w:rPr>
          <w:spacing w:val="40"/>
          <w:position w:val="5"/>
          <w:sz w:val="14"/>
        </w:rPr>
        <w:t> </w:t>
      </w:r>
      <w:r>
        <w:rPr>
          <w:sz w:val="20"/>
        </w:rPr>
        <w:t>There may be exceptional cases, however, where a foreign law involves such a serious infringement of human rights that it should not be recognised as law at all: see </w:t>
      </w:r>
      <w:r>
        <w:rPr>
          <w:rFonts w:ascii="Arial" w:hAnsi="Arial"/>
          <w:i/>
          <w:sz w:val="20"/>
        </w:rPr>
        <w:t>Oppenheimer </w:t>
      </w:r>
      <w:r>
        <w:rPr>
          <w:rFonts w:ascii="Arial" w:hAnsi="Arial"/>
          <w:i/>
          <w:sz w:val="20"/>
        </w:rPr>
        <w:t>v Cattermole</w:t>
      </w:r>
      <w:r>
        <w:rPr>
          <w:rFonts w:ascii="Arial" w:hAnsi="Arial"/>
          <w:i/>
          <w:spacing w:val="-1"/>
          <w:sz w:val="20"/>
        </w:rPr>
        <w:t> </w:t>
      </w:r>
      <w:r>
        <w:rPr>
          <w:rFonts w:ascii="Arial" w:hAnsi="Arial"/>
          <w:i/>
          <w:sz w:val="20"/>
        </w:rPr>
        <w:t>[1976]</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249</w:t>
      </w:r>
      <w:r>
        <w:rPr>
          <w:sz w:val="20"/>
        </w:rPr>
        <w:t>.</w:t>
      </w:r>
      <w:r>
        <w:rPr>
          <w:spacing w:val="-1"/>
          <w:sz w:val="20"/>
        </w:rPr>
        <w:t> </w:t>
      </w:r>
      <w:r>
        <w:rPr>
          <w:sz w:val="20"/>
        </w:rPr>
        <w:t>More</w:t>
      </w:r>
      <w:r>
        <w:rPr>
          <w:spacing w:val="-1"/>
          <w:sz w:val="20"/>
        </w:rPr>
        <w:t> </w:t>
      </w:r>
      <w:r>
        <w:rPr>
          <w:sz w:val="20"/>
        </w:rPr>
        <w:t>generally</w:t>
      </w:r>
      <w:r>
        <w:rPr>
          <w:spacing w:val="-1"/>
          <w:sz w:val="20"/>
        </w:rPr>
        <w:t> </w:t>
      </w:r>
      <w:r>
        <w:rPr>
          <w:sz w:val="20"/>
        </w:rPr>
        <w:t>on</w:t>
      </w:r>
      <w:r>
        <w:rPr>
          <w:spacing w:val="-1"/>
          <w:sz w:val="20"/>
        </w:rPr>
        <w:t> </w:t>
      </w:r>
      <w:r>
        <w:rPr>
          <w:sz w:val="20"/>
        </w:rPr>
        <w:t>the</w:t>
      </w:r>
      <w:r>
        <w:rPr>
          <w:spacing w:val="-1"/>
          <w:sz w:val="20"/>
        </w:rPr>
        <w:t> </w:t>
      </w:r>
      <w:r>
        <w:rPr>
          <w:sz w:val="20"/>
        </w:rPr>
        <w:t>relationship</w:t>
      </w:r>
      <w:r>
        <w:rPr>
          <w:spacing w:val="-1"/>
          <w:sz w:val="20"/>
        </w:rPr>
        <w:t> </w:t>
      </w:r>
      <w:r>
        <w:rPr>
          <w:sz w:val="20"/>
        </w:rPr>
        <w:t>between</w:t>
      </w:r>
      <w:r>
        <w:rPr>
          <w:spacing w:val="-1"/>
          <w:sz w:val="20"/>
        </w:rPr>
        <w:t> </w:t>
      </w:r>
      <w:r>
        <w:rPr>
          <w:sz w:val="20"/>
        </w:rPr>
        <w:t>public</w:t>
      </w:r>
      <w:r>
        <w:rPr>
          <w:spacing w:val="-1"/>
          <w:sz w:val="20"/>
        </w:rPr>
        <w:t> </w:t>
      </w:r>
      <w:r>
        <w:rPr>
          <w:sz w:val="20"/>
        </w:rPr>
        <w:t>international</w:t>
      </w:r>
      <w:r>
        <w:rPr>
          <w:spacing w:val="-1"/>
          <w:sz w:val="20"/>
        </w:rPr>
        <w:t> </w:t>
      </w:r>
      <w:r>
        <w:rPr>
          <w:sz w:val="20"/>
        </w:rPr>
        <w:t>law and public policy, see </w:t>
      </w:r>
      <w:r>
        <w:rPr>
          <w:rFonts w:ascii="Arial" w:hAnsi="Arial"/>
          <w:i/>
          <w:sz w:val="20"/>
        </w:rPr>
        <w:t>Kuwait Airways Corp v Iraqi Airways Co (Nos 4 and 5) [2002] UKHL 19, [2002]</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883</w:t>
      </w:r>
      <w:r>
        <w:rPr>
          <w:rFonts w:ascii="Arial" w:hAnsi="Arial"/>
          <w:i/>
          <w:spacing w:val="-3"/>
          <w:sz w:val="20"/>
        </w:rPr>
        <w:t> </w:t>
      </w:r>
      <w:r>
        <w:rPr>
          <w:sz w:val="20"/>
        </w:rPr>
        <w:t>at</w:t>
      </w:r>
      <w:r>
        <w:rPr>
          <w:spacing w:val="-3"/>
          <w:sz w:val="20"/>
        </w:rPr>
        <w:t> </w:t>
      </w:r>
      <w:r>
        <w:rPr>
          <w:sz w:val="20"/>
        </w:rPr>
        <w:t>[15]–[29].</w:t>
      </w:r>
      <w:r>
        <w:rPr>
          <w:spacing w:val="-3"/>
          <w:sz w:val="20"/>
        </w:rPr>
        <w:t> </w:t>
      </w:r>
      <w:r>
        <w:rPr>
          <w:sz w:val="20"/>
        </w:rPr>
        <w:t>See</w:t>
      </w:r>
      <w:r>
        <w:rPr>
          <w:spacing w:val="-3"/>
          <w:sz w:val="20"/>
        </w:rPr>
        <w:t> </w:t>
      </w:r>
      <w:r>
        <w:rPr>
          <w:sz w:val="20"/>
        </w:rPr>
        <w:t>also</w:t>
      </w:r>
      <w:r>
        <w:rPr>
          <w:spacing w:val="-3"/>
          <w:sz w:val="20"/>
        </w:rPr>
        <w:t> </w:t>
      </w:r>
      <w:r>
        <w:rPr>
          <w:rFonts w:ascii="Arial" w:hAnsi="Arial"/>
          <w:i/>
          <w:sz w:val="20"/>
        </w:rPr>
        <w:t>Royal</w:t>
      </w:r>
      <w:r>
        <w:rPr>
          <w:rFonts w:ascii="Arial" w:hAnsi="Arial"/>
          <w:i/>
          <w:spacing w:val="-3"/>
          <w:sz w:val="20"/>
        </w:rPr>
        <w:t> </w:t>
      </w:r>
      <w:r>
        <w:rPr>
          <w:rFonts w:ascii="Arial" w:hAnsi="Arial"/>
          <w:i/>
          <w:sz w:val="20"/>
        </w:rPr>
        <w:t>Boskalis</w:t>
      </w:r>
      <w:r>
        <w:rPr>
          <w:rFonts w:ascii="Arial" w:hAnsi="Arial"/>
          <w:i/>
          <w:spacing w:val="-3"/>
          <w:sz w:val="20"/>
        </w:rPr>
        <w:t> </w:t>
      </w:r>
      <w:r>
        <w:rPr>
          <w:rFonts w:ascii="Arial" w:hAnsi="Arial"/>
          <w:i/>
          <w:sz w:val="20"/>
        </w:rPr>
        <w:t>Westminster</w:t>
      </w:r>
      <w:r>
        <w:rPr>
          <w:rFonts w:ascii="Arial" w:hAnsi="Arial"/>
          <w:i/>
          <w:spacing w:val="-3"/>
          <w:sz w:val="20"/>
        </w:rPr>
        <w:t> </w:t>
      </w:r>
      <w:r>
        <w:rPr>
          <w:rFonts w:ascii="Arial" w:hAnsi="Arial"/>
          <w:i/>
          <w:sz w:val="20"/>
        </w:rPr>
        <w:t>NV</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Mountain</w:t>
      </w:r>
      <w:r>
        <w:rPr>
          <w:rFonts w:ascii="Arial" w:hAnsi="Arial"/>
          <w:i/>
          <w:spacing w:val="-3"/>
          <w:sz w:val="20"/>
        </w:rPr>
        <w:t> </w:t>
      </w:r>
      <w:r>
        <w:rPr>
          <w:rFonts w:ascii="Arial" w:hAnsi="Arial"/>
          <w:i/>
          <w:sz w:val="20"/>
        </w:rPr>
        <w:t>[1999]</w:t>
      </w:r>
      <w:r>
        <w:rPr>
          <w:rFonts w:ascii="Arial" w:hAnsi="Arial"/>
          <w:i/>
          <w:spacing w:val="-3"/>
          <w:sz w:val="20"/>
        </w:rPr>
        <w:t> </w:t>
      </w:r>
      <w:r>
        <w:rPr>
          <w:rFonts w:ascii="Arial" w:hAnsi="Arial"/>
          <w:i/>
          <w:sz w:val="20"/>
        </w:rPr>
        <w:t>Q.B. 674</w:t>
      </w:r>
      <w:r>
        <w:rPr>
          <w:sz w:val="20"/>
        </w:rPr>
        <w:t>; </w:t>
      </w:r>
      <w:r>
        <w:rPr>
          <w:rFonts w:ascii="Arial" w:hAnsi="Arial"/>
          <w:i/>
          <w:sz w:val="20"/>
        </w:rPr>
        <w:t>Peer International Corp v Termidor Music Publishers Ltd [2003] EWCA Civ 1156, [2004] Ch.</w:t>
      </w:r>
      <w:r>
        <w:rPr>
          <w:rFonts w:ascii="Arial" w:hAnsi="Arial"/>
          <w:i/>
          <w:spacing w:val="-3"/>
          <w:sz w:val="20"/>
        </w:rPr>
        <w:t> </w:t>
      </w:r>
      <w:r>
        <w:rPr>
          <w:rFonts w:ascii="Arial" w:hAnsi="Arial"/>
          <w:i/>
          <w:sz w:val="20"/>
        </w:rPr>
        <w:t>212</w:t>
      </w:r>
      <w:r>
        <w:rPr>
          <w:sz w:val="20"/>
        </w:rPr>
        <w:t>.</w:t>
      </w:r>
      <w:r>
        <w:rPr>
          <w:spacing w:val="-3"/>
          <w:sz w:val="20"/>
        </w:rPr>
        <w:t> </w:t>
      </w:r>
      <w:r>
        <w:rPr>
          <w:sz w:val="20"/>
        </w:rPr>
        <w:t>And</w:t>
      </w:r>
      <w:r>
        <w:rPr>
          <w:spacing w:val="-3"/>
          <w:sz w:val="20"/>
        </w:rPr>
        <w:t> </w:t>
      </w:r>
      <w:r>
        <w:rPr>
          <w:sz w:val="20"/>
        </w:rPr>
        <w:t>see</w:t>
      </w:r>
      <w:r>
        <w:rPr>
          <w:spacing w:val="-3"/>
          <w:sz w:val="20"/>
        </w:rPr>
        <w:t> </w:t>
      </w:r>
      <w:r>
        <w:rPr>
          <w:sz w:val="20"/>
        </w:rPr>
        <w:t>Collins</w:t>
      </w:r>
      <w:r>
        <w:rPr>
          <w:spacing w:val="-3"/>
          <w:sz w:val="20"/>
        </w:rPr>
        <w:t> </w:t>
      </w:r>
      <w:r>
        <w:rPr>
          <w:sz w:val="20"/>
        </w:rPr>
        <w:t>(2002)</w:t>
      </w:r>
      <w:r>
        <w:rPr>
          <w:spacing w:val="-3"/>
          <w:sz w:val="20"/>
        </w:rPr>
        <w:t> </w:t>
      </w:r>
      <w:r>
        <w:rPr>
          <w:sz w:val="20"/>
        </w:rPr>
        <w:t>51</w:t>
      </w:r>
      <w:r>
        <w:rPr>
          <w:spacing w:val="-3"/>
          <w:sz w:val="20"/>
        </w:rPr>
        <w:t> </w:t>
      </w:r>
      <w:r>
        <w:rPr>
          <w:sz w:val="20"/>
        </w:rPr>
        <w:t>I.C.L.Q.</w:t>
      </w:r>
      <w:r>
        <w:rPr>
          <w:spacing w:val="-3"/>
          <w:sz w:val="20"/>
        </w:rPr>
        <w:t> </w:t>
      </w:r>
      <w:r>
        <w:rPr>
          <w:sz w:val="20"/>
        </w:rPr>
        <w:t>485.</w:t>
      </w:r>
      <w:r>
        <w:rPr>
          <w:spacing w:val="-3"/>
          <w:sz w:val="20"/>
        </w:rPr>
        <w:t> </w:t>
      </w:r>
      <w:r>
        <w:rPr>
          <w:sz w:val="20"/>
        </w:rPr>
        <w:t>Public</w:t>
      </w:r>
      <w:r>
        <w:rPr>
          <w:spacing w:val="-3"/>
          <w:sz w:val="20"/>
        </w:rPr>
        <w:t> </w:t>
      </w:r>
      <w:r>
        <w:rPr>
          <w:sz w:val="20"/>
        </w:rPr>
        <w:t>policy</w:t>
      </w:r>
      <w:r>
        <w:rPr>
          <w:spacing w:val="-3"/>
          <w:sz w:val="20"/>
        </w:rPr>
        <w:t> </w:t>
      </w:r>
      <w:r>
        <w:rPr>
          <w:sz w:val="20"/>
        </w:rPr>
        <w:t>may</w:t>
      </w:r>
      <w:r>
        <w:rPr>
          <w:spacing w:val="-3"/>
          <w:sz w:val="20"/>
        </w:rPr>
        <w:t> </w:t>
      </w:r>
      <w:r>
        <w:rPr>
          <w:sz w:val="20"/>
        </w:rPr>
        <w:t>also</w:t>
      </w:r>
      <w:r>
        <w:rPr>
          <w:spacing w:val="-3"/>
          <w:sz w:val="20"/>
        </w:rPr>
        <w:t> </w:t>
      </w:r>
      <w:r>
        <w:rPr>
          <w:sz w:val="20"/>
        </w:rPr>
        <w:t>develop</w:t>
      </w:r>
      <w:r>
        <w:rPr>
          <w:spacing w:val="-3"/>
          <w:sz w:val="20"/>
        </w:rPr>
        <w:t> </w:t>
      </w:r>
      <w:r>
        <w:rPr>
          <w:sz w:val="20"/>
        </w:rPr>
        <w:t>by</w:t>
      </w:r>
      <w:r>
        <w:rPr>
          <w:spacing w:val="-3"/>
          <w:sz w:val="20"/>
        </w:rPr>
        <w:t> </w:t>
      </w:r>
      <w:r>
        <w:rPr>
          <w:sz w:val="20"/>
        </w:rPr>
        <w:t>reference</w:t>
      </w:r>
      <w:r>
        <w:rPr>
          <w:spacing w:val="-3"/>
          <w:sz w:val="20"/>
        </w:rPr>
        <w:t> </w:t>
      </w:r>
      <w:r>
        <w:rPr>
          <w:sz w:val="20"/>
        </w:rPr>
        <w:t>to the European Convention on Human Rights incorporated into English law by the Human Rights Act 1998. For consideration of public policy in this context, see</w:t>
      </w:r>
      <w:r>
        <w:rPr>
          <w:spacing w:val="-1"/>
          <w:sz w:val="20"/>
        </w:rPr>
        <w:t> </w:t>
      </w:r>
      <w:r>
        <w:rPr>
          <w:rFonts w:ascii="Arial" w:hAnsi="Arial"/>
          <w:i/>
          <w:sz w:val="20"/>
        </w:rPr>
        <w:t>Krombach v Bamberski (C-7/98) [2000] E.C.R. I–1935, [2001] Q.B. 709</w:t>
      </w:r>
      <w:r>
        <w:rPr>
          <w:sz w:val="20"/>
        </w:rPr>
        <w:t>; </w:t>
      </w:r>
      <w:r>
        <w:rPr>
          <w:rFonts w:ascii="Arial" w:hAnsi="Arial"/>
          <w:i/>
          <w:sz w:val="20"/>
        </w:rPr>
        <w:t>Regie National des Usines Renault SA v Maxicar SpA (C-38/98)</w:t>
      </w:r>
      <w:r>
        <w:rPr>
          <w:rFonts w:ascii="Arial" w:hAnsi="Arial"/>
          <w:i/>
          <w:spacing w:val="28"/>
          <w:sz w:val="20"/>
        </w:rPr>
        <w:t> </w:t>
      </w:r>
      <w:r>
        <w:rPr>
          <w:rFonts w:ascii="Arial" w:hAnsi="Arial"/>
          <w:i/>
          <w:sz w:val="20"/>
        </w:rPr>
        <w:t>[2000]</w:t>
      </w:r>
      <w:r>
        <w:rPr>
          <w:rFonts w:ascii="Arial" w:hAnsi="Arial"/>
          <w:i/>
          <w:spacing w:val="29"/>
          <w:sz w:val="20"/>
        </w:rPr>
        <w:t> </w:t>
      </w:r>
      <w:r>
        <w:rPr>
          <w:rFonts w:ascii="Arial" w:hAnsi="Arial"/>
          <w:i/>
          <w:sz w:val="20"/>
        </w:rPr>
        <w:t>E.C.R.</w:t>
      </w:r>
      <w:r>
        <w:rPr>
          <w:rFonts w:ascii="Arial" w:hAnsi="Arial"/>
          <w:i/>
          <w:spacing w:val="29"/>
          <w:sz w:val="20"/>
        </w:rPr>
        <w:t> </w:t>
      </w:r>
      <w:r>
        <w:rPr>
          <w:rFonts w:ascii="Arial" w:hAnsi="Arial"/>
          <w:i/>
          <w:sz w:val="20"/>
        </w:rPr>
        <w:t>I–2973</w:t>
      </w:r>
      <w:r>
        <w:rPr>
          <w:sz w:val="20"/>
        </w:rPr>
        <w:t>;</w:t>
      </w:r>
      <w:r>
        <w:rPr>
          <w:spacing w:val="29"/>
          <w:sz w:val="20"/>
        </w:rPr>
        <w:t> </w:t>
      </w:r>
      <w:r>
        <w:rPr>
          <w:rFonts w:ascii="Arial" w:hAnsi="Arial"/>
          <w:i/>
          <w:sz w:val="20"/>
        </w:rPr>
        <w:t>Maronier</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Larmer</w:t>
      </w:r>
      <w:r>
        <w:rPr>
          <w:rFonts w:ascii="Arial" w:hAnsi="Arial"/>
          <w:i/>
          <w:spacing w:val="29"/>
          <w:sz w:val="20"/>
        </w:rPr>
        <w:t> </w:t>
      </w:r>
      <w:r>
        <w:rPr>
          <w:rFonts w:ascii="Arial" w:hAnsi="Arial"/>
          <w:i/>
          <w:sz w:val="20"/>
        </w:rPr>
        <w:t>[2002]</w:t>
      </w:r>
      <w:r>
        <w:rPr>
          <w:rFonts w:ascii="Arial" w:hAnsi="Arial"/>
          <w:i/>
          <w:spacing w:val="29"/>
          <w:sz w:val="20"/>
        </w:rPr>
        <w:t> </w:t>
      </w:r>
      <w:r>
        <w:rPr>
          <w:rFonts w:ascii="Arial" w:hAnsi="Arial"/>
          <w:i/>
          <w:sz w:val="20"/>
        </w:rPr>
        <w:t>EWCA</w:t>
      </w:r>
      <w:r>
        <w:rPr>
          <w:rFonts w:ascii="Arial" w:hAnsi="Arial"/>
          <w:i/>
          <w:spacing w:val="29"/>
          <w:sz w:val="20"/>
        </w:rPr>
        <w:t> </w:t>
      </w:r>
      <w:r>
        <w:rPr>
          <w:rFonts w:ascii="Arial" w:hAnsi="Arial"/>
          <w:i/>
          <w:sz w:val="20"/>
        </w:rPr>
        <w:t>Civ</w:t>
      </w:r>
      <w:r>
        <w:rPr>
          <w:rFonts w:ascii="Arial" w:hAnsi="Arial"/>
          <w:i/>
          <w:spacing w:val="29"/>
          <w:sz w:val="20"/>
        </w:rPr>
        <w:t> </w:t>
      </w:r>
      <w:r>
        <w:rPr>
          <w:rFonts w:ascii="Arial" w:hAnsi="Arial"/>
          <w:i/>
          <w:sz w:val="20"/>
        </w:rPr>
        <w:t>774,</w:t>
      </w:r>
      <w:r>
        <w:rPr>
          <w:rFonts w:ascii="Arial" w:hAnsi="Arial"/>
          <w:i/>
          <w:spacing w:val="29"/>
          <w:sz w:val="20"/>
        </w:rPr>
        <w:t> </w:t>
      </w:r>
      <w:r>
        <w:rPr>
          <w:rFonts w:ascii="Arial" w:hAnsi="Arial"/>
          <w:i/>
          <w:sz w:val="20"/>
        </w:rPr>
        <w:t>[2003]</w:t>
      </w:r>
      <w:r>
        <w:rPr>
          <w:rFonts w:ascii="Arial" w:hAnsi="Arial"/>
          <w:i/>
          <w:spacing w:val="29"/>
          <w:sz w:val="20"/>
        </w:rPr>
        <w:t> </w:t>
      </w:r>
      <w:r>
        <w:rPr>
          <w:rFonts w:ascii="Arial" w:hAnsi="Arial"/>
          <w:i/>
          <w:sz w:val="20"/>
        </w:rPr>
        <w:t>Q.B.</w:t>
      </w:r>
      <w:r>
        <w:rPr>
          <w:rFonts w:ascii="Arial" w:hAnsi="Arial"/>
          <w:i/>
          <w:spacing w:val="29"/>
          <w:sz w:val="20"/>
        </w:rPr>
        <w:t> </w:t>
      </w:r>
      <w:r>
        <w:rPr>
          <w:rFonts w:ascii="Arial" w:hAnsi="Arial"/>
          <w:i/>
          <w:spacing w:val="-4"/>
          <w:sz w:val="20"/>
        </w:rPr>
        <w:t>620</w:t>
      </w:r>
      <w:r>
        <w:rPr>
          <w:spacing w:val="-4"/>
          <w:sz w:val="20"/>
        </w:rPr>
        <w:t>;</w:t>
      </w:r>
    </w:p>
    <w:p>
      <w:pPr>
        <w:spacing w:line="235" w:lineRule="auto" w:before="0"/>
        <w:ind w:left="705" w:right="167" w:firstLine="0"/>
        <w:jc w:val="both"/>
        <w:rPr>
          <w:sz w:val="20"/>
        </w:rPr>
      </w:pPr>
      <w:r>
        <w:rPr>
          <w:rFonts w:ascii="Arial" w:hAnsi="Arial"/>
          <w:i/>
          <w:sz w:val="20"/>
        </w:rPr>
        <w:t>Gambazzi v Daimlerchryser Canada Inc (C-394/07) [2010] Q.B. 388</w:t>
      </w:r>
      <w:r>
        <w:rPr>
          <w:sz w:val="20"/>
        </w:rPr>
        <w:t>. See also </w:t>
      </w:r>
      <w:r>
        <w:rPr>
          <w:rFonts w:ascii="Arial" w:hAnsi="Arial"/>
          <w:i/>
          <w:sz w:val="20"/>
        </w:rPr>
        <w:t>Eurofood </w:t>
      </w:r>
      <w:r>
        <w:rPr>
          <w:rFonts w:ascii="Arial" w:hAnsi="Arial"/>
          <w:i/>
          <w:sz w:val="20"/>
        </w:rPr>
        <w:t>IFSC Ltd (C-341/04) [2006] E.C.R. I–3813, [2006] Ch. 508</w:t>
      </w:r>
      <w:r>
        <w:rPr>
          <w:sz w:val="20"/>
        </w:rPr>
        <w:t>. If such a development is to occur proper allowance should be made for the fact that the case contains foreign elements which are such that</w:t>
      </w:r>
      <w:r>
        <w:rPr>
          <w:spacing w:val="-1"/>
          <w:sz w:val="20"/>
        </w:rPr>
        <w:t> </w:t>
      </w:r>
      <w:r>
        <w:rPr>
          <w:sz w:val="20"/>
        </w:rPr>
        <w:t>the</w:t>
      </w:r>
      <w:r>
        <w:rPr>
          <w:spacing w:val="-1"/>
          <w:sz w:val="20"/>
        </w:rPr>
        <w:t> </w:t>
      </w:r>
      <w:r>
        <w:rPr>
          <w:sz w:val="20"/>
        </w:rPr>
        <w:t>merits</w:t>
      </w:r>
      <w:r>
        <w:rPr>
          <w:spacing w:val="-1"/>
          <w:sz w:val="20"/>
        </w:rPr>
        <w:t> </w:t>
      </w:r>
      <w:r>
        <w:rPr>
          <w:sz w:val="20"/>
        </w:rPr>
        <w:t>of</w:t>
      </w:r>
      <w:r>
        <w:rPr>
          <w:spacing w:val="-1"/>
          <w:sz w:val="20"/>
        </w:rPr>
        <w:t> </w:t>
      </w:r>
      <w:r>
        <w:rPr>
          <w:sz w:val="20"/>
        </w:rPr>
        <w:t>the</w:t>
      </w:r>
      <w:r>
        <w:rPr>
          <w:spacing w:val="-1"/>
          <w:sz w:val="20"/>
        </w:rPr>
        <w:t> </w:t>
      </w:r>
      <w:r>
        <w:rPr>
          <w:sz w:val="20"/>
        </w:rPr>
        <w:t>case</w:t>
      </w:r>
      <w:r>
        <w:rPr>
          <w:spacing w:val="-1"/>
          <w:sz w:val="20"/>
        </w:rPr>
        <w:t> </w:t>
      </w:r>
      <w:r>
        <w:rPr>
          <w:sz w:val="20"/>
        </w:rPr>
        <w:t>should</w:t>
      </w:r>
      <w:r>
        <w:rPr>
          <w:spacing w:val="-1"/>
          <w:sz w:val="20"/>
        </w:rPr>
        <w:t> </w:t>
      </w:r>
      <w:r>
        <w:rPr>
          <w:sz w:val="20"/>
        </w:rPr>
        <w:t>be</w:t>
      </w:r>
      <w:r>
        <w:rPr>
          <w:spacing w:val="-1"/>
          <w:sz w:val="20"/>
        </w:rPr>
        <w:t> </w:t>
      </w:r>
      <w:r>
        <w:rPr>
          <w:sz w:val="20"/>
        </w:rPr>
        <w:t>governed</w:t>
      </w:r>
      <w:r>
        <w:rPr>
          <w:spacing w:val="-1"/>
          <w:sz w:val="20"/>
        </w:rPr>
        <w:t> </w:t>
      </w:r>
      <w:r>
        <w:rPr>
          <w:sz w:val="20"/>
        </w:rPr>
        <w:t>by</w:t>
      </w:r>
      <w:r>
        <w:rPr>
          <w:spacing w:val="-1"/>
          <w:sz w:val="20"/>
        </w:rPr>
        <w:t> </w:t>
      </w:r>
      <w:r>
        <w:rPr>
          <w:sz w:val="20"/>
        </w:rPr>
        <w:t>foreign</w:t>
      </w:r>
      <w:r>
        <w:rPr>
          <w:spacing w:val="-1"/>
          <w:sz w:val="20"/>
        </w:rPr>
        <w:t> </w:t>
      </w:r>
      <w:r>
        <w:rPr>
          <w:sz w:val="20"/>
        </w:rPr>
        <w:t>law</w:t>
      </w:r>
      <w:r>
        <w:rPr>
          <w:spacing w:val="-1"/>
          <w:sz w:val="20"/>
        </w:rPr>
        <w:t> </w:t>
      </w:r>
      <w:r>
        <w:rPr>
          <w:sz w:val="20"/>
        </w:rPr>
        <w:t>according</w:t>
      </w:r>
      <w:r>
        <w:rPr>
          <w:spacing w:val="-1"/>
          <w:sz w:val="20"/>
        </w:rPr>
        <w:t> </w:t>
      </w:r>
      <w:r>
        <w:rPr>
          <w:sz w:val="20"/>
        </w:rPr>
        <w:t>to</w:t>
      </w:r>
      <w:r>
        <w:rPr>
          <w:spacing w:val="-1"/>
          <w:sz w:val="20"/>
        </w:rPr>
        <w:t> </w:t>
      </w:r>
      <w:r>
        <w:rPr>
          <w:sz w:val="20"/>
        </w:rPr>
        <w:t>the</w:t>
      </w:r>
      <w:r>
        <w:rPr>
          <w:spacing w:val="-1"/>
          <w:sz w:val="20"/>
        </w:rPr>
        <w:t> </w:t>
      </w:r>
      <w:r>
        <w:rPr>
          <w:sz w:val="20"/>
        </w:rPr>
        <w:t>normal</w:t>
      </w:r>
      <w:r>
        <w:rPr>
          <w:spacing w:val="-1"/>
          <w:sz w:val="20"/>
        </w:rPr>
        <w:t> </w:t>
      </w:r>
      <w:r>
        <w:rPr>
          <w:sz w:val="20"/>
        </w:rPr>
        <w:t>principles of the conflict of laws.</w:t>
      </w:r>
    </w:p>
    <w:p>
      <w:pPr>
        <w:pStyle w:val="BodyText"/>
      </w:pPr>
    </w:p>
    <w:p>
      <w:pPr>
        <w:spacing w:line="227" w:lineRule="exact" w:before="0"/>
        <w:ind w:left="165" w:right="0" w:firstLine="0"/>
        <w:jc w:val="left"/>
        <w:rPr>
          <w:rFonts w:ascii="Arial" w:hAnsi="Arial"/>
          <w:i/>
          <w:sz w:val="20"/>
        </w:rPr>
      </w:pPr>
      <w:bookmarkStart w:name="_bookmark2661" w:id="2663"/>
      <w:bookmarkEnd w:id="2663"/>
      <w:r>
        <w:rPr/>
      </w:r>
      <w:hyperlink w:history="true" w:anchor="_bookmark2603">
        <w:r>
          <w:rPr>
            <w:color w:val="005DA1"/>
            <w:position w:val="5"/>
            <w:sz w:val="14"/>
            <w:u w:val="single" w:color="005DA1"/>
          </w:rPr>
          <w:t>1388</w:t>
        </w:r>
      </w:hyperlink>
      <w:r>
        <w:rPr>
          <w:position w:val="5"/>
          <w:sz w:val="14"/>
        </w:rPr>
        <w:t>.</w:t>
      </w:r>
      <w:r>
        <w:rPr>
          <w:spacing w:val="55"/>
          <w:position w:val="5"/>
          <w:sz w:val="14"/>
        </w:rPr>
        <w:t>  </w:t>
      </w:r>
      <w:r>
        <w:rPr>
          <w:rFonts w:ascii="Arial" w:hAnsi="Arial"/>
          <w:i/>
          <w:sz w:val="20"/>
        </w:rPr>
        <w:t>Grell</w:t>
      </w:r>
      <w:r>
        <w:rPr>
          <w:rFonts w:ascii="Arial" w:hAnsi="Arial"/>
          <w:i/>
          <w:spacing w:val="2"/>
          <w:sz w:val="20"/>
        </w:rPr>
        <w:t> </w:t>
      </w:r>
      <w:r>
        <w:rPr>
          <w:rFonts w:ascii="Arial" w:hAnsi="Arial"/>
          <w:i/>
          <w:sz w:val="20"/>
        </w:rPr>
        <w:t>v</w:t>
      </w:r>
      <w:r>
        <w:rPr>
          <w:rFonts w:ascii="Arial" w:hAnsi="Arial"/>
          <w:i/>
          <w:spacing w:val="1"/>
          <w:sz w:val="20"/>
        </w:rPr>
        <w:t> </w:t>
      </w:r>
      <w:r>
        <w:rPr>
          <w:rFonts w:ascii="Arial" w:hAnsi="Arial"/>
          <w:i/>
          <w:sz w:val="20"/>
        </w:rPr>
        <w:t>Levy</w:t>
      </w:r>
      <w:r>
        <w:rPr>
          <w:rFonts w:ascii="Arial" w:hAnsi="Arial"/>
          <w:i/>
          <w:spacing w:val="1"/>
          <w:sz w:val="20"/>
        </w:rPr>
        <w:t> </w:t>
      </w:r>
      <w:r>
        <w:rPr>
          <w:rFonts w:ascii="Arial" w:hAnsi="Arial"/>
          <w:i/>
          <w:sz w:val="20"/>
        </w:rPr>
        <w:t>(1864)</w:t>
      </w:r>
      <w:r>
        <w:rPr>
          <w:rFonts w:ascii="Arial" w:hAnsi="Arial"/>
          <w:i/>
          <w:spacing w:val="1"/>
          <w:sz w:val="20"/>
        </w:rPr>
        <w:t> </w:t>
      </w:r>
      <w:r>
        <w:rPr>
          <w:rFonts w:ascii="Arial" w:hAnsi="Arial"/>
          <w:i/>
          <w:sz w:val="20"/>
        </w:rPr>
        <w:t>16</w:t>
      </w:r>
      <w:r>
        <w:rPr>
          <w:rFonts w:ascii="Arial" w:hAnsi="Arial"/>
          <w:i/>
          <w:spacing w:val="1"/>
          <w:sz w:val="20"/>
        </w:rPr>
        <w:t> </w:t>
      </w:r>
      <w:r>
        <w:rPr>
          <w:rFonts w:ascii="Arial" w:hAnsi="Arial"/>
          <w:i/>
          <w:sz w:val="20"/>
        </w:rPr>
        <w:t>C.B.(N.S.)</w:t>
      </w:r>
      <w:r>
        <w:rPr>
          <w:rFonts w:ascii="Arial" w:hAnsi="Arial"/>
          <w:i/>
          <w:spacing w:val="1"/>
          <w:sz w:val="20"/>
        </w:rPr>
        <w:t> </w:t>
      </w:r>
      <w:r>
        <w:rPr>
          <w:rFonts w:ascii="Arial" w:hAnsi="Arial"/>
          <w:i/>
          <w:sz w:val="20"/>
        </w:rPr>
        <w:t>73</w:t>
      </w:r>
      <w:r>
        <w:rPr>
          <w:sz w:val="20"/>
        </w:rPr>
        <w:t>;</w:t>
      </w:r>
      <w:r>
        <w:rPr>
          <w:spacing w:val="1"/>
          <w:sz w:val="20"/>
        </w:rPr>
        <w:t> </w:t>
      </w:r>
      <w:r>
        <w:rPr>
          <w:sz w:val="20"/>
        </w:rPr>
        <w:t>cf. </w:t>
      </w:r>
      <w:r>
        <w:rPr>
          <w:rFonts w:ascii="Arial" w:hAnsi="Arial"/>
          <w:i/>
          <w:sz w:val="20"/>
        </w:rPr>
        <w:t>Trendtex</w:t>
      </w:r>
      <w:r>
        <w:rPr>
          <w:rFonts w:ascii="Arial" w:hAnsi="Arial"/>
          <w:i/>
          <w:spacing w:val="1"/>
          <w:sz w:val="20"/>
        </w:rPr>
        <w:t> </w:t>
      </w:r>
      <w:r>
        <w:rPr>
          <w:rFonts w:ascii="Arial" w:hAnsi="Arial"/>
          <w:i/>
          <w:sz w:val="20"/>
        </w:rPr>
        <w:t>Trading</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Crédit</w:t>
      </w:r>
      <w:r>
        <w:rPr>
          <w:rFonts w:ascii="Arial" w:hAnsi="Arial"/>
          <w:i/>
          <w:spacing w:val="1"/>
          <w:sz w:val="20"/>
        </w:rPr>
        <w:t> </w:t>
      </w:r>
      <w:r>
        <w:rPr>
          <w:rFonts w:ascii="Arial" w:hAnsi="Arial"/>
          <w:i/>
          <w:sz w:val="20"/>
        </w:rPr>
        <w:t>Suisse</w:t>
      </w:r>
      <w:r>
        <w:rPr>
          <w:rFonts w:ascii="Arial" w:hAnsi="Arial"/>
          <w:i/>
          <w:spacing w:val="1"/>
          <w:sz w:val="20"/>
        </w:rPr>
        <w:t> </w:t>
      </w:r>
      <w:r>
        <w:rPr>
          <w:rFonts w:ascii="Arial" w:hAnsi="Arial"/>
          <w:i/>
          <w:sz w:val="20"/>
        </w:rPr>
        <w:t>[1982]</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pacing w:val="-5"/>
          <w:sz w:val="20"/>
        </w:rPr>
        <w:t>679</w:t>
      </w:r>
    </w:p>
    <w:p>
      <w:pPr>
        <w:spacing w:line="235" w:lineRule="auto" w:before="1"/>
        <w:ind w:left="705" w:right="167" w:firstLine="0"/>
        <w:jc w:val="both"/>
        <w:rPr>
          <w:sz w:val="20"/>
        </w:rPr>
      </w:pPr>
      <w:r>
        <w:rPr>
          <w:sz w:val="20"/>
        </w:rPr>
        <w:t>; </w:t>
      </w:r>
      <w:r>
        <w:rPr>
          <w:rFonts w:ascii="Arial"/>
          <w:i/>
          <w:sz w:val="20"/>
        </w:rPr>
        <w:t>Camdex International Ltd v Bank of Zambia [1998] Q.B. 22</w:t>
      </w:r>
      <w:r>
        <w:rPr>
          <w:sz w:val="20"/>
        </w:rPr>
        <w:t>; </w:t>
      </w:r>
      <w:r>
        <w:rPr>
          <w:rFonts w:ascii="Arial"/>
          <w:i/>
          <w:sz w:val="20"/>
        </w:rPr>
        <w:t>Fraser v Buckle [1996] 1 I.R. 1</w:t>
      </w:r>
      <w:r>
        <w:rPr>
          <w:sz w:val="20"/>
        </w:rPr>
        <w:t>. Although champerty has ceased to be a crime or a tort in England, Criminal Law Act 1967 s.14, it will render a contract illegal.</w:t>
      </w:r>
    </w:p>
    <w:p>
      <w:pPr>
        <w:spacing w:after="0" w:line="235" w:lineRule="auto"/>
        <w:jc w:val="both"/>
        <w:rPr>
          <w:sz w:val="20"/>
        </w:rPr>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2604">
        <w:r>
          <w:rPr>
            <w:color w:val="005DA1"/>
            <w:position w:val="5"/>
            <w:sz w:val="14"/>
            <w:u w:val="single" w:color="005DA1"/>
          </w:rPr>
          <w:t>1389</w:t>
        </w:r>
      </w:hyperlink>
      <w:r>
        <w:rPr>
          <w:position w:val="5"/>
          <w:sz w:val="14"/>
        </w:rPr>
        <w:t>.</w:t>
      </w:r>
      <w:r>
        <w:rPr>
          <w:spacing w:val="80"/>
          <w:position w:val="5"/>
          <w:sz w:val="14"/>
        </w:rPr>
        <w:t> </w:t>
      </w:r>
      <w:r>
        <w:rPr>
          <w:rFonts w:ascii="Arial"/>
          <w:i/>
          <w:sz w:val="20"/>
        </w:rPr>
        <w:t>Rousillon v Rousillon (1880) 14 Ch. D. 351</w:t>
      </w:r>
      <w:r>
        <w:rPr>
          <w:sz w:val="20"/>
        </w:rPr>
        <w:t>, which should be restricted to restraint of </w:t>
      </w:r>
      <w:r>
        <w:rPr>
          <w:sz w:val="20"/>
        </w:rPr>
        <w:t>trade affecting trade in England. And see </w:t>
      </w:r>
      <w:r>
        <w:rPr>
          <w:rFonts w:ascii="Arial"/>
          <w:i/>
          <w:sz w:val="20"/>
        </w:rPr>
        <w:t>Duarte v Black and Decker Corp [2007] EWHC 2720 (QB), [2008] 1 All E.R. (Comm) 401</w:t>
      </w:r>
      <w:r>
        <w:rPr>
          <w:sz w:val="20"/>
        </w:rPr>
        <w:t>, above, para.30-112.</w:t>
      </w:r>
    </w:p>
    <w:p>
      <w:pPr>
        <w:pStyle w:val="BodyText"/>
        <w:spacing w:before="9"/>
      </w:pPr>
    </w:p>
    <w:p>
      <w:pPr>
        <w:spacing w:line="235" w:lineRule="auto" w:before="0"/>
        <w:ind w:left="705" w:right="0" w:hanging="541"/>
        <w:jc w:val="left"/>
        <w:rPr>
          <w:sz w:val="20"/>
        </w:rPr>
      </w:pPr>
      <w:bookmarkStart w:name="_bookmark2662" w:id="2664"/>
      <w:bookmarkEnd w:id="2664"/>
      <w:r>
        <w:rPr/>
      </w:r>
      <w:hyperlink w:history="true" w:anchor="_bookmark2604">
        <w:r>
          <w:rPr>
            <w:color w:val="005DA1"/>
            <w:position w:val="5"/>
            <w:sz w:val="14"/>
            <w:u w:val="single" w:color="005DA1"/>
          </w:rPr>
          <w:t>1390</w:t>
        </w:r>
      </w:hyperlink>
      <w:r>
        <w:rPr>
          <w:position w:val="5"/>
          <w:sz w:val="14"/>
        </w:rPr>
        <w:t>.</w:t>
      </w:r>
      <w:r>
        <w:rPr>
          <w:spacing w:val="40"/>
          <w:position w:val="5"/>
          <w:sz w:val="14"/>
        </w:rPr>
        <w:t>  </w:t>
      </w:r>
      <w:r>
        <w:rPr>
          <w:rFonts w:ascii="Arial"/>
          <w:i/>
          <w:sz w:val="20"/>
        </w:rPr>
        <w:t>Robson v Premier Oil and Pipe Line Co [1915] 2 Ch. 124, 136</w:t>
      </w:r>
      <w:r>
        <w:rPr>
          <w:sz w:val="20"/>
        </w:rPr>
        <w:t>; </w:t>
      </w:r>
      <w:r>
        <w:rPr>
          <w:rFonts w:ascii="Arial"/>
          <w:i/>
          <w:sz w:val="20"/>
        </w:rPr>
        <w:t>Dynamit A/G v Rio Tinto Co Ltd [1918] A.C. 260</w:t>
      </w:r>
      <w:r>
        <w:rPr>
          <w:sz w:val="20"/>
        </w:rPr>
        <w:t>.</w:t>
      </w:r>
    </w:p>
    <w:p>
      <w:pPr>
        <w:pStyle w:val="BodyText"/>
        <w:spacing w:before="5"/>
      </w:pPr>
    </w:p>
    <w:p>
      <w:pPr>
        <w:spacing w:before="1"/>
        <w:ind w:left="165" w:right="0" w:firstLine="0"/>
        <w:jc w:val="left"/>
        <w:rPr>
          <w:sz w:val="20"/>
        </w:rPr>
      </w:pPr>
      <w:bookmarkStart w:name="_bookmark2663" w:id="2665"/>
      <w:bookmarkEnd w:id="2665"/>
      <w:r>
        <w:rPr/>
      </w:r>
      <w:hyperlink w:history="true" w:anchor="_bookmark2605">
        <w:r>
          <w:rPr>
            <w:color w:val="005DA1"/>
            <w:position w:val="5"/>
            <w:sz w:val="14"/>
            <w:u w:val="single" w:color="005DA1"/>
          </w:rPr>
          <w:t>1391</w:t>
        </w:r>
      </w:hyperlink>
      <w:r>
        <w:rPr>
          <w:position w:val="5"/>
          <w:sz w:val="14"/>
        </w:rPr>
        <w:t>.</w:t>
      </w:r>
      <w:r>
        <w:rPr>
          <w:spacing w:val="55"/>
          <w:position w:val="5"/>
          <w:sz w:val="14"/>
        </w:rPr>
        <w:t>  </w:t>
      </w:r>
      <w:r>
        <w:rPr>
          <w:rFonts w:ascii="Arial"/>
          <w:i/>
          <w:sz w:val="20"/>
        </w:rPr>
        <w:t>Hope</w:t>
      </w:r>
      <w:r>
        <w:rPr>
          <w:rFonts w:ascii="Arial"/>
          <w:i/>
          <w:spacing w:val="1"/>
          <w:sz w:val="20"/>
        </w:rPr>
        <w:t> </w:t>
      </w:r>
      <w:r>
        <w:rPr>
          <w:rFonts w:ascii="Arial"/>
          <w:i/>
          <w:sz w:val="20"/>
        </w:rPr>
        <w:t>v Hope (1857) 8 De G.M. &amp; G. </w:t>
      </w:r>
      <w:r>
        <w:rPr>
          <w:rFonts w:ascii="Arial"/>
          <w:i/>
          <w:spacing w:val="-4"/>
          <w:sz w:val="20"/>
        </w:rPr>
        <w:t>731</w:t>
      </w:r>
      <w:r>
        <w:rPr>
          <w:spacing w:val="-4"/>
          <w:sz w:val="20"/>
        </w:rPr>
        <w:t>.</w:t>
      </w:r>
    </w:p>
    <w:p>
      <w:pPr>
        <w:pStyle w:val="BodyText"/>
        <w:spacing w:before="4"/>
      </w:pPr>
    </w:p>
    <w:p>
      <w:pPr>
        <w:spacing w:line="227" w:lineRule="exact" w:before="1"/>
        <w:ind w:left="165" w:right="0" w:firstLine="0"/>
        <w:jc w:val="both"/>
        <w:rPr>
          <w:sz w:val="20"/>
        </w:rPr>
      </w:pPr>
      <w:bookmarkStart w:name="_bookmark2664" w:id="2666"/>
      <w:bookmarkEnd w:id="2666"/>
      <w:r>
        <w:rPr/>
      </w:r>
      <w:hyperlink w:history="true" w:anchor="_bookmark2606">
        <w:r>
          <w:rPr>
            <w:color w:val="005DA1"/>
            <w:position w:val="5"/>
            <w:sz w:val="14"/>
            <w:u w:val="single" w:color="005DA1"/>
          </w:rPr>
          <w:t>1392</w:t>
        </w:r>
      </w:hyperlink>
      <w:r>
        <w:rPr>
          <w:position w:val="5"/>
          <w:sz w:val="14"/>
        </w:rPr>
        <w:t>.</w:t>
      </w:r>
      <w:r>
        <w:rPr>
          <w:spacing w:val="55"/>
          <w:position w:val="5"/>
          <w:sz w:val="14"/>
        </w:rPr>
        <w:t>  </w:t>
      </w:r>
      <w:r>
        <w:rPr>
          <w:rFonts w:ascii="Arial"/>
          <w:i/>
          <w:sz w:val="20"/>
        </w:rPr>
        <w:t>Regazzoni</w:t>
      </w:r>
      <w:r>
        <w:rPr>
          <w:rFonts w:ascii="Arial"/>
          <w:i/>
          <w:spacing w:val="1"/>
          <w:sz w:val="20"/>
        </w:rPr>
        <w:t> </w:t>
      </w:r>
      <w:r>
        <w:rPr>
          <w:rFonts w:ascii="Arial"/>
          <w:i/>
          <w:sz w:val="20"/>
        </w:rPr>
        <w:t>v K.C. Sethia Ltd [1958] A.C. 301</w:t>
      </w:r>
      <w:r>
        <w:rPr>
          <w:sz w:val="20"/>
        </w:rPr>
        <w:t>.</w:t>
      </w:r>
      <w:r>
        <w:rPr>
          <w:spacing w:val="-1"/>
          <w:sz w:val="20"/>
        </w:rPr>
        <w:t> </w:t>
      </w:r>
      <w:r>
        <w:rPr>
          <w:sz w:val="20"/>
        </w:rPr>
        <w:t>And see </w:t>
      </w:r>
      <w:r>
        <w:rPr>
          <w:rFonts w:ascii="Arial"/>
          <w:i/>
          <w:sz w:val="20"/>
        </w:rPr>
        <w:t>De Wutz v Hendricks (1824) 2 Bing. </w:t>
      </w:r>
      <w:r>
        <w:rPr>
          <w:rFonts w:ascii="Arial"/>
          <w:i/>
          <w:spacing w:val="-4"/>
          <w:sz w:val="20"/>
        </w:rPr>
        <w:t>314</w:t>
      </w:r>
      <w:r>
        <w:rPr>
          <w:spacing w:val="-4"/>
          <w:sz w:val="20"/>
        </w:rPr>
        <w:t>;</w:t>
      </w:r>
    </w:p>
    <w:p>
      <w:pPr>
        <w:spacing w:line="235" w:lineRule="auto" w:before="1"/>
        <w:ind w:left="705" w:right="168" w:firstLine="0"/>
        <w:jc w:val="both"/>
        <w:rPr>
          <w:rFonts w:ascii="Arial"/>
          <w:i/>
          <w:sz w:val="20"/>
        </w:rPr>
      </w:pPr>
      <w:r>
        <w:rPr>
          <w:rFonts w:ascii="Arial"/>
          <w:i/>
          <w:sz w:val="20"/>
        </w:rPr>
        <w:t>Foster</w:t>
      </w:r>
      <w:r>
        <w:rPr>
          <w:rFonts w:ascii="Arial"/>
          <w:i/>
          <w:spacing w:val="40"/>
          <w:sz w:val="20"/>
        </w:rPr>
        <w:t> </w:t>
      </w:r>
      <w:r>
        <w:rPr>
          <w:rFonts w:ascii="Arial"/>
          <w:i/>
          <w:sz w:val="20"/>
        </w:rPr>
        <w:t>v</w:t>
      </w:r>
      <w:r>
        <w:rPr>
          <w:rFonts w:ascii="Arial"/>
          <w:i/>
          <w:spacing w:val="40"/>
          <w:sz w:val="20"/>
        </w:rPr>
        <w:t> </w:t>
      </w:r>
      <w:r>
        <w:rPr>
          <w:rFonts w:ascii="Arial"/>
          <w:i/>
          <w:sz w:val="20"/>
        </w:rPr>
        <w:t>Driscoll</w:t>
      </w:r>
      <w:r>
        <w:rPr>
          <w:rFonts w:ascii="Arial"/>
          <w:i/>
          <w:spacing w:val="40"/>
          <w:sz w:val="20"/>
        </w:rPr>
        <w:t> </w:t>
      </w:r>
      <w:r>
        <w:rPr>
          <w:rFonts w:ascii="Arial"/>
          <w:i/>
          <w:sz w:val="20"/>
        </w:rPr>
        <w:t>[1929]</w:t>
      </w:r>
      <w:r>
        <w:rPr>
          <w:rFonts w:ascii="Arial"/>
          <w:i/>
          <w:spacing w:val="40"/>
          <w:sz w:val="20"/>
        </w:rPr>
        <w:t> </w:t>
      </w:r>
      <w:r>
        <w:rPr>
          <w:rFonts w:ascii="Arial"/>
          <w:i/>
          <w:sz w:val="20"/>
        </w:rPr>
        <w:t>1</w:t>
      </w:r>
      <w:r>
        <w:rPr>
          <w:rFonts w:ascii="Arial"/>
          <w:i/>
          <w:spacing w:val="40"/>
          <w:sz w:val="20"/>
        </w:rPr>
        <w:t> </w:t>
      </w:r>
      <w:r>
        <w:rPr>
          <w:rFonts w:ascii="Arial"/>
          <w:i/>
          <w:sz w:val="20"/>
        </w:rPr>
        <w:t>K.B.</w:t>
      </w:r>
      <w:r>
        <w:rPr>
          <w:rFonts w:ascii="Arial"/>
          <w:i/>
          <w:spacing w:val="40"/>
          <w:sz w:val="20"/>
        </w:rPr>
        <w:t> </w:t>
      </w:r>
      <w:r>
        <w:rPr>
          <w:rFonts w:ascii="Arial"/>
          <w:i/>
          <w:sz w:val="20"/>
        </w:rPr>
        <w:t>470</w:t>
      </w:r>
      <w:r>
        <w:rPr>
          <w:sz w:val="20"/>
        </w:rPr>
        <w:t>;</w:t>
      </w:r>
      <w:r>
        <w:rPr>
          <w:spacing w:val="40"/>
          <w:sz w:val="20"/>
        </w:rPr>
        <w:t> </w:t>
      </w:r>
      <w:r>
        <w:rPr>
          <w:rFonts w:ascii="Arial"/>
          <w:i/>
          <w:sz w:val="20"/>
        </w:rPr>
        <w:t>British</w:t>
      </w:r>
      <w:r>
        <w:rPr>
          <w:rFonts w:ascii="Arial"/>
          <w:i/>
          <w:spacing w:val="40"/>
          <w:sz w:val="20"/>
        </w:rPr>
        <w:t> </w:t>
      </w:r>
      <w:r>
        <w:rPr>
          <w:rFonts w:ascii="Arial"/>
          <w:i/>
          <w:sz w:val="20"/>
        </w:rPr>
        <w:t>Nylon</w:t>
      </w:r>
      <w:r>
        <w:rPr>
          <w:rFonts w:ascii="Arial"/>
          <w:i/>
          <w:spacing w:val="40"/>
          <w:sz w:val="20"/>
        </w:rPr>
        <w:t> </w:t>
      </w:r>
      <w:r>
        <w:rPr>
          <w:rFonts w:ascii="Arial"/>
          <w:i/>
          <w:sz w:val="20"/>
        </w:rPr>
        <w:t>Spinners</w:t>
      </w:r>
      <w:r>
        <w:rPr>
          <w:rFonts w:ascii="Arial"/>
          <w:i/>
          <w:spacing w:val="40"/>
          <w:sz w:val="20"/>
        </w:rPr>
        <w:t> </w:t>
      </w:r>
      <w:r>
        <w:rPr>
          <w:rFonts w:ascii="Arial"/>
          <w:i/>
          <w:sz w:val="20"/>
        </w:rPr>
        <w:t>v</w:t>
      </w:r>
      <w:r>
        <w:rPr>
          <w:rFonts w:ascii="Arial"/>
          <w:i/>
          <w:spacing w:val="40"/>
          <w:sz w:val="20"/>
        </w:rPr>
        <w:t> </w:t>
      </w:r>
      <w:r>
        <w:rPr>
          <w:rFonts w:ascii="Arial"/>
          <w:i/>
          <w:sz w:val="20"/>
        </w:rPr>
        <w:t>I.C.I.</w:t>
      </w:r>
      <w:r>
        <w:rPr>
          <w:rFonts w:ascii="Arial"/>
          <w:i/>
          <w:spacing w:val="40"/>
          <w:sz w:val="20"/>
        </w:rPr>
        <w:t> </w:t>
      </w:r>
      <w:r>
        <w:rPr>
          <w:rFonts w:ascii="Arial"/>
          <w:i/>
          <w:sz w:val="20"/>
        </w:rPr>
        <w:t>Ltd</w:t>
      </w:r>
      <w:r>
        <w:rPr>
          <w:rFonts w:ascii="Arial"/>
          <w:i/>
          <w:spacing w:val="40"/>
          <w:sz w:val="20"/>
        </w:rPr>
        <w:t> </w:t>
      </w:r>
      <w:r>
        <w:rPr>
          <w:rFonts w:ascii="Arial"/>
          <w:i/>
          <w:sz w:val="20"/>
        </w:rPr>
        <w:t>[1955]</w:t>
      </w:r>
      <w:r>
        <w:rPr>
          <w:rFonts w:ascii="Arial"/>
          <w:i/>
          <w:spacing w:val="40"/>
          <w:sz w:val="20"/>
        </w:rPr>
        <w:t> </w:t>
      </w:r>
      <w:r>
        <w:rPr>
          <w:rFonts w:ascii="Arial"/>
          <w:i/>
          <w:sz w:val="20"/>
        </w:rPr>
        <w:t>Ch.</w:t>
      </w:r>
      <w:r>
        <w:rPr>
          <w:rFonts w:ascii="Arial"/>
          <w:i/>
          <w:spacing w:val="40"/>
          <w:sz w:val="20"/>
        </w:rPr>
        <w:t> </w:t>
      </w:r>
      <w:r>
        <w:rPr>
          <w:rFonts w:ascii="Arial"/>
          <w:i/>
          <w:sz w:val="20"/>
        </w:rPr>
        <w:t>37,</w:t>
      </w:r>
      <w:r>
        <w:rPr>
          <w:rFonts w:ascii="Arial"/>
          <w:i/>
          <w:spacing w:val="40"/>
          <w:sz w:val="20"/>
        </w:rPr>
        <w:t> </w:t>
      </w:r>
      <w:r>
        <w:rPr>
          <w:rFonts w:ascii="Arial"/>
          <w:i/>
          <w:sz w:val="20"/>
        </w:rPr>
        <w:t>52</w:t>
      </w:r>
      <w:r>
        <w:rPr>
          <w:sz w:val="20"/>
        </w:rPr>
        <w:t>; </w:t>
      </w:r>
      <w:r>
        <w:rPr>
          <w:rFonts w:ascii="Arial"/>
          <w:i/>
          <w:sz w:val="20"/>
        </w:rPr>
        <w:t>Euro-Diam</w:t>
      </w:r>
      <w:r>
        <w:rPr>
          <w:rFonts w:ascii="Arial"/>
          <w:i/>
          <w:spacing w:val="17"/>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Bathurst</w:t>
      </w:r>
      <w:r>
        <w:rPr>
          <w:rFonts w:ascii="Arial"/>
          <w:i/>
          <w:spacing w:val="18"/>
          <w:sz w:val="20"/>
        </w:rPr>
        <w:t> </w:t>
      </w:r>
      <w:r>
        <w:rPr>
          <w:rFonts w:ascii="Arial"/>
          <w:i/>
          <w:sz w:val="20"/>
        </w:rPr>
        <w:t>[1990]</w:t>
      </w:r>
      <w:r>
        <w:rPr>
          <w:rFonts w:ascii="Arial"/>
          <w:i/>
          <w:spacing w:val="18"/>
          <w:sz w:val="20"/>
        </w:rPr>
        <w:t> </w:t>
      </w:r>
      <w:r>
        <w:rPr>
          <w:rFonts w:ascii="Arial"/>
          <w:i/>
          <w:sz w:val="20"/>
        </w:rPr>
        <w:t>1</w:t>
      </w:r>
      <w:r>
        <w:rPr>
          <w:rFonts w:ascii="Arial"/>
          <w:i/>
          <w:spacing w:val="18"/>
          <w:sz w:val="20"/>
        </w:rPr>
        <w:t> </w:t>
      </w:r>
      <w:r>
        <w:rPr>
          <w:rFonts w:ascii="Arial"/>
          <w:i/>
          <w:sz w:val="20"/>
        </w:rPr>
        <w:t>Q.B.</w:t>
      </w:r>
      <w:r>
        <w:rPr>
          <w:rFonts w:ascii="Arial"/>
          <w:i/>
          <w:spacing w:val="18"/>
          <w:sz w:val="20"/>
        </w:rPr>
        <w:t> </w:t>
      </w:r>
      <w:r>
        <w:rPr>
          <w:rFonts w:ascii="Arial"/>
          <w:i/>
          <w:sz w:val="20"/>
        </w:rPr>
        <w:t>1</w:t>
      </w:r>
      <w:r>
        <w:rPr>
          <w:sz w:val="20"/>
        </w:rPr>
        <w:t>;</w:t>
      </w:r>
      <w:r>
        <w:rPr>
          <w:spacing w:val="18"/>
          <w:sz w:val="20"/>
        </w:rPr>
        <w:t> </w:t>
      </w:r>
      <w:r>
        <w:rPr>
          <w:rFonts w:ascii="Arial"/>
          <w:i/>
          <w:sz w:val="20"/>
        </w:rPr>
        <w:t>Royal</w:t>
      </w:r>
      <w:r>
        <w:rPr>
          <w:rFonts w:ascii="Arial"/>
          <w:i/>
          <w:spacing w:val="18"/>
          <w:sz w:val="20"/>
        </w:rPr>
        <w:t> </w:t>
      </w:r>
      <w:r>
        <w:rPr>
          <w:rFonts w:ascii="Arial"/>
          <w:i/>
          <w:sz w:val="20"/>
        </w:rPr>
        <w:t>Boskalis</w:t>
      </w:r>
      <w:r>
        <w:rPr>
          <w:rFonts w:ascii="Arial"/>
          <w:i/>
          <w:spacing w:val="18"/>
          <w:sz w:val="20"/>
        </w:rPr>
        <w:t> </w:t>
      </w:r>
      <w:r>
        <w:rPr>
          <w:rFonts w:ascii="Arial"/>
          <w:i/>
          <w:sz w:val="20"/>
        </w:rPr>
        <w:t>Westminster</w:t>
      </w:r>
      <w:r>
        <w:rPr>
          <w:rFonts w:ascii="Arial"/>
          <w:i/>
          <w:spacing w:val="18"/>
          <w:sz w:val="20"/>
        </w:rPr>
        <w:t> </w:t>
      </w:r>
      <w:r>
        <w:rPr>
          <w:rFonts w:ascii="Arial"/>
          <w:i/>
          <w:sz w:val="20"/>
        </w:rPr>
        <w:t>NV</w:t>
      </w:r>
      <w:r>
        <w:rPr>
          <w:rFonts w:ascii="Arial"/>
          <w:i/>
          <w:spacing w:val="18"/>
          <w:sz w:val="20"/>
        </w:rPr>
        <w:t> </w:t>
      </w:r>
      <w:r>
        <w:rPr>
          <w:rFonts w:ascii="Arial"/>
          <w:i/>
          <w:sz w:val="20"/>
        </w:rPr>
        <w:t>v</w:t>
      </w:r>
      <w:r>
        <w:rPr>
          <w:rFonts w:ascii="Arial"/>
          <w:i/>
          <w:spacing w:val="18"/>
          <w:sz w:val="20"/>
        </w:rPr>
        <w:t> </w:t>
      </w:r>
      <w:r>
        <w:rPr>
          <w:rFonts w:ascii="Arial"/>
          <w:i/>
          <w:sz w:val="20"/>
        </w:rPr>
        <w:t>Mountain</w:t>
      </w:r>
      <w:r>
        <w:rPr>
          <w:rFonts w:ascii="Arial"/>
          <w:i/>
          <w:spacing w:val="18"/>
          <w:sz w:val="20"/>
        </w:rPr>
        <w:t> </w:t>
      </w:r>
      <w:r>
        <w:rPr>
          <w:rFonts w:ascii="Arial"/>
          <w:i/>
          <w:spacing w:val="-2"/>
          <w:sz w:val="20"/>
        </w:rPr>
        <w:t>[1999]</w:t>
      </w:r>
    </w:p>
    <w:p>
      <w:pPr>
        <w:spacing w:line="235" w:lineRule="auto" w:before="0"/>
        <w:ind w:left="705" w:right="167" w:firstLine="0"/>
        <w:jc w:val="both"/>
        <w:rPr>
          <w:rFonts w:ascii="Arial" w:hAnsi="Arial"/>
          <w:i/>
          <w:sz w:val="20"/>
        </w:rPr>
      </w:pPr>
      <w:r>
        <w:rPr>
          <w:rFonts w:ascii="Arial" w:hAnsi="Arial"/>
          <w:i/>
          <w:sz w:val="20"/>
        </w:rPr>
        <w:t>Q.B. 674</w:t>
      </w:r>
      <w:r>
        <w:rPr>
          <w:sz w:val="20"/>
        </w:rPr>
        <w:t>; </w:t>
      </w:r>
      <w:r>
        <w:rPr>
          <w:rFonts w:ascii="Arial" w:hAnsi="Arial"/>
          <w:i/>
          <w:sz w:val="20"/>
        </w:rPr>
        <w:t>Ispahani v Bank Melli Iran [1998] Lloyd’s Rep. Bank. 133</w:t>
      </w:r>
      <w:r>
        <w:rPr>
          <w:sz w:val="20"/>
        </w:rPr>
        <w:t>; </w:t>
      </w:r>
      <w:r>
        <w:rPr>
          <w:rFonts w:ascii="Arial" w:hAnsi="Arial"/>
          <w:i/>
          <w:sz w:val="20"/>
        </w:rPr>
        <w:t>Soleimany v Soleimany [1999] Q.B. 785 </w:t>
      </w:r>
      <w:r>
        <w:rPr>
          <w:sz w:val="20"/>
        </w:rPr>
        <w:t>(arbitration award based on such a contract unenforceable in England); </w:t>
      </w:r>
      <w:r>
        <w:rPr>
          <w:rFonts w:ascii="Arial" w:hAnsi="Arial"/>
          <w:i/>
          <w:sz w:val="20"/>
        </w:rPr>
        <w:t>Westacre</w:t>
      </w:r>
      <w:r>
        <w:rPr>
          <w:rFonts w:ascii="Arial" w:hAnsi="Arial"/>
          <w:i/>
          <w:spacing w:val="5"/>
          <w:sz w:val="20"/>
        </w:rPr>
        <w:t> </w:t>
      </w:r>
      <w:r>
        <w:rPr>
          <w:rFonts w:ascii="Arial" w:hAnsi="Arial"/>
          <w:i/>
          <w:sz w:val="20"/>
        </w:rPr>
        <w:t>Investments</w:t>
      </w:r>
      <w:r>
        <w:rPr>
          <w:rFonts w:ascii="Arial" w:hAnsi="Arial"/>
          <w:i/>
          <w:spacing w:val="5"/>
          <w:sz w:val="20"/>
        </w:rPr>
        <w:t> </w:t>
      </w:r>
      <w:r>
        <w:rPr>
          <w:rFonts w:ascii="Arial" w:hAnsi="Arial"/>
          <w:i/>
          <w:sz w:val="20"/>
        </w:rPr>
        <w:t>Inc</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Jugoimport-SDPR</w:t>
      </w:r>
      <w:r>
        <w:rPr>
          <w:rFonts w:ascii="Arial" w:hAnsi="Arial"/>
          <w:i/>
          <w:spacing w:val="5"/>
          <w:sz w:val="20"/>
        </w:rPr>
        <w:t> </w:t>
      </w:r>
      <w:r>
        <w:rPr>
          <w:rFonts w:ascii="Arial" w:hAnsi="Arial"/>
          <w:i/>
          <w:sz w:val="20"/>
        </w:rPr>
        <w:t>Holding</w:t>
      </w:r>
      <w:r>
        <w:rPr>
          <w:rFonts w:ascii="Arial" w:hAnsi="Arial"/>
          <w:i/>
          <w:spacing w:val="5"/>
          <w:sz w:val="20"/>
        </w:rPr>
        <w:t> </w:t>
      </w:r>
      <w:r>
        <w:rPr>
          <w:rFonts w:ascii="Arial" w:hAnsi="Arial"/>
          <w:i/>
          <w:sz w:val="20"/>
        </w:rPr>
        <w:t>Co</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[1999]</w:t>
      </w:r>
      <w:r>
        <w:rPr>
          <w:rFonts w:ascii="Arial" w:hAnsi="Arial"/>
          <w:i/>
          <w:spacing w:val="5"/>
          <w:sz w:val="20"/>
        </w:rPr>
        <w:t> </w:t>
      </w:r>
      <w:r>
        <w:rPr>
          <w:rFonts w:ascii="Arial" w:hAnsi="Arial"/>
          <w:i/>
          <w:sz w:val="20"/>
        </w:rPr>
        <w:t>Q.B.</w:t>
      </w:r>
      <w:r>
        <w:rPr>
          <w:rFonts w:ascii="Arial" w:hAnsi="Arial"/>
          <w:i/>
          <w:spacing w:val="5"/>
          <w:sz w:val="20"/>
        </w:rPr>
        <w:t> </w:t>
      </w:r>
      <w:r>
        <w:rPr>
          <w:rFonts w:ascii="Arial" w:hAnsi="Arial"/>
          <w:i/>
          <w:sz w:val="20"/>
        </w:rPr>
        <w:t>740,</w:t>
      </w:r>
      <w:r>
        <w:rPr>
          <w:rFonts w:ascii="Arial" w:hAnsi="Arial"/>
          <w:i/>
          <w:spacing w:val="5"/>
          <w:sz w:val="20"/>
        </w:rPr>
        <w:t> </w:t>
      </w:r>
      <w:r>
        <w:rPr>
          <w:rFonts w:ascii="Arial" w:hAnsi="Arial"/>
          <w:i/>
          <w:sz w:val="20"/>
        </w:rPr>
        <w:t>affirmed</w:t>
      </w:r>
      <w:r>
        <w:rPr>
          <w:rFonts w:ascii="Arial" w:hAnsi="Arial"/>
          <w:i/>
          <w:spacing w:val="5"/>
          <w:sz w:val="20"/>
        </w:rPr>
        <w:t> </w:t>
      </w:r>
      <w:r>
        <w:rPr>
          <w:rFonts w:ascii="Arial" w:hAnsi="Arial"/>
          <w:i/>
          <w:spacing w:val="-2"/>
          <w:sz w:val="20"/>
        </w:rPr>
        <w:t>[2000]</w:t>
      </w:r>
    </w:p>
    <w:p>
      <w:pPr>
        <w:spacing w:line="235" w:lineRule="auto" w:before="0"/>
        <w:ind w:left="705" w:right="167" w:firstLine="0"/>
        <w:jc w:val="both"/>
        <w:rPr>
          <w:rFonts w:ascii="Arial" w:hAnsi="Arial"/>
          <w:i/>
          <w:sz w:val="20"/>
        </w:rPr>
      </w:pPr>
      <w:r>
        <w:rPr>
          <w:rFonts w:ascii="Arial" w:hAnsi="Arial"/>
          <w:i/>
          <w:sz w:val="20"/>
        </w:rPr>
        <w:t>Q.B. 288 </w:t>
      </w:r>
      <w:r>
        <w:rPr>
          <w:sz w:val="20"/>
        </w:rPr>
        <w:t>(public policy of sustaining international arbitration awards outweighed public policy of discouraging</w:t>
      </w:r>
      <w:r>
        <w:rPr>
          <w:spacing w:val="21"/>
          <w:sz w:val="20"/>
        </w:rPr>
        <w:t> </w:t>
      </w:r>
      <w:r>
        <w:rPr>
          <w:sz w:val="20"/>
        </w:rPr>
        <w:t>international</w:t>
      </w:r>
      <w:r>
        <w:rPr>
          <w:spacing w:val="21"/>
          <w:sz w:val="20"/>
        </w:rPr>
        <w:t> </w:t>
      </w:r>
      <w:r>
        <w:rPr>
          <w:sz w:val="20"/>
        </w:rPr>
        <w:t>commercial</w:t>
      </w:r>
      <w:r>
        <w:rPr>
          <w:spacing w:val="21"/>
          <w:sz w:val="20"/>
        </w:rPr>
        <w:t> </w:t>
      </w:r>
      <w:r>
        <w:rPr>
          <w:sz w:val="20"/>
        </w:rPr>
        <w:t>corruption);</w:t>
      </w:r>
      <w:r>
        <w:rPr>
          <w:spacing w:val="21"/>
          <w:sz w:val="20"/>
        </w:rPr>
        <w:t> </w:t>
      </w:r>
      <w:r>
        <w:rPr>
          <w:sz w:val="20"/>
        </w:rPr>
        <w:t>see</w:t>
      </w:r>
      <w:r>
        <w:rPr>
          <w:spacing w:val="21"/>
          <w:sz w:val="20"/>
        </w:rPr>
        <w:t> </w:t>
      </w:r>
      <w:r>
        <w:rPr>
          <w:sz w:val="20"/>
        </w:rPr>
        <w:t>also</w:t>
      </w:r>
      <w:r>
        <w:rPr>
          <w:spacing w:val="20"/>
          <w:sz w:val="20"/>
        </w:rPr>
        <w:t> </w:t>
      </w:r>
      <w:r>
        <w:rPr>
          <w:rFonts w:ascii="Arial" w:hAnsi="Arial"/>
          <w:i/>
          <w:sz w:val="20"/>
        </w:rPr>
        <w:t>Society</w:t>
      </w:r>
      <w:r>
        <w:rPr>
          <w:rFonts w:ascii="Arial" w:hAnsi="Arial"/>
          <w:i/>
          <w:spacing w:val="21"/>
          <w:sz w:val="20"/>
        </w:rPr>
        <w:t> </w:t>
      </w:r>
      <w:r>
        <w:rPr>
          <w:rFonts w:ascii="Arial" w:hAnsi="Arial"/>
          <w:i/>
          <w:sz w:val="20"/>
        </w:rPr>
        <w:t>of</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Fraser</w:t>
      </w:r>
      <w:r>
        <w:rPr>
          <w:rFonts w:ascii="Arial" w:hAnsi="Arial"/>
          <w:i/>
          <w:spacing w:val="21"/>
          <w:sz w:val="20"/>
        </w:rPr>
        <w:t> </w:t>
      </w:r>
      <w:r>
        <w:rPr>
          <w:rFonts w:ascii="Arial" w:hAnsi="Arial"/>
          <w:i/>
          <w:spacing w:val="-2"/>
          <w:sz w:val="20"/>
        </w:rPr>
        <w:t>[1998]</w:t>
      </w:r>
    </w:p>
    <w:p>
      <w:pPr>
        <w:spacing w:line="235" w:lineRule="auto" w:before="0"/>
        <w:ind w:left="705" w:right="167" w:firstLine="0"/>
        <w:jc w:val="both"/>
        <w:rPr>
          <w:sz w:val="20"/>
        </w:rPr>
      </w:pPr>
      <w:r>
        <w:rPr>
          <w:rFonts w:ascii="Arial" w:hAnsi="Arial"/>
          <w:i/>
          <w:sz w:val="20"/>
        </w:rPr>
        <w:t>C.L.C. 1630, 1652</w:t>
      </w:r>
      <w:r>
        <w:rPr>
          <w:sz w:val="20"/>
        </w:rPr>
        <w:t>; </w:t>
      </w:r>
      <w:r>
        <w:rPr>
          <w:rFonts w:ascii="Arial" w:hAnsi="Arial"/>
          <w:i/>
          <w:sz w:val="20"/>
        </w:rPr>
        <w:t>Fox v Henderson Investment Fund Ltd [1999] 2 Lloyd’s Rep. 303</w:t>
      </w:r>
      <w:r>
        <w:rPr>
          <w:sz w:val="20"/>
        </w:rPr>
        <w:t>. This </w:t>
      </w:r>
      <w:r>
        <w:rPr>
          <w:sz w:val="20"/>
        </w:rPr>
        <w:t>rule applies, in all probability, to cases where a contract is governed by a foreign law as well as to cases where it is governed by English law (as was the case in </w:t>
      </w:r>
      <w:r>
        <w:rPr>
          <w:rFonts w:ascii="Arial" w:hAnsi="Arial"/>
          <w:i/>
          <w:sz w:val="20"/>
        </w:rPr>
        <w:t>Regazzoni v K.C. Sethia Ltd</w:t>
      </w:r>
      <w:r>
        <w:rPr>
          <w:sz w:val="20"/>
        </w:rPr>
        <w:t>): see </w:t>
      </w:r>
      <w:r>
        <w:rPr>
          <w:rFonts w:ascii="Arial" w:hAnsi="Arial"/>
          <w:i/>
          <w:sz w:val="20"/>
        </w:rPr>
        <w:t>Royal Boskalis Westminster NV v Mountain [1999] Q.B. 674, 692, 703, 734–736</w:t>
      </w:r>
      <w:r>
        <w:rPr>
          <w:sz w:val="20"/>
        </w:rPr>
        <w:t>; cf. </w:t>
      </w:r>
      <w:r>
        <w:rPr>
          <w:rFonts w:ascii="Arial" w:hAnsi="Arial"/>
          <w:i/>
          <w:sz w:val="20"/>
        </w:rPr>
        <w:t>Ispahani v Bank Melli Iran</w:t>
      </w:r>
      <w:r>
        <w:rPr>
          <w:sz w:val="20"/>
        </w:rPr>
        <w:t>. It also applies where the object of the contract is to break the penal or revenue laws of a foreign country (</w:t>
      </w:r>
      <w:r>
        <w:rPr>
          <w:rFonts w:ascii="Arial" w:hAnsi="Arial"/>
          <w:i/>
          <w:sz w:val="20"/>
        </w:rPr>
        <w:t>Regazzoni v K.C. Sethia Ltd</w:t>
      </w:r>
      <w:r>
        <w:rPr>
          <w:sz w:val="20"/>
        </w:rPr>
        <w:t>; </w:t>
      </w:r>
      <w:r>
        <w:rPr>
          <w:rFonts w:ascii="Arial" w:hAnsi="Arial"/>
          <w:i/>
          <w:sz w:val="20"/>
        </w:rPr>
        <w:t>Re Emery’s Investment Trusts [1959] Ch. 410</w:t>
      </w:r>
      <w:r>
        <w:rPr>
          <w:sz w:val="20"/>
        </w:rPr>
        <w:t>; </w:t>
      </w:r>
      <w:r>
        <w:rPr>
          <w:rFonts w:ascii="Arial" w:hAnsi="Arial"/>
          <w:i/>
          <w:sz w:val="20"/>
        </w:rPr>
        <w:t>Euro-Diam Ltd v Bathurst</w:t>
      </w:r>
      <w:r>
        <w:rPr>
          <w:sz w:val="20"/>
        </w:rPr>
        <w:t>; </w:t>
      </w:r>
      <w:r>
        <w:rPr>
          <w:rFonts w:ascii="Arial" w:hAnsi="Arial"/>
          <w:i/>
          <w:sz w:val="20"/>
        </w:rPr>
        <w:t>Soleimany v Soleimany</w:t>
      </w:r>
      <w:r>
        <w:rPr>
          <w:sz w:val="20"/>
        </w:rPr>
        <w:t>) or foreign exchange control legislation (</w:t>
      </w:r>
      <w:r>
        <w:rPr>
          <w:rFonts w:ascii="Arial" w:hAnsi="Arial"/>
          <w:i/>
          <w:sz w:val="20"/>
        </w:rPr>
        <w:t>Kahler v Midland Bank Ltd [1950] A.C. 24, 27</w:t>
      </w:r>
      <w:r>
        <w:rPr>
          <w:sz w:val="20"/>
        </w:rPr>
        <w:t>; </w:t>
      </w:r>
      <w:r>
        <w:rPr>
          <w:rFonts w:ascii="Arial" w:hAnsi="Arial"/>
          <w:i/>
          <w:sz w:val="20"/>
        </w:rPr>
        <w:t>Zivnostenska Banka v Frankman [1950] A.C. 57, 72</w:t>
      </w:r>
      <w:r>
        <w:rPr>
          <w:sz w:val="20"/>
        </w:rPr>
        <w:t>; </w:t>
      </w:r>
      <w:r>
        <w:rPr>
          <w:rFonts w:ascii="Arial" w:hAnsi="Arial"/>
          <w:i/>
          <w:sz w:val="20"/>
        </w:rPr>
        <w:t>Re Helbert Wagg &amp; Co Ltd’s Claim [1956] Ch. 323, 349, 351</w:t>
      </w:r>
      <w:r>
        <w:rPr>
          <w:sz w:val="20"/>
        </w:rPr>
        <w:t>; </w:t>
      </w:r>
      <w:r>
        <w:rPr>
          <w:rFonts w:ascii="Arial" w:hAnsi="Arial"/>
          <w:i/>
          <w:sz w:val="20"/>
        </w:rPr>
        <w:t>Re Lord Cable [1977] 1 W.L.R. 7, 24</w:t>
      </w:r>
      <w:r>
        <w:rPr>
          <w:sz w:val="20"/>
        </w:rPr>
        <w:t>; </w:t>
      </w:r>
      <w:r>
        <w:rPr>
          <w:rFonts w:ascii="Arial" w:hAnsi="Arial"/>
          <w:i/>
          <w:sz w:val="20"/>
        </w:rPr>
        <w:t>Ispahani v Bank Melli Iran</w:t>
      </w:r>
      <w:r>
        <w:rPr>
          <w:sz w:val="20"/>
        </w:rPr>
        <w:t>, above). An English court will not </w:t>
      </w:r>
      <w:r>
        <w:rPr>
          <w:rFonts w:ascii="Arial" w:hAnsi="Arial"/>
          <w:i/>
          <w:sz w:val="20"/>
        </w:rPr>
        <w:t>enforce </w:t>
      </w:r>
      <w:r>
        <w:rPr>
          <w:sz w:val="20"/>
        </w:rPr>
        <w:t>the penal or revenue or other public laws of a foreign country: see </w:t>
      </w:r>
      <w:r>
        <w:rPr>
          <w:rFonts w:ascii="Arial" w:hAnsi="Arial"/>
          <w:i/>
          <w:sz w:val="20"/>
        </w:rPr>
        <w:t>Camdex</w:t>
      </w:r>
      <w:r>
        <w:rPr>
          <w:rFonts w:ascii="Arial" w:hAnsi="Arial"/>
          <w:i/>
          <w:spacing w:val="40"/>
          <w:sz w:val="20"/>
        </w:rPr>
        <w:t> </w:t>
      </w:r>
      <w:r>
        <w:rPr>
          <w:rFonts w:ascii="Arial" w:hAnsi="Arial"/>
          <w:i/>
          <w:sz w:val="20"/>
        </w:rPr>
        <w:t>International Ltd v Bank of Zambia [1997] C.L.C. 714</w:t>
      </w:r>
      <w:r>
        <w:rPr>
          <w:sz w:val="20"/>
        </w:rPr>
        <w:t>; Dicey, Morris and Collins, 15th edn (2012),</w:t>
      </w:r>
      <w:r>
        <w:rPr>
          <w:spacing w:val="-1"/>
          <w:sz w:val="20"/>
        </w:rPr>
        <w:t> </w:t>
      </w:r>
      <w:r>
        <w:rPr>
          <w:sz w:val="20"/>
        </w:rPr>
        <w:t>paras</w:t>
      </w:r>
      <w:r>
        <w:rPr>
          <w:spacing w:val="-1"/>
          <w:sz w:val="20"/>
        </w:rPr>
        <w:t> </w:t>
      </w:r>
      <w:r>
        <w:rPr>
          <w:sz w:val="20"/>
        </w:rPr>
        <w:t>5–020</w:t>
      </w:r>
      <w:r>
        <w:rPr>
          <w:spacing w:val="-1"/>
          <w:sz w:val="20"/>
        </w:rPr>
        <w:t> </w:t>
      </w:r>
      <w:r>
        <w:rPr>
          <w:sz w:val="20"/>
        </w:rPr>
        <w:t>et</w:t>
      </w:r>
      <w:r>
        <w:rPr>
          <w:spacing w:val="-1"/>
          <w:sz w:val="20"/>
        </w:rPr>
        <w:t> </w:t>
      </w:r>
      <w:r>
        <w:rPr>
          <w:sz w:val="20"/>
        </w:rPr>
        <w:t>seq.</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Barros</w:t>
      </w:r>
      <w:r>
        <w:rPr>
          <w:rFonts w:ascii="Arial" w:hAnsi="Arial"/>
          <w:i/>
          <w:spacing w:val="-1"/>
          <w:sz w:val="20"/>
        </w:rPr>
        <w:t> </w:t>
      </w:r>
      <w:r>
        <w:rPr>
          <w:rFonts w:ascii="Arial" w:hAnsi="Arial"/>
          <w:i/>
          <w:sz w:val="20"/>
        </w:rPr>
        <w:t>Mattos</w:t>
      </w:r>
      <w:r>
        <w:rPr>
          <w:rFonts w:ascii="Arial" w:hAnsi="Arial"/>
          <w:i/>
          <w:spacing w:val="-1"/>
          <w:sz w:val="20"/>
        </w:rPr>
        <w:t> </w:t>
      </w:r>
      <w:r>
        <w:rPr>
          <w:rFonts w:ascii="Arial" w:hAnsi="Arial"/>
          <w:i/>
          <w:sz w:val="20"/>
        </w:rPr>
        <w:t>Junior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MacDaniels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[2004]</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118 (Ch), [2005] 1 W.L.R. 247</w:t>
      </w:r>
      <w:r>
        <w:rPr>
          <w:sz w:val="20"/>
        </w:rPr>
        <w:t>; </w:t>
      </w:r>
      <w:r>
        <w:rPr>
          <w:rFonts w:ascii="Arial" w:hAnsi="Arial"/>
          <w:i/>
          <w:sz w:val="20"/>
        </w:rPr>
        <w:t>Marlwood Commercial Inc v Kozeny [2006] EWHC 872 (Comm)</w:t>
      </w:r>
      <w:r>
        <w:rPr>
          <w:sz w:val="20"/>
        </w:rPr>
        <w:t>; </w:t>
      </w:r>
      <w:r>
        <w:rPr>
          <w:rFonts w:ascii="Arial" w:hAnsi="Arial"/>
          <w:i/>
          <w:sz w:val="20"/>
        </w:rPr>
        <w:t>Islamic Republic of Iran v Barakat Galleries Ltd [2007] EWCA Civ 1374, [2008] 1 All E.R. 1177</w:t>
      </w:r>
      <w:r>
        <w:rPr>
          <w:sz w:val="20"/>
        </w:rPr>
        <w:t>. As to exchange control in the conflict of laws, see Dicey, Morris and Collins, 15th edn (2012), paras 37R–061 et seq.</w:t>
      </w:r>
    </w:p>
    <w:p>
      <w:pPr>
        <w:spacing w:line="227" w:lineRule="exact" w:before="227"/>
        <w:ind w:left="0" w:right="168" w:firstLine="0"/>
        <w:jc w:val="right"/>
        <w:rPr>
          <w:rFonts w:ascii="Arial"/>
          <w:i/>
          <w:sz w:val="20"/>
        </w:rPr>
      </w:pPr>
      <w:bookmarkStart w:name="_bookmark2665" w:id="2667"/>
      <w:bookmarkEnd w:id="2667"/>
      <w:r>
        <w:rPr/>
      </w:r>
      <w:hyperlink w:history="true" w:anchor="_bookmark2607">
        <w:r>
          <w:rPr>
            <w:color w:val="005DA1"/>
            <w:position w:val="5"/>
            <w:sz w:val="14"/>
            <w:u w:val="single" w:color="005DA1"/>
          </w:rPr>
          <w:t>1393</w:t>
        </w:r>
      </w:hyperlink>
      <w:r>
        <w:rPr>
          <w:position w:val="5"/>
          <w:sz w:val="14"/>
        </w:rPr>
        <w:t>.</w:t>
      </w:r>
      <w:r>
        <w:rPr>
          <w:spacing w:val="55"/>
          <w:position w:val="5"/>
          <w:sz w:val="14"/>
        </w:rPr>
        <w:t>  </w:t>
      </w:r>
      <w:r>
        <w:rPr>
          <w:rFonts w:ascii="Arial"/>
          <w:i/>
          <w:sz w:val="20"/>
        </w:rPr>
        <w:t>Kaufman</w:t>
      </w:r>
      <w:r>
        <w:rPr>
          <w:rFonts w:ascii="Arial"/>
          <w:i/>
          <w:spacing w:val="13"/>
          <w:sz w:val="20"/>
        </w:rPr>
        <w:t> </w:t>
      </w:r>
      <w:r>
        <w:rPr>
          <w:rFonts w:ascii="Arial"/>
          <w:i/>
          <w:sz w:val="20"/>
        </w:rPr>
        <w:t>v</w:t>
      </w:r>
      <w:r>
        <w:rPr>
          <w:rFonts w:ascii="Arial"/>
          <w:i/>
          <w:spacing w:val="12"/>
          <w:sz w:val="20"/>
        </w:rPr>
        <w:t> </w:t>
      </w:r>
      <w:r>
        <w:rPr>
          <w:rFonts w:ascii="Arial"/>
          <w:i/>
          <w:sz w:val="20"/>
        </w:rPr>
        <w:t>Gerson</w:t>
      </w:r>
      <w:r>
        <w:rPr>
          <w:rFonts w:ascii="Arial"/>
          <w:i/>
          <w:spacing w:val="12"/>
          <w:sz w:val="20"/>
        </w:rPr>
        <w:t> </w:t>
      </w:r>
      <w:r>
        <w:rPr>
          <w:rFonts w:ascii="Arial"/>
          <w:i/>
          <w:sz w:val="20"/>
        </w:rPr>
        <w:t>[1904]</w:t>
      </w:r>
      <w:r>
        <w:rPr>
          <w:rFonts w:ascii="Arial"/>
          <w:i/>
          <w:spacing w:val="12"/>
          <w:sz w:val="20"/>
        </w:rPr>
        <w:t> </w:t>
      </w:r>
      <w:r>
        <w:rPr>
          <w:rFonts w:ascii="Arial"/>
          <w:i/>
          <w:sz w:val="20"/>
        </w:rPr>
        <w:t>1</w:t>
      </w:r>
      <w:r>
        <w:rPr>
          <w:rFonts w:ascii="Arial"/>
          <w:i/>
          <w:spacing w:val="12"/>
          <w:sz w:val="20"/>
        </w:rPr>
        <w:t> </w:t>
      </w:r>
      <w:r>
        <w:rPr>
          <w:rFonts w:ascii="Arial"/>
          <w:i/>
          <w:sz w:val="20"/>
        </w:rPr>
        <w:t>K.B.</w:t>
      </w:r>
      <w:r>
        <w:rPr>
          <w:rFonts w:ascii="Arial"/>
          <w:i/>
          <w:spacing w:val="12"/>
          <w:sz w:val="20"/>
        </w:rPr>
        <w:t> </w:t>
      </w:r>
      <w:r>
        <w:rPr>
          <w:rFonts w:ascii="Arial"/>
          <w:i/>
          <w:sz w:val="20"/>
        </w:rPr>
        <w:t>591</w:t>
      </w:r>
      <w:r>
        <w:rPr>
          <w:sz w:val="20"/>
        </w:rPr>
        <w:t>;</w:t>
      </w:r>
      <w:r>
        <w:rPr>
          <w:spacing w:val="11"/>
          <w:sz w:val="20"/>
        </w:rPr>
        <w:t> </w:t>
      </w:r>
      <w:r>
        <w:rPr>
          <w:rFonts w:ascii="Arial"/>
          <w:i/>
          <w:sz w:val="20"/>
        </w:rPr>
        <w:t>Royal</w:t>
      </w:r>
      <w:r>
        <w:rPr>
          <w:rFonts w:ascii="Arial"/>
          <w:i/>
          <w:spacing w:val="12"/>
          <w:sz w:val="20"/>
        </w:rPr>
        <w:t> </w:t>
      </w:r>
      <w:r>
        <w:rPr>
          <w:rFonts w:ascii="Arial"/>
          <w:i/>
          <w:sz w:val="20"/>
        </w:rPr>
        <w:t>Boskalis</w:t>
      </w:r>
      <w:r>
        <w:rPr>
          <w:rFonts w:ascii="Arial"/>
          <w:i/>
          <w:spacing w:val="12"/>
          <w:sz w:val="20"/>
        </w:rPr>
        <w:t> </w:t>
      </w:r>
      <w:r>
        <w:rPr>
          <w:rFonts w:ascii="Arial"/>
          <w:i/>
          <w:sz w:val="20"/>
        </w:rPr>
        <w:t>Westminster</w:t>
      </w:r>
      <w:r>
        <w:rPr>
          <w:rFonts w:ascii="Arial"/>
          <w:i/>
          <w:spacing w:val="12"/>
          <w:sz w:val="20"/>
        </w:rPr>
        <w:t> </w:t>
      </w:r>
      <w:r>
        <w:rPr>
          <w:rFonts w:ascii="Arial"/>
          <w:i/>
          <w:sz w:val="20"/>
        </w:rPr>
        <w:t>NV</w:t>
      </w:r>
      <w:r>
        <w:rPr>
          <w:rFonts w:ascii="Arial"/>
          <w:i/>
          <w:spacing w:val="12"/>
          <w:sz w:val="20"/>
        </w:rPr>
        <w:t> </w:t>
      </w:r>
      <w:r>
        <w:rPr>
          <w:rFonts w:ascii="Arial"/>
          <w:i/>
          <w:sz w:val="20"/>
        </w:rPr>
        <w:t>v</w:t>
      </w:r>
      <w:r>
        <w:rPr>
          <w:rFonts w:ascii="Arial"/>
          <w:i/>
          <w:spacing w:val="12"/>
          <w:sz w:val="20"/>
        </w:rPr>
        <w:t> </w:t>
      </w:r>
      <w:r>
        <w:rPr>
          <w:rFonts w:ascii="Arial"/>
          <w:i/>
          <w:sz w:val="20"/>
        </w:rPr>
        <w:t>Mountain</w:t>
      </w:r>
      <w:r>
        <w:rPr>
          <w:rFonts w:ascii="Arial"/>
          <w:i/>
          <w:spacing w:val="12"/>
          <w:sz w:val="20"/>
        </w:rPr>
        <w:t> </w:t>
      </w:r>
      <w:r>
        <w:rPr>
          <w:rFonts w:ascii="Arial"/>
          <w:i/>
          <w:sz w:val="20"/>
        </w:rPr>
        <w:t>[1999]</w:t>
      </w:r>
      <w:r>
        <w:rPr>
          <w:rFonts w:ascii="Arial"/>
          <w:i/>
          <w:spacing w:val="12"/>
          <w:sz w:val="20"/>
        </w:rPr>
        <w:t> </w:t>
      </w:r>
      <w:r>
        <w:rPr>
          <w:rFonts w:ascii="Arial"/>
          <w:i/>
          <w:spacing w:val="-4"/>
          <w:sz w:val="20"/>
        </w:rPr>
        <w:t>Q.B.</w:t>
      </w:r>
    </w:p>
    <w:p>
      <w:pPr>
        <w:spacing w:line="225" w:lineRule="exact" w:before="0"/>
        <w:ind w:left="0" w:right="168" w:firstLine="0"/>
        <w:jc w:val="right"/>
        <w:rPr>
          <w:rFonts w:ascii="Arial"/>
          <w:i/>
          <w:sz w:val="20"/>
        </w:rPr>
      </w:pPr>
      <w:r>
        <w:rPr>
          <w:rFonts w:ascii="Arial"/>
          <w:i/>
          <w:sz w:val="20"/>
        </w:rPr>
        <w:t>674</w:t>
      </w:r>
      <w:r>
        <w:rPr>
          <w:sz w:val="20"/>
        </w:rPr>
        <w:t>.</w:t>
      </w:r>
      <w:r>
        <w:rPr>
          <w:spacing w:val="4"/>
          <w:sz w:val="20"/>
        </w:rPr>
        <w:t> </w:t>
      </w:r>
      <w:r>
        <w:rPr>
          <w:sz w:val="20"/>
        </w:rPr>
        <w:t>See</w:t>
      </w:r>
      <w:r>
        <w:rPr>
          <w:spacing w:val="5"/>
          <w:sz w:val="20"/>
        </w:rPr>
        <w:t> </w:t>
      </w:r>
      <w:r>
        <w:rPr>
          <w:sz w:val="20"/>
        </w:rPr>
        <w:t>also</w:t>
      </w:r>
      <w:r>
        <w:rPr>
          <w:spacing w:val="5"/>
          <w:sz w:val="20"/>
        </w:rPr>
        <w:t> </w:t>
      </w:r>
      <w:r>
        <w:rPr>
          <w:rFonts w:ascii="Arial"/>
          <w:i/>
          <w:sz w:val="20"/>
        </w:rPr>
        <w:t>Robinson</w:t>
      </w:r>
      <w:r>
        <w:rPr>
          <w:rFonts w:ascii="Arial"/>
          <w:i/>
          <w:spacing w:val="5"/>
          <w:sz w:val="20"/>
        </w:rPr>
        <w:t> </w:t>
      </w:r>
      <w:r>
        <w:rPr>
          <w:rFonts w:ascii="Arial"/>
          <w:i/>
          <w:sz w:val="20"/>
        </w:rPr>
        <w:t>v</w:t>
      </w:r>
      <w:r>
        <w:rPr>
          <w:rFonts w:ascii="Arial"/>
          <w:i/>
          <w:spacing w:val="5"/>
          <w:sz w:val="20"/>
        </w:rPr>
        <w:t> </w:t>
      </w:r>
      <w:r>
        <w:rPr>
          <w:rFonts w:ascii="Arial"/>
          <w:i/>
          <w:sz w:val="20"/>
        </w:rPr>
        <w:t>Bland</w:t>
      </w:r>
      <w:r>
        <w:rPr>
          <w:rFonts w:ascii="Arial"/>
          <w:i/>
          <w:spacing w:val="5"/>
          <w:sz w:val="20"/>
        </w:rPr>
        <w:t> </w:t>
      </w:r>
      <w:r>
        <w:rPr>
          <w:rFonts w:ascii="Arial"/>
          <w:i/>
          <w:sz w:val="20"/>
        </w:rPr>
        <w:t>(1706)</w:t>
      </w:r>
      <w:r>
        <w:rPr>
          <w:rFonts w:ascii="Arial"/>
          <w:i/>
          <w:spacing w:val="5"/>
          <w:sz w:val="20"/>
        </w:rPr>
        <w:t> </w:t>
      </w:r>
      <w:r>
        <w:rPr>
          <w:rFonts w:ascii="Arial"/>
          <w:i/>
          <w:sz w:val="20"/>
        </w:rPr>
        <w:t>2</w:t>
      </w:r>
      <w:r>
        <w:rPr>
          <w:rFonts w:ascii="Arial"/>
          <w:i/>
          <w:spacing w:val="5"/>
          <w:sz w:val="20"/>
        </w:rPr>
        <w:t> </w:t>
      </w:r>
      <w:r>
        <w:rPr>
          <w:rFonts w:ascii="Arial"/>
          <w:i/>
          <w:sz w:val="20"/>
        </w:rPr>
        <w:t>Burr.</w:t>
      </w:r>
      <w:r>
        <w:rPr>
          <w:rFonts w:ascii="Arial"/>
          <w:i/>
          <w:spacing w:val="4"/>
          <w:sz w:val="20"/>
        </w:rPr>
        <w:t> </w:t>
      </w:r>
      <w:r>
        <w:rPr>
          <w:rFonts w:ascii="Arial"/>
          <w:i/>
          <w:sz w:val="20"/>
        </w:rPr>
        <w:t>1077,</w:t>
      </w:r>
      <w:r>
        <w:rPr>
          <w:rFonts w:ascii="Arial"/>
          <w:i/>
          <w:spacing w:val="5"/>
          <w:sz w:val="20"/>
        </w:rPr>
        <w:t> </w:t>
      </w:r>
      <w:r>
        <w:rPr>
          <w:rFonts w:ascii="Arial"/>
          <w:i/>
          <w:sz w:val="20"/>
        </w:rPr>
        <w:t>1084</w:t>
      </w:r>
      <w:r>
        <w:rPr>
          <w:sz w:val="20"/>
        </w:rPr>
        <w:t>;</w:t>
      </w:r>
      <w:r>
        <w:rPr>
          <w:spacing w:val="5"/>
          <w:sz w:val="20"/>
        </w:rPr>
        <w:t> </w:t>
      </w:r>
      <w:r>
        <w:rPr>
          <w:rFonts w:ascii="Arial"/>
          <w:i/>
          <w:sz w:val="20"/>
        </w:rPr>
        <w:t>Re</w:t>
      </w:r>
      <w:r>
        <w:rPr>
          <w:rFonts w:ascii="Arial"/>
          <w:i/>
          <w:spacing w:val="5"/>
          <w:sz w:val="20"/>
        </w:rPr>
        <w:t> </w:t>
      </w:r>
      <w:r>
        <w:rPr>
          <w:rFonts w:ascii="Arial"/>
          <w:i/>
          <w:sz w:val="20"/>
        </w:rPr>
        <w:t>Missouri</w:t>
      </w:r>
      <w:r>
        <w:rPr>
          <w:rFonts w:ascii="Arial"/>
          <w:i/>
          <w:spacing w:val="5"/>
          <w:sz w:val="20"/>
        </w:rPr>
        <w:t> </w:t>
      </w:r>
      <w:r>
        <w:rPr>
          <w:rFonts w:ascii="Arial"/>
          <w:i/>
          <w:sz w:val="20"/>
        </w:rPr>
        <w:t>S.S.</w:t>
      </w:r>
      <w:r>
        <w:rPr>
          <w:rFonts w:ascii="Arial"/>
          <w:i/>
          <w:spacing w:val="5"/>
          <w:sz w:val="20"/>
        </w:rPr>
        <w:t> </w:t>
      </w:r>
      <w:r>
        <w:rPr>
          <w:rFonts w:ascii="Arial"/>
          <w:i/>
          <w:sz w:val="20"/>
        </w:rPr>
        <w:t>Co</w:t>
      </w:r>
      <w:r>
        <w:rPr>
          <w:rFonts w:ascii="Arial"/>
          <w:i/>
          <w:spacing w:val="5"/>
          <w:sz w:val="20"/>
        </w:rPr>
        <w:t> </w:t>
      </w:r>
      <w:r>
        <w:rPr>
          <w:rFonts w:ascii="Arial"/>
          <w:i/>
          <w:sz w:val="20"/>
        </w:rPr>
        <w:t>(1889)</w:t>
      </w:r>
      <w:r>
        <w:rPr>
          <w:rFonts w:ascii="Arial"/>
          <w:i/>
          <w:spacing w:val="5"/>
          <w:sz w:val="20"/>
        </w:rPr>
        <w:t> </w:t>
      </w:r>
      <w:r>
        <w:rPr>
          <w:rFonts w:ascii="Arial"/>
          <w:i/>
          <w:sz w:val="20"/>
        </w:rPr>
        <w:t>42</w:t>
      </w:r>
      <w:r>
        <w:rPr>
          <w:rFonts w:ascii="Arial"/>
          <w:i/>
          <w:spacing w:val="5"/>
          <w:sz w:val="20"/>
        </w:rPr>
        <w:t> </w:t>
      </w:r>
      <w:r>
        <w:rPr>
          <w:rFonts w:ascii="Arial"/>
          <w:i/>
          <w:spacing w:val="-5"/>
          <w:sz w:val="20"/>
        </w:rPr>
        <w:t>Ch.</w:t>
      </w:r>
    </w:p>
    <w:p>
      <w:pPr>
        <w:pStyle w:val="BodyText"/>
        <w:spacing w:line="235" w:lineRule="auto" w:before="1"/>
        <w:ind w:left="705"/>
        <w:rPr>
          <w:rFonts w:ascii="Arial"/>
          <w:i/>
        </w:rPr>
      </w:pPr>
      <w:r>
        <w:rPr>
          <w:rFonts w:ascii="Arial"/>
          <w:i/>
        </w:rPr>
        <w:t>D.</w:t>
      </w:r>
      <w:r>
        <w:rPr>
          <w:rFonts w:ascii="Arial"/>
          <w:i/>
          <w:spacing w:val="40"/>
        </w:rPr>
        <w:t> </w:t>
      </w:r>
      <w:r>
        <w:rPr>
          <w:rFonts w:ascii="Arial"/>
          <w:i/>
        </w:rPr>
        <w:t>321,</w:t>
      </w:r>
      <w:r>
        <w:rPr>
          <w:rFonts w:ascii="Arial"/>
          <w:i/>
          <w:spacing w:val="40"/>
        </w:rPr>
        <w:t> </w:t>
      </w:r>
      <w:r>
        <w:rPr>
          <w:rFonts w:ascii="Arial"/>
          <w:i/>
        </w:rPr>
        <w:t>336</w:t>
      </w:r>
      <w:r>
        <w:rPr/>
        <w:t>.</w:t>
      </w:r>
      <w:r>
        <w:rPr>
          <w:spacing w:val="40"/>
        </w:rPr>
        <w:t> </w:t>
      </w:r>
      <w:r>
        <w:rPr/>
        <w:t>A</w:t>
      </w:r>
      <w:r>
        <w:rPr>
          <w:spacing w:val="40"/>
        </w:rPr>
        <w:t> </w:t>
      </w:r>
      <w:r>
        <w:rPr/>
        <w:t>contract</w:t>
      </w:r>
      <w:r>
        <w:rPr>
          <w:spacing w:val="40"/>
        </w:rPr>
        <w:t> </w:t>
      </w:r>
      <w:r>
        <w:rPr/>
        <w:t>to</w:t>
      </w:r>
      <w:r>
        <w:rPr>
          <w:spacing w:val="40"/>
        </w:rPr>
        <w:t> </w:t>
      </w:r>
      <w:r>
        <w:rPr/>
        <w:t>oust</w:t>
      </w:r>
      <w:r>
        <w:rPr>
          <w:spacing w:val="40"/>
        </w:rPr>
        <w:t> </w:t>
      </w:r>
      <w:r>
        <w:rPr/>
        <w:t>the</w:t>
      </w:r>
      <w:r>
        <w:rPr>
          <w:spacing w:val="40"/>
        </w:rPr>
        <w:t> </w:t>
      </w:r>
      <w:r>
        <w:rPr/>
        <w:t>jurisdiction</w:t>
      </w:r>
      <w:r>
        <w:rPr>
          <w:spacing w:val="40"/>
        </w:rPr>
        <w:t> </w:t>
      </w:r>
      <w:r>
        <w:rPr/>
        <w:t>of</w:t>
      </w:r>
      <w:r>
        <w:rPr>
          <w:spacing w:val="40"/>
        </w:rPr>
        <w:t> </w:t>
      </w:r>
      <w:r>
        <w:rPr/>
        <w:t>a</w:t>
      </w:r>
      <w:r>
        <w:rPr>
          <w:spacing w:val="40"/>
        </w:rPr>
        <w:t> </w:t>
      </w:r>
      <w:r>
        <w:rPr/>
        <w:t>foreign</w:t>
      </w:r>
      <w:r>
        <w:rPr>
          <w:spacing w:val="40"/>
        </w:rPr>
        <w:t> </w:t>
      </w:r>
      <w:r>
        <w:rPr/>
        <w:t>court</w:t>
      </w:r>
      <w:r>
        <w:rPr>
          <w:spacing w:val="40"/>
        </w:rPr>
        <w:t> </w:t>
      </w:r>
      <w:r>
        <w:rPr/>
        <w:t>(unlike</w:t>
      </w:r>
      <w:r>
        <w:rPr>
          <w:spacing w:val="40"/>
        </w:rPr>
        <w:t> </w:t>
      </w:r>
      <w:r>
        <w:rPr/>
        <w:t>one</w:t>
      </w:r>
      <w:r>
        <w:rPr>
          <w:spacing w:val="40"/>
        </w:rPr>
        <w:t> </w:t>
      </w:r>
      <w:r>
        <w:rPr/>
        <w:t>to</w:t>
      </w:r>
      <w:r>
        <w:rPr>
          <w:spacing w:val="40"/>
        </w:rPr>
        <w:t> </w:t>
      </w:r>
      <w:r>
        <w:rPr/>
        <w:t>oust</w:t>
      </w:r>
      <w:r>
        <w:rPr>
          <w:spacing w:val="40"/>
        </w:rPr>
        <w:t> </w:t>
      </w:r>
      <w:r>
        <w:rPr/>
        <w:t>the jurisdiction</w:t>
      </w:r>
      <w:r>
        <w:rPr>
          <w:spacing w:val="22"/>
        </w:rPr>
        <w:t> </w:t>
      </w:r>
      <w:r>
        <w:rPr/>
        <w:t>of</w:t>
      </w:r>
      <w:r>
        <w:rPr>
          <w:spacing w:val="22"/>
        </w:rPr>
        <w:t> </w:t>
      </w:r>
      <w:r>
        <w:rPr/>
        <w:t>the</w:t>
      </w:r>
      <w:r>
        <w:rPr>
          <w:spacing w:val="22"/>
        </w:rPr>
        <w:t> </w:t>
      </w:r>
      <w:r>
        <w:rPr/>
        <w:t>English</w:t>
      </w:r>
      <w:r>
        <w:rPr>
          <w:spacing w:val="22"/>
        </w:rPr>
        <w:t> </w:t>
      </w:r>
      <w:r>
        <w:rPr/>
        <w:t>court)</w:t>
      </w:r>
      <w:r>
        <w:rPr>
          <w:spacing w:val="22"/>
        </w:rPr>
        <w:t> </w:t>
      </w:r>
      <w:r>
        <w:rPr/>
        <w:t>is</w:t>
      </w:r>
      <w:r>
        <w:rPr>
          <w:spacing w:val="22"/>
        </w:rPr>
        <w:t> </w:t>
      </w:r>
      <w:r>
        <w:rPr/>
        <w:t>not</w:t>
      </w:r>
      <w:r>
        <w:rPr>
          <w:spacing w:val="22"/>
        </w:rPr>
        <w:t> </w:t>
      </w:r>
      <w:r>
        <w:rPr/>
        <w:t>contrary</w:t>
      </w:r>
      <w:r>
        <w:rPr>
          <w:spacing w:val="22"/>
        </w:rPr>
        <w:t> </w:t>
      </w:r>
      <w:r>
        <w:rPr/>
        <w:t>to</w:t>
      </w:r>
      <w:r>
        <w:rPr>
          <w:spacing w:val="22"/>
        </w:rPr>
        <w:t> </w:t>
      </w:r>
      <w:r>
        <w:rPr/>
        <w:t>public</w:t>
      </w:r>
      <w:r>
        <w:rPr>
          <w:spacing w:val="22"/>
        </w:rPr>
        <w:t> </w:t>
      </w:r>
      <w:r>
        <w:rPr/>
        <w:t>policy:</w:t>
      </w:r>
      <w:r>
        <w:rPr>
          <w:spacing w:val="22"/>
        </w:rPr>
        <w:t> </w:t>
      </w:r>
      <w:r>
        <w:rPr/>
        <w:t>cf.</w:t>
      </w:r>
      <w:r>
        <w:rPr>
          <w:spacing w:val="21"/>
        </w:rPr>
        <w:t> </w:t>
      </w:r>
      <w:r>
        <w:rPr>
          <w:rFonts w:ascii="Arial"/>
          <w:i/>
        </w:rPr>
        <w:t>Addison</w:t>
      </w:r>
      <w:r>
        <w:rPr>
          <w:rFonts w:ascii="Arial"/>
          <w:i/>
          <w:spacing w:val="22"/>
        </w:rPr>
        <w:t> </w:t>
      </w:r>
      <w:r>
        <w:rPr>
          <w:rFonts w:ascii="Arial"/>
          <w:i/>
        </w:rPr>
        <w:t>v</w:t>
      </w:r>
      <w:r>
        <w:rPr>
          <w:rFonts w:ascii="Arial"/>
          <w:i/>
          <w:spacing w:val="22"/>
        </w:rPr>
        <w:t> </w:t>
      </w:r>
      <w:r>
        <w:rPr>
          <w:rFonts w:ascii="Arial"/>
          <w:i/>
        </w:rPr>
        <w:t>Brown</w:t>
      </w:r>
      <w:r>
        <w:rPr>
          <w:rFonts w:ascii="Arial"/>
          <w:i/>
          <w:spacing w:val="22"/>
        </w:rPr>
        <w:t> </w:t>
      </w:r>
      <w:r>
        <w:rPr>
          <w:rFonts w:ascii="Arial"/>
          <w:i/>
        </w:rPr>
        <w:t>[1954]</w:t>
      </w:r>
      <w:r>
        <w:rPr>
          <w:rFonts w:ascii="Arial"/>
          <w:i/>
          <w:spacing w:val="22"/>
        </w:rPr>
        <w:t> </w:t>
      </w:r>
      <w:r>
        <w:rPr>
          <w:rFonts w:ascii="Arial"/>
          <w:i/>
          <w:spacing w:val="-10"/>
        </w:rPr>
        <w:t>1</w:t>
      </w:r>
    </w:p>
    <w:p>
      <w:pPr>
        <w:spacing w:line="225" w:lineRule="exact" w:before="0"/>
        <w:ind w:left="705" w:right="0" w:firstLine="0"/>
        <w:jc w:val="left"/>
        <w:rPr>
          <w:sz w:val="20"/>
        </w:rPr>
      </w:pPr>
      <w:r>
        <w:rPr>
          <w:rFonts w:ascii="Arial"/>
          <w:i/>
          <w:sz w:val="20"/>
        </w:rPr>
        <w:t>W.L.R.</w:t>
      </w:r>
      <w:r>
        <w:rPr>
          <w:rFonts w:ascii="Arial"/>
          <w:i/>
          <w:spacing w:val="-2"/>
          <w:sz w:val="20"/>
        </w:rPr>
        <w:t> </w:t>
      </w:r>
      <w:r>
        <w:rPr>
          <w:rFonts w:ascii="Arial"/>
          <w:i/>
          <w:spacing w:val="-4"/>
          <w:sz w:val="20"/>
        </w:rPr>
        <w:t>779</w:t>
      </w:r>
      <w:r>
        <w:rPr>
          <w:spacing w:val="-4"/>
          <w:sz w:val="20"/>
        </w:rPr>
        <w:t>.</w:t>
      </w:r>
    </w:p>
    <w:p>
      <w:pPr>
        <w:pStyle w:val="BodyText"/>
        <w:spacing w:before="5"/>
      </w:pPr>
    </w:p>
    <w:p>
      <w:pPr>
        <w:spacing w:line="227" w:lineRule="exact" w:before="0"/>
        <w:ind w:left="165" w:right="0" w:firstLine="0"/>
        <w:jc w:val="left"/>
        <w:rPr>
          <w:rFonts w:ascii="Arial"/>
          <w:i/>
          <w:sz w:val="20"/>
        </w:rPr>
      </w:pPr>
      <w:bookmarkStart w:name="_bookmark2666" w:id="2668"/>
      <w:bookmarkEnd w:id="2668"/>
      <w:r>
        <w:rPr/>
      </w:r>
      <w:hyperlink w:history="true" w:anchor="_bookmark2608">
        <w:r>
          <w:rPr>
            <w:color w:val="005DA1"/>
            <w:position w:val="5"/>
            <w:sz w:val="14"/>
            <w:u w:val="single" w:color="005DA1"/>
          </w:rPr>
          <w:t>1394</w:t>
        </w:r>
      </w:hyperlink>
      <w:r>
        <w:rPr>
          <w:position w:val="5"/>
          <w:sz w:val="14"/>
        </w:rPr>
        <w:t>.</w:t>
      </w:r>
      <w:r>
        <w:rPr>
          <w:spacing w:val="55"/>
          <w:position w:val="5"/>
          <w:sz w:val="14"/>
        </w:rPr>
        <w:t>  </w:t>
      </w:r>
      <w:r>
        <w:rPr>
          <w:rFonts w:ascii="Arial"/>
          <w:i/>
          <w:sz w:val="20"/>
        </w:rPr>
        <w:t>Royal</w:t>
      </w:r>
      <w:r>
        <w:rPr>
          <w:rFonts w:ascii="Arial"/>
          <w:i/>
          <w:spacing w:val="13"/>
          <w:sz w:val="20"/>
        </w:rPr>
        <w:t> </w:t>
      </w:r>
      <w:r>
        <w:rPr>
          <w:rFonts w:ascii="Arial"/>
          <w:i/>
          <w:sz w:val="20"/>
        </w:rPr>
        <w:t>Boskalis</w:t>
      </w:r>
      <w:r>
        <w:rPr>
          <w:rFonts w:ascii="Arial"/>
          <w:i/>
          <w:spacing w:val="12"/>
          <w:sz w:val="20"/>
        </w:rPr>
        <w:t> </w:t>
      </w:r>
      <w:r>
        <w:rPr>
          <w:rFonts w:ascii="Arial"/>
          <w:i/>
          <w:sz w:val="20"/>
        </w:rPr>
        <w:t>Westminster</w:t>
      </w:r>
      <w:r>
        <w:rPr>
          <w:rFonts w:ascii="Arial"/>
          <w:i/>
          <w:spacing w:val="12"/>
          <w:sz w:val="20"/>
        </w:rPr>
        <w:t> </w:t>
      </w:r>
      <w:r>
        <w:rPr>
          <w:rFonts w:ascii="Arial"/>
          <w:i/>
          <w:sz w:val="20"/>
        </w:rPr>
        <w:t>NV</w:t>
      </w:r>
      <w:r>
        <w:rPr>
          <w:rFonts w:ascii="Arial"/>
          <w:i/>
          <w:spacing w:val="12"/>
          <w:sz w:val="20"/>
        </w:rPr>
        <w:t> </w:t>
      </w:r>
      <w:r>
        <w:rPr>
          <w:rFonts w:ascii="Arial"/>
          <w:i/>
          <w:sz w:val="20"/>
        </w:rPr>
        <w:t>v</w:t>
      </w:r>
      <w:r>
        <w:rPr>
          <w:rFonts w:ascii="Arial"/>
          <w:i/>
          <w:spacing w:val="12"/>
          <w:sz w:val="20"/>
        </w:rPr>
        <w:t> </w:t>
      </w:r>
      <w:r>
        <w:rPr>
          <w:rFonts w:ascii="Arial"/>
          <w:i/>
          <w:sz w:val="20"/>
        </w:rPr>
        <w:t>Mountain</w:t>
      </w:r>
      <w:r>
        <w:rPr>
          <w:rFonts w:ascii="Arial"/>
          <w:i/>
          <w:spacing w:val="12"/>
          <w:sz w:val="20"/>
        </w:rPr>
        <w:t> </w:t>
      </w:r>
      <w:r>
        <w:rPr>
          <w:rFonts w:ascii="Arial"/>
          <w:i/>
          <w:sz w:val="20"/>
        </w:rPr>
        <w:t>[1999]</w:t>
      </w:r>
      <w:r>
        <w:rPr>
          <w:rFonts w:ascii="Arial"/>
          <w:i/>
          <w:spacing w:val="11"/>
          <w:sz w:val="20"/>
        </w:rPr>
        <w:t> </w:t>
      </w:r>
      <w:r>
        <w:rPr>
          <w:rFonts w:ascii="Arial"/>
          <w:i/>
          <w:sz w:val="20"/>
        </w:rPr>
        <w:t>Q.B.</w:t>
      </w:r>
      <w:r>
        <w:rPr>
          <w:rFonts w:ascii="Arial"/>
          <w:i/>
          <w:spacing w:val="12"/>
          <w:sz w:val="20"/>
        </w:rPr>
        <w:t> </w:t>
      </w:r>
      <w:r>
        <w:rPr>
          <w:rFonts w:ascii="Arial"/>
          <w:i/>
          <w:sz w:val="20"/>
        </w:rPr>
        <w:t>674</w:t>
      </w:r>
      <w:r>
        <w:rPr>
          <w:sz w:val="20"/>
        </w:rPr>
        <w:t>;</w:t>
      </w:r>
      <w:r>
        <w:rPr>
          <w:spacing w:val="12"/>
          <w:sz w:val="20"/>
        </w:rPr>
        <w:t> </w:t>
      </w:r>
      <w:r>
        <w:rPr>
          <w:rFonts w:ascii="Arial"/>
          <w:i/>
          <w:sz w:val="20"/>
        </w:rPr>
        <w:t>Kaufman</w:t>
      </w:r>
      <w:r>
        <w:rPr>
          <w:rFonts w:ascii="Arial"/>
          <w:i/>
          <w:spacing w:val="12"/>
          <w:sz w:val="20"/>
        </w:rPr>
        <w:t> </w:t>
      </w:r>
      <w:r>
        <w:rPr>
          <w:rFonts w:ascii="Arial"/>
          <w:i/>
          <w:sz w:val="20"/>
        </w:rPr>
        <w:t>v</w:t>
      </w:r>
      <w:r>
        <w:rPr>
          <w:rFonts w:ascii="Arial"/>
          <w:i/>
          <w:spacing w:val="12"/>
          <w:sz w:val="20"/>
        </w:rPr>
        <w:t> </w:t>
      </w:r>
      <w:r>
        <w:rPr>
          <w:rFonts w:ascii="Arial"/>
          <w:i/>
          <w:sz w:val="20"/>
        </w:rPr>
        <w:t>Gerson</w:t>
      </w:r>
      <w:r>
        <w:rPr>
          <w:rFonts w:ascii="Arial"/>
          <w:i/>
          <w:spacing w:val="12"/>
          <w:sz w:val="20"/>
        </w:rPr>
        <w:t> </w:t>
      </w:r>
      <w:r>
        <w:rPr>
          <w:rFonts w:ascii="Arial"/>
          <w:i/>
          <w:sz w:val="20"/>
        </w:rPr>
        <w:t>[1904]</w:t>
      </w:r>
      <w:r>
        <w:rPr>
          <w:rFonts w:ascii="Arial"/>
          <w:i/>
          <w:spacing w:val="12"/>
          <w:sz w:val="20"/>
        </w:rPr>
        <w:t> </w:t>
      </w:r>
      <w:r>
        <w:rPr>
          <w:rFonts w:ascii="Arial"/>
          <w:i/>
          <w:sz w:val="20"/>
        </w:rPr>
        <w:t>1</w:t>
      </w:r>
      <w:r>
        <w:rPr>
          <w:rFonts w:ascii="Arial"/>
          <w:i/>
          <w:spacing w:val="12"/>
          <w:sz w:val="20"/>
        </w:rPr>
        <w:t> </w:t>
      </w:r>
      <w:r>
        <w:rPr>
          <w:rFonts w:ascii="Arial"/>
          <w:i/>
          <w:spacing w:val="-4"/>
          <w:sz w:val="20"/>
        </w:rPr>
        <w:t>K.B.</w:t>
      </w:r>
    </w:p>
    <w:p>
      <w:pPr>
        <w:pStyle w:val="BodyText"/>
        <w:spacing w:line="235" w:lineRule="auto" w:before="2"/>
        <w:ind w:left="705" w:right="167"/>
        <w:jc w:val="both"/>
      </w:pPr>
      <w:r>
        <w:rPr>
          <w:rFonts w:ascii="Arial" w:hAnsi="Arial"/>
          <w:i/>
        </w:rPr>
        <w:t>541</w:t>
      </w:r>
      <w:r>
        <w:rPr/>
        <w:t>. In the former case it was stated, at 689, 729, that the degree of coercion exercised in the particular case is relevant, and whether the degree of coercion exercised in the latter </w:t>
      </w:r>
      <w:r>
        <w:rPr/>
        <w:t>case would be regarded as sufficient today was questionable. In </w:t>
      </w:r>
      <w:r>
        <w:rPr>
          <w:rFonts w:ascii="Arial" w:hAnsi="Arial"/>
          <w:i/>
        </w:rPr>
        <w:t>Dimskal Shipping Co SA </w:t>
      </w:r>
      <w:r>
        <w:rPr>
          <w:rFonts w:ascii="Arial" w:hAnsi="Arial"/>
          <w:i/>
        </w:rPr>
        <w:t>v International Transport Workers Federation [1992] 2 A.C. 152, 158 </w:t>
      </w:r>
      <w:r>
        <w:rPr/>
        <w:t>it was held that whether </w:t>
      </w:r>
      <w:r>
        <w:rPr/>
        <w:t>a contract was void or voidable for duress depended on the law applicable to the contract, </w:t>
      </w:r>
      <w:r>
        <w:rPr/>
        <w:t>which was English law. However, if the law applicable to the contract is a foreign law and that </w:t>
      </w:r>
      <w:r>
        <w:rPr/>
        <w:t>law would</w:t>
      </w:r>
      <w:r>
        <w:rPr>
          <w:spacing w:val="-2"/>
        </w:rPr>
        <w:t> </w:t>
      </w:r>
      <w:r>
        <w:rPr/>
        <w:t>regard</w:t>
      </w:r>
      <w:r>
        <w:rPr>
          <w:spacing w:val="-2"/>
        </w:rPr>
        <w:t> </w:t>
      </w:r>
      <w:r>
        <w:rPr/>
        <w:t>the</w:t>
      </w:r>
      <w:r>
        <w:rPr>
          <w:spacing w:val="-2"/>
        </w:rPr>
        <w:t> </w:t>
      </w:r>
      <w:r>
        <w:rPr/>
        <w:t>contract</w:t>
      </w:r>
      <w:r>
        <w:rPr>
          <w:spacing w:val="-2"/>
        </w:rPr>
        <w:t> </w:t>
      </w:r>
      <w:r>
        <w:rPr/>
        <w:t>as</w:t>
      </w:r>
      <w:r>
        <w:rPr>
          <w:spacing w:val="-2"/>
        </w:rPr>
        <w:t> </w:t>
      </w:r>
      <w:r>
        <w:rPr/>
        <w:t>valid</w:t>
      </w:r>
      <w:r>
        <w:rPr>
          <w:spacing w:val="-2"/>
        </w:rPr>
        <w:t> </w:t>
      </w:r>
      <w:r>
        <w:rPr/>
        <w:t>despite</w:t>
      </w:r>
      <w:r>
        <w:rPr>
          <w:spacing w:val="-2"/>
        </w:rPr>
        <w:t> </w:t>
      </w:r>
      <w:r>
        <w:rPr/>
        <w:t>the</w:t>
      </w:r>
      <w:r>
        <w:rPr>
          <w:spacing w:val="-2"/>
        </w:rPr>
        <w:t> </w:t>
      </w:r>
      <w:r>
        <w:rPr/>
        <w:t>presence</w:t>
      </w:r>
      <w:r>
        <w:rPr>
          <w:spacing w:val="-2"/>
        </w:rPr>
        <w:t> </w:t>
      </w:r>
      <w:r>
        <w:rPr/>
        <w:t>of</w:t>
      </w:r>
      <w:r>
        <w:rPr>
          <w:spacing w:val="-2"/>
        </w:rPr>
        <w:t> </w:t>
      </w:r>
      <w:r>
        <w:rPr/>
        <w:t>duress</w:t>
      </w:r>
      <w:r>
        <w:rPr>
          <w:spacing w:val="-2"/>
        </w:rPr>
        <w:t> </w:t>
      </w:r>
      <w:r>
        <w:rPr/>
        <w:t>of</w:t>
      </w:r>
      <w:r>
        <w:rPr>
          <w:spacing w:val="-2"/>
        </w:rPr>
        <w:t> </w:t>
      </w:r>
      <w:r>
        <w:rPr/>
        <w:t>an</w:t>
      </w:r>
      <w:r>
        <w:rPr>
          <w:spacing w:val="-2"/>
        </w:rPr>
        <w:t> </w:t>
      </w:r>
      <w:r>
        <w:rPr/>
        <w:t>unconscionable</w:t>
      </w:r>
      <w:r>
        <w:rPr>
          <w:spacing w:val="-2"/>
        </w:rPr>
        <w:t> </w:t>
      </w:r>
      <w:r>
        <w:rPr/>
        <w:t>degree, the</w:t>
      </w:r>
      <w:r>
        <w:rPr>
          <w:spacing w:val="-1"/>
        </w:rPr>
        <w:t> </w:t>
      </w:r>
      <w:r>
        <w:rPr/>
        <w:t>English</w:t>
      </w:r>
      <w:r>
        <w:rPr>
          <w:spacing w:val="-1"/>
        </w:rPr>
        <w:t> </w:t>
      </w:r>
      <w:r>
        <w:rPr/>
        <w:t>court</w:t>
      </w:r>
      <w:r>
        <w:rPr>
          <w:spacing w:val="-1"/>
        </w:rPr>
        <w:t> </w:t>
      </w:r>
      <w:r>
        <w:rPr/>
        <w:t>will</w:t>
      </w:r>
      <w:r>
        <w:rPr>
          <w:spacing w:val="-1"/>
        </w:rPr>
        <w:t> </w:t>
      </w:r>
      <w:r>
        <w:rPr/>
        <w:t>refuse</w:t>
      </w:r>
      <w:r>
        <w:rPr>
          <w:spacing w:val="-1"/>
        </w:rPr>
        <w:t> </w:t>
      </w:r>
      <w:r>
        <w:rPr/>
        <w:t>to</w:t>
      </w:r>
      <w:r>
        <w:rPr>
          <w:spacing w:val="-1"/>
        </w:rPr>
        <w:t> </w:t>
      </w:r>
      <w:r>
        <w:rPr/>
        <w:t>enforce</w:t>
      </w:r>
      <w:r>
        <w:rPr>
          <w:spacing w:val="-1"/>
        </w:rPr>
        <w:t> </w:t>
      </w:r>
      <w:r>
        <w:rPr/>
        <w:t>the</w:t>
      </w:r>
      <w:r>
        <w:rPr>
          <w:spacing w:val="-1"/>
        </w:rPr>
        <w:t> </w:t>
      </w:r>
      <w:r>
        <w:rPr/>
        <w:t>contract</w:t>
      </w:r>
      <w:r>
        <w:rPr>
          <w:spacing w:val="-1"/>
        </w:rPr>
        <w:t> </w:t>
      </w:r>
      <w:r>
        <w:rPr/>
        <w:t>on</w:t>
      </w:r>
      <w:r>
        <w:rPr>
          <w:spacing w:val="-1"/>
        </w:rPr>
        <w:t> </w:t>
      </w:r>
      <w:r>
        <w:rPr/>
        <w:t>the</w:t>
      </w:r>
      <w:r>
        <w:rPr>
          <w:spacing w:val="-1"/>
        </w:rPr>
        <w:t> </w:t>
      </w:r>
      <w:r>
        <w:rPr/>
        <w:t>grounds</w:t>
      </w:r>
      <w:r>
        <w:rPr>
          <w:spacing w:val="-1"/>
        </w:rPr>
        <w:t> </w:t>
      </w:r>
      <w:r>
        <w:rPr/>
        <w:t>of</w:t>
      </w:r>
      <w:r>
        <w:rPr>
          <w:spacing w:val="-1"/>
        </w:rPr>
        <w:t> </w:t>
      </w:r>
      <w:r>
        <w:rPr/>
        <w:t>public</w:t>
      </w:r>
      <w:r>
        <w:rPr>
          <w:spacing w:val="-1"/>
        </w:rPr>
        <w:t> </w:t>
      </w:r>
      <w:r>
        <w:rPr/>
        <w:t>policy</w:t>
      </w:r>
      <w:r>
        <w:rPr>
          <w:spacing w:val="-1"/>
        </w:rPr>
        <w:t> </w:t>
      </w:r>
      <w:r>
        <w:rPr/>
        <w:t>as</w:t>
      </w:r>
      <w:r>
        <w:rPr>
          <w:spacing w:val="-1"/>
        </w:rPr>
        <w:t> </w:t>
      </w:r>
      <w:r>
        <w:rPr/>
        <w:t>happened in</w:t>
      </w:r>
      <w:r>
        <w:rPr>
          <w:spacing w:val="-3"/>
        </w:rPr>
        <w:t> </w:t>
      </w:r>
      <w:r>
        <w:rPr>
          <w:rFonts w:ascii="Arial" w:hAnsi="Arial"/>
          <w:i/>
        </w:rPr>
        <w:t>Royal</w:t>
      </w:r>
      <w:r>
        <w:rPr>
          <w:rFonts w:ascii="Arial" w:hAnsi="Arial"/>
          <w:i/>
          <w:spacing w:val="-2"/>
        </w:rPr>
        <w:t> </w:t>
      </w:r>
      <w:r>
        <w:rPr>
          <w:rFonts w:ascii="Arial" w:hAnsi="Arial"/>
          <w:i/>
        </w:rPr>
        <w:t>Boskalis</w:t>
      </w:r>
      <w:r>
        <w:rPr>
          <w:rFonts w:ascii="Arial" w:hAnsi="Arial"/>
          <w:i/>
          <w:spacing w:val="-2"/>
        </w:rPr>
        <w:t> </w:t>
      </w:r>
      <w:r>
        <w:rPr>
          <w:rFonts w:ascii="Arial" w:hAnsi="Arial"/>
          <w:i/>
        </w:rPr>
        <w:t>Westminster</w:t>
      </w:r>
      <w:r>
        <w:rPr>
          <w:rFonts w:ascii="Arial" w:hAnsi="Arial"/>
          <w:i/>
          <w:spacing w:val="-2"/>
        </w:rPr>
        <w:t> </w:t>
      </w:r>
      <w:r>
        <w:rPr>
          <w:rFonts w:ascii="Arial" w:hAnsi="Arial"/>
          <w:i/>
        </w:rPr>
        <w:t>NV</w:t>
      </w:r>
      <w:r>
        <w:rPr>
          <w:rFonts w:ascii="Arial" w:hAnsi="Arial"/>
          <w:i/>
          <w:spacing w:val="-2"/>
        </w:rPr>
        <w:t> </w:t>
      </w:r>
      <w:r>
        <w:rPr>
          <w:rFonts w:ascii="Arial" w:hAnsi="Arial"/>
          <w:i/>
        </w:rPr>
        <w:t>v</w:t>
      </w:r>
      <w:r>
        <w:rPr>
          <w:rFonts w:ascii="Arial" w:hAnsi="Arial"/>
          <w:i/>
          <w:spacing w:val="-2"/>
        </w:rPr>
        <w:t> </w:t>
      </w:r>
      <w:r>
        <w:rPr>
          <w:rFonts w:ascii="Arial" w:hAnsi="Arial"/>
          <w:i/>
        </w:rPr>
        <w:t>Mountain</w:t>
      </w:r>
      <w:r>
        <w:rPr/>
        <w:t>,</w:t>
      </w:r>
      <w:r>
        <w:rPr>
          <w:spacing w:val="-2"/>
        </w:rPr>
        <w:t> </w:t>
      </w:r>
      <w:r>
        <w:rPr/>
        <w:t>where</w:t>
      </w:r>
      <w:r>
        <w:rPr>
          <w:spacing w:val="-2"/>
        </w:rPr>
        <w:t> </w:t>
      </w:r>
      <w:r>
        <w:rPr/>
        <w:t>a</w:t>
      </w:r>
      <w:r>
        <w:rPr>
          <w:spacing w:val="-2"/>
        </w:rPr>
        <w:t> </w:t>
      </w:r>
      <w:r>
        <w:rPr/>
        <w:t>contract</w:t>
      </w:r>
      <w:r>
        <w:rPr>
          <w:spacing w:val="-2"/>
        </w:rPr>
        <w:t> </w:t>
      </w:r>
      <w:r>
        <w:rPr/>
        <w:t>governed</w:t>
      </w:r>
      <w:r>
        <w:rPr>
          <w:spacing w:val="-2"/>
        </w:rPr>
        <w:t> </w:t>
      </w:r>
      <w:r>
        <w:rPr/>
        <w:t>and</w:t>
      </w:r>
      <w:r>
        <w:rPr>
          <w:spacing w:val="-2"/>
        </w:rPr>
        <w:t> </w:t>
      </w:r>
      <w:r>
        <w:rPr/>
        <w:t>valid</w:t>
      </w:r>
      <w:r>
        <w:rPr>
          <w:spacing w:val="-2"/>
        </w:rPr>
        <w:t> </w:t>
      </w:r>
      <w:r>
        <w:rPr/>
        <w:t>by</w:t>
      </w:r>
      <w:r>
        <w:rPr>
          <w:spacing w:val="-2"/>
        </w:rPr>
        <w:t> </w:t>
      </w:r>
      <w:r>
        <w:rPr/>
        <w:t>Iraqi</w:t>
      </w:r>
      <w:r>
        <w:rPr>
          <w:spacing w:val="-2"/>
        </w:rPr>
        <w:t> </w:t>
      </w:r>
      <w:r>
        <w:rPr/>
        <w:t>law was procured by threats to use personnel as part of the “human shield” in the course of </w:t>
      </w:r>
      <w:r>
        <w:rPr/>
        <w:t>the</w:t>
      </w:r>
      <w:r>
        <w:rPr>
          <w:spacing w:val="40"/>
        </w:rPr>
        <w:t> </w:t>
      </w:r>
      <w:r>
        <w:rPr/>
        <w:t>Iraq-Kuwait conflict. In </w:t>
      </w:r>
      <w:r>
        <w:rPr>
          <w:rFonts w:ascii="Arial" w:hAnsi="Arial"/>
          <w:i/>
        </w:rPr>
        <w:t>Kaufman v Gerson</w:t>
      </w:r>
      <w:r>
        <w:rPr/>
        <w:t>, a wife was held to have acted under duress by agreeing to pay sums to her husband’s employer under a contract governed and valid by</w:t>
      </w:r>
      <w:r>
        <w:rPr>
          <w:spacing w:val="40"/>
        </w:rPr>
        <w:t> </w:t>
      </w:r>
      <w:r>
        <w:rPr/>
        <w:t>French law, on terms that the employer would refrain from bringing a criminal </w:t>
      </w:r>
      <w:r>
        <w:rPr/>
        <w:t>prosecution against the husband for misappropriation of the employer’s funds, hardly duress of the </w:t>
      </w:r>
      <w:r>
        <w:rPr/>
        <w:t>same </w:t>
      </w:r>
      <w:r>
        <w:rPr>
          <w:spacing w:val="-2"/>
        </w:rPr>
        <w:t>order.</w:t>
      </w:r>
    </w:p>
    <w:p>
      <w:pPr>
        <w:pStyle w:val="BodyText"/>
        <w:spacing w:before="4"/>
      </w:pPr>
    </w:p>
    <w:p>
      <w:pPr>
        <w:spacing w:line="235" w:lineRule="auto" w:before="0"/>
        <w:ind w:left="705" w:right="168" w:hanging="541"/>
        <w:jc w:val="both"/>
        <w:rPr>
          <w:rFonts w:ascii="Arial" w:hAnsi="Arial"/>
          <w:i/>
          <w:sz w:val="20"/>
        </w:rPr>
      </w:pPr>
      <w:bookmarkStart w:name="_bookmark2667" w:id="2669"/>
      <w:bookmarkEnd w:id="2669"/>
      <w:r>
        <w:rPr/>
      </w:r>
      <w:hyperlink w:history="true" w:anchor="_bookmark2609">
        <w:r>
          <w:rPr>
            <w:color w:val="005DA1"/>
            <w:position w:val="5"/>
            <w:sz w:val="14"/>
            <w:u w:val="single" w:color="005DA1"/>
          </w:rPr>
          <w:t>1395</w:t>
        </w:r>
      </w:hyperlink>
      <w:r>
        <w:rPr>
          <w:position w:val="5"/>
          <w:sz w:val="14"/>
        </w:rPr>
        <w:t>.</w:t>
      </w:r>
      <w:r>
        <w:rPr>
          <w:spacing w:val="80"/>
          <w:position w:val="5"/>
          <w:sz w:val="14"/>
        </w:rPr>
        <w:t> </w:t>
      </w:r>
      <w:r>
        <w:rPr>
          <w:rFonts w:ascii="Arial" w:hAnsi="Arial"/>
          <w:i/>
          <w:sz w:val="20"/>
        </w:rPr>
        <w:t>Lemenda Trading Co Ltd v African Middle East Petroleum Co Ltd [1988] Q.B. 448</w:t>
      </w:r>
      <w:r>
        <w:rPr>
          <w:sz w:val="20"/>
        </w:rPr>
        <w:t>. See also </w:t>
      </w:r>
      <w:r>
        <w:rPr>
          <w:rFonts w:ascii="Arial" w:hAnsi="Arial"/>
          <w:i/>
          <w:sz w:val="20"/>
        </w:rPr>
        <w:t>Tekron Resources Ltd v Guinea Investment Co Ltd [2003] EWHC 2577 (Comm), [2004] </w:t>
      </w:r>
      <w:r>
        <w:rPr>
          <w:rFonts w:ascii="Arial" w:hAnsi="Arial"/>
          <w:i/>
          <w:sz w:val="20"/>
        </w:rPr>
        <w:t>2 Lloyd’s</w:t>
      </w:r>
      <w:r>
        <w:rPr>
          <w:rFonts w:ascii="Arial" w:hAnsi="Arial"/>
          <w:i/>
          <w:spacing w:val="39"/>
          <w:sz w:val="20"/>
        </w:rPr>
        <w:t> </w:t>
      </w:r>
      <w:r>
        <w:rPr>
          <w:rFonts w:ascii="Arial" w:hAnsi="Arial"/>
          <w:i/>
          <w:sz w:val="20"/>
        </w:rPr>
        <w:t>Rep.</w:t>
      </w:r>
      <w:r>
        <w:rPr>
          <w:rFonts w:ascii="Arial" w:hAnsi="Arial"/>
          <w:i/>
          <w:spacing w:val="40"/>
          <w:sz w:val="20"/>
        </w:rPr>
        <w:t> </w:t>
      </w:r>
      <w:r>
        <w:rPr>
          <w:rFonts w:ascii="Arial" w:hAnsi="Arial"/>
          <w:i/>
          <w:sz w:val="20"/>
        </w:rPr>
        <w:t>26</w:t>
      </w:r>
      <w:r>
        <w:rPr>
          <w:sz w:val="20"/>
        </w:rPr>
        <w:t>;</w:t>
      </w:r>
      <w:r>
        <w:rPr>
          <w:spacing w:val="40"/>
          <w:sz w:val="20"/>
        </w:rPr>
        <w:t> </w:t>
      </w:r>
      <w:r>
        <w:rPr>
          <w:rFonts w:ascii="Arial" w:hAnsi="Arial"/>
          <w:i/>
          <w:sz w:val="20"/>
        </w:rPr>
        <w:t>Marlwood</w:t>
      </w:r>
      <w:r>
        <w:rPr>
          <w:rFonts w:ascii="Arial" w:hAnsi="Arial"/>
          <w:i/>
          <w:spacing w:val="40"/>
          <w:sz w:val="20"/>
        </w:rPr>
        <w:t> </w:t>
      </w:r>
      <w:r>
        <w:rPr>
          <w:rFonts w:ascii="Arial" w:hAnsi="Arial"/>
          <w:i/>
          <w:sz w:val="20"/>
        </w:rPr>
        <w:t>Commercial</w:t>
      </w:r>
      <w:r>
        <w:rPr>
          <w:rFonts w:ascii="Arial" w:hAnsi="Arial"/>
          <w:i/>
          <w:spacing w:val="40"/>
          <w:sz w:val="20"/>
        </w:rPr>
        <w:t> </w:t>
      </w:r>
      <w:r>
        <w:rPr>
          <w:rFonts w:ascii="Arial" w:hAnsi="Arial"/>
          <w:i/>
          <w:sz w:val="20"/>
        </w:rPr>
        <w:t>Inc</w:t>
      </w:r>
      <w:r>
        <w:rPr>
          <w:rFonts w:ascii="Arial" w:hAnsi="Arial"/>
          <w:i/>
          <w:spacing w:val="40"/>
          <w:sz w:val="20"/>
        </w:rPr>
        <w:t> </w:t>
      </w:r>
      <w:r>
        <w:rPr>
          <w:rFonts w:ascii="Arial" w:hAnsi="Arial"/>
          <w:i/>
          <w:sz w:val="20"/>
        </w:rPr>
        <w:t>v</w:t>
      </w:r>
      <w:r>
        <w:rPr>
          <w:rFonts w:ascii="Arial" w:hAnsi="Arial"/>
          <w:i/>
          <w:spacing w:val="39"/>
          <w:sz w:val="20"/>
        </w:rPr>
        <w:t> </w:t>
      </w:r>
      <w:r>
        <w:rPr>
          <w:rFonts w:ascii="Arial" w:hAnsi="Arial"/>
          <w:i/>
          <w:sz w:val="20"/>
        </w:rPr>
        <w:t>Kozeny</w:t>
      </w:r>
      <w:r>
        <w:rPr>
          <w:rFonts w:ascii="Arial" w:hAnsi="Arial"/>
          <w:i/>
          <w:spacing w:val="40"/>
          <w:sz w:val="20"/>
        </w:rPr>
        <w:t> </w:t>
      </w:r>
      <w:r>
        <w:rPr>
          <w:rFonts w:ascii="Arial" w:hAnsi="Arial"/>
          <w:i/>
          <w:sz w:val="20"/>
        </w:rPr>
        <w:t>[2006]</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872</w:t>
      </w:r>
      <w:r>
        <w:rPr>
          <w:rFonts w:ascii="Arial" w:hAnsi="Arial"/>
          <w:i/>
          <w:spacing w:val="40"/>
          <w:sz w:val="20"/>
        </w:rPr>
        <w:t> </w:t>
      </w:r>
      <w:r>
        <w:rPr>
          <w:rFonts w:ascii="Arial" w:hAnsi="Arial"/>
          <w:i/>
          <w:sz w:val="20"/>
        </w:rPr>
        <w:t>(Comm)</w:t>
      </w:r>
      <w:r>
        <w:rPr>
          <w:sz w:val="20"/>
        </w:rPr>
        <w:t>;</w:t>
      </w:r>
      <w:r>
        <w:rPr>
          <w:spacing w:val="40"/>
          <w:sz w:val="20"/>
        </w:rPr>
        <w:t> </w:t>
      </w:r>
      <w:r>
        <w:rPr>
          <w:rFonts w:ascii="Arial" w:hAnsi="Arial"/>
          <w:i/>
          <w:spacing w:val="-2"/>
          <w:sz w:val="20"/>
        </w:rPr>
        <w:t>Donegal</w:t>
      </w:r>
    </w:p>
    <w:p>
      <w:pPr>
        <w:spacing w:after="0" w:line="235" w:lineRule="auto"/>
        <w:jc w:val="both"/>
        <w:rPr>
          <w:rFonts w:ascii="Arial" w:hAnsi="Arial"/>
          <w:i/>
          <w:sz w:val="20"/>
        </w:rPr>
        <w:sectPr>
          <w:pgSz w:w="11900" w:h="16840"/>
          <w:pgMar w:header="971" w:footer="0" w:top="1300" w:bottom="280" w:left="1275" w:right="1275"/>
        </w:sectPr>
      </w:pPr>
    </w:p>
    <w:p>
      <w:pPr>
        <w:spacing w:line="227" w:lineRule="exact" w:before="106"/>
        <w:ind w:left="705" w:right="0" w:firstLine="0"/>
        <w:jc w:val="left"/>
        <w:rPr>
          <w:rFonts w:ascii="Arial" w:hAnsi="Arial"/>
          <w:i/>
          <w:sz w:val="20"/>
        </w:rPr>
      </w:pPr>
      <w:r>
        <w:rPr>
          <w:rFonts w:ascii="Arial" w:hAnsi="Arial"/>
          <w:i/>
          <w:sz w:val="20"/>
        </w:rPr>
        <w:t>International</w:t>
      </w:r>
      <w:r>
        <w:rPr>
          <w:rFonts w:ascii="Arial" w:hAnsi="Arial"/>
          <w:i/>
          <w:spacing w:val="6"/>
          <w:sz w:val="20"/>
        </w:rPr>
        <w:t> </w:t>
      </w:r>
      <w:r>
        <w:rPr>
          <w:rFonts w:ascii="Arial" w:hAnsi="Arial"/>
          <w:i/>
          <w:sz w:val="20"/>
        </w:rPr>
        <w:t>Ltd</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Zambia</w:t>
      </w:r>
      <w:r>
        <w:rPr>
          <w:rFonts w:ascii="Arial" w:hAnsi="Arial"/>
          <w:i/>
          <w:spacing w:val="7"/>
          <w:sz w:val="20"/>
        </w:rPr>
        <w:t> </w:t>
      </w:r>
      <w:r>
        <w:rPr>
          <w:rFonts w:ascii="Arial" w:hAnsi="Arial"/>
          <w:i/>
          <w:sz w:val="20"/>
        </w:rPr>
        <w:t>[2007]</w:t>
      </w:r>
      <w:r>
        <w:rPr>
          <w:rFonts w:ascii="Arial" w:hAnsi="Arial"/>
          <w:i/>
          <w:spacing w:val="7"/>
          <w:sz w:val="20"/>
        </w:rPr>
        <w:t> </w:t>
      </w:r>
      <w:r>
        <w:rPr>
          <w:rFonts w:ascii="Arial" w:hAnsi="Arial"/>
          <w:i/>
          <w:sz w:val="20"/>
        </w:rPr>
        <w:t>EWHC</w:t>
      </w:r>
      <w:r>
        <w:rPr>
          <w:rFonts w:ascii="Arial" w:hAnsi="Arial"/>
          <w:i/>
          <w:spacing w:val="7"/>
          <w:sz w:val="20"/>
        </w:rPr>
        <w:t> </w:t>
      </w:r>
      <w:r>
        <w:rPr>
          <w:rFonts w:ascii="Arial" w:hAnsi="Arial"/>
          <w:i/>
          <w:sz w:val="20"/>
        </w:rPr>
        <w:t>197</w:t>
      </w:r>
      <w:r>
        <w:rPr>
          <w:rFonts w:ascii="Arial" w:hAnsi="Arial"/>
          <w:i/>
          <w:spacing w:val="7"/>
          <w:sz w:val="20"/>
        </w:rPr>
        <w:t> </w:t>
      </w:r>
      <w:r>
        <w:rPr>
          <w:rFonts w:ascii="Arial" w:hAnsi="Arial"/>
          <w:i/>
          <w:sz w:val="20"/>
        </w:rPr>
        <w:t>(Comm),</w:t>
      </w:r>
      <w:r>
        <w:rPr>
          <w:rFonts w:ascii="Arial" w:hAnsi="Arial"/>
          <w:i/>
          <w:spacing w:val="7"/>
          <w:sz w:val="20"/>
        </w:rPr>
        <w:t> </w:t>
      </w:r>
      <w:r>
        <w:rPr>
          <w:rFonts w:ascii="Arial" w:hAnsi="Arial"/>
          <w:i/>
          <w:sz w:val="20"/>
        </w:rPr>
        <w:t>[2007]</w:t>
      </w:r>
      <w:r>
        <w:rPr>
          <w:rFonts w:ascii="Arial" w:hAnsi="Arial"/>
          <w:i/>
          <w:spacing w:val="7"/>
          <w:sz w:val="20"/>
        </w:rPr>
        <w:t> </w:t>
      </w:r>
      <w:r>
        <w:rPr>
          <w:rFonts w:ascii="Arial" w:hAnsi="Arial"/>
          <w:i/>
          <w:sz w:val="20"/>
        </w:rPr>
        <w:t>1</w:t>
      </w:r>
      <w:r>
        <w:rPr>
          <w:rFonts w:ascii="Arial" w:hAnsi="Arial"/>
          <w:i/>
          <w:spacing w:val="7"/>
          <w:sz w:val="20"/>
        </w:rPr>
        <w:t> </w:t>
      </w:r>
      <w:r>
        <w:rPr>
          <w:rFonts w:ascii="Arial" w:hAnsi="Arial"/>
          <w:i/>
          <w:sz w:val="20"/>
        </w:rPr>
        <w:t>Lloyd’s</w:t>
      </w:r>
      <w:r>
        <w:rPr>
          <w:rFonts w:ascii="Arial" w:hAnsi="Arial"/>
          <w:i/>
          <w:spacing w:val="7"/>
          <w:sz w:val="20"/>
        </w:rPr>
        <w:t> </w:t>
      </w:r>
      <w:r>
        <w:rPr>
          <w:rFonts w:ascii="Arial" w:hAnsi="Arial"/>
          <w:i/>
          <w:sz w:val="20"/>
        </w:rPr>
        <w:t>Rep.</w:t>
      </w:r>
      <w:r>
        <w:rPr>
          <w:rFonts w:ascii="Arial" w:hAnsi="Arial"/>
          <w:i/>
          <w:spacing w:val="7"/>
          <w:sz w:val="20"/>
        </w:rPr>
        <w:t> </w:t>
      </w:r>
      <w:r>
        <w:rPr>
          <w:rFonts w:ascii="Arial" w:hAnsi="Arial"/>
          <w:i/>
          <w:sz w:val="20"/>
        </w:rPr>
        <w:t>397</w:t>
      </w:r>
      <w:r>
        <w:rPr>
          <w:sz w:val="20"/>
        </w:rPr>
        <w:t>;</w:t>
      </w:r>
      <w:r>
        <w:rPr>
          <w:spacing w:val="7"/>
          <w:sz w:val="20"/>
        </w:rPr>
        <w:t> </w:t>
      </w:r>
      <w:r>
        <w:rPr>
          <w:rFonts w:ascii="Arial" w:hAnsi="Arial"/>
          <w:i/>
          <w:sz w:val="20"/>
        </w:rPr>
        <w:t>R</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pacing w:val="-2"/>
          <w:sz w:val="20"/>
        </w:rPr>
        <w:t>[2008]</w:t>
      </w:r>
    </w:p>
    <w:p>
      <w:pPr>
        <w:spacing w:line="227" w:lineRule="exact" w:before="0"/>
        <w:ind w:left="705" w:right="0" w:firstLine="0"/>
        <w:jc w:val="left"/>
        <w:rPr>
          <w:sz w:val="20"/>
        </w:rPr>
      </w:pPr>
      <w:r>
        <w:rPr>
          <w:rFonts w:ascii="Arial" w:hAnsi="Arial"/>
          <w:i/>
          <w:sz w:val="20"/>
        </w:rPr>
        <w:t>EWHC 1531 (Comm), [2009] 1 Lloyd’s Rep. </w:t>
      </w:r>
      <w:r>
        <w:rPr>
          <w:rFonts w:ascii="Arial" w:hAnsi="Arial"/>
          <w:i/>
          <w:spacing w:val="-5"/>
          <w:sz w:val="20"/>
        </w:rPr>
        <w:t>97</w:t>
      </w:r>
      <w:r>
        <w:rPr>
          <w:spacing w:val="-5"/>
          <w:sz w:val="20"/>
        </w:rPr>
        <w:t>.</w:t>
      </w:r>
    </w:p>
    <w:p>
      <w:pPr>
        <w:pStyle w:val="BodyText"/>
        <w:spacing w:before="9"/>
      </w:pPr>
    </w:p>
    <w:p>
      <w:pPr>
        <w:spacing w:line="235" w:lineRule="auto" w:before="0"/>
        <w:ind w:left="705" w:right="167" w:hanging="541"/>
        <w:jc w:val="both"/>
        <w:rPr>
          <w:rFonts w:ascii="Arial"/>
          <w:i/>
          <w:sz w:val="20"/>
        </w:rPr>
      </w:pPr>
      <w:bookmarkStart w:name="_bookmark2668" w:id="2670"/>
      <w:bookmarkEnd w:id="2670"/>
      <w:r>
        <w:rPr/>
      </w:r>
      <w:hyperlink w:history="true" w:anchor="_bookmark2610">
        <w:r>
          <w:rPr>
            <w:color w:val="005DA1"/>
            <w:position w:val="5"/>
            <w:sz w:val="14"/>
            <w:u w:val="single" w:color="005DA1"/>
          </w:rPr>
          <w:t>1396</w:t>
        </w:r>
      </w:hyperlink>
      <w:r>
        <w:rPr>
          <w:position w:val="5"/>
          <w:sz w:val="14"/>
        </w:rPr>
        <w:t>.</w:t>
      </w:r>
      <w:r>
        <w:rPr>
          <w:spacing w:val="80"/>
          <w:position w:val="5"/>
          <w:sz w:val="14"/>
        </w:rPr>
        <w:t> </w:t>
      </w:r>
      <w:r>
        <w:rPr>
          <w:rFonts w:ascii="Arial"/>
          <w:i/>
          <w:sz w:val="20"/>
        </w:rPr>
        <w:t>Continental Enterprises Ltd v Shandong Foreign Trade Group Co [2005] EWHC 95 </w:t>
      </w:r>
      <w:r>
        <w:rPr>
          <w:rFonts w:ascii="Arial"/>
          <w:i/>
          <w:sz w:val="20"/>
        </w:rPr>
        <w:t>(Comm)</w:t>
      </w:r>
      <w:r>
        <w:rPr>
          <w:sz w:val="20"/>
        </w:rPr>
        <w:t>; Giuliano-Lagarde Report, p.38; Rome I Regulation Recital 37. Suspect decisions (at least on their</w:t>
      </w:r>
      <w:r>
        <w:rPr>
          <w:spacing w:val="16"/>
          <w:sz w:val="20"/>
        </w:rPr>
        <w:t> </w:t>
      </w:r>
      <w:r>
        <w:rPr>
          <w:sz w:val="20"/>
        </w:rPr>
        <w:t>facts)</w:t>
      </w:r>
      <w:r>
        <w:rPr>
          <w:spacing w:val="17"/>
          <w:sz w:val="20"/>
        </w:rPr>
        <w:t> </w:t>
      </w:r>
      <w:r>
        <w:rPr>
          <w:sz w:val="20"/>
        </w:rPr>
        <w:t>are,</w:t>
      </w:r>
      <w:r>
        <w:rPr>
          <w:spacing w:val="17"/>
          <w:sz w:val="20"/>
        </w:rPr>
        <w:t> </w:t>
      </w:r>
      <w:r>
        <w:rPr>
          <w:sz w:val="20"/>
        </w:rPr>
        <w:t>in</w:t>
      </w:r>
      <w:r>
        <w:rPr>
          <w:spacing w:val="17"/>
          <w:sz w:val="20"/>
        </w:rPr>
        <w:t> </w:t>
      </w:r>
      <w:r>
        <w:rPr>
          <w:sz w:val="20"/>
        </w:rPr>
        <w:t>particular,</w:t>
      </w:r>
      <w:r>
        <w:rPr>
          <w:spacing w:val="17"/>
          <w:sz w:val="20"/>
        </w:rPr>
        <w:t> </w:t>
      </w:r>
      <w:r>
        <w:rPr>
          <w:rFonts w:ascii="Arial"/>
          <w:i/>
          <w:sz w:val="20"/>
        </w:rPr>
        <w:t>Kaufman</w:t>
      </w:r>
      <w:r>
        <w:rPr>
          <w:rFonts w:ascii="Arial"/>
          <w:i/>
          <w:spacing w:val="17"/>
          <w:sz w:val="20"/>
        </w:rPr>
        <w:t> </w:t>
      </w:r>
      <w:r>
        <w:rPr>
          <w:rFonts w:ascii="Arial"/>
          <w:i/>
          <w:sz w:val="20"/>
        </w:rPr>
        <w:t>v</w:t>
      </w:r>
      <w:r>
        <w:rPr>
          <w:rFonts w:ascii="Arial"/>
          <w:i/>
          <w:spacing w:val="17"/>
          <w:sz w:val="20"/>
        </w:rPr>
        <w:t> </w:t>
      </w:r>
      <w:r>
        <w:rPr>
          <w:rFonts w:ascii="Arial"/>
          <w:i/>
          <w:sz w:val="20"/>
        </w:rPr>
        <w:t>Gerson</w:t>
      </w:r>
      <w:r>
        <w:rPr>
          <w:rFonts w:ascii="Arial"/>
          <w:i/>
          <w:spacing w:val="17"/>
          <w:sz w:val="20"/>
        </w:rPr>
        <w:t> </w:t>
      </w:r>
      <w:r>
        <w:rPr>
          <w:rFonts w:ascii="Arial"/>
          <w:i/>
          <w:sz w:val="20"/>
        </w:rPr>
        <w:t>[1904]</w:t>
      </w:r>
      <w:r>
        <w:rPr>
          <w:rFonts w:ascii="Arial"/>
          <w:i/>
          <w:spacing w:val="17"/>
          <w:sz w:val="20"/>
        </w:rPr>
        <w:t> </w:t>
      </w:r>
      <w:r>
        <w:rPr>
          <w:rFonts w:ascii="Arial"/>
          <w:i/>
          <w:sz w:val="20"/>
        </w:rPr>
        <w:t>1</w:t>
      </w:r>
      <w:r>
        <w:rPr>
          <w:rFonts w:ascii="Arial"/>
          <w:i/>
          <w:spacing w:val="17"/>
          <w:sz w:val="20"/>
        </w:rPr>
        <w:t> </w:t>
      </w:r>
      <w:r>
        <w:rPr>
          <w:rFonts w:ascii="Arial"/>
          <w:i/>
          <w:sz w:val="20"/>
        </w:rPr>
        <w:t>K.B.</w:t>
      </w:r>
      <w:r>
        <w:rPr>
          <w:rFonts w:ascii="Arial"/>
          <w:i/>
          <w:spacing w:val="17"/>
          <w:sz w:val="20"/>
        </w:rPr>
        <w:t> </w:t>
      </w:r>
      <w:r>
        <w:rPr>
          <w:rFonts w:ascii="Arial"/>
          <w:i/>
          <w:sz w:val="20"/>
        </w:rPr>
        <w:t>591</w:t>
      </w:r>
      <w:r>
        <w:rPr>
          <w:sz w:val="20"/>
        </w:rPr>
        <w:t>;</w:t>
      </w:r>
      <w:r>
        <w:rPr>
          <w:spacing w:val="17"/>
          <w:sz w:val="20"/>
        </w:rPr>
        <w:t> </w:t>
      </w:r>
      <w:r>
        <w:rPr>
          <w:rFonts w:ascii="Arial"/>
          <w:i/>
          <w:sz w:val="20"/>
        </w:rPr>
        <w:t>Addison</w:t>
      </w:r>
      <w:r>
        <w:rPr>
          <w:rFonts w:ascii="Arial"/>
          <w:i/>
          <w:spacing w:val="17"/>
          <w:sz w:val="20"/>
        </w:rPr>
        <w:t> </w:t>
      </w:r>
      <w:r>
        <w:rPr>
          <w:rFonts w:ascii="Arial"/>
          <w:i/>
          <w:sz w:val="20"/>
        </w:rPr>
        <w:t>v</w:t>
      </w:r>
      <w:r>
        <w:rPr>
          <w:rFonts w:ascii="Arial"/>
          <w:i/>
          <w:spacing w:val="17"/>
          <w:sz w:val="20"/>
        </w:rPr>
        <w:t> </w:t>
      </w:r>
      <w:r>
        <w:rPr>
          <w:rFonts w:ascii="Arial"/>
          <w:i/>
          <w:sz w:val="20"/>
        </w:rPr>
        <w:t>Brown</w:t>
      </w:r>
      <w:r>
        <w:rPr>
          <w:rFonts w:ascii="Arial"/>
          <w:i/>
          <w:spacing w:val="17"/>
          <w:sz w:val="20"/>
        </w:rPr>
        <w:t> </w:t>
      </w:r>
      <w:r>
        <w:rPr>
          <w:rFonts w:ascii="Arial"/>
          <w:i/>
          <w:sz w:val="20"/>
        </w:rPr>
        <w:t>[1954]</w:t>
      </w:r>
      <w:r>
        <w:rPr>
          <w:rFonts w:ascii="Arial"/>
          <w:i/>
          <w:spacing w:val="17"/>
          <w:sz w:val="20"/>
        </w:rPr>
        <w:t> </w:t>
      </w:r>
      <w:r>
        <w:rPr>
          <w:rFonts w:ascii="Arial"/>
          <w:i/>
          <w:spacing w:val="-10"/>
          <w:sz w:val="20"/>
        </w:rPr>
        <w:t>1</w:t>
      </w:r>
    </w:p>
    <w:p>
      <w:pPr>
        <w:spacing w:line="225" w:lineRule="exact" w:before="0"/>
        <w:ind w:left="705" w:right="0" w:firstLine="0"/>
        <w:jc w:val="both"/>
        <w:rPr>
          <w:sz w:val="20"/>
        </w:rPr>
      </w:pPr>
      <w:r>
        <w:rPr>
          <w:rFonts w:ascii="Arial"/>
          <w:i/>
          <w:sz w:val="20"/>
        </w:rPr>
        <w:t>W.L.R.</w:t>
      </w:r>
      <w:r>
        <w:rPr>
          <w:rFonts w:ascii="Arial"/>
          <w:i/>
          <w:spacing w:val="-2"/>
          <w:sz w:val="20"/>
        </w:rPr>
        <w:t> </w:t>
      </w:r>
      <w:r>
        <w:rPr>
          <w:rFonts w:ascii="Arial"/>
          <w:i/>
          <w:spacing w:val="-4"/>
          <w:sz w:val="20"/>
        </w:rPr>
        <w:t>779</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2669" w:id="2671"/>
      <w:bookmarkEnd w:id="2671"/>
      <w:r>
        <w:rPr/>
      </w:r>
      <w:hyperlink w:history="true" w:anchor="_bookmark2611">
        <w:r>
          <w:rPr>
            <w:color w:val="005DA1"/>
            <w:position w:val="5"/>
            <w:sz w:val="14"/>
            <w:u w:val="single" w:color="005DA1"/>
          </w:rPr>
          <w:t>1397</w:t>
        </w:r>
      </w:hyperlink>
      <w:r>
        <w:rPr>
          <w:position w:val="5"/>
          <w:sz w:val="14"/>
        </w:rPr>
        <w:t>.</w:t>
      </w:r>
      <w:r>
        <w:rPr>
          <w:spacing w:val="40"/>
          <w:position w:val="5"/>
          <w:sz w:val="14"/>
        </w:rPr>
        <w:t> </w:t>
      </w:r>
      <w:r>
        <w:rPr>
          <w:sz w:val="20"/>
        </w:rPr>
        <w:t>Giuliano-Lagarde Report, p.38. On the concept of European Community public policy, </w:t>
      </w:r>
      <w:r>
        <w:rPr>
          <w:sz w:val="20"/>
        </w:rPr>
        <w:t>see </w:t>
      </w:r>
      <w:r>
        <w:rPr>
          <w:rFonts w:ascii="Arial" w:hAnsi="Arial"/>
          <w:i/>
          <w:sz w:val="20"/>
        </w:rPr>
        <w:t>Krombach v Bamberski (C-7/98) [2000] E.C.R. I–2973, [2001] Q.B. 709</w:t>
      </w:r>
      <w:r>
        <w:rPr>
          <w:sz w:val="20"/>
        </w:rPr>
        <w:t>; </w:t>
      </w:r>
      <w:r>
        <w:rPr>
          <w:rFonts w:ascii="Arial" w:hAnsi="Arial"/>
          <w:i/>
          <w:sz w:val="20"/>
        </w:rPr>
        <w:t>Regie National des Usines Renault SA v Maxicar SpA (C-38/98) [2000] E.C.R. I–2973</w:t>
      </w:r>
      <w:r>
        <w:rPr>
          <w:sz w:val="20"/>
        </w:rPr>
        <w:t>; </w:t>
      </w:r>
      <w:r>
        <w:rPr>
          <w:rFonts w:ascii="Arial" w:hAnsi="Arial"/>
          <w:i/>
          <w:sz w:val="20"/>
        </w:rPr>
        <w:t>Maronier v Larmer [2002] EWCA</w:t>
      </w:r>
      <w:r>
        <w:rPr>
          <w:rFonts w:ascii="Arial" w:hAnsi="Arial"/>
          <w:i/>
          <w:spacing w:val="16"/>
          <w:sz w:val="20"/>
        </w:rPr>
        <w:t> </w:t>
      </w:r>
      <w:r>
        <w:rPr>
          <w:rFonts w:ascii="Arial" w:hAnsi="Arial"/>
          <w:i/>
          <w:sz w:val="20"/>
        </w:rPr>
        <w:t>Civ</w:t>
      </w:r>
      <w:r>
        <w:rPr>
          <w:rFonts w:ascii="Arial" w:hAnsi="Arial"/>
          <w:i/>
          <w:spacing w:val="19"/>
          <w:sz w:val="20"/>
        </w:rPr>
        <w:t> </w:t>
      </w:r>
      <w:r>
        <w:rPr>
          <w:rFonts w:ascii="Arial" w:hAnsi="Arial"/>
          <w:i/>
          <w:sz w:val="20"/>
        </w:rPr>
        <w:t>774,</w:t>
      </w:r>
      <w:r>
        <w:rPr>
          <w:rFonts w:ascii="Arial" w:hAnsi="Arial"/>
          <w:i/>
          <w:spacing w:val="19"/>
          <w:sz w:val="20"/>
        </w:rPr>
        <w:t> </w:t>
      </w:r>
      <w:r>
        <w:rPr>
          <w:rFonts w:ascii="Arial" w:hAnsi="Arial"/>
          <w:i/>
          <w:sz w:val="20"/>
        </w:rPr>
        <w:t>[2003]</w:t>
      </w:r>
      <w:r>
        <w:rPr>
          <w:rFonts w:ascii="Arial" w:hAnsi="Arial"/>
          <w:i/>
          <w:spacing w:val="19"/>
          <w:sz w:val="20"/>
        </w:rPr>
        <w:t> </w:t>
      </w:r>
      <w:r>
        <w:rPr>
          <w:rFonts w:ascii="Arial" w:hAnsi="Arial"/>
          <w:i/>
          <w:sz w:val="20"/>
        </w:rPr>
        <w:t>Q.B.</w:t>
      </w:r>
      <w:r>
        <w:rPr>
          <w:rFonts w:ascii="Arial" w:hAnsi="Arial"/>
          <w:i/>
          <w:spacing w:val="19"/>
          <w:sz w:val="20"/>
        </w:rPr>
        <w:t> </w:t>
      </w:r>
      <w:r>
        <w:rPr>
          <w:rFonts w:ascii="Arial" w:hAnsi="Arial"/>
          <w:i/>
          <w:sz w:val="20"/>
        </w:rPr>
        <w:t>620</w:t>
      </w:r>
      <w:r>
        <w:rPr>
          <w:sz w:val="20"/>
        </w:rPr>
        <w:t>;</w:t>
      </w:r>
      <w:r>
        <w:rPr>
          <w:spacing w:val="19"/>
          <w:sz w:val="20"/>
        </w:rPr>
        <w:t> </w:t>
      </w:r>
      <w:r>
        <w:rPr>
          <w:rFonts w:ascii="Arial" w:hAnsi="Arial"/>
          <w:i/>
          <w:sz w:val="20"/>
        </w:rPr>
        <w:t>Eurofood</w:t>
      </w:r>
      <w:r>
        <w:rPr>
          <w:rFonts w:ascii="Arial" w:hAnsi="Arial"/>
          <w:i/>
          <w:spacing w:val="19"/>
          <w:sz w:val="20"/>
        </w:rPr>
        <w:t> </w:t>
      </w:r>
      <w:r>
        <w:rPr>
          <w:rFonts w:ascii="Arial" w:hAnsi="Arial"/>
          <w:i/>
          <w:sz w:val="20"/>
        </w:rPr>
        <w:t>IFSC</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(C-340/04)</w:t>
      </w:r>
      <w:r>
        <w:rPr>
          <w:rFonts w:ascii="Arial" w:hAnsi="Arial"/>
          <w:i/>
          <w:spacing w:val="19"/>
          <w:sz w:val="20"/>
        </w:rPr>
        <w:t> </w:t>
      </w:r>
      <w:r>
        <w:rPr>
          <w:rFonts w:ascii="Arial" w:hAnsi="Arial"/>
          <w:i/>
          <w:sz w:val="20"/>
        </w:rPr>
        <w:t>[2006]</w:t>
      </w:r>
      <w:r>
        <w:rPr>
          <w:rFonts w:ascii="Arial" w:hAnsi="Arial"/>
          <w:i/>
          <w:spacing w:val="19"/>
          <w:sz w:val="20"/>
        </w:rPr>
        <w:t> </w:t>
      </w:r>
      <w:r>
        <w:rPr>
          <w:rFonts w:ascii="Arial" w:hAnsi="Arial"/>
          <w:i/>
          <w:sz w:val="20"/>
        </w:rPr>
        <w:t>E.C.R.</w:t>
      </w:r>
      <w:r>
        <w:rPr>
          <w:rFonts w:ascii="Arial" w:hAnsi="Arial"/>
          <w:i/>
          <w:spacing w:val="19"/>
          <w:sz w:val="20"/>
        </w:rPr>
        <w:t> </w:t>
      </w:r>
      <w:r>
        <w:rPr>
          <w:rFonts w:ascii="Arial" w:hAnsi="Arial"/>
          <w:i/>
          <w:sz w:val="20"/>
        </w:rPr>
        <w:t>I–3813,</w:t>
      </w:r>
      <w:r>
        <w:rPr>
          <w:rFonts w:ascii="Arial" w:hAnsi="Arial"/>
          <w:i/>
          <w:spacing w:val="19"/>
          <w:sz w:val="20"/>
        </w:rPr>
        <w:t> </w:t>
      </w:r>
      <w:r>
        <w:rPr>
          <w:rFonts w:ascii="Arial" w:hAnsi="Arial"/>
          <w:i/>
          <w:spacing w:val="-2"/>
          <w:sz w:val="20"/>
        </w:rPr>
        <w:t>[2006]</w:t>
      </w:r>
    </w:p>
    <w:p>
      <w:pPr>
        <w:spacing w:line="235" w:lineRule="auto" w:before="0"/>
        <w:ind w:left="705" w:right="168" w:firstLine="0"/>
        <w:jc w:val="both"/>
        <w:rPr>
          <w:sz w:val="20"/>
        </w:rPr>
      </w:pPr>
      <w:r>
        <w:rPr>
          <w:rFonts w:ascii="Arial"/>
          <w:i/>
          <w:sz w:val="20"/>
        </w:rPr>
        <w:t>Ch. 508</w:t>
      </w:r>
      <w:r>
        <w:rPr>
          <w:sz w:val="20"/>
        </w:rPr>
        <w:t>; </w:t>
      </w:r>
      <w:r>
        <w:rPr>
          <w:rFonts w:ascii="Arial"/>
          <w:i/>
          <w:sz w:val="20"/>
        </w:rPr>
        <w:t>Gambazzi v Daimlerchryser Canada Inc (C-394/07) [2010] Q.B. 388</w:t>
      </w:r>
      <w:r>
        <w:rPr>
          <w:sz w:val="20"/>
        </w:rPr>
        <w:t>; Meidanis (2005) 30 E.L. Rev. 95. See above, para.30-069.</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806" w:right="2810" w:firstLine="0"/>
        <w:jc w:val="center"/>
        <w:rPr>
          <w:rFonts w:ascii="Arial"/>
          <w:b/>
          <w:sz w:val="24"/>
        </w:rPr>
      </w:pPr>
      <w:r>
        <w:rPr>
          <w:rFonts w:ascii="Arial"/>
          <w:b/>
          <w:sz w:val="24"/>
        </w:rPr>
        <w:t>Part 10 - Conflict of Laws Chapter</w:t>
      </w:r>
      <w:r>
        <w:rPr>
          <w:rFonts w:ascii="Arial"/>
          <w:b/>
          <w:spacing w:val="-8"/>
          <w:sz w:val="24"/>
        </w:rPr>
        <w:t> </w:t>
      </w:r>
      <w:r>
        <w:rPr>
          <w:rFonts w:ascii="Arial"/>
          <w:b/>
          <w:sz w:val="24"/>
        </w:rPr>
        <w:t>30</w:t>
      </w:r>
      <w:r>
        <w:rPr>
          <w:rFonts w:ascii="Arial"/>
          <w:b/>
          <w:spacing w:val="-8"/>
          <w:sz w:val="24"/>
        </w:rPr>
        <w:t> </w:t>
      </w:r>
      <w:r>
        <w:rPr>
          <w:rFonts w:ascii="Arial"/>
          <w:b/>
          <w:sz w:val="24"/>
        </w:rPr>
        <w:t>-</w:t>
      </w:r>
      <w:r>
        <w:rPr>
          <w:rFonts w:ascii="Arial"/>
          <w:b/>
          <w:spacing w:val="-8"/>
          <w:sz w:val="24"/>
        </w:rPr>
        <w:t> </w:t>
      </w:r>
      <w:r>
        <w:rPr>
          <w:rFonts w:ascii="Arial"/>
          <w:b/>
          <w:sz w:val="24"/>
        </w:rPr>
        <w:t>Conflict</w:t>
      </w:r>
      <w:r>
        <w:rPr>
          <w:rFonts w:ascii="Arial"/>
          <w:b/>
          <w:spacing w:val="-8"/>
          <w:sz w:val="24"/>
        </w:rPr>
        <w:t> </w:t>
      </w:r>
      <w:r>
        <w:rPr>
          <w:rFonts w:ascii="Arial"/>
          <w:b/>
          <w:sz w:val="24"/>
        </w:rPr>
        <w:t>of</w:t>
      </w:r>
      <w:r>
        <w:rPr>
          <w:rFonts w:ascii="Arial"/>
          <w:b/>
          <w:spacing w:val="-8"/>
          <w:sz w:val="24"/>
        </w:rPr>
        <w:t> </w:t>
      </w:r>
      <w:r>
        <w:rPr>
          <w:rFonts w:ascii="Arial"/>
          <w:b/>
          <w:sz w:val="24"/>
        </w:rPr>
        <w:t>Laws</w:t>
      </w:r>
    </w:p>
    <w:p>
      <w:pPr>
        <w:spacing w:before="2"/>
        <w:ind w:left="940" w:right="943" w:firstLine="0"/>
        <w:jc w:val="center"/>
        <w:rPr>
          <w:rFonts w:ascii="Arial"/>
          <w:b/>
          <w:sz w:val="24"/>
        </w:rPr>
      </w:pPr>
      <w:r>
        <w:rPr>
          <w:rFonts w:ascii="Arial"/>
          <w:b/>
          <w:sz w:val="24"/>
        </w:rPr>
        <w:t>Section 5. - Scope of the Applicable </w:t>
      </w:r>
      <w:r>
        <w:rPr>
          <w:rFonts w:ascii="Arial"/>
          <w:b/>
          <w:spacing w:val="-5"/>
          <w:sz w:val="24"/>
        </w:rPr>
        <w:t>Law</w:t>
      </w:r>
    </w:p>
    <w:p>
      <w:pPr>
        <w:spacing w:before="194"/>
        <w:ind w:left="2718" w:right="0" w:firstLine="0"/>
        <w:jc w:val="left"/>
        <w:rPr>
          <w:rFonts w:ascii="Arial"/>
          <w:b/>
          <w:sz w:val="24"/>
        </w:rPr>
      </w:pPr>
      <w:r>
        <w:rPr>
          <w:rFonts w:ascii="Arial"/>
          <w:b/>
          <w:sz w:val="24"/>
        </w:rPr>
        <w:t>(g) - Foreign Currency </w:t>
      </w:r>
      <w:r>
        <w:rPr>
          <w:rFonts w:ascii="Arial"/>
          <w:b/>
          <w:spacing w:val="-2"/>
          <w:sz w:val="24"/>
        </w:rPr>
        <w:t>Obligations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Scope of </w:t>
      </w:r>
      <w:r>
        <w:rPr>
          <w:rFonts w:ascii="Arial"/>
          <w:b/>
          <w:spacing w:val="-2"/>
          <w:sz w:val="18"/>
        </w:rPr>
        <w:t>discussion</w:t>
      </w:r>
    </w:p>
    <w:p>
      <w:pPr>
        <w:pStyle w:val="BodyText"/>
        <w:spacing w:before="42"/>
        <w:rPr>
          <w:rFonts w:ascii="Arial"/>
          <w:b/>
          <w:sz w:val="18"/>
        </w:rPr>
      </w:pPr>
    </w:p>
    <w:p>
      <w:pPr>
        <w:pStyle w:val="Heading2"/>
      </w:pPr>
      <w:r>
        <w:rPr/>
        <w:t>30-</w:t>
      </w:r>
      <w:r>
        <w:rPr>
          <w:spacing w:val="-5"/>
        </w:rPr>
        <w:t>371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remaining paragraphs of this chapter seek to identify and discuss particular problems </w:t>
      </w:r>
      <w:r>
        <w:rPr/>
        <w:t>of </w:t>
      </w:r>
      <w:bookmarkStart w:name="_bookmark2670" w:id="2672"/>
      <w:bookmarkEnd w:id="2672"/>
      <w:r>
        <w:rPr/>
        <w:t>practical</w:t>
      </w:r>
      <w:r>
        <w:rPr>
          <w:spacing w:val="9"/>
        </w:rPr>
        <w:t> </w:t>
      </w:r>
      <w:r>
        <w:rPr/>
        <w:t>importance</w:t>
      </w:r>
      <w:r>
        <w:rPr>
          <w:spacing w:val="11"/>
        </w:rPr>
        <w:t> </w:t>
      </w:r>
      <w:r>
        <w:rPr/>
        <w:t>which</w:t>
      </w:r>
      <w:r>
        <w:rPr>
          <w:spacing w:val="11"/>
        </w:rPr>
        <w:t> </w:t>
      </w:r>
      <w:r>
        <w:rPr/>
        <w:t>may</w:t>
      </w:r>
      <w:r>
        <w:rPr>
          <w:spacing w:val="11"/>
        </w:rPr>
        <w:t> </w:t>
      </w:r>
      <w:r>
        <w:rPr/>
        <w:t>arise,</w:t>
      </w:r>
      <w:r>
        <w:rPr>
          <w:spacing w:val="11"/>
        </w:rPr>
        <w:t> </w:t>
      </w:r>
      <w:r>
        <w:rPr/>
        <w:t>in</w:t>
      </w:r>
      <w:r>
        <w:rPr>
          <w:spacing w:val="11"/>
        </w:rPr>
        <w:t> </w:t>
      </w:r>
      <w:r>
        <w:rPr/>
        <w:t>a</w:t>
      </w:r>
      <w:r>
        <w:rPr>
          <w:spacing w:val="11"/>
        </w:rPr>
        <w:t> </w:t>
      </w:r>
      <w:r>
        <w:rPr/>
        <w:t>contractual</w:t>
      </w:r>
      <w:r>
        <w:rPr>
          <w:spacing w:val="11"/>
        </w:rPr>
        <w:t> </w:t>
      </w:r>
      <w:r>
        <w:rPr/>
        <w:t>context,</w:t>
      </w:r>
      <w:r>
        <w:rPr>
          <w:spacing w:val="11"/>
        </w:rPr>
        <w:t> </w:t>
      </w:r>
      <w:r>
        <w:rPr/>
        <w:t>out</w:t>
      </w:r>
      <w:r>
        <w:rPr>
          <w:spacing w:val="11"/>
        </w:rPr>
        <w:t> </w:t>
      </w:r>
      <w:r>
        <w:rPr/>
        <w:t>of</w:t>
      </w:r>
      <w:r>
        <w:rPr>
          <w:spacing w:val="11"/>
        </w:rPr>
        <w:t> </w:t>
      </w:r>
      <w:r>
        <w:rPr/>
        <w:t>what</w:t>
      </w:r>
      <w:r>
        <w:rPr>
          <w:spacing w:val="11"/>
        </w:rPr>
        <w:t> </w:t>
      </w:r>
      <w:r>
        <w:rPr/>
        <w:t>may</w:t>
      </w:r>
      <w:r>
        <w:rPr>
          <w:spacing w:val="11"/>
        </w:rPr>
        <w:t> </w:t>
      </w:r>
      <w:r>
        <w:rPr/>
        <w:t>be</w:t>
      </w:r>
      <w:r>
        <w:rPr>
          <w:spacing w:val="11"/>
        </w:rPr>
        <w:t> </w:t>
      </w:r>
      <w:r>
        <w:rPr/>
        <w:t>loosely</w:t>
      </w:r>
      <w:r>
        <w:rPr>
          <w:spacing w:val="11"/>
        </w:rPr>
        <w:t> </w:t>
      </w:r>
      <w:r>
        <w:rPr>
          <w:spacing w:val="-2"/>
        </w:rPr>
        <w:t>described</w:t>
      </w:r>
    </w:p>
    <w:p>
      <w:pPr>
        <w:pStyle w:val="BodyText"/>
        <w:spacing w:line="235" w:lineRule="auto" w:before="120"/>
        <w:ind w:left="165" w:right="167"/>
        <w:jc w:val="both"/>
      </w:pPr>
      <w:r>
        <w:rPr/>
        <w:t>as “foreign currency obligations”. </w:t>
      </w:r>
      <w:hyperlink w:history="true" w:anchor="_bookmark2722">
        <w:r>
          <w:rPr>
            <w:color w:val="005DA1"/>
            <w:u w:val="single" w:color="005DA1"/>
            <w:vertAlign w:val="superscript"/>
          </w:rPr>
          <w:t>1398</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33"/>
            <w:vertAlign w:val="baseline"/>
          </w:rPr>
          <w:t> </w:t>
        </w:r>
        <w:r>
          <w:rPr>
            <w:vertAlign w:val="baseline"/>
          </w:rPr>
          <w:t>The separate treatment of these problems may be </w:t>
        </w:r>
        <w:r>
          <w:rPr>
            <w:vertAlign w:val="baseline"/>
          </w:rPr>
          <w:t>justified, first, on the ground that the elucidation of some of these problems involves reference to various different provisions of the Rome Convention and the Rome I Regulation which can be most</w:t>
        </w:r>
        <w:r>
          <w:rPr>
            <w:spacing w:val="80"/>
            <w:vertAlign w:val="baseline"/>
          </w:rPr>
          <w:t> </w:t>
        </w:r>
        <w:bookmarkStart w:name="_bookmark2671" w:id="2673"/>
        <w:bookmarkEnd w:id="2673"/>
        <w:r>
          <w:rPr>
            <w:vertAlign w:val="baseline"/>
          </w:rPr>
          <w:t>coherently</w:t>
        </w:r>
        <w:r>
          <w:rPr>
            <w:vertAlign w:val="baseline"/>
          </w:rPr>
          <w:t> treated together. Secondly, some of these problems require discussion of rules of English domestic law and procedure rather than rules of the conflict of laws in the strict sense. </w:t>
        </w:r>
        <w:r>
          <w:rPr>
            <w:color w:val="005DA1"/>
            <w:u w:val="single" w:color="005DA1"/>
            <w:vertAlign w:val="superscript"/>
          </w:rPr>
          <w:t>1399</w:t>
        </w:r>
      </w:hyperlink>
    </w:p>
    <w:p>
      <w:pPr>
        <w:pStyle w:val="BodyText"/>
      </w:pPr>
    </w:p>
    <w:p>
      <w:pPr>
        <w:pStyle w:val="BodyText"/>
        <w:spacing w:before="36"/>
      </w:pPr>
    </w:p>
    <w:p>
      <w:pPr>
        <w:spacing w:before="0"/>
        <w:ind w:left="165" w:right="0" w:firstLine="0"/>
        <w:jc w:val="both"/>
        <w:rPr>
          <w:rFonts w:ascii="Arial"/>
          <w:b/>
          <w:sz w:val="18"/>
        </w:rPr>
      </w:pPr>
      <w:r>
        <w:rPr>
          <w:rFonts w:ascii="Arial"/>
          <w:b/>
          <w:sz w:val="18"/>
        </w:rPr>
        <w:t>Principle of </w:t>
      </w:r>
      <w:r>
        <w:rPr>
          <w:rFonts w:ascii="Arial"/>
          <w:b/>
          <w:spacing w:val="-2"/>
          <w:sz w:val="18"/>
        </w:rPr>
        <w:t>nominalism</w:t>
      </w:r>
    </w:p>
    <w:p>
      <w:pPr>
        <w:pStyle w:val="BodyText"/>
        <w:spacing w:before="41"/>
        <w:rPr>
          <w:rFonts w:ascii="Arial"/>
          <w:b/>
          <w:sz w:val="18"/>
        </w:rPr>
      </w:pPr>
    </w:p>
    <w:p>
      <w:pPr>
        <w:pStyle w:val="Heading2"/>
        <w:spacing w:before="1"/>
      </w:pPr>
      <w:r>
        <w:rPr/>
        <w:t>30-</w:t>
      </w:r>
      <w:r>
        <w:rPr>
          <w:spacing w:val="-5"/>
        </w:rPr>
        <w:t>372</w:t>
      </w:r>
    </w:p>
    <w:p>
      <w:pPr>
        <w:pStyle w:val="BodyText"/>
        <w:spacing w:line="235" w:lineRule="auto" w:before="202"/>
        <w:ind w:left="164" w:right="167"/>
        <w:jc w:val="both"/>
      </w:pPr>
      <w:r>
        <w:rPr/>
        <w:t>Where a debt is expressed in the currency of any particular country, the debtor is under an obligation to pay the nominal amount of the debt in whatever is legal tender at the time of payment according </w:t>
      </w:r>
      <w:r>
        <w:rPr/>
        <w:t>to </w:t>
      </w:r>
      <w:bookmarkStart w:name="_bookmark2672" w:id="2674"/>
      <w:bookmarkEnd w:id="2674"/>
      <w:r>
        <w:rPr/>
        <w:t>the</w:t>
      </w:r>
      <w:r>
        <w:rPr/>
        <w:t> law of the country in whose currency the debt is expressed, irrespective of any fluctuation in </w:t>
      </w:r>
      <w:bookmarkStart w:name="_bookmark2673" w:id="2675"/>
      <w:bookmarkEnd w:id="2675"/>
      <w:r>
        <w:rPr/>
        <w:t>exchange</w:t>
      </w:r>
      <w:r>
        <w:rPr/>
        <w:t> rates which affect that currency. </w:t>
      </w:r>
      <w:r>
        <w:rPr>
          <w:color w:val="005DA1"/>
          <w:u w:val="single" w:color="005DA1"/>
          <w:vertAlign w:val="superscript"/>
        </w:rPr>
        <w:t>1400</w:t>
      </w:r>
      <w:r>
        <w:rPr>
          <w:color w:val="005DA1"/>
          <w:vertAlign w:val="baseline"/>
        </w:rPr>
        <w:t> </w:t>
      </w:r>
      <w:r>
        <w:rPr>
          <w:vertAlign w:val="baseline"/>
        </w:rPr>
        <w:t>This principle, the principle of nominalism, applies to </w:t>
      </w:r>
      <w:bookmarkStart w:name="_bookmark2674" w:id="2676"/>
      <w:bookmarkEnd w:id="2676"/>
      <w:r>
        <w:rPr>
          <w:vertAlign w:val="baseline"/>
        </w:rPr>
        <w:t>claims</w:t>
      </w:r>
      <w:r>
        <w:rPr>
          <w:vertAlign w:val="baseline"/>
        </w:rPr>
        <w:t> for unliquidated damages as well as to debts. </w:t>
      </w:r>
      <w:r>
        <w:rPr>
          <w:color w:val="005DA1"/>
          <w:u w:val="single" w:color="005DA1"/>
          <w:vertAlign w:val="superscript"/>
        </w:rPr>
        <w:t>1401</w:t>
      </w:r>
      <w:r>
        <w:rPr>
          <w:color w:val="005DA1"/>
          <w:vertAlign w:val="baseline"/>
        </w:rPr>
        <w:t> </w:t>
      </w:r>
      <w:r>
        <w:rPr>
          <w:vertAlign w:val="baseline"/>
        </w:rPr>
        <w:t>As a principle of English domestic law, the principle of nominalism applies to debts and contracts governed by English law. </w:t>
      </w:r>
      <w:r>
        <w:rPr>
          <w:color w:val="005DA1"/>
          <w:u w:val="single" w:color="005DA1"/>
          <w:vertAlign w:val="superscript"/>
        </w:rPr>
        <w:t>1402</w:t>
      </w:r>
      <w:r>
        <w:rPr>
          <w:color w:val="005DA1"/>
          <w:vertAlign w:val="baseline"/>
        </w:rPr>
        <w:t> </w:t>
      </w:r>
      <w:r>
        <w:rPr>
          <w:vertAlign w:val="baseline"/>
        </w:rPr>
        <w:t>Where a debt or </w:t>
      </w:r>
      <w:bookmarkStart w:name="_bookmark2675" w:id="2677"/>
      <w:bookmarkEnd w:id="2677"/>
      <w:r>
        <w:rPr>
          <w:vertAlign w:val="baseline"/>
        </w:rPr>
        <w:t>contract</w:t>
      </w:r>
      <w:r>
        <w:rPr>
          <w:vertAlign w:val="baseline"/>
        </w:rPr>
        <w:t> is governed by a foreign law, it will be for that law to determine whether the principle of </w:t>
      </w:r>
      <w:bookmarkStart w:name="_bookmark2676" w:id="2678"/>
      <w:bookmarkEnd w:id="2678"/>
      <w:r>
        <w:rPr>
          <w:vertAlign w:val="baseline"/>
        </w:rPr>
        <w:t>nominalism</w:t>
      </w:r>
      <w:r>
        <w:rPr>
          <w:spacing w:val="-3"/>
          <w:vertAlign w:val="baseline"/>
        </w:rPr>
        <w:t> </w:t>
      </w:r>
      <w:r>
        <w:rPr>
          <w:vertAlign w:val="baseline"/>
        </w:rPr>
        <w:t>applies</w:t>
      </w:r>
      <w:r>
        <w:rPr>
          <w:spacing w:val="-4"/>
          <w:vertAlign w:val="baseline"/>
        </w:rPr>
        <w:t> </w:t>
      </w:r>
      <w:r>
        <w:rPr>
          <w:color w:val="005DA1"/>
          <w:u w:val="single" w:color="005DA1"/>
          <w:vertAlign w:val="superscript"/>
        </w:rPr>
        <w:t>1403</w:t>
      </w:r>
      <w:r>
        <w:rPr>
          <w:color w:val="005DA1"/>
          <w:spacing w:val="-3"/>
          <w:vertAlign w:val="baseline"/>
        </w:rPr>
        <w:t> </w:t>
      </w:r>
      <w:r>
        <w:rPr>
          <w:vertAlign w:val="baseline"/>
        </w:rPr>
        <w:t>but</w:t>
      </w:r>
      <w:r>
        <w:rPr>
          <w:spacing w:val="-3"/>
          <w:vertAlign w:val="baseline"/>
        </w:rPr>
        <w:t> </w:t>
      </w:r>
      <w:r>
        <w:rPr>
          <w:vertAlign w:val="baseline"/>
        </w:rPr>
        <w:t>since</w:t>
      </w:r>
      <w:r>
        <w:rPr>
          <w:spacing w:val="-3"/>
          <w:vertAlign w:val="baseline"/>
        </w:rPr>
        <w:t> </w:t>
      </w:r>
      <w:r>
        <w:rPr>
          <w:vertAlign w:val="baseline"/>
        </w:rPr>
        <w:t>the</w:t>
      </w:r>
      <w:r>
        <w:rPr>
          <w:spacing w:val="-3"/>
          <w:vertAlign w:val="baseline"/>
        </w:rPr>
        <w:t> </w:t>
      </w:r>
      <w:r>
        <w:rPr>
          <w:vertAlign w:val="baseline"/>
        </w:rPr>
        <w:t>principle</w:t>
      </w:r>
      <w:r>
        <w:rPr>
          <w:spacing w:val="-3"/>
          <w:vertAlign w:val="baseline"/>
        </w:rPr>
        <w:t> </w:t>
      </w:r>
      <w:r>
        <w:rPr>
          <w:vertAlign w:val="baseline"/>
        </w:rPr>
        <w:t>appears</w:t>
      </w:r>
      <w:r>
        <w:rPr>
          <w:spacing w:val="-3"/>
          <w:vertAlign w:val="baseline"/>
        </w:rPr>
        <w:t> </w:t>
      </w:r>
      <w:r>
        <w:rPr>
          <w:vertAlign w:val="baseline"/>
        </w:rPr>
        <w:t>to</w:t>
      </w:r>
      <w:r>
        <w:rPr>
          <w:spacing w:val="-3"/>
          <w:vertAlign w:val="baseline"/>
        </w:rPr>
        <w:t> </w:t>
      </w:r>
      <w:r>
        <w:rPr>
          <w:vertAlign w:val="baseline"/>
        </w:rPr>
        <w:t>form</w:t>
      </w:r>
      <w:r>
        <w:rPr>
          <w:spacing w:val="-3"/>
          <w:vertAlign w:val="baseline"/>
        </w:rPr>
        <w:t> </w:t>
      </w:r>
      <w:r>
        <w:rPr>
          <w:vertAlign w:val="baseline"/>
        </w:rPr>
        <w:t>“part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legal</w:t>
      </w:r>
      <w:r>
        <w:rPr>
          <w:spacing w:val="-3"/>
          <w:vertAlign w:val="baseline"/>
        </w:rPr>
        <w:t> </w:t>
      </w:r>
      <w:r>
        <w:rPr>
          <w:vertAlign w:val="baseline"/>
        </w:rPr>
        <w:t>systems</w:t>
      </w:r>
      <w:r>
        <w:rPr>
          <w:spacing w:val="-3"/>
          <w:vertAlign w:val="baseline"/>
        </w:rPr>
        <w:t> </w:t>
      </w:r>
      <w:r>
        <w:rPr>
          <w:vertAlign w:val="baseline"/>
        </w:rPr>
        <w:t>of</w:t>
      </w:r>
      <w:r>
        <w:rPr>
          <w:spacing w:val="-3"/>
          <w:vertAlign w:val="baseline"/>
        </w:rPr>
        <w:t> </w:t>
      </w:r>
      <w:r>
        <w:rPr>
          <w:vertAlign w:val="baseline"/>
        </w:rPr>
        <w:t>all</w:t>
      </w:r>
      <w:r>
        <w:rPr>
          <w:spacing w:val="-3"/>
          <w:vertAlign w:val="baseline"/>
        </w:rPr>
        <w:t> </w:t>
      </w:r>
      <w:r>
        <w:rPr>
          <w:vertAlign w:val="baseline"/>
        </w:rPr>
        <w:t>civilised countries” </w:t>
      </w:r>
      <w:r>
        <w:rPr>
          <w:color w:val="005DA1"/>
          <w:u w:val="single" w:color="005DA1"/>
          <w:vertAlign w:val="superscript"/>
        </w:rPr>
        <w:t>1404</w:t>
      </w:r>
      <w:r>
        <w:rPr>
          <w:color w:val="005DA1"/>
          <w:vertAlign w:val="baseline"/>
        </w:rPr>
        <w:t> </w:t>
      </w:r>
      <w:r>
        <w:rPr>
          <w:vertAlign w:val="baseline"/>
        </w:rPr>
        <w:t>there is little likelihood of its being inapplicable in any given case.</w:t>
      </w:r>
    </w:p>
    <w:p>
      <w:pPr>
        <w:pStyle w:val="BodyText"/>
      </w:pPr>
    </w:p>
    <w:p>
      <w:pPr>
        <w:pStyle w:val="BodyText"/>
        <w:spacing w:before="35"/>
      </w:pPr>
    </w:p>
    <w:p>
      <w:pPr>
        <w:spacing w:before="0"/>
        <w:ind w:left="165" w:right="0" w:firstLine="0"/>
        <w:jc w:val="left"/>
        <w:rPr>
          <w:rFonts w:ascii="Arial"/>
          <w:b/>
          <w:sz w:val="18"/>
        </w:rPr>
      </w:pPr>
      <w:r>
        <w:rPr>
          <w:rFonts w:ascii="Arial"/>
          <w:b/>
          <w:sz w:val="18"/>
        </w:rPr>
        <w:t>Legal </w:t>
      </w:r>
      <w:r>
        <w:rPr>
          <w:rFonts w:ascii="Arial"/>
          <w:b/>
          <w:spacing w:val="-2"/>
          <w:sz w:val="18"/>
        </w:rPr>
        <w:t>tender</w:t>
      </w:r>
    </w:p>
    <w:p>
      <w:pPr>
        <w:pStyle w:val="BodyText"/>
        <w:spacing w:before="42"/>
        <w:rPr>
          <w:rFonts w:ascii="Arial"/>
          <w:b/>
          <w:sz w:val="18"/>
        </w:rPr>
      </w:pPr>
    </w:p>
    <w:p>
      <w:pPr>
        <w:pStyle w:val="Heading2"/>
      </w:pPr>
      <w:r>
        <w:rPr/>
        <w:t>30-</w:t>
      </w:r>
      <w:r>
        <w:rPr>
          <w:spacing w:val="-5"/>
        </w:rPr>
        <w:t>373</w:t>
      </w:r>
    </w:p>
    <w:p>
      <w:pPr>
        <w:pStyle w:val="BodyText"/>
        <w:spacing w:line="235" w:lineRule="auto" w:before="202"/>
        <w:ind w:left="165" w:right="167"/>
        <w:jc w:val="both"/>
      </w:pPr>
      <w:r>
        <w:rPr/>
        <w:t>The law of the country in whose currency a contractual debt is expressed will determine what is </w:t>
      </w:r>
      <w:bookmarkStart w:name="_bookmark2677" w:id="2679"/>
      <w:bookmarkEnd w:id="2679"/>
      <w:r>
        <w:rPr/>
        <w:t>regarded</w:t>
      </w:r>
      <w:r>
        <w:rPr/>
        <w:t> as legal tender for the purpose of its discharge. This is probably because by referring to a </w:t>
      </w:r>
      <w:bookmarkStart w:name="_bookmark2678" w:id="2680"/>
      <w:bookmarkEnd w:id="2680"/>
      <w:r>
        <w:rPr/>
        <w:t>particular</w:t>
      </w:r>
      <w:r>
        <w:rPr/>
        <w:t> country’s currency, the parties agree (either impliedly, at common law, </w:t>
      </w:r>
      <w:r>
        <w:rPr>
          <w:color w:val="005DA1"/>
          <w:u w:val="single" w:color="005DA1"/>
          <w:vertAlign w:val="superscript"/>
        </w:rPr>
        <w:t>1405</w:t>
      </w:r>
      <w:r>
        <w:rPr>
          <w:color w:val="005DA1"/>
          <w:vertAlign w:val="baseline"/>
        </w:rPr>
        <w:t> </w:t>
      </w:r>
      <w:r>
        <w:rPr>
          <w:vertAlign w:val="baseline"/>
        </w:rPr>
        <w:t>or by virtue </w:t>
      </w:r>
      <w:r>
        <w:rPr>
          <w:vertAlign w:val="baseline"/>
        </w:rPr>
        <w:t>of art.3(1) of the Rome Convention, or art.3(1) of the Rome I Regulation </w:t>
      </w:r>
      <w:r>
        <w:rPr>
          <w:color w:val="005DA1"/>
          <w:u w:val="single" w:color="005DA1"/>
          <w:vertAlign w:val="superscript"/>
        </w:rPr>
        <w:t>1406</w:t>
      </w:r>
      <w:r>
        <w:rPr>
          <w:vertAlign w:val="baseline"/>
        </w:rPr>
        <w:t>) that the law of that country will determine what constitutes the currency of that country. This result will ensue even if the contract as a whole is governed by a different law: the question of what is the legal tender of the currency in which the contractual debt is expressed will be regarded as a severable part of the contract capable</w:t>
      </w:r>
      <w:r>
        <w:rPr>
          <w:spacing w:val="40"/>
          <w:vertAlign w:val="baseline"/>
        </w:rPr>
        <w:t> </w:t>
      </w:r>
      <w:bookmarkStart w:name="_bookmark2679" w:id="2681"/>
      <w:bookmarkEnd w:id="2681"/>
      <w:r>
        <w:rPr>
          <w:vertAlign w:val="baseline"/>
        </w:rPr>
        <w:t>of</w:t>
      </w:r>
      <w:r>
        <w:rPr>
          <w:spacing w:val="-1"/>
          <w:vertAlign w:val="baseline"/>
        </w:rPr>
        <w:t> </w:t>
      </w:r>
      <w:r>
        <w:rPr>
          <w:vertAlign w:val="baseline"/>
        </w:rPr>
        <w:t>being</w:t>
      </w:r>
      <w:r>
        <w:rPr>
          <w:spacing w:val="-1"/>
          <w:vertAlign w:val="baseline"/>
        </w:rPr>
        <w:t> </w:t>
      </w:r>
      <w:r>
        <w:rPr>
          <w:vertAlign w:val="baseline"/>
        </w:rPr>
        <w:t>governed</w:t>
      </w:r>
      <w:r>
        <w:rPr>
          <w:spacing w:val="-1"/>
          <w:vertAlign w:val="baseline"/>
        </w:rPr>
        <w:t> </w:t>
      </w:r>
      <w:r>
        <w:rPr>
          <w:vertAlign w:val="baseline"/>
        </w:rPr>
        <w:t>by</w:t>
      </w:r>
      <w:r>
        <w:rPr>
          <w:spacing w:val="-1"/>
          <w:vertAlign w:val="baseline"/>
        </w:rPr>
        <w:t> </w:t>
      </w:r>
      <w:r>
        <w:rPr>
          <w:vertAlign w:val="baseline"/>
        </w:rPr>
        <w:t>its</w:t>
      </w:r>
      <w:r>
        <w:rPr>
          <w:spacing w:val="-1"/>
          <w:vertAlign w:val="baseline"/>
        </w:rPr>
        <w:t> </w:t>
      </w:r>
      <w:r>
        <w:rPr>
          <w:vertAlign w:val="baseline"/>
        </w:rPr>
        <w:t>own</w:t>
      </w:r>
      <w:r>
        <w:rPr>
          <w:spacing w:val="-1"/>
          <w:vertAlign w:val="baseline"/>
        </w:rPr>
        <w:t> </w:t>
      </w:r>
      <w:r>
        <w:rPr>
          <w:vertAlign w:val="baseline"/>
        </w:rPr>
        <w:t>applicable</w:t>
      </w:r>
      <w:r>
        <w:rPr>
          <w:spacing w:val="-1"/>
          <w:vertAlign w:val="baseline"/>
        </w:rPr>
        <w:t> </w:t>
      </w:r>
      <w:r>
        <w:rPr>
          <w:vertAlign w:val="baseline"/>
        </w:rPr>
        <w:t>law</w:t>
      </w:r>
      <w:r>
        <w:rPr>
          <w:spacing w:val="-1"/>
          <w:vertAlign w:val="baseline"/>
        </w:rPr>
        <w:t> </w:t>
      </w:r>
      <w:r>
        <w:rPr>
          <w:vertAlign w:val="baseline"/>
        </w:rPr>
        <w:t>which</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country</w:t>
      </w:r>
      <w:r>
        <w:rPr>
          <w:spacing w:val="-1"/>
          <w:vertAlign w:val="baseline"/>
        </w:rPr>
        <w:t> </w:t>
      </w:r>
      <w:r>
        <w:rPr>
          <w:vertAlign w:val="baseline"/>
        </w:rPr>
        <w:t>in</w:t>
      </w:r>
      <w:r>
        <w:rPr>
          <w:spacing w:val="-1"/>
          <w:vertAlign w:val="baseline"/>
        </w:rPr>
        <w:t> </w:t>
      </w:r>
      <w:r>
        <w:rPr>
          <w:vertAlign w:val="baseline"/>
        </w:rPr>
        <w:t>whose</w:t>
      </w:r>
      <w:r>
        <w:rPr>
          <w:spacing w:val="-1"/>
          <w:vertAlign w:val="baseline"/>
        </w:rPr>
        <w:t> </w:t>
      </w:r>
      <w:r>
        <w:rPr>
          <w:vertAlign w:val="baseline"/>
        </w:rPr>
        <w:t>currency</w:t>
      </w:r>
      <w:r>
        <w:rPr>
          <w:spacing w:val="-1"/>
          <w:vertAlign w:val="baseline"/>
        </w:rPr>
        <w:t> </w:t>
      </w:r>
      <w:r>
        <w:rPr>
          <w:vertAlign w:val="baseline"/>
        </w:rPr>
        <w:t>the debt is expressed. </w:t>
      </w:r>
      <w:r>
        <w:rPr>
          <w:color w:val="005DA1"/>
          <w:u w:val="single" w:color="005DA1"/>
          <w:vertAlign w:val="superscript"/>
        </w:rPr>
        <w:t>1407</w:t>
      </w:r>
      <w:r>
        <w:rPr>
          <w:color w:val="005DA1"/>
          <w:vertAlign w:val="baseline"/>
        </w:rPr>
        <w:t> </w:t>
      </w:r>
      <w:r>
        <w:rPr>
          <w:vertAlign w:val="baseline"/>
        </w:rPr>
        <w:t>No other law can rationally determine what is meant by that currency.</w:t>
      </w:r>
    </w:p>
    <w:p>
      <w:pPr>
        <w:pStyle w:val="BodyText"/>
        <w:spacing w:after="0" w:line="235" w:lineRule="auto"/>
        <w:jc w:val="both"/>
        <w:sectPr>
          <w:headerReference w:type="default" r:id="rId36"/>
          <w:pgSz w:w="11900" w:h="16840"/>
          <w:pgMar w:header="971" w:footer="0" w:top="1300" w:bottom="280" w:left="1275" w:right="1275"/>
          <w:pgNumType w:start="1"/>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Money of </w:t>
      </w:r>
      <w:r>
        <w:rPr>
          <w:rFonts w:ascii="Arial"/>
          <w:b/>
          <w:spacing w:val="-2"/>
          <w:sz w:val="18"/>
        </w:rPr>
        <w:t>account</w:t>
      </w:r>
    </w:p>
    <w:p>
      <w:pPr>
        <w:pStyle w:val="BodyText"/>
        <w:spacing w:before="41"/>
        <w:rPr>
          <w:rFonts w:ascii="Arial"/>
          <w:b/>
          <w:sz w:val="18"/>
        </w:rPr>
      </w:pPr>
    </w:p>
    <w:p>
      <w:pPr>
        <w:pStyle w:val="Heading2"/>
      </w:pPr>
      <w:r>
        <w:rPr/>
        <w:t>30-</w:t>
      </w:r>
      <w:r>
        <w:rPr>
          <w:spacing w:val="-5"/>
        </w:rPr>
        <w:t>374</w:t>
      </w:r>
    </w:p>
    <w:p>
      <w:pPr>
        <w:pStyle w:val="BodyText"/>
        <w:spacing w:line="235" w:lineRule="auto" w:before="203"/>
        <w:ind w:left="165" w:right="167"/>
        <w:jc w:val="both"/>
      </w:pPr>
      <w:r>
        <w:rPr/>
        <w:t>The “money of account” is the currency in which a debt is expressed or a liability to pay damages is </w:t>
      </w:r>
      <w:bookmarkStart w:name="_bookmark2680" w:id="2682"/>
      <w:bookmarkEnd w:id="2682"/>
      <w:r>
        <w:rPr/>
        <w:t>calculated</w:t>
      </w:r>
      <w:r>
        <w:rPr/>
        <w:t> as opposed to the currency in which that debt or liability is to be discharged, described as the</w:t>
      </w:r>
      <w:r>
        <w:rPr>
          <w:spacing w:val="-4"/>
        </w:rPr>
        <w:t> </w:t>
      </w:r>
      <w:r>
        <w:rPr/>
        <w:t>“money</w:t>
      </w:r>
      <w:r>
        <w:rPr>
          <w:spacing w:val="-4"/>
        </w:rPr>
        <w:t> </w:t>
      </w:r>
      <w:r>
        <w:rPr/>
        <w:t>of</w:t>
      </w:r>
      <w:r>
        <w:rPr>
          <w:spacing w:val="-4"/>
        </w:rPr>
        <w:t> </w:t>
      </w:r>
      <w:r>
        <w:rPr/>
        <w:t>payment”.</w:t>
      </w:r>
      <w:r>
        <w:rPr>
          <w:spacing w:val="-4"/>
        </w:rPr>
        <w:t> </w:t>
      </w:r>
      <w:r>
        <w:rPr>
          <w:color w:val="005DA1"/>
          <w:u w:val="single" w:color="005DA1"/>
          <w:vertAlign w:val="superscript"/>
        </w:rPr>
        <w:t>1408</w:t>
      </w:r>
      <w:r>
        <w:rPr>
          <w:color w:val="005DA1"/>
          <w:spacing w:val="-4"/>
          <w:vertAlign w:val="baseline"/>
        </w:rPr>
        <w:t> </w:t>
      </w:r>
      <w:r>
        <w:rPr>
          <w:vertAlign w:val="baseline"/>
        </w:rPr>
        <w:t>The</w:t>
      </w:r>
      <w:r>
        <w:rPr>
          <w:spacing w:val="-4"/>
          <w:vertAlign w:val="baseline"/>
        </w:rPr>
        <w:t> </w:t>
      </w:r>
      <w:r>
        <w:rPr>
          <w:vertAlign w:val="baseline"/>
        </w:rPr>
        <w:t>former</w:t>
      </w:r>
      <w:r>
        <w:rPr>
          <w:spacing w:val="-4"/>
          <w:vertAlign w:val="baseline"/>
        </w:rPr>
        <w:t> </w:t>
      </w:r>
      <w:r>
        <w:rPr>
          <w:vertAlign w:val="baseline"/>
        </w:rPr>
        <w:t>concept</w:t>
      </w:r>
      <w:r>
        <w:rPr>
          <w:spacing w:val="-4"/>
          <w:vertAlign w:val="baseline"/>
        </w:rPr>
        <w:t> </w:t>
      </w:r>
      <w:r>
        <w:rPr>
          <w:vertAlign w:val="baseline"/>
        </w:rPr>
        <w:t>thus</w:t>
      </w:r>
      <w:r>
        <w:rPr>
          <w:spacing w:val="-4"/>
          <w:vertAlign w:val="baseline"/>
        </w:rPr>
        <w:t> </w:t>
      </w:r>
      <w:r>
        <w:rPr>
          <w:vertAlign w:val="baseline"/>
        </w:rPr>
        <w:t>describes</w:t>
      </w:r>
      <w:r>
        <w:rPr>
          <w:spacing w:val="-4"/>
          <w:vertAlign w:val="baseline"/>
        </w:rPr>
        <w:t> </w:t>
      </w:r>
      <w:r>
        <w:rPr>
          <w:vertAlign w:val="baseline"/>
        </w:rPr>
        <w:t>the</w:t>
      </w:r>
      <w:r>
        <w:rPr>
          <w:spacing w:val="-4"/>
          <w:vertAlign w:val="baseline"/>
        </w:rPr>
        <w:t> </w:t>
      </w:r>
      <w:r>
        <w:rPr>
          <w:vertAlign w:val="baseline"/>
        </w:rPr>
        <w:t>currency</w:t>
      </w:r>
      <w:r>
        <w:rPr>
          <w:spacing w:val="-4"/>
          <w:vertAlign w:val="baseline"/>
        </w:rPr>
        <w:t> </w:t>
      </w:r>
      <w:r>
        <w:rPr>
          <w:vertAlign w:val="baseline"/>
        </w:rPr>
        <w:t>in</w:t>
      </w:r>
      <w:r>
        <w:rPr>
          <w:spacing w:val="-4"/>
          <w:vertAlign w:val="baseline"/>
        </w:rPr>
        <w:t> </w:t>
      </w:r>
      <w:r>
        <w:rPr>
          <w:vertAlign w:val="baseline"/>
        </w:rPr>
        <w:t>which</w:t>
      </w:r>
      <w:r>
        <w:rPr>
          <w:spacing w:val="-4"/>
          <w:vertAlign w:val="baseline"/>
        </w:rPr>
        <w:t> </w:t>
      </w:r>
      <w:r>
        <w:rPr>
          <w:vertAlign w:val="baseline"/>
        </w:rPr>
        <w:t>the</w:t>
      </w:r>
      <w:r>
        <w:rPr>
          <w:spacing w:val="-4"/>
          <w:vertAlign w:val="baseline"/>
        </w:rPr>
        <w:t> </w:t>
      </w:r>
      <w:r>
        <w:rPr>
          <w:vertAlign w:val="baseline"/>
        </w:rPr>
        <w:t>amount</w:t>
      </w:r>
      <w:r>
        <w:rPr>
          <w:spacing w:val="-4"/>
          <w:vertAlign w:val="baseline"/>
        </w:rPr>
        <w:t> </w:t>
      </w:r>
      <w:r>
        <w:rPr>
          <w:vertAlign w:val="baseline"/>
        </w:rPr>
        <w:t>due is to be measured. Where the parties have not indicated in the contract itself the particular </w:t>
      </w:r>
      <w:r>
        <w:rPr>
          <w:vertAlign w:val="baseline"/>
        </w:rPr>
        <w:t>currency which is the money of account, the relevant currency must be identified by interpreting or construing </w:t>
      </w:r>
      <w:bookmarkStart w:name="_bookmark2681" w:id="2683"/>
      <w:bookmarkEnd w:id="2683"/>
      <w:r>
        <w:rPr>
          <w:vertAlign w:val="baseline"/>
        </w:rPr>
        <w:t>the</w:t>
      </w:r>
      <w:r>
        <w:rPr>
          <w:vertAlign w:val="baseline"/>
        </w:rPr>
        <w:t> contract, the canons of interpretation or construction being those which prevail in the law which </w:t>
      </w:r>
      <w:bookmarkStart w:name="_bookmark2682" w:id="2684"/>
      <w:bookmarkEnd w:id="2684"/>
      <w:r>
        <w:rPr>
          <w:vertAlign w:val="baseline"/>
        </w:rPr>
        <w:t>governs</w:t>
      </w:r>
      <w:r>
        <w:rPr>
          <w:vertAlign w:val="baseline"/>
        </w:rPr>
        <w:t> the contract. </w:t>
      </w:r>
      <w:r>
        <w:rPr>
          <w:color w:val="005DA1"/>
          <w:u w:val="single" w:color="005DA1"/>
          <w:vertAlign w:val="superscript"/>
        </w:rPr>
        <w:t>1409</w:t>
      </w:r>
      <w:r>
        <w:rPr>
          <w:color w:val="005DA1"/>
          <w:vertAlign w:val="baseline"/>
        </w:rPr>
        <w:t> </w:t>
      </w:r>
      <w:r>
        <w:rPr>
          <w:vertAlign w:val="baseline"/>
        </w:rPr>
        <w:t>If English law is the applicable law, then in the absence of any intention emerging from the contract itself when construed according to English law, </w:t>
      </w:r>
      <w:r>
        <w:rPr>
          <w:color w:val="005DA1"/>
          <w:u w:val="single" w:color="005DA1"/>
          <w:vertAlign w:val="superscript"/>
        </w:rPr>
        <w:t>1410</w:t>
      </w:r>
      <w:r>
        <w:rPr>
          <w:color w:val="005DA1"/>
          <w:vertAlign w:val="baseline"/>
        </w:rPr>
        <w:t> </w:t>
      </w:r>
      <w:r>
        <w:rPr>
          <w:vertAlign w:val="baseline"/>
        </w:rPr>
        <w:t>the parties will be </w:t>
      </w:r>
      <w:bookmarkStart w:name="_bookmark2683" w:id="2685"/>
      <w:bookmarkEnd w:id="2685"/>
      <w:r>
        <w:rPr>
          <w:vertAlign w:val="baseline"/>
        </w:rPr>
        <w:t>presumed</w:t>
      </w:r>
      <w:r>
        <w:rPr>
          <w:vertAlign w:val="baseline"/>
        </w:rPr>
        <w:t> to have intended the currency of the country with which the contract is most closely connected. </w:t>
      </w:r>
      <w:r>
        <w:rPr>
          <w:color w:val="005DA1"/>
          <w:u w:val="single" w:color="005DA1"/>
          <w:vertAlign w:val="superscript"/>
        </w:rPr>
        <w:t>1411</w:t>
      </w:r>
      <w:r>
        <w:rPr>
          <w:color w:val="005DA1"/>
          <w:vertAlign w:val="baseline"/>
        </w:rPr>
        <w:t> </w:t>
      </w:r>
      <w:r>
        <w:rPr>
          <w:vertAlign w:val="baseline"/>
        </w:rPr>
        <w:t>This may, but need not necessarily, be the country of the applicable law. </w:t>
      </w:r>
      <w:r>
        <w:rPr>
          <w:color w:val="005DA1"/>
          <w:u w:val="single" w:color="005DA1"/>
          <w:vertAlign w:val="superscript"/>
        </w:rPr>
        <w:t>1412</w:t>
      </w:r>
    </w:p>
    <w:p>
      <w:pPr>
        <w:pStyle w:val="BodyText"/>
      </w:pPr>
    </w:p>
    <w:p>
      <w:pPr>
        <w:pStyle w:val="BodyText"/>
        <w:spacing w:before="35"/>
      </w:pPr>
    </w:p>
    <w:p>
      <w:pPr>
        <w:spacing w:before="0"/>
        <w:ind w:left="165" w:right="0" w:firstLine="0"/>
        <w:jc w:val="left"/>
        <w:rPr>
          <w:rFonts w:ascii="Arial"/>
          <w:b/>
          <w:sz w:val="18"/>
        </w:rPr>
      </w:pPr>
      <w:r>
        <w:rPr>
          <w:rFonts w:ascii="Arial"/>
          <w:b/>
          <w:sz w:val="18"/>
        </w:rPr>
        <w:t>Currency of </w:t>
      </w:r>
      <w:r>
        <w:rPr>
          <w:rFonts w:ascii="Arial"/>
          <w:b/>
          <w:spacing w:val="-2"/>
          <w:sz w:val="18"/>
        </w:rPr>
        <w:t>damages</w:t>
      </w:r>
    </w:p>
    <w:p>
      <w:pPr>
        <w:pStyle w:val="BodyText"/>
        <w:spacing w:before="41"/>
        <w:rPr>
          <w:rFonts w:ascii="Arial"/>
          <w:b/>
          <w:sz w:val="18"/>
        </w:rPr>
      </w:pPr>
    </w:p>
    <w:p>
      <w:pPr>
        <w:pStyle w:val="Heading2"/>
      </w:pPr>
      <w:r>
        <w:rPr/>
        <w:t>30-</w:t>
      </w:r>
      <w:r>
        <w:rPr>
          <w:spacing w:val="-5"/>
        </w:rPr>
        <w:t>375</w:t>
      </w:r>
    </w:p>
    <w:p>
      <w:pPr>
        <w:pStyle w:val="BodyText"/>
        <w:spacing w:line="235" w:lineRule="auto" w:before="203"/>
        <w:ind w:left="165" w:right="167"/>
        <w:jc w:val="both"/>
      </w:pPr>
      <w:r>
        <w:rPr/>
        <w:t>Where damages are claimed for breach of contract, it may be necessary to determine the currency in which such damages are to be calculated, i.e. the money of account. In this context, however, the </w:t>
      </w:r>
      <w:bookmarkStart w:name="_bookmark2684" w:id="2686"/>
      <w:bookmarkEnd w:id="2686"/>
      <w:r>
        <w:rPr/>
        <w:t>issue</w:t>
      </w:r>
      <w:r>
        <w:rPr/>
        <w:t> is not one of interpretation of the contract but rather one relating to the assessment of damages which, like interpretation, will be governed by the applicable law of the contract. </w:t>
      </w:r>
      <w:r>
        <w:rPr>
          <w:color w:val="005DA1"/>
          <w:u w:val="single" w:color="005DA1"/>
          <w:vertAlign w:val="superscript"/>
        </w:rPr>
        <w:t>1413</w:t>
      </w:r>
      <w:r>
        <w:rPr>
          <w:color w:val="005DA1"/>
          <w:vertAlign w:val="baseline"/>
        </w:rPr>
        <w:t> </w:t>
      </w:r>
      <w:r>
        <w:rPr>
          <w:vertAlign w:val="baseline"/>
        </w:rPr>
        <w:t>If English law is the applicable law, it has been authoritatively stated that the:</w:t>
      </w:r>
    </w:p>
    <w:p>
      <w:pPr>
        <w:pStyle w:val="BodyText"/>
      </w:pPr>
    </w:p>
    <w:p>
      <w:pPr>
        <w:pStyle w:val="BodyText"/>
        <w:spacing w:before="124"/>
      </w:pPr>
    </w:p>
    <w:p>
      <w:pPr>
        <w:pStyle w:val="BodyText"/>
        <w:spacing w:line="235" w:lineRule="auto" w:before="1"/>
        <w:ind w:left="1244" w:right="167"/>
        <w:jc w:val="both"/>
      </w:pPr>
      <w:r>
        <w:rPr/>
        <w:t>“[First] step must be to see whether, expressly or by implication, the contract provides </w:t>
      </w:r>
      <w:r>
        <w:rPr/>
        <w:t>an answer to the currency question. This may lead to selection of the ‘currency of the </w:t>
      </w:r>
      <w:bookmarkStart w:name="_bookmark2685" w:id="2687"/>
      <w:bookmarkEnd w:id="2687"/>
      <w:r>
        <w:rPr/>
        <w:t>contract.’</w:t>
      </w:r>
      <w:r>
        <w:rPr/>
        <w:t> If from the terms of the contract it appears that the parties have accepted a currency</w:t>
      </w:r>
      <w:r>
        <w:rPr>
          <w:spacing w:val="-1"/>
        </w:rPr>
        <w:t> </w:t>
      </w:r>
      <w:r>
        <w:rPr/>
        <w:t>as</w:t>
      </w:r>
      <w:r>
        <w:rPr>
          <w:spacing w:val="-1"/>
        </w:rPr>
        <w:t> </w:t>
      </w:r>
      <w:r>
        <w:rPr/>
        <w:t>the</w:t>
      </w:r>
      <w:r>
        <w:rPr>
          <w:spacing w:val="-1"/>
        </w:rPr>
        <w:t> </w:t>
      </w:r>
      <w:r>
        <w:rPr/>
        <w:t>currency</w:t>
      </w:r>
      <w:r>
        <w:rPr>
          <w:spacing w:val="-1"/>
        </w:rPr>
        <w:t> </w:t>
      </w:r>
      <w:r>
        <w:rPr/>
        <w:t>of</w:t>
      </w:r>
      <w:r>
        <w:rPr>
          <w:spacing w:val="-1"/>
        </w:rPr>
        <w:t> </w:t>
      </w:r>
      <w:r>
        <w:rPr/>
        <w:t>account</w:t>
      </w:r>
      <w:r>
        <w:rPr>
          <w:spacing w:val="-1"/>
        </w:rPr>
        <w:t> </w:t>
      </w:r>
      <w:r>
        <w:rPr/>
        <w:t>and</w:t>
      </w:r>
      <w:r>
        <w:rPr>
          <w:spacing w:val="-1"/>
        </w:rPr>
        <w:t> </w:t>
      </w:r>
      <w:r>
        <w:rPr/>
        <w:t>payment</w:t>
      </w:r>
      <w:r>
        <w:rPr>
          <w:spacing w:val="-1"/>
        </w:rPr>
        <w:t> </w:t>
      </w:r>
      <w:r>
        <w:rPr>
          <w:color w:val="005DA1"/>
          <w:u w:val="single" w:color="005DA1"/>
          <w:vertAlign w:val="superscript"/>
        </w:rPr>
        <w:t>1414</w:t>
      </w:r>
      <w:r>
        <w:rPr>
          <w:color w:val="005DA1"/>
          <w:spacing w:val="-1"/>
          <w:vertAlign w:val="baseline"/>
        </w:rPr>
        <w:t> </w:t>
      </w:r>
      <w:r>
        <w:rPr>
          <w:vertAlign w:val="baseline"/>
        </w:rPr>
        <w:t>in</w:t>
      </w:r>
      <w:r>
        <w:rPr>
          <w:spacing w:val="-1"/>
          <w:vertAlign w:val="baseline"/>
        </w:rPr>
        <w:t> </w:t>
      </w:r>
      <w:r>
        <w:rPr>
          <w:vertAlign w:val="baseline"/>
        </w:rPr>
        <w:t>respect</w:t>
      </w:r>
      <w:r>
        <w:rPr>
          <w:spacing w:val="-1"/>
          <w:vertAlign w:val="baseline"/>
        </w:rPr>
        <w:t> </w:t>
      </w:r>
      <w:r>
        <w:rPr>
          <w:vertAlign w:val="baseline"/>
        </w:rPr>
        <w:t>of</w:t>
      </w:r>
      <w:r>
        <w:rPr>
          <w:spacing w:val="-1"/>
          <w:vertAlign w:val="baseline"/>
        </w:rPr>
        <w:t> </w:t>
      </w:r>
      <w:r>
        <w:rPr>
          <w:vertAlign w:val="baseline"/>
        </w:rPr>
        <w:t>all</w:t>
      </w:r>
      <w:r>
        <w:rPr>
          <w:spacing w:val="-1"/>
          <w:vertAlign w:val="baseline"/>
        </w:rPr>
        <w:t> </w:t>
      </w:r>
      <w:r>
        <w:rPr>
          <w:vertAlign w:val="baseline"/>
        </w:rPr>
        <w:t>transactions</w:t>
      </w:r>
      <w:r>
        <w:rPr>
          <w:spacing w:val="-1"/>
          <w:vertAlign w:val="baseline"/>
        </w:rPr>
        <w:t> </w:t>
      </w:r>
      <w:r>
        <w:rPr>
          <w:vertAlign w:val="baseline"/>
        </w:rPr>
        <w:t>arising under the contract, then it would be proper to give a judgment for damages in that currency</w:t>
      </w:r>
      <w:r>
        <w:rPr>
          <w:spacing w:val="-2"/>
          <w:vertAlign w:val="baseline"/>
        </w:rPr>
        <w:t> </w:t>
      </w:r>
      <w:r>
        <w:rPr>
          <w:vertAlign w:val="baseline"/>
        </w:rPr>
        <w:t>…</w:t>
      </w:r>
      <w:r>
        <w:rPr>
          <w:spacing w:val="-2"/>
          <w:vertAlign w:val="baseline"/>
        </w:rPr>
        <w:t> </w:t>
      </w:r>
      <w:r>
        <w:rPr>
          <w:vertAlign w:val="baseline"/>
        </w:rPr>
        <w:t>But</w:t>
      </w:r>
      <w:r>
        <w:rPr>
          <w:spacing w:val="-2"/>
          <w:vertAlign w:val="baseline"/>
        </w:rPr>
        <w:t> </w:t>
      </w:r>
      <w:r>
        <w:rPr>
          <w:vertAlign w:val="baseline"/>
        </w:rPr>
        <w:t>there</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cases</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although</w:t>
      </w:r>
      <w:r>
        <w:rPr>
          <w:spacing w:val="-2"/>
          <w:vertAlign w:val="baseline"/>
        </w:rPr>
        <w:t> </w:t>
      </w:r>
      <w:r>
        <w:rPr>
          <w:vertAlign w:val="baseline"/>
        </w:rPr>
        <w:t>obligations</w:t>
      </w:r>
      <w:r>
        <w:rPr>
          <w:spacing w:val="-2"/>
          <w:vertAlign w:val="baseline"/>
        </w:rPr>
        <w:t> </w:t>
      </w:r>
      <w:r>
        <w:rPr>
          <w:vertAlign w:val="baseline"/>
        </w:rPr>
        <w:t>under</w:t>
      </w:r>
      <w:r>
        <w:rPr>
          <w:spacing w:val="-2"/>
          <w:vertAlign w:val="baseline"/>
        </w:rPr>
        <w:t> </w:t>
      </w:r>
      <w:r>
        <w:rPr>
          <w:vertAlign w:val="baseline"/>
        </w:rPr>
        <w:t>that</w:t>
      </w:r>
      <w:r>
        <w:rPr>
          <w:spacing w:val="-2"/>
          <w:vertAlign w:val="baseline"/>
        </w:rPr>
        <w:t> </w:t>
      </w:r>
      <w:r>
        <w:rPr>
          <w:vertAlign w:val="baseline"/>
        </w:rPr>
        <w:t>contract</w:t>
      </w:r>
      <w:r>
        <w:rPr>
          <w:spacing w:val="-2"/>
          <w:vertAlign w:val="baseline"/>
        </w:rPr>
        <w:t> </w:t>
      </w:r>
      <w:r>
        <w:rPr>
          <w:vertAlign w:val="baseline"/>
        </w:rPr>
        <w:t>are to be met in a specified currency, or currencies, the right conclusion may be that there is no intention shown that damages for breach of contract should be given in that currency or currencies. … If then the contract fails to provide a decisive interpretation, the</w:t>
      </w:r>
      <w:r>
        <w:rPr>
          <w:spacing w:val="40"/>
          <w:vertAlign w:val="baseline"/>
        </w:rPr>
        <w:t> </w:t>
      </w:r>
      <w:r>
        <w:rPr>
          <w:vertAlign w:val="baseline"/>
        </w:rPr>
        <w:t>damages should be calculated in the currency in which the loss was felt by the plaintiff or ‘which most truly expresses his loss.’ This is not limited to that in which it first or immediately arose. In ascertaining which this currency is the court must ask what is the currency, payment of which will as nearly as possible compensate the plaintiff in </w:t>
      </w:r>
      <w:bookmarkStart w:name="_bookmark2686" w:id="2688"/>
      <w:bookmarkEnd w:id="2688"/>
      <w:r>
        <w:rPr>
          <w:vertAlign w:val="baseline"/>
        </w:rPr>
        <w:t>accordance</w:t>
      </w:r>
      <w:r>
        <w:rPr>
          <w:vertAlign w:val="baseline"/>
        </w:rPr>
        <w:t> with the principle of restitution, and whether the parties must be taken reasonably to have had this in contemplation.” </w:t>
      </w:r>
      <w:r>
        <w:rPr>
          <w:color w:val="005DA1"/>
          <w:u w:val="single" w:color="005DA1"/>
          <w:vertAlign w:val="superscript"/>
        </w:rPr>
        <w:t>1415</w:t>
      </w:r>
    </w:p>
    <w:p>
      <w:pPr>
        <w:pStyle w:val="BodyText"/>
      </w:pPr>
    </w:p>
    <w:p>
      <w:pPr>
        <w:pStyle w:val="BodyText"/>
      </w:pPr>
    </w:p>
    <w:p>
      <w:pPr>
        <w:pStyle w:val="BodyText"/>
        <w:spacing w:before="149"/>
      </w:pPr>
    </w:p>
    <w:p>
      <w:pPr>
        <w:spacing w:before="0"/>
        <w:ind w:left="165" w:right="0" w:firstLine="0"/>
        <w:jc w:val="left"/>
        <w:rPr>
          <w:rFonts w:ascii="Arial"/>
          <w:b/>
          <w:sz w:val="18"/>
        </w:rPr>
      </w:pPr>
      <w:r>
        <w:rPr>
          <w:rFonts w:ascii="Arial"/>
          <w:b/>
          <w:sz w:val="18"/>
        </w:rPr>
        <w:t>Money of </w:t>
      </w:r>
      <w:r>
        <w:rPr>
          <w:rFonts w:ascii="Arial"/>
          <w:b/>
          <w:spacing w:val="-2"/>
          <w:sz w:val="18"/>
        </w:rPr>
        <w:t>payment</w:t>
      </w:r>
    </w:p>
    <w:p>
      <w:pPr>
        <w:pStyle w:val="BodyText"/>
        <w:spacing w:before="41"/>
        <w:rPr>
          <w:rFonts w:ascii="Arial"/>
          <w:b/>
          <w:sz w:val="18"/>
        </w:rPr>
      </w:pPr>
    </w:p>
    <w:p>
      <w:pPr>
        <w:pStyle w:val="Heading2"/>
        <w:spacing w:before="1"/>
      </w:pPr>
      <w:r>
        <w:rPr/>
        <w:t>30-</w:t>
      </w:r>
      <w:r>
        <w:rPr>
          <w:spacing w:val="-5"/>
        </w:rPr>
        <w:t>376</w:t>
      </w:r>
    </w:p>
    <w:p>
      <w:pPr>
        <w:pStyle w:val="BodyText"/>
        <w:spacing w:line="235" w:lineRule="auto" w:before="202"/>
        <w:ind w:left="165" w:right="167"/>
        <w:jc w:val="both"/>
      </w:pPr>
      <w:bookmarkStart w:name="_bookmark2687" w:id="2689"/>
      <w:bookmarkEnd w:id="2689"/>
      <w:r>
        <w:rPr/>
      </w:r>
      <w:r>
        <w:rPr/>
        <w:t>The “money of payment” is the precise currency in which the debt or damages is actually payable. This, of course, need not necessarily be the money of account. </w:t>
      </w:r>
      <w:r>
        <w:rPr>
          <w:color w:val="005DA1"/>
          <w:u w:val="single" w:color="005DA1"/>
          <w:vertAlign w:val="superscript"/>
        </w:rPr>
        <w:t>1416</w:t>
      </w:r>
      <w:r>
        <w:rPr>
          <w:color w:val="005DA1"/>
          <w:vertAlign w:val="baseline"/>
        </w:rPr>
        <w:t> </w:t>
      </w:r>
      <w:r>
        <w:rPr>
          <w:vertAlign w:val="baseline"/>
        </w:rPr>
        <w:t>Where there is no contractual </w:t>
      </w:r>
      <w:bookmarkStart w:name="_bookmark2688" w:id="2690"/>
      <w:bookmarkEnd w:id="2690"/>
      <w:r>
        <w:rPr>
          <w:vertAlign w:val="baseline"/>
        </w:rPr>
        <w:t>stipulation</w:t>
      </w:r>
      <w:r>
        <w:rPr>
          <w:vertAlign w:val="baseline"/>
        </w:rPr>
        <w:t> as to the money of payment, it is, at common law, determined by the law of the country </w:t>
      </w:r>
      <w:r>
        <w:rPr>
          <w:vertAlign w:val="baseline"/>
        </w:rPr>
        <w:t>in which payment is made. </w:t>
      </w:r>
      <w:r>
        <w:rPr>
          <w:color w:val="005DA1"/>
          <w:u w:val="single" w:color="005DA1"/>
          <w:vertAlign w:val="superscript"/>
        </w:rPr>
        <w:t>1417</w:t>
      </w:r>
      <w:r>
        <w:rPr>
          <w:color w:val="005DA1"/>
          <w:vertAlign w:val="baseline"/>
        </w:rPr>
        <w:t> </w:t>
      </w:r>
      <w:r>
        <w:rPr>
          <w:vertAlign w:val="baseline"/>
        </w:rPr>
        <w:t>This is because the question of what money tokens the debtor must </w:t>
      </w:r>
      <w:bookmarkStart w:name="_bookmark2689" w:id="2691"/>
      <w:bookmarkEnd w:id="2691"/>
      <w:r>
        <w:rPr>
          <w:vertAlign w:val="baseline"/>
        </w:rPr>
        <w:t>tender</w:t>
      </w:r>
      <w:r>
        <w:rPr>
          <w:vertAlign w:val="baseline"/>
        </w:rPr>
        <w:t> to the creditor is one concerning the mode of performance which is, thus, referable to the law</w:t>
      </w:r>
      <w:r>
        <w:rPr>
          <w:spacing w:val="40"/>
          <w:vertAlign w:val="baseline"/>
        </w:rPr>
        <w:t> </w:t>
      </w:r>
      <w:r>
        <w:rPr>
          <w:vertAlign w:val="baseline"/>
        </w:rPr>
        <w:t>of the place of performance. </w:t>
      </w:r>
      <w:r>
        <w:rPr>
          <w:color w:val="005DA1"/>
          <w:u w:val="single" w:color="005DA1"/>
          <w:vertAlign w:val="superscript"/>
        </w:rPr>
        <w:t>1418</w:t>
      </w:r>
      <w:r>
        <w:rPr>
          <w:color w:val="005DA1"/>
          <w:vertAlign w:val="baseline"/>
        </w:rPr>
        <w:t> </w:t>
      </w:r>
      <w:r>
        <w:rPr>
          <w:vertAlign w:val="baseline"/>
        </w:rPr>
        <w:t>Whether this principle continues to apply in cases falling within the </w:t>
      </w:r>
      <w:bookmarkStart w:name="_bookmark2690" w:id="2692"/>
      <w:bookmarkEnd w:id="2692"/>
      <w:r>
        <w:rPr>
          <w:vertAlign w:val="baseline"/>
        </w:rPr>
        <w:t>Rome</w:t>
      </w:r>
      <w:r>
        <w:rPr>
          <w:vertAlign w:val="baseline"/>
        </w:rPr>
        <w:t> Convention or the Rome I Regulation depends upon the correct interpretation of art.10(2) of</w:t>
      </w:r>
      <w:r>
        <w:rPr>
          <w:spacing w:val="80"/>
          <w:vertAlign w:val="baseline"/>
        </w:rPr>
        <w:t> </w:t>
      </w:r>
      <w:r>
        <w:rPr>
          <w:vertAlign w:val="baseline"/>
        </w:rPr>
        <w:t>the Convention and art.12(2) of the Regulation. </w:t>
      </w:r>
      <w:r>
        <w:rPr>
          <w:color w:val="005DA1"/>
          <w:u w:val="single" w:color="005DA1"/>
          <w:vertAlign w:val="superscript"/>
        </w:rPr>
        <w:t>1419</w:t>
      </w:r>
      <w:r>
        <w:rPr>
          <w:color w:val="005DA1"/>
          <w:vertAlign w:val="baseline"/>
        </w:rPr>
        <w:t> </w:t>
      </w:r>
      <w:r>
        <w:rPr>
          <w:vertAlign w:val="baseline"/>
        </w:rPr>
        <w:t>Each provision states, so far as relevant, that in relation</w:t>
      </w:r>
      <w:r>
        <w:rPr>
          <w:spacing w:val="30"/>
          <w:vertAlign w:val="baseline"/>
        </w:rPr>
        <w:t> </w:t>
      </w:r>
      <w:r>
        <w:rPr>
          <w:vertAlign w:val="baseline"/>
        </w:rPr>
        <w:t>to</w:t>
      </w:r>
      <w:r>
        <w:rPr>
          <w:spacing w:val="30"/>
          <w:vertAlign w:val="baseline"/>
        </w:rPr>
        <w:t> </w:t>
      </w:r>
      <w:r>
        <w:rPr>
          <w:vertAlign w:val="baseline"/>
        </w:rPr>
        <w:t>the</w:t>
      </w:r>
      <w:r>
        <w:rPr>
          <w:spacing w:val="30"/>
          <w:vertAlign w:val="baseline"/>
        </w:rPr>
        <w:t> </w:t>
      </w:r>
      <w:r>
        <w:rPr>
          <w:vertAlign w:val="baseline"/>
        </w:rPr>
        <w:t>“manner</w:t>
      </w:r>
      <w:r>
        <w:rPr>
          <w:spacing w:val="30"/>
          <w:vertAlign w:val="baseline"/>
        </w:rPr>
        <w:t> </w:t>
      </w:r>
      <w:r>
        <w:rPr>
          <w:vertAlign w:val="baseline"/>
        </w:rPr>
        <w:t>of</w:t>
      </w:r>
      <w:r>
        <w:rPr>
          <w:spacing w:val="30"/>
          <w:vertAlign w:val="baseline"/>
        </w:rPr>
        <w:t> </w:t>
      </w:r>
      <w:r>
        <w:rPr>
          <w:vertAlign w:val="baseline"/>
        </w:rPr>
        <w:t>performance</w:t>
      </w:r>
      <w:r>
        <w:rPr>
          <w:spacing w:val="30"/>
          <w:vertAlign w:val="baseline"/>
        </w:rPr>
        <w:t> </w:t>
      </w:r>
      <w:r>
        <w:rPr>
          <w:vertAlign w:val="baseline"/>
        </w:rPr>
        <w:t>…</w:t>
      </w:r>
      <w:r>
        <w:rPr>
          <w:spacing w:val="30"/>
          <w:vertAlign w:val="baseline"/>
        </w:rPr>
        <w:t> </w:t>
      </w:r>
      <w:r>
        <w:rPr>
          <w:vertAlign w:val="baseline"/>
        </w:rPr>
        <w:t>regard</w:t>
      </w:r>
      <w:r>
        <w:rPr>
          <w:spacing w:val="30"/>
          <w:vertAlign w:val="baseline"/>
        </w:rPr>
        <w:t> </w:t>
      </w:r>
      <w:r>
        <w:rPr>
          <w:vertAlign w:val="baseline"/>
        </w:rPr>
        <w:t>shall</w:t>
      </w:r>
      <w:r>
        <w:rPr>
          <w:spacing w:val="30"/>
          <w:vertAlign w:val="baseline"/>
        </w:rPr>
        <w:t> </w:t>
      </w:r>
      <w:r>
        <w:rPr>
          <w:vertAlign w:val="baseline"/>
        </w:rPr>
        <w:t>be</w:t>
      </w:r>
      <w:r>
        <w:rPr>
          <w:spacing w:val="30"/>
          <w:vertAlign w:val="baseline"/>
        </w:rPr>
        <w:t> </w:t>
      </w:r>
      <w:r>
        <w:rPr>
          <w:vertAlign w:val="baseline"/>
        </w:rPr>
        <w:t>had”</w:t>
      </w:r>
      <w:r>
        <w:rPr>
          <w:spacing w:val="30"/>
          <w:vertAlign w:val="baseline"/>
        </w:rPr>
        <w:t> </w:t>
      </w:r>
      <w:r>
        <w:rPr>
          <w:vertAlign w:val="baseline"/>
        </w:rPr>
        <w:t>to</w:t>
      </w:r>
      <w:r>
        <w:rPr>
          <w:spacing w:val="30"/>
          <w:vertAlign w:val="baseline"/>
        </w:rPr>
        <w:t> </w:t>
      </w:r>
      <w:r>
        <w:rPr>
          <w:vertAlign w:val="baseline"/>
        </w:rPr>
        <w:t>the</w:t>
      </w:r>
      <w:r>
        <w:rPr>
          <w:spacing w:val="30"/>
          <w:vertAlign w:val="baseline"/>
        </w:rPr>
        <w:t> </w:t>
      </w:r>
      <w:r>
        <w:rPr>
          <w:vertAlign w:val="baseline"/>
        </w:rPr>
        <w:t>law</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country</w:t>
      </w:r>
      <w:r>
        <w:rPr>
          <w:spacing w:val="30"/>
          <w:vertAlign w:val="baseline"/>
        </w:rPr>
        <w:t> </w:t>
      </w:r>
      <w:r>
        <w:rPr>
          <w:vertAlign w:val="baseline"/>
        </w:rPr>
        <w:t>in</w:t>
      </w:r>
      <w:r>
        <w:rPr>
          <w:spacing w:val="30"/>
          <w:vertAlign w:val="baseline"/>
        </w:rPr>
        <w:t> </w:t>
      </w:r>
      <w:r>
        <w:rPr>
          <w:spacing w:val="-2"/>
          <w:vertAlign w:val="baseline"/>
        </w:rPr>
        <w:t>which</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performance takes place. One might reasonably surmise that “manner of performance” can be equated with “mode of performance” in the common law context and it would, on this </w:t>
      </w:r>
      <w:r>
        <w:rPr/>
        <w:t>assumption, appear that the common law rule survives, subject to the possibility that, because of the wording of </w:t>
      </w:r>
      <w:bookmarkStart w:name="_bookmark2691" w:id="2693"/>
      <w:bookmarkEnd w:id="2693"/>
      <w:r>
        <w:rPr/>
        <w:t>art.10(2)</w:t>
      </w:r>
      <w:r>
        <w:rPr/>
        <w:t> and art.12(2), the rule is of a discretionary character which did not seem to be the case at common law. </w:t>
      </w:r>
      <w:r>
        <w:rPr>
          <w:color w:val="005DA1"/>
          <w:u w:val="single" w:color="005DA1"/>
          <w:vertAlign w:val="superscript"/>
        </w:rPr>
        <w:t>1420</w:t>
      </w:r>
      <w:r>
        <w:rPr>
          <w:color w:val="005DA1"/>
          <w:vertAlign w:val="baseline"/>
        </w:rPr>
        <w:t> </w:t>
      </w:r>
      <w:r>
        <w:rPr>
          <w:vertAlign w:val="baseline"/>
        </w:rPr>
        <w:t>One cannot be certain of this conclusion, however, because the Giuliano-Lagarde Report does not include the money of payment among the examples of issues governed by art.10(2) </w:t>
      </w:r>
      <w:bookmarkStart w:name="_bookmark2692" w:id="2694"/>
      <w:bookmarkEnd w:id="2694"/>
      <w:r>
        <w:rPr>
          <w:vertAlign w:val="baseline"/>
        </w:rPr>
        <w:t>of</w:t>
      </w:r>
      <w:r>
        <w:rPr>
          <w:vertAlign w:val="baseline"/>
        </w:rPr>
        <w:t> the Convention. In contrast the Report suggests that “where performance consists of the payment </w:t>
      </w:r>
      <w:bookmarkStart w:name="_bookmark2693" w:id="2695"/>
      <w:bookmarkEnd w:id="2695"/>
      <w:r>
        <w:rPr>
          <w:vertAlign w:val="baseline"/>
        </w:rPr>
        <w:t>of</w:t>
      </w:r>
      <w:r>
        <w:rPr>
          <w:vertAlign w:val="baseline"/>
        </w:rPr>
        <w:t> a sum of money, the conditions relating to the discharge of the debtor who has made the payment” </w:t>
      </w:r>
      <w:r>
        <w:rPr>
          <w:color w:val="005DA1"/>
          <w:u w:val="single" w:color="005DA1"/>
          <w:vertAlign w:val="superscript"/>
        </w:rPr>
        <w:t>1421</w:t>
      </w:r>
      <w:r>
        <w:rPr>
          <w:color w:val="005DA1"/>
          <w:vertAlign w:val="baseline"/>
        </w:rPr>
        <w:t> </w:t>
      </w:r>
      <w:r>
        <w:rPr>
          <w:vertAlign w:val="baseline"/>
        </w:rPr>
        <w:t>are governed by art.10(1)(b) of the Convention. </w:t>
      </w:r>
      <w:r>
        <w:rPr>
          <w:color w:val="005DA1"/>
          <w:u w:val="single" w:color="005DA1"/>
          <w:vertAlign w:val="superscript"/>
        </w:rPr>
        <w:t>1422</w:t>
      </w:r>
      <w:r>
        <w:rPr>
          <w:color w:val="005DA1"/>
          <w:vertAlign w:val="baseline"/>
        </w:rPr>
        <w:t> </w:t>
      </w:r>
      <w:r>
        <w:rPr>
          <w:vertAlign w:val="baseline"/>
        </w:rPr>
        <w:t>It is likely, however, that this observation is intended only to refer to the money of account. Accordingly, the English courts should interpret art.10(2) to include this issue. It is also submitted that the same interpretation should be accorded to art.12(2) of the Rome I Regulation.</w:t>
      </w:r>
    </w:p>
    <w:p>
      <w:pPr>
        <w:pStyle w:val="BodyText"/>
        <w:spacing w:before="77"/>
      </w:pPr>
    </w:p>
    <w:p>
      <w:pPr>
        <w:pStyle w:val="Heading2"/>
      </w:pPr>
      <w:r>
        <w:rPr/>
        <w:t>30-</w:t>
      </w:r>
      <w:r>
        <w:rPr>
          <w:spacing w:val="-5"/>
        </w:rPr>
        <w:t>377</w:t>
      </w:r>
    </w:p>
    <w:p>
      <w:pPr>
        <w:pStyle w:val="BodyText"/>
        <w:spacing w:line="235" w:lineRule="auto" w:before="203"/>
        <w:ind w:left="164" w:right="167"/>
        <w:jc w:val="both"/>
      </w:pPr>
      <w:bookmarkStart w:name="_bookmark2694" w:id="2696"/>
      <w:bookmarkEnd w:id="2696"/>
      <w:r>
        <w:rPr/>
      </w:r>
      <w:r>
        <w:rPr/>
        <w:t>Where English law is the law of the country of payment, there is a presumption that the money of payment is the same as the money of account. </w:t>
      </w:r>
      <w:r>
        <w:rPr>
          <w:color w:val="005DA1"/>
          <w:u w:val="single" w:color="005DA1"/>
          <w:vertAlign w:val="superscript"/>
        </w:rPr>
        <w:t>1423</w:t>
      </w:r>
      <w:r>
        <w:rPr>
          <w:color w:val="005DA1"/>
          <w:vertAlign w:val="baseline"/>
        </w:rPr>
        <w:t> </w:t>
      </w:r>
      <w:r>
        <w:rPr>
          <w:vertAlign w:val="baseline"/>
        </w:rPr>
        <w:t>If the former currency differs from the latter, the exchange rate between them should, it is submitted be determined by the law applicable to </w:t>
      </w:r>
      <w:r>
        <w:rPr>
          <w:vertAlign w:val="baseline"/>
        </w:rPr>
        <w:t>the </w:t>
      </w:r>
      <w:bookmarkStart w:name="_bookmark2695" w:id="2697"/>
      <w:bookmarkEnd w:id="2697"/>
      <w:r>
        <w:rPr>
          <w:vertAlign w:val="baseline"/>
        </w:rPr>
        <w:t>contract</w:t>
      </w:r>
      <w:r>
        <w:rPr>
          <w:vertAlign w:val="baseline"/>
        </w:rPr>
        <w:t> since the relevant rate of exchange is an aspect of the quantum of money tokens to be </w:t>
      </w:r>
      <w:bookmarkStart w:name="_bookmark2696" w:id="2698"/>
      <w:bookmarkEnd w:id="2698"/>
      <w:r>
        <w:rPr>
          <w:vertAlign w:val="baseline"/>
        </w:rPr>
        <w:t>rendered.</w:t>
      </w:r>
      <w:r>
        <w:rPr>
          <w:vertAlign w:val="baseline"/>
        </w:rPr>
        <w:t> </w:t>
      </w:r>
      <w:r>
        <w:rPr>
          <w:color w:val="005DA1"/>
          <w:u w:val="single" w:color="005DA1"/>
          <w:vertAlign w:val="superscript"/>
        </w:rPr>
        <w:t>1424</w:t>
      </w:r>
      <w:r>
        <w:rPr>
          <w:color w:val="005DA1"/>
          <w:vertAlign w:val="baseline"/>
        </w:rPr>
        <w:t> </w:t>
      </w:r>
      <w:r>
        <w:rPr>
          <w:vertAlign w:val="baseline"/>
        </w:rPr>
        <w:t>A sum payable in England under a contract governed by English law may be paid in units of the money of account or in sterling</w:t>
      </w:r>
      <w:r>
        <w:rPr>
          <w:spacing w:val="-1"/>
          <w:vertAlign w:val="baseline"/>
        </w:rPr>
        <w:t> </w:t>
      </w:r>
      <w:r>
        <w:rPr>
          <w:color w:val="005DA1"/>
          <w:u w:val="single" w:color="005DA1"/>
          <w:vertAlign w:val="superscript"/>
        </w:rPr>
        <w:t>1425</w:t>
      </w:r>
      <w:r>
        <w:rPr>
          <w:vertAlign w:val="baseline"/>
        </w:rPr>
        <w:t>: if payment is tendered in sterling the rate of exchange is the rate at which, on the date when payment is due, units of the money of account can be </w:t>
      </w:r>
      <w:bookmarkStart w:name="_bookmark2697" w:id="2699"/>
      <w:bookmarkEnd w:id="2699"/>
      <w:r>
        <w:rPr>
          <w:vertAlign w:val="baseline"/>
        </w:rPr>
        <w:t>purchased</w:t>
      </w:r>
      <w:r>
        <w:rPr>
          <w:vertAlign w:val="baseline"/>
        </w:rPr>
        <w:t> in London at a recognised and accessible market, irrespective of the official rate of exchange. </w:t>
      </w:r>
      <w:r>
        <w:rPr>
          <w:color w:val="005DA1"/>
          <w:u w:val="single" w:color="005DA1"/>
          <w:vertAlign w:val="superscript"/>
        </w:rPr>
        <w:t>1426</w:t>
      </w:r>
    </w:p>
    <w:p>
      <w:pPr>
        <w:pStyle w:val="BodyText"/>
      </w:pPr>
    </w:p>
    <w:p>
      <w:pPr>
        <w:pStyle w:val="BodyText"/>
        <w:spacing w:before="35"/>
      </w:pPr>
    </w:p>
    <w:p>
      <w:pPr>
        <w:spacing w:before="0"/>
        <w:ind w:left="165" w:right="0" w:firstLine="0"/>
        <w:jc w:val="left"/>
        <w:rPr>
          <w:rFonts w:ascii="Arial"/>
          <w:b/>
          <w:sz w:val="18"/>
        </w:rPr>
      </w:pPr>
      <w:r>
        <w:rPr>
          <w:rFonts w:ascii="Arial"/>
          <w:b/>
          <w:sz w:val="18"/>
        </w:rPr>
        <w:t>Judgments in foreign </w:t>
      </w:r>
      <w:r>
        <w:rPr>
          <w:rFonts w:ascii="Arial"/>
          <w:b/>
          <w:spacing w:val="-2"/>
          <w:sz w:val="18"/>
        </w:rPr>
        <w:t>currency</w:t>
      </w:r>
    </w:p>
    <w:p>
      <w:pPr>
        <w:pStyle w:val="BodyText"/>
        <w:spacing w:before="41"/>
        <w:rPr>
          <w:rFonts w:ascii="Arial"/>
          <w:b/>
          <w:sz w:val="18"/>
        </w:rPr>
      </w:pPr>
    </w:p>
    <w:p>
      <w:pPr>
        <w:pStyle w:val="Heading2"/>
      </w:pPr>
      <w:r>
        <w:rPr/>
        <w:t>30-</w:t>
      </w:r>
      <w:r>
        <w:rPr>
          <w:spacing w:val="-5"/>
        </w:rPr>
        <w:t>378</w:t>
      </w:r>
    </w:p>
    <w:p>
      <w:pPr>
        <w:pStyle w:val="BodyText"/>
        <w:spacing w:line="235" w:lineRule="auto" w:before="203"/>
        <w:ind w:left="164" w:right="167"/>
        <w:jc w:val="both"/>
      </w:pPr>
      <w:r>
        <w:rPr/>
        <w:t>Until 1975 it had long been accepted that an English court could only order the payment of debts </w:t>
      </w:r>
      <w:r>
        <w:rPr/>
        <w:t>or </w:t>
      </w:r>
      <w:bookmarkStart w:name="_bookmark2698" w:id="2700"/>
      <w:bookmarkEnd w:id="2700"/>
      <w:r>
        <w:rPr/>
        <w:t>damages</w:t>
      </w:r>
      <w:r>
        <w:rPr/>
        <w:t> in English currency; this was so whether the judgment stemmed from a breach of a contract whose applicable law was English or foreign. </w:t>
      </w:r>
      <w:r>
        <w:rPr>
          <w:color w:val="005DA1"/>
          <w:u w:val="single" w:color="005DA1"/>
          <w:vertAlign w:val="superscript"/>
        </w:rPr>
        <w:t>1427</w:t>
      </w:r>
      <w:r>
        <w:rPr>
          <w:color w:val="005DA1"/>
          <w:vertAlign w:val="baseline"/>
        </w:rPr>
        <w:t> </w:t>
      </w:r>
      <w:r>
        <w:rPr>
          <w:vertAlign w:val="baseline"/>
        </w:rPr>
        <w:t>The amount due to the judgment creditor in foreign </w:t>
      </w:r>
      <w:bookmarkStart w:name="_bookmark2699" w:id="2701"/>
      <w:bookmarkEnd w:id="2701"/>
      <w:r>
        <w:rPr>
          <w:vertAlign w:val="baseline"/>
        </w:rPr>
        <w:t>currency</w:t>
      </w:r>
      <w:r>
        <w:rPr>
          <w:vertAlign w:val="baseline"/>
        </w:rPr>
        <w:t> had to be converted into sterling at the appropriate exchange rate when the cause of action </w:t>
      </w:r>
      <w:bookmarkStart w:name="_bookmark2700" w:id="2702"/>
      <w:bookmarkEnd w:id="2702"/>
      <w:r>
        <w:rPr>
          <w:vertAlign w:val="baseline"/>
        </w:rPr>
        <w:t>arose,</w:t>
      </w:r>
      <w:r>
        <w:rPr>
          <w:vertAlign w:val="baseline"/>
        </w:rPr>
        <w:t> for example the date of the breach of contract. </w:t>
      </w:r>
      <w:r>
        <w:rPr>
          <w:color w:val="005DA1"/>
          <w:u w:val="single" w:color="005DA1"/>
          <w:vertAlign w:val="superscript"/>
        </w:rPr>
        <w:t>1428</w:t>
      </w:r>
      <w:r>
        <w:rPr>
          <w:color w:val="005DA1"/>
          <w:vertAlign w:val="baseline"/>
        </w:rPr>
        <w:t> </w:t>
      </w:r>
      <w:r>
        <w:rPr>
          <w:vertAlign w:val="baseline"/>
        </w:rPr>
        <w:t>This much-criticised </w:t>
      </w:r>
      <w:r>
        <w:rPr>
          <w:color w:val="005DA1"/>
          <w:u w:val="single" w:color="005DA1"/>
          <w:vertAlign w:val="superscript"/>
        </w:rPr>
        <w:t>1429</w:t>
      </w:r>
      <w:r>
        <w:rPr>
          <w:color w:val="005DA1"/>
          <w:vertAlign w:val="baseline"/>
        </w:rPr>
        <w:t> </w:t>
      </w:r>
      <w:r>
        <w:rPr>
          <w:vertAlign w:val="baseline"/>
        </w:rPr>
        <w:t>rule was abandoned by the House of Lords in </w:t>
      </w:r>
      <w:r>
        <w:rPr>
          <w:rFonts w:ascii="Arial"/>
          <w:i/>
          <w:vertAlign w:val="baseline"/>
        </w:rPr>
        <w:t>Miliangos v George Frank (Textiles) Ltd </w:t>
      </w:r>
      <w:r>
        <w:rPr>
          <w:color w:val="005DA1"/>
          <w:u w:val="single" w:color="005DA1"/>
          <w:vertAlign w:val="superscript"/>
        </w:rPr>
        <w:t>1430</w:t>
      </w:r>
      <w:r>
        <w:rPr>
          <w:color w:val="005DA1"/>
          <w:vertAlign w:val="baseline"/>
        </w:rPr>
        <w:t> </w:t>
      </w:r>
      <w:r>
        <w:rPr>
          <w:vertAlign w:val="baseline"/>
        </w:rPr>
        <w:t>where the court</w:t>
      </w:r>
      <w:r>
        <w:rPr>
          <w:spacing w:val="40"/>
          <w:vertAlign w:val="baseline"/>
        </w:rPr>
        <w:t> </w:t>
      </w:r>
      <w:r>
        <w:rPr>
          <w:vertAlign w:val="baseline"/>
        </w:rPr>
        <w:t>gave judgment expressed in Swiss francs for the payment of a debt due in that currency. The</w:t>
      </w:r>
      <w:r>
        <w:rPr>
          <w:spacing w:val="40"/>
          <w:vertAlign w:val="baseline"/>
        </w:rPr>
        <w:t> </w:t>
      </w:r>
      <w:r>
        <w:rPr>
          <w:vertAlign w:val="baseline"/>
        </w:rPr>
        <w:t>principle underlying the decision was expressed thus by Lord Wilberforce:</w:t>
      </w:r>
    </w:p>
    <w:p>
      <w:pPr>
        <w:pStyle w:val="BodyText"/>
      </w:pPr>
    </w:p>
    <w:p>
      <w:pPr>
        <w:pStyle w:val="BodyText"/>
        <w:spacing w:before="123"/>
      </w:pPr>
    </w:p>
    <w:p>
      <w:pPr>
        <w:pStyle w:val="BodyText"/>
        <w:spacing w:line="235" w:lineRule="auto" w:before="1"/>
        <w:ind w:left="1245"/>
      </w:pPr>
      <w:bookmarkStart w:name="_bookmark2701" w:id="2703"/>
      <w:bookmarkEnd w:id="2703"/>
      <w:r>
        <w:rPr/>
      </w:r>
      <w:r>
        <w:rPr/>
        <w:t>“… the creditor has no concern with pounds sterling: for him what matters is that a Swiss franc for good or ill should remain a Swiss franc.” </w:t>
      </w:r>
      <w:r>
        <w:rPr>
          <w:color w:val="005DA1"/>
          <w:u w:val="single" w:color="005DA1"/>
          <w:vertAlign w:val="superscript"/>
        </w:rPr>
        <w:t>1431</w:t>
      </w:r>
    </w:p>
    <w:p>
      <w:pPr>
        <w:pStyle w:val="BodyText"/>
        <w:spacing w:before="115"/>
      </w:pPr>
    </w:p>
    <w:p>
      <w:pPr>
        <w:pStyle w:val="BodyText"/>
        <w:spacing w:line="235" w:lineRule="auto" w:before="1"/>
        <w:ind w:left="164" w:right="167"/>
        <w:jc w:val="both"/>
      </w:pPr>
      <w:bookmarkStart w:name="_bookmark2702" w:id="2704"/>
      <w:bookmarkEnd w:id="2704"/>
      <w:r>
        <w:rPr/>
      </w:r>
      <w:r>
        <w:rPr/>
        <w:t>As a result of the judicial developments which followed that landmark decision, it is now possible </w:t>
      </w:r>
      <w:r>
        <w:rPr/>
        <w:t>to state the law as to judgments in foreign currency with some degree of completeness. </w:t>
      </w:r>
      <w:r>
        <w:rPr>
          <w:color w:val="005DA1"/>
          <w:u w:val="single" w:color="005DA1"/>
          <w:vertAlign w:val="superscript"/>
        </w:rPr>
        <w:t>1432</w:t>
      </w:r>
      <w:r>
        <w:rPr>
          <w:color w:val="005DA1"/>
          <w:vertAlign w:val="baseline"/>
        </w:rPr>
        <w:t> </w:t>
      </w:r>
      <w:r>
        <w:rPr>
          <w:vertAlign w:val="baseline"/>
        </w:rPr>
        <w:t>The court </w:t>
      </w:r>
      <w:bookmarkStart w:name="_bookmark2703" w:id="2705"/>
      <w:bookmarkEnd w:id="2705"/>
      <w:r>
        <w:rPr>
          <w:vertAlign w:val="baseline"/>
        </w:rPr>
        <w:t>may</w:t>
      </w:r>
      <w:r>
        <w:rPr>
          <w:vertAlign w:val="baseline"/>
        </w:rPr>
        <w:t> give judgment for an amount expressed in foreign currency or its sterling equivalent at the date when the court authorises enforcement of the judgment </w:t>
      </w:r>
      <w:r>
        <w:rPr>
          <w:color w:val="005DA1"/>
          <w:u w:val="single" w:color="005DA1"/>
          <w:vertAlign w:val="superscript"/>
        </w:rPr>
        <w:t>1433</w:t>
      </w:r>
      <w:r>
        <w:rPr>
          <w:vertAlign w:val="baseline"/>
        </w:rPr>
        <w:t>—this latter being the closest practicable </w:t>
      </w:r>
      <w:bookmarkStart w:name="_bookmark2704" w:id="2706"/>
      <w:bookmarkEnd w:id="2706"/>
      <w:r>
        <w:rPr>
          <w:vertAlign w:val="baseline"/>
        </w:rPr>
        <w:t>date</w:t>
      </w:r>
      <w:r>
        <w:rPr>
          <w:vertAlign w:val="baseline"/>
        </w:rPr>
        <w:t> to the date of actual payment, the ideal date for conversion. This rule applies to contractual </w:t>
      </w:r>
      <w:bookmarkStart w:name="_bookmark2705" w:id="2707"/>
      <w:bookmarkEnd w:id="2707"/>
      <w:r>
        <w:rPr>
          <w:vertAlign w:val="baseline"/>
        </w:rPr>
        <w:t>actions</w:t>
      </w:r>
      <w:r>
        <w:rPr>
          <w:spacing w:val="-3"/>
          <w:vertAlign w:val="baseline"/>
        </w:rPr>
        <w:t> </w:t>
      </w:r>
      <w:r>
        <w:rPr>
          <w:vertAlign w:val="baseline"/>
        </w:rPr>
        <w:t>whether</w:t>
      </w:r>
      <w:r>
        <w:rPr>
          <w:spacing w:val="-3"/>
          <w:vertAlign w:val="baseline"/>
        </w:rPr>
        <w:t> </w:t>
      </w:r>
      <w:r>
        <w:rPr>
          <w:vertAlign w:val="baseline"/>
        </w:rPr>
        <w:t>the</w:t>
      </w:r>
      <w:r>
        <w:rPr>
          <w:spacing w:val="-3"/>
          <w:vertAlign w:val="baseline"/>
        </w:rPr>
        <w:t> </w:t>
      </w:r>
      <w:r>
        <w:rPr>
          <w:vertAlign w:val="baseline"/>
        </w:rPr>
        <w:t>applicable</w:t>
      </w:r>
      <w:r>
        <w:rPr>
          <w:spacing w:val="-3"/>
          <w:vertAlign w:val="baseline"/>
        </w:rPr>
        <w:t> </w:t>
      </w:r>
      <w:r>
        <w:rPr>
          <w:vertAlign w:val="baseline"/>
        </w:rPr>
        <w:t>law</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is</w:t>
      </w:r>
      <w:r>
        <w:rPr>
          <w:spacing w:val="-3"/>
          <w:vertAlign w:val="baseline"/>
        </w:rPr>
        <w:t> </w:t>
      </w:r>
      <w:r>
        <w:rPr>
          <w:vertAlign w:val="baseline"/>
        </w:rPr>
        <w:t>foreign</w:t>
      </w:r>
      <w:r>
        <w:rPr>
          <w:spacing w:val="-3"/>
          <w:vertAlign w:val="baseline"/>
        </w:rPr>
        <w:t> </w:t>
      </w:r>
      <w:r>
        <w:rPr>
          <w:vertAlign w:val="baseline"/>
        </w:rPr>
        <w:t>law</w:t>
      </w:r>
      <w:r>
        <w:rPr>
          <w:spacing w:val="-4"/>
          <w:vertAlign w:val="baseline"/>
        </w:rPr>
        <w:t> </w:t>
      </w:r>
      <w:r>
        <w:rPr>
          <w:color w:val="005DA1"/>
          <w:u w:val="single" w:color="005DA1"/>
          <w:vertAlign w:val="superscript"/>
        </w:rPr>
        <w:t>1434</w:t>
      </w:r>
      <w:r>
        <w:rPr>
          <w:color w:val="005DA1"/>
          <w:spacing w:val="-3"/>
          <w:vertAlign w:val="baseline"/>
        </w:rPr>
        <w:t> </w:t>
      </w:r>
      <w:r>
        <w:rPr>
          <w:vertAlign w:val="baseline"/>
        </w:rPr>
        <w:t>or</w:t>
      </w:r>
      <w:r>
        <w:rPr>
          <w:spacing w:val="-3"/>
          <w:vertAlign w:val="baseline"/>
        </w:rPr>
        <w:t> </w:t>
      </w:r>
      <w:r>
        <w:rPr>
          <w:vertAlign w:val="baseline"/>
        </w:rPr>
        <w:t>English</w:t>
      </w:r>
      <w:r>
        <w:rPr>
          <w:spacing w:val="-3"/>
          <w:vertAlign w:val="baseline"/>
        </w:rPr>
        <w:t> </w:t>
      </w:r>
      <w:r>
        <w:rPr>
          <w:vertAlign w:val="baseline"/>
        </w:rPr>
        <w:t>law.</w:t>
      </w:r>
      <w:r>
        <w:rPr>
          <w:spacing w:val="-4"/>
          <w:vertAlign w:val="baseline"/>
        </w:rPr>
        <w:t> </w:t>
      </w:r>
      <w:r>
        <w:rPr>
          <w:color w:val="005DA1"/>
          <w:u w:val="single" w:color="005DA1"/>
          <w:vertAlign w:val="superscript"/>
        </w:rPr>
        <w:t>1435</w:t>
      </w:r>
      <w:r>
        <w:rPr>
          <w:color w:val="005DA1"/>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clear</w:t>
      </w:r>
      <w:r>
        <w:rPr>
          <w:spacing w:val="-3"/>
          <w:vertAlign w:val="baseline"/>
        </w:rPr>
        <w:t> </w:t>
      </w:r>
      <w:r>
        <w:rPr>
          <w:vertAlign w:val="baseline"/>
        </w:rPr>
        <w:t>that</w:t>
      </w:r>
      <w:r>
        <w:rPr>
          <w:spacing w:val="-3"/>
          <w:vertAlign w:val="baseline"/>
        </w:rPr>
        <w:t> </w:t>
      </w:r>
      <w:r>
        <w:rPr>
          <w:vertAlign w:val="baseline"/>
        </w:rPr>
        <w:t>it </w:t>
      </w:r>
      <w:bookmarkStart w:name="_bookmark2706" w:id="2708"/>
      <w:bookmarkEnd w:id="2708"/>
      <w:r>
        <w:rPr>
          <w:vertAlign w:val="baseline"/>
        </w:rPr>
        <w:t>is</w:t>
      </w:r>
      <w:r>
        <w:rPr>
          <w:vertAlign w:val="baseline"/>
        </w:rPr>
        <w:t> not restricted to claims for payment of debts </w:t>
      </w:r>
      <w:r>
        <w:rPr>
          <w:color w:val="005DA1"/>
          <w:u w:val="single" w:color="005DA1"/>
          <w:vertAlign w:val="superscript"/>
        </w:rPr>
        <w:t>1436</w:t>
      </w:r>
      <w:r>
        <w:rPr>
          <w:color w:val="005DA1"/>
          <w:vertAlign w:val="baseline"/>
        </w:rPr>
        <w:t> </w:t>
      </w:r>
      <w:r>
        <w:rPr>
          <w:vertAlign w:val="baseline"/>
        </w:rPr>
        <w:t>but extends to claims for damages for breach of </w:t>
      </w:r>
      <w:bookmarkStart w:name="_bookmark2707" w:id="2709"/>
      <w:bookmarkEnd w:id="2709"/>
      <w:r>
        <w:rPr>
          <w:vertAlign w:val="baseline"/>
        </w:rPr>
        <w:t>contract,</w:t>
      </w:r>
      <w:r>
        <w:rPr>
          <w:spacing w:val="-5"/>
          <w:vertAlign w:val="baseline"/>
        </w:rPr>
        <w:t> </w:t>
      </w:r>
      <w:r>
        <w:rPr>
          <w:color w:val="005DA1"/>
          <w:u w:val="single" w:color="005DA1"/>
          <w:vertAlign w:val="superscript"/>
        </w:rPr>
        <w:t>1437</w:t>
      </w:r>
      <w:r>
        <w:rPr>
          <w:color w:val="005DA1"/>
          <w:spacing w:val="-5"/>
          <w:vertAlign w:val="baseline"/>
        </w:rPr>
        <w:t> </w:t>
      </w:r>
      <w:r>
        <w:rPr>
          <w:vertAlign w:val="baseline"/>
        </w:rPr>
        <w:t>whether</w:t>
      </w:r>
      <w:r>
        <w:rPr>
          <w:spacing w:val="-5"/>
          <w:vertAlign w:val="baseline"/>
        </w:rPr>
        <w:t> </w:t>
      </w:r>
      <w:r>
        <w:rPr>
          <w:vertAlign w:val="baseline"/>
        </w:rPr>
        <w:t>the</w:t>
      </w:r>
      <w:r>
        <w:rPr>
          <w:spacing w:val="-5"/>
          <w:vertAlign w:val="baseline"/>
        </w:rPr>
        <w:t> </w:t>
      </w:r>
      <w:r>
        <w:rPr>
          <w:vertAlign w:val="baseline"/>
        </w:rPr>
        <w:t>claim</w:t>
      </w:r>
      <w:r>
        <w:rPr>
          <w:spacing w:val="-5"/>
          <w:vertAlign w:val="baseline"/>
        </w:rPr>
        <w:t> </w:t>
      </w:r>
      <w:r>
        <w:rPr>
          <w:vertAlign w:val="baseline"/>
        </w:rPr>
        <w:t>be</w:t>
      </w:r>
      <w:r>
        <w:rPr>
          <w:spacing w:val="-5"/>
          <w:vertAlign w:val="baseline"/>
        </w:rPr>
        <w:t> </w:t>
      </w:r>
      <w:r>
        <w:rPr>
          <w:vertAlign w:val="baseline"/>
        </w:rPr>
        <w:t>for</w:t>
      </w:r>
      <w:r>
        <w:rPr>
          <w:spacing w:val="-5"/>
          <w:vertAlign w:val="baseline"/>
        </w:rPr>
        <w:t> </w:t>
      </w:r>
      <w:r>
        <w:rPr>
          <w:vertAlign w:val="baseline"/>
        </w:rPr>
        <w:t>liquidated</w:t>
      </w:r>
      <w:r>
        <w:rPr>
          <w:spacing w:val="-6"/>
          <w:vertAlign w:val="baseline"/>
        </w:rPr>
        <w:t> </w:t>
      </w:r>
      <w:r>
        <w:rPr>
          <w:color w:val="005DA1"/>
          <w:u w:val="single" w:color="005DA1"/>
          <w:vertAlign w:val="superscript"/>
        </w:rPr>
        <w:t>1438</w:t>
      </w:r>
      <w:r>
        <w:rPr>
          <w:color w:val="005DA1"/>
          <w:spacing w:val="-5"/>
          <w:vertAlign w:val="baseline"/>
        </w:rPr>
        <w:t> </w:t>
      </w:r>
      <w:r>
        <w:rPr>
          <w:vertAlign w:val="baseline"/>
        </w:rPr>
        <w:t>or</w:t>
      </w:r>
      <w:r>
        <w:rPr>
          <w:spacing w:val="-5"/>
          <w:vertAlign w:val="baseline"/>
        </w:rPr>
        <w:t> </w:t>
      </w:r>
      <w:r>
        <w:rPr>
          <w:vertAlign w:val="baseline"/>
        </w:rPr>
        <w:t>unliquidated</w:t>
      </w:r>
      <w:r>
        <w:rPr>
          <w:spacing w:val="-5"/>
          <w:vertAlign w:val="baseline"/>
        </w:rPr>
        <w:t> </w:t>
      </w:r>
      <w:r>
        <w:rPr>
          <w:vertAlign w:val="baseline"/>
        </w:rPr>
        <w:t>damages.</w:t>
      </w:r>
      <w:r>
        <w:rPr>
          <w:spacing w:val="-6"/>
          <w:vertAlign w:val="baseline"/>
        </w:rPr>
        <w:t> </w:t>
      </w:r>
      <w:r>
        <w:rPr>
          <w:color w:val="005DA1"/>
          <w:u w:val="single" w:color="005DA1"/>
          <w:vertAlign w:val="superscript"/>
        </w:rPr>
        <w:t>1439</w:t>
      </w:r>
      <w:r>
        <w:rPr>
          <w:color w:val="005DA1"/>
          <w:spacing w:val="-5"/>
          <w:vertAlign w:val="baseline"/>
        </w:rPr>
        <w:t> </w:t>
      </w:r>
      <w:r>
        <w:rPr>
          <w:vertAlign w:val="baseline"/>
        </w:rPr>
        <w:t>The</w:t>
      </w:r>
      <w:r>
        <w:rPr>
          <w:spacing w:val="-5"/>
          <w:vertAlign w:val="baseline"/>
        </w:rPr>
        <w:t> </w:t>
      </w:r>
      <w:r>
        <w:rPr>
          <w:vertAlign w:val="baseline"/>
        </w:rPr>
        <w:t>rules</w:t>
      </w:r>
      <w:r>
        <w:rPr>
          <w:spacing w:val="-5"/>
          <w:vertAlign w:val="baseline"/>
        </w:rPr>
        <w:t> </w:t>
      </w:r>
      <w:r>
        <w:rPr>
          <w:vertAlign w:val="baseline"/>
        </w:rPr>
        <w:t>applicable </w:t>
      </w:r>
      <w:bookmarkStart w:name="_bookmark2708" w:id="2710"/>
      <w:bookmarkEnd w:id="2710"/>
      <w:r>
        <w:rPr>
          <w:vertAlign w:val="baseline"/>
        </w:rPr>
        <w:t>to</w:t>
      </w:r>
      <w:r>
        <w:rPr>
          <w:vertAlign w:val="baseline"/>
        </w:rPr>
        <w:t> judgments have been held to be applicable to arbitration awards, </w:t>
      </w:r>
      <w:r>
        <w:rPr>
          <w:color w:val="005DA1"/>
          <w:u w:val="single" w:color="005DA1"/>
          <w:vertAlign w:val="superscript"/>
        </w:rPr>
        <w:t>1440</w:t>
      </w:r>
      <w:r>
        <w:rPr>
          <w:color w:val="005DA1"/>
          <w:vertAlign w:val="baseline"/>
        </w:rPr>
        <w:t> </w:t>
      </w:r>
      <w:r>
        <w:rPr>
          <w:vertAlign w:val="baseline"/>
        </w:rPr>
        <w:t>though it may be that conversion is to be effected as at the date of the award, </w:t>
      </w:r>
      <w:r>
        <w:rPr>
          <w:color w:val="005DA1"/>
          <w:u w:val="single" w:color="005DA1"/>
          <w:vertAlign w:val="superscript"/>
        </w:rPr>
        <w:t>1441</w:t>
      </w:r>
      <w:r>
        <w:rPr>
          <w:color w:val="005DA1"/>
          <w:vertAlign w:val="baseline"/>
        </w:rPr>
        <w:t> </w:t>
      </w:r>
      <w:r>
        <w:rPr>
          <w:vertAlign w:val="baseline"/>
        </w:rPr>
        <w:t>rather than at some date closer to that of </w:t>
      </w:r>
      <w:bookmarkStart w:name="_bookmark2709" w:id="2711"/>
      <w:bookmarkEnd w:id="2711"/>
      <w:r>
        <w:rPr>
          <w:vertAlign w:val="baseline"/>
        </w:rPr>
        <w:t>payment.</w:t>
      </w:r>
      <w:r>
        <w:rPr>
          <w:vertAlign w:val="baseline"/>
        </w:rPr>
        <w:t> But the applicability of the rules to arbitral awards must now be read in the light of the </w:t>
      </w:r>
      <w:bookmarkStart w:name="_bookmark2710" w:id="2712"/>
      <w:bookmarkEnd w:id="2712"/>
      <w:r>
        <w:rPr>
          <w:vertAlign w:val="baseline"/>
        </w:rPr>
        <w:t>decision</w:t>
      </w:r>
      <w:r>
        <w:rPr>
          <w:vertAlign w:val="baseline"/>
        </w:rPr>
        <w:t> of the House of Lords in </w:t>
      </w:r>
      <w:r>
        <w:rPr>
          <w:rFonts w:ascii="Arial" w:hAnsi="Arial"/>
          <w:i/>
          <w:vertAlign w:val="baseline"/>
        </w:rPr>
        <w:t>Lesotho Highlands Development Authority v Impregilo SpA</w:t>
      </w:r>
      <w:r>
        <w:rPr>
          <w:vertAlign w:val="baseline"/>
        </w:rPr>
        <w:t>, </w:t>
      </w:r>
      <w:r>
        <w:rPr>
          <w:color w:val="005DA1"/>
          <w:u w:val="single" w:color="005DA1"/>
          <w:vertAlign w:val="superscript"/>
        </w:rPr>
        <w:t>1442</w:t>
      </w:r>
      <w:r>
        <w:rPr>
          <w:color w:val="005DA1"/>
          <w:vertAlign w:val="baseline"/>
        </w:rPr>
        <w:t> </w:t>
      </w:r>
      <w:r>
        <w:rPr>
          <w:vertAlign w:val="baseline"/>
        </w:rPr>
        <w:t>discussed below. </w:t>
      </w:r>
      <w:r>
        <w:rPr>
          <w:color w:val="005DA1"/>
          <w:u w:val="single" w:color="005DA1"/>
          <w:vertAlign w:val="superscript"/>
        </w:rPr>
        <w:t>1443</w:t>
      </w:r>
    </w:p>
    <w:p>
      <w:pPr>
        <w:pStyle w:val="BodyText"/>
        <w:spacing w:before="76"/>
      </w:pPr>
    </w:p>
    <w:p>
      <w:pPr>
        <w:pStyle w:val="Heading2"/>
        <w:ind w:left="164"/>
      </w:pPr>
      <w:r>
        <w:rPr/>
        <w:t>30-</w:t>
      </w:r>
      <w:r>
        <w:rPr>
          <w:spacing w:val="-5"/>
        </w:rPr>
        <w:t>379</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bookmarkStart w:name="_bookmark2711" w:id="2713"/>
      <w:bookmarkEnd w:id="2713"/>
      <w:r>
        <w:rPr/>
      </w:r>
      <w:r>
        <w:rPr/>
        <w:t>The rule laid down in </w:t>
      </w:r>
      <w:r>
        <w:rPr>
          <w:rFonts w:ascii="Arial" w:hAnsi="Arial"/>
          <w:i/>
        </w:rPr>
        <w:t>Miliangos </w:t>
      </w:r>
      <w:r>
        <w:rPr/>
        <w:t>is a rule of procedure, to be applied by English courts whatever </w:t>
      </w:r>
      <w:r>
        <w:rPr/>
        <w:t>may </w:t>
      </w:r>
      <w:bookmarkStart w:name="_bookmark2712" w:id="2714"/>
      <w:bookmarkEnd w:id="2714"/>
      <w:r>
        <w:rPr/>
        <w:t>be</w:t>
      </w:r>
      <w:r>
        <w:rPr/>
        <w:t> the law applicable to the contract in issue. </w:t>
      </w:r>
      <w:r>
        <w:rPr>
          <w:color w:val="005DA1"/>
          <w:u w:val="single" w:color="005DA1"/>
          <w:vertAlign w:val="superscript"/>
        </w:rPr>
        <w:t>1444</w:t>
      </w:r>
      <w:r>
        <w:rPr>
          <w:color w:val="005DA1"/>
          <w:vertAlign w:val="baseline"/>
        </w:rPr>
        <w:t> </w:t>
      </w:r>
      <w:r>
        <w:rPr>
          <w:vertAlign w:val="baseline"/>
        </w:rPr>
        <w:t>A judgment in foreign currency may be satisfied by </w:t>
      </w:r>
      <w:bookmarkStart w:name="_bookmark2713" w:id="2715"/>
      <w:bookmarkEnd w:id="2715"/>
      <w:r>
        <w:rPr>
          <w:vertAlign w:val="baseline"/>
        </w:rPr>
        <w:t>payment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sum</w:t>
      </w:r>
      <w:r>
        <w:rPr>
          <w:spacing w:val="-1"/>
          <w:vertAlign w:val="baseline"/>
        </w:rPr>
        <w:t> </w:t>
      </w:r>
      <w:r>
        <w:rPr>
          <w:vertAlign w:val="baseline"/>
        </w:rPr>
        <w:t>due</w:t>
      </w:r>
      <w:r>
        <w:rPr>
          <w:spacing w:val="-1"/>
          <w:vertAlign w:val="baseline"/>
        </w:rPr>
        <w:t> </w:t>
      </w:r>
      <w:r>
        <w:rPr>
          <w:vertAlign w:val="baseline"/>
        </w:rPr>
        <w:t>in</w:t>
      </w:r>
      <w:r>
        <w:rPr>
          <w:spacing w:val="-1"/>
          <w:vertAlign w:val="baseline"/>
        </w:rPr>
        <w:t> </w:t>
      </w:r>
      <w:r>
        <w:rPr>
          <w:vertAlign w:val="baseline"/>
        </w:rPr>
        <w:t>that</w:t>
      </w:r>
      <w:r>
        <w:rPr>
          <w:spacing w:val="-1"/>
          <w:vertAlign w:val="baseline"/>
        </w:rPr>
        <w:t> </w:t>
      </w:r>
      <w:r>
        <w:rPr>
          <w:vertAlign w:val="baseline"/>
        </w:rPr>
        <w:t>currency</w:t>
      </w:r>
      <w:r>
        <w:rPr>
          <w:spacing w:val="-1"/>
          <w:vertAlign w:val="baseline"/>
        </w:rPr>
        <w:t> </w:t>
      </w:r>
      <w:r>
        <w:rPr>
          <w:color w:val="005DA1"/>
          <w:u w:val="single" w:color="005DA1"/>
          <w:vertAlign w:val="superscript"/>
        </w:rPr>
        <w:t>1445</w:t>
      </w:r>
      <w:r>
        <w:rPr>
          <w:color w:val="005DA1"/>
          <w:spacing w:val="-1"/>
          <w:vertAlign w:val="baseline"/>
        </w:rPr>
        <w:t> </w:t>
      </w:r>
      <w:r>
        <w:rPr>
          <w:vertAlign w:val="baseline"/>
        </w:rPr>
        <w:t>or</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appropriate</w:t>
      </w:r>
      <w:r>
        <w:rPr>
          <w:spacing w:val="-1"/>
          <w:vertAlign w:val="baseline"/>
        </w:rPr>
        <w:t> </w:t>
      </w:r>
      <w:r>
        <w:rPr>
          <w:vertAlign w:val="baseline"/>
        </w:rPr>
        <w:t>sum</w:t>
      </w:r>
      <w:r>
        <w:rPr>
          <w:spacing w:val="-1"/>
          <w:vertAlign w:val="baseline"/>
        </w:rPr>
        <w:t> </w:t>
      </w:r>
      <w:r>
        <w:rPr>
          <w:vertAlign w:val="baseline"/>
        </w:rPr>
        <w:t>in</w:t>
      </w:r>
      <w:r>
        <w:rPr>
          <w:spacing w:val="-1"/>
          <w:vertAlign w:val="baseline"/>
        </w:rPr>
        <w:t> </w:t>
      </w:r>
      <w:r>
        <w:rPr>
          <w:vertAlign w:val="baseline"/>
        </w:rPr>
        <w:t>sterling</w:t>
      </w:r>
      <w:r>
        <w:rPr>
          <w:spacing w:val="-1"/>
          <w:vertAlign w:val="baseline"/>
        </w:rPr>
        <w:t> </w:t>
      </w:r>
      <w:r>
        <w:rPr>
          <w:vertAlign w:val="baseline"/>
        </w:rPr>
        <w:t>converted</w:t>
      </w:r>
      <w:r>
        <w:rPr>
          <w:spacing w:val="-1"/>
          <w:vertAlign w:val="baseline"/>
        </w:rPr>
        <w:t> </w:t>
      </w:r>
      <w:r>
        <w:rPr>
          <w:vertAlign w:val="baseline"/>
        </w:rPr>
        <w:t>as</w:t>
      </w:r>
      <w:r>
        <w:rPr>
          <w:spacing w:val="-1"/>
          <w:vertAlign w:val="baseline"/>
        </w:rPr>
        <w:t> </w:t>
      </w:r>
      <w:r>
        <w:rPr>
          <w:vertAlign w:val="baseline"/>
        </w:rPr>
        <w:t>at</w:t>
      </w:r>
      <w:r>
        <w:rPr>
          <w:spacing w:val="-1"/>
          <w:vertAlign w:val="baseline"/>
        </w:rPr>
        <w:t> </w:t>
      </w:r>
      <w:r>
        <w:rPr>
          <w:vertAlign w:val="baseline"/>
        </w:rPr>
        <w:t>“the date of payment”, i.e. normally</w:t>
      </w:r>
      <w:r>
        <w:rPr>
          <w:spacing w:val="-1"/>
          <w:vertAlign w:val="baseline"/>
        </w:rPr>
        <w:t> </w:t>
      </w:r>
      <w:r>
        <w:rPr>
          <w:color w:val="005DA1"/>
          <w:u w:val="single" w:color="005DA1"/>
          <w:vertAlign w:val="superscript"/>
        </w:rPr>
        <w:t>1446</w:t>
      </w:r>
      <w:r>
        <w:rPr>
          <w:color w:val="005DA1"/>
          <w:vertAlign w:val="baseline"/>
        </w:rPr>
        <w:t> </w:t>
      </w:r>
      <w:r>
        <w:rPr>
          <w:vertAlign w:val="baseline"/>
        </w:rPr>
        <w:t>the date when the court authorises enforcement of the judgment in </w:t>
      </w:r>
      <w:bookmarkStart w:name="_bookmark2714" w:id="2716"/>
      <w:bookmarkEnd w:id="2716"/>
      <w:r>
        <w:rPr>
          <w:vertAlign w:val="baseline"/>
        </w:rPr>
        <w:t>terms</w:t>
      </w:r>
      <w:r>
        <w:rPr>
          <w:vertAlign w:val="baseline"/>
        </w:rPr>
        <w:t> of sterling. There are a number of cases where a different conversion date is provided by statute. </w:t>
      </w:r>
      <w:r>
        <w:rPr>
          <w:color w:val="005DA1"/>
          <w:u w:val="single" w:color="005DA1"/>
          <w:vertAlign w:val="superscript"/>
        </w:rPr>
        <w:t>1447</w:t>
      </w:r>
    </w:p>
    <w:p>
      <w:pPr>
        <w:pStyle w:val="BodyText"/>
        <w:spacing w:before="79"/>
      </w:pPr>
    </w:p>
    <w:p>
      <w:pPr>
        <w:pStyle w:val="Heading2"/>
      </w:pPr>
      <w:r>
        <w:rPr/>
        <w:t>30-</w:t>
      </w:r>
      <w:r>
        <w:rPr>
          <w:spacing w:val="-5"/>
        </w:rPr>
        <w:t>380</w:t>
      </w:r>
    </w:p>
    <w:p>
      <w:pPr>
        <w:pStyle w:val="BodyText"/>
        <w:spacing w:line="235" w:lineRule="auto" w:before="203"/>
        <w:ind w:left="165" w:right="167"/>
        <w:jc w:val="both"/>
      </w:pPr>
      <w:bookmarkStart w:name="_bookmark2715" w:id="2717"/>
      <w:bookmarkEnd w:id="2717"/>
      <w:r>
        <w:rPr/>
      </w:r>
      <w:r>
        <w:rPr/>
        <w:t>The rate of interest on the judgment is a matter for the lex fori, even when the judgment is expressed </w:t>
      </w:r>
      <w:bookmarkStart w:name="_bookmark2716" w:id="2718"/>
      <w:bookmarkEnd w:id="2718"/>
      <w:r>
        <w:rPr/>
        <w:t>in</w:t>
      </w:r>
      <w:r>
        <w:rPr/>
        <w:t> a foreign currency. </w:t>
      </w:r>
      <w:r>
        <w:rPr>
          <w:color w:val="005DA1"/>
          <w:u w:val="single" w:color="005DA1"/>
          <w:vertAlign w:val="superscript"/>
        </w:rPr>
        <w:t>1448</w:t>
      </w:r>
      <w:r>
        <w:rPr>
          <w:color w:val="005DA1"/>
          <w:vertAlign w:val="baseline"/>
        </w:rPr>
        <w:t> </w:t>
      </w:r>
      <w:r>
        <w:rPr>
          <w:vertAlign w:val="baseline"/>
        </w:rPr>
        <w:t>By statute the English court may order that the rate of interest on foreign currency judgments shall be such rate as the court thinks fit. </w:t>
      </w:r>
      <w:r>
        <w:rPr>
          <w:color w:val="005DA1"/>
          <w:u w:val="single" w:color="005DA1"/>
          <w:vertAlign w:val="superscript"/>
        </w:rPr>
        <w:t>1449</w:t>
      </w:r>
    </w:p>
    <w:p>
      <w:pPr>
        <w:pStyle w:val="BodyText"/>
      </w:pPr>
    </w:p>
    <w:p>
      <w:pPr>
        <w:pStyle w:val="BodyText"/>
        <w:spacing w:before="37"/>
      </w:pPr>
    </w:p>
    <w:p>
      <w:pPr>
        <w:spacing w:before="1"/>
        <w:ind w:left="165" w:right="0" w:firstLine="0"/>
        <w:jc w:val="left"/>
        <w:rPr>
          <w:rFonts w:ascii="Arial"/>
          <w:b/>
          <w:sz w:val="18"/>
        </w:rPr>
      </w:pPr>
      <w:r>
        <w:rPr>
          <w:rFonts w:ascii="Arial"/>
          <w:b/>
          <w:sz w:val="18"/>
        </w:rPr>
        <w:t>Arbitral </w:t>
      </w:r>
      <w:r>
        <w:rPr>
          <w:rFonts w:ascii="Arial"/>
          <w:b/>
          <w:spacing w:val="-2"/>
          <w:sz w:val="18"/>
        </w:rPr>
        <w:t>awards</w:t>
      </w:r>
    </w:p>
    <w:p>
      <w:pPr>
        <w:pStyle w:val="BodyText"/>
        <w:spacing w:before="41"/>
        <w:rPr>
          <w:rFonts w:ascii="Arial"/>
          <w:b/>
          <w:sz w:val="18"/>
        </w:rPr>
      </w:pPr>
    </w:p>
    <w:p>
      <w:pPr>
        <w:pStyle w:val="Heading2"/>
      </w:pPr>
      <w:r>
        <w:rPr/>
        <w:t>30-</w:t>
      </w:r>
      <w:r>
        <w:rPr>
          <w:spacing w:val="-5"/>
        </w:rPr>
        <w:t>381</w:t>
      </w:r>
    </w:p>
    <w:p>
      <w:pPr>
        <w:pStyle w:val="BodyText"/>
        <w:spacing w:line="235" w:lineRule="auto" w:before="202"/>
        <w:ind w:left="165" w:right="167"/>
        <w:jc w:val="both"/>
      </w:pPr>
      <w:bookmarkStart w:name="_bookmark2717" w:id="2719"/>
      <w:bookmarkEnd w:id="2719"/>
      <w:r>
        <w:rPr/>
      </w:r>
      <w:r>
        <w:rPr/>
        <w:t>Section</w:t>
      </w:r>
      <w:r>
        <w:rPr>
          <w:spacing w:val="-2"/>
        </w:rPr>
        <w:t> </w:t>
      </w:r>
      <w:r>
        <w:rPr/>
        <w:t>48(4)</w:t>
      </w:r>
      <w:r>
        <w:rPr>
          <w:spacing w:val="-2"/>
        </w:rPr>
        <w:t> </w:t>
      </w:r>
      <w:r>
        <w:rPr/>
        <w:t>of</w:t>
      </w:r>
      <w:r>
        <w:rPr>
          <w:spacing w:val="-2"/>
        </w:rPr>
        <w:t> </w:t>
      </w:r>
      <w:r>
        <w:rPr/>
        <w:t>the</w:t>
      </w:r>
      <w:r>
        <w:rPr>
          <w:spacing w:val="-2"/>
        </w:rPr>
        <w:t> </w:t>
      </w:r>
      <w:r>
        <w:rPr/>
        <w:t>Arbitration</w:t>
      </w:r>
      <w:r>
        <w:rPr>
          <w:spacing w:val="-2"/>
        </w:rPr>
        <w:t> </w:t>
      </w:r>
      <w:r>
        <w:rPr/>
        <w:t>Act</w:t>
      </w:r>
      <w:r>
        <w:rPr>
          <w:spacing w:val="-2"/>
        </w:rPr>
        <w:t> </w:t>
      </w:r>
      <w:r>
        <w:rPr/>
        <w:t>1996</w:t>
      </w:r>
      <w:r>
        <w:rPr>
          <w:spacing w:val="-2"/>
        </w:rPr>
        <w:t> </w:t>
      </w:r>
      <w:r>
        <w:rPr/>
        <w:t>provides</w:t>
      </w:r>
      <w:r>
        <w:rPr>
          <w:spacing w:val="-2"/>
        </w:rPr>
        <w:t> </w:t>
      </w:r>
      <w:r>
        <w:rPr/>
        <w:t>that</w:t>
      </w:r>
      <w:r>
        <w:rPr>
          <w:spacing w:val="-2"/>
        </w:rPr>
        <w:t> </w:t>
      </w:r>
      <w:r>
        <w:rPr/>
        <w:t>unless</w:t>
      </w:r>
      <w:r>
        <w:rPr>
          <w:spacing w:val="-2"/>
        </w:rPr>
        <w:t> </w:t>
      </w:r>
      <w:r>
        <w:rPr/>
        <w:t>otherwise</w:t>
      </w:r>
      <w:r>
        <w:rPr>
          <w:spacing w:val="-2"/>
        </w:rPr>
        <w:t> </w:t>
      </w:r>
      <w:r>
        <w:rPr/>
        <w:t>agreed</w:t>
      </w:r>
      <w:r>
        <w:rPr>
          <w:spacing w:val="-2"/>
        </w:rPr>
        <w:t> </w:t>
      </w:r>
      <w:r>
        <w:rPr/>
        <w:t>between</w:t>
      </w:r>
      <w:r>
        <w:rPr>
          <w:spacing w:val="-2"/>
        </w:rPr>
        <w:t> </w:t>
      </w:r>
      <w:r>
        <w:rPr/>
        <w:t>the</w:t>
      </w:r>
      <w:r>
        <w:rPr>
          <w:spacing w:val="-2"/>
        </w:rPr>
        <w:t> </w:t>
      </w:r>
      <w:r>
        <w:rPr/>
        <w:t>parties</w:t>
      </w:r>
      <w:r>
        <w:rPr>
          <w:spacing w:val="-2"/>
        </w:rPr>
        <w:t> </w:t>
      </w:r>
      <w:r>
        <w:rPr/>
        <w:t>in writing, </w:t>
      </w:r>
      <w:r>
        <w:rPr>
          <w:color w:val="005DA1"/>
          <w:u w:val="single" w:color="005DA1"/>
          <w:vertAlign w:val="superscript"/>
        </w:rPr>
        <w:t>1450</w:t>
      </w:r>
      <w:r>
        <w:rPr>
          <w:color w:val="005DA1"/>
          <w:vertAlign w:val="baseline"/>
        </w:rPr>
        <w:t> </w:t>
      </w:r>
      <w:r>
        <w:rPr>
          <w:vertAlign w:val="baseline"/>
        </w:rPr>
        <w:t>an arbitral tribunal may order the payment of a sum of money in any currency. The effect </w:t>
      </w:r>
      <w:bookmarkStart w:name="_bookmark2718" w:id="2720"/>
      <w:bookmarkEnd w:id="2720"/>
      <w:r>
        <w:rPr>
          <w:vertAlign w:val="baseline"/>
        </w:rPr>
        <w:t>of</w:t>
      </w:r>
      <w:r>
        <w:rPr>
          <w:vertAlign w:val="baseline"/>
        </w:rPr>
        <w:t> this provision was considered by the House of Lords in </w:t>
      </w:r>
      <w:r>
        <w:rPr>
          <w:rFonts w:ascii="Arial" w:hAnsi="Arial"/>
          <w:i/>
          <w:vertAlign w:val="baseline"/>
        </w:rPr>
        <w:t>Lesotho Highland Development Authority v </w:t>
      </w:r>
      <w:bookmarkStart w:name="_bookmark2719" w:id="2721"/>
      <w:bookmarkEnd w:id="2721"/>
      <w:r>
        <w:rPr>
          <w:rFonts w:ascii="Arial" w:hAnsi="Arial"/>
          <w:i/>
          <w:vertAlign w:val="baseline"/>
        </w:rPr>
        <w:t>Impregilo</w:t>
      </w:r>
      <w:r>
        <w:rPr>
          <w:rFonts w:ascii="Arial" w:hAnsi="Arial"/>
          <w:i/>
          <w:vertAlign w:val="baseline"/>
        </w:rPr>
        <w:t> SpA</w:t>
      </w:r>
      <w:r>
        <w:rPr>
          <w:vertAlign w:val="baseline"/>
        </w:rPr>
        <w:t>. </w:t>
      </w:r>
      <w:r>
        <w:rPr>
          <w:color w:val="005DA1"/>
          <w:u w:val="single" w:color="005DA1"/>
          <w:vertAlign w:val="superscript"/>
        </w:rPr>
        <w:t>1451</w:t>
      </w:r>
      <w:r>
        <w:rPr>
          <w:color w:val="005DA1"/>
          <w:vertAlign w:val="baseline"/>
        </w:rPr>
        <w:t> </w:t>
      </w:r>
      <w:r>
        <w:rPr>
          <w:vertAlign w:val="baseline"/>
        </w:rPr>
        <w:t>In the preferred view of Lord Steyn, the power of the tribunal under s.48(4) was unconstrained by the case law pre-dating the 1996 Act. </w:t>
      </w:r>
      <w:r>
        <w:rPr>
          <w:color w:val="005DA1"/>
          <w:u w:val="single" w:color="005DA1"/>
          <w:vertAlign w:val="superscript"/>
        </w:rPr>
        <w:t>1452</w:t>
      </w:r>
      <w:r>
        <w:rPr>
          <w:color w:val="005DA1"/>
          <w:vertAlign w:val="baseline"/>
        </w:rPr>
        <w:t> </w:t>
      </w:r>
      <w:r>
        <w:rPr>
          <w:vertAlign w:val="baseline"/>
        </w:rPr>
        <w:t>In the alternative he held that the fact that the tribunal had rendered the award in a currency other than that of the contract did not constitute a </w:t>
      </w:r>
      <w:bookmarkStart w:name="_bookmark2720" w:id="2722"/>
      <w:bookmarkEnd w:id="2722"/>
      <w:r>
        <w:rPr>
          <w:vertAlign w:val="baseline"/>
        </w:rPr>
        <w:t>serious</w:t>
      </w:r>
      <w:r>
        <w:rPr>
          <w:vertAlign w:val="baseline"/>
        </w:rPr>
        <w:t> irregularity in the award, pursuant to s.68 of the Act, which would justify setting the award aside. It was merely an error of law by the tribunal which could not be challenged. </w:t>
      </w:r>
      <w:r>
        <w:rPr>
          <w:color w:val="005DA1"/>
          <w:u w:val="single" w:color="005DA1"/>
          <w:vertAlign w:val="superscript"/>
        </w:rPr>
        <w:t>1453</w:t>
      </w:r>
      <w:r>
        <w:rPr>
          <w:color w:val="005DA1"/>
          <w:vertAlign w:val="baseline"/>
        </w:rPr>
        <w:t> </w:t>
      </w:r>
      <w:r>
        <w:rPr>
          <w:vertAlign w:val="baseline"/>
        </w:rPr>
        <w:t>Lord Scott of Foscote and Lord Rodger of Earlsferry preferred the latter view. Lord Hoffmann had reservations in respect of Lord Steyn’s preferred view but chose not to express an opinion on the point. Lord Phillips </w:t>
      </w:r>
      <w:bookmarkStart w:name="_bookmark2721" w:id="2723"/>
      <w:bookmarkEnd w:id="2723"/>
      <w:r>
        <w:rPr>
          <w:vertAlign w:val="baseline"/>
        </w:rPr>
        <w:t>of</w:t>
      </w:r>
      <w:r>
        <w:rPr>
          <w:vertAlign w:val="baseline"/>
        </w:rPr>
        <w:t> Worth Matravers dissented. In the light of these opinions it would seem that Lord Steyn’s</w:t>
      </w:r>
      <w:r>
        <w:rPr>
          <w:spacing w:val="40"/>
          <w:vertAlign w:val="baseline"/>
        </w:rPr>
        <w:t> </w:t>
      </w:r>
      <w:r>
        <w:rPr>
          <w:vertAlign w:val="baseline"/>
        </w:rPr>
        <w:t>alternative view commands a majority. </w:t>
      </w:r>
      <w:r>
        <w:rPr>
          <w:color w:val="005DA1"/>
          <w:u w:val="single" w:color="005DA1"/>
          <w:vertAlign w:val="superscript"/>
        </w:rPr>
        <w:t>1454</w:t>
      </w:r>
    </w:p>
    <w:p>
      <w:pPr>
        <w:pStyle w:val="BodyText"/>
      </w:pPr>
    </w:p>
    <w:p>
      <w:pPr>
        <w:pStyle w:val="BodyText"/>
        <w:spacing w:before="36"/>
      </w:pPr>
      <w:r>
        <w:rPr/>
        <mc:AlternateContent>
          <mc:Choice Requires="wps">
            <w:drawing>
              <wp:anchor distT="0" distB="0" distL="0" distR="0" allowOverlap="1" layoutInCell="1" locked="0" behindDoc="1" simplePos="0" relativeHeight="487631872">
                <wp:simplePos x="0" y="0"/>
                <wp:positionH relativeFrom="page">
                  <wp:posOffset>914400</wp:posOffset>
                </wp:positionH>
                <wp:positionV relativeFrom="paragraph">
                  <wp:posOffset>184172</wp:posOffset>
                </wp:positionV>
                <wp:extent cx="5724525" cy="127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01746pt;width:450.75pt;height:.1pt;mso-position-horizontal-relative:page;mso-position-vertical-relative:paragraph;z-index:-15684608;mso-wrap-distance-left:0;mso-wrap-distance-right:0" id="docshape60" coordorigin="1440,290" coordsize="9015,0" path="m1440,290l10454,290e" filled="false" stroked="true" strokeweight="1pt" strokecolor="#000000">
                <v:path arrowok="t"/>
                <v:stroke dashstyle="solid"/>
                <w10:wrap type="topAndBottom"/>
              </v:shape>
            </w:pict>
          </mc:Fallback>
        </mc:AlternateContent>
      </w:r>
    </w:p>
    <w:p>
      <w:pPr>
        <w:pStyle w:val="BodyText"/>
        <w:rPr>
          <w:sz w:val="14"/>
        </w:rPr>
      </w:pPr>
    </w:p>
    <w:p>
      <w:pPr>
        <w:pStyle w:val="BodyText"/>
        <w:spacing w:before="12"/>
        <w:rPr>
          <w:sz w:val="14"/>
        </w:rPr>
      </w:pPr>
    </w:p>
    <w:p>
      <w:pPr>
        <w:spacing w:line="137" w:lineRule="exact" w:before="0"/>
        <w:ind w:left="165" w:right="0" w:firstLine="0"/>
        <w:jc w:val="left"/>
        <w:rPr>
          <w:sz w:val="14"/>
        </w:rPr>
      </w:pPr>
      <w:bookmarkStart w:name="_bookmark2722" w:id="2724"/>
      <w:bookmarkEnd w:id="2724"/>
      <w:r>
        <w:rPr/>
      </w:r>
      <w:hyperlink w:history="true" w:anchor="_bookmark2670">
        <w:r>
          <w:rPr>
            <w:color w:val="005DA1"/>
            <w:spacing w:val="-2"/>
            <w:sz w:val="14"/>
            <w:u w:val="single" w:color="005DA1"/>
          </w:rPr>
          <w:t>1398</w:t>
        </w:r>
      </w:hyperlink>
      <w:r>
        <w:rPr>
          <w:spacing w:val="-2"/>
          <w:sz w:val="14"/>
        </w:rPr>
        <w:t>.</w:t>
      </w:r>
    </w:p>
    <w:p>
      <w:pPr>
        <w:pStyle w:val="BodyText"/>
        <w:spacing w:line="203" w:lineRule="exact"/>
        <w:ind w:left="875"/>
        <w:jc w:val="both"/>
      </w:pPr>
      <w:r>
        <w:rPr/>
        <w:drawing>
          <wp:anchor distT="0" distB="0" distL="0" distR="0" allowOverlap="1" layoutInCell="1" locked="0" behindDoc="0" simplePos="0" relativeHeight="15773184">
            <wp:simplePos x="0" y="0"/>
            <wp:positionH relativeFrom="page">
              <wp:posOffset>1257846</wp:posOffset>
            </wp:positionH>
            <wp:positionV relativeFrom="paragraph">
              <wp:posOffset>13038</wp:posOffset>
            </wp:positionV>
            <wp:extent cx="107988" cy="107988"/>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6" cstate="print"/>
                    <a:stretch>
                      <a:fillRect/>
                    </a:stretch>
                  </pic:blipFill>
                  <pic:spPr>
                    <a:xfrm>
                      <a:off x="0" y="0"/>
                      <a:ext cx="107988" cy="107988"/>
                    </a:xfrm>
                    <a:prstGeom prst="rect">
                      <a:avLst/>
                    </a:prstGeom>
                  </pic:spPr>
                </pic:pic>
              </a:graphicData>
            </a:graphic>
          </wp:anchor>
        </w:drawing>
      </w:r>
      <w:r>
        <w:rPr/>
        <w:t>See</w:t>
      </w:r>
      <w:r>
        <w:rPr>
          <w:spacing w:val="32"/>
        </w:rPr>
        <w:t> </w:t>
      </w:r>
      <w:r>
        <w:rPr/>
        <w:t>Dicey,</w:t>
      </w:r>
      <w:r>
        <w:rPr>
          <w:spacing w:val="32"/>
        </w:rPr>
        <w:t> </w:t>
      </w:r>
      <w:r>
        <w:rPr/>
        <w:t>Morris</w:t>
      </w:r>
      <w:r>
        <w:rPr>
          <w:spacing w:val="32"/>
        </w:rPr>
        <w:t> </w:t>
      </w:r>
      <w:r>
        <w:rPr/>
        <w:t>and</w:t>
      </w:r>
      <w:r>
        <w:rPr>
          <w:spacing w:val="32"/>
        </w:rPr>
        <w:t> </w:t>
      </w:r>
      <w:r>
        <w:rPr/>
        <w:t>Collins</w:t>
      </w:r>
      <w:r>
        <w:rPr>
          <w:spacing w:val="32"/>
        </w:rPr>
        <w:t> </w:t>
      </w:r>
      <w:r>
        <w:rPr/>
        <w:t>on</w:t>
      </w:r>
      <w:r>
        <w:rPr>
          <w:spacing w:val="32"/>
        </w:rPr>
        <w:t> </w:t>
      </w:r>
      <w:r>
        <w:rPr/>
        <w:t>the</w:t>
      </w:r>
      <w:r>
        <w:rPr>
          <w:spacing w:val="32"/>
        </w:rPr>
        <w:t> </w:t>
      </w:r>
      <w:r>
        <w:rPr/>
        <w:t>Conflict</w:t>
      </w:r>
      <w:r>
        <w:rPr>
          <w:spacing w:val="32"/>
        </w:rPr>
        <w:t> </w:t>
      </w:r>
      <w:r>
        <w:rPr/>
        <w:t>of</w:t>
      </w:r>
      <w:r>
        <w:rPr>
          <w:spacing w:val="32"/>
        </w:rPr>
        <w:t> </w:t>
      </w:r>
      <w:r>
        <w:rPr/>
        <w:t>Laws,</w:t>
      </w:r>
      <w:r>
        <w:rPr>
          <w:spacing w:val="32"/>
        </w:rPr>
        <w:t> </w:t>
      </w:r>
      <w:r>
        <w:rPr/>
        <w:t>15th</w:t>
      </w:r>
      <w:r>
        <w:rPr>
          <w:spacing w:val="32"/>
        </w:rPr>
        <w:t> </w:t>
      </w:r>
      <w:r>
        <w:rPr/>
        <w:t>edn</w:t>
      </w:r>
      <w:r>
        <w:rPr>
          <w:spacing w:val="32"/>
        </w:rPr>
        <w:t> </w:t>
      </w:r>
      <w:r>
        <w:rPr/>
        <w:t>(2012),</w:t>
      </w:r>
      <w:r>
        <w:rPr>
          <w:spacing w:val="32"/>
        </w:rPr>
        <w:t> </w:t>
      </w:r>
      <w:r>
        <w:rPr/>
        <w:t>Ch.37;</w:t>
      </w:r>
      <w:r>
        <w:rPr>
          <w:spacing w:val="32"/>
        </w:rPr>
        <w:t> </w:t>
      </w:r>
      <w:r>
        <w:rPr>
          <w:spacing w:val="-2"/>
        </w:rPr>
        <w:t>Cheshire,</w:t>
      </w:r>
    </w:p>
    <w:p>
      <w:pPr>
        <w:pStyle w:val="BodyText"/>
        <w:spacing w:line="235" w:lineRule="auto" w:before="2"/>
        <w:ind w:left="705" w:right="167"/>
        <w:jc w:val="both"/>
      </w:pPr>
      <w:r>
        <w:rPr/>
        <w:t>North and Fawcett, Private International Law, 14th edn (2008), pp.101–109. For an </w:t>
      </w:r>
      <w:r>
        <w:rPr/>
        <w:t>exhaustive account of the problems in this area, see Mann on the Legal Aspect of Money, 7th edn (2012). See too, Law Com. No.124, 1983.</w:t>
      </w:r>
    </w:p>
    <w:p>
      <w:pPr>
        <w:pStyle w:val="BodyText"/>
        <w:spacing w:before="5"/>
      </w:pPr>
    </w:p>
    <w:p>
      <w:pPr>
        <w:pStyle w:val="BodyText"/>
        <w:ind w:left="165"/>
      </w:pPr>
      <w:bookmarkStart w:name="_bookmark2723" w:id="2725"/>
      <w:bookmarkEnd w:id="2725"/>
      <w:r>
        <w:rPr/>
      </w:r>
      <w:hyperlink w:history="true" w:anchor="_bookmark2671">
        <w:r>
          <w:rPr>
            <w:color w:val="005DA1"/>
            <w:position w:val="5"/>
            <w:sz w:val="14"/>
            <w:u w:val="single" w:color="005DA1"/>
          </w:rPr>
          <w:t>1399</w:t>
        </w:r>
      </w:hyperlink>
      <w:r>
        <w:rPr>
          <w:position w:val="5"/>
          <w:sz w:val="14"/>
        </w:rPr>
        <w:t>.</w:t>
      </w:r>
      <w:r>
        <w:rPr>
          <w:spacing w:val="55"/>
          <w:position w:val="5"/>
          <w:sz w:val="14"/>
        </w:rPr>
        <w:t>  </w:t>
      </w:r>
      <w:r>
        <w:rPr/>
        <w:t>As</w:t>
      </w:r>
      <w:r>
        <w:rPr>
          <w:spacing w:val="1"/>
        </w:rPr>
        <w:t> </w:t>
      </w:r>
      <w:r>
        <w:rPr/>
        <w:t>to interest, see above, paras 30-340 et </w:t>
      </w:r>
      <w:r>
        <w:rPr>
          <w:spacing w:val="-4"/>
        </w:rPr>
        <w:t>seq.</w:t>
      </w:r>
    </w:p>
    <w:p>
      <w:pPr>
        <w:pStyle w:val="BodyText"/>
        <w:spacing w:before="8"/>
      </w:pPr>
    </w:p>
    <w:p>
      <w:pPr>
        <w:spacing w:line="235" w:lineRule="auto" w:before="1"/>
        <w:ind w:left="705" w:right="167" w:hanging="541"/>
        <w:jc w:val="both"/>
        <w:rPr>
          <w:sz w:val="20"/>
        </w:rPr>
      </w:pPr>
      <w:bookmarkStart w:name="_bookmark2724" w:id="2726"/>
      <w:bookmarkEnd w:id="2726"/>
      <w:r>
        <w:rPr/>
      </w:r>
      <w:hyperlink w:history="true" w:anchor="_bookmark2672">
        <w:r>
          <w:rPr>
            <w:color w:val="005DA1"/>
            <w:position w:val="5"/>
            <w:sz w:val="14"/>
            <w:u w:val="single" w:color="005DA1"/>
          </w:rPr>
          <w:t>1400</w:t>
        </w:r>
      </w:hyperlink>
      <w:r>
        <w:rPr>
          <w:position w:val="5"/>
          <w:sz w:val="14"/>
        </w:rPr>
        <w:t>.</w:t>
      </w:r>
      <w:r>
        <w:rPr>
          <w:spacing w:val="80"/>
          <w:position w:val="5"/>
          <w:sz w:val="14"/>
        </w:rPr>
        <w:t> </w:t>
      </w:r>
      <w:r>
        <w:rPr>
          <w:sz w:val="20"/>
        </w:rPr>
        <w:t>The principle goes back to </w:t>
      </w:r>
      <w:r>
        <w:rPr>
          <w:rFonts w:ascii="Arial" w:hAnsi="Arial"/>
          <w:i/>
          <w:sz w:val="20"/>
        </w:rPr>
        <w:t>Gilbert v Brett (1604) Davis 18 </w:t>
      </w:r>
      <w:r>
        <w:rPr>
          <w:sz w:val="20"/>
        </w:rPr>
        <w:t>(also known as the </w:t>
      </w:r>
      <w:r>
        <w:rPr>
          <w:rFonts w:ascii="Arial" w:hAnsi="Arial"/>
          <w:i/>
          <w:sz w:val="20"/>
        </w:rPr>
        <w:t>Case de Mixt Moneys</w:t>
      </w:r>
      <w:r>
        <w:rPr>
          <w:sz w:val="20"/>
        </w:rPr>
        <w:t>). See too, </w:t>
      </w:r>
      <w:r>
        <w:rPr>
          <w:rFonts w:ascii="Arial" w:hAnsi="Arial"/>
          <w:i/>
          <w:sz w:val="20"/>
        </w:rPr>
        <w:t>Re Chesterman’s Trusts [1923] 2 Ch. 466</w:t>
      </w:r>
      <w:r>
        <w:rPr>
          <w:sz w:val="20"/>
        </w:rPr>
        <w:t>; </w:t>
      </w:r>
      <w:r>
        <w:rPr>
          <w:rFonts w:ascii="Arial" w:hAnsi="Arial"/>
          <w:i/>
          <w:sz w:val="20"/>
        </w:rPr>
        <w:t>Ottoman Bank v </w:t>
      </w:r>
      <w:r>
        <w:rPr>
          <w:rFonts w:ascii="Arial" w:hAnsi="Arial"/>
          <w:i/>
          <w:sz w:val="20"/>
        </w:rPr>
        <w:t>Chakarian</w:t>
      </w:r>
      <w:r>
        <w:rPr>
          <w:rFonts w:ascii="Arial" w:hAnsi="Arial"/>
          <w:i/>
          <w:spacing w:val="40"/>
          <w:sz w:val="20"/>
        </w:rPr>
        <w:t> </w:t>
      </w:r>
      <w:r>
        <w:rPr>
          <w:rFonts w:ascii="Arial" w:hAnsi="Arial"/>
          <w:i/>
          <w:sz w:val="20"/>
        </w:rPr>
        <w:t>(No.2) [1938] A.C. 260</w:t>
      </w:r>
      <w:r>
        <w:rPr>
          <w:sz w:val="20"/>
        </w:rPr>
        <w:t>; </w:t>
      </w:r>
      <w:r>
        <w:rPr>
          <w:rFonts w:ascii="Arial" w:hAnsi="Arial"/>
          <w:i/>
          <w:sz w:val="20"/>
        </w:rPr>
        <w:t>Pyrmont Ltd v Schott [1939] A.C. 145</w:t>
      </w:r>
      <w:r>
        <w:rPr>
          <w:sz w:val="20"/>
        </w:rPr>
        <w:t>; </w:t>
      </w:r>
      <w:r>
        <w:rPr>
          <w:rFonts w:ascii="Arial" w:hAnsi="Arial"/>
          <w:i/>
          <w:sz w:val="20"/>
        </w:rPr>
        <w:t>Marrache v Ashton [1943] A.C. 311</w:t>
      </w:r>
      <w:r>
        <w:rPr>
          <w:sz w:val="20"/>
        </w:rPr>
        <w:t>; </w:t>
      </w:r>
      <w:r>
        <w:rPr>
          <w:rFonts w:ascii="Arial" w:hAnsi="Arial"/>
          <w:i/>
          <w:sz w:val="20"/>
        </w:rPr>
        <w:t>Proctor and Gamble Co v Svenska Cellulosa Aktiebolaget SCA [2012] EWCA Civ 1413</w:t>
      </w:r>
      <w:r>
        <w:rPr>
          <w:sz w:val="20"/>
        </w:rPr>
        <w:t>. A party may, of course, be able to recover for exchange losses suffered as a result of late payment by the other party: see above, para.30-341. If the currency in which the debt is expressed is devalued between the date of the contract and the date when the payment is due, the question of whether the debt should be “revalorised” (i.e. whether a party should pay more to compensate for the devaluation) will be governed by the law applicable to the contract: </w:t>
      </w:r>
      <w:r>
        <w:rPr>
          <w:rFonts w:ascii="Arial" w:hAnsi="Arial"/>
          <w:i/>
          <w:sz w:val="20"/>
        </w:rPr>
        <w:t>Anderson v Equitable Life Assurance Society of the United States (1929) 45 T.L.R. 468</w:t>
      </w:r>
      <w:r>
        <w:rPr>
          <w:sz w:val="20"/>
        </w:rPr>
        <w:t>; </w:t>
      </w:r>
      <w:r>
        <w:rPr>
          <w:rFonts w:ascii="Arial" w:hAnsi="Arial"/>
          <w:i/>
          <w:sz w:val="20"/>
        </w:rPr>
        <w:t>Re Schnapper [1936] 1 All E.R. 322</w:t>
      </w:r>
      <w:r>
        <w:rPr>
          <w:sz w:val="20"/>
        </w:rPr>
        <w:t>; </w:t>
      </w:r>
      <w:r>
        <w:rPr>
          <w:rFonts w:ascii="Arial" w:hAnsi="Arial"/>
          <w:i/>
          <w:sz w:val="20"/>
        </w:rPr>
        <w:t>Kornatzki v Oppenheimer [1937] 4 All E.R. 133</w:t>
      </w:r>
      <w:r>
        <w:rPr>
          <w:sz w:val="20"/>
        </w:rPr>
        <w:t>; Rome Convention art.10(1)(b); Rome I Regulation art.12(1)(b). See generally Dicey, Morris and Collins,</w:t>
      </w:r>
      <w:r>
        <w:rPr>
          <w:spacing w:val="-3"/>
          <w:sz w:val="20"/>
        </w:rPr>
        <w:t> </w:t>
      </w:r>
      <w:r>
        <w:rPr>
          <w:sz w:val="20"/>
        </w:rPr>
        <w:t>15th</w:t>
      </w:r>
      <w:r>
        <w:rPr>
          <w:spacing w:val="-3"/>
          <w:sz w:val="20"/>
        </w:rPr>
        <w:t> </w:t>
      </w:r>
      <w:r>
        <w:rPr>
          <w:sz w:val="20"/>
        </w:rPr>
        <w:t>edn</w:t>
      </w:r>
      <w:r>
        <w:rPr>
          <w:spacing w:val="-3"/>
          <w:sz w:val="20"/>
        </w:rPr>
        <w:t> </w:t>
      </w:r>
      <w:r>
        <w:rPr>
          <w:sz w:val="20"/>
        </w:rPr>
        <w:t>(2012),</w:t>
      </w:r>
      <w:r>
        <w:rPr>
          <w:spacing w:val="-3"/>
          <w:sz w:val="20"/>
        </w:rPr>
        <w:t> </w:t>
      </w:r>
      <w:r>
        <w:rPr>
          <w:sz w:val="20"/>
        </w:rPr>
        <w:t>paras</w:t>
      </w:r>
      <w:r>
        <w:rPr>
          <w:spacing w:val="-3"/>
          <w:sz w:val="20"/>
        </w:rPr>
        <w:t> </w:t>
      </w:r>
      <w:r>
        <w:rPr>
          <w:sz w:val="20"/>
        </w:rPr>
        <w:t>37–036</w:t>
      </w:r>
      <w:r>
        <w:rPr>
          <w:spacing w:val="-3"/>
          <w:sz w:val="20"/>
        </w:rPr>
        <w:t> </w:t>
      </w:r>
      <w:r>
        <w:rPr>
          <w:sz w:val="20"/>
        </w:rPr>
        <w:t>et</w:t>
      </w:r>
      <w:r>
        <w:rPr>
          <w:spacing w:val="-3"/>
          <w:sz w:val="20"/>
        </w:rPr>
        <w:t> </w:t>
      </w:r>
      <w:r>
        <w:rPr>
          <w:sz w:val="20"/>
        </w:rPr>
        <w:t>seq.</w:t>
      </w:r>
      <w:r>
        <w:rPr>
          <w:spacing w:val="-3"/>
          <w:sz w:val="20"/>
        </w:rPr>
        <w:t> </w:t>
      </w:r>
      <w:r>
        <w:rPr>
          <w:sz w:val="20"/>
        </w:rPr>
        <w:t>Parties</w:t>
      </w:r>
      <w:r>
        <w:rPr>
          <w:spacing w:val="-3"/>
          <w:sz w:val="20"/>
        </w:rPr>
        <w:t> </w:t>
      </w:r>
      <w:r>
        <w:rPr>
          <w:sz w:val="20"/>
        </w:rPr>
        <w:t>may</w:t>
      </w:r>
      <w:r>
        <w:rPr>
          <w:spacing w:val="-3"/>
          <w:sz w:val="20"/>
        </w:rPr>
        <w:t> </w:t>
      </w:r>
      <w:r>
        <w:rPr>
          <w:sz w:val="20"/>
        </w:rPr>
        <w:t>seek</w:t>
      </w:r>
      <w:r>
        <w:rPr>
          <w:spacing w:val="-3"/>
          <w:sz w:val="20"/>
        </w:rPr>
        <w:t> </w:t>
      </w:r>
      <w:r>
        <w:rPr>
          <w:sz w:val="20"/>
        </w:rPr>
        <w:t>to</w:t>
      </w:r>
      <w:r>
        <w:rPr>
          <w:spacing w:val="-3"/>
          <w:sz w:val="20"/>
        </w:rPr>
        <w:t> </w:t>
      </w:r>
      <w:r>
        <w:rPr>
          <w:sz w:val="20"/>
        </w:rPr>
        <w:t>guard</w:t>
      </w:r>
      <w:r>
        <w:rPr>
          <w:spacing w:val="-3"/>
          <w:sz w:val="20"/>
        </w:rPr>
        <w:t> </w:t>
      </w:r>
      <w:r>
        <w:rPr>
          <w:sz w:val="20"/>
        </w:rPr>
        <w:t>against</w:t>
      </w:r>
      <w:r>
        <w:rPr>
          <w:spacing w:val="-3"/>
          <w:sz w:val="20"/>
        </w:rPr>
        <w:t> </w:t>
      </w:r>
      <w:r>
        <w:rPr>
          <w:sz w:val="20"/>
        </w:rPr>
        <w:t>fluctuations</w:t>
      </w:r>
      <w:r>
        <w:rPr>
          <w:spacing w:val="-3"/>
          <w:sz w:val="20"/>
        </w:rPr>
        <w:t> </w:t>
      </w:r>
      <w:r>
        <w:rPr>
          <w:sz w:val="20"/>
        </w:rPr>
        <w:t>in exchange rates by inserting a “gold clause” or similar “protective” clause into the contract: see Dicey, Morris and Collins, 15th edn (2012), paras 37–041 et seq. On the implications of the implementation of a single European currency, see Dicey, Morris and Collins, 15th edn (2012), paras 37–008 et seq.; Mance [1997] European Business L. Rev. 266; Blair [1997] European Business L. Rev. 228.</w:t>
      </w:r>
    </w:p>
    <w:p>
      <w:pPr>
        <w:spacing w:after="0" w:line="235" w:lineRule="auto"/>
        <w:jc w:val="both"/>
        <w:rPr>
          <w:sz w:val="20"/>
        </w:rPr>
        <w:sectPr>
          <w:pgSz w:w="11900" w:h="16840"/>
          <w:pgMar w:header="971" w:footer="0" w:top="1300" w:bottom="280" w:left="1275" w:right="1275"/>
        </w:sectPr>
      </w:pPr>
    </w:p>
    <w:p>
      <w:pPr>
        <w:spacing w:before="166"/>
        <w:ind w:left="165" w:right="0" w:firstLine="0"/>
        <w:jc w:val="left"/>
        <w:rPr>
          <w:sz w:val="20"/>
        </w:rPr>
      </w:pPr>
      <w:hyperlink w:history="true" w:anchor="_bookmark2673">
        <w:r>
          <w:rPr>
            <w:color w:val="005DA1"/>
            <w:position w:val="5"/>
            <w:sz w:val="14"/>
            <w:u w:val="single" w:color="005DA1"/>
          </w:rPr>
          <w:t>1401</w:t>
        </w:r>
      </w:hyperlink>
      <w:r>
        <w:rPr>
          <w:position w:val="5"/>
          <w:sz w:val="14"/>
        </w:rPr>
        <w:t>.</w:t>
      </w:r>
      <w:r>
        <w:rPr>
          <w:spacing w:val="55"/>
          <w:position w:val="5"/>
          <w:sz w:val="14"/>
        </w:rPr>
        <w:t>  </w:t>
      </w:r>
      <w:r>
        <w:rPr>
          <w:rFonts w:ascii="Arial"/>
          <w:i/>
          <w:sz w:val="20"/>
        </w:rPr>
        <w:t>The</w:t>
      </w:r>
      <w:r>
        <w:rPr>
          <w:rFonts w:ascii="Arial"/>
          <w:i/>
          <w:spacing w:val="1"/>
          <w:sz w:val="20"/>
        </w:rPr>
        <w:t> </w:t>
      </w:r>
      <w:r>
        <w:rPr>
          <w:rFonts w:ascii="Arial"/>
          <w:i/>
          <w:sz w:val="20"/>
        </w:rPr>
        <w:t>Despina R [1979] A.C. 685, </w:t>
      </w:r>
      <w:r>
        <w:rPr>
          <w:rFonts w:ascii="Arial"/>
          <w:i/>
          <w:spacing w:val="-4"/>
          <w:sz w:val="20"/>
        </w:rPr>
        <w:t>698</w:t>
      </w:r>
      <w:r>
        <w:rPr>
          <w:spacing w:val="-4"/>
          <w:sz w:val="20"/>
        </w:rPr>
        <w:t>.</w:t>
      </w:r>
    </w:p>
    <w:p>
      <w:pPr>
        <w:pStyle w:val="BodyText"/>
        <w:spacing w:before="5"/>
      </w:pPr>
    </w:p>
    <w:p>
      <w:pPr>
        <w:spacing w:before="1"/>
        <w:ind w:left="165" w:right="0" w:firstLine="0"/>
        <w:jc w:val="left"/>
        <w:rPr>
          <w:sz w:val="20"/>
        </w:rPr>
      </w:pPr>
      <w:bookmarkStart w:name="_bookmark2725" w:id="2727"/>
      <w:bookmarkEnd w:id="2727"/>
      <w:r>
        <w:rPr/>
      </w:r>
      <w:hyperlink w:history="true" w:anchor="_bookmark2674">
        <w:r>
          <w:rPr>
            <w:color w:val="005DA1"/>
            <w:position w:val="5"/>
            <w:sz w:val="14"/>
            <w:u w:val="single" w:color="005DA1"/>
          </w:rPr>
          <w:t>1402</w:t>
        </w:r>
      </w:hyperlink>
      <w:r>
        <w:rPr>
          <w:position w:val="5"/>
          <w:sz w:val="14"/>
        </w:rPr>
        <w:t>.</w:t>
      </w:r>
      <w:r>
        <w:rPr>
          <w:spacing w:val="55"/>
          <w:position w:val="5"/>
          <w:sz w:val="14"/>
        </w:rPr>
        <w:t>  </w:t>
      </w:r>
      <w:r>
        <w:rPr>
          <w:rFonts w:ascii="Arial" w:hAnsi="Arial"/>
          <w:i/>
          <w:sz w:val="20"/>
        </w:rPr>
        <w:t>Re</w:t>
      </w:r>
      <w:r>
        <w:rPr>
          <w:rFonts w:ascii="Arial" w:hAnsi="Arial"/>
          <w:i/>
          <w:spacing w:val="1"/>
          <w:sz w:val="20"/>
        </w:rPr>
        <w:t> </w:t>
      </w:r>
      <w:r>
        <w:rPr>
          <w:rFonts w:ascii="Arial" w:hAnsi="Arial"/>
          <w:i/>
          <w:sz w:val="20"/>
        </w:rPr>
        <w:t>Chesterman’s Trusts [1923] 2 Ch. </w:t>
      </w:r>
      <w:r>
        <w:rPr>
          <w:rFonts w:ascii="Arial" w:hAnsi="Arial"/>
          <w:i/>
          <w:spacing w:val="-4"/>
          <w:sz w:val="20"/>
        </w:rPr>
        <w:t>466</w:t>
      </w:r>
      <w:r>
        <w:rPr>
          <w:spacing w:val="-4"/>
          <w:sz w:val="20"/>
        </w:rPr>
        <w:t>.</w:t>
      </w:r>
    </w:p>
    <w:p>
      <w:pPr>
        <w:pStyle w:val="BodyText"/>
        <w:spacing w:before="8"/>
      </w:pPr>
    </w:p>
    <w:p>
      <w:pPr>
        <w:spacing w:line="235" w:lineRule="auto" w:before="0"/>
        <w:ind w:left="705" w:right="0" w:hanging="541"/>
        <w:jc w:val="left"/>
        <w:rPr>
          <w:sz w:val="20"/>
        </w:rPr>
      </w:pPr>
      <w:bookmarkStart w:name="_bookmark2726" w:id="2728"/>
      <w:bookmarkEnd w:id="2728"/>
      <w:r>
        <w:rPr/>
      </w:r>
      <w:hyperlink w:history="true" w:anchor="_bookmark2675">
        <w:r>
          <w:rPr>
            <w:color w:val="005DA1"/>
            <w:position w:val="5"/>
            <w:sz w:val="14"/>
            <w:u w:val="single" w:color="005DA1"/>
          </w:rPr>
          <w:t>1403</w:t>
        </w:r>
      </w:hyperlink>
      <w:r>
        <w:rPr>
          <w:position w:val="5"/>
          <w:sz w:val="14"/>
        </w:rPr>
        <w:t>.</w:t>
      </w:r>
      <w:r>
        <w:rPr>
          <w:spacing w:val="40"/>
          <w:position w:val="5"/>
          <w:sz w:val="14"/>
        </w:rPr>
        <w:t>  </w:t>
      </w:r>
      <w:r>
        <w:rPr>
          <w:sz w:val="20"/>
        </w:rPr>
        <w:t>Dicey,</w:t>
      </w:r>
      <w:r>
        <w:rPr>
          <w:spacing w:val="40"/>
          <w:sz w:val="20"/>
        </w:rPr>
        <w:t> </w:t>
      </w:r>
      <w:r>
        <w:rPr>
          <w:sz w:val="20"/>
        </w:rPr>
        <w:t>Morris</w:t>
      </w:r>
      <w:r>
        <w:rPr>
          <w:spacing w:val="40"/>
          <w:sz w:val="20"/>
        </w:rPr>
        <w:t> </w:t>
      </w:r>
      <w:r>
        <w:rPr>
          <w:sz w:val="20"/>
        </w:rPr>
        <w:t>and</w:t>
      </w:r>
      <w:r>
        <w:rPr>
          <w:spacing w:val="40"/>
          <w:sz w:val="20"/>
        </w:rPr>
        <w:t> </w:t>
      </w:r>
      <w:r>
        <w:rPr>
          <w:sz w:val="20"/>
        </w:rPr>
        <w:t>Collins,</w:t>
      </w:r>
      <w:r>
        <w:rPr>
          <w:spacing w:val="40"/>
          <w:sz w:val="20"/>
        </w:rPr>
        <w:t> </w:t>
      </w:r>
      <w:r>
        <w:rPr>
          <w:sz w:val="20"/>
        </w:rPr>
        <w:t>para.30–008.</w:t>
      </w:r>
      <w:r>
        <w:rPr>
          <w:spacing w:val="40"/>
          <w:sz w:val="20"/>
        </w:rPr>
        <w:t> </w:t>
      </w:r>
      <w:r>
        <w:rPr>
          <w:sz w:val="20"/>
        </w:rPr>
        <w:t>See</w:t>
      </w:r>
      <w:r>
        <w:rPr>
          <w:spacing w:val="40"/>
          <w:sz w:val="20"/>
        </w:rPr>
        <w:t> </w:t>
      </w:r>
      <w:r>
        <w:rPr>
          <w:rFonts w:ascii="Arial" w:hAnsi="Arial"/>
          <w:i/>
          <w:sz w:val="20"/>
        </w:rPr>
        <w:t>Société</w:t>
      </w:r>
      <w:r>
        <w:rPr>
          <w:rFonts w:ascii="Arial" w:hAnsi="Arial"/>
          <w:i/>
          <w:spacing w:val="40"/>
          <w:sz w:val="20"/>
        </w:rPr>
        <w:t> </w:t>
      </w:r>
      <w:r>
        <w:rPr>
          <w:rFonts w:ascii="Arial" w:hAnsi="Arial"/>
          <w:i/>
          <w:sz w:val="20"/>
        </w:rPr>
        <w:t>des</w:t>
      </w:r>
      <w:r>
        <w:rPr>
          <w:rFonts w:ascii="Arial" w:hAnsi="Arial"/>
          <w:i/>
          <w:spacing w:val="40"/>
          <w:sz w:val="20"/>
        </w:rPr>
        <w:t> </w:t>
      </w:r>
      <w:r>
        <w:rPr>
          <w:rFonts w:ascii="Arial" w:hAnsi="Arial"/>
          <w:i/>
          <w:sz w:val="20"/>
        </w:rPr>
        <w:t>Hôtels</w:t>
      </w:r>
      <w:r>
        <w:rPr>
          <w:rFonts w:ascii="Arial" w:hAnsi="Arial"/>
          <w:i/>
          <w:spacing w:val="40"/>
          <w:sz w:val="20"/>
        </w:rPr>
        <w:t> </w:t>
      </w:r>
      <w:r>
        <w:rPr>
          <w:rFonts w:ascii="Arial" w:hAnsi="Arial"/>
          <w:i/>
          <w:sz w:val="20"/>
        </w:rPr>
        <w:t>Le</w:t>
      </w:r>
      <w:r>
        <w:rPr>
          <w:rFonts w:ascii="Arial" w:hAnsi="Arial"/>
          <w:i/>
          <w:spacing w:val="40"/>
          <w:sz w:val="20"/>
        </w:rPr>
        <w:t> </w:t>
      </w:r>
      <w:r>
        <w:rPr>
          <w:rFonts w:ascii="Arial" w:hAnsi="Arial"/>
          <w:i/>
          <w:sz w:val="20"/>
        </w:rPr>
        <w:t>Touquet-Paris-Plage</w:t>
      </w:r>
      <w:r>
        <w:rPr>
          <w:rFonts w:ascii="Arial" w:hAnsi="Arial"/>
          <w:i/>
          <w:spacing w:val="40"/>
          <w:sz w:val="20"/>
        </w:rPr>
        <w:t> </w:t>
      </w:r>
      <w:r>
        <w:rPr>
          <w:rFonts w:ascii="Arial" w:hAnsi="Arial"/>
          <w:i/>
          <w:sz w:val="20"/>
        </w:rPr>
        <w:t>v Cummings [1922] 1 K.B. 451</w:t>
      </w:r>
      <w:r>
        <w:rPr>
          <w:sz w:val="20"/>
        </w:rPr>
        <w:t>.</w:t>
      </w:r>
    </w:p>
    <w:p>
      <w:pPr>
        <w:pStyle w:val="BodyText"/>
        <w:spacing w:before="6"/>
      </w:pPr>
    </w:p>
    <w:p>
      <w:pPr>
        <w:pStyle w:val="BodyText"/>
        <w:ind w:left="165"/>
      </w:pPr>
      <w:bookmarkStart w:name="_bookmark2727" w:id="2729"/>
      <w:bookmarkEnd w:id="2729"/>
      <w:r>
        <w:rPr/>
      </w:r>
      <w:hyperlink w:history="true" w:anchor="_bookmark2676">
        <w:r>
          <w:rPr>
            <w:color w:val="005DA1"/>
            <w:position w:val="5"/>
            <w:sz w:val="14"/>
            <w:u w:val="single" w:color="005DA1"/>
          </w:rPr>
          <w:t>1404</w:t>
        </w:r>
      </w:hyperlink>
      <w:r>
        <w:rPr>
          <w:position w:val="5"/>
          <w:sz w:val="14"/>
        </w:rPr>
        <w:t>.</w:t>
      </w:r>
      <w:r>
        <w:rPr>
          <w:spacing w:val="55"/>
          <w:position w:val="5"/>
          <w:sz w:val="14"/>
        </w:rPr>
        <w:t>  </w:t>
      </w:r>
      <w:r>
        <w:rPr/>
        <w:t>Dicey,</w:t>
      </w:r>
      <w:r>
        <w:rPr>
          <w:spacing w:val="1"/>
        </w:rPr>
        <w:t> </w:t>
      </w:r>
      <w:r>
        <w:rPr/>
        <w:t>Morris and Collins, </w:t>
      </w:r>
      <w:r>
        <w:rPr>
          <w:spacing w:val="-2"/>
        </w:rPr>
        <w:t>para.36–008.</w:t>
      </w:r>
    </w:p>
    <w:p>
      <w:pPr>
        <w:pStyle w:val="BodyText"/>
        <w:spacing w:before="5"/>
      </w:pPr>
    </w:p>
    <w:p>
      <w:pPr>
        <w:spacing w:before="0"/>
        <w:ind w:left="165" w:right="0" w:firstLine="0"/>
        <w:jc w:val="left"/>
        <w:rPr>
          <w:sz w:val="20"/>
        </w:rPr>
      </w:pPr>
      <w:bookmarkStart w:name="_bookmark2728" w:id="2730"/>
      <w:bookmarkEnd w:id="2730"/>
      <w:r>
        <w:rPr/>
      </w:r>
      <w:hyperlink w:history="true" w:anchor="_bookmark2677">
        <w:r>
          <w:rPr>
            <w:color w:val="005DA1"/>
            <w:position w:val="5"/>
            <w:sz w:val="14"/>
            <w:u w:val="single" w:color="005DA1"/>
          </w:rPr>
          <w:t>1405</w:t>
        </w:r>
      </w:hyperlink>
      <w:r>
        <w:rPr>
          <w:position w:val="5"/>
          <w:sz w:val="14"/>
        </w:rPr>
        <w:t>.</w:t>
      </w:r>
      <w:r>
        <w:rPr>
          <w:spacing w:val="55"/>
          <w:position w:val="5"/>
          <w:sz w:val="14"/>
        </w:rPr>
        <w:t>  </w:t>
      </w:r>
      <w:r>
        <w:rPr>
          <w:rFonts w:ascii="Arial" w:hAnsi="Arial"/>
          <w:i/>
          <w:sz w:val="20"/>
        </w:rPr>
        <w:t>Re</w:t>
      </w:r>
      <w:r>
        <w:rPr>
          <w:rFonts w:ascii="Arial" w:hAnsi="Arial"/>
          <w:i/>
          <w:spacing w:val="1"/>
          <w:sz w:val="20"/>
        </w:rPr>
        <w:t> </w:t>
      </w:r>
      <w:r>
        <w:rPr>
          <w:rFonts w:ascii="Arial" w:hAnsi="Arial"/>
          <w:i/>
          <w:sz w:val="20"/>
        </w:rPr>
        <w:t>Chesterman’s Trusts [1923]</w:t>
      </w:r>
      <w:r>
        <w:rPr>
          <w:rFonts w:ascii="Arial" w:hAnsi="Arial"/>
          <w:i/>
          <w:spacing w:val="-1"/>
          <w:sz w:val="20"/>
        </w:rPr>
        <w:t> </w:t>
      </w:r>
      <w:r>
        <w:rPr>
          <w:rFonts w:ascii="Arial" w:hAnsi="Arial"/>
          <w:i/>
          <w:sz w:val="20"/>
        </w:rPr>
        <w:t>Ch. 466, 483</w:t>
      </w:r>
      <w:r>
        <w:rPr>
          <w:sz w:val="20"/>
        </w:rPr>
        <w:t>; see above, para.30-</w:t>
      </w:r>
      <w:r>
        <w:rPr>
          <w:spacing w:val="-4"/>
          <w:sz w:val="20"/>
        </w:rPr>
        <w:t>011.</w:t>
      </w:r>
    </w:p>
    <w:p>
      <w:pPr>
        <w:pStyle w:val="BodyText"/>
        <w:spacing w:before="8"/>
      </w:pPr>
    </w:p>
    <w:p>
      <w:pPr>
        <w:pStyle w:val="BodyText"/>
        <w:spacing w:line="235" w:lineRule="auto" w:before="1"/>
        <w:ind w:left="705" w:right="167" w:hanging="541"/>
        <w:jc w:val="both"/>
      </w:pPr>
      <w:bookmarkStart w:name="_bookmark2729" w:id="2731"/>
      <w:bookmarkEnd w:id="2731"/>
      <w:r>
        <w:rPr/>
      </w:r>
      <w:hyperlink w:history="true" w:anchor="_bookmark2678">
        <w:r>
          <w:rPr>
            <w:color w:val="005DA1"/>
            <w:position w:val="5"/>
            <w:sz w:val="14"/>
            <w:u w:val="single" w:color="005DA1"/>
          </w:rPr>
          <w:t>1406</w:t>
        </w:r>
      </w:hyperlink>
      <w:r>
        <w:rPr>
          <w:position w:val="5"/>
          <w:sz w:val="14"/>
        </w:rPr>
        <w:t>.</w:t>
      </w:r>
      <w:r>
        <w:rPr>
          <w:spacing w:val="80"/>
          <w:w w:val="150"/>
          <w:position w:val="5"/>
          <w:sz w:val="14"/>
        </w:rPr>
        <w:t> </w:t>
      </w:r>
      <w:r>
        <w:rPr/>
        <w:t>i.e.</w:t>
      </w:r>
      <w:r>
        <w:rPr>
          <w:spacing w:val="-2"/>
        </w:rPr>
        <w:t> </w:t>
      </w:r>
      <w:r>
        <w:rPr/>
        <w:t>this</w:t>
      </w:r>
      <w:r>
        <w:rPr>
          <w:spacing w:val="-2"/>
        </w:rPr>
        <w:t> </w:t>
      </w:r>
      <w:r>
        <w:rPr/>
        <w:t>suffices</w:t>
      </w:r>
      <w:r>
        <w:rPr>
          <w:spacing w:val="-2"/>
        </w:rPr>
        <w:t> </w:t>
      </w:r>
      <w:r>
        <w:rPr/>
        <w:t>to</w:t>
      </w:r>
      <w:r>
        <w:rPr>
          <w:spacing w:val="-2"/>
        </w:rPr>
        <w:t> </w:t>
      </w:r>
      <w:r>
        <w:rPr/>
        <w:t>demonstrate</w:t>
      </w:r>
      <w:r>
        <w:rPr>
          <w:spacing w:val="-2"/>
        </w:rPr>
        <w:t> </w:t>
      </w:r>
      <w:r>
        <w:rPr/>
        <w:t>a</w:t>
      </w:r>
      <w:r>
        <w:rPr>
          <w:spacing w:val="-2"/>
        </w:rPr>
        <w:t> </w:t>
      </w:r>
      <w:r>
        <w:rPr/>
        <w:t>choice</w:t>
      </w:r>
      <w:r>
        <w:rPr>
          <w:spacing w:val="-2"/>
        </w:rPr>
        <w:t> </w:t>
      </w:r>
      <w:r>
        <w:rPr/>
        <w:t>with</w:t>
      </w:r>
      <w:r>
        <w:rPr>
          <w:spacing w:val="-2"/>
        </w:rPr>
        <w:t> </w:t>
      </w:r>
      <w:r>
        <w:rPr/>
        <w:t>reasonable</w:t>
      </w:r>
      <w:r>
        <w:rPr>
          <w:spacing w:val="-2"/>
        </w:rPr>
        <w:t> </w:t>
      </w:r>
      <w:r>
        <w:rPr/>
        <w:t>certainty</w:t>
      </w:r>
      <w:r>
        <w:rPr>
          <w:spacing w:val="-2"/>
        </w:rPr>
        <w:t> </w:t>
      </w:r>
      <w:r>
        <w:rPr/>
        <w:t>for</w:t>
      </w:r>
      <w:r>
        <w:rPr>
          <w:spacing w:val="-2"/>
        </w:rPr>
        <w:t> </w:t>
      </w:r>
      <w:r>
        <w:rPr/>
        <w:t>the</w:t>
      </w:r>
      <w:r>
        <w:rPr>
          <w:spacing w:val="-2"/>
        </w:rPr>
        <w:t> </w:t>
      </w:r>
      <w:r>
        <w:rPr/>
        <w:t>purposes</w:t>
      </w:r>
      <w:r>
        <w:rPr>
          <w:spacing w:val="-2"/>
        </w:rPr>
        <w:t> </w:t>
      </w:r>
      <w:r>
        <w:rPr/>
        <w:t>of</w:t>
      </w:r>
      <w:r>
        <w:rPr>
          <w:spacing w:val="-2"/>
        </w:rPr>
        <w:t> </w:t>
      </w:r>
      <w:r>
        <w:rPr/>
        <w:t>art.3(1)</w:t>
      </w:r>
      <w:r>
        <w:rPr>
          <w:spacing w:val="-2"/>
        </w:rPr>
        <w:t> </w:t>
      </w:r>
      <w:r>
        <w:rPr/>
        <w:t>of the Convention or to clearly demonstrate a choice for the purposes of art.3(1) of the Rome I Regulation: see above, paras 30-046 et seq., 30-169 et seq.</w:t>
      </w:r>
    </w:p>
    <w:p>
      <w:pPr>
        <w:pStyle w:val="BodyText"/>
        <w:spacing w:before="8"/>
      </w:pPr>
    </w:p>
    <w:p>
      <w:pPr>
        <w:pStyle w:val="BodyText"/>
        <w:spacing w:line="235" w:lineRule="auto" w:before="1"/>
        <w:ind w:left="705" w:hanging="541"/>
      </w:pPr>
      <w:bookmarkStart w:name="_bookmark2730" w:id="2732"/>
      <w:bookmarkEnd w:id="2732"/>
      <w:r>
        <w:rPr/>
      </w:r>
      <w:hyperlink w:history="true" w:anchor="_bookmark2679">
        <w:r>
          <w:rPr>
            <w:color w:val="005DA1"/>
            <w:position w:val="5"/>
            <w:sz w:val="14"/>
            <w:u w:val="single" w:color="005DA1"/>
          </w:rPr>
          <w:t>1407</w:t>
        </w:r>
      </w:hyperlink>
      <w:r>
        <w:rPr>
          <w:position w:val="5"/>
          <w:sz w:val="14"/>
        </w:rPr>
        <w:t>.</w:t>
      </w:r>
      <w:r>
        <w:rPr>
          <w:spacing w:val="40"/>
          <w:position w:val="5"/>
          <w:sz w:val="14"/>
        </w:rPr>
        <w:t>  </w:t>
      </w:r>
      <w:r>
        <w:rPr/>
        <w:t>Rome Convention art.3(1) and Rome I Regulation art.3(1) which permit parties to select a </w:t>
      </w:r>
      <w:r>
        <w:rPr/>
        <w:t>law</w:t>
      </w:r>
      <w:r>
        <w:rPr>
          <w:spacing w:val="40"/>
        </w:rPr>
        <w:t> </w:t>
      </w:r>
      <w:r>
        <w:rPr/>
        <w:t>applicable to a part only of a contract: see above, paras 30-055 et seq., 30-174.</w:t>
      </w:r>
    </w:p>
    <w:p>
      <w:pPr>
        <w:pStyle w:val="BodyText"/>
        <w:spacing w:before="5"/>
      </w:pPr>
    </w:p>
    <w:p>
      <w:pPr>
        <w:pStyle w:val="BodyText"/>
        <w:ind w:left="165"/>
      </w:pPr>
      <w:bookmarkStart w:name="_bookmark2731" w:id="2733"/>
      <w:bookmarkEnd w:id="2733"/>
      <w:r>
        <w:rPr/>
      </w:r>
      <w:hyperlink w:history="true" w:anchor="_bookmark2680">
        <w:r>
          <w:rPr>
            <w:color w:val="005DA1"/>
            <w:position w:val="5"/>
            <w:sz w:val="14"/>
            <w:u w:val="single" w:color="005DA1"/>
          </w:rPr>
          <w:t>1408</w:t>
        </w:r>
      </w:hyperlink>
      <w:r>
        <w:rPr>
          <w:position w:val="5"/>
          <w:sz w:val="14"/>
        </w:rPr>
        <w:t>.</w:t>
      </w:r>
      <w:r>
        <w:rPr>
          <w:spacing w:val="55"/>
          <w:position w:val="5"/>
          <w:sz w:val="14"/>
        </w:rPr>
        <w:t>  </w:t>
      </w:r>
      <w:r>
        <w:rPr/>
        <w:t>See</w:t>
      </w:r>
      <w:r>
        <w:rPr>
          <w:spacing w:val="1"/>
        </w:rPr>
        <w:t> </w:t>
      </w:r>
      <w:r>
        <w:rPr/>
        <w:t>Dicey, Morris and Collins, 15th edn (2012), </w:t>
      </w:r>
      <w:r>
        <w:rPr>
          <w:spacing w:val="-2"/>
        </w:rPr>
        <w:t>para.37–004.</w:t>
      </w:r>
    </w:p>
    <w:p>
      <w:pPr>
        <w:pStyle w:val="BodyText"/>
        <w:spacing w:before="9"/>
      </w:pPr>
    </w:p>
    <w:p>
      <w:pPr>
        <w:spacing w:line="235" w:lineRule="auto" w:before="0"/>
        <w:ind w:left="705" w:right="167" w:hanging="541"/>
        <w:jc w:val="both"/>
        <w:rPr>
          <w:sz w:val="20"/>
        </w:rPr>
      </w:pPr>
      <w:bookmarkStart w:name="_bookmark2732" w:id="2734"/>
      <w:bookmarkEnd w:id="2734"/>
      <w:r>
        <w:rPr/>
      </w:r>
      <w:hyperlink w:history="true" w:anchor="_bookmark2681">
        <w:r>
          <w:rPr>
            <w:color w:val="005DA1"/>
            <w:position w:val="5"/>
            <w:sz w:val="14"/>
            <w:u w:val="single" w:color="005DA1"/>
          </w:rPr>
          <w:t>1409</w:t>
        </w:r>
      </w:hyperlink>
      <w:r>
        <w:rPr>
          <w:position w:val="5"/>
          <w:sz w:val="14"/>
        </w:rPr>
        <w:t>.</w:t>
      </w:r>
      <w:r>
        <w:rPr>
          <w:spacing w:val="40"/>
          <w:position w:val="5"/>
          <w:sz w:val="14"/>
        </w:rPr>
        <w:t>  </w:t>
      </w:r>
      <w:r>
        <w:rPr>
          <w:sz w:val="20"/>
        </w:rPr>
        <w:t>Rome Convention art.10(1)(a); Rome I Regulation art.12(1)(a). </w:t>
      </w:r>
      <w:r>
        <w:rPr>
          <w:rFonts w:ascii="Arial"/>
          <w:i/>
          <w:sz w:val="20"/>
        </w:rPr>
        <w:t>Adelaide Electric Supply Co Ltd</w:t>
      </w:r>
      <w:r>
        <w:rPr>
          <w:rFonts w:ascii="Arial"/>
          <w:i/>
          <w:spacing w:val="40"/>
          <w:sz w:val="20"/>
        </w:rPr>
        <w:t> </w:t>
      </w:r>
      <w:r>
        <w:rPr>
          <w:rFonts w:ascii="Arial"/>
          <w:i/>
          <w:sz w:val="20"/>
        </w:rPr>
        <w:t>v Prudential Assurance Co Ltd [1934] A.C. 122</w:t>
      </w:r>
      <w:r>
        <w:rPr>
          <w:sz w:val="20"/>
        </w:rPr>
        <w:t>; </w:t>
      </w:r>
      <w:r>
        <w:rPr>
          <w:rFonts w:ascii="Arial"/>
          <w:i/>
          <w:sz w:val="20"/>
        </w:rPr>
        <w:t>Auckland Corp v Alliance Assurance Co Ltd [1937] A.C. 587</w:t>
      </w:r>
      <w:r>
        <w:rPr>
          <w:sz w:val="20"/>
        </w:rPr>
        <w:t>; </w:t>
      </w:r>
      <w:r>
        <w:rPr>
          <w:rFonts w:ascii="Arial"/>
          <w:i/>
          <w:sz w:val="20"/>
        </w:rPr>
        <w:t>De Bueger v Ballantyne &amp; Co [1938] A.C. 452</w:t>
      </w:r>
      <w:r>
        <w:rPr>
          <w:sz w:val="20"/>
        </w:rPr>
        <w:t>; </w:t>
      </w:r>
      <w:r>
        <w:rPr>
          <w:rFonts w:ascii="Arial"/>
          <w:i/>
          <w:sz w:val="20"/>
        </w:rPr>
        <w:t>Bonython v Commonwealth of Australia [1951] A.C. 201</w:t>
      </w:r>
      <w:r>
        <w:rPr>
          <w:sz w:val="20"/>
        </w:rPr>
        <w:t>; </w:t>
      </w:r>
      <w:r>
        <w:rPr>
          <w:rFonts w:ascii="Arial"/>
          <w:i/>
          <w:sz w:val="20"/>
        </w:rPr>
        <w:t>National Bank of Australasia Ltd v Scottish Union and National Insurance Co Ltd [1952] A.C. 493</w:t>
      </w:r>
      <w:r>
        <w:rPr>
          <w:sz w:val="20"/>
        </w:rPr>
        <w:t>; </w:t>
      </w:r>
      <w:r>
        <w:rPr>
          <w:rFonts w:ascii="Arial"/>
          <w:i/>
          <w:sz w:val="20"/>
        </w:rPr>
        <w:t>National Mutual Life Association of Australasia Ltd v AG for New Zealand [1956] A.C. 493</w:t>
      </w:r>
      <w:r>
        <w:rPr>
          <w:sz w:val="20"/>
        </w:rPr>
        <w:t>.</w:t>
      </w:r>
    </w:p>
    <w:p>
      <w:pPr>
        <w:pStyle w:val="BodyText"/>
        <w:spacing w:before="4"/>
      </w:pPr>
    </w:p>
    <w:p>
      <w:pPr>
        <w:spacing w:before="0"/>
        <w:ind w:left="165" w:right="0" w:firstLine="0"/>
        <w:jc w:val="left"/>
        <w:rPr>
          <w:sz w:val="20"/>
        </w:rPr>
      </w:pPr>
      <w:bookmarkStart w:name="_bookmark2733" w:id="2735"/>
      <w:bookmarkEnd w:id="2735"/>
      <w:r>
        <w:rPr/>
      </w:r>
      <w:hyperlink w:history="true" w:anchor="_bookmark2682">
        <w:r>
          <w:rPr>
            <w:color w:val="005DA1"/>
            <w:position w:val="5"/>
            <w:sz w:val="14"/>
            <w:u w:val="single" w:color="005DA1"/>
          </w:rPr>
          <w:t>1410</w:t>
        </w:r>
      </w:hyperlink>
      <w:r>
        <w:rPr>
          <w:position w:val="5"/>
          <w:sz w:val="14"/>
        </w:rPr>
        <w:t>.</w:t>
      </w:r>
      <w:r>
        <w:rPr>
          <w:spacing w:val="55"/>
          <w:position w:val="5"/>
          <w:sz w:val="14"/>
        </w:rPr>
        <w:t>  </w:t>
      </w:r>
      <w:r>
        <w:rPr>
          <w:sz w:val="20"/>
        </w:rPr>
        <w:t>See,</w:t>
      </w:r>
      <w:r>
        <w:rPr>
          <w:spacing w:val="1"/>
          <w:sz w:val="20"/>
        </w:rPr>
        <w:t> </w:t>
      </w:r>
      <w:r>
        <w:rPr>
          <w:sz w:val="20"/>
        </w:rPr>
        <w:t>e.g. </w:t>
      </w:r>
      <w:r>
        <w:rPr>
          <w:rFonts w:ascii="Arial"/>
          <w:i/>
          <w:sz w:val="20"/>
        </w:rPr>
        <w:t>W.J. Alan &amp; Co Ltd v El Nasr Export and Import Co [1972] 2 Q.B. </w:t>
      </w:r>
      <w:r>
        <w:rPr>
          <w:rFonts w:ascii="Arial"/>
          <w:i/>
          <w:spacing w:val="-4"/>
          <w:sz w:val="20"/>
        </w:rPr>
        <w:t>189</w:t>
      </w:r>
      <w:r>
        <w:rPr>
          <w:spacing w:val="-4"/>
          <w:sz w:val="20"/>
        </w:rPr>
        <w:t>.</w:t>
      </w:r>
    </w:p>
    <w:p>
      <w:pPr>
        <w:pStyle w:val="BodyText"/>
        <w:spacing w:before="8"/>
      </w:pPr>
    </w:p>
    <w:p>
      <w:pPr>
        <w:spacing w:line="235" w:lineRule="auto" w:before="1"/>
        <w:ind w:left="705" w:right="168" w:hanging="541"/>
        <w:jc w:val="both"/>
        <w:rPr>
          <w:sz w:val="20"/>
        </w:rPr>
      </w:pPr>
      <w:bookmarkStart w:name="_bookmark2734" w:id="2736"/>
      <w:bookmarkEnd w:id="2736"/>
      <w:r>
        <w:rPr/>
      </w:r>
      <w:hyperlink w:history="true" w:anchor="_bookmark2683">
        <w:r>
          <w:rPr>
            <w:color w:val="005DA1"/>
            <w:position w:val="5"/>
            <w:sz w:val="14"/>
            <w:u w:val="single" w:color="005DA1"/>
          </w:rPr>
          <w:t>1411</w:t>
        </w:r>
      </w:hyperlink>
      <w:r>
        <w:rPr>
          <w:position w:val="5"/>
          <w:sz w:val="14"/>
        </w:rPr>
        <w:t>.</w:t>
      </w:r>
      <w:r>
        <w:rPr>
          <w:spacing w:val="80"/>
          <w:position w:val="5"/>
          <w:sz w:val="14"/>
        </w:rPr>
        <w:t> </w:t>
      </w:r>
      <w:r>
        <w:rPr>
          <w:rFonts w:ascii="Arial"/>
          <w:i/>
          <w:sz w:val="20"/>
        </w:rPr>
        <w:t>Bonython v Commonwealth of Australia [1951] A.C. 201</w:t>
      </w:r>
      <w:r>
        <w:rPr>
          <w:sz w:val="20"/>
        </w:rPr>
        <w:t>; </w:t>
      </w:r>
      <w:r>
        <w:rPr>
          <w:rFonts w:ascii="Arial"/>
          <w:i/>
          <w:sz w:val="20"/>
        </w:rPr>
        <w:t>National Bank of Australasia Ltd </w:t>
      </w:r>
      <w:r>
        <w:rPr>
          <w:rFonts w:ascii="Arial"/>
          <w:i/>
          <w:sz w:val="20"/>
        </w:rPr>
        <w:t>v Scottish Union and National Insurance Co Ltd [1952] A.C. 493</w:t>
      </w:r>
      <w:r>
        <w:rPr>
          <w:sz w:val="20"/>
        </w:rPr>
        <w:t>; </w:t>
      </w:r>
      <w:r>
        <w:rPr>
          <w:rFonts w:ascii="Arial"/>
          <w:i/>
          <w:sz w:val="20"/>
        </w:rPr>
        <w:t>W.J. Alan &amp; Co Ltd v El Nasr Export and Import Co [1972] 2 Q.B. 189</w:t>
      </w:r>
      <w:r>
        <w:rPr>
          <w:sz w:val="20"/>
        </w:rPr>
        <w:t>; </w:t>
      </w:r>
      <w:r>
        <w:rPr>
          <w:rFonts w:ascii="Arial"/>
          <w:i/>
          <w:sz w:val="20"/>
        </w:rPr>
        <w:t>Addax Bank BSC v Wellesley Partners LLP [2010] EWHC 1904 (QB)</w:t>
      </w:r>
      <w:r>
        <w:rPr>
          <w:sz w:val="20"/>
        </w:rPr>
        <w:t>.</w:t>
      </w:r>
    </w:p>
    <w:p>
      <w:pPr>
        <w:pStyle w:val="BodyText"/>
        <w:spacing w:before="8"/>
      </w:pPr>
    </w:p>
    <w:p>
      <w:pPr>
        <w:spacing w:line="235" w:lineRule="auto" w:before="0"/>
        <w:ind w:left="705" w:right="167" w:hanging="541"/>
        <w:jc w:val="both"/>
        <w:rPr>
          <w:sz w:val="20"/>
        </w:rPr>
      </w:pPr>
      <w:bookmarkStart w:name="_bookmark2735" w:id="2737"/>
      <w:bookmarkEnd w:id="2737"/>
      <w:r>
        <w:rPr/>
      </w:r>
      <w:hyperlink w:history="true" w:anchor="_bookmark2683">
        <w:r>
          <w:rPr>
            <w:color w:val="005DA1"/>
            <w:position w:val="5"/>
            <w:sz w:val="14"/>
            <w:u w:val="single" w:color="005DA1"/>
          </w:rPr>
          <w:t>1412</w:t>
        </w:r>
      </w:hyperlink>
      <w:r>
        <w:rPr>
          <w:position w:val="5"/>
          <w:sz w:val="14"/>
        </w:rPr>
        <w:t>.</w:t>
      </w:r>
      <w:r>
        <w:rPr>
          <w:spacing w:val="80"/>
          <w:position w:val="5"/>
          <w:sz w:val="14"/>
        </w:rPr>
        <w:t> </w:t>
      </w:r>
      <w:r>
        <w:rPr>
          <w:rFonts w:ascii="Arial" w:hAnsi="Arial"/>
          <w:i/>
          <w:sz w:val="20"/>
        </w:rPr>
        <w:t>Adelaide Electric Supply Co Ltd v Prudential Assurance Co Ltd [1934] A.C. 122</w:t>
      </w:r>
      <w:r>
        <w:rPr>
          <w:sz w:val="20"/>
        </w:rPr>
        <w:t>; </w:t>
      </w:r>
      <w:r>
        <w:rPr>
          <w:rFonts w:ascii="Arial" w:hAnsi="Arial"/>
          <w:i/>
          <w:sz w:val="20"/>
        </w:rPr>
        <w:t>Bonython v Commonwealth of Australia [1951] A.C. 201</w:t>
      </w:r>
      <w:r>
        <w:rPr>
          <w:sz w:val="20"/>
        </w:rPr>
        <w:t>. The process of determining the money of </w:t>
      </w:r>
      <w:r>
        <w:rPr>
          <w:sz w:val="20"/>
        </w:rPr>
        <w:t>account in English domestic law is similar to, but not, as these cases show, identical with the process of determining the law applicable to the contract according to English conflicts rules. See Dicey, Morris and Collins, 15th edn (2012), paras 37–021 et seq.</w:t>
      </w:r>
    </w:p>
    <w:p>
      <w:pPr>
        <w:pStyle w:val="BodyText"/>
        <w:spacing w:before="8"/>
      </w:pPr>
    </w:p>
    <w:p>
      <w:pPr>
        <w:spacing w:line="235" w:lineRule="auto" w:before="0"/>
        <w:ind w:left="705" w:right="218" w:hanging="541"/>
        <w:jc w:val="left"/>
        <w:rPr>
          <w:sz w:val="20"/>
        </w:rPr>
      </w:pPr>
      <w:bookmarkStart w:name="_bookmark2736" w:id="2738"/>
      <w:bookmarkEnd w:id="2738"/>
      <w:r>
        <w:rPr/>
      </w:r>
      <w:hyperlink w:history="true" w:anchor="_bookmark2684">
        <w:r>
          <w:rPr>
            <w:color w:val="005DA1"/>
            <w:position w:val="5"/>
            <w:sz w:val="14"/>
            <w:u w:val="single" w:color="005DA1"/>
          </w:rPr>
          <w:t>1413</w:t>
        </w:r>
      </w:hyperlink>
      <w:r>
        <w:rPr>
          <w:position w:val="5"/>
          <w:sz w:val="14"/>
        </w:rPr>
        <w:t>.</w:t>
      </w:r>
      <w:r>
        <w:rPr>
          <w:spacing w:val="40"/>
          <w:position w:val="5"/>
          <w:sz w:val="14"/>
        </w:rPr>
        <w:t>  </w:t>
      </w:r>
      <w:r>
        <w:rPr>
          <w:sz w:val="20"/>
        </w:rPr>
        <w:t>Rome Convention art.10(1)(c); Rome I Regulation art.12(1)(c): </w:t>
      </w:r>
      <w:r>
        <w:rPr>
          <w:rFonts w:ascii="Arial"/>
          <w:i/>
          <w:sz w:val="20"/>
        </w:rPr>
        <w:t>Services Europe Atlantique </w:t>
      </w:r>
      <w:r>
        <w:rPr>
          <w:rFonts w:ascii="Arial"/>
          <w:i/>
          <w:sz w:val="20"/>
        </w:rPr>
        <w:t>Sud</w:t>
      </w:r>
      <w:r>
        <w:rPr>
          <w:rFonts w:ascii="Arial"/>
          <w:i/>
          <w:spacing w:val="40"/>
          <w:sz w:val="20"/>
        </w:rPr>
        <w:t> </w:t>
      </w:r>
      <w:r>
        <w:rPr>
          <w:rFonts w:ascii="Arial"/>
          <w:i/>
          <w:sz w:val="20"/>
        </w:rPr>
        <w:t>v Stockholms Rederaktiebolag Svea [1979] A.C. 685</w:t>
      </w:r>
      <w:r>
        <w:rPr>
          <w:sz w:val="20"/>
        </w:rPr>
        <w:t>.</w:t>
      </w:r>
    </w:p>
    <w:p>
      <w:pPr>
        <w:pStyle w:val="BodyText"/>
        <w:spacing w:before="9"/>
      </w:pPr>
    </w:p>
    <w:p>
      <w:pPr>
        <w:pStyle w:val="BodyText"/>
        <w:spacing w:line="235" w:lineRule="auto"/>
        <w:ind w:left="705" w:right="167" w:hanging="541"/>
        <w:jc w:val="both"/>
      </w:pPr>
      <w:bookmarkStart w:name="_bookmark2737" w:id="2739"/>
      <w:bookmarkEnd w:id="2739"/>
      <w:r>
        <w:rPr/>
      </w:r>
      <w:hyperlink w:history="true" w:anchor="_bookmark2685">
        <w:r>
          <w:rPr>
            <w:color w:val="005DA1"/>
            <w:position w:val="5"/>
            <w:sz w:val="14"/>
            <w:u w:val="single" w:color="005DA1"/>
          </w:rPr>
          <w:t>1414</w:t>
        </w:r>
      </w:hyperlink>
      <w:r>
        <w:rPr>
          <w:position w:val="5"/>
          <w:sz w:val="14"/>
        </w:rPr>
        <w:t>.</w:t>
      </w:r>
      <w:r>
        <w:rPr>
          <w:spacing w:val="80"/>
          <w:position w:val="5"/>
          <w:sz w:val="14"/>
        </w:rPr>
        <w:t> </w:t>
      </w:r>
      <w:r>
        <w:rPr/>
        <w:t>i.e. the money of account and the money of payment: see text at n.1412, above and </w:t>
      </w:r>
      <w:r>
        <w:rPr/>
        <w:t>below, paras 30-376 et seq. For an example, see </w:t>
      </w:r>
      <w:r>
        <w:rPr>
          <w:rFonts w:ascii="Arial"/>
          <w:i/>
        </w:rPr>
        <w:t>Rogers v Markel Corp [2004] EWHC 2046 (QB)</w:t>
      </w:r>
      <w:r>
        <w:rPr/>
        <w:t>, although the contract in this case was governed by the law of Virginia which seems to be the same on this point as English law.</w:t>
      </w:r>
    </w:p>
    <w:p>
      <w:pPr>
        <w:pStyle w:val="BodyText"/>
        <w:spacing w:before="9"/>
      </w:pPr>
    </w:p>
    <w:p>
      <w:pPr>
        <w:spacing w:line="235" w:lineRule="auto" w:before="0"/>
        <w:ind w:left="705" w:right="167" w:hanging="541"/>
        <w:jc w:val="both"/>
        <w:rPr>
          <w:sz w:val="20"/>
        </w:rPr>
      </w:pPr>
      <w:bookmarkStart w:name="_bookmark2738" w:id="2740"/>
      <w:bookmarkEnd w:id="2740"/>
      <w:r>
        <w:rPr/>
      </w:r>
      <w:hyperlink w:history="true" w:anchor="_bookmark2686">
        <w:r>
          <w:rPr>
            <w:color w:val="005DA1"/>
            <w:position w:val="5"/>
            <w:sz w:val="14"/>
            <w:u w:val="single" w:color="005DA1"/>
          </w:rPr>
          <w:t>1415</w:t>
        </w:r>
      </w:hyperlink>
      <w:r>
        <w:rPr>
          <w:position w:val="5"/>
          <w:sz w:val="14"/>
        </w:rPr>
        <w:t>.</w:t>
      </w:r>
      <w:r>
        <w:rPr>
          <w:spacing w:val="40"/>
          <w:position w:val="5"/>
          <w:sz w:val="14"/>
        </w:rPr>
        <w:t>  </w:t>
      </w:r>
      <w:r>
        <w:rPr>
          <w:rFonts w:ascii="Arial" w:hAnsi="Arial"/>
          <w:i/>
          <w:sz w:val="20"/>
        </w:rPr>
        <w:t>Services</w:t>
      </w:r>
      <w:r>
        <w:rPr>
          <w:rFonts w:ascii="Arial" w:hAnsi="Arial"/>
          <w:i/>
          <w:spacing w:val="-2"/>
          <w:sz w:val="20"/>
        </w:rPr>
        <w:t> </w:t>
      </w:r>
      <w:r>
        <w:rPr>
          <w:rFonts w:ascii="Arial" w:hAnsi="Arial"/>
          <w:i/>
          <w:sz w:val="20"/>
        </w:rPr>
        <w:t>Europe</w:t>
      </w:r>
      <w:r>
        <w:rPr>
          <w:rFonts w:ascii="Arial" w:hAnsi="Arial"/>
          <w:i/>
          <w:spacing w:val="-2"/>
          <w:sz w:val="20"/>
        </w:rPr>
        <w:t> </w:t>
      </w:r>
      <w:r>
        <w:rPr>
          <w:rFonts w:ascii="Arial" w:hAnsi="Arial"/>
          <w:i/>
          <w:sz w:val="20"/>
        </w:rPr>
        <w:t>Atlantique</w:t>
      </w:r>
      <w:r>
        <w:rPr>
          <w:rFonts w:ascii="Arial" w:hAnsi="Arial"/>
          <w:i/>
          <w:spacing w:val="-2"/>
          <w:sz w:val="20"/>
        </w:rPr>
        <w:t> </w:t>
      </w:r>
      <w:r>
        <w:rPr>
          <w:rFonts w:ascii="Arial" w:hAnsi="Arial"/>
          <w:i/>
          <w:sz w:val="20"/>
        </w:rPr>
        <w:t>Sud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Stockholms</w:t>
      </w:r>
      <w:r>
        <w:rPr>
          <w:rFonts w:ascii="Arial" w:hAnsi="Arial"/>
          <w:i/>
          <w:spacing w:val="-2"/>
          <w:sz w:val="20"/>
        </w:rPr>
        <w:t> </w:t>
      </w:r>
      <w:r>
        <w:rPr>
          <w:rFonts w:ascii="Arial" w:hAnsi="Arial"/>
          <w:i/>
          <w:sz w:val="20"/>
        </w:rPr>
        <w:t>Rederaktiebolag</w:t>
      </w:r>
      <w:r>
        <w:rPr>
          <w:rFonts w:ascii="Arial" w:hAnsi="Arial"/>
          <w:i/>
          <w:spacing w:val="-2"/>
          <w:sz w:val="20"/>
        </w:rPr>
        <w:t> </w:t>
      </w:r>
      <w:r>
        <w:rPr>
          <w:rFonts w:ascii="Arial" w:hAnsi="Arial"/>
          <w:i/>
          <w:sz w:val="20"/>
        </w:rPr>
        <w:t>Svea</w:t>
      </w:r>
      <w:r>
        <w:rPr>
          <w:rFonts w:ascii="Arial" w:hAnsi="Arial"/>
          <w:i/>
          <w:spacing w:val="-2"/>
          <w:sz w:val="20"/>
        </w:rPr>
        <w:t> </w:t>
      </w:r>
      <w:r>
        <w:rPr>
          <w:rFonts w:ascii="Arial" w:hAnsi="Arial"/>
          <w:i/>
          <w:sz w:val="20"/>
        </w:rPr>
        <w:t>[1979]</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685</w:t>
      </w:r>
      <w:r>
        <w:rPr>
          <w:sz w:val="20"/>
        </w:rPr>
        <w:t>.</w:t>
      </w:r>
      <w:r>
        <w:rPr>
          <w:spacing w:val="-2"/>
          <w:sz w:val="20"/>
        </w:rPr>
        <w:t> </w:t>
      </w:r>
      <w:r>
        <w:rPr>
          <w:sz w:val="20"/>
        </w:rPr>
        <w:t>See</w:t>
      </w:r>
      <w:r>
        <w:rPr>
          <w:spacing w:val="-2"/>
          <w:sz w:val="20"/>
        </w:rPr>
        <w:t> </w:t>
      </w:r>
      <w:r>
        <w:rPr>
          <w:rFonts w:ascii="Arial" w:hAnsi="Arial"/>
          <w:i/>
          <w:sz w:val="20"/>
        </w:rPr>
        <w:t>Bain v Field (1920) 5 Ll.L. Rep. 16</w:t>
      </w:r>
      <w:r>
        <w:rPr>
          <w:sz w:val="20"/>
        </w:rPr>
        <w:t>; </w:t>
      </w:r>
      <w:r>
        <w:rPr>
          <w:rFonts w:ascii="Arial" w:hAnsi="Arial"/>
          <w:i/>
          <w:sz w:val="20"/>
        </w:rPr>
        <w:t>Ottoman Bank v Chakarian (No.1) [1930] A.C. 277</w:t>
      </w:r>
      <w:r>
        <w:rPr>
          <w:sz w:val="20"/>
        </w:rPr>
        <w:t>; </w:t>
      </w:r>
      <w:r>
        <w:rPr>
          <w:rFonts w:ascii="Arial" w:hAnsi="Arial"/>
          <w:i/>
          <w:sz w:val="20"/>
        </w:rPr>
        <w:t>Kraut AG v Albany Fabrics</w:t>
      </w:r>
      <w:r>
        <w:rPr>
          <w:rFonts w:ascii="Arial" w:hAnsi="Arial"/>
          <w:i/>
          <w:spacing w:val="-1"/>
          <w:sz w:val="20"/>
        </w:rPr>
        <w:t> </w:t>
      </w:r>
      <w:r>
        <w:rPr>
          <w:rFonts w:ascii="Arial" w:hAnsi="Arial"/>
          <w:i/>
          <w:sz w:val="20"/>
        </w:rPr>
        <w:t>Ltd [1977]</w:t>
      </w:r>
      <w:r>
        <w:rPr>
          <w:rFonts w:ascii="Arial" w:hAnsi="Arial"/>
          <w:i/>
          <w:spacing w:val="-1"/>
          <w:sz w:val="20"/>
        </w:rPr>
        <w:t> </w:t>
      </w:r>
      <w:r>
        <w:rPr>
          <w:rFonts w:ascii="Arial" w:hAnsi="Arial"/>
          <w:i/>
          <w:sz w:val="20"/>
        </w:rPr>
        <w:t>Q.B. 182</w:t>
      </w:r>
      <w:r>
        <w:rPr>
          <w:sz w:val="20"/>
        </w:rPr>
        <w:t>;</w:t>
      </w:r>
      <w:r>
        <w:rPr>
          <w:spacing w:val="-1"/>
          <w:sz w:val="20"/>
        </w:rPr>
        <w:t> </w:t>
      </w:r>
      <w:r>
        <w:rPr>
          <w:rFonts w:ascii="Arial" w:hAnsi="Arial"/>
          <w:i/>
          <w:sz w:val="20"/>
        </w:rPr>
        <w:t>Société Francaise</w:t>
      </w:r>
      <w:r>
        <w:rPr>
          <w:rFonts w:ascii="Arial" w:hAnsi="Arial"/>
          <w:i/>
          <w:spacing w:val="-1"/>
          <w:sz w:val="20"/>
        </w:rPr>
        <w:t> </w:t>
      </w:r>
      <w:r>
        <w:rPr>
          <w:rFonts w:ascii="Arial" w:hAnsi="Arial"/>
          <w:i/>
          <w:sz w:val="20"/>
        </w:rPr>
        <w:t>Bunge SA</w:t>
      </w:r>
      <w:r>
        <w:rPr>
          <w:rFonts w:ascii="Arial" w:hAnsi="Arial"/>
          <w:i/>
          <w:spacing w:val="-1"/>
          <w:sz w:val="20"/>
        </w:rPr>
        <w:t> </w:t>
      </w:r>
      <w:r>
        <w:rPr>
          <w:rFonts w:ascii="Arial" w:hAnsi="Arial"/>
          <w:i/>
          <w:sz w:val="20"/>
        </w:rPr>
        <w:t>v Belcan</w:t>
      </w:r>
      <w:r>
        <w:rPr>
          <w:rFonts w:ascii="Arial" w:hAnsi="Arial"/>
          <w:i/>
          <w:spacing w:val="-1"/>
          <w:sz w:val="20"/>
        </w:rPr>
        <w:t> </w:t>
      </w:r>
      <w:r>
        <w:rPr>
          <w:rFonts w:ascii="Arial" w:hAnsi="Arial"/>
          <w:i/>
          <w:sz w:val="20"/>
        </w:rPr>
        <w:t>NV [1985]</w:t>
      </w:r>
      <w:r>
        <w:rPr>
          <w:rFonts w:ascii="Arial" w:hAnsi="Arial"/>
          <w:i/>
          <w:spacing w:val="-1"/>
          <w:sz w:val="20"/>
        </w:rPr>
        <w:t> </w:t>
      </w:r>
      <w:r>
        <w:rPr>
          <w:rFonts w:ascii="Arial" w:hAnsi="Arial"/>
          <w:i/>
          <w:sz w:val="20"/>
        </w:rPr>
        <w:t>3 All</w:t>
      </w:r>
      <w:r>
        <w:rPr>
          <w:rFonts w:ascii="Arial" w:hAnsi="Arial"/>
          <w:i/>
          <w:spacing w:val="-1"/>
          <w:sz w:val="20"/>
        </w:rPr>
        <w:t> </w:t>
      </w:r>
      <w:r>
        <w:rPr>
          <w:rFonts w:ascii="Arial" w:hAnsi="Arial"/>
          <w:i/>
          <w:sz w:val="20"/>
        </w:rPr>
        <w:t>E.R. 378</w:t>
      </w:r>
      <w:r>
        <w:rPr>
          <w:sz w:val="20"/>
        </w:rPr>
        <w:t>; </w:t>
      </w:r>
      <w:r>
        <w:rPr>
          <w:rFonts w:ascii="Arial" w:hAnsi="Arial"/>
          <w:i/>
          <w:sz w:val="20"/>
        </w:rPr>
        <w:t>Metaalhandel J.A. Magnus BV v Ardfields Transport Ltd [1988] 1 Lloyd’s Rep. 471</w:t>
      </w:r>
      <w:r>
        <w:rPr>
          <w:sz w:val="20"/>
        </w:rPr>
        <w:t>; </w:t>
      </w:r>
      <w:r>
        <w:rPr>
          <w:rFonts w:ascii="Arial" w:hAnsi="Arial"/>
          <w:i/>
          <w:sz w:val="20"/>
        </w:rPr>
        <w:t>The Texaco Melbourne [1994] 1 Lloyd’s Rep. 473 </w:t>
      </w:r>
      <w:r>
        <w:rPr>
          <w:sz w:val="20"/>
        </w:rPr>
        <w:t>(loss felt in Ghanaian cedis and measured in that currency despite fall in rate of exchange from 2.75 cedis to dollar at date of breach to 375 at date of judgment; criticised by Knott [1994] L.M.C.L.Q. 311); </w:t>
      </w:r>
      <w:r>
        <w:rPr>
          <w:rFonts w:ascii="Arial" w:hAnsi="Arial"/>
          <w:i/>
          <w:sz w:val="20"/>
        </w:rPr>
        <w:t>Virani Ltd v Manuel Revert Y Cia SA [2003] EWCA Civ 1651, [2004] 2 Lloyd’s Rep. 14</w:t>
      </w:r>
      <w:r>
        <w:rPr>
          <w:sz w:val="20"/>
        </w:rPr>
        <w:t>. See also </w:t>
      </w:r>
      <w:r>
        <w:rPr>
          <w:rFonts w:ascii="Arial" w:hAnsi="Arial"/>
          <w:i/>
          <w:sz w:val="20"/>
        </w:rPr>
        <w:t>B.P. Exploration Co (Libya) Ltd</w:t>
      </w:r>
      <w:r>
        <w:rPr>
          <w:rFonts w:ascii="Arial" w:hAnsi="Arial"/>
          <w:i/>
          <w:spacing w:val="40"/>
          <w:sz w:val="20"/>
        </w:rPr>
        <w:t> </w:t>
      </w:r>
      <w:r>
        <w:rPr>
          <w:rFonts w:ascii="Arial" w:hAnsi="Arial"/>
          <w:i/>
          <w:sz w:val="20"/>
        </w:rPr>
        <w:t>v Hunt (No.2) [1981] 1 W.L.R. 232 (affirmed [1983] A.C. 352 </w:t>
      </w:r>
      <w:r>
        <w:rPr>
          <w:sz w:val="20"/>
        </w:rPr>
        <w:t>(restitutionary award under Law Reform (Frustrated Contracts) Act 1943)).</w:t>
      </w:r>
    </w:p>
    <w:p>
      <w:pPr>
        <w:pStyle w:val="BodyText"/>
        <w:spacing w:before="2"/>
      </w:pPr>
    </w:p>
    <w:p>
      <w:pPr>
        <w:pStyle w:val="BodyText"/>
        <w:ind w:left="165"/>
      </w:pPr>
      <w:bookmarkStart w:name="_bookmark2739" w:id="2741"/>
      <w:bookmarkEnd w:id="2741"/>
      <w:r>
        <w:rPr/>
      </w:r>
      <w:hyperlink w:history="true" w:anchor="_bookmark2687">
        <w:r>
          <w:rPr>
            <w:color w:val="005DA1"/>
            <w:position w:val="5"/>
            <w:sz w:val="14"/>
            <w:u w:val="single" w:color="005DA1"/>
          </w:rPr>
          <w:t>1416</w:t>
        </w:r>
      </w:hyperlink>
      <w:r>
        <w:rPr>
          <w:position w:val="5"/>
          <w:sz w:val="14"/>
        </w:rPr>
        <w:t>.</w:t>
      </w:r>
      <w:r>
        <w:rPr>
          <w:spacing w:val="55"/>
          <w:position w:val="5"/>
          <w:sz w:val="14"/>
        </w:rPr>
        <w:t>  </w:t>
      </w:r>
      <w:r>
        <w:rPr/>
        <w:t>See</w:t>
      </w:r>
      <w:r>
        <w:rPr>
          <w:spacing w:val="2"/>
        </w:rPr>
        <w:t> </w:t>
      </w:r>
      <w:r>
        <w:rPr/>
        <w:t>above,</w:t>
      </w:r>
      <w:r>
        <w:rPr>
          <w:spacing w:val="1"/>
        </w:rPr>
        <w:t> </w:t>
      </w:r>
      <w:r>
        <w:rPr/>
        <w:t>paras</w:t>
      </w:r>
      <w:r>
        <w:rPr>
          <w:spacing w:val="1"/>
        </w:rPr>
        <w:t> </w:t>
      </w:r>
      <w:r>
        <w:rPr/>
        <w:t>30-375</w:t>
      </w:r>
      <w:r>
        <w:rPr>
          <w:spacing w:val="1"/>
        </w:rPr>
        <w:t> </w:t>
      </w:r>
      <w:r>
        <w:rPr/>
        <w:t>et</w:t>
      </w:r>
      <w:r>
        <w:rPr>
          <w:spacing w:val="1"/>
        </w:rPr>
        <w:t> </w:t>
      </w:r>
      <w:r>
        <w:rPr/>
        <w:t>seq.</w:t>
      </w:r>
      <w:r>
        <w:rPr>
          <w:spacing w:val="1"/>
        </w:rPr>
        <w:t> </w:t>
      </w:r>
      <w:r>
        <w:rPr/>
        <w:t>The</w:t>
      </w:r>
      <w:r>
        <w:rPr>
          <w:spacing w:val="1"/>
        </w:rPr>
        <w:t> </w:t>
      </w:r>
      <w:r>
        <w:rPr/>
        <w:t>contract</w:t>
      </w:r>
      <w:r>
        <w:rPr>
          <w:spacing w:val="1"/>
        </w:rPr>
        <w:t> </w:t>
      </w:r>
      <w:r>
        <w:rPr/>
        <w:t>may</w:t>
      </w:r>
      <w:r>
        <w:rPr>
          <w:spacing w:val="1"/>
        </w:rPr>
        <w:t> </w:t>
      </w:r>
      <w:r>
        <w:rPr/>
        <w:t>expressly</w:t>
      </w:r>
      <w:r>
        <w:rPr>
          <w:spacing w:val="1"/>
        </w:rPr>
        <w:t> </w:t>
      </w:r>
      <w:r>
        <w:rPr/>
        <w:t>or</w:t>
      </w:r>
      <w:r>
        <w:rPr>
          <w:spacing w:val="1"/>
        </w:rPr>
        <w:t> </w:t>
      </w:r>
      <w:r>
        <w:rPr/>
        <w:t>impliedly</w:t>
      </w:r>
      <w:r>
        <w:rPr>
          <w:spacing w:val="1"/>
        </w:rPr>
        <w:t> </w:t>
      </w:r>
      <w:r>
        <w:rPr/>
        <w:t>stipulate,</w:t>
      </w:r>
      <w:r>
        <w:rPr>
          <w:spacing w:val="1"/>
        </w:rPr>
        <w:t> </w:t>
      </w:r>
      <w:r>
        <w:rPr/>
        <w:t>or</w:t>
      </w:r>
      <w:r>
        <w:rPr>
          <w:spacing w:val="1"/>
        </w:rPr>
        <w:t> </w:t>
      </w:r>
      <w:r>
        <w:rPr/>
        <w:t>one</w:t>
      </w:r>
      <w:r>
        <w:rPr>
          <w:spacing w:val="1"/>
        </w:rPr>
        <w:t> </w:t>
      </w:r>
      <w:r>
        <w:rPr>
          <w:spacing w:val="-2"/>
        </w:rPr>
        <w:t>party</w:t>
      </w:r>
    </w:p>
    <w:p>
      <w:pPr>
        <w:pStyle w:val="BodyText"/>
        <w:spacing w:after="0"/>
        <w:sectPr>
          <w:pgSz w:w="11900" w:h="16840"/>
          <w:pgMar w:header="971" w:footer="0" w:top="1300" w:bottom="280" w:left="1275" w:right="1275"/>
        </w:sectPr>
      </w:pPr>
    </w:p>
    <w:p>
      <w:pPr>
        <w:spacing w:line="235" w:lineRule="auto" w:before="170"/>
        <w:ind w:left="705" w:right="167" w:firstLine="0"/>
        <w:jc w:val="both"/>
        <w:rPr>
          <w:sz w:val="20"/>
        </w:rPr>
      </w:pPr>
      <w:r>
        <w:rPr>
          <w:sz w:val="20"/>
        </w:rPr>
        <w:t>may give the other an option to elect, that the money of account and money of payment </w:t>
      </w:r>
      <w:r>
        <w:rPr>
          <w:sz w:val="20"/>
        </w:rPr>
        <w:t>should be different: see, e.g. </w:t>
      </w:r>
      <w:r>
        <w:rPr>
          <w:rFonts w:ascii="Arial"/>
          <w:i/>
          <w:sz w:val="20"/>
        </w:rPr>
        <w:t>Woodhouse AC Israel Cocoa Ltd SA v Nigerian Produce Marketing Co</w:t>
      </w:r>
      <w:r>
        <w:rPr>
          <w:rFonts w:ascii="Arial"/>
          <w:i/>
          <w:spacing w:val="40"/>
          <w:sz w:val="20"/>
        </w:rPr>
        <w:t> </w:t>
      </w:r>
      <w:r>
        <w:rPr>
          <w:rFonts w:ascii="Arial"/>
          <w:i/>
          <w:sz w:val="20"/>
        </w:rPr>
        <w:t>Ltd [1972] A.C. 741 </w:t>
      </w:r>
      <w:r>
        <w:rPr>
          <w:sz w:val="20"/>
        </w:rPr>
        <w:t>(money of account Nigerian, buyers of goods given option to choose between paying in Nigerian currency or sterling).</w:t>
      </w:r>
    </w:p>
    <w:p>
      <w:pPr>
        <w:pStyle w:val="BodyText"/>
        <w:spacing w:before="9"/>
      </w:pPr>
    </w:p>
    <w:p>
      <w:pPr>
        <w:spacing w:line="235" w:lineRule="auto" w:before="0"/>
        <w:ind w:left="705" w:right="168" w:hanging="541"/>
        <w:jc w:val="both"/>
        <w:rPr>
          <w:sz w:val="20"/>
        </w:rPr>
      </w:pPr>
      <w:bookmarkStart w:name="_bookmark2740" w:id="2742"/>
      <w:bookmarkEnd w:id="2742"/>
      <w:r>
        <w:rPr/>
      </w:r>
      <w:hyperlink w:history="true" w:anchor="_bookmark2688">
        <w:r>
          <w:rPr>
            <w:color w:val="005DA1"/>
            <w:position w:val="5"/>
            <w:sz w:val="14"/>
            <w:u w:val="single" w:color="005DA1"/>
          </w:rPr>
          <w:t>1417</w:t>
        </w:r>
      </w:hyperlink>
      <w:r>
        <w:rPr>
          <w:position w:val="5"/>
          <w:sz w:val="14"/>
        </w:rPr>
        <w:t>.</w:t>
      </w:r>
      <w:r>
        <w:rPr>
          <w:spacing w:val="40"/>
          <w:position w:val="5"/>
          <w:sz w:val="14"/>
        </w:rPr>
        <w:t>  </w:t>
      </w:r>
      <w:r>
        <w:rPr>
          <w:rFonts w:ascii="Arial"/>
          <w:i/>
          <w:sz w:val="20"/>
        </w:rPr>
        <w:t>Adelaide Electric Supply Co Ltd v Prudential Assurance Co Ltd [1934] A.C. 122</w:t>
      </w:r>
      <w:r>
        <w:rPr>
          <w:sz w:val="20"/>
        </w:rPr>
        <w:t>; </w:t>
      </w:r>
      <w:r>
        <w:rPr>
          <w:rFonts w:ascii="Arial"/>
          <w:i/>
          <w:sz w:val="20"/>
        </w:rPr>
        <w:t>Auckland Corp v Alliance Assurance Co Ltd [1937] A.C. 587</w:t>
      </w:r>
      <w:r>
        <w:rPr>
          <w:sz w:val="20"/>
        </w:rPr>
        <w:t>; </w:t>
      </w:r>
      <w:r>
        <w:rPr>
          <w:rFonts w:ascii="Arial"/>
          <w:i/>
          <w:sz w:val="20"/>
        </w:rPr>
        <w:t>Mount Albert BC v Australasian etc. </w:t>
      </w:r>
      <w:r>
        <w:rPr>
          <w:rFonts w:ascii="Arial"/>
          <w:i/>
          <w:sz w:val="20"/>
        </w:rPr>
        <w:t>Life Assurance Society Ltd [1930] A.C. 224</w:t>
      </w:r>
      <w:r>
        <w:rPr>
          <w:sz w:val="20"/>
        </w:rPr>
        <w:t>.</w:t>
      </w:r>
    </w:p>
    <w:p>
      <w:pPr>
        <w:pStyle w:val="BodyText"/>
        <w:spacing w:before="5"/>
      </w:pPr>
    </w:p>
    <w:p>
      <w:pPr>
        <w:pStyle w:val="BodyText"/>
        <w:ind w:left="165"/>
      </w:pPr>
      <w:bookmarkStart w:name="_bookmark2741" w:id="2743"/>
      <w:bookmarkEnd w:id="2743"/>
      <w:r>
        <w:rPr/>
      </w:r>
      <w:hyperlink w:history="true" w:anchor="_bookmark2689">
        <w:r>
          <w:rPr>
            <w:color w:val="005DA1"/>
            <w:position w:val="5"/>
            <w:sz w:val="14"/>
            <w:u w:val="single" w:color="005DA1"/>
          </w:rPr>
          <w:t>1418</w:t>
        </w:r>
      </w:hyperlink>
      <w:r>
        <w:rPr>
          <w:position w:val="5"/>
          <w:sz w:val="14"/>
        </w:rPr>
        <w:t>.</w:t>
      </w:r>
      <w:r>
        <w:rPr>
          <w:spacing w:val="55"/>
          <w:position w:val="5"/>
          <w:sz w:val="14"/>
        </w:rPr>
        <w:t>  </w:t>
      </w:r>
      <w:r>
        <w:rPr/>
        <w:t>Dicey,</w:t>
      </w:r>
      <w:r>
        <w:rPr>
          <w:spacing w:val="1"/>
        </w:rPr>
        <w:t> </w:t>
      </w:r>
      <w:r>
        <w:rPr/>
        <w:t>Morris and Collins, 15th edn (2012), paras 37–053 et </w:t>
      </w:r>
      <w:r>
        <w:rPr>
          <w:spacing w:val="-4"/>
        </w:rPr>
        <w:t>seq.</w:t>
      </w:r>
    </w:p>
    <w:p>
      <w:pPr>
        <w:pStyle w:val="BodyText"/>
        <w:spacing w:before="5"/>
      </w:pPr>
    </w:p>
    <w:p>
      <w:pPr>
        <w:pStyle w:val="BodyText"/>
        <w:ind w:left="165"/>
      </w:pPr>
      <w:bookmarkStart w:name="_bookmark2742" w:id="2744"/>
      <w:bookmarkEnd w:id="2744"/>
      <w:r>
        <w:rPr/>
      </w:r>
      <w:hyperlink w:history="true" w:anchor="_bookmark2690">
        <w:r>
          <w:rPr>
            <w:color w:val="005DA1"/>
            <w:position w:val="5"/>
            <w:sz w:val="14"/>
            <w:u w:val="single" w:color="005DA1"/>
          </w:rPr>
          <w:t>1419</w:t>
        </w:r>
      </w:hyperlink>
      <w:r>
        <w:rPr>
          <w:position w:val="5"/>
          <w:sz w:val="14"/>
        </w:rPr>
        <w:t>.</w:t>
      </w:r>
      <w:r>
        <w:rPr>
          <w:spacing w:val="55"/>
          <w:position w:val="5"/>
          <w:sz w:val="14"/>
        </w:rPr>
        <w:t>  </w:t>
      </w:r>
      <w:r>
        <w:rPr/>
        <w:t>See</w:t>
      </w:r>
      <w:r>
        <w:rPr>
          <w:spacing w:val="1"/>
        </w:rPr>
        <w:t> </w:t>
      </w:r>
      <w:r>
        <w:rPr/>
        <w:t>above, paras 30-333 et </w:t>
      </w:r>
      <w:r>
        <w:rPr>
          <w:spacing w:val="-4"/>
        </w:rPr>
        <w:t>seq.</w:t>
      </w:r>
    </w:p>
    <w:p>
      <w:pPr>
        <w:pStyle w:val="BodyText"/>
        <w:spacing w:before="5"/>
      </w:pPr>
    </w:p>
    <w:p>
      <w:pPr>
        <w:pStyle w:val="BodyText"/>
        <w:ind w:left="165"/>
      </w:pPr>
      <w:bookmarkStart w:name="_bookmark2743" w:id="2745"/>
      <w:bookmarkEnd w:id="2745"/>
      <w:r>
        <w:rPr/>
      </w:r>
      <w:hyperlink w:history="true" w:anchor="_bookmark2691">
        <w:r>
          <w:rPr>
            <w:color w:val="005DA1"/>
            <w:position w:val="5"/>
            <w:sz w:val="14"/>
            <w:u w:val="single" w:color="005DA1"/>
          </w:rPr>
          <w:t>1420</w:t>
        </w:r>
      </w:hyperlink>
      <w:r>
        <w:rPr>
          <w:position w:val="5"/>
          <w:sz w:val="14"/>
        </w:rPr>
        <w:t>.</w:t>
      </w:r>
      <w:r>
        <w:rPr>
          <w:spacing w:val="55"/>
          <w:position w:val="5"/>
          <w:sz w:val="14"/>
        </w:rPr>
        <w:t>  </w:t>
      </w:r>
      <w:r>
        <w:rPr/>
        <w:t>See</w:t>
      </w:r>
      <w:r>
        <w:rPr>
          <w:spacing w:val="1"/>
        </w:rPr>
        <w:t> </w:t>
      </w:r>
      <w:r>
        <w:rPr/>
        <w:t>above, paras 30-333 et </w:t>
      </w:r>
      <w:r>
        <w:rPr>
          <w:spacing w:val="-4"/>
        </w:rPr>
        <w:t>seq.</w:t>
      </w:r>
    </w:p>
    <w:p>
      <w:pPr>
        <w:pStyle w:val="BodyText"/>
        <w:spacing w:before="5"/>
      </w:pPr>
    </w:p>
    <w:p>
      <w:pPr>
        <w:pStyle w:val="BodyText"/>
        <w:ind w:left="165"/>
      </w:pPr>
      <w:bookmarkStart w:name="_bookmark2744" w:id="2746"/>
      <w:bookmarkEnd w:id="2746"/>
      <w:r>
        <w:rPr/>
      </w:r>
      <w:hyperlink w:history="true" w:anchor="_bookmark2692">
        <w:r>
          <w:rPr>
            <w:color w:val="005DA1"/>
            <w:position w:val="5"/>
            <w:sz w:val="14"/>
            <w:u w:val="single" w:color="005DA1"/>
          </w:rPr>
          <w:t>1421</w:t>
        </w:r>
      </w:hyperlink>
      <w:r>
        <w:rPr>
          <w:position w:val="5"/>
          <w:sz w:val="14"/>
        </w:rPr>
        <w:t>.</w:t>
      </w:r>
      <w:r>
        <w:rPr>
          <w:spacing w:val="55"/>
          <w:position w:val="5"/>
          <w:sz w:val="14"/>
        </w:rPr>
        <w:t>  </w:t>
      </w:r>
      <w:r>
        <w:rPr/>
        <w:t>Giuliano-Lagarde</w:t>
      </w:r>
      <w:r>
        <w:rPr>
          <w:spacing w:val="1"/>
        </w:rPr>
        <w:t> </w:t>
      </w:r>
      <w:r>
        <w:rPr/>
        <w:t>Report, pp.42, </w:t>
      </w:r>
      <w:r>
        <w:rPr>
          <w:spacing w:val="-5"/>
        </w:rPr>
        <w:t>43.</w:t>
      </w:r>
    </w:p>
    <w:p>
      <w:pPr>
        <w:pStyle w:val="BodyText"/>
        <w:spacing w:before="5"/>
      </w:pPr>
    </w:p>
    <w:p>
      <w:pPr>
        <w:pStyle w:val="BodyText"/>
        <w:ind w:left="165"/>
      </w:pPr>
      <w:bookmarkStart w:name="_bookmark2745" w:id="2747"/>
      <w:bookmarkEnd w:id="2747"/>
      <w:r>
        <w:rPr/>
      </w:r>
      <w:hyperlink w:history="true" w:anchor="_bookmark2693">
        <w:r>
          <w:rPr>
            <w:color w:val="005DA1"/>
            <w:position w:val="5"/>
            <w:sz w:val="14"/>
            <w:u w:val="single" w:color="005DA1"/>
          </w:rPr>
          <w:t>1422</w:t>
        </w:r>
      </w:hyperlink>
      <w:r>
        <w:rPr>
          <w:position w:val="5"/>
          <w:sz w:val="14"/>
        </w:rPr>
        <w:t>.</w:t>
      </w:r>
      <w:r>
        <w:rPr>
          <w:spacing w:val="55"/>
          <w:position w:val="5"/>
          <w:sz w:val="14"/>
        </w:rPr>
        <w:t>  </w:t>
      </w:r>
      <w:r>
        <w:rPr/>
        <w:t>Above,</w:t>
      </w:r>
      <w:r>
        <w:rPr>
          <w:spacing w:val="1"/>
        </w:rPr>
        <w:t> </w:t>
      </w:r>
      <w:r>
        <w:rPr/>
        <w:t>paras 30-333 et seq.; Rome I Regulation art.12(1)(b), above, paras 30-333 et </w:t>
      </w:r>
      <w:r>
        <w:rPr>
          <w:spacing w:val="-4"/>
        </w:rPr>
        <w:t>seq.</w:t>
      </w:r>
    </w:p>
    <w:p>
      <w:pPr>
        <w:pStyle w:val="BodyText"/>
        <w:spacing w:before="5"/>
      </w:pPr>
    </w:p>
    <w:p>
      <w:pPr>
        <w:spacing w:before="0"/>
        <w:ind w:left="165" w:right="0" w:firstLine="0"/>
        <w:jc w:val="left"/>
        <w:rPr>
          <w:sz w:val="20"/>
        </w:rPr>
      </w:pPr>
      <w:bookmarkStart w:name="_bookmark2746" w:id="2748"/>
      <w:bookmarkEnd w:id="2748"/>
      <w:r>
        <w:rPr/>
      </w:r>
      <w:hyperlink w:history="true" w:anchor="_bookmark2694">
        <w:r>
          <w:rPr>
            <w:color w:val="005DA1"/>
            <w:position w:val="5"/>
            <w:sz w:val="14"/>
            <w:u w:val="single" w:color="005DA1"/>
          </w:rPr>
          <w:t>1423</w:t>
        </w:r>
      </w:hyperlink>
      <w:r>
        <w:rPr>
          <w:position w:val="5"/>
          <w:sz w:val="14"/>
        </w:rPr>
        <w:t>.</w:t>
      </w:r>
      <w:r>
        <w:rPr>
          <w:spacing w:val="55"/>
          <w:position w:val="5"/>
          <w:sz w:val="14"/>
        </w:rPr>
        <w:t>  </w:t>
      </w:r>
      <w:r>
        <w:rPr>
          <w:sz w:val="20"/>
        </w:rPr>
        <w:t>See </w:t>
      </w:r>
      <w:r>
        <w:rPr>
          <w:rFonts w:ascii="Arial"/>
          <w:i/>
          <w:sz w:val="20"/>
        </w:rPr>
        <w:t>Auckland Corp v Alliance Assurance Co Ltd [1937] A.C. </w:t>
      </w:r>
      <w:r>
        <w:rPr>
          <w:rFonts w:ascii="Arial"/>
          <w:i/>
          <w:spacing w:val="-4"/>
          <w:sz w:val="20"/>
        </w:rPr>
        <w:t>587</w:t>
      </w:r>
      <w:r>
        <w:rPr>
          <w:spacing w:val="-4"/>
          <w:sz w:val="20"/>
        </w:rPr>
        <w:t>.</w:t>
      </w:r>
    </w:p>
    <w:p>
      <w:pPr>
        <w:pStyle w:val="BodyText"/>
        <w:spacing w:before="5"/>
      </w:pPr>
    </w:p>
    <w:p>
      <w:pPr>
        <w:pStyle w:val="BodyText"/>
        <w:ind w:left="165"/>
      </w:pPr>
      <w:bookmarkStart w:name="_bookmark2747" w:id="2749"/>
      <w:bookmarkEnd w:id="2749"/>
      <w:r>
        <w:rPr/>
      </w:r>
      <w:hyperlink w:history="true" w:anchor="_bookmark2695">
        <w:r>
          <w:rPr>
            <w:color w:val="005DA1"/>
            <w:position w:val="5"/>
            <w:sz w:val="14"/>
            <w:u w:val="single" w:color="005DA1"/>
          </w:rPr>
          <w:t>1424</w:t>
        </w:r>
      </w:hyperlink>
      <w:r>
        <w:rPr>
          <w:position w:val="5"/>
          <w:sz w:val="14"/>
        </w:rPr>
        <w:t>.</w:t>
      </w:r>
      <w:r>
        <w:rPr>
          <w:spacing w:val="55"/>
          <w:position w:val="5"/>
          <w:sz w:val="14"/>
        </w:rPr>
        <w:t>  </w:t>
      </w:r>
      <w:r>
        <w:rPr/>
        <w:t>Dicey,</w:t>
      </w:r>
      <w:r>
        <w:rPr>
          <w:spacing w:val="1"/>
        </w:rPr>
        <w:t> </w:t>
      </w:r>
      <w:r>
        <w:rPr/>
        <w:t>Morris and Collins, 15th edn (2012), paras 37–054 et </w:t>
      </w:r>
      <w:r>
        <w:rPr>
          <w:spacing w:val="-4"/>
        </w:rPr>
        <w:t>seq.</w:t>
      </w:r>
    </w:p>
    <w:p>
      <w:pPr>
        <w:pStyle w:val="BodyText"/>
        <w:spacing w:before="9"/>
      </w:pPr>
    </w:p>
    <w:p>
      <w:pPr>
        <w:spacing w:line="235" w:lineRule="auto" w:before="0"/>
        <w:ind w:left="705" w:right="167" w:hanging="541"/>
        <w:jc w:val="both"/>
        <w:rPr>
          <w:sz w:val="20"/>
        </w:rPr>
      </w:pPr>
      <w:bookmarkStart w:name="_bookmark2748" w:id="2750"/>
      <w:bookmarkEnd w:id="2750"/>
      <w:r>
        <w:rPr/>
      </w:r>
      <w:hyperlink w:history="true" w:anchor="_bookmark2696">
        <w:r>
          <w:rPr>
            <w:color w:val="005DA1"/>
            <w:position w:val="5"/>
            <w:sz w:val="14"/>
            <w:u w:val="single" w:color="005DA1"/>
          </w:rPr>
          <w:t>1425</w:t>
        </w:r>
      </w:hyperlink>
      <w:r>
        <w:rPr>
          <w:position w:val="5"/>
          <w:sz w:val="14"/>
        </w:rPr>
        <w:t>.</w:t>
      </w:r>
      <w:r>
        <w:rPr>
          <w:spacing w:val="80"/>
          <w:position w:val="5"/>
          <w:sz w:val="14"/>
        </w:rPr>
        <w:t> </w:t>
      </w:r>
      <w:r>
        <w:rPr>
          <w:rFonts w:ascii="Arial" w:hAnsi="Arial"/>
          <w:i/>
          <w:sz w:val="20"/>
        </w:rPr>
        <w:t>Marrache v Ashton [1943] A.C. 311</w:t>
      </w:r>
      <w:r>
        <w:rPr>
          <w:sz w:val="20"/>
        </w:rPr>
        <w:t>; </w:t>
      </w:r>
      <w:r>
        <w:rPr>
          <w:rFonts w:ascii="Arial" w:hAnsi="Arial"/>
          <w:i/>
          <w:sz w:val="20"/>
        </w:rPr>
        <w:t>Syndic for Khoury v Khayat [1943] A.C. 507, 514</w:t>
      </w:r>
      <w:r>
        <w:rPr>
          <w:sz w:val="20"/>
        </w:rPr>
        <w:t>; Dicey, Morris and Collins, para.36–004. cf. </w:t>
      </w:r>
      <w:r>
        <w:rPr>
          <w:rFonts w:ascii="Arial" w:hAnsi="Arial"/>
          <w:i/>
          <w:sz w:val="20"/>
        </w:rPr>
        <w:t>National Bank of Australasia Ltd v Scottish Union and National Insurance Co Ltd [1952] A.C. 493</w:t>
      </w:r>
      <w:r>
        <w:rPr>
          <w:sz w:val="20"/>
        </w:rPr>
        <w:t>; </w:t>
      </w:r>
      <w:r>
        <w:rPr>
          <w:rFonts w:ascii="Arial" w:hAnsi="Arial"/>
          <w:i/>
          <w:sz w:val="20"/>
        </w:rPr>
        <w:t>National Mutual Life Association of Australia Ltd </w:t>
      </w:r>
      <w:r>
        <w:rPr>
          <w:rFonts w:ascii="Arial" w:hAnsi="Arial"/>
          <w:i/>
          <w:sz w:val="20"/>
        </w:rPr>
        <w:t>v AG for New Zealand [1956] A.C. 369</w:t>
      </w:r>
      <w:r>
        <w:rPr>
          <w:sz w:val="20"/>
        </w:rPr>
        <w:t>. If payment in the foreign currency is impossible, the debtor must pay in sterling: he cannot choose to pay in the foreign currency and then claim that the obligation is discharged or suspended by reason of the impossibility: </w:t>
      </w:r>
      <w:r>
        <w:rPr>
          <w:rFonts w:ascii="Arial" w:hAnsi="Arial"/>
          <w:i/>
          <w:sz w:val="20"/>
        </w:rPr>
        <w:t>Libyan Arab Foreign Bank v Bankers Trust Co [1989] Q.B. 728</w:t>
      </w:r>
      <w:r>
        <w:rPr>
          <w:sz w:val="20"/>
        </w:rPr>
        <w:t>.</w:t>
      </w:r>
    </w:p>
    <w:p>
      <w:pPr>
        <w:pStyle w:val="BodyText"/>
        <w:spacing w:before="7"/>
      </w:pPr>
    </w:p>
    <w:p>
      <w:pPr>
        <w:spacing w:line="235" w:lineRule="auto" w:before="0"/>
        <w:ind w:left="705" w:right="167" w:hanging="541"/>
        <w:jc w:val="both"/>
        <w:rPr>
          <w:sz w:val="20"/>
        </w:rPr>
      </w:pPr>
      <w:bookmarkStart w:name="_bookmark2749" w:id="2751"/>
      <w:bookmarkEnd w:id="2751"/>
      <w:r>
        <w:rPr/>
      </w:r>
      <w:hyperlink w:history="true" w:anchor="_bookmark2697">
        <w:r>
          <w:rPr>
            <w:color w:val="005DA1"/>
            <w:position w:val="5"/>
            <w:sz w:val="14"/>
            <w:u w:val="single" w:color="005DA1"/>
          </w:rPr>
          <w:t>1426</w:t>
        </w:r>
      </w:hyperlink>
      <w:r>
        <w:rPr>
          <w:position w:val="5"/>
          <w:sz w:val="14"/>
        </w:rPr>
        <w:t>.</w:t>
      </w:r>
      <w:r>
        <w:rPr>
          <w:spacing w:val="80"/>
          <w:w w:val="150"/>
          <w:position w:val="5"/>
          <w:sz w:val="14"/>
        </w:rPr>
        <w:t> </w:t>
      </w:r>
      <w:r>
        <w:rPr>
          <w:rFonts w:ascii="Arial" w:hAnsi="Arial"/>
          <w:i/>
          <w:sz w:val="20"/>
        </w:rPr>
        <w:t>Marrache</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Ashton</w:t>
      </w:r>
      <w:r>
        <w:rPr>
          <w:rFonts w:ascii="Arial" w:hAnsi="Arial"/>
          <w:i/>
          <w:spacing w:val="33"/>
          <w:sz w:val="20"/>
        </w:rPr>
        <w:t> </w:t>
      </w:r>
      <w:r>
        <w:rPr>
          <w:rFonts w:ascii="Arial" w:hAnsi="Arial"/>
          <w:i/>
          <w:sz w:val="20"/>
        </w:rPr>
        <w:t>[1943]</w:t>
      </w:r>
      <w:r>
        <w:rPr>
          <w:rFonts w:ascii="Arial" w:hAnsi="Arial"/>
          <w:i/>
          <w:spacing w:val="33"/>
          <w:sz w:val="20"/>
        </w:rPr>
        <w:t> </w:t>
      </w:r>
      <w:r>
        <w:rPr>
          <w:rFonts w:ascii="Arial" w:hAnsi="Arial"/>
          <w:i/>
          <w:sz w:val="20"/>
        </w:rPr>
        <w:t>A.C.</w:t>
      </w:r>
      <w:r>
        <w:rPr>
          <w:rFonts w:ascii="Arial" w:hAnsi="Arial"/>
          <w:i/>
          <w:spacing w:val="33"/>
          <w:sz w:val="20"/>
        </w:rPr>
        <w:t> </w:t>
      </w:r>
      <w:r>
        <w:rPr>
          <w:rFonts w:ascii="Arial" w:hAnsi="Arial"/>
          <w:i/>
          <w:sz w:val="20"/>
        </w:rPr>
        <w:t>311</w:t>
      </w:r>
      <w:r>
        <w:rPr>
          <w:sz w:val="20"/>
        </w:rPr>
        <w:t>;</w:t>
      </w:r>
      <w:r>
        <w:rPr>
          <w:spacing w:val="33"/>
          <w:sz w:val="20"/>
        </w:rPr>
        <w:t> </w:t>
      </w:r>
      <w:r>
        <w:rPr>
          <w:rFonts w:ascii="Arial" w:hAnsi="Arial"/>
          <w:i/>
          <w:sz w:val="20"/>
        </w:rPr>
        <w:t>Syndic</w:t>
      </w:r>
      <w:r>
        <w:rPr>
          <w:rFonts w:ascii="Arial" w:hAnsi="Arial"/>
          <w:i/>
          <w:spacing w:val="33"/>
          <w:sz w:val="20"/>
        </w:rPr>
        <w:t> </w:t>
      </w:r>
      <w:r>
        <w:rPr>
          <w:rFonts w:ascii="Arial" w:hAnsi="Arial"/>
          <w:i/>
          <w:sz w:val="20"/>
        </w:rPr>
        <w:t>for</w:t>
      </w:r>
      <w:r>
        <w:rPr>
          <w:rFonts w:ascii="Arial" w:hAnsi="Arial"/>
          <w:i/>
          <w:spacing w:val="33"/>
          <w:sz w:val="20"/>
        </w:rPr>
        <w:t> </w:t>
      </w:r>
      <w:r>
        <w:rPr>
          <w:rFonts w:ascii="Arial" w:hAnsi="Arial"/>
          <w:i/>
          <w:sz w:val="20"/>
        </w:rPr>
        <w:t>Khoury</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Khayat</w:t>
      </w:r>
      <w:r>
        <w:rPr>
          <w:rFonts w:ascii="Arial" w:hAnsi="Arial"/>
          <w:i/>
          <w:spacing w:val="33"/>
          <w:sz w:val="20"/>
        </w:rPr>
        <w:t> </w:t>
      </w:r>
      <w:r>
        <w:rPr>
          <w:rFonts w:ascii="Arial" w:hAnsi="Arial"/>
          <w:i/>
          <w:sz w:val="20"/>
        </w:rPr>
        <w:t>[1943]</w:t>
      </w:r>
      <w:r>
        <w:rPr>
          <w:rFonts w:ascii="Arial" w:hAnsi="Arial"/>
          <w:i/>
          <w:spacing w:val="33"/>
          <w:sz w:val="20"/>
        </w:rPr>
        <w:t> </w:t>
      </w:r>
      <w:r>
        <w:rPr>
          <w:rFonts w:ascii="Arial" w:hAnsi="Arial"/>
          <w:i/>
          <w:sz w:val="20"/>
        </w:rPr>
        <w:t>A.C.</w:t>
      </w:r>
      <w:r>
        <w:rPr>
          <w:rFonts w:ascii="Arial" w:hAnsi="Arial"/>
          <w:i/>
          <w:spacing w:val="33"/>
          <w:sz w:val="20"/>
        </w:rPr>
        <w:t> </w:t>
      </w:r>
      <w:r>
        <w:rPr>
          <w:rFonts w:ascii="Arial" w:hAnsi="Arial"/>
          <w:i/>
          <w:sz w:val="20"/>
        </w:rPr>
        <w:t>507</w:t>
      </w:r>
      <w:r>
        <w:rPr>
          <w:sz w:val="20"/>
        </w:rPr>
        <w:t>;</w:t>
      </w:r>
      <w:r>
        <w:rPr>
          <w:spacing w:val="33"/>
          <w:sz w:val="20"/>
        </w:rPr>
        <w:t> </w:t>
      </w:r>
      <w:r>
        <w:rPr>
          <w:rFonts w:ascii="Arial" w:hAnsi="Arial"/>
          <w:i/>
          <w:sz w:val="20"/>
        </w:rPr>
        <w:t>Barclays Bank International Ltd v Levin Brothers (Bradford) Ltd [1977] Q.B. 270</w:t>
      </w:r>
      <w:r>
        <w:rPr>
          <w:sz w:val="20"/>
        </w:rPr>
        <w:t>; </w:t>
      </w:r>
      <w:r>
        <w:rPr>
          <w:rFonts w:ascii="Arial" w:hAnsi="Arial"/>
          <w:i/>
          <w:sz w:val="20"/>
        </w:rPr>
        <w:t>George Veflings </w:t>
      </w:r>
      <w:r>
        <w:rPr>
          <w:rFonts w:ascii="Arial" w:hAnsi="Arial"/>
          <w:i/>
          <w:sz w:val="20"/>
        </w:rPr>
        <w:t>Rederi A/S v President of India [1979] 1 W.L.R. 59</w:t>
      </w:r>
      <w:r>
        <w:rPr>
          <w:sz w:val="20"/>
        </w:rPr>
        <w:t>. </w:t>
      </w:r>
      <w:r>
        <w:rPr>
          <w:rFonts w:ascii="Arial" w:hAnsi="Arial"/>
          <w:i/>
          <w:sz w:val="20"/>
        </w:rPr>
        <w:t>Graumann v Treitel [1940] 2 All E.R. 188 </w:t>
      </w:r>
      <w:r>
        <w:rPr>
          <w:sz w:val="20"/>
        </w:rPr>
        <w:t>may be explicable on the ground that German law was the applicable law of the contract (see Dicey, Morris and Collins, 15th edn (2012), para.37–055). For a case where there was no recognised and accessible market and no commercial rate of exchange, see </w:t>
      </w:r>
      <w:r>
        <w:rPr>
          <w:rFonts w:ascii="Arial" w:hAnsi="Arial"/>
          <w:i/>
          <w:sz w:val="20"/>
        </w:rPr>
        <w:t>Re Parana Plantations Ltd [1946] 2 All E.R. 214</w:t>
      </w:r>
      <w:r>
        <w:rPr>
          <w:sz w:val="20"/>
        </w:rPr>
        <w:t>.</w:t>
      </w:r>
    </w:p>
    <w:p>
      <w:pPr>
        <w:pStyle w:val="BodyText"/>
        <w:spacing w:before="7"/>
      </w:pPr>
    </w:p>
    <w:p>
      <w:pPr>
        <w:spacing w:line="235" w:lineRule="auto" w:before="1"/>
        <w:ind w:left="705" w:right="0" w:hanging="541"/>
        <w:jc w:val="left"/>
        <w:rPr>
          <w:sz w:val="20"/>
        </w:rPr>
      </w:pPr>
      <w:bookmarkStart w:name="_bookmark2750" w:id="2752"/>
      <w:bookmarkEnd w:id="2752"/>
      <w:r>
        <w:rPr/>
      </w:r>
      <w:hyperlink w:history="true" w:anchor="_bookmark2698">
        <w:r>
          <w:rPr>
            <w:color w:val="005DA1"/>
            <w:position w:val="5"/>
            <w:sz w:val="14"/>
            <w:u w:val="single" w:color="005DA1"/>
          </w:rPr>
          <w:t>1427</w:t>
        </w:r>
      </w:hyperlink>
      <w:r>
        <w:rPr>
          <w:position w:val="5"/>
          <w:sz w:val="14"/>
        </w:rPr>
        <w:t>.</w:t>
      </w:r>
      <w:r>
        <w:rPr>
          <w:spacing w:val="40"/>
          <w:position w:val="5"/>
          <w:sz w:val="14"/>
        </w:rPr>
        <w:t>  </w:t>
      </w:r>
      <w:r>
        <w:rPr>
          <w:rFonts w:ascii="Arial"/>
          <w:i/>
          <w:sz w:val="20"/>
        </w:rPr>
        <w:t>Manners</w:t>
      </w:r>
      <w:r>
        <w:rPr>
          <w:rFonts w:ascii="Arial"/>
          <w:i/>
          <w:spacing w:val="17"/>
          <w:sz w:val="20"/>
        </w:rPr>
        <w:t> </w:t>
      </w:r>
      <w:r>
        <w:rPr>
          <w:rFonts w:ascii="Arial"/>
          <w:i/>
          <w:sz w:val="20"/>
        </w:rPr>
        <w:t>v</w:t>
      </w:r>
      <w:r>
        <w:rPr>
          <w:rFonts w:ascii="Arial"/>
          <w:i/>
          <w:spacing w:val="17"/>
          <w:sz w:val="20"/>
        </w:rPr>
        <w:t> </w:t>
      </w:r>
      <w:r>
        <w:rPr>
          <w:rFonts w:ascii="Arial"/>
          <w:i/>
          <w:sz w:val="20"/>
        </w:rPr>
        <w:t>Pearson</w:t>
      </w:r>
      <w:r>
        <w:rPr>
          <w:rFonts w:ascii="Arial"/>
          <w:i/>
          <w:spacing w:val="17"/>
          <w:sz w:val="20"/>
        </w:rPr>
        <w:t> </w:t>
      </w:r>
      <w:r>
        <w:rPr>
          <w:rFonts w:ascii="Arial"/>
          <w:i/>
          <w:sz w:val="20"/>
        </w:rPr>
        <w:t>[1989]</w:t>
      </w:r>
      <w:r>
        <w:rPr>
          <w:rFonts w:ascii="Arial"/>
          <w:i/>
          <w:spacing w:val="17"/>
          <w:sz w:val="20"/>
        </w:rPr>
        <w:t> </w:t>
      </w:r>
      <w:r>
        <w:rPr>
          <w:rFonts w:ascii="Arial"/>
          <w:i/>
          <w:sz w:val="20"/>
        </w:rPr>
        <w:t>1</w:t>
      </w:r>
      <w:r>
        <w:rPr>
          <w:rFonts w:ascii="Arial"/>
          <w:i/>
          <w:spacing w:val="17"/>
          <w:sz w:val="20"/>
        </w:rPr>
        <w:t> </w:t>
      </w:r>
      <w:r>
        <w:rPr>
          <w:rFonts w:ascii="Arial"/>
          <w:i/>
          <w:sz w:val="20"/>
        </w:rPr>
        <w:t>Ch.</w:t>
      </w:r>
      <w:r>
        <w:rPr>
          <w:rFonts w:ascii="Arial"/>
          <w:i/>
          <w:spacing w:val="17"/>
          <w:sz w:val="20"/>
        </w:rPr>
        <w:t> </w:t>
      </w:r>
      <w:r>
        <w:rPr>
          <w:rFonts w:ascii="Arial"/>
          <w:i/>
          <w:sz w:val="20"/>
        </w:rPr>
        <w:t>581</w:t>
      </w:r>
      <w:r>
        <w:rPr>
          <w:sz w:val="20"/>
        </w:rPr>
        <w:t>;</w:t>
      </w:r>
      <w:r>
        <w:rPr>
          <w:spacing w:val="17"/>
          <w:sz w:val="20"/>
        </w:rPr>
        <w:t> </w:t>
      </w:r>
      <w:r>
        <w:rPr>
          <w:rFonts w:ascii="Arial"/>
          <w:i/>
          <w:sz w:val="20"/>
        </w:rPr>
        <w:t>Tomkinson</w:t>
      </w:r>
      <w:r>
        <w:rPr>
          <w:rFonts w:ascii="Arial"/>
          <w:i/>
          <w:spacing w:val="17"/>
          <w:sz w:val="20"/>
        </w:rPr>
        <w:t> </w:t>
      </w:r>
      <w:r>
        <w:rPr>
          <w:rFonts w:ascii="Arial"/>
          <w:i/>
          <w:sz w:val="20"/>
        </w:rPr>
        <w:t>v</w:t>
      </w:r>
      <w:r>
        <w:rPr>
          <w:rFonts w:ascii="Arial"/>
          <w:i/>
          <w:spacing w:val="17"/>
          <w:sz w:val="20"/>
        </w:rPr>
        <w:t> </w:t>
      </w:r>
      <w:r>
        <w:rPr>
          <w:rFonts w:ascii="Arial"/>
          <w:i/>
          <w:sz w:val="20"/>
        </w:rPr>
        <w:t>First</w:t>
      </w:r>
      <w:r>
        <w:rPr>
          <w:rFonts w:ascii="Arial"/>
          <w:i/>
          <w:spacing w:val="17"/>
          <w:sz w:val="20"/>
        </w:rPr>
        <w:t> </w:t>
      </w:r>
      <w:r>
        <w:rPr>
          <w:rFonts w:ascii="Arial"/>
          <w:i/>
          <w:sz w:val="20"/>
        </w:rPr>
        <w:t>Pennsylvania</w:t>
      </w:r>
      <w:r>
        <w:rPr>
          <w:rFonts w:ascii="Arial"/>
          <w:i/>
          <w:spacing w:val="17"/>
          <w:sz w:val="20"/>
        </w:rPr>
        <w:t> </w:t>
      </w:r>
      <w:r>
        <w:rPr>
          <w:rFonts w:ascii="Arial"/>
          <w:i/>
          <w:sz w:val="20"/>
        </w:rPr>
        <w:t>Banking</w:t>
      </w:r>
      <w:r>
        <w:rPr>
          <w:rFonts w:ascii="Arial"/>
          <w:i/>
          <w:spacing w:val="17"/>
          <w:sz w:val="20"/>
        </w:rPr>
        <w:t> </w:t>
      </w:r>
      <w:r>
        <w:rPr>
          <w:rFonts w:ascii="Arial"/>
          <w:i/>
          <w:sz w:val="20"/>
        </w:rPr>
        <w:t>and</w:t>
      </w:r>
      <w:r>
        <w:rPr>
          <w:rFonts w:ascii="Arial"/>
          <w:i/>
          <w:spacing w:val="17"/>
          <w:sz w:val="20"/>
        </w:rPr>
        <w:t> </w:t>
      </w:r>
      <w:r>
        <w:rPr>
          <w:rFonts w:ascii="Arial"/>
          <w:i/>
          <w:sz w:val="20"/>
        </w:rPr>
        <w:t>Trust</w:t>
      </w:r>
      <w:r>
        <w:rPr>
          <w:rFonts w:ascii="Arial"/>
          <w:i/>
          <w:spacing w:val="17"/>
          <w:sz w:val="20"/>
        </w:rPr>
        <w:t> </w:t>
      </w:r>
      <w:r>
        <w:rPr>
          <w:rFonts w:ascii="Arial"/>
          <w:i/>
          <w:sz w:val="20"/>
        </w:rPr>
        <w:t>Co [1961] A.C. 1007</w:t>
      </w:r>
      <w:r>
        <w:rPr>
          <w:sz w:val="20"/>
        </w:rPr>
        <w:t>.</w:t>
      </w:r>
    </w:p>
    <w:p>
      <w:pPr>
        <w:pStyle w:val="BodyText"/>
        <w:spacing w:before="5"/>
      </w:pPr>
    </w:p>
    <w:p>
      <w:pPr>
        <w:spacing w:before="0"/>
        <w:ind w:left="165" w:right="0" w:firstLine="0"/>
        <w:jc w:val="left"/>
        <w:rPr>
          <w:sz w:val="20"/>
        </w:rPr>
      </w:pPr>
      <w:bookmarkStart w:name="_bookmark2751" w:id="2753"/>
      <w:bookmarkEnd w:id="2753"/>
      <w:r>
        <w:rPr/>
      </w:r>
      <w:hyperlink w:history="true" w:anchor="_bookmark2699">
        <w:r>
          <w:rPr>
            <w:color w:val="005DA1"/>
            <w:position w:val="5"/>
            <w:sz w:val="14"/>
            <w:u w:val="single" w:color="005DA1"/>
          </w:rPr>
          <w:t>1428</w:t>
        </w:r>
      </w:hyperlink>
      <w:r>
        <w:rPr>
          <w:position w:val="5"/>
          <w:sz w:val="14"/>
        </w:rPr>
        <w:t>.</w:t>
      </w:r>
      <w:r>
        <w:rPr>
          <w:spacing w:val="55"/>
          <w:position w:val="5"/>
          <w:sz w:val="14"/>
        </w:rPr>
        <w:t>  </w:t>
      </w:r>
      <w:r>
        <w:rPr>
          <w:sz w:val="20"/>
        </w:rPr>
        <w:t>e.g.</w:t>
      </w:r>
      <w:r>
        <w:rPr>
          <w:spacing w:val="1"/>
          <w:sz w:val="20"/>
        </w:rPr>
        <w:t> </w:t>
      </w:r>
      <w:r>
        <w:rPr>
          <w:rFonts w:ascii="Arial"/>
          <w:i/>
          <w:sz w:val="20"/>
        </w:rPr>
        <w:t>Di Ferdinando v Simon Smits &amp; Co [1920] 2 K.B. </w:t>
      </w:r>
      <w:r>
        <w:rPr>
          <w:rFonts w:ascii="Arial"/>
          <w:i/>
          <w:spacing w:val="-4"/>
          <w:sz w:val="20"/>
        </w:rPr>
        <w:t>409</w:t>
      </w:r>
      <w:r>
        <w:rPr>
          <w:spacing w:val="-4"/>
          <w:sz w:val="20"/>
        </w:rPr>
        <w:t>.</w:t>
      </w:r>
    </w:p>
    <w:p>
      <w:pPr>
        <w:pStyle w:val="BodyText"/>
        <w:spacing w:before="5"/>
      </w:pPr>
    </w:p>
    <w:p>
      <w:pPr>
        <w:spacing w:line="227" w:lineRule="exact" w:before="0"/>
        <w:ind w:left="165" w:right="0" w:firstLine="0"/>
        <w:jc w:val="left"/>
        <w:rPr>
          <w:rFonts w:ascii="Arial"/>
          <w:i/>
          <w:sz w:val="20"/>
        </w:rPr>
      </w:pPr>
      <w:bookmarkStart w:name="_bookmark2752" w:id="2754"/>
      <w:bookmarkEnd w:id="2754"/>
      <w:r>
        <w:rPr/>
      </w:r>
      <w:hyperlink w:history="true" w:anchor="_bookmark2699">
        <w:r>
          <w:rPr>
            <w:color w:val="005DA1"/>
            <w:position w:val="5"/>
            <w:sz w:val="14"/>
            <w:u w:val="single" w:color="005DA1"/>
          </w:rPr>
          <w:t>1429</w:t>
        </w:r>
      </w:hyperlink>
      <w:r>
        <w:rPr>
          <w:position w:val="5"/>
          <w:sz w:val="14"/>
        </w:rPr>
        <w:t>.</w:t>
      </w:r>
      <w:r>
        <w:rPr>
          <w:spacing w:val="55"/>
          <w:position w:val="5"/>
          <w:sz w:val="14"/>
        </w:rPr>
        <w:t>  </w:t>
      </w:r>
      <w:r>
        <w:rPr>
          <w:rFonts w:ascii="Arial"/>
          <w:i/>
          <w:sz w:val="20"/>
        </w:rPr>
        <w:t>The</w:t>
      </w:r>
      <w:r>
        <w:rPr>
          <w:rFonts w:ascii="Arial"/>
          <w:i/>
          <w:spacing w:val="20"/>
          <w:sz w:val="20"/>
        </w:rPr>
        <w:t> </w:t>
      </w:r>
      <w:r>
        <w:rPr>
          <w:rFonts w:ascii="Arial"/>
          <w:i/>
          <w:sz w:val="20"/>
        </w:rPr>
        <w:t>Teh</w:t>
      </w:r>
      <w:r>
        <w:rPr>
          <w:rFonts w:ascii="Arial"/>
          <w:i/>
          <w:spacing w:val="19"/>
          <w:sz w:val="20"/>
        </w:rPr>
        <w:t> </w:t>
      </w:r>
      <w:r>
        <w:rPr>
          <w:rFonts w:ascii="Arial"/>
          <w:i/>
          <w:sz w:val="20"/>
        </w:rPr>
        <w:t>Hu</w:t>
      </w:r>
      <w:r>
        <w:rPr>
          <w:rFonts w:ascii="Arial"/>
          <w:i/>
          <w:spacing w:val="19"/>
          <w:sz w:val="20"/>
        </w:rPr>
        <w:t> </w:t>
      </w:r>
      <w:r>
        <w:rPr>
          <w:rFonts w:ascii="Arial"/>
          <w:i/>
          <w:sz w:val="20"/>
        </w:rPr>
        <w:t>[1970]</w:t>
      </w:r>
      <w:r>
        <w:rPr>
          <w:rFonts w:ascii="Arial"/>
          <w:i/>
          <w:spacing w:val="19"/>
          <w:sz w:val="20"/>
        </w:rPr>
        <w:t> </w:t>
      </w:r>
      <w:r>
        <w:rPr>
          <w:rFonts w:ascii="Arial"/>
          <w:i/>
          <w:sz w:val="20"/>
        </w:rPr>
        <w:t>P.</w:t>
      </w:r>
      <w:r>
        <w:rPr>
          <w:rFonts w:ascii="Arial"/>
          <w:i/>
          <w:spacing w:val="19"/>
          <w:sz w:val="20"/>
        </w:rPr>
        <w:t> </w:t>
      </w:r>
      <w:r>
        <w:rPr>
          <w:rFonts w:ascii="Arial"/>
          <w:i/>
          <w:sz w:val="20"/>
        </w:rPr>
        <w:t>106,</w:t>
      </w:r>
      <w:r>
        <w:rPr>
          <w:rFonts w:ascii="Arial"/>
          <w:i/>
          <w:spacing w:val="19"/>
          <w:sz w:val="20"/>
        </w:rPr>
        <w:t> </w:t>
      </w:r>
      <w:r>
        <w:rPr>
          <w:rFonts w:ascii="Arial"/>
          <w:i/>
          <w:sz w:val="20"/>
        </w:rPr>
        <w:t>124,</w:t>
      </w:r>
      <w:r>
        <w:rPr>
          <w:rFonts w:ascii="Arial"/>
          <w:i/>
          <w:spacing w:val="18"/>
          <w:sz w:val="20"/>
        </w:rPr>
        <w:t> </w:t>
      </w:r>
      <w:r>
        <w:rPr>
          <w:rFonts w:ascii="Arial"/>
          <w:i/>
          <w:sz w:val="20"/>
        </w:rPr>
        <w:t>127</w:t>
      </w:r>
      <w:r>
        <w:rPr>
          <w:sz w:val="20"/>
        </w:rPr>
        <w:t>;</w:t>
      </w:r>
      <w:r>
        <w:rPr>
          <w:spacing w:val="19"/>
          <w:sz w:val="20"/>
        </w:rPr>
        <w:t> </w:t>
      </w:r>
      <w:r>
        <w:rPr>
          <w:rFonts w:ascii="Arial"/>
          <w:i/>
          <w:sz w:val="20"/>
        </w:rPr>
        <w:t>Jugoslavenska</w:t>
      </w:r>
      <w:r>
        <w:rPr>
          <w:rFonts w:ascii="Arial"/>
          <w:i/>
          <w:spacing w:val="19"/>
          <w:sz w:val="20"/>
        </w:rPr>
        <w:t> </w:t>
      </w:r>
      <w:r>
        <w:rPr>
          <w:rFonts w:ascii="Arial"/>
          <w:i/>
          <w:sz w:val="20"/>
        </w:rPr>
        <w:t>Oceanska</w:t>
      </w:r>
      <w:r>
        <w:rPr>
          <w:rFonts w:ascii="Arial"/>
          <w:i/>
          <w:spacing w:val="19"/>
          <w:sz w:val="20"/>
        </w:rPr>
        <w:t> </w:t>
      </w:r>
      <w:r>
        <w:rPr>
          <w:rFonts w:ascii="Arial"/>
          <w:i/>
          <w:sz w:val="20"/>
        </w:rPr>
        <w:t>Plovidba</w:t>
      </w:r>
      <w:r>
        <w:rPr>
          <w:rFonts w:ascii="Arial"/>
          <w:i/>
          <w:spacing w:val="19"/>
          <w:sz w:val="20"/>
        </w:rPr>
        <w:t> </w:t>
      </w:r>
      <w:r>
        <w:rPr>
          <w:rFonts w:ascii="Arial"/>
          <w:i/>
          <w:sz w:val="20"/>
        </w:rPr>
        <w:t>v</w:t>
      </w:r>
      <w:r>
        <w:rPr>
          <w:rFonts w:ascii="Arial"/>
          <w:i/>
          <w:spacing w:val="19"/>
          <w:sz w:val="20"/>
        </w:rPr>
        <w:t> </w:t>
      </w:r>
      <w:r>
        <w:rPr>
          <w:rFonts w:ascii="Arial"/>
          <w:i/>
          <w:sz w:val="20"/>
        </w:rPr>
        <w:t>Castle</w:t>
      </w:r>
      <w:r>
        <w:rPr>
          <w:rFonts w:ascii="Arial"/>
          <w:i/>
          <w:spacing w:val="19"/>
          <w:sz w:val="20"/>
        </w:rPr>
        <w:t> </w:t>
      </w:r>
      <w:r>
        <w:rPr>
          <w:rFonts w:ascii="Arial"/>
          <w:i/>
          <w:spacing w:val="-2"/>
          <w:sz w:val="20"/>
        </w:rPr>
        <w:t>Investment</w:t>
      </w:r>
    </w:p>
    <w:p>
      <w:pPr>
        <w:spacing w:line="227" w:lineRule="exact" w:before="0"/>
        <w:ind w:left="705" w:right="0" w:firstLine="0"/>
        <w:jc w:val="left"/>
        <w:rPr>
          <w:sz w:val="20"/>
        </w:rPr>
      </w:pPr>
      <w:r>
        <w:rPr>
          <w:rFonts w:ascii="Arial"/>
          <w:i/>
          <w:sz w:val="20"/>
        </w:rPr>
        <w:t>Co</w:t>
      </w:r>
      <w:r>
        <w:rPr>
          <w:rFonts w:ascii="Arial"/>
          <w:i/>
          <w:spacing w:val="-1"/>
          <w:sz w:val="20"/>
        </w:rPr>
        <w:t> </w:t>
      </w:r>
      <w:r>
        <w:rPr>
          <w:rFonts w:ascii="Arial"/>
          <w:i/>
          <w:sz w:val="20"/>
        </w:rPr>
        <w:t>Inc [1974] Q.B. 292</w:t>
      </w:r>
      <w:r>
        <w:rPr>
          <w:sz w:val="20"/>
        </w:rPr>
        <w:t>; </w:t>
      </w:r>
      <w:r>
        <w:rPr>
          <w:rFonts w:ascii="Arial"/>
          <w:i/>
          <w:sz w:val="20"/>
        </w:rPr>
        <w:t>Schorsch Meier GmbH v Hennin [1975] Q.B. </w:t>
      </w:r>
      <w:r>
        <w:rPr>
          <w:rFonts w:ascii="Arial"/>
          <w:i/>
          <w:spacing w:val="-4"/>
          <w:sz w:val="20"/>
        </w:rPr>
        <w:t>416</w:t>
      </w:r>
      <w:r>
        <w:rPr>
          <w:spacing w:val="-4"/>
          <w:sz w:val="20"/>
        </w:rPr>
        <w:t>.</w:t>
      </w:r>
    </w:p>
    <w:p>
      <w:pPr>
        <w:pStyle w:val="BodyText"/>
        <w:spacing w:before="5"/>
      </w:pPr>
    </w:p>
    <w:p>
      <w:pPr>
        <w:spacing w:before="0"/>
        <w:ind w:left="165" w:right="0" w:firstLine="0"/>
        <w:jc w:val="left"/>
        <w:rPr>
          <w:sz w:val="20"/>
        </w:rPr>
      </w:pPr>
      <w:bookmarkStart w:name="_bookmark2753" w:id="2755"/>
      <w:bookmarkEnd w:id="2755"/>
      <w:r>
        <w:rPr/>
      </w:r>
      <w:hyperlink w:history="true" w:anchor="_bookmark2700">
        <w:r>
          <w:rPr>
            <w:color w:val="005DA1"/>
            <w:position w:val="5"/>
            <w:sz w:val="14"/>
            <w:u w:val="single" w:color="005DA1"/>
          </w:rPr>
          <w:t>1430</w:t>
        </w:r>
      </w:hyperlink>
      <w:r>
        <w:rPr>
          <w:position w:val="5"/>
          <w:sz w:val="14"/>
        </w:rPr>
        <w:t>.</w:t>
      </w:r>
      <w:r>
        <w:rPr>
          <w:spacing w:val="55"/>
          <w:position w:val="5"/>
          <w:sz w:val="14"/>
        </w:rPr>
        <w:t>  </w:t>
      </w:r>
      <w:r>
        <w:rPr>
          <w:rFonts w:ascii="Arial"/>
          <w:i/>
          <w:sz w:val="20"/>
        </w:rPr>
        <w:t>[1976]</w:t>
      </w:r>
      <w:r>
        <w:rPr>
          <w:rFonts w:ascii="Arial"/>
          <w:i/>
          <w:spacing w:val="1"/>
          <w:sz w:val="20"/>
        </w:rPr>
        <w:t> </w:t>
      </w:r>
      <w:r>
        <w:rPr>
          <w:rFonts w:ascii="Arial"/>
          <w:i/>
          <w:sz w:val="20"/>
        </w:rPr>
        <w:t>A.C. </w:t>
      </w:r>
      <w:r>
        <w:rPr>
          <w:rFonts w:ascii="Arial"/>
          <w:i/>
          <w:spacing w:val="-4"/>
          <w:sz w:val="20"/>
        </w:rPr>
        <w:t>443</w:t>
      </w:r>
      <w:r>
        <w:rPr>
          <w:spacing w:val="-4"/>
          <w:sz w:val="20"/>
        </w:rPr>
        <w:t>.</w:t>
      </w:r>
    </w:p>
    <w:p>
      <w:pPr>
        <w:pStyle w:val="BodyText"/>
        <w:spacing w:before="5"/>
      </w:pPr>
    </w:p>
    <w:p>
      <w:pPr>
        <w:spacing w:before="0"/>
        <w:ind w:left="165" w:right="0" w:firstLine="0"/>
        <w:jc w:val="left"/>
        <w:rPr>
          <w:sz w:val="20"/>
        </w:rPr>
      </w:pPr>
      <w:bookmarkStart w:name="_bookmark2754" w:id="2756"/>
      <w:bookmarkEnd w:id="2756"/>
      <w:r>
        <w:rPr/>
      </w:r>
      <w:hyperlink w:history="true" w:anchor="_bookmark2701">
        <w:r>
          <w:rPr>
            <w:color w:val="005DA1"/>
            <w:position w:val="5"/>
            <w:sz w:val="14"/>
            <w:u w:val="single" w:color="005DA1"/>
          </w:rPr>
          <w:t>1431</w:t>
        </w:r>
      </w:hyperlink>
      <w:r>
        <w:rPr>
          <w:position w:val="5"/>
          <w:sz w:val="14"/>
        </w:rPr>
        <w:t>.</w:t>
      </w:r>
      <w:r>
        <w:rPr>
          <w:spacing w:val="55"/>
          <w:position w:val="5"/>
          <w:sz w:val="14"/>
        </w:rPr>
        <w:t>  </w:t>
      </w:r>
      <w:r>
        <w:rPr>
          <w:rFonts w:ascii="Arial"/>
          <w:i/>
          <w:sz w:val="20"/>
        </w:rPr>
        <w:t>[1976]</w:t>
      </w:r>
      <w:r>
        <w:rPr>
          <w:rFonts w:ascii="Arial"/>
          <w:i/>
          <w:spacing w:val="1"/>
          <w:sz w:val="20"/>
        </w:rPr>
        <w:t> </w:t>
      </w:r>
      <w:r>
        <w:rPr>
          <w:rFonts w:ascii="Arial"/>
          <w:i/>
          <w:sz w:val="20"/>
        </w:rPr>
        <w:t>A.C. 443, </w:t>
      </w:r>
      <w:r>
        <w:rPr>
          <w:rFonts w:ascii="Arial"/>
          <w:i/>
          <w:spacing w:val="-4"/>
          <w:sz w:val="20"/>
        </w:rPr>
        <w:t>466</w:t>
      </w:r>
      <w:r>
        <w:rPr>
          <w:spacing w:val="-4"/>
          <w:sz w:val="20"/>
        </w:rPr>
        <w:t>.</w:t>
      </w:r>
    </w:p>
    <w:p>
      <w:pPr>
        <w:pStyle w:val="BodyText"/>
        <w:spacing w:before="9"/>
      </w:pPr>
    </w:p>
    <w:p>
      <w:pPr>
        <w:spacing w:line="235" w:lineRule="auto" w:before="0"/>
        <w:ind w:left="705" w:right="167" w:hanging="541"/>
        <w:jc w:val="both"/>
        <w:rPr>
          <w:rFonts w:ascii="Arial"/>
          <w:i/>
          <w:sz w:val="20"/>
        </w:rPr>
      </w:pPr>
      <w:bookmarkStart w:name="_bookmark2755" w:id="2757"/>
      <w:bookmarkEnd w:id="2757"/>
      <w:r>
        <w:rPr/>
      </w:r>
      <w:hyperlink w:history="true" w:anchor="_bookmark2702">
        <w:r>
          <w:rPr>
            <w:color w:val="005DA1"/>
            <w:position w:val="5"/>
            <w:sz w:val="14"/>
            <w:u w:val="single" w:color="005DA1"/>
          </w:rPr>
          <w:t>1432</w:t>
        </w:r>
      </w:hyperlink>
      <w:r>
        <w:rPr>
          <w:position w:val="5"/>
          <w:sz w:val="14"/>
        </w:rPr>
        <w:t>.</w:t>
      </w:r>
      <w:r>
        <w:rPr>
          <w:spacing w:val="80"/>
          <w:position w:val="5"/>
          <w:sz w:val="14"/>
        </w:rPr>
        <w:t> </w:t>
      </w:r>
      <w:r>
        <w:rPr>
          <w:sz w:val="20"/>
        </w:rPr>
        <w:t>These developments are not restricted to contractual claims but would appear to apply to all claims made in foreign currency: see, e.g. </w:t>
      </w:r>
      <w:r>
        <w:rPr>
          <w:rFonts w:ascii="Arial"/>
          <w:i/>
          <w:sz w:val="20"/>
        </w:rPr>
        <w:t>The Despina R. [1979] A.C. 685</w:t>
      </w:r>
      <w:r>
        <w:rPr>
          <w:sz w:val="20"/>
        </w:rPr>
        <w:t>; </w:t>
      </w:r>
      <w:r>
        <w:rPr>
          <w:rFonts w:ascii="Arial"/>
          <w:i/>
          <w:sz w:val="20"/>
        </w:rPr>
        <w:t>Hoffman v Sofaer [1982]</w:t>
      </w:r>
      <w:r>
        <w:rPr>
          <w:rFonts w:ascii="Arial"/>
          <w:i/>
          <w:spacing w:val="7"/>
          <w:sz w:val="20"/>
        </w:rPr>
        <w:t> </w:t>
      </w:r>
      <w:r>
        <w:rPr>
          <w:rFonts w:ascii="Arial"/>
          <w:i/>
          <w:sz w:val="20"/>
        </w:rPr>
        <w:t>1</w:t>
      </w:r>
      <w:r>
        <w:rPr>
          <w:rFonts w:ascii="Arial"/>
          <w:i/>
          <w:spacing w:val="7"/>
          <w:sz w:val="20"/>
        </w:rPr>
        <w:t> </w:t>
      </w:r>
      <w:r>
        <w:rPr>
          <w:rFonts w:ascii="Arial"/>
          <w:i/>
          <w:sz w:val="20"/>
        </w:rPr>
        <w:t>W.L.R.</w:t>
      </w:r>
      <w:r>
        <w:rPr>
          <w:rFonts w:ascii="Arial"/>
          <w:i/>
          <w:spacing w:val="7"/>
          <w:sz w:val="20"/>
        </w:rPr>
        <w:t> </w:t>
      </w:r>
      <w:r>
        <w:rPr>
          <w:rFonts w:ascii="Arial"/>
          <w:i/>
          <w:sz w:val="20"/>
        </w:rPr>
        <w:t>1350</w:t>
      </w:r>
      <w:r>
        <w:rPr>
          <w:rFonts w:ascii="Arial"/>
          <w:i/>
          <w:spacing w:val="7"/>
          <w:sz w:val="20"/>
        </w:rPr>
        <w:t> </w:t>
      </w:r>
      <w:r>
        <w:rPr>
          <w:sz w:val="20"/>
        </w:rPr>
        <w:t>(tort);</w:t>
      </w:r>
      <w:r>
        <w:rPr>
          <w:spacing w:val="7"/>
          <w:sz w:val="20"/>
        </w:rPr>
        <w:t> </w:t>
      </w:r>
      <w:r>
        <w:rPr>
          <w:rFonts w:ascii="Arial"/>
          <w:i/>
          <w:sz w:val="20"/>
        </w:rPr>
        <w:t>B.P.</w:t>
      </w:r>
      <w:r>
        <w:rPr>
          <w:rFonts w:ascii="Arial"/>
          <w:i/>
          <w:spacing w:val="7"/>
          <w:sz w:val="20"/>
        </w:rPr>
        <w:t> </w:t>
      </w:r>
      <w:r>
        <w:rPr>
          <w:rFonts w:ascii="Arial"/>
          <w:i/>
          <w:sz w:val="20"/>
        </w:rPr>
        <w:t>Exploration</w:t>
      </w:r>
      <w:r>
        <w:rPr>
          <w:rFonts w:ascii="Arial"/>
          <w:i/>
          <w:spacing w:val="7"/>
          <w:sz w:val="20"/>
        </w:rPr>
        <w:t> </w:t>
      </w:r>
      <w:r>
        <w:rPr>
          <w:rFonts w:ascii="Arial"/>
          <w:i/>
          <w:sz w:val="20"/>
        </w:rPr>
        <w:t>Co</w:t>
      </w:r>
      <w:r>
        <w:rPr>
          <w:rFonts w:ascii="Arial"/>
          <w:i/>
          <w:spacing w:val="7"/>
          <w:sz w:val="20"/>
        </w:rPr>
        <w:t> </w:t>
      </w:r>
      <w:r>
        <w:rPr>
          <w:rFonts w:ascii="Arial"/>
          <w:i/>
          <w:sz w:val="20"/>
        </w:rPr>
        <w:t>(Libya)</w:t>
      </w:r>
      <w:r>
        <w:rPr>
          <w:rFonts w:ascii="Arial"/>
          <w:i/>
          <w:spacing w:val="7"/>
          <w:sz w:val="20"/>
        </w:rPr>
        <w:t> </w:t>
      </w:r>
      <w:r>
        <w:rPr>
          <w:rFonts w:ascii="Arial"/>
          <w:i/>
          <w:sz w:val="20"/>
        </w:rPr>
        <w:t>Ltd</w:t>
      </w:r>
      <w:r>
        <w:rPr>
          <w:rFonts w:ascii="Arial"/>
          <w:i/>
          <w:spacing w:val="7"/>
          <w:sz w:val="20"/>
        </w:rPr>
        <w:t> </w:t>
      </w:r>
      <w:r>
        <w:rPr>
          <w:rFonts w:ascii="Arial"/>
          <w:i/>
          <w:sz w:val="20"/>
        </w:rPr>
        <w:t>v</w:t>
      </w:r>
      <w:r>
        <w:rPr>
          <w:rFonts w:ascii="Arial"/>
          <w:i/>
          <w:spacing w:val="7"/>
          <w:sz w:val="20"/>
        </w:rPr>
        <w:t> </w:t>
      </w:r>
      <w:r>
        <w:rPr>
          <w:rFonts w:ascii="Arial"/>
          <w:i/>
          <w:sz w:val="20"/>
        </w:rPr>
        <w:t>Hunt</w:t>
      </w:r>
      <w:r>
        <w:rPr>
          <w:rFonts w:ascii="Arial"/>
          <w:i/>
          <w:spacing w:val="7"/>
          <w:sz w:val="20"/>
        </w:rPr>
        <w:t> </w:t>
      </w:r>
      <w:r>
        <w:rPr>
          <w:rFonts w:ascii="Arial"/>
          <w:i/>
          <w:sz w:val="20"/>
        </w:rPr>
        <w:t>(No.2)</w:t>
      </w:r>
      <w:r>
        <w:rPr>
          <w:rFonts w:ascii="Arial"/>
          <w:i/>
          <w:spacing w:val="7"/>
          <w:sz w:val="20"/>
        </w:rPr>
        <w:t> </w:t>
      </w:r>
      <w:r>
        <w:rPr>
          <w:rFonts w:ascii="Arial"/>
          <w:i/>
          <w:sz w:val="20"/>
        </w:rPr>
        <w:t>[1979]</w:t>
      </w:r>
      <w:r>
        <w:rPr>
          <w:rFonts w:ascii="Arial"/>
          <w:i/>
          <w:spacing w:val="7"/>
          <w:sz w:val="20"/>
        </w:rPr>
        <w:t> </w:t>
      </w:r>
      <w:r>
        <w:rPr>
          <w:rFonts w:ascii="Arial"/>
          <w:i/>
          <w:sz w:val="20"/>
        </w:rPr>
        <w:t>1</w:t>
      </w:r>
      <w:r>
        <w:rPr>
          <w:rFonts w:ascii="Arial"/>
          <w:i/>
          <w:spacing w:val="7"/>
          <w:sz w:val="20"/>
        </w:rPr>
        <w:t> </w:t>
      </w:r>
      <w:r>
        <w:rPr>
          <w:rFonts w:ascii="Arial"/>
          <w:i/>
          <w:sz w:val="20"/>
        </w:rPr>
        <w:t>W.L.R.</w:t>
      </w:r>
      <w:r>
        <w:rPr>
          <w:rFonts w:ascii="Arial"/>
          <w:i/>
          <w:spacing w:val="7"/>
          <w:sz w:val="20"/>
        </w:rPr>
        <w:t> </w:t>
      </w:r>
      <w:r>
        <w:rPr>
          <w:rFonts w:ascii="Arial"/>
          <w:i/>
          <w:spacing w:val="-4"/>
          <w:sz w:val="20"/>
        </w:rPr>
        <w:t>783,</w:t>
      </w:r>
    </w:p>
    <w:p>
      <w:pPr>
        <w:spacing w:line="223" w:lineRule="exact" w:before="0"/>
        <w:ind w:left="705" w:right="0" w:firstLine="0"/>
        <w:jc w:val="both"/>
        <w:rPr>
          <w:rFonts w:ascii="Arial" w:hAnsi="Arial"/>
          <w:i/>
          <w:sz w:val="20"/>
        </w:rPr>
      </w:pPr>
      <w:r>
        <w:rPr>
          <w:rFonts w:ascii="Arial" w:hAnsi="Arial"/>
          <w:i/>
          <w:sz w:val="20"/>
        </w:rPr>
        <w:t>840–841</w:t>
      </w:r>
      <w:r>
        <w:rPr>
          <w:rFonts w:ascii="Arial" w:hAnsi="Arial"/>
          <w:i/>
          <w:spacing w:val="39"/>
          <w:sz w:val="20"/>
        </w:rPr>
        <w:t> </w:t>
      </w:r>
      <w:r>
        <w:rPr>
          <w:rFonts w:ascii="Arial" w:hAnsi="Arial"/>
          <w:i/>
          <w:sz w:val="20"/>
        </w:rPr>
        <w:t>(affirmed</w:t>
      </w:r>
      <w:r>
        <w:rPr>
          <w:rFonts w:ascii="Arial" w:hAnsi="Arial"/>
          <w:i/>
          <w:spacing w:val="40"/>
          <w:sz w:val="20"/>
        </w:rPr>
        <w:t> </w:t>
      </w:r>
      <w:r>
        <w:rPr>
          <w:rFonts w:ascii="Arial" w:hAnsi="Arial"/>
          <w:i/>
          <w:sz w:val="20"/>
        </w:rPr>
        <w:t>[1983]</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352</w:t>
      </w:r>
      <w:r>
        <w:rPr>
          <w:rFonts w:ascii="Arial" w:hAnsi="Arial"/>
          <w:i/>
          <w:spacing w:val="40"/>
          <w:sz w:val="20"/>
        </w:rPr>
        <w:t> </w:t>
      </w:r>
      <w:r>
        <w:rPr>
          <w:rFonts w:ascii="Arial" w:hAnsi="Arial"/>
          <w:i/>
          <w:sz w:val="20"/>
        </w:rPr>
        <w:t>(restitution)</w:t>
      </w:r>
      <w:r>
        <w:rPr>
          <w:sz w:val="20"/>
        </w:rPr>
        <w:t>);</w:t>
      </w:r>
      <w:r>
        <w:rPr>
          <w:spacing w:val="40"/>
          <w:sz w:val="20"/>
        </w:rPr>
        <w:t> </w:t>
      </w:r>
      <w:r>
        <w:rPr>
          <w:rFonts w:ascii="Arial" w:hAnsi="Arial"/>
          <w:i/>
          <w:sz w:val="20"/>
        </w:rPr>
        <w:t>Re</w:t>
      </w:r>
      <w:r>
        <w:rPr>
          <w:rFonts w:ascii="Arial" w:hAnsi="Arial"/>
          <w:i/>
          <w:spacing w:val="40"/>
          <w:sz w:val="20"/>
        </w:rPr>
        <w:t> </w:t>
      </w:r>
      <w:r>
        <w:rPr>
          <w:rFonts w:ascii="Arial" w:hAnsi="Arial"/>
          <w:i/>
          <w:sz w:val="20"/>
        </w:rPr>
        <w:t>Dynamics</w:t>
      </w:r>
      <w:r>
        <w:rPr>
          <w:rFonts w:ascii="Arial" w:hAnsi="Arial"/>
          <w:i/>
          <w:spacing w:val="40"/>
          <w:sz w:val="20"/>
        </w:rPr>
        <w:t> </w:t>
      </w:r>
      <w:r>
        <w:rPr>
          <w:rFonts w:ascii="Arial" w:hAnsi="Arial"/>
          <w:i/>
          <w:sz w:val="20"/>
        </w:rPr>
        <w:t>Corp</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America</w:t>
      </w:r>
      <w:r>
        <w:rPr>
          <w:rFonts w:ascii="Arial" w:hAnsi="Arial"/>
          <w:i/>
          <w:spacing w:val="40"/>
          <w:sz w:val="20"/>
        </w:rPr>
        <w:t> </w:t>
      </w:r>
      <w:r>
        <w:rPr>
          <w:rFonts w:ascii="Arial" w:hAnsi="Arial"/>
          <w:i/>
          <w:sz w:val="20"/>
        </w:rPr>
        <w:t>[1976]</w:t>
      </w:r>
      <w:r>
        <w:rPr>
          <w:rFonts w:ascii="Arial" w:hAnsi="Arial"/>
          <w:i/>
          <w:spacing w:val="40"/>
          <w:sz w:val="20"/>
        </w:rPr>
        <w:t> </w:t>
      </w:r>
      <w:r>
        <w:rPr>
          <w:rFonts w:ascii="Arial" w:hAnsi="Arial"/>
          <w:i/>
          <w:spacing w:val="-10"/>
          <w:sz w:val="20"/>
        </w:rPr>
        <w:t>1</w:t>
      </w:r>
    </w:p>
    <w:p>
      <w:pPr>
        <w:spacing w:line="235" w:lineRule="auto" w:before="1"/>
        <w:ind w:left="705" w:right="168" w:firstLine="0"/>
        <w:jc w:val="both"/>
        <w:rPr>
          <w:rFonts w:ascii="Arial" w:hAnsi="Arial"/>
          <w:i/>
          <w:sz w:val="20"/>
        </w:rPr>
      </w:pPr>
      <w:r>
        <w:rPr>
          <w:rFonts w:ascii="Arial" w:hAnsi="Arial"/>
          <w:i/>
          <w:sz w:val="20"/>
        </w:rPr>
        <w:t>W.L.R. 757</w:t>
      </w:r>
      <w:r>
        <w:rPr>
          <w:sz w:val="20"/>
        </w:rPr>
        <w:t>; </w:t>
      </w:r>
      <w:r>
        <w:rPr>
          <w:rFonts w:ascii="Arial" w:hAnsi="Arial"/>
          <w:i/>
          <w:sz w:val="20"/>
        </w:rPr>
        <w:t>Re Lines Bros Ltd [1983] Ch. 1</w:t>
      </w:r>
      <w:r>
        <w:rPr>
          <w:sz w:val="20"/>
        </w:rPr>
        <w:t>; </w:t>
      </w:r>
      <w:r>
        <w:rPr>
          <w:rFonts w:ascii="Arial" w:hAnsi="Arial"/>
          <w:i/>
          <w:sz w:val="20"/>
        </w:rPr>
        <w:t>Re Lines Bros Ltd (No.2) [1984] Ch. 438 </w:t>
      </w:r>
      <w:r>
        <w:rPr>
          <w:sz w:val="20"/>
        </w:rPr>
        <w:t>(winding up); </w:t>
      </w:r>
      <w:r>
        <w:rPr>
          <w:rFonts w:ascii="Arial" w:hAnsi="Arial"/>
          <w:i/>
          <w:sz w:val="20"/>
        </w:rPr>
        <w:t>Choice Investments Ltd v Jeromninon [1981] 1 Q.B. 149 </w:t>
      </w:r>
      <w:r>
        <w:rPr>
          <w:sz w:val="20"/>
        </w:rPr>
        <w:t>(garnishee order against </w:t>
      </w:r>
      <w:r>
        <w:rPr>
          <w:sz w:val="20"/>
        </w:rPr>
        <w:t>English bank); </w:t>
      </w:r>
      <w:r>
        <w:rPr>
          <w:rFonts w:ascii="Arial" w:hAnsi="Arial"/>
          <w:i/>
          <w:sz w:val="20"/>
        </w:rPr>
        <w:t>Re A Debtor (No.51–SD–1991) [1992] 1 W.L.R. 1294 </w:t>
      </w:r>
      <w:r>
        <w:rPr>
          <w:sz w:val="20"/>
        </w:rPr>
        <w:t>(debt in statutory demand under Insolvency Act 1986); </w:t>
      </w:r>
      <w:r>
        <w:rPr>
          <w:rFonts w:ascii="Arial" w:hAnsi="Arial"/>
          <w:i/>
          <w:sz w:val="20"/>
        </w:rPr>
        <w:t>Carnegie v Giessen [2005] EWCA Civ 191, [2005] 1 W.L.R. 2610 </w:t>
      </w:r>
      <w:r>
        <w:rPr>
          <w:sz w:val="20"/>
        </w:rPr>
        <w:t>(charging</w:t>
      </w:r>
      <w:r>
        <w:rPr>
          <w:spacing w:val="50"/>
          <w:sz w:val="20"/>
        </w:rPr>
        <w:t> </w:t>
      </w:r>
      <w:r>
        <w:rPr>
          <w:sz w:val="20"/>
        </w:rPr>
        <w:t>order</w:t>
      </w:r>
      <w:r>
        <w:rPr>
          <w:spacing w:val="50"/>
          <w:sz w:val="20"/>
        </w:rPr>
        <w:t> </w:t>
      </w:r>
      <w:r>
        <w:rPr>
          <w:sz w:val="20"/>
        </w:rPr>
        <w:t>may</w:t>
      </w:r>
      <w:r>
        <w:rPr>
          <w:spacing w:val="50"/>
          <w:sz w:val="20"/>
        </w:rPr>
        <w:t> </w:t>
      </w:r>
      <w:r>
        <w:rPr>
          <w:sz w:val="20"/>
        </w:rPr>
        <w:t>be</w:t>
      </w:r>
      <w:r>
        <w:rPr>
          <w:spacing w:val="50"/>
          <w:sz w:val="20"/>
        </w:rPr>
        <w:t> </w:t>
      </w:r>
      <w:r>
        <w:rPr>
          <w:sz w:val="20"/>
        </w:rPr>
        <w:t>expressed</w:t>
      </w:r>
      <w:r>
        <w:rPr>
          <w:spacing w:val="50"/>
          <w:sz w:val="20"/>
        </w:rPr>
        <w:t> </w:t>
      </w:r>
      <w:r>
        <w:rPr>
          <w:sz w:val="20"/>
        </w:rPr>
        <w:t>in</w:t>
      </w:r>
      <w:r>
        <w:rPr>
          <w:spacing w:val="50"/>
          <w:sz w:val="20"/>
        </w:rPr>
        <w:t> </w:t>
      </w:r>
      <w:r>
        <w:rPr>
          <w:sz w:val="20"/>
        </w:rPr>
        <w:t>foreign</w:t>
      </w:r>
      <w:r>
        <w:rPr>
          <w:spacing w:val="50"/>
          <w:sz w:val="20"/>
        </w:rPr>
        <w:t> </w:t>
      </w:r>
      <w:r>
        <w:rPr>
          <w:sz w:val="20"/>
        </w:rPr>
        <w:t>currency);</w:t>
      </w:r>
      <w:r>
        <w:rPr>
          <w:spacing w:val="49"/>
          <w:sz w:val="20"/>
        </w:rPr>
        <w:t> </w:t>
      </w:r>
      <w:r>
        <w:rPr>
          <w:rFonts w:ascii="Arial" w:hAnsi="Arial"/>
          <w:i/>
          <w:sz w:val="20"/>
        </w:rPr>
        <w:t>Re</w:t>
      </w:r>
      <w:r>
        <w:rPr>
          <w:rFonts w:ascii="Arial" w:hAnsi="Arial"/>
          <w:i/>
          <w:spacing w:val="50"/>
          <w:sz w:val="20"/>
        </w:rPr>
        <w:t> </w:t>
      </w:r>
      <w:r>
        <w:rPr>
          <w:rFonts w:ascii="Arial" w:hAnsi="Arial"/>
          <w:i/>
          <w:sz w:val="20"/>
        </w:rPr>
        <w:t>Telewest</w:t>
      </w:r>
      <w:r>
        <w:rPr>
          <w:rFonts w:ascii="Arial" w:hAnsi="Arial"/>
          <w:i/>
          <w:spacing w:val="50"/>
          <w:sz w:val="20"/>
        </w:rPr>
        <w:t> </w:t>
      </w:r>
      <w:r>
        <w:rPr>
          <w:rFonts w:ascii="Arial" w:hAnsi="Arial"/>
          <w:i/>
          <w:sz w:val="20"/>
        </w:rPr>
        <w:t>Communications</w:t>
      </w:r>
      <w:r>
        <w:rPr>
          <w:rFonts w:ascii="Arial" w:hAnsi="Arial"/>
          <w:i/>
          <w:spacing w:val="50"/>
          <w:sz w:val="20"/>
        </w:rPr>
        <w:t> </w:t>
      </w:r>
      <w:r>
        <w:rPr>
          <w:rFonts w:ascii="Arial" w:hAnsi="Arial"/>
          <w:i/>
          <w:spacing w:val="-5"/>
          <w:sz w:val="20"/>
        </w:rPr>
        <w:t>Plc</w:t>
      </w:r>
    </w:p>
    <w:p>
      <w:pPr>
        <w:spacing w:after="0" w:line="235" w:lineRule="auto"/>
        <w:jc w:val="both"/>
        <w:rPr>
          <w:rFonts w:ascii="Arial" w:hAnsi="Arial"/>
          <w:i/>
          <w:sz w:val="20"/>
        </w:rPr>
        <w:sectPr>
          <w:pgSz w:w="11900" w:h="16840"/>
          <w:pgMar w:header="971" w:footer="0" w:top="1300" w:bottom="280" w:left="1275" w:right="1275"/>
        </w:sectPr>
      </w:pPr>
    </w:p>
    <w:p>
      <w:pPr>
        <w:spacing w:line="227" w:lineRule="exact" w:before="106"/>
        <w:ind w:left="705" w:right="0" w:firstLine="0"/>
        <w:jc w:val="both"/>
        <w:rPr>
          <w:sz w:val="20"/>
        </w:rPr>
      </w:pPr>
      <w:r>
        <w:rPr>
          <w:rFonts w:ascii="Arial"/>
          <w:i/>
          <w:sz w:val="20"/>
        </w:rPr>
        <w:t>[2004] EWHC 924 (Ch), [2004] B.C.C. 342, affirmed [2004] EWCA Civ 728, [2005] B.C.C. 29</w:t>
      </w:r>
      <w:r>
        <w:rPr>
          <w:rFonts w:ascii="Arial"/>
          <w:i/>
          <w:spacing w:val="-1"/>
          <w:sz w:val="20"/>
        </w:rPr>
        <w:t> </w:t>
      </w:r>
      <w:r>
        <w:rPr>
          <w:spacing w:val="-5"/>
          <w:sz w:val="20"/>
        </w:rPr>
        <w:t>(to</w:t>
      </w:r>
    </w:p>
    <w:p>
      <w:pPr>
        <w:pStyle w:val="BodyText"/>
        <w:spacing w:line="235" w:lineRule="auto" w:before="2"/>
        <w:ind w:left="705" w:right="167"/>
        <w:jc w:val="both"/>
      </w:pPr>
      <w:r>
        <w:rPr/>
        <w:t>determine the number of shares to be transferred to claimants under scheme of arrangement pursuant to Companies Act 1985 s.425 (now Companies Act 2006 ss.895 et seq.) it </w:t>
      </w:r>
      <w:r>
        <w:rPr/>
        <w:t>was necessary to express all claims covered by the scheme in a single currency and for this</w:t>
      </w:r>
      <w:r>
        <w:rPr>
          <w:spacing w:val="40"/>
        </w:rPr>
        <w:t> </w:t>
      </w:r>
      <w:r>
        <w:rPr/>
        <w:t>purpose sterling claims were to be converted into US dollars in accordance with average exchange rate); </w:t>
      </w:r>
      <w:r>
        <w:rPr>
          <w:rFonts w:ascii="Arial"/>
          <w:i/>
        </w:rPr>
        <w:t>Fearns v Anglo-Dutch Paint &amp; Chemical Co Ltd [2010] EWHC 2366 (Ch),</w:t>
      </w:r>
      <w:r>
        <w:rPr>
          <w:rFonts w:ascii="Arial"/>
          <w:i/>
          <w:spacing w:val="40"/>
        </w:rPr>
        <w:t> </w:t>
      </w:r>
      <w:r>
        <w:rPr>
          <w:rFonts w:ascii="Arial"/>
          <w:i/>
        </w:rPr>
        <w:t>[2011] 1 W.L.R. 366 </w:t>
      </w:r>
      <w:r>
        <w:rPr/>
        <w:t>(set-off). See, too, </w:t>
      </w:r>
      <w:r>
        <w:rPr>
          <w:rFonts w:ascii="Arial"/>
          <w:i/>
        </w:rPr>
        <w:t>Re Scandinavian Bank Group Plc [1988] Ch. 87 </w:t>
      </w:r>
      <w:r>
        <w:rPr/>
        <w:t>(s.2(5)(a) of the Companies Act 1985 does not require company to have share capital only denominated in sterling). The principle in </w:t>
      </w:r>
      <w:r>
        <w:rPr>
          <w:rFonts w:ascii="Arial"/>
          <w:i/>
        </w:rPr>
        <w:t>Re Scandinavian Bank Group Plc </w:t>
      </w:r>
      <w:r>
        <w:rPr/>
        <w:t>is now to be found</w:t>
      </w:r>
      <w:r>
        <w:rPr>
          <w:spacing w:val="40"/>
        </w:rPr>
        <w:t> </w:t>
      </w:r>
      <w:r>
        <w:rPr/>
        <w:t>in Companies Act 2006 s.542(3) which provides that shares in a limited company having a share capital may be denominated in any currency and different classes of shares may be denominated in different currencies, subject to s.765, concerned with the EU requirement that the amount needed for the authorised minimum capital of a public company must either be in sterling or euros.</w:t>
      </w:r>
    </w:p>
    <w:p>
      <w:pPr>
        <w:pStyle w:val="BodyText"/>
        <w:spacing w:before="5"/>
      </w:pPr>
    </w:p>
    <w:p>
      <w:pPr>
        <w:spacing w:line="235" w:lineRule="auto" w:before="0"/>
        <w:ind w:left="705" w:right="168" w:hanging="541"/>
        <w:jc w:val="both"/>
        <w:rPr>
          <w:rFonts w:ascii="Arial" w:hAnsi="Arial"/>
          <w:i/>
          <w:sz w:val="20"/>
        </w:rPr>
      </w:pPr>
      <w:bookmarkStart w:name="_bookmark2756" w:id="2758"/>
      <w:bookmarkEnd w:id="2758"/>
      <w:r>
        <w:rPr/>
      </w:r>
      <w:hyperlink w:history="true" w:anchor="_bookmark2703">
        <w:r>
          <w:rPr>
            <w:color w:val="005DA1"/>
            <w:position w:val="5"/>
            <w:sz w:val="14"/>
            <w:u w:val="single" w:color="005DA1"/>
          </w:rPr>
          <w:t>1433</w:t>
        </w:r>
      </w:hyperlink>
      <w:r>
        <w:rPr>
          <w:position w:val="5"/>
          <w:sz w:val="14"/>
        </w:rPr>
        <w:t>.</w:t>
      </w:r>
      <w:r>
        <w:rPr>
          <w:spacing w:val="80"/>
          <w:position w:val="5"/>
          <w:sz w:val="14"/>
        </w:rPr>
        <w:t> </w:t>
      </w:r>
      <w:r>
        <w:rPr>
          <w:rFonts w:ascii="Arial" w:hAnsi="Arial"/>
          <w:i/>
          <w:sz w:val="20"/>
        </w:rPr>
        <w:t>Miliangos v George Frank (Textiles) Ltd [1976] A.C. 443</w:t>
      </w:r>
      <w:r>
        <w:rPr>
          <w:sz w:val="20"/>
        </w:rPr>
        <w:t>; CPR para.40.2.3; and see </w:t>
      </w:r>
      <w:r>
        <w:rPr>
          <w:rFonts w:ascii="Arial" w:hAnsi="Arial"/>
          <w:i/>
          <w:sz w:val="20"/>
        </w:rPr>
        <w:t>The</w:t>
      </w:r>
      <w:r>
        <w:rPr>
          <w:rFonts w:ascii="Arial" w:hAnsi="Arial"/>
          <w:i/>
          <w:spacing w:val="80"/>
          <w:sz w:val="20"/>
        </w:rPr>
        <w:t> </w:t>
      </w:r>
      <w:r>
        <w:rPr>
          <w:rFonts w:ascii="Arial" w:hAnsi="Arial"/>
          <w:i/>
          <w:sz w:val="20"/>
        </w:rPr>
        <w:t>Halcyon Skies</w:t>
      </w:r>
      <w:r>
        <w:rPr>
          <w:rFonts w:ascii="Arial" w:hAnsi="Arial"/>
          <w:i/>
          <w:spacing w:val="3"/>
          <w:sz w:val="20"/>
        </w:rPr>
        <w:t> </w:t>
      </w:r>
      <w:r>
        <w:rPr>
          <w:rFonts w:ascii="Arial" w:hAnsi="Arial"/>
          <w:i/>
          <w:sz w:val="20"/>
        </w:rPr>
        <w:t>[1977]</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22</w:t>
      </w:r>
      <w:r>
        <w:rPr>
          <w:sz w:val="20"/>
        </w:rPr>
        <w:t>;</w:t>
      </w:r>
      <w:r>
        <w:rPr>
          <w:spacing w:val="3"/>
          <w:sz w:val="20"/>
        </w:rPr>
        <w:t> </w:t>
      </w:r>
      <w:r>
        <w:rPr>
          <w:rFonts w:ascii="Arial" w:hAnsi="Arial"/>
          <w:i/>
          <w:sz w:val="20"/>
        </w:rPr>
        <w:t>George</w:t>
      </w:r>
      <w:r>
        <w:rPr>
          <w:rFonts w:ascii="Arial" w:hAnsi="Arial"/>
          <w:i/>
          <w:spacing w:val="3"/>
          <w:sz w:val="20"/>
        </w:rPr>
        <w:t> </w:t>
      </w:r>
      <w:r>
        <w:rPr>
          <w:rFonts w:ascii="Arial" w:hAnsi="Arial"/>
          <w:i/>
          <w:sz w:val="20"/>
        </w:rPr>
        <w:t>Veflings</w:t>
      </w:r>
      <w:r>
        <w:rPr>
          <w:rFonts w:ascii="Arial" w:hAnsi="Arial"/>
          <w:i/>
          <w:spacing w:val="3"/>
          <w:sz w:val="20"/>
        </w:rPr>
        <w:t> </w:t>
      </w:r>
      <w:r>
        <w:rPr>
          <w:rFonts w:ascii="Arial" w:hAnsi="Arial"/>
          <w:i/>
          <w:sz w:val="20"/>
        </w:rPr>
        <w:t>Rederi</w:t>
      </w:r>
      <w:r>
        <w:rPr>
          <w:rFonts w:ascii="Arial" w:hAnsi="Arial"/>
          <w:i/>
          <w:spacing w:val="3"/>
          <w:sz w:val="20"/>
        </w:rPr>
        <w:t> </w:t>
      </w:r>
      <w:r>
        <w:rPr>
          <w:rFonts w:ascii="Arial" w:hAnsi="Arial"/>
          <w:i/>
          <w:sz w:val="20"/>
        </w:rPr>
        <w:t>A/S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President</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India</w:t>
      </w:r>
      <w:r>
        <w:rPr>
          <w:rFonts w:ascii="Arial" w:hAnsi="Arial"/>
          <w:i/>
          <w:spacing w:val="3"/>
          <w:sz w:val="20"/>
        </w:rPr>
        <w:t> </w:t>
      </w:r>
      <w:r>
        <w:rPr>
          <w:rFonts w:ascii="Arial" w:hAnsi="Arial"/>
          <w:i/>
          <w:spacing w:val="-2"/>
          <w:sz w:val="20"/>
        </w:rPr>
        <w:t>[1978]</w:t>
      </w:r>
    </w:p>
    <w:p>
      <w:pPr>
        <w:spacing w:line="235" w:lineRule="auto" w:before="0"/>
        <w:ind w:left="705" w:right="168" w:firstLine="0"/>
        <w:jc w:val="both"/>
        <w:rPr>
          <w:sz w:val="20"/>
        </w:rPr>
      </w:pPr>
      <w:r>
        <w:rPr>
          <w:rFonts w:ascii="Arial" w:hAnsi="Arial"/>
          <w:i/>
          <w:sz w:val="20"/>
        </w:rPr>
        <w:t>1 W.L.R. 982 (affirmed [1979] 1 W.L.R. 59)</w:t>
      </w:r>
      <w:r>
        <w:rPr>
          <w:sz w:val="20"/>
        </w:rPr>
        <w:t>. For counterclaims, see </w:t>
      </w:r>
      <w:r>
        <w:rPr>
          <w:rFonts w:ascii="Arial" w:hAnsi="Arial"/>
          <w:i/>
          <w:sz w:val="20"/>
        </w:rPr>
        <w:t>The Transoceanica Fransesca [1987] 2 Lloyd’s Rep. 155</w:t>
      </w:r>
      <w:r>
        <w:rPr>
          <w:sz w:val="20"/>
        </w:rPr>
        <w:t>; </w:t>
      </w:r>
      <w:r>
        <w:rPr>
          <w:rFonts w:ascii="Arial" w:hAnsi="Arial"/>
          <w:i/>
          <w:sz w:val="20"/>
        </w:rPr>
        <w:t>Smit Tak International Zeesleepen Bergingsbedriff BV </w:t>
      </w:r>
      <w:r>
        <w:rPr>
          <w:rFonts w:ascii="Arial" w:hAnsi="Arial"/>
          <w:i/>
          <w:sz w:val="20"/>
        </w:rPr>
        <w:t>v Selco Salvage Ltd [1988] 2 Lloyd’s Rep. 398</w:t>
      </w:r>
      <w:r>
        <w:rPr>
          <w:sz w:val="20"/>
        </w:rPr>
        <w:t>; </w:t>
      </w:r>
      <w:r>
        <w:rPr>
          <w:rFonts w:ascii="Arial" w:hAnsi="Arial"/>
          <w:i/>
          <w:sz w:val="20"/>
        </w:rPr>
        <w:t>Mullan v Giambrone [2013] N.I.Q.B. 46</w:t>
      </w:r>
      <w:r>
        <w:rPr>
          <w:sz w:val="20"/>
        </w:rPr>
        <w:t>. As to pleading claims in foreign currency, see CPR 1998 PD 16 para.12.1.</w:t>
      </w:r>
    </w:p>
    <w:p>
      <w:pPr>
        <w:pStyle w:val="BodyText"/>
        <w:spacing w:before="4"/>
      </w:pPr>
    </w:p>
    <w:p>
      <w:pPr>
        <w:spacing w:before="0"/>
        <w:ind w:left="165" w:right="0" w:firstLine="0"/>
        <w:jc w:val="left"/>
        <w:rPr>
          <w:sz w:val="20"/>
        </w:rPr>
      </w:pPr>
      <w:bookmarkStart w:name="_bookmark2757" w:id="2759"/>
      <w:bookmarkEnd w:id="2759"/>
      <w:r>
        <w:rPr/>
      </w:r>
      <w:hyperlink w:history="true" w:anchor="_bookmark2704">
        <w:r>
          <w:rPr>
            <w:color w:val="005DA1"/>
            <w:position w:val="5"/>
            <w:sz w:val="14"/>
            <w:u w:val="single" w:color="005DA1"/>
          </w:rPr>
          <w:t>1434</w:t>
        </w:r>
      </w:hyperlink>
      <w:r>
        <w:rPr>
          <w:position w:val="5"/>
          <w:sz w:val="14"/>
        </w:rPr>
        <w:t>.</w:t>
      </w:r>
      <w:r>
        <w:rPr>
          <w:spacing w:val="55"/>
          <w:position w:val="5"/>
          <w:sz w:val="14"/>
        </w:rPr>
        <w:t>  </w:t>
      </w:r>
      <w:r>
        <w:rPr>
          <w:sz w:val="20"/>
        </w:rPr>
        <w:t>e.g.</w:t>
      </w:r>
      <w:r>
        <w:rPr>
          <w:spacing w:val="1"/>
          <w:sz w:val="20"/>
        </w:rPr>
        <w:t> </w:t>
      </w:r>
      <w:r>
        <w:rPr>
          <w:rFonts w:ascii="Arial"/>
          <w:i/>
          <w:sz w:val="20"/>
        </w:rPr>
        <w:t>Miliangos v George Frank (Textiles) Ltd [1976] A.C. </w:t>
      </w:r>
      <w:r>
        <w:rPr>
          <w:rFonts w:ascii="Arial"/>
          <w:i/>
          <w:spacing w:val="-4"/>
          <w:sz w:val="20"/>
        </w:rPr>
        <w:t>443</w:t>
      </w:r>
      <w:r>
        <w:rPr>
          <w:spacing w:val="-4"/>
          <w:sz w:val="20"/>
        </w:rPr>
        <w:t>.</w:t>
      </w:r>
    </w:p>
    <w:p>
      <w:pPr>
        <w:pStyle w:val="BodyText"/>
        <w:spacing w:before="8"/>
      </w:pPr>
    </w:p>
    <w:p>
      <w:pPr>
        <w:spacing w:line="235" w:lineRule="auto" w:before="1"/>
        <w:ind w:left="705" w:right="167" w:hanging="541"/>
        <w:jc w:val="both"/>
        <w:rPr>
          <w:rFonts w:ascii="Arial"/>
          <w:i/>
          <w:sz w:val="20"/>
        </w:rPr>
      </w:pPr>
      <w:bookmarkStart w:name="_bookmark2758" w:id="2760"/>
      <w:bookmarkEnd w:id="2760"/>
      <w:r>
        <w:rPr/>
      </w:r>
      <w:hyperlink w:history="true" w:anchor="_bookmark2704">
        <w:r>
          <w:rPr>
            <w:color w:val="005DA1"/>
            <w:position w:val="5"/>
            <w:sz w:val="14"/>
            <w:u w:val="single" w:color="005DA1"/>
          </w:rPr>
          <w:t>1435</w:t>
        </w:r>
      </w:hyperlink>
      <w:r>
        <w:rPr>
          <w:position w:val="5"/>
          <w:sz w:val="14"/>
        </w:rPr>
        <w:t>.</w:t>
      </w:r>
      <w:r>
        <w:rPr>
          <w:spacing w:val="40"/>
          <w:position w:val="5"/>
          <w:sz w:val="14"/>
        </w:rPr>
        <w:t>  </w:t>
      </w:r>
      <w:r>
        <w:rPr>
          <w:sz w:val="20"/>
        </w:rPr>
        <w:t>e.g. </w:t>
      </w:r>
      <w:r>
        <w:rPr>
          <w:rFonts w:ascii="Arial"/>
          <w:i/>
          <w:sz w:val="20"/>
        </w:rPr>
        <w:t>Federal Commerce and Navigation Co Ltd v Tradax Export SA [1977] Q.B. 324 </w:t>
      </w:r>
      <w:r>
        <w:rPr>
          <w:sz w:val="20"/>
        </w:rPr>
        <w:t>(reversed on another ground </w:t>
      </w:r>
      <w:r>
        <w:rPr>
          <w:rFonts w:ascii="Arial"/>
          <w:i/>
          <w:sz w:val="20"/>
        </w:rPr>
        <w:t>[1978] A.C. 1</w:t>
      </w:r>
      <w:r>
        <w:rPr>
          <w:sz w:val="20"/>
        </w:rPr>
        <w:t>); </w:t>
      </w:r>
      <w:r>
        <w:rPr>
          <w:rFonts w:ascii="Arial"/>
          <w:i/>
          <w:sz w:val="20"/>
        </w:rPr>
        <w:t>Barclays Bank International Ltd v Levin Bros (Bradford) </w:t>
      </w:r>
      <w:r>
        <w:rPr>
          <w:rFonts w:ascii="Arial"/>
          <w:i/>
          <w:sz w:val="20"/>
        </w:rPr>
        <w:t>Ltd [1977]</w:t>
      </w:r>
      <w:r>
        <w:rPr>
          <w:rFonts w:ascii="Arial"/>
          <w:i/>
          <w:spacing w:val="20"/>
          <w:sz w:val="20"/>
        </w:rPr>
        <w:t> </w:t>
      </w:r>
      <w:r>
        <w:rPr>
          <w:rFonts w:ascii="Arial"/>
          <w:i/>
          <w:sz w:val="20"/>
        </w:rPr>
        <w:t>Q.B.</w:t>
      </w:r>
      <w:r>
        <w:rPr>
          <w:rFonts w:ascii="Arial"/>
          <w:i/>
          <w:spacing w:val="23"/>
          <w:sz w:val="20"/>
        </w:rPr>
        <w:t> </w:t>
      </w:r>
      <w:r>
        <w:rPr>
          <w:rFonts w:ascii="Arial"/>
          <w:i/>
          <w:sz w:val="20"/>
        </w:rPr>
        <w:t>270</w:t>
      </w:r>
      <w:r>
        <w:rPr>
          <w:sz w:val="20"/>
        </w:rPr>
        <w:t>;</w:t>
      </w:r>
      <w:r>
        <w:rPr>
          <w:spacing w:val="23"/>
          <w:sz w:val="20"/>
        </w:rPr>
        <w:t> </w:t>
      </w:r>
      <w:r>
        <w:rPr>
          <w:rFonts w:ascii="Arial"/>
          <w:i/>
          <w:sz w:val="20"/>
        </w:rPr>
        <w:t>Services</w:t>
      </w:r>
      <w:r>
        <w:rPr>
          <w:rFonts w:ascii="Arial"/>
          <w:i/>
          <w:spacing w:val="23"/>
          <w:sz w:val="20"/>
        </w:rPr>
        <w:t> </w:t>
      </w:r>
      <w:r>
        <w:rPr>
          <w:rFonts w:ascii="Arial"/>
          <w:i/>
          <w:sz w:val="20"/>
        </w:rPr>
        <w:t>Europe</w:t>
      </w:r>
      <w:r>
        <w:rPr>
          <w:rFonts w:ascii="Arial"/>
          <w:i/>
          <w:spacing w:val="23"/>
          <w:sz w:val="20"/>
        </w:rPr>
        <w:t> </w:t>
      </w:r>
      <w:r>
        <w:rPr>
          <w:rFonts w:ascii="Arial"/>
          <w:i/>
          <w:sz w:val="20"/>
        </w:rPr>
        <w:t>Atlantique</w:t>
      </w:r>
      <w:r>
        <w:rPr>
          <w:rFonts w:ascii="Arial"/>
          <w:i/>
          <w:spacing w:val="23"/>
          <w:sz w:val="20"/>
        </w:rPr>
        <w:t> </w:t>
      </w:r>
      <w:r>
        <w:rPr>
          <w:rFonts w:ascii="Arial"/>
          <w:i/>
          <w:sz w:val="20"/>
        </w:rPr>
        <w:t>Sud</w:t>
      </w:r>
      <w:r>
        <w:rPr>
          <w:rFonts w:ascii="Arial"/>
          <w:i/>
          <w:spacing w:val="23"/>
          <w:sz w:val="20"/>
        </w:rPr>
        <w:t> </w:t>
      </w:r>
      <w:r>
        <w:rPr>
          <w:rFonts w:ascii="Arial"/>
          <w:i/>
          <w:sz w:val="20"/>
        </w:rPr>
        <w:t>v</w:t>
      </w:r>
      <w:r>
        <w:rPr>
          <w:rFonts w:ascii="Arial"/>
          <w:i/>
          <w:spacing w:val="23"/>
          <w:sz w:val="20"/>
        </w:rPr>
        <w:t> </w:t>
      </w:r>
      <w:r>
        <w:rPr>
          <w:rFonts w:ascii="Arial"/>
          <w:i/>
          <w:sz w:val="20"/>
        </w:rPr>
        <w:t>Stockholms</w:t>
      </w:r>
      <w:r>
        <w:rPr>
          <w:rFonts w:ascii="Arial"/>
          <w:i/>
          <w:spacing w:val="23"/>
          <w:sz w:val="20"/>
        </w:rPr>
        <w:t> </w:t>
      </w:r>
      <w:r>
        <w:rPr>
          <w:rFonts w:ascii="Arial"/>
          <w:i/>
          <w:sz w:val="20"/>
        </w:rPr>
        <w:t>Rederaktiebolag</w:t>
      </w:r>
      <w:r>
        <w:rPr>
          <w:rFonts w:ascii="Arial"/>
          <w:i/>
          <w:spacing w:val="23"/>
          <w:sz w:val="20"/>
        </w:rPr>
        <w:t> </w:t>
      </w:r>
      <w:r>
        <w:rPr>
          <w:rFonts w:ascii="Arial"/>
          <w:i/>
          <w:sz w:val="20"/>
        </w:rPr>
        <w:t>Svea</w:t>
      </w:r>
      <w:r>
        <w:rPr>
          <w:rFonts w:ascii="Arial"/>
          <w:i/>
          <w:spacing w:val="23"/>
          <w:sz w:val="20"/>
        </w:rPr>
        <w:t> </w:t>
      </w:r>
      <w:r>
        <w:rPr>
          <w:rFonts w:ascii="Arial"/>
          <w:i/>
          <w:spacing w:val="-2"/>
          <w:sz w:val="20"/>
        </w:rPr>
        <w:t>[1979]</w:t>
      </w:r>
    </w:p>
    <w:p>
      <w:pPr>
        <w:spacing w:line="225" w:lineRule="exact" w:before="0"/>
        <w:ind w:left="705" w:right="0" w:firstLine="0"/>
        <w:jc w:val="both"/>
        <w:rPr>
          <w:sz w:val="20"/>
        </w:rPr>
      </w:pPr>
      <w:r>
        <w:rPr>
          <w:rFonts w:ascii="Arial"/>
          <w:i/>
          <w:sz w:val="20"/>
        </w:rPr>
        <w:t>A.C.</w:t>
      </w:r>
      <w:r>
        <w:rPr>
          <w:rFonts w:ascii="Arial"/>
          <w:i/>
          <w:spacing w:val="-2"/>
          <w:sz w:val="20"/>
        </w:rPr>
        <w:t> </w:t>
      </w:r>
      <w:r>
        <w:rPr>
          <w:rFonts w:ascii="Arial"/>
          <w:i/>
          <w:spacing w:val="-4"/>
          <w:sz w:val="20"/>
        </w:rPr>
        <w:t>685</w:t>
      </w:r>
      <w:r>
        <w:rPr>
          <w:spacing w:val="-4"/>
          <w:sz w:val="20"/>
        </w:rPr>
        <w:t>.</w:t>
      </w:r>
    </w:p>
    <w:p>
      <w:pPr>
        <w:pStyle w:val="BodyText"/>
        <w:spacing w:before="8"/>
      </w:pPr>
    </w:p>
    <w:p>
      <w:pPr>
        <w:spacing w:line="235" w:lineRule="auto" w:before="0"/>
        <w:ind w:left="705" w:right="0" w:hanging="541"/>
        <w:jc w:val="left"/>
        <w:rPr>
          <w:sz w:val="20"/>
        </w:rPr>
      </w:pPr>
      <w:bookmarkStart w:name="_bookmark2759" w:id="2761"/>
      <w:bookmarkEnd w:id="2761"/>
      <w:r>
        <w:rPr/>
      </w:r>
      <w:hyperlink w:history="true" w:anchor="_bookmark2705">
        <w:r>
          <w:rPr>
            <w:color w:val="005DA1"/>
            <w:position w:val="5"/>
            <w:sz w:val="14"/>
            <w:u w:val="single" w:color="005DA1"/>
          </w:rPr>
          <w:t>1436</w:t>
        </w:r>
      </w:hyperlink>
      <w:r>
        <w:rPr>
          <w:position w:val="5"/>
          <w:sz w:val="14"/>
        </w:rPr>
        <w:t>.</w:t>
      </w:r>
      <w:r>
        <w:rPr>
          <w:spacing w:val="40"/>
          <w:position w:val="5"/>
          <w:sz w:val="14"/>
        </w:rPr>
        <w:t>  </w:t>
      </w:r>
      <w:r>
        <w:rPr>
          <w:rFonts w:ascii="Arial"/>
          <w:i/>
          <w:sz w:val="20"/>
        </w:rPr>
        <w:t>Miliangos</w:t>
      </w:r>
      <w:r>
        <w:rPr>
          <w:rFonts w:ascii="Arial"/>
          <w:i/>
          <w:spacing w:val="35"/>
          <w:sz w:val="20"/>
        </w:rPr>
        <w:t> </w:t>
      </w:r>
      <w:r>
        <w:rPr>
          <w:rFonts w:ascii="Arial"/>
          <w:i/>
          <w:sz w:val="20"/>
        </w:rPr>
        <w:t>v</w:t>
      </w:r>
      <w:r>
        <w:rPr>
          <w:rFonts w:ascii="Arial"/>
          <w:i/>
          <w:spacing w:val="35"/>
          <w:sz w:val="20"/>
        </w:rPr>
        <w:t> </w:t>
      </w:r>
      <w:r>
        <w:rPr>
          <w:rFonts w:ascii="Arial"/>
          <w:i/>
          <w:sz w:val="20"/>
        </w:rPr>
        <w:t>George</w:t>
      </w:r>
      <w:r>
        <w:rPr>
          <w:rFonts w:ascii="Arial"/>
          <w:i/>
          <w:spacing w:val="35"/>
          <w:sz w:val="20"/>
        </w:rPr>
        <w:t> </w:t>
      </w:r>
      <w:r>
        <w:rPr>
          <w:rFonts w:ascii="Arial"/>
          <w:i/>
          <w:sz w:val="20"/>
        </w:rPr>
        <w:t>Frank</w:t>
      </w:r>
      <w:r>
        <w:rPr>
          <w:rFonts w:ascii="Arial"/>
          <w:i/>
          <w:spacing w:val="35"/>
          <w:sz w:val="20"/>
        </w:rPr>
        <w:t> </w:t>
      </w:r>
      <w:r>
        <w:rPr>
          <w:rFonts w:ascii="Arial"/>
          <w:i/>
          <w:sz w:val="20"/>
        </w:rPr>
        <w:t>(Textiles)</w:t>
      </w:r>
      <w:r>
        <w:rPr>
          <w:rFonts w:ascii="Arial"/>
          <w:i/>
          <w:spacing w:val="35"/>
          <w:sz w:val="20"/>
        </w:rPr>
        <w:t> </w:t>
      </w:r>
      <w:r>
        <w:rPr>
          <w:rFonts w:ascii="Arial"/>
          <w:i/>
          <w:sz w:val="20"/>
        </w:rPr>
        <w:t>Ltd</w:t>
      </w:r>
      <w:r>
        <w:rPr>
          <w:rFonts w:ascii="Arial"/>
          <w:i/>
          <w:spacing w:val="35"/>
          <w:sz w:val="20"/>
        </w:rPr>
        <w:t> </w:t>
      </w:r>
      <w:r>
        <w:rPr>
          <w:rFonts w:ascii="Arial"/>
          <w:i/>
          <w:sz w:val="20"/>
        </w:rPr>
        <w:t>[1976]</w:t>
      </w:r>
      <w:r>
        <w:rPr>
          <w:rFonts w:ascii="Arial"/>
          <w:i/>
          <w:spacing w:val="35"/>
          <w:sz w:val="20"/>
        </w:rPr>
        <w:t> </w:t>
      </w:r>
      <w:r>
        <w:rPr>
          <w:rFonts w:ascii="Arial"/>
          <w:i/>
          <w:sz w:val="20"/>
        </w:rPr>
        <w:t>A.C.</w:t>
      </w:r>
      <w:r>
        <w:rPr>
          <w:rFonts w:ascii="Arial"/>
          <w:i/>
          <w:spacing w:val="35"/>
          <w:sz w:val="20"/>
        </w:rPr>
        <w:t> </w:t>
      </w:r>
      <w:r>
        <w:rPr>
          <w:rFonts w:ascii="Arial"/>
          <w:i/>
          <w:sz w:val="20"/>
        </w:rPr>
        <w:t>443</w:t>
      </w:r>
      <w:r>
        <w:rPr>
          <w:sz w:val="20"/>
        </w:rPr>
        <w:t>;</w:t>
      </w:r>
      <w:r>
        <w:rPr>
          <w:spacing w:val="35"/>
          <w:sz w:val="20"/>
        </w:rPr>
        <w:t> </w:t>
      </w:r>
      <w:r>
        <w:rPr>
          <w:rFonts w:ascii="Arial"/>
          <w:i/>
          <w:sz w:val="20"/>
        </w:rPr>
        <w:t>Barclays</w:t>
      </w:r>
      <w:r>
        <w:rPr>
          <w:rFonts w:ascii="Arial"/>
          <w:i/>
          <w:spacing w:val="35"/>
          <w:sz w:val="20"/>
        </w:rPr>
        <w:t> </w:t>
      </w:r>
      <w:r>
        <w:rPr>
          <w:rFonts w:ascii="Arial"/>
          <w:i/>
          <w:sz w:val="20"/>
        </w:rPr>
        <w:t>Bank</w:t>
      </w:r>
      <w:r>
        <w:rPr>
          <w:rFonts w:ascii="Arial"/>
          <w:i/>
          <w:spacing w:val="35"/>
          <w:sz w:val="20"/>
        </w:rPr>
        <w:t> </w:t>
      </w:r>
      <w:r>
        <w:rPr>
          <w:rFonts w:ascii="Arial"/>
          <w:i/>
          <w:sz w:val="20"/>
        </w:rPr>
        <w:t>International</w:t>
      </w:r>
      <w:r>
        <w:rPr>
          <w:rFonts w:ascii="Arial"/>
          <w:i/>
          <w:spacing w:val="35"/>
          <w:sz w:val="20"/>
        </w:rPr>
        <w:t> </w:t>
      </w:r>
      <w:r>
        <w:rPr>
          <w:rFonts w:ascii="Arial"/>
          <w:i/>
          <w:sz w:val="20"/>
        </w:rPr>
        <w:t>Ltd</w:t>
      </w:r>
      <w:r>
        <w:rPr>
          <w:rFonts w:ascii="Arial"/>
          <w:i/>
          <w:spacing w:val="35"/>
          <w:sz w:val="20"/>
        </w:rPr>
        <w:t> </w:t>
      </w:r>
      <w:r>
        <w:rPr>
          <w:rFonts w:ascii="Arial"/>
          <w:i/>
          <w:sz w:val="20"/>
        </w:rPr>
        <w:t>v Levin Brothers (Bradford) Ltd [1977] Q.B. 270</w:t>
      </w:r>
      <w:r>
        <w:rPr>
          <w:sz w:val="20"/>
        </w:rPr>
        <w:t>.</w:t>
      </w:r>
    </w:p>
    <w:p>
      <w:pPr>
        <w:pStyle w:val="BodyText"/>
        <w:spacing w:before="9"/>
      </w:pPr>
    </w:p>
    <w:p>
      <w:pPr>
        <w:spacing w:line="235" w:lineRule="auto" w:before="1"/>
        <w:ind w:left="705" w:right="0" w:hanging="541"/>
        <w:jc w:val="left"/>
        <w:rPr>
          <w:sz w:val="20"/>
        </w:rPr>
      </w:pPr>
      <w:bookmarkStart w:name="_bookmark2760" w:id="2762"/>
      <w:bookmarkEnd w:id="2762"/>
      <w:r>
        <w:rPr/>
      </w:r>
      <w:hyperlink w:history="true" w:anchor="_bookmark2706">
        <w:r>
          <w:rPr>
            <w:color w:val="005DA1"/>
            <w:position w:val="5"/>
            <w:sz w:val="14"/>
            <w:u w:val="single" w:color="005DA1"/>
          </w:rPr>
          <w:t>1437</w:t>
        </w:r>
      </w:hyperlink>
      <w:r>
        <w:rPr>
          <w:position w:val="5"/>
          <w:sz w:val="14"/>
        </w:rPr>
        <w:t>.</w:t>
      </w:r>
      <w:r>
        <w:rPr>
          <w:spacing w:val="80"/>
          <w:w w:val="150"/>
          <w:position w:val="5"/>
          <w:sz w:val="14"/>
        </w:rPr>
        <w:t> </w:t>
      </w:r>
      <w:r>
        <w:rPr>
          <w:rFonts w:ascii="Arial" w:hAnsi="Arial"/>
          <w:i/>
          <w:sz w:val="20"/>
        </w:rPr>
        <w:t>Services Europe Atlantique Sud v Stockholms Rederaktiebolag Svea [1979] A.C. 685</w:t>
      </w:r>
      <w:r>
        <w:rPr>
          <w:sz w:val="20"/>
        </w:rPr>
        <w:t>; </w:t>
      </w:r>
      <w:r>
        <w:rPr>
          <w:rFonts w:ascii="Arial" w:hAnsi="Arial"/>
          <w:i/>
          <w:sz w:val="20"/>
        </w:rPr>
        <w:t>Société Francais Bunge SA v Belcan NV [1985] 3 All E.R. 378</w:t>
      </w:r>
      <w:r>
        <w:rPr>
          <w:sz w:val="20"/>
        </w:rPr>
        <w:t>.</w:t>
      </w:r>
    </w:p>
    <w:p>
      <w:pPr>
        <w:pStyle w:val="BodyText"/>
        <w:spacing w:before="5"/>
      </w:pPr>
    </w:p>
    <w:p>
      <w:pPr>
        <w:spacing w:line="227" w:lineRule="exact" w:before="0"/>
        <w:ind w:left="165" w:right="0" w:firstLine="0"/>
        <w:jc w:val="left"/>
        <w:rPr>
          <w:rFonts w:ascii="Arial" w:hAnsi="Arial"/>
          <w:i/>
          <w:sz w:val="20"/>
        </w:rPr>
      </w:pPr>
      <w:bookmarkStart w:name="_bookmark2761" w:id="2763"/>
      <w:bookmarkEnd w:id="2763"/>
      <w:r>
        <w:rPr/>
      </w:r>
      <w:hyperlink w:history="true" w:anchor="_bookmark2706">
        <w:r>
          <w:rPr>
            <w:color w:val="005DA1"/>
            <w:position w:val="5"/>
            <w:sz w:val="14"/>
            <w:u w:val="single" w:color="005DA1"/>
          </w:rPr>
          <w:t>1438</w:t>
        </w:r>
      </w:hyperlink>
      <w:r>
        <w:rPr>
          <w:position w:val="5"/>
          <w:sz w:val="14"/>
        </w:rPr>
        <w:t>.</w:t>
      </w:r>
      <w:r>
        <w:rPr>
          <w:spacing w:val="55"/>
          <w:position w:val="5"/>
          <w:sz w:val="14"/>
        </w:rPr>
        <w:t>  </w:t>
      </w:r>
      <w:r>
        <w:rPr>
          <w:rFonts w:ascii="Arial" w:hAnsi="Arial"/>
          <w:i/>
          <w:sz w:val="20"/>
        </w:rPr>
        <w:t>Federal</w:t>
      </w:r>
      <w:r>
        <w:rPr>
          <w:rFonts w:ascii="Arial" w:hAnsi="Arial"/>
          <w:i/>
          <w:spacing w:val="7"/>
          <w:sz w:val="20"/>
        </w:rPr>
        <w:t> </w:t>
      </w:r>
      <w:r>
        <w:rPr>
          <w:rFonts w:ascii="Arial" w:hAnsi="Arial"/>
          <w:i/>
          <w:sz w:val="20"/>
        </w:rPr>
        <w:t>Commerce</w:t>
      </w:r>
      <w:r>
        <w:rPr>
          <w:rFonts w:ascii="Arial" w:hAnsi="Arial"/>
          <w:i/>
          <w:spacing w:val="6"/>
          <w:sz w:val="20"/>
        </w:rPr>
        <w:t> </w:t>
      </w:r>
      <w:r>
        <w:rPr>
          <w:rFonts w:ascii="Arial" w:hAnsi="Arial"/>
          <w:i/>
          <w:sz w:val="20"/>
        </w:rPr>
        <w:t>and</w:t>
      </w:r>
      <w:r>
        <w:rPr>
          <w:rFonts w:ascii="Arial" w:hAnsi="Arial"/>
          <w:i/>
          <w:spacing w:val="6"/>
          <w:sz w:val="20"/>
        </w:rPr>
        <w:t> </w:t>
      </w:r>
      <w:r>
        <w:rPr>
          <w:rFonts w:ascii="Arial" w:hAnsi="Arial"/>
          <w:i/>
          <w:sz w:val="20"/>
        </w:rPr>
        <w:t>Navigation</w:t>
      </w:r>
      <w:r>
        <w:rPr>
          <w:rFonts w:ascii="Arial" w:hAnsi="Arial"/>
          <w:i/>
          <w:spacing w:val="6"/>
          <w:sz w:val="20"/>
        </w:rPr>
        <w:t> </w:t>
      </w:r>
      <w:r>
        <w:rPr>
          <w:rFonts w:ascii="Arial" w:hAnsi="Arial"/>
          <w:i/>
          <w:sz w:val="20"/>
        </w:rPr>
        <w:t>Co</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Tradax</w:t>
      </w:r>
      <w:r>
        <w:rPr>
          <w:rFonts w:ascii="Arial" w:hAnsi="Arial"/>
          <w:i/>
          <w:spacing w:val="6"/>
          <w:sz w:val="20"/>
        </w:rPr>
        <w:t> </w:t>
      </w:r>
      <w:r>
        <w:rPr>
          <w:rFonts w:ascii="Arial" w:hAnsi="Arial"/>
          <w:i/>
          <w:sz w:val="20"/>
        </w:rPr>
        <w:t>Export</w:t>
      </w:r>
      <w:r>
        <w:rPr>
          <w:rFonts w:ascii="Arial" w:hAnsi="Arial"/>
          <w:i/>
          <w:spacing w:val="6"/>
          <w:sz w:val="20"/>
        </w:rPr>
        <w:t> </w:t>
      </w:r>
      <w:r>
        <w:rPr>
          <w:rFonts w:ascii="Arial" w:hAnsi="Arial"/>
          <w:i/>
          <w:sz w:val="20"/>
        </w:rPr>
        <w:t>SA</w:t>
      </w:r>
      <w:r>
        <w:rPr>
          <w:rFonts w:ascii="Arial" w:hAnsi="Arial"/>
          <w:i/>
          <w:spacing w:val="6"/>
          <w:sz w:val="20"/>
        </w:rPr>
        <w:t> </w:t>
      </w:r>
      <w:r>
        <w:rPr>
          <w:rFonts w:ascii="Arial" w:hAnsi="Arial"/>
          <w:i/>
          <w:sz w:val="20"/>
        </w:rPr>
        <w:t>[1977]</w:t>
      </w:r>
      <w:r>
        <w:rPr>
          <w:rFonts w:ascii="Arial" w:hAnsi="Arial"/>
          <w:i/>
          <w:spacing w:val="6"/>
          <w:sz w:val="20"/>
        </w:rPr>
        <w:t> </w:t>
      </w:r>
      <w:r>
        <w:rPr>
          <w:rFonts w:ascii="Arial" w:hAnsi="Arial"/>
          <w:i/>
          <w:sz w:val="20"/>
        </w:rPr>
        <w:t>Q.B.</w:t>
      </w:r>
      <w:r>
        <w:rPr>
          <w:rFonts w:ascii="Arial" w:hAnsi="Arial"/>
          <w:i/>
          <w:spacing w:val="6"/>
          <w:sz w:val="20"/>
        </w:rPr>
        <w:t> </w:t>
      </w:r>
      <w:r>
        <w:rPr>
          <w:rFonts w:ascii="Arial" w:hAnsi="Arial"/>
          <w:i/>
          <w:sz w:val="20"/>
        </w:rPr>
        <w:t>324,</w:t>
      </w:r>
      <w:r>
        <w:rPr>
          <w:rFonts w:ascii="Arial" w:hAnsi="Arial"/>
          <w:i/>
          <w:spacing w:val="6"/>
          <w:sz w:val="20"/>
        </w:rPr>
        <w:t> </w:t>
      </w:r>
      <w:r>
        <w:rPr>
          <w:rFonts w:ascii="Arial" w:hAnsi="Arial"/>
          <w:i/>
          <w:sz w:val="20"/>
        </w:rPr>
        <w:t>341–342,</w:t>
      </w:r>
      <w:r>
        <w:rPr>
          <w:rFonts w:ascii="Arial" w:hAnsi="Arial"/>
          <w:i/>
          <w:spacing w:val="6"/>
          <w:sz w:val="20"/>
        </w:rPr>
        <w:t> </w:t>
      </w:r>
      <w:r>
        <w:rPr>
          <w:rFonts w:ascii="Arial" w:hAnsi="Arial"/>
          <w:i/>
          <w:spacing w:val="-4"/>
          <w:sz w:val="20"/>
        </w:rPr>
        <w:t>349,</w:t>
      </w:r>
    </w:p>
    <w:p>
      <w:pPr>
        <w:spacing w:line="227" w:lineRule="exact" w:before="0"/>
        <w:ind w:left="705" w:right="0" w:firstLine="0"/>
        <w:jc w:val="left"/>
        <w:rPr>
          <w:sz w:val="20"/>
        </w:rPr>
      </w:pPr>
      <w:r>
        <w:rPr>
          <w:rFonts w:ascii="Arial"/>
          <w:i/>
          <w:sz w:val="20"/>
        </w:rPr>
        <w:t>354</w:t>
      </w:r>
      <w:r>
        <w:rPr>
          <w:rFonts w:ascii="Arial"/>
          <w:i/>
          <w:spacing w:val="-1"/>
          <w:sz w:val="20"/>
        </w:rPr>
        <w:t> </w:t>
      </w:r>
      <w:r>
        <w:rPr>
          <w:sz w:val="20"/>
        </w:rPr>
        <w:t>(reversed on another point</w:t>
      </w:r>
      <w:r>
        <w:rPr>
          <w:spacing w:val="-1"/>
          <w:sz w:val="20"/>
        </w:rPr>
        <w:t> </w:t>
      </w:r>
      <w:r>
        <w:rPr>
          <w:rFonts w:ascii="Arial"/>
          <w:i/>
          <w:sz w:val="20"/>
        </w:rPr>
        <w:t>[1978] A.C. </w:t>
      </w:r>
      <w:r>
        <w:rPr>
          <w:rFonts w:ascii="Arial"/>
          <w:i/>
          <w:spacing w:val="-5"/>
          <w:sz w:val="20"/>
        </w:rPr>
        <w:t>1</w:t>
      </w:r>
      <w:r>
        <w:rPr>
          <w:spacing w:val="-5"/>
          <w:sz w:val="20"/>
        </w:rPr>
        <w:t>).</w:t>
      </w:r>
    </w:p>
    <w:p>
      <w:pPr>
        <w:pStyle w:val="BodyText"/>
        <w:spacing w:before="5"/>
      </w:pPr>
    </w:p>
    <w:p>
      <w:pPr>
        <w:spacing w:line="227" w:lineRule="exact" w:before="0"/>
        <w:ind w:left="165" w:right="0" w:firstLine="0"/>
        <w:jc w:val="left"/>
        <w:rPr>
          <w:sz w:val="20"/>
        </w:rPr>
      </w:pPr>
      <w:bookmarkStart w:name="_bookmark2762" w:id="2764"/>
      <w:bookmarkEnd w:id="2764"/>
      <w:r>
        <w:rPr/>
      </w:r>
      <w:hyperlink w:history="true" w:anchor="_bookmark2706">
        <w:r>
          <w:rPr>
            <w:color w:val="005DA1"/>
            <w:position w:val="5"/>
            <w:sz w:val="14"/>
            <w:u w:val="single" w:color="005DA1"/>
          </w:rPr>
          <w:t>1439</w:t>
        </w:r>
      </w:hyperlink>
      <w:r>
        <w:rPr>
          <w:position w:val="5"/>
          <w:sz w:val="14"/>
        </w:rPr>
        <w:t>.</w:t>
      </w:r>
      <w:r>
        <w:rPr>
          <w:spacing w:val="55"/>
          <w:position w:val="5"/>
          <w:sz w:val="14"/>
        </w:rPr>
        <w:t>  </w:t>
      </w:r>
      <w:r>
        <w:rPr>
          <w:rFonts w:ascii="Arial"/>
          <w:i/>
          <w:sz w:val="20"/>
        </w:rPr>
        <w:t>Services</w:t>
      </w:r>
      <w:r>
        <w:rPr>
          <w:rFonts w:ascii="Arial"/>
          <w:i/>
          <w:spacing w:val="10"/>
          <w:sz w:val="20"/>
        </w:rPr>
        <w:t> </w:t>
      </w:r>
      <w:r>
        <w:rPr>
          <w:rFonts w:ascii="Arial"/>
          <w:i/>
          <w:sz w:val="20"/>
        </w:rPr>
        <w:t>Europe</w:t>
      </w:r>
      <w:r>
        <w:rPr>
          <w:rFonts w:ascii="Arial"/>
          <w:i/>
          <w:spacing w:val="9"/>
          <w:sz w:val="20"/>
        </w:rPr>
        <w:t> </w:t>
      </w:r>
      <w:r>
        <w:rPr>
          <w:rFonts w:ascii="Arial"/>
          <w:i/>
          <w:sz w:val="20"/>
        </w:rPr>
        <w:t>Atlantique</w:t>
      </w:r>
      <w:r>
        <w:rPr>
          <w:rFonts w:ascii="Arial"/>
          <w:i/>
          <w:spacing w:val="8"/>
          <w:sz w:val="20"/>
        </w:rPr>
        <w:t> </w:t>
      </w:r>
      <w:r>
        <w:rPr>
          <w:rFonts w:ascii="Arial"/>
          <w:i/>
          <w:sz w:val="20"/>
        </w:rPr>
        <w:t>Sud</w:t>
      </w:r>
      <w:r>
        <w:rPr>
          <w:rFonts w:ascii="Arial"/>
          <w:i/>
          <w:spacing w:val="9"/>
          <w:sz w:val="20"/>
        </w:rPr>
        <w:t> </w:t>
      </w:r>
      <w:r>
        <w:rPr>
          <w:rFonts w:ascii="Arial"/>
          <w:i/>
          <w:sz w:val="20"/>
        </w:rPr>
        <w:t>v</w:t>
      </w:r>
      <w:r>
        <w:rPr>
          <w:rFonts w:ascii="Arial"/>
          <w:i/>
          <w:spacing w:val="9"/>
          <w:sz w:val="20"/>
        </w:rPr>
        <w:t> </w:t>
      </w:r>
      <w:r>
        <w:rPr>
          <w:rFonts w:ascii="Arial"/>
          <w:i/>
          <w:sz w:val="20"/>
        </w:rPr>
        <w:t>Stockholms</w:t>
      </w:r>
      <w:r>
        <w:rPr>
          <w:rFonts w:ascii="Arial"/>
          <w:i/>
          <w:spacing w:val="9"/>
          <w:sz w:val="20"/>
        </w:rPr>
        <w:t> </w:t>
      </w:r>
      <w:r>
        <w:rPr>
          <w:rFonts w:ascii="Arial"/>
          <w:i/>
          <w:sz w:val="20"/>
        </w:rPr>
        <w:t>Rederaktiebolag</w:t>
      </w:r>
      <w:r>
        <w:rPr>
          <w:rFonts w:ascii="Arial"/>
          <w:i/>
          <w:spacing w:val="9"/>
          <w:sz w:val="20"/>
        </w:rPr>
        <w:t> </w:t>
      </w:r>
      <w:r>
        <w:rPr>
          <w:rFonts w:ascii="Arial"/>
          <w:i/>
          <w:sz w:val="20"/>
        </w:rPr>
        <w:t>Svea</w:t>
      </w:r>
      <w:r>
        <w:rPr>
          <w:rFonts w:ascii="Arial"/>
          <w:i/>
          <w:spacing w:val="8"/>
          <w:sz w:val="20"/>
        </w:rPr>
        <w:t> </w:t>
      </w:r>
      <w:r>
        <w:rPr>
          <w:rFonts w:ascii="Arial"/>
          <w:i/>
          <w:sz w:val="20"/>
        </w:rPr>
        <w:t>[1979]</w:t>
      </w:r>
      <w:r>
        <w:rPr>
          <w:rFonts w:ascii="Arial"/>
          <w:i/>
          <w:spacing w:val="9"/>
          <w:sz w:val="20"/>
        </w:rPr>
        <w:t> </w:t>
      </w:r>
      <w:r>
        <w:rPr>
          <w:rFonts w:ascii="Arial"/>
          <w:i/>
          <w:sz w:val="20"/>
        </w:rPr>
        <w:t>A.C.</w:t>
      </w:r>
      <w:r>
        <w:rPr>
          <w:rFonts w:ascii="Arial"/>
          <w:i/>
          <w:spacing w:val="9"/>
          <w:sz w:val="20"/>
        </w:rPr>
        <w:t> </w:t>
      </w:r>
      <w:r>
        <w:rPr>
          <w:rFonts w:ascii="Arial"/>
          <w:i/>
          <w:sz w:val="20"/>
        </w:rPr>
        <w:t>685</w:t>
      </w:r>
      <w:r>
        <w:rPr>
          <w:sz w:val="20"/>
        </w:rPr>
        <w:t>;</w:t>
      </w:r>
      <w:r>
        <w:rPr>
          <w:spacing w:val="9"/>
          <w:sz w:val="20"/>
        </w:rPr>
        <w:t> </w:t>
      </w:r>
      <w:r>
        <w:rPr>
          <w:sz w:val="20"/>
        </w:rPr>
        <w:t>and</w:t>
      </w:r>
      <w:r>
        <w:rPr>
          <w:spacing w:val="9"/>
          <w:sz w:val="20"/>
        </w:rPr>
        <w:t> </w:t>
      </w:r>
      <w:r>
        <w:rPr>
          <w:spacing w:val="-5"/>
          <w:sz w:val="20"/>
        </w:rPr>
        <w:t>see</w:t>
      </w:r>
    </w:p>
    <w:p>
      <w:pPr>
        <w:spacing w:line="227" w:lineRule="exact" w:before="0"/>
        <w:ind w:left="705" w:right="0" w:firstLine="0"/>
        <w:jc w:val="left"/>
        <w:rPr>
          <w:sz w:val="20"/>
        </w:rPr>
      </w:pPr>
      <w:r>
        <w:rPr>
          <w:rFonts w:ascii="Arial"/>
          <w:i/>
          <w:sz w:val="20"/>
        </w:rPr>
        <w:t>Kraut AG v Albany Fabrics Ltd [1977] Q.B. </w:t>
      </w:r>
      <w:r>
        <w:rPr>
          <w:rFonts w:ascii="Arial"/>
          <w:i/>
          <w:spacing w:val="-4"/>
          <w:sz w:val="20"/>
        </w:rPr>
        <w:t>182</w:t>
      </w:r>
      <w:r>
        <w:rPr>
          <w:spacing w:val="-4"/>
          <w:sz w:val="20"/>
        </w:rPr>
        <w:t>.</w:t>
      </w:r>
    </w:p>
    <w:p>
      <w:pPr>
        <w:pStyle w:val="BodyText"/>
        <w:spacing w:before="5"/>
      </w:pPr>
    </w:p>
    <w:p>
      <w:pPr>
        <w:spacing w:before="0"/>
        <w:ind w:left="165" w:right="0" w:firstLine="0"/>
        <w:jc w:val="left"/>
        <w:rPr>
          <w:sz w:val="20"/>
        </w:rPr>
      </w:pPr>
      <w:bookmarkStart w:name="_bookmark2763" w:id="2765"/>
      <w:bookmarkEnd w:id="2765"/>
      <w:r>
        <w:rPr/>
      </w:r>
      <w:hyperlink w:history="true" w:anchor="_bookmark2707">
        <w:r>
          <w:rPr>
            <w:color w:val="005DA1"/>
            <w:position w:val="5"/>
            <w:sz w:val="14"/>
            <w:u w:val="single" w:color="005DA1"/>
          </w:rPr>
          <w:t>1440</w:t>
        </w:r>
      </w:hyperlink>
      <w:r>
        <w:rPr>
          <w:position w:val="5"/>
          <w:sz w:val="14"/>
        </w:rPr>
        <w:t>.</w:t>
      </w:r>
      <w:r>
        <w:rPr>
          <w:spacing w:val="55"/>
          <w:position w:val="5"/>
          <w:sz w:val="14"/>
        </w:rPr>
        <w:t>  </w:t>
      </w:r>
      <w:r>
        <w:rPr>
          <w:rFonts w:ascii="Arial"/>
          <w:i/>
          <w:sz w:val="20"/>
        </w:rPr>
        <w:t>Jugoslavenska</w:t>
      </w:r>
      <w:r>
        <w:rPr>
          <w:rFonts w:ascii="Arial"/>
          <w:i/>
          <w:spacing w:val="1"/>
          <w:sz w:val="20"/>
        </w:rPr>
        <w:t> </w:t>
      </w:r>
      <w:r>
        <w:rPr>
          <w:rFonts w:ascii="Arial"/>
          <w:i/>
          <w:sz w:val="20"/>
        </w:rPr>
        <w:t>Oceanska Plovidba v Castle Investment Co Inc [1974] Q.B. </w:t>
      </w:r>
      <w:r>
        <w:rPr>
          <w:rFonts w:ascii="Arial"/>
          <w:i/>
          <w:spacing w:val="-4"/>
          <w:sz w:val="20"/>
        </w:rPr>
        <w:t>292</w:t>
      </w:r>
      <w:r>
        <w:rPr>
          <w:spacing w:val="-4"/>
          <w:sz w:val="20"/>
        </w:rPr>
        <w:t>.</w:t>
      </w:r>
    </w:p>
    <w:p>
      <w:pPr>
        <w:pStyle w:val="BodyText"/>
        <w:spacing w:before="5"/>
      </w:pPr>
    </w:p>
    <w:p>
      <w:pPr>
        <w:spacing w:before="0"/>
        <w:ind w:left="165" w:right="0" w:firstLine="0"/>
        <w:jc w:val="left"/>
        <w:rPr>
          <w:sz w:val="20"/>
        </w:rPr>
      </w:pPr>
      <w:bookmarkStart w:name="_bookmark2764" w:id="2766"/>
      <w:bookmarkEnd w:id="2766"/>
      <w:r>
        <w:rPr/>
      </w:r>
      <w:hyperlink w:history="true" w:anchor="_bookmark2708">
        <w:r>
          <w:rPr>
            <w:color w:val="005DA1"/>
            <w:position w:val="5"/>
            <w:sz w:val="14"/>
            <w:u w:val="single" w:color="005DA1"/>
          </w:rPr>
          <w:t>1441</w:t>
        </w:r>
      </w:hyperlink>
      <w:r>
        <w:rPr>
          <w:position w:val="5"/>
          <w:sz w:val="14"/>
        </w:rPr>
        <w:t>.</w:t>
      </w:r>
      <w:r>
        <w:rPr>
          <w:spacing w:val="55"/>
          <w:position w:val="5"/>
          <w:sz w:val="14"/>
        </w:rPr>
        <w:t>  </w:t>
      </w:r>
      <w:r>
        <w:rPr>
          <w:rFonts w:ascii="Arial"/>
          <w:i/>
          <w:sz w:val="20"/>
        </w:rPr>
        <w:t>[1974]</w:t>
      </w:r>
      <w:r>
        <w:rPr>
          <w:rFonts w:ascii="Arial"/>
          <w:i/>
          <w:spacing w:val="1"/>
          <w:sz w:val="20"/>
        </w:rPr>
        <w:t> </w:t>
      </w:r>
      <w:r>
        <w:rPr>
          <w:rFonts w:ascii="Arial"/>
          <w:i/>
          <w:sz w:val="20"/>
        </w:rPr>
        <w:t>Q.B. 292, 305</w:t>
      </w:r>
      <w:r>
        <w:rPr>
          <w:sz w:val="20"/>
        </w:rPr>
        <w:t>; cf. </w:t>
      </w:r>
      <w:r>
        <w:rPr>
          <w:rFonts w:ascii="Arial"/>
          <w:i/>
          <w:sz w:val="20"/>
        </w:rPr>
        <w:t>Miliangos v</w:t>
      </w:r>
      <w:r>
        <w:rPr>
          <w:rFonts w:ascii="Arial"/>
          <w:i/>
          <w:spacing w:val="-1"/>
          <w:sz w:val="20"/>
        </w:rPr>
        <w:t> </w:t>
      </w:r>
      <w:r>
        <w:rPr>
          <w:rFonts w:ascii="Arial"/>
          <w:i/>
          <w:sz w:val="20"/>
        </w:rPr>
        <w:t>George Frank (Textiles) Ltd [1976] A.C. 443, </w:t>
      </w:r>
      <w:r>
        <w:rPr>
          <w:rFonts w:ascii="Arial"/>
          <w:i/>
          <w:spacing w:val="-4"/>
          <w:sz w:val="20"/>
        </w:rPr>
        <w:t>469</w:t>
      </w:r>
      <w:r>
        <w:rPr>
          <w:spacing w:val="-4"/>
          <w:sz w:val="20"/>
        </w:rPr>
        <w:t>.</w:t>
      </w:r>
    </w:p>
    <w:p>
      <w:pPr>
        <w:pStyle w:val="BodyText"/>
        <w:spacing w:before="5"/>
      </w:pPr>
    </w:p>
    <w:p>
      <w:pPr>
        <w:spacing w:before="0"/>
        <w:ind w:left="165" w:right="0" w:firstLine="0"/>
        <w:jc w:val="left"/>
        <w:rPr>
          <w:sz w:val="20"/>
        </w:rPr>
      </w:pPr>
      <w:bookmarkStart w:name="_bookmark2765" w:id="2767"/>
      <w:bookmarkEnd w:id="2767"/>
      <w:r>
        <w:rPr/>
      </w:r>
      <w:hyperlink w:history="true" w:anchor="_bookmark2709">
        <w:r>
          <w:rPr>
            <w:color w:val="005DA1"/>
            <w:position w:val="5"/>
            <w:sz w:val="14"/>
            <w:u w:val="single" w:color="005DA1"/>
          </w:rPr>
          <w:t>1442</w:t>
        </w:r>
      </w:hyperlink>
      <w:r>
        <w:rPr>
          <w:position w:val="5"/>
          <w:sz w:val="14"/>
        </w:rPr>
        <w:t>.</w:t>
      </w:r>
      <w:r>
        <w:rPr>
          <w:spacing w:val="55"/>
          <w:position w:val="5"/>
          <w:sz w:val="14"/>
        </w:rPr>
        <w:t>  </w:t>
      </w:r>
      <w:r>
        <w:rPr>
          <w:rFonts w:ascii="Arial"/>
          <w:i/>
          <w:sz w:val="20"/>
        </w:rPr>
        <w:t>[2005]</w:t>
      </w:r>
      <w:r>
        <w:rPr>
          <w:rFonts w:ascii="Arial"/>
          <w:i/>
          <w:spacing w:val="1"/>
          <w:sz w:val="20"/>
        </w:rPr>
        <w:t> </w:t>
      </w:r>
      <w:r>
        <w:rPr>
          <w:rFonts w:ascii="Arial"/>
          <w:i/>
          <w:sz w:val="20"/>
        </w:rPr>
        <w:t>UKHL 43, [2006] 1 A.C. </w:t>
      </w:r>
      <w:r>
        <w:rPr>
          <w:rFonts w:ascii="Arial"/>
          <w:i/>
          <w:spacing w:val="-4"/>
          <w:sz w:val="20"/>
        </w:rPr>
        <w:t>221</w:t>
      </w:r>
      <w:r>
        <w:rPr>
          <w:spacing w:val="-4"/>
          <w:sz w:val="20"/>
        </w:rPr>
        <w:t>.</w:t>
      </w:r>
    </w:p>
    <w:p>
      <w:pPr>
        <w:pStyle w:val="BodyText"/>
        <w:spacing w:before="5"/>
      </w:pPr>
    </w:p>
    <w:p>
      <w:pPr>
        <w:spacing w:before="0"/>
        <w:ind w:left="165" w:right="0" w:firstLine="0"/>
        <w:jc w:val="left"/>
        <w:rPr>
          <w:sz w:val="20"/>
        </w:rPr>
      </w:pPr>
      <w:bookmarkStart w:name="_bookmark2766" w:id="2768"/>
      <w:bookmarkEnd w:id="2768"/>
      <w:r>
        <w:rPr/>
      </w:r>
      <w:hyperlink w:history="true" w:anchor="_bookmark2710">
        <w:r>
          <w:rPr>
            <w:color w:val="005DA1"/>
            <w:position w:val="5"/>
            <w:sz w:val="14"/>
            <w:u w:val="single" w:color="005DA1"/>
          </w:rPr>
          <w:t>1443</w:t>
        </w:r>
      </w:hyperlink>
      <w:r>
        <w:rPr>
          <w:position w:val="5"/>
          <w:sz w:val="14"/>
        </w:rPr>
        <w:t>.</w:t>
      </w:r>
      <w:r>
        <w:rPr>
          <w:spacing w:val="55"/>
          <w:position w:val="5"/>
          <w:sz w:val="14"/>
        </w:rPr>
        <w:t>  </w:t>
      </w:r>
      <w:r>
        <w:rPr>
          <w:sz w:val="20"/>
        </w:rPr>
        <w:t>See</w:t>
      </w:r>
      <w:r>
        <w:rPr>
          <w:spacing w:val="1"/>
          <w:sz w:val="20"/>
        </w:rPr>
        <w:t> </w:t>
      </w:r>
      <w:r>
        <w:rPr>
          <w:sz w:val="20"/>
        </w:rPr>
        <w:t>para.30-</w:t>
      </w:r>
      <w:r>
        <w:rPr>
          <w:spacing w:val="-4"/>
          <w:sz w:val="20"/>
        </w:rPr>
        <w:t>381.</w:t>
      </w:r>
    </w:p>
    <w:p>
      <w:pPr>
        <w:pStyle w:val="BodyText"/>
        <w:spacing w:before="9"/>
      </w:pPr>
    </w:p>
    <w:p>
      <w:pPr>
        <w:spacing w:line="235" w:lineRule="auto" w:before="0"/>
        <w:ind w:left="705" w:right="0" w:hanging="541"/>
        <w:jc w:val="left"/>
        <w:rPr>
          <w:sz w:val="20"/>
        </w:rPr>
      </w:pPr>
      <w:bookmarkStart w:name="_bookmark2767" w:id="2769"/>
      <w:bookmarkEnd w:id="2769"/>
      <w:r>
        <w:rPr/>
      </w:r>
      <w:hyperlink w:history="true" w:anchor="_bookmark2711">
        <w:r>
          <w:rPr>
            <w:color w:val="005DA1"/>
            <w:position w:val="5"/>
            <w:sz w:val="14"/>
            <w:u w:val="single" w:color="005DA1"/>
          </w:rPr>
          <w:t>1444</w:t>
        </w:r>
      </w:hyperlink>
      <w:r>
        <w:rPr>
          <w:position w:val="5"/>
          <w:sz w:val="14"/>
        </w:rPr>
        <w:t>.</w:t>
      </w:r>
      <w:r>
        <w:rPr>
          <w:spacing w:val="40"/>
          <w:position w:val="5"/>
          <w:sz w:val="14"/>
        </w:rPr>
        <w:t>  </w:t>
      </w:r>
      <w:r>
        <w:rPr>
          <w:rFonts w:ascii="Arial"/>
          <w:i/>
          <w:sz w:val="20"/>
        </w:rPr>
        <w:t>[1976] A.C. 443, 465</w:t>
      </w:r>
      <w:r>
        <w:rPr>
          <w:sz w:val="20"/>
        </w:rPr>
        <w:t>; and see </w:t>
      </w:r>
      <w:r>
        <w:rPr>
          <w:rFonts w:ascii="Arial"/>
          <w:i/>
          <w:sz w:val="20"/>
        </w:rPr>
        <w:t>The Despina R. [1979] A.C. 685, 704</w:t>
      </w:r>
      <w:r>
        <w:rPr>
          <w:sz w:val="20"/>
        </w:rPr>
        <w:t>. As a rule of procedure it is unaffected either by the Rome Convention or by the Rome I Regulation.</w:t>
      </w:r>
    </w:p>
    <w:p>
      <w:pPr>
        <w:pStyle w:val="BodyText"/>
        <w:spacing w:before="5"/>
      </w:pPr>
    </w:p>
    <w:p>
      <w:pPr>
        <w:spacing w:before="1"/>
        <w:ind w:left="165" w:right="0" w:firstLine="0"/>
        <w:jc w:val="left"/>
        <w:rPr>
          <w:sz w:val="20"/>
        </w:rPr>
      </w:pPr>
      <w:bookmarkStart w:name="_bookmark2768" w:id="2770"/>
      <w:bookmarkEnd w:id="2770"/>
      <w:r>
        <w:rPr/>
      </w:r>
      <w:hyperlink w:history="true" w:anchor="_bookmark2712">
        <w:r>
          <w:rPr>
            <w:color w:val="005DA1"/>
            <w:position w:val="5"/>
            <w:sz w:val="14"/>
            <w:u w:val="single" w:color="005DA1"/>
          </w:rPr>
          <w:t>1445</w:t>
        </w:r>
      </w:hyperlink>
      <w:r>
        <w:rPr>
          <w:position w:val="5"/>
          <w:sz w:val="14"/>
        </w:rPr>
        <w:t>.</w:t>
      </w:r>
      <w:r>
        <w:rPr>
          <w:spacing w:val="55"/>
          <w:position w:val="5"/>
          <w:sz w:val="14"/>
        </w:rPr>
        <w:t>  </w:t>
      </w:r>
      <w:r>
        <w:rPr>
          <w:sz w:val="20"/>
        </w:rPr>
        <w:t>See</w:t>
      </w:r>
      <w:r>
        <w:rPr>
          <w:spacing w:val="1"/>
          <w:sz w:val="20"/>
        </w:rPr>
        <w:t> </w:t>
      </w:r>
      <w:r>
        <w:rPr>
          <w:sz w:val="20"/>
        </w:rPr>
        <w:t>CPR </w:t>
      </w:r>
      <w:r>
        <w:rPr>
          <w:spacing w:val="-2"/>
          <w:sz w:val="20"/>
        </w:rPr>
        <w:t>r.40.2.3.</w:t>
      </w:r>
    </w:p>
    <w:p>
      <w:pPr>
        <w:pStyle w:val="BodyText"/>
        <w:spacing w:before="8"/>
      </w:pPr>
    </w:p>
    <w:p>
      <w:pPr>
        <w:spacing w:line="235" w:lineRule="auto" w:before="0"/>
        <w:ind w:left="705" w:right="167" w:hanging="541"/>
        <w:jc w:val="both"/>
        <w:rPr>
          <w:sz w:val="20"/>
        </w:rPr>
      </w:pPr>
      <w:bookmarkStart w:name="_bookmark2769" w:id="2771"/>
      <w:bookmarkEnd w:id="2771"/>
      <w:r>
        <w:rPr/>
      </w:r>
      <w:hyperlink w:history="true" w:anchor="_bookmark2713">
        <w:r>
          <w:rPr>
            <w:color w:val="005DA1"/>
            <w:position w:val="5"/>
            <w:sz w:val="14"/>
            <w:u w:val="single" w:color="005DA1"/>
          </w:rPr>
          <w:t>1446</w:t>
        </w:r>
      </w:hyperlink>
      <w:r>
        <w:rPr>
          <w:position w:val="5"/>
          <w:sz w:val="14"/>
        </w:rPr>
        <w:t>.</w:t>
      </w:r>
      <w:r>
        <w:rPr>
          <w:spacing w:val="80"/>
          <w:position w:val="5"/>
          <w:sz w:val="14"/>
        </w:rPr>
        <w:t> </w:t>
      </w:r>
      <w:r>
        <w:rPr>
          <w:sz w:val="20"/>
        </w:rPr>
        <w:t>The appropriate date in the case of winding-up (both compulsory and voluntary) is that of the winding-up order or resolution: </w:t>
      </w:r>
      <w:r>
        <w:rPr>
          <w:rFonts w:ascii="Arial"/>
          <w:i/>
          <w:sz w:val="20"/>
        </w:rPr>
        <w:t>Re Dynamics Corp of America [1976] 1 W.L.R. 783</w:t>
      </w:r>
      <w:r>
        <w:rPr>
          <w:sz w:val="20"/>
        </w:rPr>
        <w:t>; </w:t>
      </w:r>
      <w:r>
        <w:rPr>
          <w:rFonts w:ascii="Arial"/>
          <w:i/>
          <w:sz w:val="20"/>
        </w:rPr>
        <w:t>Re Lines Bros Ltd [1983] Ch. 1</w:t>
      </w:r>
      <w:r>
        <w:rPr>
          <w:sz w:val="20"/>
        </w:rPr>
        <w:t>; </w:t>
      </w:r>
      <w:r>
        <w:rPr>
          <w:rFonts w:ascii="Arial"/>
          <w:i/>
          <w:sz w:val="20"/>
        </w:rPr>
        <w:t>Re Lines Bros (No.2) [1984] Ch. 438</w:t>
      </w:r>
      <w:r>
        <w:rPr>
          <w:sz w:val="20"/>
        </w:rPr>
        <w:t>. See Insolvency Rules 1986 r.4.91 and in bankruptcy, where the relevant date is the date of the bankruptcy order r.6.111.</w:t>
      </w:r>
    </w:p>
    <w:p>
      <w:pPr>
        <w:pStyle w:val="BodyText"/>
        <w:spacing w:before="5"/>
      </w:pPr>
    </w:p>
    <w:p>
      <w:pPr>
        <w:pStyle w:val="BodyText"/>
        <w:ind w:left="165"/>
      </w:pPr>
      <w:bookmarkStart w:name="_bookmark2770" w:id="2772"/>
      <w:bookmarkEnd w:id="2772"/>
      <w:r>
        <w:rPr/>
      </w:r>
      <w:hyperlink w:history="true" w:anchor="_bookmark2714">
        <w:r>
          <w:rPr>
            <w:color w:val="005DA1"/>
            <w:position w:val="5"/>
            <w:sz w:val="14"/>
            <w:u w:val="single" w:color="005DA1"/>
          </w:rPr>
          <w:t>1447</w:t>
        </w:r>
      </w:hyperlink>
      <w:r>
        <w:rPr>
          <w:position w:val="5"/>
          <w:sz w:val="14"/>
        </w:rPr>
        <w:t>.</w:t>
      </w:r>
      <w:r>
        <w:rPr>
          <w:spacing w:val="55"/>
          <w:position w:val="5"/>
          <w:sz w:val="14"/>
        </w:rPr>
        <w:t>  </w:t>
      </w:r>
      <w:r>
        <w:rPr/>
        <w:t>See,</w:t>
      </w:r>
      <w:r>
        <w:rPr>
          <w:spacing w:val="23"/>
        </w:rPr>
        <w:t> </w:t>
      </w:r>
      <w:r>
        <w:rPr/>
        <w:t>e.g.</w:t>
      </w:r>
      <w:r>
        <w:rPr>
          <w:spacing w:val="22"/>
        </w:rPr>
        <w:t> </w:t>
      </w:r>
      <w:r>
        <w:rPr/>
        <w:t>Carriage</w:t>
      </w:r>
      <w:r>
        <w:rPr>
          <w:spacing w:val="22"/>
        </w:rPr>
        <w:t> </w:t>
      </w:r>
      <w:r>
        <w:rPr/>
        <w:t>by</w:t>
      </w:r>
      <w:r>
        <w:rPr>
          <w:spacing w:val="22"/>
        </w:rPr>
        <w:t> </w:t>
      </w:r>
      <w:r>
        <w:rPr/>
        <w:t>Air</w:t>
      </w:r>
      <w:r>
        <w:rPr>
          <w:spacing w:val="22"/>
        </w:rPr>
        <w:t> </w:t>
      </w:r>
      <w:r>
        <w:rPr/>
        <w:t>Act</w:t>
      </w:r>
      <w:r>
        <w:rPr>
          <w:spacing w:val="22"/>
        </w:rPr>
        <w:t> </w:t>
      </w:r>
      <w:r>
        <w:rPr/>
        <w:t>1961</w:t>
      </w:r>
      <w:r>
        <w:rPr>
          <w:spacing w:val="22"/>
        </w:rPr>
        <w:t> </w:t>
      </w:r>
      <w:r>
        <w:rPr/>
        <w:t>Sch.1</w:t>
      </w:r>
      <w:r>
        <w:rPr>
          <w:spacing w:val="22"/>
        </w:rPr>
        <w:t> </w:t>
      </w:r>
      <w:r>
        <w:rPr/>
        <w:t>art.22(5)</w:t>
      </w:r>
      <w:r>
        <w:rPr>
          <w:spacing w:val="22"/>
        </w:rPr>
        <w:t> </w:t>
      </w:r>
      <w:r>
        <w:rPr/>
        <w:t>(date</w:t>
      </w:r>
      <w:r>
        <w:rPr>
          <w:spacing w:val="22"/>
        </w:rPr>
        <w:t> </w:t>
      </w:r>
      <w:r>
        <w:rPr/>
        <w:t>of</w:t>
      </w:r>
      <w:r>
        <w:rPr>
          <w:spacing w:val="22"/>
        </w:rPr>
        <w:t> </w:t>
      </w:r>
      <w:r>
        <w:rPr/>
        <w:t>judgment);</w:t>
      </w:r>
      <w:r>
        <w:rPr>
          <w:spacing w:val="22"/>
        </w:rPr>
        <w:t> </w:t>
      </w:r>
      <w:r>
        <w:rPr/>
        <w:t>see</w:t>
      </w:r>
      <w:r>
        <w:rPr>
          <w:spacing w:val="22"/>
        </w:rPr>
        <w:t> </w:t>
      </w:r>
      <w:r>
        <w:rPr/>
        <w:t>Dicey,</w:t>
      </w:r>
      <w:r>
        <w:rPr>
          <w:spacing w:val="22"/>
        </w:rPr>
        <w:t> </w:t>
      </w:r>
      <w:r>
        <w:rPr/>
        <w:t>Morris</w:t>
      </w:r>
      <w:r>
        <w:rPr>
          <w:spacing w:val="22"/>
        </w:rPr>
        <w:t> </w:t>
      </w:r>
      <w:r>
        <w:rPr>
          <w:spacing w:val="-5"/>
        </w:rPr>
        <w:t>and</w:t>
      </w:r>
    </w:p>
    <w:p>
      <w:pPr>
        <w:pStyle w:val="BodyText"/>
        <w:spacing w:after="0"/>
        <w:sectPr>
          <w:pgSz w:w="11900" w:h="16840"/>
          <w:pgMar w:header="971" w:footer="0" w:top="1300" w:bottom="280" w:left="1275" w:right="1275"/>
        </w:sectPr>
      </w:pPr>
    </w:p>
    <w:p>
      <w:pPr>
        <w:pStyle w:val="BodyText"/>
        <w:spacing w:before="166"/>
        <w:ind w:left="705"/>
      </w:pPr>
      <w:r>
        <w:rPr/>
        <w:t>Collins, </w:t>
      </w:r>
      <w:r>
        <w:rPr>
          <w:spacing w:val="-2"/>
        </w:rPr>
        <w:t>para.36R–081.</w:t>
      </w:r>
    </w:p>
    <w:p>
      <w:pPr>
        <w:pStyle w:val="BodyText"/>
        <w:spacing w:before="5"/>
      </w:pPr>
    </w:p>
    <w:p>
      <w:pPr>
        <w:pStyle w:val="BodyText"/>
        <w:spacing w:before="1"/>
        <w:ind w:left="165"/>
      </w:pPr>
      <w:bookmarkStart w:name="_bookmark2771" w:id="2773"/>
      <w:bookmarkEnd w:id="2773"/>
      <w:r>
        <w:rPr/>
      </w:r>
      <w:hyperlink w:history="true" w:anchor="_bookmark2715">
        <w:r>
          <w:rPr>
            <w:color w:val="005DA1"/>
            <w:position w:val="5"/>
            <w:sz w:val="14"/>
            <w:u w:val="single" w:color="005DA1"/>
          </w:rPr>
          <w:t>1448</w:t>
        </w:r>
      </w:hyperlink>
      <w:r>
        <w:rPr>
          <w:position w:val="5"/>
          <w:sz w:val="14"/>
        </w:rPr>
        <w:t>.</w:t>
      </w:r>
      <w:r>
        <w:rPr>
          <w:spacing w:val="55"/>
          <w:position w:val="5"/>
          <w:sz w:val="14"/>
        </w:rPr>
        <w:t>  </w:t>
      </w:r>
      <w:r>
        <w:rPr/>
        <w:t>Dicey,</w:t>
      </w:r>
      <w:r>
        <w:rPr>
          <w:spacing w:val="1"/>
        </w:rPr>
        <w:t> </w:t>
      </w:r>
      <w:r>
        <w:rPr/>
        <w:t>Morris and Collins, 15th edn (2012), </w:t>
      </w:r>
      <w:r>
        <w:rPr>
          <w:spacing w:val="-2"/>
        </w:rPr>
        <w:t>para.37–088.</w:t>
      </w:r>
    </w:p>
    <w:p>
      <w:pPr>
        <w:pStyle w:val="BodyText"/>
        <w:spacing w:before="8"/>
      </w:pPr>
    </w:p>
    <w:p>
      <w:pPr>
        <w:pStyle w:val="BodyText"/>
        <w:spacing w:line="235" w:lineRule="auto"/>
        <w:ind w:left="705" w:right="167" w:hanging="541"/>
        <w:jc w:val="both"/>
      </w:pPr>
      <w:bookmarkStart w:name="_bookmark2772" w:id="2774"/>
      <w:bookmarkEnd w:id="2774"/>
      <w:r>
        <w:rPr/>
      </w:r>
      <w:hyperlink w:history="true" w:anchor="_bookmark2716">
        <w:r>
          <w:rPr>
            <w:color w:val="005DA1"/>
            <w:position w:val="5"/>
            <w:sz w:val="14"/>
            <w:u w:val="single" w:color="005DA1"/>
          </w:rPr>
          <w:t>1449</w:t>
        </w:r>
      </w:hyperlink>
      <w:r>
        <w:rPr>
          <w:position w:val="5"/>
          <w:sz w:val="14"/>
        </w:rPr>
        <w:t>.</w:t>
      </w:r>
      <w:r>
        <w:rPr>
          <w:spacing w:val="40"/>
          <w:position w:val="5"/>
          <w:sz w:val="14"/>
        </w:rPr>
        <w:t> </w:t>
      </w:r>
      <w:r>
        <w:rPr/>
        <w:t>Judgments Act 1838 s.17, as amended by Administration of Justice Act 1970 s.44 and SI 1998/2940; Administration of Justice Act 1970 s.44A, inserted by Private International </w:t>
      </w:r>
      <w:r>
        <w:rPr/>
        <w:t>Law (Miscellaneous Provisions) Act 1995 s.1(1). For judgments in the county court, see County Courts Act 1984 s.74(5A), inserted by Private International Law (Miscellaneous Provisions) Act 1995 s.2. The foregoing sections give effect to recommendations of the Law Commission: see Law Com. No.124, 1983, paras 4.1–4.15.</w:t>
      </w:r>
    </w:p>
    <w:p>
      <w:pPr>
        <w:pStyle w:val="BodyText"/>
        <w:spacing w:before="8"/>
      </w:pPr>
    </w:p>
    <w:p>
      <w:pPr>
        <w:spacing w:line="235" w:lineRule="auto" w:before="0"/>
        <w:ind w:left="705" w:right="168" w:hanging="541"/>
        <w:jc w:val="left"/>
        <w:rPr>
          <w:sz w:val="20"/>
        </w:rPr>
      </w:pPr>
      <w:bookmarkStart w:name="_bookmark2773" w:id="2775"/>
      <w:bookmarkEnd w:id="2775"/>
      <w:r>
        <w:rPr/>
      </w:r>
      <w:hyperlink w:history="true" w:anchor="_bookmark2717">
        <w:r>
          <w:rPr>
            <w:color w:val="005DA1"/>
            <w:position w:val="5"/>
            <w:sz w:val="14"/>
            <w:u w:val="single" w:color="005DA1"/>
          </w:rPr>
          <w:t>1450</w:t>
        </w:r>
      </w:hyperlink>
      <w:r>
        <w:rPr>
          <w:position w:val="5"/>
          <w:sz w:val="14"/>
        </w:rPr>
        <w:t>.</w:t>
      </w:r>
      <w:r>
        <w:rPr>
          <w:spacing w:val="40"/>
          <w:position w:val="5"/>
          <w:sz w:val="14"/>
        </w:rPr>
        <w:t>  </w:t>
      </w:r>
      <w:r>
        <w:rPr>
          <w:sz w:val="20"/>
        </w:rPr>
        <w:t>Arbitration Act 1996 s.5(1). See also </w:t>
      </w:r>
      <w:r>
        <w:rPr>
          <w:rFonts w:ascii="Arial"/>
          <w:i/>
          <w:sz w:val="20"/>
        </w:rPr>
        <w:t>Milan Nigeria Ltd v Angeliki B Maritime Co [2011] EWHC 892 (Comm)</w:t>
      </w:r>
      <w:r>
        <w:rPr>
          <w:sz w:val="20"/>
        </w:rPr>
        <w:t>.</w:t>
      </w:r>
    </w:p>
    <w:p>
      <w:pPr>
        <w:pStyle w:val="BodyText"/>
        <w:spacing w:before="5"/>
      </w:pPr>
    </w:p>
    <w:p>
      <w:pPr>
        <w:spacing w:line="227" w:lineRule="exact" w:before="1"/>
        <w:ind w:left="165" w:right="0" w:firstLine="0"/>
        <w:jc w:val="left"/>
        <w:rPr>
          <w:rFonts w:ascii="Arial" w:hAnsi="Arial"/>
          <w:i/>
          <w:sz w:val="20"/>
        </w:rPr>
      </w:pPr>
      <w:bookmarkStart w:name="_bookmark2774" w:id="2776"/>
      <w:bookmarkEnd w:id="2776"/>
      <w:r>
        <w:rPr/>
      </w:r>
      <w:hyperlink w:history="true" w:anchor="_bookmark2718">
        <w:r>
          <w:rPr>
            <w:color w:val="005DA1"/>
            <w:position w:val="5"/>
            <w:sz w:val="14"/>
            <w:u w:val="single" w:color="005DA1"/>
          </w:rPr>
          <w:t>1451</w:t>
        </w:r>
      </w:hyperlink>
      <w:r>
        <w:rPr>
          <w:position w:val="5"/>
          <w:sz w:val="14"/>
        </w:rPr>
        <w:t>.</w:t>
      </w:r>
      <w:r>
        <w:rPr>
          <w:spacing w:val="55"/>
          <w:position w:val="5"/>
          <w:sz w:val="14"/>
        </w:rPr>
        <w:t>  </w:t>
      </w:r>
      <w:r>
        <w:rPr>
          <w:rFonts w:ascii="Arial" w:hAnsi="Arial"/>
          <w:i/>
          <w:sz w:val="20"/>
        </w:rPr>
        <w:t>[2005]</w:t>
      </w:r>
      <w:r>
        <w:rPr>
          <w:rFonts w:ascii="Arial" w:hAnsi="Arial"/>
          <w:i/>
          <w:spacing w:val="20"/>
          <w:sz w:val="20"/>
        </w:rPr>
        <w:t> </w:t>
      </w:r>
      <w:r>
        <w:rPr>
          <w:rFonts w:ascii="Arial" w:hAnsi="Arial"/>
          <w:i/>
          <w:sz w:val="20"/>
        </w:rPr>
        <w:t>UKHL</w:t>
      </w:r>
      <w:r>
        <w:rPr>
          <w:rFonts w:ascii="Arial" w:hAnsi="Arial"/>
          <w:i/>
          <w:spacing w:val="19"/>
          <w:sz w:val="20"/>
        </w:rPr>
        <w:t> </w:t>
      </w:r>
      <w:r>
        <w:rPr>
          <w:rFonts w:ascii="Arial" w:hAnsi="Arial"/>
          <w:i/>
          <w:sz w:val="20"/>
        </w:rPr>
        <w:t>43,</w:t>
      </w:r>
      <w:r>
        <w:rPr>
          <w:rFonts w:ascii="Arial" w:hAnsi="Arial"/>
          <w:i/>
          <w:spacing w:val="19"/>
          <w:sz w:val="20"/>
        </w:rPr>
        <w:t> </w:t>
      </w:r>
      <w:r>
        <w:rPr>
          <w:rFonts w:ascii="Arial" w:hAnsi="Arial"/>
          <w:i/>
          <w:sz w:val="20"/>
        </w:rPr>
        <w:t>[2006]</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A.C.</w:t>
      </w:r>
      <w:r>
        <w:rPr>
          <w:rFonts w:ascii="Arial" w:hAnsi="Arial"/>
          <w:i/>
          <w:spacing w:val="19"/>
          <w:sz w:val="20"/>
        </w:rPr>
        <w:t> </w:t>
      </w:r>
      <w:r>
        <w:rPr>
          <w:rFonts w:ascii="Arial" w:hAnsi="Arial"/>
          <w:i/>
          <w:sz w:val="20"/>
        </w:rPr>
        <w:t>221</w:t>
      </w:r>
      <w:r>
        <w:rPr>
          <w:sz w:val="20"/>
        </w:rPr>
        <w:t>.</w:t>
      </w:r>
      <w:r>
        <w:rPr>
          <w:spacing w:val="19"/>
          <w:sz w:val="20"/>
        </w:rPr>
        <w:t> </w:t>
      </w:r>
      <w:r>
        <w:rPr>
          <w:sz w:val="20"/>
        </w:rPr>
        <w:t>And</w:t>
      </w:r>
      <w:r>
        <w:rPr>
          <w:spacing w:val="19"/>
          <w:sz w:val="20"/>
        </w:rPr>
        <w:t> </w:t>
      </w:r>
      <w:r>
        <w:rPr>
          <w:sz w:val="20"/>
        </w:rPr>
        <w:t>see</w:t>
      </w:r>
      <w:r>
        <w:rPr>
          <w:spacing w:val="18"/>
          <w:sz w:val="20"/>
        </w:rPr>
        <w:t> </w:t>
      </w:r>
      <w:r>
        <w:rPr>
          <w:rFonts w:ascii="Arial" w:hAnsi="Arial"/>
          <w:i/>
          <w:sz w:val="20"/>
        </w:rPr>
        <w:t>C</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D</w:t>
      </w:r>
      <w:r>
        <w:rPr>
          <w:rFonts w:ascii="Arial" w:hAnsi="Arial"/>
          <w:i/>
          <w:spacing w:val="19"/>
          <w:sz w:val="20"/>
        </w:rPr>
        <w:t> </w:t>
      </w:r>
      <w:r>
        <w:rPr>
          <w:rFonts w:ascii="Arial" w:hAnsi="Arial"/>
          <w:i/>
          <w:sz w:val="20"/>
        </w:rPr>
        <w:t>[2007]</w:t>
      </w:r>
      <w:r>
        <w:rPr>
          <w:rFonts w:ascii="Arial" w:hAnsi="Arial"/>
          <w:i/>
          <w:spacing w:val="19"/>
          <w:sz w:val="20"/>
        </w:rPr>
        <w:t> </w:t>
      </w:r>
      <w:r>
        <w:rPr>
          <w:rFonts w:ascii="Arial" w:hAnsi="Arial"/>
          <w:i/>
          <w:sz w:val="20"/>
        </w:rPr>
        <w:t>EWCA</w:t>
      </w:r>
      <w:r>
        <w:rPr>
          <w:rFonts w:ascii="Arial" w:hAnsi="Arial"/>
          <w:i/>
          <w:spacing w:val="19"/>
          <w:sz w:val="20"/>
        </w:rPr>
        <w:t> </w:t>
      </w:r>
      <w:r>
        <w:rPr>
          <w:rFonts w:ascii="Arial" w:hAnsi="Arial"/>
          <w:i/>
          <w:sz w:val="20"/>
        </w:rPr>
        <w:t>Civ</w:t>
      </w:r>
      <w:r>
        <w:rPr>
          <w:rFonts w:ascii="Arial" w:hAnsi="Arial"/>
          <w:i/>
          <w:spacing w:val="19"/>
          <w:sz w:val="20"/>
        </w:rPr>
        <w:t> </w:t>
      </w:r>
      <w:r>
        <w:rPr>
          <w:rFonts w:ascii="Arial" w:hAnsi="Arial"/>
          <w:i/>
          <w:sz w:val="20"/>
        </w:rPr>
        <w:t>1282,</w:t>
      </w:r>
      <w:r>
        <w:rPr>
          <w:rFonts w:ascii="Arial" w:hAnsi="Arial"/>
          <w:i/>
          <w:spacing w:val="19"/>
          <w:sz w:val="20"/>
        </w:rPr>
        <w:t> </w:t>
      </w:r>
      <w:r>
        <w:rPr>
          <w:rFonts w:ascii="Arial" w:hAnsi="Arial"/>
          <w:i/>
          <w:sz w:val="20"/>
        </w:rPr>
        <w:t>[2008]</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pacing w:val="-2"/>
          <w:sz w:val="20"/>
        </w:rPr>
        <w:t>Lloyd’s</w:t>
      </w:r>
    </w:p>
    <w:p>
      <w:pPr>
        <w:spacing w:line="227" w:lineRule="exact" w:before="0"/>
        <w:ind w:left="705" w:right="0" w:firstLine="0"/>
        <w:jc w:val="left"/>
        <w:rPr>
          <w:sz w:val="20"/>
        </w:rPr>
      </w:pPr>
      <w:r>
        <w:rPr>
          <w:rFonts w:ascii="Arial"/>
          <w:i/>
          <w:sz w:val="20"/>
        </w:rPr>
        <w:t>Rep.</w:t>
      </w:r>
      <w:r>
        <w:rPr>
          <w:rFonts w:ascii="Arial"/>
          <w:i/>
          <w:spacing w:val="-2"/>
          <w:sz w:val="20"/>
        </w:rPr>
        <w:t> </w:t>
      </w:r>
      <w:r>
        <w:rPr>
          <w:rFonts w:ascii="Arial"/>
          <w:i/>
          <w:spacing w:val="-4"/>
          <w:sz w:val="20"/>
        </w:rPr>
        <w:t>239</w:t>
      </w:r>
      <w:r>
        <w:rPr>
          <w:spacing w:val="-4"/>
          <w:sz w:val="20"/>
        </w:rPr>
        <w:t>.</w:t>
      </w:r>
    </w:p>
    <w:p>
      <w:pPr>
        <w:pStyle w:val="BodyText"/>
        <w:spacing w:before="8"/>
      </w:pPr>
    </w:p>
    <w:p>
      <w:pPr>
        <w:spacing w:line="235" w:lineRule="auto" w:before="0"/>
        <w:ind w:left="705" w:right="0" w:hanging="541"/>
        <w:jc w:val="left"/>
        <w:rPr>
          <w:sz w:val="20"/>
        </w:rPr>
      </w:pPr>
      <w:bookmarkStart w:name="_bookmark2775" w:id="2777"/>
      <w:bookmarkEnd w:id="2777"/>
      <w:r>
        <w:rPr/>
      </w:r>
      <w:hyperlink w:history="true" w:anchor="_bookmark2719">
        <w:r>
          <w:rPr>
            <w:color w:val="005DA1"/>
            <w:position w:val="5"/>
            <w:sz w:val="14"/>
            <w:u w:val="single" w:color="005DA1"/>
          </w:rPr>
          <w:t>1452</w:t>
        </w:r>
      </w:hyperlink>
      <w:r>
        <w:rPr>
          <w:position w:val="5"/>
          <w:sz w:val="14"/>
        </w:rPr>
        <w:t>.</w:t>
      </w:r>
      <w:r>
        <w:rPr>
          <w:spacing w:val="40"/>
          <w:position w:val="5"/>
          <w:sz w:val="14"/>
        </w:rPr>
        <w:t>  </w:t>
      </w:r>
      <w:r>
        <w:rPr>
          <w:rFonts w:ascii="Arial"/>
          <w:i/>
          <w:sz w:val="20"/>
        </w:rPr>
        <w:t>[2005]</w:t>
      </w:r>
      <w:r>
        <w:rPr>
          <w:rFonts w:ascii="Arial"/>
          <w:i/>
          <w:spacing w:val="25"/>
          <w:sz w:val="20"/>
        </w:rPr>
        <w:t> </w:t>
      </w:r>
      <w:r>
        <w:rPr>
          <w:rFonts w:ascii="Arial"/>
          <w:i/>
          <w:sz w:val="20"/>
        </w:rPr>
        <w:t>UKHL</w:t>
      </w:r>
      <w:r>
        <w:rPr>
          <w:rFonts w:ascii="Arial"/>
          <w:i/>
          <w:spacing w:val="25"/>
          <w:sz w:val="20"/>
        </w:rPr>
        <w:t> </w:t>
      </w:r>
      <w:r>
        <w:rPr>
          <w:rFonts w:ascii="Arial"/>
          <w:i/>
          <w:sz w:val="20"/>
        </w:rPr>
        <w:t>43</w:t>
      </w:r>
      <w:r>
        <w:rPr>
          <w:rFonts w:ascii="Arial"/>
          <w:i/>
          <w:spacing w:val="25"/>
          <w:sz w:val="20"/>
        </w:rPr>
        <w:t> </w:t>
      </w:r>
      <w:r>
        <w:rPr>
          <w:sz w:val="20"/>
        </w:rPr>
        <w:t>at</w:t>
      </w:r>
      <w:r>
        <w:rPr>
          <w:spacing w:val="25"/>
          <w:sz w:val="20"/>
        </w:rPr>
        <w:t> </w:t>
      </w:r>
      <w:r>
        <w:rPr>
          <w:sz w:val="20"/>
        </w:rPr>
        <w:t>[22].</w:t>
      </w:r>
      <w:r>
        <w:rPr>
          <w:spacing w:val="25"/>
          <w:sz w:val="20"/>
        </w:rPr>
        <w:t> </w:t>
      </w:r>
      <w:r>
        <w:rPr>
          <w:sz w:val="20"/>
        </w:rPr>
        <w:t>See</w:t>
      </w:r>
      <w:r>
        <w:rPr>
          <w:spacing w:val="25"/>
          <w:sz w:val="20"/>
        </w:rPr>
        <w:t> </w:t>
      </w:r>
      <w:r>
        <w:rPr>
          <w:rFonts w:ascii="Arial"/>
          <w:i/>
          <w:sz w:val="20"/>
        </w:rPr>
        <w:t>Jugoslavenska</w:t>
      </w:r>
      <w:r>
        <w:rPr>
          <w:rFonts w:ascii="Arial"/>
          <w:i/>
          <w:spacing w:val="25"/>
          <w:sz w:val="20"/>
        </w:rPr>
        <w:t> </w:t>
      </w:r>
      <w:r>
        <w:rPr>
          <w:rFonts w:ascii="Arial"/>
          <w:i/>
          <w:sz w:val="20"/>
        </w:rPr>
        <w:t>Oceanska</w:t>
      </w:r>
      <w:r>
        <w:rPr>
          <w:rFonts w:ascii="Arial"/>
          <w:i/>
          <w:spacing w:val="25"/>
          <w:sz w:val="20"/>
        </w:rPr>
        <w:t> </w:t>
      </w:r>
      <w:r>
        <w:rPr>
          <w:rFonts w:ascii="Arial"/>
          <w:i/>
          <w:sz w:val="20"/>
        </w:rPr>
        <w:t>Plovidba</w:t>
      </w:r>
      <w:r>
        <w:rPr>
          <w:rFonts w:ascii="Arial"/>
          <w:i/>
          <w:spacing w:val="25"/>
          <w:sz w:val="20"/>
        </w:rPr>
        <w:t> </w:t>
      </w:r>
      <w:r>
        <w:rPr>
          <w:rFonts w:ascii="Arial"/>
          <w:i/>
          <w:sz w:val="20"/>
        </w:rPr>
        <w:t>v</w:t>
      </w:r>
      <w:r>
        <w:rPr>
          <w:rFonts w:ascii="Arial"/>
          <w:i/>
          <w:spacing w:val="25"/>
          <w:sz w:val="20"/>
        </w:rPr>
        <w:t> </w:t>
      </w:r>
      <w:r>
        <w:rPr>
          <w:rFonts w:ascii="Arial"/>
          <w:i/>
          <w:sz w:val="20"/>
        </w:rPr>
        <w:t>Castle</w:t>
      </w:r>
      <w:r>
        <w:rPr>
          <w:rFonts w:ascii="Arial"/>
          <w:i/>
          <w:spacing w:val="25"/>
          <w:sz w:val="20"/>
        </w:rPr>
        <w:t> </w:t>
      </w:r>
      <w:r>
        <w:rPr>
          <w:rFonts w:ascii="Arial"/>
          <w:i/>
          <w:sz w:val="20"/>
        </w:rPr>
        <w:t>Investment</w:t>
      </w:r>
      <w:r>
        <w:rPr>
          <w:rFonts w:ascii="Arial"/>
          <w:i/>
          <w:spacing w:val="25"/>
          <w:sz w:val="20"/>
        </w:rPr>
        <w:t> </w:t>
      </w:r>
      <w:r>
        <w:rPr>
          <w:rFonts w:ascii="Arial"/>
          <w:i/>
          <w:sz w:val="20"/>
        </w:rPr>
        <w:t>Co</w:t>
      </w:r>
      <w:r>
        <w:rPr>
          <w:rFonts w:ascii="Arial"/>
          <w:i/>
          <w:spacing w:val="25"/>
          <w:sz w:val="20"/>
        </w:rPr>
        <w:t> </w:t>
      </w:r>
      <w:r>
        <w:rPr>
          <w:rFonts w:ascii="Arial"/>
          <w:i/>
          <w:sz w:val="20"/>
        </w:rPr>
        <w:t>Inc [1974] Q.B. 292</w:t>
      </w:r>
      <w:r>
        <w:rPr>
          <w:sz w:val="20"/>
        </w:rPr>
        <w:t>.</w:t>
      </w:r>
    </w:p>
    <w:p>
      <w:pPr>
        <w:pStyle w:val="BodyText"/>
        <w:spacing w:before="6"/>
      </w:pPr>
    </w:p>
    <w:p>
      <w:pPr>
        <w:spacing w:before="0"/>
        <w:ind w:left="165" w:right="0" w:firstLine="0"/>
        <w:jc w:val="left"/>
        <w:rPr>
          <w:sz w:val="20"/>
        </w:rPr>
      </w:pPr>
      <w:bookmarkStart w:name="_bookmark2776" w:id="2778"/>
      <w:bookmarkEnd w:id="2778"/>
      <w:r>
        <w:rPr/>
      </w:r>
      <w:hyperlink w:history="true" w:anchor="_bookmark2720">
        <w:r>
          <w:rPr>
            <w:color w:val="005DA1"/>
            <w:position w:val="5"/>
            <w:sz w:val="14"/>
            <w:u w:val="single" w:color="005DA1"/>
          </w:rPr>
          <w:t>1453</w:t>
        </w:r>
      </w:hyperlink>
      <w:r>
        <w:rPr>
          <w:position w:val="5"/>
          <w:sz w:val="14"/>
        </w:rPr>
        <w:t>.</w:t>
      </w:r>
      <w:r>
        <w:rPr>
          <w:spacing w:val="55"/>
          <w:position w:val="5"/>
          <w:sz w:val="14"/>
        </w:rPr>
        <w:t>  </w:t>
      </w:r>
      <w:r>
        <w:rPr>
          <w:rFonts w:ascii="Arial"/>
          <w:i/>
          <w:sz w:val="20"/>
        </w:rPr>
        <w:t>[2005]</w:t>
      </w:r>
      <w:r>
        <w:rPr>
          <w:rFonts w:ascii="Arial"/>
          <w:i/>
          <w:spacing w:val="1"/>
          <w:sz w:val="20"/>
        </w:rPr>
        <w:t> </w:t>
      </w:r>
      <w:r>
        <w:rPr>
          <w:rFonts w:ascii="Arial"/>
          <w:i/>
          <w:sz w:val="20"/>
        </w:rPr>
        <w:t>UKHL 43</w:t>
      </w:r>
      <w:r>
        <w:rPr>
          <w:rFonts w:ascii="Arial"/>
          <w:i/>
          <w:spacing w:val="-1"/>
          <w:sz w:val="20"/>
        </w:rPr>
        <w:t> </w:t>
      </w:r>
      <w:r>
        <w:rPr>
          <w:sz w:val="20"/>
        </w:rPr>
        <w:t>at </w:t>
      </w:r>
      <w:r>
        <w:rPr>
          <w:spacing w:val="-2"/>
          <w:sz w:val="20"/>
        </w:rPr>
        <w:t>[23].</w:t>
      </w:r>
    </w:p>
    <w:p>
      <w:pPr>
        <w:pStyle w:val="BodyText"/>
        <w:spacing w:before="5"/>
      </w:pPr>
    </w:p>
    <w:p>
      <w:pPr>
        <w:pStyle w:val="BodyText"/>
        <w:ind w:left="165"/>
      </w:pPr>
      <w:bookmarkStart w:name="_bookmark2777" w:id="2779"/>
      <w:bookmarkEnd w:id="2779"/>
      <w:r>
        <w:rPr/>
      </w:r>
      <w:hyperlink w:history="true" w:anchor="_bookmark2721">
        <w:r>
          <w:rPr>
            <w:color w:val="005DA1"/>
            <w:position w:val="5"/>
            <w:sz w:val="14"/>
            <w:u w:val="single" w:color="005DA1"/>
          </w:rPr>
          <w:t>1454</w:t>
        </w:r>
      </w:hyperlink>
      <w:r>
        <w:rPr>
          <w:position w:val="5"/>
          <w:sz w:val="14"/>
        </w:rPr>
        <w:t>.</w:t>
      </w:r>
      <w:r>
        <w:rPr>
          <w:spacing w:val="55"/>
          <w:position w:val="5"/>
          <w:sz w:val="14"/>
        </w:rPr>
        <w:t>  </w:t>
      </w:r>
      <w:r>
        <w:rPr/>
        <w:t>As</w:t>
      </w:r>
      <w:r>
        <w:rPr>
          <w:spacing w:val="1"/>
        </w:rPr>
        <w:t> </w:t>
      </w:r>
      <w:r>
        <w:rPr/>
        <w:t>to an arbitral tribunal’s power to award interest, see Arbitration Act 1996 </w:t>
      </w:r>
      <w:r>
        <w:rPr>
          <w:spacing w:val="-2"/>
        </w:rPr>
        <w:t>s.49.</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pStyle w:val="BodyText"/>
      </w:pPr>
    </w:p>
    <w:p>
      <w:pPr>
        <w:pStyle w:val="BodyText"/>
        <w:spacing w:before="49"/>
      </w:pPr>
      <w:r>
        <w:rPr/>
        <w:drawing>
          <wp:anchor distT="0" distB="0" distL="0" distR="0" allowOverlap="1" layoutInCell="1" locked="0" behindDoc="1" simplePos="0" relativeHeight="487632896">
            <wp:simplePos x="0" y="0"/>
            <wp:positionH relativeFrom="page">
              <wp:posOffset>3077972</wp:posOffset>
            </wp:positionH>
            <wp:positionV relativeFrom="paragraph">
              <wp:posOffset>192392</wp:posOffset>
            </wp:positionV>
            <wp:extent cx="1393507" cy="329374"/>
            <wp:effectExtent l="0" t="0" r="0" b="0"/>
            <wp:wrapTopAndBottom/>
            <wp:docPr id="204" name="Image 204"/>
            <wp:cNvGraphicFramePr>
              <a:graphicFrameLocks/>
            </wp:cNvGraphicFramePr>
            <a:graphic>
              <a:graphicData uri="http://schemas.openxmlformats.org/drawingml/2006/picture">
                <pic:pic>
                  <pic:nvPicPr>
                    <pic:cNvPr id="204" name="Image 204"/>
                    <pic:cNvPicPr/>
                  </pic:nvPicPr>
                  <pic:blipFill>
                    <a:blip r:embed="rId37" cstate="print"/>
                    <a:stretch>
                      <a:fillRect/>
                    </a:stretch>
                  </pic:blipFill>
                  <pic:spPr>
                    <a:xfrm>
                      <a:off x="0" y="0"/>
                      <a:ext cx="1393507" cy="329374"/>
                    </a:xfrm>
                    <a:prstGeom prst="rect">
                      <a:avLst/>
                    </a:prstGeom>
                  </pic:spPr>
                </pic:pic>
              </a:graphicData>
            </a:graphic>
          </wp:anchor>
        </w:drawing>
      </w:r>
    </w:p>
    <w:sectPr>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197056">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22119424"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1664">
              <wp:simplePos x="0" y="0"/>
              <wp:positionH relativeFrom="page">
                <wp:posOffset>6278473</wp:posOffset>
              </wp:positionH>
              <wp:positionV relativeFrom="page">
                <wp:posOffset>617496</wp:posOffset>
              </wp:positionV>
              <wp:extent cx="386080" cy="1390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14816"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2176">
              <wp:simplePos x="0" y="0"/>
              <wp:positionH relativeFrom="page">
                <wp:posOffset>6278473</wp:posOffset>
              </wp:positionH>
              <wp:positionV relativeFrom="page">
                <wp:posOffset>617496</wp:posOffset>
              </wp:positionV>
              <wp:extent cx="386080" cy="1390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14304"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2688">
              <wp:simplePos x="0" y="0"/>
              <wp:positionH relativeFrom="page">
                <wp:posOffset>6278473</wp:posOffset>
              </wp:positionH>
              <wp:positionV relativeFrom="page">
                <wp:posOffset>617496</wp:posOffset>
              </wp:positionV>
              <wp:extent cx="386080" cy="13906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13792" type="#_x0000_t202" id="docshape2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3200">
              <wp:simplePos x="0" y="0"/>
              <wp:positionH relativeFrom="page">
                <wp:posOffset>6221984</wp:posOffset>
              </wp:positionH>
              <wp:positionV relativeFrom="page">
                <wp:posOffset>617496</wp:posOffset>
              </wp:positionV>
              <wp:extent cx="442595" cy="1390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113280" type="#_x0000_t202" id="docshape2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3712">
              <wp:simplePos x="0" y="0"/>
              <wp:positionH relativeFrom="page">
                <wp:posOffset>6278473</wp:posOffset>
              </wp:positionH>
              <wp:positionV relativeFrom="page">
                <wp:posOffset>617496</wp:posOffset>
              </wp:positionV>
              <wp:extent cx="386080" cy="1390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12768" type="#_x0000_t202" id="docshape2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4224">
              <wp:simplePos x="0" y="0"/>
              <wp:positionH relativeFrom="page">
                <wp:posOffset>6221984</wp:posOffset>
              </wp:positionH>
              <wp:positionV relativeFrom="page">
                <wp:posOffset>617496</wp:posOffset>
              </wp:positionV>
              <wp:extent cx="442595" cy="13906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112256" type="#_x0000_t202" id="docshape3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4736">
              <wp:simplePos x="0" y="0"/>
              <wp:positionH relativeFrom="page">
                <wp:posOffset>6221984</wp:posOffset>
              </wp:positionH>
              <wp:positionV relativeFrom="page">
                <wp:posOffset>617496</wp:posOffset>
              </wp:positionV>
              <wp:extent cx="442595" cy="1390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111744" type="#_x0000_t202" id="docshape3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5248">
              <wp:simplePos x="0" y="0"/>
              <wp:positionH relativeFrom="page">
                <wp:posOffset>6278473</wp:posOffset>
              </wp:positionH>
              <wp:positionV relativeFrom="page">
                <wp:posOffset>617496</wp:posOffset>
              </wp:positionV>
              <wp:extent cx="386080"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11232" type="#_x0000_t202" id="docshape3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5760">
              <wp:simplePos x="0" y="0"/>
              <wp:positionH relativeFrom="page">
                <wp:posOffset>6278473</wp:posOffset>
              </wp:positionH>
              <wp:positionV relativeFrom="page">
                <wp:posOffset>617496</wp:posOffset>
              </wp:positionV>
              <wp:extent cx="386080" cy="13906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10720" type="#_x0000_t202" id="docshape3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6272">
              <wp:simplePos x="0" y="0"/>
              <wp:positionH relativeFrom="page">
                <wp:posOffset>6278473</wp:posOffset>
              </wp:positionH>
              <wp:positionV relativeFrom="page">
                <wp:posOffset>617496</wp:posOffset>
              </wp:positionV>
              <wp:extent cx="386080" cy="13906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10208" type="#_x0000_t202" id="docshape3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197568">
              <wp:simplePos x="0" y="0"/>
              <wp:positionH relativeFrom="page">
                <wp:posOffset>6221984</wp:posOffset>
              </wp:positionH>
              <wp:positionV relativeFrom="page">
                <wp:posOffset>617496</wp:posOffset>
              </wp:positionV>
              <wp:extent cx="442595" cy="1390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118912"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6784">
              <wp:simplePos x="0" y="0"/>
              <wp:positionH relativeFrom="page">
                <wp:posOffset>6278473</wp:posOffset>
              </wp:positionH>
              <wp:positionV relativeFrom="page">
                <wp:posOffset>617496</wp:posOffset>
              </wp:positionV>
              <wp:extent cx="386080" cy="1390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09696" type="#_x0000_t202" id="docshape4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7296">
              <wp:simplePos x="0" y="0"/>
              <wp:positionH relativeFrom="page">
                <wp:posOffset>6278473</wp:posOffset>
              </wp:positionH>
              <wp:positionV relativeFrom="page">
                <wp:posOffset>617496</wp:posOffset>
              </wp:positionV>
              <wp:extent cx="386080" cy="1390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09184" type="#_x0000_t202" id="docshape4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7808">
              <wp:simplePos x="0" y="0"/>
              <wp:positionH relativeFrom="page">
                <wp:posOffset>6278473</wp:posOffset>
              </wp:positionH>
              <wp:positionV relativeFrom="page">
                <wp:posOffset>617496</wp:posOffset>
              </wp:positionV>
              <wp:extent cx="347980" cy="13906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2108672" type="#_x0000_t202" id="docshape4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8320">
              <wp:simplePos x="0" y="0"/>
              <wp:positionH relativeFrom="page">
                <wp:posOffset>6278473</wp:posOffset>
              </wp:positionH>
              <wp:positionV relativeFrom="page">
                <wp:posOffset>617496</wp:posOffset>
              </wp:positionV>
              <wp:extent cx="386080" cy="13906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08160" type="#_x0000_t202" id="docshape4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8832">
              <wp:simplePos x="0" y="0"/>
              <wp:positionH relativeFrom="page">
                <wp:posOffset>6278473</wp:posOffset>
              </wp:positionH>
              <wp:positionV relativeFrom="page">
                <wp:posOffset>617496</wp:posOffset>
              </wp:positionV>
              <wp:extent cx="386080" cy="13906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07648" type="#_x0000_t202" id="docshape4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9344">
              <wp:simplePos x="0" y="0"/>
              <wp:positionH relativeFrom="page">
                <wp:posOffset>6278473</wp:posOffset>
              </wp:positionH>
              <wp:positionV relativeFrom="page">
                <wp:posOffset>617496</wp:posOffset>
              </wp:positionV>
              <wp:extent cx="386080" cy="13906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07136" type="#_x0000_t202" id="docshape5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9856">
              <wp:simplePos x="0" y="0"/>
              <wp:positionH relativeFrom="page">
                <wp:posOffset>6221984</wp:posOffset>
              </wp:positionH>
              <wp:positionV relativeFrom="page">
                <wp:posOffset>617496</wp:posOffset>
              </wp:positionV>
              <wp:extent cx="442595" cy="13906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106624" type="#_x0000_t202" id="docshape5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10368">
              <wp:simplePos x="0" y="0"/>
              <wp:positionH relativeFrom="page">
                <wp:posOffset>6278473</wp:posOffset>
              </wp:positionH>
              <wp:positionV relativeFrom="page">
                <wp:posOffset>617496</wp:posOffset>
              </wp:positionV>
              <wp:extent cx="386080" cy="13906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06112" type="#_x0000_t202" id="docshape5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10880">
              <wp:simplePos x="0" y="0"/>
              <wp:positionH relativeFrom="page">
                <wp:posOffset>6221984</wp:posOffset>
              </wp:positionH>
              <wp:positionV relativeFrom="page">
                <wp:posOffset>617496</wp:posOffset>
              </wp:positionV>
              <wp:extent cx="442595" cy="13906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105600" type="#_x0000_t202" id="docshape5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11392">
              <wp:simplePos x="0" y="0"/>
              <wp:positionH relativeFrom="page">
                <wp:posOffset>6278473</wp:posOffset>
              </wp:positionH>
              <wp:positionV relativeFrom="page">
                <wp:posOffset>617496</wp:posOffset>
              </wp:positionV>
              <wp:extent cx="386080" cy="13906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05088" type="#_x0000_t202" id="docshape5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198080">
              <wp:simplePos x="0" y="0"/>
              <wp:positionH relativeFrom="page">
                <wp:posOffset>6278473</wp:posOffset>
              </wp:positionH>
              <wp:positionV relativeFrom="page">
                <wp:posOffset>617496</wp:posOffset>
              </wp:positionV>
              <wp:extent cx="386080" cy="1390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18400"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198592">
              <wp:simplePos x="0" y="0"/>
              <wp:positionH relativeFrom="page">
                <wp:posOffset>6221984</wp:posOffset>
              </wp:positionH>
              <wp:positionV relativeFrom="page">
                <wp:posOffset>617496</wp:posOffset>
              </wp:positionV>
              <wp:extent cx="442595" cy="1390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117888"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199104">
              <wp:simplePos x="0" y="0"/>
              <wp:positionH relativeFrom="page">
                <wp:posOffset>6221984</wp:posOffset>
              </wp:positionH>
              <wp:positionV relativeFrom="page">
                <wp:posOffset>617496</wp:posOffset>
              </wp:positionV>
              <wp:extent cx="442595" cy="1390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117376"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199616">
              <wp:simplePos x="0" y="0"/>
              <wp:positionH relativeFrom="page">
                <wp:posOffset>6221984</wp:posOffset>
              </wp:positionH>
              <wp:positionV relativeFrom="page">
                <wp:posOffset>617496</wp:posOffset>
              </wp:positionV>
              <wp:extent cx="442595" cy="1390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116864"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0128">
              <wp:simplePos x="0" y="0"/>
              <wp:positionH relativeFrom="page">
                <wp:posOffset>6221984</wp:posOffset>
              </wp:positionH>
              <wp:positionV relativeFrom="page">
                <wp:posOffset>617496</wp:posOffset>
              </wp:positionV>
              <wp:extent cx="442595" cy="13906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116352"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0640">
              <wp:simplePos x="0" y="0"/>
              <wp:positionH relativeFrom="page">
                <wp:posOffset>6278473</wp:posOffset>
              </wp:positionH>
              <wp:positionV relativeFrom="page">
                <wp:posOffset>617496</wp:posOffset>
              </wp:positionV>
              <wp:extent cx="386080" cy="1390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115840"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201152">
              <wp:simplePos x="0" y="0"/>
              <wp:positionH relativeFrom="page">
                <wp:posOffset>6221984</wp:posOffset>
              </wp:positionH>
              <wp:positionV relativeFrom="page">
                <wp:posOffset>617496</wp:posOffset>
              </wp:positionV>
              <wp:extent cx="442595" cy="1390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115328"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
      <w:numFmt w:val="lowerLetter"/>
      <w:lvlText w:val="(%1)"/>
      <w:lvlJc w:val="left"/>
      <w:pPr>
        <w:ind w:left="342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013" w:hanging="361"/>
      </w:pPr>
      <w:rPr>
        <w:rFonts w:hint="default"/>
        <w:lang w:val="en-US" w:eastAsia="en-US" w:bidi="ar-SA"/>
      </w:rPr>
    </w:lvl>
    <w:lvl w:ilvl="2">
      <w:start w:val="0"/>
      <w:numFmt w:val="bullet"/>
      <w:lvlText w:val="•"/>
      <w:lvlJc w:val="left"/>
      <w:pPr>
        <w:ind w:left="4606" w:hanging="361"/>
      </w:pPr>
      <w:rPr>
        <w:rFonts w:hint="default"/>
        <w:lang w:val="en-US" w:eastAsia="en-US" w:bidi="ar-SA"/>
      </w:rPr>
    </w:lvl>
    <w:lvl w:ilvl="3">
      <w:start w:val="0"/>
      <w:numFmt w:val="bullet"/>
      <w:lvlText w:val="•"/>
      <w:lvlJc w:val="left"/>
      <w:pPr>
        <w:ind w:left="5199" w:hanging="361"/>
      </w:pPr>
      <w:rPr>
        <w:rFonts w:hint="default"/>
        <w:lang w:val="en-US" w:eastAsia="en-US" w:bidi="ar-SA"/>
      </w:rPr>
    </w:lvl>
    <w:lvl w:ilvl="4">
      <w:start w:val="0"/>
      <w:numFmt w:val="bullet"/>
      <w:lvlText w:val="•"/>
      <w:lvlJc w:val="left"/>
      <w:pPr>
        <w:ind w:left="5792" w:hanging="361"/>
      </w:pPr>
      <w:rPr>
        <w:rFonts w:hint="default"/>
        <w:lang w:val="en-US" w:eastAsia="en-US" w:bidi="ar-SA"/>
      </w:rPr>
    </w:lvl>
    <w:lvl w:ilvl="5">
      <w:start w:val="0"/>
      <w:numFmt w:val="bullet"/>
      <w:lvlText w:val="•"/>
      <w:lvlJc w:val="left"/>
      <w:pPr>
        <w:ind w:left="6385" w:hanging="361"/>
      </w:pPr>
      <w:rPr>
        <w:rFonts w:hint="default"/>
        <w:lang w:val="en-US" w:eastAsia="en-US" w:bidi="ar-SA"/>
      </w:rPr>
    </w:lvl>
    <w:lvl w:ilvl="6">
      <w:start w:val="0"/>
      <w:numFmt w:val="bullet"/>
      <w:lvlText w:val="•"/>
      <w:lvlJc w:val="left"/>
      <w:pPr>
        <w:ind w:left="6978" w:hanging="361"/>
      </w:pPr>
      <w:rPr>
        <w:rFonts w:hint="default"/>
        <w:lang w:val="en-US" w:eastAsia="en-US" w:bidi="ar-SA"/>
      </w:rPr>
    </w:lvl>
    <w:lvl w:ilvl="7">
      <w:start w:val="0"/>
      <w:numFmt w:val="bullet"/>
      <w:lvlText w:val="•"/>
      <w:lvlJc w:val="left"/>
      <w:pPr>
        <w:ind w:left="7571" w:hanging="361"/>
      </w:pPr>
      <w:rPr>
        <w:rFonts w:hint="default"/>
        <w:lang w:val="en-US" w:eastAsia="en-US" w:bidi="ar-SA"/>
      </w:rPr>
    </w:lvl>
    <w:lvl w:ilvl="8">
      <w:start w:val="0"/>
      <w:numFmt w:val="bullet"/>
      <w:lvlText w:val="•"/>
      <w:lvlJc w:val="left"/>
      <w:pPr>
        <w:ind w:left="8164" w:hanging="361"/>
      </w:pPr>
      <w:rPr>
        <w:rFonts w:hint="default"/>
        <w:lang w:val="en-US" w:eastAsia="en-US" w:bidi="ar-SA"/>
      </w:rPr>
    </w:lvl>
  </w:abstractNum>
  <w:abstractNum w:abstractNumId="2">
    <w:multiLevelType w:val="hybridMultilevel"/>
    <w:lvl w:ilvl="0">
      <w:start w:val="10"/>
      <w:numFmt w:val="lowerLetter"/>
      <w:lvlText w:val="(%1)"/>
      <w:lvlJc w:val="left"/>
      <w:pPr>
        <w:ind w:left="1785"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537" w:hanging="294"/>
      </w:pPr>
      <w:rPr>
        <w:rFonts w:hint="default"/>
        <w:lang w:val="en-US" w:eastAsia="en-US" w:bidi="ar-SA"/>
      </w:rPr>
    </w:lvl>
    <w:lvl w:ilvl="2">
      <w:start w:val="0"/>
      <w:numFmt w:val="bullet"/>
      <w:lvlText w:val="•"/>
      <w:lvlJc w:val="left"/>
      <w:pPr>
        <w:ind w:left="3294" w:hanging="294"/>
      </w:pPr>
      <w:rPr>
        <w:rFonts w:hint="default"/>
        <w:lang w:val="en-US" w:eastAsia="en-US" w:bidi="ar-SA"/>
      </w:rPr>
    </w:lvl>
    <w:lvl w:ilvl="3">
      <w:start w:val="0"/>
      <w:numFmt w:val="bullet"/>
      <w:lvlText w:val="•"/>
      <w:lvlJc w:val="left"/>
      <w:pPr>
        <w:ind w:left="4051" w:hanging="294"/>
      </w:pPr>
      <w:rPr>
        <w:rFonts w:hint="default"/>
        <w:lang w:val="en-US" w:eastAsia="en-US" w:bidi="ar-SA"/>
      </w:rPr>
    </w:lvl>
    <w:lvl w:ilvl="4">
      <w:start w:val="0"/>
      <w:numFmt w:val="bullet"/>
      <w:lvlText w:val="•"/>
      <w:lvlJc w:val="left"/>
      <w:pPr>
        <w:ind w:left="4808" w:hanging="294"/>
      </w:pPr>
      <w:rPr>
        <w:rFonts w:hint="default"/>
        <w:lang w:val="en-US" w:eastAsia="en-US" w:bidi="ar-SA"/>
      </w:rPr>
    </w:lvl>
    <w:lvl w:ilvl="5">
      <w:start w:val="0"/>
      <w:numFmt w:val="bullet"/>
      <w:lvlText w:val="•"/>
      <w:lvlJc w:val="left"/>
      <w:pPr>
        <w:ind w:left="5565" w:hanging="294"/>
      </w:pPr>
      <w:rPr>
        <w:rFonts w:hint="default"/>
        <w:lang w:val="en-US" w:eastAsia="en-US" w:bidi="ar-SA"/>
      </w:rPr>
    </w:lvl>
    <w:lvl w:ilvl="6">
      <w:start w:val="0"/>
      <w:numFmt w:val="bullet"/>
      <w:lvlText w:val="•"/>
      <w:lvlJc w:val="left"/>
      <w:pPr>
        <w:ind w:left="6322" w:hanging="294"/>
      </w:pPr>
      <w:rPr>
        <w:rFonts w:hint="default"/>
        <w:lang w:val="en-US" w:eastAsia="en-US" w:bidi="ar-SA"/>
      </w:rPr>
    </w:lvl>
    <w:lvl w:ilvl="7">
      <w:start w:val="0"/>
      <w:numFmt w:val="bullet"/>
      <w:lvlText w:val="•"/>
      <w:lvlJc w:val="left"/>
      <w:pPr>
        <w:ind w:left="7079" w:hanging="294"/>
      </w:pPr>
      <w:rPr>
        <w:rFonts w:hint="default"/>
        <w:lang w:val="en-US" w:eastAsia="en-US" w:bidi="ar-SA"/>
      </w:rPr>
    </w:lvl>
    <w:lvl w:ilvl="8">
      <w:start w:val="0"/>
      <w:numFmt w:val="bullet"/>
      <w:lvlText w:val="•"/>
      <w:lvlJc w:val="left"/>
      <w:pPr>
        <w:ind w:left="7836" w:hanging="294"/>
      </w:pPr>
      <w:rPr>
        <w:rFonts w:hint="default"/>
        <w:lang w:val="en-US" w:eastAsia="en-US" w:bidi="ar-SA"/>
      </w:rPr>
    </w:lvl>
  </w:abstractNum>
  <w:abstractNum w:abstractNumId="1">
    <w:multiLevelType w:val="hybridMultilevel"/>
    <w:lvl w:ilvl="0">
      <w:start w:val="4"/>
      <w:numFmt w:val="lowerLetter"/>
      <w:lvlText w:val="(%1)"/>
      <w:lvlJc w:val="left"/>
      <w:pPr>
        <w:ind w:left="3698" w:hanging="37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265" w:hanging="374"/>
      </w:pPr>
      <w:rPr>
        <w:rFonts w:hint="default"/>
        <w:lang w:val="en-US" w:eastAsia="en-US" w:bidi="ar-SA"/>
      </w:rPr>
    </w:lvl>
    <w:lvl w:ilvl="2">
      <w:start w:val="0"/>
      <w:numFmt w:val="bullet"/>
      <w:lvlText w:val="•"/>
      <w:lvlJc w:val="left"/>
      <w:pPr>
        <w:ind w:left="4830" w:hanging="374"/>
      </w:pPr>
      <w:rPr>
        <w:rFonts w:hint="default"/>
        <w:lang w:val="en-US" w:eastAsia="en-US" w:bidi="ar-SA"/>
      </w:rPr>
    </w:lvl>
    <w:lvl w:ilvl="3">
      <w:start w:val="0"/>
      <w:numFmt w:val="bullet"/>
      <w:lvlText w:val="•"/>
      <w:lvlJc w:val="left"/>
      <w:pPr>
        <w:ind w:left="5395" w:hanging="374"/>
      </w:pPr>
      <w:rPr>
        <w:rFonts w:hint="default"/>
        <w:lang w:val="en-US" w:eastAsia="en-US" w:bidi="ar-SA"/>
      </w:rPr>
    </w:lvl>
    <w:lvl w:ilvl="4">
      <w:start w:val="0"/>
      <w:numFmt w:val="bullet"/>
      <w:lvlText w:val="•"/>
      <w:lvlJc w:val="left"/>
      <w:pPr>
        <w:ind w:left="5960" w:hanging="374"/>
      </w:pPr>
      <w:rPr>
        <w:rFonts w:hint="default"/>
        <w:lang w:val="en-US" w:eastAsia="en-US" w:bidi="ar-SA"/>
      </w:rPr>
    </w:lvl>
    <w:lvl w:ilvl="5">
      <w:start w:val="0"/>
      <w:numFmt w:val="bullet"/>
      <w:lvlText w:val="•"/>
      <w:lvlJc w:val="left"/>
      <w:pPr>
        <w:ind w:left="6525" w:hanging="374"/>
      </w:pPr>
      <w:rPr>
        <w:rFonts w:hint="default"/>
        <w:lang w:val="en-US" w:eastAsia="en-US" w:bidi="ar-SA"/>
      </w:rPr>
    </w:lvl>
    <w:lvl w:ilvl="6">
      <w:start w:val="0"/>
      <w:numFmt w:val="bullet"/>
      <w:lvlText w:val="•"/>
      <w:lvlJc w:val="left"/>
      <w:pPr>
        <w:ind w:left="7090" w:hanging="374"/>
      </w:pPr>
      <w:rPr>
        <w:rFonts w:hint="default"/>
        <w:lang w:val="en-US" w:eastAsia="en-US" w:bidi="ar-SA"/>
      </w:rPr>
    </w:lvl>
    <w:lvl w:ilvl="7">
      <w:start w:val="0"/>
      <w:numFmt w:val="bullet"/>
      <w:lvlText w:val="•"/>
      <w:lvlJc w:val="left"/>
      <w:pPr>
        <w:ind w:left="7655" w:hanging="374"/>
      </w:pPr>
      <w:rPr>
        <w:rFonts w:hint="default"/>
        <w:lang w:val="en-US" w:eastAsia="en-US" w:bidi="ar-SA"/>
      </w:rPr>
    </w:lvl>
    <w:lvl w:ilvl="8">
      <w:start w:val="0"/>
      <w:numFmt w:val="bullet"/>
      <w:lvlText w:val="•"/>
      <w:lvlJc w:val="left"/>
      <w:pPr>
        <w:ind w:left="8220" w:hanging="374"/>
      </w:pPr>
      <w:rPr>
        <w:rFonts w:hint="default"/>
        <w:lang w:val="en-US" w:eastAsia="en-US" w:bidi="ar-SA"/>
      </w:rPr>
    </w:lvl>
  </w:abstractNum>
  <w:abstractNum w:abstractNumId="0">
    <w:multiLevelType w:val="hybridMultilevel"/>
    <w:lvl w:ilvl="0">
      <w:start w:val="3"/>
      <w:numFmt w:val="lowerLetter"/>
      <w:lvlText w:val="(%1)"/>
      <w:lvlJc w:val="left"/>
      <w:pPr>
        <w:ind w:left="3011"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653" w:hanging="361"/>
      </w:pPr>
      <w:rPr>
        <w:rFonts w:hint="default"/>
        <w:lang w:val="en-US" w:eastAsia="en-US" w:bidi="ar-SA"/>
      </w:rPr>
    </w:lvl>
    <w:lvl w:ilvl="2">
      <w:start w:val="0"/>
      <w:numFmt w:val="bullet"/>
      <w:lvlText w:val="•"/>
      <w:lvlJc w:val="left"/>
      <w:pPr>
        <w:ind w:left="4286" w:hanging="361"/>
      </w:pPr>
      <w:rPr>
        <w:rFonts w:hint="default"/>
        <w:lang w:val="en-US" w:eastAsia="en-US" w:bidi="ar-SA"/>
      </w:rPr>
    </w:lvl>
    <w:lvl w:ilvl="3">
      <w:start w:val="0"/>
      <w:numFmt w:val="bullet"/>
      <w:lvlText w:val="•"/>
      <w:lvlJc w:val="left"/>
      <w:pPr>
        <w:ind w:left="4919" w:hanging="361"/>
      </w:pPr>
      <w:rPr>
        <w:rFonts w:hint="default"/>
        <w:lang w:val="en-US" w:eastAsia="en-US" w:bidi="ar-SA"/>
      </w:rPr>
    </w:lvl>
    <w:lvl w:ilvl="4">
      <w:start w:val="0"/>
      <w:numFmt w:val="bullet"/>
      <w:lvlText w:val="•"/>
      <w:lvlJc w:val="left"/>
      <w:pPr>
        <w:ind w:left="5552" w:hanging="361"/>
      </w:pPr>
      <w:rPr>
        <w:rFonts w:hint="default"/>
        <w:lang w:val="en-US" w:eastAsia="en-US" w:bidi="ar-SA"/>
      </w:rPr>
    </w:lvl>
    <w:lvl w:ilvl="5">
      <w:start w:val="0"/>
      <w:numFmt w:val="bullet"/>
      <w:lvlText w:val="•"/>
      <w:lvlJc w:val="left"/>
      <w:pPr>
        <w:ind w:left="6185" w:hanging="361"/>
      </w:pPr>
      <w:rPr>
        <w:rFonts w:hint="default"/>
        <w:lang w:val="en-US" w:eastAsia="en-US" w:bidi="ar-SA"/>
      </w:rPr>
    </w:lvl>
    <w:lvl w:ilvl="6">
      <w:start w:val="0"/>
      <w:numFmt w:val="bullet"/>
      <w:lvlText w:val="•"/>
      <w:lvlJc w:val="left"/>
      <w:pPr>
        <w:ind w:left="6818" w:hanging="361"/>
      </w:pPr>
      <w:rPr>
        <w:rFonts w:hint="default"/>
        <w:lang w:val="en-US" w:eastAsia="en-US" w:bidi="ar-SA"/>
      </w:rPr>
    </w:lvl>
    <w:lvl w:ilvl="7">
      <w:start w:val="0"/>
      <w:numFmt w:val="bullet"/>
      <w:lvlText w:val="•"/>
      <w:lvlJc w:val="left"/>
      <w:pPr>
        <w:ind w:left="7451" w:hanging="361"/>
      </w:pPr>
      <w:rPr>
        <w:rFonts w:hint="default"/>
        <w:lang w:val="en-US" w:eastAsia="en-US" w:bidi="ar-SA"/>
      </w:rPr>
    </w:lvl>
    <w:lvl w:ilvl="8">
      <w:start w:val="0"/>
      <w:numFmt w:val="bullet"/>
      <w:lvlText w:val="•"/>
      <w:lvlJc w:val="left"/>
      <w:pPr>
        <w:ind w:left="8084" w:hanging="3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40" w:right="94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958" w:hanging="360"/>
    </w:pPr>
    <w:rPr>
      <w:rFonts w:ascii="Arial" w:hAnsi="Arial" w:eastAsia="Arial" w:cs="Arial"/>
      <w:lang w:val="en-US" w:eastAsia="en-US" w:bidi="ar-SA"/>
    </w:rPr>
  </w:style>
  <w:style w:styleId="TableParagraph" w:type="paragraph">
    <w:name w:val="Table Paragraph"/>
    <w:basedOn w:val="Normal"/>
    <w:uiPriority w:val="1"/>
    <w:qFormat/>
    <w:pPr>
      <w:spacing w:before="121"/>
      <w:ind w:left="94"/>
      <w:jc w:val="center"/>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yperlink" Target="http://www.amazon.co.uk/" TargetMode="External"/><Relationship Id="rId14" Type="http://schemas.openxmlformats.org/officeDocument/2006/relationships/hyperlink" Target="http://www.amazon.fr/" TargetMode="Externa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image" Target="media/image2.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2025-03-18T07:57:42Z</dcterms:created>
  <dcterms:modified xsi:type="dcterms:W3CDTF">2025-03-18T07:57:42Z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