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17 - Joint Obligations" w:id="1"/>
      <w:bookmarkEnd w:id="1"/>
      <w:r>
        <w:rPr>
          <w:b w:val="0"/>
        </w:rPr>
      </w: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930" w:right="934" w:firstLine="0"/>
        <w:jc w:val="center"/>
        <w:rPr>
          <w:rFonts w:ascii="Arial"/>
          <w:b/>
          <w:position w:val="11"/>
          <w:sz w:val="12"/>
        </w:rPr>
      </w:pPr>
      <w:r>
        <w:rPr>
          <w:rFonts w:ascii="Arial"/>
          <w:b/>
          <w:position w:val="11"/>
          <w:sz w:val="12"/>
        </w:rPr>
        <mc:AlternateContent>
          <mc:Choice Requires="wps">
            <w:drawing>
              <wp:anchor distT="0" distB="0" distL="0" distR="0" allowOverlap="1" layoutInCell="1" locked="0" behindDoc="1" simplePos="0" relativeHeight="486817280">
                <wp:simplePos x="0" y="0"/>
                <wp:positionH relativeFrom="page">
                  <wp:posOffset>4860416</wp:posOffset>
                </wp:positionH>
                <wp:positionV relativeFrom="paragraph">
                  <wp:posOffset>377139</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382.709991pt,29.695992pt" to="386.045991pt,29.695992pt" stroked="true" strokeweight=".428pt" strokecolor="#005da1">
                <v:stroke dashstyle="solid"/>
                <w10:wrap type="none"/>
              </v:line>
            </w:pict>
          </mc:Fallback>
        </mc:AlternateContent>
      </w:r>
      <w:r>
        <w:rPr>
          <w:rFonts w:ascii="Arial"/>
          <w:b/>
          <w:sz w:val="24"/>
        </w:rPr>
        <w:t>Part</w:t>
      </w:r>
      <w:r>
        <w:rPr>
          <w:rFonts w:ascii="Arial"/>
          <w:b/>
          <w:spacing w:val="-5"/>
          <w:sz w:val="24"/>
        </w:rPr>
        <w:t> </w:t>
      </w:r>
      <w:r>
        <w:rPr>
          <w:rFonts w:ascii="Arial"/>
          <w:b/>
          <w:sz w:val="24"/>
        </w:rPr>
        <w:t>6</w:t>
      </w:r>
      <w:r>
        <w:rPr>
          <w:rFonts w:ascii="Arial"/>
          <w:b/>
          <w:spacing w:val="-5"/>
          <w:sz w:val="24"/>
        </w:rPr>
        <w:t> </w:t>
      </w:r>
      <w:r>
        <w:rPr>
          <w:rFonts w:ascii="Arial"/>
          <w:b/>
          <w:sz w:val="24"/>
        </w:rPr>
        <w:t>-</w:t>
      </w:r>
      <w:r>
        <w:rPr>
          <w:rFonts w:ascii="Arial"/>
          <w:b/>
          <w:spacing w:val="-5"/>
          <w:sz w:val="24"/>
        </w:rPr>
        <w:t> </w:t>
      </w:r>
      <w:r>
        <w:rPr>
          <w:rFonts w:ascii="Arial"/>
          <w:b/>
          <w:sz w:val="24"/>
        </w:rPr>
        <w:t>Joint</w:t>
      </w:r>
      <w:r>
        <w:rPr>
          <w:rFonts w:ascii="Arial"/>
          <w:b/>
          <w:spacing w:val="-5"/>
          <w:sz w:val="24"/>
        </w:rPr>
        <w:t> </w:t>
      </w:r>
      <w:r>
        <w:rPr>
          <w:rFonts w:ascii="Arial"/>
          <w:b/>
          <w:sz w:val="24"/>
        </w:rPr>
        <w:t>Obligations,</w:t>
      </w:r>
      <w:r>
        <w:rPr>
          <w:rFonts w:ascii="Arial"/>
          <w:b/>
          <w:spacing w:val="-5"/>
          <w:sz w:val="24"/>
        </w:rPr>
        <w:t> </w:t>
      </w:r>
      <w:r>
        <w:rPr>
          <w:rFonts w:ascii="Arial"/>
          <w:b/>
          <w:sz w:val="24"/>
        </w:rPr>
        <w:t>Third</w:t>
      </w:r>
      <w:r>
        <w:rPr>
          <w:rFonts w:ascii="Arial"/>
          <w:b/>
          <w:spacing w:val="-5"/>
          <w:sz w:val="24"/>
        </w:rPr>
        <w:t> </w:t>
      </w:r>
      <w:r>
        <w:rPr>
          <w:rFonts w:ascii="Arial"/>
          <w:b/>
          <w:sz w:val="24"/>
        </w:rPr>
        <w:t>Parties</w:t>
      </w:r>
      <w:r>
        <w:rPr>
          <w:rFonts w:ascii="Arial"/>
          <w:b/>
          <w:spacing w:val="-5"/>
          <w:sz w:val="24"/>
        </w:rPr>
        <w:t> </w:t>
      </w:r>
      <w:r>
        <w:rPr>
          <w:rFonts w:ascii="Arial"/>
          <w:b/>
          <w:sz w:val="24"/>
        </w:rPr>
        <w:t>and</w:t>
      </w:r>
      <w:r>
        <w:rPr>
          <w:rFonts w:ascii="Arial"/>
          <w:b/>
          <w:spacing w:val="-5"/>
          <w:sz w:val="24"/>
        </w:rPr>
        <w:t> </w:t>
      </w:r>
      <w:r>
        <w:rPr>
          <w:rFonts w:ascii="Arial"/>
          <w:b/>
          <w:sz w:val="24"/>
        </w:rPr>
        <w:t>Assignment </w:t>
      </w:r>
      <w:bookmarkStart w:name="_bookmark0" w:id="2"/>
      <w:bookmarkEnd w:id="2"/>
      <w:r>
        <w:rPr>
          <w:rFonts w:ascii="Arial"/>
          <w:b/>
          <w:sz w:val="24"/>
        </w:rPr>
        <w:t>Chapter</w:t>
      </w:r>
      <w:r>
        <w:rPr>
          <w:rFonts w:ascii="Arial"/>
          <w:b/>
          <w:sz w:val="24"/>
        </w:rPr>
        <w:t> 17 - Joint Obligations </w:t>
      </w:r>
      <w:r>
        <w:rPr>
          <w:rFonts w:ascii="Arial"/>
          <w:b/>
          <w:color w:val="005DA1"/>
          <w:position w:val="11"/>
          <w:sz w:val="12"/>
        </w:rPr>
        <w:t>1</w:t>
      </w:r>
    </w:p>
    <w:p>
      <w:pPr>
        <w:pStyle w:val="BodyText"/>
        <w:spacing w:before="173"/>
        <w:rPr>
          <w:rFonts w:ascii="Arial"/>
          <w:b/>
          <w:sz w:val="24"/>
        </w:rPr>
      </w:pPr>
    </w:p>
    <w:p>
      <w:pPr>
        <w:spacing w:before="0"/>
        <w:ind w:left="23" w:right="0" w:firstLine="0"/>
        <w:jc w:val="left"/>
        <w:rPr>
          <w:rFonts w:ascii="Arial"/>
          <w:b/>
          <w:sz w:val="18"/>
        </w:rPr>
      </w:pPr>
      <w:r>
        <w:rPr>
          <w:rFonts w:ascii="Arial"/>
          <w:b/>
          <w:sz w:val="18"/>
        </w:rPr>
        <w:t>Introductory: </w:t>
      </w:r>
      <w:r>
        <w:rPr>
          <w:rFonts w:ascii="Arial"/>
          <w:b/>
          <w:spacing w:val="-2"/>
          <w:sz w:val="18"/>
        </w:rPr>
        <w:t>definitions</w:t>
      </w:r>
    </w:p>
    <w:p>
      <w:pPr>
        <w:pStyle w:val="BodyText"/>
        <w:spacing w:before="41"/>
        <w:rPr>
          <w:rFonts w:ascii="Arial"/>
          <w:b/>
          <w:sz w:val="18"/>
        </w:rPr>
      </w:pPr>
    </w:p>
    <w:p>
      <w:pPr>
        <w:pStyle w:val="Heading2"/>
        <w:spacing w:before="1"/>
      </w:pPr>
      <w:r>
        <w:rPr/>
        <w:t>17-</w:t>
      </w:r>
      <w:r>
        <w:rPr>
          <w:spacing w:val="-5"/>
        </w:rPr>
        <w:t>001</w:t>
      </w:r>
    </w:p>
    <w:p>
      <w:pPr>
        <w:pStyle w:val="BodyText"/>
        <w:spacing w:line="235" w:lineRule="auto" w:before="202"/>
        <w:ind w:left="23" w:right="25"/>
        <w:jc w:val="both"/>
      </w:pPr>
      <w:r>
        <w:rPr/>
        <mc:AlternateContent>
          <mc:Choice Requires="wps">
            <w:drawing>
              <wp:anchor distT="0" distB="0" distL="0" distR="0" allowOverlap="1" layoutInCell="1" locked="0" behindDoc="1" simplePos="0" relativeHeight="486817792">
                <wp:simplePos x="0" y="0"/>
                <wp:positionH relativeFrom="page">
                  <wp:posOffset>3056915</wp:posOffset>
                </wp:positionH>
                <wp:positionV relativeFrom="paragraph">
                  <wp:posOffset>477901</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240.701996pt,37.630077pt" to="244.037996pt,37.63007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818304">
                <wp:simplePos x="0" y="0"/>
                <wp:positionH relativeFrom="page">
                  <wp:posOffset>2072132</wp:posOffset>
                </wp:positionH>
                <wp:positionV relativeFrom="paragraph">
                  <wp:posOffset>620776</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163.160004pt,48.880077pt" to="166.496004pt,48.880077pt" stroked="true" strokeweight=".428pt" strokecolor="#005da1">
                <v:stroke dashstyle="solid"/>
                <w10:wrap type="none"/>
              </v:line>
            </w:pict>
          </mc:Fallback>
        </mc:AlternateContent>
      </w:r>
      <w:r>
        <w:rPr/>
        <w:t>Several liability arises when two or more persons make separate promises to another, whether by the </w:t>
      </w:r>
      <w:bookmarkStart w:name="_bookmark1" w:id="3"/>
      <w:bookmarkEnd w:id="3"/>
      <w:r>
        <w:rPr/>
        <w:t>same</w:t>
      </w:r>
      <w:r>
        <w:rPr/>
        <w:t> instrument or by different instruments. Thus if A and B covenant with C that they will each pay </w:t>
      </w:r>
      <w:bookmarkStart w:name="_bookmark2" w:id="4"/>
      <w:bookmarkEnd w:id="4"/>
      <w:r>
        <w:rPr/>
        <w:t>him</w:t>
      </w:r>
      <w:r>
        <w:rPr/>
        <w:t> £100, each is liable to pay £100 </w:t>
      </w:r>
      <w:r>
        <w:rPr>
          <w:color w:val="005DA1"/>
          <w:vertAlign w:val="superscript"/>
        </w:rPr>
        <w:t>2</w:t>
      </w:r>
      <w:r>
        <w:rPr>
          <w:vertAlign w:val="baseline"/>
        </w:rPr>
        <w:t>; their promises are cumulative and payment by one does </w:t>
      </w:r>
      <w:r>
        <w:rPr>
          <w:vertAlign w:val="baseline"/>
        </w:rPr>
        <w:t>not discharge the other. </w:t>
      </w:r>
      <w:r>
        <w:rPr>
          <w:color w:val="005DA1"/>
          <w:vertAlign w:val="superscript"/>
        </w:rPr>
        <w:t>3</w:t>
      </w:r>
    </w:p>
    <w:p>
      <w:pPr>
        <w:pStyle w:val="BodyText"/>
        <w:spacing w:before="80"/>
      </w:pPr>
    </w:p>
    <w:p>
      <w:pPr>
        <w:pStyle w:val="Heading2"/>
      </w:pPr>
      <w:r>
        <w:rPr/>
        <w:t>17-</w:t>
      </w:r>
      <w:r>
        <w:rPr>
          <w:spacing w:val="-5"/>
        </w:rPr>
        <w:t>002</w:t>
      </w:r>
    </w:p>
    <w:p>
      <w:pPr>
        <w:pStyle w:val="BodyText"/>
        <w:spacing w:line="235" w:lineRule="auto" w:before="203"/>
        <w:ind w:left="23" w:right="25"/>
        <w:jc w:val="both"/>
      </w:pPr>
      <w:r>
        <w:rPr/>
        <mc:AlternateContent>
          <mc:Choice Requires="wps">
            <w:drawing>
              <wp:anchor distT="0" distB="0" distL="0" distR="0" allowOverlap="1" layoutInCell="1" locked="0" behindDoc="1" simplePos="0" relativeHeight="486818816">
                <wp:simplePos x="0" y="0"/>
                <wp:positionH relativeFrom="page">
                  <wp:posOffset>1529930</wp:posOffset>
                </wp:positionH>
                <wp:positionV relativeFrom="paragraph">
                  <wp:posOffset>335356</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120.467003pt,26.406055pt" to="123.803003pt,26.406055pt" stroked="true" strokeweight=".428pt" strokecolor="#005da1">
                <v:stroke dashstyle="solid"/>
                <w10:wrap type="none"/>
              </v:line>
            </w:pict>
          </mc:Fallback>
        </mc:AlternateContent>
      </w:r>
      <w:bookmarkStart w:name="_bookmark3" w:id="5"/>
      <w:bookmarkEnd w:id="5"/>
      <w:r>
        <w:rPr/>
      </w:r>
      <w:r>
        <w:rPr/>
        <w:t>Joint liability arises when two or more persons jointly promise to do the same thing. There is only one obligation,</w:t>
      </w:r>
      <w:r>
        <w:rPr>
          <w:spacing w:val="-2"/>
        </w:rPr>
        <w:t> </w:t>
      </w:r>
      <w:r>
        <w:rPr>
          <w:color w:val="005DA1"/>
          <w:vertAlign w:val="superscript"/>
        </w:rPr>
        <w:t>4</w:t>
      </w:r>
      <w:r>
        <w:rPr>
          <w:color w:val="005DA1"/>
          <w:spacing w:val="-1"/>
          <w:vertAlign w:val="baseline"/>
        </w:rPr>
        <w:t> </w:t>
      </w:r>
      <w:r>
        <w:rPr>
          <w:vertAlign w:val="baseline"/>
        </w:rPr>
        <w:t>and</w:t>
      </w:r>
      <w:r>
        <w:rPr>
          <w:spacing w:val="-1"/>
          <w:vertAlign w:val="baseline"/>
        </w:rPr>
        <w:t> </w:t>
      </w:r>
      <w:r>
        <w:rPr>
          <w:vertAlign w:val="baseline"/>
        </w:rPr>
        <w:t>consequently,</w:t>
      </w:r>
      <w:r>
        <w:rPr>
          <w:spacing w:val="-1"/>
          <w:vertAlign w:val="baseline"/>
        </w:rPr>
        <w:t> </w:t>
      </w:r>
      <w:r>
        <w:rPr>
          <w:vertAlign w:val="baseline"/>
        </w:rPr>
        <w:t>performance</w:t>
      </w:r>
      <w:r>
        <w:rPr>
          <w:spacing w:val="-1"/>
          <w:vertAlign w:val="baseline"/>
        </w:rPr>
        <w:t> </w:t>
      </w:r>
      <w:r>
        <w:rPr>
          <w:vertAlign w:val="baseline"/>
        </w:rPr>
        <w:t>by</w:t>
      </w:r>
      <w:r>
        <w:rPr>
          <w:spacing w:val="-1"/>
          <w:vertAlign w:val="baseline"/>
        </w:rPr>
        <w:t> </w:t>
      </w:r>
      <w:r>
        <w:rPr>
          <w:vertAlign w:val="baseline"/>
        </w:rPr>
        <w:t>one</w:t>
      </w:r>
      <w:r>
        <w:rPr>
          <w:spacing w:val="-1"/>
          <w:vertAlign w:val="baseline"/>
        </w:rPr>
        <w:t> </w:t>
      </w:r>
      <w:r>
        <w:rPr>
          <w:vertAlign w:val="baseline"/>
        </w:rPr>
        <w:t>discharges</w:t>
      </w:r>
      <w:r>
        <w:rPr>
          <w:spacing w:val="-1"/>
          <w:vertAlign w:val="baseline"/>
        </w:rPr>
        <w:t> </w:t>
      </w:r>
      <w:r>
        <w:rPr>
          <w:vertAlign w:val="baseline"/>
        </w:rPr>
        <w:t>the</w:t>
      </w:r>
      <w:r>
        <w:rPr>
          <w:spacing w:val="-1"/>
          <w:vertAlign w:val="baseline"/>
        </w:rPr>
        <w:t> </w:t>
      </w:r>
      <w:r>
        <w:rPr>
          <w:vertAlign w:val="baseline"/>
        </w:rPr>
        <w:t>others.</w:t>
      </w:r>
      <w:r>
        <w:rPr>
          <w:spacing w:val="-1"/>
          <w:vertAlign w:val="baseline"/>
        </w:rPr>
        <w:t> </w:t>
      </w:r>
      <w:r>
        <w:rPr>
          <w:vertAlign w:val="baseline"/>
        </w:rPr>
        <w:t>Joint</w:t>
      </w:r>
      <w:r>
        <w:rPr>
          <w:spacing w:val="-1"/>
          <w:vertAlign w:val="baseline"/>
        </w:rPr>
        <w:t> </w:t>
      </w:r>
      <w:r>
        <w:rPr>
          <w:vertAlign w:val="baseline"/>
        </w:rPr>
        <w:t>liability</w:t>
      </w:r>
      <w:r>
        <w:rPr>
          <w:spacing w:val="-1"/>
          <w:vertAlign w:val="baseline"/>
        </w:rPr>
        <w:t> </w:t>
      </w:r>
      <w:r>
        <w:rPr>
          <w:vertAlign w:val="baseline"/>
        </w:rPr>
        <w:t>is</w:t>
      </w:r>
      <w:r>
        <w:rPr>
          <w:spacing w:val="-1"/>
          <w:vertAlign w:val="baseline"/>
        </w:rPr>
        <w:t> </w:t>
      </w:r>
      <w:r>
        <w:rPr>
          <w:vertAlign w:val="baseline"/>
        </w:rPr>
        <w:t>subject</w:t>
      </w:r>
      <w:r>
        <w:rPr>
          <w:spacing w:val="-1"/>
          <w:vertAlign w:val="baseline"/>
        </w:rPr>
        <w:t> </w:t>
      </w:r>
      <w:r>
        <w:rPr>
          <w:vertAlign w:val="baseline"/>
        </w:rPr>
        <w:t>to</w:t>
      </w:r>
      <w:r>
        <w:rPr>
          <w:spacing w:val="-1"/>
          <w:vertAlign w:val="baseline"/>
        </w:rPr>
        <w:t> </w:t>
      </w:r>
      <w:r>
        <w:rPr>
          <w:vertAlign w:val="baseline"/>
        </w:rPr>
        <w:t>a number of strict and technical rules of law which are discussed in the paragraphs that follow.</w:t>
      </w:r>
    </w:p>
    <w:p>
      <w:pPr>
        <w:pStyle w:val="BodyText"/>
        <w:spacing w:before="80"/>
      </w:pPr>
    </w:p>
    <w:p>
      <w:pPr>
        <w:pStyle w:val="Heading2"/>
      </w:pPr>
      <w:r>
        <w:rPr/>
        <w:t>17-</w:t>
      </w:r>
      <w:r>
        <w:rPr>
          <w:spacing w:val="-5"/>
        </w:rPr>
        <w:t>003</w:t>
      </w:r>
    </w:p>
    <w:p>
      <w:pPr>
        <w:pStyle w:val="BodyText"/>
        <w:spacing w:line="235" w:lineRule="auto" w:before="203"/>
        <w:ind w:left="23" w:right="25"/>
        <w:jc w:val="both"/>
      </w:pPr>
      <w:r>
        <w:rPr/>
        <w:t>Joint and several liability arises when two or more persons in the same instrument jointly promise </w:t>
      </w:r>
      <w:r>
        <w:rPr/>
        <w:t>to do</w:t>
      </w:r>
      <w:r>
        <w:rPr>
          <w:spacing w:val="-1"/>
        </w:rPr>
        <w:t> </w:t>
      </w:r>
      <w:r>
        <w:rPr/>
        <w:t>the</w:t>
      </w:r>
      <w:r>
        <w:rPr>
          <w:spacing w:val="-1"/>
        </w:rPr>
        <w:t> </w:t>
      </w:r>
      <w:r>
        <w:rPr/>
        <w:t>same</w:t>
      </w:r>
      <w:r>
        <w:rPr>
          <w:spacing w:val="-1"/>
        </w:rPr>
        <w:t> </w:t>
      </w:r>
      <w:r>
        <w:rPr/>
        <w:t>thing</w:t>
      </w:r>
      <w:r>
        <w:rPr>
          <w:spacing w:val="-1"/>
        </w:rPr>
        <w:t> </w:t>
      </w:r>
      <w:r>
        <w:rPr/>
        <w:t>and</w:t>
      </w:r>
      <w:r>
        <w:rPr>
          <w:spacing w:val="-1"/>
        </w:rPr>
        <w:t> </w:t>
      </w:r>
      <w:r>
        <w:rPr/>
        <w:t>also</w:t>
      </w:r>
      <w:r>
        <w:rPr>
          <w:spacing w:val="-1"/>
        </w:rPr>
        <w:t> </w:t>
      </w:r>
      <w:r>
        <w:rPr/>
        <w:t>severally</w:t>
      </w:r>
      <w:r>
        <w:rPr>
          <w:spacing w:val="-1"/>
        </w:rPr>
        <w:t> </w:t>
      </w:r>
      <w:r>
        <w:rPr/>
        <w:t>make</w:t>
      </w:r>
      <w:r>
        <w:rPr>
          <w:spacing w:val="-1"/>
        </w:rPr>
        <w:t> </w:t>
      </w:r>
      <w:r>
        <w:rPr/>
        <w:t>separate</w:t>
      </w:r>
      <w:r>
        <w:rPr>
          <w:spacing w:val="-1"/>
        </w:rPr>
        <w:t> </w:t>
      </w:r>
      <w:r>
        <w:rPr/>
        <w:t>promises</w:t>
      </w:r>
      <w:r>
        <w:rPr>
          <w:spacing w:val="-1"/>
        </w:rPr>
        <w:t> </w:t>
      </w:r>
      <w:r>
        <w:rPr/>
        <w:t>to</w:t>
      </w:r>
      <w:r>
        <w:rPr>
          <w:spacing w:val="-1"/>
        </w:rPr>
        <w:t> </w:t>
      </w:r>
      <w:r>
        <w:rPr/>
        <w:t>do</w:t>
      </w:r>
      <w:r>
        <w:rPr>
          <w:spacing w:val="-1"/>
        </w:rPr>
        <w:t> </w:t>
      </w:r>
      <w:r>
        <w:rPr/>
        <w:t>the</w:t>
      </w:r>
      <w:r>
        <w:rPr>
          <w:spacing w:val="-1"/>
        </w:rPr>
        <w:t> </w:t>
      </w:r>
      <w:r>
        <w:rPr/>
        <w:t>same</w:t>
      </w:r>
      <w:r>
        <w:rPr>
          <w:spacing w:val="-1"/>
        </w:rPr>
        <w:t> </w:t>
      </w:r>
      <w:r>
        <w:rPr/>
        <w:t>thing.</w:t>
      </w:r>
      <w:r>
        <w:rPr>
          <w:spacing w:val="-1"/>
        </w:rPr>
        <w:t> </w:t>
      </w:r>
      <w:r>
        <w:rPr/>
        <w:t>Joint</w:t>
      </w:r>
      <w:r>
        <w:rPr>
          <w:spacing w:val="-1"/>
        </w:rPr>
        <w:t> </w:t>
      </w:r>
      <w:r>
        <w:rPr/>
        <w:t>and</w:t>
      </w:r>
      <w:r>
        <w:rPr>
          <w:spacing w:val="-1"/>
        </w:rPr>
        <w:t> </w:t>
      </w:r>
      <w:r>
        <w:rPr/>
        <w:t>several liability gives rise to one joint obligation and to as many several obligations as there are joint and several promisors. It is like joint liability in that the co-promisors are not cumulatively liable, so that performance by one discharges all; but it is free from most of the technical rules governing joint </w:t>
      </w:r>
      <w:r>
        <w:rPr>
          <w:spacing w:val="-2"/>
        </w:rPr>
        <w:t>liability.</w:t>
      </w:r>
    </w:p>
    <w:p>
      <w:pPr>
        <w:pStyle w:val="BodyText"/>
        <w:spacing w:before="79"/>
      </w:pPr>
    </w:p>
    <w:p>
      <w:pPr>
        <w:pStyle w:val="Heading2"/>
      </w:pPr>
      <w:r>
        <w:rPr/>
        <w:t>17-</w:t>
      </w:r>
      <w:r>
        <w:rPr>
          <w:spacing w:val="-5"/>
        </w:rPr>
        <w:t>004</w:t>
      </w:r>
    </w:p>
    <w:p>
      <w:pPr>
        <w:pStyle w:val="BodyText"/>
        <w:spacing w:line="235" w:lineRule="auto" w:before="202"/>
        <w:ind w:left="23" w:right="25"/>
        <w:jc w:val="both"/>
      </w:pPr>
      <w:r>
        <w:rPr/>
        <mc:AlternateContent>
          <mc:Choice Requires="wps">
            <w:drawing>
              <wp:anchor distT="0" distB="0" distL="0" distR="0" allowOverlap="1" layoutInCell="1" locked="0" behindDoc="1" simplePos="0" relativeHeight="486819328">
                <wp:simplePos x="0" y="0"/>
                <wp:positionH relativeFrom="page">
                  <wp:posOffset>5374017</wp:posOffset>
                </wp:positionH>
                <wp:positionV relativeFrom="paragraph">
                  <wp:posOffset>620889</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423.151001pt,48.888966pt" to="426.487001pt,48.88896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819840">
                <wp:simplePos x="0" y="0"/>
                <wp:positionH relativeFrom="page">
                  <wp:posOffset>4065168</wp:posOffset>
                </wp:positionH>
                <wp:positionV relativeFrom="paragraph">
                  <wp:posOffset>906639</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320.09201pt,71.388962pt" to="323.428010pt,71.388962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820352">
                <wp:simplePos x="0" y="0"/>
                <wp:positionH relativeFrom="page">
                  <wp:posOffset>5486628</wp:posOffset>
                </wp:positionH>
                <wp:positionV relativeFrom="paragraph">
                  <wp:posOffset>1049514</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432.018005pt,82.638962pt" to="435.354005pt,82.638962pt" stroked="true" strokeweight=".428pt" strokecolor="#005da1">
                <v:stroke dashstyle="solid"/>
                <w10:wrap type="none"/>
              </v:line>
            </w:pict>
          </mc:Fallback>
        </mc:AlternateContent>
      </w:r>
      <w:r>
        <w:rPr/>
        <w:t>It should be emphasised that the above definitions—and the treatment in this chapter—focus on </w:t>
      </w:r>
      <w:r>
        <w:rPr/>
        <w:t>the standard </w:t>
      </w:r>
      <w:r>
        <w:rPr>
          <w:rFonts w:ascii="Arial" w:hAnsi="Arial"/>
          <w:i/>
        </w:rPr>
        <w:t>contractual </w:t>
      </w:r>
      <w:r>
        <w:rPr/>
        <w:t>situations where the issues of several, joint, or joint and several liability arise. </w:t>
      </w:r>
      <w:bookmarkStart w:name="_bookmark4" w:id="6"/>
      <w:bookmarkEnd w:id="6"/>
      <w:r>
        <w:rPr/>
        <w:t>Particularly</w:t>
      </w:r>
      <w:r>
        <w:rPr/>
        <w:t> in mind is where the contractual liability is to pay an agreed sum (that is, a debt). Cutting across those definitions is joint and several liability in its traditional “tort” sense </w:t>
      </w:r>
      <w:r>
        <w:rPr>
          <w:color w:val="005DA1"/>
          <w:vertAlign w:val="superscript"/>
        </w:rPr>
        <w:t>5</w:t>
      </w:r>
      <w:r>
        <w:rPr>
          <w:color w:val="005DA1"/>
          <w:vertAlign w:val="baseline"/>
        </w:rPr>
        <w:t> </w:t>
      </w:r>
      <w:r>
        <w:rPr>
          <w:vertAlign w:val="baseline"/>
        </w:rPr>
        <w:t>of wrongdoers acting </w:t>
      </w:r>
      <w:bookmarkStart w:name="_bookmark5" w:id="7"/>
      <w:bookmarkEnd w:id="7"/>
      <w:r>
        <w:rPr>
          <w:vertAlign w:val="baseline"/>
        </w:rPr>
        <w:t>independently</w:t>
      </w:r>
      <w:r>
        <w:rPr>
          <w:vertAlign w:val="baseline"/>
        </w:rPr>
        <w:t> to cause the same damage to the same claimant: and a wrongdoer for these purposes </w:t>
      </w:r>
      <w:bookmarkStart w:name="_bookmark6" w:id="8"/>
      <w:bookmarkEnd w:id="8"/>
      <w:r>
        <w:rPr>
          <w:vertAlign w:val="baseline"/>
        </w:rPr>
        <w:t>can</w:t>
      </w:r>
      <w:r>
        <w:rPr>
          <w:vertAlign w:val="baseline"/>
        </w:rPr>
        <w:t> include a contract-breaker as well as a tortfeasor. </w:t>
      </w:r>
      <w:r>
        <w:rPr>
          <w:color w:val="005DA1"/>
          <w:vertAlign w:val="superscript"/>
        </w:rPr>
        <w:t>6</w:t>
      </w:r>
      <w:r>
        <w:rPr>
          <w:color w:val="005DA1"/>
          <w:vertAlign w:val="baseline"/>
        </w:rPr>
        <w:t> </w:t>
      </w:r>
      <w:r>
        <w:rPr>
          <w:vertAlign w:val="baseline"/>
        </w:rPr>
        <w:t>So if the same loss is caused to C by D1’s breach of contract and D2’s tort, D1 and D2 are jointly and severally liable to C. </w:t>
      </w:r>
      <w:r>
        <w:rPr>
          <w:color w:val="005DA1"/>
          <w:vertAlign w:val="superscript"/>
        </w:rPr>
        <w:t>7</w:t>
      </w:r>
      <w:r>
        <w:rPr>
          <w:color w:val="005DA1"/>
          <w:vertAlign w:val="baseline"/>
        </w:rPr>
        <w:t> </w:t>
      </w:r>
      <w:r>
        <w:rPr>
          <w:vertAlign w:val="baseline"/>
        </w:rPr>
        <w:t>This will mean that D1 and D2 are each liable for the whole of C’s loss albeit that, if one defendant pays a disproportionate sum to the other, contribution can be recovered from the other defendant under the Civil Liability (Contribution) Act 1978.</w:t>
      </w:r>
    </w:p>
    <w:p>
      <w:pPr>
        <w:pStyle w:val="BodyText"/>
      </w:pPr>
    </w:p>
    <w:p>
      <w:pPr>
        <w:pStyle w:val="BodyText"/>
        <w:spacing w:before="35"/>
      </w:pPr>
    </w:p>
    <w:p>
      <w:pPr>
        <w:spacing w:before="0"/>
        <w:ind w:left="23" w:right="0" w:firstLine="0"/>
        <w:jc w:val="both"/>
        <w:rPr>
          <w:rFonts w:ascii="Arial"/>
          <w:b/>
          <w:sz w:val="18"/>
        </w:rPr>
      </w:pPr>
      <w:r>
        <w:rPr>
          <w:rFonts w:ascii="Arial"/>
          <w:b/>
          <w:sz w:val="18"/>
        </w:rPr>
        <w:t>Creation of joint </w:t>
      </w:r>
      <w:r>
        <w:rPr>
          <w:rFonts w:ascii="Arial"/>
          <w:b/>
          <w:spacing w:val="-2"/>
          <w:sz w:val="18"/>
        </w:rPr>
        <w:t>liability</w:t>
      </w:r>
    </w:p>
    <w:p>
      <w:pPr>
        <w:pStyle w:val="BodyText"/>
        <w:spacing w:before="41"/>
        <w:rPr>
          <w:rFonts w:ascii="Arial"/>
          <w:b/>
          <w:sz w:val="18"/>
        </w:rPr>
      </w:pPr>
    </w:p>
    <w:p>
      <w:pPr>
        <w:pStyle w:val="Heading2"/>
        <w:spacing w:before="1"/>
      </w:pPr>
      <w:r>
        <w:rPr/>
        <w:t>17-</w:t>
      </w:r>
      <w:r>
        <w:rPr>
          <w:spacing w:val="-5"/>
        </w:rPr>
        <w:t>005</w:t>
      </w:r>
    </w:p>
    <w:p>
      <w:pPr>
        <w:pStyle w:val="BodyText"/>
        <w:spacing w:line="235" w:lineRule="auto" w:before="202"/>
        <w:ind w:left="23" w:right="25"/>
        <w:jc w:val="both"/>
      </w:pPr>
      <w:r>
        <w:rPr/>
        <mc:AlternateContent>
          <mc:Choice Requires="wps">
            <w:drawing>
              <wp:anchor distT="0" distB="0" distL="0" distR="0" allowOverlap="1" layoutInCell="1" locked="0" behindDoc="1" simplePos="0" relativeHeight="486820864">
                <wp:simplePos x="0" y="0"/>
                <wp:positionH relativeFrom="page">
                  <wp:posOffset>3140621</wp:posOffset>
                </wp:positionH>
                <wp:positionV relativeFrom="paragraph">
                  <wp:posOffset>335005</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247.292999pt,26.378418pt" to="250.628999pt,26.37841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821376">
                <wp:simplePos x="0" y="0"/>
                <wp:positionH relativeFrom="page">
                  <wp:posOffset>3304565</wp:posOffset>
                </wp:positionH>
                <wp:positionV relativeFrom="paragraph">
                  <wp:posOffset>620755</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260.201996pt,48.878418pt" to="263.537996pt,48.878418pt" stroked="true" strokeweight=".428pt" strokecolor="#005da1">
                <v:stroke dashstyle="solid"/>
                <w10:wrap type="none"/>
              </v:line>
            </w:pict>
          </mc:Fallback>
        </mc:AlternateContent>
      </w:r>
      <w:bookmarkStart w:name="_bookmark7" w:id="9"/>
      <w:bookmarkEnd w:id="9"/>
      <w:r>
        <w:rPr/>
      </w:r>
      <w:r>
        <w:rPr/>
        <w:t>The presumption is that a promise made by two or more persons is joint so that express words are necessary to make it joint and several. </w:t>
      </w:r>
      <w:r>
        <w:rPr>
          <w:color w:val="005DA1"/>
          <w:vertAlign w:val="superscript"/>
        </w:rPr>
        <w:t>8</w:t>
      </w:r>
      <w:r>
        <w:rPr>
          <w:color w:val="005DA1"/>
          <w:vertAlign w:val="baseline"/>
        </w:rPr>
        <w:t> </w:t>
      </w:r>
      <w:r>
        <w:rPr>
          <w:vertAlign w:val="baseline"/>
        </w:rPr>
        <w:t>There are one or two special cases in which equity treats </w:t>
      </w:r>
      <w:r>
        <w:rPr>
          <w:vertAlign w:val="baseline"/>
        </w:rPr>
        <w:t>as </w:t>
      </w:r>
      <w:bookmarkStart w:name="_bookmark8" w:id="10"/>
      <w:bookmarkEnd w:id="10"/>
      <w:r>
        <w:rPr>
          <w:vertAlign w:val="baseline"/>
        </w:rPr>
        <w:t>joint</w:t>
      </w:r>
      <w:r>
        <w:rPr>
          <w:vertAlign w:val="baseline"/>
        </w:rPr>
        <w:t> and several an obligation which at law is joint, but they do not cover much ground and are of slight</w:t>
      </w:r>
      <w:r>
        <w:rPr>
          <w:spacing w:val="34"/>
          <w:vertAlign w:val="baseline"/>
        </w:rPr>
        <w:t> </w:t>
      </w:r>
      <w:r>
        <w:rPr>
          <w:vertAlign w:val="baseline"/>
        </w:rPr>
        <w:t>importance</w:t>
      </w:r>
      <w:r>
        <w:rPr>
          <w:spacing w:val="35"/>
          <w:vertAlign w:val="baseline"/>
        </w:rPr>
        <w:t> </w:t>
      </w:r>
      <w:r>
        <w:rPr>
          <w:vertAlign w:val="baseline"/>
        </w:rPr>
        <w:t>in</w:t>
      </w:r>
      <w:r>
        <w:rPr>
          <w:spacing w:val="34"/>
          <w:vertAlign w:val="baseline"/>
        </w:rPr>
        <w:t> </w:t>
      </w:r>
      <w:r>
        <w:rPr>
          <w:vertAlign w:val="baseline"/>
        </w:rPr>
        <w:t>the</w:t>
      </w:r>
      <w:r>
        <w:rPr>
          <w:spacing w:val="35"/>
          <w:vertAlign w:val="baseline"/>
        </w:rPr>
        <w:t> </w:t>
      </w:r>
      <w:r>
        <w:rPr>
          <w:vertAlign w:val="baseline"/>
        </w:rPr>
        <w:t>law</w:t>
      </w:r>
      <w:r>
        <w:rPr>
          <w:spacing w:val="35"/>
          <w:vertAlign w:val="baseline"/>
        </w:rPr>
        <w:t> </w:t>
      </w:r>
      <w:r>
        <w:rPr>
          <w:vertAlign w:val="baseline"/>
        </w:rPr>
        <w:t>of</w:t>
      </w:r>
      <w:r>
        <w:rPr>
          <w:spacing w:val="34"/>
          <w:vertAlign w:val="baseline"/>
        </w:rPr>
        <w:t> </w:t>
      </w:r>
      <w:r>
        <w:rPr>
          <w:vertAlign w:val="baseline"/>
        </w:rPr>
        <w:t>contract.</w:t>
      </w:r>
      <w:r>
        <w:rPr>
          <w:spacing w:val="34"/>
          <w:vertAlign w:val="baseline"/>
        </w:rPr>
        <w:t> </w:t>
      </w:r>
      <w:r>
        <w:rPr>
          <w:color w:val="005DA1"/>
          <w:vertAlign w:val="superscript"/>
        </w:rPr>
        <w:t>9</w:t>
      </w:r>
      <w:r>
        <w:rPr>
          <w:color w:val="005DA1"/>
          <w:spacing w:val="35"/>
          <w:vertAlign w:val="baseline"/>
        </w:rPr>
        <w:t> </w:t>
      </w:r>
      <w:r>
        <w:rPr>
          <w:vertAlign w:val="baseline"/>
        </w:rPr>
        <w:t>The</w:t>
      </w:r>
      <w:r>
        <w:rPr>
          <w:spacing w:val="34"/>
          <w:vertAlign w:val="baseline"/>
        </w:rPr>
        <w:t> </w:t>
      </w:r>
      <w:r>
        <w:rPr>
          <w:vertAlign w:val="baseline"/>
        </w:rPr>
        <w:t>liability</w:t>
      </w:r>
      <w:r>
        <w:rPr>
          <w:spacing w:val="35"/>
          <w:vertAlign w:val="baseline"/>
        </w:rPr>
        <w:t> </w:t>
      </w:r>
      <w:r>
        <w:rPr>
          <w:vertAlign w:val="baseline"/>
        </w:rPr>
        <w:t>of</w:t>
      </w:r>
      <w:r>
        <w:rPr>
          <w:spacing w:val="35"/>
          <w:vertAlign w:val="baseline"/>
        </w:rPr>
        <w:t> </w:t>
      </w:r>
      <w:r>
        <w:rPr>
          <w:vertAlign w:val="baseline"/>
        </w:rPr>
        <w:t>partners</w:t>
      </w:r>
      <w:r>
        <w:rPr>
          <w:spacing w:val="34"/>
          <w:vertAlign w:val="baseline"/>
        </w:rPr>
        <w:t> </w:t>
      </w:r>
      <w:r>
        <w:rPr>
          <w:vertAlign w:val="baseline"/>
        </w:rPr>
        <w:t>for</w:t>
      </w:r>
      <w:r>
        <w:rPr>
          <w:spacing w:val="35"/>
          <w:vertAlign w:val="baseline"/>
        </w:rPr>
        <w:t> </w:t>
      </w:r>
      <w:r>
        <w:rPr>
          <w:vertAlign w:val="baseline"/>
        </w:rPr>
        <w:t>partnership</w:t>
      </w:r>
      <w:r>
        <w:rPr>
          <w:spacing w:val="35"/>
          <w:vertAlign w:val="baseline"/>
        </w:rPr>
        <w:t> </w:t>
      </w:r>
      <w:r>
        <w:rPr>
          <w:vertAlign w:val="baseline"/>
        </w:rPr>
        <w:t>debts</w:t>
      </w:r>
      <w:r>
        <w:rPr>
          <w:spacing w:val="34"/>
          <w:vertAlign w:val="baseline"/>
        </w:rPr>
        <w:t> </w:t>
      </w:r>
      <w:r>
        <w:rPr>
          <w:vertAlign w:val="baseline"/>
        </w:rPr>
        <w:t>is</w:t>
      </w:r>
      <w:r>
        <w:rPr>
          <w:spacing w:val="35"/>
          <w:vertAlign w:val="baseline"/>
        </w:rPr>
        <w:t> </w:t>
      </w:r>
      <w:r>
        <w:rPr>
          <w:vertAlign w:val="baseline"/>
        </w:rPr>
        <w:t>a</w:t>
      </w:r>
      <w:r>
        <w:rPr>
          <w:spacing w:val="35"/>
          <w:vertAlign w:val="baseline"/>
        </w:rPr>
        <w:t> </w:t>
      </w:r>
      <w:r>
        <w:rPr>
          <w:spacing w:val="-4"/>
          <w:vertAlign w:val="baseline"/>
        </w:rPr>
        <w:t>good</w:t>
      </w:r>
    </w:p>
    <w:p>
      <w:pPr>
        <w:pStyle w:val="BodyText"/>
        <w:spacing w:after="0" w:line="235" w:lineRule="auto"/>
        <w:jc w:val="both"/>
        <w:sectPr>
          <w:headerReference w:type="default" r:id="rId5"/>
          <w:type w:val="continuous"/>
          <w:pgSz w:w="11900" w:h="16840"/>
          <w:pgMar w:header="971" w:footer="0" w:top="1300" w:bottom="280" w:left="1417" w:right="1417"/>
          <w:pgNumType w:start="1"/>
        </w:sectPr>
      </w:pPr>
    </w:p>
    <w:p>
      <w:pPr>
        <w:pStyle w:val="BodyText"/>
        <w:spacing w:line="235" w:lineRule="auto" w:before="110"/>
        <w:ind w:left="23" w:right="25"/>
        <w:jc w:val="both"/>
      </w:pPr>
      <w:r>
        <w:rPr/>
        <w:t>example of joint liability, but it differs from the ordinary case of joint liability in that the estate of </w:t>
      </w:r>
      <w:r>
        <w:rPr/>
        <w:t>a </w:t>
      </w:r>
      <w:bookmarkStart w:name="_bookmark9" w:id="11"/>
      <w:bookmarkEnd w:id="11"/>
      <w:r>
        <w:rPr/>
        <w:t>deceased</w:t>
      </w:r>
      <w:r>
        <w:rPr/>
        <w:t> partner is liable for partnership debts (after satisfaction of personal debts) if the firm is </w:t>
      </w:r>
      <w:bookmarkStart w:name="_bookmark10" w:id="12"/>
      <w:bookmarkEnd w:id="12"/>
      <w:r>
        <w:rPr/>
        <w:t>unable</w:t>
      </w:r>
      <w:r>
        <w:rPr/>
        <w:t> to satisfy them itself. </w:t>
      </w:r>
      <w:r>
        <w:rPr>
          <w:color w:val="005DA1"/>
          <w:u w:val="single" w:color="005DA1"/>
          <w:vertAlign w:val="superscript"/>
        </w:rPr>
        <w:t>10</w:t>
      </w:r>
      <w:r>
        <w:rPr>
          <w:color w:val="005DA1"/>
          <w:vertAlign w:val="baseline"/>
        </w:rPr>
        <w:t> </w:t>
      </w:r>
      <w:r>
        <w:rPr>
          <w:vertAlign w:val="baseline"/>
        </w:rPr>
        <w:t>So also the liability of two or more acceptors, drawers or indorsers of a </w:t>
      </w:r>
      <w:bookmarkStart w:name="_bookmark11" w:id="13"/>
      <w:bookmarkEnd w:id="13"/>
      <w:r>
        <w:rPr>
          <w:vertAlign w:val="baseline"/>
        </w:rPr>
        <w:t>bill</w:t>
      </w:r>
      <w:r>
        <w:rPr>
          <w:vertAlign w:val="baseline"/>
        </w:rPr>
        <w:t> of exchange to the holder thereof is joint. </w:t>
      </w:r>
      <w:r>
        <w:rPr>
          <w:color w:val="005DA1"/>
          <w:u w:val="single" w:color="005DA1"/>
          <w:vertAlign w:val="superscript"/>
        </w:rPr>
        <w:t>11</w:t>
      </w:r>
      <w:r>
        <w:rPr>
          <w:color w:val="005DA1"/>
          <w:vertAlign w:val="baseline"/>
        </w:rPr>
        <w:t> </w:t>
      </w:r>
      <w:r>
        <w:rPr>
          <w:vertAlign w:val="baseline"/>
        </w:rPr>
        <w:t>In the case of promissory notes the liability is joint, or </w:t>
      </w:r>
      <w:bookmarkStart w:name="_bookmark12" w:id="14"/>
      <w:bookmarkEnd w:id="14"/>
      <w:r>
        <w:rPr>
          <w:vertAlign w:val="baseline"/>
        </w:rPr>
        <w:t>joint</w:t>
      </w:r>
      <w:r>
        <w:rPr>
          <w:vertAlign w:val="baseline"/>
        </w:rPr>
        <w:t> and several, according to the “tenor” of the note </w:t>
      </w:r>
      <w:r>
        <w:rPr>
          <w:color w:val="005DA1"/>
          <w:u w:val="single" w:color="005DA1"/>
          <w:vertAlign w:val="superscript"/>
        </w:rPr>
        <w:t>12</w:t>
      </w:r>
      <w:r>
        <w:rPr>
          <w:vertAlign w:val="baseline"/>
        </w:rPr>
        <w:t>; but if the note runs “I promise to pay” and is signed by two or more persons the liability is joint and several. </w:t>
      </w:r>
      <w:r>
        <w:rPr>
          <w:color w:val="005DA1"/>
          <w:u w:val="single" w:color="005DA1"/>
          <w:vertAlign w:val="superscript"/>
        </w:rPr>
        <w:t>13</w:t>
      </w:r>
      <w:r>
        <w:rPr>
          <w:color w:val="005DA1"/>
          <w:vertAlign w:val="baseline"/>
        </w:rPr>
        <w:t> </w:t>
      </w:r>
      <w:r>
        <w:rPr>
          <w:vertAlign w:val="baseline"/>
        </w:rPr>
        <w:t>In the absence of words of </w:t>
      </w:r>
      <w:bookmarkStart w:name="_bookmark13" w:id="15"/>
      <w:bookmarkEnd w:id="15"/>
      <w:r>
        <w:rPr>
          <w:vertAlign w:val="baseline"/>
        </w:rPr>
        <w:t>severance,</w:t>
      </w:r>
      <w:r>
        <w:rPr>
          <w:spacing w:val="-1"/>
          <w:vertAlign w:val="baseline"/>
        </w:rPr>
        <w:t> </w:t>
      </w:r>
      <w:r>
        <w:rPr>
          <w:vertAlign w:val="baseline"/>
        </w:rPr>
        <w:t>the</w:t>
      </w:r>
      <w:r>
        <w:rPr>
          <w:spacing w:val="-1"/>
          <w:vertAlign w:val="baseline"/>
        </w:rPr>
        <w:t> </w:t>
      </w:r>
      <w:r>
        <w:rPr>
          <w:vertAlign w:val="baseline"/>
        </w:rPr>
        <w:t>liability</w:t>
      </w:r>
      <w:r>
        <w:rPr>
          <w:spacing w:val="-1"/>
          <w:vertAlign w:val="baseline"/>
        </w:rPr>
        <w:t> </w:t>
      </w:r>
      <w:r>
        <w:rPr>
          <w:vertAlign w:val="baseline"/>
        </w:rPr>
        <w:t>of</w:t>
      </w:r>
      <w:r>
        <w:rPr>
          <w:spacing w:val="-1"/>
          <w:vertAlign w:val="baseline"/>
        </w:rPr>
        <w:t> </w:t>
      </w:r>
      <w:r>
        <w:rPr>
          <w:vertAlign w:val="baseline"/>
        </w:rPr>
        <w:t>principal</w:t>
      </w:r>
      <w:r>
        <w:rPr>
          <w:spacing w:val="-1"/>
          <w:vertAlign w:val="baseline"/>
        </w:rPr>
        <w:t> </w:t>
      </w:r>
      <w:r>
        <w:rPr>
          <w:vertAlign w:val="baseline"/>
        </w:rPr>
        <w:t>debtor</w:t>
      </w:r>
      <w:r>
        <w:rPr>
          <w:spacing w:val="-1"/>
          <w:vertAlign w:val="baseline"/>
        </w:rPr>
        <w:t> </w:t>
      </w:r>
      <w:r>
        <w:rPr>
          <w:vertAlign w:val="baseline"/>
        </w:rPr>
        <w:t>and</w:t>
      </w:r>
      <w:r>
        <w:rPr>
          <w:spacing w:val="-1"/>
          <w:vertAlign w:val="baseline"/>
        </w:rPr>
        <w:t> </w:t>
      </w:r>
      <w:r>
        <w:rPr>
          <w:vertAlign w:val="baseline"/>
        </w:rPr>
        <w:t>surety</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single</w:t>
      </w:r>
      <w:r>
        <w:rPr>
          <w:spacing w:val="-1"/>
          <w:vertAlign w:val="baseline"/>
        </w:rPr>
        <w:t> </w:t>
      </w:r>
      <w:r>
        <w:rPr>
          <w:vertAlign w:val="baseline"/>
        </w:rPr>
        <w:t>promise</w:t>
      </w:r>
      <w:r>
        <w:rPr>
          <w:spacing w:val="-1"/>
          <w:vertAlign w:val="baseline"/>
        </w:rPr>
        <w:t> </w:t>
      </w:r>
      <w:r>
        <w:rPr>
          <w:vertAlign w:val="baseline"/>
        </w:rPr>
        <w:t>is</w:t>
      </w:r>
      <w:r>
        <w:rPr>
          <w:spacing w:val="-1"/>
          <w:vertAlign w:val="baseline"/>
        </w:rPr>
        <w:t> </w:t>
      </w:r>
      <w:r>
        <w:rPr>
          <w:vertAlign w:val="baseline"/>
        </w:rPr>
        <w:t>joint,</w:t>
      </w:r>
      <w:r>
        <w:rPr>
          <w:spacing w:val="-1"/>
          <w:vertAlign w:val="baseline"/>
        </w:rPr>
        <w:t> </w:t>
      </w:r>
      <w:r>
        <w:rPr>
          <w:vertAlign w:val="baseline"/>
        </w:rPr>
        <w:t>but</w:t>
      </w:r>
      <w:r>
        <w:rPr>
          <w:spacing w:val="-1"/>
          <w:vertAlign w:val="baseline"/>
        </w:rPr>
        <w:t> </w:t>
      </w:r>
      <w:r>
        <w:rPr>
          <w:vertAlign w:val="baseline"/>
        </w:rPr>
        <w:t>if</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one </w:t>
      </w:r>
      <w:bookmarkStart w:name="_bookmark14" w:id="16"/>
      <w:bookmarkEnd w:id="16"/>
      <w:r>
        <w:rPr>
          <w:vertAlign w:val="baseline"/>
        </w:rPr>
        <w:t>single</w:t>
      </w:r>
      <w:r>
        <w:rPr>
          <w:vertAlign w:val="baseline"/>
        </w:rPr>
        <w:t> promise the general rule is that the liability is several. </w:t>
      </w:r>
      <w:r>
        <w:rPr>
          <w:color w:val="005DA1"/>
          <w:u w:val="single" w:color="005DA1"/>
          <w:vertAlign w:val="superscript"/>
        </w:rPr>
        <w:t>14</w:t>
      </w:r>
      <w:r>
        <w:rPr>
          <w:color w:val="005DA1"/>
          <w:vertAlign w:val="baseline"/>
        </w:rPr>
        <w:t> </w:t>
      </w:r>
      <w:r>
        <w:rPr>
          <w:vertAlign w:val="baseline"/>
        </w:rPr>
        <w:t>Consequently the liability of a principal debtor and surety is prima facie joint and several. </w:t>
      </w:r>
      <w:r>
        <w:rPr>
          <w:color w:val="005DA1"/>
          <w:u w:val="single" w:color="005DA1"/>
          <w:vertAlign w:val="superscript"/>
        </w:rPr>
        <w:t>15</w:t>
      </w:r>
    </w:p>
    <w:p>
      <w:pPr>
        <w:pStyle w:val="BodyText"/>
      </w:pPr>
    </w:p>
    <w:p>
      <w:pPr>
        <w:pStyle w:val="BodyText"/>
        <w:spacing w:before="35"/>
      </w:pPr>
    </w:p>
    <w:p>
      <w:pPr>
        <w:spacing w:before="0"/>
        <w:ind w:left="22" w:right="0" w:firstLine="0"/>
        <w:jc w:val="left"/>
        <w:rPr>
          <w:rFonts w:ascii="Arial"/>
          <w:b/>
          <w:sz w:val="18"/>
        </w:rPr>
      </w:pPr>
      <w:r>
        <w:rPr>
          <w:rFonts w:ascii="Arial"/>
          <w:b/>
          <w:sz w:val="18"/>
        </w:rPr>
        <w:t>Words of </w:t>
      </w:r>
      <w:r>
        <w:rPr>
          <w:rFonts w:ascii="Arial"/>
          <w:b/>
          <w:spacing w:val="-2"/>
          <w:sz w:val="18"/>
        </w:rPr>
        <w:t>severance</w:t>
      </w:r>
    </w:p>
    <w:p>
      <w:pPr>
        <w:pStyle w:val="BodyText"/>
        <w:spacing w:before="42"/>
        <w:rPr>
          <w:rFonts w:ascii="Arial"/>
          <w:b/>
          <w:sz w:val="18"/>
        </w:rPr>
      </w:pPr>
    </w:p>
    <w:p>
      <w:pPr>
        <w:pStyle w:val="Heading2"/>
        <w:ind w:left="22"/>
      </w:pPr>
      <w:r>
        <w:rPr/>
        <w:t>17-</w:t>
      </w:r>
      <w:r>
        <w:rPr>
          <w:spacing w:val="-5"/>
        </w:rPr>
        <w:t>006</w:t>
      </w:r>
    </w:p>
    <w:p>
      <w:pPr>
        <w:pStyle w:val="BodyText"/>
        <w:spacing w:line="235" w:lineRule="auto" w:before="202"/>
        <w:ind w:left="22" w:right="25"/>
        <w:jc w:val="both"/>
      </w:pPr>
      <w:r>
        <w:rPr/>
        <w:t>As to what constitute words of severance, the cases run to fine distinctions. Thus if A and B promise </w:t>
      </w:r>
      <w:bookmarkStart w:name="_bookmark15" w:id="17"/>
      <w:bookmarkEnd w:id="17"/>
      <w:r>
        <w:rPr/>
        <w:t>for</w:t>
      </w:r>
      <w:r>
        <w:rPr/>
        <w:t> themselves or either of them that they will pay £100, the promise is joint and several. But if they </w:t>
      </w:r>
      <w:bookmarkStart w:name="_bookmark16" w:id="18"/>
      <w:bookmarkEnd w:id="18"/>
      <w:r>
        <w:rPr/>
        <w:t>promise</w:t>
      </w:r>
      <w:r>
        <w:rPr/>
        <w:t> for themselves that they or either of them will pay £100 the promise is merely joint. </w:t>
      </w:r>
      <w:r>
        <w:rPr>
          <w:color w:val="005DA1"/>
          <w:u w:val="single" w:color="005DA1"/>
          <w:vertAlign w:val="superscript"/>
        </w:rPr>
        <w:t>16</w:t>
      </w:r>
      <w:r>
        <w:rPr>
          <w:color w:val="005DA1"/>
          <w:vertAlign w:val="baseline"/>
        </w:rPr>
        <w:t> </w:t>
      </w:r>
      <w:r>
        <w:rPr>
          <w:vertAlign w:val="baseline"/>
        </w:rPr>
        <w:t>This is so even if they promise for themselves their executors and administrators </w:t>
      </w:r>
      <w:r>
        <w:rPr>
          <w:color w:val="005DA1"/>
          <w:u w:val="single" w:color="005DA1"/>
          <w:vertAlign w:val="superscript"/>
        </w:rPr>
        <w:t>17</w:t>
      </w:r>
      <w:r>
        <w:rPr>
          <w:vertAlign w:val="baseline"/>
        </w:rPr>
        <w:t>: for the reference to personal representatives is taken to mean the representatives of the survivor.</w:t>
      </w:r>
    </w:p>
    <w:p>
      <w:pPr>
        <w:pStyle w:val="BodyText"/>
      </w:pPr>
    </w:p>
    <w:p>
      <w:pPr>
        <w:pStyle w:val="BodyText"/>
        <w:spacing w:before="37"/>
      </w:pPr>
    </w:p>
    <w:p>
      <w:pPr>
        <w:spacing w:before="0"/>
        <w:ind w:left="23" w:right="0" w:firstLine="0"/>
        <w:jc w:val="left"/>
        <w:rPr>
          <w:rFonts w:ascii="Arial"/>
          <w:b/>
          <w:sz w:val="18"/>
        </w:rPr>
      </w:pPr>
      <w:r>
        <w:rPr>
          <w:rFonts w:ascii="Arial"/>
          <w:b/>
          <w:sz w:val="18"/>
        </w:rPr>
        <w:t>Contract by person with </w:t>
      </w:r>
      <w:r>
        <w:rPr>
          <w:rFonts w:ascii="Arial"/>
          <w:b/>
          <w:spacing w:val="-2"/>
          <w:sz w:val="18"/>
        </w:rPr>
        <w:t>himself</w:t>
      </w:r>
    </w:p>
    <w:p>
      <w:pPr>
        <w:pStyle w:val="BodyText"/>
        <w:spacing w:before="41"/>
        <w:rPr>
          <w:rFonts w:ascii="Arial"/>
          <w:b/>
          <w:sz w:val="18"/>
        </w:rPr>
      </w:pPr>
    </w:p>
    <w:p>
      <w:pPr>
        <w:pStyle w:val="Heading2"/>
        <w:spacing w:before="1"/>
      </w:pPr>
      <w:r>
        <w:rPr/>
        <w:t>17-</w:t>
      </w:r>
      <w:r>
        <w:rPr>
          <w:spacing w:val="-5"/>
        </w:rPr>
        <w:t>007</w:t>
      </w:r>
    </w:p>
    <w:p>
      <w:pPr>
        <w:pStyle w:val="BodyText"/>
        <w:spacing w:line="235" w:lineRule="auto" w:before="202"/>
        <w:ind w:left="23" w:right="25"/>
        <w:jc w:val="both"/>
      </w:pPr>
      <w:bookmarkStart w:name="_bookmark17" w:id="19"/>
      <w:bookmarkEnd w:id="19"/>
      <w:r>
        <w:rPr/>
      </w:r>
      <w:r>
        <w:rPr/>
        <w:t>At common law a joint contract between A and B on the one hand and B (or B and C) on the other was void, because a man cannot contract with himself. </w:t>
      </w:r>
      <w:r>
        <w:rPr>
          <w:color w:val="005DA1"/>
          <w:u w:val="single" w:color="005DA1"/>
          <w:vertAlign w:val="superscript"/>
        </w:rPr>
        <w:t>18</w:t>
      </w:r>
      <w:r>
        <w:rPr>
          <w:color w:val="005DA1"/>
          <w:vertAlign w:val="baseline"/>
        </w:rPr>
        <w:t> </w:t>
      </w:r>
      <w:r>
        <w:rPr>
          <w:vertAlign w:val="baseline"/>
        </w:rPr>
        <w:t>This rule was altered (with retrospective effect) by s.82 of the Law of Property Act 1925, which provides that any agreement entered into by a person with himself and one or more other persons shall be construed and be capable of being enforced as if it had been made with the other person or persons alone.</w:t>
      </w:r>
    </w:p>
    <w:p>
      <w:pPr>
        <w:pStyle w:val="BodyText"/>
      </w:pPr>
    </w:p>
    <w:p>
      <w:pPr>
        <w:pStyle w:val="BodyText"/>
        <w:spacing w:before="37"/>
      </w:pPr>
    </w:p>
    <w:p>
      <w:pPr>
        <w:spacing w:before="0"/>
        <w:ind w:left="23" w:right="0" w:firstLine="0"/>
        <w:jc w:val="left"/>
        <w:rPr>
          <w:rFonts w:ascii="Arial"/>
          <w:b/>
          <w:sz w:val="18"/>
        </w:rPr>
      </w:pPr>
      <w:r>
        <w:rPr>
          <w:rFonts w:ascii="Arial"/>
          <w:b/>
          <w:spacing w:val="-2"/>
          <w:sz w:val="18"/>
        </w:rPr>
        <w:t>Minors</w:t>
      </w:r>
    </w:p>
    <w:p>
      <w:pPr>
        <w:pStyle w:val="BodyText"/>
        <w:spacing w:before="41"/>
        <w:rPr>
          <w:rFonts w:ascii="Arial"/>
          <w:b/>
          <w:sz w:val="18"/>
        </w:rPr>
      </w:pPr>
    </w:p>
    <w:p>
      <w:pPr>
        <w:pStyle w:val="Heading2"/>
      </w:pPr>
      <w:r>
        <w:rPr/>
        <w:t>17-</w:t>
      </w:r>
      <w:r>
        <w:rPr>
          <w:spacing w:val="-5"/>
        </w:rPr>
        <w:t>008</w:t>
      </w:r>
    </w:p>
    <w:p>
      <w:pPr>
        <w:pStyle w:val="BodyText"/>
        <w:spacing w:line="235" w:lineRule="auto" w:before="203"/>
        <w:ind w:left="23" w:right="25"/>
        <w:jc w:val="both"/>
      </w:pPr>
      <w:bookmarkStart w:name="_bookmark18" w:id="20"/>
      <w:bookmarkEnd w:id="20"/>
      <w:r>
        <w:rPr/>
      </w:r>
      <w:r>
        <w:rPr/>
        <w:t>A joint promise by an adult and a minor is binding on the adult though it may be unenforceable</w:t>
      </w:r>
      <w:r>
        <w:rPr>
          <w:spacing w:val="40"/>
        </w:rPr>
        <w:t> </w:t>
      </w:r>
      <w:r>
        <w:rPr/>
        <w:t>against or voidable by the minor. </w:t>
      </w:r>
      <w:r>
        <w:rPr>
          <w:color w:val="005DA1"/>
          <w:u w:val="single" w:color="005DA1"/>
          <w:vertAlign w:val="superscript"/>
        </w:rPr>
        <w:t>19</w:t>
      </w:r>
      <w:r>
        <w:rPr>
          <w:color w:val="005DA1"/>
          <w:vertAlign w:val="baseline"/>
        </w:rPr>
        <w:t> </w:t>
      </w:r>
      <w:r>
        <w:rPr>
          <w:vertAlign w:val="baseline"/>
        </w:rPr>
        <w:t>A guarantee given by an adult of an obligation undertaken by a </w:t>
      </w:r>
      <w:bookmarkStart w:name="_bookmark19" w:id="21"/>
      <w:bookmarkEnd w:id="21"/>
      <w:r>
        <w:rPr>
          <w:vertAlign w:val="baseline"/>
        </w:rPr>
        <w:t>minor</w:t>
      </w:r>
      <w:r>
        <w:rPr>
          <w:vertAlign w:val="baseline"/>
        </w:rPr>
        <w:t> is not unenforceable against the adult merely because the principal obligation is unenforceable against or is repudiated by the minor. </w:t>
      </w:r>
      <w:r>
        <w:rPr>
          <w:color w:val="005DA1"/>
          <w:u w:val="single" w:color="005DA1"/>
          <w:vertAlign w:val="superscript"/>
        </w:rPr>
        <w:t>20</w:t>
      </w:r>
    </w:p>
    <w:p>
      <w:pPr>
        <w:pStyle w:val="BodyText"/>
      </w:pPr>
    </w:p>
    <w:p>
      <w:pPr>
        <w:pStyle w:val="BodyText"/>
        <w:spacing w:before="37"/>
      </w:pPr>
    </w:p>
    <w:p>
      <w:pPr>
        <w:spacing w:before="0"/>
        <w:ind w:left="23" w:right="0" w:firstLine="0"/>
        <w:jc w:val="left"/>
        <w:rPr>
          <w:rFonts w:ascii="Arial"/>
          <w:b/>
          <w:sz w:val="18"/>
        </w:rPr>
      </w:pPr>
      <w:r>
        <w:rPr>
          <w:rFonts w:ascii="Arial"/>
          <w:b/>
          <w:sz w:val="18"/>
        </w:rPr>
        <w:t>Joinder of </w:t>
      </w:r>
      <w:r>
        <w:rPr>
          <w:rFonts w:ascii="Arial"/>
          <w:b/>
          <w:spacing w:val="-2"/>
          <w:sz w:val="18"/>
        </w:rPr>
        <w:t>parties</w:t>
      </w:r>
    </w:p>
    <w:p>
      <w:pPr>
        <w:pStyle w:val="BodyText"/>
        <w:spacing w:before="41"/>
        <w:rPr>
          <w:rFonts w:ascii="Arial"/>
          <w:b/>
          <w:sz w:val="18"/>
        </w:rPr>
      </w:pPr>
    </w:p>
    <w:p>
      <w:pPr>
        <w:pStyle w:val="Heading2"/>
      </w:pPr>
      <w:r>
        <w:rPr/>
        <w:t>17-</w:t>
      </w:r>
      <w:r>
        <w:rPr>
          <w:spacing w:val="-5"/>
        </w:rPr>
        <w:t>009</w:t>
      </w:r>
    </w:p>
    <w:p>
      <w:pPr>
        <w:pStyle w:val="BodyText"/>
        <w:spacing w:line="235" w:lineRule="auto" w:before="203"/>
        <w:ind w:left="23" w:right="25"/>
        <w:jc w:val="both"/>
      </w:pPr>
      <w:bookmarkStart w:name="_bookmark20" w:id="22"/>
      <w:bookmarkEnd w:id="22"/>
      <w:r>
        <w:rPr/>
      </w:r>
      <w:r>
        <w:rPr/>
        <w:t>Since</w:t>
      </w:r>
      <w:r>
        <w:rPr>
          <w:spacing w:val="-1"/>
        </w:rPr>
        <w:t> </w:t>
      </w:r>
      <w:r>
        <w:rPr/>
        <w:t>a</w:t>
      </w:r>
      <w:r>
        <w:rPr>
          <w:spacing w:val="-1"/>
        </w:rPr>
        <w:t> </w:t>
      </w:r>
      <w:r>
        <w:rPr/>
        <w:t>joint</w:t>
      </w:r>
      <w:r>
        <w:rPr>
          <w:spacing w:val="-1"/>
        </w:rPr>
        <w:t> </w:t>
      </w:r>
      <w:r>
        <w:rPr/>
        <w:t>promise</w:t>
      </w:r>
      <w:r>
        <w:rPr>
          <w:spacing w:val="-1"/>
        </w:rPr>
        <w:t> </w:t>
      </w:r>
      <w:r>
        <w:rPr/>
        <w:t>creates</w:t>
      </w:r>
      <w:r>
        <w:rPr>
          <w:spacing w:val="-1"/>
        </w:rPr>
        <w:t> </w:t>
      </w:r>
      <w:r>
        <w:rPr/>
        <w:t>only</w:t>
      </w:r>
      <w:r>
        <w:rPr>
          <w:spacing w:val="-1"/>
        </w:rPr>
        <w:t> </w:t>
      </w:r>
      <w:r>
        <w:rPr/>
        <w:t>one</w:t>
      </w:r>
      <w:r>
        <w:rPr>
          <w:spacing w:val="-1"/>
        </w:rPr>
        <w:t> </w:t>
      </w:r>
      <w:r>
        <w:rPr/>
        <w:t>obligation,</w:t>
      </w:r>
      <w:r>
        <w:rPr>
          <w:spacing w:val="-1"/>
        </w:rPr>
        <w:t> </w:t>
      </w:r>
      <w:r>
        <w:rPr/>
        <w:t>the</w:t>
      </w:r>
      <w:r>
        <w:rPr>
          <w:spacing w:val="-1"/>
        </w:rPr>
        <w:t> </w:t>
      </w:r>
      <w:r>
        <w:rPr/>
        <w:t>common</w:t>
      </w:r>
      <w:r>
        <w:rPr>
          <w:spacing w:val="-1"/>
        </w:rPr>
        <w:t> </w:t>
      </w:r>
      <w:r>
        <w:rPr/>
        <w:t>law</w:t>
      </w:r>
      <w:r>
        <w:rPr>
          <w:spacing w:val="-1"/>
        </w:rPr>
        <w:t> </w:t>
      </w:r>
      <w:r>
        <w:rPr/>
        <w:t>rule</w:t>
      </w:r>
      <w:r>
        <w:rPr>
          <w:spacing w:val="-1"/>
        </w:rPr>
        <w:t> </w:t>
      </w:r>
      <w:r>
        <w:rPr/>
        <w:t>was</w:t>
      </w:r>
      <w:r>
        <w:rPr>
          <w:spacing w:val="-1"/>
        </w:rPr>
        <w:t> </w:t>
      </w:r>
      <w:r>
        <w:rPr/>
        <w:t>that</w:t>
      </w:r>
      <w:r>
        <w:rPr>
          <w:spacing w:val="-1"/>
        </w:rPr>
        <w:t> </w:t>
      </w:r>
      <w:r>
        <w:rPr/>
        <w:t>all</w:t>
      </w:r>
      <w:r>
        <w:rPr>
          <w:spacing w:val="-1"/>
        </w:rPr>
        <w:t> </w:t>
      </w:r>
      <w:r>
        <w:rPr/>
        <w:t>the</w:t>
      </w:r>
      <w:r>
        <w:rPr>
          <w:spacing w:val="-1"/>
        </w:rPr>
        <w:t> </w:t>
      </w:r>
      <w:r>
        <w:rPr/>
        <w:t>promisors</w:t>
      </w:r>
      <w:r>
        <w:rPr>
          <w:spacing w:val="-1"/>
        </w:rPr>
        <w:t> </w:t>
      </w:r>
      <w:r>
        <w:rPr/>
        <w:t>who </w:t>
      </w:r>
      <w:bookmarkStart w:name="_bookmark21" w:id="23"/>
      <w:bookmarkEnd w:id="23"/>
      <w:r>
        <w:rPr/>
        <w:t>were</w:t>
      </w:r>
      <w:r>
        <w:rPr/>
        <w:t> still alive had to be joined as defendants to the action. </w:t>
      </w:r>
      <w:r>
        <w:rPr>
          <w:color w:val="005DA1"/>
          <w:u w:val="single" w:color="005DA1"/>
          <w:vertAlign w:val="superscript"/>
        </w:rPr>
        <w:t>21</w:t>
      </w:r>
      <w:r>
        <w:rPr>
          <w:color w:val="005DA1"/>
          <w:vertAlign w:val="baseline"/>
        </w:rPr>
        <w:t> </w:t>
      </w:r>
      <w:r>
        <w:rPr>
          <w:vertAlign w:val="baseline"/>
        </w:rPr>
        <w:t>There were a number of exceptions to this rule which are detailed below; and since 1959 it has not applied to actions in the county court. </w:t>
      </w:r>
      <w:r>
        <w:rPr>
          <w:color w:val="005DA1"/>
          <w:u w:val="single" w:color="005DA1"/>
          <w:vertAlign w:val="superscript"/>
        </w:rPr>
        <w:t>22</w:t>
      </w:r>
      <w:r>
        <w:rPr>
          <w:color w:val="005DA1"/>
          <w:vertAlign w:val="baseline"/>
        </w:rPr>
        <w:t> </w:t>
      </w:r>
      <w:r>
        <w:rPr>
          <w:vertAlign w:val="baseline"/>
        </w:rPr>
        <w:t>The rule does not appear to have been affected by the Civil Liability (Contribution) Act 1978, although that Act (as noted below, para.17–015) has abolished the related common law rule that an action against</w:t>
      </w:r>
      <w:r>
        <w:rPr>
          <w:spacing w:val="-1"/>
          <w:vertAlign w:val="baseline"/>
        </w:rPr>
        <w:t> </w:t>
      </w:r>
      <w:r>
        <w:rPr>
          <w:vertAlign w:val="baseline"/>
        </w:rPr>
        <w:t>a</w:t>
      </w:r>
      <w:r>
        <w:rPr>
          <w:spacing w:val="-1"/>
          <w:vertAlign w:val="baseline"/>
        </w:rPr>
        <w:t> </w:t>
      </w:r>
      <w:r>
        <w:rPr>
          <w:vertAlign w:val="baseline"/>
        </w:rPr>
        <w:t>joint</w:t>
      </w:r>
      <w:r>
        <w:rPr>
          <w:spacing w:val="-1"/>
          <w:vertAlign w:val="baseline"/>
        </w:rPr>
        <w:t> </w:t>
      </w:r>
      <w:r>
        <w:rPr>
          <w:vertAlign w:val="baseline"/>
        </w:rPr>
        <w:t>contractor</w:t>
      </w:r>
      <w:r>
        <w:rPr>
          <w:spacing w:val="-1"/>
          <w:vertAlign w:val="baseline"/>
        </w:rPr>
        <w:t> </w:t>
      </w:r>
      <w:r>
        <w:rPr>
          <w:vertAlign w:val="baseline"/>
        </w:rPr>
        <w:t>served</w:t>
      </w:r>
      <w:r>
        <w:rPr>
          <w:spacing w:val="-1"/>
          <w:vertAlign w:val="baseline"/>
        </w:rPr>
        <w:t> </w:t>
      </w:r>
      <w:r>
        <w:rPr>
          <w:vertAlign w:val="baseline"/>
        </w:rPr>
        <w:t>to</w:t>
      </w:r>
      <w:r>
        <w:rPr>
          <w:spacing w:val="-1"/>
          <w:vertAlign w:val="baseline"/>
        </w:rPr>
        <w:t> </w:t>
      </w:r>
      <w:r>
        <w:rPr>
          <w:vertAlign w:val="baseline"/>
        </w:rPr>
        <w:t>bar</w:t>
      </w:r>
      <w:r>
        <w:rPr>
          <w:spacing w:val="-1"/>
          <w:vertAlign w:val="baseline"/>
        </w:rPr>
        <w:t> </w:t>
      </w:r>
      <w:r>
        <w:rPr>
          <w:vertAlign w:val="baseline"/>
        </w:rPr>
        <w:t>any</w:t>
      </w:r>
      <w:r>
        <w:rPr>
          <w:spacing w:val="-1"/>
          <w:vertAlign w:val="baseline"/>
        </w:rPr>
        <w:t> </w:t>
      </w:r>
      <w:r>
        <w:rPr>
          <w:vertAlign w:val="baseline"/>
        </w:rPr>
        <w:t>other</w:t>
      </w:r>
      <w:r>
        <w:rPr>
          <w:spacing w:val="-1"/>
          <w:vertAlign w:val="baseline"/>
        </w:rPr>
        <w:t> </w:t>
      </w:r>
      <w:r>
        <w:rPr>
          <w:vertAlign w:val="baseline"/>
        </w:rPr>
        <w:t>proceedings</w:t>
      </w:r>
      <w:r>
        <w:rPr>
          <w:spacing w:val="-1"/>
          <w:vertAlign w:val="baseline"/>
        </w:rPr>
        <w:t> </w:t>
      </w:r>
      <w:r>
        <w:rPr>
          <w:vertAlign w:val="baseline"/>
        </w:rPr>
        <w:t>against</w:t>
      </w:r>
      <w:r>
        <w:rPr>
          <w:spacing w:val="-1"/>
          <w:vertAlign w:val="baseline"/>
        </w:rPr>
        <w:t> </w:t>
      </w:r>
      <w:r>
        <w:rPr>
          <w:vertAlign w:val="baseline"/>
        </w:rPr>
        <w:t>another</w:t>
      </w:r>
      <w:r>
        <w:rPr>
          <w:spacing w:val="-1"/>
          <w:vertAlign w:val="baseline"/>
        </w:rPr>
        <w:t> </w:t>
      </w:r>
      <w:r>
        <w:rPr>
          <w:vertAlign w:val="baseline"/>
        </w:rPr>
        <w:t>joint</w:t>
      </w:r>
      <w:r>
        <w:rPr>
          <w:spacing w:val="-1"/>
          <w:vertAlign w:val="baseline"/>
        </w:rPr>
        <w:t> </w:t>
      </w:r>
      <w:r>
        <w:rPr>
          <w:vertAlign w:val="baseline"/>
        </w:rPr>
        <w:t>contractor.</w:t>
      </w:r>
      <w:r>
        <w:rPr>
          <w:spacing w:val="-1"/>
          <w:vertAlign w:val="baseline"/>
        </w:rPr>
        <w:t> </w:t>
      </w:r>
      <w:r>
        <w:rPr>
          <w:vertAlign w:val="baseline"/>
        </w:rPr>
        <w:t>But</w:t>
      </w:r>
      <w:r>
        <w:rPr>
          <w:spacing w:val="-1"/>
          <w:vertAlign w:val="baseline"/>
        </w:rPr>
        <w:t> </w:t>
      </w:r>
      <w:r>
        <w:rPr>
          <w:vertAlign w:val="baseline"/>
        </w:rPr>
        <w:t>the Civil Procedure Rules have been amended since the commencement of the 1978 Act. By Civil Procedure Rules 1998 r.19.2(2), the court may, on its own initiative, or on the application of an existing party or a person who wishes to become a party, order a person to be added as a new party </w:t>
      </w:r>
      <w:r>
        <w:rPr>
          <w:spacing w:val="-4"/>
          <w:vertAlign w:val="baseline"/>
        </w:rPr>
        <w:t>if:</w:t>
      </w:r>
    </w:p>
    <w:p>
      <w:pPr>
        <w:pStyle w:val="BodyText"/>
        <w:spacing w:after="0" w:line="235" w:lineRule="auto"/>
        <w:jc w:val="both"/>
        <w:sectPr>
          <w:pgSz w:w="11900" w:h="16840"/>
          <w:pgMar w:header="971" w:footer="0" w:top="1300" w:bottom="280" w:left="1417" w:right="1417"/>
        </w:sectPr>
      </w:pPr>
    </w:p>
    <w:p>
      <w:pPr>
        <w:pStyle w:val="BodyText"/>
        <w:spacing w:before="167"/>
      </w:pPr>
    </w:p>
    <w:p>
      <w:pPr>
        <w:pStyle w:val="BodyText"/>
        <w:spacing w:line="235" w:lineRule="auto"/>
        <w:ind w:left="1103" w:right="25"/>
        <w:jc w:val="both"/>
      </w:pPr>
      <w:r>
        <w:rPr/>
        <w:t>“(a) … it is desirable to add the new party so that the court can resolve all the matters in dispute</w:t>
      </w:r>
      <w:r>
        <w:rPr>
          <w:spacing w:val="-2"/>
        </w:rPr>
        <w:t> </w:t>
      </w:r>
      <w:r>
        <w:rPr/>
        <w:t>in</w:t>
      </w:r>
      <w:r>
        <w:rPr>
          <w:spacing w:val="-2"/>
        </w:rPr>
        <w:t> </w:t>
      </w:r>
      <w:r>
        <w:rPr/>
        <w:t>the</w:t>
      </w:r>
      <w:r>
        <w:rPr>
          <w:spacing w:val="-2"/>
        </w:rPr>
        <w:t> </w:t>
      </w:r>
      <w:r>
        <w:rPr/>
        <w:t>proceedings:</w:t>
      </w:r>
      <w:r>
        <w:rPr>
          <w:spacing w:val="-2"/>
        </w:rPr>
        <w:t> </w:t>
      </w:r>
      <w:r>
        <w:rPr/>
        <w:t>or</w:t>
      </w:r>
      <w:r>
        <w:rPr>
          <w:spacing w:val="-2"/>
        </w:rPr>
        <w:t> </w:t>
      </w:r>
      <w:r>
        <w:rPr/>
        <w:t>(b)</w:t>
      </w:r>
      <w:r>
        <w:rPr>
          <w:spacing w:val="-2"/>
        </w:rPr>
        <w:t> </w:t>
      </w:r>
      <w:r>
        <w:rPr/>
        <w:t>there</w:t>
      </w:r>
      <w:r>
        <w:rPr>
          <w:spacing w:val="-2"/>
        </w:rPr>
        <w:t> </w:t>
      </w:r>
      <w:r>
        <w:rPr/>
        <w:t>is</w:t>
      </w:r>
      <w:r>
        <w:rPr>
          <w:spacing w:val="-2"/>
        </w:rPr>
        <w:t> </w:t>
      </w:r>
      <w:r>
        <w:rPr/>
        <w:t>an</w:t>
      </w:r>
      <w:r>
        <w:rPr>
          <w:spacing w:val="-2"/>
        </w:rPr>
        <w:t> </w:t>
      </w:r>
      <w:r>
        <w:rPr/>
        <w:t>issue</w:t>
      </w:r>
      <w:r>
        <w:rPr>
          <w:spacing w:val="-2"/>
        </w:rPr>
        <w:t> </w:t>
      </w:r>
      <w:r>
        <w:rPr/>
        <w:t>involving</w:t>
      </w:r>
      <w:r>
        <w:rPr>
          <w:spacing w:val="-2"/>
        </w:rPr>
        <w:t> </w:t>
      </w:r>
      <w:r>
        <w:rPr/>
        <w:t>the</w:t>
      </w:r>
      <w:r>
        <w:rPr>
          <w:spacing w:val="-2"/>
        </w:rPr>
        <w:t> </w:t>
      </w:r>
      <w:r>
        <w:rPr/>
        <w:t>new</w:t>
      </w:r>
      <w:r>
        <w:rPr>
          <w:spacing w:val="-2"/>
        </w:rPr>
        <w:t> </w:t>
      </w:r>
      <w:r>
        <w:rPr/>
        <w:t>party</w:t>
      </w:r>
      <w:r>
        <w:rPr>
          <w:spacing w:val="-2"/>
        </w:rPr>
        <w:t> </w:t>
      </w:r>
      <w:r>
        <w:rPr/>
        <w:t>and</w:t>
      </w:r>
      <w:r>
        <w:rPr>
          <w:spacing w:val="-2"/>
        </w:rPr>
        <w:t> </w:t>
      </w:r>
      <w:r>
        <w:rPr/>
        <w:t>an</w:t>
      </w:r>
      <w:r>
        <w:rPr>
          <w:spacing w:val="-2"/>
        </w:rPr>
        <w:t> </w:t>
      </w:r>
      <w:r>
        <w:rPr/>
        <w:t>existing party which is connected to the matters in dispute in the proceedings, and it is </w:t>
      </w:r>
      <w:r>
        <w:rPr/>
        <w:t>desirable</w:t>
      </w:r>
      <w:r>
        <w:rPr>
          <w:spacing w:val="40"/>
        </w:rPr>
        <w:t> </w:t>
      </w:r>
      <w:r>
        <w:rPr/>
        <w:t>to add the new party so that the court can resolve that issue.”</w:t>
      </w:r>
    </w:p>
    <w:p>
      <w:pPr>
        <w:pStyle w:val="BodyText"/>
      </w:pPr>
    </w:p>
    <w:p>
      <w:pPr>
        <w:pStyle w:val="BodyText"/>
        <w:spacing w:before="197"/>
      </w:pPr>
    </w:p>
    <w:p>
      <w:pPr>
        <w:pStyle w:val="Heading2"/>
      </w:pPr>
      <w:r>
        <w:rPr/>
        <w:t>17-</w:t>
      </w:r>
      <w:r>
        <w:rPr>
          <w:spacing w:val="-5"/>
        </w:rPr>
        <w:t>010</w:t>
      </w:r>
    </w:p>
    <w:p>
      <w:pPr>
        <w:pStyle w:val="BodyText"/>
        <w:spacing w:line="235" w:lineRule="auto" w:before="202"/>
        <w:ind w:left="23" w:right="25"/>
        <w:jc w:val="both"/>
      </w:pPr>
      <w:bookmarkStart w:name="_bookmark22" w:id="24"/>
      <w:bookmarkEnd w:id="24"/>
      <w:r>
        <w:rPr/>
      </w:r>
      <w:r>
        <w:rPr/>
        <w:t>Under the modern law, therefore, failure to join a party in the first instance can no longer be visited by any sanctions, except as to costs </w:t>
      </w:r>
      <w:r>
        <w:rPr>
          <w:color w:val="005DA1"/>
          <w:u w:val="single" w:color="005DA1"/>
          <w:vertAlign w:val="superscript"/>
        </w:rPr>
        <w:t>23</w:t>
      </w:r>
      <w:r>
        <w:rPr>
          <w:vertAlign w:val="baseline"/>
        </w:rPr>
        <w:t>; all that can happen is that the court may direct that he be joined. </w:t>
      </w:r>
      <w:bookmarkStart w:name="_bookmark23" w:id="25"/>
      <w:bookmarkEnd w:id="25"/>
      <w:r>
        <w:rPr>
          <w:vertAlign w:val="baseline"/>
        </w:rPr>
        <w:t>As</w:t>
      </w:r>
      <w:r>
        <w:rPr>
          <w:vertAlign w:val="baseline"/>
        </w:rPr>
        <w:t> stated above, the common law rule was that all joint contractors had to be joined as </w:t>
      </w:r>
      <w:r>
        <w:rPr>
          <w:vertAlign w:val="baseline"/>
        </w:rPr>
        <w:t>defendants</w:t>
      </w:r>
      <w:r>
        <w:rPr>
          <w:spacing w:val="40"/>
          <w:vertAlign w:val="baseline"/>
        </w:rPr>
        <w:t> </w:t>
      </w:r>
      <w:bookmarkStart w:name="_bookmark24" w:id="26"/>
      <w:bookmarkEnd w:id="26"/>
      <w:r>
        <w:rPr>
          <w:vertAlign w:val="baseline"/>
        </w:rPr>
        <w:t>but</w:t>
      </w:r>
      <w:r>
        <w:rPr>
          <w:spacing w:val="1"/>
          <w:vertAlign w:val="baseline"/>
        </w:rPr>
        <w:t> </w:t>
      </w:r>
      <w:r>
        <w:rPr>
          <w:vertAlign w:val="baseline"/>
        </w:rPr>
        <w:t>there</w:t>
      </w:r>
      <w:r>
        <w:rPr>
          <w:spacing w:val="1"/>
          <w:vertAlign w:val="baseline"/>
        </w:rPr>
        <w:t> </w:t>
      </w:r>
      <w:r>
        <w:rPr>
          <w:vertAlign w:val="baseline"/>
        </w:rPr>
        <w:t>were</w:t>
      </w:r>
      <w:r>
        <w:rPr>
          <w:spacing w:val="1"/>
          <w:vertAlign w:val="baseline"/>
        </w:rPr>
        <w:t> </w:t>
      </w:r>
      <w:r>
        <w:rPr>
          <w:vertAlign w:val="baseline"/>
        </w:rPr>
        <w:t>exceptions</w:t>
      </w:r>
      <w:r>
        <w:rPr>
          <w:spacing w:val="1"/>
          <w:vertAlign w:val="baseline"/>
        </w:rPr>
        <w:t> </w:t>
      </w:r>
      <w:r>
        <w:rPr>
          <w:vertAlign w:val="baseline"/>
        </w:rPr>
        <w:t>to</w:t>
      </w:r>
      <w:r>
        <w:rPr>
          <w:spacing w:val="1"/>
          <w:vertAlign w:val="baseline"/>
        </w:rPr>
        <w:t> </w:t>
      </w:r>
      <w:r>
        <w:rPr>
          <w:vertAlign w:val="baseline"/>
        </w:rPr>
        <w:t>this</w:t>
      </w:r>
      <w:r>
        <w:rPr>
          <w:spacing w:val="1"/>
          <w:vertAlign w:val="baseline"/>
        </w:rPr>
        <w:t> </w:t>
      </w:r>
      <w:r>
        <w:rPr>
          <w:vertAlign w:val="baseline"/>
        </w:rPr>
        <w:t>rule.</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no</w:t>
      </w:r>
      <w:r>
        <w:rPr>
          <w:spacing w:val="1"/>
          <w:vertAlign w:val="baseline"/>
        </w:rPr>
        <w:t> </w:t>
      </w:r>
      <w:r>
        <w:rPr>
          <w:vertAlign w:val="baseline"/>
        </w:rPr>
        <w:t>need</w:t>
      </w:r>
      <w:r>
        <w:rPr>
          <w:spacing w:val="1"/>
          <w:vertAlign w:val="baseline"/>
        </w:rPr>
        <w:t> </w:t>
      </w:r>
      <w:r>
        <w:rPr>
          <w:vertAlign w:val="baseline"/>
        </w:rPr>
        <w:t>to</w:t>
      </w:r>
      <w:r>
        <w:rPr>
          <w:spacing w:val="1"/>
          <w:vertAlign w:val="baseline"/>
        </w:rPr>
        <w:t> </w:t>
      </w:r>
      <w:r>
        <w:rPr>
          <w:vertAlign w:val="baseline"/>
        </w:rPr>
        <w:t>join</w:t>
      </w:r>
      <w:r>
        <w:rPr>
          <w:spacing w:val="1"/>
          <w:vertAlign w:val="baseline"/>
        </w:rPr>
        <w:t> </w:t>
      </w:r>
      <w:r>
        <w:rPr>
          <w:vertAlign w:val="baseline"/>
        </w:rPr>
        <w:t>one</w:t>
      </w:r>
      <w:r>
        <w:rPr>
          <w:spacing w:val="1"/>
          <w:vertAlign w:val="baseline"/>
        </w:rPr>
        <w:t> </w:t>
      </w:r>
      <w:r>
        <w:rPr>
          <w:vertAlign w:val="baseline"/>
        </w:rPr>
        <w:t>who</w:t>
      </w:r>
      <w:r>
        <w:rPr>
          <w:spacing w:val="1"/>
          <w:vertAlign w:val="baseline"/>
        </w:rPr>
        <w:t> </w:t>
      </w:r>
      <w:r>
        <w:rPr>
          <w:vertAlign w:val="baseline"/>
        </w:rPr>
        <w:t>was</w:t>
      </w:r>
      <w:r>
        <w:rPr>
          <w:spacing w:val="1"/>
          <w:vertAlign w:val="baseline"/>
        </w:rPr>
        <w:t> </w:t>
      </w:r>
      <w:r>
        <w:rPr>
          <w:vertAlign w:val="baseline"/>
        </w:rPr>
        <w:t>a</w:t>
      </w:r>
      <w:r>
        <w:rPr>
          <w:spacing w:val="1"/>
          <w:vertAlign w:val="baseline"/>
        </w:rPr>
        <w:t> </w:t>
      </w:r>
      <w:r>
        <w:rPr>
          <w:vertAlign w:val="baseline"/>
        </w:rPr>
        <w:t>discharged</w:t>
      </w:r>
      <w:r>
        <w:rPr>
          <w:spacing w:val="1"/>
          <w:vertAlign w:val="baseline"/>
        </w:rPr>
        <w:t> </w:t>
      </w:r>
      <w:r>
        <w:rPr>
          <w:spacing w:val="-2"/>
          <w:vertAlign w:val="baseline"/>
        </w:rPr>
        <w:t>bankrupt,</w:t>
      </w:r>
    </w:p>
    <w:p>
      <w:pPr>
        <w:pStyle w:val="BodyText"/>
        <w:spacing w:line="235" w:lineRule="auto"/>
        <w:ind w:left="22" w:right="26"/>
        <w:jc w:val="both"/>
      </w:pPr>
      <w:r>
        <w:rPr>
          <w:color w:val="005DA1"/>
          <w:u w:val="single" w:color="005DA1"/>
          <w:vertAlign w:val="superscript"/>
        </w:rPr>
        <w:t>24</w:t>
      </w:r>
      <w:r>
        <w:rPr>
          <w:color w:val="005DA1"/>
          <w:vertAlign w:val="baseline"/>
        </w:rPr>
        <w:t> </w:t>
      </w:r>
      <w:bookmarkStart w:name="_bookmark25" w:id="27"/>
      <w:bookmarkEnd w:id="27"/>
      <w:r>
        <w:rPr>
          <w:color w:val="005DA1"/>
          <w:spacing w:val="-10"/>
          <w:vertAlign w:val="baseline"/>
        </w:rPr>
      </w:r>
      <w:r>
        <w:rPr>
          <w:vertAlign w:val="baseline"/>
        </w:rPr>
        <w:t>or a person outside the jurisdiction, </w:t>
      </w:r>
      <w:r>
        <w:rPr>
          <w:color w:val="005DA1"/>
          <w:u w:val="single" w:color="005DA1"/>
          <w:vertAlign w:val="superscript"/>
        </w:rPr>
        <w:t>25</w:t>
      </w:r>
      <w:r>
        <w:rPr>
          <w:color w:val="005DA1"/>
          <w:vertAlign w:val="baseline"/>
        </w:rPr>
        <w:t> </w:t>
      </w:r>
      <w:r>
        <w:rPr>
          <w:vertAlign w:val="baseline"/>
        </w:rPr>
        <w:t>or a minor as regards whom the contract was void </w:t>
      </w:r>
      <w:r>
        <w:rPr>
          <w:vertAlign w:val="baseline"/>
        </w:rPr>
        <w:t>or </w:t>
      </w:r>
      <w:bookmarkStart w:name="_bookmark26" w:id="28"/>
      <w:bookmarkEnd w:id="28"/>
      <w:r>
        <w:rPr>
          <w:vertAlign w:val="baseline"/>
        </w:rPr>
        <w:t>voidable,</w:t>
      </w:r>
      <w:r>
        <w:rPr>
          <w:vertAlign w:val="baseline"/>
        </w:rPr>
        <w:t> </w:t>
      </w:r>
      <w:r>
        <w:rPr>
          <w:color w:val="005DA1"/>
          <w:u w:val="single" w:color="005DA1"/>
          <w:vertAlign w:val="superscript"/>
        </w:rPr>
        <w:t>26</w:t>
      </w:r>
      <w:r>
        <w:rPr>
          <w:color w:val="005DA1"/>
          <w:vertAlign w:val="baseline"/>
        </w:rPr>
        <w:t> </w:t>
      </w:r>
      <w:r>
        <w:rPr>
          <w:vertAlign w:val="baseline"/>
        </w:rPr>
        <w:t>or a person protected by the Limitation Act 1980, </w:t>
      </w:r>
      <w:r>
        <w:rPr>
          <w:color w:val="005DA1"/>
          <w:u w:val="single" w:color="005DA1"/>
          <w:vertAlign w:val="superscript"/>
        </w:rPr>
        <w:t>27</w:t>
      </w:r>
      <w:r>
        <w:rPr>
          <w:color w:val="005DA1"/>
          <w:vertAlign w:val="baseline"/>
        </w:rPr>
        <w:t> </w:t>
      </w:r>
      <w:r>
        <w:rPr>
          <w:vertAlign w:val="baseline"/>
        </w:rPr>
        <w:t>or a member of a firm of common </w:t>
      </w:r>
      <w:bookmarkStart w:name="_bookmark27" w:id="29"/>
      <w:bookmarkEnd w:id="29"/>
      <w:r>
        <w:rPr>
          <w:vertAlign w:val="baseline"/>
        </w:rPr>
        <w:t>carriers,</w:t>
      </w:r>
      <w:r>
        <w:rPr>
          <w:vertAlign w:val="baseline"/>
        </w:rPr>
        <w:t> </w:t>
      </w:r>
      <w:r>
        <w:rPr>
          <w:color w:val="005DA1"/>
          <w:u w:val="single" w:color="005DA1"/>
          <w:vertAlign w:val="superscript"/>
        </w:rPr>
        <w:t>28</w:t>
      </w:r>
      <w:r>
        <w:rPr>
          <w:color w:val="005DA1"/>
          <w:vertAlign w:val="baseline"/>
        </w:rPr>
        <w:t> </w:t>
      </w:r>
      <w:r>
        <w:rPr>
          <w:vertAlign w:val="baseline"/>
        </w:rPr>
        <w:t>or an undisclosed sleeping partner, </w:t>
      </w:r>
      <w:r>
        <w:rPr>
          <w:color w:val="005DA1"/>
          <w:u w:val="single" w:color="005DA1"/>
          <w:vertAlign w:val="superscript"/>
        </w:rPr>
        <w:t>29</w:t>
      </w:r>
      <w:r>
        <w:rPr>
          <w:color w:val="005DA1"/>
          <w:vertAlign w:val="baseline"/>
        </w:rPr>
        <w:t> </w:t>
      </w:r>
      <w:r>
        <w:rPr>
          <w:vertAlign w:val="baseline"/>
        </w:rPr>
        <w:t>or an active partner where the defendant represented himself as being the sole contracting party. </w:t>
      </w:r>
      <w:r>
        <w:rPr>
          <w:color w:val="005DA1"/>
          <w:u w:val="single" w:color="005DA1"/>
          <w:vertAlign w:val="superscript"/>
        </w:rPr>
        <w:t>30</w:t>
      </w:r>
    </w:p>
    <w:p>
      <w:pPr>
        <w:pStyle w:val="BodyText"/>
      </w:pPr>
    </w:p>
    <w:p>
      <w:pPr>
        <w:pStyle w:val="BodyText"/>
        <w:spacing w:before="36"/>
      </w:pPr>
    </w:p>
    <w:p>
      <w:pPr>
        <w:spacing w:before="0"/>
        <w:ind w:left="23" w:right="0" w:firstLine="0"/>
        <w:jc w:val="left"/>
        <w:rPr>
          <w:rFonts w:ascii="Arial"/>
          <w:b/>
          <w:sz w:val="18"/>
        </w:rPr>
      </w:pPr>
      <w:r>
        <w:rPr>
          <w:rFonts w:ascii="Arial"/>
          <w:b/>
          <w:sz w:val="18"/>
        </w:rPr>
        <w:t>Joinder of joint and several </w:t>
      </w:r>
      <w:r>
        <w:rPr>
          <w:rFonts w:ascii="Arial"/>
          <w:b/>
          <w:spacing w:val="-2"/>
          <w:sz w:val="18"/>
        </w:rPr>
        <w:t>promisors</w:t>
      </w:r>
    </w:p>
    <w:p>
      <w:pPr>
        <w:pStyle w:val="BodyText"/>
        <w:spacing w:before="41"/>
        <w:rPr>
          <w:rFonts w:ascii="Arial"/>
          <w:b/>
          <w:sz w:val="18"/>
        </w:rPr>
      </w:pPr>
    </w:p>
    <w:p>
      <w:pPr>
        <w:pStyle w:val="Heading2"/>
      </w:pPr>
      <w:r>
        <w:rPr/>
        <w:t>17-</w:t>
      </w:r>
      <w:r>
        <w:rPr>
          <w:spacing w:val="-5"/>
        </w:rPr>
        <w:t>011</w:t>
      </w:r>
    </w:p>
    <w:p>
      <w:pPr>
        <w:pStyle w:val="BodyText"/>
        <w:spacing w:line="235" w:lineRule="auto" w:before="203"/>
        <w:ind w:left="23" w:right="25"/>
        <w:jc w:val="both"/>
      </w:pPr>
      <w:bookmarkStart w:name="_bookmark28" w:id="30"/>
      <w:bookmarkEnd w:id="30"/>
      <w:r>
        <w:rPr/>
      </w:r>
      <w:r>
        <w:rPr/>
        <w:t>If the obligation is joint and several the claimant has always been able to sue all the </w:t>
      </w:r>
      <w:r>
        <w:rPr/>
        <w:t>promisors together or such one of them separately as he thinks fit. </w:t>
      </w:r>
      <w:r>
        <w:rPr>
          <w:color w:val="005DA1"/>
          <w:u w:val="single" w:color="005DA1"/>
          <w:vertAlign w:val="superscript"/>
        </w:rPr>
        <w:t>31</w:t>
      </w:r>
      <w:r>
        <w:rPr>
          <w:color w:val="005DA1"/>
          <w:vertAlign w:val="baseline"/>
        </w:rPr>
        <w:t> </w:t>
      </w:r>
      <w:r>
        <w:rPr>
          <w:vertAlign w:val="baseline"/>
        </w:rPr>
        <w:t>But the court’s control over procedural </w:t>
      </w:r>
      <w:bookmarkStart w:name="_bookmark29" w:id="31"/>
      <w:bookmarkEnd w:id="31"/>
      <w:r>
        <w:rPr>
          <w:vertAlign w:val="baseline"/>
        </w:rPr>
        <w:t>matters</w:t>
      </w:r>
      <w:r>
        <w:rPr>
          <w:vertAlign w:val="baseline"/>
        </w:rPr>
        <w:t> now means that even in these cases joinder of another co-defendant may be directed where desirable. </w:t>
      </w:r>
      <w:r>
        <w:rPr>
          <w:color w:val="005DA1"/>
          <w:u w:val="single" w:color="005DA1"/>
          <w:vertAlign w:val="superscript"/>
        </w:rPr>
        <w:t>32</w:t>
      </w:r>
    </w:p>
    <w:p>
      <w:pPr>
        <w:pStyle w:val="BodyText"/>
      </w:pPr>
    </w:p>
    <w:p>
      <w:pPr>
        <w:pStyle w:val="BodyText"/>
        <w:spacing w:before="37"/>
      </w:pPr>
    </w:p>
    <w:p>
      <w:pPr>
        <w:spacing w:before="0"/>
        <w:ind w:left="23" w:right="0" w:firstLine="0"/>
        <w:jc w:val="left"/>
        <w:rPr>
          <w:rFonts w:ascii="Arial"/>
          <w:b/>
          <w:sz w:val="18"/>
        </w:rPr>
      </w:pPr>
      <w:r>
        <w:rPr>
          <w:rFonts w:ascii="Arial"/>
          <w:b/>
          <w:sz w:val="18"/>
        </w:rPr>
        <w:t>Death of a joint </w:t>
      </w:r>
      <w:r>
        <w:rPr>
          <w:rFonts w:ascii="Arial"/>
          <w:b/>
          <w:spacing w:val="-2"/>
          <w:sz w:val="18"/>
        </w:rPr>
        <w:t>contractor</w:t>
      </w:r>
    </w:p>
    <w:p>
      <w:pPr>
        <w:pStyle w:val="BodyText"/>
        <w:spacing w:before="41"/>
        <w:rPr>
          <w:rFonts w:ascii="Arial"/>
          <w:b/>
          <w:sz w:val="18"/>
        </w:rPr>
      </w:pPr>
    </w:p>
    <w:p>
      <w:pPr>
        <w:pStyle w:val="Heading2"/>
      </w:pPr>
      <w:r>
        <w:rPr/>
        <w:t>17-</w:t>
      </w:r>
      <w:r>
        <w:rPr>
          <w:spacing w:val="-5"/>
        </w:rPr>
        <w:t>012</w:t>
      </w:r>
    </w:p>
    <w:p>
      <w:pPr>
        <w:pStyle w:val="BodyText"/>
        <w:spacing w:line="235" w:lineRule="auto" w:before="203"/>
        <w:ind w:left="22" w:right="25"/>
        <w:jc w:val="both"/>
      </w:pPr>
      <w:bookmarkStart w:name="_bookmark30" w:id="32"/>
      <w:bookmarkEnd w:id="32"/>
      <w:r>
        <w:rPr/>
      </w:r>
      <w:r>
        <w:rPr/>
        <w:t>If one joint contractor dies, his obligation ceases and the whole obligation passes to the survivors </w:t>
      </w:r>
      <w:r>
        <w:rPr/>
        <w:t>or survivor and not to his personal representatives. </w:t>
      </w:r>
      <w:r>
        <w:rPr>
          <w:color w:val="005DA1"/>
          <w:u w:val="single" w:color="005DA1"/>
          <w:vertAlign w:val="superscript"/>
        </w:rPr>
        <w:t>33</w:t>
      </w:r>
      <w:r>
        <w:rPr>
          <w:color w:val="005DA1"/>
          <w:vertAlign w:val="baseline"/>
        </w:rPr>
        <w:t> </w:t>
      </w:r>
      <w:r>
        <w:rPr>
          <w:vertAlign w:val="baseline"/>
        </w:rPr>
        <w:t>When the last surviving joint contractor dies, the </w:t>
      </w:r>
      <w:bookmarkStart w:name="_bookmark31" w:id="33"/>
      <w:bookmarkEnd w:id="33"/>
      <w:r>
        <w:rPr>
          <w:vertAlign w:val="baseline"/>
        </w:rPr>
        <w:t>obligation</w:t>
      </w:r>
      <w:r>
        <w:rPr>
          <w:vertAlign w:val="baseline"/>
        </w:rPr>
        <w:t> passes to his personal representatives because once there is only a single debtor, the obligation necessarily becomes several. </w:t>
      </w:r>
      <w:r>
        <w:rPr>
          <w:color w:val="005DA1"/>
          <w:u w:val="single" w:color="005DA1"/>
          <w:vertAlign w:val="superscript"/>
        </w:rPr>
        <w:t>34</w:t>
      </w:r>
      <w:r>
        <w:rPr>
          <w:color w:val="005DA1"/>
          <w:vertAlign w:val="baseline"/>
        </w:rPr>
        <w:t> </w:t>
      </w:r>
      <w:r>
        <w:rPr>
          <w:vertAlign w:val="baseline"/>
        </w:rPr>
        <w:t>There is one exception to the rule that the personal representatives of one of a number of joint contractors are not liable: though partners are jointly liable </w:t>
      </w:r>
      <w:bookmarkStart w:name="_bookmark32" w:id="34"/>
      <w:bookmarkEnd w:id="34"/>
      <w:r>
        <w:rPr>
          <w:vertAlign w:val="baseline"/>
        </w:rPr>
        <w:t>for</w:t>
      </w:r>
      <w:r>
        <w:rPr>
          <w:vertAlign w:val="baseline"/>
        </w:rPr>
        <w:t> partnership debts, the estate of a deceased partner is also severally liable, subject, however, to</w:t>
      </w:r>
      <w:r>
        <w:rPr>
          <w:spacing w:val="40"/>
          <w:vertAlign w:val="baseline"/>
        </w:rPr>
        <w:t> </w:t>
      </w:r>
      <w:r>
        <w:rPr>
          <w:vertAlign w:val="baseline"/>
        </w:rPr>
        <w:t>the prior payment of his separate debts. </w:t>
      </w:r>
      <w:r>
        <w:rPr>
          <w:color w:val="005DA1"/>
          <w:u w:val="single" w:color="005DA1"/>
          <w:vertAlign w:val="superscript"/>
        </w:rPr>
        <w:t>35</w:t>
      </w:r>
    </w:p>
    <w:p>
      <w:pPr>
        <w:pStyle w:val="BodyText"/>
      </w:pPr>
    </w:p>
    <w:p>
      <w:pPr>
        <w:pStyle w:val="BodyText"/>
        <w:spacing w:before="36"/>
      </w:pPr>
    </w:p>
    <w:p>
      <w:pPr>
        <w:spacing w:before="0"/>
        <w:ind w:left="23" w:right="0" w:firstLine="0"/>
        <w:jc w:val="left"/>
        <w:rPr>
          <w:rFonts w:ascii="Arial"/>
          <w:b/>
          <w:sz w:val="18"/>
        </w:rPr>
      </w:pPr>
      <w:r>
        <w:rPr>
          <w:rFonts w:ascii="Arial"/>
          <w:b/>
          <w:sz w:val="18"/>
        </w:rPr>
        <w:t>Death of joint and several </w:t>
      </w:r>
      <w:r>
        <w:rPr>
          <w:rFonts w:ascii="Arial"/>
          <w:b/>
          <w:spacing w:val="-2"/>
          <w:sz w:val="18"/>
        </w:rPr>
        <w:t>contractor</w:t>
      </w:r>
    </w:p>
    <w:p>
      <w:pPr>
        <w:pStyle w:val="BodyText"/>
        <w:spacing w:before="41"/>
        <w:rPr>
          <w:rFonts w:ascii="Arial"/>
          <w:b/>
          <w:sz w:val="18"/>
        </w:rPr>
      </w:pPr>
    </w:p>
    <w:p>
      <w:pPr>
        <w:pStyle w:val="Heading2"/>
      </w:pPr>
      <w:r>
        <w:rPr/>
        <w:t>17-</w:t>
      </w:r>
      <w:r>
        <w:rPr>
          <w:spacing w:val="-5"/>
        </w:rPr>
        <w:t>013</w:t>
      </w:r>
    </w:p>
    <w:p>
      <w:pPr>
        <w:pStyle w:val="BodyText"/>
        <w:spacing w:before="199"/>
        <w:ind w:left="23"/>
        <w:jc w:val="both"/>
      </w:pPr>
      <w:bookmarkStart w:name="_bookmark33" w:id="35"/>
      <w:bookmarkEnd w:id="35"/>
      <w:r>
        <w:rPr/>
      </w:r>
      <w:r>
        <w:rPr/>
        <w:t>If one joint and several contractor dies, his several liability passes to his personal representatives.</w:t>
      </w:r>
      <w:r>
        <w:rPr>
          <w:spacing w:val="-2"/>
        </w:rPr>
        <w:t> </w:t>
      </w:r>
      <w:r>
        <w:rPr>
          <w:color w:val="005DA1"/>
          <w:spacing w:val="-5"/>
          <w:u w:val="single" w:color="005DA1"/>
          <w:vertAlign w:val="superscript"/>
        </w:rPr>
        <w:t>36</w:t>
      </w:r>
    </w:p>
    <w:p>
      <w:pPr>
        <w:pStyle w:val="BodyText"/>
      </w:pPr>
    </w:p>
    <w:p>
      <w:pPr>
        <w:pStyle w:val="BodyText"/>
        <w:spacing w:before="37"/>
      </w:pPr>
    </w:p>
    <w:p>
      <w:pPr>
        <w:spacing w:before="1"/>
        <w:ind w:left="23" w:right="0" w:firstLine="0"/>
        <w:jc w:val="left"/>
        <w:rPr>
          <w:rFonts w:ascii="Arial"/>
          <w:b/>
          <w:sz w:val="18"/>
        </w:rPr>
      </w:pPr>
      <w:r>
        <w:rPr>
          <w:rFonts w:ascii="Arial"/>
          <w:b/>
          <w:sz w:val="18"/>
        </w:rPr>
        <w:t>Discharge by </w:t>
      </w:r>
      <w:r>
        <w:rPr>
          <w:rFonts w:ascii="Arial"/>
          <w:b/>
          <w:spacing w:val="-2"/>
          <w:sz w:val="18"/>
        </w:rPr>
        <w:t>performance</w:t>
      </w:r>
    </w:p>
    <w:p>
      <w:pPr>
        <w:pStyle w:val="BodyText"/>
        <w:spacing w:before="41"/>
        <w:rPr>
          <w:rFonts w:ascii="Arial"/>
          <w:b/>
          <w:sz w:val="18"/>
        </w:rPr>
      </w:pPr>
    </w:p>
    <w:p>
      <w:pPr>
        <w:pStyle w:val="Heading2"/>
      </w:pPr>
      <w:r>
        <w:rPr/>
        <w:t>17-</w:t>
      </w:r>
      <w:r>
        <w:rPr>
          <w:spacing w:val="-5"/>
        </w:rPr>
        <w:t>014</w:t>
      </w:r>
    </w:p>
    <w:p>
      <w:pPr>
        <w:pStyle w:val="BodyText"/>
        <w:spacing w:line="235" w:lineRule="auto" w:before="202"/>
        <w:ind w:left="23" w:right="25"/>
        <w:jc w:val="both"/>
      </w:pPr>
      <w:bookmarkStart w:name="_bookmark34" w:id="36"/>
      <w:bookmarkEnd w:id="36"/>
      <w:r>
        <w:rPr/>
      </w:r>
      <w:r>
        <w:rPr/>
        <w:t>Payment of the debt by any one of a number of joint or joint and several debtors operates as a discharge of all, for in neither case is the obligation cumulative. </w:t>
      </w:r>
      <w:r>
        <w:rPr>
          <w:color w:val="005DA1"/>
          <w:u w:val="single" w:color="005DA1"/>
          <w:vertAlign w:val="superscript"/>
        </w:rPr>
        <w:t>37</w:t>
      </w:r>
    </w:p>
    <w:p>
      <w:pPr>
        <w:pStyle w:val="BodyText"/>
      </w:pPr>
    </w:p>
    <w:p>
      <w:pPr>
        <w:pStyle w:val="BodyText"/>
        <w:spacing w:before="38"/>
      </w:pPr>
    </w:p>
    <w:p>
      <w:pPr>
        <w:spacing w:before="0"/>
        <w:ind w:left="23" w:right="0" w:firstLine="0"/>
        <w:jc w:val="left"/>
        <w:rPr>
          <w:rFonts w:ascii="Arial"/>
          <w:b/>
          <w:sz w:val="18"/>
        </w:rPr>
      </w:pPr>
      <w:r>
        <w:rPr>
          <w:rFonts w:ascii="Arial"/>
          <w:b/>
          <w:sz w:val="18"/>
        </w:rPr>
        <w:t>Judgment against one joint </w:t>
      </w:r>
      <w:r>
        <w:rPr>
          <w:rFonts w:ascii="Arial"/>
          <w:b/>
          <w:spacing w:val="-2"/>
          <w:sz w:val="18"/>
        </w:rPr>
        <w:t>debtor</w:t>
      </w:r>
    </w:p>
    <w:p>
      <w:pPr>
        <w:spacing w:after="0"/>
        <w:jc w:val="left"/>
        <w:rPr>
          <w:rFonts w:ascii="Arial"/>
          <w:b/>
          <w:sz w:val="18"/>
        </w:rPr>
        <w:sectPr>
          <w:pgSz w:w="11900" w:h="16840"/>
          <w:pgMar w:header="971" w:footer="0" w:top="1300" w:bottom="280" w:left="1417" w:right="1417"/>
        </w:sectPr>
      </w:pPr>
    </w:p>
    <w:p>
      <w:pPr>
        <w:pStyle w:val="Heading2"/>
        <w:spacing w:before="262"/>
      </w:pPr>
      <w:r>
        <w:rPr/>
        <w:t>17-</w:t>
      </w:r>
      <w:r>
        <w:rPr>
          <w:spacing w:val="-5"/>
        </w:rPr>
        <w:t>015</w:t>
      </w:r>
    </w:p>
    <w:p>
      <w:pPr>
        <w:pStyle w:val="BodyText"/>
        <w:spacing w:line="235" w:lineRule="auto" w:before="202"/>
        <w:ind w:left="22" w:right="25"/>
        <w:jc w:val="both"/>
      </w:pPr>
      <w:bookmarkStart w:name="_bookmark35" w:id="37"/>
      <w:bookmarkEnd w:id="37"/>
      <w:r>
        <w:rPr/>
      </w:r>
      <w:r>
        <w:rPr/>
        <w:t>At common law, the general rule was that a judgment against one joint debtor operated to bar an action against the others, even though the judgment was not satisfied. </w:t>
      </w:r>
      <w:r>
        <w:rPr>
          <w:color w:val="005DA1"/>
          <w:u w:val="single" w:color="005DA1"/>
          <w:vertAlign w:val="superscript"/>
        </w:rPr>
        <w:t>38</w:t>
      </w:r>
      <w:r>
        <w:rPr>
          <w:color w:val="005DA1"/>
          <w:vertAlign w:val="baseline"/>
        </w:rPr>
        <w:t> </w:t>
      </w:r>
      <w:r>
        <w:rPr>
          <w:vertAlign w:val="baseline"/>
        </w:rPr>
        <w:t>This was explained on the ground that the debt was merged in the judgment, and also on the ground that joint debtors had a</w:t>
      </w:r>
      <w:r>
        <w:rPr>
          <w:spacing w:val="40"/>
          <w:vertAlign w:val="baseline"/>
        </w:rPr>
        <w:t> </w:t>
      </w:r>
      <w:bookmarkStart w:name="_bookmark36" w:id="38"/>
      <w:bookmarkEnd w:id="38"/>
      <w:r>
        <w:rPr>
          <w:vertAlign w:val="baseline"/>
        </w:rPr>
        <w:t>right</w:t>
      </w:r>
      <w:r>
        <w:rPr>
          <w:vertAlign w:val="baseline"/>
        </w:rPr>
        <w:t> to be sued together: but neither ground was satisfactory, and the rule was capable of working hardship. The rule applied to a judgment obtained by consent, </w:t>
      </w:r>
      <w:r>
        <w:rPr>
          <w:color w:val="005DA1"/>
          <w:u w:val="single" w:color="005DA1"/>
          <w:vertAlign w:val="superscript"/>
        </w:rPr>
        <w:t>39</w:t>
      </w:r>
      <w:r>
        <w:rPr>
          <w:color w:val="005DA1"/>
          <w:vertAlign w:val="baseline"/>
        </w:rPr>
        <w:t> </w:t>
      </w:r>
      <w:r>
        <w:rPr>
          <w:vertAlign w:val="baseline"/>
        </w:rPr>
        <w:t>even if the defendant subsequently </w:t>
      </w:r>
      <w:bookmarkStart w:name="_bookmark37" w:id="39"/>
      <w:bookmarkEnd w:id="39"/>
      <w:r>
        <w:rPr>
          <w:vertAlign w:val="baseline"/>
        </w:rPr>
        <w:t>consented</w:t>
      </w:r>
      <w:r>
        <w:rPr>
          <w:vertAlign w:val="baseline"/>
        </w:rPr>
        <w:t> to the claimant’s application to set aside the judgment in order that the claimant could sue </w:t>
      </w:r>
      <w:bookmarkStart w:name="_bookmark38" w:id="40"/>
      <w:bookmarkEnd w:id="40"/>
      <w:r>
        <w:rPr>
          <w:vertAlign w:val="baseline"/>
        </w:rPr>
        <w:t>another</w:t>
      </w:r>
      <w:r>
        <w:rPr>
          <w:vertAlign w:val="baseline"/>
        </w:rPr>
        <w:t> joint contractor. </w:t>
      </w:r>
      <w:r>
        <w:rPr>
          <w:color w:val="005DA1"/>
          <w:u w:val="single" w:color="005DA1"/>
          <w:vertAlign w:val="superscript"/>
        </w:rPr>
        <w:t>40</w:t>
      </w:r>
      <w:r>
        <w:rPr>
          <w:color w:val="005DA1"/>
          <w:vertAlign w:val="baseline"/>
        </w:rPr>
        <w:t> </w:t>
      </w:r>
      <w:r>
        <w:rPr>
          <w:vertAlign w:val="baseline"/>
        </w:rPr>
        <w:t>The rule has now been abrogated by section 3 of the Civil </w:t>
      </w:r>
      <w:r>
        <w:rPr>
          <w:vertAlign w:val="baseline"/>
        </w:rPr>
        <w:t>Liability </w:t>
      </w:r>
      <w:bookmarkStart w:name="_bookmark39" w:id="41"/>
      <w:bookmarkEnd w:id="41"/>
      <w:r>
        <w:rPr>
          <w:vertAlign w:val="baseline"/>
        </w:rPr>
        <w:t>(Contribution)</w:t>
      </w:r>
      <w:r>
        <w:rPr>
          <w:vertAlign w:val="baseline"/>
        </w:rPr>
        <w:t> Act 1978. </w:t>
      </w:r>
      <w:r>
        <w:rPr>
          <w:color w:val="005DA1"/>
          <w:u w:val="single" w:color="005DA1"/>
          <w:vertAlign w:val="superscript"/>
        </w:rPr>
        <w:t>41</w:t>
      </w:r>
      <w:r>
        <w:rPr>
          <w:color w:val="005DA1"/>
          <w:vertAlign w:val="baseline"/>
        </w:rPr>
        <w:t> </w:t>
      </w:r>
      <w:r>
        <w:rPr>
          <w:vertAlign w:val="baseline"/>
        </w:rPr>
        <w:t>This section applies to joint contractors generally, and is not confined to joint debtors. </w:t>
      </w:r>
      <w:r>
        <w:rPr>
          <w:color w:val="005DA1"/>
          <w:u w:val="single" w:color="005DA1"/>
          <w:vertAlign w:val="superscript"/>
        </w:rPr>
        <w:t>42</w:t>
      </w:r>
    </w:p>
    <w:p>
      <w:pPr>
        <w:pStyle w:val="BodyText"/>
      </w:pPr>
    </w:p>
    <w:p>
      <w:pPr>
        <w:pStyle w:val="BodyText"/>
        <w:spacing w:before="35"/>
      </w:pPr>
    </w:p>
    <w:p>
      <w:pPr>
        <w:spacing w:before="1"/>
        <w:ind w:left="23" w:right="0" w:firstLine="0"/>
        <w:jc w:val="both"/>
        <w:rPr>
          <w:rFonts w:ascii="Arial"/>
          <w:b/>
          <w:sz w:val="18"/>
        </w:rPr>
      </w:pPr>
      <w:r>
        <w:rPr>
          <w:rFonts w:ascii="Arial"/>
          <w:b/>
          <w:sz w:val="18"/>
        </w:rPr>
        <w:t>Judgment against one joint and several </w:t>
      </w:r>
      <w:r>
        <w:rPr>
          <w:rFonts w:ascii="Arial"/>
          <w:b/>
          <w:spacing w:val="-2"/>
          <w:sz w:val="18"/>
        </w:rPr>
        <w:t>debtor</w:t>
      </w:r>
    </w:p>
    <w:p>
      <w:pPr>
        <w:pStyle w:val="BodyText"/>
        <w:spacing w:before="41"/>
        <w:rPr>
          <w:rFonts w:ascii="Arial"/>
          <w:b/>
          <w:sz w:val="18"/>
        </w:rPr>
      </w:pPr>
    </w:p>
    <w:p>
      <w:pPr>
        <w:pStyle w:val="Heading2"/>
      </w:pPr>
      <w:r>
        <w:rPr/>
        <w:t>17-</w:t>
      </w:r>
      <w:r>
        <w:rPr>
          <w:spacing w:val="-5"/>
        </w:rPr>
        <w:t>016</w:t>
      </w:r>
    </w:p>
    <w:p>
      <w:pPr>
        <w:pStyle w:val="BodyText"/>
        <w:spacing w:line="235" w:lineRule="auto" w:before="202"/>
        <w:ind w:left="23" w:right="25"/>
        <w:jc w:val="both"/>
      </w:pPr>
      <w:bookmarkStart w:name="_bookmark40" w:id="42"/>
      <w:bookmarkEnd w:id="42"/>
      <w:r>
        <w:rPr/>
      </w:r>
      <w:r>
        <w:rPr/>
        <w:t>When the liability is joint and several, a judgment against one debtor did not, even at common law,</w:t>
      </w:r>
      <w:r>
        <w:rPr>
          <w:spacing w:val="40"/>
        </w:rPr>
        <w:t> </w:t>
      </w:r>
      <w:r>
        <w:rPr/>
        <w:t>bar a several action against another. </w:t>
      </w:r>
      <w:r>
        <w:rPr>
          <w:color w:val="005DA1"/>
          <w:u w:val="single" w:color="005DA1"/>
          <w:vertAlign w:val="superscript"/>
        </w:rPr>
        <w:t>43</w:t>
      </w:r>
      <w:r>
        <w:rPr>
          <w:color w:val="005DA1"/>
          <w:vertAlign w:val="baseline"/>
        </w:rPr>
        <w:t> </w:t>
      </w:r>
      <w:r>
        <w:rPr>
          <w:vertAlign w:val="baseline"/>
        </w:rPr>
        <w:t>But satisfaction of the judgment did so, for the obligation </w:t>
      </w:r>
      <w:r>
        <w:rPr>
          <w:vertAlign w:val="baseline"/>
        </w:rPr>
        <w:t>was not cumulative; hence payment by one, whether before or after judgment, discharged the others. At </w:t>
      </w:r>
      <w:bookmarkStart w:name="_bookmark41" w:id="43"/>
      <w:bookmarkEnd w:id="43"/>
      <w:r>
        <w:rPr>
          <w:vertAlign w:val="baseline"/>
        </w:rPr>
        <w:t>common</w:t>
      </w:r>
      <w:r>
        <w:rPr>
          <w:vertAlign w:val="baseline"/>
        </w:rPr>
        <w:t> law, it seems that a joint judgment against all the joint and several debtors, if unsatisfied, did </w:t>
      </w:r>
      <w:bookmarkStart w:name="_bookmark42" w:id="44"/>
      <w:bookmarkEnd w:id="44"/>
      <w:r>
        <w:rPr>
          <w:vertAlign w:val="baseline"/>
        </w:rPr>
        <w:t>not</w:t>
      </w:r>
      <w:r>
        <w:rPr>
          <w:vertAlign w:val="baseline"/>
        </w:rPr>
        <w:t> bar a several action against one of them </w:t>
      </w:r>
      <w:r>
        <w:rPr>
          <w:color w:val="005DA1"/>
          <w:u w:val="single" w:color="005DA1"/>
          <w:vertAlign w:val="superscript"/>
        </w:rPr>
        <w:t>44</w:t>
      </w:r>
      <w:r>
        <w:rPr>
          <w:vertAlign w:val="baseline"/>
        </w:rPr>
        <w:t>; nor did an unsatisfied several judgment against one bar a joint action against the others. </w:t>
      </w:r>
      <w:r>
        <w:rPr>
          <w:color w:val="005DA1"/>
          <w:u w:val="single" w:color="005DA1"/>
          <w:vertAlign w:val="superscript"/>
        </w:rPr>
        <w:t>45</w:t>
      </w:r>
      <w:r>
        <w:rPr>
          <w:color w:val="005DA1"/>
          <w:vertAlign w:val="baseline"/>
        </w:rPr>
        <w:t> </w:t>
      </w:r>
      <w:r>
        <w:rPr>
          <w:vertAlign w:val="baseline"/>
        </w:rPr>
        <w:t>But these rules are of little importance now, having regard to the general words of s.3 of the Act of 1978.</w:t>
      </w:r>
    </w:p>
    <w:p>
      <w:pPr>
        <w:pStyle w:val="BodyText"/>
      </w:pPr>
    </w:p>
    <w:p>
      <w:pPr>
        <w:pStyle w:val="BodyText"/>
        <w:spacing w:before="36"/>
      </w:pPr>
    </w:p>
    <w:p>
      <w:pPr>
        <w:spacing w:before="0"/>
        <w:ind w:left="23" w:right="0" w:firstLine="0"/>
        <w:jc w:val="both"/>
        <w:rPr>
          <w:rFonts w:ascii="Arial"/>
          <w:b/>
          <w:sz w:val="18"/>
        </w:rPr>
      </w:pPr>
      <w:r>
        <w:rPr>
          <w:rFonts w:ascii="Arial"/>
          <w:b/>
          <w:sz w:val="18"/>
        </w:rPr>
        <w:t>Release, accord and satisfaction and covenant not to </w:t>
      </w:r>
      <w:r>
        <w:rPr>
          <w:rFonts w:ascii="Arial"/>
          <w:b/>
          <w:spacing w:val="-5"/>
          <w:sz w:val="18"/>
        </w:rPr>
        <w:t>sue</w:t>
      </w:r>
    </w:p>
    <w:p>
      <w:pPr>
        <w:pStyle w:val="BodyText"/>
        <w:spacing w:before="42"/>
        <w:rPr>
          <w:rFonts w:ascii="Arial"/>
          <w:b/>
          <w:sz w:val="18"/>
        </w:rPr>
      </w:pPr>
    </w:p>
    <w:p>
      <w:pPr>
        <w:pStyle w:val="Heading2"/>
      </w:pPr>
      <w:r>
        <w:rPr/>
        <w:t>17-</w:t>
      </w:r>
      <w:r>
        <w:rPr>
          <w:spacing w:val="-5"/>
        </w:rPr>
        <w:t>017</w:t>
      </w:r>
    </w:p>
    <w:p>
      <w:pPr>
        <w:pStyle w:val="BodyText"/>
        <w:spacing w:line="235" w:lineRule="auto" w:before="202"/>
        <w:ind w:left="23" w:right="25"/>
        <w:jc w:val="both"/>
      </w:pPr>
      <w:bookmarkStart w:name="_bookmark43" w:id="45"/>
      <w:bookmarkEnd w:id="45"/>
      <w:r>
        <w:rPr/>
      </w:r>
      <w:bookmarkStart w:name="_bookmark44" w:id="46"/>
      <w:bookmarkEnd w:id="46"/>
      <w:r>
        <w:rPr/>
      </w:r>
      <w:r>
        <w:rPr/>
        <w:t>The discharge of one joint debtor by a release in a deed</w:t>
      </w:r>
      <w:r>
        <w:rPr>
          <w:spacing w:val="-1"/>
        </w:rPr>
        <w:t> </w:t>
      </w:r>
      <w:r>
        <w:rPr>
          <w:color w:val="005DA1"/>
          <w:u w:val="single" w:color="005DA1"/>
          <w:vertAlign w:val="superscript"/>
        </w:rPr>
        <w:t>46</w:t>
      </w:r>
      <w:r>
        <w:rPr>
          <w:color w:val="005DA1"/>
          <w:vertAlign w:val="baseline"/>
        </w:rPr>
        <w:t> </w:t>
      </w:r>
      <w:r>
        <w:rPr>
          <w:vertAlign w:val="baseline"/>
        </w:rPr>
        <w:t>or by accord and satisfaction </w:t>
      </w:r>
      <w:r>
        <w:rPr>
          <w:color w:val="005DA1"/>
          <w:u w:val="single" w:color="005DA1"/>
          <w:vertAlign w:val="superscript"/>
        </w:rPr>
        <w:t>47</w:t>
      </w:r>
      <w:r>
        <w:rPr>
          <w:color w:val="005DA1"/>
          <w:vertAlign w:val="baseline"/>
        </w:rPr>
        <w:t> </w:t>
      </w:r>
      <w:r>
        <w:rPr>
          <w:vertAlign w:val="baseline"/>
        </w:rPr>
        <w:t>discharges </w:t>
      </w:r>
      <w:bookmarkStart w:name="_bookmark45" w:id="47"/>
      <w:bookmarkEnd w:id="47"/>
      <w:r>
        <w:rPr>
          <w:vertAlign w:val="baseline"/>
        </w:rPr>
        <w:t>all,</w:t>
      </w:r>
      <w:r>
        <w:rPr>
          <w:vertAlign w:val="baseline"/>
        </w:rPr>
        <w:t> in accordance with the general principle that joint liability creates only one obligation </w:t>
      </w:r>
      <w:r>
        <w:rPr>
          <w:color w:val="005DA1"/>
          <w:u w:val="single" w:color="005DA1"/>
          <w:vertAlign w:val="superscript"/>
        </w:rPr>
        <w:t>48</w:t>
      </w:r>
      <w:r>
        <w:rPr>
          <w:vertAlign w:val="baseline"/>
        </w:rPr>
        <w:t>; and </w:t>
      </w:r>
      <w:r>
        <w:rPr>
          <w:vertAlign w:val="baseline"/>
        </w:rPr>
        <w:t>the </w:t>
      </w:r>
      <w:bookmarkStart w:name="_bookmark46" w:id="48"/>
      <w:bookmarkEnd w:id="48"/>
      <w:r>
        <w:rPr>
          <w:vertAlign w:val="baseline"/>
        </w:rPr>
        <w:t>same</w:t>
      </w:r>
      <w:r>
        <w:rPr>
          <w:vertAlign w:val="baseline"/>
        </w:rPr>
        <w:t> is true, illogical though it may seem, if one joint and several debtor is so discharged. </w:t>
      </w:r>
      <w:r>
        <w:rPr>
          <w:color w:val="005DA1"/>
          <w:u w:val="single" w:color="005DA1"/>
          <w:vertAlign w:val="superscript"/>
        </w:rPr>
        <w:t>49</w:t>
      </w:r>
      <w:r>
        <w:rPr>
          <w:color w:val="005DA1"/>
          <w:vertAlign w:val="baseline"/>
        </w:rPr>
        <w:t> </w:t>
      </w:r>
      <w:r>
        <w:rPr>
          <w:vertAlign w:val="baseline"/>
        </w:rPr>
        <w:t>On the </w:t>
      </w:r>
      <w:bookmarkStart w:name="_bookmark47" w:id="49"/>
      <w:bookmarkEnd w:id="49"/>
      <w:r>
        <w:rPr>
          <w:vertAlign w:val="baseline"/>
        </w:rPr>
        <w:t>other</w:t>
      </w:r>
      <w:r>
        <w:rPr>
          <w:spacing w:val="4"/>
          <w:vertAlign w:val="baseline"/>
        </w:rPr>
        <w:t> </w:t>
      </w:r>
      <w:r>
        <w:rPr>
          <w:vertAlign w:val="baseline"/>
        </w:rPr>
        <w:t>hand,</w:t>
      </w:r>
      <w:r>
        <w:rPr>
          <w:spacing w:val="6"/>
          <w:vertAlign w:val="baseline"/>
        </w:rPr>
        <w:t> </w:t>
      </w:r>
      <w:r>
        <w:rPr>
          <w:vertAlign w:val="baseline"/>
        </w:rPr>
        <w:t>a</w:t>
      </w:r>
      <w:r>
        <w:rPr>
          <w:spacing w:val="6"/>
          <w:vertAlign w:val="baseline"/>
        </w:rPr>
        <w:t> </w:t>
      </w:r>
      <w:r>
        <w:rPr>
          <w:vertAlign w:val="baseline"/>
        </w:rPr>
        <w:t>covenant</w:t>
      </w:r>
      <w:r>
        <w:rPr>
          <w:spacing w:val="6"/>
          <w:vertAlign w:val="baseline"/>
        </w:rPr>
        <w:t> </w:t>
      </w:r>
      <w:r>
        <w:rPr>
          <w:vertAlign w:val="baseline"/>
        </w:rPr>
        <w:t>not</w:t>
      </w:r>
      <w:r>
        <w:rPr>
          <w:spacing w:val="6"/>
          <w:vertAlign w:val="baseline"/>
        </w:rPr>
        <w:t> </w:t>
      </w:r>
      <w:r>
        <w:rPr>
          <w:vertAlign w:val="baseline"/>
        </w:rPr>
        <w:t>to</w:t>
      </w:r>
      <w:r>
        <w:rPr>
          <w:spacing w:val="6"/>
          <w:vertAlign w:val="baseline"/>
        </w:rPr>
        <w:t> </w:t>
      </w:r>
      <w:r>
        <w:rPr>
          <w:vertAlign w:val="baseline"/>
        </w:rPr>
        <w:t>sue</w:t>
      </w:r>
      <w:r>
        <w:rPr>
          <w:spacing w:val="6"/>
          <w:vertAlign w:val="baseline"/>
        </w:rPr>
        <w:t> </w:t>
      </w:r>
      <w:r>
        <w:rPr>
          <w:vertAlign w:val="baseline"/>
        </w:rPr>
        <w:t>one</w:t>
      </w:r>
      <w:r>
        <w:rPr>
          <w:spacing w:val="6"/>
          <w:vertAlign w:val="baseline"/>
        </w:rPr>
        <w:t> </w:t>
      </w:r>
      <w:r>
        <w:rPr>
          <w:vertAlign w:val="baseline"/>
        </w:rPr>
        <w:t>joint</w:t>
      </w:r>
      <w:r>
        <w:rPr>
          <w:spacing w:val="6"/>
          <w:vertAlign w:val="baseline"/>
        </w:rPr>
        <w:t> </w:t>
      </w:r>
      <w:r>
        <w:rPr>
          <w:vertAlign w:val="baseline"/>
        </w:rPr>
        <w:t>or</w:t>
      </w:r>
      <w:r>
        <w:rPr>
          <w:spacing w:val="6"/>
          <w:vertAlign w:val="baseline"/>
        </w:rPr>
        <w:t> </w:t>
      </w:r>
      <w:r>
        <w:rPr>
          <w:vertAlign w:val="baseline"/>
        </w:rPr>
        <w:t>joint</w:t>
      </w:r>
      <w:r>
        <w:rPr>
          <w:spacing w:val="6"/>
          <w:vertAlign w:val="baseline"/>
        </w:rPr>
        <w:t> </w:t>
      </w:r>
      <w:r>
        <w:rPr>
          <w:vertAlign w:val="baseline"/>
        </w:rPr>
        <w:t>and</w:t>
      </w:r>
      <w:r>
        <w:rPr>
          <w:spacing w:val="6"/>
          <w:vertAlign w:val="baseline"/>
        </w:rPr>
        <w:t> </w:t>
      </w:r>
      <w:r>
        <w:rPr>
          <w:vertAlign w:val="baseline"/>
        </w:rPr>
        <w:t>several</w:t>
      </w:r>
      <w:r>
        <w:rPr>
          <w:spacing w:val="6"/>
          <w:vertAlign w:val="baseline"/>
        </w:rPr>
        <w:t> </w:t>
      </w:r>
      <w:r>
        <w:rPr>
          <w:vertAlign w:val="baseline"/>
        </w:rPr>
        <w:t>debtor</w:t>
      </w:r>
      <w:r>
        <w:rPr>
          <w:spacing w:val="6"/>
          <w:vertAlign w:val="baseline"/>
        </w:rPr>
        <w:t> </w:t>
      </w:r>
      <w:r>
        <w:rPr>
          <w:vertAlign w:val="baseline"/>
        </w:rPr>
        <w:t>does</w:t>
      </w:r>
      <w:r>
        <w:rPr>
          <w:spacing w:val="6"/>
          <w:vertAlign w:val="baseline"/>
        </w:rPr>
        <w:t> </w:t>
      </w:r>
      <w:r>
        <w:rPr>
          <w:vertAlign w:val="baseline"/>
        </w:rPr>
        <w:t>not</w:t>
      </w:r>
      <w:r>
        <w:rPr>
          <w:spacing w:val="6"/>
          <w:vertAlign w:val="baseline"/>
        </w:rPr>
        <w:t> </w:t>
      </w:r>
      <w:r>
        <w:rPr>
          <w:vertAlign w:val="baseline"/>
        </w:rPr>
        <w:t>discharge</w:t>
      </w:r>
      <w:r>
        <w:rPr>
          <w:spacing w:val="6"/>
          <w:vertAlign w:val="baseline"/>
        </w:rPr>
        <w:t> </w:t>
      </w:r>
      <w:r>
        <w:rPr>
          <w:vertAlign w:val="baseline"/>
        </w:rPr>
        <w:t>the</w:t>
      </w:r>
      <w:r>
        <w:rPr>
          <w:spacing w:val="6"/>
          <w:vertAlign w:val="baseline"/>
        </w:rPr>
        <w:t> </w:t>
      </w:r>
      <w:r>
        <w:rPr>
          <w:spacing w:val="-2"/>
          <w:vertAlign w:val="baseline"/>
        </w:rPr>
        <w:t>others,</w:t>
      </w:r>
    </w:p>
    <w:p>
      <w:pPr>
        <w:pStyle w:val="BodyText"/>
        <w:spacing w:line="235" w:lineRule="auto"/>
        <w:ind w:left="23" w:right="26"/>
        <w:jc w:val="both"/>
      </w:pPr>
      <w:r>
        <w:rPr>
          <w:color w:val="005DA1"/>
          <w:u w:val="single" w:color="005DA1"/>
          <w:vertAlign w:val="superscript"/>
        </w:rPr>
        <w:t>50</w:t>
      </w:r>
      <w:r>
        <w:rPr>
          <w:color w:val="005DA1"/>
          <w:vertAlign w:val="baseline"/>
        </w:rPr>
        <w:t> </w:t>
      </w:r>
      <w:bookmarkStart w:name="_bookmark48" w:id="50"/>
      <w:bookmarkEnd w:id="50"/>
      <w:r>
        <w:rPr>
          <w:color w:val="005DA1"/>
          <w:spacing w:val="-21"/>
          <w:vertAlign w:val="baseline"/>
        </w:rPr>
      </w:r>
      <w:r>
        <w:rPr>
          <w:vertAlign w:val="baseline"/>
        </w:rPr>
        <w:t>though it may leave the covenantee liable to pay contribution to the other debtors, </w:t>
      </w:r>
      <w:r>
        <w:rPr>
          <w:color w:val="005DA1"/>
          <w:u w:val="single" w:color="005DA1"/>
          <w:vertAlign w:val="superscript"/>
        </w:rPr>
        <w:t>51</w:t>
      </w:r>
      <w:r>
        <w:rPr>
          <w:color w:val="005DA1"/>
          <w:vertAlign w:val="baseline"/>
        </w:rPr>
        <w:t> </w:t>
      </w:r>
      <w:r>
        <w:rPr>
          <w:vertAlign w:val="baseline"/>
        </w:rPr>
        <w:t>and thus deprive the covenant of some of its apparent effect. </w:t>
      </w:r>
      <w:r>
        <w:rPr>
          <w:color w:val="005DA1"/>
          <w:u w:val="single" w:color="005DA1"/>
          <w:vertAlign w:val="superscript"/>
        </w:rPr>
        <w:t>52</w:t>
      </w:r>
    </w:p>
    <w:p>
      <w:pPr>
        <w:pStyle w:val="BodyText"/>
        <w:spacing w:before="79"/>
      </w:pPr>
    </w:p>
    <w:p>
      <w:pPr>
        <w:pStyle w:val="Heading2"/>
        <w:spacing w:before="1"/>
      </w:pPr>
      <w:r>
        <w:rPr/>
        <w:t>17-</w:t>
      </w:r>
      <w:r>
        <w:rPr>
          <w:spacing w:val="-5"/>
        </w:rPr>
        <w:t>018</w:t>
      </w:r>
    </w:p>
    <w:p>
      <w:pPr>
        <w:pStyle w:val="BodyText"/>
        <w:spacing w:line="235" w:lineRule="auto" w:before="202"/>
        <w:ind w:left="23" w:right="25"/>
        <w:jc w:val="both"/>
      </w:pPr>
      <w:bookmarkStart w:name="_bookmark49" w:id="51"/>
      <w:bookmarkEnd w:id="51"/>
      <w:r>
        <w:rPr/>
      </w:r>
      <w:r>
        <w:rPr/>
        <w:t>The courts generally construe a release as a covenant not to sue if it contains an indication of intention</w:t>
      </w:r>
      <w:r>
        <w:rPr>
          <w:spacing w:val="-2"/>
        </w:rPr>
        <w:t> </w:t>
      </w:r>
      <w:r>
        <w:rPr/>
        <w:t>that</w:t>
      </w:r>
      <w:r>
        <w:rPr>
          <w:spacing w:val="-2"/>
        </w:rPr>
        <w:t> </w:t>
      </w:r>
      <w:r>
        <w:rPr/>
        <w:t>the</w:t>
      </w:r>
      <w:r>
        <w:rPr>
          <w:spacing w:val="-2"/>
        </w:rPr>
        <w:t> </w:t>
      </w:r>
      <w:r>
        <w:rPr/>
        <w:t>other</w:t>
      </w:r>
      <w:r>
        <w:rPr>
          <w:spacing w:val="-2"/>
        </w:rPr>
        <w:t> </w:t>
      </w:r>
      <w:r>
        <w:rPr/>
        <w:t>debtors</w:t>
      </w:r>
      <w:r>
        <w:rPr>
          <w:spacing w:val="-2"/>
        </w:rPr>
        <w:t> </w:t>
      </w:r>
      <w:r>
        <w:rPr/>
        <w:t>are</w:t>
      </w:r>
      <w:r>
        <w:rPr>
          <w:spacing w:val="-2"/>
        </w:rPr>
        <w:t> </w:t>
      </w:r>
      <w:r>
        <w:rPr/>
        <w:t>not</w:t>
      </w:r>
      <w:r>
        <w:rPr>
          <w:spacing w:val="-2"/>
        </w:rPr>
        <w:t> </w:t>
      </w:r>
      <w:r>
        <w:rPr/>
        <w:t>to</w:t>
      </w:r>
      <w:r>
        <w:rPr>
          <w:spacing w:val="-2"/>
        </w:rPr>
        <w:t> </w:t>
      </w:r>
      <w:r>
        <w:rPr/>
        <w:t>be</w:t>
      </w:r>
      <w:r>
        <w:rPr>
          <w:spacing w:val="-2"/>
        </w:rPr>
        <w:t> </w:t>
      </w:r>
      <w:r>
        <w:rPr/>
        <w:t>discharged.</w:t>
      </w:r>
      <w:r>
        <w:rPr>
          <w:spacing w:val="-3"/>
        </w:rPr>
        <w:t> </w:t>
      </w:r>
      <w:r>
        <w:rPr>
          <w:color w:val="005DA1"/>
          <w:u w:val="single" w:color="005DA1"/>
          <w:vertAlign w:val="superscript"/>
        </w:rPr>
        <w:t>53</w:t>
      </w:r>
      <w:r>
        <w:rPr>
          <w:color w:val="005DA1"/>
          <w:spacing w:val="-2"/>
          <w:vertAlign w:val="baseline"/>
        </w:rPr>
        <w:t> </w:t>
      </w:r>
      <w:r>
        <w:rPr>
          <w:vertAlign w:val="baseline"/>
        </w:rPr>
        <w:t>Moreover,</w:t>
      </w:r>
      <w:r>
        <w:rPr>
          <w:spacing w:val="-2"/>
          <w:vertAlign w:val="baseline"/>
        </w:rPr>
        <w:t> </w:t>
      </w:r>
      <w:r>
        <w:rPr>
          <w:vertAlign w:val="baseline"/>
        </w:rPr>
        <w:t>even</w:t>
      </w:r>
      <w:r>
        <w:rPr>
          <w:spacing w:val="-2"/>
          <w:vertAlign w:val="baseline"/>
        </w:rPr>
        <w:t> </w:t>
      </w:r>
      <w:r>
        <w:rPr>
          <w:vertAlign w:val="baseline"/>
        </w:rPr>
        <w:t>an</w:t>
      </w:r>
      <w:r>
        <w:rPr>
          <w:spacing w:val="-2"/>
          <w:vertAlign w:val="baseline"/>
        </w:rPr>
        <w:t> </w:t>
      </w:r>
      <w:r>
        <w:rPr>
          <w:vertAlign w:val="baseline"/>
        </w:rPr>
        <w:t>accord</w:t>
      </w:r>
      <w:r>
        <w:rPr>
          <w:spacing w:val="-2"/>
          <w:vertAlign w:val="baseline"/>
        </w:rPr>
        <w:t> </w:t>
      </w:r>
      <w:r>
        <w:rPr>
          <w:vertAlign w:val="baseline"/>
        </w:rPr>
        <w:t>and</w:t>
      </w:r>
      <w:r>
        <w:rPr>
          <w:spacing w:val="-2"/>
          <w:vertAlign w:val="baseline"/>
        </w:rPr>
        <w:t> </w:t>
      </w:r>
      <w:r>
        <w:rPr>
          <w:vertAlign w:val="baseline"/>
        </w:rPr>
        <w:t>satisfaction </w:t>
      </w:r>
      <w:bookmarkStart w:name="_bookmark50" w:id="52"/>
      <w:bookmarkEnd w:id="52"/>
      <w:r>
        <w:rPr>
          <w:vertAlign w:val="baseline"/>
        </w:rPr>
        <w:t>with</w:t>
      </w:r>
      <w:r>
        <w:rPr>
          <w:vertAlign w:val="baseline"/>
        </w:rPr>
        <w:t> one joint or joint and several debtor will not discharge the others if the agreement, expressly or impliedly, provides that the creditor’s rights against them shall be preserved. </w:t>
      </w:r>
      <w:r>
        <w:rPr>
          <w:color w:val="005DA1"/>
          <w:u w:val="single" w:color="005DA1"/>
          <w:vertAlign w:val="superscript"/>
        </w:rPr>
        <w:t>54</w:t>
      </w:r>
    </w:p>
    <w:p>
      <w:pPr>
        <w:pStyle w:val="BodyText"/>
        <w:spacing w:before="80"/>
      </w:pPr>
    </w:p>
    <w:p>
      <w:pPr>
        <w:pStyle w:val="Heading2"/>
      </w:pPr>
      <w:r>
        <w:rPr/>
        <w:t>17-</w:t>
      </w:r>
      <w:r>
        <w:rPr>
          <w:spacing w:val="-5"/>
        </w:rPr>
        <w:t>019</w:t>
      </w:r>
    </w:p>
    <w:p>
      <w:pPr>
        <w:pStyle w:val="BodyText"/>
        <w:spacing w:line="235" w:lineRule="auto" w:before="203"/>
        <w:ind w:left="23" w:right="25"/>
        <w:jc w:val="both"/>
      </w:pPr>
      <w:r>
        <w:rPr/>
        <w:t>The distinction between a release and a covenant not to sue rests on the intention of the parties. </w:t>
      </w:r>
      <w:r>
        <w:rPr/>
        <w:t>A release involves total destruction of the debt or claim; a covenant not to sue implies that the creditor undertakes not to take proceedings against the debtor in question (the covenantee) while not necessarily abandoning his rights against any other party liable. In this context the term “covenant” does not bear its traditional meaning of a promise in a deed, but extends to any promise.</w:t>
      </w:r>
    </w:p>
    <w:p>
      <w:pPr>
        <w:pStyle w:val="BodyText"/>
        <w:spacing w:before="79"/>
      </w:pPr>
    </w:p>
    <w:p>
      <w:pPr>
        <w:pStyle w:val="Heading2"/>
      </w:pPr>
      <w:r>
        <w:rPr/>
        <w:t>17-</w:t>
      </w:r>
      <w:r>
        <w:rPr>
          <w:spacing w:val="-5"/>
        </w:rPr>
        <w:t>020</w:t>
      </w:r>
    </w:p>
    <w:p>
      <w:pPr>
        <w:pStyle w:val="BodyText"/>
        <w:spacing w:line="235" w:lineRule="auto" w:before="203"/>
        <w:ind w:left="23" w:right="25"/>
        <w:jc w:val="both"/>
      </w:pPr>
      <w:r>
        <w:rPr/>
        <w:t>In practice the difficulty normally arises from the fact that, in making the agreement, the parties </w:t>
      </w:r>
      <w:r>
        <w:rPr/>
        <w:t>have </w:t>
      </w:r>
      <w:bookmarkStart w:name="_bookmark51" w:id="53"/>
      <w:bookmarkEnd w:id="53"/>
      <w:r>
        <w:rPr/>
        <w:t>overlooked</w:t>
      </w:r>
      <w:r>
        <w:rPr/>
        <w:t> the position of co-debtors, and it is not clear whether the creditor intends to reserve his rights</w:t>
      </w:r>
      <w:r>
        <w:rPr>
          <w:spacing w:val="-2"/>
        </w:rPr>
        <w:t> </w:t>
      </w:r>
      <w:r>
        <w:rPr/>
        <w:t>against</w:t>
      </w:r>
      <w:r>
        <w:rPr>
          <w:spacing w:val="-2"/>
        </w:rPr>
        <w:t> </w:t>
      </w:r>
      <w:r>
        <w:rPr/>
        <w:t>them</w:t>
      </w:r>
      <w:r>
        <w:rPr>
          <w:spacing w:val="-2"/>
        </w:rPr>
        <w:t> </w:t>
      </w:r>
      <w:r>
        <w:rPr/>
        <w:t>or</w:t>
      </w:r>
      <w:r>
        <w:rPr>
          <w:spacing w:val="-2"/>
        </w:rPr>
        <w:t> </w:t>
      </w:r>
      <w:r>
        <w:rPr/>
        <w:t>not.</w:t>
      </w:r>
      <w:r>
        <w:rPr>
          <w:spacing w:val="-3"/>
        </w:rPr>
        <w:t> </w:t>
      </w:r>
      <w:r>
        <w:rPr>
          <w:color w:val="005DA1"/>
          <w:u w:val="single" w:color="005DA1"/>
          <w:vertAlign w:val="superscript"/>
        </w:rPr>
        <w:t>55</w:t>
      </w:r>
      <w:r>
        <w:rPr>
          <w:color w:val="005DA1"/>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appears</w:t>
      </w:r>
      <w:r>
        <w:rPr>
          <w:spacing w:val="-2"/>
          <w:vertAlign w:val="baseline"/>
        </w:rPr>
        <w:t> </w:t>
      </w:r>
      <w:r>
        <w:rPr>
          <w:vertAlign w:val="baseline"/>
        </w:rPr>
        <w:t>from</w:t>
      </w:r>
      <w:r>
        <w:rPr>
          <w:spacing w:val="-2"/>
          <w:vertAlign w:val="baseline"/>
        </w:rPr>
        <w:t> </w:t>
      </w:r>
      <w:r>
        <w:rPr>
          <w:vertAlign w:val="baseline"/>
        </w:rPr>
        <w:t>its</w:t>
      </w:r>
      <w:r>
        <w:rPr>
          <w:spacing w:val="-2"/>
          <w:vertAlign w:val="baseline"/>
        </w:rPr>
        <w:t> </w:t>
      </w:r>
      <w:r>
        <w:rPr>
          <w:vertAlign w:val="baseline"/>
        </w:rPr>
        <w:t>words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release</w:t>
      </w:r>
      <w:r>
        <w:rPr>
          <w:spacing w:val="-2"/>
          <w:vertAlign w:val="baseline"/>
        </w:rPr>
        <w:t> </w:t>
      </w:r>
      <w:r>
        <w:rPr>
          <w:vertAlign w:val="baseline"/>
        </w:rPr>
        <w:t>and</w:t>
      </w:r>
      <w:r>
        <w:rPr>
          <w:spacing w:val="-2"/>
          <w:vertAlign w:val="baseline"/>
        </w:rPr>
        <w:t> </w:t>
      </w:r>
      <w:r>
        <w:rPr>
          <w:vertAlign w:val="baseline"/>
        </w:rPr>
        <w:t>there</w:t>
      </w:r>
      <w:r>
        <w:rPr>
          <w:spacing w:val="-2"/>
          <w:vertAlign w:val="baseline"/>
        </w:rPr>
        <w:t> </w:t>
      </w:r>
      <w:r>
        <w:rPr>
          <w:vertAlign w:val="baseline"/>
        </w:rPr>
        <w:t>are</w:t>
      </w:r>
      <w:r>
        <w:rPr>
          <w:spacing w:val="-2"/>
          <w:vertAlign w:val="baseline"/>
        </w:rPr>
        <w:t> </w:t>
      </w:r>
      <w:r>
        <w:rPr>
          <w:vertAlign w:val="baseline"/>
        </w:rPr>
        <w:t>no words</w:t>
      </w:r>
      <w:r>
        <w:rPr>
          <w:spacing w:val="5"/>
          <w:vertAlign w:val="baseline"/>
        </w:rPr>
        <w:t> </w:t>
      </w:r>
      <w:r>
        <w:rPr>
          <w:vertAlign w:val="baseline"/>
        </w:rPr>
        <w:t>reserving</w:t>
      </w:r>
      <w:r>
        <w:rPr>
          <w:spacing w:val="5"/>
          <w:vertAlign w:val="baseline"/>
        </w:rPr>
        <w:t> </w:t>
      </w:r>
      <w:r>
        <w:rPr>
          <w:vertAlign w:val="baseline"/>
        </w:rPr>
        <w:t>rights</w:t>
      </w:r>
      <w:r>
        <w:rPr>
          <w:spacing w:val="5"/>
          <w:vertAlign w:val="baseline"/>
        </w:rPr>
        <w:t> </w:t>
      </w:r>
      <w:r>
        <w:rPr>
          <w:vertAlign w:val="baseline"/>
        </w:rPr>
        <w:t>against</w:t>
      </w:r>
      <w:r>
        <w:rPr>
          <w:spacing w:val="5"/>
          <w:vertAlign w:val="baseline"/>
        </w:rPr>
        <w:t> </w:t>
      </w:r>
      <w:r>
        <w:rPr>
          <w:vertAlign w:val="baseline"/>
        </w:rPr>
        <w:t>the</w:t>
      </w:r>
      <w:r>
        <w:rPr>
          <w:spacing w:val="5"/>
          <w:vertAlign w:val="baseline"/>
        </w:rPr>
        <w:t> </w:t>
      </w:r>
      <w:r>
        <w:rPr>
          <w:vertAlign w:val="baseline"/>
        </w:rPr>
        <w:t>other</w:t>
      </w:r>
      <w:r>
        <w:rPr>
          <w:spacing w:val="5"/>
          <w:vertAlign w:val="baseline"/>
        </w:rPr>
        <w:t> </w:t>
      </w:r>
      <w:r>
        <w:rPr>
          <w:vertAlign w:val="baseline"/>
        </w:rPr>
        <w:t>debtors,</w:t>
      </w:r>
      <w:r>
        <w:rPr>
          <w:spacing w:val="5"/>
          <w:vertAlign w:val="baseline"/>
        </w:rPr>
        <w:t> </w:t>
      </w:r>
      <w:r>
        <w:rPr>
          <w:vertAlign w:val="baseline"/>
        </w:rPr>
        <w:t>nor</w:t>
      </w:r>
      <w:r>
        <w:rPr>
          <w:spacing w:val="5"/>
          <w:vertAlign w:val="baseline"/>
        </w:rPr>
        <w:t> </w:t>
      </w:r>
      <w:r>
        <w:rPr>
          <w:vertAlign w:val="baseline"/>
        </w:rPr>
        <w:t>anything</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circumstances</w:t>
      </w:r>
      <w:r>
        <w:rPr>
          <w:spacing w:val="5"/>
          <w:vertAlign w:val="baseline"/>
        </w:rPr>
        <w:t> </w:t>
      </w:r>
      <w:r>
        <w:rPr>
          <w:vertAlign w:val="baseline"/>
        </w:rPr>
        <w:t>to</w:t>
      </w:r>
      <w:r>
        <w:rPr>
          <w:spacing w:val="5"/>
          <w:vertAlign w:val="baseline"/>
        </w:rPr>
        <w:t> </w:t>
      </w:r>
      <w:r>
        <w:rPr>
          <w:vertAlign w:val="baseline"/>
        </w:rPr>
        <w:t>rebut</w:t>
      </w:r>
      <w:r>
        <w:rPr>
          <w:spacing w:val="5"/>
          <w:vertAlign w:val="baseline"/>
        </w:rPr>
        <w:t> </w:t>
      </w:r>
      <w:r>
        <w:rPr>
          <w:vertAlign w:val="baseline"/>
        </w:rPr>
        <w:t>the</w:t>
      </w:r>
      <w:r>
        <w:rPr>
          <w:spacing w:val="5"/>
          <w:vertAlign w:val="baseline"/>
        </w:rPr>
        <w:t> </w:t>
      </w:r>
      <w:r>
        <w:rPr>
          <w:spacing w:val="-2"/>
          <w:vertAlign w:val="baseline"/>
        </w:rPr>
        <w:t>prima</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52" w:id="54"/>
      <w:bookmarkEnd w:id="54"/>
      <w:r>
        <w:rPr/>
      </w:r>
      <w:r>
        <w:rPr/>
        <w:t>facie meaning of words used, the agreement will release all the debtors </w:t>
      </w:r>
      <w:r>
        <w:rPr>
          <w:color w:val="005DA1"/>
          <w:u w:val="single" w:color="005DA1"/>
          <w:vertAlign w:val="superscript"/>
        </w:rPr>
        <w:t>56</w:t>
      </w:r>
      <w:r>
        <w:rPr>
          <w:vertAlign w:val="baseline"/>
        </w:rPr>
        <w:t>; but it would seem that the courts lean in favour of other debtors not being discharged by construing the agreement as </w:t>
      </w:r>
      <w:r>
        <w:rPr>
          <w:vertAlign w:val="baseline"/>
        </w:rPr>
        <w:t>a </w:t>
      </w:r>
      <w:bookmarkStart w:name="_bookmark53" w:id="55"/>
      <w:bookmarkEnd w:id="55"/>
      <w:r>
        <w:rPr>
          <w:vertAlign w:val="baseline"/>
        </w:rPr>
        <w:t>covenant</w:t>
      </w:r>
      <w:r>
        <w:rPr>
          <w:vertAlign w:val="baseline"/>
        </w:rPr>
        <w:t> not to sue or as a release but subject to an implied reservation of rights against other debtors. </w:t>
      </w:r>
      <w:r>
        <w:rPr>
          <w:color w:val="005DA1"/>
          <w:u w:val="single" w:color="005DA1"/>
          <w:vertAlign w:val="superscript"/>
        </w:rPr>
        <w:t>57</w:t>
      </w:r>
    </w:p>
    <w:p>
      <w:pPr>
        <w:pStyle w:val="BodyText"/>
      </w:pPr>
    </w:p>
    <w:p>
      <w:pPr>
        <w:pStyle w:val="BodyText"/>
        <w:spacing w:before="37"/>
      </w:pPr>
    </w:p>
    <w:p>
      <w:pPr>
        <w:spacing w:before="0"/>
        <w:ind w:left="23" w:right="0" w:firstLine="0"/>
        <w:jc w:val="left"/>
        <w:rPr>
          <w:rFonts w:ascii="Arial"/>
          <w:b/>
          <w:sz w:val="18"/>
        </w:rPr>
      </w:pPr>
      <w:r>
        <w:rPr>
          <w:rFonts w:ascii="Arial"/>
          <w:b/>
          <w:spacing w:val="-2"/>
          <w:sz w:val="18"/>
        </w:rPr>
        <w:t>Sureties</w:t>
      </w:r>
    </w:p>
    <w:p>
      <w:pPr>
        <w:pStyle w:val="BodyText"/>
        <w:spacing w:before="42"/>
        <w:rPr>
          <w:rFonts w:ascii="Arial"/>
          <w:b/>
          <w:sz w:val="18"/>
        </w:rPr>
      </w:pPr>
    </w:p>
    <w:p>
      <w:pPr>
        <w:pStyle w:val="Heading2"/>
      </w:pPr>
      <w:r>
        <w:rPr/>
        <w:t>17-</w:t>
      </w:r>
      <w:r>
        <w:rPr>
          <w:spacing w:val="-5"/>
        </w:rPr>
        <w:t>021</w:t>
      </w:r>
    </w:p>
    <w:p>
      <w:pPr>
        <w:pStyle w:val="BodyText"/>
        <w:spacing w:line="235" w:lineRule="auto" w:before="202"/>
        <w:ind w:left="23" w:right="25"/>
        <w:jc w:val="both"/>
      </w:pPr>
      <w:r>
        <w:rPr/>
        <w:t>Some special rules apply to joint or joint and several debtors who are sureties. For instance, an </w:t>
      </w:r>
      <w:bookmarkStart w:name="_bookmark54" w:id="56"/>
      <w:bookmarkEnd w:id="56"/>
      <w:r>
        <w:rPr/>
        <w:t>agreement</w:t>
      </w:r>
      <w:r>
        <w:rPr/>
        <w:t> to give time to a principal debtor without the consent of a surety discharges the surety </w:t>
      </w:r>
      <w:bookmarkStart w:name="_bookmark55" w:id="57"/>
      <w:bookmarkEnd w:id="57"/>
      <w:r>
        <w:rPr/>
        <w:t>unless</w:t>
      </w:r>
      <w:r>
        <w:rPr/>
        <w:t> there is an express reservation of rights against the surety </w:t>
      </w:r>
      <w:r>
        <w:rPr>
          <w:color w:val="005DA1"/>
          <w:u w:val="single" w:color="005DA1"/>
          <w:vertAlign w:val="superscript"/>
        </w:rPr>
        <w:t>58</w:t>
      </w:r>
      <w:r>
        <w:rPr>
          <w:vertAlign w:val="baseline"/>
        </w:rPr>
        <w:t>; but an agreement to give time </w:t>
      </w:r>
      <w:r>
        <w:rPr>
          <w:vertAlign w:val="baseline"/>
        </w:rPr>
        <w:t>to </w:t>
      </w:r>
      <w:bookmarkStart w:name="_bookmark56" w:id="58"/>
      <w:bookmarkEnd w:id="58"/>
      <w:r>
        <w:rPr>
          <w:vertAlign w:val="baseline"/>
        </w:rPr>
        <w:t>one</w:t>
      </w:r>
      <w:r>
        <w:rPr>
          <w:vertAlign w:val="baseline"/>
        </w:rPr>
        <w:t> co-debtor without the consent of the other does not discharge them </w:t>
      </w:r>
      <w:r>
        <w:rPr>
          <w:color w:val="005DA1"/>
          <w:u w:val="single" w:color="005DA1"/>
          <w:vertAlign w:val="superscript"/>
        </w:rPr>
        <w:t>59</w:t>
      </w:r>
      <w:r>
        <w:rPr>
          <w:color w:val="005DA1"/>
          <w:vertAlign w:val="baseline"/>
        </w:rPr>
        <w:t> </w:t>
      </w:r>
      <w:r>
        <w:rPr>
          <w:vertAlign w:val="baseline"/>
        </w:rPr>
        <w:t>unless they are sureties. These special rules as to sureties are fully discussed elsewhere in this work. </w:t>
      </w:r>
      <w:r>
        <w:rPr>
          <w:color w:val="005DA1"/>
          <w:u w:val="single" w:color="005DA1"/>
          <w:vertAlign w:val="superscript"/>
        </w:rPr>
        <w:t>60</w:t>
      </w:r>
    </w:p>
    <w:p>
      <w:pPr>
        <w:pStyle w:val="BodyText"/>
      </w:pPr>
    </w:p>
    <w:p>
      <w:pPr>
        <w:pStyle w:val="BodyText"/>
        <w:spacing w:before="37"/>
      </w:pPr>
    </w:p>
    <w:p>
      <w:pPr>
        <w:spacing w:before="0"/>
        <w:ind w:left="23" w:right="0" w:firstLine="0"/>
        <w:jc w:val="left"/>
        <w:rPr>
          <w:rFonts w:ascii="Arial"/>
          <w:b/>
          <w:sz w:val="18"/>
        </w:rPr>
      </w:pPr>
      <w:r>
        <w:rPr>
          <w:rFonts w:ascii="Arial"/>
          <w:b/>
          <w:sz w:val="18"/>
        </w:rPr>
        <w:t>Material </w:t>
      </w:r>
      <w:r>
        <w:rPr>
          <w:rFonts w:ascii="Arial"/>
          <w:b/>
          <w:spacing w:val="-2"/>
          <w:sz w:val="18"/>
        </w:rPr>
        <w:t>alteration</w:t>
      </w:r>
    </w:p>
    <w:p>
      <w:pPr>
        <w:pStyle w:val="BodyText"/>
        <w:spacing w:before="41"/>
        <w:rPr>
          <w:rFonts w:ascii="Arial"/>
          <w:b/>
          <w:sz w:val="18"/>
        </w:rPr>
      </w:pPr>
    </w:p>
    <w:p>
      <w:pPr>
        <w:pStyle w:val="Heading2"/>
      </w:pPr>
      <w:r>
        <w:rPr/>
        <w:t>17-</w:t>
      </w:r>
      <w:r>
        <w:rPr>
          <w:spacing w:val="-5"/>
        </w:rPr>
        <w:t>022</w:t>
      </w:r>
    </w:p>
    <w:p>
      <w:pPr>
        <w:pStyle w:val="BodyText"/>
        <w:spacing w:line="235" w:lineRule="auto" w:before="203"/>
        <w:ind w:left="22" w:right="25"/>
        <w:jc w:val="both"/>
      </w:pPr>
      <w:bookmarkStart w:name="_bookmark57" w:id="59"/>
      <w:bookmarkEnd w:id="59"/>
      <w:r>
        <w:rPr/>
      </w:r>
      <w:r>
        <w:rPr/>
        <w:t>As will be seen, </w:t>
      </w:r>
      <w:r>
        <w:rPr>
          <w:color w:val="005DA1"/>
          <w:u w:val="single" w:color="005DA1"/>
          <w:vertAlign w:val="superscript"/>
        </w:rPr>
        <w:t>61</w:t>
      </w:r>
      <w:r>
        <w:rPr>
          <w:color w:val="005DA1"/>
          <w:vertAlign w:val="baseline"/>
        </w:rPr>
        <w:t> </w:t>
      </w:r>
      <w:r>
        <w:rPr>
          <w:vertAlign w:val="baseline"/>
        </w:rPr>
        <w:t>if a material alteration is made in a specialty or any other contractual document without the consent of the promisor, whether by the promisee or (possibly) by a stranger, when the </w:t>
      </w:r>
      <w:bookmarkStart w:name="_bookmark58" w:id="60"/>
      <w:bookmarkEnd w:id="60"/>
      <w:r>
        <w:rPr>
          <w:vertAlign w:val="baseline"/>
        </w:rPr>
        <w:t>document</w:t>
      </w:r>
      <w:r>
        <w:rPr>
          <w:vertAlign w:val="baseline"/>
        </w:rPr>
        <w:t> is in the custody of the promisee or his agent, such alteration discharges the promisor from </w:t>
      </w:r>
      <w:bookmarkStart w:name="_bookmark59" w:id="61"/>
      <w:bookmarkEnd w:id="61"/>
      <w:r>
        <w:rPr>
          <w:vertAlign w:val="baseline"/>
        </w:rPr>
        <w:t>all</w:t>
      </w:r>
      <w:r>
        <w:rPr>
          <w:vertAlign w:val="baseline"/>
        </w:rPr>
        <w:t> liability thereon. </w:t>
      </w:r>
      <w:r>
        <w:rPr>
          <w:color w:val="005DA1"/>
          <w:u w:val="single" w:color="005DA1"/>
          <w:vertAlign w:val="superscript"/>
        </w:rPr>
        <w:t>62</w:t>
      </w:r>
      <w:r>
        <w:rPr>
          <w:color w:val="005DA1"/>
          <w:vertAlign w:val="baseline"/>
        </w:rPr>
        <w:t> </w:t>
      </w:r>
      <w:r>
        <w:rPr>
          <w:vertAlign w:val="baseline"/>
        </w:rPr>
        <w:t>The same rule applies to a contract entered into by joint or joint and </w:t>
      </w:r>
      <w:r>
        <w:rPr>
          <w:vertAlign w:val="baseline"/>
        </w:rPr>
        <w:t>several contractors. </w:t>
      </w:r>
      <w:r>
        <w:rPr>
          <w:color w:val="005DA1"/>
          <w:u w:val="single" w:color="005DA1"/>
          <w:vertAlign w:val="superscript"/>
        </w:rPr>
        <w:t>63</w:t>
      </w:r>
      <w:r>
        <w:rPr>
          <w:color w:val="005DA1"/>
          <w:vertAlign w:val="baseline"/>
        </w:rPr>
        <w:t> </w:t>
      </w:r>
      <w:r>
        <w:rPr>
          <w:vertAlign w:val="baseline"/>
        </w:rPr>
        <w:t>There is no authority on the question whether a material alteration which discharges one operates also to discharge them all.</w:t>
      </w:r>
    </w:p>
    <w:p>
      <w:pPr>
        <w:pStyle w:val="BodyText"/>
      </w:pPr>
    </w:p>
    <w:p>
      <w:pPr>
        <w:pStyle w:val="BodyText"/>
        <w:spacing w:before="36"/>
      </w:pPr>
    </w:p>
    <w:p>
      <w:pPr>
        <w:spacing w:before="0"/>
        <w:ind w:left="23" w:right="0" w:firstLine="0"/>
        <w:jc w:val="left"/>
        <w:rPr>
          <w:rFonts w:ascii="Arial"/>
          <w:b/>
          <w:sz w:val="18"/>
        </w:rPr>
      </w:pPr>
      <w:r>
        <w:rPr>
          <w:rFonts w:ascii="Arial"/>
          <w:b/>
          <w:sz w:val="18"/>
        </w:rPr>
        <w:t>Debtor becoming executor or </w:t>
      </w:r>
      <w:r>
        <w:rPr>
          <w:rFonts w:ascii="Arial"/>
          <w:b/>
          <w:spacing w:val="-2"/>
          <w:sz w:val="18"/>
        </w:rPr>
        <w:t>administrator</w:t>
      </w:r>
    </w:p>
    <w:p>
      <w:pPr>
        <w:pStyle w:val="BodyText"/>
        <w:spacing w:before="42"/>
        <w:rPr>
          <w:rFonts w:ascii="Arial"/>
          <w:b/>
          <w:sz w:val="18"/>
        </w:rPr>
      </w:pPr>
    </w:p>
    <w:p>
      <w:pPr>
        <w:pStyle w:val="Heading2"/>
      </w:pPr>
      <w:r>
        <w:rPr/>
        <w:t>17-</w:t>
      </w:r>
      <w:r>
        <w:rPr>
          <w:spacing w:val="-5"/>
        </w:rPr>
        <w:t>023</w:t>
      </w:r>
    </w:p>
    <w:p>
      <w:pPr>
        <w:pStyle w:val="BodyText"/>
        <w:spacing w:line="235" w:lineRule="auto" w:before="202"/>
        <w:ind w:left="22" w:right="25"/>
        <w:jc w:val="both"/>
      </w:pPr>
      <w:bookmarkStart w:name="_bookmark60" w:id="62"/>
      <w:bookmarkEnd w:id="62"/>
      <w:r>
        <w:rPr/>
      </w:r>
      <w:r>
        <w:rPr/>
        <w:t>Where a debtor becomes executor or administrator of the estate of his creditor, the debt is </w:t>
      </w:r>
      <w:bookmarkStart w:name="_bookmark61" w:id="63"/>
      <w:bookmarkEnd w:id="63"/>
      <w:r>
        <w:rPr/>
        <w:t>extinguished,</w:t>
      </w:r>
      <w:r>
        <w:rPr/>
        <w:t> but the debtor may be accountable for the amount of the debt, </w:t>
      </w:r>
      <w:r>
        <w:rPr>
          <w:color w:val="005DA1"/>
          <w:u w:val="single" w:color="005DA1"/>
          <w:vertAlign w:val="superscript"/>
        </w:rPr>
        <w:t>64</w:t>
      </w:r>
      <w:r>
        <w:rPr>
          <w:color w:val="005DA1"/>
          <w:vertAlign w:val="baseline"/>
        </w:rPr>
        <w:t> </w:t>
      </w:r>
      <w:r>
        <w:rPr>
          <w:vertAlign w:val="baseline"/>
        </w:rPr>
        <w:t>unless the </w:t>
      </w:r>
      <w:r>
        <w:rPr>
          <w:vertAlign w:val="baseline"/>
        </w:rPr>
        <w:t>creditor intended by appointing him as executor, to discharge the debt. </w:t>
      </w:r>
      <w:r>
        <w:rPr>
          <w:color w:val="005DA1"/>
          <w:u w:val="single" w:color="005DA1"/>
          <w:vertAlign w:val="superscript"/>
        </w:rPr>
        <w:t>65</w:t>
      </w:r>
      <w:r>
        <w:rPr>
          <w:color w:val="005DA1"/>
          <w:vertAlign w:val="baseline"/>
        </w:rPr>
        <w:t> </w:t>
      </w:r>
      <w:r>
        <w:rPr>
          <w:vertAlign w:val="baseline"/>
        </w:rPr>
        <w:t>Although this rule is now statutory, </w:t>
      </w:r>
      <w:bookmarkStart w:name="_bookmark62" w:id="64"/>
      <w:bookmarkEnd w:id="64"/>
      <w:r>
        <w:rPr>
          <w:vertAlign w:val="baseline"/>
        </w:rPr>
        <w:t>previous</w:t>
      </w:r>
      <w:r>
        <w:rPr>
          <w:vertAlign w:val="baseline"/>
        </w:rPr>
        <w:t> authorities holding that co-debtors were necessarily discharged in these circumstances</w:t>
      </w:r>
      <w:r>
        <w:rPr>
          <w:spacing w:val="40"/>
          <w:vertAlign w:val="baseline"/>
        </w:rPr>
        <w:t> </w:t>
      </w:r>
      <w:bookmarkStart w:name="_bookmark63" w:id="65"/>
      <w:bookmarkEnd w:id="65"/>
      <w:r>
        <w:rPr>
          <w:vertAlign w:val="baseline"/>
        </w:rPr>
        <w:t>seem</w:t>
      </w:r>
      <w:r>
        <w:rPr>
          <w:vertAlign w:val="baseline"/>
        </w:rPr>
        <w:t> unaffected. </w:t>
      </w:r>
      <w:r>
        <w:rPr>
          <w:color w:val="005DA1"/>
          <w:u w:val="single" w:color="005DA1"/>
          <w:vertAlign w:val="superscript"/>
        </w:rPr>
        <w:t>66</w:t>
      </w:r>
      <w:r>
        <w:rPr>
          <w:color w:val="005DA1"/>
          <w:vertAlign w:val="baseline"/>
        </w:rPr>
        <w:t> </w:t>
      </w:r>
      <w:r>
        <w:rPr>
          <w:vertAlign w:val="baseline"/>
        </w:rPr>
        <w:t>This result, however, does not prevent the executor or administrator from recovering contribution under the principle stated in para.17-027. </w:t>
      </w:r>
      <w:r>
        <w:rPr>
          <w:color w:val="005DA1"/>
          <w:u w:val="single" w:color="005DA1"/>
          <w:vertAlign w:val="superscript"/>
        </w:rPr>
        <w:t>67</w:t>
      </w:r>
      <w:r>
        <w:rPr>
          <w:color w:val="005DA1"/>
          <w:vertAlign w:val="baseline"/>
        </w:rPr>
        <w:t> </w:t>
      </w:r>
      <w:r>
        <w:rPr>
          <w:vertAlign w:val="baseline"/>
        </w:rPr>
        <w:t>In the converse case where the </w:t>
      </w:r>
      <w:bookmarkStart w:name="_bookmark64" w:id="66"/>
      <w:bookmarkEnd w:id="66"/>
      <w:r>
        <w:rPr>
          <w:vertAlign w:val="baseline"/>
        </w:rPr>
        <w:t>creditor</w:t>
      </w:r>
      <w:r>
        <w:rPr>
          <w:vertAlign w:val="baseline"/>
        </w:rPr>
        <w:t> becomes executor to his debtor, the debt is not discharged unless the executor proves the</w:t>
      </w:r>
      <w:r>
        <w:rPr>
          <w:spacing w:val="40"/>
          <w:vertAlign w:val="baseline"/>
        </w:rPr>
        <w:t> </w:t>
      </w:r>
      <w:r>
        <w:rPr>
          <w:vertAlign w:val="baseline"/>
        </w:rPr>
        <w:t>will and has assets out of which he can pay the debt by means of his right of retainer. </w:t>
      </w:r>
      <w:r>
        <w:rPr>
          <w:color w:val="005DA1"/>
          <w:u w:val="single" w:color="005DA1"/>
          <w:vertAlign w:val="superscript"/>
        </w:rPr>
        <w:t>68</w:t>
      </w:r>
    </w:p>
    <w:p>
      <w:pPr>
        <w:pStyle w:val="BodyText"/>
      </w:pPr>
    </w:p>
    <w:p>
      <w:pPr>
        <w:pStyle w:val="BodyText"/>
        <w:spacing w:before="36"/>
      </w:pPr>
    </w:p>
    <w:p>
      <w:pPr>
        <w:spacing w:before="0"/>
        <w:ind w:left="23" w:right="0" w:firstLine="0"/>
        <w:jc w:val="left"/>
        <w:rPr>
          <w:rFonts w:ascii="Arial"/>
          <w:b/>
          <w:sz w:val="18"/>
        </w:rPr>
      </w:pPr>
      <w:r>
        <w:rPr>
          <w:rFonts w:ascii="Arial"/>
          <w:b/>
          <w:spacing w:val="-2"/>
          <w:sz w:val="18"/>
        </w:rPr>
        <w:t>Bankruptcy</w:t>
      </w:r>
    </w:p>
    <w:p>
      <w:pPr>
        <w:pStyle w:val="BodyText"/>
        <w:spacing w:before="41"/>
        <w:rPr>
          <w:rFonts w:ascii="Arial"/>
          <w:b/>
          <w:sz w:val="18"/>
        </w:rPr>
      </w:pPr>
    </w:p>
    <w:p>
      <w:pPr>
        <w:pStyle w:val="Heading2"/>
      </w:pPr>
      <w:r>
        <w:rPr/>
        <w:t>17-</w:t>
      </w:r>
      <w:r>
        <w:rPr>
          <w:spacing w:val="-5"/>
        </w:rPr>
        <w:t>024</w:t>
      </w:r>
    </w:p>
    <w:p>
      <w:pPr>
        <w:pStyle w:val="BodyText"/>
        <w:spacing w:before="199"/>
        <w:ind w:left="23"/>
        <w:jc w:val="both"/>
      </w:pPr>
      <w:bookmarkStart w:name="_bookmark65" w:id="67"/>
      <w:bookmarkEnd w:id="67"/>
      <w:r>
        <w:rPr/>
      </w:r>
      <w:r>
        <w:rPr/>
        <w:t>The discharge in bankruptcy of one joint or joint and several debtor does not discharge the others.</w:t>
      </w:r>
      <w:r>
        <w:rPr>
          <w:spacing w:val="-2"/>
        </w:rPr>
        <w:t> </w:t>
      </w:r>
      <w:r>
        <w:rPr>
          <w:color w:val="005DA1"/>
          <w:spacing w:val="-5"/>
          <w:u w:val="single" w:color="005DA1"/>
          <w:vertAlign w:val="superscript"/>
        </w:rPr>
        <w:t>69</w:t>
      </w:r>
    </w:p>
    <w:p>
      <w:pPr>
        <w:pStyle w:val="BodyText"/>
      </w:pPr>
    </w:p>
    <w:p>
      <w:pPr>
        <w:pStyle w:val="BodyText"/>
        <w:spacing w:before="37"/>
      </w:pPr>
    </w:p>
    <w:p>
      <w:pPr>
        <w:spacing w:before="1"/>
        <w:ind w:left="23" w:right="0" w:firstLine="0"/>
        <w:jc w:val="left"/>
        <w:rPr>
          <w:rFonts w:ascii="Arial"/>
          <w:b/>
          <w:sz w:val="18"/>
        </w:rPr>
      </w:pPr>
      <w:r>
        <w:rPr>
          <w:rFonts w:ascii="Arial"/>
          <w:b/>
          <w:sz w:val="18"/>
        </w:rPr>
        <w:t>Voluntary arrangements with </w:t>
      </w:r>
      <w:r>
        <w:rPr>
          <w:rFonts w:ascii="Arial"/>
          <w:b/>
          <w:spacing w:val="-2"/>
          <w:sz w:val="18"/>
        </w:rPr>
        <w:t>creditors</w:t>
      </w:r>
    </w:p>
    <w:p>
      <w:pPr>
        <w:pStyle w:val="BodyText"/>
        <w:spacing w:before="41"/>
        <w:rPr>
          <w:rFonts w:ascii="Arial"/>
          <w:b/>
          <w:sz w:val="18"/>
        </w:rPr>
      </w:pPr>
    </w:p>
    <w:p>
      <w:pPr>
        <w:pStyle w:val="Heading2"/>
      </w:pPr>
      <w:r>
        <w:rPr/>
        <w:t>17-</w:t>
      </w:r>
      <w:r>
        <w:rPr>
          <w:spacing w:val="-5"/>
        </w:rPr>
        <w:t>025</w:t>
      </w:r>
    </w:p>
    <w:p>
      <w:pPr>
        <w:pStyle w:val="BodyText"/>
        <w:spacing w:line="235" w:lineRule="auto" w:before="202"/>
        <w:ind w:left="23" w:right="25"/>
        <w:jc w:val="both"/>
      </w:pPr>
      <w:r>
        <w:rPr/>
        <w:t>Whether a voluntary arrangement with creditors entered into by an insolvent co-debtor, pursuant </w:t>
      </w:r>
      <w:r>
        <w:rPr/>
        <w:t>to </w:t>
      </w:r>
      <w:bookmarkStart w:name="_bookmark66" w:id="68"/>
      <w:bookmarkEnd w:id="68"/>
      <w:r>
        <w:rPr/>
        <w:t>the</w:t>
      </w:r>
      <w:r>
        <w:rPr/>
        <w:t> Insolvency Act 1986, does or does not discharge other co-debtors, who are not parties to the voluntary arrangement, will depend on the term of the voluntary arrangement. </w:t>
      </w:r>
      <w:r>
        <w:rPr>
          <w:color w:val="005DA1"/>
          <w:u w:val="single" w:color="005DA1"/>
          <w:vertAlign w:val="superscript"/>
        </w:rPr>
        <w:t>70</w:t>
      </w:r>
    </w:p>
    <w:p>
      <w:pPr>
        <w:pStyle w:val="BodyText"/>
      </w:pPr>
    </w:p>
    <w:p>
      <w:pPr>
        <w:pStyle w:val="BodyText"/>
        <w:spacing w:before="38"/>
      </w:pPr>
    </w:p>
    <w:p>
      <w:pPr>
        <w:spacing w:before="0"/>
        <w:ind w:left="23" w:right="0" w:firstLine="0"/>
        <w:jc w:val="left"/>
        <w:rPr>
          <w:rFonts w:ascii="Arial"/>
          <w:b/>
          <w:sz w:val="18"/>
        </w:rPr>
      </w:pPr>
      <w:r>
        <w:rPr>
          <w:rFonts w:ascii="Arial"/>
          <w:b/>
          <w:sz w:val="18"/>
        </w:rPr>
        <w:t>Limitation Act </w:t>
      </w:r>
      <w:r>
        <w:rPr>
          <w:rFonts w:ascii="Arial"/>
          <w:b/>
          <w:spacing w:val="-4"/>
          <w:sz w:val="18"/>
        </w:rPr>
        <w:t>1980</w:t>
      </w:r>
    </w:p>
    <w:p>
      <w:pPr>
        <w:spacing w:after="0"/>
        <w:jc w:val="left"/>
        <w:rPr>
          <w:rFonts w:ascii="Arial"/>
          <w:b/>
          <w:sz w:val="18"/>
        </w:rPr>
        <w:sectPr>
          <w:pgSz w:w="11900" w:h="16840"/>
          <w:pgMar w:header="971" w:footer="0" w:top="1300" w:bottom="280" w:left="1417" w:right="1417"/>
        </w:sectPr>
      </w:pPr>
    </w:p>
    <w:p>
      <w:pPr>
        <w:pStyle w:val="Heading2"/>
        <w:spacing w:before="262"/>
      </w:pPr>
      <w:r>
        <w:rPr/>
        <w:t>17-</w:t>
      </w:r>
      <w:r>
        <w:rPr>
          <w:spacing w:val="-5"/>
        </w:rPr>
        <w:t>026</w:t>
      </w:r>
    </w:p>
    <w:p>
      <w:pPr>
        <w:pStyle w:val="BodyText"/>
        <w:spacing w:line="235" w:lineRule="auto" w:before="202"/>
        <w:ind w:left="23" w:right="25"/>
        <w:jc w:val="both"/>
      </w:pPr>
      <w:bookmarkStart w:name="_bookmark67" w:id="69"/>
      <w:bookmarkEnd w:id="69"/>
      <w:r>
        <w:rPr/>
      </w:r>
      <w:r>
        <w:rPr/>
        <w:t>An acknowledgment or part payment of a debt or other liquidated pecuniary claim made by one joint </w:t>
      </w:r>
      <w:bookmarkStart w:name="_bookmark68" w:id="70"/>
      <w:bookmarkEnd w:id="70"/>
      <w:r>
        <w:rPr/>
        <w:t>debtor</w:t>
      </w:r>
      <w:r>
        <w:rPr/>
        <w:t> does not take a case out of the Limitation Act 1980 as regards the others, </w:t>
      </w:r>
      <w:r>
        <w:rPr>
          <w:color w:val="005DA1"/>
          <w:u w:val="single" w:color="005DA1"/>
          <w:vertAlign w:val="superscript"/>
        </w:rPr>
        <w:t>71</w:t>
      </w:r>
      <w:r>
        <w:rPr>
          <w:color w:val="005DA1"/>
          <w:vertAlign w:val="baseline"/>
        </w:rPr>
        <w:t> </w:t>
      </w:r>
      <w:r>
        <w:rPr>
          <w:vertAlign w:val="baseline"/>
        </w:rPr>
        <w:t>unless: (1) it </w:t>
      </w:r>
      <w:r>
        <w:rPr>
          <w:vertAlign w:val="baseline"/>
        </w:rPr>
        <w:t>is </w:t>
      </w:r>
      <w:bookmarkStart w:name="_bookmark69" w:id="71"/>
      <w:bookmarkEnd w:id="71"/>
      <w:r>
        <w:rPr>
          <w:vertAlign w:val="baseline"/>
        </w:rPr>
        <w:t>made</w:t>
      </w:r>
      <w:r>
        <w:rPr>
          <w:vertAlign w:val="baseline"/>
        </w:rPr>
        <w:t> with their authority as agent for them </w:t>
      </w:r>
      <w:r>
        <w:rPr>
          <w:color w:val="005DA1"/>
          <w:u w:val="single" w:color="005DA1"/>
          <w:vertAlign w:val="superscript"/>
        </w:rPr>
        <w:t>72</w:t>
      </w:r>
      <w:r>
        <w:rPr>
          <w:vertAlign w:val="baseline"/>
        </w:rPr>
        <w:t>; or (2) a part payment (not an acknowledgment) is</w:t>
      </w:r>
      <w:r>
        <w:rPr>
          <w:spacing w:val="40"/>
          <w:vertAlign w:val="baseline"/>
        </w:rPr>
        <w:t> </w:t>
      </w:r>
      <w:r>
        <w:rPr>
          <w:vertAlign w:val="baseline"/>
        </w:rPr>
        <w:t>made before the expiration of the limitation period. </w:t>
      </w:r>
      <w:r>
        <w:rPr>
          <w:color w:val="005DA1"/>
          <w:u w:val="single" w:color="005DA1"/>
          <w:vertAlign w:val="superscript"/>
        </w:rPr>
        <w:t>73</w:t>
      </w:r>
      <w:r>
        <w:rPr>
          <w:color w:val="005DA1"/>
          <w:vertAlign w:val="baseline"/>
        </w:rPr>
        <w:t> </w:t>
      </w:r>
      <w:r>
        <w:rPr>
          <w:vertAlign w:val="baseline"/>
        </w:rPr>
        <w:t>The reason for the second exception is that a </w:t>
      </w:r>
      <w:bookmarkStart w:name="_bookmark70" w:id="72"/>
      <w:bookmarkEnd w:id="72"/>
      <w:r>
        <w:rPr>
          <w:vertAlign w:val="baseline"/>
        </w:rPr>
        <w:t>part</w:t>
      </w:r>
      <w:r>
        <w:rPr>
          <w:vertAlign w:val="baseline"/>
        </w:rPr>
        <w:t> payment made before the expiration of the period enures for the advantage of all the joint debtors,</w:t>
      </w:r>
      <w:r>
        <w:rPr>
          <w:spacing w:val="-1"/>
          <w:vertAlign w:val="baseline"/>
        </w:rPr>
        <w:t> </w:t>
      </w:r>
      <w:r>
        <w:rPr>
          <w:vertAlign w:val="baseline"/>
        </w:rPr>
        <w:t>hence</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thought</w:t>
      </w:r>
      <w:r>
        <w:rPr>
          <w:spacing w:val="-1"/>
          <w:vertAlign w:val="baseline"/>
        </w:rPr>
        <w:t> </w:t>
      </w:r>
      <w:r>
        <w:rPr>
          <w:vertAlign w:val="baseline"/>
        </w:rPr>
        <w:t>fair</w:t>
      </w:r>
      <w:r>
        <w:rPr>
          <w:spacing w:val="-1"/>
          <w:vertAlign w:val="baseline"/>
        </w:rPr>
        <w:t> </w:t>
      </w:r>
      <w:r>
        <w:rPr>
          <w:vertAlign w:val="baseline"/>
        </w:rPr>
        <w:t>that</w:t>
      </w:r>
      <w:r>
        <w:rPr>
          <w:spacing w:val="-1"/>
          <w:vertAlign w:val="baseline"/>
        </w:rPr>
        <w:t> </w:t>
      </w:r>
      <w:r>
        <w:rPr>
          <w:vertAlign w:val="baseline"/>
        </w:rPr>
        <w:t>they</w:t>
      </w:r>
      <w:r>
        <w:rPr>
          <w:spacing w:val="-1"/>
          <w:vertAlign w:val="baseline"/>
        </w:rPr>
        <w:t> </w:t>
      </w:r>
      <w:r>
        <w:rPr>
          <w:vertAlign w:val="baseline"/>
        </w:rPr>
        <w:t>should</w:t>
      </w:r>
      <w:r>
        <w:rPr>
          <w:spacing w:val="-1"/>
          <w:vertAlign w:val="baseline"/>
        </w:rPr>
        <w:t> </w:t>
      </w:r>
      <w:r>
        <w:rPr>
          <w:vertAlign w:val="baseline"/>
        </w:rPr>
        <w:t>share</w:t>
      </w:r>
      <w:r>
        <w:rPr>
          <w:spacing w:val="-1"/>
          <w:vertAlign w:val="baseline"/>
        </w:rPr>
        <w:t> </w:t>
      </w:r>
      <w:r>
        <w:rPr>
          <w:vertAlign w:val="baseline"/>
        </w:rPr>
        <w:t>the</w:t>
      </w:r>
      <w:r>
        <w:rPr>
          <w:spacing w:val="-1"/>
          <w:vertAlign w:val="baseline"/>
        </w:rPr>
        <w:t> </w:t>
      </w:r>
      <w:r>
        <w:rPr>
          <w:vertAlign w:val="baseline"/>
        </w:rPr>
        <w:t>disadvantage</w:t>
      </w:r>
      <w:r>
        <w:rPr>
          <w:spacing w:val="-1"/>
          <w:vertAlign w:val="baseline"/>
        </w:rPr>
        <w:t> </w:t>
      </w:r>
      <w:r>
        <w:rPr>
          <w:vertAlign w:val="baseline"/>
        </w:rPr>
        <w:t>too.</w:t>
      </w:r>
      <w:r>
        <w:rPr>
          <w:spacing w:val="-2"/>
          <w:vertAlign w:val="baseline"/>
        </w:rPr>
        <w:t> </w:t>
      </w:r>
      <w:r>
        <w:rPr>
          <w:color w:val="005DA1"/>
          <w:u w:val="single" w:color="005DA1"/>
          <w:vertAlign w:val="superscript"/>
        </w:rPr>
        <w:t>74</w:t>
      </w:r>
      <w:r>
        <w:rPr>
          <w:color w:val="005DA1"/>
          <w:spacing w:val="-1"/>
          <w:vertAlign w:val="baseline"/>
        </w:rPr>
        <w:t> </w:t>
      </w:r>
      <w:r>
        <w:rPr>
          <w:vertAlign w:val="baseline"/>
        </w:rPr>
        <w:t>The</w:t>
      </w:r>
      <w:r>
        <w:rPr>
          <w:spacing w:val="-1"/>
          <w:vertAlign w:val="baseline"/>
        </w:rPr>
        <w:t> </w:t>
      </w:r>
      <w:r>
        <w:rPr>
          <w:vertAlign w:val="baseline"/>
        </w:rPr>
        <w:t>rules</w:t>
      </w:r>
      <w:r>
        <w:rPr>
          <w:spacing w:val="-1"/>
          <w:vertAlign w:val="baseline"/>
        </w:rPr>
        <w:t> </w:t>
      </w:r>
      <w:r>
        <w:rPr>
          <w:vertAlign w:val="baseline"/>
        </w:rPr>
        <w:t>appear</w:t>
      </w:r>
      <w:r>
        <w:rPr>
          <w:spacing w:val="-1"/>
          <w:vertAlign w:val="baseline"/>
        </w:rPr>
        <w:t> </w:t>
      </w:r>
      <w:r>
        <w:rPr>
          <w:vertAlign w:val="baseline"/>
        </w:rPr>
        <w:t>to</w:t>
      </w:r>
      <w:r>
        <w:rPr>
          <w:spacing w:val="-1"/>
          <w:vertAlign w:val="baseline"/>
        </w:rPr>
        <w:t> </w:t>
      </w:r>
      <w:r>
        <w:rPr>
          <w:vertAlign w:val="baseline"/>
        </w:rPr>
        <w:t>be the same for joint and several debtors as they are for joint debtors.</w:t>
      </w:r>
    </w:p>
    <w:p>
      <w:pPr>
        <w:pStyle w:val="BodyText"/>
      </w:pPr>
    </w:p>
    <w:p>
      <w:pPr>
        <w:pStyle w:val="BodyText"/>
        <w:spacing w:before="36"/>
      </w:pPr>
    </w:p>
    <w:p>
      <w:pPr>
        <w:spacing w:before="0"/>
        <w:ind w:left="23" w:right="0" w:firstLine="0"/>
        <w:jc w:val="both"/>
        <w:rPr>
          <w:rFonts w:ascii="Arial"/>
          <w:b/>
          <w:sz w:val="18"/>
        </w:rPr>
      </w:pPr>
      <w:r>
        <w:rPr>
          <w:rFonts w:ascii="Arial"/>
          <w:b/>
          <w:sz w:val="18"/>
        </w:rPr>
        <w:t>Contribution between joint </w:t>
      </w:r>
      <w:r>
        <w:rPr>
          <w:rFonts w:ascii="Arial"/>
          <w:b/>
          <w:spacing w:val="-2"/>
          <w:sz w:val="18"/>
        </w:rPr>
        <w:t>debtors</w:t>
      </w:r>
    </w:p>
    <w:p>
      <w:pPr>
        <w:pStyle w:val="BodyText"/>
        <w:spacing w:before="41"/>
        <w:rPr>
          <w:rFonts w:ascii="Arial"/>
          <w:b/>
          <w:sz w:val="18"/>
        </w:rPr>
      </w:pPr>
    </w:p>
    <w:p>
      <w:pPr>
        <w:pStyle w:val="Heading2"/>
        <w:spacing w:before="1"/>
      </w:pPr>
      <w:r>
        <w:rPr/>
        <w:t>17-</w:t>
      </w:r>
      <w:r>
        <w:rPr>
          <w:spacing w:val="-5"/>
        </w:rPr>
        <w:t>027</w:t>
      </w:r>
    </w:p>
    <w:p>
      <w:pPr>
        <w:pStyle w:val="BodyText"/>
        <w:spacing w:line="235" w:lineRule="auto" w:before="202"/>
        <w:ind w:left="22" w:right="25"/>
        <w:jc w:val="both"/>
      </w:pPr>
      <w:r>
        <w:rPr/>
        <w:t>Joint and joint and several debtors have a restitutionary right of contribution among themselves: that</w:t>
      </w:r>
      <w:r>
        <w:rPr>
          <w:spacing w:val="40"/>
        </w:rPr>
        <w:t> </w:t>
      </w:r>
      <w:bookmarkStart w:name="_bookmark71" w:id="73"/>
      <w:bookmarkEnd w:id="73"/>
      <w:r>
        <w:rPr/>
        <w:t>is</w:t>
      </w:r>
      <w:r>
        <w:rPr/>
        <w:t> to say, if one has paid more than his share of the debt, he can recover the excess from the others</w:t>
      </w:r>
      <w:r>
        <w:rPr>
          <w:spacing w:val="40"/>
        </w:rPr>
        <w:t> </w:t>
      </w:r>
      <w:bookmarkStart w:name="_bookmark72" w:id="74"/>
      <w:bookmarkEnd w:id="74"/>
      <w:r>
        <w:rPr/>
        <w:t>in</w:t>
      </w:r>
      <w:r>
        <w:rPr/>
        <w:t> equal shares, subject to any agreement to the contrary. </w:t>
      </w:r>
      <w:r>
        <w:rPr>
          <w:color w:val="005DA1"/>
          <w:u w:val="single" w:color="005DA1"/>
          <w:vertAlign w:val="superscript"/>
        </w:rPr>
        <w:t>75</w:t>
      </w:r>
      <w:r>
        <w:rPr>
          <w:color w:val="005DA1"/>
          <w:vertAlign w:val="baseline"/>
        </w:rPr>
        <w:t> </w:t>
      </w:r>
      <w:r>
        <w:rPr>
          <w:vertAlign w:val="baseline"/>
        </w:rPr>
        <w:t>In the absence of agreement to the </w:t>
      </w:r>
      <w:bookmarkStart w:name="_bookmark73" w:id="75"/>
      <w:bookmarkEnd w:id="75"/>
      <w:r>
        <w:rPr>
          <w:vertAlign w:val="baseline"/>
        </w:rPr>
        <w:t>contrary</w:t>
      </w:r>
      <w:r>
        <w:rPr>
          <w:spacing w:val="-2"/>
          <w:vertAlign w:val="baseline"/>
        </w:rPr>
        <w:t> </w:t>
      </w:r>
      <w:r>
        <w:rPr>
          <w:vertAlign w:val="baseline"/>
        </w:rPr>
        <w:t>each</w:t>
      </w:r>
      <w:r>
        <w:rPr>
          <w:spacing w:val="-2"/>
          <w:vertAlign w:val="baseline"/>
        </w:rPr>
        <w:t> </w:t>
      </w:r>
      <w:r>
        <w:rPr>
          <w:vertAlign w:val="baseline"/>
        </w:rPr>
        <w:t>co-debtor</w:t>
      </w:r>
      <w:r>
        <w:rPr>
          <w:spacing w:val="-2"/>
          <w:vertAlign w:val="baseline"/>
        </w:rPr>
        <w:t> </w:t>
      </w:r>
      <w:r>
        <w:rPr>
          <w:vertAlign w:val="baseline"/>
        </w:rPr>
        <w:t>is</w:t>
      </w:r>
      <w:r>
        <w:rPr>
          <w:spacing w:val="-2"/>
          <w:vertAlign w:val="baseline"/>
        </w:rPr>
        <w:t> </w:t>
      </w:r>
      <w:r>
        <w:rPr>
          <w:vertAlign w:val="baseline"/>
        </w:rPr>
        <w:t>liable</w:t>
      </w:r>
      <w:r>
        <w:rPr>
          <w:spacing w:val="-2"/>
          <w:vertAlign w:val="baseline"/>
        </w:rPr>
        <w:t> </w:t>
      </w:r>
      <w:r>
        <w:rPr>
          <w:vertAlign w:val="baseline"/>
        </w:rPr>
        <w:t>for</w:t>
      </w:r>
      <w:r>
        <w:rPr>
          <w:spacing w:val="-2"/>
          <w:vertAlign w:val="baseline"/>
        </w:rPr>
        <w:t> </w:t>
      </w:r>
      <w:r>
        <w:rPr>
          <w:vertAlign w:val="baseline"/>
        </w:rPr>
        <w:t>an</w:t>
      </w:r>
      <w:r>
        <w:rPr>
          <w:spacing w:val="-2"/>
          <w:vertAlign w:val="baseline"/>
        </w:rPr>
        <w:t> </w:t>
      </w:r>
      <w:r>
        <w:rPr>
          <w:vertAlign w:val="baseline"/>
        </w:rPr>
        <w:t>equal</w:t>
      </w:r>
      <w:r>
        <w:rPr>
          <w:spacing w:val="-2"/>
          <w:vertAlign w:val="baseline"/>
        </w:rPr>
        <w:t> </w:t>
      </w:r>
      <w:r>
        <w:rPr>
          <w:vertAlign w:val="baseline"/>
        </w:rPr>
        <w:t>share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debt</w:t>
      </w:r>
      <w:r>
        <w:rPr>
          <w:spacing w:val="-2"/>
          <w:vertAlign w:val="baseline"/>
        </w:rPr>
        <w:t> </w:t>
      </w:r>
      <w:r>
        <w:rPr>
          <w:vertAlign w:val="baseline"/>
        </w:rPr>
        <w:t>or</w:t>
      </w:r>
      <w:r>
        <w:rPr>
          <w:spacing w:val="-2"/>
          <w:vertAlign w:val="baseline"/>
        </w:rPr>
        <w:t> </w:t>
      </w:r>
      <w:r>
        <w:rPr>
          <w:vertAlign w:val="baseline"/>
        </w:rPr>
        <w:t>obligation.</w:t>
      </w:r>
      <w:r>
        <w:rPr>
          <w:spacing w:val="-3"/>
          <w:vertAlign w:val="baseline"/>
        </w:rPr>
        <w:t> </w:t>
      </w:r>
      <w:r>
        <w:rPr>
          <w:color w:val="005DA1"/>
          <w:u w:val="single" w:color="005DA1"/>
          <w:vertAlign w:val="superscript"/>
        </w:rPr>
        <w:t>76</w:t>
      </w:r>
      <w:r>
        <w:rPr>
          <w:color w:val="005DA1"/>
          <w:spacing w:val="-2"/>
          <w:vertAlign w:val="baseline"/>
        </w:rPr>
        <w:t> </w:t>
      </w:r>
      <w:r>
        <w:rPr>
          <w:vertAlign w:val="baseline"/>
        </w:rPr>
        <w:t>This</w:t>
      </w:r>
      <w:r>
        <w:rPr>
          <w:spacing w:val="-2"/>
          <w:vertAlign w:val="baseline"/>
        </w:rPr>
        <w:t> </w:t>
      </w:r>
      <w:r>
        <w:rPr>
          <w:vertAlign w:val="baseline"/>
        </w:rPr>
        <w:t>right</w:t>
      </w:r>
      <w:r>
        <w:rPr>
          <w:spacing w:val="-2"/>
          <w:vertAlign w:val="baseline"/>
        </w:rPr>
        <w:t> </w:t>
      </w:r>
      <w:r>
        <w:rPr>
          <w:vertAlign w:val="baseline"/>
        </w:rPr>
        <w:t>is</w:t>
      </w:r>
      <w:r>
        <w:rPr>
          <w:spacing w:val="-2"/>
          <w:vertAlign w:val="baseline"/>
        </w:rPr>
        <w:t> </w:t>
      </w:r>
      <w:r>
        <w:rPr>
          <w:vertAlign w:val="baseline"/>
        </w:rPr>
        <w:t>statutory</w:t>
      </w:r>
      <w:r>
        <w:rPr>
          <w:spacing w:val="-2"/>
          <w:vertAlign w:val="baseline"/>
        </w:rPr>
        <w:t> </w:t>
      </w:r>
      <w:r>
        <w:rPr>
          <w:vertAlign w:val="baseline"/>
        </w:rPr>
        <w:t>in cases where a county court judgment against one joint debtor has been satisfied. </w:t>
      </w:r>
      <w:r>
        <w:rPr>
          <w:color w:val="005DA1"/>
          <w:u w:val="single" w:color="005DA1"/>
          <w:vertAlign w:val="superscript"/>
        </w:rPr>
        <w:t>77</w:t>
      </w:r>
      <w:r>
        <w:rPr>
          <w:color w:val="005DA1"/>
          <w:vertAlign w:val="baseline"/>
        </w:rPr>
        <w:t> </w:t>
      </w:r>
      <w:r>
        <w:rPr>
          <w:vertAlign w:val="baseline"/>
        </w:rPr>
        <w:t>The right </w:t>
      </w:r>
      <w:r>
        <w:rPr>
          <w:vertAlign w:val="baseline"/>
        </w:rPr>
        <w:t>of contribution is independent of any present right of the principal creditor. Thus one co-debtor can </w:t>
      </w:r>
      <w:bookmarkStart w:name="_bookmark74" w:id="76"/>
      <w:bookmarkEnd w:id="76"/>
      <w:r>
        <w:rPr>
          <w:vertAlign w:val="baseline"/>
        </w:rPr>
        <w:t>recover</w:t>
      </w:r>
      <w:r>
        <w:rPr>
          <w:vertAlign w:val="baseline"/>
        </w:rPr>
        <w:t> contribution from another although the principal creditor’s right to recover from that other </w:t>
      </w:r>
      <w:bookmarkStart w:name="_bookmark75" w:id="77"/>
      <w:bookmarkEnd w:id="77"/>
      <w:r>
        <w:rPr>
          <w:vertAlign w:val="baseline"/>
        </w:rPr>
        <w:t>debtor</w:t>
      </w:r>
      <w:r>
        <w:rPr>
          <w:vertAlign w:val="baseline"/>
        </w:rPr>
        <w:t> has become statute-barred. </w:t>
      </w:r>
      <w:r>
        <w:rPr>
          <w:color w:val="005DA1"/>
          <w:u w:val="single" w:color="005DA1"/>
          <w:vertAlign w:val="superscript"/>
        </w:rPr>
        <w:t>78</w:t>
      </w:r>
      <w:r>
        <w:rPr>
          <w:color w:val="005DA1"/>
          <w:vertAlign w:val="baseline"/>
        </w:rPr>
        <w:t> </w:t>
      </w:r>
      <w:r>
        <w:rPr>
          <w:vertAlign w:val="baseline"/>
        </w:rPr>
        <w:t>Again, the right to contribution may be enforced against the personal representatives of a deceased joint debtor, </w:t>
      </w:r>
      <w:r>
        <w:rPr>
          <w:color w:val="005DA1"/>
          <w:u w:val="single" w:color="005DA1"/>
          <w:vertAlign w:val="superscript"/>
        </w:rPr>
        <w:t>79</w:t>
      </w:r>
      <w:r>
        <w:rPr>
          <w:color w:val="005DA1"/>
          <w:vertAlign w:val="baseline"/>
        </w:rPr>
        <w:t> </w:t>
      </w:r>
      <w:r>
        <w:rPr>
          <w:vertAlign w:val="baseline"/>
        </w:rPr>
        <w:t>even though (as we have seen) </w:t>
      </w:r>
      <w:r>
        <w:rPr>
          <w:color w:val="005DA1"/>
          <w:u w:val="single" w:color="005DA1"/>
          <w:vertAlign w:val="superscript"/>
        </w:rPr>
        <w:t>80</w:t>
      </w:r>
      <w:r>
        <w:rPr>
          <w:color w:val="005DA1"/>
          <w:vertAlign w:val="baseline"/>
        </w:rPr>
        <w:t> </w:t>
      </w:r>
      <w:r>
        <w:rPr>
          <w:vertAlign w:val="baseline"/>
        </w:rPr>
        <w:t>they would not be liable to the creditor. (There is an exception to this rule in the case of lessees who are joint </w:t>
      </w:r>
      <w:bookmarkStart w:name="_bookmark76" w:id="78"/>
      <w:bookmarkEnd w:id="78"/>
      <w:r>
        <w:rPr>
          <w:vertAlign w:val="baseline"/>
        </w:rPr>
        <w:t>tenants:</w:t>
      </w:r>
      <w:r>
        <w:rPr>
          <w:vertAlign w:val="baseline"/>
        </w:rPr>
        <w:t> if one dies, the survivor cannot claim contribution in respect of rent from the personal </w:t>
      </w:r>
      <w:bookmarkStart w:name="_bookmark77" w:id="79"/>
      <w:bookmarkEnd w:id="79"/>
      <w:r>
        <w:rPr>
          <w:vertAlign w:val="baseline"/>
        </w:rPr>
        <w:t>representatives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deceased</w:t>
      </w:r>
      <w:r>
        <w:rPr>
          <w:spacing w:val="-1"/>
          <w:vertAlign w:val="baseline"/>
        </w:rPr>
        <w:t> </w:t>
      </w:r>
      <w:r>
        <w:rPr>
          <w:vertAlign w:val="baseline"/>
        </w:rPr>
        <w:t>lessee.</w:t>
      </w:r>
      <w:r>
        <w:rPr>
          <w:spacing w:val="-1"/>
          <w:vertAlign w:val="baseline"/>
        </w:rPr>
        <w:t> </w:t>
      </w:r>
      <w:r>
        <w:rPr>
          <w:color w:val="005DA1"/>
          <w:u w:val="single" w:color="005DA1"/>
          <w:vertAlign w:val="superscript"/>
        </w:rPr>
        <w:t>81</w:t>
      </w:r>
      <w:r>
        <w:rPr>
          <w:vertAlign w:val="baseline"/>
        </w:rPr>
        <w:t>)</w:t>
      </w:r>
      <w:r>
        <w:rPr>
          <w:spacing w:val="-1"/>
          <w:vertAlign w:val="baseline"/>
        </w:rPr>
        <w:t> </w:t>
      </w:r>
      <w:r>
        <w:rPr>
          <w:vertAlign w:val="baseline"/>
        </w:rPr>
        <w:t>If</w:t>
      </w:r>
      <w:r>
        <w:rPr>
          <w:spacing w:val="-1"/>
          <w:vertAlign w:val="baseline"/>
        </w:rPr>
        <w:t> </w:t>
      </w:r>
      <w:r>
        <w:rPr>
          <w:vertAlign w:val="baseline"/>
        </w:rPr>
        <w:t>one</w:t>
      </w:r>
      <w:r>
        <w:rPr>
          <w:spacing w:val="-1"/>
          <w:vertAlign w:val="baseline"/>
        </w:rPr>
        <w:t> </w:t>
      </w:r>
      <w:r>
        <w:rPr>
          <w:vertAlign w:val="baseline"/>
        </w:rPr>
        <w:t>joint</w:t>
      </w:r>
      <w:r>
        <w:rPr>
          <w:spacing w:val="-1"/>
          <w:vertAlign w:val="baseline"/>
        </w:rPr>
        <w:t> </w:t>
      </w:r>
      <w:r>
        <w:rPr>
          <w:vertAlign w:val="baseline"/>
        </w:rPr>
        <w:t>or</w:t>
      </w:r>
      <w:r>
        <w:rPr>
          <w:spacing w:val="-1"/>
          <w:vertAlign w:val="baseline"/>
        </w:rPr>
        <w:t> </w:t>
      </w:r>
      <w:r>
        <w:rPr>
          <w:vertAlign w:val="baseline"/>
        </w:rPr>
        <w:t>joint</w:t>
      </w:r>
      <w:r>
        <w:rPr>
          <w:spacing w:val="-1"/>
          <w:vertAlign w:val="baseline"/>
        </w:rPr>
        <w:t> </w:t>
      </w:r>
      <w:r>
        <w:rPr>
          <w:vertAlign w:val="baseline"/>
        </w:rPr>
        <w:t>and</w:t>
      </w:r>
      <w:r>
        <w:rPr>
          <w:spacing w:val="-1"/>
          <w:vertAlign w:val="baseline"/>
        </w:rPr>
        <w:t> </w:t>
      </w:r>
      <w:r>
        <w:rPr>
          <w:vertAlign w:val="baseline"/>
        </w:rPr>
        <w:t>several</w:t>
      </w:r>
      <w:r>
        <w:rPr>
          <w:spacing w:val="-1"/>
          <w:vertAlign w:val="baseline"/>
        </w:rPr>
        <w:t> </w:t>
      </w:r>
      <w:r>
        <w:rPr>
          <w:vertAlign w:val="baseline"/>
        </w:rPr>
        <w:t>debtor</w:t>
      </w:r>
      <w:r>
        <w:rPr>
          <w:spacing w:val="-1"/>
          <w:vertAlign w:val="baseline"/>
        </w:rPr>
        <w:t> </w:t>
      </w:r>
      <w:r>
        <w:rPr>
          <w:vertAlign w:val="baseline"/>
        </w:rPr>
        <w:t>is</w:t>
      </w:r>
      <w:r>
        <w:rPr>
          <w:spacing w:val="-1"/>
          <w:vertAlign w:val="baseline"/>
        </w:rPr>
        <w:t> </w:t>
      </w:r>
      <w:r>
        <w:rPr>
          <w:vertAlign w:val="baseline"/>
        </w:rPr>
        <w:t>insolvent,</w:t>
      </w:r>
      <w:r>
        <w:rPr>
          <w:spacing w:val="-1"/>
          <w:vertAlign w:val="baseline"/>
        </w:rPr>
        <w:t> </w:t>
      </w:r>
      <w:r>
        <w:rPr>
          <w:vertAlign w:val="baseline"/>
        </w:rPr>
        <w:t>the</w:t>
      </w:r>
      <w:r>
        <w:rPr>
          <w:spacing w:val="-1"/>
          <w:vertAlign w:val="baseline"/>
        </w:rPr>
        <w:t> </w:t>
      </w:r>
      <w:r>
        <w:rPr>
          <w:vertAlign w:val="baseline"/>
        </w:rPr>
        <w:t>loss resulting from his insolvency is spread equally among the solvent debtors. </w:t>
      </w:r>
      <w:r>
        <w:rPr>
          <w:color w:val="005DA1"/>
          <w:u w:val="single" w:color="005DA1"/>
          <w:vertAlign w:val="superscript"/>
        </w:rPr>
        <w:t>82</w:t>
      </w:r>
    </w:p>
    <w:p>
      <w:pPr>
        <w:pStyle w:val="BodyText"/>
        <w:spacing w:before="77"/>
      </w:pPr>
    </w:p>
    <w:p>
      <w:pPr>
        <w:pStyle w:val="Heading2"/>
      </w:pPr>
      <w:r>
        <w:rPr/>
        <w:t>17-</w:t>
      </w:r>
      <w:r>
        <w:rPr>
          <w:spacing w:val="-5"/>
        </w:rPr>
        <w:t>028</w:t>
      </w:r>
    </w:p>
    <w:p>
      <w:pPr>
        <w:pStyle w:val="BodyText"/>
        <w:spacing w:line="235" w:lineRule="auto" w:before="202"/>
        <w:ind w:left="23" w:right="25"/>
        <w:jc w:val="both"/>
      </w:pPr>
      <w:bookmarkStart w:name="_bookmark78" w:id="80"/>
      <w:bookmarkEnd w:id="80"/>
      <w:r>
        <w:rPr/>
      </w:r>
      <w:r>
        <w:rPr/>
        <w:t>It</w:t>
      </w:r>
      <w:r>
        <w:rPr>
          <w:spacing w:val="-1"/>
        </w:rPr>
        <w:t> </w:t>
      </w:r>
      <w:r>
        <w:rPr/>
        <w:t>is</w:t>
      </w:r>
      <w:r>
        <w:rPr>
          <w:spacing w:val="-1"/>
        </w:rPr>
        <w:t> </w:t>
      </w:r>
      <w:r>
        <w:rPr/>
        <w:t>a</w:t>
      </w:r>
      <w:r>
        <w:rPr>
          <w:spacing w:val="-1"/>
        </w:rPr>
        <w:t> </w:t>
      </w:r>
      <w:r>
        <w:rPr/>
        <w:t>condition</w:t>
      </w:r>
      <w:r>
        <w:rPr>
          <w:spacing w:val="-1"/>
        </w:rPr>
        <w:t> </w:t>
      </w:r>
      <w:r>
        <w:rPr/>
        <w:t>precedent</w:t>
      </w:r>
      <w:r>
        <w:rPr>
          <w:spacing w:val="-1"/>
        </w:rPr>
        <w:t> </w:t>
      </w:r>
      <w:r>
        <w:rPr/>
        <w:t>to</w:t>
      </w:r>
      <w:r>
        <w:rPr>
          <w:spacing w:val="-1"/>
        </w:rPr>
        <w:t> </w:t>
      </w:r>
      <w:r>
        <w:rPr/>
        <w:t>the</w:t>
      </w:r>
      <w:r>
        <w:rPr>
          <w:spacing w:val="-1"/>
        </w:rPr>
        <w:t> </w:t>
      </w:r>
      <w:r>
        <w:rPr/>
        <w:t>right</w:t>
      </w:r>
      <w:r>
        <w:rPr>
          <w:spacing w:val="-1"/>
        </w:rPr>
        <w:t> </w:t>
      </w:r>
      <w:r>
        <w:rPr/>
        <w:t>to</w:t>
      </w:r>
      <w:r>
        <w:rPr>
          <w:spacing w:val="-1"/>
        </w:rPr>
        <w:t> </w:t>
      </w:r>
      <w:r>
        <w:rPr/>
        <w:t>recover</w:t>
      </w:r>
      <w:r>
        <w:rPr>
          <w:spacing w:val="-1"/>
        </w:rPr>
        <w:t> </w:t>
      </w:r>
      <w:r>
        <w:rPr/>
        <w:t>contribution</w:t>
      </w:r>
      <w:r>
        <w:rPr>
          <w:spacing w:val="-1"/>
        </w:rPr>
        <w:t> </w:t>
      </w:r>
      <w:r>
        <w:rPr/>
        <w:t>that</w:t>
      </w:r>
      <w:r>
        <w:rPr>
          <w:spacing w:val="-1"/>
        </w:rPr>
        <w:t> </w:t>
      </w:r>
      <w:r>
        <w:rPr/>
        <w:t>the</w:t>
      </w:r>
      <w:r>
        <w:rPr>
          <w:spacing w:val="-1"/>
        </w:rPr>
        <w:t> </w:t>
      </w:r>
      <w:r>
        <w:rPr/>
        <w:t>claimant</w:t>
      </w:r>
      <w:r>
        <w:rPr>
          <w:spacing w:val="-1"/>
        </w:rPr>
        <w:t> </w:t>
      </w:r>
      <w:r>
        <w:rPr/>
        <w:t>should</w:t>
      </w:r>
      <w:r>
        <w:rPr>
          <w:spacing w:val="-1"/>
        </w:rPr>
        <w:t> </w:t>
      </w:r>
      <w:r>
        <w:rPr/>
        <w:t>have</w:t>
      </w:r>
      <w:r>
        <w:rPr>
          <w:spacing w:val="-1"/>
        </w:rPr>
        <w:t> </w:t>
      </w:r>
      <w:r>
        <w:rPr/>
        <w:t>been</w:t>
      </w:r>
      <w:r>
        <w:rPr>
          <w:spacing w:val="-1"/>
        </w:rPr>
        <w:t> </w:t>
      </w:r>
      <w:r>
        <w:rPr/>
        <w:t>liable to pay the whole debt </w:t>
      </w:r>
      <w:r>
        <w:rPr>
          <w:color w:val="005DA1"/>
          <w:u w:val="single" w:color="005DA1"/>
          <w:vertAlign w:val="superscript"/>
        </w:rPr>
        <w:t>83</w:t>
      </w:r>
      <w:r>
        <w:rPr>
          <w:color w:val="005DA1"/>
          <w:vertAlign w:val="baseline"/>
        </w:rPr>
        <w:t> </w:t>
      </w:r>
      <w:r>
        <w:rPr>
          <w:vertAlign w:val="baseline"/>
        </w:rPr>
        <w:t>and should have paid more than his share of it.</w:t>
      </w:r>
      <w:r>
        <w:rPr>
          <w:spacing w:val="-1"/>
          <w:vertAlign w:val="baseline"/>
        </w:rPr>
        <w:t> </w:t>
      </w:r>
      <w:r>
        <w:rPr>
          <w:color w:val="005DA1"/>
          <w:u w:val="single" w:color="005DA1"/>
          <w:vertAlign w:val="superscript"/>
        </w:rPr>
        <w:t>84</w:t>
      </w:r>
      <w:r>
        <w:rPr>
          <w:color w:val="005DA1"/>
          <w:vertAlign w:val="baseline"/>
        </w:rPr>
        <w:t> </w:t>
      </w:r>
      <w:r>
        <w:rPr>
          <w:vertAlign w:val="baseline"/>
        </w:rPr>
        <w:t>If he merely pays his share and no more, he has no present right to contribution: but he will acquire such right as soon as </w:t>
      </w:r>
      <w:bookmarkStart w:name="_bookmark79" w:id="81"/>
      <w:bookmarkEnd w:id="81"/>
      <w:r>
        <w:rPr>
          <w:vertAlign w:val="baseline"/>
        </w:rPr>
        <w:t>anything</w:t>
      </w:r>
      <w:r>
        <w:rPr>
          <w:vertAlign w:val="baseline"/>
        </w:rPr>
        <w:t> happens in the future which discharges the debt and thus brings it about that he has paid more than his share, for instance if the debt should become statute-barred. </w:t>
      </w:r>
      <w:r>
        <w:rPr>
          <w:color w:val="005DA1"/>
          <w:u w:val="single" w:color="005DA1"/>
          <w:vertAlign w:val="superscript"/>
        </w:rPr>
        <w:t>85</w:t>
      </w:r>
      <w:r>
        <w:rPr>
          <w:color w:val="005DA1"/>
          <w:vertAlign w:val="baseline"/>
        </w:rPr>
        <w:t> </w:t>
      </w:r>
      <w:r>
        <w:rPr>
          <w:vertAlign w:val="baseline"/>
        </w:rPr>
        <w:t>Moreover, a surety against whom the principal creditor has obtained judgment for the full amount of the debt, but who</w:t>
      </w:r>
      <w:r>
        <w:rPr>
          <w:spacing w:val="80"/>
          <w:vertAlign w:val="baseline"/>
        </w:rPr>
        <w:t> </w:t>
      </w:r>
      <w:r>
        <w:rPr>
          <w:vertAlign w:val="baseline"/>
        </w:rPr>
        <w:t>has paid nothing in respect of that judgment, can obtain a prospective order directing a co-surety, on payment by the surety of his own share of the debt, to indemnify him against further liability, or (if the </w:t>
      </w:r>
      <w:bookmarkStart w:name="_bookmark80" w:id="82"/>
      <w:bookmarkEnd w:id="82"/>
      <w:r>
        <w:rPr>
          <w:vertAlign w:val="baseline"/>
        </w:rPr>
        <w:t>principal</w:t>
      </w:r>
      <w:r>
        <w:rPr>
          <w:vertAlign w:val="baseline"/>
        </w:rPr>
        <w:t> creditor is a party to the action) an order directing the co-surety to pay his proportion to the principal creditor. </w:t>
      </w:r>
      <w:r>
        <w:rPr>
          <w:color w:val="005DA1"/>
          <w:u w:val="single" w:color="005DA1"/>
          <w:vertAlign w:val="superscript"/>
        </w:rPr>
        <w:t>86</w:t>
      </w:r>
      <w:r>
        <w:rPr>
          <w:color w:val="005DA1"/>
          <w:vertAlign w:val="baseline"/>
        </w:rPr>
        <w:t> </w:t>
      </w:r>
      <w:r>
        <w:rPr>
          <w:vertAlign w:val="baseline"/>
        </w:rPr>
        <w:t>A surety suing his co-sureties for contribution must join as defendants all those </w:t>
      </w:r>
      <w:bookmarkStart w:name="_bookmark81" w:id="83"/>
      <w:bookmarkEnd w:id="83"/>
      <w:r>
        <w:rPr>
          <w:vertAlign w:val="baseline"/>
        </w:rPr>
        <w:t>who</w:t>
      </w:r>
      <w:r>
        <w:rPr>
          <w:vertAlign w:val="baseline"/>
        </w:rPr>
        <w:t> are liable to make contribution, unless one of them is insolvent or there is some other good reason why he should not be joined. </w:t>
      </w:r>
      <w:r>
        <w:rPr>
          <w:color w:val="005DA1"/>
          <w:u w:val="single" w:color="005DA1"/>
          <w:vertAlign w:val="superscript"/>
        </w:rPr>
        <w:t>87</w:t>
      </w:r>
    </w:p>
    <w:p>
      <w:pPr>
        <w:pStyle w:val="BodyText"/>
      </w:pPr>
    </w:p>
    <w:p>
      <w:pPr>
        <w:pStyle w:val="BodyText"/>
        <w:spacing w:before="34"/>
      </w:pPr>
    </w:p>
    <w:p>
      <w:pPr>
        <w:spacing w:before="0"/>
        <w:ind w:left="23" w:right="0" w:firstLine="0"/>
        <w:jc w:val="both"/>
        <w:rPr>
          <w:rFonts w:ascii="Arial"/>
          <w:b/>
          <w:sz w:val="18"/>
        </w:rPr>
      </w:pPr>
      <w:r>
        <w:rPr>
          <w:rFonts w:ascii="Arial"/>
          <w:b/>
          <w:sz w:val="18"/>
        </w:rPr>
        <w:t>Contribution between persons liable in respect of the same </w:t>
      </w:r>
      <w:r>
        <w:rPr>
          <w:rFonts w:ascii="Arial"/>
          <w:b/>
          <w:spacing w:val="-2"/>
          <w:sz w:val="18"/>
        </w:rPr>
        <w:t>damage</w:t>
      </w:r>
    </w:p>
    <w:p>
      <w:pPr>
        <w:pStyle w:val="BodyText"/>
        <w:spacing w:before="42"/>
        <w:rPr>
          <w:rFonts w:ascii="Arial"/>
          <w:b/>
          <w:sz w:val="18"/>
        </w:rPr>
      </w:pPr>
    </w:p>
    <w:p>
      <w:pPr>
        <w:pStyle w:val="Heading2"/>
      </w:pPr>
      <w:r>
        <w:rPr/>
        <w:t>17-</w:t>
      </w:r>
      <w:r>
        <w:rPr>
          <w:spacing w:val="-5"/>
        </w:rPr>
        <w:t>029</w:t>
      </w:r>
    </w:p>
    <w:p>
      <w:pPr>
        <w:pStyle w:val="BodyText"/>
        <w:spacing w:line="235" w:lineRule="auto" w:before="202"/>
        <w:ind w:left="23" w:right="25"/>
        <w:jc w:val="both"/>
      </w:pPr>
      <w:bookmarkStart w:name="_bookmark82" w:id="84"/>
      <w:bookmarkEnd w:id="84"/>
      <w:r>
        <w:rPr/>
      </w:r>
      <w:r>
        <w:rPr/>
        <w:t>The rules stated in paras 17-027—17-028, above, only apply to co-debtors, i.e. persons liable </w:t>
      </w:r>
      <w:r>
        <w:rPr/>
        <w:t>in </w:t>
      </w:r>
      <w:bookmarkStart w:name="_bookmark83" w:id="85"/>
      <w:bookmarkEnd w:id="85"/>
      <w:r>
        <w:rPr/>
        <w:t>respect</w:t>
      </w:r>
      <w:r>
        <w:rPr/>
        <w:t> of the same </w:t>
      </w:r>
      <w:r>
        <w:rPr>
          <w:rFonts w:ascii="Arial" w:hAnsi="Arial"/>
          <w:i/>
        </w:rPr>
        <w:t>debt</w:t>
      </w:r>
      <w:r>
        <w:rPr/>
        <w:t>. </w:t>
      </w:r>
      <w:r>
        <w:rPr>
          <w:color w:val="005DA1"/>
          <w:u w:val="single" w:color="005DA1"/>
          <w:vertAlign w:val="superscript"/>
        </w:rPr>
        <w:t>88</w:t>
      </w:r>
      <w:r>
        <w:rPr>
          <w:color w:val="005DA1"/>
          <w:vertAlign w:val="baseline"/>
        </w:rPr>
        <w:t> </w:t>
      </w:r>
      <w:r>
        <w:rPr>
          <w:vertAlign w:val="baseline"/>
        </w:rPr>
        <w:t>Where two or more persons are liable in respect of the same </w:t>
      </w:r>
      <w:r>
        <w:rPr>
          <w:rFonts w:ascii="Arial" w:hAnsi="Arial"/>
          <w:i/>
          <w:vertAlign w:val="baseline"/>
        </w:rPr>
        <w:t>damage</w:t>
      </w:r>
      <w:r>
        <w:rPr>
          <w:vertAlign w:val="baseline"/>
        </w:rPr>
        <w:t>,</w:t>
      </w:r>
      <w:r>
        <w:rPr>
          <w:spacing w:val="40"/>
          <w:vertAlign w:val="baseline"/>
        </w:rPr>
        <w:t> </w:t>
      </w:r>
      <w:r>
        <w:rPr>
          <w:vertAlign w:val="baseline"/>
        </w:rPr>
        <w:t>the position is now regulated by s.1 of the Civil Liability (Contribution) Act 1978. </w:t>
      </w:r>
      <w:r>
        <w:rPr>
          <w:color w:val="005DA1"/>
          <w:u w:val="single" w:color="005DA1"/>
          <w:vertAlign w:val="superscript"/>
        </w:rPr>
        <w:t>89</w:t>
      </w:r>
      <w:r>
        <w:rPr>
          <w:color w:val="005DA1"/>
          <w:vertAlign w:val="baseline"/>
        </w:rPr>
        <w:t> </w:t>
      </w:r>
      <w:r>
        <w:rPr>
          <w:vertAlign w:val="baseline"/>
        </w:rPr>
        <w:t>Section 1(1) of this Act provides that:</w:t>
      </w:r>
    </w:p>
    <w:p>
      <w:pPr>
        <w:pStyle w:val="BodyText"/>
      </w:pPr>
    </w:p>
    <w:p>
      <w:pPr>
        <w:pStyle w:val="BodyText"/>
        <w:spacing w:before="125"/>
      </w:pPr>
    </w:p>
    <w:p>
      <w:pPr>
        <w:pStyle w:val="BodyText"/>
        <w:spacing w:line="235" w:lineRule="auto" w:before="1"/>
        <w:ind w:left="1103" w:right="25"/>
        <w:jc w:val="both"/>
      </w:pPr>
      <w:r>
        <w:rPr/>
        <w:t>“… any person liable in respect of any damage suffered by another person may </w:t>
      </w:r>
      <w:r>
        <w:rPr/>
        <w:t>recover contribution from any other person liable in respect of the same damage (whether jointly with him or otherwise).”</w:t>
      </w:r>
    </w:p>
    <w:p>
      <w:pPr>
        <w:pStyle w:val="BodyText"/>
        <w:spacing w:after="0" w:line="235" w:lineRule="auto"/>
        <w:jc w:val="both"/>
        <w:sectPr>
          <w:pgSz w:w="11900" w:h="16840"/>
          <w:pgMar w:header="971" w:footer="0" w:top="1300" w:bottom="280" w:left="1417" w:right="1417"/>
        </w:sectPr>
      </w:pPr>
    </w:p>
    <w:p>
      <w:pPr>
        <w:pStyle w:val="BodyText"/>
        <w:spacing w:before="40"/>
      </w:pPr>
    </w:p>
    <w:p>
      <w:pPr>
        <w:pStyle w:val="BodyText"/>
        <w:spacing w:line="235" w:lineRule="auto"/>
        <w:ind w:left="22" w:right="25"/>
        <w:jc w:val="both"/>
      </w:pPr>
      <w:r>
        <w:rPr/>
        <w:t>This</w:t>
      </w:r>
      <w:r>
        <w:rPr>
          <w:spacing w:val="-1"/>
        </w:rPr>
        <w:t> </w:t>
      </w:r>
      <w:r>
        <w:rPr/>
        <w:t>provision,</w:t>
      </w:r>
      <w:r>
        <w:rPr>
          <w:spacing w:val="-1"/>
        </w:rPr>
        <w:t> </w:t>
      </w:r>
      <w:r>
        <w:rPr/>
        <w:t>as</w:t>
      </w:r>
      <w:r>
        <w:rPr>
          <w:spacing w:val="-1"/>
        </w:rPr>
        <w:t> </w:t>
      </w:r>
      <w:r>
        <w:rPr/>
        <w:t>is</w:t>
      </w:r>
      <w:r>
        <w:rPr>
          <w:spacing w:val="-1"/>
        </w:rPr>
        <w:t> </w:t>
      </w:r>
      <w:r>
        <w:rPr/>
        <w:t>made</w:t>
      </w:r>
      <w:r>
        <w:rPr>
          <w:spacing w:val="-1"/>
        </w:rPr>
        <w:t> </w:t>
      </w:r>
      <w:r>
        <w:rPr/>
        <w:t>clear</w:t>
      </w:r>
      <w:r>
        <w:rPr>
          <w:spacing w:val="-1"/>
        </w:rPr>
        <w:t> </w:t>
      </w:r>
      <w:r>
        <w:rPr/>
        <w:t>by</w:t>
      </w:r>
      <w:r>
        <w:rPr>
          <w:spacing w:val="-1"/>
        </w:rPr>
        <w:t> </w:t>
      </w:r>
      <w:r>
        <w:rPr/>
        <w:t>the</w:t>
      </w:r>
      <w:r>
        <w:rPr>
          <w:spacing w:val="-1"/>
        </w:rPr>
        <w:t> </w:t>
      </w:r>
      <w:r>
        <w:rPr/>
        <w:t>words</w:t>
      </w:r>
      <w:r>
        <w:rPr>
          <w:spacing w:val="-1"/>
        </w:rPr>
        <w:t> </w:t>
      </w:r>
      <w:r>
        <w:rPr/>
        <w:t>in</w:t>
      </w:r>
      <w:r>
        <w:rPr>
          <w:spacing w:val="-1"/>
        </w:rPr>
        <w:t> </w:t>
      </w:r>
      <w:r>
        <w:rPr/>
        <w:t>brackets,</w:t>
      </w:r>
      <w:r>
        <w:rPr>
          <w:spacing w:val="-1"/>
        </w:rPr>
        <w:t> </w:t>
      </w:r>
      <w:r>
        <w:rPr/>
        <w:t>applies</w:t>
      </w:r>
      <w:r>
        <w:rPr>
          <w:spacing w:val="-1"/>
        </w:rPr>
        <w:t> </w:t>
      </w:r>
      <w:r>
        <w:rPr/>
        <w:t>even</w:t>
      </w:r>
      <w:r>
        <w:rPr>
          <w:spacing w:val="-1"/>
        </w:rPr>
        <w:t> </w:t>
      </w:r>
      <w:r>
        <w:rPr/>
        <w:t>where</w:t>
      </w:r>
      <w:r>
        <w:rPr>
          <w:spacing w:val="-1"/>
        </w:rPr>
        <w:t> </w:t>
      </w:r>
      <w:r>
        <w:rPr/>
        <w:t>the</w:t>
      </w:r>
      <w:r>
        <w:rPr>
          <w:spacing w:val="-1"/>
        </w:rPr>
        <w:t> </w:t>
      </w:r>
      <w:r>
        <w:rPr/>
        <w:t>liability</w:t>
      </w:r>
      <w:r>
        <w:rPr>
          <w:spacing w:val="-1"/>
        </w:rPr>
        <w:t> </w:t>
      </w:r>
      <w:r>
        <w:rPr/>
        <w:t>arises</w:t>
      </w:r>
      <w:r>
        <w:rPr>
          <w:spacing w:val="-1"/>
        </w:rPr>
        <w:t> </w:t>
      </w:r>
      <w:r>
        <w:rPr/>
        <w:t>out</w:t>
      </w:r>
      <w:r>
        <w:rPr>
          <w:spacing w:val="-1"/>
        </w:rPr>
        <w:t> </w:t>
      </w:r>
      <w:r>
        <w:rPr/>
        <w:t>of two separate contracts, for example, where an architect and a builder, each employed under a </w:t>
      </w:r>
      <w:bookmarkStart w:name="_bookmark84" w:id="86"/>
      <w:bookmarkEnd w:id="86"/>
      <w:r>
        <w:rPr/>
        <w:t>separate</w:t>
      </w:r>
      <w:r>
        <w:rPr/>
        <w:t> contract, are both guilty of breaches of contract causing damage to the owner of </w:t>
      </w:r>
      <w:r>
        <w:rPr/>
        <w:t>the</w:t>
      </w:r>
      <w:r>
        <w:rPr>
          <w:spacing w:val="40"/>
        </w:rPr>
        <w:t> </w:t>
      </w:r>
      <w:r>
        <w:rPr/>
        <w:t>building.</w:t>
      </w:r>
      <w:r>
        <w:rPr>
          <w:spacing w:val="-1"/>
        </w:rPr>
        <w:t> </w:t>
      </w:r>
      <w:r>
        <w:rPr>
          <w:color w:val="005DA1"/>
          <w:u w:val="single" w:color="005DA1"/>
          <w:vertAlign w:val="superscript"/>
        </w:rPr>
        <w:t>90</w:t>
      </w:r>
      <w:r>
        <w:rPr>
          <w:color w:val="005DA1"/>
          <w:spacing w:val="-1"/>
          <w:vertAlign w:val="baseline"/>
        </w:rPr>
        <w:t> </w:t>
      </w:r>
      <w:r>
        <w:rPr>
          <w:vertAlign w:val="baseline"/>
        </w:rPr>
        <w:t>The</w:t>
      </w:r>
      <w:r>
        <w:rPr>
          <w:spacing w:val="-1"/>
          <w:vertAlign w:val="baseline"/>
        </w:rPr>
        <w:t> </w:t>
      </w:r>
      <w:r>
        <w:rPr>
          <w:vertAlign w:val="baseline"/>
        </w:rPr>
        <w:t>section</w:t>
      </w:r>
      <w:r>
        <w:rPr>
          <w:spacing w:val="-1"/>
          <w:vertAlign w:val="baseline"/>
        </w:rPr>
        <w:t> </w:t>
      </w:r>
      <w:r>
        <w:rPr>
          <w:vertAlign w:val="baseline"/>
        </w:rPr>
        <w:t>would</w:t>
      </w:r>
      <w:r>
        <w:rPr>
          <w:spacing w:val="-1"/>
          <w:vertAlign w:val="baseline"/>
        </w:rPr>
        <w:t> </w:t>
      </w:r>
      <w:r>
        <w:rPr>
          <w:vertAlign w:val="baseline"/>
        </w:rPr>
        <w:t>also</w:t>
      </w:r>
      <w:r>
        <w:rPr>
          <w:spacing w:val="-1"/>
          <w:vertAlign w:val="baseline"/>
        </w:rPr>
        <w:t> </w:t>
      </w:r>
      <w:r>
        <w:rPr>
          <w:vertAlign w:val="baseline"/>
        </w:rPr>
        <w:t>apply</w:t>
      </w:r>
      <w:r>
        <w:rPr>
          <w:spacing w:val="-1"/>
          <w:vertAlign w:val="baseline"/>
        </w:rPr>
        <w:t> </w:t>
      </w:r>
      <w:r>
        <w:rPr>
          <w:vertAlign w:val="baseline"/>
        </w:rPr>
        <w:t>if</w:t>
      </w:r>
      <w:r>
        <w:rPr>
          <w:spacing w:val="-1"/>
          <w:vertAlign w:val="baseline"/>
        </w:rPr>
        <w:t> </w:t>
      </w:r>
      <w:r>
        <w:rPr>
          <w:vertAlign w:val="baseline"/>
        </w:rPr>
        <w:t>one</w:t>
      </w:r>
      <w:r>
        <w:rPr>
          <w:spacing w:val="-1"/>
          <w:vertAlign w:val="baseline"/>
        </w:rPr>
        <w:t> </w:t>
      </w:r>
      <w:r>
        <w:rPr>
          <w:vertAlign w:val="baseline"/>
        </w:rPr>
        <w:t>person</w:t>
      </w:r>
      <w:r>
        <w:rPr>
          <w:spacing w:val="-1"/>
          <w:vertAlign w:val="baseline"/>
        </w:rPr>
        <w:t> </w:t>
      </w:r>
      <w:r>
        <w:rPr>
          <w:vertAlign w:val="baseline"/>
        </w:rPr>
        <w:t>were</w:t>
      </w:r>
      <w:r>
        <w:rPr>
          <w:spacing w:val="-1"/>
          <w:vertAlign w:val="baseline"/>
        </w:rPr>
        <w:t> </w:t>
      </w:r>
      <w:r>
        <w:rPr>
          <w:vertAlign w:val="baseline"/>
        </w:rPr>
        <w:t>liable</w:t>
      </w:r>
      <w:r>
        <w:rPr>
          <w:spacing w:val="-1"/>
          <w:vertAlign w:val="baseline"/>
        </w:rPr>
        <w:t> </w:t>
      </w:r>
      <w:r>
        <w:rPr>
          <w:vertAlign w:val="baseline"/>
        </w:rPr>
        <w:t>in</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another</w:t>
      </w:r>
      <w:r>
        <w:rPr>
          <w:spacing w:val="-1"/>
          <w:vertAlign w:val="baseline"/>
        </w:rPr>
        <w:t> </w:t>
      </w:r>
      <w:r>
        <w:rPr>
          <w:vertAlign w:val="baseline"/>
        </w:rPr>
        <w:t>in</w:t>
      </w:r>
      <w:r>
        <w:rPr>
          <w:spacing w:val="-1"/>
          <w:vertAlign w:val="baseline"/>
        </w:rPr>
        <w:t> </w:t>
      </w:r>
      <w:r>
        <w:rPr>
          <w:vertAlign w:val="baseline"/>
        </w:rPr>
        <w:t>tort.</w:t>
      </w:r>
      <w:r>
        <w:rPr>
          <w:spacing w:val="-2"/>
          <w:vertAlign w:val="baseline"/>
        </w:rPr>
        <w:t> </w:t>
      </w:r>
      <w:r>
        <w:rPr>
          <w:color w:val="005DA1"/>
          <w:u w:val="single" w:color="005DA1"/>
          <w:vertAlign w:val="superscript"/>
        </w:rPr>
        <w:t>91</w:t>
      </w:r>
      <w:r>
        <w:rPr>
          <w:color w:val="005DA1"/>
          <w:spacing w:val="-1"/>
          <w:vertAlign w:val="baseline"/>
        </w:rPr>
        <w:t> </w:t>
      </w:r>
      <w:r>
        <w:rPr>
          <w:vertAlign w:val="baseline"/>
        </w:rPr>
        <w:t>By ss.1(2) and (3) it is immaterial that the original liability of the claimant or the party from whom </w:t>
      </w:r>
      <w:bookmarkStart w:name="_bookmark85" w:id="87"/>
      <w:bookmarkEnd w:id="87"/>
      <w:r>
        <w:rPr>
          <w:vertAlign w:val="baseline"/>
        </w:rPr>
        <w:t>contribution</w:t>
      </w:r>
      <w:r>
        <w:rPr>
          <w:vertAlign w:val="baseline"/>
        </w:rPr>
        <w:t> is sought, has become statute-barred. But subject to s.1(3), “liability in respect of the same damage” refers to liability to the injured party at the time when contribution is being sought. </w:t>
      </w:r>
      <w:r>
        <w:rPr>
          <w:color w:val="005DA1"/>
          <w:u w:val="single" w:color="005DA1"/>
          <w:vertAlign w:val="superscript"/>
        </w:rPr>
        <w:t>92</w:t>
      </w:r>
    </w:p>
    <w:p>
      <w:pPr>
        <w:pStyle w:val="BodyText"/>
      </w:pPr>
    </w:p>
    <w:p>
      <w:pPr>
        <w:pStyle w:val="BodyText"/>
        <w:spacing w:before="36"/>
      </w:pPr>
    </w:p>
    <w:p>
      <w:pPr>
        <w:spacing w:before="0"/>
        <w:ind w:left="23" w:right="0" w:firstLine="0"/>
        <w:jc w:val="left"/>
        <w:rPr>
          <w:rFonts w:ascii="Arial" w:hAnsi="Arial"/>
          <w:b/>
          <w:sz w:val="18"/>
        </w:rPr>
      </w:pPr>
      <w:r>
        <w:rPr>
          <w:rFonts w:ascii="Arial" w:hAnsi="Arial"/>
          <w:b/>
          <w:sz w:val="18"/>
        </w:rPr>
        <w:t>“The same </w:t>
      </w:r>
      <w:r>
        <w:rPr>
          <w:rFonts w:ascii="Arial" w:hAnsi="Arial"/>
          <w:b/>
          <w:spacing w:val="-2"/>
          <w:sz w:val="18"/>
        </w:rPr>
        <w:t>damage”</w:t>
      </w:r>
    </w:p>
    <w:p>
      <w:pPr>
        <w:pStyle w:val="BodyText"/>
        <w:spacing w:before="41"/>
        <w:rPr>
          <w:rFonts w:ascii="Arial"/>
          <w:b/>
          <w:sz w:val="18"/>
        </w:rPr>
      </w:pPr>
    </w:p>
    <w:p>
      <w:pPr>
        <w:pStyle w:val="Heading2"/>
        <w:spacing w:before="1"/>
      </w:pPr>
      <w:r>
        <w:rPr/>
        <w:t>17-</w:t>
      </w:r>
      <w:r>
        <w:rPr>
          <w:spacing w:val="-5"/>
        </w:rPr>
        <w:t>030</w:t>
      </w:r>
    </w:p>
    <w:p>
      <w:pPr>
        <w:pStyle w:val="BodyText"/>
        <w:spacing w:line="235" w:lineRule="auto" w:before="202"/>
        <w:ind w:left="23" w:right="25"/>
        <w:jc w:val="both"/>
      </w:pPr>
      <w:bookmarkStart w:name="_bookmark86" w:id="88"/>
      <w:bookmarkEnd w:id="88"/>
      <w:r>
        <w:rPr/>
      </w:r>
      <w:r>
        <w:rPr/>
        <w:t>In </w:t>
      </w:r>
      <w:r>
        <w:rPr>
          <w:rFonts w:ascii="Arial" w:hAnsi="Arial"/>
          <w:i/>
        </w:rPr>
        <w:t>Royal Brompton Hospital NHS Trust v Hammond</w:t>
      </w:r>
      <w:r>
        <w:rPr/>
        <w:t>, </w:t>
      </w:r>
      <w:r>
        <w:rPr>
          <w:color w:val="005DA1"/>
          <w:u w:val="single" w:color="005DA1"/>
          <w:vertAlign w:val="superscript"/>
        </w:rPr>
        <w:t>93</w:t>
      </w:r>
      <w:r>
        <w:rPr>
          <w:color w:val="005DA1"/>
          <w:vertAlign w:val="baseline"/>
        </w:rPr>
        <w:t> </w:t>
      </w:r>
      <w:r>
        <w:rPr>
          <w:vertAlign w:val="baseline"/>
        </w:rPr>
        <w:t>architects could not recover contribution from builders because the damage in respect of which the claims were brought by the owners against </w:t>
      </w:r>
      <w:r>
        <w:rPr>
          <w:vertAlign w:val="baseline"/>
        </w:rPr>
        <w:t>the architects and builders was not the same so as to fall within s.1(1) of the Civil Liability (Contribution) Act 1978. The damage caused by the builders’ breach of contract was the failure to provide the building on time; whereas the damage caused by the architects, through negligently certifying an extension of time, was the impairment of the owners’ ability to obtain full compensation in a</w:t>
      </w:r>
      <w:r>
        <w:rPr>
          <w:spacing w:val="80"/>
          <w:vertAlign w:val="baseline"/>
        </w:rPr>
        <w:t> </w:t>
      </w:r>
      <w:r>
        <w:rPr>
          <w:vertAlign w:val="baseline"/>
        </w:rPr>
        <w:t>settlement from the builders. It was emphasised by their Lordships that the statutory words “the same </w:t>
      </w:r>
      <w:bookmarkStart w:name="_bookmark87" w:id="89"/>
      <w:bookmarkEnd w:id="89"/>
      <w:r>
        <w:rPr>
          <w:vertAlign w:val="baseline"/>
        </w:rPr>
        <w:t>damage”</w:t>
      </w:r>
      <w:r>
        <w:rPr>
          <w:vertAlign w:val="baseline"/>
        </w:rPr>
        <w:t> must be applied without any glosses, extensive or restrictive. The wider interpretations of </w:t>
      </w:r>
      <w:bookmarkStart w:name="_bookmark88" w:id="90"/>
      <w:bookmarkEnd w:id="90"/>
      <w:r>
        <w:rPr>
          <w:vertAlign w:val="baseline"/>
        </w:rPr>
        <w:t>“the</w:t>
      </w:r>
      <w:r>
        <w:rPr>
          <w:vertAlign w:val="baseline"/>
        </w:rPr>
        <w:t> same damage” in some earlier cases </w:t>
      </w:r>
      <w:r>
        <w:rPr>
          <w:color w:val="005DA1"/>
          <w:u w:val="single" w:color="005DA1"/>
          <w:vertAlign w:val="superscript"/>
        </w:rPr>
        <w:t>94</w:t>
      </w:r>
      <w:r>
        <w:rPr>
          <w:color w:val="005DA1"/>
          <w:vertAlign w:val="baseline"/>
        </w:rPr>
        <w:t> </w:t>
      </w:r>
      <w:r>
        <w:rPr>
          <w:vertAlign w:val="baseline"/>
        </w:rPr>
        <w:t>were expressly disapproved. On the other hand,</w:t>
      </w:r>
      <w:r>
        <w:rPr>
          <w:spacing w:val="40"/>
          <w:vertAlign w:val="baseline"/>
        </w:rPr>
        <w:t> </w:t>
      </w:r>
      <w:r>
        <w:rPr>
          <w:rFonts w:ascii="Arial" w:hAnsi="Arial"/>
          <w:i/>
          <w:vertAlign w:val="baseline"/>
        </w:rPr>
        <w:t>Eastgate Group Ltd v Lindsey Morden Group Inc </w:t>
      </w:r>
      <w:r>
        <w:rPr>
          <w:color w:val="005DA1"/>
          <w:u w:val="single" w:color="005DA1"/>
          <w:vertAlign w:val="superscript"/>
        </w:rPr>
        <w:t>95</w:t>
      </w:r>
      <w:r>
        <w:rPr>
          <w:color w:val="005DA1"/>
          <w:vertAlign w:val="baseline"/>
        </w:rPr>
        <w:t> </w:t>
      </w:r>
      <w:r>
        <w:rPr>
          <w:vertAlign w:val="baseline"/>
        </w:rPr>
        <w:t>was referred to without disapproval and the decision appears to be consistent with the reasoning of the House of Lords. In that case, the question was whether, on the sale of a company (LMG) to E, a liability of LMG to E for breach of warranties as to the value of the company was a liability for “the same damage” as a liability of LMG’s accountants to E for negligent accounting. It was held by the Court of Appeal that the liability was for the same damage, namely that E had bought a company worth less than E reasonably expected it to be worth. The fact that the measure of damages might differ (as between contract and tort) did not contradict</w:t>
      </w:r>
      <w:r>
        <w:rPr>
          <w:spacing w:val="40"/>
          <w:vertAlign w:val="baseline"/>
        </w:rPr>
        <w:t> </w:t>
      </w:r>
      <w:r>
        <w:rPr>
          <w:vertAlign w:val="baseline"/>
        </w:rPr>
        <w:t>the view that the damage was the same. The 1978 Act therefore applied.</w:t>
      </w:r>
    </w:p>
    <w:p>
      <w:pPr>
        <w:pStyle w:val="BodyText"/>
      </w:pPr>
    </w:p>
    <w:p>
      <w:pPr>
        <w:pStyle w:val="BodyText"/>
        <w:spacing w:before="32"/>
      </w:pPr>
    </w:p>
    <w:p>
      <w:pPr>
        <w:spacing w:before="0"/>
        <w:ind w:left="23" w:right="0" w:firstLine="0"/>
        <w:jc w:val="left"/>
        <w:rPr>
          <w:rFonts w:ascii="Arial"/>
          <w:b/>
          <w:sz w:val="18"/>
        </w:rPr>
      </w:pPr>
      <w:r>
        <w:rPr>
          <w:rFonts w:ascii="Arial"/>
          <w:b/>
          <w:sz w:val="18"/>
        </w:rPr>
        <w:t>Amount of </w:t>
      </w:r>
      <w:r>
        <w:rPr>
          <w:rFonts w:ascii="Arial"/>
          <w:b/>
          <w:spacing w:val="-2"/>
          <w:sz w:val="18"/>
        </w:rPr>
        <w:t>contribution</w:t>
      </w:r>
    </w:p>
    <w:p>
      <w:pPr>
        <w:pStyle w:val="BodyText"/>
        <w:spacing w:before="42"/>
        <w:rPr>
          <w:rFonts w:ascii="Arial"/>
          <w:b/>
          <w:sz w:val="18"/>
        </w:rPr>
      </w:pPr>
    </w:p>
    <w:p>
      <w:pPr>
        <w:pStyle w:val="Heading2"/>
      </w:pPr>
      <w:r>
        <w:rPr/>
        <w:t>17-</w:t>
      </w:r>
      <w:r>
        <w:rPr>
          <w:spacing w:val="-5"/>
        </w:rPr>
        <w:t>031</w:t>
      </w:r>
    </w:p>
    <w:p>
      <w:pPr>
        <w:pStyle w:val="BodyText"/>
        <w:spacing w:before="199"/>
        <w:ind w:left="23"/>
        <w:jc w:val="both"/>
      </w:pPr>
      <w:r>
        <w:rPr/>
        <w:t>Section 2(1) of the 1978 Act provides that the amount of the contribution shall </w:t>
      </w:r>
      <w:r>
        <w:rPr>
          <w:spacing w:val="-5"/>
        </w:rPr>
        <w:t>be:</w:t>
      </w:r>
    </w:p>
    <w:p>
      <w:pPr>
        <w:pStyle w:val="BodyText"/>
      </w:pPr>
    </w:p>
    <w:p>
      <w:pPr>
        <w:pStyle w:val="BodyText"/>
        <w:spacing w:before="125"/>
      </w:pPr>
    </w:p>
    <w:p>
      <w:pPr>
        <w:pStyle w:val="BodyText"/>
        <w:spacing w:line="235" w:lineRule="auto"/>
        <w:ind w:left="1103"/>
      </w:pPr>
      <w:r>
        <w:rPr/>
        <w:t>“…</w:t>
      </w:r>
      <w:r>
        <w:rPr>
          <w:spacing w:val="32"/>
        </w:rPr>
        <w:t> </w:t>
      </w:r>
      <w:r>
        <w:rPr/>
        <w:t>such</w:t>
      </w:r>
      <w:r>
        <w:rPr>
          <w:spacing w:val="32"/>
        </w:rPr>
        <w:t> </w:t>
      </w:r>
      <w:r>
        <w:rPr/>
        <w:t>as</w:t>
      </w:r>
      <w:r>
        <w:rPr>
          <w:spacing w:val="32"/>
        </w:rPr>
        <w:t> </w:t>
      </w:r>
      <w:r>
        <w:rPr/>
        <w:t>may</w:t>
      </w:r>
      <w:r>
        <w:rPr>
          <w:spacing w:val="32"/>
        </w:rPr>
        <w:t> </w:t>
      </w:r>
      <w:r>
        <w:rPr/>
        <w:t>be</w:t>
      </w:r>
      <w:r>
        <w:rPr>
          <w:spacing w:val="32"/>
        </w:rPr>
        <w:t> </w:t>
      </w:r>
      <w:r>
        <w:rPr/>
        <w:t>found</w:t>
      </w:r>
      <w:r>
        <w:rPr>
          <w:spacing w:val="32"/>
        </w:rPr>
        <w:t> </w:t>
      </w:r>
      <w:r>
        <w:rPr/>
        <w:t>by</w:t>
      </w:r>
      <w:r>
        <w:rPr>
          <w:spacing w:val="32"/>
        </w:rPr>
        <w:t> </w:t>
      </w:r>
      <w:r>
        <w:rPr/>
        <w:t>the</w:t>
      </w:r>
      <w:r>
        <w:rPr>
          <w:spacing w:val="32"/>
        </w:rPr>
        <w:t> </w:t>
      </w:r>
      <w:r>
        <w:rPr/>
        <w:t>court</w:t>
      </w:r>
      <w:r>
        <w:rPr>
          <w:spacing w:val="32"/>
        </w:rPr>
        <w:t> </w:t>
      </w:r>
      <w:r>
        <w:rPr/>
        <w:t>to</w:t>
      </w:r>
      <w:r>
        <w:rPr>
          <w:spacing w:val="32"/>
        </w:rPr>
        <w:t> </w:t>
      </w:r>
      <w:r>
        <w:rPr/>
        <w:t>be</w:t>
      </w:r>
      <w:r>
        <w:rPr>
          <w:spacing w:val="32"/>
        </w:rPr>
        <w:t> </w:t>
      </w:r>
      <w:r>
        <w:rPr/>
        <w:t>just</w:t>
      </w:r>
      <w:r>
        <w:rPr>
          <w:spacing w:val="32"/>
        </w:rPr>
        <w:t> </w:t>
      </w:r>
      <w:r>
        <w:rPr/>
        <w:t>and</w:t>
      </w:r>
      <w:r>
        <w:rPr>
          <w:spacing w:val="32"/>
        </w:rPr>
        <w:t> </w:t>
      </w:r>
      <w:r>
        <w:rPr/>
        <w:t>equitable</w:t>
      </w:r>
      <w:r>
        <w:rPr>
          <w:spacing w:val="32"/>
        </w:rPr>
        <w:t> </w:t>
      </w:r>
      <w:r>
        <w:rPr/>
        <w:t>having</w:t>
      </w:r>
      <w:r>
        <w:rPr>
          <w:spacing w:val="32"/>
        </w:rPr>
        <w:t> </w:t>
      </w:r>
      <w:r>
        <w:rPr/>
        <w:t>regard</w:t>
      </w:r>
      <w:r>
        <w:rPr>
          <w:spacing w:val="32"/>
        </w:rPr>
        <w:t> </w:t>
      </w:r>
      <w:r>
        <w:rPr/>
        <w:t>to</w:t>
      </w:r>
      <w:r>
        <w:rPr>
          <w:spacing w:val="32"/>
        </w:rPr>
        <w:t> </w:t>
      </w:r>
      <w:r>
        <w:rPr/>
        <w:t>the extent of that person’s responsibility for the damage in question.”</w:t>
      </w:r>
    </w:p>
    <w:p>
      <w:pPr>
        <w:pStyle w:val="BodyText"/>
        <w:spacing w:before="116"/>
      </w:pPr>
    </w:p>
    <w:p>
      <w:pPr>
        <w:pStyle w:val="BodyText"/>
        <w:spacing w:line="235" w:lineRule="auto"/>
        <w:ind w:left="23" w:right="25"/>
        <w:jc w:val="both"/>
      </w:pPr>
      <w:r>
        <w:rPr/>
        <w:t>In this respect the Act makes a major change to the common law rules which still apply to cases of</w:t>
      </w:r>
      <w:r>
        <w:rPr>
          <w:spacing w:val="40"/>
        </w:rPr>
        <w:t> </w:t>
      </w:r>
      <w:r>
        <w:rPr/>
        <w:t>co-debtors; for under the rule stated in para.17-027, the debt can only be divided equally between </w:t>
      </w:r>
      <w:r>
        <w:rPr/>
        <w:t>the co-debtors. Under the Act, the liability can be apportioned unequally; in both cases, however, a complete indemnity can be awarded where appropriate.</w:t>
      </w:r>
    </w:p>
    <w:p>
      <w:pPr>
        <w:pStyle w:val="BodyText"/>
      </w:pPr>
    </w:p>
    <w:p>
      <w:pPr>
        <w:pStyle w:val="BodyText"/>
        <w:spacing w:before="37"/>
      </w:pPr>
    </w:p>
    <w:p>
      <w:pPr>
        <w:spacing w:before="0"/>
        <w:ind w:left="23" w:right="0" w:firstLine="0"/>
        <w:jc w:val="left"/>
        <w:rPr>
          <w:rFonts w:ascii="Arial"/>
          <w:b/>
          <w:sz w:val="18"/>
        </w:rPr>
      </w:pPr>
      <w:r>
        <w:rPr>
          <w:rFonts w:ascii="Arial"/>
          <w:b/>
          <w:sz w:val="18"/>
        </w:rPr>
        <w:t>Effect of judgment or </w:t>
      </w:r>
      <w:r>
        <w:rPr>
          <w:rFonts w:ascii="Arial"/>
          <w:b/>
          <w:spacing w:val="-2"/>
          <w:sz w:val="18"/>
        </w:rPr>
        <w:t>compromise</w:t>
      </w:r>
    </w:p>
    <w:p>
      <w:pPr>
        <w:pStyle w:val="BodyText"/>
        <w:spacing w:before="41"/>
        <w:rPr>
          <w:rFonts w:ascii="Arial"/>
          <w:b/>
          <w:sz w:val="18"/>
        </w:rPr>
      </w:pPr>
    </w:p>
    <w:p>
      <w:pPr>
        <w:pStyle w:val="Heading2"/>
        <w:spacing w:before="1"/>
      </w:pPr>
      <w:r>
        <w:rPr/>
        <w:t>17-</w:t>
      </w:r>
      <w:r>
        <w:rPr>
          <w:spacing w:val="-5"/>
        </w:rPr>
        <w:t>032</w:t>
      </w:r>
    </w:p>
    <w:p>
      <w:pPr>
        <w:pStyle w:val="BodyText"/>
        <w:spacing w:line="235" w:lineRule="auto" w:before="202"/>
        <w:ind w:left="23" w:right="25"/>
        <w:jc w:val="both"/>
      </w:pPr>
      <w:bookmarkStart w:name="_bookmark89" w:id="91"/>
      <w:bookmarkEnd w:id="91"/>
      <w:r>
        <w:rPr/>
      </w:r>
      <w:r>
        <w:rPr/>
        <w:t>Any judgment of a court is conclusive against the party from whom contribution is sought that the</w:t>
      </w:r>
      <w:r>
        <w:rPr>
          <w:spacing w:val="40"/>
        </w:rPr>
        <w:t> </w:t>
      </w:r>
      <w:r>
        <w:rPr/>
        <w:t>party claiming contribution was in fact liable for the damage in question. </w:t>
      </w:r>
      <w:r>
        <w:rPr>
          <w:color w:val="005DA1"/>
          <w:u w:val="single" w:color="005DA1"/>
          <w:vertAlign w:val="superscript"/>
        </w:rPr>
        <w:t>96</w:t>
      </w:r>
      <w:r>
        <w:rPr>
          <w:color w:val="005DA1"/>
          <w:vertAlign w:val="baseline"/>
        </w:rPr>
        <w:t> </w:t>
      </w:r>
      <w:r>
        <w:rPr>
          <w:vertAlign w:val="baseline"/>
        </w:rPr>
        <w:t>A bona fide compromise </w:t>
      </w:r>
      <w:r>
        <w:rPr>
          <w:vertAlign w:val="baseline"/>
        </w:rPr>
        <w:t>is </w:t>
      </w:r>
      <w:bookmarkStart w:name="_bookmark90" w:id="92"/>
      <w:bookmarkEnd w:id="92"/>
      <w:r>
        <w:rPr>
          <w:vertAlign w:val="baseline"/>
        </w:rPr>
        <w:t>likewise</w:t>
      </w:r>
      <w:r>
        <w:rPr>
          <w:vertAlign w:val="baseline"/>
        </w:rPr>
        <w:t> conclusive, but in this case only assuming that the factual basis of the claim can be established. </w:t>
      </w:r>
      <w:r>
        <w:rPr>
          <w:color w:val="005DA1"/>
          <w:u w:val="single" w:color="005DA1"/>
          <w:vertAlign w:val="superscript"/>
        </w:rPr>
        <w:t>97</w:t>
      </w:r>
      <w:r>
        <w:rPr>
          <w:color w:val="005DA1"/>
          <w:vertAlign w:val="baseline"/>
        </w:rPr>
        <w:t> </w:t>
      </w:r>
      <w:r>
        <w:rPr>
          <w:vertAlign w:val="baseline"/>
        </w:rPr>
        <w:t>The Act does not affect any contractual provision excluding or regulating a right to contribution, nor does it apply where a surety has a right to an indemnity as distinguished from a right to contribution.</w:t>
      </w:r>
    </w:p>
    <w:p>
      <w:pPr>
        <w:pStyle w:val="BodyText"/>
        <w:spacing w:after="0" w:line="235" w:lineRule="auto"/>
        <w:jc w:val="both"/>
        <w:sectPr>
          <w:pgSz w:w="11900" w:h="16840"/>
          <w:pgMar w:header="971" w:footer="0" w:top="1300" w:bottom="280" w:left="1417" w:right="1417"/>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z w:val="18"/>
        </w:rPr>
        <w:t>Contribution from party against whom limitation has </w:t>
      </w:r>
      <w:r>
        <w:rPr>
          <w:rFonts w:ascii="Arial"/>
          <w:b/>
          <w:spacing w:val="-5"/>
          <w:sz w:val="18"/>
        </w:rPr>
        <w:t>run</w:t>
      </w:r>
    </w:p>
    <w:p>
      <w:pPr>
        <w:pStyle w:val="BodyText"/>
        <w:spacing w:before="41"/>
        <w:rPr>
          <w:rFonts w:ascii="Arial"/>
          <w:b/>
          <w:sz w:val="18"/>
        </w:rPr>
      </w:pPr>
    </w:p>
    <w:p>
      <w:pPr>
        <w:pStyle w:val="Heading2"/>
      </w:pPr>
      <w:r>
        <w:rPr/>
        <w:t>17-</w:t>
      </w:r>
      <w:r>
        <w:rPr>
          <w:spacing w:val="-5"/>
        </w:rPr>
        <w:t>033</w:t>
      </w:r>
    </w:p>
    <w:p>
      <w:pPr>
        <w:pStyle w:val="BodyText"/>
        <w:spacing w:line="235" w:lineRule="auto" w:before="203"/>
        <w:ind w:left="23" w:right="25"/>
        <w:jc w:val="both"/>
      </w:pPr>
      <w:r>
        <w:rPr/>
        <w:t>The Act, in replacing (as well as extending) the provisions of s.6 of the Law Reform (Married Women and Tortfeasors) Act 1935, has avoided some of the difficulties which arose under that Act where </w:t>
      </w:r>
      <w:bookmarkStart w:name="_bookmark91" w:id="93"/>
      <w:bookmarkEnd w:id="93"/>
      <w:r>
        <w:rPr/>
        <w:t>contribution</w:t>
      </w:r>
      <w:r>
        <w:rPr/>
        <w:t> was sought against a party who had been found (or was) not liable under a limitation statute. </w:t>
      </w:r>
      <w:r>
        <w:rPr>
          <w:color w:val="005DA1"/>
          <w:u w:val="single" w:color="005DA1"/>
          <w:vertAlign w:val="superscript"/>
        </w:rPr>
        <w:t>98</w:t>
      </w:r>
      <w:r>
        <w:rPr>
          <w:color w:val="005DA1"/>
          <w:vertAlign w:val="baseline"/>
        </w:rPr>
        <w:t> </w:t>
      </w:r>
      <w:r>
        <w:rPr>
          <w:vertAlign w:val="baseline"/>
        </w:rPr>
        <w:t>Under the 1978 Act, it is expressly provided by s.1(3) that contribution can be sought </w:t>
      </w:r>
      <w:r>
        <w:rPr>
          <w:vertAlign w:val="baseline"/>
        </w:rPr>
        <w:t>from </w:t>
      </w:r>
      <w:bookmarkStart w:name="_bookmark92" w:id="94"/>
      <w:bookmarkEnd w:id="94"/>
      <w:r>
        <w:rPr>
          <w:vertAlign w:val="baseline"/>
        </w:rPr>
        <w:t>someone</w:t>
      </w:r>
      <w:r>
        <w:rPr>
          <w:vertAlign w:val="baseline"/>
        </w:rPr>
        <w:t> who has “ceased to be liable”, and it seems clear that this remains the case even if he has actually been sued and successfully pleaded the Limitation Act. </w:t>
      </w:r>
      <w:r>
        <w:rPr>
          <w:color w:val="005DA1"/>
          <w:u w:val="single" w:color="005DA1"/>
          <w:vertAlign w:val="superscript"/>
        </w:rPr>
        <w:t>99</w:t>
      </w:r>
    </w:p>
    <w:p>
      <w:pPr>
        <w:pStyle w:val="BodyText"/>
      </w:pPr>
    </w:p>
    <w:p>
      <w:pPr>
        <w:pStyle w:val="BodyText"/>
        <w:spacing w:before="36"/>
      </w:pPr>
    </w:p>
    <w:p>
      <w:pPr>
        <w:spacing w:before="0"/>
        <w:ind w:left="23" w:right="0" w:firstLine="0"/>
        <w:jc w:val="left"/>
        <w:rPr>
          <w:rFonts w:ascii="Arial"/>
          <w:b/>
          <w:sz w:val="18"/>
        </w:rPr>
      </w:pPr>
      <w:r>
        <w:rPr>
          <w:rFonts w:ascii="Arial"/>
          <w:b/>
          <w:sz w:val="18"/>
        </w:rPr>
        <w:t>Assessment of </w:t>
      </w:r>
      <w:r>
        <w:rPr>
          <w:rFonts w:ascii="Arial"/>
          <w:b/>
          <w:spacing w:val="-2"/>
          <w:sz w:val="18"/>
        </w:rPr>
        <w:t>contribution</w:t>
      </w:r>
    </w:p>
    <w:p>
      <w:pPr>
        <w:pStyle w:val="BodyText"/>
        <w:spacing w:before="41"/>
        <w:rPr>
          <w:rFonts w:ascii="Arial"/>
          <w:b/>
          <w:sz w:val="18"/>
        </w:rPr>
      </w:pPr>
    </w:p>
    <w:p>
      <w:pPr>
        <w:pStyle w:val="Heading2"/>
        <w:spacing w:before="1"/>
      </w:pPr>
      <w:r>
        <w:rPr/>
        <w:t>17-</w:t>
      </w:r>
      <w:r>
        <w:rPr>
          <w:spacing w:val="-5"/>
        </w:rPr>
        <w:t>034</w:t>
      </w:r>
    </w:p>
    <w:p>
      <w:pPr>
        <w:pStyle w:val="BodyText"/>
        <w:spacing w:line="227" w:lineRule="exact" w:before="198"/>
        <w:ind w:left="23"/>
        <w:jc w:val="both"/>
      </w:pPr>
      <w:r>
        <w:rPr/>
        <w:t>The</w:t>
      </w:r>
      <w:r>
        <w:rPr>
          <w:spacing w:val="5"/>
        </w:rPr>
        <w:t> </w:t>
      </w:r>
      <w:r>
        <w:rPr/>
        <w:t>method</w:t>
      </w:r>
      <w:r>
        <w:rPr>
          <w:spacing w:val="5"/>
        </w:rPr>
        <w:t> </w:t>
      </w:r>
      <w:r>
        <w:rPr/>
        <w:t>of</w:t>
      </w:r>
      <w:r>
        <w:rPr>
          <w:spacing w:val="5"/>
        </w:rPr>
        <w:t> </w:t>
      </w:r>
      <w:r>
        <w:rPr/>
        <w:t>assessing</w:t>
      </w:r>
      <w:r>
        <w:rPr>
          <w:spacing w:val="5"/>
        </w:rPr>
        <w:t> </w:t>
      </w:r>
      <w:r>
        <w:rPr/>
        <w:t>the</w:t>
      </w:r>
      <w:r>
        <w:rPr>
          <w:spacing w:val="5"/>
        </w:rPr>
        <w:t> </w:t>
      </w:r>
      <w:r>
        <w:rPr/>
        <w:t>contribution</w:t>
      </w:r>
      <w:r>
        <w:rPr>
          <w:spacing w:val="5"/>
        </w:rPr>
        <w:t> </w:t>
      </w:r>
      <w:r>
        <w:rPr/>
        <w:t>under</w:t>
      </w:r>
      <w:r>
        <w:rPr>
          <w:spacing w:val="5"/>
        </w:rPr>
        <w:t> </w:t>
      </w:r>
      <w:r>
        <w:rPr/>
        <w:t>the</w:t>
      </w:r>
      <w:r>
        <w:rPr>
          <w:spacing w:val="5"/>
        </w:rPr>
        <w:t> </w:t>
      </w:r>
      <w:r>
        <w:rPr/>
        <w:t>1978</w:t>
      </w:r>
      <w:r>
        <w:rPr>
          <w:spacing w:val="5"/>
        </w:rPr>
        <w:t> </w:t>
      </w:r>
      <w:r>
        <w:rPr/>
        <w:t>Act</w:t>
      </w:r>
      <w:r>
        <w:rPr>
          <w:spacing w:val="5"/>
        </w:rPr>
        <w:t> </w:t>
      </w:r>
      <w:r>
        <w:rPr/>
        <w:t>follows</w:t>
      </w:r>
      <w:r>
        <w:rPr>
          <w:spacing w:val="5"/>
        </w:rPr>
        <w:t> </w:t>
      </w:r>
      <w:r>
        <w:rPr/>
        <w:t>the</w:t>
      </w:r>
      <w:r>
        <w:rPr>
          <w:spacing w:val="5"/>
        </w:rPr>
        <w:t> </w:t>
      </w:r>
      <w:r>
        <w:rPr/>
        <w:t>precedents</w:t>
      </w:r>
      <w:r>
        <w:rPr>
          <w:spacing w:val="5"/>
        </w:rPr>
        <w:t> </w:t>
      </w:r>
      <w:r>
        <w:rPr/>
        <w:t>previously</w:t>
      </w:r>
      <w:r>
        <w:rPr>
          <w:spacing w:val="5"/>
        </w:rPr>
        <w:t> </w:t>
      </w:r>
      <w:r>
        <w:rPr/>
        <w:t>set</w:t>
      </w:r>
      <w:r>
        <w:rPr>
          <w:spacing w:val="5"/>
        </w:rPr>
        <w:t> </w:t>
      </w:r>
      <w:r>
        <w:rPr>
          <w:spacing w:val="-5"/>
        </w:rPr>
        <w:t>in</w:t>
      </w:r>
    </w:p>
    <w:p>
      <w:pPr>
        <w:pStyle w:val="BodyText"/>
        <w:spacing w:line="235" w:lineRule="auto" w:before="2"/>
        <w:ind w:left="23" w:right="25"/>
        <w:jc w:val="both"/>
      </w:pPr>
      <w:r>
        <w:rPr/>
        <w:t>s.6 of the 1935 Act and also the Law Reform (Contributory Negligence) Act 1945. In both these </w:t>
      </w:r>
      <w:r>
        <w:rPr/>
        <w:t>Acts the courts were given broad powers of apportioning liability (or responsibility) for damage in accordance with the “just and equitable” formula. In general it is well established that the courts must </w:t>
      </w:r>
      <w:bookmarkStart w:name="_bookmark93" w:id="95"/>
      <w:bookmarkEnd w:id="95"/>
      <w:r>
        <w:rPr/>
        <w:t>have</w:t>
      </w:r>
      <w:r>
        <w:rPr/>
        <w:t> regard to considerations of relative causative potency as well as to comparative blameworthiness under these provisions. </w:t>
      </w:r>
      <w:r>
        <w:rPr>
          <w:color w:val="005DA1"/>
          <w:u w:val="single" w:color="005DA1"/>
          <w:vertAlign w:val="superscript"/>
        </w:rPr>
        <w:t>100</w:t>
      </w:r>
      <w:r>
        <w:rPr>
          <w:color w:val="005DA1"/>
          <w:vertAlign w:val="baseline"/>
        </w:rPr>
        <w:t> </w:t>
      </w:r>
      <w:r>
        <w:rPr>
          <w:vertAlign w:val="baseline"/>
        </w:rPr>
        <w:t>It is not wholly clear how easily these concepts are transferable from the tort context, where liability is usually based on negligence, to the contractual context where liability is usually strict, and does not involve “blameworthiness” except in the sense that any breach of contract may be said to be blameworthy. In a case of vicarious liability,</w:t>
      </w:r>
      <w:r>
        <w:rPr>
          <w:spacing w:val="40"/>
          <w:vertAlign w:val="baseline"/>
        </w:rPr>
        <w:t> </w:t>
      </w:r>
      <w:r>
        <w:rPr>
          <w:vertAlign w:val="baseline"/>
        </w:rPr>
        <w:t>comparative</w:t>
      </w:r>
      <w:r>
        <w:rPr>
          <w:spacing w:val="-2"/>
          <w:vertAlign w:val="baseline"/>
        </w:rPr>
        <w:t> </w:t>
      </w:r>
      <w:r>
        <w:rPr>
          <w:vertAlign w:val="baseline"/>
        </w:rPr>
        <w:t>blameworthiness</w:t>
      </w:r>
      <w:r>
        <w:rPr>
          <w:spacing w:val="-2"/>
          <w:vertAlign w:val="baseline"/>
        </w:rPr>
        <w:t> </w:t>
      </w:r>
      <w:r>
        <w:rPr>
          <w:vertAlign w:val="baseline"/>
        </w:rPr>
        <w:t>requires</w:t>
      </w:r>
      <w:r>
        <w:rPr>
          <w:spacing w:val="-2"/>
          <w:vertAlign w:val="baseline"/>
        </w:rPr>
        <w:t> </w:t>
      </w:r>
      <w:r>
        <w:rPr>
          <w:vertAlign w:val="baseline"/>
        </w:rPr>
        <w:t>one</w:t>
      </w:r>
      <w:r>
        <w:rPr>
          <w:spacing w:val="-2"/>
          <w:vertAlign w:val="baseline"/>
        </w:rPr>
        <w:t> </w:t>
      </w:r>
      <w:r>
        <w:rPr>
          <w:vertAlign w:val="baseline"/>
        </w:rPr>
        <w:t>to</w:t>
      </w:r>
      <w:r>
        <w:rPr>
          <w:spacing w:val="-2"/>
          <w:vertAlign w:val="baseline"/>
        </w:rPr>
        <w:t> </w:t>
      </w:r>
      <w:r>
        <w:rPr>
          <w:vertAlign w:val="baseline"/>
        </w:rPr>
        <w:t>look</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blameworthiness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person</w:t>
      </w:r>
      <w:r>
        <w:rPr>
          <w:spacing w:val="-2"/>
          <w:vertAlign w:val="baseline"/>
        </w:rPr>
        <w:t> </w:t>
      </w:r>
      <w:r>
        <w:rPr>
          <w:vertAlign w:val="baseline"/>
        </w:rPr>
        <w:t>for</w:t>
      </w:r>
      <w:r>
        <w:rPr>
          <w:spacing w:val="-2"/>
          <w:vertAlign w:val="baseline"/>
        </w:rPr>
        <w:t> </w:t>
      </w:r>
      <w:r>
        <w:rPr>
          <w:vertAlign w:val="baseline"/>
        </w:rPr>
        <w:t>whom</w:t>
      </w:r>
      <w:r>
        <w:rPr>
          <w:spacing w:val="-2"/>
          <w:vertAlign w:val="baseline"/>
        </w:rPr>
        <w:t> </w:t>
      </w:r>
      <w:r>
        <w:rPr>
          <w:vertAlign w:val="baseline"/>
        </w:rPr>
        <w:t>the vicariously liable person was responsible: the vicariously liable person (e.g. the employer) stands in </w:t>
      </w:r>
      <w:bookmarkStart w:name="_bookmark94" w:id="96"/>
      <w:bookmarkEnd w:id="96"/>
      <w:r>
        <w:rPr>
          <w:vertAlign w:val="baseline"/>
        </w:rPr>
        <w:t>the</w:t>
      </w:r>
      <w:r>
        <w:rPr>
          <w:vertAlign w:val="baseline"/>
        </w:rPr>
        <w:t> shoes of the wrongdoer (e.g. the employee) and it is irrelevant that the vicariously liable person was non-blameworthy. </w:t>
      </w:r>
      <w:r>
        <w:rPr>
          <w:color w:val="005DA1"/>
          <w:u w:val="single" w:color="005DA1"/>
          <w:vertAlign w:val="superscript"/>
        </w:rPr>
        <w:t>101</w:t>
      </w:r>
    </w:p>
    <w:p>
      <w:pPr>
        <w:pStyle w:val="BodyText"/>
      </w:pPr>
    </w:p>
    <w:p>
      <w:pPr>
        <w:pStyle w:val="BodyText"/>
        <w:spacing w:before="34"/>
      </w:pPr>
    </w:p>
    <w:p>
      <w:pPr>
        <w:spacing w:before="0"/>
        <w:ind w:left="23" w:right="0" w:firstLine="0"/>
        <w:jc w:val="left"/>
        <w:rPr>
          <w:rFonts w:ascii="Arial"/>
          <w:b/>
          <w:sz w:val="18"/>
        </w:rPr>
      </w:pPr>
      <w:r>
        <w:rPr>
          <w:rFonts w:ascii="Arial"/>
          <w:b/>
          <w:sz w:val="18"/>
        </w:rPr>
        <w:t>Limits on right to </w:t>
      </w:r>
      <w:r>
        <w:rPr>
          <w:rFonts w:ascii="Arial"/>
          <w:b/>
          <w:spacing w:val="-2"/>
          <w:sz w:val="18"/>
        </w:rPr>
        <w:t>contribution</w:t>
      </w:r>
    </w:p>
    <w:p>
      <w:pPr>
        <w:pStyle w:val="BodyText"/>
        <w:spacing w:before="41"/>
        <w:rPr>
          <w:rFonts w:ascii="Arial"/>
          <w:b/>
          <w:sz w:val="18"/>
        </w:rPr>
      </w:pPr>
    </w:p>
    <w:p>
      <w:pPr>
        <w:pStyle w:val="Heading2"/>
      </w:pPr>
      <w:r>
        <w:rPr/>
        <w:t>17-</w:t>
      </w:r>
      <w:r>
        <w:rPr>
          <w:spacing w:val="-5"/>
        </w:rPr>
        <w:t>035</w:t>
      </w:r>
    </w:p>
    <w:p>
      <w:pPr>
        <w:pStyle w:val="BodyText"/>
        <w:spacing w:line="235" w:lineRule="auto" w:before="203"/>
        <w:ind w:left="23" w:right="25"/>
        <w:jc w:val="both"/>
      </w:pPr>
      <w:r>
        <w:rPr/>
        <w:t>It may also be worth noting that although the Act is designed to enable contribution to be </w:t>
      </w:r>
      <w:r>
        <w:rPr/>
        <w:t>obtained from any person liable in respect of the same damage, even though the liability of the parties arises from different legal sources (e.g. contract and tort), there will still be circumstances in which contribution will be unobtainable. For instance, a purchaser of defective goods who is held liable in negligence</w:t>
      </w:r>
      <w:r>
        <w:rPr>
          <w:spacing w:val="-1"/>
        </w:rPr>
        <w:t> </w:t>
      </w:r>
      <w:r>
        <w:rPr/>
        <w:t>to</w:t>
      </w:r>
      <w:r>
        <w:rPr>
          <w:spacing w:val="-1"/>
        </w:rPr>
        <w:t> </w:t>
      </w:r>
      <w:r>
        <w:rPr/>
        <w:t>a</w:t>
      </w:r>
      <w:r>
        <w:rPr>
          <w:spacing w:val="-1"/>
        </w:rPr>
        <w:t> </w:t>
      </w:r>
      <w:r>
        <w:rPr/>
        <w:t>third</w:t>
      </w:r>
      <w:r>
        <w:rPr>
          <w:spacing w:val="-1"/>
        </w:rPr>
        <w:t> </w:t>
      </w:r>
      <w:r>
        <w:rPr/>
        <w:t>party</w:t>
      </w:r>
      <w:r>
        <w:rPr>
          <w:spacing w:val="-1"/>
        </w:rPr>
        <w:t> </w:t>
      </w:r>
      <w:r>
        <w:rPr/>
        <w:t>for</w:t>
      </w:r>
      <w:r>
        <w:rPr>
          <w:spacing w:val="-1"/>
        </w:rPr>
        <w:t> </w:t>
      </w:r>
      <w:r>
        <w:rPr/>
        <w:t>damage</w:t>
      </w:r>
      <w:r>
        <w:rPr>
          <w:spacing w:val="-1"/>
        </w:rPr>
        <w:t> </w:t>
      </w:r>
      <w:r>
        <w:rPr/>
        <w:t>caused</w:t>
      </w:r>
      <w:r>
        <w:rPr>
          <w:spacing w:val="-1"/>
        </w:rPr>
        <w:t> </w:t>
      </w:r>
      <w:r>
        <w:rPr/>
        <w:t>by</w:t>
      </w:r>
      <w:r>
        <w:rPr>
          <w:spacing w:val="-1"/>
        </w:rPr>
        <w:t> </w:t>
      </w:r>
      <w:r>
        <w:rPr/>
        <w:t>use</w:t>
      </w:r>
      <w:r>
        <w:rPr>
          <w:spacing w:val="-1"/>
        </w:rPr>
        <w:t> </w:t>
      </w:r>
      <w:r>
        <w:rPr/>
        <w:t>of</w:t>
      </w:r>
      <w:r>
        <w:rPr>
          <w:spacing w:val="-1"/>
        </w:rPr>
        <w:t> </w:t>
      </w:r>
      <w:r>
        <w:rPr/>
        <w:t>the</w:t>
      </w:r>
      <w:r>
        <w:rPr>
          <w:spacing w:val="-1"/>
        </w:rPr>
        <w:t> </w:t>
      </w:r>
      <w:r>
        <w:rPr/>
        <w:t>goods,</w:t>
      </w:r>
      <w:r>
        <w:rPr>
          <w:spacing w:val="-1"/>
        </w:rPr>
        <w:t> </w:t>
      </w:r>
      <w:r>
        <w:rPr/>
        <w:t>cannot</w:t>
      </w:r>
      <w:r>
        <w:rPr>
          <w:spacing w:val="-1"/>
        </w:rPr>
        <w:t> </w:t>
      </w:r>
      <w:r>
        <w:rPr/>
        <w:t>claim</w:t>
      </w:r>
      <w:r>
        <w:rPr>
          <w:spacing w:val="-1"/>
        </w:rPr>
        <w:t> </w:t>
      </w:r>
      <w:r>
        <w:rPr/>
        <w:t>contribution</w:t>
      </w:r>
      <w:r>
        <w:rPr>
          <w:spacing w:val="-1"/>
        </w:rPr>
        <w:t> </w:t>
      </w:r>
      <w:r>
        <w:rPr/>
        <w:t>from</w:t>
      </w:r>
      <w:r>
        <w:rPr>
          <w:spacing w:val="-1"/>
        </w:rPr>
        <w:t> </w:t>
      </w:r>
      <w:r>
        <w:rPr/>
        <w:t>the person who sold those goods to him if that person was not also liable to the third party; if the seller was guilty of a breach of the terms of the contract of sale, the purchaser may be able to recover a </w:t>
      </w:r>
      <w:bookmarkStart w:name="_bookmark95" w:id="97"/>
      <w:bookmarkEnd w:id="97"/>
      <w:r>
        <w:rPr/>
        <w:t>complete</w:t>
      </w:r>
      <w:r>
        <w:rPr>
          <w:spacing w:val="-2"/>
        </w:rPr>
        <w:t> </w:t>
      </w:r>
      <w:r>
        <w:rPr/>
        <w:t>indemnity</w:t>
      </w:r>
      <w:r>
        <w:rPr>
          <w:spacing w:val="-2"/>
        </w:rPr>
        <w:t> </w:t>
      </w:r>
      <w:r>
        <w:rPr/>
        <w:t>from</w:t>
      </w:r>
      <w:r>
        <w:rPr>
          <w:spacing w:val="-2"/>
        </w:rPr>
        <w:t> </w:t>
      </w:r>
      <w:r>
        <w:rPr/>
        <w:t>the</w:t>
      </w:r>
      <w:r>
        <w:rPr>
          <w:spacing w:val="-2"/>
        </w:rPr>
        <w:t> </w:t>
      </w:r>
      <w:r>
        <w:rPr/>
        <w:t>seller,</w:t>
      </w:r>
      <w:r>
        <w:rPr>
          <w:spacing w:val="-2"/>
        </w:rPr>
        <w:t> </w:t>
      </w:r>
      <w:r>
        <w:rPr/>
        <w:t>depending</w:t>
      </w:r>
      <w:r>
        <w:rPr>
          <w:spacing w:val="-2"/>
        </w:rPr>
        <w:t> </w:t>
      </w:r>
      <w:r>
        <w:rPr/>
        <w:t>on</w:t>
      </w:r>
      <w:r>
        <w:rPr>
          <w:spacing w:val="-2"/>
        </w:rPr>
        <w:t> </w:t>
      </w:r>
      <w:r>
        <w:rPr/>
        <w:t>whether</w:t>
      </w:r>
      <w:r>
        <w:rPr>
          <w:spacing w:val="-2"/>
        </w:rPr>
        <w:t> </w:t>
      </w:r>
      <w:r>
        <w:rPr/>
        <w:t>his</w:t>
      </w:r>
      <w:r>
        <w:rPr>
          <w:spacing w:val="-2"/>
        </w:rPr>
        <w:t> </w:t>
      </w:r>
      <w:r>
        <w:rPr/>
        <w:t>own</w:t>
      </w:r>
      <w:r>
        <w:rPr>
          <w:spacing w:val="-2"/>
        </w:rPr>
        <w:t> </w:t>
      </w:r>
      <w:r>
        <w:rPr/>
        <w:t>conduct</w:t>
      </w:r>
      <w:r>
        <w:rPr>
          <w:spacing w:val="-2"/>
        </w:rPr>
        <w:t> </w:t>
      </w:r>
      <w:r>
        <w:rPr/>
        <w:t>has</w:t>
      </w:r>
      <w:r>
        <w:rPr>
          <w:spacing w:val="-2"/>
        </w:rPr>
        <w:t> </w:t>
      </w:r>
      <w:r>
        <w:rPr/>
        <w:t>broken</w:t>
      </w:r>
      <w:r>
        <w:rPr>
          <w:spacing w:val="-2"/>
        </w:rPr>
        <w:t> </w:t>
      </w:r>
      <w:r>
        <w:rPr/>
        <w:t>the</w:t>
      </w:r>
      <w:r>
        <w:rPr>
          <w:spacing w:val="-2"/>
        </w:rPr>
        <w:t> </w:t>
      </w:r>
      <w:r>
        <w:rPr/>
        <w:t>causal</w:t>
      </w:r>
      <w:r>
        <w:rPr>
          <w:spacing w:val="-2"/>
        </w:rPr>
        <w:t> </w:t>
      </w:r>
      <w:r>
        <w:rPr/>
        <w:t>link between</w:t>
      </w:r>
      <w:r>
        <w:rPr>
          <w:spacing w:val="4"/>
        </w:rPr>
        <w:t> </w:t>
      </w:r>
      <w:r>
        <w:rPr/>
        <w:t>the</w:t>
      </w:r>
      <w:r>
        <w:rPr>
          <w:spacing w:val="4"/>
        </w:rPr>
        <w:t> </w:t>
      </w:r>
      <w:r>
        <w:rPr/>
        <w:t>seller’s</w:t>
      </w:r>
      <w:r>
        <w:rPr>
          <w:spacing w:val="4"/>
        </w:rPr>
        <w:t> </w:t>
      </w:r>
      <w:r>
        <w:rPr/>
        <w:t>breach</w:t>
      </w:r>
      <w:r>
        <w:rPr>
          <w:spacing w:val="4"/>
        </w:rPr>
        <w:t> </w:t>
      </w:r>
      <w:r>
        <w:rPr/>
        <w:t>and</w:t>
      </w:r>
      <w:r>
        <w:rPr>
          <w:spacing w:val="4"/>
        </w:rPr>
        <w:t> </w:t>
      </w:r>
      <w:r>
        <w:rPr/>
        <w:t>the</w:t>
      </w:r>
      <w:r>
        <w:rPr>
          <w:spacing w:val="4"/>
        </w:rPr>
        <w:t> </w:t>
      </w:r>
      <w:r>
        <w:rPr/>
        <w:t>third</w:t>
      </w:r>
      <w:r>
        <w:rPr>
          <w:spacing w:val="4"/>
        </w:rPr>
        <w:t> </w:t>
      </w:r>
      <w:r>
        <w:rPr/>
        <w:t>party’s</w:t>
      </w:r>
      <w:r>
        <w:rPr>
          <w:spacing w:val="4"/>
        </w:rPr>
        <w:t> </w:t>
      </w:r>
      <w:r>
        <w:rPr/>
        <w:t>injury,</w:t>
      </w:r>
      <w:r>
        <w:rPr>
          <w:spacing w:val="4"/>
        </w:rPr>
        <w:t> </w:t>
      </w:r>
      <w:r>
        <w:rPr/>
        <w:t>but</w:t>
      </w:r>
      <w:r>
        <w:rPr>
          <w:spacing w:val="4"/>
        </w:rPr>
        <w:t> </w:t>
      </w:r>
      <w:r>
        <w:rPr/>
        <w:t>there</w:t>
      </w:r>
      <w:r>
        <w:rPr>
          <w:spacing w:val="4"/>
        </w:rPr>
        <w:t> </w:t>
      </w:r>
      <w:r>
        <w:rPr/>
        <w:t>can</w:t>
      </w:r>
      <w:r>
        <w:rPr>
          <w:spacing w:val="4"/>
        </w:rPr>
        <w:t> </w:t>
      </w:r>
      <w:r>
        <w:rPr/>
        <w:t>be</w:t>
      </w:r>
      <w:r>
        <w:rPr>
          <w:spacing w:val="4"/>
        </w:rPr>
        <w:t> </w:t>
      </w:r>
      <w:r>
        <w:rPr/>
        <w:t>no</w:t>
      </w:r>
      <w:r>
        <w:rPr>
          <w:spacing w:val="4"/>
        </w:rPr>
        <w:t> </w:t>
      </w:r>
      <w:r>
        <w:rPr/>
        <w:t>claim</w:t>
      </w:r>
      <w:r>
        <w:rPr>
          <w:spacing w:val="4"/>
        </w:rPr>
        <w:t> </w:t>
      </w:r>
      <w:r>
        <w:rPr/>
        <w:t>under</w:t>
      </w:r>
      <w:r>
        <w:rPr>
          <w:spacing w:val="4"/>
        </w:rPr>
        <w:t> </w:t>
      </w:r>
      <w:r>
        <w:rPr/>
        <w:t>the</w:t>
      </w:r>
      <w:r>
        <w:rPr>
          <w:spacing w:val="4"/>
        </w:rPr>
        <w:t> </w:t>
      </w:r>
      <w:r>
        <w:rPr/>
        <w:t>1978</w:t>
      </w:r>
      <w:r>
        <w:rPr>
          <w:spacing w:val="4"/>
        </w:rPr>
        <w:t> </w:t>
      </w:r>
      <w:r>
        <w:rPr>
          <w:spacing w:val="-4"/>
        </w:rPr>
        <w:t>Act.</w:t>
      </w:r>
    </w:p>
    <w:p>
      <w:pPr>
        <w:spacing w:line="110" w:lineRule="exact" w:before="0"/>
        <w:ind w:left="23" w:right="0" w:firstLine="0"/>
        <w:jc w:val="left"/>
        <w:rPr>
          <w:sz w:val="12"/>
        </w:rPr>
      </w:pPr>
      <w:r>
        <w:rPr>
          <w:color w:val="005DA1"/>
          <w:spacing w:val="-5"/>
          <w:sz w:val="12"/>
          <w:u w:val="single" w:color="005DA1"/>
        </w:rPr>
        <w:t>102</w:t>
      </w:r>
    </w:p>
    <w:p>
      <w:pPr>
        <w:pStyle w:val="BodyText"/>
      </w:pPr>
    </w:p>
    <w:p>
      <w:pPr>
        <w:pStyle w:val="BodyText"/>
        <w:spacing w:before="151"/>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257365</wp:posOffset>
                </wp:positionV>
                <wp:extent cx="572452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265018pt;width:450.75pt;height:.1pt;mso-position-horizontal-relative:page;mso-position-vertical-relative:paragraph;z-index:-15724032;mso-wrap-distance-left:0;mso-wrap-distance-right:0" id="docshape2" coordorigin="1440,405" coordsize="9015,0" path="m1440,405l10454,405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6" w:hanging="541"/>
        <w:jc w:val="left"/>
        <w:rPr>
          <w:sz w:val="20"/>
        </w:rPr>
      </w:pPr>
      <w:r>
        <w:rPr>
          <w:sz w:val="20"/>
        </w:rPr>
        <mc:AlternateContent>
          <mc:Choice Requires="wps">
            <w:drawing>
              <wp:anchor distT="0" distB="0" distL="0" distR="0" allowOverlap="1" layoutInCell="1" locked="0" behindDoc="1" simplePos="0" relativeHeight="486822400">
                <wp:simplePos x="0" y="0"/>
                <wp:positionH relativeFrom="page">
                  <wp:posOffset>914400</wp:posOffset>
                </wp:positionH>
                <wp:positionV relativeFrom="paragraph">
                  <wp:posOffset>94576</wp:posOffset>
                </wp:positionV>
                <wp:extent cx="495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72pt,7.446977pt" to="75.892pt,7.446977pt" stroked="true" strokeweight=".5pt" strokecolor="#005da1">
                <v:stroke dashstyle="solid"/>
                <w10:wrap type="none"/>
              </v:line>
            </w:pict>
          </mc:Fallback>
        </mc:AlternateContent>
      </w:r>
      <w:bookmarkStart w:name="_bookmark96" w:id="98"/>
      <w:bookmarkEnd w:id="98"/>
      <w:r>
        <w:rPr/>
      </w:r>
      <w:hyperlink w:history="true" w:anchor="_bookmark0">
        <w:r>
          <w:rPr>
            <w:color w:val="005DA1"/>
            <w:spacing w:val="-6"/>
            <w:position w:val="5"/>
            <w:sz w:val="14"/>
          </w:rPr>
          <w:t>1</w:t>
        </w:r>
      </w:hyperlink>
      <w:r>
        <w:rPr>
          <w:spacing w:val="-6"/>
          <w:position w:val="5"/>
          <w:sz w:val="14"/>
        </w:rPr>
        <w:t>.</w:t>
      </w:r>
      <w:r>
        <w:rPr>
          <w:position w:val="5"/>
          <w:sz w:val="14"/>
        </w:rPr>
        <w:tab/>
      </w:r>
      <w:r>
        <w:rPr>
          <w:sz w:val="20"/>
        </w:rPr>
        <w:t>See,</w:t>
      </w:r>
      <w:r>
        <w:rPr>
          <w:spacing w:val="40"/>
          <w:sz w:val="20"/>
        </w:rPr>
        <w:t> </w:t>
      </w:r>
      <w:r>
        <w:rPr>
          <w:sz w:val="20"/>
        </w:rPr>
        <w:t>generally,</w:t>
      </w:r>
      <w:r>
        <w:rPr>
          <w:spacing w:val="40"/>
          <w:sz w:val="20"/>
        </w:rPr>
        <w:t> </w:t>
      </w:r>
      <w:r>
        <w:rPr>
          <w:sz w:val="20"/>
        </w:rPr>
        <w:t>Williams,</w:t>
      </w:r>
      <w:r>
        <w:rPr>
          <w:spacing w:val="40"/>
          <w:sz w:val="20"/>
        </w:rPr>
        <w:t> </w:t>
      </w:r>
      <w:r>
        <w:rPr>
          <w:rFonts w:ascii="Arial"/>
          <w:i/>
          <w:sz w:val="20"/>
        </w:rPr>
        <w:t>Joint</w:t>
      </w:r>
      <w:r>
        <w:rPr>
          <w:rFonts w:ascii="Arial"/>
          <w:i/>
          <w:spacing w:val="40"/>
          <w:sz w:val="20"/>
        </w:rPr>
        <w:t> </w:t>
      </w:r>
      <w:r>
        <w:rPr>
          <w:rFonts w:ascii="Arial"/>
          <w:i/>
          <w:sz w:val="20"/>
        </w:rPr>
        <w:t>Obligations</w:t>
      </w:r>
      <w:r>
        <w:rPr>
          <w:rFonts w:ascii="Arial"/>
          <w:i/>
          <w:spacing w:val="40"/>
          <w:sz w:val="20"/>
        </w:rPr>
        <w:t> </w:t>
      </w:r>
      <w:r>
        <w:rPr>
          <w:sz w:val="20"/>
        </w:rPr>
        <w:t>(1949);</w:t>
      </w:r>
      <w:r>
        <w:rPr>
          <w:spacing w:val="40"/>
          <w:sz w:val="20"/>
        </w:rPr>
        <w:t> </w:t>
      </w:r>
      <w:r>
        <w:rPr>
          <w:sz w:val="20"/>
        </w:rPr>
        <w:t>Mitchell,</w:t>
      </w:r>
      <w:r>
        <w:rPr>
          <w:spacing w:val="40"/>
          <w:sz w:val="20"/>
        </w:rPr>
        <w:t> </w:t>
      </w:r>
      <w:r>
        <w:rPr>
          <w:rFonts w:ascii="Arial"/>
          <w:i/>
          <w:sz w:val="20"/>
        </w:rPr>
        <w:t>The</w:t>
      </w:r>
      <w:r>
        <w:rPr>
          <w:rFonts w:ascii="Arial"/>
          <w:i/>
          <w:spacing w:val="40"/>
          <w:sz w:val="20"/>
        </w:rPr>
        <w:t> </w:t>
      </w:r>
      <w:r>
        <w:rPr>
          <w:rFonts w:ascii="Arial"/>
          <w:i/>
          <w:sz w:val="20"/>
        </w:rPr>
        <w:t>Law</w:t>
      </w:r>
      <w:r>
        <w:rPr>
          <w:rFonts w:ascii="Arial"/>
          <w:i/>
          <w:spacing w:val="40"/>
          <w:sz w:val="20"/>
        </w:rPr>
        <w:t> </w:t>
      </w:r>
      <w:r>
        <w:rPr>
          <w:rFonts w:ascii="Arial"/>
          <w:i/>
          <w:sz w:val="20"/>
        </w:rPr>
        <w:t>of</w:t>
      </w:r>
      <w:r>
        <w:rPr>
          <w:rFonts w:ascii="Arial"/>
          <w:i/>
          <w:spacing w:val="40"/>
          <w:sz w:val="20"/>
        </w:rPr>
        <w:t> </w:t>
      </w:r>
      <w:r>
        <w:rPr>
          <w:rFonts w:ascii="Arial"/>
          <w:i/>
          <w:sz w:val="20"/>
        </w:rPr>
        <w:t>Contribution</w:t>
      </w:r>
      <w:r>
        <w:rPr>
          <w:rFonts w:ascii="Arial"/>
          <w:i/>
          <w:spacing w:val="40"/>
          <w:sz w:val="20"/>
        </w:rPr>
        <w:t> </w:t>
      </w:r>
      <w:r>
        <w:rPr>
          <w:rFonts w:ascii="Arial"/>
          <w:i/>
          <w:sz w:val="20"/>
        </w:rPr>
        <w:t>and</w:t>
      </w:r>
      <w:r>
        <w:rPr>
          <w:rFonts w:ascii="Arial"/>
          <w:i/>
          <w:spacing w:val="40"/>
          <w:sz w:val="20"/>
        </w:rPr>
        <w:t> </w:t>
      </w:r>
      <w:r>
        <w:rPr>
          <w:rFonts w:ascii="Arial"/>
          <w:i/>
          <w:sz w:val="20"/>
        </w:rPr>
        <w:t>Reimbursement </w:t>
      </w:r>
      <w:r>
        <w:rPr>
          <w:sz w:val="20"/>
        </w:rPr>
        <w:t>(2003).</w:t>
      </w:r>
    </w:p>
    <w:p>
      <w:pPr>
        <w:pStyle w:val="BodyText"/>
        <w:spacing w:before="5"/>
      </w:pPr>
    </w:p>
    <w:p>
      <w:pPr>
        <w:tabs>
          <w:tab w:pos="563" w:val="left" w:leader="none"/>
        </w:tabs>
        <w:spacing w:before="0"/>
        <w:ind w:left="23" w:right="0" w:firstLine="0"/>
        <w:jc w:val="left"/>
        <w:rPr>
          <w:sz w:val="20"/>
        </w:rPr>
      </w:pPr>
      <w:r>
        <w:rPr>
          <w:sz w:val="20"/>
        </w:rPr>
        <mc:AlternateContent>
          <mc:Choice Requires="wps">
            <w:drawing>
              <wp:anchor distT="0" distB="0" distL="0" distR="0" allowOverlap="1" layoutInCell="1" locked="0" behindDoc="1" simplePos="0" relativeHeight="486822912">
                <wp:simplePos x="0" y="0"/>
                <wp:positionH relativeFrom="page">
                  <wp:posOffset>914400</wp:posOffset>
                </wp:positionH>
                <wp:positionV relativeFrom="paragraph">
                  <wp:posOffset>97280</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72pt,7.659867pt" to="75.892pt,7.659867pt" stroked="true" strokeweight=".5pt" strokecolor="#005da1">
                <v:stroke dashstyle="solid"/>
                <w10:wrap type="none"/>
              </v:line>
            </w:pict>
          </mc:Fallback>
        </mc:AlternateContent>
      </w:r>
      <w:bookmarkStart w:name="_bookmark97" w:id="99"/>
      <w:bookmarkEnd w:id="99"/>
      <w:r>
        <w:rPr/>
      </w:r>
      <w:hyperlink w:history="true" w:anchor="_bookmark1">
        <w:r>
          <w:rPr>
            <w:color w:val="005DA1"/>
            <w:spacing w:val="-5"/>
            <w:position w:val="5"/>
            <w:sz w:val="14"/>
          </w:rPr>
          <w:t>2</w:t>
        </w:r>
      </w:hyperlink>
      <w:r>
        <w:rPr>
          <w:spacing w:val="-5"/>
          <w:position w:val="5"/>
          <w:sz w:val="14"/>
        </w:rPr>
        <w:t>.</w:t>
      </w:r>
      <w:r>
        <w:rPr>
          <w:position w:val="5"/>
          <w:sz w:val="14"/>
        </w:rPr>
        <w:tab/>
      </w:r>
      <w:r>
        <w:rPr>
          <w:sz w:val="20"/>
        </w:rPr>
        <w:t>e.g. </w:t>
      </w:r>
      <w:r>
        <w:rPr>
          <w:rFonts w:ascii="Arial"/>
          <w:i/>
          <w:sz w:val="20"/>
        </w:rPr>
        <w:t>Mikeover Ltd v Brady [1989] 3 All E.R. </w:t>
      </w:r>
      <w:r>
        <w:rPr>
          <w:rFonts w:ascii="Arial"/>
          <w:i/>
          <w:spacing w:val="-4"/>
          <w:sz w:val="20"/>
        </w:rPr>
        <w:t>618</w:t>
      </w:r>
      <w:r>
        <w:rPr>
          <w:spacing w:val="-4"/>
          <w:sz w:val="20"/>
        </w:rPr>
        <w:t>.</w:t>
      </w:r>
    </w:p>
    <w:p>
      <w:pPr>
        <w:pStyle w:val="BodyText"/>
        <w:spacing w:before="9"/>
      </w:pPr>
    </w:p>
    <w:p>
      <w:pPr>
        <w:pStyle w:val="BodyText"/>
        <w:tabs>
          <w:tab w:pos="563" w:val="left" w:leader="none"/>
        </w:tabs>
        <w:spacing w:line="235" w:lineRule="auto"/>
        <w:ind w:left="563" w:right="25" w:hanging="541"/>
        <w:jc w:val="both"/>
      </w:pPr>
      <w:r>
        <w:rPr/>
        <mc:AlternateContent>
          <mc:Choice Requires="wps">
            <w:drawing>
              <wp:anchor distT="0" distB="0" distL="0" distR="0" allowOverlap="1" layoutInCell="1" locked="0" behindDoc="1" simplePos="0" relativeHeight="486823424">
                <wp:simplePos x="0" y="0"/>
                <wp:positionH relativeFrom="page">
                  <wp:posOffset>914400</wp:posOffset>
                </wp:positionH>
                <wp:positionV relativeFrom="paragraph">
                  <wp:posOffset>94765</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72pt,7.46182pt" to="75.892pt,7.46182pt" stroked="true" strokeweight=".5pt" strokecolor="#005da1">
                <v:stroke dashstyle="solid"/>
                <w10:wrap type="none"/>
              </v:line>
            </w:pict>
          </mc:Fallback>
        </mc:AlternateContent>
      </w:r>
      <w:bookmarkStart w:name="_bookmark98" w:id="100"/>
      <w:bookmarkEnd w:id="100"/>
      <w:r>
        <w:rPr/>
      </w:r>
      <w:hyperlink w:history="true" w:anchor="_bookmark2">
        <w:r>
          <w:rPr>
            <w:color w:val="005DA1"/>
            <w:spacing w:val="-6"/>
            <w:position w:val="5"/>
            <w:sz w:val="14"/>
          </w:rPr>
          <w:t>3</w:t>
        </w:r>
      </w:hyperlink>
      <w:r>
        <w:rPr>
          <w:spacing w:val="-6"/>
          <w:position w:val="5"/>
          <w:sz w:val="14"/>
        </w:rPr>
        <w:t>.</w:t>
      </w:r>
      <w:r>
        <w:rPr>
          <w:position w:val="5"/>
          <w:sz w:val="14"/>
        </w:rPr>
        <w:tab/>
      </w:r>
      <w:r>
        <w:rPr/>
        <w:t>An</w:t>
      </w:r>
      <w:r>
        <w:rPr>
          <w:spacing w:val="-3"/>
        </w:rPr>
        <w:t> </w:t>
      </w:r>
      <w:r>
        <w:rPr/>
        <w:t>exception</w:t>
      </w:r>
      <w:r>
        <w:rPr>
          <w:spacing w:val="-3"/>
        </w:rPr>
        <w:t> </w:t>
      </w:r>
      <w:r>
        <w:rPr/>
        <w:t>is</w:t>
      </w:r>
      <w:r>
        <w:rPr>
          <w:spacing w:val="-3"/>
        </w:rPr>
        <w:t> </w:t>
      </w:r>
      <w:r>
        <w:rPr/>
        <w:t>an</w:t>
      </w:r>
      <w:r>
        <w:rPr>
          <w:spacing w:val="-3"/>
        </w:rPr>
        <w:t> </w:t>
      </w:r>
      <w:r>
        <w:rPr/>
        <w:t>original</w:t>
      </w:r>
      <w:r>
        <w:rPr>
          <w:spacing w:val="-3"/>
        </w:rPr>
        <w:t> </w:t>
      </w:r>
      <w:r>
        <w:rPr/>
        <w:t>lessee’s</w:t>
      </w:r>
      <w:r>
        <w:rPr>
          <w:spacing w:val="-3"/>
        </w:rPr>
        <w:t> </w:t>
      </w:r>
      <w:r>
        <w:rPr/>
        <w:t>and</w:t>
      </w:r>
      <w:r>
        <w:rPr>
          <w:spacing w:val="-3"/>
        </w:rPr>
        <w:t> </w:t>
      </w:r>
      <w:r>
        <w:rPr/>
        <w:t>a</w:t>
      </w:r>
      <w:r>
        <w:rPr>
          <w:spacing w:val="-3"/>
        </w:rPr>
        <w:t> </w:t>
      </w:r>
      <w:r>
        <w:rPr/>
        <w:t>subsequent</w:t>
      </w:r>
      <w:r>
        <w:rPr>
          <w:spacing w:val="-3"/>
        </w:rPr>
        <w:t> </w:t>
      </w:r>
      <w:r>
        <w:rPr/>
        <w:t>assignee’s</w:t>
      </w:r>
      <w:r>
        <w:rPr>
          <w:spacing w:val="-3"/>
        </w:rPr>
        <w:t> </w:t>
      </w:r>
      <w:r>
        <w:rPr/>
        <w:t>covenants</w:t>
      </w:r>
      <w:r>
        <w:rPr>
          <w:spacing w:val="-3"/>
        </w:rPr>
        <w:t> </w:t>
      </w:r>
      <w:r>
        <w:rPr/>
        <w:t>to</w:t>
      </w:r>
      <w:r>
        <w:rPr>
          <w:spacing w:val="-3"/>
        </w:rPr>
        <w:t> </w:t>
      </w:r>
      <w:r>
        <w:rPr/>
        <w:t>the</w:t>
      </w:r>
      <w:r>
        <w:rPr>
          <w:spacing w:val="-3"/>
        </w:rPr>
        <w:t> </w:t>
      </w:r>
      <w:r>
        <w:rPr/>
        <w:t>lessor</w:t>
      </w:r>
      <w:r>
        <w:rPr>
          <w:spacing w:val="-3"/>
        </w:rPr>
        <w:t> </w:t>
      </w:r>
      <w:r>
        <w:rPr/>
        <w:t>to</w:t>
      </w:r>
      <w:r>
        <w:rPr>
          <w:spacing w:val="-3"/>
        </w:rPr>
        <w:t> </w:t>
      </w:r>
      <w:r>
        <w:rPr/>
        <w:t>pay rent. These are regarded as creating several but non-cumulative liability. Payment by one does discharge the other; and the rules of release for joint and several liability apply so that contractual release of one promisor releases the other. See Williams, </w:t>
      </w:r>
      <w:r>
        <w:rPr>
          <w:rFonts w:ascii="Arial" w:hAnsi="Arial"/>
          <w:i/>
        </w:rPr>
        <w:t>Joint Obligations </w:t>
      </w:r>
      <w:r>
        <w:rPr/>
        <w:t>(1949), para.5;</w:t>
      </w:r>
      <w:r>
        <w:rPr>
          <w:spacing w:val="25"/>
        </w:rPr>
        <w:t> </w:t>
      </w:r>
      <w:r>
        <w:rPr>
          <w:rFonts w:ascii="Arial" w:hAnsi="Arial"/>
          <w:i/>
        </w:rPr>
        <w:t>Deanplan</w:t>
      </w:r>
      <w:r>
        <w:rPr>
          <w:rFonts w:ascii="Arial" w:hAnsi="Arial"/>
          <w:i/>
          <w:spacing w:val="26"/>
        </w:rPr>
        <w:t> </w:t>
      </w:r>
      <w:r>
        <w:rPr>
          <w:rFonts w:ascii="Arial" w:hAnsi="Arial"/>
          <w:i/>
        </w:rPr>
        <w:t>Ltd</w:t>
      </w:r>
      <w:r>
        <w:rPr>
          <w:rFonts w:ascii="Arial" w:hAnsi="Arial"/>
          <w:i/>
          <w:spacing w:val="26"/>
        </w:rPr>
        <w:t> </w:t>
      </w:r>
      <w:r>
        <w:rPr>
          <w:rFonts w:ascii="Arial" w:hAnsi="Arial"/>
          <w:i/>
        </w:rPr>
        <w:t>v</w:t>
      </w:r>
      <w:r>
        <w:rPr>
          <w:rFonts w:ascii="Arial" w:hAnsi="Arial"/>
          <w:i/>
          <w:spacing w:val="26"/>
        </w:rPr>
        <w:t> </w:t>
      </w:r>
      <w:r>
        <w:rPr>
          <w:rFonts w:ascii="Arial" w:hAnsi="Arial"/>
          <w:i/>
        </w:rPr>
        <w:t>Mahmoud</w:t>
      </w:r>
      <w:r>
        <w:rPr>
          <w:rFonts w:ascii="Arial" w:hAnsi="Arial"/>
          <w:i/>
          <w:spacing w:val="26"/>
        </w:rPr>
        <w:t> </w:t>
      </w:r>
      <w:r>
        <w:rPr>
          <w:rFonts w:ascii="Arial" w:hAnsi="Arial"/>
          <w:i/>
        </w:rPr>
        <w:t>[1993]</w:t>
      </w:r>
      <w:r>
        <w:rPr>
          <w:rFonts w:ascii="Arial" w:hAnsi="Arial"/>
          <w:i/>
          <w:spacing w:val="26"/>
        </w:rPr>
        <w:t> </w:t>
      </w:r>
      <w:r>
        <w:rPr>
          <w:rFonts w:ascii="Arial" w:hAnsi="Arial"/>
          <w:i/>
        </w:rPr>
        <w:t>Ch.</w:t>
      </w:r>
      <w:r>
        <w:rPr>
          <w:rFonts w:ascii="Arial" w:hAnsi="Arial"/>
          <w:i/>
          <w:spacing w:val="26"/>
        </w:rPr>
        <w:t> </w:t>
      </w:r>
      <w:r>
        <w:rPr>
          <w:rFonts w:ascii="Arial" w:hAnsi="Arial"/>
          <w:i/>
        </w:rPr>
        <w:t>151</w:t>
      </w:r>
      <w:r>
        <w:rPr/>
        <w:t>.</w:t>
      </w:r>
      <w:r>
        <w:rPr>
          <w:spacing w:val="26"/>
        </w:rPr>
        <w:t> </w:t>
      </w:r>
      <w:r>
        <w:rPr/>
        <w:t>For</w:t>
      </w:r>
      <w:r>
        <w:rPr>
          <w:spacing w:val="26"/>
        </w:rPr>
        <w:t> </w:t>
      </w:r>
      <w:r>
        <w:rPr/>
        <w:t>leases</w:t>
      </w:r>
      <w:r>
        <w:rPr>
          <w:spacing w:val="26"/>
        </w:rPr>
        <w:t> </w:t>
      </w:r>
      <w:r>
        <w:rPr/>
        <w:t>granted</w:t>
      </w:r>
      <w:r>
        <w:rPr>
          <w:spacing w:val="26"/>
        </w:rPr>
        <w:t> </w:t>
      </w:r>
      <w:r>
        <w:rPr/>
        <w:t>after</w:t>
      </w:r>
      <w:r>
        <w:rPr>
          <w:spacing w:val="26"/>
        </w:rPr>
        <w:t> </w:t>
      </w:r>
      <w:r>
        <w:rPr/>
        <w:t>1995</w:t>
      </w:r>
      <w:r>
        <w:rPr>
          <w:spacing w:val="26"/>
        </w:rPr>
        <w:t> </w:t>
      </w:r>
      <w:r>
        <w:rPr/>
        <w:t>the</w:t>
      </w:r>
      <w:r>
        <w:rPr>
          <w:spacing w:val="26"/>
        </w:rPr>
        <w:t> </w:t>
      </w:r>
      <w:r>
        <w:rPr>
          <w:spacing w:val="-2"/>
        </w:rPr>
        <w:t>original</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563" w:right="25"/>
        <w:jc w:val="both"/>
      </w:pPr>
      <w:r>
        <w:rPr/>
        <w:t>tenant will generally be released from covenants in the lease once the lease has </w:t>
      </w:r>
      <w:r>
        <w:rPr/>
        <w:t>been</w:t>
      </w:r>
      <w:r>
        <w:rPr>
          <w:spacing w:val="40"/>
        </w:rPr>
        <w:t> </w:t>
      </w:r>
      <w:r>
        <w:rPr/>
        <w:t>assigned: see Landlord and Tenant (Covenants) Act 1995 ss.3 and 5. But under s.16 a tenant may enter into an “authorised guarantee agreement” to guarantee compliance with the covenants by the assignee.</w:t>
      </w:r>
    </w:p>
    <w:p>
      <w:pPr>
        <w:pStyle w:val="BodyText"/>
        <w:spacing w:before="5"/>
      </w:pPr>
    </w:p>
    <w:p>
      <w:pPr>
        <w:tabs>
          <w:tab w:pos="563" w:val="left" w:leader="none"/>
        </w:tabs>
        <w:spacing w:line="227" w:lineRule="exact" w:before="0"/>
        <w:ind w:left="23"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6823936">
                <wp:simplePos x="0" y="0"/>
                <wp:positionH relativeFrom="page">
                  <wp:posOffset>914400</wp:posOffset>
                </wp:positionH>
                <wp:positionV relativeFrom="paragraph">
                  <wp:posOffset>97020</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72pt,7.639445pt" to="75.892pt,7.639445pt" stroked="true" strokeweight=".5pt" strokecolor="#005da1">
                <v:stroke dashstyle="solid"/>
                <w10:wrap type="none"/>
              </v:line>
            </w:pict>
          </mc:Fallback>
        </mc:AlternateContent>
      </w:r>
      <w:bookmarkStart w:name="_bookmark99" w:id="101"/>
      <w:bookmarkEnd w:id="101"/>
      <w:r>
        <w:rPr/>
      </w:r>
      <w:hyperlink w:history="true" w:anchor="_bookmark3">
        <w:r>
          <w:rPr>
            <w:color w:val="005DA1"/>
            <w:spacing w:val="-5"/>
            <w:position w:val="5"/>
            <w:sz w:val="14"/>
          </w:rPr>
          <w:t>4</w:t>
        </w:r>
      </w:hyperlink>
      <w:r>
        <w:rPr>
          <w:spacing w:val="-5"/>
          <w:position w:val="5"/>
          <w:sz w:val="14"/>
        </w:rPr>
        <w:t>.</w:t>
      </w:r>
      <w:r>
        <w:rPr>
          <w:position w:val="5"/>
          <w:sz w:val="14"/>
        </w:rPr>
        <w:tab/>
      </w:r>
      <w:r>
        <w:rPr>
          <w:rFonts w:ascii="Arial"/>
          <w:i/>
          <w:sz w:val="20"/>
        </w:rPr>
        <w:t>King</w:t>
      </w:r>
      <w:r>
        <w:rPr>
          <w:rFonts w:ascii="Arial"/>
          <w:i/>
          <w:spacing w:val="6"/>
          <w:sz w:val="20"/>
        </w:rPr>
        <w:t> </w:t>
      </w:r>
      <w:r>
        <w:rPr>
          <w:rFonts w:ascii="Arial"/>
          <w:i/>
          <w:sz w:val="20"/>
        </w:rPr>
        <w:t>v</w:t>
      </w:r>
      <w:r>
        <w:rPr>
          <w:rFonts w:ascii="Arial"/>
          <w:i/>
          <w:spacing w:val="7"/>
          <w:sz w:val="20"/>
        </w:rPr>
        <w:t> </w:t>
      </w:r>
      <w:r>
        <w:rPr>
          <w:rFonts w:ascii="Arial"/>
          <w:i/>
          <w:sz w:val="20"/>
        </w:rPr>
        <w:t>Hoare</w:t>
      </w:r>
      <w:r>
        <w:rPr>
          <w:rFonts w:ascii="Arial"/>
          <w:i/>
          <w:spacing w:val="7"/>
          <w:sz w:val="20"/>
        </w:rPr>
        <w:t> </w:t>
      </w:r>
      <w:r>
        <w:rPr>
          <w:rFonts w:ascii="Arial"/>
          <w:i/>
          <w:sz w:val="20"/>
        </w:rPr>
        <w:t>(1844)</w:t>
      </w:r>
      <w:r>
        <w:rPr>
          <w:rFonts w:ascii="Arial"/>
          <w:i/>
          <w:spacing w:val="7"/>
          <w:sz w:val="20"/>
        </w:rPr>
        <w:t> </w:t>
      </w:r>
      <w:r>
        <w:rPr>
          <w:rFonts w:ascii="Arial"/>
          <w:i/>
          <w:sz w:val="20"/>
        </w:rPr>
        <w:t>13</w:t>
      </w:r>
      <w:r>
        <w:rPr>
          <w:rFonts w:ascii="Arial"/>
          <w:i/>
          <w:spacing w:val="7"/>
          <w:sz w:val="20"/>
        </w:rPr>
        <w:t> </w:t>
      </w:r>
      <w:r>
        <w:rPr>
          <w:rFonts w:ascii="Arial"/>
          <w:i/>
          <w:sz w:val="20"/>
        </w:rPr>
        <w:t>M.</w:t>
      </w:r>
      <w:r>
        <w:rPr>
          <w:rFonts w:ascii="Arial"/>
          <w:i/>
          <w:spacing w:val="7"/>
          <w:sz w:val="20"/>
        </w:rPr>
        <w:t> </w:t>
      </w:r>
      <w:r>
        <w:rPr>
          <w:rFonts w:ascii="Arial"/>
          <w:i/>
          <w:sz w:val="20"/>
        </w:rPr>
        <w:t>&amp;</w:t>
      </w:r>
      <w:r>
        <w:rPr>
          <w:rFonts w:ascii="Arial"/>
          <w:i/>
          <w:spacing w:val="7"/>
          <w:sz w:val="20"/>
        </w:rPr>
        <w:t> </w:t>
      </w:r>
      <w:r>
        <w:rPr>
          <w:rFonts w:ascii="Arial"/>
          <w:i/>
          <w:sz w:val="20"/>
        </w:rPr>
        <w:t>W.</w:t>
      </w:r>
      <w:r>
        <w:rPr>
          <w:rFonts w:ascii="Arial"/>
          <w:i/>
          <w:spacing w:val="7"/>
          <w:sz w:val="20"/>
        </w:rPr>
        <w:t> </w:t>
      </w:r>
      <w:r>
        <w:rPr>
          <w:rFonts w:ascii="Arial"/>
          <w:i/>
          <w:sz w:val="20"/>
        </w:rPr>
        <w:t>494</w:t>
      </w:r>
      <w:r>
        <w:rPr>
          <w:sz w:val="20"/>
        </w:rPr>
        <w:t>;</w:t>
      </w:r>
      <w:r>
        <w:rPr>
          <w:spacing w:val="7"/>
          <w:sz w:val="20"/>
        </w:rPr>
        <w:t> </w:t>
      </w:r>
      <w:r>
        <w:rPr>
          <w:rFonts w:ascii="Arial"/>
          <w:i/>
          <w:sz w:val="20"/>
        </w:rPr>
        <w:t>Kendall</w:t>
      </w:r>
      <w:r>
        <w:rPr>
          <w:rFonts w:ascii="Arial"/>
          <w:i/>
          <w:spacing w:val="6"/>
          <w:sz w:val="20"/>
        </w:rPr>
        <w:t> </w:t>
      </w:r>
      <w:r>
        <w:rPr>
          <w:rFonts w:ascii="Arial"/>
          <w:i/>
          <w:sz w:val="20"/>
        </w:rPr>
        <w:t>v</w:t>
      </w:r>
      <w:r>
        <w:rPr>
          <w:rFonts w:ascii="Arial"/>
          <w:i/>
          <w:spacing w:val="7"/>
          <w:sz w:val="20"/>
        </w:rPr>
        <w:t> </w:t>
      </w:r>
      <w:r>
        <w:rPr>
          <w:rFonts w:ascii="Arial"/>
          <w:i/>
          <w:sz w:val="20"/>
        </w:rPr>
        <w:t>Hamilton</w:t>
      </w:r>
      <w:r>
        <w:rPr>
          <w:rFonts w:ascii="Arial"/>
          <w:i/>
          <w:spacing w:val="7"/>
          <w:sz w:val="20"/>
        </w:rPr>
        <w:t> </w:t>
      </w:r>
      <w:r>
        <w:rPr>
          <w:rFonts w:ascii="Arial"/>
          <w:i/>
          <w:sz w:val="20"/>
        </w:rPr>
        <w:t>(1879)</w:t>
      </w:r>
      <w:r>
        <w:rPr>
          <w:rFonts w:ascii="Arial"/>
          <w:i/>
          <w:spacing w:val="7"/>
          <w:sz w:val="20"/>
        </w:rPr>
        <w:t> </w:t>
      </w:r>
      <w:r>
        <w:rPr>
          <w:rFonts w:ascii="Arial"/>
          <w:i/>
          <w:sz w:val="20"/>
        </w:rPr>
        <w:t>4</w:t>
      </w:r>
      <w:r>
        <w:rPr>
          <w:rFonts w:ascii="Arial"/>
          <w:i/>
          <w:spacing w:val="7"/>
          <w:sz w:val="20"/>
        </w:rPr>
        <w:t> </w:t>
      </w:r>
      <w:r>
        <w:rPr>
          <w:rFonts w:ascii="Arial"/>
          <w:i/>
          <w:sz w:val="20"/>
        </w:rPr>
        <w:t>App.</w:t>
      </w:r>
      <w:r>
        <w:rPr>
          <w:rFonts w:ascii="Arial"/>
          <w:i/>
          <w:spacing w:val="7"/>
          <w:sz w:val="20"/>
        </w:rPr>
        <w:t> </w:t>
      </w:r>
      <w:r>
        <w:rPr>
          <w:rFonts w:ascii="Arial"/>
          <w:i/>
          <w:sz w:val="20"/>
        </w:rPr>
        <w:t>Cas.</w:t>
      </w:r>
      <w:r>
        <w:rPr>
          <w:rFonts w:ascii="Arial"/>
          <w:i/>
          <w:spacing w:val="7"/>
          <w:sz w:val="20"/>
        </w:rPr>
        <w:t> </w:t>
      </w:r>
      <w:r>
        <w:rPr>
          <w:rFonts w:ascii="Arial"/>
          <w:i/>
          <w:sz w:val="20"/>
        </w:rPr>
        <w:t>504</w:t>
      </w:r>
      <w:r>
        <w:rPr>
          <w:sz w:val="20"/>
        </w:rPr>
        <w:t>;</w:t>
      </w:r>
      <w:r>
        <w:rPr>
          <w:spacing w:val="7"/>
          <w:sz w:val="20"/>
        </w:rPr>
        <w:t> </w:t>
      </w:r>
      <w:r>
        <w:rPr>
          <w:rFonts w:ascii="Arial"/>
          <w:i/>
          <w:sz w:val="20"/>
        </w:rPr>
        <w:t>Re</w:t>
      </w:r>
      <w:r>
        <w:rPr>
          <w:rFonts w:ascii="Arial"/>
          <w:i/>
          <w:spacing w:val="7"/>
          <w:sz w:val="20"/>
        </w:rPr>
        <w:t> </w:t>
      </w:r>
      <w:r>
        <w:rPr>
          <w:rFonts w:ascii="Arial"/>
          <w:i/>
          <w:spacing w:val="-2"/>
          <w:sz w:val="20"/>
        </w:rPr>
        <w:t>Hodgson</w:t>
      </w:r>
    </w:p>
    <w:p>
      <w:pPr>
        <w:spacing w:line="227" w:lineRule="exact" w:before="0"/>
        <w:ind w:left="563" w:right="0" w:firstLine="0"/>
        <w:jc w:val="left"/>
        <w:rPr>
          <w:sz w:val="20"/>
        </w:rPr>
      </w:pPr>
      <w:r>
        <w:rPr>
          <w:rFonts w:ascii="Arial"/>
          <w:i/>
          <w:sz w:val="20"/>
        </w:rPr>
        <w:t>(1885)</w:t>
      </w:r>
      <w:r>
        <w:rPr>
          <w:rFonts w:ascii="Arial"/>
          <w:i/>
          <w:spacing w:val="-2"/>
          <w:sz w:val="20"/>
        </w:rPr>
        <w:t> </w:t>
      </w:r>
      <w:r>
        <w:rPr>
          <w:rFonts w:ascii="Arial"/>
          <w:i/>
          <w:sz w:val="20"/>
        </w:rPr>
        <w:t>31 Ch. D. 177, </w:t>
      </w:r>
      <w:r>
        <w:rPr>
          <w:rFonts w:ascii="Arial"/>
          <w:i/>
          <w:spacing w:val="-4"/>
          <w:sz w:val="20"/>
        </w:rPr>
        <w:t>188</w:t>
      </w:r>
      <w:r>
        <w:rPr>
          <w:spacing w:val="-4"/>
          <w:sz w:val="20"/>
        </w:rPr>
        <w:t>.</w:t>
      </w:r>
    </w:p>
    <w:p>
      <w:pPr>
        <w:pStyle w:val="BodyText"/>
        <w:spacing w:before="9"/>
      </w:pPr>
    </w:p>
    <w:p>
      <w:pPr>
        <w:pStyle w:val="BodyText"/>
        <w:tabs>
          <w:tab w:pos="563" w:val="left" w:leader="none"/>
        </w:tabs>
        <w:spacing w:line="235" w:lineRule="auto"/>
        <w:ind w:left="563" w:right="25" w:hanging="541"/>
        <w:jc w:val="both"/>
      </w:pPr>
      <w:r>
        <w:rPr/>
        <mc:AlternateContent>
          <mc:Choice Requires="wps">
            <w:drawing>
              <wp:anchor distT="0" distB="0" distL="0" distR="0" allowOverlap="1" layoutInCell="1" locked="0" behindDoc="1" simplePos="0" relativeHeight="486824448">
                <wp:simplePos x="0" y="0"/>
                <wp:positionH relativeFrom="page">
                  <wp:posOffset>914400</wp:posOffset>
                </wp:positionH>
                <wp:positionV relativeFrom="paragraph">
                  <wp:posOffset>94505</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72pt,7.441399pt" to="75.892pt,7.441399pt" stroked="true" strokeweight=".5pt" strokecolor="#005da1">
                <v:stroke dashstyle="solid"/>
                <w10:wrap type="none"/>
              </v:line>
            </w:pict>
          </mc:Fallback>
        </mc:AlternateContent>
      </w:r>
      <w:bookmarkStart w:name="_bookmark100" w:id="102"/>
      <w:bookmarkEnd w:id="102"/>
      <w:r>
        <w:rPr/>
      </w:r>
      <w:hyperlink w:history="true" w:anchor="_bookmark4">
        <w:r>
          <w:rPr>
            <w:color w:val="005DA1"/>
            <w:spacing w:val="-6"/>
            <w:position w:val="5"/>
            <w:sz w:val="14"/>
          </w:rPr>
          <w:t>5</w:t>
        </w:r>
      </w:hyperlink>
      <w:r>
        <w:rPr>
          <w:spacing w:val="-6"/>
          <w:position w:val="5"/>
          <w:sz w:val="14"/>
        </w:rPr>
        <w:t>.</w:t>
      </w:r>
      <w:r>
        <w:rPr>
          <w:position w:val="5"/>
          <w:sz w:val="14"/>
        </w:rPr>
        <w:tab/>
      </w:r>
      <w:r>
        <w:rPr/>
        <w:t>For the tort definitions of several, joint, and joint and several liability, and the rules applying to them, see Clerk &amp; Lindsell on Torts, 21st edn (2014), Ch.4. See also Williams, </w:t>
      </w:r>
      <w:r>
        <w:rPr>
          <w:rFonts w:ascii="Arial" w:hAnsi="Arial"/>
          <w:i/>
        </w:rPr>
        <w:t>Joint Torts </w:t>
      </w:r>
      <w:r>
        <w:rPr>
          <w:rFonts w:ascii="Arial" w:hAnsi="Arial"/>
          <w:i/>
        </w:rPr>
        <w:t>and Contributory Negligence </w:t>
      </w:r>
      <w:r>
        <w:rPr/>
        <w:t>(1951). The tort rules (e.g. on release) applicable to joint and several wrongdoers (e.g. release of one does not release the others; see Clerk &amp; Lindsell on Torts, para.4–09) appear to differ from the contractual rules applicable to joint and several promisors (e.g. release of one releases the others: see below, para.17-017).</w:t>
      </w:r>
    </w:p>
    <w:p>
      <w:pPr>
        <w:pStyle w:val="BodyText"/>
        <w:spacing w:before="7"/>
      </w:pPr>
    </w:p>
    <w:p>
      <w:pPr>
        <w:pStyle w:val="BodyText"/>
        <w:tabs>
          <w:tab w:pos="563" w:val="left" w:leader="none"/>
        </w:tabs>
        <w:spacing w:line="235" w:lineRule="auto"/>
        <w:ind w:left="563" w:right="25" w:hanging="541"/>
        <w:jc w:val="both"/>
      </w:pPr>
      <w:r>
        <w:rPr/>
        <mc:AlternateContent>
          <mc:Choice Requires="wps">
            <w:drawing>
              <wp:anchor distT="0" distB="0" distL="0" distR="0" allowOverlap="1" layoutInCell="1" locked="0" behindDoc="1" simplePos="0" relativeHeight="486824960">
                <wp:simplePos x="0" y="0"/>
                <wp:positionH relativeFrom="page">
                  <wp:posOffset>914400</wp:posOffset>
                </wp:positionH>
                <wp:positionV relativeFrom="paragraph">
                  <wp:posOffset>94972</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72pt,7.478117pt" to="75.892pt,7.478117pt" stroked="true" strokeweight=".5pt" strokecolor="#005da1">
                <v:stroke dashstyle="solid"/>
                <w10:wrap type="none"/>
              </v:line>
            </w:pict>
          </mc:Fallback>
        </mc:AlternateContent>
      </w:r>
      <w:bookmarkStart w:name="_bookmark101" w:id="103"/>
      <w:bookmarkEnd w:id="103"/>
      <w:r>
        <w:rPr/>
      </w:r>
      <w:hyperlink w:history="true" w:anchor="_bookmark5">
        <w:r>
          <w:rPr>
            <w:color w:val="005DA1"/>
            <w:spacing w:val="-6"/>
            <w:position w:val="5"/>
            <w:sz w:val="14"/>
          </w:rPr>
          <w:t>6</w:t>
        </w:r>
      </w:hyperlink>
      <w:r>
        <w:rPr>
          <w:spacing w:val="-6"/>
          <w:position w:val="5"/>
          <w:sz w:val="14"/>
        </w:rPr>
        <w:t>.</w:t>
      </w:r>
      <w:r>
        <w:rPr>
          <w:position w:val="5"/>
          <w:sz w:val="14"/>
        </w:rPr>
        <w:tab/>
      </w:r>
      <w:r>
        <w:rPr/>
        <w:t>In the 1990s there was considerable debate over whether joint and several liability, in its </w:t>
      </w:r>
      <w:r>
        <w:rPr/>
        <w:t>tort sense, should be replaced by proportionate liability. The case for that reform was particularly urged by auditors in respect of contractual or tortious liability for negligence. For a rejection of that reform, see Feasibility Investigation of Joint and Several Liability, by the Common Law Team of the Law Commission (DTI Consultation Paper, 1996). See generally, R. Wright, “The Logic and Fairness of Joint and Several Liability” (1992) 23 Memphis State L.R. 45; M. Simpson,</w:t>
      </w:r>
      <w:r>
        <w:rPr>
          <w:spacing w:val="24"/>
        </w:rPr>
        <w:t> </w:t>
      </w:r>
      <w:r>
        <w:rPr/>
        <w:t>“Apportionment</w:t>
      </w:r>
      <w:r>
        <w:rPr>
          <w:spacing w:val="26"/>
        </w:rPr>
        <w:t> </w:t>
      </w:r>
      <w:r>
        <w:rPr/>
        <w:t>or</w:t>
      </w:r>
      <w:r>
        <w:rPr>
          <w:spacing w:val="26"/>
        </w:rPr>
        <w:t> </w:t>
      </w:r>
      <w:r>
        <w:rPr/>
        <w:t>Compensation?</w:t>
      </w:r>
      <w:r>
        <w:rPr>
          <w:spacing w:val="26"/>
        </w:rPr>
        <w:t> </w:t>
      </w:r>
      <w:r>
        <w:rPr/>
        <w:t>Joint</w:t>
      </w:r>
      <w:r>
        <w:rPr>
          <w:spacing w:val="26"/>
        </w:rPr>
        <w:t> </w:t>
      </w:r>
      <w:r>
        <w:rPr/>
        <w:t>and</w:t>
      </w:r>
      <w:r>
        <w:rPr>
          <w:spacing w:val="26"/>
        </w:rPr>
        <w:t> </w:t>
      </w:r>
      <w:r>
        <w:rPr/>
        <w:t>Several</w:t>
      </w:r>
      <w:r>
        <w:rPr>
          <w:spacing w:val="26"/>
        </w:rPr>
        <w:t> </w:t>
      </w:r>
      <w:r>
        <w:rPr/>
        <w:t>Liability</w:t>
      </w:r>
      <w:r>
        <w:rPr>
          <w:spacing w:val="26"/>
        </w:rPr>
        <w:t> </w:t>
      </w:r>
      <w:r>
        <w:rPr/>
        <w:t>Reconsidered”</w:t>
      </w:r>
      <w:r>
        <w:rPr>
          <w:spacing w:val="26"/>
        </w:rPr>
        <w:t> </w:t>
      </w:r>
      <w:r>
        <w:rPr>
          <w:spacing w:val="-2"/>
        </w:rPr>
        <w:t>[1995]</w:t>
      </w:r>
    </w:p>
    <w:p>
      <w:pPr>
        <w:pStyle w:val="BodyText"/>
        <w:spacing w:line="235" w:lineRule="auto"/>
        <w:ind w:left="563" w:right="25"/>
        <w:jc w:val="both"/>
      </w:pPr>
      <w:r>
        <w:rPr/>
        <w:t>N.Z.L.J.</w:t>
      </w:r>
      <w:r>
        <w:rPr>
          <w:spacing w:val="-3"/>
        </w:rPr>
        <w:t> </w:t>
      </w:r>
      <w:r>
        <w:rPr/>
        <w:t>407;</w:t>
      </w:r>
      <w:r>
        <w:rPr>
          <w:spacing w:val="-3"/>
        </w:rPr>
        <w:t> </w:t>
      </w:r>
      <w:r>
        <w:rPr/>
        <w:t>J.</w:t>
      </w:r>
      <w:r>
        <w:rPr>
          <w:spacing w:val="-3"/>
        </w:rPr>
        <w:t> </w:t>
      </w:r>
      <w:r>
        <w:rPr/>
        <w:t>Payne,</w:t>
      </w:r>
      <w:r>
        <w:rPr>
          <w:spacing w:val="-3"/>
        </w:rPr>
        <w:t> </w:t>
      </w:r>
      <w:r>
        <w:rPr/>
        <w:t>“Limiting</w:t>
      </w:r>
      <w:r>
        <w:rPr>
          <w:spacing w:val="-3"/>
        </w:rPr>
        <w:t> </w:t>
      </w:r>
      <w:r>
        <w:rPr/>
        <w:t>the</w:t>
      </w:r>
      <w:r>
        <w:rPr>
          <w:spacing w:val="-3"/>
        </w:rPr>
        <w:t> </w:t>
      </w:r>
      <w:r>
        <w:rPr/>
        <w:t>Liability</w:t>
      </w:r>
      <w:r>
        <w:rPr>
          <w:spacing w:val="-3"/>
        </w:rPr>
        <w:t> </w:t>
      </w:r>
      <w:r>
        <w:rPr/>
        <w:t>of</w:t>
      </w:r>
      <w:r>
        <w:rPr>
          <w:spacing w:val="-3"/>
        </w:rPr>
        <w:t> </w:t>
      </w:r>
      <w:r>
        <w:rPr/>
        <w:t>Professional</w:t>
      </w:r>
      <w:r>
        <w:rPr>
          <w:spacing w:val="-3"/>
        </w:rPr>
        <w:t> </w:t>
      </w:r>
      <w:r>
        <w:rPr/>
        <w:t>Partnerships:</w:t>
      </w:r>
      <w:r>
        <w:rPr>
          <w:spacing w:val="-3"/>
        </w:rPr>
        <w:t> </w:t>
      </w:r>
      <w:r>
        <w:rPr/>
        <w:t>In</w:t>
      </w:r>
      <w:r>
        <w:rPr>
          <w:spacing w:val="-3"/>
        </w:rPr>
        <w:t> </w:t>
      </w:r>
      <w:r>
        <w:rPr/>
        <w:t>Search</w:t>
      </w:r>
      <w:r>
        <w:rPr>
          <w:spacing w:val="-3"/>
        </w:rPr>
        <w:t> </w:t>
      </w:r>
      <w:r>
        <w:rPr/>
        <w:t>of</w:t>
      </w:r>
      <w:r>
        <w:rPr>
          <w:spacing w:val="-3"/>
        </w:rPr>
        <w:t> </w:t>
      </w:r>
      <w:r>
        <w:rPr/>
        <w:t>this</w:t>
      </w:r>
      <w:r>
        <w:rPr>
          <w:spacing w:val="-3"/>
        </w:rPr>
        <w:t> </w:t>
      </w:r>
      <w:r>
        <w:rPr/>
        <w:t>Holy Grail” (1997) 18 Company Lawyer 81; J. Freedman and V. Finch, “Limited </w:t>
      </w:r>
      <w:r>
        <w:rPr/>
        <w:t>Liability</w:t>
      </w:r>
      <w:r>
        <w:rPr>
          <w:spacing w:val="40"/>
        </w:rPr>
        <w:t> </w:t>
      </w:r>
      <w:r>
        <w:rPr/>
        <w:t>Partnerships: Have Accountants Sewn Up the ‘Deep Pockets’ Debate?” [1997] J.B.L. 387; </w:t>
      </w:r>
      <w:r>
        <w:rPr/>
        <w:t>K. Barker</w:t>
      </w:r>
      <w:r>
        <w:rPr>
          <w:spacing w:val="30"/>
        </w:rPr>
        <w:t> </w:t>
      </w:r>
      <w:r>
        <w:rPr/>
        <w:t>and</w:t>
      </w:r>
      <w:r>
        <w:rPr>
          <w:spacing w:val="30"/>
        </w:rPr>
        <w:t> </w:t>
      </w:r>
      <w:r>
        <w:rPr/>
        <w:t>J.</w:t>
      </w:r>
      <w:r>
        <w:rPr>
          <w:spacing w:val="30"/>
        </w:rPr>
        <w:t> </w:t>
      </w:r>
      <w:r>
        <w:rPr/>
        <w:t>Steele,</w:t>
      </w:r>
      <w:r>
        <w:rPr>
          <w:spacing w:val="30"/>
        </w:rPr>
        <w:t> </w:t>
      </w:r>
      <w:r>
        <w:rPr/>
        <w:t>“Drifting</w:t>
      </w:r>
      <w:r>
        <w:rPr>
          <w:spacing w:val="30"/>
        </w:rPr>
        <w:t> </w:t>
      </w:r>
      <w:r>
        <w:rPr/>
        <w:t>towards</w:t>
      </w:r>
      <w:r>
        <w:rPr>
          <w:spacing w:val="30"/>
        </w:rPr>
        <w:t> </w:t>
      </w:r>
      <w:r>
        <w:rPr/>
        <w:t>Proportionate</w:t>
      </w:r>
      <w:r>
        <w:rPr>
          <w:spacing w:val="30"/>
        </w:rPr>
        <w:t> </w:t>
      </w:r>
      <w:r>
        <w:rPr/>
        <w:t>Liability:</w:t>
      </w:r>
      <w:r>
        <w:rPr>
          <w:spacing w:val="30"/>
        </w:rPr>
        <w:t> </w:t>
      </w:r>
      <w:r>
        <w:rPr/>
        <w:t>Ethics</w:t>
      </w:r>
      <w:r>
        <w:rPr>
          <w:spacing w:val="30"/>
        </w:rPr>
        <w:t> </w:t>
      </w:r>
      <w:r>
        <w:rPr/>
        <w:t>and</w:t>
      </w:r>
      <w:r>
        <w:rPr>
          <w:spacing w:val="30"/>
        </w:rPr>
        <w:t> </w:t>
      </w:r>
      <w:r>
        <w:rPr/>
        <w:t>Pragmatics”</w:t>
      </w:r>
      <w:r>
        <w:rPr>
          <w:spacing w:val="30"/>
        </w:rPr>
        <w:t> </w:t>
      </w:r>
      <w:r>
        <w:rPr>
          <w:spacing w:val="-2"/>
        </w:rPr>
        <w:t>[2015</w:t>
      </w:r>
      <w:r>
        <w:rPr>
          <w:spacing w:val="-2"/>
        </w:rPr>
        <w:t>]</w:t>
      </w:r>
    </w:p>
    <w:p>
      <w:pPr>
        <w:pStyle w:val="BodyText"/>
        <w:spacing w:line="225" w:lineRule="exact"/>
        <w:ind w:left="563"/>
        <w:jc w:val="both"/>
      </w:pPr>
      <w:r>
        <w:rPr/>
        <w:t>C.L.J. </w:t>
      </w:r>
      <w:r>
        <w:rPr>
          <w:spacing w:val="-5"/>
        </w:rPr>
        <w:t>49.</w:t>
      </w:r>
    </w:p>
    <w:p>
      <w:pPr>
        <w:pStyle w:val="BodyText"/>
        <w:spacing w:before="6"/>
      </w:pPr>
    </w:p>
    <w:p>
      <w:pPr>
        <w:pStyle w:val="BodyText"/>
        <w:tabs>
          <w:tab w:pos="563" w:val="left" w:leader="none"/>
        </w:tabs>
        <w:spacing w:line="235" w:lineRule="auto" w:before="1"/>
        <w:ind w:left="563" w:right="25" w:hanging="541"/>
      </w:pPr>
      <w:r>
        <w:rPr/>
        <mc:AlternateContent>
          <mc:Choice Requires="wps">
            <w:drawing>
              <wp:anchor distT="0" distB="0" distL="0" distR="0" allowOverlap="1" layoutInCell="1" locked="0" behindDoc="1" simplePos="0" relativeHeight="486825472">
                <wp:simplePos x="0" y="0"/>
                <wp:positionH relativeFrom="page">
                  <wp:posOffset>914400</wp:posOffset>
                </wp:positionH>
                <wp:positionV relativeFrom="paragraph">
                  <wp:posOffset>95051</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72pt,7.484367pt" to="75.892pt,7.484367pt" stroked="true" strokeweight=".5pt" strokecolor="#005da1">
                <v:stroke dashstyle="solid"/>
                <w10:wrap type="none"/>
              </v:line>
            </w:pict>
          </mc:Fallback>
        </mc:AlternateContent>
      </w:r>
      <w:bookmarkStart w:name="_bookmark102" w:id="104"/>
      <w:bookmarkEnd w:id="104"/>
      <w:r>
        <w:rPr/>
      </w:r>
      <w:hyperlink w:history="true" w:anchor="_bookmark6">
        <w:r>
          <w:rPr>
            <w:color w:val="005DA1"/>
            <w:spacing w:val="-6"/>
            <w:position w:val="5"/>
            <w:sz w:val="14"/>
          </w:rPr>
          <w:t>7</w:t>
        </w:r>
      </w:hyperlink>
      <w:r>
        <w:rPr>
          <w:spacing w:val="-6"/>
          <w:position w:val="5"/>
          <w:sz w:val="14"/>
        </w:rPr>
        <w:t>.</w:t>
      </w:r>
      <w:r>
        <w:rPr>
          <w:position w:val="5"/>
          <w:sz w:val="14"/>
        </w:rPr>
        <w:tab/>
      </w:r>
      <w:r>
        <w:rPr/>
        <w:t>This is so even though in relation to other promisors D1 might conceivably have been severally, jointly, or jointly and severally liable, in the standard contractual sense, to C.</w:t>
      </w:r>
    </w:p>
    <w:p>
      <w:pPr>
        <w:pStyle w:val="BodyText"/>
        <w:spacing w:before="9"/>
      </w:pPr>
    </w:p>
    <w:p>
      <w:pPr>
        <w:pStyle w:val="BodyText"/>
        <w:tabs>
          <w:tab w:pos="563" w:val="left" w:leader="none"/>
        </w:tabs>
        <w:spacing w:line="235" w:lineRule="auto"/>
        <w:ind w:left="563" w:right="25" w:hanging="541"/>
        <w:jc w:val="both"/>
      </w:pPr>
      <w:r>
        <w:rPr/>
        <mc:AlternateContent>
          <mc:Choice Requires="wps">
            <w:drawing>
              <wp:anchor distT="0" distB="0" distL="0" distR="0" allowOverlap="1" layoutInCell="1" locked="0" behindDoc="1" simplePos="0" relativeHeight="486825984">
                <wp:simplePos x="0" y="0"/>
                <wp:positionH relativeFrom="page">
                  <wp:posOffset>914400</wp:posOffset>
                </wp:positionH>
                <wp:positionV relativeFrom="paragraph">
                  <wp:posOffset>94580</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72pt,7.447258pt" to="75.892pt,7.447258pt" stroked="true" strokeweight=".5pt" strokecolor="#005da1">
                <v:stroke dashstyle="solid"/>
                <w10:wrap type="none"/>
              </v:line>
            </w:pict>
          </mc:Fallback>
        </mc:AlternateContent>
      </w:r>
      <w:bookmarkStart w:name="_bookmark103" w:id="105"/>
      <w:bookmarkEnd w:id="105"/>
      <w:r>
        <w:rPr/>
      </w:r>
      <w:hyperlink w:history="true" w:anchor="_bookmark7">
        <w:r>
          <w:rPr>
            <w:color w:val="005DA1"/>
            <w:spacing w:val="-6"/>
            <w:position w:val="5"/>
            <w:sz w:val="14"/>
          </w:rPr>
          <w:t>8</w:t>
        </w:r>
      </w:hyperlink>
      <w:r>
        <w:rPr>
          <w:spacing w:val="-6"/>
          <w:position w:val="5"/>
          <w:sz w:val="14"/>
        </w:rPr>
        <w:t>.</w:t>
      </w:r>
      <w:r>
        <w:rPr>
          <w:position w:val="5"/>
          <w:sz w:val="14"/>
        </w:rPr>
        <w:tab/>
      </w:r>
      <w:r>
        <w:rPr>
          <w:rFonts w:ascii="Arial" w:hAnsi="Arial"/>
          <w:i/>
        </w:rPr>
        <w:t>White v Tyndall (1888) 13 App. Cas. 263</w:t>
      </w:r>
      <w:r>
        <w:rPr/>
        <w:t>; </w:t>
      </w:r>
      <w:r>
        <w:rPr>
          <w:rFonts w:ascii="Arial" w:hAnsi="Arial"/>
          <w:i/>
        </w:rPr>
        <w:t>The Argo Hellas [1984] 1 Lloyd’s Rep. 296, 300</w:t>
      </w:r>
      <w:r>
        <w:rPr/>
        <w:t>. An example of joint and several liability being created by express words is provided by </w:t>
      </w:r>
      <w:r>
        <w:rPr>
          <w:rFonts w:ascii="Arial" w:hAnsi="Arial"/>
          <w:i/>
        </w:rPr>
        <w:t>AIB </w:t>
      </w:r>
      <w:r>
        <w:rPr>
          <w:rFonts w:ascii="Arial" w:hAnsi="Arial"/>
          <w:i/>
        </w:rPr>
        <w:t>Group (UK) Ltd v Martin [2001] UKHL 63, [2002] 1 W.L.R. 94</w:t>
      </w:r>
      <w:r>
        <w:rPr/>
        <w:t>. M and G, who had borrowed money</w:t>
      </w:r>
      <w:r>
        <w:rPr>
          <w:spacing w:val="40"/>
        </w:rPr>
        <w:t> </w:t>
      </w:r>
      <w:r>
        <w:rPr/>
        <w:t>both individually and jointly from a bank, covenanted under a mortgage to pay their debts to the bank and that their liability should be “joint and several”. The difficult question of construction was therefore not whether G had joint and several liability with M but whether that joint and several liability of G extended to loans made to M alone rather than to M and G jointly. The House of Lords held that G’s joint and several liability did extend to repaying loans made to M </w:t>
      </w:r>
      <w:r>
        <w:rPr>
          <w:spacing w:val="-2"/>
        </w:rPr>
        <w:t>alone.</w:t>
      </w:r>
    </w:p>
    <w:p>
      <w:pPr>
        <w:pStyle w:val="BodyText"/>
        <w:spacing w:before="3"/>
      </w:pPr>
    </w:p>
    <w:p>
      <w:pPr>
        <w:tabs>
          <w:tab w:pos="563" w:val="left" w:leader="none"/>
        </w:tabs>
        <w:spacing w:before="0"/>
        <w:ind w:left="23" w:right="0" w:firstLine="0"/>
        <w:jc w:val="left"/>
        <w:rPr>
          <w:sz w:val="20"/>
        </w:rPr>
      </w:pPr>
      <w:r>
        <w:rPr>
          <w:sz w:val="20"/>
        </w:rPr>
        <mc:AlternateContent>
          <mc:Choice Requires="wps">
            <w:drawing>
              <wp:anchor distT="0" distB="0" distL="0" distR="0" allowOverlap="1" layoutInCell="1" locked="0" behindDoc="1" simplePos="0" relativeHeight="486826496">
                <wp:simplePos x="0" y="0"/>
                <wp:positionH relativeFrom="page">
                  <wp:posOffset>914400</wp:posOffset>
                </wp:positionH>
                <wp:positionV relativeFrom="paragraph">
                  <wp:posOffset>96860</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72pt,7.626848pt" to="75.892pt,7.626848pt" stroked="true" strokeweight=".5pt" strokecolor="#005da1">
                <v:stroke dashstyle="solid"/>
                <w10:wrap type="none"/>
              </v:line>
            </w:pict>
          </mc:Fallback>
        </mc:AlternateContent>
      </w:r>
      <w:bookmarkStart w:name="_bookmark104" w:id="106"/>
      <w:bookmarkEnd w:id="106"/>
      <w:r>
        <w:rPr/>
      </w:r>
      <w:hyperlink w:history="true" w:anchor="_bookmark8">
        <w:r>
          <w:rPr>
            <w:color w:val="005DA1"/>
            <w:spacing w:val="-5"/>
            <w:position w:val="5"/>
            <w:sz w:val="14"/>
          </w:rPr>
          <w:t>9</w:t>
        </w:r>
      </w:hyperlink>
      <w:r>
        <w:rPr>
          <w:spacing w:val="-5"/>
          <w:position w:val="5"/>
          <w:sz w:val="14"/>
        </w:rPr>
        <w:t>.</w:t>
      </w:r>
      <w:r>
        <w:rPr>
          <w:position w:val="5"/>
          <w:sz w:val="14"/>
        </w:rPr>
        <w:tab/>
      </w:r>
      <w:r>
        <w:rPr>
          <w:sz w:val="20"/>
        </w:rPr>
        <w:t>Williams,</w:t>
      </w:r>
      <w:r>
        <w:rPr>
          <w:spacing w:val="-3"/>
          <w:sz w:val="20"/>
        </w:rPr>
        <w:t> </w:t>
      </w:r>
      <w:r>
        <w:rPr>
          <w:rFonts w:ascii="Arial"/>
          <w:i/>
          <w:sz w:val="20"/>
        </w:rPr>
        <w:t>Joint Obligations</w:t>
      </w:r>
      <w:r>
        <w:rPr>
          <w:rFonts w:ascii="Arial"/>
          <w:i/>
          <w:spacing w:val="-1"/>
          <w:sz w:val="20"/>
        </w:rPr>
        <w:t> </w:t>
      </w:r>
      <w:r>
        <w:rPr>
          <w:sz w:val="20"/>
        </w:rPr>
        <w:t>(1949) at </w:t>
      </w:r>
      <w:r>
        <w:rPr>
          <w:spacing w:val="-2"/>
          <w:sz w:val="20"/>
        </w:rPr>
        <w:t>para.12.</w:t>
      </w:r>
    </w:p>
    <w:p>
      <w:pPr>
        <w:pStyle w:val="BodyText"/>
        <w:spacing w:before="8"/>
      </w:pPr>
    </w:p>
    <w:p>
      <w:pPr>
        <w:pStyle w:val="BodyText"/>
        <w:spacing w:line="235" w:lineRule="auto" w:before="1"/>
        <w:ind w:left="563" w:right="25" w:hanging="541"/>
        <w:jc w:val="both"/>
      </w:pPr>
      <w:bookmarkStart w:name="_bookmark105" w:id="107"/>
      <w:bookmarkEnd w:id="107"/>
      <w:r>
        <w:rPr/>
      </w:r>
      <w:hyperlink w:history="true" w:anchor="_bookmark9">
        <w:r>
          <w:rPr>
            <w:color w:val="005DA1"/>
            <w:position w:val="5"/>
            <w:sz w:val="14"/>
            <w:u w:val="single" w:color="005DA1"/>
          </w:rPr>
          <w:t>10</w:t>
        </w:r>
      </w:hyperlink>
      <w:r>
        <w:rPr>
          <w:position w:val="5"/>
          <w:sz w:val="14"/>
        </w:rPr>
        <w:t>.</w:t>
      </w:r>
      <w:r>
        <w:rPr>
          <w:spacing w:val="80"/>
          <w:position w:val="5"/>
          <w:sz w:val="14"/>
        </w:rPr>
        <w:t>  </w:t>
      </w:r>
      <w:r>
        <w:rPr/>
        <w:t>Partnership</w:t>
      </w:r>
      <w:r>
        <w:rPr>
          <w:spacing w:val="40"/>
        </w:rPr>
        <w:t> </w:t>
      </w:r>
      <w:r>
        <w:rPr/>
        <w:t>Act</w:t>
      </w:r>
      <w:r>
        <w:rPr>
          <w:spacing w:val="40"/>
        </w:rPr>
        <w:t> </w:t>
      </w:r>
      <w:r>
        <w:rPr/>
        <w:t>1890</w:t>
      </w:r>
      <w:r>
        <w:rPr>
          <w:spacing w:val="40"/>
        </w:rPr>
        <w:t> </w:t>
      </w:r>
      <w:r>
        <w:rPr/>
        <w:t>s.9.</w:t>
      </w:r>
      <w:r>
        <w:rPr>
          <w:spacing w:val="40"/>
        </w:rPr>
        <w:t> </w:t>
      </w:r>
      <w:r>
        <w:rPr/>
        <w:t>But</w:t>
      </w:r>
      <w:r>
        <w:rPr>
          <w:spacing w:val="40"/>
        </w:rPr>
        <w:t> </w:t>
      </w:r>
      <w:r>
        <w:rPr/>
        <w:t>by</w:t>
      </w:r>
      <w:r>
        <w:rPr>
          <w:spacing w:val="40"/>
        </w:rPr>
        <w:t> </w:t>
      </w:r>
      <w:r>
        <w:rPr/>
        <w:t>reason</w:t>
      </w:r>
      <w:r>
        <w:rPr>
          <w:spacing w:val="40"/>
        </w:rPr>
        <w:t> </w:t>
      </w:r>
      <w:r>
        <w:rPr/>
        <w:t>of</w:t>
      </w:r>
      <w:r>
        <w:rPr>
          <w:spacing w:val="40"/>
        </w:rPr>
        <w:t> </w:t>
      </w:r>
      <w:r>
        <w:rPr/>
        <w:t>s.12</w:t>
      </w:r>
      <w:r>
        <w:rPr>
          <w:spacing w:val="40"/>
        </w:rPr>
        <w:t> </w:t>
      </w:r>
      <w:r>
        <w:rPr/>
        <w:t>of</w:t>
      </w:r>
      <w:r>
        <w:rPr>
          <w:spacing w:val="40"/>
        </w:rPr>
        <w:t> </w:t>
      </w:r>
      <w:r>
        <w:rPr/>
        <w:t>the</w:t>
      </w:r>
      <w:r>
        <w:rPr>
          <w:spacing w:val="40"/>
        </w:rPr>
        <w:t> </w:t>
      </w:r>
      <w:r>
        <w:rPr/>
        <w:t>1890</w:t>
      </w:r>
      <w:r>
        <w:rPr>
          <w:spacing w:val="40"/>
        </w:rPr>
        <w:t> </w:t>
      </w:r>
      <w:r>
        <w:rPr/>
        <w:t>Act,</w:t>
      </w:r>
      <w:r>
        <w:rPr>
          <w:spacing w:val="40"/>
        </w:rPr>
        <w:t> </w:t>
      </w:r>
      <w:r>
        <w:rPr/>
        <w:t>a</w:t>
      </w:r>
      <w:r>
        <w:rPr>
          <w:spacing w:val="40"/>
        </w:rPr>
        <w:t> </w:t>
      </w:r>
      <w:r>
        <w:rPr/>
        <w:t>partner</w:t>
      </w:r>
      <w:r>
        <w:rPr>
          <w:spacing w:val="40"/>
        </w:rPr>
        <w:t> </w:t>
      </w:r>
      <w:r>
        <w:rPr/>
        <w:t>is</w:t>
      </w:r>
      <w:r>
        <w:rPr>
          <w:spacing w:val="40"/>
        </w:rPr>
        <w:t> </w:t>
      </w:r>
      <w:r>
        <w:rPr/>
        <w:t>jointly</w:t>
      </w:r>
      <w:r>
        <w:rPr>
          <w:spacing w:val="40"/>
        </w:rPr>
        <w:t> </w:t>
      </w:r>
      <w:r>
        <w:rPr/>
        <w:t>and severally liable with his co-partners for wrongs committed in the ordinary course of business of the firm.</w:t>
      </w:r>
    </w:p>
    <w:p>
      <w:pPr>
        <w:pStyle w:val="BodyText"/>
        <w:spacing w:before="4"/>
      </w:pPr>
    </w:p>
    <w:p>
      <w:pPr>
        <w:tabs>
          <w:tab w:pos="563" w:val="left" w:leader="none"/>
        </w:tabs>
        <w:spacing w:before="1"/>
        <w:ind w:left="23" w:right="0" w:firstLine="0"/>
        <w:jc w:val="left"/>
        <w:rPr>
          <w:sz w:val="20"/>
        </w:rPr>
      </w:pPr>
      <w:bookmarkStart w:name="_bookmark106" w:id="108"/>
      <w:bookmarkEnd w:id="108"/>
      <w:r>
        <w:rPr/>
      </w:r>
      <w:hyperlink w:history="true" w:anchor="_bookmark10">
        <w:r>
          <w:rPr>
            <w:color w:val="005DA1"/>
            <w:spacing w:val="-5"/>
            <w:position w:val="5"/>
            <w:sz w:val="14"/>
            <w:u w:val="single" w:color="005DA1"/>
          </w:rPr>
          <w:t>11</w:t>
        </w:r>
      </w:hyperlink>
      <w:r>
        <w:rPr>
          <w:spacing w:val="-5"/>
          <w:position w:val="5"/>
          <w:sz w:val="14"/>
        </w:rPr>
        <w:t>.</w:t>
      </w:r>
      <w:r>
        <w:rPr>
          <w:position w:val="5"/>
          <w:sz w:val="14"/>
        </w:rPr>
        <w:tab/>
      </w:r>
      <w:r>
        <w:rPr>
          <w:rFonts w:ascii="Arial"/>
          <w:i/>
          <w:sz w:val="20"/>
        </w:rPr>
        <w:t>Other</w:t>
      </w:r>
      <w:r>
        <w:rPr>
          <w:rFonts w:ascii="Arial"/>
          <w:i/>
          <w:spacing w:val="-1"/>
          <w:sz w:val="20"/>
        </w:rPr>
        <w:t> </w:t>
      </w:r>
      <w:r>
        <w:rPr>
          <w:rFonts w:ascii="Arial"/>
          <w:i/>
          <w:sz w:val="20"/>
        </w:rPr>
        <w:t>v Iveson (1855) 3 Drew. 177</w:t>
      </w:r>
      <w:r>
        <w:rPr>
          <w:sz w:val="20"/>
        </w:rPr>
        <w:t>; </w:t>
      </w:r>
      <w:r>
        <w:rPr>
          <w:rFonts w:ascii="Arial"/>
          <w:i/>
          <w:sz w:val="20"/>
        </w:rPr>
        <w:t>Re Barnard (1886) 32 Ch. D. </w:t>
      </w:r>
      <w:r>
        <w:rPr>
          <w:rFonts w:ascii="Arial"/>
          <w:i/>
          <w:spacing w:val="-4"/>
          <w:sz w:val="20"/>
        </w:rPr>
        <w:t>447</w:t>
      </w:r>
      <w:r>
        <w:rPr>
          <w:spacing w:val="-4"/>
          <w:sz w:val="20"/>
        </w:rPr>
        <w:t>.</w:t>
      </w:r>
    </w:p>
    <w:p>
      <w:pPr>
        <w:pStyle w:val="BodyText"/>
        <w:spacing w:before="4"/>
      </w:pPr>
    </w:p>
    <w:p>
      <w:pPr>
        <w:pStyle w:val="BodyText"/>
        <w:tabs>
          <w:tab w:pos="563" w:val="left" w:leader="none"/>
        </w:tabs>
        <w:spacing w:before="1"/>
        <w:ind w:left="23"/>
      </w:pPr>
      <w:bookmarkStart w:name="_bookmark107" w:id="109"/>
      <w:bookmarkEnd w:id="109"/>
      <w:r>
        <w:rPr/>
      </w:r>
      <w:hyperlink w:history="true" w:anchor="_bookmark11">
        <w:r>
          <w:rPr>
            <w:color w:val="005DA1"/>
            <w:spacing w:val="-5"/>
            <w:position w:val="5"/>
            <w:sz w:val="14"/>
            <w:u w:val="single" w:color="005DA1"/>
          </w:rPr>
          <w:t>12</w:t>
        </w:r>
      </w:hyperlink>
      <w:r>
        <w:rPr>
          <w:spacing w:val="-5"/>
          <w:position w:val="5"/>
          <w:sz w:val="14"/>
        </w:rPr>
        <w:t>.</w:t>
      </w:r>
      <w:r>
        <w:rPr>
          <w:position w:val="5"/>
          <w:sz w:val="14"/>
        </w:rPr>
        <w:tab/>
      </w:r>
      <w:r>
        <w:rPr/>
        <w:t>Bills of Exchange Act 1882 </w:t>
      </w:r>
      <w:r>
        <w:rPr>
          <w:spacing w:val="-2"/>
        </w:rPr>
        <w:t>s.85(1).</w:t>
      </w:r>
    </w:p>
    <w:p>
      <w:pPr>
        <w:pStyle w:val="BodyText"/>
        <w:spacing w:before="5"/>
      </w:pPr>
    </w:p>
    <w:p>
      <w:pPr>
        <w:tabs>
          <w:tab w:pos="563" w:val="left" w:leader="none"/>
        </w:tabs>
        <w:spacing w:before="0"/>
        <w:ind w:left="23" w:right="0" w:firstLine="0"/>
        <w:jc w:val="left"/>
        <w:rPr>
          <w:sz w:val="20"/>
        </w:rPr>
      </w:pPr>
      <w:bookmarkStart w:name="_bookmark108" w:id="110"/>
      <w:bookmarkEnd w:id="110"/>
      <w:r>
        <w:rPr/>
      </w:r>
      <w:hyperlink w:history="true" w:anchor="_bookmark12">
        <w:r>
          <w:rPr>
            <w:color w:val="005DA1"/>
            <w:spacing w:val="-5"/>
            <w:position w:val="5"/>
            <w:sz w:val="14"/>
            <w:u w:val="single" w:color="005DA1"/>
          </w:rPr>
          <w:t>13</w:t>
        </w:r>
      </w:hyperlink>
      <w:r>
        <w:rPr>
          <w:spacing w:val="-5"/>
          <w:position w:val="5"/>
          <w:sz w:val="14"/>
        </w:rPr>
        <w:t>.</w:t>
      </w:r>
      <w:r>
        <w:rPr>
          <w:position w:val="5"/>
          <w:sz w:val="14"/>
        </w:rPr>
        <w:tab/>
      </w:r>
      <w:r>
        <w:rPr>
          <w:spacing w:val="-2"/>
          <w:sz w:val="20"/>
        </w:rPr>
        <w:t>s.85(2).</w:t>
      </w:r>
    </w:p>
    <w:p>
      <w:pPr>
        <w:pStyle w:val="BodyText"/>
        <w:spacing w:before="8"/>
      </w:pPr>
    </w:p>
    <w:p>
      <w:pPr>
        <w:spacing w:line="235" w:lineRule="auto" w:before="1"/>
        <w:ind w:left="563" w:right="26" w:hanging="541"/>
        <w:jc w:val="both"/>
        <w:rPr>
          <w:sz w:val="20"/>
        </w:rPr>
      </w:pPr>
      <w:bookmarkStart w:name="_bookmark109" w:id="111"/>
      <w:bookmarkEnd w:id="111"/>
      <w:r>
        <w:rPr/>
      </w:r>
      <w:hyperlink w:history="true" w:anchor="_bookmark13">
        <w:r>
          <w:rPr>
            <w:color w:val="005DA1"/>
            <w:position w:val="5"/>
            <w:sz w:val="14"/>
            <w:u w:val="single" w:color="005DA1"/>
          </w:rPr>
          <w:t>14</w:t>
        </w:r>
      </w:hyperlink>
      <w:r>
        <w:rPr>
          <w:position w:val="5"/>
          <w:sz w:val="14"/>
        </w:rPr>
        <w:t>.</w:t>
      </w:r>
      <w:r>
        <w:rPr>
          <w:spacing w:val="80"/>
          <w:position w:val="5"/>
          <w:sz w:val="14"/>
        </w:rPr>
        <w:t>  </w:t>
      </w:r>
      <w:r>
        <w:rPr>
          <w:rFonts w:ascii="Arial"/>
          <w:i/>
          <w:sz w:val="20"/>
        </w:rPr>
        <w:t>Lep</w:t>
      </w:r>
      <w:r>
        <w:rPr>
          <w:rFonts w:ascii="Arial"/>
          <w:i/>
          <w:spacing w:val="40"/>
          <w:sz w:val="20"/>
        </w:rPr>
        <w:t> </w:t>
      </w:r>
      <w:r>
        <w:rPr>
          <w:rFonts w:ascii="Arial"/>
          <w:i/>
          <w:sz w:val="20"/>
        </w:rPr>
        <w:t>Air</w:t>
      </w:r>
      <w:r>
        <w:rPr>
          <w:rFonts w:ascii="Arial"/>
          <w:i/>
          <w:spacing w:val="40"/>
          <w:sz w:val="20"/>
        </w:rPr>
        <w:t> </w:t>
      </w:r>
      <w:r>
        <w:rPr>
          <w:rFonts w:ascii="Arial"/>
          <w:i/>
          <w:sz w:val="20"/>
        </w:rPr>
        <w:t>Services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Rolloswin</w:t>
      </w:r>
      <w:r>
        <w:rPr>
          <w:rFonts w:ascii="Arial"/>
          <w:i/>
          <w:spacing w:val="40"/>
          <w:sz w:val="20"/>
        </w:rPr>
        <w:t> </w:t>
      </w:r>
      <w:r>
        <w:rPr>
          <w:rFonts w:ascii="Arial"/>
          <w:i/>
          <w:sz w:val="20"/>
        </w:rPr>
        <w:t>Investments</w:t>
      </w:r>
      <w:r>
        <w:rPr>
          <w:rFonts w:ascii="Arial"/>
          <w:i/>
          <w:spacing w:val="40"/>
          <w:sz w:val="20"/>
        </w:rPr>
        <w:t> </w:t>
      </w:r>
      <w:r>
        <w:rPr>
          <w:rFonts w:ascii="Arial"/>
          <w:i/>
          <w:sz w:val="20"/>
        </w:rPr>
        <w:t>Ltd</w:t>
      </w:r>
      <w:r>
        <w:rPr>
          <w:rFonts w:ascii="Arial"/>
          <w:i/>
          <w:spacing w:val="40"/>
          <w:sz w:val="20"/>
        </w:rPr>
        <w:t> </w:t>
      </w:r>
      <w:r>
        <w:rPr>
          <w:rFonts w:ascii="Arial"/>
          <w:i/>
          <w:sz w:val="20"/>
        </w:rPr>
        <w:t>[1971]</w:t>
      </w:r>
      <w:r>
        <w:rPr>
          <w:rFonts w:ascii="Arial"/>
          <w:i/>
          <w:spacing w:val="40"/>
          <w:sz w:val="20"/>
        </w:rPr>
        <w:t> </w:t>
      </w:r>
      <w:r>
        <w:rPr>
          <w:rFonts w:ascii="Arial"/>
          <w:i/>
          <w:sz w:val="20"/>
        </w:rPr>
        <w:t>1</w:t>
      </w:r>
      <w:r>
        <w:rPr>
          <w:rFonts w:ascii="Arial"/>
          <w:i/>
          <w:spacing w:val="40"/>
          <w:sz w:val="20"/>
        </w:rPr>
        <w:t> </w:t>
      </w:r>
      <w:r>
        <w:rPr>
          <w:rFonts w:ascii="Arial"/>
          <w:i/>
          <w:sz w:val="20"/>
        </w:rPr>
        <w:t>W.L.R.</w:t>
      </w:r>
      <w:r>
        <w:rPr>
          <w:rFonts w:ascii="Arial"/>
          <w:i/>
          <w:spacing w:val="40"/>
          <w:sz w:val="20"/>
        </w:rPr>
        <w:t> </w:t>
      </w:r>
      <w:r>
        <w:rPr>
          <w:rFonts w:ascii="Arial"/>
          <w:i/>
          <w:sz w:val="20"/>
        </w:rPr>
        <w:t>934</w:t>
      </w:r>
      <w:r>
        <w:rPr>
          <w:sz w:val="20"/>
        </w:rPr>
        <w:t>,</w:t>
      </w:r>
      <w:r>
        <w:rPr>
          <w:spacing w:val="40"/>
          <w:sz w:val="20"/>
        </w:rPr>
        <w:t> </w:t>
      </w:r>
      <w:r>
        <w:rPr>
          <w:sz w:val="20"/>
        </w:rPr>
        <w:t>affirmed</w:t>
      </w:r>
      <w:r>
        <w:rPr>
          <w:spacing w:val="40"/>
          <w:sz w:val="20"/>
        </w:rPr>
        <w:t> </w:t>
      </w:r>
      <w:r>
        <w:rPr>
          <w:sz w:val="20"/>
        </w:rPr>
        <w:t>on</w:t>
      </w:r>
      <w:r>
        <w:rPr>
          <w:spacing w:val="40"/>
          <w:sz w:val="20"/>
        </w:rPr>
        <w:t> </w:t>
      </w:r>
      <w:r>
        <w:rPr>
          <w:sz w:val="20"/>
        </w:rPr>
        <w:t>other grounds sub nom. </w:t>
      </w:r>
      <w:r>
        <w:rPr>
          <w:rFonts w:ascii="Arial"/>
          <w:i/>
          <w:sz w:val="20"/>
        </w:rPr>
        <w:t>Moschi v Lep Air Services Ltd [1973] A.C. 331</w:t>
      </w:r>
      <w:r>
        <w:rPr>
          <w:sz w:val="20"/>
        </w:rPr>
        <w:t>. As to the liability of an agent in cases where he is liable together with his principal, see Vol.II, para.31-084.</w:t>
      </w:r>
    </w:p>
    <w:p>
      <w:pPr>
        <w:pStyle w:val="BodyText"/>
        <w:spacing w:before="4"/>
      </w:pPr>
    </w:p>
    <w:p>
      <w:pPr>
        <w:tabs>
          <w:tab w:pos="563" w:val="left" w:leader="none"/>
        </w:tabs>
        <w:spacing w:before="1"/>
        <w:ind w:left="23" w:right="0" w:firstLine="0"/>
        <w:jc w:val="left"/>
        <w:rPr>
          <w:sz w:val="20"/>
        </w:rPr>
      </w:pPr>
      <w:bookmarkStart w:name="_bookmark110" w:id="112"/>
      <w:bookmarkEnd w:id="112"/>
      <w:r>
        <w:rPr/>
      </w:r>
      <w:hyperlink w:history="true" w:anchor="_bookmark14">
        <w:r>
          <w:rPr>
            <w:color w:val="005DA1"/>
            <w:spacing w:val="-5"/>
            <w:position w:val="5"/>
            <w:sz w:val="14"/>
            <w:u w:val="single" w:color="005DA1"/>
          </w:rPr>
          <w:t>15</w:t>
        </w:r>
      </w:hyperlink>
      <w:r>
        <w:rPr>
          <w:spacing w:val="-5"/>
          <w:position w:val="5"/>
          <w:sz w:val="14"/>
        </w:rPr>
        <w:t>.</w:t>
      </w:r>
      <w:r>
        <w:rPr>
          <w:position w:val="5"/>
          <w:sz w:val="14"/>
        </w:rPr>
        <w:tab/>
      </w:r>
      <w:r>
        <w:rPr>
          <w:rFonts w:ascii="Arial"/>
          <w:i/>
          <w:sz w:val="20"/>
        </w:rPr>
        <w:t>Re E.W.A. [1901] 2 K.B. </w:t>
      </w:r>
      <w:r>
        <w:rPr>
          <w:rFonts w:ascii="Arial"/>
          <w:i/>
          <w:spacing w:val="-4"/>
          <w:sz w:val="20"/>
        </w:rPr>
        <w:t>642</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111" w:id="113"/>
      <w:bookmarkEnd w:id="113"/>
      <w:r>
        <w:rPr/>
      </w:r>
      <w:hyperlink w:history="true" w:anchor="_bookmark15">
        <w:r>
          <w:rPr>
            <w:color w:val="005DA1"/>
            <w:spacing w:val="-5"/>
            <w:position w:val="5"/>
            <w:sz w:val="14"/>
            <w:u w:val="single" w:color="005DA1"/>
          </w:rPr>
          <w:t>16</w:t>
        </w:r>
      </w:hyperlink>
      <w:r>
        <w:rPr>
          <w:spacing w:val="-5"/>
          <w:position w:val="5"/>
          <w:sz w:val="14"/>
        </w:rPr>
        <w:t>.</w:t>
      </w:r>
      <w:r>
        <w:rPr>
          <w:position w:val="5"/>
          <w:sz w:val="14"/>
        </w:rPr>
        <w:tab/>
      </w:r>
      <w:r>
        <w:rPr>
          <w:rFonts w:ascii="Arial"/>
          <w:i/>
          <w:sz w:val="20"/>
        </w:rPr>
        <w:t>Wilmer</w:t>
      </w:r>
      <w:r>
        <w:rPr>
          <w:rFonts w:ascii="Arial"/>
          <w:i/>
          <w:spacing w:val="15"/>
          <w:sz w:val="20"/>
        </w:rPr>
        <w:t> </w:t>
      </w:r>
      <w:r>
        <w:rPr>
          <w:rFonts w:ascii="Arial"/>
          <w:i/>
          <w:sz w:val="20"/>
        </w:rPr>
        <w:t>v</w:t>
      </w:r>
      <w:r>
        <w:rPr>
          <w:rFonts w:ascii="Arial"/>
          <w:i/>
          <w:spacing w:val="18"/>
          <w:sz w:val="20"/>
        </w:rPr>
        <w:t> </w:t>
      </w:r>
      <w:r>
        <w:rPr>
          <w:rFonts w:ascii="Arial"/>
          <w:i/>
          <w:sz w:val="20"/>
        </w:rPr>
        <w:t>Currey</w:t>
      </w:r>
      <w:r>
        <w:rPr>
          <w:rFonts w:ascii="Arial"/>
          <w:i/>
          <w:spacing w:val="18"/>
          <w:sz w:val="20"/>
        </w:rPr>
        <w:t> </w:t>
      </w:r>
      <w:r>
        <w:rPr>
          <w:rFonts w:ascii="Arial"/>
          <w:i/>
          <w:sz w:val="20"/>
        </w:rPr>
        <w:t>(1848)</w:t>
      </w:r>
      <w:r>
        <w:rPr>
          <w:rFonts w:ascii="Arial"/>
          <w:i/>
          <w:spacing w:val="18"/>
          <w:sz w:val="20"/>
        </w:rPr>
        <w:t> </w:t>
      </w:r>
      <w:r>
        <w:rPr>
          <w:rFonts w:ascii="Arial"/>
          <w:i/>
          <w:sz w:val="20"/>
        </w:rPr>
        <w:t>2</w:t>
      </w:r>
      <w:r>
        <w:rPr>
          <w:rFonts w:ascii="Arial"/>
          <w:i/>
          <w:spacing w:val="18"/>
          <w:sz w:val="20"/>
        </w:rPr>
        <w:t> </w:t>
      </w:r>
      <w:r>
        <w:rPr>
          <w:rFonts w:ascii="Arial"/>
          <w:i/>
          <w:sz w:val="20"/>
        </w:rPr>
        <w:t>De</w:t>
      </w:r>
      <w:r>
        <w:rPr>
          <w:rFonts w:ascii="Arial"/>
          <w:i/>
          <w:spacing w:val="18"/>
          <w:sz w:val="20"/>
        </w:rPr>
        <w:t> </w:t>
      </w:r>
      <w:r>
        <w:rPr>
          <w:rFonts w:ascii="Arial"/>
          <w:i/>
          <w:sz w:val="20"/>
        </w:rPr>
        <w:t>G.</w:t>
      </w:r>
      <w:r>
        <w:rPr>
          <w:rFonts w:ascii="Arial"/>
          <w:i/>
          <w:spacing w:val="18"/>
          <w:sz w:val="20"/>
        </w:rPr>
        <w:t> </w:t>
      </w:r>
      <w:r>
        <w:rPr>
          <w:rFonts w:ascii="Arial"/>
          <w:i/>
          <w:sz w:val="20"/>
        </w:rPr>
        <w:t>&amp;</w:t>
      </w:r>
      <w:r>
        <w:rPr>
          <w:rFonts w:ascii="Arial"/>
          <w:i/>
          <w:spacing w:val="18"/>
          <w:sz w:val="20"/>
        </w:rPr>
        <w:t> </w:t>
      </w:r>
      <w:r>
        <w:rPr>
          <w:rFonts w:ascii="Arial"/>
          <w:i/>
          <w:sz w:val="20"/>
        </w:rPr>
        <w:t>Sm.</w:t>
      </w:r>
      <w:r>
        <w:rPr>
          <w:rFonts w:ascii="Arial"/>
          <w:i/>
          <w:spacing w:val="18"/>
          <w:sz w:val="20"/>
        </w:rPr>
        <w:t> </w:t>
      </w:r>
      <w:r>
        <w:rPr>
          <w:rFonts w:ascii="Arial"/>
          <w:i/>
          <w:sz w:val="20"/>
        </w:rPr>
        <w:t>347</w:t>
      </w:r>
      <w:r>
        <w:rPr>
          <w:sz w:val="20"/>
        </w:rPr>
        <w:t>;</w:t>
      </w:r>
      <w:r>
        <w:rPr>
          <w:spacing w:val="17"/>
          <w:sz w:val="20"/>
        </w:rPr>
        <w:t> </w:t>
      </w:r>
      <w:r>
        <w:rPr>
          <w:rFonts w:ascii="Arial"/>
          <w:i/>
          <w:sz w:val="20"/>
        </w:rPr>
        <w:t>Levy</w:t>
      </w:r>
      <w:r>
        <w:rPr>
          <w:rFonts w:ascii="Arial"/>
          <w:i/>
          <w:spacing w:val="18"/>
          <w:sz w:val="20"/>
        </w:rPr>
        <w:t> </w:t>
      </w:r>
      <w:r>
        <w:rPr>
          <w:rFonts w:ascii="Arial"/>
          <w:i/>
          <w:sz w:val="20"/>
        </w:rPr>
        <w:t>v</w:t>
      </w:r>
      <w:r>
        <w:rPr>
          <w:rFonts w:ascii="Arial"/>
          <w:i/>
          <w:spacing w:val="18"/>
          <w:sz w:val="20"/>
        </w:rPr>
        <w:t> </w:t>
      </w:r>
      <w:r>
        <w:rPr>
          <w:rFonts w:ascii="Arial"/>
          <w:i/>
          <w:sz w:val="20"/>
        </w:rPr>
        <w:t>Sale</w:t>
      </w:r>
      <w:r>
        <w:rPr>
          <w:rFonts w:ascii="Arial"/>
          <w:i/>
          <w:spacing w:val="18"/>
          <w:sz w:val="20"/>
        </w:rPr>
        <w:t> </w:t>
      </w:r>
      <w:r>
        <w:rPr>
          <w:rFonts w:ascii="Arial"/>
          <w:i/>
          <w:sz w:val="20"/>
        </w:rPr>
        <w:t>(1877)</w:t>
      </w:r>
      <w:r>
        <w:rPr>
          <w:rFonts w:ascii="Arial"/>
          <w:i/>
          <w:spacing w:val="18"/>
          <w:sz w:val="20"/>
        </w:rPr>
        <w:t> </w:t>
      </w:r>
      <w:r>
        <w:rPr>
          <w:rFonts w:ascii="Arial"/>
          <w:i/>
          <w:sz w:val="20"/>
        </w:rPr>
        <w:t>37</w:t>
      </w:r>
      <w:r>
        <w:rPr>
          <w:rFonts w:ascii="Arial"/>
          <w:i/>
          <w:spacing w:val="18"/>
          <w:sz w:val="20"/>
        </w:rPr>
        <w:t> </w:t>
      </w:r>
      <w:r>
        <w:rPr>
          <w:rFonts w:ascii="Arial"/>
          <w:i/>
          <w:sz w:val="20"/>
        </w:rPr>
        <w:t>L.T.</w:t>
      </w:r>
      <w:r>
        <w:rPr>
          <w:rFonts w:ascii="Arial"/>
          <w:i/>
          <w:spacing w:val="18"/>
          <w:sz w:val="20"/>
        </w:rPr>
        <w:t> </w:t>
      </w:r>
      <w:r>
        <w:rPr>
          <w:rFonts w:ascii="Arial"/>
          <w:i/>
          <w:sz w:val="20"/>
        </w:rPr>
        <w:t>709</w:t>
      </w:r>
      <w:r>
        <w:rPr>
          <w:sz w:val="20"/>
        </w:rPr>
        <w:t>;</w:t>
      </w:r>
      <w:r>
        <w:rPr>
          <w:spacing w:val="18"/>
          <w:sz w:val="20"/>
        </w:rPr>
        <w:t> </w:t>
      </w:r>
      <w:r>
        <w:rPr>
          <w:rFonts w:ascii="Arial"/>
          <w:i/>
          <w:sz w:val="20"/>
        </w:rPr>
        <w:t>White</w:t>
      </w:r>
      <w:r>
        <w:rPr>
          <w:rFonts w:ascii="Arial"/>
          <w:i/>
          <w:spacing w:val="18"/>
          <w:sz w:val="20"/>
        </w:rPr>
        <w:t> </w:t>
      </w:r>
      <w:r>
        <w:rPr>
          <w:rFonts w:ascii="Arial"/>
          <w:i/>
          <w:sz w:val="20"/>
        </w:rPr>
        <w:t>v</w:t>
      </w:r>
      <w:r>
        <w:rPr>
          <w:rFonts w:ascii="Arial"/>
          <w:i/>
          <w:spacing w:val="18"/>
          <w:sz w:val="20"/>
        </w:rPr>
        <w:t> </w:t>
      </w:r>
      <w:r>
        <w:rPr>
          <w:rFonts w:ascii="Arial"/>
          <w:i/>
          <w:spacing w:val="-2"/>
          <w:sz w:val="20"/>
        </w:rPr>
        <w:t>Tyndall</w:t>
      </w:r>
    </w:p>
    <w:p>
      <w:pPr>
        <w:spacing w:line="227" w:lineRule="exact" w:before="0"/>
        <w:ind w:left="563" w:right="0" w:firstLine="0"/>
        <w:jc w:val="left"/>
        <w:rPr>
          <w:sz w:val="20"/>
        </w:rPr>
      </w:pPr>
      <w:r>
        <w:rPr>
          <w:rFonts w:ascii="Arial"/>
          <w:i/>
          <w:sz w:val="20"/>
        </w:rPr>
        <w:t>(1888)</w:t>
      </w:r>
      <w:r>
        <w:rPr>
          <w:rFonts w:ascii="Arial"/>
          <w:i/>
          <w:spacing w:val="-2"/>
          <w:sz w:val="20"/>
        </w:rPr>
        <w:t> </w:t>
      </w:r>
      <w:r>
        <w:rPr>
          <w:rFonts w:ascii="Arial"/>
          <w:i/>
          <w:sz w:val="20"/>
        </w:rPr>
        <w:t>13 App. Cas. </w:t>
      </w:r>
      <w:r>
        <w:rPr>
          <w:rFonts w:ascii="Arial"/>
          <w:i/>
          <w:spacing w:val="-4"/>
          <w:sz w:val="20"/>
        </w:rPr>
        <w:t>263</w:t>
      </w:r>
      <w:r>
        <w:rPr>
          <w:spacing w:val="-4"/>
          <w:sz w:val="20"/>
        </w:rPr>
        <w:t>.</w:t>
      </w:r>
    </w:p>
    <w:p>
      <w:pPr>
        <w:spacing w:after="0" w:line="227" w:lineRule="exact"/>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16">
        <w:r>
          <w:rPr>
            <w:color w:val="005DA1"/>
            <w:spacing w:val="-5"/>
            <w:position w:val="5"/>
            <w:sz w:val="14"/>
            <w:u w:val="single" w:color="005DA1"/>
          </w:rPr>
          <w:t>17</w:t>
        </w:r>
      </w:hyperlink>
      <w:r>
        <w:rPr>
          <w:spacing w:val="-5"/>
          <w:position w:val="5"/>
          <w:sz w:val="14"/>
        </w:rPr>
        <w:t>.</w:t>
      </w:r>
      <w:r>
        <w:rPr>
          <w:position w:val="5"/>
          <w:sz w:val="14"/>
        </w:rPr>
        <w:tab/>
      </w:r>
      <w:r>
        <w:rPr>
          <w:sz w:val="20"/>
        </w:rPr>
        <w:t>(1848) 2 De G. &amp; Sm. 347. But cf.</w:t>
      </w:r>
      <w:r>
        <w:rPr>
          <w:spacing w:val="-1"/>
          <w:sz w:val="20"/>
        </w:rPr>
        <w:t> </w:t>
      </w:r>
      <w:r>
        <w:rPr>
          <w:rFonts w:ascii="Arial"/>
          <w:i/>
          <w:sz w:val="20"/>
        </w:rPr>
        <w:t>Tippins v Coates (1853) 18 Beav. </w:t>
      </w:r>
      <w:r>
        <w:rPr>
          <w:rFonts w:ascii="Arial"/>
          <w:i/>
          <w:spacing w:val="-4"/>
          <w:sz w:val="20"/>
        </w:rPr>
        <w:t>401</w:t>
      </w:r>
      <w:r>
        <w:rPr>
          <w:spacing w:val="-4"/>
          <w:sz w:val="20"/>
        </w:rPr>
        <w:t>.</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112" w:id="114"/>
      <w:bookmarkEnd w:id="114"/>
      <w:r>
        <w:rPr/>
      </w:r>
      <w:hyperlink w:history="true" w:anchor="_bookmark17">
        <w:r>
          <w:rPr>
            <w:color w:val="005DA1"/>
            <w:spacing w:val="-5"/>
            <w:position w:val="5"/>
            <w:sz w:val="14"/>
            <w:u w:val="single" w:color="005DA1"/>
          </w:rPr>
          <w:t>18</w:t>
        </w:r>
      </w:hyperlink>
      <w:r>
        <w:rPr>
          <w:spacing w:val="-5"/>
          <w:position w:val="5"/>
          <w:sz w:val="14"/>
        </w:rPr>
        <w:t>.</w:t>
      </w:r>
      <w:r>
        <w:rPr>
          <w:position w:val="5"/>
          <w:sz w:val="14"/>
        </w:rPr>
        <w:tab/>
      </w:r>
      <w:r>
        <w:rPr>
          <w:rFonts w:ascii="Arial"/>
          <w:i/>
          <w:sz w:val="20"/>
        </w:rPr>
        <w:t>Mainwaring</w:t>
      </w:r>
      <w:r>
        <w:rPr>
          <w:rFonts w:ascii="Arial"/>
          <w:i/>
          <w:spacing w:val="9"/>
          <w:sz w:val="20"/>
        </w:rPr>
        <w:t> </w:t>
      </w:r>
      <w:r>
        <w:rPr>
          <w:rFonts w:ascii="Arial"/>
          <w:i/>
          <w:sz w:val="20"/>
        </w:rPr>
        <w:t>v</w:t>
      </w:r>
      <w:r>
        <w:rPr>
          <w:rFonts w:ascii="Arial"/>
          <w:i/>
          <w:spacing w:val="12"/>
          <w:sz w:val="20"/>
        </w:rPr>
        <w:t> </w:t>
      </w:r>
      <w:r>
        <w:rPr>
          <w:rFonts w:ascii="Arial"/>
          <w:i/>
          <w:sz w:val="20"/>
        </w:rPr>
        <w:t>Newman</w:t>
      </w:r>
      <w:r>
        <w:rPr>
          <w:rFonts w:ascii="Arial"/>
          <w:i/>
          <w:spacing w:val="12"/>
          <w:sz w:val="20"/>
        </w:rPr>
        <w:t> </w:t>
      </w:r>
      <w:r>
        <w:rPr>
          <w:rFonts w:ascii="Arial"/>
          <w:i/>
          <w:sz w:val="20"/>
        </w:rPr>
        <w:t>(1800)</w:t>
      </w:r>
      <w:r>
        <w:rPr>
          <w:rFonts w:ascii="Arial"/>
          <w:i/>
          <w:spacing w:val="12"/>
          <w:sz w:val="20"/>
        </w:rPr>
        <w:t> </w:t>
      </w:r>
      <w:r>
        <w:rPr>
          <w:rFonts w:ascii="Arial"/>
          <w:i/>
          <w:sz w:val="20"/>
        </w:rPr>
        <w:t>2</w:t>
      </w:r>
      <w:r>
        <w:rPr>
          <w:rFonts w:ascii="Arial"/>
          <w:i/>
          <w:spacing w:val="12"/>
          <w:sz w:val="20"/>
        </w:rPr>
        <w:t> </w:t>
      </w:r>
      <w:r>
        <w:rPr>
          <w:rFonts w:ascii="Arial"/>
          <w:i/>
          <w:sz w:val="20"/>
        </w:rPr>
        <w:t>Bos.</w:t>
      </w:r>
      <w:r>
        <w:rPr>
          <w:rFonts w:ascii="Arial"/>
          <w:i/>
          <w:spacing w:val="12"/>
          <w:sz w:val="20"/>
        </w:rPr>
        <w:t> </w:t>
      </w:r>
      <w:r>
        <w:rPr>
          <w:rFonts w:ascii="Arial"/>
          <w:i/>
          <w:sz w:val="20"/>
        </w:rPr>
        <w:t>&amp;</w:t>
      </w:r>
      <w:r>
        <w:rPr>
          <w:rFonts w:ascii="Arial"/>
          <w:i/>
          <w:spacing w:val="12"/>
          <w:sz w:val="20"/>
        </w:rPr>
        <w:t> </w:t>
      </w:r>
      <w:r>
        <w:rPr>
          <w:rFonts w:ascii="Arial"/>
          <w:i/>
          <w:sz w:val="20"/>
        </w:rPr>
        <w:t>P.</w:t>
      </w:r>
      <w:r>
        <w:rPr>
          <w:rFonts w:ascii="Arial"/>
          <w:i/>
          <w:spacing w:val="12"/>
          <w:sz w:val="20"/>
        </w:rPr>
        <w:t> </w:t>
      </w:r>
      <w:r>
        <w:rPr>
          <w:rFonts w:ascii="Arial"/>
          <w:i/>
          <w:sz w:val="20"/>
        </w:rPr>
        <w:t>120</w:t>
      </w:r>
      <w:r>
        <w:rPr>
          <w:sz w:val="20"/>
        </w:rPr>
        <w:t>;</w:t>
      </w:r>
      <w:r>
        <w:rPr>
          <w:spacing w:val="11"/>
          <w:sz w:val="20"/>
        </w:rPr>
        <w:t> </w:t>
      </w:r>
      <w:r>
        <w:rPr>
          <w:rFonts w:ascii="Arial"/>
          <w:i/>
          <w:sz w:val="20"/>
        </w:rPr>
        <w:t>Neale</w:t>
      </w:r>
      <w:r>
        <w:rPr>
          <w:rFonts w:ascii="Arial"/>
          <w:i/>
          <w:spacing w:val="12"/>
          <w:sz w:val="20"/>
        </w:rPr>
        <w:t> </w:t>
      </w:r>
      <w:r>
        <w:rPr>
          <w:rFonts w:ascii="Arial"/>
          <w:i/>
          <w:sz w:val="20"/>
        </w:rPr>
        <w:t>v</w:t>
      </w:r>
      <w:r>
        <w:rPr>
          <w:rFonts w:ascii="Arial"/>
          <w:i/>
          <w:spacing w:val="12"/>
          <w:sz w:val="20"/>
        </w:rPr>
        <w:t> </w:t>
      </w:r>
      <w:r>
        <w:rPr>
          <w:rFonts w:ascii="Arial"/>
          <w:i/>
          <w:sz w:val="20"/>
        </w:rPr>
        <w:t>Turton</w:t>
      </w:r>
      <w:r>
        <w:rPr>
          <w:rFonts w:ascii="Arial"/>
          <w:i/>
          <w:spacing w:val="12"/>
          <w:sz w:val="20"/>
        </w:rPr>
        <w:t> </w:t>
      </w:r>
      <w:r>
        <w:rPr>
          <w:rFonts w:ascii="Arial"/>
          <w:i/>
          <w:sz w:val="20"/>
        </w:rPr>
        <w:t>(1827)</w:t>
      </w:r>
      <w:r>
        <w:rPr>
          <w:rFonts w:ascii="Arial"/>
          <w:i/>
          <w:spacing w:val="12"/>
          <w:sz w:val="20"/>
        </w:rPr>
        <w:t> </w:t>
      </w:r>
      <w:r>
        <w:rPr>
          <w:rFonts w:ascii="Arial"/>
          <w:i/>
          <w:sz w:val="20"/>
        </w:rPr>
        <w:t>4</w:t>
      </w:r>
      <w:r>
        <w:rPr>
          <w:rFonts w:ascii="Arial"/>
          <w:i/>
          <w:spacing w:val="12"/>
          <w:sz w:val="20"/>
        </w:rPr>
        <w:t> </w:t>
      </w:r>
      <w:r>
        <w:rPr>
          <w:rFonts w:ascii="Arial"/>
          <w:i/>
          <w:sz w:val="20"/>
        </w:rPr>
        <w:t>Bing.</w:t>
      </w:r>
      <w:r>
        <w:rPr>
          <w:rFonts w:ascii="Arial"/>
          <w:i/>
          <w:spacing w:val="12"/>
          <w:sz w:val="20"/>
        </w:rPr>
        <w:t> </w:t>
      </w:r>
      <w:r>
        <w:rPr>
          <w:rFonts w:ascii="Arial"/>
          <w:i/>
          <w:sz w:val="20"/>
        </w:rPr>
        <w:t>149</w:t>
      </w:r>
      <w:r>
        <w:rPr>
          <w:sz w:val="20"/>
        </w:rPr>
        <w:t>;</w:t>
      </w:r>
      <w:r>
        <w:rPr>
          <w:spacing w:val="12"/>
          <w:sz w:val="20"/>
        </w:rPr>
        <w:t> </w:t>
      </w:r>
      <w:r>
        <w:rPr>
          <w:rFonts w:ascii="Arial"/>
          <w:i/>
          <w:sz w:val="20"/>
        </w:rPr>
        <w:t>Faulkner</w:t>
      </w:r>
      <w:r>
        <w:rPr>
          <w:rFonts w:ascii="Arial"/>
          <w:i/>
          <w:spacing w:val="12"/>
          <w:sz w:val="20"/>
        </w:rPr>
        <w:t> </w:t>
      </w:r>
      <w:r>
        <w:rPr>
          <w:rFonts w:ascii="Arial"/>
          <w:i/>
          <w:spacing w:val="-10"/>
          <w:sz w:val="20"/>
        </w:rPr>
        <w:t>v</w:t>
      </w:r>
    </w:p>
    <w:p>
      <w:pPr>
        <w:spacing w:line="225" w:lineRule="exact" w:before="0"/>
        <w:ind w:left="563" w:right="0" w:firstLine="0"/>
        <w:jc w:val="left"/>
        <w:rPr>
          <w:sz w:val="20"/>
        </w:rPr>
      </w:pPr>
      <w:r>
        <w:rPr>
          <w:rFonts w:ascii="Arial"/>
          <w:i/>
          <w:sz w:val="20"/>
        </w:rPr>
        <w:t>Lowe</w:t>
      </w:r>
      <w:r>
        <w:rPr>
          <w:rFonts w:ascii="Arial"/>
          <w:i/>
          <w:spacing w:val="17"/>
          <w:sz w:val="20"/>
        </w:rPr>
        <w:t> </w:t>
      </w:r>
      <w:r>
        <w:rPr>
          <w:rFonts w:ascii="Arial"/>
          <w:i/>
          <w:sz w:val="20"/>
        </w:rPr>
        <w:t>(1848)</w:t>
      </w:r>
      <w:r>
        <w:rPr>
          <w:rFonts w:ascii="Arial"/>
          <w:i/>
          <w:spacing w:val="18"/>
          <w:sz w:val="20"/>
        </w:rPr>
        <w:t> </w:t>
      </w:r>
      <w:r>
        <w:rPr>
          <w:rFonts w:ascii="Arial"/>
          <w:i/>
          <w:sz w:val="20"/>
        </w:rPr>
        <w:t>2</w:t>
      </w:r>
      <w:r>
        <w:rPr>
          <w:rFonts w:ascii="Arial"/>
          <w:i/>
          <w:spacing w:val="18"/>
          <w:sz w:val="20"/>
        </w:rPr>
        <w:t> </w:t>
      </w:r>
      <w:r>
        <w:rPr>
          <w:rFonts w:ascii="Arial"/>
          <w:i/>
          <w:sz w:val="20"/>
        </w:rPr>
        <w:t>Exch.</w:t>
      </w:r>
      <w:r>
        <w:rPr>
          <w:rFonts w:ascii="Arial"/>
          <w:i/>
          <w:spacing w:val="18"/>
          <w:sz w:val="20"/>
        </w:rPr>
        <w:t> </w:t>
      </w:r>
      <w:r>
        <w:rPr>
          <w:rFonts w:ascii="Arial"/>
          <w:i/>
          <w:sz w:val="20"/>
        </w:rPr>
        <w:t>595</w:t>
      </w:r>
      <w:r>
        <w:rPr>
          <w:sz w:val="20"/>
        </w:rPr>
        <w:t>;</w:t>
      </w:r>
      <w:r>
        <w:rPr>
          <w:spacing w:val="18"/>
          <w:sz w:val="20"/>
        </w:rPr>
        <w:t> </w:t>
      </w:r>
      <w:r>
        <w:rPr>
          <w:rFonts w:ascii="Arial"/>
          <w:i/>
          <w:sz w:val="20"/>
        </w:rPr>
        <w:t>Boyce</w:t>
      </w:r>
      <w:r>
        <w:rPr>
          <w:rFonts w:ascii="Arial"/>
          <w:i/>
          <w:spacing w:val="18"/>
          <w:sz w:val="20"/>
        </w:rPr>
        <w:t> </w:t>
      </w:r>
      <w:r>
        <w:rPr>
          <w:rFonts w:ascii="Arial"/>
          <w:i/>
          <w:sz w:val="20"/>
        </w:rPr>
        <w:t>v</w:t>
      </w:r>
      <w:r>
        <w:rPr>
          <w:rFonts w:ascii="Arial"/>
          <w:i/>
          <w:spacing w:val="18"/>
          <w:sz w:val="20"/>
        </w:rPr>
        <w:t> </w:t>
      </w:r>
      <w:r>
        <w:rPr>
          <w:rFonts w:ascii="Arial"/>
          <w:i/>
          <w:sz w:val="20"/>
        </w:rPr>
        <w:t>Edbrooke</w:t>
      </w:r>
      <w:r>
        <w:rPr>
          <w:rFonts w:ascii="Arial"/>
          <w:i/>
          <w:spacing w:val="18"/>
          <w:sz w:val="20"/>
        </w:rPr>
        <w:t> </w:t>
      </w:r>
      <w:r>
        <w:rPr>
          <w:rFonts w:ascii="Arial"/>
          <w:i/>
          <w:sz w:val="20"/>
        </w:rPr>
        <w:t>[1903]</w:t>
      </w:r>
      <w:r>
        <w:rPr>
          <w:rFonts w:ascii="Arial"/>
          <w:i/>
          <w:spacing w:val="18"/>
          <w:sz w:val="20"/>
        </w:rPr>
        <w:t> </w:t>
      </w:r>
      <w:r>
        <w:rPr>
          <w:rFonts w:ascii="Arial"/>
          <w:i/>
          <w:sz w:val="20"/>
        </w:rPr>
        <w:t>1</w:t>
      </w:r>
      <w:r>
        <w:rPr>
          <w:rFonts w:ascii="Arial"/>
          <w:i/>
          <w:spacing w:val="17"/>
          <w:sz w:val="20"/>
        </w:rPr>
        <w:t> </w:t>
      </w:r>
      <w:r>
        <w:rPr>
          <w:rFonts w:ascii="Arial"/>
          <w:i/>
          <w:sz w:val="20"/>
        </w:rPr>
        <w:t>Ch.</w:t>
      </w:r>
      <w:r>
        <w:rPr>
          <w:rFonts w:ascii="Arial"/>
          <w:i/>
          <w:spacing w:val="18"/>
          <w:sz w:val="20"/>
        </w:rPr>
        <w:t> </w:t>
      </w:r>
      <w:r>
        <w:rPr>
          <w:rFonts w:ascii="Arial"/>
          <w:i/>
          <w:sz w:val="20"/>
        </w:rPr>
        <w:t>836</w:t>
      </w:r>
      <w:r>
        <w:rPr>
          <w:sz w:val="20"/>
        </w:rPr>
        <w:t>;</w:t>
      </w:r>
      <w:r>
        <w:rPr>
          <w:spacing w:val="18"/>
          <w:sz w:val="20"/>
        </w:rPr>
        <w:t> </w:t>
      </w:r>
      <w:r>
        <w:rPr>
          <w:rFonts w:ascii="Arial"/>
          <w:i/>
          <w:sz w:val="20"/>
        </w:rPr>
        <w:t>Ellis</w:t>
      </w:r>
      <w:r>
        <w:rPr>
          <w:rFonts w:ascii="Arial"/>
          <w:i/>
          <w:spacing w:val="18"/>
          <w:sz w:val="20"/>
        </w:rPr>
        <w:t> </w:t>
      </w:r>
      <w:r>
        <w:rPr>
          <w:rFonts w:ascii="Arial"/>
          <w:i/>
          <w:sz w:val="20"/>
        </w:rPr>
        <w:t>v</w:t>
      </w:r>
      <w:r>
        <w:rPr>
          <w:rFonts w:ascii="Arial"/>
          <w:i/>
          <w:spacing w:val="18"/>
          <w:sz w:val="20"/>
        </w:rPr>
        <w:t> </w:t>
      </w:r>
      <w:r>
        <w:rPr>
          <w:rFonts w:ascii="Arial"/>
          <w:i/>
          <w:sz w:val="20"/>
        </w:rPr>
        <w:t>Kerr</w:t>
      </w:r>
      <w:r>
        <w:rPr>
          <w:rFonts w:ascii="Arial"/>
          <w:i/>
          <w:spacing w:val="18"/>
          <w:sz w:val="20"/>
        </w:rPr>
        <w:t> </w:t>
      </w:r>
      <w:r>
        <w:rPr>
          <w:rFonts w:ascii="Arial"/>
          <w:i/>
          <w:sz w:val="20"/>
        </w:rPr>
        <w:t>[1910]</w:t>
      </w:r>
      <w:r>
        <w:rPr>
          <w:rFonts w:ascii="Arial"/>
          <w:i/>
          <w:spacing w:val="18"/>
          <w:sz w:val="20"/>
        </w:rPr>
        <w:t> </w:t>
      </w:r>
      <w:r>
        <w:rPr>
          <w:rFonts w:ascii="Arial"/>
          <w:i/>
          <w:sz w:val="20"/>
        </w:rPr>
        <w:t>1</w:t>
      </w:r>
      <w:r>
        <w:rPr>
          <w:rFonts w:ascii="Arial"/>
          <w:i/>
          <w:spacing w:val="18"/>
          <w:sz w:val="20"/>
        </w:rPr>
        <w:t> </w:t>
      </w:r>
      <w:r>
        <w:rPr>
          <w:rFonts w:ascii="Arial"/>
          <w:i/>
          <w:sz w:val="20"/>
        </w:rPr>
        <w:t>Ch.</w:t>
      </w:r>
      <w:r>
        <w:rPr>
          <w:rFonts w:ascii="Arial"/>
          <w:i/>
          <w:spacing w:val="18"/>
          <w:sz w:val="20"/>
        </w:rPr>
        <w:t> </w:t>
      </w:r>
      <w:r>
        <w:rPr>
          <w:rFonts w:ascii="Arial"/>
          <w:i/>
          <w:spacing w:val="-4"/>
          <w:sz w:val="20"/>
        </w:rPr>
        <w:t>529</w:t>
      </w:r>
      <w:r>
        <w:rPr>
          <w:spacing w:val="-4"/>
          <w:sz w:val="20"/>
        </w:rPr>
        <w:t>;</w:t>
      </w:r>
    </w:p>
    <w:p>
      <w:pPr>
        <w:spacing w:line="227" w:lineRule="exact" w:before="0"/>
        <w:ind w:left="563" w:right="0" w:firstLine="0"/>
        <w:jc w:val="left"/>
        <w:rPr>
          <w:sz w:val="20"/>
        </w:rPr>
      </w:pPr>
      <w:r>
        <w:rPr>
          <w:rFonts w:ascii="Arial"/>
          <w:i/>
          <w:sz w:val="20"/>
        </w:rPr>
        <w:t>Napier v Williams [1911] 1 Ch. </w:t>
      </w:r>
      <w:r>
        <w:rPr>
          <w:rFonts w:ascii="Arial"/>
          <w:i/>
          <w:spacing w:val="-4"/>
          <w:sz w:val="20"/>
        </w:rPr>
        <w:t>361</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113" w:id="115"/>
      <w:bookmarkEnd w:id="115"/>
      <w:r>
        <w:rPr/>
      </w:r>
      <w:hyperlink w:history="true" w:anchor="_bookmark18">
        <w:r>
          <w:rPr>
            <w:color w:val="005DA1"/>
            <w:spacing w:val="-5"/>
            <w:position w:val="5"/>
            <w:sz w:val="14"/>
            <w:u w:val="single" w:color="005DA1"/>
          </w:rPr>
          <w:t>19</w:t>
        </w:r>
      </w:hyperlink>
      <w:r>
        <w:rPr>
          <w:spacing w:val="-5"/>
          <w:position w:val="5"/>
          <w:sz w:val="14"/>
        </w:rPr>
        <w:t>.</w:t>
      </w:r>
      <w:r>
        <w:rPr>
          <w:position w:val="5"/>
          <w:sz w:val="14"/>
        </w:rPr>
        <w:tab/>
      </w:r>
      <w:r>
        <w:rPr>
          <w:rFonts w:ascii="Arial"/>
          <w:i/>
          <w:sz w:val="20"/>
        </w:rPr>
        <w:t>Gibbs</w:t>
      </w:r>
      <w:r>
        <w:rPr>
          <w:rFonts w:ascii="Arial"/>
          <w:i/>
          <w:spacing w:val="61"/>
          <w:sz w:val="20"/>
        </w:rPr>
        <w:t> </w:t>
      </w:r>
      <w:r>
        <w:rPr>
          <w:rFonts w:ascii="Arial"/>
          <w:i/>
          <w:sz w:val="20"/>
        </w:rPr>
        <w:t>v</w:t>
      </w:r>
      <w:r>
        <w:rPr>
          <w:rFonts w:ascii="Arial"/>
          <w:i/>
          <w:spacing w:val="62"/>
          <w:sz w:val="20"/>
        </w:rPr>
        <w:t> </w:t>
      </w:r>
      <w:r>
        <w:rPr>
          <w:rFonts w:ascii="Arial"/>
          <w:i/>
          <w:sz w:val="20"/>
        </w:rPr>
        <w:t>Merrill</w:t>
      </w:r>
      <w:r>
        <w:rPr>
          <w:rFonts w:ascii="Arial"/>
          <w:i/>
          <w:spacing w:val="62"/>
          <w:sz w:val="20"/>
        </w:rPr>
        <w:t> </w:t>
      </w:r>
      <w:r>
        <w:rPr>
          <w:rFonts w:ascii="Arial"/>
          <w:i/>
          <w:sz w:val="20"/>
        </w:rPr>
        <w:t>(1810)</w:t>
      </w:r>
      <w:r>
        <w:rPr>
          <w:rFonts w:ascii="Arial"/>
          <w:i/>
          <w:spacing w:val="62"/>
          <w:sz w:val="20"/>
        </w:rPr>
        <w:t> </w:t>
      </w:r>
      <w:r>
        <w:rPr>
          <w:rFonts w:ascii="Arial"/>
          <w:i/>
          <w:sz w:val="20"/>
        </w:rPr>
        <w:t>3</w:t>
      </w:r>
      <w:r>
        <w:rPr>
          <w:rFonts w:ascii="Arial"/>
          <w:i/>
          <w:spacing w:val="62"/>
          <w:sz w:val="20"/>
        </w:rPr>
        <w:t> </w:t>
      </w:r>
      <w:r>
        <w:rPr>
          <w:rFonts w:ascii="Arial"/>
          <w:i/>
          <w:sz w:val="20"/>
        </w:rPr>
        <w:t>Taunt.</w:t>
      </w:r>
      <w:r>
        <w:rPr>
          <w:rFonts w:ascii="Arial"/>
          <w:i/>
          <w:spacing w:val="62"/>
          <w:sz w:val="20"/>
        </w:rPr>
        <w:t> </w:t>
      </w:r>
      <w:r>
        <w:rPr>
          <w:rFonts w:ascii="Arial"/>
          <w:i/>
          <w:sz w:val="20"/>
        </w:rPr>
        <w:t>307</w:t>
      </w:r>
      <w:r>
        <w:rPr>
          <w:sz w:val="20"/>
        </w:rPr>
        <w:t>;</w:t>
      </w:r>
      <w:r>
        <w:rPr>
          <w:spacing w:val="62"/>
          <w:sz w:val="20"/>
        </w:rPr>
        <w:t> </w:t>
      </w:r>
      <w:r>
        <w:rPr>
          <w:rFonts w:ascii="Arial"/>
          <w:i/>
          <w:sz w:val="20"/>
        </w:rPr>
        <w:t>Burgess</w:t>
      </w:r>
      <w:r>
        <w:rPr>
          <w:rFonts w:ascii="Arial"/>
          <w:i/>
          <w:spacing w:val="61"/>
          <w:sz w:val="20"/>
        </w:rPr>
        <w:t> </w:t>
      </w:r>
      <w:r>
        <w:rPr>
          <w:rFonts w:ascii="Arial"/>
          <w:i/>
          <w:sz w:val="20"/>
        </w:rPr>
        <w:t>v</w:t>
      </w:r>
      <w:r>
        <w:rPr>
          <w:rFonts w:ascii="Arial"/>
          <w:i/>
          <w:spacing w:val="62"/>
          <w:sz w:val="20"/>
        </w:rPr>
        <w:t> </w:t>
      </w:r>
      <w:r>
        <w:rPr>
          <w:rFonts w:ascii="Arial"/>
          <w:i/>
          <w:sz w:val="20"/>
        </w:rPr>
        <w:t>Merrill</w:t>
      </w:r>
      <w:r>
        <w:rPr>
          <w:rFonts w:ascii="Arial"/>
          <w:i/>
          <w:spacing w:val="62"/>
          <w:sz w:val="20"/>
        </w:rPr>
        <w:t> </w:t>
      </w:r>
      <w:r>
        <w:rPr>
          <w:rFonts w:ascii="Arial"/>
          <w:i/>
          <w:sz w:val="20"/>
        </w:rPr>
        <w:t>(1812)</w:t>
      </w:r>
      <w:r>
        <w:rPr>
          <w:rFonts w:ascii="Arial"/>
          <w:i/>
          <w:spacing w:val="62"/>
          <w:sz w:val="20"/>
        </w:rPr>
        <w:t> </w:t>
      </w:r>
      <w:r>
        <w:rPr>
          <w:rFonts w:ascii="Arial"/>
          <w:i/>
          <w:sz w:val="20"/>
        </w:rPr>
        <w:t>4</w:t>
      </w:r>
      <w:r>
        <w:rPr>
          <w:rFonts w:ascii="Arial"/>
          <w:i/>
          <w:spacing w:val="62"/>
          <w:sz w:val="20"/>
        </w:rPr>
        <w:t> </w:t>
      </w:r>
      <w:r>
        <w:rPr>
          <w:rFonts w:ascii="Arial"/>
          <w:i/>
          <w:sz w:val="20"/>
        </w:rPr>
        <w:t>Taunt.</w:t>
      </w:r>
      <w:r>
        <w:rPr>
          <w:rFonts w:ascii="Arial"/>
          <w:i/>
          <w:spacing w:val="62"/>
          <w:sz w:val="20"/>
        </w:rPr>
        <w:t> </w:t>
      </w:r>
      <w:r>
        <w:rPr>
          <w:rFonts w:ascii="Arial"/>
          <w:i/>
          <w:sz w:val="20"/>
        </w:rPr>
        <w:t>468</w:t>
      </w:r>
      <w:r>
        <w:rPr>
          <w:sz w:val="20"/>
        </w:rPr>
        <w:t>;</w:t>
      </w:r>
      <w:r>
        <w:rPr>
          <w:spacing w:val="62"/>
          <w:sz w:val="20"/>
        </w:rPr>
        <w:t> </w:t>
      </w:r>
      <w:r>
        <w:rPr>
          <w:rFonts w:ascii="Arial"/>
          <w:i/>
          <w:sz w:val="20"/>
        </w:rPr>
        <w:t>Lovell</w:t>
      </w:r>
      <w:r>
        <w:rPr>
          <w:rFonts w:ascii="Arial"/>
          <w:i/>
          <w:spacing w:val="62"/>
          <w:sz w:val="20"/>
        </w:rPr>
        <w:t> </w:t>
      </w:r>
      <w:r>
        <w:rPr>
          <w:rFonts w:ascii="Arial"/>
          <w:i/>
          <w:spacing w:val="-5"/>
          <w:sz w:val="20"/>
        </w:rPr>
        <w:t>and</w:t>
      </w:r>
    </w:p>
    <w:p>
      <w:pPr>
        <w:spacing w:line="227" w:lineRule="exact" w:before="0"/>
        <w:ind w:left="563" w:right="0" w:firstLine="0"/>
        <w:jc w:val="left"/>
        <w:rPr>
          <w:sz w:val="20"/>
        </w:rPr>
      </w:pPr>
      <w:r>
        <w:rPr>
          <w:rFonts w:ascii="Arial"/>
          <w:i/>
          <w:sz w:val="20"/>
        </w:rPr>
        <w:t>Christmas v Beauchamp [1894] A.C. </w:t>
      </w:r>
      <w:r>
        <w:rPr>
          <w:rFonts w:ascii="Arial"/>
          <w:i/>
          <w:spacing w:val="-4"/>
          <w:sz w:val="20"/>
        </w:rPr>
        <w:t>607</w:t>
      </w:r>
      <w:r>
        <w:rPr>
          <w:spacing w:val="-4"/>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114" w:id="116"/>
      <w:bookmarkEnd w:id="116"/>
      <w:r>
        <w:rPr/>
      </w:r>
      <w:hyperlink w:history="true" w:anchor="_bookmark19">
        <w:r>
          <w:rPr>
            <w:color w:val="005DA1"/>
            <w:spacing w:val="-4"/>
            <w:position w:val="5"/>
            <w:sz w:val="14"/>
            <w:u w:val="single" w:color="005DA1"/>
          </w:rPr>
          <w:t>20</w:t>
        </w:r>
      </w:hyperlink>
      <w:r>
        <w:rPr>
          <w:spacing w:val="-4"/>
          <w:position w:val="5"/>
          <w:sz w:val="14"/>
        </w:rPr>
        <w:t>.</w:t>
      </w:r>
      <w:r>
        <w:rPr>
          <w:position w:val="5"/>
          <w:sz w:val="14"/>
        </w:rPr>
        <w:tab/>
      </w:r>
      <w:r>
        <w:rPr>
          <w:sz w:val="20"/>
        </w:rPr>
        <w:t>Minors Contracts Act 1987 s.2, which reverses </w:t>
      </w:r>
      <w:r>
        <w:rPr>
          <w:rFonts w:ascii="Arial"/>
          <w:i/>
          <w:sz w:val="20"/>
        </w:rPr>
        <w:t>Coutts and Co v Browne-Lecky [1947] K.B. </w:t>
      </w:r>
      <w:r>
        <w:rPr>
          <w:rFonts w:ascii="Arial"/>
          <w:i/>
          <w:sz w:val="20"/>
        </w:rPr>
        <w:t>104</w:t>
      </w:r>
      <w:r>
        <w:rPr>
          <w:sz w:val="20"/>
        </w:rPr>
        <w:t>. See also s.4, which amends Consumer Credit Act 1974 s.113(7).</w:t>
      </w:r>
    </w:p>
    <w:p>
      <w:pPr>
        <w:pStyle w:val="BodyText"/>
        <w:spacing w:before="9"/>
      </w:pPr>
    </w:p>
    <w:p>
      <w:pPr>
        <w:tabs>
          <w:tab w:pos="563" w:val="left" w:leader="none"/>
        </w:tabs>
        <w:spacing w:line="235" w:lineRule="auto" w:before="1"/>
        <w:ind w:left="563" w:right="26" w:hanging="541"/>
        <w:jc w:val="left"/>
        <w:rPr>
          <w:sz w:val="20"/>
        </w:rPr>
      </w:pPr>
      <w:bookmarkStart w:name="_bookmark115" w:id="117"/>
      <w:bookmarkEnd w:id="117"/>
      <w:r>
        <w:rPr/>
      </w:r>
      <w:hyperlink w:history="true" w:anchor="_bookmark20">
        <w:r>
          <w:rPr>
            <w:color w:val="005DA1"/>
            <w:spacing w:val="-4"/>
            <w:position w:val="5"/>
            <w:sz w:val="14"/>
            <w:u w:val="single" w:color="005DA1"/>
          </w:rPr>
          <w:t>21</w:t>
        </w:r>
      </w:hyperlink>
      <w:r>
        <w:rPr>
          <w:spacing w:val="-4"/>
          <w:position w:val="5"/>
          <w:sz w:val="14"/>
        </w:rPr>
        <w:t>.</w:t>
      </w:r>
      <w:r>
        <w:rPr>
          <w:position w:val="5"/>
          <w:sz w:val="14"/>
        </w:rPr>
        <w:tab/>
      </w:r>
      <w:r>
        <w:rPr>
          <w:sz w:val="20"/>
        </w:rPr>
        <w:t>Williams, </w:t>
      </w:r>
      <w:r>
        <w:rPr>
          <w:rFonts w:ascii="Arial" w:hAnsi="Arial"/>
          <w:i/>
          <w:sz w:val="20"/>
        </w:rPr>
        <w:t>Joint Obligations</w:t>
      </w:r>
      <w:r>
        <w:rPr>
          <w:sz w:val="20"/>
        </w:rPr>
        <w:t>, para.15; </w:t>
      </w:r>
      <w:r>
        <w:rPr>
          <w:rFonts w:ascii="Arial" w:hAnsi="Arial"/>
          <w:i/>
          <w:sz w:val="20"/>
        </w:rPr>
        <w:t>Cabell v Vaughan (1669) 1 Wms. Saund. 290a</w:t>
      </w:r>
      <w:r>
        <w:rPr>
          <w:sz w:val="20"/>
        </w:rPr>
        <w:t>; </w:t>
      </w:r>
      <w:r>
        <w:rPr>
          <w:rFonts w:ascii="Arial" w:hAnsi="Arial"/>
          <w:i/>
          <w:sz w:val="20"/>
        </w:rPr>
        <w:t>Kendall </w:t>
      </w:r>
      <w:r>
        <w:rPr>
          <w:rFonts w:ascii="Arial" w:hAnsi="Arial"/>
          <w:i/>
          <w:sz w:val="20"/>
        </w:rPr>
        <w:t>v Hamilton (1879) 4 App. Cas. 504, 542–544</w:t>
      </w:r>
      <w:r>
        <w:rPr>
          <w:sz w:val="20"/>
        </w:rPr>
        <w:t>.</w:t>
      </w:r>
    </w:p>
    <w:p>
      <w:pPr>
        <w:pStyle w:val="BodyText"/>
        <w:spacing w:before="5"/>
      </w:pPr>
    </w:p>
    <w:p>
      <w:pPr>
        <w:pStyle w:val="BodyText"/>
        <w:tabs>
          <w:tab w:pos="563" w:val="left" w:leader="none"/>
        </w:tabs>
        <w:ind w:left="23"/>
      </w:pPr>
      <w:bookmarkStart w:name="_bookmark116" w:id="118"/>
      <w:bookmarkEnd w:id="118"/>
      <w:r>
        <w:rPr/>
      </w:r>
      <w:hyperlink w:history="true" w:anchor="_bookmark21">
        <w:r>
          <w:rPr>
            <w:color w:val="005DA1"/>
            <w:spacing w:val="-5"/>
            <w:position w:val="5"/>
            <w:sz w:val="14"/>
            <w:u w:val="single" w:color="005DA1"/>
          </w:rPr>
          <w:t>22</w:t>
        </w:r>
      </w:hyperlink>
      <w:r>
        <w:rPr>
          <w:spacing w:val="-5"/>
          <w:position w:val="5"/>
          <w:sz w:val="14"/>
        </w:rPr>
        <w:t>.</w:t>
      </w:r>
      <w:r>
        <w:rPr>
          <w:position w:val="5"/>
          <w:sz w:val="14"/>
        </w:rPr>
        <w:tab/>
      </w:r>
      <w:r>
        <w:rPr/>
        <w:t>County Courts Act 1984 </w:t>
      </w:r>
      <w:r>
        <w:rPr>
          <w:spacing w:val="-2"/>
        </w:rPr>
        <w:t>s.48(1).</w:t>
      </w:r>
    </w:p>
    <w:p>
      <w:pPr>
        <w:pStyle w:val="BodyText"/>
        <w:spacing w:before="5"/>
      </w:pPr>
    </w:p>
    <w:p>
      <w:pPr>
        <w:pStyle w:val="BodyText"/>
        <w:tabs>
          <w:tab w:pos="563" w:val="left" w:leader="none"/>
        </w:tabs>
        <w:ind w:left="23"/>
      </w:pPr>
      <w:bookmarkStart w:name="_bookmark117" w:id="119"/>
      <w:bookmarkEnd w:id="119"/>
      <w:r>
        <w:rPr/>
      </w:r>
      <w:hyperlink w:history="true" w:anchor="_bookmark22">
        <w:r>
          <w:rPr>
            <w:color w:val="005DA1"/>
            <w:spacing w:val="-5"/>
            <w:position w:val="5"/>
            <w:sz w:val="14"/>
            <w:u w:val="single" w:color="005DA1"/>
          </w:rPr>
          <w:t>23</w:t>
        </w:r>
      </w:hyperlink>
      <w:r>
        <w:rPr>
          <w:spacing w:val="-5"/>
          <w:position w:val="5"/>
          <w:sz w:val="14"/>
        </w:rPr>
        <w:t>.</w:t>
      </w:r>
      <w:r>
        <w:rPr>
          <w:position w:val="5"/>
          <w:sz w:val="14"/>
        </w:rPr>
        <w:tab/>
      </w:r>
      <w:r>
        <w:rPr/>
        <w:t>See especially s.4 of the 1978 </w:t>
      </w:r>
      <w:r>
        <w:rPr>
          <w:spacing w:val="-4"/>
        </w:rPr>
        <w:t>Act.</w:t>
      </w:r>
    </w:p>
    <w:p>
      <w:pPr>
        <w:pStyle w:val="BodyText"/>
        <w:spacing w:before="5"/>
      </w:pPr>
    </w:p>
    <w:p>
      <w:pPr>
        <w:pStyle w:val="BodyText"/>
        <w:tabs>
          <w:tab w:pos="563" w:val="left" w:leader="none"/>
        </w:tabs>
        <w:ind w:left="23"/>
      </w:pPr>
      <w:bookmarkStart w:name="_bookmark118" w:id="120"/>
      <w:bookmarkEnd w:id="120"/>
      <w:r>
        <w:rPr/>
      </w:r>
      <w:hyperlink w:history="true" w:anchor="_bookmark23">
        <w:r>
          <w:rPr>
            <w:color w:val="005DA1"/>
            <w:spacing w:val="-5"/>
            <w:position w:val="5"/>
            <w:sz w:val="14"/>
            <w:u w:val="single" w:color="005DA1"/>
          </w:rPr>
          <w:t>24</w:t>
        </w:r>
      </w:hyperlink>
      <w:r>
        <w:rPr>
          <w:spacing w:val="-5"/>
          <w:position w:val="5"/>
          <w:sz w:val="14"/>
        </w:rPr>
        <w:t>.</w:t>
      </w:r>
      <w:r>
        <w:rPr>
          <w:position w:val="5"/>
          <w:sz w:val="14"/>
        </w:rPr>
        <w:tab/>
      </w:r>
      <w:r>
        <w:rPr/>
        <w:t>Insolvency Act 1986 </w:t>
      </w:r>
      <w:r>
        <w:rPr>
          <w:spacing w:val="-2"/>
        </w:rPr>
        <w:t>s.345(4).</w:t>
      </w:r>
    </w:p>
    <w:p>
      <w:pPr>
        <w:pStyle w:val="BodyText"/>
        <w:spacing w:before="9"/>
      </w:pPr>
    </w:p>
    <w:p>
      <w:pPr>
        <w:pStyle w:val="BodyText"/>
        <w:spacing w:line="235" w:lineRule="auto"/>
        <w:ind w:left="563" w:right="25" w:hanging="541"/>
        <w:jc w:val="both"/>
      </w:pPr>
      <w:bookmarkStart w:name="_bookmark119" w:id="121"/>
      <w:bookmarkEnd w:id="121"/>
      <w:r>
        <w:rPr/>
      </w:r>
      <w:hyperlink w:history="true" w:anchor="_bookmark24">
        <w:r>
          <w:rPr>
            <w:color w:val="005DA1"/>
            <w:position w:val="5"/>
            <w:sz w:val="14"/>
            <w:u w:val="single" w:color="005DA1"/>
          </w:rPr>
          <w:t>25</w:t>
        </w:r>
      </w:hyperlink>
      <w:r>
        <w:rPr>
          <w:position w:val="5"/>
          <w:sz w:val="14"/>
        </w:rPr>
        <w:t>.</w:t>
      </w:r>
      <w:r>
        <w:rPr>
          <w:spacing w:val="80"/>
          <w:position w:val="5"/>
          <w:sz w:val="14"/>
        </w:rPr>
        <w:t>  </w:t>
      </w:r>
      <w:r>
        <w:rPr/>
        <w:t>Civil Procedure Act 1833 s.8. This section was repealed by the Statute Law Revision and Civil Procedure Act 1883 s.4, but its principle is still applied by the courts although, under the Civil Procedure Rules 1998 r.6.36 and para.3.1 of Practice Direction 6B, permission to serve a </w:t>
      </w:r>
      <w:r>
        <w:rPr/>
        <w:t>claim form out of the jurisdiction may be granted where any person is a necessary or proper party to an</w:t>
      </w:r>
      <w:r>
        <w:rPr>
          <w:spacing w:val="-3"/>
        </w:rPr>
        <w:t> </w:t>
      </w:r>
      <w:r>
        <w:rPr/>
        <w:t>action</w:t>
      </w:r>
      <w:r>
        <w:rPr>
          <w:spacing w:val="-3"/>
        </w:rPr>
        <w:t> </w:t>
      </w:r>
      <w:r>
        <w:rPr/>
        <w:t>properly</w:t>
      </w:r>
      <w:r>
        <w:rPr>
          <w:spacing w:val="-3"/>
        </w:rPr>
        <w:t> </w:t>
      </w:r>
      <w:r>
        <w:rPr/>
        <w:t>brought</w:t>
      </w:r>
      <w:r>
        <w:rPr>
          <w:spacing w:val="-3"/>
        </w:rPr>
        <w:t> </w:t>
      </w:r>
      <w:r>
        <w:rPr/>
        <w:t>against</w:t>
      </w:r>
      <w:r>
        <w:rPr>
          <w:spacing w:val="-3"/>
        </w:rPr>
        <w:t> </w:t>
      </w:r>
      <w:r>
        <w:rPr/>
        <w:t>some</w:t>
      </w:r>
      <w:r>
        <w:rPr>
          <w:spacing w:val="-3"/>
        </w:rPr>
        <w:t> </w:t>
      </w:r>
      <w:r>
        <w:rPr/>
        <w:t>other</w:t>
      </w:r>
      <w:r>
        <w:rPr>
          <w:spacing w:val="-3"/>
        </w:rPr>
        <w:t> </w:t>
      </w:r>
      <w:r>
        <w:rPr/>
        <w:t>person</w:t>
      </w:r>
      <w:r>
        <w:rPr>
          <w:spacing w:val="-3"/>
        </w:rPr>
        <w:t> </w:t>
      </w:r>
      <w:r>
        <w:rPr/>
        <w:t>within</w:t>
      </w:r>
      <w:r>
        <w:rPr>
          <w:spacing w:val="-3"/>
        </w:rPr>
        <w:t> </w:t>
      </w:r>
      <w:r>
        <w:rPr/>
        <w:t>the</w:t>
      </w:r>
      <w:r>
        <w:rPr>
          <w:spacing w:val="-3"/>
        </w:rPr>
        <w:t> </w:t>
      </w:r>
      <w:r>
        <w:rPr/>
        <w:t>jurisdiction.</w:t>
      </w:r>
      <w:r>
        <w:rPr>
          <w:spacing w:val="-3"/>
        </w:rPr>
        <w:t> </w:t>
      </w:r>
      <w:r>
        <w:rPr/>
        <w:t>See</w:t>
      </w:r>
      <w:r>
        <w:rPr>
          <w:spacing w:val="-4"/>
        </w:rPr>
        <w:t> </w:t>
      </w:r>
      <w:r>
        <w:rPr>
          <w:rFonts w:ascii="Arial"/>
          <w:i/>
        </w:rPr>
        <w:t>Wilson</w:t>
      </w:r>
      <w:r>
        <w:rPr>
          <w:rFonts w:ascii="Arial"/>
          <w:i/>
          <w:spacing w:val="-3"/>
        </w:rPr>
        <w:t> </w:t>
      </w:r>
      <w:r>
        <w:rPr>
          <w:rFonts w:ascii="Arial"/>
          <w:i/>
        </w:rPr>
        <w:t>Sons</w:t>
      </w:r>
      <w:r>
        <w:rPr>
          <w:rFonts w:ascii="Arial"/>
          <w:i/>
          <w:spacing w:val="-3"/>
        </w:rPr>
        <w:t> </w:t>
      </w:r>
      <w:r>
        <w:rPr>
          <w:rFonts w:ascii="Arial"/>
          <w:i/>
        </w:rPr>
        <w:t>&amp; Co v Balcarres Brook S.S. Co [1893] 1 Q.B. 422</w:t>
      </w:r>
      <w:r>
        <w:rPr/>
        <w:t>.</w:t>
      </w:r>
    </w:p>
    <w:p>
      <w:pPr>
        <w:pStyle w:val="BodyText"/>
        <w:spacing w:before="4"/>
      </w:pPr>
    </w:p>
    <w:p>
      <w:pPr>
        <w:tabs>
          <w:tab w:pos="563" w:val="left" w:leader="none"/>
        </w:tabs>
        <w:spacing w:before="0"/>
        <w:ind w:left="23" w:right="0" w:firstLine="0"/>
        <w:jc w:val="left"/>
        <w:rPr>
          <w:sz w:val="20"/>
        </w:rPr>
      </w:pPr>
      <w:bookmarkStart w:name="_bookmark120" w:id="122"/>
      <w:bookmarkEnd w:id="122"/>
      <w:r>
        <w:rPr/>
      </w:r>
      <w:hyperlink w:history="true" w:anchor="_bookmark25">
        <w:r>
          <w:rPr>
            <w:color w:val="005DA1"/>
            <w:spacing w:val="-5"/>
            <w:position w:val="5"/>
            <w:sz w:val="14"/>
            <w:u w:val="single" w:color="005DA1"/>
          </w:rPr>
          <w:t>26</w:t>
        </w:r>
      </w:hyperlink>
      <w:r>
        <w:rPr>
          <w:spacing w:val="-5"/>
          <w:position w:val="5"/>
          <w:sz w:val="14"/>
        </w:rPr>
        <w:t>.</w:t>
      </w:r>
      <w:r>
        <w:rPr>
          <w:position w:val="5"/>
          <w:sz w:val="14"/>
        </w:rPr>
        <w:tab/>
      </w:r>
      <w:r>
        <w:rPr>
          <w:rFonts w:ascii="Arial"/>
          <w:i/>
          <w:sz w:val="20"/>
        </w:rPr>
        <w:t>Gibbs</w:t>
      </w:r>
      <w:r>
        <w:rPr>
          <w:rFonts w:ascii="Arial"/>
          <w:i/>
          <w:spacing w:val="-1"/>
          <w:sz w:val="20"/>
        </w:rPr>
        <w:t> </w:t>
      </w:r>
      <w:r>
        <w:rPr>
          <w:rFonts w:ascii="Arial"/>
          <w:i/>
          <w:sz w:val="20"/>
        </w:rPr>
        <w:t>v Merrill (1810) 3 Taunt. 307</w:t>
      </w:r>
      <w:r>
        <w:rPr>
          <w:sz w:val="20"/>
        </w:rPr>
        <w:t>; </w:t>
      </w:r>
      <w:r>
        <w:rPr>
          <w:rFonts w:ascii="Arial"/>
          <w:i/>
          <w:sz w:val="20"/>
        </w:rPr>
        <w:t>Burgess v Merrill (1812) 4 Taunt. </w:t>
      </w:r>
      <w:r>
        <w:rPr>
          <w:rFonts w:ascii="Arial"/>
          <w:i/>
          <w:spacing w:val="-4"/>
          <w:sz w:val="20"/>
        </w:rPr>
        <w:t>468</w:t>
      </w:r>
      <w:r>
        <w:rPr>
          <w:spacing w:val="-4"/>
          <w:sz w:val="20"/>
        </w:rPr>
        <w:t>.</w:t>
      </w:r>
    </w:p>
    <w:p>
      <w:pPr>
        <w:pStyle w:val="BodyText"/>
        <w:spacing w:before="9"/>
      </w:pPr>
    </w:p>
    <w:p>
      <w:pPr>
        <w:pStyle w:val="BodyText"/>
        <w:spacing w:line="235" w:lineRule="auto"/>
        <w:ind w:left="563" w:right="25" w:hanging="541"/>
        <w:jc w:val="both"/>
      </w:pPr>
      <w:bookmarkStart w:name="_bookmark121" w:id="123"/>
      <w:bookmarkEnd w:id="123"/>
      <w:r>
        <w:rPr/>
      </w:r>
      <w:hyperlink w:history="true" w:anchor="_bookmark25">
        <w:r>
          <w:rPr>
            <w:color w:val="005DA1"/>
            <w:position w:val="5"/>
            <w:sz w:val="14"/>
            <w:u w:val="single" w:color="005DA1"/>
          </w:rPr>
          <w:t>27</w:t>
        </w:r>
      </w:hyperlink>
      <w:r>
        <w:rPr>
          <w:position w:val="5"/>
          <w:sz w:val="14"/>
        </w:rPr>
        <w:t>.</w:t>
      </w:r>
      <w:r>
        <w:rPr>
          <w:spacing w:val="80"/>
          <w:position w:val="5"/>
          <w:sz w:val="14"/>
        </w:rPr>
        <w:t>  </w:t>
      </w:r>
      <w:r>
        <w:rPr/>
        <w:t>Jacobs and Goldrein, </w:t>
      </w:r>
      <w:r>
        <w:rPr>
          <w:rFonts w:ascii="Arial" w:hAnsi="Arial"/>
          <w:i/>
        </w:rPr>
        <w:t>Pleadings: Principles and Practice </w:t>
      </w:r>
      <w:r>
        <w:rPr/>
        <w:t>(1990), pp.200–201. One joint debtor may be protected by the Limitation Act and the other not where, e.g. the other has acknowledged the debt: Limitation Act 1980 s.31(6), below, para.17-026.</w:t>
      </w:r>
    </w:p>
    <w:p>
      <w:pPr>
        <w:pStyle w:val="BodyText"/>
        <w:spacing w:before="5"/>
      </w:pPr>
    </w:p>
    <w:p>
      <w:pPr>
        <w:pStyle w:val="BodyText"/>
        <w:tabs>
          <w:tab w:pos="563" w:val="left" w:leader="none"/>
        </w:tabs>
        <w:ind w:left="23"/>
      </w:pPr>
      <w:bookmarkStart w:name="_bookmark122" w:id="124"/>
      <w:bookmarkEnd w:id="124"/>
      <w:r>
        <w:rPr/>
      </w:r>
      <w:hyperlink w:history="true" w:anchor="_bookmark26">
        <w:r>
          <w:rPr>
            <w:color w:val="005DA1"/>
            <w:spacing w:val="-5"/>
            <w:position w:val="5"/>
            <w:sz w:val="14"/>
            <w:u w:val="single" w:color="005DA1"/>
          </w:rPr>
          <w:t>28</w:t>
        </w:r>
      </w:hyperlink>
      <w:r>
        <w:rPr>
          <w:spacing w:val="-5"/>
          <w:position w:val="5"/>
          <w:sz w:val="14"/>
        </w:rPr>
        <w:t>.</w:t>
      </w:r>
      <w:r>
        <w:rPr>
          <w:position w:val="5"/>
          <w:sz w:val="14"/>
        </w:rPr>
        <w:tab/>
      </w:r>
      <w:r>
        <w:rPr/>
        <w:t>Carriers Act 1830 </w:t>
      </w:r>
      <w:r>
        <w:rPr>
          <w:spacing w:val="-4"/>
        </w:rPr>
        <w:t>s.5.</w:t>
      </w:r>
    </w:p>
    <w:p>
      <w:pPr>
        <w:pStyle w:val="BodyText"/>
        <w:spacing w:before="8"/>
      </w:pPr>
    </w:p>
    <w:p>
      <w:pPr>
        <w:spacing w:line="235" w:lineRule="auto" w:before="1"/>
        <w:ind w:left="563" w:right="26" w:hanging="541"/>
        <w:jc w:val="both"/>
        <w:rPr>
          <w:sz w:val="20"/>
        </w:rPr>
      </w:pPr>
      <w:bookmarkStart w:name="_bookmark123" w:id="125"/>
      <w:bookmarkEnd w:id="125"/>
      <w:r>
        <w:rPr/>
      </w:r>
      <w:hyperlink w:history="true" w:anchor="_bookmark26">
        <w:r>
          <w:rPr>
            <w:color w:val="005DA1"/>
            <w:position w:val="5"/>
            <w:sz w:val="14"/>
            <w:u w:val="single" w:color="005DA1"/>
          </w:rPr>
          <w:t>29</w:t>
        </w:r>
      </w:hyperlink>
      <w:r>
        <w:rPr>
          <w:position w:val="5"/>
          <w:sz w:val="14"/>
        </w:rPr>
        <w:t>.</w:t>
      </w:r>
      <w:r>
        <w:rPr>
          <w:spacing w:val="80"/>
          <w:position w:val="5"/>
          <w:sz w:val="14"/>
        </w:rPr>
        <w:t>  </w:t>
      </w:r>
      <w:r>
        <w:rPr>
          <w:rFonts w:ascii="Arial" w:hAnsi="Arial"/>
          <w:i/>
          <w:sz w:val="20"/>
        </w:rPr>
        <w:t>Ex p. Hodgkinson (1815) 19 Ves. 291, 294</w:t>
      </w:r>
      <w:r>
        <w:rPr>
          <w:sz w:val="20"/>
        </w:rPr>
        <w:t>; </w:t>
      </w:r>
      <w:r>
        <w:rPr>
          <w:rFonts w:ascii="Arial" w:hAnsi="Arial"/>
          <w:i/>
          <w:sz w:val="20"/>
        </w:rPr>
        <w:t>Ex p. Norfolk (1815) 19 Ves. 455, 458</w:t>
      </w:r>
      <w:r>
        <w:rPr>
          <w:sz w:val="20"/>
        </w:rPr>
        <w:t>; </w:t>
      </w:r>
      <w:r>
        <w:rPr>
          <w:rFonts w:ascii="Arial" w:hAnsi="Arial"/>
          <w:i/>
          <w:sz w:val="20"/>
        </w:rPr>
        <w:t>Mullett </w:t>
      </w:r>
      <w:r>
        <w:rPr>
          <w:rFonts w:ascii="Arial" w:hAnsi="Arial"/>
          <w:i/>
          <w:sz w:val="20"/>
        </w:rPr>
        <w:t>v</w:t>
      </w:r>
      <w:r>
        <w:rPr>
          <w:rFonts w:ascii="Arial" w:hAnsi="Arial"/>
          <w:i/>
          <w:spacing w:val="40"/>
          <w:sz w:val="20"/>
        </w:rPr>
        <w:t> </w:t>
      </w:r>
      <w:r>
        <w:rPr>
          <w:rFonts w:ascii="Arial" w:hAnsi="Arial"/>
          <w:i/>
          <w:sz w:val="20"/>
        </w:rPr>
        <w:t>Hook (1827) M. &amp; M. 89</w:t>
      </w:r>
      <w:r>
        <w:rPr>
          <w:sz w:val="20"/>
        </w:rPr>
        <w:t>; </w:t>
      </w:r>
      <w:r>
        <w:rPr>
          <w:rFonts w:ascii="Arial" w:hAnsi="Arial"/>
          <w:i/>
          <w:sz w:val="20"/>
        </w:rPr>
        <w:t>De Mautort v Saunders (1830) 1 B. &amp; Ad. 399</w:t>
      </w:r>
      <w:r>
        <w:rPr>
          <w:sz w:val="20"/>
        </w:rPr>
        <w:t>; </w:t>
      </w:r>
      <w:r>
        <w:rPr>
          <w:rFonts w:ascii="Arial" w:hAnsi="Arial"/>
          <w:i/>
          <w:sz w:val="20"/>
        </w:rPr>
        <w:t>Kendall v Hamilton (1879) 4 App. Cas. 504, 513–514, 541</w:t>
      </w:r>
      <w:r>
        <w:rPr>
          <w:sz w:val="20"/>
        </w:rPr>
        <w:t>.</w:t>
      </w:r>
    </w:p>
    <w:p>
      <w:pPr>
        <w:pStyle w:val="BodyText"/>
        <w:spacing w:before="5"/>
      </w:pPr>
    </w:p>
    <w:p>
      <w:pPr>
        <w:tabs>
          <w:tab w:pos="563" w:val="left" w:leader="none"/>
        </w:tabs>
        <w:spacing w:before="0"/>
        <w:ind w:left="23" w:right="0" w:firstLine="0"/>
        <w:jc w:val="left"/>
        <w:rPr>
          <w:sz w:val="20"/>
        </w:rPr>
      </w:pPr>
      <w:bookmarkStart w:name="_bookmark124" w:id="126"/>
      <w:bookmarkEnd w:id="126"/>
      <w:r>
        <w:rPr/>
      </w:r>
      <w:hyperlink w:history="true" w:anchor="_bookmark27">
        <w:r>
          <w:rPr>
            <w:color w:val="005DA1"/>
            <w:spacing w:val="-5"/>
            <w:position w:val="5"/>
            <w:sz w:val="14"/>
            <w:u w:val="single" w:color="005DA1"/>
          </w:rPr>
          <w:t>30</w:t>
        </w:r>
      </w:hyperlink>
      <w:r>
        <w:rPr>
          <w:spacing w:val="-5"/>
          <w:position w:val="5"/>
          <w:sz w:val="14"/>
        </w:rPr>
        <w:t>.</w:t>
      </w:r>
      <w:r>
        <w:rPr>
          <w:position w:val="5"/>
          <w:sz w:val="14"/>
        </w:rPr>
        <w:tab/>
      </w:r>
      <w:r>
        <w:rPr>
          <w:rFonts w:ascii="Arial"/>
          <w:i/>
          <w:sz w:val="20"/>
        </w:rPr>
        <w:t>Baldney</w:t>
      </w:r>
      <w:r>
        <w:rPr>
          <w:rFonts w:ascii="Arial"/>
          <w:i/>
          <w:spacing w:val="-1"/>
          <w:sz w:val="20"/>
        </w:rPr>
        <w:t> </w:t>
      </w:r>
      <w:r>
        <w:rPr>
          <w:rFonts w:ascii="Arial"/>
          <w:i/>
          <w:sz w:val="20"/>
        </w:rPr>
        <w:t>v Ritchie (1816) 1 Stark. 338</w:t>
      </w:r>
      <w:r>
        <w:rPr>
          <w:sz w:val="20"/>
        </w:rPr>
        <w:t>; </w:t>
      </w:r>
      <w:r>
        <w:rPr>
          <w:rFonts w:ascii="Arial"/>
          <w:i/>
          <w:sz w:val="20"/>
        </w:rPr>
        <w:t>Stansfeld v Levy (1820) 3 Stark. </w:t>
      </w:r>
      <w:r>
        <w:rPr>
          <w:rFonts w:ascii="Arial"/>
          <w:i/>
          <w:spacing w:val="-5"/>
          <w:sz w:val="20"/>
        </w:rPr>
        <w:t>8</w:t>
      </w:r>
      <w:r>
        <w:rPr>
          <w:spacing w:val="-5"/>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125" w:id="127"/>
      <w:bookmarkEnd w:id="127"/>
      <w:r>
        <w:rPr/>
      </w:r>
      <w:hyperlink w:history="true" w:anchor="_bookmark28">
        <w:r>
          <w:rPr>
            <w:color w:val="005DA1"/>
            <w:spacing w:val="-4"/>
            <w:position w:val="5"/>
            <w:sz w:val="14"/>
            <w:u w:val="single" w:color="005DA1"/>
          </w:rPr>
          <w:t>31</w:t>
        </w:r>
      </w:hyperlink>
      <w:r>
        <w:rPr>
          <w:spacing w:val="-4"/>
          <w:position w:val="5"/>
          <w:sz w:val="14"/>
        </w:rPr>
        <w:t>.</w:t>
      </w:r>
      <w:r>
        <w:rPr>
          <w:position w:val="5"/>
          <w:sz w:val="14"/>
        </w:rPr>
        <w:tab/>
      </w:r>
      <w:r>
        <w:rPr>
          <w:rFonts w:ascii="Arial"/>
          <w:i/>
          <w:sz w:val="20"/>
        </w:rPr>
        <w:t>Cabell v Vaughan (1669) 1 Wms. Saund. 291</w:t>
      </w:r>
      <w:r>
        <w:rPr>
          <w:sz w:val="20"/>
        </w:rPr>
        <w:t>, n.4; Williams, </w:t>
      </w:r>
      <w:r>
        <w:rPr>
          <w:rFonts w:ascii="Arial"/>
          <w:i/>
          <w:sz w:val="20"/>
        </w:rPr>
        <w:t>Joint Obligations </w:t>
      </w:r>
      <w:r>
        <w:rPr>
          <w:sz w:val="20"/>
        </w:rPr>
        <w:t>(1949), para.20; Peel, </w:t>
      </w:r>
      <w:r>
        <w:rPr>
          <w:rFonts w:ascii="Arial"/>
          <w:i/>
          <w:sz w:val="20"/>
        </w:rPr>
        <w:t>Treitel on The Law of Contract</w:t>
      </w:r>
      <w:r>
        <w:rPr>
          <w:sz w:val="20"/>
        </w:rPr>
        <w:t>, 13th edn (2011), para.13-006.</w:t>
      </w:r>
    </w:p>
    <w:p>
      <w:pPr>
        <w:pStyle w:val="BodyText"/>
        <w:spacing w:before="5"/>
      </w:pPr>
    </w:p>
    <w:p>
      <w:pPr>
        <w:pStyle w:val="BodyText"/>
        <w:tabs>
          <w:tab w:pos="563" w:val="left" w:leader="none"/>
        </w:tabs>
        <w:ind w:left="23"/>
      </w:pPr>
      <w:bookmarkStart w:name="_bookmark126" w:id="128"/>
      <w:bookmarkEnd w:id="128"/>
      <w:r>
        <w:rPr/>
      </w:r>
      <w:hyperlink w:history="true" w:anchor="_bookmark29">
        <w:r>
          <w:rPr>
            <w:color w:val="005DA1"/>
            <w:spacing w:val="-5"/>
            <w:position w:val="5"/>
            <w:sz w:val="14"/>
            <w:u w:val="single" w:color="005DA1"/>
          </w:rPr>
          <w:t>32</w:t>
        </w:r>
      </w:hyperlink>
      <w:r>
        <w:rPr>
          <w:spacing w:val="-5"/>
          <w:position w:val="5"/>
          <w:sz w:val="14"/>
        </w:rPr>
        <w:t>.</w:t>
      </w:r>
      <w:r>
        <w:rPr>
          <w:position w:val="5"/>
          <w:sz w:val="14"/>
        </w:rPr>
        <w:tab/>
      </w:r>
      <w:r>
        <w:rPr/>
        <w:t>CPR 1998 </w:t>
      </w:r>
      <w:r>
        <w:rPr>
          <w:spacing w:val="-2"/>
        </w:rPr>
        <w:t>r.19.2(2).</w:t>
      </w:r>
    </w:p>
    <w:p>
      <w:pPr>
        <w:pStyle w:val="BodyText"/>
        <w:spacing w:before="9"/>
      </w:pPr>
    </w:p>
    <w:p>
      <w:pPr>
        <w:spacing w:line="235" w:lineRule="auto" w:before="0"/>
        <w:ind w:left="563" w:right="26" w:hanging="541"/>
        <w:jc w:val="both"/>
        <w:rPr>
          <w:sz w:val="20"/>
        </w:rPr>
      </w:pPr>
      <w:bookmarkStart w:name="_bookmark127" w:id="129"/>
      <w:bookmarkEnd w:id="129"/>
      <w:r>
        <w:rPr/>
      </w:r>
      <w:hyperlink w:history="true" w:anchor="_bookmark30">
        <w:r>
          <w:rPr>
            <w:color w:val="005DA1"/>
            <w:position w:val="5"/>
            <w:sz w:val="14"/>
            <w:u w:val="single" w:color="005DA1"/>
          </w:rPr>
          <w:t>33</w:t>
        </w:r>
      </w:hyperlink>
      <w:r>
        <w:rPr>
          <w:position w:val="5"/>
          <w:sz w:val="14"/>
        </w:rPr>
        <w:t>.</w:t>
      </w:r>
      <w:r>
        <w:rPr>
          <w:spacing w:val="80"/>
          <w:position w:val="5"/>
          <w:sz w:val="14"/>
        </w:rPr>
        <w:t>  </w:t>
      </w:r>
      <w:r>
        <w:rPr>
          <w:rFonts w:ascii="Arial"/>
          <w:i/>
          <w:sz w:val="20"/>
        </w:rPr>
        <w:t>White</w:t>
      </w:r>
      <w:r>
        <w:rPr>
          <w:rFonts w:ascii="Arial"/>
          <w:i/>
          <w:spacing w:val="32"/>
          <w:sz w:val="20"/>
        </w:rPr>
        <w:t> </w:t>
      </w:r>
      <w:r>
        <w:rPr>
          <w:rFonts w:ascii="Arial"/>
          <w:i/>
          <w:sz w:val="20"/>
        </w:rPr>
        <w:t>v</w:t>
      </w:r>
      <w:r>
        <w:rPr>
          <w:rFonts w:ascii="Arial"/>
          <w:i/>
          <w:spacing w:val="32"/>
          <w:sz w:val="20"/>
        </w:rPr>
        <w:t> </w:t>
      </w:r>
      <w:r>
        <w:rPr>
          <w:rFonts w:ascii="Arial"/>
          <w:i/>
          <w:sz w:val="20"/>
        </w:rPr>
        <w:t>Tyndall</w:t>
      </w:r>
      <w:r>
        <w:rPr>
          <w:rFonts w:ascii="Arial"/>
          <w:i/>
          <w:spacing w:val="32"/>
          <w:sz w:val="20"/>
        </w:rPr>
        <w:t> </w:t>
      </w:r>
      <w:r>
        <w:rPr>
          <w:rFonts w:ascii="Arial"/>
          <w:i/>
          <w:sz w:val="20"/>
        </w:rPr>
        <w:t>(1888)</w:t>
      </w:r>
      <w:r>
        <w:rPr>
          <w:rFonts w:ascii="Arial"/>
          <w:i/>
          <w:spacing w:val="32"/>
          <w:sz w:val="20"/>
        </w:rPr>
        <w:t> </w:t>
      </w:r>
      <w:r>
        <w:rPr>
          <w:rFonts w:ascii="Arial"/>
          <w:i/>
          <w:sz w:val="20"/>
        </w:rPr>
        <w:t>13</w:t>
      </w:r>
      <w:r>
        <w:rPr>
          <w:rFonts w:ascii="Arial"/>
          <w:i/>
          <w:spacing w:val="32"/>
          <w:sz w:val="20"/>
        </w:rPr>
        <w:t> </w:t>
      </w:r>
      <w:r>
        <w:rPr>
          <w:rFonts w:ascii="Arial"/>
          <w:i/>
          <w:sz w:val="20"/>
        </w:rPr>
        <w:t>App.</w:t>
      </w:r>
      <w:r>
        <w:rPr>
          <w:rFonts w:ascii="Arial"/>
          <w:i/>
          <w:spacing w:val="32"/>
          <w:sz w:val="20"/>
        </w:rPr>
        <w:t> </w:t>
      </w:r>
      <w:r>
        <w:rPr>
          <w:rFonts w:ascii="Arial"/>
          <w:i/>
          <w:sz w:val="20"/>
        </w:rPr>
        <w:t>Cas.</w:t>
      </w:r>
      <w:r>
        <w:rPr>
          <w:rFonts w:ascii="Arial"/>
          <w:i/>
          <w:spacing w:val="32"/>
          <w:sz w:val="20"/>
        </w:rPr>
        <w:t> </w:t>
      </w:r>
      <w:r>
        <w:rPr>
          <w:rFonts w:ascii="Arial"/>
          <w:i/>
          <w:sz w:val="20"/>
        </w:rPr>
        <w:t>263</w:t>
      </w:r>
      <w:r>
        <w:rPr>
          <w:sz w:val="20"/>
        </w:rPr>
        <w:t>.</w:t>
      </w:r>
      <w:r>
        <w:rPr>
          <w:spacing w:val="32"/>
          <w:sz w:val="20"/>
        </w:rPr>
        <w:t> </w:t>
      </w:r>
      <w:r>
        <w:rPr>
          <w:sz w:val="20"/>
        </w:rPr>
        <w:t>Quaere</w:t>
      </w:r>
      <w:r>
        <w:rPr>
          <w:spacing w:val="32"/>
          <w:sz w:val="20"/>
        </w:rPr>
        <w:t> </w:t>
      </w:r>
      <w:r>
        <w:rPr>
          <w:sz w:val="20"/>
        </w:rPr>
        <w:t>whether</w:t>
      </w:r>
      <w:r>
        <w:rPr>
          <w:spacing w:val="32"/>
          <w:sz w:val="20"/>
        </w:rPr>
        <w:t> </w:t>
      </w:r>
      <w:r>
        <w:rPr>
          <w:sz w:val="20"/>
        </w:rPr>
        <w:t>this</w:t>
      </w:r>
      <w:r>
        <w:rPr>
          <w:spacing w:val="32"/>
          <w:sz w:val="20"/>
        </w:rPr>
        <w:t> </w:t>
      </w:r>
      <w:r>
        <w:rPr>
          <w:sz w:val="20"/>
        </w:rPr>
        <w:t>rule</w:t>
      </w:r>
      <w:r>
        <w:rPr>
          <w:spacing w:val="32"/>
          <w:sz w:val="20"/>
        </w:rPr>
        <w:t> </w:t>
      </w:r>
      <w:r>
        <w:rPr>
          <w:sz w:val="20"/>
        </w:rPr>
        <w:t>has</w:t>
      </w:r>
      <w:r>
        <w:rPr>
          <w:spacing w:val="32"/>
          <w:sz w:val="20"/>
        </w:rPr>
        <w:t> </w:t>
      </w:r>
      <w:r>
        <w:rPr>
          <w:sz w:val="20"/>
        </w:rPr>
        <w:t>been</w:t>
      </w:r>
      <w:r>
        <w:rPr>
          <w:spacing w:val="32"/>
          <w:sz w:val="20"/>
        </w:rPr>
        <w:t> </w:t>
      </w:r>
      <w:r>
        <w:rPr>
          <w:sz w:val="20"/>
        </w:rPr>
        <w:t>abolished</w:t>
      </w:r>
      <w:r>
        <w:rPr>
          <w:spacing w:val="32"/>
          <w:sz w:val="20"/>
        </w:rPr>
        <w:t> </w:t>
      </w:r>
      <w:r>
        <w:rPr>
          <w:sz w:val="20"/>
        </w:rPr>
        <w:t>by s.1(1) of the Law Reform (Miscellaneous Provisions) Act 1934: see Williams, </w:t>
      </w:r>
      <w:r>
        <w:rPr>
          <w:rFonts w:ascii="Arial"/>
          <w:i/>
          <w:sz w:val="20"/>
        </w:rPr>
        <w:t>Joint Obligations</w:t>
      </w:r>
      <w:r>
        <w:rPr>
          <w:sz w:val="20"/>
        </w:rPr>
        <w:t>, at para.25; Peel, </w:t>
      </w:r>
      <w:r>
        <w:rPr>
          <w:rFonts w:ascii="Arial"/>
          <w:i/>
          <w:sz w:val="20"/>
        </w:rPr>
        <w:t>Treitel on The Law of Contract</w:t>
      </w:r>
      <w:r>
        <w:rPr>
          <w:sz w:val="20"/>
        </w:rPr>
        <w:t>, 13th edn (2011) at para.13-010.</w:t>
      </w:r>
    </w:p>
    <w:p>
      <w:pPr>
        <w:pStyle w:val="BodyText"/>
        <w:spacing w:before="5"/>
      </w:pPr>
    </w:p>
    <w:p>
      <w:pPr>
        <w:tabs>
          <w:tab w:pos="563" w:val="left" w:leader="none"/>
        </w:tabs>
        <w:spacing w:before="0"/>
        <w:ind w:left="23" w:right="0" w:firstLine="0"/>
        <w:jc w:val="left"/>
        <w:rPr>
          <w:sz w:val="20"/>
        </w:rPr>
      </w:pPr>
      <w:bookmarkStart w:name="_bookmark128" w:id="130"/>
      <w:bookmarkEnd w:id="130"/>
      <w:r>
        <w:rPr/>
      </w:r>
      <w:hyperlink w:history="true" w:anchor="_bookmark31">
        <w:r>
          <w:rPr>
            <w:color w:val="005DA1"/>
            <w:spacing w:val="-5"/>
            <w:position w:val="5"/>
            <w:sz w:val="14"/>
            <w:u w:val="single" w:color="005DA1"/>
          </w:rPr>
          <w:t>34</w:t>
        </w:r>
      </w:hyperlink>
      <w:r>
        <w:rPr>
          <w:spacing w:val="-5"/>
          <w:position w:val="5"/>
          <w:sz w:val="14"/>
        </w:rPr>
        <w:t>.</w:t>
      </w:r>
      <w:r>
        <w:rPr>
          <w:position w:val="5"/>
          <w:sz w:val="14"/>
        </w:rPr>
        <w:tab/>
      </w:r>
      <w:r>
        <w:rPr>
          <w:rFonts w:ascii="Arial"/>
          <w:i/>
          <w:sz w:val="20"/>
        </w:rPr>
        <w:t>Calder v Rutherford (1882) 3 Brod. &amp; Bing. </w:t>
      </w:r>
      <w:r>
        <w:rPr>
          <w:rFonts w:ascii="Arial"/>
          <w:i/>
          <w:spacing w:val="-4"/>
          <w:sz w:val="20"/>
        </w:rPr>
        <w:t>302</w:t>
      </w:r>
      <w:r>
        <w:rPr>
          <w:spacing w:val="-4"/>
          <w:sz w:val="20"/>
        </w:rPr>
        <w:t>.</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129" w:id="131"/>
      <w:bookmarkEnd w:id="131"/>
      <w:r>
        <w:rPr/>
      </w:r>
      <w:hyperlink w:history="true" w:anchor="_bookmark32">
        <w:r>
          <w:rPr>
            <w:color w:val="005DA1"/>
            <w:spacing w:val="-5"/>
            <w:position w:val="5"/>
            <w:sz w:val="14"/>
            <w:u w:val="single" w:color="005DA1"/>
          </w:rPr>
          <w:t>35</w:t>
        </w:r>
      </w:hyperlink>
      <w:r>
        <w:rPr>
          <w:spacing w:val="-5"/>
          <w:position w:val="5"/>
          <w:sz w:val="14"/>
        </w:rPr>
        <w:t>.</w:t>
      </w:r>
      <w:r>
        <w:rPr>
          <w:position w:val="5"/>
          <w:sz w:val="14"/>
        </w:rPr>
        <w:tab/>
      </w:r>
      <w:r>
        <w:rPr>
          <w:sz w:val="20"/>
        </w:rPr>
        <w:t>Partnership</w:t>
      </w:r>
      <w:r>
        <w:rPr>
          <w:spacing w:val="-1"/>
          <w:sz w:val="20"/>
        </w:rPr>
        <w:t> </w:t>
      </w:r>
      <w:r>
        <w:rPr>
          <w:sz w:val="20"/>
        </w:rPr>
        <w:t>Act 1890 s.9; cf. </w:t>
      </w:r>
      <w:r>
        <w:rPr>
          <w:rFonts w:ascii="Arial" w:hAnsi="Arial"/>
          <w:i/>
          <w:sz w:val="20"/>
        </w:rPr>
        <w:t>Kendall v Hamilton (1879) 4 App. Cas. 504, 538–539</w:t>
      </w:r>
      <w:r>
        <w:rPr>
          <w:sz w:val="20"/>
        </w:rPr>
        <w:t>; </w:t>
      </w:r>
      <w:r>
        <w:rPr>
          <w:rFonts w:ascii="Arial" w:hAnsi="Arial"/>
          <w:i/>
          <w:sz w:val="20"/>
        </w:rPr>
        <w:t>Re </w:t>
      </w:r>
      <w:r>
        <w:rPr>
          <w:rFonts w:ascii="Arial" w:hAnsi="Arial"/>
          <w:i/>
          <w:spacing w:val="-2"/>
          <w:sz w:val="20"/>
        </w:rPr>
        <w:t>Hodgson</w:t>
      </w:r>
    </w:p>
    <w:p>
      <w:pPr>
        <w:spacing w:line="227" w:lineRule="exact" w:before="0"/>
        <w:ind w:left="563" w:right="0" w:firstLine="0"/>
        <w:jc w:val="left"/>
        <w:rPr>
          <w:sz w:val="20"/>
        </w:rPr>
      </w:pPr>
      <w:r>
        <w:rPr>
          <w:rFonts w:ascii="Arial"/>
          <w:i/>
          <w:sz w:val="20"/>
        </w:rPr>
        <w:t>(1885)</w:t>
      </w:r>
      <w:r>
        <w:rPr>
          <w:rFonts w:ascii="Arial"/>
          <w:i/>
          <w:spacing w:val="-2"/>
          <w:sz w:val="20"/>
        </w:rPr>
        <w:t> </w:t>
      </w:r>
      <w:r>
        <w:rPr>
          <w:rFonts w:ascii="Arial"/>
          <w:i/>
          <w:sz w:val="20"/>
        </w:rPr>
        <w:t>31 Ch. D. </w:t>
      </w:r>
      <w:r>
        <w:rPr>
          <w:rFonts w:ascii="Arial"/>
          <w:i/>
          <w:spacing w:val="-4"/>
          <w:sz w:val="20"/>
        </w:rPr>
        <w:t>177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30" w:id="132"/>
      <w:bookmarkEnd w:id="132"/>
      <w:r>
        <w:rPr/>
      </w:r>
      <w:hyperlink w:history="true" w:anchor="_bookmark33">
        <w:r>
          <w:rPr>
            <w:color w:val="005DA1"/>
            <w:spacing w:val="-5"/>
            <w:position w:val="5"/>
            <w:sz w:val="14"/>
            <w:u w:val="single" w:color="005DA1"/>
          </w:rPr>
          <w:t>36</w:t>
        </w:r>
      </w:hyperlink>
      <w:r>
        <w:rPr>
          <w:spacing w:val="-5"/>
          <w:position w:val="5"/>
          <w:sz w:val="14"/>
        </w:rPr>
        <w:t>.</w:t>
      </w:r>
      <w:r>
        <w:rPr>
          <w:position w:val="5"/>
          <w:sz w:val="14"/>
        </w:rPr>
        <w:tab/>
      </w:r>
      <w:r>
        <w:rPr>
          <w:rFonts w:ascii="Arial"/>
          <w:i/>
          <w:sz w:val="20"/>
        </w:rPr>
        <w:t>Read</w:t>
      </w:r>
      <w:r>
        <w:rPr>
          <w:rFonts w:ascii="Arial"/>
          <w:i/>
          <w:spacing w:val="-3"/>
          <w:sz w:val="20"/>
        </w:rPr>
        <w:t> </w:t>
      </w:r>
      <w:r>
        <w:rPr>
          <w:rFonts w:ascii="Arial"/>
          <w:i/>
          <w:sz w:val="20"/>
        </w:rPr>
        <w:t>v Price [1909] 1 K.B.</w:t>
      </w:r>
      <w:r>
        <w:rPr>
          <w:rFonts w:ascii="Arial"/>
          <w:i/>
          <w:spacing w:val="-1"/>
          <w:sz w:val="20"/>
        </w:rPr>
        <w:t> </w:t>
      </w:r>
      <w:r>
        <w:rPr>
          <w:rFonts w:ascii="Arial"/>
          <w:i/>
          <w:sz w:val="20"/>
        </w:rPr>
        <w:t>577</w:t>
      </w:r>
      <w:r>
        <w:rPr>
          <w:sz w:val="20"/>
        </w:rPr>
        <w:t>; Williams,</w:t>
      </w:r>
      <w:r>
        <w:rPr>
          <w:spacing w:val="-1"/>
          <w:sz w:val="20"/>
        </w:rPr>
        <w:t> </w:t>
      </w:r>
      <w:r>
        <w:rPr>
          <w:rFonts w:ascii="Arial"/>
          <w:i/>
          <w:sz w:val="20"/>
        </w:rPr>
        <w:t>Joint Obligations</w:t>
      </w:r>
      <w:r>
        <w:rPr>
          <w:sz w:val="20"/>
        </w:rPr>
        <w:t>, at </w:t>
      </w:r>
      <w:r>
        <w:rPr>
          <w:spacing w:val="-2"/>
          <w:sz w:val="20"/>
        </w:rPr>
        <w:t>para.30.</w:t>
      </w:r>
    </w:p>
    <w:p>
      <w:pPr>
        <w:pStyle w:val="BodyText"/>
        <w:spacing w:before="5"/>
      </w:pPr>
    </w:p>
    <w:p>
      <w:pPr>
        <w:tabs>
          <w:tab w:pos="563" w:val="left" w:leader="none"/>
        </w:tabs>
        <w:spacing w:before="0"/>
        <w:ind w:left="23" w:right="0" w:firstLine="0"/>
        <w:jc w:val="left"/>
        <w:rPr>
          <w:sz w:val="20"/>
        </w:rPr>
      </w:pPr>
      <w:bookmarkStart w:name="_bookmark131" w:id="133"/>
      <w:bookmarkEnd w:id="133"/>
      <w:r>
        <w:rPr/>
      </w:r>
      <w:hyperlink w:history="true" w:anchor="_bookmark34">
        <w:r>
          <w:rPr>
            <w:color w:val="005DA1"/>
            <w:spacing w:val="-5"/>
            <w:position w:val="5"/>
            <w:sz w:val="14"/>
            <w:u w:val="single" w:color="005DA1"/>
          </w:rPr>
          <w:t>37</w:t>
        </w:r>
      </w:hyperlink>
      <w:r>
        <w:rPr>
          <w:spacing w:val="-5"/>
          <w:position w:val="5"/>
          <w:sz w:val="14"/>
        </w:rPr>
        <w:t>.</w:t>
      </w:r>
      <w:r>
        <w:rPr>
          <w:position w:val="5"/>
          <w:sz w:val="14"/>
        </w:rPr>
        <w:tab/>
      </w:r>
      <w:r>
        <w:rPr>
          <w:sz w:val="20"/>
        </w:rPr>
        <w:t>Williams at para.42;</w:t>
      </w:r>
      <w:r>
        <w:rPr>
          <w:spacing w:val="-1"/>
          <w:sz w:val="20"/>
        </w:rPr>
        <w:t> </w:t>
      </w:r>
      <w:r>
        <w:rPr>
          <w:rFonts w:ascii="Arial"/>
          <w:i/>
          <w:sz w:val="20"/>
        </w:rPr>
        <w:t>Banco Santander SA v Bayfern Ltd [2000] 1 All E.R. (Comm) 776, </w:t>
      </w:r>
      <w:r>
        <w:rPr>
          <w:rFonts w:ascii="Arial"/>
          <w:i/>
          <w:spacing w:val="-4"/>
          <w:sz w:val="20"/>
        </w:rPr>
        <w:t>780</w:t>
      </w:r>
      <w:r>
        <w:rPr>
          <w:spacing w:val="-4"/>
          <w:sz w:val="20"/>
        </w:rPr>
        <w:t>.</w:t>
      </w:r>
    </w:p>
    <w:p>
      <w:pPr>
        <w:spacing w:after="0"/>
        <w:jc w:val="left"/>
        <w:rPr>
          <w:sz w:val="20"/>
        </w:rPr>
        <w:sectPr>
          <w:pgSz w:w="11900" w:h="16840"/>
          <w:pgMar w:header="971" w:footer="0" w:top="1300" w:bottom="280" w:left="1417" w:right="1417"/>
        </w:sectPr>
      </w:pPr>
    </w:p>
    <w:p>
      <w:pPr>
        <w:spacing w:line="235" w:lineRule="auto" w:before="170"/>
        <w:ind w:left="563" w:right="26" w:hanging="541"/>
        <w:jc w:val="both"/>
        <w:rPr>
          <w:rFonts w:ascii="Arial"/>
          <w:i/>
          <w:sz w:val="20"/>
        </w:rPr>
      </w:pPr>
      <w:hyperlink w:history="true" w:anchor="_bookmark35">
        <w:r>
          <w:rPr>
            <w:color w:val="005DA1"/>
            <w:position w:val="5"/>
            <w:sz w:val="14"/>
            <w:u w:val="single" w:color="005DA1"/>
          </w:rPr>
          <w:t>38</w:t>
        </w:r>
      </w:hyperlink>
      <w:r>
        <w:rPr>
          <w:position w:val="5"/>
          <w:sz w:val="14"/>
        </w:rPr>
        <w:t>.</w:t>
      </w:r>
      <w:r>
        <w:rPr>
          <w:spacing w:val="80"/>
          <w:position w:val="5"/>
          <w:sz w:val="14"/>
        </w:rPr>
        <w:t>  </w:t>
      </w:r>
      <w:r>
        <w:rPr>
          <w:rFonts w:ascii="Arial"/>
          <w:i/>
          <w:sz w:val="20"/>
        </w:rPr>
        <w:t>King v Hoare (1844) 13 M. &amp; W. 494</w:t>
      </w:r>
      <w:r>
        <w:rPr>
          <w:sz w:val="20"/>
        </w:rPr>
        <w:t>; </w:t>
      </w:r>
      <w:r>
        <w:rPr>
          <w:rFonts w:ascii="Arial"/>
          <w:i/>
          <w:sz w:val="20"/>
        </w:rPr>
        <w:t>Kendall v Hamilton (1879) 4 App. Cas. 504</w:t>
      </w:r>
      <w:r>
        <w:rPr>
          <w:sz w:val="20"/>
        </w:rPr>
        <w:t>. There were exceptions to the general rule. For example, if the judgment was a foreign one (</w:t>
      </w:r>
      <w:r>
        <w:rPr>
          <w:rFonts w:ascii="Arial"/>
          <w:i/>
          <w:sz w:val="20"/>
        </w:rPr>
        <w:t>Bank of Australasia v Nias (1851) 16 Q.B. 717</w:t>
      </w:r>
      <w:r>
        <w:rPr>
          <w:sz w:val="20"/>
        </w:rPr>
        <w:t>); or if the defendant in the second action agreed that his own</w:t>
      </w:r>
      <w:r>
        <w:rPr>
          <w:spacing w:val="14"/>
          <w:sz w:val="20"/>
        </w:rPr>
        <w:t> </w:t>
      </w:r>
      <w:r>
        <w:rPr>
          <w:sz w:val="20"/>
        </w:rPr>
        <w:t>liability</w:t>
      </w:r>
      <w:r>
        <w:rPr>
          <w:spacing w:val="15"/>
          <w:sz w:val="20"/>
        </w:rPr>
        <w:t> </w:t>
      </w:r>
      <w:r>
        <w:rPr>
          <w:sz w:val="20"/>
        </w:rPr>
        <w:t>should</w:t>
      </w:r>
      <w:r>
        <w:rPr>
          <w:spacing w:val="15"/>
          <w:sz w:val="20"/>
        </w:rPr>
        <w:t> </w:t>
      </w:r>
      <w:r>
        <w:rPr>
          <w:sz w:val="20"/>
        </w:rPr>
        <w:t>survive</w:t>
      </w:r>
      <w:r>
        <w:rPr>
          <w:spacing w:val="15"/>
          <w:sz w:val="20"/>
        </w:rPr>
        <w:t> </w:t>
      </w:r>
      <w:r>
        <w:rPr>
          <w:sz w:val="20"/>
        </w:rPr>
        <w:t>the</w:t>
      </w:r>
      <w:r>
        <w:rPr>
          <w:spacing w:val="15"/>
          <w:sz w:val="20"/>
        </w:rPr>
        <w:t> </w:t>
      </w:r>
      <w:r>
        <w:rPr>
          <w:sz w:val="20"/>
        </w:rPr>
        <w:t>judgment</w:t>
      </w:r>
      <w:r>
        <w:rPr>
          <w:spacing w:val="15"/>
          <w:sz w:val="20"/>
        </w:rPr>
        <w:t> </w:t>
      </w:r>
      <w:r>
        <w:rPr>
          <w:sz w:val="20"/>
        </w:rPr>
        <w:t>in</w:t>
      </w:r>
      <w:r>
        <w:rPr>
          <w:spacing w:val="15"/>
          <w:sz w:val="20"/>
        </w:rPr>
        <w:t> </w:t>
      </w:r>
      <w:r>
        <w:rPr>
          <w:sz w:val="20"/>
        </w:rPr>
        <w:t>the</w:t>
      </w:r>
      <w:r>
        <w:rPr>
          <w:spacing w:val="15"/>
          <w:sz w:val="20"/>
        </w:rPr>
        <w:t> </w:t>
      </w:r>
      <w:r>
        <w:rPr>
          <w:sz w:val="20"/>
        </w:rPr>
        <w:t>first</w:t>
      </w:r>
      <w:r>
        <w:rPr>
          <w:spacing w:val="15"/>
          <w:sz w:val="20"/>
        </w:rPr>
        <w:t> </w:t>
      </w:r>
      <w:r>
        <w:rPr>
          <w:sz w:val="20"/>
        </w:rPr>
        <w:t>action</w:t>
      </w:r>
      <w:r>
        <w:rPr>
          <w:spacing w:val="15"/>
          <w:sz w:val="20"/>
        </w:rPr>
        <w:t> </w:t>
      </w:r>
      <w:r>
        <w:rPr>
          <w:sz w:val="20"/>
        </w:rPr>
        <w:t>(</w:t>
      </w:r>
      <w:r>
        <w:rPr>
          <w:rFonts w:ascii="Arial"/>
          <w:i/>
          <w:sz w:val="20"/>
        </w:rPr>
        <w:t>Duffner</w:t>
      </w:r>
      <w:r>
        <w:rPr>
          <w:rFonts w:ascii="Arial"/>
          <w:i/>
          <w:spacing w:val="15"/>
          <w:sz w:val="20"/>
        </w:rPr>
        <w:t> </w:t>
      </w:r>
      <w:r>
        <w:rPr>
          <w:rFonts w:ascii="Arial"/>
          <w:i/>
          <w:sz w:val="20"/>
        </w:rPr>
        <w:t>v</w:t>
      </w:r>
      <w:r>
        <w:rPr>
          <w:rFonts w:ascii="Arial"/>
          <w:i/>
          <w:spacing w:val="15"/>
          <w:sz w:val="20"/>
        </w:rPr>
        <w:t> </w:t>
      </w:r>
      <w:r>
        <w:rPr>
          <w:rFonts w:ascii="Arial"/>
          <w:i/>
          <w:sz w:val="20"/>
        </w:rPr>
        <w:t>Bowyer</w:t>
      </w:r>
      <w:r>
        <w:rPr>
          <w:rFonts w:ascii="Arial"/>
          <w:i/>
          <w:spacing w:val="15"/>
          <w:sz w:val="20"/>
        </w:rPr>
        <w:t> </w:t>
      </w:r>
      <w:r>
        <w:rPr>
          <w:rFonts w:ascii="Arial"/>
          <w:i/>
          <w:sz w:val="20"/>
        </w:rPr>
        <w:t>(1924)</w:t>
      </w:r>
      <w:r>
        <w:rPr>
          <w:rFonts w:ascii="Arial"/>
          <w:i/>
          <w:spacing w:val="15"/>
          <w:sz w:val="20"/>
        </w:rPr>
        <w:t> </w:t>
      </w:r>
      <w:r>
        <w:rPr>
          <w:rFonts w:ascii="Arial"/>
          <w:i/>
          <w:sz w:val="20"/>
        </w:rPr>
        <w:t>40</w:t>
      </w:r>
      <w:r>
        <w:rPr>
          <w:rFonts w:ascii="Arial"/>
          <w:i/>
          <w:spacing w:val="15"/>
          <w:sz w:val="20"/>
        </w:rPr>
        <w:t> </w:t>
      </w:r>
      <w:r>
        <w:rPr>
          <w:rFonts w:ascii="Arial"/>
          <w:i/>
          <w:spacing w:val="-2"/>
          <w:sz w:val="20"/>
        </w:rPr>
        <w:t>T.L.R.</w:t>
      </w:r>
    </w:p>
    <w:p>
      <w:pPr>
        <w:spacing w:line="235" w:lineRule="auto" w:before="0"/>
        <w:ind w:left="563" w:right="25" w:firstLine="0"/>
        <w:jc w:val="both"/>
        <w:rPr>
          <w:sz w:val="20"/>
        </w:rPr>
      </w:pPr>
      <w:r>
        <w:rPr>
          <w:rFonts w:ascii="Arial"/>
          <w:i/>
          <w:sz w:val="20"/>
        </w:rPr>
        <w:t>700)</w:t>
      </w:r>
      <w:r>
        <w:rPr>
          <w:sz w:val="20"/>
        </w:rPr>
        <w:t>; or if the judgment was on an independent cause of action, such as a negotiable</w:t>
      </w:r>
      <w:r>
        <w:rPr>
          <w:spacing w:val="40"/>
          <w:sz w:val="20"/>
        </w:rPr>
        <w:t> </w:t>
      </w:r>
      <w:r>
        <w:rPr>
          <w:sz w:val="20"/>
        </w:rPr>
        <w:t>instrument given by one joint debtor (</w:t>
      </w:r>
      <w:r>
        <w:rPr>
          <w:rFonts w:ascii="Arial"/>
          <w:i/>
          <w:sz w:val="20"/>
        </w:rPr>
        <w:t>Drake v Mitchell (1803) 3 East 251</w:t>
      </w:r>
      <w:r>
        <w:rPr>
          <w:sz w:val="20"/>
        </w:rPr>
        <w:t>; </w:t>
      </w:r>
      <w:r>
        <w:rPr>
          <w:rFonts w:ascii="Arial"/>
          <w:i/>
          <w:sz w:val="20"/>
        </w:rPr>
        <w:t>Wegg Prosser </w:t>
      </w:r>
      <w:r>
        <w:rPr>
          <w:rFonts w:ascii="Arial"/>
          <w:i/>
          <w:sz w:val="20"/>
        </w:rPr>
        <w:t>v</w:t>
      </w:r>
      <w:r>
        <w:rPr>
          <w:rFonts w:ascii="Arial"/>
          <w:i/>
          <w:spacing w:val="40"/>
          <w:sz w:val="20"/>
        </w:rPr>
        <w:t> </w:t>
      </w:r>
      <w:r>
        <w:rPr>
          <w:rFonts w:ascii="Arial"/>
          <w:i/>
          <w:sz w:val="20"/>
        </w:rPr>
        <w:t>Evans</w:t>
      </w:r>
      <w:r>
        <w:rPr>
          <w:rFonts w:ascii="Arial"/>
          <w:i/>
          <w:spacing w:val="23"/>
          <w:sz w:val="20"/>
        </w:rPr>
        <w:t> </w:t>
      </w:r>
      <w:r>
        <w:rPr>
          <w:rFonts w:ascii="Arial"/>
          <w:i/>
          <w:sz w:val="20"/>
        </w:rPr>
        <w:t>[1895]</w:t>
      </w:r>
      <w:r>
        <w:rPr>
          <w:rFonts w:ascii="Arial"/>
          <w:i/>
          <w:spacing w:val="24"/>
          <w:sz w:val="20"/>
        </w:rPr>
        <w:t> </w:t>
      </w:r>
      <w:r>
        <w:rPr>
          <w:rFonts w:ascii="Arial"/>
          <w:i/>
          <w:sz w:val="20"/>
        </w:rPr>
        <w:t>1</w:t>
      </w:r>
      <w:r>
        <w:rPr>
          <w:rFonts w:ascii="Arial"/>
          <w:i/>
          <w:spacing w:val="24"/>
          <w:sz w:val="20"/>
        </w:rPr>
        <w:t> </w:t>
      </w:r>
      <w:r>
        <w:rPr>
          <w:rFonts w:ascii="Arial"/>
          <w:i/>
          <w:sz w:val="20"/>
        </w:rPr>
        <w:t>Q.B.</w:t>
      </w:r>
      <w:r>
        <w:rPr>
          <w:rFonts w:ascii="Arial"/>
          <w:i/>
          <w:spacing w:val="24"/>
          <w:sz w:val="20"/>
        </w:rPr>
        <w:t> </w:t>
      </w:r>
      <w:r>
        <w:rPr>
          <w:rFonts w:ascii="Arial"/>
          <w:i/>
          <w:sz w:val="20"/>
        </w:rPr>
        <w:t>108</w:t>
      </w:r>
      <w:r>
        <w:rPr>
          <w:sz w:val="20"/>
        </w:rPr>
        <w:t>;</w:t>
      </w:r>
      <w:r>
        <w:rPr>
          <w:spacing w:val="24"/>
          <w:sz w:val="20"/>
        </w:rPr>
        <w:t> </w:t>
      </w:r>
      <w:r>
        <w:rPr>
          <w:rFonts w:ascii="Arial"/>
          <w:i/>
          <w:sz w:val="20"/>
        </w:rPr>
        <w:t>Badeley</w:t>
      </w:r>
      <w:r>
        <w:rPr>
          <w:rFonts w:ascii="Arial"/>
          <w:i/>
          <w:spacing w:val="24"/>
          <w:sz w:val="20"/>
        </w:rPr>
        <w:t> </w:t>
      </w:r>
      <w:r>
        <w:rPr>
          <w:rFonts w:ascii="Arial"/>
          <w:i/>
          <w:sz w:val="20"/>
        </w:rPr>
        <w:t>v</w:t>
      </w:r>
      <w:r>
        <w:rPr>
          <w:rFonts w:ascii="Arial"/>
          <w:i/>
          <w:spacing w:val="24"/>
          <w:sz w:val="20"/>
        </w:rPr>
        <w:t> </w:t>
      </w:r>
      <w:r>
        <w:rPr>
          <w:rFonts w:ascii="Arial"/>
          <w:i/>
          <w:sz w:val="20"/>
        </w:rPr>
        <w:t>Consolidated</w:t>
      </w:r>
      <w:r>
        <w:rPr>
          <w:rFonts w:ascii="Arial"/>
          <w:i/>
          <w:spacing w:val="23"/>
          <w:sz w:val="20"/>
        </w:rPr>
        <w:t> </w:t>
      </w:r>
      <w:r>
        <w:rPr>
          <w:rFonts w:ascii="Arial"/>
          <w:i/>
          <w:sz w:val="20"/>
        </w:rPr>
        <w:t>Bank</w:t>
      </w:r>
      <w:r>
        <w:rPr>
          <w:rFonts w:ascii="Arial"/>
          <w:i/>
          <w:spacing w:val="24"/>
          <w:sz w:val="20"/>
        </w:rPr>
        <w:t> </w:t>
      </w:r>
      <w:r>
        <w:rPr>
          <w:rFonts w:ascii="Arial"/>
          <w:i/>
          <w:sz w:val="20"/>
        </w:rPr>
        <w:t>(1886)</w:t>
      </w:r>
      <w:r>
        <w:rPr>
          <w:rFonts w:ascii="Arial"/>
          <w:i/>
          <w:spacing w:val="24"/>
          <w:sz w:val="20"/>
        </w:rPr>
        <w:t> </w:t>
      </w:r>
      <w:r>
        <w:rPr>
          <w:rFonts w:ascii="Arial"/>
          <w:i/>
          <w:sz w:val="20"/>
        </w:rPr>
        <w:t>34</w:t>
      </w:r>
      <w:r>
        <w:rPr>
          <w:rFonts w:ascii="Arial"/>
          <w:i/>
          <w:spacing w:val="24"/>
          <w:sz w:val="20"/>
        </w:rPr>
        <w:t> </w:t>
      </w:r>
      <w:r>
        <w:rPr>
          <w:rFonts w:ascii="Arial"/>
          <w:i/>
          <w:sz w:val="20"/>
        </w:rPr>
        <w:t>Ch.</w:t>
      </w:r>
      <w:r>
        <w:rPr>
          <w:rFonts w:ascii="Arial"/>
          <w:i/>
          <w:spacing w:val="24"/>
          <w:sz w:val="20"/>
        </w:rPr>
        <w:t> </w:t>
      </w:r>
      <w:r>
        <w:rPr>
          <w:rFonts w:ascii="Arial"/>
          <w:i/>
          <w:sz w:val="20"/>
        </w:rPr>
        <w:t>D.</w:t>
      </w:r>
      <w:r>
        <w:rPr>
          <w:rFonts w:ascii="Arial"/>
          <w:i/>
          <w:spacing w:val="24"/>
          <w:sz w:val="20"/>
        </w:rPr>
        <w:t> </w:t>
      </w:r>
      <w:r>
        <w:rPr>
          <w:rFonts w:ascii="Arial"/>
          <w:i/>
          <w:sz w:val="20"/>
        </w:rPr>
        <w:t>536,</w:t>
      </w:r>
      <w:r>
        <w:rPr>
          <w:rFonts w:ascii="Arial"/>
          <w:i/>
          <w:spacing w:val="24"/>
          <w:sz w:val="20"/>
        </w:rPr>
        <w:t> </w:t>
      </w:r>
      <w:r>
        <w:rPr>
          <w:rFonts w:ascii="Arial"/>
          <w:i/>
          <w:sz w:val="20"/>
        </w:rPr>
        <w:t>556</w:t>
      </w:r>
      <w:r>
        <w:rPr>
          <w:sz w:val="20"/>
        </w:rPr>
        <w:t>;</w:t>
      </w:r>
      <w:r>
        <w:rPr>
          <w:spacing w:val="24"/>
          <w:sz w:val="20"/>
        </w:rPr>
        <w:t> </w:t>
      </w:r>
      <w:r>
        <w:rPr>
          <w:spacing w:val="-2"/>
          <w:sz w:val="20"/>
        </w:rPr>
        <w:t>affirmed</w:t>
      </w:r>
    </w:p>
    <w:p>
      <w:pPr>
        <w:spacing w:line="235" w:lineRule="auto" w:before="0"/>
        <w:ind w:left="563" w:right="25" w:firstLine="0"/>
        <w:jc w:val="both"/>
        <w:rPr>
          <w:sz w:val="20"/>
        </w:rPr>
      </w:pPr>
      <w:r>
        <w:rPr>
          <w:rFonts w:ascii="Arial"/>
          <w:i/>
          <w:sz w:val="20"/>
        </w:rPr>
        <w:t>(1888) 36 Ch. D. 238</w:t>
      </w:r>
      <w:r>
        <w:rPr>
          <w:sz w:val="20"/>
        </w:rPr>
        <w:t>; </w:t>
      </w:r>
      <w:r>
        <w:rPr>
          <w:rFonts w:ascii="Arial"/>
          <w:i/>
          <w:sz w:val="20"/>
        </w:rPr>
        <w:t>Goldrei, Foucard &amp; Son v Sinclair [1918] 1 K.B. 180</w:t>
      </w:r>
      <w:r>
        <w:rPr>
          <w:sz w:val="20"/>
        </w:rPr>
        <w:t>); or, in relation </w:t>
      </w:r>
      <w:r>
        <w:rPr>
          <w:sz w:val="20"/>
        </w:rPr>
        <w:t>to liquidated demands, where a judgment was signed against one or more joint debtors in default of a defence (see CPR 1998 r.12.8).</w:t>
      </w:r>
    </w:p>
    <w:p>
      <w:pPr>
        <w:pStyle w:val="BodyText"/>
        <w:spacing w:before="2"/>
      </w:pPr>
    </w:p>
    <w:p>
      <w:pPr>
        <w:tabs>
          <w:tab w:pos="563" w:val="left" w:leader="none"/>
        </w:tabs>
        <w:spacing w:before="1"/>
        <w:ind w:left="23" w:right="0" w:firstLine="0"/>
        <w:jc w:val="left"/>
        <w:rPr>
          <w:sz w:val="20"/>
        </w:rPr>
      </w:pPr>
      <w:bookmarkStart w:name="_bookmark132" w:id="134"/>
      <w:bookmarkEnd w:id="134"/>
      <w:r>
        <w:rPr/>
      </w:r>
      <w:hyperlink w:history="true" w:anchor="_bookmark36">
        <w:r>
          <w:rPr>
            <w:color w:val="005DA1"/>
            <w:spacing w:val="-5"/>
            <w:position w:val="5"/>
            <w:sz w:val="14"/>
            <w:u w:val="single" w:color="005DA1"/>
          </w:rPr>
          <w:t>39</w:t>
        </w:r>
      </w:hyperlink>
      <w:r>
        <w:rPr>
          <w:spacing w:val="-5"/>
          <w:position w:val="5"/>
          <w:sz w:val="14"/>
        </w:rPr>
        <w:t>.</w:t>
      </w:r>
      <w:r>
        <w:rPr>
          <w:position w:val="5"/>
          <w:sz w:val="14"/>
        </w:rPr>
        <w:tab/>
      </w:r>
      <w:r>
        <w:rPr>
          <w:rFonts w:ascii="Arial"/>
          <w:i/>
          <w:sz w:val="20"/>
        </w:rPr>
        <w:t>McLeod v Power [1898] 2 Ch. </w:t>
      </w:r>
      <w:r>
        <w:rPr>
          <w:rFonts w:ascii="Arial"/>
          <w:i/>
          <w:spacing w:val="-4"/>
          <w:sz w:val="20"/>
        </w:rPr>
        <w:t>295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33" w:id="135"/>
      <w:bookmarkEnd w:id="135"/>
      <w:r>
        <w:rPr/>
      </w:r>
      <w:hyperlink w:history="true" w:anchor="_bookmark37">
        <w:r>
          <w:rPr>
            <w:color w:val="005DA1"/>
            <w:spacing w:val="-5"/>
            <w:position w:val="5"/>
            <w:sz w:val="14"/>
            <w:u w:val="single" w:color="005DA1"/>
          </w:rPr>
          <w:t>40</w:t>
        </w:r>
      </w:hyperlink>
      <w:r>
        <w:rPr>
          <w:spacing w:val="-5"/>
          <w:position w:val="5"/>
          <w:sz w:val="14"/>
        </w:rPr>
        <w:t>.</w:t>
      </w:r>
      <w:r>
        <w:rPr>
          <w:position w:val="5"/>
          <w:sz w:val="14"/>
        </w:rPr>
        <w:tab/>
      </w:r>
      <w:r>
        <w:rPr>
          <w:rFonts w:ascii="Arial"/>
          <w:i/>
          <w:sz w:val="20"/>
        </w:rPr>
        <w:t>Hammond</w:t>
      </w:r>
      <w:r>
        <w:rPr>
          <w:rFonts w:ascii="Arial"/>
          <w:i/>
          <w:spacing w:val="-1"/>
          <w:sz w:val="20"/>
        </w:rPr>
        <w:t> </w:t>
      </w:r>
      <w:r>
        <w:rPr>
          <w:rFonts w:ascii="Arial"/>
          <w:i/>
          <w:sz w:val="20"/>
        </w:rPr>
        <w:t>v Schofield [1891] 1 Q.B. 453</w:t>
      </w:r>
      <w:r>
        <w:rPr>
          <w:sz w:val="20"/>
        </w:rPr>
        <w:t>. See Vol.II, para.31-</w:t>
      </w:r>
      <w:r>
        <w:rPr>
          <w:spacing w:val="-4"/>
          <w:sz w:val="20"/>
        </w:rPr>
        <w:t>070.</w:t>
      </w:r>
    </w:p>
    <w:p>
      <w:pPr>
        <w:pStyle w:val="BodyText"/>
        <w:spacing w:before="5"/>
      </w:pPr>
    </w:p>
    <w:p>
      <w:pPr>
        <w:tabs>
          <w:tab w:pos="563" w:val="left" w:leader="none"/>
        </w:tabs>
        <w:spacing w:line="227" w:lineRule="exact" w:before="0"/>
        <w:ind w:left="23" w:right="0" w:firstLine="0"/>
        <w:jc w:val="left"/>
        <w:rPr>
          <w:sz w:val="20"/>
        </w:rPr>
      </w:pPr>
      <w:bookmarkStart w:name="_bookmark134" w:id="136"/>
      <w:bookmarkEnd w:id="136"/>
      <w:r>
        <w:rPr/>
      </w:r>
      <w:hyperlink w:history="true" w:anchor="_bookmark38">
        <w:r>
          <w:rPr>
            <w:color w:val="005DA1"/>
            <w:spacing w:val="-5"/>
            <w:position w:val="5"/>
            <w:sz w:val="14"/>
            <w:u w:val="single" w:color="005DA1"/>
          </w:rPr>
          <w:t>41</w:t>
        </w:r>
      </w:hyperlink>
      <w:r>
        <w:rPr>
          <w:spacing w:val="-5"/>
          <w:position w:val="5"/>
          <w:sz w:val="14"/>
        </w:rPr>
        <w:t>.</w:t>
      </w:r>
      <w:r>
        <w:rPr>
          <w:position w:val="5"/>
          <w:sz w:val="14"/>
        </w:rPr>
        <w:tab/>
      </w:r>
      <w:r>
        <w:rPr>
          <w:sz w:val="20"/>
        </w:rPr>
        <w:t>But</w:t>
      </w:r>
      <w:r>
        <w:rPr>
          <w:spacing w:val="6"/>
          <w:sz w:val="20"/>
        </w:rPr>
        <w:t> </w:t>
      </w:r>
      <w:r>
        <w:rPr>
          <w:sz w:val="20"/>
        </w:rPr>
        <w:t>in</w:t>
      </w:r>
      <w:r>
        <w:rPr>
          <w:spacing w:val="7"/>
          <w:sz w:val="20"/>
        </w:rPr>
        <w:t> </w:t>
      </w:r>
      <w:r>
        <w:rPr>
          <w:rFonts w:ascii="Arial"/>
          <w:i/>
          <w:sz w:val="20"/>
        </w:rPr>
        <w:t>Morris</w:t>
      </w:r>
      <w:r>
        <w:rPr>
          <w:rFonts w:ascii="Arial"/>
          <w:i/>
          <w:spacing w:val="7"/>
          <w:sz w:val="20"/>
        </w:rPr>
        <w:t> </w:t>
      </w:r>
      <w:r>
        <w:rPr>
          <w:rFonts w:ascii="Arial"/>
          <w:i/>
          <w:sz w:val="20"/>
        </w:rPr>
        <w:t>v</w:t>
      </w:r>
      <w:r>
        <w:rPr>
          <w:rFonts w:ascii="Arial"/>
          <w:i/>
          <w:spacing w:val="7"/>
          <w:sz w:val="20"/>
        </w:rPr>
        <w:t> </w:t>
      </w:r>
      <w:r>
        <w:rPr>
          <w:rFonts w:ascii="Arial"/>
          <w:i/>
          <w:sz w:val="20"/>
        </w:rPr>
        <w:t>Wentworth-Stanley</w:t>
      </w:r>
      <w:r>
        <w:rPr>
          <w:rFonts w:ascii="Arial"/>
          <w:i/>
          <w:spacing w:val="7"/>
          <w:sz w:val="20"/>
        </w:rPr>
        <w:t> </w:t>
      </w:r>
      <w:r>
        <w:rPr>
          <w:rFonts w:ascii="Arial"/>
          <w:i/>
          <w:sz w:val="20"/>
        </w:rPr>
        <w:t>[1999]</w:t>
      </w:r>
      <w:r>
        <w:rPr>
          <w:rFonts w:ascii="Arial"/>
          <w:i/>
          <w:spacing w:val="7"/>
          <w:sz w:val="20"/>
        </w:rPr>
        <w:t> </w:t>
      </w:r>
      <w:r>
        <w:rPr>
          <w:rFonts w:ascii="Arial"/>
          <w:i/>
          <w:sz w:val="20"/>
        </w:rPr>
        <w:t>2</w:t>
      </w:r>
      <w:r>
        <w:rPr>
          <w:rFonts w:ascii="Arial"/>
          <w:i/>
          <w:spacing w:val="7"/>
          <w:sz w:val="20"/>
        </w:rPr>
        <w:t> </w:t>
      </w:r>
      <w:r>
        <w:rPr>
          <w:rFonts w:ascii="Arial"/>
          <w:i/>
          <w:sz w:val="20"/>
        </w:rPr>
        <w:t>W.L.R.</w:t>
      </w:r>
      <w:r>
        <w:rPr>
          <w:rFonts w:ascii="Arial"/>
          <w:i/>
          <w:spacing w:val="7"/>
          <w:sz w:val="20"/>
        </w:rPr>
        <w:t> </w:t>
      </w:r>
      <w:r>
        <w:rPr>
          <w:rFonts w:ascii="Arial"/>
          <w:i/>
          <w:sz w:val="20"/>
        </w:rPr>
        <w:t>470</w:t>
      </w:r>
      <w:r>
        <w:rPr>
          <w:sz w:val="20"/>
        </w:rPr>
        <w:t>,</w:t>
      </w:r>
      <w:r>
        <w:rPr>
          <w:spacing w:val="7"/>
          <w:sz w:val="20"/>
        </w:rPr>
        <w:t> </w:t>
      </w:r>
      <w:r>
        <w:rPr>
          <w:sz w:val="20"/>
        </w:rPr>
        <w:t>it</w:t>
      </w:r>
      <w:r>
        <w:rPr>
          <w:spacing w:val="7"/>
          <w:sz w:val="20"/>
        </w:rPr>
        <w:t> </w:t>
      </w:r>
      <w:r>
        <w:rPr>
          <w:sz w:val="20"/>
        </w:rPr>
        <w:t>was</w:t>
      </w:r>
      <w:r>
        <w:rPr>
          <w:spacing w:val="7"/>
          <w:sz w:val="20"/>
        </w:rPr>
        <w:t> </w:t>
      </w:r>
      <w:r>
        <w:rPr>
          <w:sz w:val="20"/>
        </w:rPr>
        <w:t>held</w:t>
      </w:r>
      <w:r>
        <w:rPr>
          <w:spacing w:val="7"/>
          <w:sz w:val="20"/>
        </w:rPr>
        <w:t> </w:t>
      </w:r>
      <w:r>
        <w:rPr>
          <w:sz w:val="20"/>
        </w:rPr>
        <w:t>by</w:t>
      </w:r>
      <w:r>
        <w:rPr>
          <w:spacing w:val="7"/>
          <w:sz w:val="20"/>
        </w:rPr>
        <w:t> </w:t>
      </w:r>
      <w:r>
        <w:rPr>
          <w:sz w:val="20"/>
        </w:rPr>
        <w:t>the</w:t>
      </w:r>
      <w:r>
        <w:rPr>
          <w:spacing w:val="7"/>
          <w:sz w:val="20"/>
        </w:rPr>
        <w:t> </w:t>
      </w:r>
      <w:r>
        <w:rPr>
          <w:sz w:val="20"/>
        </w:rPr>
        <w:t>Court</w:t>
      </w:r>
      <w:r>
        <w:rPr>
          <w:spacing w:val="7"/>
          <w:sz w:val="20"/>
        </w:rPr>
        <w:t> </w:t>
      </w:r>
      <w:r>
        <w:rPr>
          <w:sz w:val="20"/>
        </w:rPr>
        <w:t>of</w:t>
      </w:r>
      <w:r>
        <w:rPr>
          <w:spacing w:val="7"/>
          <w:sz w:val="20"/>
        </w:rPr>
        <w:t> </w:t>
      </w:r>
      <w:r>
        <w:rPr>
          <w:sz w:val="20"/>
        </w:rPr>
        <w:t>Appeal</w:t>
      </w:r>
      <w:r>
        <w:rPr>
          <w:spacing w:val="7"/>
          <w:sz w:val="20"/>
        </w:rPr>
        <w:t> </w:t>
      </w:r>
      <w:r>
        <w:rPr>
          <w:spacing w:val="-4"/>
          <w:sz w:val="20"/>
        </w:rPr>
        <w:t>that</w:t>
      </w:r>
    </w:p>
    <w:p>
      <w:pPr>
        <w:pStyle w:val="BodyText"/>
        <w:spacing w:line="235" w:lineRule="auto" w:before="1"/>
        <w:ind w:left="563" w:right="25"/>
        <w:jc w:val="both"/>
      </w:pPr>
      <w:r>
        <w:rPr/>
        <w:t>s.3</w:t>
      </w:r>
      <w:r>
        <w:rPr>
          <w:spacing w:val="-1"/>
        </w:rPr>
        <w:t> </w:t>
      </w:r>
      <w:r>
        <w:rPr/>
        <w:t>of</w:t>
      </w:r>
      <w:r>
        <w:rPr>
          <w:spacing w:val="-1"/>
        </w:rPr>
        <w:t> </w:t>
      </w:r>
      <w:r>
        <w:rPr/>
        <w:t>the</w:t>
      </w:r>
      <w:r>
        <w:rPr>
          <w:spacing w:val="-1"/>
        </w:rPr>
        <w:t> </w:t>
      </w:r>
      <w:r>
        <w:rPr/>
        <w:t>Civil</w:t>
      </w:r>
      <w:r>
        <w:rPr>
          <w:spacing w:val="-1"/>
        </w:rPr>
        <w:t> </w:t>
      </w:r>
      <w:r>
        <w:rPr/>
        <w:t>Liability</w:t>
      </w:r>
      <w:r>
        <w:rPr>
          <w:spacing w:val="-1"/>
        </w:rPr>
        <w:t> </w:t>
      </w:r>
      <w:r>
        <w:rPr/>
        <w:t>(Contribution)</w:t>
      </w:r>
      <w:r>
        <w:rPr>
          <w:spacing w:val="-1"/>
        </w:rPr>
        <w:t> </w:t>
      </w:r>
      <w:r>
        <w:rPr/>
        <w:t>Act</w:t>
      </w:r>
      <w:r>
        <w:rPr>
          <w:spacing w:val="-1"/>
        </w:rPr>
        <w:t> </w:t>
      </w:r>
      <w:r>
        <w:rPr/>
        <w:t>1978</w:t>
      </w:r>
      <w:r>
        <w:rPr>
          <w:spacing w:val="-1"/>
        </w:rPr>
        <w:t> </w:t>
      </w:r>
      <w:r>
        <w:rPr/>
        <w:t>did</w:t>
      </w:r>
      <w:r>
        <w:rPr>
          <w:spacing w:val="-1"/>
        </w:rPr>
        <w:t> </w:t>
      </w:r>
      <w:r>
        <w:rPr/>
        <w:t>not</w:t>
      </w:r>
      <w:r>
        <w:rPr>
          <w:spacing w:val="-1"/>
        </w:rPr>
        <w:t> </w:t>
      </w:r>
      <w:r>
        <w:rPr/>
        <w:t>apply</w:t>
      </w:r>
      <w:r>
        <w:rPr>
          <w:spacing w:val="-1"/>
        </w:rPr>
        <w:t> </w:t>
      </w:r>
      <w:r>
        <w:rPr/>
        <w:t>to</w:t>
      </w:r>
      <w:r>
        <w:rPr>
          <w:spacing w:val="-1"/>
        </w:rPr>
        <w:t> </w:t>
      </w:r>
      <w:r>
        <w:rPr/>
        <w:t>a</w:t>
      </w:r>
      <w:r>
        <w:rPr>
          <w:spacing w:val="-1"/>
        </w:rPr>
        <w:t> </w:t>
      </w:r>
      <w:r>
        <w:rPr/>
        <w:t>judgment</w:t>
      </w:r>
      <w:r>
        <w:rPr>
          <w:spacing w:val="-1"/>
        </w:rPr>
        <w:t> </w:t>
      </w:r>
      <w:r>
        <w:rPr/>
        <w:t>obtained</w:t>
      </w:r>
      <w:r>
        <w:rPr>
          <w:spacing w:val="-1"/>
        </w:rPr>
        <w:t> </w:t>
      </w:r>
      <w:r>
        <w:rPr/>
        <w:t>by</w:t>
      </w:r>
      <w:r>
        <w:rPr>
          <w:spacing w:val="-1"/>
        </w:rPr>
        <w:t> </w:t>
      </w:r>
      <w:r>
        <w:rPr/>
        <w:t>consent: that judgment embodied an accord and satisfaction and the applicable rule was that an accord and satisfaction with one joint debtor released other joint debtors.</w:t>
      </w:r>
    </w:p>
    <w:p>
      <w:pPr>
        <w:pStyle w:val="BodyText"/>
        <w:spacing w:before="9"/>
      </w:pPr>
    </w:p>
    <w:p>
      <w:pPr>
        <w:pStyle w:val="BodyText"/>
        <w:spacing w:line="235" w:lineRule="auto"/>
        <w:ind w:left="563" w:right="25" w:hanging="541"/>
        <w:jc w:val="both"/>
      </w:pPr>
      <w:bookmarkStart w:name="_bookmark135" w:id="137"/>
      <w:bookmarkEnd w:id="137"/>
      <w:r>
        <w:rPr/>
      </w:r>
      <w:hyperlink w:history="true" w:anchor="_bookmark39">
        <w:r>
          <w:rPr>
            <w:color w:val="005DA1"/>
            <w:position w:val="5"/>
            <w:sz w:val="14"/>
            <w:u w:val="single" w:color="005DA1"/>
          </w:rPr>
          <w:t>42</w:t>
        </w:r>
      </w:hyperlink>
      <w:r>
        <w:rPr>
          <w:position w:val="5"/>
          <w:sz w:val="14"/>
        </w:rPr>
        <w:t>.</w:t>
      </w:r>
      <w:r>
        <w:rPr>
          <w:spacing w:val="80"/>
          <w:position w:val="5"/>
          <w:sz w:val="14"/>
        </w:rPr>
        <w:t>  </w:t>
      </w:r>
      <w:r>
        <w:rPr/>
        <w:t>It has been said that s.3 applies only to judicial determinations and not to arbitral awards: </w:t>
      </w:r>
      <w:r>
        <w:rPr>
          <w:rFonts w:ascii="Arial" w:hAnsi="Arial"/>
          <w:i/>
        </w:rPr>
        <w:t>The Argo Hellas [1984] 1 Lloyd’s Rep. 296, 304</w:t>
      </w:r>
      <w:r>
        <w:rPr/>
        <w:t>. Section 3 of the 1978 Act replaced s.6 of the </w:t>
      </w:r>
      <w:r>
        <w:rPr/>
        <w:t>Law Reform (Married Women and Tortfeasors) Act 1935, which abolished the “merger” doctrine in respect of joint tortfeasors only. By s.4 of the 1978 Act, if more than one action is brought in respect of the same damage, the claimant is to be deprived of his costs unless the court is of the opinion that there was reasonable ground for bringing the action.</w:t>
      </w:r>
    </w:p>
    <w:p>
      <w:pPr>
        <w:pStyle w:val="BodyText"/>
        <w:spacing w:before="4"/>
      </w:pPr>
    </w:p>
    <w:p>
      <w:pPr>
        <w:tabs>
          <w:tab w:pos="563" w:val="left" w:leader="none"/>
        </w:tabs>
        <w:spacing w:line="227" w:lineRule="exact" w:before="0"/>
        <w:ind w:left="23" w:right="0" w:firstLine="0"/>
        <w:jc w:val="left"/>
        <w:rPr>
          <w:rFonts w:ascii="Arial"/>
          <w:i/>
          <w:sz w:val="20"/>
        </w:rPr>
      </w:pPr>
      <w:bookmarkStart w:name="_bookmark136" w:id="138"/>
      <w:bookmarkEnd w:id="138"/>
      <w:r>
        <w:rPr/>
      </w:r>
      <w:hyperlink w:history="true" w:anchor="_bookmark40">
        <w:r>
          <w:rPr>
            <w:color w:val="005DA1"/>
            <w:spacing w:val="-5"/>
            <w:position w:val="5"/>
            <w:sz w:val="14"/>
            <w:u w:val="single" w:color="005DA1"/>
          </w:rPr>
          <w:t>43</w:t>
        </w:r>
      </w:hyperlink>
      <w:r>
        <w:rPr>
          <w:spacing w:val="-5"/>
          <w:position w:val="5"/>
          <w:sz w:val="14"/>
        </w:rPr>
        <w:t>.</w:t>
      </w:r>
      <w:r>
        <w:rPr>
          <w:position w:val="5"/>
          <w:sz w:val="14"/>
        </w:rPr>
        <w:tab/>
      </w:r>
      <w:r>
        <w:rPr>
          <w:rFonts w:ascii="Arial"/>
          <w:i/>
          <w:sz w:val="20"/>
        </w:rPr>
        <w:t>Lechmere</w:t>
      </w:r>
      <w:r>
        <w:rPr>
          <w:rFonts w:ascii="Arial"/>
          <w:i/>
          <w:spacing w:val="9"/>
          <w:sz w:val="20"/>
        </w:rPr>
        <w:t> </w:t>
      </w:r>
      <w:r>
        <w:rPr>
          <w:rFonts w:ascii="Arial"/>
          <w:i/>
          <w:sz w:val="20"/>
        </w:rPr>
        <w:t>v</w:t>
      </w:r>
      <w:r>
        <w:rPr>
          <w:rFonts w:ascii="Arial"/>
          <w:i/>
          <w:spacing w:val="12"/>
          <w:sz w:val="20"/>
        </w:rPr>
        <w:t> </w:t>
      </w:r>
      <w:r>
        <w:rPr>
          <w:rFonts w:ascii="Arial"/>
          <w:i/>
          <w:sz w:val="20"/>
        </w:rPr>
        <w:t>Fletcher</w:t>
      </w:r>
      <w:r>
        <w:rPr>
          <w:rFonts w:ascii="Arial"/>
          <w:i/>
          <w:spacing w:val="12"/>
          <w:sz w:val="20"/>
        </w:rPr>
        <w:t> </w:t>
      </w:r>
      <w:r>
        <w:rPr>
          <w:rFonts w:ascii="Arial"/>
          <w:i/>
          <w:sz w:val="20"/>
        </w:rPr>
        <w:t>(1833)</w:t>
      </w:r>
      <w:r>
        <w:rPr>
          <w:rFonts w:ascii="Arial"/>
          <w:i/>
          <w:spacing w:val="12"/>
          <w:sz w:val="20"/>
        </w:rPr>
        <w:t> </w:t>
      </w:r>
      <w:r>
        <w:rPr>
          <w:rFonts w:ascii="Arial"/>
          <w:i/>
          <w:sz w:val="20"/>
        </w:rPr>
        <w:t>1</w:t>
      </w:r>
      <w:r>
        <w:rPr>
          <w:rFonts w:ascii="Arial"/>
          <w:i/>
          <w:spacing w:val="12"/>
          <w:sz w:val="20"/>
        </w:rPr>
        <w:t> </w:t>
      </w:r>
      <w:r>
        <w:rPr>
          <w:rFonts w:ascii="Arial"/>
          <w:i/>
          <w:sz w:val="20"/>
        </w:rPr>
        <w:t>C.</w:t>
      </w:r>
      <w:r>
        <w:rPr>
          <w:rFonts w:ascii="Arial"/>
          <w:i/>
          <w:spacing w:val="12"/>
          <w:sz w:val="20"/>
        </w:rPr>
        <w:t> </w:t>
      </w:r>
      <w:r>
        <w:rPr>
          <w:rFonts w:ascii="Arial"/>
          <w:i/>
          <w:sz w:val="20"/>
        </w:rPr>
        <w:t>&amp;</w:t>
      </w:r>
      <w:r>
        <w:rPr>
          <w:rFonts w:ascii="Arial"/>
          <w:i/>
          <w:spacing w:val="12"/>
          <w:sz w:val="20"/>
        </w:rPr>
        <w:t> </w:t>
      </w:r>
      <w:r>
        <w:rPr>
          <w:rFonts w:ascii="Arial"/>
          <w:i/>
          <w:sz w:val="20"/>
        </w:rPr>
        <w:t>M.</w:t>
      </w:r>
      <w:r>
        <w:rPr>
          <w:rFonts w:ascii="Arial"/>
          <w:i/>
          <w:spacing w:val="12"/>
          <w:sz w:val="20"/>
        </w:rPr>
        <w:t> </w:t>
      </w:r>
      <w:r>
        <w:rPr>
          <w:rFonts w:ascii="Arial"/>
          <w:i/>
          <w:sz w:val="20"/>
        </w:rPr>
        <w:t>623</w:t>
      </w:r>
      <w:r>
        <w:rPr>
          <w:sz w:val="20"/>
        </w:rPr>
        <w:t>;</w:t>
      </w:r>
      <w:r>
        <w:rPr>
          <w:spacing w:val="12"/>
          <w:sz w:val="20"/>
        </w:rPr>
        <w:t> </w:t>
      </w:r>
      <w:r>
        <w:rPr>
          <w:rFonts w:ascii="Arial"/>
          <w:i/>
          <w:sz w:val="20"/>
        </w:rPr>
        <w:t>King</w:t>
      </w:r>
      <w:r>
        <w:rPr>
          <w:rFonts w:ascii="Arial"/>
          <w:i/>
          <w:spacing w:val="12"/>
          <w:sz w:val="20"/>
        </w:rPr>
        <w:t> </w:t>
      </w:r>
      <w:r>
        <w:rPr>
          <w:rFonts w:ascii="Arial"/>
          <w:i/>
          <w:sz w:val="20"/>
        </w:rPr>
        <w:t>v</w:t>
      </w:r>
      <w:r>
        <w:rPr>
          <w:rFonts w:ascii="Arial"/>
          <w:i/>
          <w:spacing w:val="11"/>
          <w:sz w:val="20"/>
        </w:rPr>
        <w:t> </w:t>
      </w:r>
      <w:r>
        <w:rPr>
          <w:rFonts w:ascii="Arial"/>
          <w:i/>
          <w:sz w:val="20"/>
        </w:rPr>
        <w:t>Hoare</w:t>
      </w:r>
      <w:r>
        <w:rPr>
          <w:rFonts w:ascii="Arial"/>
          <w:i/>
          <w:spacing w:val="12"/>
          <w:sz w:val="20"/>
        </w:rPr>
        <w:t> </w:t>
      </w:r>
      <w:r>
        <w:rPr>
          <w:rFonts w:ascii="Arial"/>
          <w:i/>
          <w:sz w:val="20"/>
        </w:rPr>
        <w:t>(1844)</w:t>
      </w:r>
      <w:r>
        <w:rPr>
          <w:rFonts w:ascii="Arial"/>
          <w:i/>
          <w:spacing w:val="12"/>
          <w:sz w:val="20"/>
        </w:rPr>
        <w:t> </w:t>
      </w:r>
      <w:r>
        <w:rPr>
          <w:rFonts w:ascii="Arial"/>
          <w:i/>
          <w:sz w:val="20"/>
        </w:rPr>
        <w:t>13</w:t>
      </w:r>
      <w:r>
        <w:rPr>
          <w:rFonts w:ascii="Arial"/>
          <w:i/>
          <w:spacing w:val="12"/>
          <w:sz w:val="20"/>
        </w:rPr>
        <w:t> </w:t>
      </w:r>
      <w:r>
        <w:rPr>
          <w:rFonts w:ascii="Arial"/>
          <w:i/>
          <w:sz w:val="20"/>
        </w:rPr>
        <w:t>M.</w:t>
      </w:r>
      <w:r>
        <w:rPr>
          <w:rFonts w:ascii="Arial"/>
          <w:i/>
          <w:spacing w:val="12"/>
          <w:sz w:val="20"/>
        </w:rPr>
        <w:t> </w:t>
      </w:r>
      <w:r>
        <w:rPr>
          <w:rFonts w:ascii="Arial"/>
          <w:i/>
          <w:sz w:val="20"/>
        </w:rPr>
        <w:t>&amp;</w:t>
      </w:r>
      <w:r>
        <w:rPr>
          <w:rFonts w:ascii="Arial"/>
          <w:i/>
          <w:spacing w:val="12"/>
          <w:sz w:val="20"/>
        </w:rPr>
        <w:t> </w:t>
      </w:r>
      <w:r>
        <w:rPr>
          <w:rFonts w:ascii="Arial"/>
          <w:i/>
          <w:sz w:val="20"/>
        </w:rPr>
        <w:t>W.</w:t>
      </w:r>
      <w:r>
        <w:rPr>
          <w:rFonts w:ascii="Arial"/>
          <w:i/>
          <w:spacing w:val="12"/>
          <w:sz w:val="20"/>
        </w:rPr>
        <w:t> </w:t>
      </w:r>
      <w:r>
        <w:rPr>
          <w:rFonts w:ascii="Arial"/>
          <w:i/>
          <w:sz w:val="20"/>
        </w:rPr>
        <w:t>494,</w:t>
      </w:r>
      <w:r>
        <w:rPr>
          <w:rFonts w:ascii="Arial"/>
          <w:i/>
          <w:spacing w:val="12"/>
          <w:sz w:val="20"/>
        </w:rPr>
        <w:t> </w:t>
      </w:r>
      <w:r>
        <w:rPr>
          <w:rFonts w:ascii="Arial"/>
          <w:i/>
          <w:sz w:val="20"/>
        </w:rPr>
        <w:t>505</w:t>
      </w:r>
      <w:r>
        <w:rPr>
          <w:sz w:val="20"/>
        </w:rPr>
        <w:t>;</w:t>
      </w:r>
      <w:r>
        <w:rPr>
          <w:spacing w:val="12"/>
          <w:sz w:val="20"/>
        </w:rPr>
        <w:t> </w:t>
      </w:r>
      <w:r>
        <w:rPr>
          <w:rFonts w:ascii="Arial"/>
          <w:i/>
          <w:sz w:val="20"/>
        </w:rPr>
        <w:t>Blyth</w:t>
      </w:r>
      <w:r>
        <w:rPr>
          <w:rFonts w:ascii="Arial"/>
          <w:i/>
          <w:spacing w:val="12"/>
          <w:sz w:val="20"/>
        </w:rPr>
        <w:t> </w:t>
      </w:r>
      <w:r>
        <w:rPr>
          <w:rFonts w:ascii="Arial"/>
          <w:i/>
          <w:spacing w:val="-10"/>
          <w:sz w:val="20"/>
        </w:rPr>
        <w:t>v</w:t>
      </w:r>
    </w:p>
    <w:p>
      <w:pPr>
        <w:spacing w:line="227" w:lineRule="exact" w:before="0"/>
        <w:ind w:left="563" w:right="0" w:firstLine="0"/>
        <w:jc w:val="left"/>
        <w:rPr>
          <w:sz w:val="20"/>
        </w:rPr>
      </w:pPr>
      <w:r>
        <w:rPr>
          <w:rFonts w:ascii="Arial"/>
          <w:i/>
          <w:sz w:val="20"/>
        </w:rPr>
        <w:t>Fladgate [1891] 1 Ch. 337, </w:t>
      </w:r>
      <w:r>
        <w:rPr>
          <w:rFonts w:ascii="Arial"/>
          <w:i/>
          <w:spacing w:val="-4"/>
          <w:sz w:val="20"/>
        </w:rPr>
        <w:t>353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37" w:id="139"/>
      <w:bookmarkEnd w:id="139"/>
      <w:r>
        <w:rPr/>
      </w:r>
      <w:hyperlink w:history="true" w:anchor="_bookmark41">
        <w:r>
          <w:rPr>
            <w:color w:val="005DA1"/>
            <w:spacing w:val="-5"/>
            <w:position w:val="5"/>
            <w:sz w:val="14"/>
            <w:u w:val="single" w:color="005DA1"/>
          </w:rPr>
          <w:t>44</w:t>
        </w:r>
      </w:hyperlink>
      <w:r>
        <w:rPr>
          <w:spacing w:val="-5"/>
          <w:position w:val="5"/>
          <w:sz w:val="14"/>
        </w:rPr>
        <w:t>.</w:t>
      </w:r>
      <w:r>
        <w:rPr>
          <w:position w:val="5"/>
          <w:sz w:val="14"/>
        </w:rPr>
        <w:tab/>
      </w:r>
      <w:r>
        <w:rPr>
          <w:rFonts w:ascii="Arial"/>
          <w:i/>
          <w:sz w:val="20"/>
        </w:rPr>
        <w:t>Re Davison Ex p. Chandler (1884) 13 Q.B.D. </w:t>
      </w:r>
      <w:r>
        <w:rPr>
          <w:rFonts w:ascii="Arial"/>
          <w:i/>
          <w:spacing w:val="-5"/>
          <w:sz w:val="20"/>
        </w:rPr>
        <w:t>50</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138" w:id="140"/>
      <w:bookmarkEnd w:id="140"/>
      <w:r>
        <w:rPr/>
      </w:r>
      <w:hyperlink w:history="true" w:anchor="_bookmark42">
        <w:r>
          <w:rPr>
            <w:color w:val="005DA1"/>
            <w:spacing w:val="-5"/>
            <w:position w:val="5"/>
            <w:sz w:val="14"/>
            <w:u w:val="single" w:color="005DA1"/>
          </w:rPr>
          <w:t>45</w:t>
        </w:r>
      </w:hyperlink>
      <w:r>
        <w:rPr>
          <w:spacing w:val="-5"/>
          <w:position w:val="5"/>
          <w:sz w:val="14"/>
        </w:rPr>
        <w:t>.</w:t>
      </w:r>
      <w:r>
        <w:rPr>
          <w:position w:val="5"/>
          <w:sz w:val="14"/>
        </w:rPr>
        <w:tab/>
      </w:r>
      <w:r>
        <w:rPr>
          <w:rFonts w:ascii="Arial"/>
          <w:i/>
          <w:sz w:val="20"/>
        </w:rPr>
        <w:t>(1884) 13 Q.B.D. 50, </w:t>
      </w:r>
      <w:r>
        <w:rPr>
          <w:rFonts w:ascii="Arial"/>
          <w:i/>
          <w:spacing w:val="-5"/>
          <w:sz w:val="20"/>
        </w:rPr>
        <w:t>53</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139" w:id="141"/>
      <w:bookmarkEnd w:id="141"/>
      <w:r>
        <w:rPr/>
      </w:r>
      <w:hyperlink w:history="true" w:anchor="_bookmark43">
        <w:r>
          <w:rPr>
            <w:color w:val="005DA1"/>
            <w:spacing w:val="-5"/>
            <w:position w:val="5"/>
            <w:sz w:val="14"/>
            <w:u w:val="single" w:color="005DA1"/>
          </w:rPr>
          <w:t>46</w:t>
        </w:r>
      </w:hyperlink>
      <w:r>
        <w:rPr>
          <w:spacing w:val="-5"/>
          <w:position w:val="5"/>
          <w:sz w:val="14"/>
        </w:rPr>
        <w:t>.</w:t>
      </w:r>
      <w:r>
        <w:rPr>
          <w:position w:val="5"/>
          <w:sz w:val="14"/>
        </w:rPr>
        <w:tab/>
      </w:r>
      <w:r>
        <w:rPr>
          <w:sz w:val="20"/>
        </w:rPr>
        <w:t>Williams,</w:t>
      </w:r>
      <w:r>
        <w:rPr>
          <w:spacing w:val="-3"/>
          <w:sz w:val="20"/>
        </w:rPr>
        <w:t> </w:t>
      </w:r>
      <w:r>
        <w:rPr>
          <w:rFonts w:ascii="Arial"/>
          <w:i/>
          <w:sz w:val="20"/>
        </w:rPr>
        <w:t>Joint Obligations</w:t>
      </w:r>
      <w:r>
        <w:rPr>
          <w:rFonts w:ascii="Arial"/>
          <w:i/>
          <w:spacing w:val="-1"/>
          <w:sz w:val="20"/>
        </w:rPr>
        <w:t> </w:t>
      </w:r>
      <w:r>
        <w:rPr>
          <w:sz w:val="20"/>
        </w:rPr>
        <w:t>(1949), </w:t>
      </w:r>
      <w:r>
        <w:rPr>
          <w:spacing w:val="-2"/>
          <w:sz w:val="20"/>
        </w:rPr>
        <w:t>para.50.</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40" w:id="142"/>
      <w:bookmarkEnd w:id="142"/>
      <w:r>
        <w:rPr/>
      </w:r>
      <w:hyperlink w:history="true" w:anchor="_bookmark43">
        <w:r>
          <w:rPr>
            <w:color w:val="005DA1"/>
            <w:spacing w:val="-5"/>
            <w:position w:val="5"/>
            <w:sz w:val="14"/>
            <w:u w:val="single" w:color="005DA1"/>
          </w:rPr>
          <w:t>47</w:t>
        </w:r>
      </w:hyperlink>
      <w:r>
        <w:rPr>
          <w:spacing w:val="-5"/>
          <w:position w:val="5"/>
          <w:sz w:val="14"/>
        </w:rPr>
        <w:t>.</w:t>
      </w:r>
      <w:r>
        <w:rPr>
          <w:position w:val="5"/>
          <w:sz w:val="14"/>
        </w:rPr>
        <w:tab/>
      </w:r>
      <w:r>
        <w:rPr>
          <w:rFonts w:ascii="Arial"/>
          <w:i/>
          <w:sz w:val="20"/>
        </w:rPr>
        <w:t>Nicholson</w:t>
      </w:r>
      <w:r>
        <w:rPr>
          <w:rFonts w:ascii="Arial"/>
          <w:i/>
          <w:spacing w:val="69"/>
          <w:w w:val="150"/>
          <w:sz w:val="20"/>
        </w:rPr>
        <w:t> </w:t>
      </w:r>
      <w:r>
        <w:rPr>
          <w:rFonts w:ascii="Arial"/>
          <w:i/>
          <w:sz w:val="20"/>
        </w:rPr>
        <w:t>v</w:t>
      </w:r>
      <w:r>
        <w:rPr>
          <w:rFonts w:ascii="Arial"/>
          <w:i/>
          <w:spacing w:val="69"/>
          <w:w w:val="150"/>
          <w:sz w:val="20"/>
        </w:rPr>
        <w:t> </w:t>
      </w:r>
      <w:r>
        <w:rPr>
          <w:rFonts w:ascii="Arial"/>
          <w:i/>
          <w:sz w:val="20"/>
        </w:rPr>
        <w:t>Revill</w:t>
      </w:r>
      <w:r>
        <w:rPr>
          <w:rFonts w:ascii="Arial"/>
          <w:i/>
          <w:spacing w:val="69"/>
          <w:w w:val="150"/>
          <w:sz w:val="20"/>
        </w:rPr>
        <w:t> </w:t>
      </w:r>
      <w:r>
        <w:rPr>
          <w:rFonts w:ascii="Arial"/>
          <w:i/>
          <w:sz w:val="20"/>
        </w:rPr>
        <w:t>(1836)</w:t>
      </w:r>
      <w:r>
        <w:rPr>
          <w:rFonts w:ascii="Arial"/>
          <w:i/>
          <w:spacing w:val="69"/>
          <w:w w:val="150"/>
          <w:sz w:val="20"/>
        </w:rPr>
        <w:t> </w:t>
      </w:r>
      <w:r>
        <w:rPr>
          <w:rFonts w:ascii="Arial"/>
          <w:i/>
          <w:sz w:val="20"/>
        </w:rPr>
        <w:t>4</w:t>
      </w:r>
      <w:r>
        <w:rPr>
          <w:rFonts w:ascii="Arial"/>
          <w:i/>
          <w:spacing w:val="69"/>
          <w:w w:val="150"/>
          <w:sz w:val="20"/>
        </w:rPr>
        <w:t> </w:t>
      </w:r>
      <w:r>
        <w:rPr>
          <w:rFonts w:ascii="Arial"/>
          <w:i/>
          <w:sz w:val="20"/>
        </w:rPr>
        <w:t>A.</w:t>
      </w:r>
      <w:r>
        <w:rPr>
          <w:rFonts w:ascii="Arial"/>
          <w:i/>
          <w:spacing w:val="69"/>
          <w:w w:val="150"/>
          <w:sz w:val="20"/>
        </w:rPr>
        <w:t> </w:t>
      </w:r>
      <w:r>
        <w:rPr>
          <w:rFonts w:ascii="Arial"/>
          <w:i/>
          <w:sz w:val="20"/>
        </w:rPr>
        <w:t>&amp;</w:t>
      </w:r>
      <w:r>
        <w:rPr>
          <w:rFonts w:ascii="Arial"/>
          <w:i/>
          <w:spacing w:val="69"/>
          <w:w w:val="150"/>
          <w:sz w:val="20"/>
        </w:rPr>
        <w:t> </w:t>
      </w:r>
      <w:r>
        <w:rPr>
          <w:rFonts w:ascii="Arial"/>
          <w:i/>
          <w:sz w:val="20"/>
        </w:rPr>
        <w:t>E.</w:t>
      </w:r>
      <w:r>
        <w:rPr>
          <w:rFonts w:ascii="Arial"/>
          <w:i/>
          <w:spacing w:val="69"/>
          <w:w w:val="150"/>
          <w:sz w:val="20"/>
        </w:rPr>
        <w:t> </w:t>
      </w:r>
      <w:r>
        <w:rPr>
          <w:rFonts w:ascii="Arial"/>
          <w:i/>
          <w:sz w:val="20"/>
        </w:rPr>
        <w:t>675</w:t>
      </w:r>
      <w:r>
        <w:rPr>
          <w:sz w:val="20"/>
        </w:rPr>
        <w:t>;</w:t>
      </w:r>
      <w:r>
        <w:rPr>
          <w:spacing w:val="69"/>
          <w:w w:val="150"/>
          <w:sz w:val="20"/>
        </w:rPr>
        <w:t> </w:t>
      </w:r>
      <w:r>
        <w:rPr>
          <w:rFonts w:ascii="Arial"/>
          <w:i/>
          <w:sz w:val="20"/>
        </w:rPr>
        <w:t>Re</w:t>
      </w:r>
      <w:r>
        <w:rPr>
          <w:rFonts w:ascii="Arial"/>
          <w:i/>
          <w:spacing w:val="69"/>
          <w:w w:val="150"/>
          <w:sz w:val="20"/>
        </w:rPr>
        <w:t> </w:t>
      </w:r>
      <w:r>
        <w:rPr>
          <w:rFonts w:ascii="Arial"/>
          <w:i/>
          <w:sz w:val="20"/>
        </w:rPr>
        <w:t>E.W.A.</w:t>
      </w:r>
      <w:r>
        <w:rPr>
          <w:rFonts w:ascii="Arial"/>
          <w:i/>
          <w:spacing w:val="70"/>
          <w:w w:val="150"/>
          <w:sz w:val="20"/>
        </w:rPr>
        <w:t> </w:t>
      </w:r>
      <w:r>
        <w:rPr>
          <w:rFonts w:ascii="Arial"/>
          <w:i/>
          <w:sz w:val="20"/>
        </w:rPr>
        <w:t>[1901]</w:t>
      </w:r>
      <w:r>
        <w:rPr>
          <w:rFonts w:ascii="Arial"/>
          <w:i/>
          <w:spacing w:val="69"/>
          <w:w w:val="150"/>
          <w:sz w:val="20"/>
        </w:rPr>
        <w:t> </w:t>
      </w:r>
      <w:r>
        <w:rPr>
          <w:rFonts w:ascii="Arial"/>
          <w:i/>
          <w:sz w:val="20"/>
        </w:rPr>
        <w:t>2</w:t>
      </w:r>
      <w:r>
        <w:rPr>
          <w:rFonts w:ascii="Arial"/>
          <w:i/>
          <w:spacing w:val="69"/>
          <w:w w:val="150"/>
          <w:sz w:val="20"/>
        </w:rPr>
        <w:t> </w:t>
      </w:r>
      <w:r>
        <w:rPr>
          <w:rFonts w:ascii="Arial"/>
          <w:i/>
          <w:sz w:val="20"/>
        </w:rPr>
        <w:t>K.B.</w:t>
      </w:r>
      <w:r>
        <w:rPr>
          <w:rFonts w:ascii="Arial"/>
          <w:i/>
          <w:spacing w:val="69"/>
          <w:w w:val="150"/>
          <w:sz w:val="20"/>
        </w:rPr>
        <w:t> </w:t>
      </w:r>
      <w:r>
        <w:rPr>
          <w:rFonts w:ascii="Arial"/>
          <w:i/>
          <w:sz w:val="20"/>
        </w:rPr>
        <w:t>642</w:t>
      </w:r>
      <w:r>
        <w:rPr>
          <w:sz w:val="20"/>
        </w:rPr>
        <w:t>;</w:t>
      </w:r>
      <w:r>
        <w:rPr>
          <w:spacing w:val="69"/>
          <w:w w:val="150"/>
          <w:sz w:val="20"/>
        </w:rPr>
        <w:t> </w:t>
      </w:r>
      <w:r>
        <w:rPr>
          <w:rFonts w:ascii="Arial"/>
          <w:i/>
          <w:sz w:val="20"/>
        </w:rPr>
        <w:t>Morris</w:t>
      </w:r>
      <w:r>
        <w:rPr>
          <w:rFonts w:ascii="Arial"/>
          <w:i/>
          <w:spacing w:val="69"/>
          <w:w w:val="150"/>
          <w:sz w:val="20"/>
        </w:rPr>
        <w:t> </w:t>
      </w:r>
      <w:r>
        <w:rPr>
          <w:rFonts w:ascii="Arial"/>
          <w:i/>
          <w:spacing w:val="-10"/>
          <w:sz w:val="20"/>
        </w:rPr>
        <w:t>v</w:t>
      </w:r>
    </w:p>
    <w:p>
      <w:pPr>
        <w:spacing w:line="235" w:lineRule="auto" w:before="1"/>
        <w:ind w:left="563" w:right="25" w:firstLine="0"/>
        <w:jc w:val="both"/>
        <w:rPr>
          <w:sz w:val="20"/>
        </w:rPr>
      </w:pPr>
      <w:r>
        <w:rPr>
          <w:rFonts w:ascii="Arial" w:hAnsi="Arial"/>
          <w:i/>
          <w:sz w:val="20"/>
        </w:rPr>
        <w:t>Wentworth-Stanley [1999] 2 W.L.R. 470</w:t>
      </w:r>
      <w:r>
        <w:rPr>
          <w:sz w:val="20"/>
        </w:rPr>
        <w:t>; cf. </w:t>
      </w:r>
      <w:r>
        <w:rPr>
          <w:rFonts w:ascii="Arial" w:hAnsi="Arial"/>
          <w:i/>
          <w:sz w:val="20"/>
        </w:rPr>
        <w:t>Cutler v McPhail [1962] 2 Q.B. 292 </w:t>
      </w:r>
      <w:r>
        <w:rPr>
          <w:sz w:val="20"/>
        </w:rPr>
        <w:t>(joint tortfeasors); </w:t>
      </w:r>
      <w:r>
        <w:rPr>
          <w:rFonts w:ascii="Arial" w:hAnsi="Arial"/>
          <w:i/>
          <w:sz w:val="20"/>
        </w:rPr>
        <w:t>Gladman Commercial Properties v Fisher Hargreaves Proctor [2013] EWCA Civ 1466, [2014] P.N.L.R. 11 </w:t>
      </w:r>
      <w:r>
        <w:rPr>
          <w:sz w:val="20"/>
        </w:rPr>
        <w:t>(starting point—and, on the facts of the case, the end point—is that a settlement with one joint tortfeasor discharges all joint tortfeasors); contra, Williams at </w:t>
      </w:r>
      <w:r>
        <w:rPr>
          <w:sz w:val="20"/>
        </w:rPr>
        <w:t>para.55, citing earlier authorities to the contrary, some of which, however, may be explained on the principle stated below at n.54.</w:t>
      </w:r>
    </w:p>
    <w:p>
      <w:pPr>
        <w:pStyle w:val="BodyText"/>
        <w:spacing w:before="8"/>
      </w:pPr>
    </w:p>
    <w:p>
      <w:pPr>
        <w:pStyle w:val="BodyText"/>
        <w:spacing w:line="235" w:lineRule="auto"/>
        <w:ind w:left="563" w:right="25" w:hanging="541"/>
        <w:jc w:val="both"/>
      </w:pPr>
      <w:bookmarkStart w:name="_bookmark141" w:id="143"/>
      <w:bookmarkEnd w:id="143"/>
      <w:r>
        <w:rPr/>
      </w:r>
      <w:hyperlink w:history="true" w:anchor="_bookmark44">
        <w:r>
          <w:rPr>
            <w:color w:val="005DA1"/>
            <w:position w:val="5"/>
            <w:sz w:val="14"/>
            <w:u w:val="single" w:color="005DA1"/>
          </w:rPr>
          <w:t>48</w:t>
        </w:r>
      </w:hyperlink>
      <w:r>
        <w:rPr>
          <w:position w:val="5"/>
          <w:sz w:val="14"/>
        </w:rPr>
        <w:t>.</w:t>
      </w:r>
      <w:r>
        <w:rPr>
          <w:spacing w:val="80"/>
          <w:position w:val="5"/>
          <w:sz w:val="14"/>
        </w:rPr>
        <w:t>  </w:t>
      </w:r>
      <w:r>
        <w:rPr/>
        <w:t>In </w:t>
      </w:r>
      <w:r>
        <w:rPr>
          <w:rFonts w:ascii="Arial" w:hAnsi="Arial"/>
          <w:i/>
        </w:rPr>
        <w:t>North v Wakefield (1849) 13 Q.B. 536, 541</w:t>
      </w:r>
      <w:r>
        <w:rPr/>
        <w:t>, the reason given was that otherwise the debtor released would be liable for contribution to the debtors not released and so the intention of the parties would be frustrated. But this reasoning seems dubious for it assumes what requires </w:t>
      </w:r>
      <w:r>
        <w:rPr/>
        <w:t>to be proved, viz. that the creditor intends to protect the debtor released against claims from his co-debtors. See </w:t>
      </w:r>
      <w:r>
        <w:rPr>
          <w:rFonts w:ascii="Arial" w:hAnsi="Arial"/>
          <w:i/>
        </w:rPr>
        <w:t>Ex p. Good, Re Armitage (1877) 5 Ch. D. 46, 57 </w:t>
      </w:r>
      <w:r>
        <w:rPr/>
        <w:t>where Jessel M.R. said: “It is very dangerous for modern judges to endeavour to find modern reasons for these old rules.” See also Williams at pp.111–112. Similar difficulty attends the rules relating to the discharge of a</w:t>
      </w:r>
      <w:r>
        <w:rPr>
          <w:spacing w:val="62"/>
        </w:rPr>
        <w:t> </w:t>
      </w:r>
      <w:r>
        <w:rPr/>
        <w:t>surety</w:t>
      </w:r>
      <w:r>
        <w:rPr>
          <w:spacing w:val="62"/>
        </w:rPr>
        <w:t> </w:t>
      </w:r>
      <w:r>
        <w:rPr/>
        <w:t>as</w:t>
      </w:r>
      <w:r>
        <w:rPr>
          <w:spacing w:val="62"/>
        </w:rPr>
        <w:t> </w:t>
      </w:r>
      <w:r>
        <w:rPr/>
        <w:t>a</w:t>
      </w:r>
      <w:r>
        <w:rPr>
          <w:spacing w:val="62"/>
        </w:rPr>
        <w:t> </w:t>
      </w:r>
      <w:r>
        <w:rPr/>
        <w:t>result</w:t>
      </w:r>
      <w:r>
        <w:rPr>
          <w:spacing w:val="62"/>
        </w:rPr>
        <w:t> </w:t>
      </w:r>
      <w:r>
        <w:rPr/>
        <w:t>of</w:t>
      </w:r>
      <w:r>
        <w:rPr>
          <w:spacing w:val="62"/>
        </w:rPr>
        <w:t> </w:t>
      </w:r>
      <w:r>
        <w:rPr/>
        <w:t>an</w:t>
      </w:r>
      <w:r>
        <w:rPr>
          <w:spacing w:val="62"/>
        </w:rPr>
        <w:t> </w:t>
      </w:r>
      <w:r>
        <w:rPr/>
        <w:t>agreement</w:t>
      </w:r>
      <w:r>
        <w:rPr>
          <w:spacing w:val="62"/>
        </w:rPr>
        <w:t> </w:t>
      </w:r>
      <w:r>
        <w:rPr/>
        <w:t>to</w:t>
      </w:r>
      <w:r>
        <w:rPr>
          <w:spacing w:val="62"/>
        </w:rPr>
        <w:t> </w:t>
      </w:r>
      <w:r>
        <w:rPr/>
        <w:t>discharge</w:t>
      </w:r>
      <w:r>
        <w:rPr>
          <w:spacing w:val="62"/>
        </w:rPr>
        <w:t> </w:t>
      </w:r>
      <w:r>
        <w:rPr/>
        <w:t>a</w:t>
      </w:r>
      <w:r>
        <w:rPr>
          <w:spacing w:val="62"/>
        </w:rPr>
        <w:t> </w:t>
      </w:r>
      <w:r>
        <w:rPr/>
        <w:t>principal</w:t>
      </w:r>
      <w:r>
        <w:rPr>
          <w:spacing w:val="62"/>
        </w:rPr>
        <w:t> </w:t>
      </w:r>
      <w:r>
        <w:rPr/>
        <w:t>debtor,</w:t>
      </w:r>
      <w:r>
        <w:rPr>
          <w:spacing w:val="62"/>
        </w:rPr>
        <w:t> </w:t>
      </w:r>
      <w:r>
        <w:rPr/>
        <w:t>see</w:t>
      </w:r>
      <w:r>
        <w:rPr>
          <w:spacing w:val="62"/>
        </w:rPr>
        <w:t> </w:t>
      </w:r>
      <w:r>
        <w:rPr/>
        <w:t>Vol.II,</w:t>
      </w:r>
      <w:r>
        <w:rPr>
          <w:spacing w:val="62"/>
        </w:rPr>
        <w:t> </w:t>
      </w:r>
      <w:r>
        <w:rPr/>
        <w:t>paras </w:t>
      </w:r>
      <w:r>
        <w:rPr>
          <w:spacing w:val="-2"/>
        </w:rPr>
        <w:t>45-091—45-097.</w:t>
      </w:r>
    </w:p>
    <w:p>
      <w:pPr>
        <w:pStyle w:val="BodyText"/>
        <w:spacing w:before="6"/>
      </w:pPr>
    </w:p>
    <w:p>
      <w:pPr>
        <w:spacing w:line="235" w:lineRule="auto" w:before="1"/>
        <w:ind w:left="563" w:right="25" w:hanging="541"/>
        <w:jc w:val="both"/>
        <w:rPr>
          <w:sz w:val="20"/>
        </w:rPr>
      </w:pPr>
      <w:bookmarkStart w:name="_bookmark142" w:id="144"/>
      <w:bookmarkEnd w:id="144"/>
      <w:r>
        <w:rPr/>
      </w:r>
      <w:hyperlink w:history="true" w:anchor="_bookmark45">
        <w:r>
          <w:rPr>
            <w:color w:val="005DA1"/>
            <w:position w:val="5"/>
            <w:sz w:val="14"/>
            <w:u w:val="single" w:color="005DA1"/>
          </w:rPr>
          <w:t>49</w:t>
        </w:r>
      </w:hyperlink>
      <w:r>
        <w:rPr>
          <w:position w:val="5"/>
          <w:sz w:val="14"/>
        </w:rPr>
        <w:t>.</w:t>
      </w:r>
      <w:r>
        <w:rPr>
          <w:spacing w:val="80"/>
          <w:position w:val="5"/>
          <w:sz w:val="14"/>
        </w:rPr>
        <w:t>  </w:t>
      </w:r>
      <w:r>
        <w:rPr>
          <w:rFonts w:ascii="Arial"/>
          <w:i/>
          <w:sz w:val="20"/>
        </w:rPr>
        <w:t>Nicholson</w:t>
      </w:r>
      <w:r>
        <w:rPr>
          <w:rFonts w:ascii="Arial"/>
          <w:i/>
          <w:spacing w:val="40"/>
          <w:sz w:val="20"/>
        </w:rPr>
        <w:t> </w:t>
      </w:r>
      <w:r>
        <w:rPr>
          <w:rFonts w:ascii="Arial"/>
          <w:i/>
          <w:sz w:val="20"/>
        </w:rPr>
        <w:t>v</w:t>
      </w:r>
      <w:r>
        <w:rPr>
          <w:rFonts w:ascii="Arial"/>
          <w:i/>
          <w:spacing w:val="40"/>
          <w:sz w:val="20"/>
        </w:rPr>
        <w:t> </w:t>
      </w:r>
      <w:r>
        <w:rPr>
          <w:rFonts w:ascii="Arial"/>
          <w:i/>
          <w:sz w:val="20"/>
        </w:rPr>
        <w:t>Revill</w:t>
      </w:r>
      <w:r>
        <w:rPr>
          <w:rFonts w:ascii="Arial"/>
          <w:i/>
          <w:spacing w:val="40"/>
          <w:sz w:val="20"/>
        </w:rPr>
        <w:t> </w:t>
      </w:r>
      <w:r>
        <w:rPr>
          <w:rFonts w:ascii="Arial"/>
          <w:i/>
          <w:sz w:val="20"/>
        </w:rPr>
        <w:t>(1836)</w:t>
      </w:r>
      <w:r>
        <w:rPr>
          <w:rFonts w:ascii="Arial"/>
          <w:i/>
          <w:spacing w:val="40"/>
          <w:sz w:val="20"/>
        </w:rPr>
        <w:t> </w:t>
      </w:r>
      <w:r>
        <w:rPr>
          <w:rFonts w:ascii="Arial"/>
          <w:i/>
          <w:sz w:val="20"/>
        </w:rPr>
        <w:t>4</w:t>
      </w:r>
      <w:r>
        <w:rPr>
          <w:rFonts w:ascii="Arial"/>
          <w:i/>
          <w:spacing w:val="40"/>
          <w:sz w:val="20"/>
        </w:rPr>
        <w:t> </w:t>
      </w:r>
      <w:r>
        <w:rPr>
          <w:rFonts w:ascii="Arial"/>
          <w:i/>
          <w:sz w:val="20"/>
        </w:rPr>
        <w:t>A.</w:t>
      </w:r>
      <w:r>
        <w:rPr>
          <w:rFonts w:ascii="Arial"/>
          <w:i/>
          <w:spacing w:val="40"/>
          <w:sz w:val="20"/>
        </w:rPr>
        <w:t> </w:t>
      </w:r>
      <w:r>
        <w:rPr>
          <w:rFonts w:ascii="Arial"/>
          <w:i/>
          <w:sz w:val="20"/>
        </w:rPr>
        <w:t>&amp;</w:t>
      </w:r>
      <w:r>
        <w:rPr>
          <w:rFonts w:ascii="Arial"/>
          <w:i/>
          <w:spacing w:val="40"/>
          <w:sz w:val="20"/>
        </w:rPr>
        <w:t> </w:t>
      </w:r>
      <w:r>
        <w:rPr>
          <w:rFonts w:ascii="Arial"/>
          <w:i/>
          <w:sz w:val="20"/>
        </w:rPr>
        <w:t>E.</w:t>
      </w:r>
      <w:r>
        <w:rPr>
          <w:rFonts w:ascii="Arial"/>
          <w:i/>
          <w:spacing w:val="40"/>
          <w:sz w:val="20"/>
        </w:rPr>
        <w:t> </w:t>
      </w:r>
      <w:r>
        <w:rPr>
          <w:rFonts w:ascii="Arial"/>
          <w:i/>
          <w:sz w:val="20"/>
        </w:rPr>
        <w:t>675</w:t>
      </w:r>
      <w:r>
        <w:rPr>
          <w:sz w:val="20"/>
        </w:rPr>
        <w:t>;</w:t>
      </w:r>
      <w:r>
        <w:rPr>
          <w:spacing w:val="40"/>
          <w:sz w:val="20"/>
        </w:rPr>
        <w:t> </w:t>
      </w:r>
      <w:r>
        <w:rPr>
          <w:rFonts w:ascii="Arial"/>
          <w:i/>
          <w:sz w:val="20"/>
        </w:rPr>
        <w:t>Re</w:t>
      </w:r>
      <w:r>
        <w:rPr>
          <w:rFonts w:ascii="Arial"/>
          <w:i/>
          <w:spacing w:val="40"/>
          <w:sz w:val="20"/>
        </w:rPr>
        <w:t> </w:t>
      </w:r>
      <w:r>
        <w:rPr>
          <w:rFonts w:ascii="Arial"/>
          <w:i/>
          <w:sz w:val="20"/>
        </w:rPr>
        <w:t>E.W.A.</w:t>
      </w:r>
      <w:r>
        <w:rPr>
          <w:rFonts w:ascii="Arial"/>
          <w:i/>
          <w:spacing w:val="40"/>
          <w:sz w:val="20"/>
        </w:rPr>
        <w:t> </w:t>
      </w:r>
      <w:r>
        <w:rPr>
          <w:rFonts w:ascii="Arial"/>
          <w:i/>
          <w:sz w:val="20"/>
        </w:rPr>
        <w:t>[1901]</w:t>
      </w:r>
      <w:r>
        <w:rPr>
          <w:rFonts w:ascii="Arial"/>
          <w:i/>
          <w:spacing w:val="40"/>
          <w:sz w:val="20"/>
        </w:rPr>
        <w:t> </w:t>
      </w:r>
      <w:r>
        <w:rPr>
          <w:rFonts w:ascii="Arial"/>
          <w:i/>
          <w:sz w:val="20"/>
        </w:rPr>
        <w:t>2</w:t>
      </w:r>
      <w:r>
        <w:rPr>
          <w:rFonts w:ascii="Arial"/>
          <w:i/>
          <w:spacing w:val="40"/>
          <w:sz w:val="20"/>
        </w:rPr>
        <w:t> </w:t>
      </w:r>
      <w:r>
        <w:rPr>
          <w:rFonts w:ascii="Arial"/>
          <w:i/>
          <w:sz w:val="20"/>
        </w:rPr>
        <w:t>K.B.</w:t>
      </w:r>
      <w:r>
        <w:rPr>
          <w:rFonts w:ascii="Arial"/>
          <w:i/>
          <w:spacing w:val="40"/>
          <w:sz w:val="20"/>
        </w:rPr>
        <w:t> </w:t>
      </w:r>
      <w:r>
        <w:rPr>
          <w:rFonts w:ascii="Arial"/>
          <w:i/>
          <w:sz w:val="20"/>
        </w:rPr>
        <w:t>642</w:t>
      </w:r>
      <w:r>
        <w:rPr>
          <w:sz w:val="20"/>
        </w:rPr>
        <w:t>;</w:t>
      </w:r>
      <w:r>
        <w:rPr>
          <w:spacing w:val="40"/>
          <w:sz w:val="20"/>
        </w:rPr>
        <w:t> </w:t>
      </w:r>
      <w:r>
        <w:rPr>
          <w:rFonts w:ascii="Arial"/>
          <w:i/>
          <w:sz w:val="20"/>
        </w:rPr>
        <w:t>Deanplan</w:t>
      </w:r>
      <w:r>
        <w:rPr>
          <w:rFonts w:ascii="Arial"/>
          <w:i/>
          <w:spacing w:val="40"/>
          <w:sz w:val="20"/>
        </w:rPr>
        <w:t> </w:t>
      </w:r>
      <w:r>
        <w:rPr>
          <w:rFonts w:ascii="Arial"/>
          <w:i/>
          <w:sz w:val="20"/>
        </w:rPr>
        <w:t>Ltd</w:t>
      </w:r>
      <w:r>
        <w:rPr>
          <w:rFonts w:ascii="Arial"/>
          <w:i/>
          <w:spacing w:val="40"/>
          <w:sz w:val="20"/>
        </w:rPr>
        <w:t> </w:t>
      </w:r>
      <w:r>
        <w:rPr>
          <w:rFonts w:ascii="Arial"/>
          <w:i/>
          <w:sz w:val="20"/>
        </w:rPr>
        <w:t>v Mahmoud [1993] Ch. 151</w:t>
      </w:r>
      <w:r>
        <w:rPr>
          <w:sz w:val="20"/>
        </w:rPr>
        <w:t>; Williams at para.63. cf. </w:t>
      </w:r>
      <w:r>
        <w:rPr>
          <w:rFonts w:ascii="Arial"/>
          <w:i/>
          <w:sz w:val="20"/>
        </w:rPr>
        <w:t>Jameson v Central Electricity </w:t>
      </w:r>
      <w:r>
        <w:rPr>
          <w:rFonts w:ascii="Arial"/>
          <w:i/>
          <w:sz w:val="20"/>
        </w:rPr>
        <w:t>Generating Board [1999] 2 W.L.R. 141</w:t>
      </w:r>
      <w:r>
        <w:rPr>
          <w:sz w:val="20"/>
        </w:rPr>
        <w:t>; a settlement, satisfying a claim against one joint and several tortfeasor, on its true interpretation extinguished the cause of action against the other joint and several tortfeasor. But </w:t>
      </w:r>
      <w:r>
        <w:rPr>
          <w:rFonts w:ascii="Arial"/>
          <w:i/>
          <w:sz w:val="20"/>
        </w:rPr>
        <w:t>Jameson </w:t>
      </w:r>
      <w:r>
        <w:rPr>
          <w:sz w:val="20"/>
        </w:rPr>
        <w:t>did not lay down any rule of law that settlement with one joint and</w:t>
      </w:r>
      <w:r>
        <w:rPr>
          <w:spacing w:val="1"/>
          <w:sz w:val="20"/>
        </w:rPr>
        <w:t> </w:t>
      </w:r>
      <w:r>
        <w:rPr>
          <w:sz w:val="20"/>
        </w:rPr>
        <w:t>several</w:t>
      </w:r>
      <w:r>
        <w:rPr>
          <w:spacing w:val="1"/>
          <w:sz w:val="20"/>
        </w:rPr>
        <w:t> </w:t>
      </w:r>
      <w:r>
        <w:rPr>
          <w:sz w:val="20"/>
        </w:rPr>
        <w:t>tortfeasor</w:t>
      </w:r>
      <w:r>
        <w:rPr>
          <w:spacing w:val="1"/>
          <w:sz w:val="20"/>
        </w:rPr>
        <w:t> </w:t>
      </w:r>
      <w:r>
        <w:rPr>
          <w:sz w:val="20"/>
        </w:rPr>
        <w:t>inevitably</w:t>
      </w:r>
      <w:r>
        <w:rPr>
          <w:spacing w:val="1"/>
          <w:sz w:val="20"/>
        </w:rPr>
        <w:t> </w:t>
      </w:r>
      <w:r>
        <w:rPr>
          <w:sz w:val="20"/>
        </w:rPr>
        <w:t>precludes</w:t>
      </w:r>
      <w:r>
        <w:rPr>
          <w:spacing w:val="1"/>
          <w:sz w:val="20"/>
        </w:rPr>
        <w:t> </w:t>
      </w:r>
      <w:r>
        <w:rPr>
          <w:sz w:val="20"/>
        </w:rPr>
        <w:t>the</w:t>
      </w:r>
      <w:r>
        <w:rPr>
          <w:spacing w:val="1"/>
          <w:sz w:val="20"/>
        </w:rPr>
        <w:t> </w:t>
      </w:r>
      <w:r>
        <w:rPr>
          <w:sz w:val="20"/>
        </w:rPr>
        <w:t>claimant</w:t>
      </w:r>
      <w:r>
        <w:rPr>
          <w:spacing w:val="1"/>
          <w:sz w:val="20"/>
        </w:rPr>
        <w:t> </w:t>
      </w:r>
      <w:r>
        <w:rPr>
          <w:sz w:val="20"/>
        </w:rPr>
        <w:t>from</w:t>
      </w:r>
      <w:r>
        <w:rPr>
          <w:spacing w:val="1"/>
          <w:sz w:val="20"/>
        </w:rPr>
        <w:t> </w:t>
      </w:r>
      <w:r>
        <w:rPr>
          <w:sz w:val="20"/>
        </w:rPr>
        <w:t>bringing</w:t>
      </w:r>
      <w:r>
        <w:rPr>
          <w:spacing w:val="1"/>
          <w:sz w:val="20"/>
        </w:rPr>
        <w:t> </w:t>
      </w:r>
      <w:r>
        <w:rPr>
          <w:sz w:val="20"/>
        </w:rPr>
        <w:t>an</w:t>
      </w:r>
      <w:r>
        <w:rPr>
          <w:spacing w:val="1"/>
          <w:sz w:val="20"/>
        </w:rPr>
        <w:t> </w:t>
      </w:r>
      <w:r>
        <w:rPr>
          <w:sz w:val="20"/>
        </w:rPr>
        <w:t>action</w:t>
      </w:r>
      <w:r>
        <w:rPr>
          <w:spacing w:val="1"/>
          <w:sz w:val="20"/>
        </w:rPr>
        <w:t> </w:t>
      </w:r>
      <w:r>
        <w:rPr>
          <w:sz w:val="20"/>
        </w:rPr>
        <w:t>against</w:t>
      </w:r>
      <w:r>
        <w:rPr>
          <w:spacing w:val="1"/>
          <w:sz w:val="20"/>
        </w:rPr>
        <w:t> </w:t>
      </w:r>
      <w:r>
        <w:rPr>
          <w:spacing w:val="-2"/>
          <w:sz w:val="20"/>
        </w:rPr>
        <w:t>another:</w:t>
      </w:r>
    </w:p>
    <w:p>
      <w:pPr>
        <w:spacing w:after="0" w:line="235" w:lineRule="auto"/>
        <w:jc w:val="both"/>
        <w:rPr>
          <w:sz w:val="20"/>
        </w:rPr>
        <w:sectPr>
          <w:pgSz w:w="11900" w:h="16840"/>
          <w:pgMar w:header="971" w:footer="0" w:top="1300" w:bottom="280" w:left="1417" w:right="1417"/>
        </w:sectPr>
      </w:pPr>
    </w:p>
    <w:p>
      <w:pPr>
        <w:pStyle w:val="BodyText"/>
        <w:spacing w:line="235" w:lineRule="auto" w:before="110"/>
        <w:ind w:left="563" w:right="25"/>
        <w:jc w:val="both"/>
      </w:pPr>
      <w:r>
        <w:rPr>
          <w:rFonts w:ascii="Arial" w:hAnsi="Arial"/>
          <w:i/>
        </w:rPr>
        <w:t>Heaton v Axa Equity and Law Life Assurance Society Plc [2002] UKHL 15, [2002] 2 </w:t>
      </w:r>
      <w:r>
        <w:rPr>
          <w:rFonts w:ascii="Arial" w:hAnsi="Arial"/>
          <w:i/>
        </w:rPr>
        <w:t>W.L.R. 1081</w:t>
      </w:r>
      <w:r>
        <w:rPr/>
        <w:t>. This case concerned two successive breaches of contract by different parties. The claimants settled with one contract-breaker, and then claimed against the other in respect of damages</w:t>
      </w:r>
      <w:r>
        <w:rPr>
          <w:spacing w:val="-2"/>
        </w:rPr>
        <w:t> </w:t>
      </w:r>
      <w:r>
        <w:rPr/>
        <w:t>which</w:t>
      </w:r>
      <w:r>
        <w:rPr>
          <w:spacing w:val="-2"/>
        </w:rPr>
        <w:t> </w:t>
      </w:r>
      <w:r>
        <w:rPr/>
        <w:t>had</w:t>
      </w:r>
      <w:r>
        <w:rPr>
          <w:spacing w:val="-2"/>
        </w:rPr>
        <w:t> </w:t>
      </w:r>
      <w:r>
        <w:rPr/>
        <w:t>formed</w:t>
      </w:r>
      <w:r>
        <w:rPr>
          <w:spacing w:val="-2"/>
        </w:rPr>
        <w:t> </w:t>
      </w:r>
      <w:r>
        <w:rPr/>
        <w:t>part</w:t>
      </w:r>
      <w:r>
        <w:rPr>
          <w:spacing w:val="-2"/>
        </w:rPr>
        <w:t> </w:t>
      </w:r>
      <w:r>
        <w:rPr/>
        <w:t>of</w:t>
      </w:r>
      <w:r>
        <w:rPr>
          <w:spacing w:val="-2"/>
        </w:rPr>
        <w:t> </w:t>
      </w:r>
      <w:r>
        <w:rPr/>
        <w:t>the</w:t>
      </w:r>
      <w:r>
        <w:rPr>
          <w:spacing w:val="-2"/>
        </w:rPr>
        <w:t> </w:t>
      </w:r>
      <w:r>
        <w:rPr/>
        <w:t>settled</w:t>
      </w:r>
      <w:r>
        <w:rPr>
          <w:spacing w:val="-2"/>
        </w:rPr>
        <w:t> </w:t>
      </w:r>
      <w:r>
        <w:rPr/>
        <w:t>claim.</w:t>
      </w:r>
      <w:r>
        <w:rPr>
          <w:spacing w:val="-2"/>
        </w:rPr>
        <w:t> </w:t>
      </w:r>
      <w:r>
        <w:rPr/>
        <w:t>It</w:t>
      </w:r>
      <w:r>
        <w:rPr>
          <w:spacing w:val="-2"/>
        </w:rPr>
        <w:t> </w:t>
      </w:r>
      <w:r>
        <w:rPr/>
        <w:t>was</w:t>
      </w:r>
      <w:r>
        <w:rPr>
          <w:spacing w:val="-2"/>
        </w:rPr>
        <w:t> </w:t>
      </w:r>
      <w:r>
        <w:rPr/>
        <w:t>held</w:t>
      </w:r>
      <w:r>
        <w:rPr>
          <w:spacing w:val="-2"/>
        </w:rPr>
        <w:t> </w:t>
      </w:r>
      <w:r>
        <w:rPr/>
        <w:t>that</w:t>
      </w:r>
      <w:r>
        <w:rPr>
          <w:spacing w:val="-2"/>
        </w:rPr>
        <w:t> </w:t>
      </w:r>
      <w:r>
        <w:rPr/>
        <w:t>the</w:t>
      </w:r>
      <w:r>
        <w:rPr>
          <w:spacing w:val="-2"/>
        </w:rPr>
        <w:t> </w:t>
      </w:r>
      <w:r>
        <w:rPr/>
        <w:t>sum</w:t>
      </w:r>
      <w:r>
        <w:rPr>
          <w:spacing w:val="-2"/>
        </w:rPr>
        <w:t> </w:t>
      </w:r>
      <w:r>
        <w:rPr/>
        <w:t>accepted</w:t>
      </w:r>
      <w:r>
        <w:rPr>
          <w:spacing w:val="-2"/>
        </w:rPr>
        <w:t> </w:t>
      </w:r>
      <w:r>
        <w:rPr/>
        <w:t>was</w:t>
      </w:r>
      <w:r>
        <w:rPr>
          <w:spacing w:val="-2"/>
        </w:rPr>
        <w:t> </w:t>
      </w:r>
      <w:r>
        <w:rPr/>
        <w:t>not, on construction of the settlement, to be taken as fixing the full measure of the claimants’ loss; they could therefore recover substantial damages from the defendants, giving credit for sums paid by the first contract-breakers in respect of matters covered in the instant claims.</w:t>
      </w:r>
    </w:p>
    <w:p>
      <w:pPr>
        <w:pStyle w:val="BodyText"/>
        <w:spacing w:before="4"/>
      </w:pPr>
    </w:p>
    <w:p>
      <w:pPr>
        <w:tabs>
          <w:tab w:pos="563" w:val="left" w:leader="none"/>
        </w:tabs>
        <w:spacing w:line="227" w:lineRule="exact" w:before="0"/>
        <w:ind w:left="23" w:right="0" w:firstLine="0"/>
        <w:jc w:val="left"/>
        <w:rPr>
          <w:sz w:val="20"/>
        </w:rPr>
      </w:pPr>
      <w:bookmarkStart w:name="_bookmark143" w:id="145"/>
      <w:bookmarkEnd w:id="145"/>
      <w:r>
        <w:rPr/>
      </w:r>
      <w:hyperlink w:history="true" w:anchor="_bookmark46">
        <w:r>
          <w:rPr>
            <w:color w:val="005DA1"/>
            <w:spacing w:val="-5"/>
            <w:position w:val="5"/>
            <w:sz w:val="14"/>
            <w:u w:val="single" w:color="005DA1"/>
          </w:rPr>
          <w:t>50</w:t>
        </w:r>
      </w:hyperlink>
      <w:r>
        <w:rPr>
          <w:spacing w:val="-5"/>
          <w:position w:val="5"/>
          <w:sz w:val="14"/>
        </w:rPr>
        <w:t>.</w:t>
      </w:r>
      <w:r>
        <w:rPr>
          <w:position w:val="5"/>
          <w:sz w:val="14"/>
        </w:rPr>
        <w:tab/>
      </w:r>
      <w:r>
        <w:rPr>
          <w:rFonts w:ascii="Arial"/>
          <w:i/>
          <w:sz w:val="20"/>
        </w:rPr>
        <w:t>Lucy</w:t>
      </w:r>
      <w:r>
        <w:rPr>
          <w:rFonts w:ascii="Arial"/>
          <w:i/>
          <w:spacing w:val="23"/>
          <w:sz w:val="20"/>
        </w:rPr>
        <w:t> </w:t>
      </w:r>
      <w:r>
        <w:rPr>
          <w:rFonts w:ascii="Arial"/>
          <w:i/>
          <w:sz w:val="20"/>
        </w:rPr>
        <w:t>Clayton</w:t>
      </w:r>
      <w:r>
        <w:rPr>
          <w:rFonts w:ascii="Arial"/>
          <w:i/>
          <w:spacing w:val="24"/>
          <w:sz w:val="20"/>
        </w:rPr>
        <w:t> </w:t>
      </w:r>
      <w:r>
        <w:rPr>
          <w:rFonts w:ascii="Arial"/>
          <w:i/>
          <w:sz w:val="20"/>
        </w:rPr>
        <w:t>v</w:t>
      </w:r>
      <w:r>
        <w:rPr>
          <w:rFonts w:ascii="Arial"/>
          <w:i/>
          <w:spacing w:val="24"/>
          <w:sz w:val="20"/>
        </w:rPr>
        <w:t> </w:t>
      </w:r>
      <w:r>
        <w:rPr>
          <w:rFonts w:ascii="Arial"/>
          <w:i/>
          <w:sz w:val="20"/>
        </w:rPr>
        <w:t>Kynaston</w:t>
      </w:r>
      <w:r>
        <w:rPr>
          <w:rFonts w:ascii="Arial"/>
          <w:i/>
          <w:spacing w:val="24"/>
          <w:sz w:val="20"/>
        </w:rPr>
        <w:t> </w:t>
      </w:r>
      <w:r>
        <w:rPr>
          <w:rFonts w:ascii="Arial"/>
          <w:i/>
          <w:sz w:val="20"/>
        </w:rPr>
        <w:t>(1699)</w:t>
      </w:r>
      <w:r>
        <w:rPr>
          <w:rFonts w:ascii="Arial"/>
          <w:i/>
          <w:spacing w:val="24"/>
          <w:sz w:val="20"/>
        </w:rPr>
        <w:t> </w:t>
      </w:r>
      <w:r>
        <w:rPr>
          <w:rFonts w:ascii="Arial"/>
          <w:i/>
          <w:sz w:val="20"/>
        </w:rPr>
        <w:t>12</w:t>
      </w:r>
      <w:r>
        <w:rPr>
          <w:rFonts w:ascii="Arial"/>
          <w:i/>
          <w:spacing w:val="24"/>
          <w:sz w:val="20"/>
        </w:rPr>
        <w:t> </w:t>
      </w:r>
      <w:r>
        <w:rPr>
          <w:rFonts w:ascii="Arial"/>
          <w:i/>
          <w:sz w:val="20"/>
        </w:rPr>
        <w:t>Mod.</w:t>
      </w:r>
      <w:r>
        <w:rPr>
          <w:rFonts w:ascii="Arial"/>
          <w:i/>
          <w:spacing w:val="24"/>
          <w:sz w:val="20"/>
        </w:rPr>
        <w:t> </w:t>
      </w:r>
      <w:r>
        <w:rPr>
          <w:rFonts w:ascii="Arial"/>
          <w:i/>
          <w:sz w:val="20"/>
        </w:rPr>
        <w:t>221,</w:t>
      </w:r>
      <w:r>
        <w:rPr>
          <w:rFonts w:ascii="Arial"/>
          <w:i/>
          <w:spacing w:val="24"/>
          <w:sz w:val="20"/>
        </w:rPr>
        <w:t> </w:t>
      </w:r>
      <w:r>
        <w:rPr>
          <w:rFonts w:ascii="Arial"/>
          <w:i/>
          <w:sz w:val="20"/>
        </w:rPr>
        <w:t>415,</w:t>
      </w:r>
      <w:r>
        <w:rPr>
          <w:rFonts w:ascii="Arial"/>
          <w:i/>
          <w:spacing w:val="24"/>
          <w:sz w:val="20"/>
        </w:rPr>
        <w:t> </w:t>
      </w:r>
      <w:r>
        <w:rPr>
          <w:rFonts w:ascii="Arial"/>
          <w:i/>
          <w:sz w:val="20"/>
        </w:rPr>
        <w:t>548</w:t>
      </w:r>
      <w:r>
        <w:rPr>
          <w:sz w:val="20"/>
        </w:rPr>
        <w:t>;</w:t>
      </w:r>
      <w:r>
        <w:rPr>
          <w:spacing w:val="24"/>
          <w:sz w:val="20"/>
        </w:rPr>
        <w:t> </w:t>
      </w:r>
      <w:r>
        <w:rPr>
          <w:rFonts w:ascii="Arial"/>
          <w:i/>
          <w:sz w:val="20"/>
        </w:rPr>
        <w:t>Dean</w:t>
      </w:r>
      <w:r>
        <w:rPr>
          <w:rFonts w:ascii="Arial"/>
          <w:i/>
          <w:spacing w:val="24"/>
          <w:sz w:val="20"/>
        </w:rPr>
        <w:t> </w:t>
      </w:r>
      <w:r>
        <w:rPr>
          <w:rFonts w:ascii="Arial"/>
          <w:i/>
          <w:sz w:val="20"/>
        </w:rPr>
        <w:t>v</w:t>
      </w:r>
      <w:r>
        <w:rPr>
          <w:rFonts w:ascii="Arial"/>
          <w:i/>
          <w:spacing w:val="24"/>
          <w:sz w:val="20"/>
        </w:rPr>
        <w:t> </w:t>
      </w:r>
      <w:r>
        <w:rPr>
          <w:rFonts w:ascii="Arial"/>
          <w:i/>
          <w:sz w:val="20"/>
        </w:rPr>
        <w:t>Newhall</w:t>
      </w:r>
      <w:r>
        <w:rPr>
          <w:rFonts w:ascii="Arial"/>
          <w:i/>
          <w:spacing w:val="24"/>
          <w:sz w:val="20"/>
        </w:rPr>
        <w:t> </w:t>
      </w:r>
      <w:r>
        <w:rPr>
          <w:rFonts w:ascii="Arial"/>
          <w:i/>
          <w:sz w:val="20"/>
        </w:rPr>
        <w:t>(1799)</w:t>
      </w:r>
      <w:r>
        <w:rPr>
          <w:rFonts w:ascii="Arial"/>
          <w:i/>
          <w:spacing w:val="24"/>
          <w:sz w:val="20"/>
        </w:rPr>
        <w:t> </w:t>
      </w:r>
      <w:r>
        <w:rPr>
          <w:rFonts w:ascii="Arial"/>
          <w:i/>
          <w:sz w:val="20"/>
        </w:rPr>
        <w:t>8</w:t>
      </w:r>
      <w:r>
        <w:rPr>
          <w:rFonts w:ascii="Arial"/>
          <w:i/>
          <w:spacing w:val="24"/>
          <w:sz w:val="20"/>
        </w:rPr>
        <w:t> </w:t>
      </w:r>
      <w:r>
        <w:rPr>
          <w:rFonts w:ascii="Arial"/>
          <w:i/>
          <w:sz w:val="20"/>
        </w:rPr>
        <w:t>T.R.</w:t>
      </w:r>
      <w:r>
        <w:rPr>
          <w:rFonts w:ascii="Arial"/>
          <w:i/>
          <w:spacing w:val="24"/>
          <w:sz w:val="20"/>
        </w:rPr>
        <w:t> </w:t>
      </w:r>
      <w:r>
        <w:rPr>
          <w:rFonts w:ascii="Arial"/>
          <w:i/>
          <w:spacing w:val="-4"/>
          <w:sz w:val="20"/>
        </w:rPr>
        <w:t>168</w:t>
      </w:r>
      <w:r>
        <w:rPr>
          <w:spacing w:val="-4"/>
          <w:sz w:val="20"/>
        </w:rPr>
        <w:t>;</w:t>
      </w:r>
    </w:p>
    <w:p>
      <w:pPr>
        <w:spacing w:line="227" w:lineRule="exact" w:before="0"/>
        <w:ind w:left="563" w:right="0" w:firstLine="0"/>
        <w:jc w:val="left"/>
        <w:rPr>
          <w:sz w:val="20"/>
        </w:rPr>
      </w:pPr>
      <w:r>
        <w:rPr>
          <w:rFonts w:ascii="Arial"/>
          <w:i/>
          <w:sz w:val="20"/>
        </w:rPr>
        <w:t>Hutton v Eyre (1815) 6 Taunt. 289</w:t>
      </w:r>
      <w:r>
        <w:rPr>
          <w:rFonts w:ascii="Arial"/>
          <w:i/>
          <w:spacing w:val="-1"/>
          <w:sz w:val="20"/>
        </w:rPr>
        <w:t> </w:t>
      </w:r>
      <w:r>
        <w:rPr>
          <w:sz w:val="20"/>
        </w:rPr>
        <w:t>(joint </w:t>
      </w:r>
      <w:r>
        <w:rPr>
          <w:spacing w:val="-2"/>
          <w:sz w:val="20"/>
        </w:rPr>
        <w:t>tortfeasors).</w:t>
      </w:r>
    </w:p>
    <w:p>
      <w:pPr>
        <w:pStyle w:val="BodyText"/>
        <w:spacing w:before="8"/>
      </w:pPr>
    </w:p>
    <w:p>
      <w:pPr>
        <w:tabs>
          <w:tab w:pos="563" w:val="left" w:leader="none"/>
        </w:tabs>
        <w:spacing w:line="235" w:lineRule="auto" w:before="1"/>
        <w:ind w:left="563" w:right="26" w:hanging="541"/>
        <w:jc w:val="left"/>
        <w:rPr>
          <w:sz w:val="20"/>
        </w:rPr>
      </w:pPr>
      <w:bookmarkStart w:name="_bookmark144" w:id="146"/>
      <w:bookmarkEnd w:id="146"/>
      <w:r>
        <w:rPr/>
      </w:r>
      <w:hyperlink w:history="true" w:anchor="_bookmark47">
        <w:r>
          <w:rPr>
            <w:color w:val="005DA1"/>
            <w:spacing w:val="-4"/>
            <w:position w:val="5"/>
            <w:sz w:val="14"/>
            <w:u w:val="single" w:color="005DA1"/>
          </w:rPr>
          <w:t>51</w:t>
        </w:r>
      </w:hyperlink>
      <w:r>
        <w:rPr>
          <w:spacing w:val="-4"/>
          <w:position w:val="5"/>
          <w:sz w:val="14"/>
        </w:rPr>
        <w:t>.</w:t>
      </w:r>
      <w:r>
        <w:rPr>
          <w:position w:val="5"/>
          <w:sz w:val="14"/>
        </w:rPr>
        <w:tab/>
      </w:r>
      <w:r>
        <w:rPr>
          <w:rFonts w:ascii="Arial"/>
          <w:i/>
          <w:sz w:val="20"/>
        </w:rPr>
        <w:t>Mallet</w:t>
      </w:r>
      <w:r>
        <w:rPr>
          <w:rFonts w:ascii="Arial"/>
          <w:i/>
          <w:spacing w:val="38"/>
          <w:sz w:val="20"/>
        </w:rPr>
        <w:t> </w:t>
      </w:r>
      <w:r>
        <w:rPr>
          <w:rFonts w:ascii="Arial"/>
          <w:i/>
          <w:sz w:val="20"/>
        </w:rPr>
        <w:t>v</w:t>
      </w:r>
      <w:r>
        <w:rPr>
          <w:rFonts w:ascii="Arial"/>
          <w:i/>
          <w:spacing w:val="38"/>
          <w:sz w:val="20"/>
        </w:rPr>
        <w:t> </w:t>
      </w:r>
      <w:r>
        <w:rPr>
          <w:rFonts w:ascii="Arial"/>
          <w:i/>
          <w:sz w:val="20"/>
        </w:rPr>
        <w:t>Thompson</w:t>
      </w:r>
      <w:r>
        <w:rPr>
          <w:rFonts w:ascii="Arial"/>
          <w:i/>
          <w:spacing w:val="38"/>
          <w:sz w:val="20"/>
        </w:rPr>
        <w:t> </w:t>
      </w:r>
      <w:r>
        <w:rPr>
          <w:rFonts w:ascii="Arial"/>
          <w:i/>
          <w:sz w:val="20"/>
        </w:rPr>
        <w:t>(1804)</w:t>
      </w:r>
      <w:r>
        <w:rPr>
          <w:rFonts w:ascii="Arial"/>
          <w:i/>
          <w:spacing w:val="38"/>
          <w:sz w:val="20"/>
        </w:rPr>
        <w:t> </w:t>
      </w:r>
      <w:r>
        <w:rPr>
          <w:rFonts w:ascii="Arial"/>
          <w:i/>
          <w:sz w:val="20"/>
        </w:rPr>
        <w:t>5</w:t>
      </w:r>
      <w:r>
        <w:rPr>
          <w:rFonts w:ascii="Arial"/>
          <w:i/>
          <w:spacing w:val="38"/>
          <w:sz w:val="20"/>
        </w:rPr>
        <w:t> </w:t>
      </w:r>
      <w:r>
        <w:rPr>
          <w:rFonts w:ascii="Arial"/>
          <w:i/>
          <w:sz w:val="20"/>
        </w:rPr>
        <w:t>Esp.</w:t>
      </w:r>
      <w:r>
        <w:rPr>
          <w:rFonts w:ascii="Arial"/>
          <w:i/>
          <w:spacing w:val="38"/>
          <w:sz w:val="20"/>
        </w:rPr>
        <w:t> </w:t>
      </w:r>
      <w:r>
        <w:rPr>
          <w:rFonts w:ascii="Arial"/>
          <w:i/>
          <w:sz w:val="20"/>
        </w:rPr>
        <w:t>178</w:t>
      </w:r>
      <w:r>
        <w:rPr>
          <w:sz w:val="20"/>
        </w:rPr>
        <w:t>;</w:t>
      </w:r>
      <w:r>
        <w:rPr>
          <w:spacing w:val="38"/>
          <w:sz w:val="20"/>
        </w:rPr>
        <w:t> </w:t>
      </w:r>
      <w:r>
        <w:rPr>
          <w:rFonts w:ascii="Arial"/>
          <w:i/>
          <w:sz w:val="20"/>
        </w:rPr>
        <w:t>Hutton</w:t>
      </w:r>
      <w:r>
        <w:rPr>
          <w:rFonts w:ascii="Arial"/>
          <w:i/>
          <w:spacing w:val="38"/>
          <w:sz w:val="20"/>
        </w:rPr>
        <w:t> </w:t>
      </w:r>
      <w:r>
        <w:rPr>
          <w:rFonts w:ascii="Arial"/>
          <w:i/>
          <w:sz w:val="20"/>
        </w:rPr>
        <w:t>v</w:t>
      </w:r>
      <w:r>
        <w:rPr>
          <w:rFonts w:ascii="Arial"/>
          <w:i/>
          <w:spacing w:val="38"/>
          <w:sz w:val="20"/>
        </w:rPr>
        <w:t> </w:t>
      </w:r>
      <w:r>
        <w:rPr>
          <w:rFonts w:ascii="Arial"/>
          <w:i/>
          <w:sz w:val="20"/>
        </w:rPr>
        <w:t>Eyre</w:t>
      </w:r>
      <w:r>
        <w:rPr>
          <w:rFonts w:ascii="Arial"/>
          <w:i/>
          <w:spacing w:val="38"/>
          <w:sz w:val="20"/>
        </w:rPr>
        <w:t> </w:t>
      </w:r>
      <w:r>
        <w:rPr>
          <w:rFonts w:ascii="Arial"/>
          <w:i/>
          <w:sz w:val="20"/>
        </w:rPr>
        <w:t>(1815)</w:t>
      </w:r>
      <w:r>
        <w:rPr>
          <w:rFonts w:ascii="Arial"/>
          <w:i/>
          <w:spacing w:val="38"/>
          <w:sz w:val="20"/>
        </w:rPr>
        <w:t> </w:t>
      </w:r>
      <w:r>
        <w:rPr>
          <w:rFonts w:ascii="Arial"/>
          <w:i/>
          <w:sz w:val="20"/>
        </w:rPr>
        <w:t>6</w:t>
      </w:r>
      <w:r>
        <w:rPr>
          <w:rFonts w:ascii="Arial"/>
          <w:i/>
          <w:spacing w:val="38"/>
          <w:sz w:val="20"/>
        </w:rPr>
        <w:t> </w:t>
      </w:r>
      <w:r>
        <w:rPr>
          <w:rFonts w:ascii="Arial"/>
          <w:i/>
          <w:sz w:val="20"/>
        </w:rPr>
        <w:t>Taunt.</w:t>
      </w:r>
      <w:r>
        <w:rPr>
          <w:rFonts w:ascii="Arial"/>
          <w:i/>
          <w:spacing w:val="38"/>
          <w:sz w:val="20"/>
        </w:rPr>
        <w:t> </w:t>
      </w:r>
      <w:r>
        <w:rPr>
          <w:rFonts w:ascii="Arial"/>
          <w:i/>
          <w:sz w:val="20"/>
        </w:rPr>
        <w:t>289</w:t>
      </w:r>
      <w:r>
        <w:rPr>
          <w:sz w:val="20"/>
        </w:rPr>
        <w:t>;</w:t>
      </w:r>
      <w:r>
        <w:rPr>
          <w:spacing w:val="38"/>
          <w:sz w:val="20"/>
        </w:rPr>
        <w:t> </w:t>
      </w:r>
      <w:r>
        <w:rPr>
          <w:sz w:val="20"/>
        </w:rPr>
        <w:t>Williams,</w:t>
      </w:r>
      <w:r>
        <w:rPr>
          <w:spacing w:val="38"/>
          <w:sz w:val="20"/>
        </w:rPr>
        <w:t> </w:t>
      </w:r>
      <w:r>
        <w:rPr>
          <w:rFonts w:ascii="Arial"/>
          <w:i/>
          <w:sz w:val="20"/>
        </w:rPr>
        <w:t>Joint Obligations</w:t>
      </w:r>
      <w:r>
        <w:rPr>
          <w:sz w:val="20"/>
        </w:rPr>
        <w:t>, at para.52.</w:t>
      </w:r>
    </w:p>
    <w:p>
      <w:pPr>
        <w:pStyle w:val="BodyText"/>
        <w:spacing w:before="9"/>
      </w:pPr>
    </w:p>
    <w:p>
      <w:pPr>
        <w:pStyle w:val="BodyText"/>
        <w:tabs>
          <w:tab w:pos="563" w:val="left" w:leader="none"/>
        </w:tabs>
        <w:spacing w:line="235" w:lineRule="auto"/>
        <w:ind w:left="563" w:right="25" w:hanging="541"/>
      </w:pPr>
      <w:bookmarkStart w:name="_bookmark145" w:id="147"/>
      <w:bookmarkEnd w:id="147"/>
      <w:r>
        <w:rPr/>
      </w:r>
      <w:hyperlink w:history="true" w:anchor="_bookmark48">
        <w:r>
          <w:rPr>
            <w:color w:val="005DA1"/>
            <w:spacing w:val="-4"/>
            <w:position w:val="5"/>
            <w:sz w:val="14"/>
            <w:u w:val="single" w:color="005DA1"/>
          </w:rPr>
          <w:t>52</w:t>
        </w:r>
      </w:hyperlink>
      <w:r>
        <w:rPr>
          <w:spacing w:val="-4"/>
          <w:position w:val="5"/>
          <w:sz w:val="14"/>
        </w:rPr>
        <w:t>.</w:t>
      </w:r>
      <w:r>
        <w:rPr>
          <w:position w:val="5"/>
          <w:sz w:val="14"/>
        </w:rPr>
        <w:tab/>
      </w:r>
      <w:r>
        <w:rPr/>
        <w:t>As</w:t>
      </w:r>
      <w:r>
        <w:rPr>
          <w:spacing w:val="16"/>
        </w:rPr>
        <w:t> </w:t>
      </w:r>
      <w:r>
        <w:rPr/>
        <w:t>to</w:t>
      </w:r>
      <w:r>
        <w:rPr>
          <w:spacing w:val="16"/>
        </w:rPr>
        <w:t> </w:t>
      </w:r>
      <w:r>
        <w:rPr/>
        <w:t>the</w:t>
      </w:r>
      <w:r>
        <w:rPr>
          <w:spacing w:val="16"/>
        </w:rPr>
        <w:t> </w:t>
      </w:r>
      <w:r>
        <w:rPr/>
        <w:t>effect</w:t>
      </w:r>
      <w:r>
        <w:rPr>
          <w:spacing w:val="16"/>
        </w:rPr>
        <w:t> </w:t>
      </w:r>
      <w:r>
        <w:rPr/>
        <w:t>of</w:t>
      </w:r>
      <w:r>
        <w:rPr>
          <w:spacing w:val="16"/>
        </w:rPr>
        <w:t> </w:t>
      </w:r>
      <w:r>
        <w:rPr/>
        <w:t>a</w:t>
      </w:r>
      <w:r>
        <w:rPr>
          <w:spacing w:val="16"/>
        </w:rPr>
        <w:t> </w:t>
      </w:r>
      <w:r>
        <w:rPr/>
        <w:t>covenant,</w:t>
      </w:r>
      <w:r>
        <w:rPr>
          <w:spacing w:val="16"/>
        </w:rPr>
        <w:t> </w:t>
      </w:r>
      <w:r>
        <w:rPr/>
        <w:t>or</w:t>
      </w:r>
      <w:r>
        <w:rPr>
          <w:spacing w:val="16"/>
        </w:rPr>
        <w:t> </w:t>
      </w:r>
      <w:r>
        <w:rPr/>
        <w:t>agreement,</w:t>
      </w:r>
      <w:r>
        <w:rPr>
          <w:spacing w:val="16"/>
        </w:rPr>
        <w:t> </w:t>
      </w:r>
      <w:r>
        <w:rPr/>
        <w:t>not</w:t>
      </w:r>
      <w:r>
        <w:rPr>
          <w:spacing w:val="16"/>
        </w:rPr>
        <w:t> </w:t>
      </w:r>
      <w:r>
        <w:rPr/>
        <w:t>to</w:t>
      </w:r>
      <w:r>
        <w:rPr>
          <w:spacing w:val="16"/>
        </w:rPr>
        <w:t> </w:t>
      </w:r>
      <w:r>
        <w:rPr/>
        <w:t>sue</w:t>
      </w:r>
      <w:r>
        <w:rPr>
          <w:spacing w:val="16"/>
        </w:rPr>
        <w:t> </w:t>
      </w:r>
      <w:r>
        <w:rPr/>
        <w:t>a</w:t>
      </w:r>
      <w:r>
        <w:rPr>
          <w:spacing w:val="16"/>
        </w:rPr>
        <w:t> </w:t>
      </w:r>
      <w:r>
        <w:rPr/>
        <w:t>principal</w:t>
      </w:r>
      <w:r>
        <w:rPr>
          <w:spacing w:val="16"/>
        </w:rPr>
        <w:t> </w:t>
      </w:r>
      <w:r>
        <w:rPr/>
        <w:t>debtor</w:t>
      </w:r>
      <w:r>
        <w:rPr>
          <w:spacing w:val="16"/>
        </w:rPr>
        <w:t> </w:t>
      </w:r>
      <w:r>
        <w:rPr/>
        <w:t>on</w:t>
      </w:r>
      <w:r>
        <w:rPr>
          <w:spacing w:val="16"/>
        </w:rPr>
        <w:t> </w:t>
      </w:r>
      <w:r>
        <w:rPr/>
        <w:t>the</w:t>
      </w:r>
      <w:r>
        <w:rPr>
          <w:spacing w:val="16"/>
        </w:rPr>
        <w:t> </w:t>
      </w:r>
      <w:r>
        <w:rPr/>
        <w:t>liability</w:t>
      </w:r>
      <w:r>
        <w:rPr>
          <w:spacing w:val="16"/>
        </w:rPr>
        <w:t> </w:t>
      </w:r>
      <w:r>
        <w:rPr/>
        <w:t>of</w:t>
      </w:r>
      <w:r>
        <w:rPr>
          <w:spacing w:val="16"/>
        </w:rPr>
        <w:t> </w:t>
      </w:r>
      <w:r>
        <w:rPr/>
        <w:t>a surety, see Vol.II, paras 45-091—45-097.</w:t>
      </w:r>
    </w:p>
    <w:p>
      <w:pPr>
        <w:pStyle w:val="BodyText"/>
        <w:spacing w:before="5"/>
      </w:pPr>
    </w:p>
    <w:p>
      <w:pPr>
        <w:spacing w:line="227" w:lineRule="exact" w:before="0"/>
        <w:ind w:left="23" w:right="0" w:firstLine="0"/>
        <w:jc w:val="both"/>
        <w:rPr>
          <w:rFonts w:ascii="Arial"/>
          <w:i/>
          <w:sz w:val="20"/>
        </w:rPr>
      </w:pPr>
      <w:bookmarkStart w:name="_bookmark146" w:id="148"/>
      <w:bookmarkEnd w:id="148"/>
      <w:r>
        <w:rPr/>
      </w:r>
      <w:hyperlink w:history="true" w:anchor="_bookmark49">
        <w:r>
          <w:rPr>
            <w:color w:val="005DA1"/>
            <w:position w:val="5"/>
            <w:sz w:val="14"/>
            <w:u w:val="single" w:color="005DA1"/>
          </w:rPr>
          <w:t>53</w:t>
        </w:r>
      </w:hyperlink>
      <w:r>
        <w:rPr>
          <w:position w:val="5"/>
          <w:sz w:val="14"/>
        </w:rPr>
        <w:t>.</w:t>
      </w:r>
      <w:r>
        <w:rPr>
          <w:spacing w:val="76"/>
          <w:position w:val="5"/>
          <w:sz w:val="14"/>
        </w:rPr>
        <w:t>   </w:t>
      </w:r>
      <w:r>
        <w:rPr>
          <w:rFonts w:ascii="Arial"/>
          <w:i/>
          <w:sz w:val="20"/>
        </w:rPr>
        <w:t>Solly</w:t>
      </w:r>
      <w:r>
        <w:rPr>
          <w:rFonts w:ascii="Arial"/>
          <w:i/>
          <w:spacing w:val="13"/>
          <w:sz w:val="20"/>
        </w:rPr>
        <w:t> </w:t>
      </w:r>
      <w:r>
        <w:rPr>
          <w:rFonts w:ascii="Arial"/>
          <w:i/>
          <w:sz w:val="20"/>
        </w:rPr>
        <w:t>v</w:t>
      </w:r>
      <w:r>
        <w:rPr>
          <w:rFonts w:ascii="Arial"/>
          <w:i/>
          <w:spacing w:val="13"/>
          <w:sz w:val="20"/>
        </w:rPr>
        <w:t> </w:t>
      </w:r>
      <w:r>
        <w:rPr>
          <w:rFonts w:ascii="Arial"/>
          <w:i/>
          <w:sz w:val="20"/>
        </w:rPr>
        <w:t>Forbes</w:t>
      </w:r>
      <w:r>
        <w:rPr>
          <w:rFonts w:ascii="Arial"/>
          <w:i/>
          <w:spacing w:val="13"/>
          <w:sz w:val="20"/>
        </w:rPr>
        <w:t> </w:t>
      </w:r>
      <w:r>
        <w:rPr>
          <w:rFonts w:ascii="Arial"/>
          <w:i/>
          <w:sz w:val="20"/>
        </w:rPr>
        <w:t>(1820)</w:t>
      </w:r>
      <w:r>
        <w:rPr>
          <w:rFonts w:ascii="Arial"/>
          <w:i/>
          <w:spacing w:val="12"/>
          <w:sz w:val="20"/>
        </w:rPr>
        <w:t> </w:t>
      </w:r>
      <w:r>
        <w:rPr>
          <w:rFonts w:ascii="Arial"/>
          <w:i/>
          <w:sz w:val="20"/>
        </w:rPr>
        <w:t>2</w:t>
      </w:r>
      <w:r>
        <w:rPr>
          <w:rFonts w:ascii="Arial"/>
          <w:i/>
          <w:spacing w:val="13"/>
          <w:sz w:val="20"/>
        </w:rPr>
        <w:t> </w:t>
      </w:r>
      <w:r>
        <w:rPr>
          <w:rFonts w:ascii="Arial"/>
          <w:i/>
          <w:sz w:val="20"/>
        </w:rPr>
        <w:t>Brod.</w:t>
      </w:r>
      <w:r>
        <w:rPr>
          <w:rFonts w:ascii="Arial"/>
          <w:i/>
          <w:spacing w:val="13"/>
          <w:sz w:val="20"/>
        </w:rPr>
        <w:t> </w:t>
      </w:r>
      <w:r>
        <w:rPr>
          <w:rFonts w:ascii="Arial"/>
          <w:i/>
          <w:sz w:val="20"/>
        </w:rPr>
        <w:t>&amp;</w:t>
      </w:r>
      <w:r>
        <w:rPr>
          <w:rFonts w:ascii="Arial"/>
          <w:i/>
          <w:spacing w:val="13"/>
          <w:sz w:val="20"/>
        </w:rPr>
        <w:t> </w:t>
      </w:r>
      <w:r>
        <w:rPr>
          <w:rFonts w:ascii="Arial"/>
          <w:i/>
          <w:sz w:val="20"/>
        </w:rPr>
        <w:t>Bing.</w:t>
      </w:r>
      <w:r>
        <w:rPr>
          <w:rFonts w:ascii="Arial"/>
          <w:i/>
          <w:spacing w:val="13"/>
          <w:sz w:val="20"/>
        </w:rPr>
        <w:t> </w:t>
      </w:r>
      <w:r>
        <w:rPr>
          <w:rFonts w:ascii="Arial"/>
          <w:i/>
          <w:sz w:val="20"/>
        </w:rPr>
        <w:t>38</w:t>
      </w:r>
      <w:r>
        <w:rPr>
          <w:sz w:val="20"/>
        </w:rPr>
        <w:t>;</w:t>
      </w:r>
      <w:r>
        <w:rPr>
          <w:spacing w:val="13"/>
          <w:sz w:val="20"/>
        </w:rPr>
        <w:t> </w:t>
      </w:r>
      <w:r>
        <w:rPr>
          <w:rFonts w:ascii="Arial"/>
          <w:i/>
          <w:sz w:val="20"/>
        </w:rPr>
        <w:t>North</w:t>
      </w:r>
      <w:r>
        <w:rPr>
          <w:rFonts w:ascii="Arial"/>
          <w:i/>
          <w:spacing w:val="13"/>
          <w:sz w:val="20"/>
        </w:rPr>
        <w:t> </w:t>
      </w:r>
      <w:r>
        <w:rPr>
          <w:rFonts w:ascii="Arial"/>
          <w:i/>
          <w:sz w:val="20"/>
        </w:rPr>
        <w:t>v</w:t>
      </w:r>
      <w:r>
        <w:rPr>
          <w:rFonts w:ascii="Arial"/>
          <w:i/>
          <w:spacing w:val="13"/>
          <w:sz w:val="20"/>
        </w:rPr>
        <w:t> </w:t>
      </w:r>
      <w:r>
        <w:rPr>
          <w:rFonts w:ascii="Arial"/>
          <w:i/>
          <w:sz w:val="20"/>
        </w:rPr>
        <w:t>Wakefield</w:t>
      </w:r>
      <w:r>
        <w:rPr>
          <w:rFonts w:ascii="Arial"/>
          <w:i/>
          <w:spacing w:val="12"/>
          <w:sz w:val="20"/>
        </w:rPr>
        <w:t> </w:t>
      </w:r>
      <w:r>
        <w:rPr>
          <w:rFonts w:ascii="Arial"/>
          <w:i/>
          <w:sz w:val="20"/>
        </w:rPr>
        <w:t>(1849)</w:t>
      </w:r>
      <w:r>
        <w:rPr>
          <w:rFonts w:ascii="Arial"/>
          <w:i/>
          <w:spacing w:val="13"/>
          <w:sz w:val="20"/>
        </w:rPr>
        <w:t> </w:t>
      </w:r>
      <w:r>
        <w:rPr>
          <w:rFonts w:ascii="Arial"/>
          <w:i/>
          <w:sz w:val="20"/>
        </w:rPr>
        <w:t>13</w:t>
      </w:r>
      <w:r>
        <w:rPr>
          <w:rFonts w:ascii="Arial"/>
          <w:i/>
          <w:spacing w:val="13"/>
          <w:sz w:val="20"/>
        </w:rPr>
        <w:t> </w:t>
      </w:r>
      <w:r>
        <w:rPr>
          <w:rFonts w:ascii="Arial"/>
          <w:i/>
          <w:sz w:val="20"/>
        </w:rPr>
        <w:t>Q.B.</w:t>
      </w:r>
      <w:r>
        <w:rPr>
          <w:rFonts w:ascii="Arial"/>
          <w:i/>
          <w:spacing w:val="13"/>
          <w:sz w:val="20"/>
        </w:rPr>
        <w:t> </w:t>
      </w:r>
      <w:r>
        <w:rPr>
          <w:rFonts w:ascii="Arial"/>
          <w:i/>
          <w:sz w:val="20"/>
        </w:rPr>
        <w:t>536</w:t>
      </w:r>
      <w:r>
        <w:rPr>
          <w:sz w:val="20"/>
        </w:rPr>
        <w:t>;</w:t>
      </w:r>
      <w:r>
        <w:rPr>
          <w:spacing w:val="13"/>
          <w:sz w:val="20"/>
        </w:rPr>
        <w:t> </w:t>
      </w:r>
      <w:r>
        <w:rPr>
          <w:rFonts w:ascii="Arial"/>
          <w:i/>
          <w:sz w:val="20"/>
        </w:rPr>
        <w:t>Thompson</w:t>
      </w:r>
      <w:r>
        <w:rPr>
          <w:rFonts w:ascii="Arial"/>
          <w:i/>
          <w:spacing w:val="13"/>
          <w:sz w:val="20"/>
        </w:rPr>
        <w:t> </w:t>
      </w:r>
      <w:r>
        <w:rPr>
          <w:rFonts w:ascii="Arial"/>
          <w:i/>
          <w:spacing w:val="-10"/>
          <w:sz w:val="20"/>
        </w:rPr>
        <w:t>v</w:t>
      </w:r>
    </w:p>
    <w:p>
      <w:pPr>
        <w:spacing w:line="225" w:lineRule="exact" w:before="0"/>
        <w:ind w:left="563" w:right="0" w:firstLine="0"/>
        <w:jc w:val="both"/>
        <w:rPr>
          <w:rFonts w:ascii="Arial"/>
          <w:i/>
          <w:sz w:val="20"/>
        </w:rPr>
      </w:pPr>
      <w:r>
        <w:rPr>
          <w:rFonts w:ascii="Arial"/>
          <w:i/>
          <w:sz w:val="20"/>
        </w:rPr>
        <w:t>Lack</w:t>
      </w:r>
      <w:r>
        <w:rPr>
          <w:rFonts w:ascii="Arial"/>
          <w:i/>
          <w:spacing w:val="34"/>
          <w:sz w:val="20"/>
        </w:rPr>
        <w:t> </w:t>
      </w:r>
      <w:r>
        <w:rPr>
          <w:rFonts w:ascii="Arial"/>
          <w:i/>
          <w:sz w:val="20"/>
        </w:rPr>
        <w:t>(1846)</w:t>
      </w:r>
      <w:r>
        <w:rPr>
          <w:rFonts w:ascii="Arial"/>
          <w:i/>
          <w:spacing w:val="35"/>
          <w:sz w:val="20"/>
        </w:rPr>
        <w:t> </w:t>
      </w:r>
      <w:r>
        <w:rPr>
          <w:rFonts w:ascii="Arial"/>
          <w:i/>
          <w:sz w:val="20"/>
        </w:rPr>
        <w:t>3</w:t>
      </w:r>
      <w:r>
        <w:rPr>
          <w:rFonts w:ascii="Arial"/>
          <w:i/>
          <w:spacing w:val="35"/>
          <w:sz w:val="20"/>
        </w:rPr>
        <w:t> </w:t>
      </w:r>
      <w:r>
        <w:rPr>
          <w:rFonts w:ascii="Arial"/>
          <w:i/>
          <w:sz w:val="20"/>
        </w:rPr>
        <w:t>C.B.</w:t>
      </w:r>
      <w:r>
        <w:rPr>
          <w:rFonts w:ascii="Arial"/>
          <w:i/>
          <w:spacing w:val="35"/>
          <w:sz w:val="20"/>
        </w:rPr>
        <w:t> </w:t>
      </w:r>
      <w:r>
        <w:rPr>
          <w:rFonts w:ascii="Arial"/>
          <w:i/>
          <w:sz w:val="20"/>
        </w:rPr>
        <w:t>540</w:t>
      </w:r>
      <w:r>
        <w:rPr>
          <w:sz w:val="20"/>
        </w:rPr>
        <w:t>;</w:t>
      </w:r>
      <w:r>
        <w:rPr>
          <w:spacing w:val="35"/>
          <w:sz w:val="20"/>
        </w:rPr>
        <w:t> </w:t>
      </w:r>
      <w:r>
        <w:rPr>
          <w:rFonts w:ascii="Arial"/>
          <w:i/>
          <w:sz w:val="20"/>
        </w:rPr>
        <w:t>Price</w:t>
      </w:r>
      <w:r>
        <w:rPr>
          <w:rFonts w:ascii="Arial"/>
          <w:i/>
          <w:spacing w:val="35"/>
          <w:sz w:val="20"/>
        </w:rPr>
        <w:t> </w:t>
      </w:r>
      <w:r>
        <w:rPr>
          <w:rFonts w:ascii="Arial"/>
          <w:i/>
          <w:sz w:val="20"/>
        </w:rPr>
        <w:t>v</w:t>
      </w:r>
      <w:r>
        <w:rPr>
          <w:rFonts w:ascii="Arial"/>
          <w:i/>
          <w:spacing w:val="35"/>
          <w:sz w:val="20"/>
        </w:rPr>
        <w:t> </w:t>
      </w:r>
      <w:r>
        <w:rPr>
          <w:rFonts w:ascii="Arial"/>
          <w:i/>
          <w:sz w:val="20"/>
        </w:rPr>
        <w:t>Barker</w:t>
      </w:r>
      <w:r>
        <w:rPr>
          <w:rFonts w:ascii="Arial"/>
          <w:i/>
          <w:spacing w:val="35"/>
          <w:sz w:val="20"/>
        </w:rPr>
        <w:t> </w:t>
      </w:r>
      <w:r>
        <w:rPr>
          <w:rFonts w:ascii="Arial"/>
          <w:i/>
          <w:sz w:val="20"/>
        </w:rPr>
        <w:t>(1855)</w:t>
      </w:r>
      <w:r>
        <w:rPr>
          <w:rFonts w:ascii="Arial"/>
          <w:i/>
          <w:spacing w:val="35"/>
          <w:sz w:val="20"/>
        </w:rPr>
        <w:t> </w:t>
      </w:r>
      <w:r>
        <w:rPr>
          <w:rFonts w:ascii="Arial"/>
          <w:i/>
          <w:sz w:val="20"/>
        </w:rPr>
        <w:t>4</w:t>
      </w:r>
      <w:r>
        <w:rPr>
          <w:rFonts w:ascii="Arial"/>
          <w:i/>
          <w:spacing w:val="34"/>
          <w:sz w:val="20"/>
        </w:rPr>
        <w:t> </w:t>
      </w:r>
      <w:r>
        <w:rPr>
          <w:rFonts w:ascii="Arial"/>
          <w:i/>
          <w:sz w:val="20"/>
        </w:rPr>
        <w:t>E.</w:t>
      </w:r>
      <w:r>
        <w:rPr>
          <w:rFonts w:ascii="Arial"/>
          <w:i/>
          <w:spacing w:val="35"/>
          <w:sz w:val="20"/>
        </w:rPr>
        <w:t> </w:t>
      </w:r>
      <w:r>
        <w:rPr>
          <w:rFonts w:ascii="Arial"/>
          <w:i/>
          <w:sz w:val="20"/>
        </w:rPr>
        <w:t>&amp;</w:t>
      </w:r>
      <w:r>
        <w:rPr>
          <w:rFonts w:ascii="Arial"/>
          <w:i/>
          <w:spacing w:val="35"/>
          <w:sz w:val="20"/>
        </w:rPr>
        <w:t> </w:t>
      </w:r>
      <w:r>
        <w:rPr>
          <w:rFonts w:ascii="Arial"/>
          <w:i/>
          <w:sz w:val="20"/>
        </w:rPr>
        <w:t>B.</w:t>
      </w:r>
      <w:r>
        <w:rPr>
          <w:rFonts w:ascii="Arial"/>
          <w:i/>
          <w:spacing w:val="35"/>
          <w:sz w:val="20"/>
        </w:rPr>
        <w:t> </w:t>
      </w:r>
      <w:r>
        <w:rPr>
          <w:rFonts w:ascii="Arial"/>
          <w:i/>
          <w:sz w:val="20"/>
        </w:rPr>
        <w:t>760</w:t>
      </w:r>
      <w:r>
        <w:rPr>
          <w:sz w:val="20"/>
        </w:rPr>
        <w:t>;</w:t>
      </w:r>
      <w:r>
        <w:rPr>
          <w:spacing w:val="35"/>
          <w:sz w:val="20"/>
        </w:rPr>
        <w:t> </w:t>
      </w:r>
      <w:r>
        <w:rPr>
          <w:rFonts w:ascii="Arial"/>
          <w:i/>
          <w:sz w:val="20"/>
        </w:rPr>
        <w:t>Willis</w:t>
      </w:r>
      <w:r>
        <w:rPr>
          <w:rFonts w:ascii="Arial"/>
          <w:i/>
          <w:spacing w:val="35"/>
          <w:sz w:val="20"/>
        </w:rPr>
        <w:t> </w:t>
      </w:r>
      <w:r>
        <w:rPr>
          <w:rFonts w:ascii="Arial"/>
          <w:i/>
          <w:sz w:val="20"/>
        </w:rPr>
        <w:t>v</w:t>
      </w:r>
      <w:r>
        <w:rPr>
          <w:rFonts w:ascii="Arial"/>
          <w:i/>
          <w:spacing w:val="35"/>
          <w:sz w:val="20"/>
        </w:rPr>
        <w:t> </w:t>
      </w:r>
      <w:r>
        <w:rPr>
          <w:rFonts w:ascii="Arial"/>
          <w:i/>
          <w:sz w:val="20"/>
        </w:rPr>
        <w:t>De</w:t>
      </w:r>
      <w:r>
        <w:rPr>
          <w:rFonts w:ascii="Arial"/>
          <w:i/>
          <w:spacing w:val="35"/>
          <w:sz w:val="20"/>
        </w:rPr>
        <w:t> </w:t>
      </w:r>
      <w:r>
        <w:rPr>
          <w:rFonts w:ascii="Arial"/>
          <w:i/>
          <w:sz w:val="20"/>
        </w:rPr>
        <w:t>Castro</w:t>
      </w:r>
      <w:r>
        <w:rPr>
          <w:rFonts w:ascii="Arial"/>
          <w:i/>
          <w:spacing w:val="35"/>
          <w:sz w:val="20"/>
        </w:rPr>
        <w:t> </w:t>
      </w:r>
      <w:r>
        <w:rPr>
          <w:rFonts w:ascii="Arial"/>
          <w:i/>
          <w:sz w:val="20"/>
        </w:rPr>
        <w:t>(1858)</w:t>
      </w:r>
      <w:r>
        <w:rPr>
          <w:rFonts w:ascii="Arial"/>
          <w:i/>
          <w:spacing w:val="35"/>
          <w:sz w:val="20"/>
        </w:rPr>
        <w:t> </w:t>
      </w:r>
      <w:r>
        <w:rPr>
          <w:rFonts w:ascii="Arial"/>
          <w:i/>
          <w:spacing w:val="-10"/>
          <w:sz w:val="20"/>
        </w:rPr>
        <w:t>4</w:t>
      </w:r>
    </w:p>
    <w:p>
      <w:pPr>
        <w:spacing w:line="235" w:lineRule="auto" w:before="2"/>
        <w:ind w:left="563" w:right="26" w:firstLine="0"/>
        <w:jc w:val="both"/>
        <w:rPr>
          <w:sz w:val="20"/>
        </w:rPr>
      </w:pPr>
      <w:r>
        <w:rPr>
          <w:rFonts w:ascii="Arial"/>
          <w:i/>
          <w:sz w:val="20"/>
        </w:rPr>
        <w:t>C.B.(N.S.) 216</w:t>
      </w:r>
      <w:r>
        <w:rPr>
          <w:sz w:val="20"/>
        </w:rPr>
        <w:t>; </w:t>
      </w:r>
      <w:r>
        <w:rPr>
          <w:rFonts w:ascii="Arial"/>
          <w:i/>
          <w:sz w:val="20"/>
        </w:rPr>
        <w:t>Bateson v Gosling (1871) L.R. 7 C.P. 9</w:t>
      </w:r>
      <w:r>
        <w:rPr>
          <w:sz w:val="20"/>
        </w:rPr>
        <w:t>; cf. </w:t>
      </w:r>
      <w:r>
        <w:rPr>
          <w:rFonts w:ascii="Arial"/>
          <w:i/>
          <w:sz w:val="20"/>
        </w:rPr>
        <w:t>Duck v Mayeu [1892] 2 Q.B. 511 </w:t>
      </w:r>
      <w:r>
        <w:rPr>
          <w:sz w:val="20"/>
        </w:rPr>
        <w:t>(joint tortfeasors); </w:t>
      </w:r>
      <w:r>
        <w:rPr>
          <w:rFonts w:ascii="Arial"/>
          <w:i/>
          <w:sz w:val="20"/>
        </w:rPr>
        <w:t>Apley Estates Co v De Bernales [1947] Ch. 217</w:t>
      </w:r>
      <w:r>
        <w:rPr>
          <w:rFonts w:ascii="Arial"/>
          <w:i/>
          <w:spacing w:val="-1"/>
          <w:sz w:val="20"/>
        </w:rPr>
        <w:t> </w:t>
      </w:r>
      <w:r>
        <w:rPr>
          <w:sz w:val="20"/>
        </w:rPr>
        <w:t>(joint tortfeasors); </w:t>
      </w:r>
      <w:r>
        <w:rPr>
          <w:rFonts w:ascii="Arial"/>
          <w:i/>
          <w:sz w:val="20"/>
        </w:rPr>
        <w:t>Gardiner v Moore</w:t>
      </w:r>
      <w:r>
        <w:rPr>
          <w:rFonts w:ascii="Arial"/>
          <w:i/>
          <w:spacing w:val="-3"/>
          <w:sz w:val="20"/>
        </w:rPr>
        <w:t> </w:t>
      </w:r>
      <w:r>
        <w:rPr>
          <w:rFonts w:ascii="Arial"/>
          <w:i/>
          <w:sz w:val="20"/>
        </w:rPr>
        <w:t>[1969]</w:t>
      </w:r>
      <w:r>
        <w:rPr>
          <w:rFonts w:ascii="Arial"/>
          <w:i/>
          <w:spacing w:val="-3"/>
          <w:sz w:val="20"/>
        </w:rPr>
        <w:t> </w:t>
      </w:r>
      <w:r>
        <w:rPr>
          <w:rFonts w:ascii="Arial"/>
          <w:i/>
          <w:sz w:val="20"/>
        </w:rPr>
        <w:t>1</w:t>
      </w:r>
      <w:r>
        <w:rPr>
          <w:rFonts w:ascii="Arial"/>
          <w:i/>
          <w:spacing w:val="-3"/>
          <w:sz w:val="20"/>
        </w:rPr>
        <w:t> </w:t>
      </w:r>
      <w:r>
        <w:rPr>
          <w:rFonts w:ascii="Arial"/>
          <w:i/>
          <w:sz w:val="20"/>
        </w:rPr>
        <w:t>Q.B.</w:t>
      </w:r>
      <w:r>
        <w:rPr>
          <w:rFonts w:ascii="Arial"/>
          <w:i/>
          <w:spacing w:val="-3"/>
          <w:sz w:val="20"/>
        </w:rPr>
        <w:t> </w:t>
      </w:r>
      <w:r>
        <w:rPr>
          <w:rFonts w:ascii="Arial"/>
          <w:i/>
          <w:sz w:val="20"/>
        </w:rPr>
        <w:t>55</w:t>
      </w:r>
      <w:r>
        <w:rPr>
          <w:rFonts w:ascii="Arial"/>
          <w:i/>
          <w:spacing w:val="-3"/>
          <w:sz w:val="20"/>
        </w:rPr>
        <w:t> </w:t>
      </w:r>
      <w:r>
        <w:rPr>
          <w:sz w:val="20"/>
        </w:rPr>
        <w:t>(joint</w:t>
      </w:r>
      <w:r>
        <w:rPr>
          <w:spacing w:val="-3"/>
          <w:sz w:val="20"/>
        </w:rPr>
        <w:t> </w:t>
      </w:r>
      <w:r>
        <w:rPr>
          <w:sz w:val="20"/>
        </w:rPr>
        <w:t>tortfeasors);</w:t>
      </w:r>
      <w:r>
        <w:rPr>
          <w:spacing w:val="-3"/>
          <w:sz w:val="20"/>
        </w:rPr>
        <w:t> </w:t>
      </w:r>
      <w:r>
        <w:rPr>
          <w:rFonts w:ascii="Arial"/>
          <w:i/>
          <w:sz w:val="20"/>
        </w:rPr>
        <w:t>Bryanston</w:t>
      </w:r>
      <w:r>
        <w:rPr>
          <w:rFonts w:ascii="Arial"/>
          <w:i/>
          <w:spacing w:val="-3"/>
          <w:sz w:val="20"/>
        </w:rPr>
        <w:t> </w:t>
      </w:r>
      <w:r>
        <w:rPr>
          <w:rFonts w:ascii="Arial"/>
          <w:i/>
          <w:sz w:val="20"/>
        </w:rPr>
        <w:t>Finance</w:t>
      </w:r>
      <w:r>
        <w:rPr>
          <w:rFonts w:ascii="Arial"/>
          <w:i/>
          <w:spacing w:val="-3"/>
          <w:sz w:val="20"/>
        </w:rPr>
        <w:t> </w:t>
      </w:r>
      <w:r>
        <w:rPr>
          <w:rFonts w:ascii="Arial"/>
          <w:i/>
          <w:sz w:val="20"/>
        </w:rPr>
        <w:t>v</w:t>
      </w:r>
      <w:r>
        <w:rPr>
          <w:rFonts w:ascii="Arial"/>
          <w:i/>
          <w:spacing w:val="-3"/>
          <w:sz w:val="20"/>
        </w:rPr>
        <w:t> </w:t>
      </w:r>
      <w:r>
        <w:rPr>
          <w:rFonts w:ascii="Arial"/>
          <w:i/>
          <w:sz w:val="20"/>
        </w:rPr>
        <w:t>de</w:t>
      </w:r>
      <w:r>
        <w:rPr>
          <w:rFonts w:ascii="Arial"/>
          <w:i/>
          <w:spacing w:val="-3"/>
          <w:sz w:val="20"/>
        </w:rPr>
        <w:t> </w:t>
      </w:r>
      <w:r>
        <w:rPr>
          <w:rFonts w:ascii="Arial"/>
          <w:i/>
          <w:sz w:val="20"/>
        </w:rPr>
        <w:t>Vries</w:t>
      </w:r>
      <w:r>
        <w:rPr>
          <w:rFonts w:ascii="Arial"/>
          <w:i/>
          <w:spacing w:val="-3"/>
          <w:sz w:val="20"/>
        </w:rPr>
        <w:t> </w:t>
      </w:r>
      <w:r>
        <w:rPr>
          <w:rFonts w:ascii="Arial"/>
          <w:i/>
          <w:sz w:val="20"/>
        </w:rPr>
        <w:t>[1975]</w:t>
      </w:r>
      <w:r>
        <w:rPr>
          <w:rFonts w:ascii="Arial"/>
          <w:i/>
          <w:spacing w:val="-3"/>
          <w:sz w:val="20"/>
        </w:rPr>
        <w:t> </w:t>
      </w:r>
      <w:r>
        <w:rPr>
          <w:rFonts w:ascii="Arial"/>
          <w:i/>
          <w:sz w:val="20"/>
        </w:rPr>
        <w:t>1</w:t>
      </w:r>
      <w:r>
        <w:rPr>
          <w:rFonts w:ascii="Arial"/>
          <w:i/>
          <w:spacing w:val="-3"/>
          <w:sz w:val="20"/>
        </w:rPr>
        <w:t> </w:t>
      </w:r>
      <w:r>
        <w:rPr>
          <w:rFonts w:ascii="Arial"/>
          <w:i/>
          <w:sz w:val="20"/>
        </w:rPr>
        <w:t>Q.B.</w:t>
      </w:r>
      <w:r>
        <w:rPr>
          <w:rFonts w:ascii="Arial"/>
          <w:i/>
          <w:spacing w:val="-3"/>
          <w:sz w:val="20"/>
        </w:rPr>
        <w:t> </w:t>
      </w:r>
      <w:r>
        <w:rPr>
          <w:rFonts w:ascii="Arial"/>
          <w:i/>
          <w:sz w:val="20"/>
        </w:rPr>
        <w:t>703</w:t>
      </w:r>
      <w:r>
        <w:rPr>
          <w:rFonts w:ascii="Arial"/>
          <w:i/>
          <w:spacing w:val="-4"/>
          <w:sz w:val="20"/>
        </w:rPr>
        <w:t> </w:t>
      </w:r>
      <w:r>
        <w:rPr>
          <w:sz w:val="20"/>
        </w:rPr>
        <w:t>(joint tortfeasors); </w:t>
      </w:r>
      <w:r>
        <w:rPr>
          <w:rFonts w:ascii="Arial"/>
          <w:i/>
          <w:sz w:val="20"/>
        </w:rPr>
        <w:t>Watts v Adlington, The Times, December 16, 1993 </w:t>
      </w:r>
      <w:r>
        <w:rPr>
          <w:sz w:val="20"/>
        </w:rPr>
        <w:t>(joint tortfeasors).</w:t>
      </w:r>
    </w:p>
    <w:p>
      <w:pPr>
        <w:pStyle w:val="BodyText"/>
        <w:spacing w:before="4"/>
      </w:pPr>
    </w:p>
    <w:p>
      <w:pPr>
        <w:tabs>
          <w:tab w:pos="540" w:val="left" w:leader="none"/>
        </w:tabs>
        <w:spacing w:line="227" w:lineRule="exact" w:before="0"/>
        <w:ind w:left="0" w:right="26" w:firstLine="0"/>
        <w:jc w:val="right"/>
        <w:rPr>
          <w:rFonts w:ascii="Arial"/>
          <w:i/>
          <w:sz w:val="20"/>
        </w:rPr>
      </w:pPr>
      <w:bookmarkStart w:name="_bookmark147" w:id="149"/>
      <w:bookmarkEnd w:id="149"/>
      <w:r>
        <w:rPr/>
      </w:r>
      <w:hyperlink w:history="true" w:anchor="_bookmark50">
        <w:r>
          <w:rPr>
            <w:color w:val="005DA1"/>
            <w:spacing w:val="-5"/>
            <w:position w:val="5"/>
            <w:sz w:val="14"/>
            <w:u w:val="single" w:color="005DA1"/>
          </w:rPr>
          <w:t>54</w:t>
        </w:r>
      </w:hyperlink>
      <w:r>
        <w:rPr>
          <w:spacing w:val="-5"/>
          <w:position w:val="5"/>
          <w:sz w:val="14"/>
        </w:rPr>
        <w:t>.</w:t>
      </w:r>
      <w:r>
        <w:rPr>
          <w:position w:val="5"/>
          <w:sz w:val="14"/>
        </w:rPr>
        <w:tab/>
      </w:r>
      <w:r>
        <w:rPr>
          <w:rFonts w:ascii="Arial"/>
          <w:i/>
          <w:sz w:val="20"/>
        </w:rPr>
        <w:t>Watters</w:t>
      </w:r>
      <w:r>
        <w:rPr>
          <w:rFonts w:ascii="Arial"/>
          <w:i/>
          <w:spacing w:val="34"/>
          <w:sz w:val="20"/>
        </w:rPr>
        <w:t> </w:t>
      </w:r>
      <w:r>
        <w:rPr>
          <w:rFonts w:ascii="Arial"/>
          <w:i/>
          <w:sz w:val="20"/>
        </w:rPr>
        <w:t>v</w:t>
      </w:r>
      <w:r>
        <w:rPr>
          <w:rFonts w:ascii="Arial"/>
          <w:i/>
          <w:spacing w:val="35"/>
          <w:sz w:val="20"/>
        </w:rPr>
        <w:t> </w:t>
      </w:r>
      <w:r>
        <w:rPr>
          <w:rFonts w:ascii="Arial"/>
          <w:i/>
          <w:sz w:val="20"/>
        </w:rPr>
        <w:t>Smith</w:t>
      </w:r>
      <w:r>
        <w:rPr>
          <w:rFonts w:ascii="Arial"/>
          <w:i/>
          <w:spacing w:val="35"/>
          <w:sz w:val="20"/>
        </w:rPr>
        <w:t> </w:t>
      </w:r>
      <w:r>
        <w:rPr>
          <w:rFonts w:ascii="Arial"/>
          <w:i/>
          <w:sz w:val="20"/>
        </w:rPr>
        <w:t>(1831)</w:t>
      </w:r>
      <w:r>
        <w:rPr>
          <w:rFonts w:ascii="Arial"/>
          <w:i/>
          <w:spacing w:val="35"/>
          <w:sz w:val="20"/>
        </w:rPr>
        <w:t> </w:t>
      </w:r>
      <w:r>
        <w:rPr>
          <w:rFonts w:ascii="Arial"/>
          <w:i/>
          <w:sz w:val="20"/>
        </w:rPr>
        <w:t>2</w:t>
      </w:r>
      <w:r>
        <w:rPr>
          <w:rFonts w:ascii="Arial"/>
          <w:i/>
          <w:spacing w:val="35"/>
          <w:sz w:val="20"/>
        </w:rPr>
        <w:t> </w:t>
      </w:r>
      <w:r>
        <w:rPr>
          <w:rFonts w:ascii="Arial"/>
          <w:i/>
          <w:sz w:val="20"/>
        </w:rPr>
        <w:t>B.</w:t>
      </w:r>
      <w:r>
        <w:rPr>
          <w:rFonts w:ascii="Arial"/>
          <w:i/>
          <w:spacing w:val="35"/>
          <w:sz w:val="20"/>
        </w:rPr>
        <w:t> </w:t>
      </w:r>
      <w:r>
        <w:rPr>
          <w:rFonts w:ascii="Arial"/>
          <w:i/>
          <w:sz w:val="20"/>
        </w:rPr>
        <w:t>&amp;</w:t>
      </w:r>
      <w:r>
        <w:rPr>
          <w:rFonts w:ascii="Arial"/>
          <w:i/>
          <w:spacing w:val="35"/>
          <w:sz w:val="20"/>
        </w:rPr>
        <w:t> </w:t>
      </w:r>
      <w:r>
        <w:rPr>
          <w:rFonts w:ascii="Arial"/>
          <w:i/>
          <w:sz w:val="20"/>
        </w:rPr>
        <w:t>Ad.</w:t>
      </w:r>
      <w:r>
        <w:rPr>
          <w:rFonts w:ascii="Arial"/>
          <w:i/>
          <w:spacing w:val="35"/>
          <w:sz w:val="20"/>
        </w:rPr>
        <w:t> </w:t>
      </w:r>
      <w:r>
        <w:rPr>
          <w:rFonts w:ascii="Arial"/>
          <w:i/>
          <w:sz w:val="20"/>
        </w:rPr>
        <w:t>889</w:t>
      </w:r>
      <w:r>
        <w:rPr>
          <w:sz w:val="20"/>
        </w:rPr>
        <w:t>;</w:t>
      </w:r>
      <w:r>
        <w:rPr>
          <w:spacing w:val="35"/>
          <w:sz w:val="20"/>
        </w:rPr>
        <w:t> </w:t>
      </w:r>
      <w:r>
        <w:rPr>
          <w:rFonts w:ascii="Arial"/>
          <w:i/>
          <w:sz w:val="20"/>
        </w:rPr>
        <w:t>Ex</w:t>
      </w:r>
      <w:r>
        <w:rPr>
          <w:rFonts w:ascii="Arial"/>
          <w:i/>
          <w:spacing w:val="34"/>
          <w:sz w:val="20"/>
        </w:rPr>
        <w:t> </w:t>
      </w:r>
      <w:r>
        <w:rPr>
          <w:rFonts w:ascii="Arial"/>
          <w:i/>
          <w:sz w:val="20"/>
        </w:rPr>
        <w:t>p.</w:t>
      </w:r>
      <w:r>
        <w:rPr>
          <w:rFonts w:ascii="Arial"/>
          <w:i/>
          <w:spacing w:val="35"/>
          <w:sz w:val="20"/>
        </w:rPr>
        <w:t> </w:t>
      </w:r>
      <w:r>
        <w:rPr>
          <w:rFonts w:ascii="Arial"/>
          <w:i/>
          <w:sz w:val="20"/>
        </w:rPr>
        <w:t>Good,</w:t>
      </w:r>
      <w:r>
        <w:rPr>
          <w:rFonts w:ascii="Arial"/>
          <w:i/>
          <w:spacing w:val="35"/>
          <w:sz w:val="20"/>
        </w:rPr>
        <w:t> </w:t>
      </w:r>
      <w:r>
        <w:rPr>
          <w:rFonts w:ascii="Arial"/>
          <w:i/>
          <w:sz w:val="20"/>
        </w:rPr>
        <w:t>Re</w:t>
      </w:r>
      <w:r>
        <w:rPr>
          <w:rFonts w:ascii="Arial"/>
          <w:i/>
          <w:spacing w:val="35"/>
          <w:sz w:val="20"/>
        </w:rPr>
        <w:t> </w:t>
      </w:r>
      <w:r>
        <w:rPr>
          <w:rFonts w:ascii="Arial"/>
          <w:i/>
          <w:sz w:val="20"/>
        </w:rPr>
        <w:t>Armitage</w:t>
      </w:r>
      <w:r>
        <w:rPr>
          <w:rFonts w:ascii="Arial"/>
          <w:i/>
          <w:spacing w:val="35"/>
          <w:sz w:val="20"/>
        </w:rPr>
        <w:t> </w:t>
      </w:r>
      <w:r>
        <w:rPr>
          <w:rFonts w:ascii="Arial"/>
          <w:i/>
          <w:sz w:val="20"/>
        </w:rPr>
        <w:t>(1877)</w:t>
      </w:r>
      <w:r>
        <w:rPr>
          <w:rFonts w:ascii="Arial"/>
          <w:i/>
          <w:spacing w:val="35"/>
          <w:sz w:val="20"/>
        </w:rPr>
        <w:t> </w:t>
      </w:r>
      <w:r>
        <w:rPr>
          <w:rFonts w:ascii="Arial"/>
          <w:i/>
          <w:sz w:val="20"/>
        </w:rPr>
        <w:t>5</w:t>
      </w:r>
      <w:r>
        <w:rPr>
          <w:rFonts w:ascii="Arial"/>
          <w:i/>
          <w:spacing w:val="35"/>
          <w:sz w:val="20"/>
        </w:rPr>
        <w:t> </w:t>
      </w:r>
      <w:r>
        <w:rPr>
          <w:rFonts w:ascii="Arial"/>
          <w:i/>
          <w:sz w:val="20"/>
        </w:rPr>
        <w:t>Ch.</w:t>
      </w:r>
      <w:r>
        <w:rPr>
          <w:rFonts w:ascii="Arial"/>
          <w:i/>
          <w:spacing w:val="35"/>
          <w:sz w:val="20"/>
        </w:rPr>
        <w:t> </w:t>
      </w:r>
      <w:r>
        <w:rPr>
          <w:rFonts w:ascii="Arial"/>
          <w:i/>
          <w:sz w:val="20"/>
        </w:rPr>
        <w:t>D.</w:t>
      </w:r>
      <w:r>
        <w:rPr>
          <w:rFonts w:ascii="Arial"/>
          <w:i/>
          <w:spacing w:val="35"/>
          <w:sz w:val="20"/>
        </w:rPr>
        <w:t> </w:t>
      </w:r>
      <w:r>
        <w:rPr>
          <w:rFonts w:ascii="Arial"/>
          <w:i/>
          <w:sz w:val="20"/>
        </w:rPr>
        <w:t>46</w:t>
      </w:r>
      <w:r>
        <w:rPr>
          <w:sz w:val="20"/>
        </w:rPr>
        <w:t>;</w:t>
      </w:r>
      <w:r>
        <w:rPr>
          <w:spacing w:val="35"/>
          <w:sz w:val="20"/>
        </w:rPr>
        <w:t> </w:t>
      </w:r>
      <w:r>
        <w:rPr>
          <w:rFonts w:ascii="Arial"/>
          <w:i/>
          <w:spacing w:val="-5"/>
          <w:sz w:val="20"/>
        </w:rPr>
        <w:t>Re</w:t>
      </w:r>
    </w:p>
    <w:p>
      <w:pPr>
        <w:spacing w:line="225" w:lineRule="exact" w:before="0"/>
        <w:ind w:left="0" w:right="26" w:firstLine="0"/>
        <w:jc w:val="right"/>
        <w:rPr>
          <w:rFonts w:ascii="Arial" w:hAnsi="Arial"/>
          <w:i/>
          <w:sz w:val="20"/>
        </w:rPr>
      </w:pPr>
      <w:r>
        <w:rPr>
          <w:rFonts w:ascii="Arial" w:hAnsi="Arial"/>
          <w:i/>
          <w:sz w:val="20"/>
        </w:rPr>
        <w:t>Wolmershausen</w:t>
      </w:r>
      <w:r>
        <w:rPr>
          <w:rFonts w:ascii="Arial" w:hAnsi="Arial"/>
          <w:i/>
          <w:spacing w:val="4"/>
          <w:sz w:val="20"/>
        </w:rPr>
        <w:t> </w:t>
      </w:r>
      <w:r>
        <w:rPr>
          <w:rFonts w:ascii="Arial" w:hAnsi="Arial"/>
          <w:i/>
          <w:sz w:val="20"/>
        </w:rPr>
        <w:t>(1890)</w:t>
      </w:r>
      <w:r>
        <w:rPr>
          <w:rFonts w:ascii="Arial" w:hAnsi="Arial"/>
          <w:i/>
          <w:spacing w:val="7"/>
          <w:sz w:val="20"/>
        </w:rPr>
        <w:t> </w:t>
      </w:r>
      <w:r>
        <w:rPr>
          <w:rFonts w:ascii="Arial" w:hAnsi="Arial"/>
          <w:i/>
          <w:sz w:val="20"/>
        </w:rPr>
        <w:t>62</w:t>
      </w:r>
      <w:r>
        <w:rPr>
          <w:rFonts w:ascii="Arial" w:hAnsi="Arial"/>
          <w:i/>
          <w:spacing w:val="7"/>
          <w:sz w:val="20"/>
        </w:rPr>
        <w:t> </w:t>
      </w:r>
      <w:r>
        <w:rPr>
          <w:rFonts w:ascii="Arial" w:hAnsi="Arial"/>
          <w:i/>
          <w:sz w:val="20"/>
        </w:rPr>
        <w:t>L.T.</w:t>
      </w:r>
      <w:r>
        <w:rPr>
          <w:rFonts w:ascii="Arial" w:hAnsi="Arial"/>
          <w:i/>
          <w:spacing w:val="7"/>
          <w:sz w:val="20"/>
        </w:rPr>
        <w:t> </w:t>
      </w:r>
      <w:r>
        <w:rPr>
          <w:rFonts w:ascii="Arial" w:hAnsi="Arial"/>
          <w:i/>
          <w:sz w:val="20"/>
        </w:rPr>
        <w:t>541</w:t>
      </w:r>
      <w:r>
        <w:rPr>
          <w:sz w:val="20"/>
        </w:rPr>
        <w:t>;</w:t>
      </w:r>
      <w:r>
        <w:rPr>
          <w:spacing w:val="7"/>
          <w:sz w:val="20"/>
        </w:rPr>
        <w:t> </w:t>
      </w:r>
      <w:r>
        <w:rPr>
          <w:rFonts w:ascii="Arial" w:hAnsi="Arial"/>
          <w:i/>
          <w:sz w:val="20"/>
        </w:rPr>
        <w:t>Re</w:t>
      </w:r>
      <w:r>
        <w:rPr>
          <w:rFonts w:ascii="Arial" w:hAnsi="Arial"/>
          <w:i/>
          <w:spacing w:val="7"/>
          <w:sz w:val="20"/>
        </w:rPr>
        <w:t> </w:t>
      </w:r>
      <w:r>
        <w:rPr>
          <w:rFonts w:ascii="Arial" w:hAnsi="Arial"/>
          <w:i/>
          <w:sz w:val="20"/>
        </w:rPr>
        <w:t>E.W.A.</w:t>
      </w:r>
      <w:r>
        <w:rPr>
          <w:rFonts w:ascii="Arial" w:hAnsi="Arial"/>
          <w:i/>
          <w:spacing w:val="7"/>
          <w:sz w:val="20"/>
        </w:rPr>
        <w:t> </w:t>
      </w:r>
      <w:r>
        <w:rPr>
          <w:rFonts w:ascii="Arial" w:hAnsi="Arial"/>
          <w:i/>
          <w:sz w:val="20"/>
        </w:rPr>
        <w:t>[1901]</w:t>
      </w:r>
      <w:r>
        <w:rPr>
          <w:rFonts w:ascii="Arial" w:hAnsi="Arial"/>
          <w:i/>
          <w:spacing w:val="6"/>
          <w:sz w:val="20"/>
        </w:rPr>
        <w:t> </w:t>
      </w:r>
      <w:r>
        <w:rPr>
          <w:rFonts w:ascii="Arial" w:hAnsi="Arial"/>
          <w:i/>
          <w:sz w:val="20"/>
        </w:rPr>
        <w:t>2</w:t>
      </w:r>
      <w:r>
        <w:rPr>
          <w:rFonts w:ascii="Arial" w:hAnsi="Arial"/>
          <w:i/>
          <w:spacing w:val="7"/>
          <w:sz w:val="20"/>
        </w:rPr>
        <w:t> </w:t>
      </w:r>
      <w:r>
        <w:rPr>
          <w:rFonts w:ascii="Arial" w:hAnsi="Arial"/>
          <w:i/>
          <w:sz w:val="20"/>
        </w:rPr>
        <w:t>K.B.</w:t>
      </w:r>
      <w:r>
        <w:rPr>
          <w:rFonts w:ascii="Arial" w:hAnsi="Arial"/>
          <w:i/>
          <w:spacing w:val="7"/>
          <w:sz w:val="20"/>
        </w:rPr>
        <w:t> </w:t>
      </w:r>
      <w:r>
        <w:rPr>
          <w:rFonts w:ascii="Arial" w:hAnsi="Arial"/>
          <w:i/>
          <w:sz w:val="20"/>
        </w:rPr>
        <w:t>642,</w:t>
      </w:r>
      <w:r>
        <w:rPr>
          <w:rFonts w:ascii="Arial" w:hAnsi="Arial"/>
          <w:i/>
          <w:spacing w:val="7"/>
          <w:sz w:val="20"/>
        </w:rPr>
        <w:t> </w:t>
      </w:r>
      <w:r>
        <w:rPr>
          <w:rFonts w:ascii="Arial" w:hAnsi="Arial"/>
          <w:i/>
          <w:sz w:val="20"/>
        </w:rPr>
        <w:t>648–649</w:t>
      </w:r>
      <w:r>
        <w:rPr>
          <w:sz w:val="20"/>
        </w:rPr>
        <w:t>;</w:t>
      </w:r>
      <w:r>
        <w:rPr>
          <w:spacing w:val="7"/>
          <w:sz w:val="20"/>
        </w:rPr>
        <w:t> </w:t>
      </w:r>
      <w:r>
        <w:rPr>
          <w:rFonts w:ascii="Arial" w:hAnsi="Arial"/>
          <w:i/>
          <w:sz w:val="20"/>
        </w:rPr>
        <w:t>Johnson</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pacing w:val="-2"/>
          <w:sz w:val="20"/>
        </w:rPr>
        <w:t>Davies</w:t>
      </w:r>
    </w:p>
    <w:p>
      <w:pPr>
        <w:spacing w:line="225" w:lineRule="exact" w:before="0"/>
        <w:ind w:left="0" w:right="26" w:firstLine="0"/>
        <w:jc w:val="right"/>
        <w:rPr>
          <w:rFonts w:ascii="Arial"/>
          <w:i/>
          <w:sz w:val="20"/>
        </w:rPr>
      </w:pPr>
      <w:r>
        <w:rPr>
          <w:rFonts w:ascii="Arial"/>
          <w:i/>
          <w:sz w:val="20"/>
        </w:rPr>
        <w:t>[1998]</w:t>
      </w:r>
      <w:r>
        <w:rPr>
          <w:rFonts w:ascii="Arial"/>
          <w:i/>
          <w:spacing w:val="34"/>
          <w:sz w:val="20"/>
        </w:rPr>
        <w:t> </w:t>
      </w:r>
      <w:r>
        <w:rPr>
          <w:rFonts w:ascii="Arial"/>
          <w:i/>
          <w:sz w:val="20"/>
        </w:rPr>
        <w:t>3</w:t>
      </w:r>
      <w:r>
        <w:rPr>
          <w:rFonts w:ascii="Arial"/>
          <w:i/>
          <w:spacing w:val="35"/>
          <w:sz w:val="20"/>
        </w:rPr>
        <w:t> </w:t>
      </w:r>
      <w:r>
        <w:rPr>
          <w:rFonts w:ascii="Arial"/>
          <w:i/>
          <w:sz w:val="20"/>
        </w:rPr>
        <w:t>W.L.R.</w:t>
      </w:r>
      <w:r>
        <w:rPr>
          <w:rFonts w:ascii="Arial"/>
          <w:i/>
          <w:spacing w:val="35"/>
          <w:sz w:val="20"/>
        </w:rPr>
        <w:t> </w:t>
      </w:r>
      <w:r>
        <w:rPr>
          <w:rFonts w:ascii="Arial"/>
          <w:i/>
          <w:sz w:val="20"/>
        </w:rPr>
        <w:t>1299</w:t>
      </w:r>
      <w:r>
        <w:rPr>
          <w:sz w:val="20"/>
        </w:rPr>
        <w:t>;</w:t>
      </w:r>
      <w:r>
        <w:rPr>
          <w:spacing w:val="35"/>
          <w:sz w:val="20"/>
        </w:rPr>
        <w:t> </w:t>
      </w:r>
      <w:r>
        <w:rPr>
          <w:rFonts w:ascii="Arial"/>
          <w:i/>
          <w:sz w:val="20"/>
        </w:rPr>
        <w:t>Sun</w:t>
      </w:r>
      <w:r>
        <w:rPr>
          <w:rFonts w:ascii="Arial"/>
          <w:i/>
          <w:spacing w:val="35"/>
          <w:sz w:val="20"/>
        </w:rPr>
        <w:t> </w:t>
      </w:r>
      <w:r>
        <w:rPr>
          <w:rFonts w:ascii="Arial"/>
          <w:i/>
          <w:sz w:val="20"/>
        </w:rPr>
        <w:t>Life</w:t>
      </w:r>
      <w:r>
        <w:rPr>
          <w:rFonts w:ascii="Arial"/>
          <w:i/>
          <w:spacing w:val="35"/>
          <w:sz w:val="20"/>
        </w:rPr>
        <w:t> </w:t>
      </w:r>
      <w:r>
        <w:rPr>
          <w:rFonts w:ascii="Arial"/>
          <w:i/>
          <w:sz w:val="20"/>
        </w:rPr>
        <w:t>Assurance</w:t>
      </w:r>
      <w:r>
        <w:rPr>
          <w:rFonts w:ascii="Arial"/>
          <w:i/>
          <w:spacing w:val="35"/>
          <w:sz w:val="20"/>
        </w:rPr>
        <w:t> </w:t>
      </w:r>
      <w:r>
        <w:rPr>
          <w:rFonts w:ascii="Arial"/>
          <w:i/>
          <w:sz w:val="20"/>
        </w:rPr>
        <w:t>Society</w:t>
      </w:r>
      <w:r>
        <w:rPr>
          <w:rFonts w:ascii="Arial"/>
          <w:i/>
          <w:spacing w:val="35"/>
          <w:sz w:val="20"/>
        </w:rPr>
        <w:t> </w:t>
      </w:r>
      <w:r>
        <w:rPr>
          <w:rFonts w:ascii="Arial"/>
          <w:i/>
          <w:sz w:val="20"/>
        </w:rPr>
        <w:t>Plc</w:t>
      </w:r>
      <w:r>
        <w:rPr>
          <w:rFonts w:ascii="Arial"/>
          <w:i/>
          <w:spacing w:val="35"/>
          <w:sz w:val="20"/>
        </w:rPr>
        <w:t> </w:t>
      </w:r>
      <w:r>
        <w:rPr>
          <w:rFonts w:ascii="Arial"/>
          <w:i/>
          <w:sz w:val="20"/>
        </w:rPr>
        <w:t>v</w:t>
      </w:r>
      <w:r>
        <w:rPr>
          <w:rFonts w:ascii="Arial"/>
          <w:i/>
          <w:spacing w:val="35"/>
          <w:sz w:val="20"/>
        </w:rPr>
        <w:t> </w:t>
      </w:r>
      <w:r>
        <w:rPr>
          <w:rFonts w:ascii="Arial"/>
          <w:i/>
          <w:sz w:val="20"/>
        </w:rPr>
        <w:t>Tantofex</w:t>
      </w:r>
      <w:r>
        <w:rPr>
          <w:rFonts w:ascii="Arial"/>
          <w:i/>
          <w:spacing w:val="35"/>
          <w:sz w:val="20"/>
        </w:rPr>
        <w:t> </w:t>
      </w:r>
      <w:r>
        <w:rPr>
          <w:rFonts w:ascii="Arial"/>
          <w:i/>
          <w:sz w:val="20"/>
        </w:rPr>
        <w:t>(Engineers)</w:t>
      </w:r>
      <w:r>
        <w:rPr>
          <w:rFonts w:ascii="Arial"/>
          <w:i/>
          <w:spacing w:val="35"/>
          <w:sz w:val="20"/>
        </w:rPr>
        <w:t> </w:t>
      </w:r>
      <w:r>
        <w:rPr>
          <w:rFonts w:ascii="Arial"/>
          <w:i/>
          <w:sz w:val="20"/>
        </w:rPr>
        <w:t>Ltd</w:t>
      </w:r>
      <w:r>
        <w:rPr>
          <w:rFonts w:ascii="Arial"/>
          <w:i/>
          <w:spacing w:val="35"/>
          <w:sz w:val="20"/>
        </w:rPr>
        <w:t> </w:t>
      </w:r>
      <w:r>
        <w:rPr>
          <w:rFonts w:ascii="Arial"/>
          <w:i/>
          <w:sz w:val="20"/>
        </w:rPr>
        <w:t>[1999]</w:t>
      </w:r>
      <w:r>
        <w:rPr>
          <w:rFonts w:ascii="Arial"/>
          <w:i/>
          <w:spacing w:val="35"/>
          <w:sz w:val="20"/>
        </w:rPr>
        <w:t> </w:t>
      </w:r>
      <w:r>
        <w:rPr>
          <w:rFonts w:ascii="Arial"/>
          <w:i/>
          <w:spacing w:val="-10"/>
          <w:sz w:val="20"/>
        </w:rPr>
        <w:t>2</w:t>
      </w:r>
    </w:p>
    <w:p>
      <w:pPr>
        <w:spacing w:line="235" w:lineRule="auto" w:before="2"/>
        <w:ind w:left="563" w:right="25" w:firstLine="0"/>
        <w:jc w:val="both"/>
        <w:rPr>
          <w:sz w:val="20"/>
        </w:rPr>
      </w:pPr>
      <w:r>
        <w:rPr>
          <w:rFonts w:ascii="Arial" w:hAnsi="Arial"/>
          <w:i/>
          <w:sz w:val="20"/>
        </w:rPr>
        <w:t>E.G.L.R.</w:t>
      </w:r>
      <w:r>
        <w:rPr>
          <w:rFonts w:ascii="Arial" w:hAnsi="Arial"/>
          <w:i/>
          <w:spacing w:val="-2"/>
          <w:sz w:val="20"/>
        </w:rPr>
        <w:t> </w:t>
      </w:r>
      <w:r>
        <w:rPr>
          <w:rFonts w:ascii="Arial" w:hAnsi="Arial"/>
          <w:i/>
          <w:sz w:val="20"/>
        </w:rPr>
        <w:t>135</w:t>
      </w:r>
      <w:r>
        <w:rPr>
          <w:sz w:val="20"/>
        </w:rPr>
        <w:t>;</w:t>
      </w:r>
      <w:r>
        <w:rPr>
          <w:spacing w:val="-2"/>
          <w:sz w:val="20"/>
        </w:rPr>
        <w:t> </w:t>
      </w:r>
      <w:r>
        <w:rPr>
          <w:sz w:val="20"/>
        </w:rPr>
        <w:t>cf.</w:t>
      </w:r>
      <w:r>
        <w:rPr>
          <w:spacing w:val="-2"/>
          <w:sz w:val="20"/>
        </w:rPr>
        <w:t> </w:t>
      </w:r>
      <w:r>
        <w:rPr>
          <w:rFonts w:ascii="Arial" w:hAnsi="Arial"/>
          <w:i/>
          <w:sz w:val="20"/>
        </w:rPr>
        <w:t>Watts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Adlington,</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Times,</w:t>
      </w:r>
      <w:r>
        <w:rPr>
          <w:rFonts w:ascii="Arial" w:hAnsi="Arial"/>
          <w:i/>
          <w:spacing w:val="-2"/>
          <w:sz w:val="20"/>
        </w:rPr>
        <w:t> </w:t>
      </w:r>
      <w:r>
        <w:rPr>
          <w:rFonts w:ascii="Arial" w:hAnsi="Arial"/>
          <w:i/>
          <w:sz w:val="20"/>
        </w:rPr>
        <w:t>December</w:t>
      </w:r>
      <w:r>
        <w:rPr>
          <w:rFonts w:ascii="Arial" w:hAnsi="Arial"/>
          <w:i/>
          <w:spacing w:val="-2"/>
          <w:sz w:val="20"/>
        </w:rPr>
        <w:t> </w:t>
      </w:r>
      <w:r>
        <w:rPr>
          <w:rFonts w:ascii="Arial" w:hAnsi="Arial"/>
          <w:i/>
          <w:sz w:val="20"/>
        </w:rPr>
        <w:t>16,</w:t>
      </w:r>
      <w:r>
        <w:rPr>
          <w:rFonts w:ascii="Arial" w:hAnsi="Arial"/>
          <w:i/>
          <w:spacing w:val="-2"/>
          <w:sz w:val="20"/>
        </w:rPr>
        <w:t> </w:t>
      </w:r>
      <w:r>
        <w:rPr>
          <w:rFonts w:ascii="Arial" w:hAnsi="Arial"/>
          <w:i/>
          <w:sz w:val="20"/>
        </w:rPr>
        <w:t>1993</w:t>
      </w:r>
      <w:r>
        <w:rPr>
          <w:rFonts w:ascii="Arial" w:hAnsi="Arial"/>
          <w:i/>
          <w:spacing w:val="-3"/>
          <w:sz w:val="20"/>
        </w:rPr>
        <w:t> </w:t>
      </w:r>
      <w:r>
        <w:rPr>
          <w:sz w:val="20"/>
        </w:rPr>
        <w:t>(joint</w:t>
      </w:r>
      <w:r>
        <w:rPr>
          <w:spacing w:val="-2"/>
          <w:sz w:val="20"/>
        </w:rPr>
        <w:t> </w:t>
      </w:r>
      <w:r>
        <w:rPr>
          <w:sz w:val="20"/>
        </w:rPr>
        <w:t>tortfeasors).</w:t>
      </w:r>
      <w:r>
        <w:rPr>
          <w:spacing w:val="-2"/>
          <w:sz w:val="20"/>
        </w:rPr>
        <w:t> </w:t>
      </w:r>
      <w:r>
        <w:rPr>
          <w:sz w:val="20"/>
        </w:rPr>
        <w:t>See</w:t>
      </w:r>
      <w:r>
        <w:rPr>
          <w:spacing w:val="-2"/>
          <w:sz w:val="20"/>
        </w:rPr>
        <w:t> </w:t>
      </w:r>
      <w:r>
        <w:rPr>
          <w:sz w:val="20"/>
        </w:rPr>
        <w:t>also </w:t>
      </w:r>
      <w:r>
        <w:rPr>
          <w:rFonts w:ascii="Arial" w:hAnsi="Arial"/>
          <w:i/>
          <w:sz w:val="20"/>
        </w:rPr>
        <w:t>Heaton v Axa Equity and Law Life Assurance Society Plc [2002] UKHL 15, [2002] 2 </w:t>
      </w:r>
      <w:r>
        <w:rPr>
          <w:rFonts w:ascii="Arial" w:hAnsi="Arial"/>
          <w:i/>
          <w:sz w:val="20"/>
        </w:rPr>
        <w:t>W.L.R. 1081 </w:t>
      </w:r>
      <w:r>
        <w:rPr>
          <w:sz w:val="20"/>
        </w:rPr>
        <w:t>(a separate contractbreaker, albeit liable for the same damage to the claimant, was held not to be discharged by the claimant’s settlement with another contract-breaker). </w:t>
      </w:r>
      <w:r>
        <w:rPr>
          <w:sz w:val="20"/>
        </w:rPr>
        <w:t>Contrast </w:t>
      </w:r>
      <w:r>
        <w:rPr>
          <w:rFonts w:ascii="Arial" w:hAnsi="Arial"/>
          <w:i/>
          <w:sz w:val="20"/>
        </w:rPr>
        <w:t>Crooks v Newdigate Properties Ltd [2009] EWCA Civ 283</w:t>
      </w:r>
      <w:r>
        <w:rPr>
          <w:rFonts w:ascii="Arial" w:hAnsi="Arial"/>
          <w:i/>
          <w:spacing w:val="-1"/>
          <w:sz w:val="20"/>
        </w:rPr>
        <w:t> </w:t>
      </w:r>
      <w:r>
        <w:rPr>
          <w:sz w:val="20"/>
        </w:rPr>
        <w:t>(joint tortfeasors) in which it was </w:t>
      </w:r>
      <w:r>
        <w:rPr>
          <w:sz w:val="20"/>
        </w:rPr>
        <w:t>held that, on payment of the full judgment debt by the other joint tortfeasors (D2 etc.), the liability </w:t>
      </w:r>
      <w:r>
        <w:rPr>
          <w:sz w:val="20"/>
        </w:rPr>
        <w:t>of D1 under that judgment was discharged/released because, despite a reservation of </w:t>
      </w:r>
      <w:r>
        <w:rPr>
          <w:sz w:val="20"/>
        </w:rPr>
        <w:t>rights against D1, there was no outstanding loss that the victim of the tort (C1) could recover from D1. And the claimant (C2) who had been assigned the rights of C1 could be in no better position than C1.</w:t>
      </w:r>
    </w:p>
    <w:p>
      <w:pPr>
        <w:pStyle w:val="BodyText"/>
        <w:spacing w:before="2"/>
      </w:pPr>
    </w:p>
    <w:p>
      <w:pPr>
        <w:tabs>
          <w:tab w:pos="563" w:val="left" w:leader="none"/>
        </w:tabs>
        <w:spacing w:before="0"/>
        <w:ind w:left="23" w:right="0" w:firstLine="0"/>
        <w:jc w:val="left"/>
        <w:rPr>
          <w:sz w:val="20"/>
        </w:rPr>
      </w:pPr>
      <w:bookmarkStart w:name="_bookmark148" w:id="150"/>
      <w:bookmarkEnd w:id="150"/>
      <w:r>
        <w:rPr/>
      </w:r>
      <w:hyperlink w:history="true" w:anchor="_bookmark51">
        <w:r>
          <w:rPr>
            <w:color w:val="005DA1"/>
            <w:spacing w:val="-5"/>
            <w:position w:val="5"/>
            <w:sz w:val="14"/>
            <w:u w:val="single" w:color="005DA1"/>
          </w:rPr>
          <w:t>55</w:t>
        </w:r>
      </w:hyperlink>
      <w:r>
        <w:rPr>
          <w:spacing w:val="-5"/>
          <w:position w:val="5"/>
          <w:sz w:val="14"/>
        </w:rPr>
        <w:t>.</w:t>
      </w:r>
      <w:r>
        <w:rPr>
          <w:position w:val="5"/>
          <w:sz w:val="14"/>
        </w:rPr>
        <w:tab/>
      </w:r>
      <w:r>
        <w:rPr>
          <w:rFonts w:ascii="Arial"/>
          <w:i/>
          <w:sz w:val="20"/>
        </w:rPr>
        <w:t>Re E.W.A. [1901] 2 K.B. 642, </w:t>
      </w:r>
      <w:r>
        <w:rPr>
          <w:rFonts w:ascii="Arial"/>
          <w:i/>
          <w:spacing w:val="-4"/>
          <w:sz w:val="20"/>
        </w:rPr>
        <w:t>649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49" w:id="151"/>
      <w:bookmarkEnd w:id="151"/>
      <w:r>
        <w:rPr/>
      </w:r>
      <w:hyperlink w:history="true" w:anchor="_bookmark52">
        <w:r>
          <w:rPr>
            <w:color w:val="005DA1"/>
            <w:spacing w:val="-5"/>
            <w:position w:val="5"/>
            <w:sz w:val="14"/>
            <w:u w:val="single" w:color="005DA1"/>
          </w:rPr>
          <w:t>56</w:t>
        </w:r>
      </w:hyperlink>
      <w:r>
        <w:rPr>
          <w:spacing w:val="-5"/>
          <w:position w:val="5"/>
          <w:sz w:val="14"/>
        </w:rPr>
        <w:t>.</w:t>
      </w:r>
      <w:r>
        <w:rPr>
          <w:position w:val="5"/>
          <w:sz w:val="14"/>
        </w:rPr>
        <w:tab/>
      </w:r>
      <w:r>
        <w:rPr>
          <w:rFonts w:ascii="Arial"/>
          <w:i/>
          <w:sz w:val="20"/>
        </w:rPr>
        <w:t>Deanplan</w:t>
      </w:r>
      <w:r>
        <w:rPr>
          <w:rFonts w:ascii="Arial"/>
          <w:i/>
          <w:spacing w:val="-1"/>
          <w:sz w:val="20"/>
        </w:rPr>
        <w:t> </w:t>
      </w:r>
      <w:r>
        <w:rPr>
          <w:rFonts w:ascii="Arial"/>
          <w:i/>
          <w:sz w:val="20"/>
        </w:rPr>
        <w:t>Ltd v Mahmoud [1993] Ch. 151</w:t>
      </w:r>
      <w:r>
        <w:rPr>
          <w:sz w:val="20"/>
        </w:rPr>
        <w:t>; </w:t>
      </w:r>
      <w:r>
        <w:rPr>
          <w:rFonts w:ascii="Arial"/>
          <w:i/>
          <w:sz w:val="20"/>
        </w:rPr>
        <w:t>Morris v Wentworth-Stanley [1999] 2 W.L.R. </w:t>
      </w:r>
      <w:r>
        <w:rPr>
          <w:rFonts w:ascii="Arial"/>
          <w:i/>
          <w:spacing w:val="-4"/>
          <w:sz w:val="20"/>
        </w:rPr>
        <w:t>470</w:t>
      </w:r>
      <w:r>
        <w:rPr>
          <w:spacing w:val="-4"/>
          <w:sz w:val="20"/>
        </w:rPr>
        <w:t>.</w:t>
      </w:r>
    </w:p>
    <w:p>
      <w:pPr>
        <w:pStyle w:val="BodyText"/>
        <w:spacing w:before="9"/>
      </w:pPr>
    </w:p>
    <w:p>
      <w:pPr>
        <w:spacing w:line="235" w:lineRule="auto" w:before="0"/>
        <w:ind w:left="563" w:right="25" w:hanging="541"/>
        <w:jc w:val="both"/>
        <w:rPr>
          <w:sz w:val="20"/>
        </w:rPr>
      </w:pPr>
      <w:bookmarkStart w:name="_bookmark150" w:id="152"/>
      <w:bookmarkEnd w:id="152"/>
      <w:r>
        <w:rPr/>
      </w:r>
      <w:hyperlink w:history="true" w:anchor="_bookmark53">
        <w:r>
          <w:rPr>
            <w:color w:val="005DA1"/>
            <w:position w:val="5"/>
            <w:sz w:val="14"/>
            <w:u w:val="single" w:color="005DA1"/>
          </w:rPr>
          <w:t>57</w:t>
        </w:r>
      </w:hyperlink>
      <w:r>
        <w:rPr>
          <w:position w:val="5"/>
          <w:sz w:val="14"/>
        </w:rPr>
        <w:t>.</w:t>
      </w:r>
      <w:r>
        <w:rPr>
          <w:spacing w:val="80"/>
          <w:position w:val="5"/>
          <w:sz w:val="14"/>
        </w:rPr>
        <w:t>  </w:t>
      </w:r>
      <w:r>
        <w:rPr>
          <w:rFonts w:ascii="Arial" w:hAnsi="Arial"/>
          <w:i/>
          <w:sz w:val="20"/>
        </w:rPr>
        <w:t>Watts</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Adlington,</w:t>
      </w:r>
      <w:r>
        <w:rPr>
          <w:rFonts w:ascii="Arial" w:hAnsi="Arial"/>
          <w:i/>
          <w:spacing w:val="30"/>
          <w:sz w:val="20"/>
        </w:rPr>
        <w:t> </w:t>
      </w:r>
      <w:r>
        <w:rPr>
          <w:rFonts w:ascii="Arial" w:hAnsi="Arial"/>
          <w:i/>
          <w:sz w:val="20"/>
        </w:rPr>
        <w:t>The</w:t>
      </w:r>
      <w:r>
        <w:rPr>
          <w:rFonts w:ascii="Arial" w:hAnsi="Arial"/>
          <w:i/>
          <w:spacing w:val="30"/>
          <w:sz w:val="20"/>
        </w:rPr>
        <w:t> </w:t>
      </w:r>
      <w:r>
        <w:rPr>
          <w:rFonts w:ascii="Arial" w:hAnsi="Arial"/>
          <w:i/>
          <w:sz w:val="20"/>
        </w:rPr>
        <w:t>Times,</w:t>
      </w:r>
      <w:r>
        <w:rPr>
          <w:rFonts w:ascii="Arial" w:hAnsi="Arial"/>
          <w:i/>
          <w:spacing w:val="30"/>
          <w:sz w:val="20"/>
        </w:rPr>
        <w:t> </w:t>
      </w:r>
      <w:r>
        <w:rPr>
          <w:rFonts w:ascii="Arial" w:hAnsi="Arial"/>
          <w:i/>
          <w:sz w:val="20"/>
        </w:rPr>
        <w:t>December</w:t>
      </w:r>
      <w:r>
        <w:rPr>
          <w:rFonts w:ascii="Arial" w:hAnsi="Arial"/>
          <w:i/>
          <w:spacing w:val="30"/>
          <w:sz w:val="20"/>
        </w:rPr>
        <w:t> </w:t>
      </w:r>
      <w:r>
        <w:rPr>
          <w:rFonts w:ascii="Arial" w:hAnsi="Arial"/>
          <w:i/>
          <w:sz w:val="20"/>
        </w:rPr>
        <w:t>16,</w:t>
      </w:r>
      <w:r>
        <w:rPr>
          <w:rFonts w:ascii="Arial" w:hAnsi="Arial"/>
          <w:i/>
          <w:spacing w:val="30"/>
          <w:sz w:val="20"/>
        </w:rPr>
        <w:t> </w:t>
      </w:r>
      <w:r>
        <w:rPr>
          <w:rFonts w:ascii="Arial" w:hAnsi="Arial"/>
          <w:i/>
          <w:sz w:val="20"/>
        </w:rPr>
        <w:t>1993 </w:t>
      </w:r>
      <w:r>
        <w:rPr>
          <w:sz w:val="20"/>
        </w:rPr>
        <w:t>(which</w:t>
      </w:r>
      <w:r>
        <w:rPr>
          <w:spacing w:val="30"/>
          <w:sz w:val="20"/>
        </w:rPr>
        <w:t> </w:t>
      </w:r>
      <w:r>
        <w:rPr>
          <w:sz w:val="20"/>
        </w:rPr>
        <w:t>concerned</w:t>
      </w:r>
      <w:r>
        <w:rPr>
          <w:spacing w:val="30"/>
          <w:sz w:val="20"/>
        </w:rPr>
        <w:t> </w:t>
      </w:r>
      <w:r>
        <w:rPr>
          <w:sz w:val="20"/>
        </w:rPr>
        <w:t>joint</w:t>
      </w:r>
      <w:r>
        <w:rPr>
          <w:spacing w:val="30"/>
          <w:sz w:val="20"/>
        </w:rPr>
        <w:t> </w:t>
      </w:r>
      <w:r>
        <w:rPr>
          <w:sz w:val="20"/>
        </w:rPr>
        <w:t>tortfeasors).</w:t>
      </w:r>
      <w:r>
        <w:rPr>
          <w:spacing w:val="30"/>
          <w:sz w:val="20"/>
        </w:rPr>
        <w:t> </w:t>
      </w:r>
      <w:r>
        <w:rPr>
          <w:sz w:val="20"/>
        </w:rPr>
        <w:t>This case was followed in </w:t>
      </w:r>
      <w:r>
        <w:rPr>
          <w:rFonts w:ascii="Arial" w:hAnsi="Arial"/>
          <w:i/>
          <w:sz w:val="20"/>
        </w:rPr>
        <w:t>Finlay v Connell Associates, The Times, June 23, 1999 </w:t>
      </w:r>
      <w:r>
        <w:rPr>
          <w:sz w:val="20"/>
        </w:rPr>
        <w:t>in deciding that a reservation of rights against a surety could be implied in an agreement not to sue a principal debtor. See also </w:t>
      </w:r>
      <w:r>
        <w:rPr>
          <w:rFonts w:ascii="Arial" w:hAnsi="Arial"/>
          <w:i/>
          <w:sz w:val="20"/>
        </w:rPr>
        <w:t>Sun Life Assurance Society Plc v Tantofex (Engineers) Ltd [1999] 2 E.G.L.R. 135</w:t>
      </w:r>
      <w:r>
        <w:rPr>
          <w:sz w:val="20"/>
        </w:rPr>
        <w:t>, in which </w:t>
      </w:r>
      <w:r>
        <w:rPr>
          <w:rFonts w:ascii="Arial" w:hAnsi="Arial"/>
          <w:i/>
          <w:sz w:val="20"/>
        </w:rPr>
        <w:t>Deanplan Ltd v Mahmoud [1993] Ch. 151 </w:t>
      </w:r>
      <w:r>
        <w:rPr>
          <w:sz w:val="20"/>
        </w:rPr>
        <w:t>was distinguished. The High Court of Australia in </w:t>
      </w:r>
      <w:r>
        <w:rPr>
          <w:rFonts w:ascii="Arial" w:hAnsi="Arial"/>
          <w:i/>
          <w:sz w:val="20"/>
        </w:rPr>
        <w:t>Thompson v Australian Capital Television Pty Ltd (1996) 186 C.L.R. 574 </w:t>
      </w:r>
      <w:r>
        <w:rPr>
          <w:sz w:val="20"/>
        </w:rPr>
        <w:t>has removed the release rule altogether in respect of joint tortfeasors. See A.D.M. Hewitt, “Compromising With One Joint Tortfeasor” (1998) 72 A.L.J. 73.</w:t>
      </w:r>
    </w:p>
    <w:p>
      <w:pPr>
        <w:pStyle w:val="BodyText"/>
        <w:spacing w:before="3"/>
      </w:pPr>
    </w:p>
    <w:p>
      <w:pPr>
        <w:pStyle w:val="BodyText"/>
        <w:tabs>
          <w:tab w:pos="563" w:val="left" w:leader="none"/>
        </w:tabs>
        <w:ind w:left="23"/>
      </w:pPr>
      <w:bookmarkStart w:name="_bookmark151" w:id="153"/>
      <w:bookmarkEnd w:id="153"/>
      <w:r>
        <w:rPr/>
      </w:r>
      <w:hyperlink w:history="true" w:anchor="_bookmark54">
        <w:r>
          <w:rPr>
            <w:color w:val="005DA1"/>
            <w:spacing w:val="-5"/>
            <w:position w:val="5"/>
            <w:sz w:val="14"/>
            <w:u w:val="single" w:color="005DA1"/>
          </w:rPr>
          <w:t>58</w:t>
        </w:r>
      </w:hyperlink>
      <w:r>
        <w:rPr>
          <w:spacing w:val="-5"/>
          <w:position w:val="5"/>
          <w:sz w:val="14"/>
        </w:rPr>
        <w:t>.</w:t>
      </w:r>
      <w:r>
        <w:rPr>
          <w:position w:val="5"/>
          <w:sz w:val="14"/>
        </w:rPr>
        <w:tab/>
      </w:r>
      <w:r>
        <w:rPr/>
        <w:t>See</w:t>
      </w:r>
      <w:r>
        <w:rPr>
          <w:spacing w:val="-2"/>
        </w:rPr>
        <w:t> </w:t>
      </w:r>
      <w:r>
        <w:rPr/>
        <w:t>Vol.II, para.45-</w:t>
      </w:r>
      <w:r>
        <w:rPr>
          <w:spacing w:val="-4"/>
        </w:rPr>
        <w:t>107.</w:t>
      </w:r>
    </w:p>
    <w:p>
      <w:pPr>
        <w:pStyle w:val="BodyText"/>
        <w:spacing w:before="5"/>
      </w:pPr>
    </w:p>
    <w:p>
      <w:pPr>
        <w:tabs>
          <w:tab w:pos="563" w:val="left" w:leader="none"/>
        </w:tabs>
        <w:spacing w:before="0"/>
        <w:ind w:left="23" w:right="0" w:firstLine="0"/>
        <w:jc w:val="left"/>
        <w:rPr>
          <w:sz w:val="20"/>
        </w:rPr>
      </w:pPr>
      <w:bookmarkStart w:name="_bookmark152" w:id="154"/>
      <w:bookmarkEnd w:id="154"/>
      <w:r>
        <w:rPr/>
      </w:r>
      <w:hyperlink w:history="true" w:anchor="_bookmark55">
        <w:r>
          <w:rPr>
            <w:color w:val="005DA1"/>
            <w:spacing w:val="-5"/>
            <w:position w:val="5"/>
            <w:sz w:val="14"/>
            <w:u w:val="single" w:color="005DA1"/>
          </w:rPr>
          <w:t>59</w:t>
        </w:r>
      </w:hyperlink>
      <w:r>
        <w:rPr>
          <w:spacing w:val="-5"/>
          <w:position w:val="5"/>
          <w:sz w:val="14"/>
        </w:rPr>
        <w:t>.</w:t>
      </w:r>
      <w:r>
        <w:rPr>
          <w:position w:val="5"/>
          <w:sz w:val="14"/>
        </w:rPr>
        <w:tab/>
      </w:r>
      <w:r>
        <w:rPr>
          <w:rFonts w:ascii="Arial"/>
          <w:i/>
          <w:sz w:val="20"/>
        </w:rPr>
        <w:t>Swire v Redman (1876) 1 Q.B.D. </w:t>
      </w:r>
      <w:r>
        <w:rPr>
          <w:rFonts w:ascii="Arial"/>
          <w:i/>
          <w:spacing w:val="-4"/>
          <w:sz w:val="20"/>
        </w:rPr>
        <w:t>536</w:t>
      </w:r>
      <w:r>
        <w:rPr>
          <w:spacing w:val="-4"/>
          <w:sz w:val="20"/>
        </w:rPr>
        <w:t>.</w:t>
      </w:r>
    </w:p>
    <w:p>
      <w:pPr>
        <w:pStyle w:val="BodyText"/>
        <w:spacing w:before="5"/>
      </w:pPr>
    </w:p>
    <w:p>
      <w:pPr>
        <w:pStyle w:val="BodyText"/>
        <w:tabs>
          <w:tab w:pos="563" w:val="left" w:leader="none"/>
        </w:tabs>
        <w:ind w:left="23"/>
      </w:pPr>
      <w:bookmarkStart w:name="_bookmark153" w:id="155"/>
      <w:bookmarkEnd w:id="155"/>
      <w:r>
        <w:rPr/>
      </w:r>
      <w:hyperlink w:history="true" w:anchor="_bookmark56">
        <w:r>
          <w:rPr>
            <w:color w:val="005DA1"/>
            <w:spacing w:val="-5"/>
            <w:position w:val="5"/>
            <w:sz w:val="14"/>
            <w:u w:val="single" w:color="005DA1"/>
          </w:rPr>
          <w:t>60</w:t>
        </w:r>
      </w:hyperlink>
      <w:r>
        <w:rPr>
          <w:spacing w:val="-5"/>
          <w:position w:val="5"/>
          <w:sz w:val="14"/>
        </w:rPr>
        <w:t>.</w:t>
      </w:r>
      <w:r>
        <w:rPr>
          <w:position w:val="5"/>
          <w:sz w:val="14"/>
        </w:rPr>
        <w:tab/>
      </w:r>
      <w:r>
        <w:rPr/>
        <w:t>See Vol.II, paras 45-104—45-</w:t>
      </w:r>
      <w:r>
        <w:rPr>
          <w:spacing w:val="-4"/>
        </w:rPr>
        <w:t>114.</w:t>
      </w:r>
    </w:p>
    <w:p>
      <w:pPr>
        <w:pStyle w:val="BodyText"/>
        <w:spacing w:before="5"/>
      </w:pPr>
    </w:p>
    <w:p>
      <w:pPr>
        <w:pStyle w:val="BodyText"/>
        <w:tabs>
          <w:tab w:pos="563" w:val="left" w:leader="none"/>
        </w:tabs>
        <w:ind w:left="23"/>
      </w:pPr>
      <w:bookmarkStart w:name="_bookmark154" w:id="156"/>
      <w:bookmarkEnd w:id="156"/>
      <w:r>
        <w:rPr/>
      </w:r>
      <w:hyperlink w:history="true" w:anchor="_bookmark57">
        <w:r>
          <w:rPr>
            <w:color w:val="005DA1"/>
            <w:spacing w:val="-5"/>
            <w:position w:val="5"/>
            <w:sz w:val="14"/>
            <w:u w:val="single" w:color="005DA1"/>
          </w:rPr>
          <w:t>61</w:t>
        </w:r>
      </w:hyperlink>
      <w:r>
        <w:rPr>
          <w:spacing w:val="-5"/>
          <w:position w:val="5"/>
          <w:sz w:val="14"/>
        </w:rPr>
        <w:t>.</w:t>
      </w:r>
      <w:r>
        <w:rPr>
          <w:position w:val="5"/>
          <w:sz w:val="14"/>
        </w:rPr>
        <w:tab/>
      </w:r>
      <w:r>
        <w:rPr/>
        <w:t>Below, paras 25-020—25-</w:t>
      </w:r>
      <w:r>
        <w:rPr>
          <w:spacing w:val="-4"/>
        </w:rPr>
        <w:t>025.</w:t>
      </w:r>
    </w:p>
    <w:p>
      <w:pPr>
        <w:pStyle w:val="BodyText"/>
        <w:spacing w:before="5"/>
      </w:pPr>
    </w:p>
    <w:p>
      <w:pPr>
        <w:tabs>
          <w:tab w:pos="563" w:val="left" w:leader="none"/>
        </w:tabs>
        <w:spacing w:before="0"/>
        <w:ind w:left="23" w:right="0" w:firstLine="0"/>
        <w:jc w:val="left"/>
        <w:rPr>
          <w:sz w:val="20"/>
        </w:rPr>
      </w:pPr>
      <w:bookmarkStart w:name="_bookmark155" w:id="157"/>
      <w:bookmarkEnd w:id="157"/>
      <w:r>
        <w:rPr/>
      </w:r>
      <w:hyperlink w:history="true" w:anchor="_bookmark58">
        <w:r>
          <w:rPr>
            <w:color w:val="005DA1"/>
            <w:spacing w:val="-5"/>
            <w:position w:val="5"/>
            <w:sz w:val="14"/>
            <w:u w:val="single" w:color="005DA1"/>
          </w:rPr>
          <w:t>62</w:t>
        </w:r>
      </w:hyperlink>
      <w:r>
        <w:rPr>
          <w:spacing w:val="-5"/>
          <w:position w:val="5"/>
          <w:sz w:val="14"/>
        </w:rPr>
        <w:t>.</w:t>
      </w:r>
      <w:r>
        <w:rPr>
          <w:position w:val="5"/>
          <w:sz w:val="14"/>
        </w:rPr>
        <w:tab/>
      </w:r>
      <w:r>
        <w:rPr>
          <w:rFonts w:ascii="Arial" w:hAnsi="Arial"/>
          <w:i/>
          <w:sz w:val="20"/>
        </w:rPr>
        <w:t>Pigot’s</w:t>
      </w:r>
      <w:r>
        <w:rPr>
          <w:rFonts w:ascii="Arial" w:hAnsi="Arial"/>
          <w:i/>
          <w:spacing w:val="-1"/>
          <w:sz w:val="20"/>
        </w:rPr>
        <w:t> </w:t>
      </w:r>
      <w:r>
        <w:rPr>
          <w:rFonts w:ascii="Arial" w:hAnsi="Arial"/>
          <w:i/>
          <w:sz w:val="20"/>
        </w:rPr>
        <w:t>Case (1614) 11 Co. Rep. 26b</w:t>
      </w:r>
      <w:r>
        <w:rPr>
          <w:sz w:val="20"/>
        </w:rPr>
        <w:t>; </w:t>
      </w:r>
      <w:r>
        <w:rPr>
          <w:rFonts w:ascii="Arial" w:hAnsi="Arial"/>
          <w:i/>
          <w:sz w:val="20"/>
        </w:rPr>
        <w:t>Master v Miller (1791) 4 T.R. 320, (1793) 5 T.R. </w:t>
      </w:r>
      <w:r>
        <w:rPr>
          <w:rFonts w:ascii="Arial" w:hAnsi="Arial"/>
          <w:i/>
          <w:spacing w:val="-4"/>
          <w:sz w:val="20"/>
        </w:rPr>
        <w:t>367</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59">
        <w:r>
          <w:rPr>
            <w:color w:val="005DA1"/>
            <w:spacing w:val="-5"/>
            <w:position w:val="5"/>
            <w:sz w:val="14"/>
            <w:u w:val="single" w:color="005DA1"/>
          </w:rPr>
          <w:t>63</w:t>
        </w:r>
      </w:hyperlink>
      <w:r>
        <w:rPr>
          <w:spacing w:val="-5"/>
          <w:position w:val="5"/>
          <w:sz w:val="14"/>
        </w:rPr>
        <w:t>.</w:t>
      </w:r>
      <w:r>
        <w:rPr>
          <w:position w:val="5"/>
          <w:sz w:val="14"/>
        </w:rPr>
        <w:tab/>
      </w:r>
      <w:r>
        <w:rPr>
          <w:rFonts w:ascii="Arial"/>
          <w:i/>
          <w:sz w:val="20"/>
        </w:rPr>
        <w:t>Perring</w:t>
      </w:r>
      <w:r>
        <w:rPr>
          <w:rFonts w:ascii="Arial"/>
          <w:i/>
          <w:spacing w:val="-1"/>
          <w:sz w:val="20"/>
        </w:rPr>
        <w:t> </w:t>
      </w:r>
      <w:r>
        <w:rPr>
          <w:rFonts w:ascii="Arial"/>
          <w:i/>
          <w:sz w:val="20"/>
        </w:rPr>
        <w:t>v Hone (1826) 4 Bing. 29</w:t>
      </w:r>
      <w:r>
        <w:rPr>
          <w:sz w:val="20"/>
        </w:rPr>
        <w:t>; </w:t>
      </w:r>
      <w:r>
        <w:rPr>
          <w:rFonts w:ascii="Arial"/>
          <w:i/>
          <w:sz w:val="20"/>
        </w:rPr>
        <w:t>Gardner v Walsh (1855) 5 E. &amp; B. </w:t>
      </w:r>
      <w:r>
        <w:rPr>
          <w:rFonts w:ascii="Arial"/>
          <w:i/>
          <w:spacing w:val="-5"/>
          <w:sz w:val="20"/>
        </w:rPr>
        <w:t>83</w:t>
      </w:r>
      <w:r>
        <w:rPr>
          <w:spacing w:val="-5"/>
          <w:sz w:val="20"/>
        </w:rPr>
        <w:t>.</w:t>
      </w:r>
    </w:p>
    <w:p>
      <w:pPr>
        <w:pStyle w:val="BodyText"/>
        <w:spacing w:before="9"/>
      </w:pPr>
    </w:p>
    <w:p>
      <w:pPr>
        <w:pStyle w:val="BodyText"/>
        <w:tabs>
          <w:tab w:pos="563" w:val="left" w:leader="none"/>
        </w:tabs>
        <w:spacing w:line="235" w:lineRule="auto"/>
        <w:ind w:left="563" w:right="26" w:hanging="541"/>
      </w:pPr>
      <w:bookmarkStart w:name="_bookmark156" w:id="158"/>
      <w:bookmarkEnd w:id="158"/>
      <w:r>
        <w:rPr/>
      </w:r>
      <w:hyperlink w:history="true" w:anchor="_bookmark60">
        <w:r>
          <w:rPr>
            <w:color w:val="005DA1"/>
            <w:spacing w:val="-4"/>
            <w:position w:val="5"/>
            <w:sz w:val="14"/>
            <w:u w:val="single" w:color="005DA1"/>
          </w:rPr>
          <w:t>64</w:t>
        </w:r>
      </w:hyperlink>
      <w:r>
        <w:rPr>
          <w:spacing w:val="-4"/>
          <w:position w:val="5"/>
          <w:sz w:val="14"/>
        </w:rPr>
        <w:t>.</w:t>
      </w:r>
      <w:r>
        <w:rPr>
          <w:position w:val="5"/>
          <w:sz w:val="14"/>
        </w:rPr>
        <w:tab/>
      </w:r>
      <w:r>
        <w:rPr/>
        <w:t>See</w:t>
      </w:r>
      <w:r>
        <w:rPr>
          <w:spacing w:val="60"/>
        </w:rPr>
        <w:t> </w:t>
      </w:r>
      <w:r>
        <w:rPr/>
        <w:t>s.21A</w:t>
      </w:r>
      <w:r>
        <w:rPr>
          <w:spacing w:val="60"/>
        </w:rPr>
        <w:t> </w:t>
      </w:r>
      <w:r>
        <w:rPr/>
        <w:t>of</w:t>
      </w:r>
      <w:r>
        <w:rPr>
          <w:spacing w:val="60"/>
        </w:rPr>
        <w:t> </w:t>
      </w:r>
      <w:r>
        <w:rPr/>
        <w:t>the</w:t>
      </w:r>
      <w:r>
        <w:rPr>
          <w:spacing w:val="60"/>
        </w:rPr>
        <w:t> </w:t>
      </w:r>
      <w:r>
        <w:rPr/>
        <w:t>Administration</w:t>
      </w:r>
      <w:r>
        <w:rPr>
          <w:spacing w:val="60"/>
        </w:rPr>
        <w:t> </w:t>
      </w:r>
      <w:r>
        <w:rPr/>
        <w:t>of</w:t>
      </w:r>
      <w:r>
        <w:rPr>
          <w:spacing w:val="60"/>
        </w:rPr>
        <w:t> </w:t>
      </w:r>
      <w:r>
        <w:rPr/>
        <w:t>Estates</w:t>
      </w:r>
      <w:r>
        <w:rPr>
          <w:spacing w:val="60"/>
        </w:rPr>
        <w:t> </w:t>
      </w:r>
      <w:r>
        <w:rPr/>
        <w:t>Act</w:t>
      </w:r>
      <w:r>
        <w:rPr>
          <w:spacing w:val="60"/>
        </w:rPr>
        <w:t> </w:t>
      </w:r>
      <w:r>
        <w:rPr/>
        <w:t>1925</w:t>
      </w:r>
      <w:r>
        <w:rPr>
          <w:spacing w:val="60"/>
        </w:rPr>
        <w:t> </w:t>
      </w:r>
      <w:r>
        <w:rPr/>
        <w:t>(inserted</w:t>
      </w:r>
      <w:r>
        <w:rPr>
          <w:spacing w:val="60"/>
        </w:rPr>
        <w:t> </w:t>
      </w:r>
      <w:r>
        <w:rPr/>
        <w:t>by</w:t>
      </w:r>
      <w:r>
        <w:rPr>
          <w:spacing w:val="60"/>
        </w:rPr>
        <w:t> </w:t>
      </w:r>
      <w:r>
        <w:rPr/>
        <w:t>s.10</w:t>
      </w:r>
      <w:r>
        <w:rPr>
          <w:spacing w:val="60"/>
        </w:rPr>
        <w:t> </w:t>
      </w:r>
      <w:r>
        <w:rPr/>
        <w:t>of</w:t>
      </w:r>
      <w:r>
        <w:rPr>
          <w:spacing w:val="60"/>
        </w:rPr>
        <w:t> </w:t>
      </w:r>
      <w:r>
        <w:rPr/>
        <w:t>the</w:t>
      </w:r>
      <w:r>
        <w:rPr>
          <w:spacing w:val="60"/>
        </w:rPr>
        <w:t> </w:t>
      </w:r>
      <w:r>
        <w:rPr/>
        <w:t>Limitation Amendment Act 1980).</w:t>
      </w:r>
    </w:p>
    <w:p>
      <w:pPr>
        <w:pStyle w:val="BodyText"/>
        <w:spacing w:before="9"/>
      </w:pPr>
    </w:p>
    <w:p>
      <w:pPr>
        <w:spacing w:line="235" w:lineRule="auto" w:before="1"/>
        <w:ind w:left="563" w:right="25" w:hanging="541"/>
        <w:jc w:val="both"/>
        <w:rPr>
          <w:sz w:val="20"/>
        </w:rPr>
      </w:pPr>
      <w:bookmarkStart w:name="_bookmark157" w:id="159"/>
      <w:bookmarkEnd w:id="159"/>
      <w:r>
        <w:rPr/>
      </w:r>
      <w:hyperlink w:history="true" w:anchor="_bookmark61">
        <w:r>
          <w:rPr>
            <w:color w:val="005DA1"/>
            <w:position w:val="5"/>
            <w:sz w:val="14"/>
            <w:u w:val="single" w:color="005DA1"/>
          </w:rPr>
          <w:t>65</w:t>
        </w:r>
      </w:hyperlink>
      <w:r>
        <w:rPr>
          <w:position w:val="5"/>
          <w:sz w:val="14"/>
        </w:rPr>
        <w:t>.</w:t>
      </w:r>
      <w:r>
        <w:rPr>
          <w:spacing w:val="80"/>
          <w:w w:val="150"/>
          <w:position w:val="5"/>
          <w:sz w:val="14"/>
        </w:rPr>
        <w:t>  </w:t>
      </w:r>
      <w:r>
        <w:rPr>
          <w:rFonts w:ascii="Arial"/>
          <w:i/>
          <w:sz w:val="20"/>
        </w:rPr>
        <w:t>Strong v Bird (1874) L.R. 18 Eq. 315</w:t>
      </w:r>
      <w:r>
        <w:rPr>
          <w:sz w:val="20"/>
        </w:rPr>
        <w:t>; </w:t>
      </w:r>
      <w:r>
        <w:rPr>
          <w:rFonts w:ascii="Arial"/>
          <w:i/>
          <w:sz w:val="20"/>
        </w:rPr>
        <w:t>Re Applebee [1891] 3 Ch. 422</w:t>
      </w:r>
      <w:r>
        <w:rPr>
          <w:sz w:val="20"/>
        </w:rPr>
        <w:t>; </w:t>
      </w:r>
      <w:r>
        <w:rPr>
          <w:rFonts w:ascii="Arial"/>
          <w:i/>
          <w:sz w:val="20"/>
        </w:rPr>
        <w:t>Re Bourne [1906] 1 Ch. 697</w:t>
      </w:r>
      <w:r>
        <w:rPr>
          <w:sz w:val="20"/>
        </w:rPr>
        <w:t>. The effect of these decisions is preserved by the wording of s.21A(1)(b) of the Administration of Estates Act 1925, but is now extended also to the case of the debtor who is appointed as administrator.</w:t>
      </w:r>
    </w:p>
    <w:p>
      <w:pPr>
        <w:pStyle w:val="BodyText"/>
        <w:spacing w:before="4"/>
      </w:pPr>
    </w:p>
    <w:p>
      <w:pPr>
        <w:tabs>
          <w:tab w:pos="563" w:val="left" w:leader="none"/>
        </w:tabs>
        <w:spacing w:before="0"/>
        <w:ind w:left="23" w:right="0" w:firstLine="0"/>
        <w:jc w:val="left"/>
        <w:rPr>
          <w:sz w:val="20"/>
        </w:rPr>
      </w:pPr>
      <w:bookmarkStart w:name="_bookmark158" w:id="160"/>
      <w:bookmarkEnd w:id="160"/>
      <w:r>
        <w:rPr/>
      </w:r>
      <w:hyperlink w:history="true" w:anchor="_bookmark62">
        <w:r>
          <w:rPr>
            <w:color w:val="005DA1"/>
            <w:spacing w:val="-5"/>
            <w:position w:val="5"/>
            <w:sz w:val="14"/>
            <w:u w:val="single" w:color="005DA1"/>
          </w:rPr>
          <w:t>66</w:t>
        </w:r>
      </w:hyperlink>
      <w:r>
        <w:rPr>
          <w:spacing w:val="-5"/>
          <w:position w:val="5"/>
          <w:sz w:val="14"/>
        </w:rPr>
        <w:t>.</w:t>
      </w:r>
      <w:r>
        <w:rPr>
          <w:position w:val="5"/>
          <w:sz w:val="14"/>
        </w:rPr>
        <w:tab/>
      </w:r>
      <w:r>
        <w:rPr>
          <w:rFonts w:ascii="Arial"/>
          <w:i/>
          <w:sz w:val="20"/>
        </w:rPr>
        <w:t>Cheetham</w:t>
      </w:r>
      <w:r>
        <w:rPr>
          <w:rFonts w:ascii="Arial"/>
          <w:i/>
          <w:spacing w:val="-1"/>
          <w:sz w:val="20"/>
        </w:rPr>
        <w:t> </w:t>
      </w:r>
      <w:r>
        <w:rPr>
          <w:rFonts w:ascii="Arial"/>
          <w:i/>
          <w:sz w:val="20"/>
        </w:rPr>
        <w:t>v Ward (1797) 1 Bos. &amp; P. 630</w:t>
      </w:r>
      <w:r>
        <w:rPr>
          <w:sz w:val="20"/>
        </w:rPr>
        <w:t>; </w:t>
      </w:r>
      <w:r>
        <w:rPr>
          <w:rFonts w:ascii="Arial"/>
          <w:i/>
          <w:sz w:val="20"/>
        </w:rPr>
        <w:t>Jenkins v Jenkins [1928] 2 K.B. </w:t>
      </w:r>
      <w:r>
        <w:rPr>
          <w:rFonts w:ascii="Arial"/>
          <w:i/>
          <w:spacing w:val="-4"/>
          <w:sz w:val="20"/>
        </w:rPr>
        <w:t>503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59" w:id="161"/>
      <w:bookmarkEnd w:id="161"/>
      <w:r>
        <w:rPr/>
      </w:r>
      <w:hyperlink w:history="true" w:anchor="_bookmark63">
        <w:r>
          <w:rPr>
            <w:color w:val="005DA1"/>
            <w:spacing w:val="-5"/>
            <w:position w:val="5"/>
            <w:sz w:val="14"/>
            <w:u w:val="single" w:color="005DA1"/>
          </w:rPr>
          <w:t>67</w:t>
        </w:r>
      </w:hyperlink>
      <w:r>
        <w:rPr>
          <w:spacing w:val="-5"/>
          <w:position w:val="5"/>
          <w:sz w:val="14"/>
        </w:rPr>
        <w:t>.</w:t>
      </w:r>
      <w:r>
        <w:rPr>
          <w:position w:val="5"/>
          <w:sz w:val="14"/>
        </w:rPr>
        <w:tab/>
      </w:r>
      <w:r>
        <w:rPr>
          <w:sz w:val="20"/>
        </w:rPr>
        <w:t>See</w:t>
      </w:r>
      <w:r>
        <w:rPr>
          <w:spacing w:val="-1"/>
          <w:sz w:val="20"/>
        </w:rPr>
        <w:t> </w:t>
      </w:r>
      <w:r>
        <w:rPr>
          <w:rFonts w:ascii="Arial"/>
          <w:i/>
          <w:sz w:val="20"/>
        </w:rPr>
        <w:t>Jenkins v Jenkins [1928] 2 K.B. 503, </w:t>
      </w:r>
      <w:r>
        <w:rPr>
          <w:rFonts w:ascii="Arial"/>
          <w:i/>
          <w:spacing w:val="-4"/>
          <w:sz w:val="20"/>
        </w:rPr>
        <w:t>506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60" w:id="162"/>
      <w:bookmarkEnd w:id="162"/>
      <w:r>
        <w:rPr/>
      </w:r>
      <w:hyperlink w:history="true" w:anchor="_bookmark64">
        <w:r>
          <w:rPr>
            <w:color w:val="005DA1"/>
            <w:spacing w:val="-5"/>
            <w:position w:val="5"/>
            <w:sz w:val="14"/>
            <w:u w:val="single" w:color="005DA1"/>
          </w:rPr>
          <w:t>68</w:t>
        </w:r>
      </w:hyperlink>
      <w:r>
        <w:rPr>
          <w:spacing w:val="-5"/>
          <w:position w:val="5"/>
          <w:sz w:val="14"/>
        </w:rPr>
        <w:t>.</w:t>
      </w:r>
      <w:r>
        <w:rPr>
          <w:position w:val="5"/>
          <w:sz w:val="14"/>
        </w:rPr>
        <w:tab/>
      </w:r>
      <w:r>
        <w:rPr>
          <w:rFonts w:ascii="Arial"/>
          <w:i/>
          <w:sz w:val="20"/>
        </w:rPr>
        <w:t>Lowe</w:t>
      </w:r>
      <w:r>
        <w:rPr>
          <w:rFonts w:ascii="Arial"/>
          <w:i/>
          <w:spacing w:val="-1"/>
          <w:sz w:val="20"/>
        </w:rPr>
        <w:t> </w:t>
      </w:r>
      <w:r>
        <w:rPr>
          <w:rFonts w:ascii="Arial"/>
          <w:i/>
          <w:sz w:val="20"/>
        </w:rPr>
        <w:t>v Peskett (1856) 16 C.B. 500</w:t>
      </w:r>
      <w:r>
        <w:rPr>
          <w:sz w:val="20"/>
        </w:rPr>
        <w:t>; </w:t>
      </w:r>
      <w:r>
        <w:rPr>
          <w:rFonts w:ascii="Arial"/>
          <w:i/>
          <w:sz w:val="20"/>
        </w:rPr>
        <w:t>Re Rhoades [1899] 2 Q.B. </w:t>
      </w:r>
      <w:r>
        <w:rPr>
          <w:rFonts w:ascii="Arial"/>
          <w:i/>
          <w:spacing w:val="-4"/>
          <w:sz w:val="20"/>
        </w:rPr>
        <w:t>347</w:t>
      </w:r>
      <w:r>
        <w:rPr>
          <w:spacing w:val="-4"/>
          <w:sz w:val="20"/>
        </w:rPr>
        <w:t>.</w:t>
      </w:r>
    </w:p>
    <w:p>
      <w:pPr>
        <w:pStyle w:val="BodyText"/>
        <w:spacing w:before="5"/>
      </w:pPr>
    </w:p>
    <w:p>
      <w:pPr>
        <w:pStyle w:val="BodyText"/>
        <w:tabs>
          <w:tab w:pos="563" w:val="left" w:leader="none"/>
        </w:tabs>
        <w:ind w:left="23"/>
      </w:pPr>
      <w:bookmarkStart w:name="_bookmark161" w:id="163"/>
      <w:bookmarkEnd w:id="163"/>
      <w:r>
        <w:rPr/>
      </w:r>
      <w:hyperlink w:history="true" w:anchor="_bookmark65">
        <w:r>
          <w:rPr>
            <w:color w:val="005DA1"/>
            <w:spacing w:val="-5"/>
            <w:position w:val="5"/>
            <w:sz w:val="14"/>
            <w:u w:val="single" w:color="005DA1"/>
          </w:rPr>
          <w:t>69</w:t>
        </w:r>
      </w:hyperlink>
      <w:r>
        <w:rPr>
          <w:spacing w:val="-5"/>
          <w:position w:val="5"/>
          <w:sz w:val="14"/>
        </w:rPr>
        <w:t>.</w:t>
      </w:r>
      <w:r>
        <w:rPr>
          <w:position w:val="5"/>
          <w:sz w:val="14"/>
        </w:rPr>
        <w:tab/>
      </w:r>
      <w:r>
        <w:rPr/>
        <w:t>Insolvency Act 1986 </w:t>
      </w:r>
      <w:r>
        <w:rPr>
          <w:spacing w:val="-2"/>
        </w:rPr>
        <w:t>s.281(7).</w:t>
      </w:r>
    </w:p>
    <w:p>
      <w:pPr>
        <w:pStyle w:val="BodyText"/>
        <w:spacing w:before="9"/>
      </w:pPr>
    </w:p>
    <w:p>
      <w:pPr>
        <w:tabs>
          <w:tab w:pos="563" w:val="left" w:leader="none"/>
        </w:tabs>
        <w:spacing w:line="235" w:lineRule="auto" w:before="0"/>
        <w:ind w:left="563" w:right="26" w:hanging="541"/>
        <w:jc w:val="left"/>
        <w:rPr>
          <w:sz w:val="20"/>
        </w:rPr>
      </w:pPr>
      <w:bookmarkStart w:name="_bookmark162" w:id="164"/>
      <w:bookmarkEnd w:id="164"/>
      <w:r>
        <w:rPr/>
      </w:r>
      <w:hyperlink w:history="true" w:anchor="_bookmark66">
        <w:r>
          <w:rPr>
            <w:color w:val="005DA1"/>
            <w:spacing w:val="-4"/>
            <w:position w:val="5"/>
            <w:sz w:val="14"/>
            <w:u w:val="single" w:color="005DA1"/>
          </w:rPr>
          <w:t>70</w:t>
        </w:r>
      </w:hyperlink>
      <w:r>
        <w:rPr>
          <w:spacing w:val="-4"/>
          <w:position w:val="5"/>
          <w:sz w:val="14"/>
        </w:rPr>
        <w:t>.</w:t>
      </w:r>
      <w:r>
        <w:rPr>
          <w:position w:val="5"/>
          <w:sz w:val="14"/>
        </w:rPr>
        <w:tab/>
      </w:r>
      <w:r>
        <w:rPr>
          <w:rFonts w:ascii="Arial"/>
          <w:i/>
          <w:sz w:val="20"/>
        </w:rPr>
        <w:t>Johnson</w:t>
      </w:r>
      <w:r>
        <w:rPr>
          <w:rFonts w:ascii="Arial"/>
          <w:i/>
          <w:spacing w:val="40"/>
          <w:sz w:val="20"/>
        </w:rPr>
        <w:t> </w:t>
      </w:r>
      <w:r>
        <w:rPr>
          <w:rFonts w:ascii="Arial"/>
          <w:i/>
          <w:sz w:val="20"/>
        </w:rPr>
        <w:t>v</w:t>
      </w:r>
      <w:r>
        <w:rPr>
          <w:rFonts w:ascii="Arial"/>
          <w:i/>
          <w:spacing w:val="40"/>
          <w:sz w:val="20"/>
        </w:rPr>
        <w:t> </w:t>
      </w:r>
      <w:r>
        <w:rPr>
          <w:rFonts w:ascii="Arial"/>
          <w:i/>
          <w:sz w:val="20"/>
        </w:rPr>
        <w:t>Davies</w:t>
      </w:r>
      <w:r>
        <w:rPr>
          <w:rFonts w:ascii="Arial"/>
          <w:i/>
          <w:spacing w:val="40"/>
          <w:sz w:val="20"/>
        </w:rPr>
        <w:t> </w:t>
      </w:r>
      <w:r>
        <w:rPr>
          <w:rFonts w:ascii="Arial"/>
          <w:i/>
          <w:sz w:val="20"/>
        </w:rPr>
        <w:t>[1998]</w:t>
      </w:r>
      <w:r>
        <w:rPr>
          <w:rFonts w:ascii="Arial"/>
          <w:i/>
          <w:spacing w:val="40"/>
          <w:sz w:val="20"/>
        </w:rPr>
        <w:t> </w:t>
      </w:r>
      <w:r>
        <w:rPr>
          <w:rFonts w:ascii="Arial"/>
          <w:i/>
          <w:sz w:val="20"/>
        </w:rPr>
        <w:t>3</w:t>
      </w:r>
      <w:r>
        <w:rPr>
          <w:rFonts w:ascii="Arial"/>
          <w:i/>
          <w:spacing w:val="40"/>
          <w:sz w:val="20"/>
        </w:rPr>
        <w:t> </w:t>
      </w:r>
      <w:r>
        <w:rPr>
          <w:rFonts w:ascii="Arial"/>
          <w:i/>
          <w:sz w:val="20"/>
        </w:rPr>
        <w:t>W.L.R.</w:t>
      </w:r>
      <w:r>
        <w:rPr>
          <w:rFonts w:ascii="Arial"/>
          <w:i/>
          <w:spacing w:val="40"/>
          <w:sz w:val="20"/>
        </w:rPr>
        <w:t> </w:t>
      </w:r>
      <w:r>
        <w:rPr>
          <w:rFonts w:ascii="Arial"/>
          <w:i/>
          <w:sz w:val="20"/>
        </w:rPr>
        <w:t>1299</w:t>
      </w:r>
      <w:r>
        <w:rPr>
          <w:rFonts w:ascii="Arial"/>
          <w:i/>
          <w:spacing w:val="40"/>
          <w:sz w:val="20"/>
        </w:rPr>
        <w:t> </w:t>
      </w:r>
      <w:r>
        <w:rPr>
          <w:sz w:val="20"/>
        </w:rPr>
        <w:t>(on</w:t>
      </w:r>
      <w:r>
        <w:rPr>
          <w:spacing w:val="40"/>
          <w:sz w:val="20"/>
        </w:rPr>
        <w:t> </w:t>
      </w:r>
      <w:r>
        <w:rPr>
          <w:sz w:val="20"/>
        </w:rPr>
        <w:t>the</w:t>
      </w:r>
      <w:r>
        <w:rPr>
          <w:spacing w:val="40"/>
          <w:sz w:val="20"/>
        </w:rPr>
        <w:t> </w:t>
      </w:r>
      <w:r>
        <w:rPr>
          <w:sz w:val="20"/>
        </w:rPr>
        <w:t>construction</w:t>
      </w:r>
      <w:r>
        <w:rPr>
          <w:spacing w:val="40"/>
          <w:sz w:val="20"/>
        </w:rPr>
        <w:t> </w:t>
      </w:r>
      <w:r>
        <w:rPr>
          <w:sz w:val="20"/>
        </w:rPr>
        <w:t>of</w:t>
      </w:r>
      <w:r>
        <w:rPr>
          <w:spacing w:val="40"/>
          <w:sz w:val="20"/>
        </w:rPr>
        <w:t> </w:t>
      </w:r>
      <w:r>
        <w:rPr>
          <w:sz w:val="20"/>
        </w:rPr>
        <w:t>its</w:t>
      </w:r>
      <w:r>
        <w:rPr>
          <w:spacing w:val="40"/>
          <w:sz w:val="20"/>
        </w:rPr>
        <w:t> </w:t>
      </w:r>
      <w:r>
        <w:rPr>
          <w:sz w:val="20"/>
        </w:rPr>
        <w:t>terms,</w:t>
      </w:r>
      <w:r>
        <w:rPr>
          <w:spacing w:val="40"/>
          <w:sz w:val="20"/>
        </w:rPr>
        <w:t> </w:t>
      </w:r>
      <w:r>
        <w:rPr>
          <w:sz w:val="20"/>
        </w:rPr>
        <w:t>the</w:t>
      </w:r>
      <w:r>
        <w:rPr>
          <w:spacing w:val="40"/>
          <w:sz w:val="20"/>
        </w:rPr>
        <w:t> </w:t>
      </w:r>
      <w:r>
        <w:rPr>
          <w:sz w:val="20"/>
        </w:rPr>
        <w:t>voluntary</w:t>
      </w:r>
      <w:r>
        <w:rPr>
          <w:spacing w:val="80"/>
          <w:sz w:val="20"/>
        </w:rPr>
        <w:t> </w:t>
      </w:r>
      <w:r>
        <w:rPr>
          <w:sz w:val="20"/>
        </w:rPr>
        <w:t>arrangement was held not to discharge co-debtors).</w:t>
      </w:r>
    </w:p>
    <w:p>
      <w:pPr>
        <w:pStyle w:val="BodyText"/>
        <w:spacing w:before="5"/>
      </w:pPr>
    </w:p>
    <w:p>
      <w:pPr>
        <w:pStyle w:val="BodyText"/>
        <w:tabs>
          <w:tab w:pos="563" w:val="left" w:leader="none"/>
        </w:tabs>
        <w:spacing w:before="1"/>
        <w:ind w:left="23"/>
      </w:pPr>
      <w:bookmarkStart w:name="_bookmark163" w:id="165"/>
      <w:bookmarkEnd w:id="165"/>
      <w:r>
        <w:rPr/>
      </w:r>
      <w:hyperlink w:history="true" w:anchor="_bookmark67">
        <w:r>
          <w:rPr>
            <w:color w:val="005DA1"/>
            <w:spacing w:val="-5"/>
            <w:position w:val="5"/>
            <w:sz w:val="14"/>
            <w:u w:val="single" w:color="005DA1"/>
          </w:rPr>
          <w:t>71</w:t>
        </w:r>
      </w:hyperlink>
      <w:r>
        <w:rPr>
          <w:spacing w:val="-5"/>
          <w:position w:val="5"/>
          <w:sz w:val="14"/>
        </w:rPr>
        <w:t>.</w:t>
      </w:r>
      <w:r>
        <w:rPr>
          <w:position w:val="5"/>
          <w:sz w:val="14"/>
        </w:rPr>
        <w:tab/>
      </w:r>
      <w:r>
        <w:rPr/>
        <w:t>Limitation Act 1980 s.31(6). See below, para.28-</w:t>
      </w:r>
      <w:r>
        <w:rPr>
          <w:spacing w:val="-4"/>
        </w:rPr>
        <w:t>104.</w:t>
      </w:r>
    </w:p>
    <w:p>
      <w:pPr>
        <w:pStyle w:val="BodyText"/>
        <w:spacing w:before="5"/>
      </w:pPr>
    </w:p>
    <w:p>
      <w:pPr>
        <w:pStyle w:val="ListParagraph"/>
        <w:numPr>
          <w:ilvl w:val="0"/>
          <w:numId w:val="1"/>
        </w:numPr>
        <w:tabs>
          <w:tab w:pos="563" w:val="left" w:leader="none"/>
        </w:tabs>
        <w:spacing w:line="240" w:lineRule="auto" w:before="0" w:after="0"/>
        <w:ind w:left="563" w:right="0" w:hanging="540"/>
        <w:jc w:val="left"/>
        <w:rPr>
          <w:sz w:val="20"/>
        </w:rPr>
      </w:pPr>
      <w:bookmarkStart w:name="_bookmark164" w:id="166"/>
      <w:bookmarkEnd w:id="166"/>
      <w:r>
        <w:rPr/>
      </w:r>
      <w:r>
        <w:rPr>
          <w:spacing w:val="-2"/>
          <w:sz w:val="20"/>
        </w:rPr>
        <w:t>s.30(2).</w:t>
      </w:r>
    </w:p>
    <w:p>
      <w:pPr>
        <w:pStyle w:val="BodyText"/>
        <w:spacing w:before="5"/>
      </w:pPr>
    </w:p>
    <w:p>
      <w:pPr>
        <w:pStyle w:val="ListParagraph"/>
        <w:numPr>
          <w:ilvl w:val="0"/>
          <w:numId w:val="1"/>
        </w:numPr>
        <w:tabs>
          <w:tab w:pos="563" w:val="left" w:leader="none"/>
        </w:tabs>
        <w:spacing w:line="240" w:lineRule="auto" w:before="0" w:after="0"/>
        <w:ind w:left="563" w:right="0" w:hanging="540"/>
        <w:jc w:val="left"/>
        <w:rPr>
          <w:sz w:val="20"/>
        </w:rPr>
      </w:pPr>
      <w:bookmarkStart w:name="_bookmark165" w:id="167"/>
      <w:bookmarkEnd w:id="167"/>
      <w:r>
        <w:rPr/>
      </w:r>
      <w:r>
        <w:rPr>
          <w:spacing w:val="-2"/>
          <w:sz w:val="20"/>
        </w:rPr>
        <w:t>s.31(7).</w:t>
      </w:r>
    </w:p>
    <w:p>
      <w:pPr>
        <w:pStyle w:val="BodyText"/>
        <w:spacing w:before="8"/>
      </w:pPr>
    </w:p>
    <w:p>
      <w:pPr>
        <w:pStyle w:val="BodyText"/>
        <w:spacing w:line="235" w:lineRule="auto" w:before="1"/>
        <w:ind w:left="563" w:right="25" w:hanging="541"/>
        <w:jc w:val="both"/>
      </w:pPr>
      <w:bookmarkStart w:name="_bookmark166" w:id="168"/>
      <w:bookmarkEnd w:id="168"/>
      <w:r>
        <w:rPr/>
      </w:r>
      <w:hyperlink w:history="true" w:anchor="_bookmark70">
        <w:r>
          <w:rPr>
            <w:color w:val="005DA1"/>
            <w:position w:val="5"/>
            <w:sz w:val="14"/>
            <w:u w:val="single" w:color="005DA1"/>
          </w:rPr>
          <w:t>74</w:t>
        </w:r>
      </w:hyperlink>
      <w:r>
        <w:rPr>
          <w:position w:val="5"/>
          <w:sz w:val="14"/>
        </w:rPr>
        <w:t>.</w:t>
      </w:r>
      <w:r>
        <w:rPr>
          <w:spacing w:val="80"/>
          <w:w w:val="150"/>
          <w:position w:val="5"/>
          <w:sz w:val="14"/>
        </w:rPr>
        <w:t>  </w:t>
      </w:r>
      <w:r>
        <w:rPr/>
        <w:t>But</w:t>
      </w:r>
      <w:r>
        <w:rPr>
          <w:spacing w:val="40"/>
        </w:rPr>
        <w:t> </w:t>
      </w:r>
      <w:r>
        <w:rPr/>
        <w:t>the</w:t>
      </w:r>
      <w:r>
        <w:rPr>
          <w:spacing w:val="40"/>
        </w:rPr>
        <w:t> </w:t>
      </w:r>
      <w:r>
        <w:rPr/>
        <w:t>Law</w:t>
      </w:r>
      <w:r>
        <w:rPr>
          <w:spacing w:val="40"/>
        </w:rPr>
        <w:t> </w:t>
      </w:r>
      <w:r>
        <w:rPr/>
        <w:t>Commission</w:t>
      </w:r>
      <w:r>
        <w:rPr>
          <w:spacing w:val="40"/>
        </w:rPr>
        <w:t> </w:t>
      </w:r>
      <w:r>
        <w:rPr/>
        <w:t>recommended</w:t>
      </w:r>
      <w:r>
        <w:rPr>
          <w:spacing w:val="40"/>
        </w:rPr>
        <w:t> </w:t>
      </w:r>
      <w:r>
        <w:rPr/>
        <w:t>that</w:t>
      </w:r>
      <w:r>
        <w:rPr>
          <w:spacing w:val="40"/>
        </w:rPr>
        <w:t> </w:t>
      </w:r>
      <w:r>
        <w:rPr/>
        <w:t>acknowledgments</w:t>
      </w:r>
      <w:r>
        <w:rPr>
          <w:spacing w:val="40"/>
        </w:rPr>
        <w:t> </w:t>
      </w:r>
      <w:r>
        <w:rPr/>
        <w:t>and</w:t>
      </w:r>
      <w:r>
        <w:rPr>
          <w:spacing w:val="40"/>
        </w:rPr>
        <w:t> </w:t>
      </w:r>
      <w:r>
        <w:rPr/>
        <w:t>part</w:t>
      </w:r>
      <w:r>
        <w:rPr>
          <w:spacing w:val="40"/>
        </w:rPr>
        <w:t> </w:t>
      </w:r>
      <w:r>
        <w:rPr/>
        <w:t>payments</w:t>
      </w:r>
      <w:r>
        <w:rPr>
          <w:spacing w:val="40"/>
        </w:rPr>
        <w:t> </w:t>
      </w:r>
      <w:r>
        <w:rPr/>
        <w:t>by</w:t>
      </w:r>
      <w:r>
        <w:rPr>
          <w:spacing w:val="40"/>
        </w:rPr>
        <w:t> </w:t>
      </w:r>
      <w:r>
        <w:rPr/>
        <w:t>one co-debtor</w:t>
      </w:r>
      <w:r>
        <w:rPr>
          <w:spacing w:val="40"/>
        </w:rPr>
        <w:t> </w:t>
      </w:r>
      <w:r>
        <w:rPr/>
        <w:t>should</w:t>
      </w:r>
      <w:r>
        <w:rPr>
          <w:spacing w:val="40"/>
        </w:rPr>
        <w:t> </w:t>
      </w:r>
      <w:r>
        <w:rPr/>
        <w:t>only</w:t>
      </w:r>
      <w:r>
        <w:rPr>
          <w:spacing w:val="40"/>
        </w:rPr>
        <w:t> </w:t>
      </w:r>
      <w:r>
        <w:rPr/>
        <w:t>affect</w:t>
      </w:r>
      <w:r>
        <w:rPr>
          <w:spacing w:val="40"/>
        </w:rPr>
        <w:t> </w:t>
      </w:r>
      <w:r>
        <w:rPr/>
        <w:t>the</w:t>
      </w:r>
      <w:r>
        <w:rPr>
          <w:spacing w:val="40"/>
        </w:rPr>
        <w:t> </w:t>
      </w:r>
      <w:r>
        <w:rPr/>
        <w:t>limitation</w:t>
      </w:r>
      <w:r>
        <w:rPr>
          <w:spacing w:val="40"/>
        </w:rPr>
        <w:t> </w:t>
      </w:r>
      <w:r>
        <w:rPr/>
        <w:t>period</w:t>
      </w:r>
      <w:r>
        <w:rPr>
          <w:spacing w:val="40"/>
        </w:rPr>
        <w:t> </w:t>
      </w:r>
      <w:r>
        <w:rPr/>
        <w:t>running</w:t>
      </w:r>
      <w:r>
        <w:rPr>
          <w:spacing w:val="40"/>
        </w:rPr>
        <w:t> </w:t>
      </w:r>
      <w:r>
        <w:rPr/>
        <w:t>against</w:t>
      </w:r>
      <w:r>
        <w:rPr>
          <w:spacing w:val="40"/>
        </w:rPr>
        <w:t> </w:t>
      </w:r>
      <w:r>
        <w:rPr/>
        <w:t>that</w:t>
      </w:r>
      <w:r>
        <w:rPr>
          <w:spacing w:val="40"/>
        </w:rPr>
        <w:t> </w:t>
      </w:r>
      <w:r>
        <w:rPr/>
        <w:t>debtor</w:t>
      </w:r>
      <w:r>
        <w:rPr>
          <w:spacing w:val="40"/>
        </w:rPr>
        <w:t> </w:t>
      </w:r>
      <w:r>
        <w:rPr/>
        <w:t>and</w:t>
      </w:r>
      <w:r>
        <w:rPr>
          <w:spacing w:val="40"/>
        </w:rPr>
        <w:t> </w:t>
      </w:r>
      <w:r>
        <w:rPr/>
        <w:t>not</w:t>
      </w:r>
      <w:r>
        <w:rPr>
          <w:spacing w:val="40"/>
        </w:rPr>
        <w:t> </w:t>
      </w:r>
      <w:r>
        <w:rPr/>
        <w:t>other co-debtors: see Limitation of Actions (Law Com No.270, 2001), paras 3.151, 3.155.</w:t>
      </w:r>
    </w:p>
    <w:p>
      <w:pPr>
        <w:pStyle w:val="BodyText"/>
        <w:spacing w:before="4"/>
      </w:pPr>
    </w:p>
    <w:p>
      <w:pPr>
        <w:spacing w:line="227" w:lineRule="exact" w:before="1"/>
        <w:ind w:left="23" w:right="0" w:firstLine="0"/>
        <w:jc w:val="both"/>
        <w:rPr>
          <w:rFonts w:ascii="Arial"/>
          <w:i/>
          <w:sz w:val="20"/>
        </w:rPr>
      </w:pPr>
      <w:bookmarkStart w:name="_bookmark167" w:id="169"/>
      <w:bookmarkEnd w:id="169"/>
      <w:r>
        <w:rPr/>
      </w:r>
      <w:hyperlink w:history="true" w:anchor="_bookmark71">
        <w:r>
          <w:rPr>
            <w:color w:val="005DA1"/>
            <w:position w:val="5"/>
            <w:sz w:val="14"/>
            <w:u w:val="single" w:color="005DA1"/>
          </w:rPr>
          <w:t>75</w:t>
        </w:r>
      </w:hyperlink>
      <w:r>
        <w:rPr>
          <w:position w:val="5"/>
          <w:sz w:val="14"/>
        </w:rPr>
        <w:t>.</w:t>
      </w:r>
      <w:r>
        <w:rPr>
          <w:spacing w:val="76"/>
          <w:position w:val="5"/>
          <w:sz w:val="14"/>
        </w:rPr>
        <w:t>   </w:t>
      </w:r>
      <w:r>
        <w:rPr>
          <w:rFonts w:ascii="Arial"/>
          <w:i/>
          <w:sz w:val="20"/>
        </w:rPr>
        <w:t>Deering</w:t>
      </w:r>
      <w:r>
        <w:rPr>
          <w:rFonts w:ascii="Arial"/>
          <w:i/>
          <w:spacing w:val="2"/>
          <w:sz w:val="20"/>
        </w:rPr>
        <w:t> </w:t>
      </w:r>
      <w:r>
        <w:rPr>
          <w:rFonts w:ascii="Arial"/>
          <w:i/>
          <w:sz w:val="20"/>
        </w:rPr>
        <w:t>v</w:t>
      </w:r>
      <w:r>
        <w:rPr>
          <w:rFonts w:ascii="Arial"/>
          <w:i/>
          <w:spacing w:val="2"/>
          <w:sz w:val="20"/>
        </w:rPr>
        <w:t> </w:t>
      </w:r>
      <w:r>
        <w:rPr>
          <w:rFonts w:ascii="Arial"/>
          <w:i/>
          <w:sz w:val="20"/>
        </w:rPr>
        <w:t>Earl</w:t>
      </w:r>
      <w:r>
        <w:rPr>
          <w:rFonts w:ascii="Arial"/>
          <w:i/>
          <w:spacing w:val="2"/>
          <w:sz w:val="20"/>
        </w:rPr>
        <w:t> </w:t>
      </w:r>
      <w:r>
        <w:rPr>
          <w:rFonts w:ascii="Arial"/>
          <w:i/>
          <w:sz w:val="20"/>
        </w:rPr>
        <w:t>of</w:t>
      </w:r>
      <w:r>
        <w:rPr>
          <w:rFonts w:ascii="Arial"/>
          <w:i/>
          <w:spacing w:val="2"/>
          <w:sz w:val="20"/>
        </w:rPr>
        <w:t> </w:t>
      </w:r>
      <w:r>
        <w:rPr>
          <w:rFonts w:ascii="Arial"/>
          <w:i/>
          <w:sz w:val="20"/>
        </w:rPr>
        <w:t>Winchelsea</w:t>
      </w:r>
      <w:r>
        <w:rPr>
          <w:rFonts w:ascii="Arial"/>
          <w:i/>
          <w:spacing w:val="2"/>
          <w:sz w:val="20"/>
        </w:rPr>
        <w:t> </w:t>
      </w:r>
      <w:r>
        <w:rPr>
          <w:rFonts w:ascii="Arial"/>
          <w:i/>
          <w:sz w:val="20"/>
        </w:rPr>
        <w:t>(1787)</w:t>
      </w:r>
      <w:r>
        <w:rPr>
          <w:rFonts w:ascii="Arial"/>
          <w:i/>
          <w:spacing w:val="2"/>
          <w:sz w:val="20"/>
        </w:rPr>
        <w:t> </w:t>
      </w:r>
      <w:r>
        <w:rPr>
          <w:rFonts w:ascii="Arial"/>
          <w:i/>
          <w:sz w:val="20"/>
        </w:rPr>
        <w:t>1</w:t>
      </w:r>
      <w:r>
        <w:rPr>
          <w:rFonts w:ascii="Arial"/>
          <w:i/>
          <w:spacing w:val="2"/>
          <w:sz w:val="20"/>
        </w:rPr>
        <w:t> </w:t>
      </w:r>
      <w:r>
        <w:rPr>
          <w:rFonts w:ascii="Arial"/>
          <w:i/>
          <w:sz w:val="20"/>
        </w:rPr>
        <w:t>Cox</w:t>
      </w:r>
      <w:r>
        <w:rPr>
          <w:rFonts w:ascii="Arial"/>
          <w:i/>
          <w:spacing w:val="2"/>
          <w:sz w:val="20"/>
        </w:rPr>
        <w:t> </w:t>
      </w:r>
      <w:r>
        <w:rPr>
          <w:rFonts w:ascii="Arial"/>
          <w:i/>
          <w:sz w:val="20"/>
        </w:rPr>
        <w:t>318;</w:t>
      </w:r>
      <w:r>
        <w:rPr>
          <w:rFonts w:ascii="Arial"/>
          <w:i/>
          <w:spacing w:val="2"/>
          <w:sz w:val="20"/>
        </w:rPr>
        <w:t> </w:t>
      </w:r>
      <w:r>
        <w:rPr>
          <w:rFonts w:ascii="Arial"/>
          <w:i/>
          <w:sz w:val="20"/>
        </w:rPr>
        <w:t>2</w:t>
      </w:r>
      <w:r>
        <w:rPr>
          <w:rFonts w:ascii="Arial"/>
          <w:i/>
          <w:spacing w:val="1"/>
          <w:sz w:val="20"/>
        </w:rPr>
        <w:t> </w:t>
      </w:r>
      <w:r>
        <w:rPr>
          <w:rFonts w:ascii="Arial"/>
          <w:i/>
          <w:sz w:val="20"/>
        </w:rPr>
        <w:t>Bos.</w:t>
      </w:r>
      <w:r>
        <w:rPr>
          <w:rFonts w:ascii="Arial"/>
          <w:i/>
          <w:spacing w:val="2"/>
          <w:sz w:val="20"/>
        </w:rPr>
        <w:t> </w:t>
      </w:r>
      <w:r>
        <w:rPr>
          <w:rFonts w:ascii="Arial"/>
          <w:i/>
          <w:sz w:val="20"/>
        </w:rPr>
        <w:t>&amp;</w:t>
      </w:r>
      <w:r>
        <w:rPr>
          <w:rFonts w:ascii="Arial"/>
          <w:i/>
          <w:spacing w:val="2"/>
          <w:sz w:val="20"/>
        </w:rPr>
        <w:t> </w:t>
      </w:r>
      <w:r>
        <w:rPr>
          <w:rFonts w:ascii="Arial"/>
          <w:i/>
          <w:sz w:val="20"/>
        </w:rPr>
        <w:t>P.</w:t>
      </w:r>
      <w:r>
        <w:rPr>
          <w:rFonts w:ascii="Arial"/>
          <w:i/>
          <w:spacing w:val="2"/>
          <w:sz w:val="20"/>
        </w:rPr>
        <w:t> </w:t>
      </w:r>
      <w:r>
        <w:rPr>
          <w:rFonts w:ascii="Arial"/>
          <w:i/>
          <w:sz w:val="20"/>
        </w:rPr>
        <w:t>270</w:t>
      </w:r>
      <w:r>
        <w:rPr>
          <w:sz w:val="20"/>
        </w:rPr>
        <w:t>;</w:t>
      </w:r>
      <w:r>
        <w:rPr>
          <w:spacing w:val="2"/>
          <w:sz w:val="20"/>
        </w:rPr>
        <w:t> </w:t>
      </w:r>
      <w:r>
        <w:rPr>
          <w:rFonts w:ascii="Arial"/>
          <w:i/>
          <w:sz w:val="20"/>
        </w:rPr>
        <w:t>Hutton</w:t>
      </w:r>
      <w:r>
        <w:rPr>
          <w:rFonts w:ascii="Arial"/>
          <w:i/>
          <w:spacing w:val="2"/>
          <w:sz w:val="20"/>
        </w:rPr>
        <w:t> </w:t>
      </w:r>
      <w:r>
        <w:rPr>
          <w:rFonts w:ascii="Arial"/>
          <w:i/>
          <w:sz w:val="20"/>
        </w:rPr>
        <w:t>v</w:t>
      </w:r>
      <w:r>
        <w:rPr>
          <w:rFonts w:ascii="Arial"/>
          <w:i/>
          <w:spacing w:val="2"/>
          <w:sz w:val="20"/>
        </w:rPr>
        <w:t> </w:t>
      </w:r>
      <w:r>
        <w:rPr>
          <w:rFonts w:ascii="Arial"/>
          <w:i/>
          <w:sz w:val="20"/>
        </w:rPr>
        <w:t>Eyre</w:t>
      </w:r>
      <w:r>
        <w:rPr>
          <w:rFonts w:ascii="Arial"/>
          <w:i/>
          <w:spacing w:val="2"/>
          <w:sz w:val="20"/>
        </w:rPr>
        <w:t> </w:t>
      </w:r>
      <w:r>
        <w:rPr>
          <w:rFonts w:ascii="Arial"/>
          <w:i/>
          <w:sz w:val="20"/>
        </w:rPr>
        <w:t>(1815)</w:t>
      </w:r>
      <w:r>
        <w:rPr>
          <w:rFonts w:ascii="Arial"/>
          <w:i/>
          <w:spacing w:val="2"/>
          <w:sz w:val="20"/>
        </w:rPr>
        <w:t> </w:t>
      </w:r>
      <w:r>
        <w:rPr>
          <w:rFonts w:ascii="Arial"/>
          <w:i/>
          <w:sz w:val="20"/>
        </w:rPr>
        <w:t>6</w:t>
      </w:r>
      <w:r>
        <w:rPr>
          <w:rFonts w:ascii="Arial"/>
          <w:i/>
          <w:spacing w:val="2"/>
          <w:sz w:val="20"/>
        </w:rPr>
        <w:t> </w:t>
      </w:r>
      <w:r>
        <w:rPr>
          <w:rFonts w:ascii="Arial"/>
          <w:i/>
          <w:spacing w:val="-2"/>
          <w:sz w:val="20"/>
        </w:rPr>
        <w:t>Taunt.</w:t>
      </w:r>
    </w:p>
    <w:p>
      <w:pPr>
        <w:spacing w:line="225" w:lineRule="exact" w:before="0"/>
        <w:ind w:left="563" w:right="0" w:firstLine="0"/>
        <w:jc w:val="both"/>
        <w:rPr>
          <w:sz w:val="20"/>
        </w:rPr>
      </w:pPr>
      <w:r>
        <w:rPr>
          <w:rFonts w:ascii="Arial"/>
          <w:i/>
          <w:sz w:val="20"/>
        </w:rPr>
        <w:t>289</w:t>
      </w:r>
      <w:r>
        <w:rPr>
          <w:sz w:val="20"/>
        </w:rPr>
        <w:t>;</w:t>
      </w:r>
      <w:r>
        <w:rPr>
          <w:spacing w:val="10"/>
          <w:sz w:val="20"/>
        </w:rPr>
        <w:t> </w:t>
      </w:r>
      <w:r>
        <w:rPr>
          <w:rFonts w:ascii="Arial"/>
          <w:i/>
          <w:sz w:val="20"/>
        </w:rPr>
        <w:t>Coope</w:t>
      </w:r>
      <w:r>
        <w:rPr>
          <w:rFonts w:ascii="Arial"/>
          <w:i/>
          <w:spacing w:val="13"/>
          <w:sz w:val="20"/>
        </w:rPr>
        <w:t> </w:t>
      </w:r>
      <w:r>
        <w:rPr>
          <w:rFonts w:ascii="Arial"/>
          <w:i/>
          <w:sz w:val="20"/>
        </w:rPr>
        <w:t>v</w:t>
      </w:r>
      <w:r>
        <w:rPr>
          <w:rFonts w:ascii="Arial"/>
          <w:i/>
          <w:spacing w:val="13"/>
          <w:sz w:val="20"/>
        </w:rPr>
        <w:t> </w:t>
      </w:r>
      <w:r>
        <w:rPr>
          <w:rFonts w:ascii="Arial"/>
          <w:i/>
          <w:sz w:val="20"/>
        </w:rPr>
        <w:t>Twynam</w:t>
      </w:r>
      <w:r>
        <w:rPr>
          <w:rFonts w:ascii="Arial"/>
          <w:i/>
          <w:spacing w:val="13"/>
          <w:sz w:val="20"/>
        </w:rPr>
        <w:t> </w:t>
      </w:r>
      <w:r>
        <w:rPr>
          <w:rFonts w:ascii="Arial"/>
          <w:i/>
          <w:sz w:val="20"/>
        </w:rPr>
        <w:t>(1823)</w:t>
      </w:r>
      <w:r>
        <w:rPr>
          <w:rFonts w:ascii="Arial"/>
          <w:i/>
          <w:spacing w:val="13"/>
          <w:sz w:val="20"/>
        </w:rPr>
        <w:t> </w:t>
      </w:r>
      <w:r>
        <w:rPr>
          <w:rFonts w:ascii="Arial"/>
          <w:i/>
          <w:sz w:val="20"/>
        </w:rPr>
        <w:t>Turn.</w:t>
      </w:r>
      <w:r>
        <w:rPr>
          <w:rFonts w:ascii="Arial"/>
          <w:i/>
          <w:spacing w:val="13"/>
          <w:sz w:val="20"/>
        </w:rPr>
        <w:t> </w:t>
      </w:r>
      <w:r>
        <w:rPr>
          <w:rFonts w:ascii="Arial"/>
          <w:i/>
          <w:sz w:val="20"/>
        </w:rPr>
        <w:t>&amp;</w:t>
      </w:r>
      <w:r>
        <w:rPr>
          <w:rFonts w:ascii="Arial"/>
          <w:i/>
          <w:spacing w:val="13"/>
          <w:sz w:val="20"/>
        </w:rPr>
        <w:t> </w:t>
      </w:r>
      <w:r>
        <w:rPr>
          <w:rFonts w:ascii="Arial"/>
          <w:i/>
          <w:sz w:val="20"/>
        </w:rPr>
        <w:t>R.</w:t>
      </w:r>
      <w:r>
        <w:rPr>
          <w:rFonts w:ascii="Arial"/>
          <w:i/>
          <w:spacing w:val="13"/>
          <w:sz w:val="20"/>
        </w:rPr>
        <w:t> </w:t>
      </w:r>
      <w:r>
        <w:rPr>
          <w:rFonts w:ascii="Arial"/>
          <w:i/>
          <w:sz w:val="20"/>
        </w:rPr>
        <w:t>426</w:t>
      </w:r>
      <w:r>
        <w:rPr>
          <w:sz w:val="20"/>
        </w:rPr>
        <w:t>;</w:t>
      </w:r>
      <w:r>
        <w:rPr>
          <w:spacing w:val="13"/>
          <w:sz w:val="20"/>
        </w:rPr>
        <w:t> </w:t>
      </w:r>
      <w:r>
        <w:rPr>
          <w:rFonts w:ascii="Arial"/>
          <w:i/>
          <w:sz w:val="20"/>
        </w:rPr>
        <w:t>Pendelbury</w:t>
      </w:r>
      <w:r>
        <w:rPr>
          <w:rFonts w:ascii="Arial"/>
          <w:i/>
          <w:spacing w:val="12"/>
          <w:sz w:val="20"/>
        </w:rPr>
        <w:t> </w:t>
      </w:r>
      <w:r>
        <w:rPr>
          <w:rFonts w:ascii="Arial"/>
          <w:i/>
          <w:sz w:val="20"/>
        </w:rPr>
        <w:t>v</w:t>
      </w:r>
      <w:r>
        <w:rPr>
          <w:rFonts w:ascii="Arial"/>
          <w:i/>
          <w:spacing w:val="13"/>
          <w:sz w:val="20"/>
        </w:rPr>
        <w:t> </w:t>
      </w:r>
      <w:r>
        <w:rPr>
          <w:rFonts w:ascii="Arial"/>
          <w:i/>
          <w:sz w:val="20"/>
        </w:rPr>
        <w:t>Walker</w:t>
      </w:r>
      <w:r>
        <w:rPr>
          <w:rFonts w:ascii="Arial"/>
          <w:i/>
          <w:spacing w:val="13"/>
          <w:sz w:val="20"/>
        </w:rPr>
        <w:t> </w:t>
      </w:r>
      <w:r>
        <w:rPr>
          <w:rFonts w:ascii="Arial"/>
          <w:i/>
          <w:sz w:val="20"/>
        </w:rPr>
        <w:t>(1841)</w:t>
      </w:r>
      <w:r>
        <w:rPr>
          <w:rFonts w:ascii="Arial"/>
          <w:i/>
          <w:spacing w:val="13"/>
          <w:sz w:val="20"/>
        </w:rPr>
        <w:t> </w:t>
      </w:r>
      <w:r>
        <w:rPr>
          <w:rFonts w:ascii="Arial"/>
          <w:i/>
          <w:sz w:val="20"/>
        </w:rPr>
        <w:t>4</w:t>
      </w:r>
      <w:r>
        <w:rPr>
          <w:rFonts w:ascii="Arial"/>
          <w:i/>
          <w:spacing w:val="13"/>
          <w:sz w:val="20"/>
        </w:rPr>
        <w:t> </w:t>
      </w:r>
      <w:r>
        <w:rPr>
          <w:rFonts w:ascii="Arial"/>
          <w:i/>
          <w:sz w:val="20"/>
        </w:rPr>
        <w:t>Y.</w:t>
      </w:r>
      <w:r>
        <w:rPr>
          <w:rFonts w:ascii="Arial"/>
          <w:i/>
          <w:spacing w:val="13"/>
          <w:sz w:val="20"/>
        </w:rPr>
        <w:t> </w:t>
      </w:r>
      <w:r>
        <w:rPr>
          <w:rFonts w:ascii="Arial"/>
          <w:i/>
          <w:sz w:val="20"/>
        </w:rPr>
        <w:t>&amp;</w:t>
      </w:r>
      <w:r>
        <w:rPr>
          <w:rFonts w:ascii="Arial"/>
          <w:i/>
          <w:spacing w:val="13"/>
          <w:sz w:val="20"/>
        </w:rPr>
        <w:t> </w:t>
      </w:r>
      <w:r>
        <w:rPr>
          <w:rFonts w:ascii="Arial"/>
          <w:i/>
          <w:sz w:val="20"/>
        </w:rPr>
        <w:t>C.</w:t>
      </w:r>
      <w:r>
        <w:rPr>
          <w:rFonts w:ascii="Arial"/>
          <w:i/>
          <w:spacing w:val="13"/>
          <w:sz w:val="20"/>
        </w:rPr>
        <w:t> </w:t>
      </w:r>
      <w:r>
        <w:rPr>
          <w:rFonts w:ascii="Arial"/>
          <w:i/>
          <w:sz w:val="20"/>
        </w:rPr>
        <w:t>Ex.</w:t>
      </w:r>
      <w:r>
        <w:rPr>
          <w:rFonts w:ascii="Arial"/>
          <w:i/>
          <w:spacing w:val="13"/>
          <w:sz w:val="20"/>
        </w:rPr>
        <w:t> </w:t>
      </w:r>
      <w:r>
        <w:rPr>
          <w:rFonts w:ascii="Arial"/>
          <w:i/>
          <w:spacing w:val="-4"/>
          <w:sz w:val="20"/>
        </w:rPr>
        <w:t>424</w:t>
      </w:r>
      <w:r>
        <w:rPr>
          <w:spacing w:val="-4"/>
          <w:sz w:val="20"/>
        </w:rPr>
        <w:t>;</w:t>
      </w:r>
    </w:p>
    <w:p>
      <w:pPr>
        <w:spacing w:line="235" w:lineRule="auto" w:before="1"/>
        <w:ind w:left="563" w:right="26" w:firstLine="0"/>
        <w:jc w:val="both"/>
        <w:rPr>
          <w:sz w:val="20"/>
        </w:rPr>
      </w:pPr>
      <w:r>
        <w:rPr>
          <w:rFonts w:ascii="Arial" w:hAnsi="Arial"/>
          <w:i/>
          <w:sz w:val="20"/>
        </w:rPr>
        <w:t>Boulter v Peplow (1850) 9 C.B. 493</w:t>
      </w:r>
      <w:r>
        <w:rPr>
          <w:sz w:val="20"/>
        </w:rPr>
        <w:t>; </w:t>
      </w:r>
      <w:r>
        <w:rPr>
          <w:rFonts w:ascii="Arial" w:hAnsi="Arial"/>
          <w:i/>
          <w:sz w:val="20"/>
        </w:rPr>
        <w:t>Batard v Hawes (1853) 2 E. &amp; B. 287</w:t>
      </w:r>
      <w:r>
        <w:rPr>
          <w:sz w:val="20"/>
        </w:rPr>
        <w:t>; see Williams, </w:t>
      </w:r>
      <w:r>
        <w:rPr>
          <w:rFonts w:ascii="Arial" w:hAnsi="Arial"/>
          <w:i/>
          <w:sz w:val="20"/>
        </w:rPr>
        <w:t>Joint Obligations </w:t>
      </w:r>
      <w:r>
        <w:rPr>
          <w:sz w:val="20"/>
        </w:rPr>
        <w:t>(1949), Ch.9; Goff and Jones, </w:t>
      </w:r>
      <w:r>
        <w:rPr>
          <w:rFonts w:ascii="Arial" w:hAnsi="Arial"/>
          <w:i/>
          <w:sz w:val="20"/>
        </w:rPr>
        <w:t>The Law of Unjust Enrichment</w:t>
      </w:r>
      <w:r>
        <w:rPr>
          <w:sz w:val="20"/>
        </w:rPr>
        <w:t>, 8th edn (2012), Ch.20; Burrows, </w:t>
      </w:r>
      <w:r>
        <w:rPr>
          <w:rFonts w:ascii="Arial" w:hAnsi="Arial"/>
          <w:i/>
          <w:sz w:val="20"/>
        </w:rPr>
        <w:t>The Law of Restitution</w:t>
      </w:r>
      <w:r>
        <w:rPr>
          <w:sz w:val="20"/>
        </w:rPr>
        <w:t>, 3rd edn (2011), pp.458–460.</w:t>
      </w:r>
    </w:p>
    <w:p>
      <w:pPr>
        <w:pStyle w:val="BodyText"/>
        <w:spacing w:before="9"/>
      </w:pPr>
    </w:p>
    <w:p>
      <w:pPr>
        <w:spacing w:line="235" w:lineRule="auto" w:before="0"/>
        <w:ind w:left="563" w:right="26" w:hanging="541"/>
        <w:jc w:val="both"/>
        <w:rPr>
          <w:sz w:val="20"/>
        </w:rPr>
      </w:pPr>
      <w:bookmarkStart w:name="_bookmark168" w:id="170"/>
      <w:bookmarkEnd w:id="170"/>
      <w:r>
        <w:rPr/>
      </w:r>
      <w:hyperlink w:history="true" w:anchor="_bookmark72">
        <w:r>
          <w:rPr>
            <w:color w:val="005DA1"/>
            <w:position w:val="5"/>
            <w:sz w:val="14"/>
            <w:u w:val="single" w:color="005DA1"/>
          </w:rPr>
          <w:t>76</w:t>
        </w:r>
      </w:hyperlink>
      <w:r>
        <w:rPr>
          <w:position w:val="5"/>
          <w:sz w:val="14"/>
        </w:rPr>
        <w:t>.</w:t>
      </w:r>
      <w:r>
        <w:rPr>
          <w:spacing w:val="80"/>
          <w:w w:val="150"/>
          <w:position w:val="5"/>
          <w:sz w:val="14"/>
        </w:rPr>
        <w:t> </w:t>
      </w:r>
      <w:r>
        <w:rPr>
          <w:sz w:val="20"/>
        </w:rPr>
        <w:t>For an example of proportionate, rather than equal, contribution, see </w:t>
      </w:r>
      <w:r>
        <w:rPr>
          <w:rFonts w:ascii="Arial"/>
          <w:i/>
          <w:sz w:val="20"/>
        </w:rPr>
        <w:t>Commercial </w:t>
      </w:r>
      <w:r>
        <w:rPr>
          <w:rFonts w:ascii="Arial"/>
          <w:i/>
          <w:sz w:val="20"/>
        </w:rPr>
        <w:t>Union Assurance Co Ltd v Hayden [1977] Q.B. 804</w:t>
      </w:r>
      <w:r>
        <w:rPr>
          <w:sz w:val="20"/>
        </w:rPr>
        <w:t>. A surety has a right of indemnity, not merely contribution: see Vol.II, paras 45-125 et seq.</w:t>
      </w:r>
    </w:p>
    <w:p>
      <w:pPr>
        <w:pStyle w:val="BodyText"/>
        <w:spacing w:before="5"/>
      </w:pPr>
    </w:p>
    <w:p>
      <w:pPr>
        <w:pStyle w:val="BodyText"/>
        <w:tabs>
          <w:tab w:pos="563" w:val="left" w:leader="none"/>
        </w:tabs>
        <w:ind w:left="23"/>
      </w:pPr>
      <w:bookmarkStart w:name="_bookmark169" w:id="171"/>
      <w:bookmarkEnd w:id="171"/>
      <w:r>
        <w:rPr/>
      </w:r>
      <w:hyperlink w:history="true" w:anchor="_bookmark73">
        <w:r>
          <w:rPr>
            <w:color w:val="005DA1"/>
            <w:spacing w:val="-5"/>
            <w:position w:val="5"/>
            <w:sz w:val="14"/>
            <w:u w:val="single" w:color="005DA1"/>
          </w:rPr>
          <w:t>77</w:t>
        </w:r>
      </w:hyperlink>
      <w:r>
        <w:rPr>
          <w:spacing w:val="-5"/>
          <w:position w:val="5"/>
          <w:sz w:val="14"/>
        </w:rPr>
        <w:t>.</w:t>
      </w:r>
      <w:r>
        <w:rPr>
          <w:position w:val="5"/>
          <w:sz w:val="14"/>
        </w:rPr>
        <w:tab/>
      </w:r>
      <w:r>
        <w:rPr/>
        <w:t>County Courts Act 1984 s.48(2); see above, para.17-009 </w:t>
      </w:r>
      <w:r>
        <w:rPr>
          <w:spacing w:val="-2"/>
        </w:rPr>
        <w:t>n.22.</w:t>
      </w:r>
    </w:p>
    <w:p>
      <w:pPr>
        <w:pStyle w:val="BodyText"/>
        <w:spacing w:before="9"/>
      </w:pPr>
    </w:p>
    <w:p>
      <w:pPr>
        <w:spacing w:line="235" w:lineRule="auto" w:before="0"/>
        <w:ind w:left="563" w:right="25" w:hanging="541"/>
        <w:jc w:val="both"/>
        <w:rPr>
          <w:sz w:val="20"/>
        </w:rPr>
      </w:pPr>
      <w:bookmarkStart w:name="_bookmark170" w:id="172"/>
      <w:bookmarkEnd w:id="172"/>
      <w:r>
        <w:rPr/>
      </w:r>
      <w:hyperlink w:history="true" w:anchor="_bookmark74">
        <w:r>
          <w:rPr>
            <w:color w:val="005DA1"/>
            <w:position w:val="5"/>
            <w:sz w:val="14"/>
            <w:u w:val="single" w:color="005DA1"/>
          </w:rPr>
          <w:t>78</w:t>
        </w:r>
      </w:hyperlink>
      <w:r>
        <w:rPr>
          <w:position w:val="5"/>
          <w:sz w:val="14"/>
        </w:rPr>
        <w:t>.</w:t>
      </w:r>
      <w:r>
        <w:rPr>
          <w:spacing w:val="80"/>
          <w:w w:val="150"/>
          <w:position w:val="5"/>
          <w:sz w:val="14"/>
        </w:rPr>
        <w:t>  </w:t>
      </w:r>
      <w:r>
        <w:rPr>
          <w:rFonts w:ascii="Arial"/>
          <w:i/>
          <w:sz w:val="20"/>
        </w:rPr>
        <w:t>Wolmershausen v Gullick [1893] 2 Ch. 514</w:t>
      </w:r>
      <w:r>
        <w:rPr>
          <w:sz w:val="20"/>
        </w:rPr>
        <w:t>; </w:t>
      </w:r>
      <w:r>
        <w:rPr>
          <w:rFonts w:ascii="Arial"/>
          <w:i/>
          <w:sz w:val="20"/>
        </w:rPr>
        <w:t>Gardner v Brooke [1897] 2 Ir.R. 6</w:t>
      </w:r>
      <w:r>
        <w:rPr>
          <w:sz w:val="20"/>
        </w:rPr>
        <w:t>. Time begins </w:t>
      </w:r>
      <w:r>
        <w:rPr>
          <w:sz w:val="20"/>
        </w:rPr>
        <w:t>to run, in respect of the right to contribution, only when that right crystallises by actual payment. See also Vol.II, paras 45-129 et seq.</w:t>
      </w:r>
    </w:p>
    <w:p>
      <w:pPr>
        <w:pStyle w:val="BodyText"/>
        <w:spacing w:before="5"/>
      </w:pPr>
    </w:p>
    <w:p>
      <w:pPr>
        <w:tabs>
          <w:tab w:pos="563" w:val="left" w:leader="none"/>
        </w:tabs>
        <w:spacing w:line="227" w:lineRule="exact" w:before="0"/>
        <w:ind w:left="23" w:right="0" w:firstLine="0"/>
        <w:jc w:val="left"/>
        <w:rPr>
          <w:sz w:val="20"/>
        </w:rPr>
      </w:pPr>
      <w:bookmarkStart w:name="_bookmark171" w:id="173"/>
      <w:bookmarkEnd w:id="173"/>
      <w:r>
        <w:rPr/>
      </w:r>
      <w:hyperlink w:history="true" w:anchor="_bookmark75">
        <w:r>
          <w:rPr>
            <w:color w:val="005DA1"/>
            <w:spacing w:val="-5"/>
            <w:position w:val="5"/>
            <w:sz w:val="14"/>
            <w:u w:val="single" w:color="005DA1"/>
          </w:rPr>
          <w:t>79</w:t>
        </w:r>
      </w:hyperlink>
      <w:r>
        <w:rPr>
          <w:spacing w:val="-5"/>
          <w:position w:val="5"/>
          <w:sz w:val="14"/>
        </w:rPr>
        <w:t>.</w:t>
      </w:r>
      <w:r>
        <w:rPr>
          <w:position w:val="5"/>
          <w:sz w:val="14"/>
        </w:rPr>
        <w:tab/>
      </w:r>
      <w:r>
        <w:rPr>
          <w:rFonts w:ascii="Arial" w:hAnsi="Arial"/>
          <w:i/>
          <w:sz w:val="20"/>
        </w:rPr>
        <w:t>Ashby</w:t>
      </w:r>
      <w:r>
        <w:rPr>
          <w:rFonts w:ascii="Arial" w:hAnsi="Arial"/>
          <w:i/>
          <w:spacing w:val="16"/>
          <w:sz w:val="20"/>
        </w:rPr>
        <w:t> </w:t>
      </w:r>
      <w:r>
        <w:rPr>
          <w:rFonts w:ascii="Arial" w:hAnsi="Arial"/>
          <w:i/>
          <w:sz w:val="20"/>
        </w:rPr>
        <w:t>v</w:t>
      </w:r>
      <w:r>
        <w:rPr>
          <w:rFonts w:ascii="Arial" w:hAnsi="Arial"/>
          <w:i/>
          <w:spacing w:val="17"/>
          <w:sz w:val="20"/>
        </w:rPr>
        <w:t> </w:t>
      </w:r>
      <w:r>
        <w:rPr>
          <w:rFonts w:ascii="Arial" w:hAnsi="Arial"/>
          <w:i/>
          <w:sz w:val="20"/>
        </w:rPr>
        <w:t>Ashby</w:t>
      </w:r>
      <w:r>
        <w:rPr>
          <w:rFonts w:ascii="Arial" w:hAnsi="Arial"/>
          <w:i/>
          <w:spacing w:val="17"/>
          <w:sz w:val="20"/>
        </w:rPr>
        <w:t> </w:t>
      </w:r>
      <w:r>
        <w:rPr>
          <w:rFonts w:ascii="Arial" w:hAnsi="Arial"/>
          <w:i/>
          <w:sz w:val="20"/>
        </w:rPr>
        <w:t>(1827)</w:t>
      </w:r>
      <w:r>
        <w:rPr>
          <w:rFonts w:ascii="Arial" w:hAnsi="Arial"/>
          <w:i/>
          <w:spacing w:val="17"/>
          <w:sz w:val="20"/>
        </w:rPr>
        <w:t> </w:t>
      </w:r>
      <w:r>
        <w:rPr>
          <w:rFonts w:ascii="Arial" w:hAnsi="Arial"/>
          <w:i/>
          <w:sz w:val="20"/>
        </w:rPr>
        <w:t>7</w:t>
      </w:r>
      <w:r>
        <w:rPr>
          <w:rFonts w:ascii="Arial" w:hAnsi="Arial"/>
          <w:i/>
          <w:spacing w:val="17"/>
          <w:sz w:val="20"/>
        </w:rPr>
        <w:t> </w:t>
      </w:r>
      <w:r>
        <w:rPr>
          <w:rFonts w:ascii="Arial" w:hAnsi="Arial"/>
          <w:i/>
          <w:sz w:val="20"/>
        </w:rPr>
        <w:t>B.</w:t>
      </w:r>
      <w:r>
        <w:rPr>
          <w:rFonts w:ascii="Arial" w:hAnsi="Arial"/>
          <w:i/>
          <w:spacing w:val="17"/>
          <w:sz w:val="20"/>
        </w:rPr>
        <w:t> </w:t>
      </w:r>
      <w:r>
        <w:rPr>
          <w:rFonts w:ascii="Arial" w:hAnsi="Arial"/>
          <w:i/>
          <w:sz w:val="20"/>
        </w:rPr>
        <w:t>&amp;</w:t>
      </w:r>
      <w:r>
        <w:rPr>
          <w:rFonts w:ascii="Arial" w:hAnsi="Arial"/>
          <w:i/>
          <w:spacing w:val="17"/>
          <w:sz w:val="20"/>
        </w:rPr>
        <w:t> </w:t>
      </w:r>
      <w:r>
        <w:rPr>
          <w:rFonts w:ascii="Arial" w:hAnsi="Arial"/>
          <w:i/>
          <w:sz w:val="20"/>
        </w:rPr>
        <w:t>C.</w:t>
      </w:r>
      <w:r>
        <w:rPr>
          <w:rFonts w:ascii="Arial" w:hAnsi="Arial"/>
          <w:i/>
          <w:spacing w:val="17"/>
          <w:sz w:val="20"/>
        </w:rPr>
        <w:t> </w:t>
      </w:r>
      <w:r>
        <w:rPr>
          <w:rFonts w:ascii="Arial" w:hAnsi="Arial"/>
          <w:i/>
          <w:sz w:val="20"/>
        </w:rPr>
        <w:t>444,</w:t>
      </w:r>
      <w:r>
        <w:rPr>
          <w:rFonts w:ascii="Arial" w:hAnsi="Arial"/>
          <w:i/>
          <w:spacing w:val="17"/>
          <w:sz w:val="20"/>
        </w:rPr>
        <w:t> </w:t>
      </w:r>
      <w:r>
        <w:rPr>
          <w:rFonts w:ascii="Arial" w:hAnsi="Arial"/>
          <w:i/>
          <w:sz w:val="20"/>
        </w:rPr>
        <w:t>449,</w:t>
      </w:r>
      <w:r>
        <w:rPr>
          <w:rFonts w:ascii="Arial" w:hAnsi="Arial"/>
          <w:i/>
          <w:spacing w:val="17"/>
          <w:sz w:val="20"/>
        </w:rPr>
        <w:t> </w:t>
      </w:r>
      <w:r>
        <w:rPr>
          <w:rFonts w:ascii="Arial" w:hAnsi="Arial"/>
          <w:i/>
          <w:sz w:val="20"/>
        </w:rPr>
        <w:t>451–452</w:t>
      </w:r>
      <w:r>
        <w:rPr>
          <w:sz w:val="20"/>
        </w:rPr>
        <w:t>;</w:t>
      </w:r>
      <w:r>
        <w:rPr>
          <w:spacing w:val="17"/>
          <w:sz w:val="20"/>
        </w:rPr>
        <w:t> </w:t>
      </w:r>
      <w:r>
        <w:rPr>
          <w:rFonts w:ascii="Arial" w:hAnsi="Arial"/>
          <w:i/>
          <w:sz w:val="20"/>
        </w:rPr>
        <w:t>Prior</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Hembrow</w:t>
      </w:r>
      <w:r>
        <w:rPr>
          <w:rFonts w:ascii="Arial" w:hAnsi="Arial"/>
          <w:i/>
          <w:spacing w:val="17"/>
          <w:sz w:val="20"/>
        </w:rPr>
        <w:t> </w:t>
      </w:r>
      <w:r>
        <w:rPr>
          <w:rFonts w:ascii="Arial" w:hAnsi="Arial"/>
          <w:i/>
          <w:sz w:val="20"/>
        </w:rPr>
        <w:t>(1841)</w:t>
      </w:r>
      <w:r>
        <w:rPr>
          <w:rFonts w:ascii="Arial" w:hAnsi="Arial"/>
          <w:i/>
          <w:spacing w:val="17"/>
          <w:sz w:val="20"/>
        </w:rPr>
        <w:t> </w:t>
      </w:r>
      <w:r>
        <w:rPr>
          <w:rFonts w:ascii="Arial" w:hAnsi="Arial"/>
          <w:i/>
          <w:sz w:val="20"/>
        </w:rPr>
        <w:t>8</w:t>
      </w:r>
      <w:r>
        <w:rPr>
          <w:rFonts w:ascii="Arial" w:hAnsi="Arial"/>
          <w:i/>
          <w:spacing w:val="17"/>
          <w:sz w:val="20"/>
        </w:rPr>
        <w:t> </w:t>
      </w:r>
      <w:r>
        <w:rPr>
          <w:rFonts w:ascii="Arial" w:hAnsi="Arial"/>
          <w:i/>
          <w:sz w:val="20"/>
        </w:rPr>
        <w:t>M.</w:t>
      </w:r>
      <w:r>
        <w:rPr>
          <w:rFonts w:ascii="Arial" w:hAnsi="Arial"/>
          <w:i/>
          <w:spacing w:val="17"/>
          <w:sz w:val="20"/>
        </w:rPr>
        <w:t> </w:t>
      </w:r>
      <w:r>
        <w:rPr>
          <w:rFonts w:ascii="Arial" w:hAnsi="Arial"/>
          <w:i/>
          <w:sz w:val="20"/>
        </w:rPr>
        <w:t>&amp;</w:t>
      </w:r>
      <w:r>
        <w:rPr>
          <w:rFonts w:ascii="Arial" w:hAnsi="Arial"/>
          <w:i/>
          <w:spacing w:val="17"/>
          <w:sz w:val="20"/>
        </w:rPr>
        <w:t> </w:t>
      </w:r>
      <w:r>
        <w:rPr>
          <w:rFonts w:ascii="Arial" w:hAnsi="Arial"/>
          <w:i/>
          <w:sz w:val="20"/>
        </w:rPr>
        <w:t>W.</w:t>
      </w:r>
      <w:r>
        <w:rPr>
          <w:rFonts w:ascii="Arial" w:hAnsi="Arial"/>
          <w:i/>
          <w:spacing w:val="17"/>
          <w:sz w:val="20"/>
        </w:rPr>
        <w:t> </w:t>
      </w:r>
      <w:r>
        <w:rPr>
          <w:rFonts w:ascii="Arial" w:hAnsi="Arial"/>
          <w:i/>
          <w:spacing w:val="-4"/>
          <w:sz w:val="20"/>
        </w:rPr>
        <w:t>873</w:t>
      </w:r>
      <w:r>
        <w:rPr>
          <w:spacing w:val="-4"/>
          <w:sz w:val="20"/>
        </w:rPr>
        <w:t>;</w:t>
      </w:r>
    </w:p>
    <w:p>
      <w:pPr>
        <w:spacing w:line="227" w:lineRule="exact" w:before="0"/>
        <w:ind w:left="563" w:right="0" w:firstLine="0"/>
        <w:jc w:val="left"/>
        <w:rPr>
          <w:sz w:val="20"/>
        </w:rPr>
      </w:pPr>
      <w:r>
        <w:rPr>
          <w:rFonts w:ascii="Arial"/>
          <w:i/>
          <w:sz w:val="20"/>
        </w:rPr>
        <w:t>Batard v Hawes (1853) 2 E. &amp; B. 287, </w:t>
      </w:r>
      <w:r>
        <w:rPr>
          <w:rFonts w:ascii="Arial"/>
          <w:i/>
          <w:spacing w:val="-4"/>
          <w:sz w:val="20"/>
        </w:rPr>
        <w:t>298</w:t>
      </w:r>
      <w:r>
        <w:rPr>
          <w:spacing w:val="-4"/>
          <w:sz w:val="20"/>
        </w:rPr>
        <w:t>.</w:t>
      </w:r>
    </w:p>
    <w:p>
      <w:pPr>
        <w:pStyle w:val="BodyText"/>
        <w:spacing w:before="5"/>
      </w:pPr>
    </w:p>
    <w:p>
      <w:pPr>
        <w:pStyle w:val="BodyText"/>
        <w:tabs>
          <w:tab w:pos="563" w:val="left" w:leader="none"/>
        </w:tabs>
        <w:ind w:left="23"/>
      </w:pPr>
      <w:bookmarkStart w:name="_bookmark172" w:id="174"/>
      <w:bookmarkEnd w:id="174"/>
      <w:r>
        <w:rPr/>
      </w:r>
      <w:hyperlink w:history="true" w:anchor="_bookmark75">
        <w:r>
          <w:rPr>
            <w:color w:val="005DA1"/>
            <w:spacing w:val="-5"/>
            <w:position w:val="5"/>
            <w:sz w:val="14"/>
            <w:u w:val="single" w:color="005DA1"/>
          </w:rPr>
          <w:t>80</w:t>
        </w:r>
      </w:hyperlink>
      <w:r>
        <w:rPr>
          <w:spacing w:val="-5"/>
          <w:position w:val="5"/>
          <w:sz w:val="14"/>
        </w:rPr>
        <w:t>.</w:t>
      </w:r>
      <w:r>
        <w:rPr>
          <w:position w:val="5"/>
          <w:sz w:val="14"/>
        </w:rPr>
        <w:tab/>
      </w:r>
      <w:r>
        <w:rPr/>
        <w:t>Above, para.17-</w:t>
      </w:r>
      <w:r>
        <w:rPr>
          <w:spacing w:val="-4"/>
        </w:rPr>
        <w:t>012.</w:t>
      </w:r>
    </w:p>
    <w:p>
      <w:pPr>
        <w:pStyle w:val="BodyText"/>
        <w:spacing w:before="5"/>
      </w:pPr>
    </w:p>
    <w:p>
      <w:pPr>
        <w:tabs>
          <w:tab w:pos="563" w:val="left" w:leader="none"/>
        </w:tabs>
        <w:spacing w:before="0"/>
        <w:ind w:left="23" w:right="0" w:firstLine="0"/>
        <w:jc w:val="left"/>
        <w:rPr>
          <w:sz w:val="20"/>
        </w:rPr>
      </w:pPr>
      <w:bookmarkStart w:name="_bookmark173" w:id="175"/>
      <w:bookmarkEnd w:id="175"/>
      <w:r>
        <w:rPr/>
      </w:r>
      <w:hyperlink w:history="true" w:anchor="_bookmark76">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Cunningham-Reid v Public Trustee [1944] K.B. </w:t>
      </w:r>
      <w:r>
        <w:rPr>
          <w:rFonts w:ascii="Arial"/>
          <w:i/>
          <w:spacing w:val="-4"/>
          <w:sz w:val="20"/>
        </w:rPr>
        <w:t>602</w:t>
      </w:r>
      <w:r>
        <w:rPr>
          <w:spacing w:val="-4"/>
          <w:sz w:val="20"/>
        </w:rPr>
        <w:t>.</w:t>
      </w:r>
    </w:p>
    <w:p>
      <w:pPr>
        <w:pStyle w:val="BodyText"/>
        <w:spacing w:before="9"/>
      </w:pPr>
    </w:p>
    <w:p>
      <w:pPr>
        <w:spacing w:line="235" w:lineRule="auto" w:before="0"/>
        <w:ind w:left="563" w:right="25" w:hanging="541"/>
        <w:jc w:val="both"/>
        <w:rPr>
          <w:sz w:val="20"/>
        </w:rPr>
      </w:pPr>
      <w:bookmarkStart w:name="_bookmark174" w:id="176"/>
      <w:bookmarkEnd w:id="176"/>
      <w:r>
        <w:rPr/>
      </w:r>
      <w:hyperlink w:history="true" w:anchor="_bookmark77">
        <w:r>
          <w:rPr>
            <w:color w:val="005DA1"/>
            <w:position w:val="5"/>
            <w:sz w:val="14"/>
            <w:u w:val="single" w:color="005DA1"/>
          </w:rPr>
          <w:t>82</w:t>
        </w:r>
      </w:hyperlink>
      <w:r>
        <w:rPr>
          <w:position w:val="5"/>
          <w:sz w:val="14"/>
        </w:rPr>
        <w:t>.</w:t>
      </w:r>
      <w:r>
        <w:rPr>
          <w:spacing w:val="80"/>
          <w:position w:val="5"/>
          <w:sz w:val="14"/>
        </w:rPr>
        <w:t>  </w:t>
      </w:r>
      <w:r>
        <w:rPr>
          <w:rFonts w:ascii="Arial"/>
          <w:i/>
          <w:sz w:val="20"/>
        </w:rPr>
        <w:t>Peter v Rich (1630) 1 Ch. Rep. 34</w:t>
      </w:r>
      <w:r>
        <w:rPr>
          <w:sz w:val="20"/>
        </w:rPr>
        <w:t>; </w:t>
      </w:r>
      <w:r>
        <w:rPr>
          <w:rFonts w:ascii="Arial"/>
          <w:i/>
          <w:sz w:val="20"/>
        </w:rPr>
        <w:t>Hitchman v Stewart (1855) 3 Drew. 271</w:t>
      </w:r>
      <w:r>
        <w:rPr>
          <w:sz w:val="20"/>
        </w:rPr>
        <w:t>; </w:t>
      </w:r>
      <w:r>
        <w:rPr>
          <w:rFonts w:ascii="Arial"/>
          <w:i/>
          <w:sz w:val="20"/>
        </w:rPr>
        <w:t>Lowe v </w:t>
      </w:r>
      <w:r>
        <w:rPr>
          <w:rFonts w:ascii="Arial"/>
          <w:i/>
          <w:sz w:val="20"/>
        </w:rPr>
        <w:t>Dixon</w:t>
      </w:r>
      <w:r>
        <w:rPr>
          <w:rFonts w:ascii="Arial"/>
          <w:i/>
          <w:spacing w:val="80"/>
          <w:sz w:val="20"/>
        </w:rPr>
        <w:t> </w:t>
      </w:r>
      <w:r>
        <w:rPr>
          <w:rFonts w:ascii="Arial"/>
          <w:i/>
          <w:sz w:val="20"/>
        </w:rPr>
        <w:t>(1885)</w:t>
      </w:r>
      <w:r>
        <w:rPr>
          <w:rFonts w:ascii="Arial"/>
          <w:i/>
          <w:spacing w:val="-1"/>
          <w:sz w:val="20"/>
        </w:rPr>
        <w:t> </w:t>
      </w:r>
      <w:r>
        <w:rPr>
          <w:rFonts w:ascii="Arial"/>
          <w:i/>
          <w:sz w:val="20"/>
        </w:rPr>
        <w:t>16</w:t>
      </w:r>
      <w:r>
        <w:rPr>
          <w:rFonts w:ascii="Arial"/>
          <w:i/>
          <w:spacing w:val="-1"/>
          <w:sz w:val="20"/>
        </w:rPr>
        <w:t> </w:t>
      </w:r>
      <w:r>
        <w:rPr>
          <w:rFonts w:ascii="Arial"/>
          <w:i/>
          <w:sz w:val="20"/>
        </w:rPr>
        <w:t>Q.B.D.</w:t>
      </w:r>
      <w:r>
        <w:rPr>
          <w:rFonts w:ascii="Arial"/>
          <w:i/>
          <w:spacing w:val="-1"/>
          <w:sz w:val="20"/>
        </w:rPr>
        <w:t> </w:t>
      </w:r>
      <w:r>
        <w:rPr>
          <w:rFonts w:ascii="Arial"/>
          <w:i/>
          <w:sz w:val="20"/>
        </w:rPr>
        <w:t>455</w:t>
      </w:r>
      <w:r>
        <w:rPr>
          <w:sz w:val="20"/>
        </w:rPr>
        <w:t>.</w:t>
      </w:r>
      <w:r>
        <w:rPr>
          <w:spacing w:val="-1"/>
          <w:sz w:val="20"/>
        </w:rPr>
        <w:t> </w:t>
      </w:r>
      <w:r>
        <w:rPr>
          <w:sz w:val="20"/>
        </w:rPr>
        <w:t>Before</w:t>
      </w:r>
      <w:r>
        <w:rPr>
          <w:spacing w:val="-1"/>
          <w:sz w:val="20"/>
        </w:rPr>
        <w:t> </w:t>
      </w:r>
      <w:r>
        <w:rPr>
          <w:sz w:val="20"/>
        </w:rPr>
        <w:t>the</w:t>
      </w:r>
      <w:r>
        <w:rPr>
          <w:spacing w:val="-1"/>
          <w:sz w:val="20"/>
        </w:rPr>
        <w:t> </w:t>
      </w:r>
      <w:r>
        <w:rPr>
          <w:sz w:val="20"/>
        </w:rPr>
        <w:t>Judicature</w:t>
      </w:r>
      <w:r>
        <w:rPr>
          <w:spacing w:val="-1"/>
          <w:sz w:val="20"/>
        </w:rPr>
        <w:t> </w:t>
      </w:r>
      <w:r>
        <w:rPr>
          <w:sz w:val="20"/>
        </w:rPr>
        <w:t>Act</w:t>
      </w:r>
      <w:r>
        <w:rPr>
          <w:spacing w:val="-1"/>
          <w:sz w:val="20"/>
        </w:rPr>
        <w:t> </w:t>
      </w:r>
      <w:r>
        <w:rPr>
          <w:sz w:val="20"/>
        </w:rPr>
        <w:t>1873,</w:t>
      </w:r>
      <w:r>
        <w:rPr>
          <w:spacing w:val="-1"/>
          <w:sz w:val="20"/>
        </w:rPr>
        <w:t> </w:t>
      </w:r>
      <w:r>
        <w:rPr>
          <w:sz w:val="20"/>
        </w:rPr>
        <w:t>the</w:t>
      </w:r>
      <w:r>
        <w:rPr>
          <w:spacing w:val="-1"/>
          <w:sz w:val="20"/>
        </w:rPr>
        <w:t> </w:t>
      </w:r>
      <w:r>
        <w:rPr>
          <w:sz w:val="20"/>
        </w:rPr>
        <w:t>rule</w:t>
      </w:r>
      <w:r>
        <w:rPr>
          <w:spacing w:val="-1"/>
          <w:sz w:val="20"/>
        </w:rPr>
        <w:t> </w:t>
      </w:r>
      <w:r>
        <w:rPr>
          <w:sz w:val="20"/>
        </w:rPr>
        <w:t>at</w:t>
      </w:r>
      <w:r>
        <w:rPr>
          <w:spacing w:val="-1"/>
          <w:sz w:val="20"/>
        </w:rPr>
        <w:t> </w:t>
      </w:r>
      <w:r>
        <w:rPr>
          <w:sz w:val="20"/>
        </w:rPr>
        <w:t>law</w:t>
      </w:r>
      <w:r>
        <w:rPr>
          <w:spacing w:val="-1"/>
          <w:sz w:val="20"/>
        </w:rPr>
        <w:t> </w:t>
      </w:r>
      <w:r>
        <w:rPr>
          <w:sz w:val="20"/>
        </w:rPr>
        <w:t>was</w:t>
      </w:r>
      <w:r>
        <w:rPr>
          <w:spacing w:val="-1"/>
          <w:sz w:val="20"/>
        </w:rPr>
        <w:t> </w:t>
      </w:r>
      <w:r>
        <w:rPr>
          <w:sz w:val="20"/>
        </w:rPr>
        <w:t>otherwise.</w:t>
      </w:r>
      <w:r>
        <w:rPr>
          <w:spacing w:val="-1"/>
          <w:sz w:val="20"/>
        </w:rPr>
        <w:t> </w:t>
      </w:r>
      <w:r>
        <w:rPr>
          <w:sz w:val="20"/>
        </w:rPr>
        <w:t>Since</w:t>
      </w:r>
      <w:r>
        <w:rPr>
          <w:spacing w:val="-1"/>
          <w:sz w:val="20"/>
        </w:rPr>
        <w:t> </w:t>
      </w:r>
      <w:r>
        <w:rPr>
          <w:sz w:val="20"/>
        </w:rPr>
        <w:t>that Act, the rule in equity prevails.</w:t>
      </w:r>
    </w:p>
    <w:p>
      <w:pPr>
        <w:pStyle w:val="BodyText"/>
        <w:spacing w:before="8"/>
      </w:pPr>
    </w:p>
    <w:p>
      <w:pPr>
        <w:tabs>
          <w:tab w:pos="563" w:val="left" w:leader="none"/>
        </w:tabs>
        <w:spacing w:line="235" w:lineRule="auto" w:before="1"/>
        <w:ind w:left="563" w:right="25" w:hanging="541"/>
        <w:jc w:val="left"/>
        <w:rPr>
          <w:rFonts w:ascii="Arial"/>
          <w:i/>
          <w:sz w:val="20"/>
        </w:rPr>
      </w:pPr>
      <w:bookmarkStart w:name="_bookmark175" w:id="177"/>
      <w:bookmarkEnd w:id="177"/>
      <w:r>
        <w:rPr/>
      </w:r>
      <w:hyperlink w:history="true" w:anchor="_bookmark78">
        <w:r>
          <w:rPr>
            <w:color w:val="005DA1"/>
            <w:spacing w:val="-4"/>
            <w:position w:val="5"/>
            <w:sz w:val="14"/>
            <w:u w:val="single" w:color="005DA1"/>
          </w:rPr>
          <w:t>83</w:t>
        </w:r>
      </w:hyperlink>
      <w:r>
        <w:rPr>
          <w:spacing w:val="-4"/>
          <w:position w:val="5"/>
          <w:sz w:val="14"/>
        </w:rPr>
        <w:t>.</w:t>
      </w:r>
      <w:r>
        <w:rPr>
          <w:position w:val="5"/>
          <w:sz w:val="14"/>
        </w:rPr>
        <w:tab/>
      </w:r>
      <w:r>
        <w:rPr>
          <w:sz w:val="20"/>
        </w:rPr>
        <w:t>A debtor who was liable only for 50 per cent of the debt but who has paid in full cannot </w:t>
      </w:r>
      <w:r>
        <w:rPr>
          <w:sz w:val="20"/>
        </w:rPr>
        <w:t>recover contribution:</w:t>
      </w:r>
      <w:r>
        <w:rPr>
          <w:spacing w:val="19"/>
          <w:sz w:val="20"/>
        </w:rPr>
        <w:t> </w:t>
      </w:r>
      <w:r>
        <w:rPr>
          <w:rFonts w:ascii="Arial"/>
          <w:i/>
          <w:sz w:val="20"/>
        </w:rPr>
        <w:t>Legal</w:t>
      </w:r>
      <w:r>
        <w:rPr>
          <w:rFonts w:ascii="Arial"/>
          <w:i/>
          <w:spacing w:val="20"/>
          <w:sz w:val="20"/>
        </w:rPr>
        <w:t> </w:t>
      </w:r>
      <w:r>
        <w:rPr>
          <w:rFonts w:ascii="Arial"/>
          <w:i/>
          <w:sz w:val="20"/>
        </w:rPr>
        <w:t>&amp;</w:t>
      </w:r>
      <w:r>
        <w:rPr>
          <w:rFonts w:ascii="Arial"/>
          <w:i/>
          <w:spacing w:val="20"/>
          <w:sz w:val="20"/>
        </w:rPr>
        <w:t> </w:t>
      </w:r>
      <w:r>
        <w:rPr>
          <w:rFonts w:ascii="Arial"/>
          <w:i/>
          <w:sz w:val="20"/>
        </w:rPr>
        <w:t>General</w:t>
      </w:r>
      <w:r>
        <w:rPr>
          <w:rFonts w:ascii="Arial"/>
          <w:i/>
          <w:spacing w:val="20"/>
          <w:sz w:val="20"/>
        </w:rPr>
        <w:t> </w:t>
      </w:r>
      <w:r>
        <w:rPr>
          <w:rFonts w:ascii="Arial"/>
          <w:i/>
          <w:sz w:val="20"/>
        </w:rPr>
        <w:t>Assurance</w:t>
      </w:r>
      <w:r>
        <w:rPr>
          <w:rFonts w:ascii="Arial"/>
          <w:i/>
          <w:spacing w:val="20"/>
          <w:sz w:val="20"/>
        </w:rPr>
        <w:t> </w:t>
      </w:r>
      <w:r>
        <w:rPr>
          <w:rFonts w:ascii="Arial"/>
          <w:i/>
          <w:sz w:val="20"/>
        </w:rPr>
        <w:t>Society</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Drake</w:t>
      </w:r>
      <w:r>
        <w:rPr>
          <w:rFonts w:ascii="Arial"/>
          <w:i/>
          <w:spacing w:val="20"/>
          <w:sz w:val="20"/>
        </w:rPr>
        <w:t> </w:t>
      </w:r>
      <w:r>
        <w:rPr>
          <w:rFonts w:ascii="Arial"/>
          <w:i/>
          <w:sz w:val="20"/>
        </w:rPr>
        <w:t>Insurance</w:t>
      </w:r>
      <w:r>
        <w:rPr>
          <w:rFonts w:ascii="Arial"/>
          <w:i/>
          <w:spacing w:val="20"/>
          <w:sz w:val="20"/>
        </w:rPr>
        <w:t> </w:t>
      </w:r>
      <w:r>
        <w:rPr>
          <w:rFonts w:ascii="Arial"/>
          <w:i/>
          <w:sz w:val="20"/>
        </w:rPr>
        <w:t>Co</w:t>
      </w:r>
      <w:r>
        <w:rPr>
          <w:rFonts w:ascii="Arial"/>
          <w:i/>
          <w:spacing w:val="20"/>
          <w:sz w:val="20"/>
        </w:rPr>
        <w:t> </w:t>
      </w:r>
      <w:r>
        <w:rPr>
          <w:rFonts w:ascii="Arial"/>
          <w:i/>
          <w:sz w:val="20"/>
        </w:rPr>
        <w:t>Ltd</w:t>
      </w:r>
      <w:r>
        <w:rPr>
          <w:rFonts w:ascii="Arial"/>
          <w:i/>
          <w:spacing w:val="20"/>
          <w:sz w:val="20"/>
        </w:rPr>
        <w:t> </w:t>
      </w:r>
      <w:r>
        <w:rPr>
          <w:rFonts w:ascii="Arial"/>
          <w:i/>
          <w:sz w:val="20"/>
        </w:rPr>
        <w:t>[1992]</w:t>
      </w:r>
      <w:r>
        <w:rPr>
          <w:rFonts w:ascii="Arial"/>
          <w:i/>
          <w:spacing w:val="20"/>
          <w:sz w:val="20"/>
        </w:rPr>
        <w:t> </w:t>
      </w:r>
      <w:r>
        <w:rPr>
          <w:rFonts w:ascii="Arial"/>
          <w:i/>
          <w:sz w:val="20"/>
        </w:rPr>
        <w:t>1</w:t>
      </w:r>
      <w:r>
        <w:rPr>
          <w:rFonts w:ascii="Arial"/>
          <w:i/>
          <w:spacing w:val="20"/>
          <w:sz w:val="20"/>
        </w:rPr>
        <w:t> </w:t>
      </w:r>
      <w:r>
        <w:rPr>
          <w:rFonts w:ascii="Arial"/>
          <w:i/>
          <w:spacing w:val="-4"/>
          <w:sz w:val="20"/>
        </w:rPr>
        <w:t>Q.B.</w:t>
      </w:r>
    </w:p>
    <w:p>
      <w:pPr>
        <w:spacing w:after="0" w:line="235" w:lineRule="auto"/>
        <w:jc w:val="left"/>
        <w:rPr>
          <w:rFonts w:ascii="Arial"/>
          <w:i/>
          <w:sz w:val="20"/>
        </w:rPr>
        <w:sectPr>
          <w:pgSz w:w="11900" w:h="16840"/>
          <w:pgMar w:header="971" w:footer="0" w:top="1300" w:bottom="280" w:left="1417" w:right="1417"/>
        </w:sectPr>
      </w:pPr>
    </w:p>
    <w:p>
      <w:pPr>
        <w:spacing w:before="106"/>
        <w:ind w:left="563" w:right="0" w:firstLine="0"/>
        <w:jc w:val="left"/>
        <w:rPr>
          <w:sz w:val="20"/>
        </w:rPr>
      </w:pPr>
      <w:r>
        <w:rPr>
          <w:rFonts w:ascii="Arial"/>
          <w:i/>
          <w:spacing w:val="-4"/>
          <w:sz w:val="20"/>
        </w:rPr>
        <w:t>887</w:t>
      </w:r>
      <w:r>
        <w:rPr>
          <w:spacing w:val="-4"/>
          <w:sz w:val="20"/>
        </w:rPr>
        <w:t>.</w:t>
      </w:r>
    </w:p>
    <w:p>
      <w:pPr>
        <w:pStyle w:val="BodyText"/>
        <w:spacing w:before="5"/>
      </w:pPr>
    </w:p>
    <w:p>
      <w:pPr>
        <w:tabs>
          <w:tab w:pos="563" w:val="left" w:leader="none"/>
        </w:tabs>
        <w:spacing w:line="227" w:lineRule="exact" w:before="1"/>
        <w:ind w:left="23" w:right="0" w:firstLine="0"/>
        <w:jc w:val="left"/>
        <w:rPr>
          <w:sz w:val="20"/>
        </w:rPr>
      </w:pPr>
      <w:bookmarkStart w:name="_bookmark176" w:id="178"/>
      <w:bookmarkEnd w:id="178"/>
      <w:r>
        <w:rPr/>
      </w:r>
      <w:hyperlink w:history="true" w:anchor="_bookmark78">
        <w:r>
          <w:rPr>
            <w:color w:val="005DA1"/>
            <w:spacing w:val="-5"/>
            <w:position w:val="5"/>
            <w:sz w:val="14"/>
            <w:u w:val="single" w:color="005DA1"/>
          </w:rPr>
          <w:t>84</w:t>
        </w:r>
      </w:hyperlink>
      <w:r>
        <w:rPr>
          <w:spacing w:val="-5"/>
          <w:position w:val="5"/>
          <w:sz w:val="14"/>
        </w:rPr>
        <w:t>.</w:t>
      </w:r>
      <w:r>
        <w:rPr>
          <w:position w:val="5"/>
          <w:sz w:val="14"/>
        </w:rPr>
        <w:tab/>
      </w:r>
      <w:r>
        <w:rPr>
          <w:rFonts w:ascii="Arial" w:hAnsi="Arial"/>
          <w:i/>
          <w:sz w:val="20"/>
        </w:rPr>
        <w:t>Davies</w:t>
      </w:r>
      <w:r>
        <w:rPr>
          <w:rFonts w:ascii="Arial" w:hAnsi="Arial"/>
          <w:i/>
          <w:spacing w:val="39"/>
          <w:sz w:val="20"/>
        </w:rPr>
        <w:t> </w:t>
      </w:r>
      <w:r>
        <w:rPr>
          <w:rFonts w:ascii="Arial" w:hAnsi="Arial"/>
          <w:i/>
          <w:sz w:val="20"/>
        </w:rPr>
        <w:t>v</w:t>
      </w:r>
      <w:r>
        <w:rPr>
          <w:rFonts w:ascii="Arial" w:hAnsi="Arial"/>
          <w:i/>
          <w:spacing w:val="40"/>
          <w:sz w:val="20"/>
        </w:rPr>
        <w:t> </w:t>
      </w:r>
      <w:r>
        <w:rPr>
          <w:rFonts w:ascii="Arial" w:hAnsi="Arial"/>
          <w:i/>
          <w:sz w:val="20"/>
        </w:rPr>
        <w:t>Humphreys</w:t>
      </w:r>
      <w:r>
        <w:rPr>
          <w:rFonts w:ascii="Arial" w:hAnsi="Arial"/>
          <w:i/>
          <w:spacing w:val="40"/>
          <w:sz w:val="20"/>
        </w:rPr>
        <w:t> </w:t>
      </w:r>
      <w:r>
        <w:rPr>
          <w:rFonts w:ascii="Arial" w:hAnsi="Arial"/>
          <w:i/>
          <w:sz w:val="20"/>
        </w:rPr>
        <w:t>(1840)</w:t>
      </w:r>
      <w:r>
        <w:rPr>
          <w:rFonts w:ascii="Arial" w:hAnsi="Arial"/>
          <w:i/>
          <w:spacing w:val="40"/>
          <w:sz w:val="20"/>
        </w:rPr>
        <w:t> </w:t>
      </w:r>
      <w:r>
        <w:rPr>
          <w:rFonts w:ascii="Arial" w:hAnsi="Arial"/>
          <w:i/>
          <w:sz w:val="20"/>
        </w:rPr>
        <w:t>6</w:t>
      </w:r>
      <w:r>
        <w:rPr>
          <w:rFonts w:ascii="Arial" w:hAnsi="Arial"/>
          <w:i/>
          <w:spacing w:val="40"/>
          <w:sz w:val="20"/>
        </w:rPr>
        <w:t> </w:t>
      </w:r>
      <w:r>
        <w:rPr>
          <w:rFonts w:ascii="Arial" w:hAnsi="Arial"/>
          <w:i/>
          <w:sz w:val="20"/>
        </w:rPr>
        <w:t>M.</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W.</w:t>
      </w:r>
      <w:r>
        <w:rPr>
          <w:rFonts w:ascii="Arial" w:hAnsi="Arial"/>
          <w:i/>
          <w:spacing w:val="40"/>
          <w:sz w:val="20"/>
        </w:rPr>
        <w:t> </w:t>
      </w:r>
      <w:r>
        <w:rPr>
          <w:rFonts w:ascii="Arial" w:hAnsi="Arial"/>
          <w:i/>
          <w:sz w:val="20"/>
        </w:rPr>
        <w:t>153,</w:t>
      </w:r>
      <w:r>
        <w:rPr>
          <w:rFonts w:ascii="Arial" w:hAnsi="Arial"/>
          <w:i/>
          <w:spacing w:val="40"/>
          <w:sz w:val="20"/>
        </w:rPr>
        <w:t> </w:t>
      </w:r>
      <w:r>
        <w:rPr>
          <w:rFonts w:ascii="Arial" w:hAnsi="Arial"/>
          <w:i/>
          <w:sz w:val="20"/>
        </w:rPr>
        <w:t>168–169</w:t>
      </w:r>
      <w:r>
        <w:rPr>
          <w:sz w:val="20"/>
        </w:rPr>
        <w:t>;</w:t>
      </w:r>
      <w:r>
        <w:rPr>
          <w:spacing w:val="40"/>
          <w:sz w:val="20"/>
        </w:rPr>
        <w:t> </w:t>
      </w:r>
      <w:r>
        <w:rPr>
          <w:rFonts w:ascii="Arial" w:hAnsi="Arial"/>
          <w:i/>
          <w:sz w:val="20"/>
        </w:rPr>
        <w:t>Re</w:t>
      </w:r>
      <w:r>
        <w:rPr>
          <w:rFonts w:ascii="Arial" w:hAnsi="Arial"/>
          <w:i/>
          <w:spacing w:val="40"/>
          <w:sz w:val="20"/>
        </w:rPr>
        <w:t> </w:t>
      </w:r>
      <w:r>
        <w:rPr>
          <w:rFonts w:ascii="Arial" w:hAnsi="Arial"/>
          <w:i/>
          <w:sz w:val="20"/>
        </w:rPr>
        <w:t>Snowdon</w:t>
      </w:r>
      <w:r>
        <w:rPr>
          <w:rFonts w:ascii="Arial" w:hAnsi="Arial"/>
          <w:i/>
          <w:spacing w:val="40"/>
          <w:sz w:val="20"/>
        </w:rPr>
        <w:t> </w:t>
      </w:r>
      <w:r>
        <w:rPr>
          <w:rFonts w:ascii="Arial" w:hAnsi="Arial"/>
          <w:i/>
          <w:sz w:val="20"/>
        </w:rPr>
        <w:t>(1881)</w:t>
      </w:r>
      <w:r>
        <w:rPr>
          <w:rFonts w:ascii="Arial" w:hAnsi="Arial"/>
          <w:i/>
          <w:spacing w:val="40"/>
          <w:sz w:val="20"/>
        </w:rPr>
        <w:t> </w:t>
      </w:r>
      <w:r>
        <w:rPr>
          <w:rFonts w:ascii="Arial" w:hAnsi="Arial"/>
          <w:i/>
          <w:sz w:val="20"/>
        </w:rPr>
        <w:t>17</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D.</w:t>
      </w:r>
      <w:r>
        <w:rPr>
          <w:rFonts w:ascii="Arial" w:hAnsi="Arial"/>
          <w:i/>
          <w:spacing w:val="40"/>
          <w:sz w:val="20"/>
        </w:rPr>
        <w:t> </w:t>
      </w:r>
      <w:r>
        <w:rPr>
          <w:rFonts w:ascii="Arial" w:hAnsi="Arial"/>
          <w:i/>
          <w:spacing w:val="-5"/>
          <w:sz w:val="20"/>
        </w:rPr>
        <w:t>44</w:t>
      </w:r>
      <w:r>
        <w:rPr>
          <w:spacing w:val="-5"/>
          <w:sz w:val="20"/>
        </w:rPr>
        <w:t>;</w:t>
      </w:r>
    </w:p>
    <w:p>
      <w:pPr>
        <w:spacing w:line="227" w:lineRule="exact" w:before="0"/>
        <w:ind w:left="563" w:right="0" w:firstLine="0"/>
        <w:jc w:val="left"/>
        <w:rPr>
          <w:sz w:val="20"/>
        </w:rPr>
      </w:pPr>
      <w:r>
        <w:rPr>
          <w:rFonts w:ascii="Arial"/>
          <w:i/>
          <w:sz w:val="20"/>
        </w:rPr>
        <w:t>Stirling v Burdett [1911] 2 Ch. </w:t>
      </w:r>
      <w:r>
        <w:rPr>
          <w:rFonts w:ascii="Arial"/>
          <w:i/>
          <w:spacing w:val="-4"/>
          <w:sz w:val="20"/>
        </w:rPr>
        <w:t>418</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77" w:id="179"/>
      <w:bookmarkEnd w:id="179"/>
      <w:r>
        <w:rPr/>
      </w:r>
      <w:hyperlink w:history="true" w:anchor="_bookmark79">
        <w:r>
          <w:rPr>
            <w:color w:val="005DA1"/>
            <w:spacing w:val="-5"/>
            <w:position w:val="5"/>
            <w:sz w:val="14"/>
            <w:u w:val="single" w:color="005DA1"/>
          </w:rPr>
          <w:t>85</w:t>
        </w:r>
      </w:hyperlink>
      <w:r>
        <w:rPr>
          <w:spacing w:val="-5"/>
          <w:position w:val="5"/>
          <w:sz w:val="14"/>
        </w:rPr>
        <w:t>.</w:t>
      </w:r>
      <w:r>
        <w:rPr>
          <w:position w:val="5"/>
          <w:sz w:val="14"/>
        </w:rPr>
        <w:tab/>
      </w:r>
      <w:r>
        <w:rPr>
          <w:rFonts w:ascii="Arial"/>
          <w:i/>
          <w:sz w:val="20"/>
        </w:rPr>
        <w:t>Davies v Humphreys (1840) 6 M. &amp; W. 153, </w:t>
      </w:r>
      <w:r>
        <w:rPr>
          <w:rFonts w:ascii="Arial"/>
          <w:i/>
          <w:spacing w:val="-4"/>
          <w:sz w:val="20"/>
        </w:rPr>
        <w:t>169</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78" w:id="180"/>
      <w:bookmarkEnd w:id="180"/>
      <w:r>
        <w:rPr/>
      </w:r>
      <w:hyperlink w:history="true" w:anchor="_bookmark80">
        <w:r>
          <w:rPr>
            <w:color w:val="005DA1"/>
            <w:spacing w:val="-5"/>
            <w:position w:val="5"/>
            <w:sz w:val="14"/>
            <w:u w:val="single" w:color="005DA1"/>
          </w:rPr>
          <w:t>86</w:t>
        </w:r>
      </w:hyperlink>
      <w:r>
        <w:rPr>
          <w:spacing w:val="-5"/>
          <w:position w:val="5"/>
          <w:sz w:val="14"/>
        </w:rPr>
        <w:t>.</w:t>
      </w:r>
      <w:r>
        <w:rPr>
          <w:position w:val="5"/>
          <w:sz w:val="14"/>
        </w:rPr>
        <w:tab/>
      </w:r>
      <w:r>
        <w:rPr>
          <w:rFonts w:ascii="Arial"/>
          <w:i/>
          <w:sz w:val="20"/>
        </w:rPr>
        <w:t>Wolmershausen v Gullick [1893] 2 Ch. </w:t>
      </w:r>
      <w:r>
        <w:rPr>
          <w:rFonts w:ascii="Arial"/>
          <w:i/>
          <w:spacing w:val="-4"/>
          <w:sz w:val="20"/>
        </w:rPr>
        <w:t>514</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79" w:id="181"/>
      <w:bookmarkEnd w:id="181"/>
      <w:r>
        <w:rPr/>
      </w:r>
      <w:hyperlink w:history="true" w:anchor="_bookmark81">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Hay v Carter [1935] Ch. </w:t>
      </w:r>
      <w:r>
        <w:rPr>
          <w:rFonts w:ascii="Arial"/>
          <w:i/>
          <w:spacing w:val="-4"/>
          <w:sz w:val="20"/>
        </w:rPr>
        <w:t>397</w:t>
      </w:r>
      <w:r>
        <w:rPr>
          <w:spacing w:val="-4"/>
          <w:sz w:val="20"/>
        </w:rPr>
        <w:t>.</w:t>
      </w:r>
    </w:p>
    <w:p>
      <w:pPr>
        <w:pStyle w:val="BodyText"/>
        <w:spacing w:before="8"/>
      </w:pPr>
    </w:p>
    <w:p>
      <w:pPr>
        <w:pStyle w:val="BodyText"/>
        <w:spacing w:line="235" w:lineRule="auto"/>
        <w:ind w:left="563" w:right="25" w:hanging="541"/>
        <w:jc w:val="both"/>
      </w:pPr>
      <w:bookmarkStart w:name="_bookmark180" w:id="182"/>
      <w:bookmarkEnd w:id="182"/>
      <w:r>
        <w:rPr/>
      </w:r>
      <w:hyperlink w:history="true" w:anchor="_bookmark82">
        <w:r>
          <w:rPr>
            <w:color w:val="005DA1"/>
            <w:position w:val="5"/>
            <w:sz w:val="14"/>
            <w:u w:val="single" w:color="005DA1"/>
          </w:rPr>
          <w:t>88</w:t>
        </w:r>
      </w:hyperlink>
      <w:r>
        <w:rPr>
          <w:position w:val="5"/>
          <w:sz w:val="14"/>
        </w:rPr>
        <w:t>.</w:t>
      </w:r>
      <w:r>
        <w:rPr>
          <w:spacing w:val="80"/>
          <w:w w:val="150"/>
          <w:position w:val="5"/>
          <w:sz w:val="14"/>
        </w:rPr>
        <w:t>  </w:t>
      </w:r>
      <w:r>
        <w:rPr/>
        <w:t>As</w:t>
      </w:r>
      <w:r>
        <w:rPr>
          <w:spacing w:val="21"/>
        </w:rPr>
        <w:t> </w:t>
      </w:r>
      <w:r>
        <w:rPr/>
        <w:t>the</w:t>
      </w:r>
      <w:r>
        <w:rPr>
          <w:spacing w:val="21"/>
        </w:rPr>
        <w:t> </w:t>
      </w:r>
      <w:r>
        <w:rPr/>
        <w:t>Civil</w:t>
      </w:r>
      <w:r>
        <w:rPr>
          <w:spacing w:val="21"/>
        </w:rPr>
        <w:t> </w:t>
      </w:r>
      <w:r>
        <w:rPr/>
        <w:t>Liability</w:t>
      </w:r>
      <w:r>
        <w:rPr>
          <w:spacing w:val="21"/>
        </w:rPr>
        <w:t> </w:t>
      </w:r>
      <w:r>
        <w:rPr/>
        <w:t>(Contribution)</w:t>
      </w:r>
      <w:r>
        <w:rPr>
          <w:spacing w:val="21"/>
        </w:rPr>
        <w:t> </w:t>
      </w:r>
      <w:r>
        <w:rPr/>
        <w:t>Act</w:t>
      </w:r>
      <w:r>
        <w:rPr>
          <w:spacing w:val="21"/>
        </w:rPr>
        <w:t> </w:t>
      </w:r>
      <w:r>
        <w:rPr/>
        <w:t>1978</w:t>
      </w:r>
      <w:r>
        <w:rPr>
          <w:spacing w:val="21"/>
        </w:rPr>
        <w:t> </w:t>
      </w:r>
      <w:r>
        <w:rPr/>
        <w:t>does</w:t>
      </w:r>
      <w:r>
        <w:rPr>
          <w:spacing w:val="21"/>
        </w:rPr>
        <w:t> </w:t>
      </w:r>
      <w:r>
        <w:rPr/>
        <w:t>not</w:t>
      </w:r>
      <w:r>
        <w:rPr>
          <w:spacing w:val="21"/>
        </w:rPr>
        <w:t> </w:t>
      </w:r>
      <w:r>
        <w:rPr/>
        <w:t>apply</w:t>
      </w:r>
      <w:r>
        <w:rPr>
          <w:spacing w:val="21"/>
        </w:rPr>
        <w:t> </w:t>
      </w:r>
      <w:r>
        <w:rPr/>
        <w:t>to</w:t>
      </w:r>
      <w:r>
        <w:rPr>
          <w:spacing w:val="21"/>
        </w:rPr>
        <w:t> </w:t>
      </w:r>
      <w:r>
        <w:rPr/>
        <w:t>a</w:t>
      </w:r>
      <w:r>
        <w:rPr>
          <w:spacing w:val="21"/>
        </w:rPr>
        <w:t> </w:t>
      </w:r>
      <w:r>
        <w:rPr/>
        <w:t>claim</w:t>
      </w:r>
      <w:r>
        <w:rPr>
          <w:spacing w:val="21"/>
        </w:rPr>
        <w:t> </w:t>
      </w:r>
      <w:r>
        <w:rPr/>
        <w:t>for</w:t>
      </w:r>
      <w:r>
        <w:rPr>
          <w:spacing w:val="21"/>
        </w:rPr>
        <w:t> </w:t>
      </w:r>
      <w:r>
        <w:rPr/>
        <w:t>contribution</w:t>
      </w:r>
      <w:r>
        <w:rPr>
          <w:spacing w:val="21"/>
        </w:rPr>
        <w:t> </w:t>
      </w:r>
      <w:r>
        <w:rPr/>
        <w:t>from</w:t>
      </w:r>
      <w:r>
        <w:rPr>
          <w:spacing w:val="21"/>
        </w:rPr>
        <w:t> </w:t>
      </w:r>
      <w:r>
        <w:rPr/>
        <w:t>a co-debtor, the limitation period applicable to the 1978 Act, as laid down in s.10 of the Limitation Act 1980, does not apply to such a claim for contribution: </w:t>
      </w:r>
      <w:r>
        <w:rPr>
          <w:rFonts w:ascii="Arial"/>
          <w:i/>
        </w:rPr>
        <w:t>Hampton v Minns [2002] 1 W.L.R. 1</w:t>
      </w:r>
      <w:r>
        <w:rPr/>
        <w:t>.</w:t>
      </w:r>
    </w:p>
    <w:p>
      <w:pPr>
        <w:pStyle w:val="BodyText"/>
        <w:spacing w:before="9"/>
      </w:pPr>
    </w:p>
    <w:p>
      <w:pPr>
        <w:pStyle w:val="BodyText"/>
        <w:tabs>
          <w:tab w:pos="563" w:val="left" w:leader="none"/>
        </w:tabs>
        <w:spacing w:line="235" w:lineRule="auto"/>
        <w:ind w:left="563" w:right="25" w:hanging="541"/>
      </w:pPr>
      <w:bookmarkStart w:name="_bookmark181" w:id="183"/>
      <w:bookmarkEnd w:id="183"/>
      <w:r>
        <w:rPr/>
      </w:r>
      <w:hyperlink w:history="true" w:anchor="_bookmark83">
        <w:r>
          <w:rPr>
            <w:color w:val="005DA1"/>
            <w:spacing w:val="-4"/>
            <w:position w:val="5"/>
            <w:sz w:val="14"/>
            <w:u w:val="single" w:color="005DA1"/>
          </w:rPr>
          <w:t>89</w:t>
        </w:r>
      </w:hyperlink>
      <w:r>
        <w:rPr>
          <w:spacing w:val="-4"/>
          <w:position w:val="5"/>
          <w:sz w:val="14"/>
        </w:rPr>
        <w:t>.</w:t>
      </w:r>
      <w:r>
        <w:rPr>
          <w:position w:val="5"/>
          <w:sz w:val="14"/>
        </w:rPr>
        <w:tab/>
      </w:r>
      <w:r>
        <w:rPr/>
        <w:t>The Act was based on the Report on Contribution of the Law Commission (Law Com. No.79,</w:t>
      </w:r>
      <w:r>
        <w:rPr>
          <w:spacing w:val="80"/>
        </w:rPr>
        <w:t> </w:t>
      </w:r>
      <w:r>
        <w:rPr/>
        <w:t>1977);</w:t>
      </w:r>
      <w:r>
        <w:rPr>
          <w:spacing w:val="1"/>
        </w:rPr>
        <w:t> </w:t>
      </w:r>
      <w:r>
        <w:rPr/>
        <w:t>see</w:t>
      </w:r>
      <w:r>
        <w:rPr>
          <w:spacing w:val="3"/>
        </w:rPr>
        <w:t> </w:t>
      </w:r>
      <w:r>
        <w:rPr/>
        <w:t>generally</w:t>
      </w:r>
      <w:r>
        <w:rPr>
          <w:spacing w:val="3"/>
        </w:rPr>
        <w:t> </w:t>
      </w:r>
      <w:r>
        <w:rPr/>
        <w:t>Dugdale</w:t>
      </w:r>
      <w:r>
        <w:rPr>
          <w:spacing w:val="3"/>
        </w:rPr>
        <w:t> </w:t>
      </w:r>
      <w:r>
        <w:rPr/>
        <w:t>(1979)</w:t>
      </w:r>
      <w:r>
        <w:rPr>
          <w:spacing w:val="3"/>
        </w:rPr>
        <w:t> </w:t>
      </w:r>
      <w:r>
        <w:rPr/>
        <w:t>42</w:t>
      </w:r>
      <w:r>
        <w:rPr>
          <w:spacing w:val="3"/>
        </w:rPr>
        <w:t> </w:t>
      </w:r>
      <w:r>
        <w:rPr/>
        <w:t>M.L.R.</w:t>
      </w:r>
      <w:r>
        <w:rPr>
          <w:spacing w:val="3"/>
        </w:rPr>
        <w:t> </w:t>
      </w:r>
      <w:r>
        <w:rPr/>
        <w:t>182;</w:t>
      </w:r>
      <w:r>
        <w:rPr>
          <w:spacing w:val="3"/>
        </w:rPr>
        <w:t> </w:t>
      </w:r>
      <w:r>
        <w:rPr/>
        <w:t>Clerk</w:t>
      </w:r>
      <w:r>
        <w:rPr>
          <w:spacing w:val="3"/>
        </w:rPr>
        <w:t> </w:t>
      </w:r>
      <w:r>
        <w:rPr/>
        <w:t>&amp;</w:t>
      </w:r>
      <w:r>
        <w:rPr>
          <w:spacing w:val="3"/>
        </w:rPr>
        <w:t> </w:t>
      </w:r>
      <w:r>
        <w:rPr/>
        <w:t>Lindsell</w:t>
      </w:r>
      <w:r>
        <w:rPr>
          <w:spacing w:val="3"/>
        </w:rPr>
        <w:t> </w:t>
      </w:r>
      <w:r>
        <w:rPr/>
        <w:t>on</w:t>
      </w:r>
      <w:r>
        <w:rPr>
          <w:spacing w:val="3"/>
        </w:rPr>
        <w:t> </w:t>
      </w:r>
      <w:r>
        <w:rPr/>
        <w:t>Torts,</w:t>
      </w:r>
      <w:r>
        <w:rPr>
          <w:spacing w:val="3"/>
        </w:rPr>
        <w:t> </w:t>
      </w:r>
      <w:r>
        <w:rPr/>
        <w:t>21st</w:t>
      </w:r>
      <w:r>
        <w:rPr>
          <w:spacing w:val="3"/>
        </w:rPr>
        <w:t> </w:t>
      </w:r>
      <w:r>
        <w:rPr/>
        <w:t>edn</w:t>
      </w:r>
      <w:r>
        <w:rPr>
          <w:spacing w:val="3"/>
        </w:rPr>
        <w:t> </w:t>
      </w:r>
      <w:r>
        <w:rPr>
          <w:spacing w:val="-2"/>
        </w:rPr>
        <w:t>(2014),</w:t>
      </w:r>
    </w:p>
    <w:p>
      <w:pPr>
        <w:pStyle w:val="BodyText"/>
        <w:spacing w:line="225" w:lineRule="exact"/>
        <w:ind w:left="563"/>
      </w:pPr>
      <w:r>
        <w:rPr/>
        <w:t>paras 4-12—4-</w:t>
      </w:r>
      <w:r>
        <w:rPr>
          <w:spacing w:val="-5"/>
        </w:rPr>
        <w:t>27.</w:t>
      </w:r>
    </w:p>
    <w:p>
      <w:pPr>
        <w:pStyle w:val="BodyText"/>
        <w:spacing w:before="9"/>
      </w:pPr>
    </w:p>
    <w:p>
      <w:pPr>
        <w:pStyle w:val="BodyText"/>
        <w:tabs>
          <w:tab w:pos="563" w:val="left" w:leader="none"/>
        </w:tabs>
        <w:spacing w:line="235" w:lineRule="auto"/>
        <w:ind w:left="563" w:right="25" w:hanging="541"/>
      </w:pPr>
      <w:bookmarkStart w:name="_bookmark182" w:id="184"/>
      <w:bookmarkEnd w:id="184"/>
      <w:r>
        <w:rPr/>
      </w:r>
      <w:hyperlink w:history="true" w:anchor="_bookmark84">
        <w:r>
          <w:rPr>
            <w:color w:val="005DA1"/>
            <w:spacing w:val="-4"/>
            <w:position w:val="5"/>
            <w:sz w:val="14"/>
            <w:u w:val="single" w:color="005DA1"/>
          </w:rPr>
          <w:t>90</w:t>
        </w:r>
      </w:hyperlink>
      <w:r>
        <w:rPr>
          <w:spacing w:val="-4"/>
          <w:position w:val="5"/>
          <w:sz w:val="14"/>
        </w:rPr>
        <w:t>.</w:t>
      </w:r>
      <w:r>
        <w:rPr>
          <w:position w:val="5"/>
          <w:sz w:val="14"/>
        </w:rPr>
        <w:tab/>
      </w:r>
      <w:r>
        <w:rPr/>
        <w:t>Here the defendants would, in the contractual sense of the term, be severally liable but in the</w:t>
      </w:r>
      <w:r>
        <w:rPr>
          <w:spacing w:val="80"/>
        </w:rPr>
        <w:t> </w:t>
      </w:r>
      <w:r>
        <w:rPr/>
        <w:t>tort sense they would be jointly and severally liable; see above, para.17-004.</w:t>
      </w:r>
    </w:p>
    <w:p>
      <w:pPr>
        <w:pStyle w:val="BodyText"/>
        <w:spacing w:before="9"/>
      </w:pPr>
    </w:p>
    <w:p>
      <w:pPr>
        <w:spacing w:line="235" w:lineRule="auto" w:before="0"/>
        <w:ind w:left="563" w:right="25" w:hanging="541"/>
        <w:jc w:val="both"/>
        <w:rPr>
          <w:sz w:val="20"/>
        </w:rPr>
      </w:pPr>
      <w:bookmarkStart w:name="_bookmark183" w:id="185"/>
      <w:bookmarkEnd w:id="185"/>
      <w:r>
        <w:rPr/>
      </w:r>
      <w:hyperlink w:history="true" w:anchor="_bookmark84">
        <w:r>
          <w:rPr>
            <w:color w:val="005DA1"/>
            <w:position w:val="5"/>
            <w:sz w:val="14"/>
            <w:u w:val="single" w:color="005DA1"/>
          </w:rPr>
          <w:t>91</w:t>
        </w:r>
      </w:hyperlink>
      <w:r>
        <w:rPr>
          <w:position w:val="5"/>
          <w:sz w:val="14"/>
        </w:rPr>
        <w:t>.</w:t>
      </w:r>
      <w:r>
        <w:rPr>
          <w:spacing w:val="80"/>
          <w:position w:val="5"/>
          <w:sz w:val="14"/>
        </w:rPr>
        <w:t>  </w:t>
      </w:r>
      <w:r>
        <w:rPr>
          <w:rFonts w:ascii="Arial"/>
          <w:i/>
          <w:sz w:val="20"/>
        </w:rPr>
        <w:t>Royal Brompton Hospital NHS Trust v Hammond [2002] UKHL 14, [2002] 1 W.L.R. 1397</w:t>
      </w:r>
      <w:r>
        <w:rPr>
          <w:sz w:val="20"/>
        </w:rPr>
        <w:t>; </w:t>
      </w:r>
      <w:r>
        <w:rPr>
          <w:rFonts w:ascii="Arial"/>
          <w:i/>
          <w:sz w:val="20"/>
        </w:rPr>
        <w:t>Eastgate Group Ltd v Lindsey Morden Group Inc [2001] EWCA Civ 1446, [2001] 2 All E.R. (Comm) 1050</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84" w:id="186"/>
      <w:bookmarkEnd w:id="186"/>
      <w:r>
        <w:rPr/>
      </w:r>
      <w:hyperlink w:history="true" w:anchor="_bookmark85">
        <w:r>
          <w:rPr>
            <w:color w:val="005DA1"/>
            <w:spacing w:val="-5"/>
            <w:position w:val="5"/>
            <w:sz w:val="14"/>
            <w:u w:val="single" w:color="005DA1"/>
          </w:rPr>
          <w:t>92</w:t>
        </w:r>
      </w:hyperlink>
      <w:r>
        <w:rPr>
          <w:spacing w:val="-5"/>
          <w:position w:val="5"/>
          <w:sz w:val="14"/>
        </w:rPr>
        <w:t>.</w:t>
      </w:r>
      <w:r>
        <w:rPr>
          <w:position w:val="5"/>
          <w:sz w:val="14"/>
        </w:rPr>
        <w:tab/>
      </w:r>
      <w:r>
        <w:rPr>
          <w:sz w:val="20"/>
        </w:rPr>
        <w:t>In</w:t>
      </w:r>
      <w:r>
        <w:rPr>
          <w:spacing w:val="18"/>
          <w:sz w:val="20"/>
        </w:rPr>
        <w:t> </w:t>
      </w:r>
      <w:r>
        <w:rPr>
          <w:rFonts w:ascii="Arial"/>
          <w:i/>
          <w:sz w:val="20"/>
        </w:rPr>
        <w:t>Co-operative</w:t>
      </w:r>
      <w:r>
        <w:rPr>
          <w:rFonts w:ascii="Arial"/>
          <w:i/>
          <w:spacing w:val="18"/>
          <w:sz w:val="20"/>
        </w:rPr>
        <w:t> </w:t>
      </w:r>
      <w:r>
        <w:rPr>
          <w:rFonts w:ascii="Arial"/>
          <w:i/>
          <w:sz w:val="20"/>
        </w:rPr>
        <w:t>Retail</w:t>
      </w:r>
      <w:r>
        <w:rPr>
          <w:rFonts w:ascii="Arial"/>
          <w:i/>
          <w:spacing w:val="18"/>
          <w:sz w:val="20"/>
        </w:rPr>
        <w:t> </w:t>
      </w:r>
      <w:r>
        <w:rPr>
          <w:rFonts w:ascii="Arial"/>
          <w:i/>
          <w:sz w:val="20"/>
        </w:rPr>
        <w:t>Services</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Taylor</w:t>
      </w:r>
      <w:r>
        <w:rPr>
          <w:rFonts w:ascii="Arial"/>
          <w:i/>
          <w:spacing w:val="18"/>
          <w:sz w:val="20"/>
        </w:rPr>
        <w:t> </w:t>
      </w:r>
      <w:r>
        <w:rPr>
          <w:rFonts w:ascii="Arial"/>
          <w:i/>
          <w:sz w:val="20"/>
        </w:rPr>
        <w:t>Young</w:t>
      </w:r>
      <w:r>
        <w:rPr>
          <w:rFonts w:ascii="Arial"/>
          <w:i/>
          <w:spacing w:val="18"/>
          <w:sz w:val="20"/>
        </w:rPr>
        <w:t> </w:t>
      </w:r>
      <w:r>
        <w:rPr>
          <w:rFonts w:ascii="Arial"/>
          <w:i/>
          <w:sz w:val="20"/>
        </w:rPr>
        <w:t>Partnership</w:t>
      </w:r>
      <w:r>
        <w:rPr>
          <w:rFonts w:ascii="Arial"/>
          <w:i/>
          <w:spacing w:val="18"/>
          <w:sz w:val="20"/>
        </w:rPr>
        <w:t> </w:t>
      </w:r>
      <w:r>
        <w:rPr>
          <w:rFonts w:ascii="Arial"/>
          <w:i/>
          <w:sz w:val="20"/>
        </w:rPr>
        <w:t>Ltd</w:t>
      </w:r>
      <w:r>
        <w:rPr>
          <w:rFonts w:ascii="Arial"/>
          <w:i/>
          <w:spacing w:val="18"/>
          <w:sz w:val="20"/>
        </w:rPr>
        <w:t> </w:t>
      </w:r>
      <w:r>
        <w:rPr>
          <w:rFonts w:ascii="Arial"/>
          <w:i/>
          <w:sz w:val="20"/>
        </w:rPr>
        <w:t>[2002]</w:t>
      </w:r>
      <w:r>
        <w:rPr>
          <w:rFonts w:ascii="Arial"/>
          <w:i/>
          <w:spacing w:val="18"/>
          <w:sz w:val="20"/>
        </w:rPr>
        <w:t> </w:t>
      </w:r>
      <w:r>
        <w:rPr>
          <w:rFonts w:ascii="Arial"/>
          <w:i/>
          <w:sz w:val="20"/>
        </w:rPr>
        <w:t>UKHL</w:t>
      </w:r>
      <w:r>
        <w:rPr>
          <w:rFonts w:ascii="Arial"/>
          <w:i/>
          <w:spacing w:val="18"/>
          <w:sz w:val="20"/>
        </w:rPr>
        <w:t> </w:t>
      </w:r>
      <w:r>
        <w:rPr>
          <w:rFonts w:ascii="Arial"/>
          <w:i/>
          <w:sz w:val="20"/>
        </w:rPr>
        <w:t>17,</w:t>
      </w:r>
      <w:r>
        <w:rPr>
          <w:rFonts w:ascii="Arial"/>
          <w:i/>
          <w:spacing w:val="18"/>
          <w:sz w:val="20"/>
        </w:rPr>
        <w:t> </w:t>
      </w:r>
      <w:r>
        <w:rPr>
          <w:rFonts w:ascii="Arial"/>
          <w:i/>
          <w:sz w:val="20"/>
        </w:rPr>
        <w:t>[2002]</w:t>
      </w:r>
      <w:r>
        <w:rPr>
          <w:rFonts w:ascii="Arial"/>
          <w:i/>
          <w:spacing w:val="18"/>
          <w:sz w:val="20"/>
        </w:rPr>
        <w:t> </w:t>
      </w:r>
      <w:r>
        <w:rPr>
          <w:rFonts w:ascii="Arial"/>
          <w:i/>
          <w:spacing w:val="-10"/>
          <w:sz w:val="20"/>
        </w:rPr>
        <w:t>1</w:t>
      </w:r>
    </w:p>
    <w:p>
      <w:pPr>
        <w:pStyle w:val="BodyText"/>
        <w:spacing w:line="235" w:lineRule="auto" w:before="2"/>
        <w:ind w:left="563" w:right="25"/>
        <w:jc w:val="both"/>
      </w:pPr>
      <w:r>
        <w:rPr>
          <w:rFonts w:ascii="Arial" w:hAnsi="Arial"/>
          <w:i/>
        </w:rPr>
        <w:t>W.L.R. 1419 </w:t>
      </w:r>
      <w:r>
        <w:rPr/>
        <w:t>the House of Lords decided that those from whom contribution was sought were not “liable in respect of the … damage”. Building works had been damaged by a fire, which on the assumed facts was due to the negligence (in breach of contract) of the main contractors,</w:t>
      </w:r>
      <w:r>
        <w:rPr>
          <w:spacing w:val="40"/>
        </w:rPr>
        <w:t> </w:t>
      </w:r>
      <w:r>
        <w:rPr/>
        <w:t>the electrical subcontractors, the engineer and the architect. By reason of a </w:t>
      </w:r>
      <w:r>
        <w:rPr/>
        <w:t>contractual arrangement, the main contractors and subcontractors were not liable to the building owners in respect of the fire damage (i.e. they had excluded their liability to pay compensation). No contribution could therefore be claimed from them by the engineer and architect.</w:t>
      </w:r>
    </w:p>
    <w:p>
      <w:pPr>
        <w:pStyle w:val="BodyText"/>
        <w:spacing w:before="3"/>
      </w:pPr>
    </w:p>
    <w:p>
      <w:pPr>
        <w:tabs>
          <w:tab w:pos="563" w:val="left" w:leader="none"/>
        </w:tabs>
        <w:spacing w:before="0"/>
        <w:ind w:left="23" w:right="0" w:firstLine="0"/>
        <w:jc w:val="left"/>
        <w:rPr>
          <w:sz w:val="20"/>
        </w:rPr>
      </w:pPr>
      <w:bookmarkStart w:name="_bookmark185" w:id="187"/>
      <w:bookmarkEnd w:id="187"/>
      <w:r>
        <w:rPr/>
      </w:r>
      <w:hyperlink w:history="true" w:anchor="_bookmark86">
        <w:r>
          <w:rPr>
            <w:color w:val="005DA1"/>
            <w:spacing w:val="-5"/>
            <w:position w:val="5"/>
            <w:sz w:val="14"/>
            <w:u w:val="single" w:color="005DA1"/>
          </w:rPr>
          <w:t>93</w:t>
        </w:r>
      </w:hyperlink>
      <w:r>
        <w:rPr>
          <w:spacing w:val="-5"/>
          <w:position w:val="5"/>
          <w:sz w:val="14"/>
        </w:rPr>
        <w:t>.</w:t>
      </w:r>
      <w:r>
        <w:rPr>
          <w:position w:val="5"/>
          <w:sz w:val="14"/>
        </w:rPr>
        <w:tab/>
      </w:r>
      <w:r>
        <w:rPr>
          <w:rFonts w:ascii="Arial"/>
          <w:i/>
          <w:sz w:val="20"/>
        </w:rPr>
        <w:t>[2002] UKHL 14, [2002] 1 W.L.R. </w:t>
      </w:r>
      <w:r>
        <w:rPr>
          <w:rFonts w:ascii="Arial"/>
          <w:i/>
          <w:spacing w:val="-2"/>
          <w:sz w:val="20"/>
        </w:rPr>
        <w:t>1397</w:t>
      </w:r>
      <w:r>
        <w:rPr>
          <w:spacing w:val="-2"/>
          <w:sz w:val="20"/>
        </w:rPr>
        <w:t>.</w:t>
      </w:r>
    </w:p>
    <w:p>
      <w:pPr>
        <w:pStyle w:val="BodyText"/>
        <w:spacing w:before="9"/>
      </w:pPr>
    </w:p>
    <w:p>
      <w:pPr>
        <w:spacing w:line="235" w:lineRule="auto" w:before="0"/>
        <w:ind w:left="563" w:right="25" w:hanging="541"/>
        <w:jc w:val="both"/>
        <w:rPr>
          <w:sz w:val="20"/>
        </w:rPr>
      </w:pPr>
      <w:bookmarkStart w:name="_bookmark186" w:id="188"/>
      <w:bookmarkEnd w:id="188"/>
      <w:r>
        <w:rPr/>
      </w:r>
      <w:hyperlink w:history="true" w:anchor="_bookmark87">
        <w:r>
          <w:rPr>
            <w:color w:val="005DA1"/>
            <w:position w:val="5"/>
            <w:sz w:val="14"/>
            <w:u w:val="single" w:color="005DA1"/>
          </w:rPr>
          <w:t>94</w:t>
        </w:r>
      </w:hyperlink>
      <w:r>
        <w:rPr>
          <w:position w:val="5"/>
          <w:sz w:val="14"/>
        </w:rPr>
        <w:t>.</w:t>
      </w:r>
      <w:r>
        <w:rPr>
          <w:spacing w:val="80"/>
          <w:position w:val="5"/>
          <w:sz w:val="14"/>
        </w:rPr>
        <w:t>  </w:t>
      </w:r>
      <w:r>
        <w:rPr>
          <w:rFonts w:ascii="Arial" w:hAnsi="Arial"/>
          <w:i/>
          <w:sz w:val="20"/>
        </w:rPr>
        <w:t>Friends</w:t>
      </w:r>
      <w:r>
        <w:rPr>
          <w:rFonts w:ascii="Arial" w:hAnsi="Arial"/>
          <w:i/>
          <w:spacing w:val="40"/>
          <w:sz w:val="20"/>
        </w:rPr>
        <w:t> </w:t>
      </w:r>
      <w:r>
        <w:rPr>
          <w:rFonts w:ascii="Arial" w:hAnsi="Arial"/>
          <w:i/>
          <w:sz w:val="20"/>
        </w:rPr>
        <w:t>Provident</w:t>
      </w:r>
      <w:r>
        <w:rPr>
          <w:rFonts w:ascii="Arial" w:hAnsi="Arial"/>
          <w:i/>
          <w:spacing w:val="40"/>
          <w:sz w:val="20"/>
        </w:rPr>
        <w:t> </w:t>
      </w:r>
      <w:r>
        <w:rPr>
          <w:rFonts w:ascii="Arial" w:hAnsi="Arial"/>
          <w:i/>
          <w:sz w:val="20"/>
        </w:rPr>
        <w:t>Life</w:t>
      </w:r>
      <w:r>
        <w:rPr>
          <w:rFonts w:ascii="Arial" w:hAnsi="Arial"/>
          <w:i/>
          <w:spacing w:val="40"/>
          <w:sz w:val="20"/>
        </w:rPr>
        <w:t> </w:t>
      </w:r>
      <w:r>
        <w:rPr>
          <w:rFonts w:ascii="Arial" w:hAnsi="Arial"/>
          <w:i/>
          <w:sz w:val="20"/>
        </w:rPr>
        <w:t>Office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Hillier</w:t>
      </w:r>
      <w:r>
        <w:rPr>
          <w:rFonts w:ascii="Arial" w:hAnsi="Arial"/>
          <w:i/>
          <w:spacing w:val="40"/>
          <w:sz w:val="20"/>
        </w:rPr>
        <w:t> </w:t>
      </w:r>
      <w:r>
        <w:rPr>
          <w:rFonts w:ascii="Arial" w:hAnsi="Arial"/>
          <w:i/>
          <w:sz w:val="20"/>
        </w:rPr>
        <w:t>Parker</w:t>
      </w:r>
      <w:r>
        <w:rPr>
          <w:rFonts w:ascii="Arial" w:hAnsi="Arial"/>
          <w:i/>
          <w:spacing w:val="40"/>
          <w:sz w:val="20"/>
        </w:rPr>
        <w:t> </w:t>
      </w:r>
      <w:r>
        <w:rPr>
          <w:rFonts w:ascii="Arial" w:hAnsi="Arial"/>
          <w:i/>
          <w:sz w:val="20"/>
        </w:rPr>
        <w:t>May</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Rowden</w:t>
      </w:r>
      <w:r>
        <w:rPr>
          <w:rFonts w:ascii="Arial" w:hAnsi="Arial"/>
          <w:i/>
          <w:spacing w:val="40"/>
          <w:sz w:val="20"/>
        </w:rPr>
        <w:t> </w:t>
      </w:r>
      <w:r>
        <w:rPr>
          <w:rFonts w:ascii="Arial" w:hAnsi="Arial"/>
          <w:i/>
          <w:sz w:val="20"/>
        </w:rPr>
        <w:t>[1997]</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85</w:t>
      </w:r>
      <w:r>
        <w:rPr>
          <w:rFonts w:ascii="Arial" w:hAnsi="Arial"/>
          <w:i/>
          <w:spacing w:val="40"/>
          <w:sz w:val="20"/>
        </w:rPr>
        <w:t> </w:t>
      </w:r>
      <w:r>
        <w:rPr>
          <w:sz w:val="20"/>
        </w:rPr>
        <w:t>(restitution</w:t>
      </w:r>
      <w:r>
        <w:rPr>
          <w:spacing w:val="40"/>
          <w:sz w:val="20"/>
        </w:rPr>
        <w:t> </w:t>
      </w:r>
      <w:r>
        <w:rPr>
          <w:sz w:val="20"/>
        </w:rPr>
        <w:t>of money and compensation); </w:t>
      </w:r>
      <w:r>
        <w:rPr>
          <w:rFonts w:ascii="Arial" w:hAnsi="Arial"/>
          <w:i/>
          <w:sz w:val="20"/>
        </w:rPr>
        <w:t>Hurstwood Developments Ltd v Motor &amp; General &amp; Andersley &amp; Co Insurance Services [2001] EWCA Civ 1785, [2002] Lloyd’s Rep. I.R. 185 </w:t>
      </w:r>
      <w:r>
        <w:rPr>
          <w:sz w:val="20"/>
        </w:rPr>
        <w:t>(builder’s defective work</w:t>
      </w:r>
      <w:r>
        <w:rPr>
          <w:spacing w:val="-2"/>
          <w:sz w:val="20"/>
        </w:rPr>
        <w:t> </w:t>
      </w:r>
      <w:r>
        <w:rPr>
          <w:sz w:val="20"/>
        </w:rPr>
        <w:t>and</w:t>
      </w:r>
      <w:r>
        <w:rPr>
          <w:spacing w:val="-2"/>
          <w:sz w:val="20"/>
        </w:rPr>
        <w:t> </w:t>
      </w:r>
      <w:r>
        <w:rPr>
          <w:sz w:val="20"/>
        </w:rPr>
        <w:t>insurance</w:t>
      </w:r>
      <w:r>
        <w:rPr>
          <w:spacing w:val="-2"/>
          <w:sz w:val="20"/>
        </w:rPr>
        <w:t> </w:t>
      </w:r>
      <w:r>
        <w:rPr>
          <w:sz w:val="20"/>
        </w:rPr>
        <w:t>broker’s</w:t>
      </w:r>
      <w:r>
        <w:rPr>
          <w:spacing w:val="-2"/>
          <w:sz w:val="20"/>
        </w:rPr>
        <w:t> </w:t>
      </w:r>
      <w:r>
        <w:rPr>
          <w:sz w:val="20"/>
        </w:rPr>
        <w:t>failure</w:t>
      </w:r>
      <w:r>
        <w:rPr>
          <w:spacing w:val="-2"/>
          <w:sz w:val="20"/>
        </w:rPr>
        <w:t> </w:t>
      </w:r>
      <w:r>
        <w:rPr>
          <w:sz w:val="20"/>
        </w:rPr>
        <w:t>to</w:t>
      </w:r>
      <w:r>
        <w:rPr>
          <w:spacing w:val="-2"/>
          <w:sz w:val="20"/>
        </w:rPr>
        <w:t> </w:t>
      </w:r>
      <w:r>
        <w:rPr>
          <w:sz w:val="20"/>
        </w:rPr>
        <w:t>insure);</w:t>
      </w:r>
      <w:r>
        <w:rPr>
          <w:spacing w:val="-3"/>
          <w:sz w:val="20"/>
        </w:rPr>
        <w:t> </w:t>
      </w:r>
      <w:r>
        <w:rPr>
          <w:rFonts w:ascii="Arial" w:hAnsi="Arial"/>
          <w:i/>
          <w:sz w:val="20"/>
        </w:rPr>
        <w:t>Bovis</w:t>
      </w:r>
      <w:r>
        <w:rPr>
          <w:rFonts w:ascii="Arial" w:hAnsi="Arial"/>
          <w:i/>
          <w:spacing w:val="-2"/>
          <w:sz w:val="20"/>
        </w:rPr>
        <w:t> </w:t>
      </w:r>
      <w:r>
        <w:rPr>
          <w:rFonts w:ascii="Arial" w:hAnsi="Arial"/>
          <w:i/>
          <w:sz w:val="20"/>
        </w:rPr>
        <w:t>Lend</w:t>
      </w:r>
      <w:r>
        <w:rPr>
          <w:rFonts w:ascii="Arial" w:hAnsi="Arial"/>
          <w:i/>
          <w:spacing w:val="-2"/>
          <w:sz w:val="20"/>
        </w:rPr>
        <w:t> </w:t>
      </w:r>
      <w:r>
        <w:rPr>
          <w:rFonts w:ascii="Arial" w:hAnsi="Arial"/>
          <w:i/>
          <w:sz w:val="20"/>
        </w:rPr>
        <w:t>Lease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Saillard</w:t>
      </w:r>
      <w:r>
        <w:rPr>
          <w:rFonts w:ascii="Arial" w:hAnsi="Arial"/>
          <w:i/>
          <w:spacing w:val="-2"/>
          <w:sz w:val="20"/>
        </w:rPr>
        <w:t> </w:t>
      </w:r>
      <w:r>
        <w:rPr>
          <w:rFonts w:ascii="Arial" w:hAnsi="Arial"/>
          <w:i/>
          <w:sz w:val="20"/>
        </w:rPr>
        <w:t>Fuller</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Partners (2001)</w:t>
      </w:r>
      <w:r>
        <w:rPr>
          <w:rFonts w:ascii="Arial" w:hAnsi="Arial"/>
          <w:i/>
          <w:spacing w:val="-1"/>
          <w:sz w:val="20"/>
        </w:rPr>
        <w:t> </w:t>
      </w:r>
      <w:r>
        <w:rPr>
          <w:rFonts w:ascii="Arial" w:hAnsi="Arial"/>
          <w:i/>
          <w:sz w:val="20"/>
        </w:rPr>
        <w:t>77</w:t>
      </w:r>
      <w:r>
        <w:rPr>
          <w:rFonts w:ascii="Arial" w:hAnsi="Arial"/>
          <w:i/>
          <w:spacing w:val="-1"/>
          <w:sz w:val="20"/>
        </w:rPr>
        <w:t> </w:t>
      </w:r>
      <w:r>
        <w:rPr>
          <w:rFonts w:ascii="Arial" w:hAnsi="Arial"/>
          <w:i/>
          <w:sz w:val="20"/>
        </w:rPr>
        <w:t>Con.</w:t>
      </w:r>
      <w:r>
        <w:rPr>
          <w:rFonts w:ascii="Arial" w:hAnsi="Arial"/>
          <w:i/>
          <w:spacing w:val="-1"/>
          <w:sz w:val="20"/>
        </w:rPr>
        <w:t> </w:t>
      </w:r>
      <w:r>
        <w:rPr>
          <w:rFonts w:ascii="Arial" w:hAnsi="Arial"/>
          <w:i/>
          <w:sz w:val="20"/>
        </w:rPr>
        <w:t>L.R.</w:t>
      </w:r>
      <w:r>
        <w:rPr>
          <w:rFonts w:ascii="Arial" w:hAnsi="Arial"/>
          <w:i/>
          <w:spacing w:val="-1"/>
          <w:sz w:val="20"/>
        </w:rPr>
        <w:t> </w:t>
      </w:r>
      <w:r>
        <w:rPr>
          <w:rFonts w:ascii="Arial" w:hAnsi="Arial"/>
          <w:i/>
          <w:sz w:val="20"/>
        </w:rPr>
        <w:t>134,</w:t>
      </w:r>
      <w:r>
        <w:rPr>
          <w:rFonts w:ascii="Arial" w:hAnsi="Arial"/>
          <w:i/>
          <w:spacing w:val="-1"/>
          <w:sz w:val="20"/>
        </w:rPr>
        <w:t> </w:t>
      </w:r>
      <w:r>
        <w:rPr>
          <w:rFonts w:ascii="Arial" w:hAnsi="Arial"/>
          <w:i/>
          <w:sz w:val="20"/>
        </w:rPr>
        <w:t>181–182</w:t>
      </w:r>
      <w:r>
        <w:rPr>
          <w:rFonts w:ascii="Arial" w:hAnsi="Arial"/>
          <w:i/>
          <w:spacing w:val="-1"/>
          <w:sz w:val="20"/>
        </w:rPr>
        <w:t> </w:t>
      </w:r>
      <w:r>
        <w:rPr>
          <w:sz w:val="20"/>
        </w:rPr>
        <w:t>(builder’s</w:t>
      </w:r>
      <w:r>
        <w:rPr>
          <w:spacing w:val="-1"/>
          <w:sz w:val="20"/>
        </w:rPr>
        <w:t> </w:t>
      </w:r>
      <w:r>
        <w:rPr>
          <w:sz w:val="20"/>
        </w:rPr>
        <w:t>defective</w:t>
      </w:r>
      <w:r>
        <w:rPr>
          <w:spacing w:val="-1"/>
          <w:sz w:val="20"/>
        </w:rPr>
        <w:t> </w:t>
      </w:r>
      <w:r>
        <w:rPr>
          <w:sz w:val="20"/>
        </w:rPr>
        <w:t>work</w:t>
      </w:r>
      <w:r>
        <w:rPr>
          <w:spacing w:val="-1"/>
          <w:sz w:val="20"/>
        </w:rPr>
        <w:t> </w:t>
      </w:r>
      <w:r>
        <w:rPr>
          <w:sz w:val="20"/>
        </w:rPr>
        <w:t>and</w:t>
      </w:r>
      <w:r>
        <w:rPr>
          <w:spacing w:val="-1"/>
          <w:sz w:val="20"/>
        </w:rPr>
        <w:t> </w:t>
      </w:r>
      <w:r>
        <w:rPr>
          <w:sz w:val="20"/>
        </w:rPr>
        <w:t>insurer’s</w:t>
      </w:r>
      <w:r>
        <w:rPr>
          <w:spacing w:val="-1"/>
          <w:sz w:val="20"/>
        </w:rPr>
        <w:t> </w:t>
      </w:r>
      <w:r>
        <w:rPr>
          <w:sz w:val="20"/>
        </w:rPr>
        <w:t>liability</w:t>
      </w:r>
      <w:r>
        <w:rPr>
          <w:spacing w:val="-1"/>
          <w:sz w:val="20"/>
        </w:rPr>
        <w:t> </w:t>
      </w:r>
      <w:r>
        <w:rPr>
          <w:sz w:val="20"/>
        </w:rPr>
        <w:t>under</w:t>
      </w:r>
      <w:r>
        <w:rPr>
          <w:spacing w:val="-1"/>
          <w:sz w:val="20"/>
        </w:rPr>
        <w:t> </w:t>
      </w:r>
      <w:r>
        <w:rPr>
          <w:sz w:val="20"/>
        </w:rPr>
        <w:t>policy</w:t>
      </w:r>
      <w:r>
        <w:rPr>
          <w:spacing w:val="-1"/>
          <w:sz w:val="20"/>
        </w:rPr>
        <w:t> </w:t>
      </w:r>
      <w:r>
        <w:rPr>
          <w:sz w:val="20"/>
        </w:rPr>
        <w:t>of insurance). In </w:t>
      </w:r>
      <w:r>
        <w:rPr>
          <w:rFonts w:ascii="Arial" w:hAnsi="Arial"/>
          <w:i/>
          <w:sz w:val="20"/>
        </w:rPr>
        <w:t>Charter Plc v City Index Ltd [2007] EWCA Civ 1382 </w:t>
      </w:r>
      <w:r>
        <w:rPr>
          <w:sz w:val="20"/>
        </w:rPr>
        <w:t>equitable liability for</w:t>
      </w:r>
      <w:r>
        <w:rPr>
          <w:spacing w:val="40"/>
          <w:sz w:val="20"/>
        </w:rPr>
        <w:t> </w:t>
      </w:r>
      <w:r>
        <w:rPr>
          <w:sz w:val="20"/>
        </w:rPr>
        <w:t>“knowing receipt” was treated as a wrong-based liability for compensation (rather than as being a liability to make restitution of an unjust enrichment). It therefore fell within the scope of the 1978 Act and the “knowing recipient” was held entitled to claim contribution from tortfeasors liable in respect of the same loss. The criticism of </w:t>
      </w:r>
      <w:r>
        <w:rPr>
          <w:rFonts w:ascii="Arial" w:hAnsi="Arial"/>
          <w:i/>
          <w:sz w:val="20"/>
        </w:rPr>
        <w:t>Friends Provident </w:t>
      </w:r>
      <w:r>
        <w:rPr>
          <w:sz w:val="20"/>
        </w:rPr>
        <w:t>by the House of Lords in the </w:t>
      </w:r>
      <w:r>
        <w:rPr>
          <w:rFonts w:ascii="Arial" w:hAnsi="Arial"/>
          <w:i/>
          <w:sz w:val="20"/>
        </w:rPr>
        <w:t>Royal Brompton </w:t>
      </w:r>
      <w:r>
        <w:rPr>
          <w:sz w:val="20"/>
        </w:rPr>
        <w:t>case was thought to be irrelevant to “knowing receipt”.</w:t>
      </w:r>
    </w:p>
    <w:p>
      <w:pPr>
        <w:pStyle w:val="BodyText"/>
        <w:spacing w:before="2"/>
      </w:pPr>
    </w:p>
    <w:p>
      <w:pPr>
        <w:tabs>
          <w:tab w:pos="563" w:val="left" w:leader="none"/>
        </w:tabs>
        <w:spacing w:before="0"/>
        <w:ind w:left="23" w:right="0" w:firstLine="0"/>
        <w:jc w:val="left"/>
        <w:rPr>
          <w:sz w:val="20"/>
        </w:rPr>
      </w:pPr>
      <w:bookmarkStart w:name="_bookmark187" w:id="189"/>
      <w:bookmarkEnd w:id="189"/>
      <w:r>
        <w:rPr/>
      </w:r>
      <w:hyperlink w:history="true" w:anchor="_bookmark88">
        <w:r>
          <w:rPr>
            <w:color w:val="005DA1"/>
            <w:spacing w:val="-5"/>
            <w:position w:val="5"/>
            <w:sz w:val="14"/>
            <w:u w:val="single" w:color="005DA1"/>
          </w:rPr>
          <w:t>95</w:t>
        </w:r>
      </w:hyperlink>
      <w:r>
        <w:rPr>
          <w:spacing w:val="-5"/>
          <w:position w:val="5"/>
          <w:sz w:val="14"/>
        </w:rPr>
        <w:t>.</w:t>
      </w:r>
      <w:r>
        <w:rPr>
          <w:position w:val="5"/>
          <w:sz w:val="14"/>
        </w:rPr>
        <w:tab/>
      </w:r>
      <w:r>
        <w:rPr>
          <w:rFonts w:ascii="Arial"/>
          <w:i/>
          <w:sz w:val="20"/>
        </w:rPr>
        <w:t>[2001]</w:t>
      </w:r>
      <w:r>
        <w:rPr>
          <w:rFonts w:ascii="Arial"/>
          <w:i/>
          <w:spacing w:val="-2"/>
          <w:sz w:val="20"/>
        </w:rPr>
        <w:t> </w:t>
      </w:r>
      <w:r>
        <w:rPr>
          <w:rFonts w:ascii="Arial"/>
          <w:i/>
          <w:sz w:val="20"/>
        </w:rPr>
        <w:t>EWCA Civ 1446, [2001] 2 All E.R. (Comm) </w:t>
      </w:r>
      <w:r>
        <w:rPr>
          <w:rFonts w:ascii="Arial"/>
          <w:i/>
          <w:spacing w:val="-2"/>
          <w:sz w:val="20"/>
        </w:rPr>
        <w:t>1050</w:t>
      </w:r>
      <w:r>
        <w:rPr>
          <w:spacing w:val="-2"/>
          <w:sz w:val="20"/>
        </w:rPr>
        <w:t>.</w:t>
      </w:r>
    </w:p>
    <w:p>
      <w:pPr>
        <w:pStyle w:val="BodyText"/>
        <w:spacing w:before="9"/>
      </w:pPr>
    </w:p>
    <w:p>
      <w:pPr>
        <w:pStyle w:val="BodyText"/>
        <w:spacing w:line="235" w:lineRule="auto"/>
        <w:ind w:left="563" w:right="25" w:hanging="541"/>
        <w:jc w:val="both"/>
      </w:pPr>
      <w:bookmarkStart w:name="_bookmark188" w:id="190"/>
      <w:bookmarkEnd w:id="190"/>
      <w:r>
        <w:rPr/>
      </w:r>
      <w:hyperlink w:history="true" w:anchor="_bookmark89">
        <w:r>
          <w:rPr>
            <w:color w:val="005DA1"/>
            <w:position w:val="5"/>
            <w:sz w:val="14"/>
            <w:u w:val="single" w:color="005DA1"/>
          </w:rPr>
          <w:t>96</w:t>
        </w:r>
      </w:hyperlink>
      <w:r>
        <w:rPr>
          <w:position w:val="5"/>
          <w:sz w:val="14"/>
        </w:rPr>
        <w:t>.</w:t>
      </w:r>
      <w:r>
        <w:rPr>
          <w:spacing w:val="80"/>
          <w:position w:val="5"/>
          <w:sz w:val="14"/>
        </w:rPr>
        <w:t>  </w:t>
      </w:r>
      <w:r>
        <w:rPr/>
        <w:t>Civil Liability Act 1978 s.1(5). But in </w:t>
      </w:r>
      <w:r>
        <w:rPr>
          <w:rFonts w:ascii="Arial" w:hAnsi="Arial"/>
          <w:i/>
        </w:rPr>
        <w:t>BRB (Residuary) Ltd v Connex South Eastern Ltd [2008] EWHC 172, [2008] 1 W.L.R. 2867</w:t>
      </w:r>
      <w:r>
        <w:rPr/>
        <w:t>, it was held that where by mistake D1 has been held liable to pay compensation under a court judgment, when the liability should have rested on D2, D1 </w:t>
      </w:r>
      <w:r>
        <w:rPr/>
        <w:t>can claim contribution from D2 under the Civil Liability (Contribution) Act 1978. D1 is liable under</w:t>
      </w:r>
      <w:r>
        <w:rPr>
          <w:spacing w:val="40"/>
        </w:rPr>
        <w:t> </w:t>
      </w:r>
      <w:r>
        <w:rPr/>
        <w:t>the judgment and that is a sufficient liability given that s.6(1) of the 1978 Act specifies that the basis of the liability for compensation can be “tort, breach of contract, breach of trust </w:t>
      </w:r>
      <w:r>
        <w:rPr>
          <w:rFonts w:ascii="Arial" w:hAnsi="Arial"/>
          <w:i/>
        </w:rPr>
        <w:t>or otherwise</w:t>
      </w:r>
      <w:r>
        <w:rPr/>
        <w:t>” (emphasis added).</w:t>
      </w:r>
    </w:p>
    <w:p>
      <w:pPr>
        <w:pStyle w:val="BodyText"/>
        <w:spacing w:before="7"/>
      </w:pPr>
    </w:p>
    <w:p>
      <w:pPr>
        <w:pStyle w:val="BodyText"/>
        <w:tabs>
          <w:tab w:pos="563" w:val="left" w:leader="none"/>
        </w:tabs>
        <w:spacing w:line="235" w:lineRule="auto"/>
        <w:ind w:left="563" w:right="25" w:hanging="541"/>
      </w:pPr>
      <w:bookmarkStart w:name="_bookmark189" w:id="191"/>
      <w:bookmarkEnd w:id="191"/>
      <w:r>
        <w:rPr/>
      </w:r>
      <w:hyperlink w:history="true" w:anchor="_bookmark90">
        <w:r>
          <w:rPr>
            <w:color w:val="005DA1"/>
            <w:spacing w:val="-4"/>
            <w:position w:val="5"/>
            <w:sz w:val="14"/>
            <w:u w:val="single" w:color="005DA1"/>
          </w:rPr>
          <w:t>97</w:t>
        </w:r>
      </w:hyperlink>
      <w:r>
        <w:rPr>
          <w:spacing w:val="-4"/>
          <w:position w:val="5"/>
          <w:sz w:val="14"/>
        </w:rPr>
        <w:t>.</w:t>
      </w:r>
      <w:r>
        <w:rPr>
          <w:position w:val="5"/>
          <w:sz w:val="14"/>
        </w:rPr>
        <w:tab/>
      </w:r>
      <w:r>
        <w:rPr/>
        <w:t>Civil Liability Act 1978 s.1(4). Where the facts are undisputed, and the compromise has </w:t>
      </w:r>
      <w:r>
        <w:rPr/>
        <w:t>been</w:t>
      </w:r>
      <w:r>
        <w:rPr>
          <w:spacing w:val="40"/>
        </w:rPr>
        <w:t> </w:t>
      </w:r>
      <w:r>
        <w:rPr/>
        <w:t>arrived</w:t>
      </w:r>
      <w:r>
        <w:rPr>
          <w:spacing w:val="21"/>
        </w:rPr>
        <w:t> </w:t>
      </w:r>
      <w:r>
        <w:rPr/>
        <w:t>at</w:t>
      </w:r>
      <w:r>
        <w:rPr>
          <w:spacing w:val="21"/>
        </w:rPr>
        <w:t> </w:t>
      </w:r>
      <w:r>
        <w:rPr/>
        <w:t>because</w:t>
      </w:r>
      <w:r>
        <w:rPr>
          <w:spacing w:val="21"/>
        </w:rPr>
        <w:t> </w:t>
      </w:r>
      <w:r>
        <w:rPr/>
        <w:t>of</w:t>
      </w:r>
      <w:r>
        <w:rPr>
          <w:spacing w:val="21"/>
        </w:rPr>
        <w:t> </w:t>
      </w:r>
      <w:r>
        <w:rPr/>
        <w:t>doubts</w:t>
      </w:r>
      <w:r>
        <w:rPr>
          <w:spacing w:val="21"/>
        </w:rPr>
        <w:t> </w:t>
      </w:r>
      <w:r>
        <w:rPr/>
        <w:t>about</w:t>
      </w:r>
      <w:r>
        <w:rPr>
          <w:spacing w:val="21"/>
        </w:rPr>
        <w:t> </w:t>
      </w:r>
      <w:r>
        <w:rPr/>
        <w:t>the</w:t>
      </w:r>
      <w:r>
        <w:rPr>
          <w:spacing w:val="21"/>
        </w:rPr>
        <w:t> </w:t>
      </w:r>
      <w:r>
        <w:rPr/>
        <w:t>law,</w:t>
      </w:r>
      <w:r>
        <w:rPr>
          <w:spacing w:val="21"/>
        </w:rPr>
        <w:t> </w:t>
      </w:r>
      <w:r>
        <w:rPr/>
        <w:t>the</w:t>
      </w:r>
      <w:r>
        <w:rPr>
          <w:spacing w:val="21"/>
        </w:rPr>
        <w:t> </w:t>
      </w:r>
      <w:r>
        <w:rPr/>
        <w:t>position</w:t>
      </w:r>
      <w:r>
        <w:rPr>
          <w:spacing w:val="21"/>
        </w:rPr>
        <w:t> </w:t>
      </w:r>
      <w:r>
        <w:rPr/>
        <w:t>seems</w:t>
      </w:r>
      <w:r>
        <w:rPr>
          <w:spacing w:val="21"/>
        </w:rPr>
        <w:t> </w:t>
      </w:r>
      <w:r>
        <w:rPr/>
        <w:t>to</w:t>
      </w:r>
      <w:r>
        <w:rPr>
          <w:spacing w:val="21"/>
        </w:rPr>
        <w:t> </w:t>
      </w:r>
      <w:r>
        <w:rPr/>
        <w:t>be</w:t>
      </w:r>
      <w:r>
        <w:rPr>
          <w:spacing w:val="21"/>
        </w:rPr>
        <w:t> </w:t>
      </w:r>
      <w:r>
        <w:rPr/>
        <w:t>that</w:t>
      </w:r>
      <w:r>
        <w:rPr>
          <w:spacing w:val="21"/>
        </w:rPr>
        <w:t> </w:t>
      </w:r>
      <w:r>
        <w:rPr/>
        <w:t>s.1(4)</w:t>
      </w:r>
      <w:r>
        <w:rPr>
          <w:spacing w:val="21"/>
        </w:rPr>
        <w:t> </w:t>
      </w:r>
      <w:r>
        <w:rPr/>
        <w:t>is</w:t>
      </w:r>
      <w:r>
        <w:rPr>
          <w:spacing w:val="21"/>
        </w:rPr>
        <w:t> </w:t>
      </w:r>
      <w:r>
        <w:rPr>
          <w:spacing w:val="-2"/>
        </w:rPr>
        <w:t>irrelevant,</w:t>
      </w:r>
    </w:p>
    <w:p>
      <w:pPr>
        <w:pStyle w:val="BodyText"/>
        <w:spacing w:after="0" w:line="235" w:lineRule="auto"/>
        <w:sectPr>
          <w:pgSz w:w="11900" w:h="16840"/>
          <w:pgMar w:header="971" w:footer="0" w:top="1300" w:bottom="280" w:left="1417" w:right="1417"/>
        </w:sectPr>
      </w:pPr>
    </w:p>
    <w:p>
      <w:pPr>
        <w:pStyle w:val="BodyText"/>
        <w:spacing w:line="235" w:lineRule="auto" w:before="170"/>
        <w:ind w:left="563" w:right="25"/>
        <w:jc w:val="both"/>
      </w:pPr>
      <w:r>
        <w:rPr/>
        <w:t>and that contribution can only be claimed if both parties were “liable”, which is explained by s.1(6) to mean: “… any such liability which has been or could be established in an action brought against him in England and Wales by or on behalf of the person suffering the damage”. See, generally, </w:t>
      </w:r>
      <w:r>
        <w:rPr>
          <w:rFonts w:ascii="Arial" w:hAnsi="Arial"/>
          <w:i/>
        </w:rPr>
        <w:t>J. Sainsbury Plc v Broadway Malyan [1999] P.N.L.R. 286</w:t>
      </w:r>
      <w:r>
        <w:rPr/>
        <w:t>. An assignor of a cause of action is not someone “by or on behalf of” whom an action could have been brought (by the assignee): </w:t>
      </w:r>
      <w:r>
        <w:rPr>
          <w:rFonts w:ascii="Arial" w:hAnsi="Arial"/>
          <w:i/>
        </w:rPr>
        <w:t>Bovis Lend Lease Ltd v Saillard Fuller &amp; Partners [2001] 77 Con. L.R. 134</w:t>
      </w:r>
      <w:r>
        <w:rPr/>
        <w:t>. But it was also held in that case that an insurer, assigned a cause of action to reinforce its existing right of subrogation, was to be treated as standing in the shoes of the assignor </w:t>
      </w:r>
      <w:r>
        <w:rPr/>
        <w:t>(the insured) at all times and therefore was to be taken to be “a person who suffered the damage”.</w:t>
      </w:r>
      <w:r>
        <w:rPr>
          <w:spacing w:val="40"/>
        </w:rPr>
        <w:t> </w:t>
      </w:r>
      <w:r>
        <w:rPr/>
        <w:t>In </w:t>
      </w:r>
      <w:r>
        <w:rPr>
          <w:rFonts w:ascii="Arial" w:hAnsi="Arial"/>
          <w:i/>
        </w:rPr>
        <w:t>Baker &amp; Davies Plc v Leslie Wilks Associates [2005] EWHC 1179 (TCC), [2005] 3 All E.R. 603</w:t>
      </w:r>
      <w:r>
        <w:rPr/>
        <w:t>, it was held that the 1978 Act does apply—so that contribution can be claimed—even</w:t>
      </w:r>
      <w:r>
        <w:rPr>
          <w:spacing w:val="40"/>
        </w:rPr>
        <w:t> </w:t>
      </w:r>
      <w:r>
        <w:rPr/>
        <w:t>where a settlement requires a party to carry out work for, rather than to make a payment to, the person who has suffered the damage: that is, the word “payment” in s.1(4) includes a payment in kind.</w:t>
      </w:r>
    </w:p>
    <w:p>
      <w:pPr>
        <w:pStyle w:val="BodyText"/>
        <w:spacing w:before="1"/>
      </w:pPr>
    </w:p>
    <w:p>
      <w:pPr>
        <w:tabs>
          <w:tab w:pos="563" w:val="left" w:leader="none"/>
        </w:tabs>
        <w:spacing w:before="0"/>
        <w:ind w:left="23" w:right="0" w:firstLine="0"/>
        <w:jc w:val="left"/>
        <w:rPr>
          <w:sz w:val="20"/>
        </w:rPr>
      </w:pPr>
      <w:bookmarkStart w:name="_bookmark190" w:id="192"/>
      <w:bookmarkEnd w:id="192"/>
      <w:r>
        <w:rPr/>
      </w:r>
      <w:hyperlink w:history="true" w:anchor="_bookmark91">
        <w:r>
          <w:rPr>
            <w:color w:val="005DA1"/>
            <w:spacing w:val="-5"/>
            <w:position w:val="5"/>
            <w:sz w:val="14"/>
            <w:u w:val="single" w:color="005DA1"/>
          </w:rPr>
          <w:t>98</w:t>
        </w:r>
      </w:hyperlink>
      <w:r>
        <w:rPr>
          <w:spacing w:val="-5"/>
          <w:position w:val="5"/>
          <w:sz w:val="14"/>
        </w:rPr>
        <w:t>.</w:t>
      </w:r>
      <w:r>
        <w:rPr>
          <w:position w:val="5"/>
          <w:sz w:val="14"/>
        </w:rPr>
        <w:tab/>
      </w:r>
      <w:r>
        <w:rPr>
          <w:rFonts w:ascii="Arial"/>
          <w:i/>
          <w:sz w:val="20"/>
        </w:rPr>
        <w:t>Wimpey</w:t>
      </w:r>
      <w:r>
        <w:rPr>
          <w:rFonts w:ascii="Arial"/>
          <w:i/>
          <w:spacing w:val="-1"/>
          <w:sz w:val="20"/>
        </w:rPr>
        <w:t> </w:t>
      </w:r>
      <w:r>
        <w:rPr>
          <w:rFonts w:ascii="Arial"/>
          <w:i/>
          <w:sz w:val="20"/>
        </w:rPr>
        <w:t>&amp; Co Ltd v B.O.A.C. [1955] A.C. 169</w:t>
      </w:r>
      <w:r>
        <w:rPr>
          <w:sz w:val="20"/>
        </w:rPr>
        <w:t>; </w:t>
      </w:r>
      <w:r>
        <w:rPr>
          <w:rFonts w:ascii="Arial"/>
          <w:i/>
          <w:sz w:val="20"/>
        </w:rPr>
        <w:t>Hart v Hall and Pickles Ltd [1969] 1 Q.B. </w:t>
      </w:r>
      <w:r>
        <w:rPr>
          <w:rFonts w:ascii="Arial"/>
          <w:i/>
          <w:spacing w:val="-4"/>
          <w:sz w:val="20"/>
        </w:rPr>
        <w:t>405</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191" w:id="193"/>
      <w:bookmarkEnd w:id="193"/>
      <w:r>
        <w:rPr/>
      </w:r>
      <w:hyperlink w:history="true" w:anchor="_bookmark92">
        <w:r>
          <w:rPr>
            <w:color w:val="005DA1"/>
            <w:spacing w:val="-4"/>
            <w:position w:val="5"/>
            <w:sz w:val="14"/>
            <w:u w:val="single" w:color="005DA1"/>
          </w:rPr>
          <w:t>99</w:t>
        </w:r>
      </w:hyperlink>
      <w:r>
        <w:rPr>
          <w:spacing w:val="-4"/>
          <w:position w:val="5"/>
          <w:sz w:val="14"/>
        </w:rPr>
        <w:t>.</w:t>
      </w:r>
      <w:r>
        <w:rPr>
          <w:position w:val="5"/>
          <w:sz w:val="14"/>
        </w:rPr>
        <w:tab/>
      </w:r>
      <w:r>
        <w:rPr>
          <w:sz w:val="20"/>
        </w:rPr>
        <w:t>Or if he has settled: </w:t>
      </w:r>
      <w:r>
        <w:rPr>
          <w:rFonts w:ascii="Arial"/>
          <w:i/>
          <w:sz w:val="20"/>
        </w:rPr>
        <w:t>Logan v Uttlesford DC (1984) (C.A.T. No.263)</w:t>
      </w:r>
      <w:r>
        <w:rPr>
          <w:sz w:val="20"/>
        </w:rPr>
        <w:t>. Compare, as to the position before the coming into force of the 1978 Act, </w:t>
      </w:r>
      <w:r>
        <w:rPr>
          <w:rFonts w:ascii="Arial"/>
          <w:i/>
          <w:sz w:val="20"/>
        </w:rPr>
        <w:t>Harper v Gray &amp; Walker [1985] 2 All E.R. 507</w:t>
      </w:r>
      <w:r>
        <w:rPr>
          <w:sz w:val="20"/>
        </w:rPr>
        <w:t>.</w:t>
      </w:r>
    </w:p>
    <w:p>
      <w:pPr>
        <w:pStyle w:val="BodyText"/>
        <w:spacing w:before="9"/>
      </w:pPr>
    </w:p>
    <w:p>
      <w:pPr>
        <w:spacing w:line="235" w:lineRule="auto" w:before="0"/>
        <w:ind w:left="563" w:right="25" w:hanging="541"/>
        <w:jc w:val="both"/>
        <w:rPr>
          <w:sz w:val="20"/>
        </w:rPr>
      </w:pPr>
      <w:bookmarkStart w:name="_bookmark192" w:id="194"/>
      <w:bookmarkEnd w:id="194"/>
      <w:r>
        <w:rPr/>
      </w:r>
      <w:hyperlink w:history="true" w:anchor="_bookmark93">
        <w:r>
          <w:rPr>
            <w:color w:val="005DA1"/>
            <w:position w:val="5"/>
            <w:sz w:val="14"/>
            <w:u w:val="single" w:color="005DA1"/>
          </w:rPr>
          <w:t>100</w:t>
        </w:r>
      </w:hyperlink>
      <w:r>
        <w:rPr>
          <w:position w:val="5"/>
          <w:sz w:val="14"/>
        </w:rPr>
        <w:t>.</w:t>
      </w:r>
      <w:r>
        <w:rPr>
          <w:spacing w:val="80"/>
          <w:w w:val="150"/>
          <w:position w:val="5"/>
          <w:sz w:val="14"/>
        </w:rPr>
        <w:t> </w:t>
      </w:r>
      <w:r>
        <w:rPr>
          <w:sz w:val="20"/>
        </w:rPr>
        <w:t>See, e.g. </w:t>
      </w:r>
      <w:r>
        <w:rPr>
          <w:rFonts w:ascii="Arial" w:hAnsi="Arial"/>
          <w:i/>
          <w:sz w:val="20"/>
        </w:rPr>
        <w:t>Davies v Swan Motor Co [1949] 2 K.B. 291 </w:t>
      </w:r>
      <w:r>
        <w:rPr>
          <w:sz w:val="20"/>
        </w:rPr>
        <w:t>(contributory negligence); </w:t>
      </w:r>
      <w:r>
        <w:rPr>
          <w:rFonts w:ascii="Arial" w:hAnsi="Arial"/>
          <w:i/>
          <w:sz w:val="20"/>
        </w:rPr>
        <w:t>Downs </w:t>
      </w:r>
      <w:r>
        <w:rPr>
          <w:rFonts w:ascii="Arial" w:hAnsi="Arial"/>
          <w:i/>
          <w:sz w:val="20"/>
        </w:rPr>
        <w:t>v</w:t>
      </w:r>
      <w:r>
        <w:rPr>
          <w:rFonts w:ascii="Arial" w:hAnsi="Arial"/>
          <w:i/>
          <w:spacing w:val="40"/>
          <w:sz w:val="20"/>
        </w:rPr>
        <w:t> </w:t>
      </w:r>
      <w:r>
        <w:rPr>
          <w:rFonts w:ascii="Arial" w:hAnsi="Arial"/>
          <w:i/>
          <w:sz w:val="20"/>
        </w:rPr>
        <w:t>Chappell [1997] 1 W.L.R. 426 </w:t>
      </w:r>
      <w:r>
        <w:rPr>
          <w:sz w:val="20"/>
        </w:rPr>
        <w:t>(contribution); </w:t>
      </w:r>
      <w:r>
        <w:rPr>
          <w:rFonts w:ascii="Arial" w:hAnsi="Arial"/>
          <w:i/>
          <w:sz w:val="20"/>
        </w:rPr>
        <w:t>Euro-Asian Oil SA v Abilo (UK) Ltd [2016] EWHC 3340</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[2017]</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287</w:t>
      </w:r>
      <w:r>
        <w:rPr>
          <w:rFonts w:ascii="Arial" w:hAnsi="Arial"/>
          <w:i/>
          <w:spacing w:val="-3"/>
          <w:sz w:val="20"/>
        </w:rPr>
        <w:t> </w:t>
      </w:r>
      <w:r>
        <w:rPr>
          <w:sz w:val="20"/>
        </w:rPr>
        <w:t>at</w:t>
      </w:r>
      <w:r>
        <w:rPr>
          <w:spacing w:val="-3"/>
          <w:sz w:val="20"/>
        </w:rPr>
        <w:t> </w:t>
      </w:r>
      <w:r>
        <w:rPr>
          <w:sz w:val="20"/>
        </w:rPr>
        <w:t>[365]-[368].</w:t>
      </w:r>
      <w:r>
        <w:rPr>
          <w:spacing w:val="-3"/>
          <w:sz w:val="20"/>
        </w:rPr>
        <w:t> </w:t>
      </w:r>
      <w:r>
        <w:rPr>
          <w:sz w:val="20"/>
        </w:rPr>
        <w:t>In</w:t>
      </w:r>
      <w:r>
        <w:rPr>
          <w:spacing w:val="-3"/>
          <w:sz w:val="20"/>
        </w:rPr>
        <w:t> </w:t>
      </w:r>
      <w:r>
        <w:rPr>
          <w:rFonts w:ascii="Arial" w:hAnsi="Arial"/>
          <w:i/>
          <w:sz w:val="20"/>
        </w:rPr>
        <w:t>Abbey</w:t>
      </w:r>
      <w:r>
        <w:rPr>
          <w:rFonts w:ascii="Arial" w:hAnsi="Arial"/>
          <w:i/>
          <w:spacing w:val="-3"/>
          <w:sz w:val="20"/>
        </w:rPr>
        <w:t> </w:t>
      </w:r>
      <w:r>
        <w:rPr>
          <w:rFonts w:ascii="Arial" w:hAnsi="Arial"/>
          <w:i/>
          <w:sz w:val="20"/>
        </w:rPr>
        <w:t>National</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Matthews</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Son [2003] EWHC 925, [2003] 1 W.L.R. 2042</w:t>
      </w:r>
      <w:r>
        <w:rPr>
          <w:sz w:val="20"/>
        </w:rPr>
        <w:t>, a claim for contribution was struck out where the terms of a compromise between C and D1 made it impossible to decide what amount of contribution was “just and equitable”: the compromise precluded execution of C’s judgment against D1 for any sum beyond the contribution that C (as assignee of D1’s contribution claim) might be held entitled to from D2.</w:t>
      </w:r>
    </w:p>
    <w:p>
      <w:pPr>
        <w:pStyle w:val="BodyText"/>
        <w:spacing w:before="3"/>
      </w:pPr>
    </w:p>
    <w:p>
      <w:pPr>
        <w:tabs>
          <w:tab w:pos="563" w:val="left" w:leader="none"/>
        </w:tabs>
        <w:spacing w:before="0"/>
        <w:ind w:left="23" w:right="0" w:firstLine="0"/>
        <w:jc w:val="left"/>
        <w:rPr>
          <w:sz w:val="20"/>
        </w:rPr>
      </w:pPr>
      <w:bookmarkStart w:name="_bookmark193" w:id="195"/>
      <w:bookmarkEnd w:id="195"/>
      <w:r>
        <w:rPr/>
      </w:r>
      <w:hyperlink w:history="true" w:anchor="_bookmark94">
        <w:r>
          <w:rPr>
            <w:color w:val="005DA1"/>
            <w:spacing w:val="-4"/>
            <w:position w:val="5"/>
            <w:sz w:val="14"/>
            <w:u w:val="single" w:color="005DA1"/>
          </w:rPr>
          <w:t>101</w:t>
        </w:r>
      </w:hyperlink>
      <w:r>
        <w:rPr>
          <w:spacing w:val="-4"/>
          <w:position w:val="5"/>
          <w:sz w:val="14"/>
        </w:rPr>
        <w:t>.</w:t>
      </w:r>
      <w:r>
        <w:rPr>
          <w:position w:val="5"/>
          <w:sz w:val="14"/>
        </w:rPr>
        <w:tab/>
      </w:r>
      <w:r>
        <w:rPr>
          <w:rFonts w:ascii="Arial"/>
          <w:i/>
          <w:sz w:val="20"/>
        </w:rPr>
        <w:t>Dubai</w:t>
      </w:r>
      <w:r>
        <w:rPr>
          <w:rFonts w:ascii="Arial"/>
          <w:i/>
          <w:spacing w:val="-2"/>
          <w:sz w:val="20"/>
        </w:rPr>
        <w:t> </w:t>
      </w:r>
      <w:r>
        <w:rPr>
          <w:rFonts w:ascii="Arial"/>
          <w:i/>
          <w:sz w:val="20"/>
        </w:rPr>
        <w:t>Aluminium Co Ltd v Salaam [2002] UKHL 48, [2002] 3 W.L.R. </w:t>
      </w:r>
      <w:r>
        <w:rPr>
          <w:rFonts w:ascii="Arial"/>
          <w:i/>
          <w:spacing w:val="-2"/>
          <w:sz w:val="20"/>
        </w:rPr>
        <w:t>1913</w:t>
      </w:r>
      <w:r>
        <w:rPr>
          <w:spacing w:val="-2"/>
          <w:sz w:val="20"/>
        </w:rPr>
        <w:t>.</w:t>
      </w:r>
    </w:p>
    <w:p>
      <w:pPr>
        <w:pStyle w:val="BodyText"/>
        <w:spacing w:before="9"/>
      </w:pPr>
    </w:p>
    <w:p>
      <w:pPr>
        <w:pStyle w:val="BodyText"/>
        <w:spacing w:line="235" w:lineRule="auto"/>
        <w:ind w:left="563" w:right="25" w:hanging="541"/>
        <w:jc w:val="both"/>
      </w:pPr>
      <w:bookmarkStart w:name="_bookmark194" w:id="196"/>
      <w:bookmarkEnd w:id="196"/>
      <w:r>
        <w:rPr/>
      </w:r>
      <w:hyperlink w:history="true" w:anchor="_bookmark95">
        <w:r>
          <w:rPr>
            <w:color w:val="005DA1"/>
            <w:position w:val="5"/>
            <w:sz w:val="14"/>
            <w:u w:val="single" w:color="005DA1"/>
          </w:rPr>
          <w:t>102</w:t>
        </w:r>
      </w:hyperlink>
      <w:r>
        <w:rPr>
          <w:position w:val="5"/>
          <w:sz w:val="14"/>
        </w:rPr>
        <w:t>.</w:t>
      </w:r>
      <w:r>
        <w:rPr>
          <w:spacing w:val="80"/>
          <w:position w:val="5"/>
          <w:sz w:val="14"/>
        </w:rPr>
        <w:t>  </w:t>
      </w:r>
      <w:r>
        <w:rPr/>
        <w:t>See Hervey (1981) 44 M.L.R. 575, 576. In </w:t>
      </w:r>
      <w:r>
        <w:rPr>
          <w:rFonts w:ascii="Arial"/>
          <w:i/>
        </w:rPr>
        <w:t>Birse Construction Ltd v Haiste Ltd [1996] 1 W.L.R. 675 </w:t>
      </w:r>
      <w:r>
        <w:rPr/>
        <w:t>a reservoir was defectively constructed: although D1 was liable to P (who was itself </w:t>
      </w:r>
      <w:r>
        <w:rPr/>
        <w:t>liable</w:t>
      </w:r>
      <w:r>
        <w:rPr>
          <w:spacing w:val="40"/>
        </w:rPr>
        <w:t> </w:t>
      </w:r>
      <w:r>
        <w:rPr/>
        <w:t>to X) and D2 was liable to X, D1 and D2 were not liable for the same damage to the same person and hence contribution could not be recovered by D1 and D2.</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489" w:right="0" w:firstLine="0"/>
        <w:jc w:val="left"/>
        <w:rPr>
          <w:rFonts w:ascii="Arial"/>
          <w:b/>
          <w:sz w:val="24"/>
        </w:rPr>
      </w:pPr>
      <w:r>
        <w:rPr>
          <w:rFonts w:ascii="Arial"/>
          <w:b/>
          <w:sz w:val="24"/>
        </w:rPr>
        <w:t>(a) - Liquidated Damages or </w:t>
      </w:r>
      <w:r>
        <w:rPr>
          <w:rFonts w:ascii="Arial"/>
          <w:b/>
          <w:spacing w:val="-2"/>
          <w:sz w:val="24"/>
        </w:rPr>
        <w:t>Penalty</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pacing w:val="-2"/>
          <w:sz w:val="18"/>
        </w:rPr>
        <w:t>Introduction</w:t>
      </w:r>
    </w:p>
    <w:p>
      <w:pPr>
        <w:pStyle w:val="BodyText"/>
        <w:spacing w:before="42"/>
        <w:rPr>
          <w:rFonts w:ascii="Arial"/>
          <w:b/>
          <w:sz w:val="18"/>
        </w:rPr>
      </w:pPr>
    </w:p>
    <w:p>
      <w:pPr>
        <w:pStyle w:val="Heading2"/>
      </w:pPr>
      <w:r>
        <w:rPr/>
        <w:t>26-</w:t>
      </w:r>
      <w:r>
        <w:rPr>
          <w:spacing w:val="-5"/>
        </w:rPr>
        <w:t>178</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the parties to a contract agree that, in the event of a breach, the contract-breaker shall pay </w:t>
      </w:r>
      <w:bookmarkStart w:name="_bookmark195" w:id="197"/>
      <w:bookmarkEnd w:id="197"/>
      <w:r>
        <w:rPr/>
        <w:t>to</w:t>
      </w:r>
      <w:r>
        <w:rPr>
          <w:spacing w:val="31"/>
        </w:rPr>
        <w:t> </w:t>
      </w:r>
      <w:r>
        <w:rPr/>
        <w:t>the</w:t>
      </w:r>
      <w:r>
        <w:rPr>
          <w:spacing w:val="31"/>
        </w:rPr>
        <w:t> </w:t>
      </w:r>
      <w:r>
        <w:rPr/>
        <w:t>other</w:t>
      </w:r>
      <w:r>
        <w:rPr>
          <w:spacing w:val="31"/>
        </w:rPr>
        <w:t> </w:t>
      </w:r>
      <w:r>
        <w:rPr/>
        <w:t>a</w:t>
      </w:r>
      <w:r>
        <w:rPr>
          <w:spacing w:val="31"/>
        </w:rPr>
        <w:t> </w:t>
      </w:r>
      <w:r>
        <w:rPr/>
        <w:t>specified</w:t>
      </w:r>
      <w:r>
        <w:rPr>
          <w:spacing w:val="31"/>
        </w:rPr>
        <w:t> </w:t>
      </w:r>
      <w:r>
        <w:rPr/>
        <w:t>sum</w:t>
      </w:r>
      <w:r>
        <w:rPr>
          <w:spacing w:val="31"/>
        </w:rPr>
        <w:t> </w:t>
      </w:r>
      <w:r>
        <w:rPr/>
        <w:t>of</w:t>
      </w:r>
      <w:r>
        <w:rPr>
          <w:spacing w:val="31"/>
        </w:rPr>
        <w:t> </w:t>
      </w:r>
      <w:r>
        <w:rPr/>
        <w:t>money,</w:t>
      </w:r>
      <w:r>
        <w:rPr>
          <w:spacing w:val="31"/>
        </w:rPr>
        <w:t> </w:t>
      </w:r>
      <w:r>
        <w:rPr/>
        <w:t>the</w:t>
      </w:r>
      <w:r>
        <w:rPr>
          <w:spacing w:val="31"/>
        </w:rPr>
        <w:t> </w:t>
      </w:r>
      <w:r>
        <w:rPr/>
        <w:t>sum</w:t>
      </w:r>
      <w:r>
        <w:rPr>
          <w:spacing w:val="31"/>
        </w:rPr>
        <w:t> </w:t>
      </w:r>
      <w:r>
        <w:rPr/>
        <w:t>fixed</w:t>
      </w:r>
      <w:r>
        <w:rPr>
          <w:spacing w:val="31"/>
        </w:rPr>
        <w:t> </w:t>
      </w:r>
      <w:r>
        <w:rPr/>
        <w:t>may</w:t>
      </w:r>
      <w:r>
        <w:rPr>
          <w:spacing w:val="31"/>
        </w:rPr>
        <w:t> </w:t>
      </w:r>
      <w:r>
        <w:rPr/>
        <w:t>be</w:t>
      </w:r>
      <w:r>
        <w:rPr>
          <w:spacing w:val="31"/>
        </w:rPr>
        <w:t> </w:t>
      </w:r>
      <w:r>
        <w:rPr/>
        <w:t>classified</w:t>
      </w:r>
      <w:r>
        <w:rPr>
          <w:spacing w:val="31"/>
        </w:rPr>
        <w:t> </w:t>
      </w:r>
      <w:r>
        <w:rPr/>
        <w:t>by</w:t>
      </w:r>
      <w:r>
        <w:rPr>
          <w:spacing w:val="31"/>
        </w:rPr>
        <w:t> </w:t>
      </w:r>
      <w:r>
        <w:rPr/>
        <w:t>the</w:t>
      </w:r>
      <w:r>
        <w:rPr>
          <w:spacing w:val="31"/>
        </w:rPr>
        <w:t> </w:t>
      </w:r>
      <w:r>
        <w:rPr/>
        <w:t>courts</w:t>
      </w:r>
      <w:r>
        <w:rPr>
          <w:spacing w:val="31"/>
        </w:rPr>
        <w:t> </w:t>
      </w:r>
      <w:r>
        <w:rPr/>
        <w:t>either</w:t>
      </w:r>
      <w:r>
        <w:rPr>
          <w:spacing w:val="31"/>
        </w:rPr>
        <w:t> </w:t>
      </w:r>
      <w:r>
        <w:rPr/>
        <w:t>as</w:t>
      </w:r>
      <w:r>
        <w:rPr>
          <w:spacing w:val="31"/>
        </w:rPr>
        <w:t> </w:t>
      </w:r>
      <w:r>
        <w:rPr>
          <w:spacing w:val="-10"/>
        </w:rPr>
        <w:t>a</w:t>
      </w:r>
    </w:p>
    <w:p>
      <w:pPr>
        <w:pStyle w:val="BodyText"/>
        <w:spacing w:line="235" w:lineRule="auto" w:before="120"/>
        <w:ind w:left="23" w:right="25"/>
        <w:jc w:val="both"/>
      </w:pPr>
      <w:r>
        <w:rPr/>
        <w:t>penalty (which is irrecoverable) or as liquidated damages (which are recoverable). </w:t>
      </w:r>
      <w:r>
        <w:rPr>
          <w:color w:val="005DA1"/>
          <w:u w:val="single" w:color="005DA1"/>
          <w:vertAlign w:val="superscript"/>
        </w:rPr>
        <w:t>969</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The law on </w:t>
      </w:r>
      <w:bookmarkStart w:name="_bookmark196" w:id="198"/>
      <w:bookmarkEnd w:id="198"/>
      <w:r>
        <w:rPr>
          <w:vertAlign w:val="baseline"/>
        </w:rPr>
        <w:t>this</w:t>
      </w:r>
      <w:r>
        <w:rPr>
          <w:spacing w:val="2"/>
          <w:vertAlign w:val="baseline"/>
        </w:rPr>
        <w:t> </w:t>
      </w:r>
      <w:r>
        <w:rPr>
          <w:vertAlign w:val="baseline"/>
        </w:rPr>
        <w:t>topic</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fundamentally</w:t>
      </w:r>
      <w:r>
        <w:rPr>
          <w:spacing w:val="2"/>
          <w:vertAlign w:val="baseline"/>
        </w:rPr>
        <w:t> </w:t>
      </w:r>
      <w:r>
        <w:rPr>
          <w:vertAlign w:val="baseline"/>
        </w:rPr>
        <w:t>re-written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decision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Supreme</w:t>
      </w:r>
      <w:r>
        <w:rPr>
          <w:spacing w:val="2"/>
          <w:vertAlign w:val="baseline"/>
        </w:rPr>
        <w:t> </w:t>
      </w:r>
      <w:r>
        <w:rPr>
          <w:vertAlign w:val="baseline"/>
        </w:rPr>
        <w:t>Court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cases</w:t>
      </w:r>
      <w:r>
        <w:rPr>
          <w:spacing w:val="2"/>
          <w:vertAlign w:val="baseline"/>
        </w:rPr>
        <w:t> </w:t>
      </w:r>
      <w:r>
        <w:rPr>
          <w:spacing w:val="-2"/>
          <w:vertAlign w:val="baseline"/>
        </w:rPr>
        <w:t>(heard</w:t>
      </w:r>
    </w:p>
    <w:p>
      <w:pPr>
        <w:spacing w:line="235" w:lineRule="auto" w:before="119"/>
        <w:ind w:left="23" w:right="25" w:firstLine="0"/>
        <w:jc w:val="both"/>
        <w:rPr>
          <w:sz w:val="20"/>
        </w:rPr>
      </w:pPr>
      <w:r>
        <w:rPr>
          <w:sz w:val="20"/>
        </w:rPr>
        <w:t>together) of </w:t>
      </w:r>
      <w:r>
        <w:rPr>
          <w:rFonts w:ascii="Arial"/>
          <w:i/>
          <w:sz w:val="20"/>
        </w:rPr>
        <w:t>Cavendish Square Holding BV v Makdessi </w:t>
      </w:r>
      <w:r>
        <w:rPr>
          <w:sz w:val="20"/>
        </w:rPr>
        <w:t>and </w:t>
      </w:r>
      <w:r>
        <w:rPr>
          <w:rFonts w:ascii="Arial"/>
          <w:i/>
          <w:sz w:val="20"/>
        </w:rPr>
        <w:t>ParkingEye Ltd v Beavis</w:t>
      </w:r>
      <w:r>
        <w:rPr>
          <w:sz w:val="20"/>
        </w:rPr>
        <w:t>. </w:t>
      </w:r>
      <w:r>
        <w:rPr>
          <w:color w:val="005DA1"/>
          <w:sz w:val="20"/>
          <w:u w:val="single" w:color="005DA1"/>
          <w:vertAlign w:val="superscript"/>
        </w:rPr>
        <w:t>970</w:t>
      </w:r>
      <w:r>
        <w:rPr>
          <w:color w:val="005DA1"/>
          <w:spacing w:val="80"/>
          <w:w w:val="150"/>
          <w:sz w:val="20"/>
          <w:vertAlign w:val="baseline"/>
        </w:rPr>
        <w:t> </w:t>
      </w:r>
      <w:r>
        <w:rPr>
          <w:color w:val="005DA1"/>
          <w:spacing w:val="16"/>
          <w:position w:val="-2"/>
          <w:sz w:val="20"/>
          <w:vertAlign w:val="baseline"/>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sz w:val="20"/>
          <w:vertAlign w:val="baseline"/>
        </w:rPr>
      </w:r>
      <w:r>
        <w:rPr>
          <w:rFonts w:ascii="Times New Roman"/>
          <w:color w:val="005DA1"/>
          <w:spacing w:val="-8"/>
          <w:sz w:val="20"/>
          <w:vertAlign w:val="baseline"/>
        </w:rPr>
        <w:t> </w:t>
      </w:r>
      <w:r>
        <w:rPr>
          <w:sz w:val="20"/>
          <w:vertAlign w:val="baseline"/>
        </w:rPr>
        <w:t>A clause is</w:t>
      </w:r>
      <w:r>
        <w:rPr>
          <w:spacing w:val="-1"/>
          <w:sz w:val="20"/>
          <w:vertAlign w:val="baseline"/>
        </w:rPr>
        <w:t> </w:t>
      </w:r>
      <w:r>
        <w:rPr>
          <w:sz w:val="20"/>
          <w:vertAlign w:val="baseline"/>
        </w:rPr>
        <w:t>enforceable</w:t>
      </w:r>
      <w:r>
        <w:rPr>
          <w:spacing w:val="-1"/>
          <w:sz w:val="20"/>
          <w:vertAlign w:val="baseline"/>
        </w:rPr>
        <w:t> </w:t>
      </w:r>
      <w:r>
        <w:rPr>
          <w:sz w:val="20"/>
          <w:vertAlign w:val="baseline"/>
        </w:rPr>
        <w:t>if</w:t>
      </w:r>
      <w:r>
        <w:rPr>
          <w:spacing w:val="-1"/>
          <w:sz w:val="20"/>
          <w:vertAlign w:val="baseline"/>
        </w:rPr>
        <w:t> </w:t>
      </w:r>
      <w:r>
        <w:rPr>
          <w:sz w:val="20"/>
          <w:vertAlign w:val="baseline"/>
        </w:rPr>
        <w:t>it</w:t>
      </w:r>
      <w:r>
        <w:rPr>
          <w:spacing w:val="-1"/>
          <w:sz w:val="20"/>
          <w:vertAlign w:val="baseline"/>
        </w:rPr>
        <w:t> </w:t>
      </w:r>
      <w:r>
        <w:rPr>
          <w:sz w:val="20"/>
          <w:vertAlign w:val="baseline"/>
        </w:rPr>
        <w:t>meets</w:t>
      </w:r>
      <w:r>
        <w:rPr>
          <w:spacing w:val="-1"/>
          <w:sz w:val="20"/>
          <w:vertAlign w:val="baseline"/>
        </w:rPr>
        <w:t> </w:t>
      </w:r>
      <w:r>
        <w:rPr>
          <w:sz w:val="20"/>
          <w:vertAlign w:val="baseline"/>
        </w:rPr>
        <w:t>the</w:t>
      </w:r>
      <w:r>
        <w:rPr>
          <w:spacing w:val="-1"/>
          <w:sz w:val="20"/>
          <w:vertAlign w:val="baseline"/>
        </w:rPr>
        <w:t> </w:t>
      </w:r>
      <w:r>
        <w:rPr>
          <w:sz w:val="20"/>
          <w:vertAlign w:val="baseline"/>
        </w:rPr>
        <w:t>traditional</w:t>
      </w:r>
      <w:r>
        <w:rPr>
          <w:spacing w:val="-1"/>
          <w:sz w:val="20"/>
          <w:vertAlign w:val="baseline"/>
        </w:rPr>
        <w:t> </w:t>
      </w:r>
      <w:r>
        <w:rPr>
          <w:sz w:val="20"/>
          <w:vertAlign w:val="baseline"/>
        </w:rPr>
        <w:t>test</w:t>
      </w:r>
      <w:r>
        <w:rPr>
          <w:spacing w:val="-1"/>
          <w:sz w:val="20"/>
          <w:vertAlign w:val="baseline"/>
        </w:rPr>
        <w:t> </w:t>
      </w:r>
      <w:r>
        <w:rPr>
          <w:sz w:val="20"/>
          <w:vertAlign w:val="baseline"/>
        </w:rPr>
        <w:t>that</w:t>
      </w:r>
      <w:r>
        <w:rPr>
          <w:spacing w:val="-1"/>
          <w:sz w:val="20"/>
          <w:vertAlign w:val="baseline"/>
        </w:rPr>
        <w:t> </w:t>
      </w:r>
      <w:r>
        <w:rPr>
          <w:sz w:val="20"/>
          <w:vertAlign w:val="baseline"/>
        </w:rPr>
        <w:t>it</w:t>
      </w:r>
      <w:r>
        <w:rPr>
          <w:spacing w:val="-1"/>
          <w:sz w:val="20"/>
          <w:vertAlign w:val="baseline"/>
        </w:rPr>
        <w:t> </w:t>
      </w:r>
      <w:r>
        <w:rPr>
          <w:sz w:val="20"/>
          <w:vertAlign w:val="baseline"/>
        </w:rPr>
        <w:t>does</w:t>
      </w:r>
      <w:r>
        <w:rPr>
          <w:spacing w:val="-1"/>
          <w:sz w:val="20"/>
          <w:vertAlign w:val="baseline"/>
        </w:rPr>
        <w:t> </w:t>
      </w:r>
      <w:r>
        <w:rPr>
          <w:sz w:val="20"/>
          <w:vertAlign w:val="baseline"/>
        </w:rPr>
        <w:t>not</w:t>
      </w:r>
      <w:r>
        <w:rPr>
          <w:spacing w:val="-1"/>
          <w:sz w:val="20"/>
          <w:vertAlign w:val="baseline"/>
        </w:rPr>
        <w:t> </w:t>
      </w:r>
      <w:r>
        <w:rPr>
          <w:sz w:val="20"/>
          <w:vertAlign w:val="baseline"/>
        </w:rPr>
        <w:t>extravagantly</w:t>
      </w:r>
      <w:r>
        <w:rPr>
          <w:spacing w:val="-1"/>
          <w:sz w:val="20"/>
          <w:vertAlign w:val="baseline"/>
        </w:rPr>
        <w:t> </w:t>
      </w:r>
      <w:r>
        <w:rPr>
          <w:sz w:val="20"/>
          <w:vertAlign w:val="baseline"/>
        </w:rPr>
        <w:t>exceed</w:t>
      </w:r>
      <w:r>
        <w:rPr>
          <w:spacing w:val="-1"/>
          <w:sz w:val="20"/>
          <w:vertAlign w:val="baseline"/>
        </w:rPr>
        <w:t> </w:t>
      </w:r>
      <w:r>
        <w:rPr>
          <w:sz w:val="20"/>
          <w:vertAlign w:val="baseline"/>
        </w:rPr>
        <w:t>a</w:t>
      </w:r>
      <w:r>
        <w:rPr>
          <w:spacing w:val="-1"/>
          <w:sz w:val="20"/>
          <w:vertAlign w:val="baseline"/>
        </w:rPr>
        <w:t> </w:t>
      </w:r>
      <w:r>
        <w:rPr>
          <w:sz w:val="20"/>
          <w:vertAlign w:val="baseline"/>
        </w:rPr>
        <w:t>genuine</w:t>
      </w:r>
      <w:r>
        <w:rPr>
          <w:spacing w:val="-1"/>
          <w:sz w:val="20"/>
          <w:vertAlign w:val="baseline"/>
        </w:rPr>
        <w:t> </w:t>
      </w:r>
      <w:r>
        <w:rPr>
          <w:sz w:val="20"/>
          <w:vertAlign w:val="baseline"/>
        </w:rPr>
        <w:t>attempt</w:t>
      </w:r>
      <w:r>
        <w:rPr>
          <w:spacing w:val="-1"/>
          <w:sz w:val="20"/>
          <w:vertAlign w:val="baseline"/>
        </w:rPr>
        <w:t> </w:t>
      </w:r>
      <w:r>
        <w:rPr>
          <w:sz w:val="20"/>
          <w:vertAlign w:val="baseline"/>
        </w:rPr>
        <w:t>to </w:t>
      </w:r>
      <w:bookmarkStart w:name="_bookmark197" w:id="199"/>
      <w:bookmarkEnd w:id="199"/>
      <w:r>
        <w:rPr>
          <w:sz w:val="20"/>
          <w:vertAlign w:val="baseline"/>
        </w:rPr>
        <w:t>estimate</w:t>
      </w:r>
      <w:r>
        <w:rPr>
          <w:spacing w:val="47"/>
          <w:sz w:val="20"/>
          <w:vertAlign w:val="baseline"/>
        </w:rPr>
        <w:t> </w:t>
      </w:r>
      <w:r>
        <w:rPr>
          <w:sz w:val="20"/>
          <w:vertAlign w:val="baseline"/>
        </w:rPr>
        <w:t>in</w:t>
      </w:r>
      <w:r>
        <w:rPr>
          <w:spacing w:val="47"/>
          <w:sz w:val="20"/>
          <w:vertAlign w:val="baseline"/>
        </w:rPr>
        <w:t> </w:t>
      </w:r>
      <w:r>
        <w:rPr>
          <w:sz w:val="20"/>
          <w:vertAlign w:val="baseline"/>
        </w:rPr>
        <w:t>advance</w:t>
      </w:r>
      <w:r>
        <w:rPr>
          <w:spacing w:val="47"/>
          <w:sz w:val="20"/>
          <w:vertAlign w:val="baseline"/>
        </w:rPr>
        <w:t> </w:t>
      </w:r>
      <w:r>
        <w:rPr>
          <w:sz w:val="20"/>
          <w:vertAlign w:val="baseline"/>
        </w:rPr>
        <w:t>the</w:t>
      </w:r>
      <w:r>
        <w:rPr>
          <w:spacing w:val="47"/>
          <w:sz w:val="20"/>
          <w:vertAlign w:val="baseline"/>
        </w:rPr>
        <w:t> </w:t>
      </w:r>
      <w:r>
        <w:rPr>
          <w:sz w:val="20"/>
          <w:vertAlign w:val="baseline"/>
        </w:rPr>
        <w:t>loss</w:t>
      </w:r>
      <w:r>
        <w:rPr>
          <w:spacing w:val="47"/>
          <w:sz w:val="20"/>
          <w:vertAlign w:val="baseline"/>
        </w:rPr>
        <w:t> </w:t>
      </w:r>
      <w:r>
        <w:rPr>
          <w:sz w:val="20"/>
          <w:vertAlign w:val="baseline"/>
        </w:rPr>
        <w:t>which</w:t>
      </w:r>
      <w:r>
        <w:rPr>
          <w:spacing w:val="47"/>
          <w:sz w:val="20"/>
          <w:vertAlign w:val="baseline"/>
        </w:rPr>
        <w:t> </w:t>
      </w:r>
      <w:r>
        <w:rPr>
          <w:sz w:val="20"/>
          <w:vertAlign w:val="baseline"/>
        </w:rPr>
        <w:t>the</w:t>
      </w:r>
      <w:r>
        <w:rPr>
          <w:spacing w:val="47"/>
          <w:sz w:val="20"/>
          <w:vertAlign w:val="baseline"/>
        </w:rPr>
        <w:t> </w:t>
      </w:r>
      <w:r>
        <w:rPr>
          <w:sz w:val="20"/>
          <w:vertAlign w:val="baseline"/>
        </w:rPr>
        <w:t>claimant</w:t>
      </w:r>
      <w:r>
        <w:rPr>
          <w:spacing w:val="47"/>
          <w:sz w:val="20"/>
          <w:vertAlign w:val="baseline"/>
        </w:rPr>
        <w:t> </w:t>
      </w:r>
      <w:r>
        <w:rPr>
          <w:sz w:val="20"/>
          <w:vertAlign w:val="baseline"/>
        </w:rPr>
        <w:t>would</w:t>
      </w:r>
      <w:r>
        <w:rPr>
          <w:spacing w:val="47"/>
          <w:sz w:val="20"/>
          <w:vertAlign w:val="baseline"/>
        </w:rPr>
        <w:t> </w:t>
      </w:r>
      <w:r>
        <w:rPr>
          <w:sz w:val="20"/>
          <w:vertAlign w:val="baseline"/>
        </w:rPr>
        <w:t>be</w:t>
      </w:r>
      <w:r>
        <w:rPr>
          <w:spacing w:val="47"/>
          <w:sz w:val="20"/>
          <w:vertAlign w:val="baseline"/>
        </w:rPr>
        <w:t> </w:t>
      </w:r>
      <w:r>
        <w:rPr>
          <w:sz w:val="20"/>
          <w:vertAlign w:val="baseline"/>
        </w:rPr>
        <w:t>likely</w:t>
      </w:r>
      <w:r>
        <w:rPr>
          <w:spacing w:val="47"/>
          <w:sz w:val="20"/>
          <w:vertAlign w:val="baseline"/>
        </w:rPr>
        <w:t> </w:t>
      </w:r>
      <w:r>
        <w:rPr>
          <w:sz w:val="20"/>
          <w:vertAlign w:val="baseline"/>
        </w:rPr>
        <w:t>to</w:t>
      </w:r>
      <w:r>
        <w:rPr>
          <w:spacing w:val="47"/>
          <w:sz w:val="20"/>
          <w:vertAlign w:val="baseline"/>
        </w:rPr>
        <w:t> </w:t>
      </w:r>
      <w:r>
        <w:rPr>
          <w:sz w:val="20"/>
          <w:vertAlign w:val="baseline"/>
        </w:rPr>
        <w:t>suffer</w:t>
      </w:r>
      <w:r>
        <w:rPr>
          <w:spacing w:val="47"/>
          <w:sz w:val="20"/>
          <w:vertAlign w:val="baseline"/>
        </w:rPr>
        <w:t> </w:t>
      </w:r>
      <w:r>
        <w:rPr>
          <w:sz w:val="20"/>
          <w:vertAlign w:val="baseline"/>
        </w:rPr>
        <w:t>from</w:t>
      </w:r>
      <w:r>
        <w:rPr>
          <w:spacing w:val="47"/>
          <w:sz w:val="20"/>
          <w:vertAlign w:val="baseline"/>
        </w:rPr>
        <w:t> </w:t>
      </w:r>
      <w:r>
        <w:rPr>
          <w:sz w:val="20"/>
          <w:vertAlign w:val="baseline"/>
        </w:rPr>
        <w:t>a</w:t>
      </w:r>
      <w:r>
        <w:rPr>
          <w:spacing w:val="47"/>
          <w:sz w:val="20"/>
          <w:vertAlign w:val="baseline"/>
        </w:rPr>
        <w:t> </w:t>
      </w:r>
      <w:r>
        <w:rPr>
          <w:sz w:val="20"/>
          <w:vertAlign w:val="baseline"/>
        </w:rPr>
        <w:t>breach</w:t>
      </w:r>
      <w:r>
        <w:rPr>
          <w:spacing w:val="47"/>
          <w:sz w:val="20"/>
          <w:vertAlign w:val="baseline"/>
        </w:rPr>
        <w:t> </w:t>
      </w:r>
      <w:r>
        <w:rPr>
          <w:sz w:val="20"/>
          <w:vertAlign w:val="baseline"/>
        </w:rPr>
        <w:t>of</w:t>
      </w:r>
      <w:r>
        <w:rPr>
          <w:spacing w:val="47"/>
          <w:sz w:val="20"/>
          <w:vertAlign w:val="baseline"/>
        </w:rPr>
        <w:t> </w:t>
      </w:r>
      <w:r>
        <w:rPr>
          <w:spacing w:val="-5"/>
          <w:sz w:val="20"/>
          <w:vertAlign w:val="baseline"/>
        </w:rPr>
        <w:t>the</w:t>
      </w:r>
    </w:p>
    <w:p>
      <w:pPr>
        <w:pStyle w:val="BodyText"/>
        <w:spacing w:line="235" w:lineRule="auto" w:before="119"/>
        <w:ind w:left="23" w:right="25"/>
        <w:jc w:val="both"/>
      </w:pPr>
      <w:r>
        <w:rPr/>
        <w:t>obligation in question, </w:t>
      </w:r>
      <w:r>
        <w:rPr>
          <w:color w:val="005DA1"/>
          <w:u w:val="single" w:color="005DA1"/>
          <w:vertAlign w:val="superscript"/>
        </w:rPr>
        <w:t>971</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9"/>
          <w:vertAlign w:val="baseline"/>
        </w:rPr>
        <w:t> </w:t>
      </w:r>
      <w:r>
        <w:rPr>
          <w:vertAlign w:val="baseline"/>
        </w:rPr>
        <w:t>but the true test is whether the party to whom the sum is payable had a legitimate interest in ensuring performance by the other party and the sum payable in the event of breach is not extravagant or unconscionable in comparison to that interest. This supersedes a</w:t>
      </w:r>
      <w:r>
        <w:rPr>
          <w:spacing w:val="40"/>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decisions</w:t>
      </w:r>
      <w:r>
        <w:rPr>
          <w:spacing w:val="-2"/>
          <w:vertAlign w:val="baseline"/>
        </w:rPr>
        <w:t> </w:t>
      </w:r>
      <w:r>
        <w:rPr>
          <w:vertAlign w:val="baseline"/>
        </w:rPr>
        <w:t>suggesting</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clause</w:t>
      </w:r>
      <w:r>
        <w:rPr>
          <w:spacing w:val="-2"/>
          <w:vertAlign w:val="baseline"/>
        </w:rPr>
        <w:t> </w:t>
      </w:r>
      <w:r>
        <w:rPr>
          <w:vertAlign w:val="baseline"/>
        </w:rPr>
        <w:t>which</w:t>
      </w:r>
      <w:r>
        <w:rPr>
          <w:spacing w:val="-2"/>
          <w:vertAlign w:val="baseline"/>
        </w:rPr>
        <w:t> </w:t>
      </w:r>
      <w:r>
        <w:rPr>
          <w:vertAlign w:val="baseline"/>
        </w:rPr>
        <w:t>provides</w:t>
      </w:r>
      <w:r>
        <w:rPr>
          <w:spacing w:val="-2"/>
          <w:vertAlign w:val="baseline"/>
        </w:rPr>
        <w:t> </w:t>
      </w:r>
      <w:r>
        <w:rPr>
          <w:vertAlign w:val="baseline"/>
        </w:rPr>
        <w:t>for</w:t>
      </w:r>
      <w:r>
        <w:rPr>
          <w:spacing w:val="-2"/>
          <w:vertAlign w:val="baseline"/>
        </w:rPr>
        <w:t> </w:t>
      </w:r>
      <w:r>
        <w:rPr>
          <w:vertAlign w:val="baseline"/>
        </w:rPr>
        <w:t>an</w:t>
      </w:r>
      <w:r>
        <w:rPr>
          <w:spacing w:val="-2"/>
          <w:vertAlign w:val="baseline"/>
        </w:rPr>
        <w:t> </w:t>
      </w:r>
      <w:r>
        <w:rPr>
          <w:vertAlign w:val="baseline"/>
        </w:rPr>
        <w:t>additional</w:t>
      </w:r>
      <w:r>
        <w:rPr>
          <w:spacing w:val="-2"/>
          <w:vertAlign w:val="baseline"/>
        </w:rPr>
        <w:t> </w:t>
      </w:r>
      <w:r>
        <w:rPr>
          <w:vertAlign w:val="baseline"/>
        </w:rPr>
        <w:t>payment</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made</w:t>
      </w:r>
      <w:r>
        <w:rPr>
          <w:spacing w:val="-2"/>
          <w:vertAlign w:val="baseline"/>
        </w:rPr>
        <w:t> </w:t>
      </w:r>
      <w:r>
        <w:rPr>
          <w:vertAlign w:val="baseline"/>
        </w:rPr>
        <w:t>by a party who is in breach of the contract may also be enforceable, even if it was not strictly speaking </w:t>
      </w:r>
      <w:r>
        <w:rPr>
          <w:vertAlign w:val="baseline"/>
        </w:rPr>
        <w:t>a </w:t>
      </w:r>
      <w:bookmarkStart w:name="_bookmark198" w:id="200"/>
      <w:bookmarkEnd w:id="200"/>
      <w:r>
        <w:rPr>
          <w:vertAlign w:val="baseline"/>
        </w:rPr>
        <w:t>pre</w:t>
      </w:r>
      <w:r>
        <w:rPr>
          <w:vertAlign w:val="baseline"/>
        </w:rPr>
        <w:t>-estimate</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likely</w:t>
      </w:r>
      <w:r>
        <w:rPr>
          <w:spacing w:val="28"/>
          <w:vertAlign w:val="baseline"/>
        </w:rPr>
        <w:t> </w:t>
      </w:r>
      <w:r>
        <w:rPr>
          <w:vertAlign w:val="baseline"/>
        </w:rPr>
        <w:t>loss,</w:t>
      </w:r>
      <w:r>
        <w:rPr>
          <w:spacing w:val="28"/>
          <w:vertAlign w:val="baseline"/>
        </w:rPr>
        <w:t> </w:t>
      </w:r>
      <w:r>
        <w:rPr>
          <w:vertAlign w:val="baseline"/>
        </w:rPr>
        <w:t>if</w:t>
      </w:r>
      <w:r>
        <w:rPr>
          <w:spacing w:val="28"/>
          <w:vertAlign w:val="baseline"/>
        </w:rPr>
        <w:t> </w:t>
      </w:r>
      <w:r>
        <w:rPr>
          <w:vertAlign w:val="baseline"/>
        </w:rPr>
        <w:t>it</w:t>
      </w:r>
      <w:r>
        <w:rPr>
          <w:spacing w:val="28"/>
          <w:vertAlign w:val="baseline"/>
        </w:rPr>
        <w:t> </w:t>
      </w:r>
      <w:r>
        <w:rPr>
          <w:vertAlign w:val="baseline"/>
        </w:rPr>
        <w:t>was</w:t>
      </w:r>
      <w:r>
        <w:rPr>
          <w:spacing w:val="28"/>
          <w:vertAlign w:val="baseline"/>
        </w:rPr>
        <w:t> </w:t>
      </w:r>
      <w:r>
        <w:rPr>
          <w:vertAlign w:val="baseline"/>
        </w:rPr>
        <w:t>“commercially</w:t>
      </w:r>
      <w:r>
        <w:rPr>
          <w:spacing w:val="28"/>
          <w:vertAlign w:val="baseline"/>
        </w:rPr>
        <w:t> </w:t>
      </w:r>
      <w:r>
        <w:rPr>
          <w:vertAlign w:val="baseline"/>
        </w:rPr>
        <w:t>justifiable,</w:t>
      </w:r>
      <w:r>
        <w:rPr>
          <w:spacing w:val="28"/>
          <w:vertAlign w:val="baseline"/>
        </w:rPr>
        <w:t> </w:t>
      </w:r>
      <w:r>
        <w:rPr>
          <w:vertAlign w:val="baseline"/>
        </w:rPr>
        <w:t>provided</w:t>
      </w:r>
      <w:r>
        <w:rPr>
          <w:spacing w:val="28"/>
          <w:vertAlign w:val="baseline"/>
        </w:rPr>
        <w:t> </w:t>
      </w:r>
      <w:r>
        <w:rPr>
          <w:vertAlign w:val="baseline"/>
        </w:rPr>
        <w:t>always</w:t>
      </w:r>
      <w:r>
        <w:rPr>
          <w:spacing w:val="28"/>
          <w:vertAlign w:val="baseline"/>
        </w:rPr>
        <w:t> </w:t>
      </w:r>
      <w:r>
        <w:rPr>
          <w:vertAlign w:val="baseline"/>
        </w:rPr>
        <w:t>that</w:t>
      </w:r>
      <w:r>
        <w:rPr>
          <w:spacing w:val="28"/>
          <w:vertAlign w:val="baseline"/>
        </w:rPr>
        <w:t> </w:t>
      </w:r>
      <w:r>
        <w:rPr>
          <w:vertAlign w:val="baseline"/>
        </w:rPr>
        <w:t>its</w:t>
      </w:r>
      <w:r>
        <w:rPr>
          <w:spacing w:val="28"/>
          <w:vertAlign w:val="baseline"/>
        </w:rPr>
        <w:t> </w:t>
      </w:r>
      <w:r>
        <w:rPr>
          <w:spacing w:val="-2"/>
          <w:vertAlign w:val="baseline"/>
        </w:rPr>
        <w:t>dominant</w:t>
      </w:r>
    </w:p>
    <w:p>
      <w:pPr>
        <w:pStyle w:val="BodyText"/>
        <w:spacing w:before="114"/>
        <w:ind w:left="23"/>
        <w:jc w:val="both"/>
        <w:rPr>
          <w:position w:val="-2"/>
        </w:rPr>
      </w:pPr>
      <w:r>
        <w:rPr/>
        <w:t>purpose was not to deter the other party from breach”. </w:t>
      </w:r>
      <w:r>
        <w:rPr>
          <w:color w:val="005DA1"/>
          <w:u w:val="single" w:color="005DA1"/>
          <w:vertAlign w:val="superscript"/>
        </w:rPr>
        <w:t>972</w:t>
      </w:r>
      <w:r>
        <w:rPr>
          <w:color w:val="005DA1"/>
          <w:spacing w:val="80"/>
          <w:w w:val="150"/>
          <w:vertAlign w:val="baseline"/>
        </w:rPr>
        <w:t> </w:t>
      </w:r>
      <w:r>
        <w:rPr>
          <w:color w:val="005DA1"/>
          <w:position w:val="-2"/>
          <w:vertAlign w:val="baseline"/>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Effect of </w:t>
      </w:r>
      <w:r>
        <w:rPr>
          <w:rFonts w:ascii="Arial"/>
          <w:b/>
          <w:spacing w:val="-2"/>
          <w:sz w:val="18"/>
        </w:rPr>
        <w:t>distinction</w:t>
      </w:r>
    </w:p>
    <w:p>
      <w:pPr>
        <w:pStyle w:val="BodyText"/>
        <w:spacing w:before="41"/>
        <w:rPr>
          <w:rFonts w:ascii="Arial"/>
          <w:b/>
          <w:sz w:val="18"/>
        </w:rPr>
      </w:pPr>
    </w:p>
    <w:p>
      <w:pPr>
        <w:pStyle w:val="Heading2"/>
      </w:pPr>
      <w:r>
        <w:rPr/>
        <w:t>26-</w:t>
      </w:r>
      <w:r>
        <w:rPr>
          <w:spacing w:val="-4"/>
        </w:rPr>
        <w:t>178A</w:t>
      </w:r>
    </w:p>
    <w:p>
      <w:pPr>
        <w:pStyle w:val="BodyText"/>
        <w:spacing w:before="89"/>
        <w:rPr>
          <w:rFonts w:ascii="Arial"/>
          <w:b/>
        </w:rPr>
      </w:pPr>
    </w:p>
    <w:p>
      <w:pPr>
        <w:pStyle w:val="BodyText"/>
        <w:ind w:left="23"/>
        <w:jc w:val="both"/>
      </w:pPr>
      <w:r>
        <w:rPr>
          <w:position w:val="-2"/>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2"/>
        </w:rPr>
        <w:t> </w:t>
      </w:r>
      <w:bookmarkStart w:name="_bookmark199" w:id="201"/>
      <w:bookmarkEnd w:id="201"/>
      <w:r>
        <w:rPr>
          <w:rFonts w:ascii="Times New Roman"/>
          <w:spacing w:val="-17"/>
        </w:rPr>
      </w:r>
      <w:r>
        <w:rPr/>
        <w:t>If</w:t>
      </w:r>
      <w:r>
        <w:rPr>
          <w:spacing w:val="26"/>
        </w:rPr>
        <w:t> </w:t>
      </w:r>
      <w:r>
        <w:rPr/>
        <w:t>the</w:t>
      </w:r>
      <w:r>
        <w:rPr>
          <w:spacing w:val="26"/>
        </w:rPr>
        <w:t> </w:t>
      </w:r>
      <w:r>
        <w:rPr/>
        <w:t>clause</w:t>
      </w:r>
      <w:r>
        <w:rPr>
          <w:spacing w:val="26"/>
        </w:rPr>
        <w:t> </w:t>
      </w:r>
      <w:r>
        <w:rPr/>
        <w:t>is</w:t>
      </w:r>
      <w:r>
        <w:rPr>
          <w:spacing w:val="26"/>
        </w:rPr>
        <w:t> </w:t>
      </w:r>
      <w:r>
        <w:rPr/>
        <w:t>not</w:t>
      </w:r>
      <w:r>
        <w:rPr>
          <w:spacing w:val="26"/>
        </w:rPr>
        <w:t> </w:t>
      </w:r>
      <w:r>
        <w:rPr/>
        <w:t>void</w:t>
      </w:r>
      <w:r>
        <w:rPr>
          <w:spacing w:val="26"/>
        </w:rPr>
        <w:t> </w:t>
      </w:r>
      <w:r>
        <w:rPr/>
        <w:t>as</w:t>
      </w:r>
      <w:r>
        <w:rPr>
          <w:spacing w:val="26"/>
        </w:rPr>
        <w:t> </w:t>
      </w:r>
      <w:r>
        <w:rPr/>
        <w:t>a</w:t>
      </w:r>
      <w:r>
        <w:rPr>
          <w:spacing w:val="26"/>
        </w:rPr>
        <w:t> </w:t>
      </w:r>
      <w:r>
        <w:rPr/>
        <w:t>penalty,</w:t>
      </w:r>
      <w:r>
        <w:rPr>
          <w:spacing w:val="26"/>
        </w:rPr>
        <w:t> </w:t>
      </w:r>
      <w:r>
        <w:rPr/>
        <w:t>it</w:t>
      </w:r>
      <w:r>
        <w:rPr>
          <w:spacing w:val="26"/>
        </w:rPr>
        <w:t> </w:t>
      </w:r>
      <w:r>
        <w:rPr/>
        <w:t>is</w:t>
      </w:r>
      <w:r>
        <w:rPr>
          <w:spacing w:val="26"/>
        </w:rPr>
        <w:t> </w:t>
      </w:r>
      <w:r>
        <w:rPr/>
        <w:t>enforceable</w:t>
      </w:r>
      <w:r>
        <w:rPr>
          <w:spacing w:val="26"/>
        </w:rPr>
        <w:t> </w:t>
      </w:r>
      <w:r>
        <w:rPr/>
        <w:t>irrespective</w:t>
      </w:r>
      <w:r>
        <w:rPr>
          <w:spacing w:val="26"/>
        </w:rPr>
        <w:t> </w:t>
      </w:r>
      <w:r>
        <w:rPr/>
        <w:t>of</w:t>
      </w:r>
      <w:r>
        <w:rPr>
          <w:spacing w:val="26"/>
        </w:rPr>
        <w:t> </w:t>
      </w:r>
      <w:r>
        <w:rPr/>
        <w:t>the</w:t>
      </w:r>
      <w:r>
        <w:rPr>
          <w:spacing w:val="26"/>
        </w:rPr>
        <w:t> </w:t>
      </w:r>
      <w:r>
        <w:rPr/>
        <w:t>loss</w:t>
      </w:r>
      <w:r>
        <w:rPr>
          <w:spacing w:val="26"/>
        </w:rPr>
        <w:t> </w:t>
      </w:r>
      <w:r>
        <w:rPr/>
        <w:t>actually</w:t>
      </w:r>
      <w:r>
        <w:rPr>
          <w:spacing w:val="26"/>
        </w:rPr>
        <w:t> </w:t>
      </w:r>
      <w:r>
        <w:rPr/>
        <w:t>suffered,</w:t>
      </w:r>
    </w:p>
    <w:p>
      <w:pPr>
        <w:pStyle w:val="BodyText"/>
        <w:spacing w:line="235" w:lineRule="auto" w:before="119"/>
        <w:ind w:left="23" w:right="25"/>
        <w:jc w:val="both"/>
      </w:pPr>
      <w:r>
        <w:rPr/>
        <w:t>whether the actual loss is less or greater. </w:t>
      </w:r>
      <w:r>
        <w:rPr>
          <w:color w:val="005DA1"/>
          <w:u w:val="single" w:color="005DA1"/>
          <w:vertAlign w:val="superscript"/>
        </w:rPr>
        <w:t>973</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vertAlign w:val="baseline"/>
        </w:rPr>
        <w:t> </w:t>
      </w:r>
      <w:r>
        <w:rPr>
          <w:vertAlign w:val="baseline"/>
        </w:rPr>
        <w:t>Courts of equity held that if the sum fixed </w:t>
      </w:r>
      <w:r>
        <w:rPr>
          <w:vertAlign w:val="baseline"/>
        </w:rPr>
        <w:t>was </w:t>
      </w:r>
      <w:bookmarkStart w:name="_bookmark200" w:id="202"/>
      <w:bookmarkEnd w:id="202"/>
      <w:r>
        <w:rPr>
          <w:vertAlign w:val="baseline"/>
        </w:rPr>
        <w:t>unenforceable</w:t>
      </w:r>
      <w:r>
        <w:rPr>
          <w:vertAlign w:val="baseline"/>
        </w:rPr>
        <w:t> as a penalty to ensure that the promise was not broken, the promisee should nevertheless</w:t>
      </w:r>
      <w:r>
        <w:rPr>
          <w:spacing w:val="3"/>
          <w:vertAlign w:val="baseline"/>
        </w:rPr>
        <w:t> </w:t>
      </w:r>
      <w:r>
        <w:rPr>
          <w:vertAlign w:val="baseline"/>
        </w:rPr>
        <w:t>receive</w:t>
      </w:r>
      <w:r>
        <w:rPr>
          <w:spacing w:val="3"/>
          <w:vertAlign w:val="baseline"/>
        </w:rPr>
        <w:t> </w:t>
      </w:r>
      <w:r>
        <w:rPr>
          <w:vertAlign w:val="baseline"/>
        </w:rPr>
        <w:t>by</w:t>
      </w:r>
      <w:r>
        <w:rPr>
          <w:spacing w:val="3"/>
          <w:vertAlign w:val="baseline"/>
        </w:rPr>
        <w:t> </w:t>
      </w:r>
      <w:r>
        <w:rPr>
          <w:vertAlign w:val="baseline"/>
        </w:rPr>
        <w:t>way</w:t>
      </w:r>
      <w:r>
        <w:rPr>
          <w:spacing w:val="3"/>
          <w:vertAlign w:val="baseline"/>
        </w:rPr>
        <w:t> </w:t>
      </w:r>
      <w:r>
        <w:rPr>
          <w:vertAlign w:val="baseline"/>
        </w:rPr>
        <w:t>of</w:t>
      </w:r>
      <w:r>
        <w:rPr>
          <w:spacing w:val="3"/>
          <w:vertAlign w:val="baseline"/>
        </w:rPr>
        <w:t> </w:t>
      </w:r>
      <w:r>
        <w:rPr>
          <w:vertAlign w:val="baseline"/>
        </w:rPr>
        <w:t>damages</w:t>
      </w:r>
      <w:r>
        <w:rPr>
          <w:spacing w:val="3"/>
          <w:vertAlign w:val="baseline"/>
        </w:rPr>
        <w:t> </w:t>
      </w:r>
      <w:r>
        <w:rPr>
          <w:vertAlign w:val="baseline"/>
        </w:rPr>
        <w:t>the</w:t>
      </w:r>
      <w:r>
        <w:rPr>
          <w:spacing w:val="3"/>
          <w:vertAlign w:val="baseline"/>
        </w:rPr>
        <w:t> </w:t>
      </w:r>
      <w:r>
        <w:rPr>
          <w:vertAlign w:val="baseline"/>
        </w:rPr>
        <w:t>sum</w:t>
      </w:r>
      <w:r>
        <w:rPr>
          <w:spacing w:val="3"/>
          <w:vertAlign w:val="baseline"/>
        </w:rPr>
        <w:t> </w:t>
      </w:r>
      <w:r>
        <w:rPr>
          <w:vertAlign w:val="baseline"/>
        </w:rPr>
        <w:t>which</w:t>
      </w:r>
      <w:r>
        <w:rPr>
          <w:spacing w:val="3"/>
          <w:vertAlign w:val="baseline"/>
        </w:rPr>
        <w:t> </w:t>
      </w:r>
      <w:r>
        <w:rPr>
          <w:vertAlign w:val="baseline"/>
        </w:rPr>
        <w:t>would</w:t>
      </w:r>
      <w:r>
        <w:rPr>
          <w:spacing w:val="3"/>
          <w:vertAlign w:val="baseline"/>
        </w:rPr>
        <w:t> </w:t>
      </w:r>
      <w:r>
        <w:rPr>
          <w:vertAlign w:val="baseline"/>
        </w:rPr>
        <w:t>compensate</w:t>
      </w:r>
      <w:r>
        <w:rPr>
          <w:spacing w:val="3"/>
          <w:vertAlign w:val="baseline"/>
        </w:rPr>
        <w:t> </w:t>
      </w:r>
      <w:r>
        <w:rPr>
          <w:vertAlign w:val="baseline"/>
        </w:rPr>
        <w:t>him</w:t>
      </w:r>
      <w:r>
        <w:rPr>
          <w:spacing w:val="3"/>
          <w:vertAlign w:val="baseline"/>
        </w:rPr>
        <w:t> </w:t>
      </w:r>
      <w:r>
        <w:rPr>
          <w:vertAlign w:val="baseline"/>
        </w:rPr>
        <w:t>for</w:t>
      </w:r>
      <w:r>
        <w:rPr>
          <w:spacing w:val="3"/>
          <w:vertAlign w:val="baseline"/>
        </w:rPr>
        <w:t> </w:t>
      </w:r>
      <w:r>
        <w:rPr>
          <w:vertAlign w:val="baseline"/>
        </w:rPr>
        <w:t>his</w:t>
      </w:r>
      <w:r>
        <w:rPr>
          <w:spacing w:val="3"/>
          <w:vertAlign w:val="baseline"/>
        </w:rPr>
        <w:t> </w:t>
      </w:r>
      <w:r>
        <w:rPr>
          <w:vertAlign w:val="baseline"/>
        </w:rPr>
        <w:t>actual</w:t>
      </w:r>
      <w:r>
        <w:rPr>
          <w:spacing w:val="3"/>
          <w:vertAlign w:val="baseline"/>
        </w:rPr>
        <w:t> </w:t>
      </w:r>
      <w:r>
        <w:rPr>
          <w:vertAlign w:val="baseline"/>
        </w:rPr>
        <w:t>loss.</w:t>
      </w:r>
      <w:r>
        <w:rPr>
          <w:spacing w:val="2"/>
          <w:vertAlign w:val="baseline"/>
        </w:rPr>
        <w:t> </w:t>
      </w:r>
      <w:r>
        <w:rPr>
          <w:color w:val="005DA1"/>
          <w:spacing w:val="-7"/>
          <w:u w:val="single" w:color="005DA1"/>
          <w:vertAlign w:val="superscript"/>
        </w:rPr>
        <w:t>974</w:t>
      </w:r>
    </w:p>
    <w:p>
      <w:pPr>
        <w:pStyle w:val="BodyText"/>
        <w:spacing w:line="340" w:lineRule="atLeast" w:before="5"/>
        <w:ind w:left="23" w:right="25" w:firstLine="115"/>
        <w:jc w:val="both"/>
        <w:rPr>
          <w:position w:val="-2"/>
        </w:rPr>
      </w:pPr>
      <w:r>
        <w:rPr>
          <w:position w:val="-2"/>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01" w:id="203"/>
      <w:bookmarkEnd w:id="203"/>
      <w:r>
        <w:rPr>
          <w:rFonts w:ascii="Times New Roman" w:hAnsi="Times New Roman"/>
          <w:spacing w:val="7"/>
        </w:rPr>
      </w:r>
      <w:r>
        <w:rPr/>
        <w:t>The Court of Appeal has held that the strict legal position is that the innocent party can sue on the penal</w:t>
      </w:r>
      <w:r>
        <w:rPr>
          <w:spacing w:val="1"/>
        </w:rPr>
        <w:t> </w:t>
      </w:r>
      <w:r>
        <w:rPr/>
        <w:t>clause,</w:t>
      </w:r>
      <w:r>
        <w:rPr>
          <w:spacing w:val="1"/>
        </w:rPr>
        <w:t> </w:t>
      </w:r>
      <w:r>
        <w:rPr/>
        <w:t>but</w:t>
      </w:r>
      <w:r>
        <w:rPr>
          <w:spacing w:val="1"/>
        </w:rPr>
        <w:t> </w:t>
      </w:r>
      <w:r>
        <w:rPr/>
        <w:t>“it</w:t>
      </w:r>
      <w:r>
        <w:rPr>
          <w:spacing w:val="1"/>
        </w:rPr>
        <w:t> </w:t>
      </w:r>
      <w:r>
        <w:rPr/>
        <w:t>will</w:t>
      </w:r>
      <w:r>
        <w:rPr>
          <w:spacing w:val="1"/>
        </w:rPr>
        <w:t> </w:t>
      </w:r>
      <w:r>
        <w:rPr/>
        <w:t>not</w:t>
      </w:r>
      <w:r>
        <w:rPr>
          <w:spacing w:val="1"/>
        </w:rPr>
        <w:t> </w:t>
      </w:r>
      <w:r>
        <w:rPr/>
        <w:t>be</w:t>
      </w:r>
      <w:r>
        <w:rPr>
          <w:spacing w:val="1"/>
        </w:rPr>
        <w:t> </w:t>
      </w:r>
      <w:r>
        <w:rPr/>
        <w:t>enforced</w:t>
      </w:r>
      <w:r>
        <w:rPr>
          <w:spacing w:val="1"/>
        </w:rPr>
        <w:t> </w:t>
      </w:r>
      <w:r>
        <w:rPr/>
        <w:t>…</w:t>
      </w:r>
      <w:r>
        <w:rPr>
          <w:spacing w:val="1"/>
        </w:rPr>
        <w:t> </w:t>
      </w:r>
      <w:r>
        <w:rPr/>
        <w:t>beyond</w:t>
      </w:r>
      <w:r>
        <w:rPr>
          <w:spacing w:val="1"/>
        </w:rPr>
        <w:t> </w:t>
      </w:r>
      <w:r>
        <w:rPr/>
        <w:t>the</w:t>
      </w:r>
      <w:r>
        <w:rPr>
          <w:spacing w:val="1"/>
        </w:rPr>
        <w:t> </w:t>
      </w:r>
      <w:r>
        <w:rPr/>
        <w:t>sum</w:t>
      </w:r>
      <w:r>
        <w:rPr>
          <w:spacing w:val="1"/>
        </w:rPr>
        <w:t> </w:t>
      </w:r>
      <w:r>
        <w:rPr/>
        <w:t>which</w:t>
      </w:r>
      <w:r>
        <w:rPr>
          <w:spacing w:val="1"/>
        </w:rPr>
        <w:t> </w:t>
      </w:r>
      <w:r>
        <w:rPr/>
        <w:t>represents</w:t>
      </w:r>
      <w:r>
        <w:rPr>
          <w:spacing w:val="1"/>
        </w:rPr>
        <w:t> </w:t>
      </w:r>
      <w:r>
        <w:rPr/>
        <w:t>[his]</w:t>
      </w:r>
      <w:r>
        <w:rPr>
          <w:spacing w:val="1"/>
        </w:rPr>
        <w:t> </w:t>
      </w:r>
      <w:r>
        <w:rPr/>
        <w:t>actual</w:t>
      </w:r>
      <w:r>
        <w:rPr>
          <w:spacing w:val="1"/>
        </w:rPr>
        <w:t> </w:t>
      </w:r>
      <w:r>
        <w:rPr/>
        <w:t>loss”.</w:t>
      </w:r>
      <w:r>
        <w:rPr>
          <w:spacing w:val="-1"/>
        </w:rPr>
        <w:t> </w:t>
      </w:r>
      <w:r>
        <w:rPr>
          <w:color w:val="005DA1"/>
          <w:u w:val="single" w:color="005DA1"/>
          <w:vertAlign w:val="superscript"/>
        </w:rPr>
        <w:t>975</w:t>
      </w:r>
      <w:r>
        <w:rPr>
          <w:color w:val="005DA1"/>
          <w:spacing w:val="74"/>
          <w:w w:val="150"/>
          <w:vertAlign w:val="baseline"/>
        </w:rPr>
        <w:t> </w:t>
      </w:r>
      <w:r>
        <w:rPr>
          <w:color w:val="005DA1"/>
          <w:spacing w:val="9"/>
          <w:position w:val="-2"/>
          <w:vertAlign w:val="baseline"/>
        </w:rPr>
        <w:drawing>
          <wp:inline distT="0" distB="0" distL="0" distR="0">
            <wp:extent cx="107988" cy="1079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p>
    <w:p>
      <w:pPr>
        <w:pStyle w:val="BodyText"/>
        <w:spacing w:line="360" w:lineRule="auto"/>
        <w:ind w:left="23" w:right="25"/>
        <w:jc w:val="both"/>
        <w:rPr>
          <w:position w:val="-2"/>
        </w:rPr>
      </w:pPr>
      <w:bookmarkStart w:name="_bookmark202" w:id="204"/>
      <w:bookmarkEnd w:id="204"/>
      <w:r>
        <w:rPr/>
      </w:r>
      <w:r>
        <w:rPr/>
        <w:t>Where there is provision for liquidated damages, the claimant may nevertheless, in </w:t>
      </w:r>
      <w:r>
        <w:rPr/>
        <w:t>appropriate</w:t>
      </w:r>
      <w:r>
        <w:rPr>
          <w:spacing w:val="80"/>
        </w:rPr>
        <w:t> </w:t>
      </w:r>
      <w:r>
        <w:rPr/>
        <w:t>cases, elect to ask for an injunction instead of enforcing the liquidated damages. </w:t>
      </w:r>
      <w:r>
        <w:rPr>
          <w:color w:val="005DA1"/>
          <w:u w:val="single" w:color="005DA1"/>
          <w:vertAlign w:val="superscript"/>
        </w:rPr>
        <w:t>976</w:t>
      </w:r>
      <w:r>
        <w:rPr>
          <w:color w:val="005DA1"/>
          <w:spacing w:val="80"/>
          <w:vertAlign w:val="baseline"/>
        </w:rPr>
        <w:t> </w:t>
      </w:r>
      <w:r>
        <w:rPr>
          <w:color w:val="005DA1"/>
          <w:position w:val="-2"/>
          <w:vertAlign w:val="baseline"/>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1"/>
        <w:ind w:left="23" w:right="0" w:firstLine="0"/>
        <w:jc w:val="left"/>
        <w:rPr>
          <w:rFonts w:ascii="Arial"/>
          <w:b/>
          <w:sz w:val="18"/>
        </w:rPr>
      </w:pPr>
      <w:r>
        <w:rPr>
          <w:rFonts w:ascii="Arial"/>
          <w:b/>
          <w:sz w:val="18"/>
        </w:rPr>
        <w:t>Purpose of liquidated damage </w:t>
      </w:r>
      <w:r>
        <w:rPr>
          <w:rFonts w:ascii="Arial"/>
          <w:b/>
          <w:spacing w:val="-2"/>
          <w:sz w:val="18"/>
        </w:rPr>
        <w:t>clauses</w:t>
      </w:r>
    </w:p>
    <w:p>
      <w:pPr>
        <w:pStyle w:val="BodyText"/>
        <w:spacing w:before="41"/>
        <w:rPr>
          <w:rFonts w:ascii="Arial"/>
          <w:b/>
          <w:sz w:val="18"/>
        </w:rPr>
      </w:pPr>
    </w:p>
    <w:p>
      <w:pPr>
        <w:pStyle w:val="Heading2"/>
      </w:pPr>
      <w:r>
        <w:rPr/>
        <w:t>26-</w:t>
      </w:r>
      <w:r>
        <w:rPr>
          <w:spacing w:val="-5"/>
        </w:rPr>
        <w:t>179</w:t>
      </w:r>
    </w:p>
    <w:p>
      <w:pPr>
        <w:pStyle w:val="Heading2"/>
        <w:spacing w:after="0"/>
        <w:sectPr>
          <w:headerReference w:type="default" r:id="rId6"/>
          <w:pgSz w:w="11900" w:h="16840"/>
          <w:pgMar w:header="971" w:footer="0" w:top="1300" w:bottom="280" w:left="1417" w:right="1417"/>
          <w:pgNumType w:start="1"/>
        </w:sectPr>
      </w:pPr>
    </w:p>
    <w:p>
      <w:pPr>
        <w:pStyle w:val="BodyText"/>
        <w:spacing w:before="216"/>
        <w:rPr>
          <w:rFonts w:ascii="Arial"/>
          <w:b/>
        </w:rPr>
      </w:pPr>
    </w:p>
    <w:p>
      <w:pPr>
        <w:pStyle w:val="BodyText"/>
        <w:tabs>
          <w:tab w:pos="1899" w:val="left" w:leader="none"/>
        </w:tabs>
        <w:ind w:left="23"/>
      </w:pPr>
      <w:r>
        <w:rPr>
          <w:position w:val="-2"/>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3"/>
        </w:rPr>
        <w:t> </w:t>
      </w:r>
      <w:bookmarkStart w:name="_bookmark203" w:id="205"/>
      <w:bookmarkEnd w:id="205"/>
      <w:r>
        <w:rPr>
          <w:rFonts w:ascii="Times New Roman"/>
          <w:spacing w:val="23"/>
        </w:rPr>
      </w:r>
      <w:bookmarkStart w:name="_bookmark204" w:id="206"/>
      <w:bookmarkEnd w:id="206"/>
      <w:r>
        <w:rPr>
          <w:rFonts w:ascii="Times New Roman"/>
          <w:spacing w:val="23"/>
        </w:rPr>
      </w:r>
      <w:r>
        <w:rPr/>
        <w:t>The</w:t>
      </w:r>
      <w:r>
        <w:rPr>
          <w:spacing w:val="27"/>
        </w:rPr>
        <w:t> </w:t>
      </w:r>
      <w:r>
        <w:rPr/>
        <w:t>purpose</w:t>
      </w:r>
      <w:r>
        <w:rPr>
          <w:spacing w:val="27"/>
        </w:rPr>
        <w:t> </w:t>
      </w:r>
      <w:r>
        <w:rPr>
          <w:color w:val="005DA1"/>
          <w:u w:val="single" w:color="005DA1"/>
          <w:vertAlign w:val="superscript"/>
        </w:rPr>
        <w:t>977</w:t>
      </w:r>
      <w:r>
        <w:rPr>
          <w:color w:val="005DA1"/>
          <w:vertAlign w:val="baseline"/>
        </w:rPr>
        <w:tab/>
      </w:r>
      <w:r>
        <w:rPr>
          <w:color w:val="005DA1"/>
          <w:position w:val="-2"/>
          <w:vertAlign w:val="baseline"/>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2"/>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parties</w:t>
      </w:r>
      <w:r>
        <w:rPr>
          <w:spacing w:val="16"/>
          <w:vertAlign w:val="baseline"/>
        </w:rPr>
        <w:t> </w:t>
      </w:r>
      <w:r>
        <w:rPr>
          <w:vertAlign w:val="baseline"/>
        </w:rPr>
        <w:t>in</w:t>
      </w:r>
      <w:r>
        <w:rPr>
          <w:spacing w:val="16"/>
          <w:vertAlign w:val="baseline"/>
        </w:rPr>
        <w:t> </w:t>
      </w:r>
      <w:r>
        <w:rPr>
          <w:vertAlign w:val="baseline"/>
        </w:rPr>
        <w:t>fixing</w:t>
      </w:r>
      <w:r>
        <w:rPr>
          <w:spacing w:val="16"/>
          <w:vertAlign w:val="baseline"/>
        </w:rPr>
        <w:t> </w:t>
      </w:r>
      <w:r>
        <w:rPr>
          <w:vertAlign w:val="baseline"/>
        </w:rPr>
        <w:t>a</w:t>
      </w:r>
      <w:r>
        <w:rPr>
          <w:spacing w:val="16"/>
          <w:vertAlign w:val="baseline"/>
        </w:rPr>
        <w:t> </w:t>
      </w:r>
      <w:r>
        <w:rPr>
          <w:vertAlign w:val="baseline"/>
        </w:rPr>
        <w:t>sum</w:t>
      </w:r>
      <w:r>
        <w:rPr>
          <w:spacing w:val="16"/>
          <w:vertAlign w:val="baseline"/>
        </w:rPr>
        <w:t> </w:t>
      </w:r>
      <w:r>
        <w:rPr>
          <w:vertAlign w:val="baseline"/>
        </w:rPr>
        <w:t>is</w:t>
      </w:r>
      <w:r>
        <w:rPr>
          <w:spacing w:val="16"/>
          <w:vertAlign w:val="baseline"/>
        </w:rPr>
        <w:t> </w:t>
      </w:r>
      <w:r>
        <w:rPr>
          <w:vertAlign w:val="baseline"/>
        </w:rPr>
        <w:t>to</w:t>
      </w:r>
      <w:r>
        <w:rPr>
          <w:spacing w:val="16"/>
          <w:vertAlign w:val="baseline"/>
        </w:rPr>
        <w:t> </w:t>
      </w:r>
      <w:r>
        <w:rPr>
          <w:vertAlign w:val="baseline"/>
        </w:rPr>
        <w:t>facilitate</w:t>
      </w:r>
      <w:r>
        <w:rPr>
          <w:spacing w:val="16"/>
          <w:vertAlign w:val="baseline"/>
        </w:rPr>
        <w:t> </w:t>
      </w:r>
      <w:r>
        <w:rPr>
          <w:vertAlign w:val="baseline"/>
        </w:rPr>
        <w:t>recovery</w:t>
      </w:r>
      <w:r>
        <w:rPr>
          <w:spacing w:val="16"/>
          <w:vertAlign w:val="baseline"/>
        </w:rPr>
        <w:t> </w:t>
      </w:r>
      <w:r>
        <w:rPr>
          <w:vertAlign w:val="baseline"/>
        </w:rPr>
        <w:t>of</w:t>
      </w:r>
      <w:r>
        <w:rPr>
          <w:spacing w:val="16"/>
          <w:vertAlign w:val="baseline"/>
        </w:rPr>
        <w:t> </w:t>
      </w:r>
      <w:r>
        <w:rPr>
          <w:vertAlign w:val="baseline"/>
        </w:rPr>
        <w:t>damages</w:t>
      </w:r>
      <w:r>
        <w:rPr>
          <w:spacing w:val="16"/>
          <w:vertAlign w:val="baseline"/>
        </w:rPr>
        <w:t> </w:t>
      </w:r>
      <w:r>
        <w:rPr>
          <w:vertAlign w:val="baseline"/>
        </w:rPr>
        <w:t>without</w:t>
      </w:r>
      <w:r>
        <w:rPr>
          <w:spacing w:val="16"/>
          <w:vertAlign w:val="baseline"/>
        </w:rPr>
        <w:t> </w:t>
      </w:r>
      <w:r>
        <w:rPr>
          <w:vertAlign w:val="baseline"/>
        </w:rPr>
        <w:t>the</w:t>
      </w:r>
    </w:p>
    <w:p>
      <w:pPr>
        <w:pStyle w:val="BodyText"/>
        <w:tabs>
          <w:tab w:pos="4843" w:val="left" w:leader="none"/>
        </w:tabs>
        <w:spacing w:line="235" w:lineRule="auto" w:before="119"/>
        <w:ind w:left="23" w:right="25"/>
      </w:pPr>
      <w:r>
        <w:rPr/>
        <w:t>difficulty and expense of proving actual damage </w:t>
      </w:r>
      <w:r>
        <w:rPr>
          <w:color w:val="005DA1"/>
          <w:u w:val="single" w:color="005DA1"/>
          <w:vertAlign w:val="superscript"/>
        </w:rPr>
        <w:t>978</w:t>
      </w:r>
      <w:r>
        <w:rPr>
          <w:color w:val="005DA1"/>
          <w:vertAlign w:val="baseline"/>
        </w:rPr>
        <w:tab/>
      </w:r>
      <w:r>
        <w:rPr>
          <w:color w:val="005DA1"/>
          <w:position w:val="-2"/>
          <w:vertAlign w:val="baseline"/>
        </w:rPr>
        <w:drawing>
          <wp:inline distT="0" distB="0" distL="0" distR="0">
            <wp:extent cx="107988" cy="10798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 or to avoid the risk of under-</w:t>
      </w:r>
      <w:r>
        <w:rPr>
          <w:vertAlign w:val="baseline"/>
        </w:rPr>
        <w:t>compensation, </w:t>
      </w:r>
      <w:bookmarkStart w:name="_bookmark205" w:id="207"/>
      <w:bookmarkEnd w:id="207"/>
      <w:r>
        <w:rPr>
          <w:vertAlign w:val="baseline"/>
        </w:rPr>
        <w:t>where</w:t>
      </w:r>
      <w:r>
        <w:rPr>
          <w:spacing w:val="31"/>
          <w:vertAlign w:val="baseline"/>
        </w:rPr>
        <w:t> </w:t>
      </w:r>
      <w:r>
        <w:rPr>
          <w:vertAlign w:val="baseline"/>
        </w:rPr>
        <w:t>the</w:t>
      </w:r>
      <w:r>
        <w:rPr>
          <w:spacing w:val="31"/>
          <w:vertAlign w:val="baseline"/>
        </w:rPr>
        <w:t> </w:t>
      </w:r>
      <w:r>
        <w:rPr>
          <w:vertAlign w:val="baseline"/>
        </w:rPr>
        <w:t>rules</w:t>
      </w:r>
      <w:r>
        <w:rPr>
          <w:spacing w:val="31"/>
          <w:vertAlign w:val="baseline"/>
        </w:rPr>
        <w:t> </w:t>
      </w:r>
      <w:r>
        <w:rPr>
          <w:vertAlign w:val="baseline"/>
        </w:rPr>
        <w:t>on</w:t>
      </w:r>
      <w:r>
        <w:rPr>
          <w:spacing w:val="31"/>
          <w:vertAlign w:val="baseline"/>
        </w:rPr>
        <w:t> </w:t>
      </w:r>
      <w:r>
        <w:rPr>
          <w:vertAlign w:val="baseline"/>
        </w:rPr>
        <w:t>remoteness</w:t>
      </w:r>
      <w:r>
        <w:rPr>
          <w:spacing w:val="31"/>
          <w:vertAlign w:val="baseline"/>
        </w:rPr>
        <w:t> </w:t>
      </w:r>
      <w:r>
        <w:rPr>
          <w:vertAlign w:val="baseline"/>
        </w:rPr>
        <w:t>of</w:t>
      </w:r>
      <w:r>
        <w:rPr>
          <w:spacing w:val="31"/>
          <w:vertAlign w:val="baseline"/>
        </w:rPr>
        <w:t> </w:t>
      </w:r>
      <w:r>
        <w:rPr>
          <w:vertAlign w:val="baseline"/>
        </w:rPr>
        <w:t>damage</w:t>
      </w:r>
      <w:r>
        <w:rPr>
          <w:spacing w:val="31"/>
          <w:vertAlign w:val="baseline"/>
        </w:rPr>
        <w:t> </w:t>
      </w:r>
      <w:r>
        <w:rPr>
          <w:vertAlign w:val="baseline"/>
        </w:rPr>
        <w:t>might</w:t>
      </w:r>
      <w:r>
        <w:rPr>
          <w:spacing w:val="31"/>
          <w:vertAlign w:val="baseline"/>
        </w:rPr>
        <w:t> </w:t>
      </w:r>
      <w:r>
        <w:rPr>
          <w:vertAlign w:val="baseline"/>
        </w:rPr>
        <w:t>not</w:t>
      </w:r>
      <w:r>
        <w:rPr>
          <w:spacing w:val="31"/>
          <w:vertAlign w:val="baseline"/>
        </w:rPr>
        <w:t> </w:t>
      </w:r>
      <w:r>
        <w:rPr>
          <w:vertAlign w:val="baseline"/>
        </w:rPr>
        <w:t>cover</w:t>
      </w:r>
      <w:r>
        <w:rPr>
          <w:spacing w:val="31"/>
          <w:vertAlign w:val="baseline"/>
        </w:rPr>
        <w:t> </w:t>
      </w:r>
      <w:r>
        <w:rPr>
          <w:vertAlign w:val="baseline"/>
        </w:rPr>
        <w:t>consequential,</w:t>
      </w:r>
      <w:r>
        <w:rPr>
          <w:spacing w:val="31"/>
          <w:vertAlign w:val="baseline"/>
        </w:rPr>
        <w:t> </w:t>
      </w:r>
      <w:r>
        <w:rPr>
          <w:vertAlign w:val="baseline"/>
        </w:rPr>
        <w:t>indirect</w:t>
      </w:r>
      <w:r>
        <w:rPr>
          <w:spacing w:val="31"/>
          <w:vertAlign w:val="baseline"/>
        </w:rPr>
        <w:t> </w:t>
      </w:r>
      <w:r>
        <w:rPr>
          <w:vertAlign w:val="baseline"/>
        </w:rPr>
        <w:t>or</w:t>
      </w:r>
      <w:r>
        <w:rPr>
          <w:spacing w:val="31"/>
          <w:vertAlign w:val="baseline"/>
        </w:rPr>
        <w:t> </w:t>
      </w:r>
      <w:r>
        <w:rPr>
          <w:spacing w:val="-2"/>
          <w:vertAlign w:val="baseline"/>
        </w:rPr>
        <w:t>idiosyncratic</w:t>
      </w:r>
    </w:p>
    <w:p>
      <w:pPr>
        <w:pStyle w:val="BodyText"/>
        <w:tabs>
          <w:tab w:pos="912" w:val="left" w:leader="none"/>
        </w:tabs>
        <w:spacing w:before="116"/>
        <w:ind w:left="23"/>
      </w:pPr>
      <w:bookmarkStart w:name="_bookmark206" w:id="208"/>
      <w:bookmarkEnd w:id="208"/>
      <w:r>
        <w:rPr/>
      </w:r>
      <w:r>
        <w:rPr/>
        <w:t>loss</w:t>
      </w:r>
      <w:r>
        <w:rPr>
          <w:spacing w:val="27"/>
        </w:rPr>
        <w:t> </w:t>
      </w:r>
      <w:r>
        <w:rPr>
          <w:color w:val="005DA1"/>
          <w:spacing w:val="-5"/>
          <w:u w:val="single" w:color="005DA1"/>
          <w:vertAlign w:val="superscript"/>
        </w:rPr>
        <w:t>979</w:t>
      </w:r>
      <w:r>
        <w:rPr>
          <w:color w:val="005DA1"/>
          <w:vertAlign w:val="baseline"/>
        </w:rPr>
        <w:tab/>
      </w:r>
      <w:r>
        <w:rPr>
          <w:color w:val="005DA1"/>
          <w:position w:val="-2"/>
          <w:vertAlign w:val="baseline"/>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27"/>
          <w:vertAlign w:val="baseline"/>
        </w:rPr>
        <w:t> </w:t>
      </w:r>
      <w:r>
        <w:rPr>
          <w:vertAlign w:val="baseline"/>
        </w:rPr>
        <w:t>or</w:t>
      </w:r>
      <w:r>
        <w:rPr>
          <w:spacing w:val="27"/>
          <w:vertAlign w:val="baseline"/>
        </w:rPr>
        <w:t> </w:t>
      </w:r>
      <w:r>
        <w:rPr>
          <w:vertAlign w:val="baseline"/>
        </w:rPr>
        <w:t>to</w:t>
      </w:r>
      <w:r>
        <w:rPr>
          <w:spacing w:val="27"/>
          <w:vertAlign w:val="baseline"/>
        </w:rPr>
        <w:t> </w:t>
      </w:r>
      <w:r>
        <w:rPr>
          <w:vertAlign w:val="baseline"/>
        </w:rPr>
        <w:t>give</w:t>
      </w:r>
      <w:r>
        <w:rPr>
          <w:spacing w:val="27"/>
          <w:vertAlign w:val="baseline"/>
        </w:rPr>
        <w:t> </w:t>
      </w:r>
      <w:r>
        <w:rPr>
          <w:vertAlign w:val="baseline"/>
        </w:rPr>
        <w:t>the</w:t>
      </w:r>
      <w:r>
        <w:rPr>
          <w:spacing w:val="27"/>
          <w:vertAlign w:val="baseline"/>
        </w:rPr>
        <w:t> </w:t>
      </w:r>
      <w:r>
        <w:rPr>
          <w:vertAlign w:val="baseline"/>
        </w:rPr>
        <w:t>promisee</w:t>
      </w:r>
      <w:r>
        <w:rPr>
          <w:spacing w:val="27"/>
          <w:vertAlign w:val="baseline"/>
        </w:rPr>
        <w:t> </w:t>
      </w:r>
      <w:r>
        <w:rPr>
          <w:vertAlign w:val="baseline"/>
        </w:rPr>
        <w:t>an</w:t>
      </w:r>
      <w:r>
        <w:rPr>
          <w:spacing w:val="27"/>
          <w:vertAlign w:val="baseline"/>
        </w:rPr>
        <w:t> </w:t>
      </w:r>
      <w:r>
        <w:rPr>
          <w:vertAlign w:val="baseline"/>
        </w:rPr>
        <w:t>assurance</w:t>
      </w:r>
      <w:r>
        <w:rPr>
          <w:spacing w:val="27"/>
          <w:vertAlign w:val="baseline"/>
        </w:rPr>
        <w:t> </w:t>
      </w:r>
      <w:r>
        <w:rPr>
          <w:vertAlign w:val="baseline"/>
        </w:rPr>
        <w:t>that</w:t>
      </w:r>
      <w:r>
        <w:rPr>
          <w:spacing w:val="27"/>
          <w:vertAlign w:val="baseline"/>
        </w:rPr>
        <w:t> </w:t>
      </w:r>
      <w:r>
        <w:rPr>
          <w:vertAlign w:val="baseline"/>
        </w:rPr>
        <w:t>he</w:t>
      </w:r>
      <w:r>
        <w:rPr>
          <w:spacing w:val="27"/>
          <w:vertAlign w:val="baseline"/>
        </w:rPr>
        <w:t> </w:t>
      </w:r>
      <w:r>
        <w:rPr>
          <w:vertAlign w:val="baseline"/>
        </w:rPr>
        <w:t>may</w:t>
      </w:r>
      <w:r>
        <w:rPr>
          <w:spacing w:val="27"/>
          <w:vertAlign w:val="baseline"/>
        </w:rPr>
        <w:t> </w:t>
      </w:r>
      <w:r>
        <w:rPr>
          <w:vertAlign w:val="baseline"/>
        </w:rPr>
        <w:t>safely</w:t>
      </w:r>
      <w:r>
        <w:rPr>
          <w:spacing w:val="27"/>
          <w:vertAlign w:val="baseline"/>
        </w:rPr>
        <w:t> </w:t>
      </w:r>
      <w:r>
        <w:rPr>
          <w:vertAlign w:val="baseline"/>
        </w:rPr>
        <w:t>rely</w:t>
      </w:r>
      <w:r>
        <w:rPr>
          <w:spacing w:val="27"/>
          <w:vertAlign w:val="baseline"/>
        </w:rPr>
        <w:t> </w:t>
      </w:r>
      <w:r>
        <w:rPr>
          <w:vertAlign w:val="baseline"/>
        </w:rPr>
        <w:t>on</w:t>
      </w:r>
      <w:r>
        <w:rPr>
          <w:spacing w:val="27"/>
          <w:vertAlign w:val="baseline"/>
        </w:rPr>
        <w:t> </w:t>
      </w:r>
      <w:r>
        <w:rPr>
          <w:vertAlign w:val="baseline"/>
        </w:rPr>
        <w:t>the</w:t>
      </w:r>
      <w:r>
        <w:rPr>
          <w:spacing w:val="27"/>
          <w:vertAlign w:val="baseline"/>
        </w:rPr>
        <w:t> </w:t>
      </w:r>
      <w:r>
        <w:rPr>
          <w:vertAlign w:val="baseline"/>
        </w:rPr>
        <w:t>fulfilment</w:t>
      </w:r>
      <w:r>
        <w:rPr>
          <w:spacing w:val="27"/>
          <w:vertAlign w:val="baseline"/>
        </w:rPr>
        <w:t> </w:t>
      </w:r>
      <w:r>
        <w:rPr>
          <w:vertAlign w:val="baseline"/>
        </w:rPr>
        <w:t>of</w:t>
      </w:r>
      <w:r>
        <w:rPr>
          <w:spacing w:val="27"/>
          <w:vertAlign w:val="baseline"/>
        </w:rPr>
        <w:t> </w:t>
      </w:r>
      <w:r>
        <w:rPr>
          <w:spacing w:val="-5"/>
          <w:vertAlign w:val="baseline"/>
        </w:rPr>
        <w:t>the</w:t>
      </w:r>
    </w:p>
    <w:p>
      <w:pPr>
        <w:pStyle w:val="BodyText"/>
        <w:spacing w:before="8"/>
      </w:pPr>
    </w:p>
    <w:p>
      <w:pPr>
        <w:pStyle w:val="BodyText"/>
        <w:spacing w:line="235" w:lineRule="auto" w:before="1"/>
        <w:ind w:left="23" w:right="25"/>
      </w:pPr>
      <w:bookmarkStart w:name="_bookmark207" w:id="209"/>
      <w:bookmarkEnd w:id="209"/>
      <w:r>
        <w:rPr/>
      </w:r>
      <w:r>
        <w:rPr/>
        <w:t>promise </w:t>
      </w:r>
      <w:r>
        <w:rPr>
          <w:color w:val="005DA1"/>
          <w:u w:val="single" w:color="005DA1"/>
          <w:vertAlign w:val="superscript"/>
        </w:rPr>
        <w:t>980</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vertAlign w:val="baseline"/>
        </w:rPr>
        <w:t>; or to deter a party from breaching the contract. </w:t>
      </w:r>
      <w:r>
        <w:rPr>
          <w:color w:val="005DA1"/>
          <w:u w:val="single" w:color="005DA1"/>
          <w:vertAlign w:val="superscript"/>
        </w:rPr>
        <w:t>981</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13"/>
          <w:vertAlign w:val="baseline"/>
        </w:rPr>
        <w:t> </w:t>
      </w:r>
      <w:r>
        <w:rPr>
          <w:vertAlign w:val="baseline"/>
        </w:rPr>
        <w:t>Often the parties to a contract </w:t>
      </w:r>
      <w:bookmarkStart w:name="_bookmark208" w:id="210"/>
      <w:bookmarkEnd w:id="210"/>
      <w:r>
        <w:rPr>
          <w:vertAlign w:val="baseline"/>
        </w:rPr>
        <w:t>fix</w:t>
      </w:r>
      <w:r>
        <w:rPr>
          <w:spacing w:val="3"/>
          <w:vertAlign w:val="baseline"/>
        </w:rPr>
        <w:t> </w:t>
      </w:r>
      <w:r>
        <w:rPr>
          <w:vertAlign w:val="baseline"/>
        </w:rPr>
        <w:t>a</w:t>
      </w:r>
      <w:r>
        <w:rPr>
          <w:spacing w:val="3"/>
          <w:vertAlign w:val="baseline"/>
        </w:rPr>
        <w:t> </w:t>
      </w:r>
      <w:r>
        <w:rPr>
          <w:vertAlign w:val="baseline"/>
        </w:rPr>
        <w:t>sum</w:t>
      </w:r>
      <w:r>
        <w:rPr>
          <w:spacing w:val="3"/>
          <w:vertAlign w:val="baseline"/>
        </w:rPr>
        <w:t> </w:t>
      </w:r>
      <w:r>
        <w:rPr>
          <w:vertAlign w:val="baseline"/>
        </w:rPr>
        <w:t>as</w:t>
      </w:r>
      <w:r>
        <w:rPr>
          <w:spacing w:val="3"/>
          <w:vertAlign w:val="baseline"/>
        </w:rPr>
        <w:t> </w:t>
      </w:r>
      <w:r>
        <w:rPr>
          <w:vertAlign w:val="baseline"/>
        </w:rPr>
        <w:t>liquidated</w:t>
      </w:r>
      <w:r>
        <w:rPr>
          <w:spacing w:val="3"/>
          <w:vertAlign w:val="baseline"/>
        </w:rPr>
        <w:t> </w:t>
      </w:r>
      <w:r>
        <w:rPr>
          <w:vertAlign w:val="baseline"/>
        </w:rPr>
        <w:t>damages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event</w:t>
      </w:r>
      <w:r>
        <w:rPr>
          <w:spacing w:val="3"/>
          <w:vertAlign w:val="baseline"/>
        </w:rPr>
        <w:t> </w:t>
      </w:r>
      <w:r>
        <w:rPr>
          <w:vertAlign w:val="baseline"/>
        </w:rPr>
        <w:t>of</w:t>
      </w:r>
      <w:r>
        <w:rPr>
          <w:spacing w:val="3"/>
          <w:vertAlign w:val="baseline"/>
        </w:rPr>
        <w:t> </w:t>
      </w:r>
      <w:r>
        <w:rPr>
          <w:vertAlign w:val="baseline"/>
        </w:rPr>
        <w:t>one</w:t>
      </w:r>
      <w:r>
        <w:rPr>
          <w:spacing w:val="3"/>
          <w:vertAlign w:val="baseline"/>
        </w:rPr>
        <w:t> </w:t>
      </w:r>
      <w:r>
        <w:rPr>
          <w:vertAlign w:val="baseline"/>
        </w:rPr>
        <w:t>specific</w:t>
      </w:r>
      <w:r>
        <w:rPr>
          <w:spacing w:val="3"/>
          <w:vertAlign w:val="baseline"/>
        </w:rPr>
        <w:t> </w:t>
      </w:r>
      <w:r>
        <w:rPr>
          <w:vertAlign w:val="baseline"/>
        </w:rPr>
        <w:t>breach,</w:t>
      </w:r>
      <w:r>
        <w:rPr>
          <w:spacing w:val="3"/>
          <w:vertAlign w:val="baseline"/>
        </w:rPr>
        <w:t> </w:t>
      </w:r>
      <w:r>
        <w:rPr>
          <w:vertAlign w:val="baseline"/>
        </w:rPr>
        <w:t>and</w:t>
      </w:r>
      <w:r>
        <w:rPr>
          <w:spacing w:val="3"/>
          <w:vertAlign w:val="baseline"/>
        </w:rPr>
        <w:t> </w:t>
      </w:r>
      <w:r>
        <w:rPr>
          <w:vertAlign w:val="baseline"/>
        </w:rPr>
        <w:t>leave</w:t>
      </w:r>
      <w:r>
        <w:rPr>
          <w:spacing w:val="3"/>
          <w:vertAlign w:val="baseline"/>
        </w:rPr>
        <w:t> </w:t>
      </w:r>
      <w:r>
        <w:rPr>
          <w:vertAlign w:val="baseline"/>
        </w:rPr>
        <w:t>the</w:t>
      </w:r>
      <w:r>
        <w:rPr>
          <w:spacing w:val="3"/>
          <w:vertAlign w:val="baseline"/>
        </w:rPr>
        <w:t> </w:t>
      </w:r>
      <w:r>
        <w:rPr>
          <w:vertAlign w:val="baseline"/>
        </w:rPr>
        <w:t>claimant</w:t>
      </w:r>
      <w:r>
        <w:rPr>
          <w:spacing w:val="3"/>
          <w:vertAlign w:val="baseline"/>
        </w:rPr>
        <w:t> </w:t>
      </w:r>
      <w:r>
        <w:rPr>
          <w:vertAlign w:val="baseline"/>
        </w:rPr>
        <w:t>to</w:t>
      </w:r>
      <w:r>
        <w:rPr>
          <w:spacing w:val="3"/>
          <w:vertAlign w:val="baseline"/>
        </w:rPr>
        <w:t> </w:t>
      </w:r>
      <w:r>
        <w:rPr>
          <w:vertAlign w:val="baseline"/>
        </w:rPr>
        <w:t>sue</w:t>
      </w:r>
      <w:r>
        <w:rPr>
          <w:spacing w:val="3"/>
          <w:vertAlign w:val="baseline"/>
        </w:rPr>
        <w:t> </w:t>
      </w:r>
      <w:r>
        <w:rPr>
          <w:spacing w:val="-5"/>
          <w:vertAlign w:val="baseline"/>
        </w:rPr>
        <w:t>for</w:t>
      </w:r>
    </w:p>
    <w:p>
      <w:pPr>
        <w:pStyle w:val="BodyText"/>
        <w:spacing w:before="115"/>
        <w:ind w:left="23"/>
        <w:rPr>
          <w:position w:val="-2"/>
        </w:rPr>
      </w:pPr>
      <w:r>
        <w:rPr/>
        <w:t>unliquidated damages in the ordinary way if other types of breach occur. </w:t>
      </w:r>
      <w:r>
        <w:rPr>
          <w:color w:val="005DA1"/>
          <w:u w:val="single" w:color="005DA1"/>
          <w:vertAlign w:val="superscript"/>
        </w:rPr>
        <w:t>982</w:t>
      </w:r>
      <w:r>
        <w:rPr>
          <w:color w:val="005DA1"/>
          <w:spacing w:val="80"/>
          <w:w w:val="150"/>
          <w:vertAlign w:val="baseline"/>
        </w:rPr>
        <w:t> </w:t>
      </w:r>
      <w:r>
        <w:rPr>
          <w:color w:val="005DA1"/>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hAnsi="Arial"/>
          <w:b/>
          <w:sz w:val="18"/>
        </w:rPr>
      </w:pPr>
      <w:r>
        <w:rPr>
          <w:rFonts w:ascii="Arial" w:hAnsi="Arial"/>
          <w:b/>
          <w:sz w:val="18"/>
        </w:rPr>
        <w:t>“Underliquidated </w:t>
      </w:r>
      <w:r>
        <w:rPr>
          <w:rFonts w:ascii="Arial" w:hAnsi="Arial"/>
          <w:b/>
          <w:spacing w:val="-2"/>
          <w:sz w:val="18"/>
        </w:rPr>
        <w:t>damages”</w:t>
      </w:r>
    </w:p>
    <w:p>
      <w:pPr>
        <w:pStyle w:val="BodyText"/>
        <w:spacing w:before="42"/>
        <w:rPr>
          <w:rFonts w:ascii="Arial"/>
          <w:b/>
          <w:sz w:val="18"/>
        </w:rPr>
      </w:pPr>
    </w:p>
    <w:p>
      <w:pPr>
        <w:pStyle w:val="Heading2"/>
      </w:pPr>
      <w:r>
        <w:rPr/>
        <w:t>26-</w:t>
      </w:r>
      <w:r>
        <w:rPr>
          <w:spacing w:val="-5"/>
        </w:rPr>
        <w:t>180</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practice, liquidated damages clauses frequently serve to limit one party’s liability. In other </w:t>
      </w:r>
      <w:r>
        <w:rPr/>
        <w:t>words, the parties may agree that in the event of breach, the party in breach will pay a sum which is </w:t>
      </w:r>
      <w:bookmarkStart w:name="_bookmark209" w:id="211"/>
      <w:bookmarkEnd w:id="211"/>
      <w:r>
        <w:rPr/>
        <w:t>demonstrably</w:t>
      </w:r>
      <w:r>
        <w:rPr/>
        <w:t> less than a pre-estimate of the likely loss. A clause of this type is sometimes called an “underliquidated</w:t>
      </w:r>
      <w:r>
        <w:rPr>
          <w:spacing w:val="3"/>
        </w:rPr>
        <w:t> </w:t>
      </w:r>
      <w:r>
        <w:rPr/>
        <w:t>damages</w:t>
      </w:r>
      <w:r>
        <w:rPr>
          <w:spacing w:val="3"/>
        </w:rPr>
        <w:t> </w:t>
      </w:r>
      <w:r>
        <w:rPr/>
        <w:t>clause”.</w:t>
      </w:r>
      <w:r>
        <w:rPr>
          <w:spacing w:val="3"/>
        </w:rPr>
        <w:t> </w:t>
      </w:r>
      <w:r>
        <w:rPr/>
        <w:t>This</w:t>
      </w:r>
      <w:r>
        <w:rPr>
          <w:spacing w:val="3"/>
        </w:rPr>
        <w:t> </w:t>
      </w:r>
      <w:r>
        <w:rPr/>
        <w:t>will</w:t>
      </w:r>
      <w:r>
        <w:rPr>
          <w:spacing w:val="3"/>
        </w:rPr>
        <w:t> </w:t>
      </w:r>
      <w:r>
        <w:rPr/>
        <w:t>not</w:t>
      </w:r>
      <w:r>
        <w:rPr>
          <w:spacing w:val="3"/>
        </w:rPr>
        <w:t> </w:t>
      </w:r>
      <w:r>
        <w:rPr/>
        <w:t>prevent</w:t>
      </w:r>
      <w:r>
        <w:rPr>
          <w:spacing w:val="3"/>
        </w:rPr>
        <w:t> </w:t>
      </w:r>
      <w:r>
        <w:rPr/>
        <w:t>it</w:t>
      </w:r>
      <w:r>
        <w:rPr>
          <w:spacing w:val="3"/>
        </w:rPr>
        <w:t> </w:t>
      </w:r>
      <w:r>
        <w:rPr/>
        <w:t>being</w:t>
      </w:r>
      <w:r>
        <w:rPr>
          <w:spacing w:val="3"/>
        </w:rPr>
        <w:t> </w:t>
      </w:r>
      <w:r>
        <w:rPr/>
        <w:t>a</w:t>
      </w:r>
      <w:r>
        <w:rPr>
          <w:spacing w:val="3"/>
        </w:rPr>
        <w:t> </w:t>
      </w:r>
      <w:r>
        <w:rPr/>
        <w:t>valid</w:t>
      </w:r>
      <w:r>
        <w:rPr>
          <w:spacing w:val="3"/>
        </w:rPr>
        <w:t> </w:t>
      </w:r>
      <w:r>
        <w:rPr/>
        <w:t>liquidated</w:t>
      </w:r>
      <w:r>
        <w:rPr>
          <w:spacing w:val="3"/>
        </w:rPr>
        <w:t> </w:t>
      </w:r>
      <w:r>
        <w:rPr/>
        <w:t>damages</w:t>
      </w:r>
      <w:r>
        <w:rPr>
          <w:spacing w:val="3"/>
        </w:rPr>
        <w:t> </w:t>
      </w:r>
      <w:r>
        <w:rPr/>
        <w:t>clause.</w:t>
      </w:r>
      <w:r>
        <w:rPr>
          <w:spacing w:val="2"/>
        </w:rPr>
        <w:t> </w:t>
      </w:r>
      <w:r>
        <w:rPr>
          <w:color w:val="005DA1"/>
          <w:spacing w:val="-5"/>
          <w:u w:val="single" w:color="005DA1"/>
          <w:vertAlign w:val="superscript"/>
        </w:rPr>
        <w:t>983</w:t>
      </w:r>
    </w:p>
    <w:p>
      <w:pPr>
        <w:pStyle w:val="BodyText"/>
        <w:spacing w:line="235" w:lineRule="auto" w:before="119"/>
        <w:ind w:left="23" w:right="25" w:firstLine="149"/>
        <w:jc w:val="right"/>
      </w:pPr>
      <w:r>
        <w:rPr>
          <w:position w:val="-2"/>
        </w:rPr>
        <w:drawing>
          <wp:inline distT="0" distB="0" distL="0" distR="0">
            <wp:extent cx="107988" cy="107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1"/>
        </w:rPr>
        <w:t> </w:t>
      </w:r>
      <w:r>
        <w:rPr/>
        <w:t>These</w:t>
      </w:r>
      <w:r>
        <w:rPr>
          <w:spacing w:val="16"/>
        </w:rPr>
        <w:t> </w:t>
      </w:r>
      <w:r>
        <w:rPr/>
        <w:t>clauses</w:t>
      </w:r>
      <w:r>
        <w:rPr>
          <w:spacing w:val="16"/>
        </w:rPr>
        <w:t> </w:t>
      </w:r>
      <w:r>
        <w:rPr/>
        <w:t>are</w:t>
      </w:r>
      <w:r>
        <w:rPr>
          <w:spacing w:val="16"/>
        </w:rPr>
        <w:t> </w:t>
      </w:r>
      <w:r>
        <w:rPr/>
        <w:t>often</w:t>
      </w:r>
      <w:r>
        <w:rPr>
          <w:spacing w:val="16"/>
        </w:rPr>
        <w:t> </w:t>
      </w:r>
      <w:r>
        <w:rPr/>
        <w:t>the</w:t>
      </w:r>
      <w:r>
        <w:rPr>
          <w:spacing w:val="16"/>
        </w:rPr>
        <w:t> </w:t>
      </w:r>
      <w:r>
        <w:rPr/>
        <w:t>basis</w:t>
      </w:r>
      <w:r>
        <w:rPr>
          <w:spacing w:val="16"/>
        </w:rPr>
        <w:t> </w:t>
      </w:r>
      <w:r>
        <w:rPr/>
        <w:t>of</w:t>
      </w:r>
      <w:r>
        <w:rPr>
          <w:spacing w:val="16"/>
        </w:rPr>
        <w:t> </w:t>
      </w:r>
      <w:r>
        <w:rPr/>
        <w:t>the</w:t>
      </w:r>
      <w:r>
        <w:rPr>
          <w:spacing w:val="16"/>
        </w:rPr>
        <w:t> </w:t>
      </w:r>
      <w:r>
        <w:rPr/>
        <w:t>insurance</w:t>
      </w:r>
      <w:r>
        <w:rPr>
          <w:spacing w:val="16"/>
        </w:rPr>
        <w:t> </w:t>
      </w:r>
      <w:r>
        <w:rPr/>
        <w:t>arrangements</w:t>
      </w:r>
      <w:r>
        <w:rPr>
          <w:spacing w:val="16"/>
        </w:rPr>
        <w:t> </w:t>
      </w:r>
      <w:r>
        <w:rPr/>
        <w:t>to</w:t>
      </w:r>
      <w:r>
        <w:rPr>
          <w:spacing w:val="16"/>
        </w:rPr>
        <w:t> </w:t>
      </w:r>
      <w:r>
        <w:rPr/>
        <w:t>be</w:t>
      </w:r>
      <w:r>
        <w:rPr>
          <w:spacing w:val="16"/>
        </w:rPr>
        <w:t> </w:t>
      </w:r>
      <w:r>
        <w:rPr/>
        <w:t>made</w:t>
      </w:r>
      <w:r>
        <w:rPr>
          <w:spacing w:val="16"/>
        </w:rPr>
        <w:t> </w:t>
      </w:r>
      <w:r>
        <w:rPr/>
        <w:t>by</w:t>
      </w:r>
      <w:r>
        <w:rPr>
          <w:spacing w:val="16"/>
        </w:rPr>
        <w:t> </w:t>
      </w:r>
      <w:r>
        <w:rPr/>
        <w:t>the</w:t>
      </w:r>
      <w:r>
        <w:rPr>
          <w:spacing w:val="16"/>
        </w:rPr>
        <w:t> </w:t>
      </w:r>
      <w:r>
        <w:rPr/>
        <w:t>parties.</w:t>
      </w:r>
      <w:r>
        <w:rPr>
          <w:spacing w:val="16"/>
        </w:rPr>
        <w:t> </w:t>
      </w:r>
      <w:r>
        <w:rPr/>
        <w:t>A </w:t>
      </w:r>
      <w:bookmarkStart w:name="_bookmark210" w:id="212"/>
      <w:bookmarkEnd w:id="212"/>
      <w:r>
        <w:rPr/>
        <w:t>clause</w:t>
      </w:r>
      <w:r>
        <w:rPr>
          <w:spacing w:val="14"/>
        </w:rPr>
        <w:t> </w:t>
      </w:r>
      <w:r>
        <w:rPr/>
        <w:t>of</w:t>
      </w:r>
      <w:r>
        <w:rPr>
          <w:spacing w:val="14"/>
        </w:rPr>
        <w:t> </w:t>
      </w:r>
      <w:r>
        <w:rPr/>
        <w:t>this</w:t>
      </w:r>
      <w:r>
        <w:rPr>
          <w:spacing w:val="14"/>
        </w:rPr>
        <w:t> </w:t>
      </w:r>
      <w:r>
        <w:rPr/>
        <w:t>type</w:t>
      </w:r>
      <w:r>
        <w:rPr>
          <w:spacing w:val="14"/>
        </w:rPr>
        <w:t> </w:t>
      </w:r>
      <w:r>
        <w:rPr/>
        <w:t>may</w:t>
      </w:r>
      <w:r>
        <w:rPr>
          <w:spacing w:val="14"/>
        </w:rPr>
        <w:t> </w:t>
      </w:r>
      <w:r>
        <w:rPr/>
        <w:t>operate</w:t>
      </w:r>
      <w:r>
        <w:rPr>
          <w:spacing w:val="14"/>
        </w:rPr>
        <w:t> </w:t>
      </w:r>
      <w:r>
        <w:rPr/>
        <w:t>as</w:t>
      </w:r>
      <w:r>
        <w:rPr>
          <w:spacing w:val="14"/>
        </w:rPr>
        <w:t> </w:t>
      </w:r>
      <w:r>
        <w:rPr/>
        <w:t>a</w:t>
      </w:r>
      <w:r>
        <w:rPr>
          <w:spacing w:val="14"/>
        </w:rPr>
        <w:t> </w:t>
      </w:r>
      <w:r>
        <w:rPr/>
        <w:t>limitation</w:t>
      </w:r>
      <w:r>
        <w:rPr>
          <w:spacing w:val="14"/>
        </w:rPr>
        <w:t> </w:t>
      </w:r>
      <w:r>
        <w:rPr/>
        <w:t>of</w:t>
      </w:r>
      <w:r>
        <w:rPr>
          <w:spacing w:val="14"/>
        </w:rPr>
        <w:t> </w:t>
      </w:r>
      <w:r>
        <w:rPr/>
        <w:t>the</w:t>
      </w:r>
      <w:r>
        <w:rPr>
          <w:spacing w:val="14"/>
        </w:rPr>
        <w:t> </w:t>
      </w:r>
      <w:r>
        <w:rPr/>
        <w:t>party’s</w:t>
      </w:r>
      <w:r>
        <w:rPr>
          <w:spacing w:val="14"/>
        </w:rPr>
        <w:t> </w:t>
      </w:r>
      <w:r>
        <w:rPr/>
        <w:t>liability.</w:t>
      </w:r>
      <w:r>
        <w:rPr>
          <w:spacing w:val="14"/>
        </w:rPr>
        <w:t> </w:t>
      </w:r>
      <w:r>
        <w:rPr/>
        <w:t>For</w:t>
      </w:r>
      <w:r>
        <w:rPr>
          <w:spacing w:val="14"/>
        </w:rPr>
        <w:t> </w:t>
      </w:r>
      <w:r>
        <w:rPr/>
        <w:t>that</w:t>
      </w:r>
      <w:r>
        <w:rPr>
          <w:spacing w:val="14"/>
        </w:rPr>
        <w:t> </w:t>
      </w:r>
      <w:r>
        <w:rPr/>
        <w:t>reason</w:t>
      </w:r>
      <w:r>
        <w:rPr>
          <w:spacing w:val="14"/>
        </w:rPr>
        <w:t> </w:t>
      </w:r>
      <w:r>
        <w:rPr/>
        <w:t>it</w:t>
      </w:r>
      <w:r>
        <w:rPr>
          <w:spacing w:val="14"/>
        </w:rPr>
        <w:t> </w:t>
      </w:r>
      <w:r>
        <w:rPr/>
        <w:t>is</w:t>
      </w:r>
      <w:r>
        <w:rPr>
          <w:spacing w:val="14"/>
        </w:rPr>
        <w:t> </w:t>
      </w:r>
      <w:r>
        <w:rPr/>
        <w:t>likely</w:t>
      </w:r>
      <w:r>
        <w:rPr>
          <w:spacing w:val="14"/>
        </w:rPr>
        <w:t> </w:t>
      </w:r>
      <w:r>
        <w:rPr/>
        <w:t>to</w:t>
      </w:r>
      <w:r>
        <w:rPr>
          <w:spacing w:val="14"/>
        </w:rPr>
        <w:t> </w:t>
      </w:r>
      <w:r>
        <w:rPr>
          <w:spacing w:val="-5"/>
        </w:rPr>
        <w:t>be</w:t>
      </w:r>
    </w:p>
    <w:p>
      <w:pPr>
        <w:pStyle w:val="BodyText"/>
        <w:spacing w:before="115"/>
        <w:ind w:left="23"/>
        <w:jc w:val="both"/>
      </w:pPr>
      <w:bookmarkStart w:name="_bookmark211" w:id="213"/>
      <w:bookmarkEnd w:id="213"/>
      <w:r>
        <w:rPr/>
      </w:r>
      <w:r>
        <w:rPr/>
        <w:t>construed</w:t>
      </w:r>
      <w:r>
        <w:rPr>
          <w:spacing w:val="71"/>
        </w:rPr>
        <w:t> </w:t>
      </w:r>
      <w:r>
        <w:rPr/>
        <w:t>in</w:t>
      </w:r>
      <w:r>
        <w:rPr>
          <w:spacing w:val="71"/>
        </w:rPr>
        <w:t> </w:t>
      </w:r>
      <w:r>
        <w:rPr/>
        <w:t>the</w:t>
      </w:r>
      <w:r>
        <w:rPr>
          <w:spacing w:val="71"/>
        </w:rPr>
        <w:t> </w:t>
      </w:r>
      <w:r>
        <w:rPr/>
        <w:t>same</w:t>
      </w:r>
      <w:r>
        <w:rPr>
          <w:spacing w:val="71"/>
        </w:rPr>
        <w:t> </w:t>
      </w:r>
      <w:r>
        <w:rPr/>
        <w:t>way</w:t>
      </w:r>
      <w:r>
        <w:rPr>
          <w:spacing w:val="71"/>
        </w:rPr>
        <w:t> </w:t>
      </w:r>
      <w:r>
        <w:rPr/>
        <w:t>as</w:t>
      </w:r>
      <w:r>
        <w:rPr>
          <w:spacing w:val="71"/>
        </w:rPr>
        <w:t> </w:t>
      </w:r>
      <w:r>
        <w:rPr/>
        <w:t>other</w:t>
      </w:r>
      <w:r>
        <w:rPr>
          <w:spacing w:val="71"/>
        </w:rPr>
        <w:t> </w:t>
      </w:r>
      <w:r>
        <w:rPr/>
        <w:t>clauses</w:t>
      </w:r>
      <w:r>
        <w:rPr>
          <w:spacing w:val="71"/>
        </w:rPr>
        <w:t> </w:t>
      </w:r>
      <w:r>
        <w:rPr/>
        <w:t>limiting</w:t>
      </w:r>
      <w:r>
        <w:rPr>
          <w:spacing w:val="71"/>
        </w:rPr>
        <w:t> </w:t>
      </w:r>
      <w:r>
        <w:rPr/>
        <w:t>liability.</w:t>
      </w:r>
      <w:r>
        <w:rPr>
          <w:spacing w:val="70"/>
        </w:rPr>
        <w:t> </w:t>
      </w:r>
      <w:r>
        <w:rPr>
          <w:color w:val="005DA1"/>
          <w:u w:val="single" w:color="005DA1"/>
          <w:vertAlign w:val="superscript"/>
        </w:rPr>
        <w:t>984</w:t>
      </w:r>
      <w:r>
        <w:rPr>
          <w:color w:val="005DA1"/>
          <w:spacing w:val="72"/>
          <w:vertAlign w:val="baseline"/>
        </w:rPr>
        <w:t>   </w:t>
      </w:r>
      <w:r>
        <w:rPr>
          <w:color w:val="005DA1"/>
          <w:spacing w:val="-3"/>
          <w:position w:val="-2"/>
          <w:vertAlign w:val="baseline"/>
        </w:rPr>
        <w:drawing>
          <wp:inline distT="0" distB="0" distL="0" distR="0">
            <wp:extent cx="107988" cy="10798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55"/>
          <w:w w:val="150"/>
          <w:vertAlign w:val="baseline"/>
        </w:rPr>
        <w:t> </w:t>
      </w:r>
      <w:r>
        <w:rPr>
          <w:vertAlign w:val="baseline"/>
        </w:rPr>
        <w:t>It</w:t>
      </w:r>
      <w:r>
        <w:rPr>
          <w:spacing w:val="71"/>
          <w:vertAlign w:val="baseline"/>
        </w:rPr>
        <w:t> </w:t>
      </w:r>
      <w:r>
        <w:rPr>
          <w:vertAlign w:val="baseline"/>
        </w:rPr>
        <w:t>is</w:t>
      </w:r>
      <w:r>
        <w:rPr>
          <w:spacing w:val="71"/>
          <w:vertAlign w:val="baseline"/>
        </w:rPr>
        <w:t> </w:t>
      </w:r>
      <w:r>
        <w:rPr>
          <w:vertAlign w:val="baseline"/>
        </w:rPr>
        <w:t>possible</w:t>
      </w:r>
      <w:r>
        <w:rPr>
          <w:spacing w:val="71"/>
          <w:vertAlign w:val="baseline"/>
        </w:rPr>
        <w:t> </w:t>
      </w:r>
      <w:r>
        <w:rPr>
          <w:vertAlign w:val="baseline"/>
        </w:rPr>
        <w:t>that</w:t>
      </w:r>
      <w:r>
        <w:rPr>
          <w:spacing w:val="71"/>
          <w:vertAlign w:val="baseline"/>
        </w:rPr>
        <w:t> </w:t>
      </w:r>
      <w:r>
        <w:rPr>
          <w:spacing w:val="-5"/>
          <w:vertAlign w:val="baseline"/>
        </w:rPr>
        <w:t>an</w:t>
      </w:r>
    </w:p>
    <w:p>
      <w:pPr>
        <w:pStyle w:val="BodyText"/>
        <w:spacing w:line="235" w:lineRule="auto" w:before="119"/>
        <w:ind w:left="16" w:right="25"/>
        <w:jc w:val="right"/>
      </w:pPr>
      <w:r>
        <w:rPr/>
        <w:t>underliquidated damages clause is not caught by the Unfair Contract Terms Act 1977 </w:t>
      </w:r>
      <w:r>
        <w:rPr>
          <w:color w:val="005DA1"/>
          <w:u w:val="single" w:color="005DA1"/>
          <w:vertAlign w:val="superscript"/>
        </w:rPr>
        <w:t>985</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5"/>
          <w:vertAlign w:val="baseline"/>
        </w:rPr>
        <w:t> </w:t>
      </w:r>
      <w:r>
        <w:rPr>
          <w:vertAlign w:val="baseline"/>
        </w:rPr>
        <w:t>because </w:t>
      </w:r>
      <w:bookmarkStart w:name="_bookmark212" w:id="214"/>
      <w:bookmarkEnd w:id="214"/>
      <w:r>
        <w:rPr>
          <w:vertAlign w:val="baseline"/>
        </w:rPr>
        <w:t>it</w:t>
      </w:r>
      <w:r>
        <w:rPr>
          <w:spacing w:val="25"/>
          <w:vertAlign w:val="baseline"/>
        </w:rPr>
        <w:t> </w:t>
      </w:r>
      <w:r>
        <w:rPr>
          <w:vertAlign w:val="baseline"/>
        </w:rPr>
        <w:t>does</w:t>
      </w:r>
      <w:r>
        <w:rPr>
          <w:spacing w:val="25"/>
          <w:vertAlign w:val="baseline"/>
        </w:rPr>
        <w:t> </w:t>
      </w:r>
      <w:r>
        <w:rPr>
          <w:vertAlign w:val="baseline"/>
        </w:rPr>
        <w:t>not</w:t>
      </w:r>
      <w:r>
        <w:rPr>
          <w:spacing w:val="25"/>
          <w:vertAlign w:val="baseline"/>
        </w:rPr>
        <w:t> </w:t>
      </w:r>
      <w:r>
        <w:rPr>
          <w:vertAlign w:val="baseline"/>
        </w:rPr>
        <w:t>merely</w:t>
      </w:r>
      <w:r>
        <w:rPr>
          <w:spacing w:val="25"/>
          <w:vertAlign w:val="baseline"/>
        </w:rPr>
        <w:t> </w:t>
      </w:r>
      <w:r>
        <w:rPr>
          <w:vertAlign w:val="baseline"/>
        </w:rPr>
        <w:t>exclude</w:t>
      </w:r>
      <w:r>
        <w:rPr>
          <w:spacing w:val="25"/>
          <w:vertAlign w:val="baseline"/>
        </w:rPr>
        <w:t> </w:t>
      </w:r>
      <w:r>
        <w:rPr>
          <w:vertAlign w:val="baseline"/>
        </w:rPr>
        <w:t>or</w:t>
      </w:r>
      <w:r>
        <w:rPr>
          <w:spacing w:val="25"/>
          <w:vertAlign w:val="baseline"/>
        </w:rPr>
        <w:t> </w:t>
      </w:r>
      <w:r>
        <w:rPr>
          <w:vertAlign w:val="baseline"/>
        </w:rPr>
        <w:t>restrict</w:t>
      </w:r>
      <w:r>
        <w:rPr>
          <w:spacing w:val="25"/>
          <w:vertAlign w:val="baseline"/>
        </w:rPr>
        <w:t> </w:t>
      </w:r>
      <w:r>
        <w:rPr>
          <w:vertAlign w:val="baseline"/>
        </w:rPr>
        <w:t>one</w:t>
      </w:r>
      <w:r>
        <w:rPr>
          <w:spacing w:val="25"/>
          <w:vertAlign w:val="baseline"/>
        </w:rPr>
        <w:t> </w:t>
      </w:r>
      <w:r>
        <w:rPr>
          <w:vertAlign w:val="baseline"/>
        </w:rPr>
        <w:t>party’s</w:t>
      </w:r>
      <w:r>
        <w:rPr>
          <w:spacing w:val="25"/>
          <w:vertAlign w:val="baseline"/>
        </w:rPr>
        <w:t> </w:t>
      </w:r>
      <w:r>
        <w:rPr>
          <w:vertAlign w:val="baseline"/>
        </w:rPr>
        <w:t>liability:</w:t>
      </w:r>
      <w:r>
        <w:rPr>
          <w:spacing w:val="25"/>
          <w:vertAlign w:val="baseline"/>
        </w:rPr>
        <w:t> </w:t>
      </w:r>
      <w:r>
        <w:rPr>
          <w:vertAlign w:val="baseline"/>
        </w:rPr>
        <w:t>the</w:t>
      </w:r>
      <w:r>
        <w:rPr>
          <w:spacing w:val="25"/>
          <w:vertAlign w:val="baseline"/>
        </w:rPr>
        <w:t> </w:t>
      </w:r>
      <w:r>
        <w:rPr>
          <w:vertAlign w:val="baseline"/>
        </w:rPr>
        <w:t>same</w:t>
      </w:r>
      <w:r>
        <w:rPr>
          <w:spacing w:val="25"/>
          <w:vertAlign w:val="baseline"/>
        </w:rPr>
        <w:t> </w:t>
      </w:r>
      <w:r>
        <w:rPr>
          <w:vertAlign w:val="baseline"/>
        </w:rPr>
        <w:t>amount</w:t>
      </w:r>
      <w:r>
        <w:rPr>
          <w:spacing w:val="25"/>
          <w:vertAlign w:val="baseline"/>
        </w:rPr>
        <w:t> </w:t>
      </w:r>
      <w:r>
        <w:rPr>
          <w:vertAlign w:val="baseline"/>
        </w:rPr>
        <w:t>is</w:t>
      </w:r>
      <w:r>
        <w:rPr>
          <w:spacing w:val="25"/>
          <w:vertAlign w:val="baseline"/>
        </w:rPr>
        <w:t> </w:t>
      </w:r>
      <w:r>
        <w:rPr>
          <w:vertAlign w:val="baseline"/>
        </w:rPr>
        <w:t>payable</w:t>
      </w:r>
      <w:r>
        <w:rPr>
          <w:spacing w:val="25"/>
          <w:vertAlign w:val="baseline"/>
        </w:rPr>
        <w:t> </w:t>
      </w:r>
      <w:r>
        <w:rPr>
          <w:vertAlign w:val="baseline"/>
        </w:rPr>
        <w:t>whether</w:t>
      </w:r>
      <w:r>
        <w:rPr>
          <w:spacing w:val="25"/>
          <w:vertAlign w:val="baseline"/>
        </w:rPr>
        <w:t> </w:t>
      </w:r>
      <w:r>
        <w:rPr>
          <w:spacing w:val="-5"/>
          <w:vertAlign w:val="baseline"/>
        </w:rPr>
        <w:t>the</w:t>
      </w:r>
    </w:p>
    <w:p>
      <w:pPr>
        <w:pStyle w:val="BodyText"/>
        <w:spacing w:line="235" w:lineRule="auto" w:before="119"/>
        <w:ind w:left="23" w:right="25"/>
        <w:jc w:val="both"/>
      </w:pPr>
      <w:r>
        <w:rPr/>
        <w:t>actual loss is greater or less. </w:t>
      </w:r>
      <w:r>
        <w:rPr>
          <w:color w:val="005DA1"/>
          <w:u w:val="single" w:color="005DA1"/>
          <w:vertAlign w:val="superscript"/>
        </w:rPr>
        <w:t>986</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1"/>
          <w:vertAlign w:val="baseline"/>
        </w:rPr>
        <w:t> </w:t>
      </w:r>
      <w:r>
        <w:rPr>
          <w:vertAlign w:val="baseline"/>
        </w:rPr>
        <w:t>However, were such a clause to occur in a consumer contract, it </w:t>
      </w:r>
      <w:bookmarkStart w:name="_bookmark213" w:id="215"/>
      <w:bookmarkEnd w:id="215"/>
      <w:r>
        <w:rPr>
          <w:vertAlign w:val="baseline"/>
        </w:rPr>
        <w:t>would</w:t>
      </w:r>
      <w:r>
        <w:rPr>
          <w:spacing w:val="24"/>
          <w:vertAlign w:val="baseline"/>
        </w:rPr>
        <w:t> </w:t>
      </w:r>
      <w:r>
        <w:rPr>
          <w:vertAlign w:val="baseline"/>
        </w:rPr>
        <w:t>seem</w:t>
      </w:r>
      <w:r>
        <w:rPr>
          <w:spacing w:val="24"/>
          <w:vertAlign w:val="baseline"/>
        </w:rPr>
        <w:t> </w:t>
      </w:r>
      <w:r>
        <w:rPr>
          <w:vertAlign w:val="baseline"/>
        </w:rPr>
        <w:t>to</w:t>
      </w:r>
      <w:r>
        <w:rPr>
          <w:spacing w:val="24"/>
          <w:vertAlign w:val="baseline"/>
        </w:rPr>
        <w:t> </w:t>
      </w:r>
      <w:r>
        <w:rPr>
          <w:vertAlign w:val="baseline"/>
        </w:rPr>
        <w:t>fall</w:t>
      </w:r>
      <w:r>
        <w:rPr>
          <w:spacing w:val="24"/>
          <w:vertAlign w:val="baseline"/>
        </w:rPr>
        <w:t> </w:t>
      </w:r>
      <w:r>
        <w:rPr>
          <w:vertAlign w:val="baseline"/>
        </w:rPr>
        <w:t>within</w:t>
      </w:r>
      <w:r>
        <w:rPr>
          <w:spacing w:val="24"/>
          <w:vertAlign w:val="baseline"/>
        </w:rPr>
        <w:t> </w:t>
      </w:r>
      <w:r>
        <w:rPr>
          <w:vertAlign w:val="baseline"/>
        </w:rPr>
        <w:t>the</w:t>
      </w:r>
      <w:r>
        <w:rPr>
          <w:spacing w:val="24"/>
          <w:vertAlign w:val="baseline"/>
        </w:rPr>
        <w:t> </w:t>
      </w:r>
      <w:r>
        <w:rPr>
          <w:vertAlign w:val="baseline"/>
        </w:rPr>
        <w:t>Unfair</w:t>
      </w:r>
      <w:r>
        <w:rPr>
          <w:spacing w:val="24"/>
          <w:vertAlign w:val="baseline"/>
        </w:rPr>
        <w:t> </w:t>
      </w:r>
      <w:r>
        <w:rPr>
          <w:vertAlign w:val="baseline"/>
        </w:rPr>
        <w:t>Terms</w:t>
      </w:r>
      <w:r>
        <w:rPr>
          <w:spacing w:val="24"/>
          <w:vertAlign w:val="baseline"/>
        </w:rPr>
        <w:t> </w:t>
      </w:r>
      <w:r>
        <w:rPr>
          <w:vertAlign w:val="baseline"/>
        </w:rPr>
        <w:t>in</w:t>
      </w:r>
      <w:r>
        <w:rPr>
          <w:spacing w:val="24"/>
          <w:vertAlign w:val="baseline"/>
        </w:rPr>
        <w:t> </w:t>
      </w:r>
      <w:r>
        <w:rPr>
          <w:vertAlign w:val="baseline"/>
        </w:rPr>
        <w:t>Consumer</w:t>
      </w:r>
      <w:r>
        <w:rPr>
          <w:spacing w:val="24"/>
          <w:vertAlign w:val="baseline"/>
        </w:rPr>
        <w:t> </w:t>
      </w:r>
      <w:r>
        <w:rPr>
          <w:vertAlign w:val="baseline"/>
        </w:rPr>
        <w:t>Contract</w:t>
      </w:r>
      <w:r>
        <w:rPr>
          <w:spacing w:val="24"/>
          <w:vertAlign w:val="baseline"/>
        </w:rPr>
        <w:t> </w:t>
      </w:r>
      <w:r>
        <w:rPr>
          <w:vertAlign w:val="baseline"/>
        </w:rPr>
        <w:t>Regulations</w:t>
      </w:r>
      <w:r>
        <w:rPr>
          <w:spacing w:val="24"/>
          <w:vertAlign w:val="baseline"/>
        </w:rPr>
        <w:t> </w:t>
      </w:r>
      <w:r>
        <w:rPr>
          <w:vertAlign w:val="baseline"/>
        </w:rPr>
        <w:t>1999</w:t>
      </w:r>
      <w:r>
        <w:rPr>
          <w:spacing w:val="24"/>
          <w:vertAlign w:val="baseline"/>
        </w:rPr>
        <w:t> </w:t>
      </w:r>
      <w:r>
        <w:rPr>
          <w:vertAlign w:val="baseline"/>
        </w:rPr>
        <w:t>(if</w:t>
      </w:r>
      <w:r>
        <w:rPr>
          <w:spacing w:val="24"/>
          <w:vertAlign w:val="baseline"/>
        </w:rPr>
        <w:t> </w:t>
      </w:r>
      <w:r>
        <w:rPr>
          <w:vertAlign w:val="baseline"/>
        </w:rPr>
        <w:t>the</w:t>
      </w:r>
      <w:r>
        <w:rPr>
          <w:spacing w:val="24"/>
          <w:vertAlign w:val="baseline"/>
        </w:rPr>
        <w:t> </w:t>
      </w:r>
      <w:r>
        <w:rPr>
          <w:spacing w:val="-2"/>
          <w:vertAlign w:val="baseline"/>
        </w:rPr>
        <w:t>contract</w:t>
      </w:r>
    </w:p>
    <w:p>
      <w:pPr>
        <w:pStyle w:val="BodyText"/>
        <w:spacing w:line="360" w:lineRule="auto" w:before="116"/>
        <w:ind w:left="23" w:right="26"/>
        <w:jc w:val="both"/>
        <w:rPr>
          <w:position w:val="-2"/>
        </w:rPr>
      </w:pPr>
      <w:bookmarkStart w:name="_bookmark214" w:id="216"/>
      <w:bookmarkEnd w:id="216"/>
      <w:r>
        <w:rPr/>
      </w:r>
      <w:r>
        <w:rPr/>
        <w:t>was made before September 30, 2015 and if the term had not been individually negotiated </w:t>
      </w:r>
      <w:r>
        <w:rPr>
          <w:color w:val="005DA1"/>
          <w:u w:val="single" w:color="005DA1"/>
          <w:vertAlign w:val="superscript"/>
        </w:rPr>
        <w:t>987</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vertAlign w:val="baseline"/>
        </w:rPr>
        <w:t>) </w:t>
      </w:r>
      <w:r>
        <w:rPr>
          <w:vertAlign w:val="baseline"/>
        </w:rPr>
        <w:t>or (if the contract was made after October 1, 2015) Pt 2 of the Consumer Rights Act 2015. </w:t>
      </w:r>
      <w:r>
        <w:rPr>
          <w:color w:val="005DA1"/>
          <w:u w:val="single" w:color="005DA1"/>
          <w:vertAlign w:val="superscript"/>
        </w:rPr>
        <w:t>988</w:t>
      </w:r>
      <w:r>
        <w:rPr>
          <w:color w:val="005DA1"/>
          <w:spacing w:val="80"/>
          <w:vertAlign w:val="baseline"/>
        </w:rPr>
        <w:t> </w:t>
      </w:r>
      <w:r>
        <w:rPr>
          <w:color w:val="005DA1"/>
          <w:position w:val="-2"/>
          <w:vertAlign w:val="baseline"/>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23" w:right="0" w:firstLine="0"/>
        <w:jc w:val="left"/>
        <w:rPr>
          <w:rFonts w:ascii="Arial"/>
          <w:b/>
          <w:sz w:val="18"/>
        </w:rPr>
      </w:pPr>
      <w:r>
        <w:rPr>
          <w:rFonts w:ascii="Arial"/>
          <w:b/>
          <w:sz w:val="18"/>
        </w:rPr>
        <w:t>Similar types of </w:t>
      </w:r>
      <w:r>
        <w:rPr>
          <w:rFonts w:ascii="Arial"/>
          <w:b/>
          <w:spacing w:val="-2"/>
          <w:sz w:val="18"/>
        </w:rPr>
        <w:t>clause</w:t>
      </w:r>
    </w:p>
    <w:p>
      <w:pPr>
        <w:pStyle w:val="BodyText"/>
        <w:spacing w:before="41"/>
        <w:rPr>
          <w:rFonts w:ascii="Arial"/>
          <w:b/>
          <w:sz w:val="18"/>
        </w:rPr>
      </w:pPr>
    </w:p>
    <w:p>
      <w:pPr>
        <w:pStyle w:val="Heading2"/>
        <w:spacing w:before="1"/>
      </w:pPr>
      <w:r>
        <w:rPr/>
        <w:t>26-</w:t>
      </w:r>
      <w:r>
        <w:rPr>
          <w:spacing w:val="-5"/>
        </w:rPr>
        <w:t>181</w:t>
      </w:r>
    </w:p>
    <w:p>
      <w:pPr>
        <w:pStyle w:val="BodyText"/>
        <w:spacing w:before="212"/>
        <w:rPr>
          <w:rFonts w:ascii="Arial"/>
          <w:b/>
        </w:rPr>
      </w:pPr>
    </w:p>
    <w:p>
      <w:pPr>
        <w:spacing w:line="235" w:lineRule="auto" w:before="0"/>
        <w:ind w:left="23" w:right="0" w:firstLine="0"/>
        <w:jc w:val="left"/>
        <w:rPr>
          <w:sz w:val="20"/>
        </w:rPr>
      </w:pPr>
      <w:r>
        <w:rPr>
          <w:position w:val="-2"/>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215" w:id="217"/>
      <w:bookmarkEnd w:id="217"/>
      <w:r>
        <w:rPr>
          <w:rFonts w:ascii="Times New Roman"/>
          <w:spacing w:val="14"/>
          <w:sz w:val="20"/>
        </w:rPr>
      </w:r>
      <w:r>
        <w:rPr>
          <w:sz w:val="20"/>
        </w:rPr>
        <w:t>In </w:t>
      </w:r>
      <w:r>
        <w:rPr>
          <w:rFonts w:ascii="Arial"/>
          <w:i/>
          <w:sz w:val="20"/>
        </w:rPr>
        <w:t>Cavendish Square Holding BV v Makdessi </w:t>
      </w:r>
      <w:r>
        <w:rPr>
          <w:color w:val="005DA1"/>
          <w:sz w:val="20"/>
          <w:u w:val="single" w:color="005DA1"/>
          <w:vertAlign w:val="superscript"/>
        </w:rPr>
        <w:t>989</w:t>
      </w:r>
      <w:r>
        <w:rPr>
          <w:color w:val="005DA1"/>
          <w:spacing w:val="80"/>
          <w:w w:val="150"/>
          <w:sz w:val="20"/>
          <w:vertAlign w:val="baseline"/>
        </w:rPr>
        <w:t> </w:t>
      </w:r>
      <w:r>
        <w:rPr>
          <w:color w:val="005DA1"/>
          <w:spacing w:val="25"/>
          <w:position w:val="-2"/>
          <w:sz w:val="20"/>
          <w:vertAlign w:val="baseline"/>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sz w:val="20"/>
          <w:vertAlign w:val="baseline"/>
        </w:rPr>
      </w:r>
      <w:r>
        <w:rPr>
          <w:rFonts w:ascii="Times New Roman"/>
          <w:color w:val="005DA1"/>
          <w:spacing w:val="-12"/>
          <w:sz w:val="20"/>
          <w:vertAlign w:val="baseline"/>
        </w:rPr>
        <w:t> </w:t>
      </w:r>
      <w:r>
        <w:rPr>
          <w:sz w:val="20"/>
          <w:vertAlign w:val="baseline"/>
        </w:rPr>
        <w:t>a majority of the Supreme Court held that the </w:t>
      </w:r>
      <w:bookmarkStart w:name="_bookmark216" w:id="218"/>
      <w:bookmarkEnd w:id="218"/>
      <w:r>
        <w:rPr>
          <w:sz w:val="20"/>
          <w:vertAlign w:val="baseline"/>
        </w:rPr>
        <w:t>penalty</w:t>
      </w:r>
      <w:r>
        <w:rPr>
          <w:spacing w:val="35"/>
          <w:sz w:val="20"/>
          <w:vertAlign w:val="baseline"/>
        </w:rPr>
        <w:t> </w:t>
      </w:r>
      <w:r>
        <w:rPr>
          <w:sz w:val="20"/>
          <w:vertAlign w:val="baseline"/>
        </w:rPr>
        <w:t>clause</w:t>
      </w:r>
      <w:r>
        <w:rPr>
          <w:spacing w:val="35"/>
          <w:sz w:val="20"/>
          <w:vertAlign w:val="baseline"/>
        </w:rPr>
        <w:t> </w:t>
      </w:r>
      <w:r>
        <w:rPr>
          <w:sz w:val="20"/>
          <w:vertAlign w:val="baseline"/>
        </w:rPr>
        <w:t>rules</w:t>
      </w:r>
      <w:r>
        <w:rPr>
          <w:spacing w:val="35"/>
          <w:sz w:val="20"/>
          <w:vertAlign w:val="baseline"/>
        </w:rPr>
        <w:t> </w:t>
      </w:r>
      <w:r>
        <w:rPr>
          <w:sz w:val="20"/>
          <w:vertAlign w:val="baseline"/>
        </w:rPr>
        <w:t>apply</w:t>
      </w:r>
      <w:r>
        <w:rPr>
          <w:spacing w:val="35"/>
          <w:sz w:val="20"/>
          <w:vertAlign w:val="baseline"/>
        </w:rPr>
        <w:t> </w:t>
      </w:r>
      <w:r>
        <w:rPr>
          <w:sz w:val="20"/>
          <w:vertAlign w:val="baseline"/>
        </w:rPr>
        <w:t>to</w:t>
      </w:r>
      <w:r>
        <w:rPr>
          <w:spacing w:val="35"/>
          <w:sz w:val="20"/>
          <w:vertAlign w:val="baseline"/>
        </w:rPr>
        <w:t> </w:t>
      </w:r>
      <w:r>
        <w:rPr>
          <w:sz w:val="20"/>
          <w:vertAlign w:val="baseline"/>
        </w:rPr>
        <w:t>provisions</w:t>
      </w:r>
      <w:r>
        <w:rPr>
          <w:spacing w:val="35"/>
          <w:sz w:val="20"/>
          <w:vertAlign w:val="baseline"/>
        </w:rPr>
        <w:t> </w:t>
      </w:r>
      <w:r>
        <w:rPr>
          <w:sz w:val="20"/>
          <w:vertAlign w:val="baseline"/>
        </w:rPr>
        <w:t>that</w:t>
      </w:r>
      <w:r>
        <w:rPr>
          <w:spacing w:val="35"/>
          <w:sz w:val="20"/>
          <w:vertAlign w:val="baseline"/>
        </w:rPr>
        <w:t> </w:t>
      </w:r>
      <w:r>
        <w:rPr>
          <w:sz w:val="20"/>
          <w:vertAlign w:val="baseline"/>
        </w:rPr>
        <w:t>would</w:t>
      </w:r>
      <w:r>
        <w:rPr>
          <w:spacing w:val="35"/>
          <w:sz w:val="20"/>
          <w:vertAlign w:val="baseline"/>
        </w:rPr>
        <w:t> </w:t>
      </w:r>
      <w:r>
        <w:rPr>
          <w:sz w:val="20"/>
          <w:vertAlign w:val="baseline"/>
        </w:rPr>
        <w:t>prevent</w:t>
      </w:r>
      <w:r>
        <w:rPr>
          <w:spacing w:val="35"/>
          <w:sz w:val="20"/>
          <w:vertAlign w:val="baseline"/>
        </w:rPr>
        <w:t> </w:t>
      </w:r>
      <w:r>
        <w:rPr>
          <w:sz w:val="20"/>
          <w:vertAlign w:val="baseline"/>
        </w:rPr>
        <w:t>a</w:t>
      </w:r>
      <w:r>
        <w:rPr>
          <w:spacing w:val="35"/>
          <w:sz w:val="20"/>
          <w:vertAlign w:val="baseline"/>
        </w:rPr>
        <w:t> </w:t>
      </w:r>
      <w:r>
        <w:rPr>
          <w:sz w:val="20"/>
          <w:vertAlign w:val="baseline"/>
        </w:rPr>
        <w:t>party</w:t>
      </w:r>
      <w:r>
        <w:rPr>
          <w:spacing w:val="35"/>
          <w:sz w:val="20"/>
          <w:vertAlign w:val="baseline"/>
        </w:rPr>
        <w:t> </w:t>
      </w:r>
      <w:r>
        <w:rPr>
          <w:sz w:val="20"/>
          <w:vertAlign w:val="baseline"/>
        </w:rPr>
        <w:t>who</w:t>
      </w:r>
      <w:r>
        <w:rPr>
          <w:spacing w:val="35"/>
          <w:sz w:val="20"/>
          <w:vertAlign w:val="baseline"/>
        </w:rPr>
        <w:t> </w:t>
      </w:r>
      <w:r>
        <w:rPr>
          <w:sz w:val="20"/>
          <w:vertAlign w:val="baseline"/>
        </w:rPr>
        <w:t>breaks</w:t>
      </w:r>
      <w:r>
        <w:rPr>
          <w:spacing w:val="35"/>
          <w:sz w:val="20"/>
          <w:vertAlign w:val="baseline"/>
        </w:rPr>
        <w:t> </w:t>
      </w:r>
      <w:r>
        <w:rPr>
          <w:sz w:val="20"/>
          <w:vertAlign w:val="baseline"/>
        </w:rPr>
        <w:t>the</w:t>
      </w:r>
      <w:r>
        <w:rPr>
          <w:spacing w:val="35"/>
          <w:sz w:val="20"/>
          <w:vertAlign w:val="baseline"/>
        </w:rPr>
        <w:t> </w:t>
      </w:r>
      <w:r>
        <w:rPr>
          <w:sz w:val="20"/>
          <w:vertAlign w:val="baseline"/>
        </w:rPr>
        <w:t>contract</w:t>
      </w:r>
      <w:r>
        <w:rPr>
          <w:spacing w:val="35"/>
          <w:sz w:val="20"/>
          <w:vertAlign w:val="baseline"/>
        </w:rPr>
        <w:t> </w:t>
      </w:r>
      <w:r>
        <w:rPr>
          <w:spacing w:val="-4"/>
          <w:sz w:val="20"/>
          <w:vertAlign w:val="baseline"/>
        </w:rPr>
        <w:t>from</w:t>
      </w:r>
    </w:p>
    <w:p>
      <w:pPr>
        <w:pStyle w:val="BodyText"/>
        <w:tabs>
          <w:tab w:pos="5528" w:val="left" w:leader="none"/>
          <w:tab w:pos="7572" w:val="left" w:leader="none"/>
        </w:tabs>
        <w:spacing w:line="360" w:lineRule="auto" w:before="116"/>
        <w:ind w:left="23" w:right="26"/>
      </w:pPr>
      <w:bookmarkStart w:name="_bookmark217" w:id="219"/>
      <w:bookmarkEnd w:id="219"/>
      <w:r>
        <w:rPr/>
      </w:r>
      <w:r>
        <w:rPr/>
        <w:t>receiving a sum to which it would otherwise be entitled, </w:t>
      </w:r>
      <w:r>
        <w:rPr>
          <w:color w:val="005DA1"/>
          <w:u w:val="single" w:color="005DA1"/>
          <w:vertAlign w:val="superscript"/>
        </w:rPr>
        <w:t>990</w:t>
      </w:r>
      <w:r>
        <w:rPr>
          <w:color w:val="005DA1"/>
          <w:vertAlign w:val="baseline"/>
        </w:rPr>
        <w:tab/>
      </w:r>
      <w:r>
        <w:rPr>
          <w:color w:val="005DA1"/>
          <w:position w:val="-2"/>
          <w:vertAlign w:val="baseline"/>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and also to provisions that require </w:t>
      </w:r>
      <w:r>
        <w:rPr>
          <w:vertAlign w:val="baseline"/>
        </w:rPr>
        <w:t>a </w:t>
      </w:r>
      <w:bookmarkStart w:name="_bookmark218" w:id="220"/>
      <w:bookmarkEnd w:id="220"/>
      <w:r>
        <w:rPr>
          <w:vertAlign w:val="baseline"/>
        </w:rPr>
        <w:t>party</w:t>
      </w:r>
      <w:r>
        <w:rPr>
          <w:spacing w:val="13"/>
          <w:vertAlign w:val="baseline"/>
        </w:rPr>
        <w:t> </w:t>
      </w:r>
      <w:r>
        <w:rPr>
          <w:vertAlign w:val="baseline"/>
        </w:rPr>
        <w:t>in</w:t>
      </w:r>
      <w:r>
        <w:rPr>
          <w:spacing w:val="13"/>
          <w:vertAlign w:val="baseline"/>
        </w:rPr>
        <w:t> </w:t>
      </w:r>
      <w:r>
        <w:rPr>
          <w:vertAlign w:val="baseline"/>
        </w:rPr>
        <w:t>breach</w:t>
      </w:r>
      <w:r>
        <w:rPr>
          <w:spacing w:val="13"/>
          <w:vertAlign w:val="baseline"/>
        </w:rPr>
        <w:t> </w:t>
      </w:r>
      <w:r>
        <w:rPr>
          <w:vertAlign w:val="baseline"/>
        </w:rPr>
        <w:t>to</w:t>
      </w:r>
      <w:r>
        <w:rPr>
          <w:spacing w:val="13"/>
          <w:vertAlign w:val="baseline"/>
        </w:rPr>
        <w:t> </w:t>
      </w:r>
      <w:r>
        <w:rPr>
          <w:vertAlign w:val="baseline"/>
        </w:rPr>
        <w:t>transfer</w:t>
      </w:r>
      <w:r>
        <w:rPr>
          <w:spacing w:val="13"/>
          <w:vertAlign w:val="baseline"/>
        </w:rPr>
        <w:t> </w:t>
      </w:r>
      <w:r>
        <w:rPr>
          <w:vertAlign w:val="baseline"/>
        </w:rPr>
        <w:t>property</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other</w:t>
      </w:r>
      <w:r>
        <w:rPr>
          <w:spacing w:val="13"/>
          <w:vertAlign w:val="baseline"/>
        </w:rPr>
        <w:t> </w:t>
      </w:r>
      <w:r>
        <w:rPr>
          <w:vertAlign w:val="baseline"/>
        </w:rPr>
        <w:t>party</w:t>
      </w:r>
      <w:r>
        <w:rPr>
          <w:spacing w:val="13"/>
          <w:vertAlign w:val="baseline"/>
        </w:rPr>
        <w:t> </w:t>
      </w:r>
      <w:r>
        <w:rPr>
          <w:vertAlign w:val="baseline"/>
        </w:rPr>
        <w:t>at</w:t>
      </w:r>
      <w:r>
        <w:rPr>
          <w:spacing w:val="13"/>
          <w:vertAlign w:val="baseline"/>
        </w:rPr>
        <w:t> </w:t>
      </w:r>
      <w:r>
        <w:rPr>
          <w:vertAlign w:val="baseline"/>
        </w:rPr>
        <w:t>less</w:t>
      </w:r>
      <w:r>
        <w:rPr>
          <w:spacing w:val="13"/>
          <w:vertAlign w:val="baseline"/>
        </w:rPr>
        <w:t> </w:t>
      </w:r>
      <w:r>
        <w:rPr>
          <w:vertAlign w:val="baseline"/>
        </w:rPr>
        <w:t>than</w:t>
      </w:r>
      <w:r>
        <w:rPr>
          <w:spacing w:val="13"/>
          <w:vertAlign w:val="baseline"/>
        </w:rPr>
        <w:t> </w:t>
      </w:r>
      <w:r>
        <w:rPr>
          <w:vertAlign w:val="baseline"/>
        </w:rPr>
        <w:t>its</w:t>
      </w:r>
      <w:r>
        <w:rPr>
          <w:spacing w:val="13"/>
          <w:vertAlign w:val="baseline"/>
        </w:rPr>
        <w:t> </w:t>
      </w:r>
      <w:r>
        <w:rPr>
          <w:vertAlign w:val="baseline"/>
        </w:rPr>
        <w:t>full</w:t>
      </w:r>
      <w:r>
        <w:rPr>
          <w:spacing w:val="13"/>
          <w:vertAlign w:val="baseline"/>
        </w:rPr>
        <w:t> </w:t>
      </w:r>
      <w:r>
        <w:rPr>
          <w:vertAlign w:val="baseline"/>
        </w:rPr>
        <w:t>value.</w:t>
      </w:r>
      <w:r>
        <w:rPr>
          <w:spacing w:val="12"/>
          <w:vertAlign w:val="baseline"/>
        </w:rPr>
        <w:t> </w:t>
      </w:r>
      <w:r>
        <w:rPr>
          <w:color w:val="005DA1"/>
          <w:spacing w:val="-5"/>
          <w:u w:val="single" w:color="005DA1"/>
          <w:vertAlign w:val="superscript"/>
        </w:rPr>
        <w:t>991</w:t>
      </w:r>
      <w:r>
        <w:rPr>
          <w:color w:val="005DA1"/>
          <w:vertAlign w:val="baseline"/>
        </w:rPr>
        <w:tab/>
      </w:r>
      <w:r>
        <w:rPr>
          <w:color w:val="005DA1"/>
          <w:position w:val="-2"/>
          <w:vertAlign w:val="baseline"/>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6"/>
          <w:vertAlign w:val="baseline"/>
        </w:rPr>
        <w:t> </w:t>
      </w:r>
      <w:r>
        <w:rPr>
          <w:vertAlign w:val="baseline"/>
        </w:rPr>
        <w:t>The</w:t>
      </w:r>
      <w:r>
        <w:rPr>
          <w:spacing w:val="1"/>
          <w:vertAlign w:val="baseline"/>
        </w:rPr>
        <w:t> </w:t>
      </w:r>
      <w:r>
        <w:rPr>
          <w:vertAlign w:val="baseline"/>
        </w:rPr>
        <w:t>Supreme</w:t>
      </w:r>
    </w:p>
    <w:p>
      <w:pPr>
        <w:pStyle w:val="BodyText"/>
        <w:tabs>
          <w:tab w:pos="5862" w:val="left" w:leader="none"/>
          <w:tab w:pos="8519" w:val="left" w:leader="none"/>
        </w:tabs>
        <w:spacing w:line="235" w:lineRule="auto" w:before="124"/>
        <w:ind w:left="23" w:right="26"/>
      </w:pPr>
      <w:bookmarkStart w:name="_bookmark219" w:id="221"/>
      <w:bookmarkEnd w:id="221"/>
      <w:r>
        <w:rPr/>
      </w:r>
      <w:r>
        <w:rPr/>
        <w:t>Court indicated that the penalty rules also apply to deposits </w:t>
      </w:r>
      <w:r>
        <w:rPr>
          <w:color w:val="005DA1"/>
          <w:u w:val="single" w:color="005DA1"/>
          <w:vertAlign w:val="superscript"/>
        </w:rPr>
        <w:t>992</w:t>
      </w:r>
      <w:r>
        <w:rPr>
          <w:color w:val="005DA1"/>
          <w:vertAlign w:val="baseline"/>
        </w:rPr>
        <w:tab/>
      </w:r>
      <w:r>
        <w:rPr>
          <w:color w:val="005DA1"/>
          <w:position w:val="-2"/>
          <w:vertAlign w:val="baseline"/>
        </w:rPr>
        <w:drawing>
          <wp:inline distT="0" distB="0" distL="0" distR="0">
            <wp:extent cx="107988" cy="10798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and forfeiture clauses </w:t>
      </w:r>
      <w:r>
        <w:rPr>
          <w:color w:val="005DA1"/>
          <w:u w:val="single" w:color="005DA1"/>
          <w:vertAlign w:val="superscript"/>
        </w:rPr>
        <w:t>993</w:t>
      </w:r>
      <w:r>
        <w:rPr>
          <w:color w:val="005DA1"/>
          <w:vertAlign w:val="baseline"/>
        </w:rPr>
        <w:tab/>
      </w:r>
      <w:r>
        <w:rPr>
          <w:color w:val="005DA1"/>
          <w:position w:val="-2"/>
          <w:vertAlign w:val="baseline"/>
        </w:rPr>
        <w:drawing>
          <wp:inline distT="0" distB="0" distL="0" distR="0">
            <wp:extent cx="107988" cy="1079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6"/>
          <w:vertAlign w:val="baseline"/>
        </w:rPr>
        <w:t> </w:t>
      </w:r>
      <w:r>
        <w:rPr>
          <w:vertAlign w:val="baseline"/>
        </w:rPr>
        <w:t>but </w:t>
      </w:r>
      <w:bookmarkStart w:name="_bookmark220" w:id="222"/>
      <w:bookmarkEnd w:id="222"/>
      <w:r>
        <w:rPr>
          <w:vertAlign w:val="baseline"/>
        </w:rPr>
        <w:t>not</w:t>
      </w:r>
      <w:r>
        <w:rPr>
          <w:spacing w:val="8"/>
          <w:vertAlign w:val="baseline"/>
        </w:rPr>
        <w:t> </w:t>
      </w:r>
      <w:r>
        <w:rPr>
          <w:vertAlign w:val="baseline"/>
        </w:rPr>
        <w:t>to</w:t>
      </w:r>
      <w:r>
        <w:rPr>
          <w:spacing w:val="8"/>
          <w:vertAlign w:val="baseline"/>
        </w:rPr>
        <w:t> </w:t>
      </w:r>
      <w:r>
        <w:rPr>
          <w:vertAlign w:val="baseline"/>
        </w:rPr>
        <w:t>sums</w:t>
      </w:r>
      <w:r>
        <w:rPr>
          <w:spacing w:val="8"/>
          <w:vertAlign w:val="baseline"/>
        </w:rPr>
        <w:t> </w:t>
      </w:r>
      <w:r>
        <w:rPr>
          <w:vertAlign w:val="baseline"/>
        </w:rPr>
        <w:t>that</w:t>
      </w:r>
      <w:r>
        <w:rPr>
          <w:spacing w:val="8"/>
          <w:vertAlign w:val="baseline"/>
        </w:rPr>
        <w:t> </w:t>
      </w:r>
      <w:r>
        <w:rPr>
          <w:vertAlign w:val="baseline"/>
        </w:rPr>
        <w:t>are</w:t>
      </w:r>
      <w:r>
        <w:rPr>
          <w:spacing w:val="8"/>
          <w:vertAlign w:val="baseline"/>
        </w:rPr>
        <w:t> </w:t>
      </w:r>
      <w:r>
        <w:rPr>
          <w:vertAlign w:val="baseline"/>
        </w:rPr>
        <w:t>payable</w:t>
      </w:r>
      <w:r>
        <w:rPr>
          <w:spacing w:val="8"/>
          <w:vertAlign w:val="baseline"/>
        </w:rPr>
        <w:t> </w:t>
      </w:r>
      <w:r>
        <w:rPr>
          <w:vertAlign w:val="baseline"/>
        </w:rPr>
        <w:t>on</w:t>
      </w:r>
      <w:r>
        <w:rPr>
          <w:spacing w:val="8"/>
          <w:vertAlign w:val="baseline"/>
        </w:rPr>
        <w:t> </w:t>
      </w:r>
      <w:r>
        <w:rPr>
          <w:vertAlign w:val="baseline"/>
        </w:rPr>
        <w:t>events</w:t>
      </w:r>
      <w:r>
        <w:rPr>
          <w:spacing w:val="8"/>
          <w:vertAlign w:val="baseline"/>
        </w:rPr>
        <w:t> </w:t>
      </w:r>
      <w:r>
        <w:rPr>
          <w:vertAlign w:val="baseline"/>
        </w:rPr>
        <w:t>other</w:t>
      </w:r>
      <w:r>
        <w:rPr>
          <w:spacing w:val="8"/>
          <w:vertAlign w:val="baseline"/>
        </w:rPr>
        <w:t> </w:t>
      </w:r>
      <w:r>
        <w:rPr>
          <w:vertAlign w:val="baseline"/>
        </w:rPr>
        <w:t>than</w:t>
      </w:r>
      <w:r>
        <w:rPr>
          <w:spacing w:val="8"/>
          <w:vertAlign w:val="baseline"/>
        </w:rPr>
        <w:t> </w:t>
      </w:r>
      <w:r>
        <w:rPr>
          <w:vertAlign w:val="baseline"/>
        </w:rPr>
        <w:t>a</w:t>
      </w:r>
      <w:r>
        <w:rPr>
          <w:spacing w:val="8"/>
          <w:vertAlign w:val="baseline"/>
        </w:rPr>
        <w:t> </w:t>
      </w:r>
      <w:r>
        <w:rPr>
          <w:vertAlign w:val="baseline"/>
        </w:rPr>
        <w:t>breach</w:t>
      </w:r>
      <w:r>
        <w:rPr>
          <w:spacing w:val="8"/>
          <w:vertAlign w:val="baseline"/>
        </w:rPr>
        <w:t> </w:t>
      </w:r>
      <w:r>
        <w:rPr>
          <w:vertAlign w:val="baseline"/>
        </w:rPr>
        <w:t>of</w:t>
      </w:r>
      <w:r>
        <w:rPr>
          <w:spacing w:val="8"/>
          <w:vertAlign w:val="baseline"/>
        </w:rPr>
        <w:t> </w:t>
      </w:r>
      <w:r>
        <w:rPr>
          <w:vertAlign w:val="baseline"/>
        </w:rPr>
        <w:t>contract,</w:t>
      </w:r>
      <w:r>
        <w:rPr>
          <w:spacing w:val="8"/>
          <w:vertAlign w:val="baseline"/>
        </w:rPr>
        <w:t> </w:t>
      </w:r>
      <w:r>
        <w:rPr>
          <w:vertAlign w:val="baseline"/>
        </w:rPr>
        <w:t>for</w:t>
      </w:r>
      <w:r>
        <w:rPr>
          <w:spacing w:val="8"/>
          <w:vertAlign w:val="baseline"/>
        </w:rPr>
        <w:t> </w:t>
      </w:r>
      <w:r>
        <w:rPr>
          <w:vertAlign w:val="baseline"/>
        </w:rPr>
        <w:t>example</w:t>
      </w:r>
      <w:r>
        <w:rPr>
          <w:spacing w:val="8"/>
          <w:vertAlign w:val="baseline"/>
        </w:rPr>
        <w:t> </w:t>
      </w:r>
      <w:r>
        <w:rPr>
          <w:vertAlign w:val="baseline"/>
        </w:rPr>
        <w:t>a</w:t>
      </w:r>
      <w:r>
        <w:rPr>
          <w:spacing w:val="8"/>
          <w:vertAlign w:val="baseline"/>
        </w:rPr>
        <w:t> </w:t>
      </w:r>
      <w:r>
        <w:rPr>
          <w:vertAlign w:val="baseline"/>
        </w:rPr>
        <w:t>sum</w:t>
      </w:r>
      <w:r>
        <w:rPr>
          <w:spacing w:val="8"/>
          <w:vertAlign w:val="baseline"/>
        </w:rPr>
        <w:t> </w:t>
      </w:r>
      <w:r>
        <w:rPr>
          <w:vertAlign w:val="baseline"/>
        </w:rPr>
        <w:t>that</w:t>
      </w:r>
      <w:r>
        <w:rPr>
          <w:spacing w:val="8"/>
          <w:vertAlign w:val="baseline"/>
        </w:rPr>
        <w:t> </w:t>
      </w:r>
      <w:r>
        <w:rPr>
          <w:spacing w:val="-4"/>
          <w:vertAlign w:val="baseline"/>
        </w:rPr>
        <w:t>must</w:t>
      </w:r>
    </w:p>
    <w:p>
      <w:pPr>
        <w:pStyle w:val="BodyText"/>
        <w:spacing w:before="115"/>
        <w:ind w:left="23"/>
        <w:rPr>
          <w:position w:val="-2"/>
        </w:rPr>
      </w:pPr>
      <w:r>
        <w:rPr/>
        <w:t>be paid if a party exercises a right under the contract. </w:t>
      </w:r>
      <w:r>
        <w:rPr>
          <w:color w:val="005DA1"/>
          <w:u w:val="single" w:color="005DA1"/>
          <w:vertAlign w:val="superscript"/>
        </w:rPr>
        <w:t>994</w:t>
      </w:r>
      <w:r>
        <w:rPr>
          <w:color w:val="005DA1"/>
          <w:spacing w:val="80"/>
          <w:w w:val="150"/>
          <w:vertAlign w:val="baseline"/>
        </w:rPr>
        <w:t> </w:t>
      </w:r>
      <w:r>
        <w:rPr>
          <w:color w:val="005DA1"/>
          <w:position w:val="-2"/>
          <w:vertAlign w:val="baseline"/>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23" w:right="0" w:firstLine="0"/>
        <w:jc w:val="left"/>
        <w:rPr>
          <w:rFonts w:ascii="Arial"/>
          <w:b/>
          <w:sz w:val="18"/>
        </w:rPr>
      </w:pPr>
      <w:r>
        <w:rPr>
          <w:rFonts w:ascii="Arial"/>
          <w:b/>
          <w:sz w:val="18"/>
        </w:rPr>
        <w:t>Reluctance to find clause </w:t>
      </w:r>
      <w:r>
        <w:rPr>
          <w:rFonts w:ascii="Arial"/>
          <w:b/>
          <w:spacing w:val="-2"/>
          <w:sz w:val="18"/>
        </w:rPr>
        <w:t>penal</w:t>
      </w:r>
    </w:p>
    <w:p>
      <w:pPr>
        <w:pStyle w:val="BodyText"/>
        <w:spacing w:before="41"/>
        <w:rPr>
          <w:rFonts w:ascii="Arial"/>
          <w:b/>
          <w:sz w:val="18"/>
        </w:rPr>
      </w:pPr>
    </w:p>
    <w:p>
      <w:pPr>
        <w:pStyle w:val="Heading2"/>
      </w:pPr>
      <w:r>
        <w:rPr/>
        <w:t>26-</w:t>
      </w:r>
      <w:r>
        <w:rPr>
          <w:spacing w:val="-4"/>
        </w:rPr>
        <w:t>181A</w:t>
      </w:r>
    </w:p>
    <w:p>
      <w:pPr>
        <w:pStyle w:val="BodyText"/>
        <w:spacing w:before="89"/>
        <w:rPr>
          <w:rFonts w:ascii="Arial"/>
          <w:b/>
        </w:rPr>
      </w:pPr>
    </w:p>
    <w:p>
      <w:pPr>
        <w:pStyle w:val="BodyText"/>
        <w:tabs>
          <w:tab w:pos="7596" w:val="left" w:leader="none"/>
        </w:tabs>
        <w:spacing w:line="360" w:lineRule="auto"/>
        <w:ind w:left="23" w:right="25"/>
        <w:rPr>
          <w:rFonts w:ascii="Arial"/>
          <w:i/>
        </w:rPr>
      </w:pPr>
      <w:r>
        <w:rPr>
          <w:position w:val="-2"/>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221" w:id="223"/>
      <w:bookmarkEnd w:id="223"/>
      <w:r>
        <w:rPr>
          <w:rFonts w:ascii="Times New Roman"/>
          <w:spacing w:val="19"/>
        </w:rPr>
      </w:r>
      <w:r>
        <w:rPr/>
        <w:t>The rule against penalties has often been seen as anomalous because it applies even to </w:t>
      </w:r>
      <w:r>
        <w:rPr/>
        <w:t>clauses</w:t>
      </w:r>
      <w:r>
        <w:rPr>
          <w:spacing w:val="40"/>
        </w:rPr>
        <w:t> </w:t>
      </w:r>
      <w:bookmarkStart w:name="_bookmark222" w:id="224"/>
      <w:bookmarkEnd w:id="224"/>
      <w:r>
        <w:rPr/>
        <w:t>that</w:t>
      </w:r>
      <w:r>
        <w:rPr>
          <w:spacing w:val="24"/>
        </w:rPr>
        <w:t> </w:t>
      </w:r>
      <w:r>
        <w:rPr/>
        <w:t>were</w:t>
      </w:r>
      <w:r>
        <w:rPr>
          <w:spacing w:val="24"/>
        </w:rPr>
        <w:t> </w:t>
      </w:r>
      <w:r>
        <w:rPr/>
        <w:t>negotiated</w:t>
      </w:r>
      <w:r>
        <w:rPr>
          <w:spacing w:val="24"/>
        </w:rPr>
        <w:t> </w:t>
      </w:r>
      <w:r>
        <w:rPr/>
        <w:t>between</w:t>
      </w:r>
      <w:r>
        <w:rPr>
          <w:spacing w:val="24"/>
        </w:rPr>
        <w:t> </w:t>
      </w:r>
      <w:r>
        <w:rPr/>
        <w:t>experienced</w:t>
      </w:r>
      <w:r>
        <w:rPr>
          <w:spacing w:val="24"/>
        </w:rPr>
        <w:t> </w:t>
      </w:r>
      <w:r>
        <w:rPr/>
        <w:t>parties</w:t>
      </w:r>
      <w:r>
        <w:rPr>
          <w:spacing w:val="24"/>
        </w:rPr>
        <w:t> </w:t>
      </w:r>
      <w:r>
        <w:rPr/>
        <w:t>of</w:t>
      </w:r>
      <w:r>
        <w:rPr>
          <w:spacing w:val="24"/>
        </w:rPr>
        <w:t> </w:t>
      </w:r>
      <w:r>
        <w:rPr/>
        <w:t>equal</w:t>
      </w:r>
      <w:r>
        <w:rPr>
          <w:spacing w:val="24"/>
        </w:rPr>
        <w:t> </w:t>
      </w:r>
      <w:r>
        <w:rPr/>
        <w:t>bargaining</w:t>
      </w:r>
      <w:r>
        <w:rPr>
          <w:spacing w:val="24"/>
        </w:rPr>
        <w:t> </w:t>
      </w:r>
      <w:r>
        <w:rPr/>
        <w:t>power.</w:t>
      </w:r>
      <w:r>
        <w:rPr>
          <w:spacing w:val="22"/>
        </w:rPr>
        <w:t> </w:t>
      </w:r>
      <w:r>
        <w:rPr>
          <w:color w:val="005DA1"/>
          <w:spacing w:val="-5"/>
          <w:u w:val="single" w:color="005DA1"/>
          <w:vertAlign w:val="superscript"/>
        </w:rPr>
        <w:t>995</w:t>
      </w:r>
      <w:r>
        <w:rPr>
          <w:color w:val="005DA1"/>
          <w:vertAlign w:val="baseline"/>
        </w:rPr>
        <w:tab/>
      </w:r>
      <w:r>
        <w:rPr>
          <w:color w:val="005DA1"/>
          <w:position w:val="-2"/>
          <w:vertAlign w:val="baseline"/>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15"/>
          <w:vertAlign w:val="baseline"/>
        </w:rPr>
        <w:t> </w:t>
      </w:r>
      <w:r>
        <w:rPr>
          <w:vertAlign w:val="baseline"/>
        </w:rPr>
        <w:t>In</w:t>
      </w:r>
      <w:r>
        <w:rPr>
          <w:spacing w:val="10"/>
          <w:vertAlign w:val="baseline"/>
        </w:rPr>
        <w:t> </w:t>
      </w:r>
      <w:r>
        <w:rPr>
          <w:rFonts w:ascii="Arial"/>
          <w:i/>
          <w:vertAlign w:val="baseline"/>
        </w:rPr>
        <w:t>Cavendish</w:t>
      </w:r>
    </w:p>
    <w:p>
      <w:pPr>
        <w:pStyle w:val="BodyText"/>
        <w:spacing w:after="0" w:line="360" w:lineRule="auto"/>
        <w:rPr>
          <w:rFonts w:ascii="Arial"/>
          <w:i/>
        </w:rPr>
        <w:sectPr>
          <w:pgSz w:w="11900" w:h="16840"/>
          <w:pgMar w:header="971" w:footer="0" w:top="1300" w:bottom="280" w:left="1417" w:right="1417"/>
        </w:sectPr>
      </w:pPr>
    </w:p>
    <w:p>
      <w:pPr>
        <w:pStyle w:val="BodyText"/>
        <w:spacing w:before="116"/>
        <w:rPr>
          <w:rFonts w:ascii="Arial"/>
          <w:i/>
        </w:rPr>
      </w:pPr>
    </w:p>
    <w:p>
      <w:pPr>
        <w:pStyle w:val="BodyText"/>
        <w:tabs>
          <w:tab w:pos="8867" w:val="left" w:leader="none"/>
        </w:tabs>
        <w:ind w:left="23"/>
        <w:rPr>
          <w:position w:val="-2"/>
        </w:rPr>
      </w:pPr>
      <w:r>
        <w:rPr>
          <w:position w:val="-2"/>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1"/>
        </w:rPr>
        <w:t> </w:t>
      </w:r>
      <w:bookmarkStart w:name="_bookmark223" w:id="225"/>
      <w:bookmarkEnd w:id="225"/>
      <w:r>
        <w:rPr>
          <w:rFonts w:ascii="Times New Roman" w:hAnsi="Times New Roman"/>
          <w:spacing w:val="21"/>
        </w:rPr>
      </w:r>
      <w:bookmarkStart w:name="_bookmark224" w:id="226"/>
      <w:bookmarkEnd w:id="226"/>
      <w:r>
        <w:rPr>
          <w:rFonts w:ascii="Times New Roman" w:hAnsi="Times New Roman"/>
          <w:spacing w:val="21"/>
        </w:rPr>
      </w:r>
      <w:r>
        <w:rPr/>
        <w:t>Lords</w:t>
      </w:r>
      <w:r>
        <w:rPr>
          <w:spacing w:val="18"/>
        </w:rPr>
        <w:t> </w:t>
      </w:r>
      <w:r>
        <w:rPr/>
        <w:t>Neuberger</w:t>
      </w:r>
      <w:r>
        <w:rPr>
          <w:spacing w:val="18"/>
        </w:rPr>
        <w:t> </w:t>
      </w:r>
      <w:r>
        <w:rPr/>
        <w:t>and</w:t>
      </w:r>
      <w:r>
        <w:rPr>
          <w:spacing w:val="18"/>
        </w:rPr>
        <w:t> </w:t>
      </w:r>
      <w:r>
        <w:rPr/>
        <w:t>Sumption</w:t>
      </w:r>
      <w:r>
        <w:rPr>
          <w:spacing w:val="18"/>
        </w:rPr>
        <w:t> </w:t>
      </w:r>
      <w:r>
        <w:rPr/>
        <w:t>described</w:t>
      </w:r>
      <w:r>
        <w:rPr>
          <w:spacing w:val="18"/>
        </w:rPr>
        <w:t> </w:t>
      </w:r>
      <w:r>
        <w:rPr/>
        <w:t>it</w:t>
      </w:r>
      <w:r>
        <w:rPr>
          <w:spacing w:val="18"/>
        </w:rPr>
        <w:t> </w:t>
      </w:r>
      <w:r>
        <w:rPr/>
        <w:t>as</w:t>
      </w:r>
      <w:r>
        <w:rPr>
          <w:spacing w:val="18"/>
        </w:rPr>
        <w:t> </w:t>
      </w:r>
      <w:r>
        <w:rPr/>
        <w:t>“an</w:t>
      </w:r>
      <w:r>
        <w:rPr>
          <w:spacing w:val="18"/>
        </w:rPr>
        <w:t> </w:t>
      </w:r>
      <w:r>
        <w:rPr/>
        <w:t>edifice</w:t>
      </w:r>
      <w:r>
        <w:rPr>
          <w:spacing w:val="18"/>
        </w:rPr>
        <w:t> </w:t>
      </w:r>
      <w:r>
        <w:rPr/>
        <w:t>which</w:t>
      </w:r>
      <w:r>
        <w:rPr>
          <w:spacing w:val="18"/>
        </w:rPr>
        <w:t> </w:t>
      </w:r>
      <w:r>
        <w:rPr/>
        <w:t>has</w:t>
      </w:r>
      <w:r>
        <w:rPr>
          <w:spacing w:val="18"/>
        </w:rPr>
        <w:t> </w:t>
      </w:r>
      <w:r>
        <w:rPr/>
        <w:t>not</w:t>
      </w:r>
      <w:r>
        <w:rPr>
          <w:spacing w:val="18"/>
        </w:rPr>
        <w:t> </w:t>
      </w:r>
      <w:r>
        <w:rPr/>
        <w:t>weathered</w:t>
      </w:r>
      <w:r>
        <w:rPr>
          <w:spacing w:val="18"/>
        </w:rPr>
        <w:t> </w:t>
      </w:r>
      <w:r>
        <w:rPr/>
        <w:t>well”.</w:t>
      </w:r>
      <w:r>
        <w:rPr>
          <w:spacing w:val="16"/>
        </w:rPr>
        <w:t> </w:t>
      </w:r>
      <w:r>
        <w:rPr>
          <w:color w:val="005DA1"/>
          <w:u w:val="single" w:color="005DA1"/>
          <w:vertAlign w:val="superscript"/>
        </w:rPr>
        <w:t>997</w:t>
      </w:r>
      <w:r>
        <w:rPr>
          <w:color w:val="005DA1"/>
          <w:vertAlign w:val="baseline"/>
        </w:rPr>
        <w:tab/>
      </w:r>
      <w:r>
        <w:rPr>
          <w:color w:val="005DA1"/>
          <w:position w:val="-2"/>
          <w:vertAlign w:val="baseline"/>
        </w:rPr>
        <w:drawing>
          <wp:inline distT="0" distB="0" distL="0" distR="0">
            <wp:extent cx="107988" cy="10798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9"/>
      </w:pPr>
    </w:p>
    <w:p>
      <w:pPr>
        <w:pStyle w:val="BodyText"/>
        <w:spacing w:line="235" w:lineRule="auto"/>
        <w:ind w:left="23"/>
      </w:pPr>
      <w:bookmarkStart w:name="_bookmark225" w:id="227"/>
      <w:bookmarkEnd w:id="227"/>
      <w:r>
        <w:rPr/>
      </w:r>
      <w:r>
        <w:rPr/>
        <w:t>The</w:t>
      </w:r>
      <w:r>
        <w:rPr>
          <w:spacing w:val="-3"/>
        </w:rPr>
        <w:t> </w:t>
      </w:r>
      <w:r>
        <w:rPr/>
        <w:t>Privy</w:t>
      </w:r>
      <w:r>
        <w:rPr>
          <w:spacing w:val="-3"/>
        </w:rPr>
        <w:t> </w:t>
      </w:r>
      <w:r>
        <w:rPr/>
        <w:t>Council</w:t>
      </w:r>
      <w:r>
        <w:rPr>
          <w:spacing w:val="-4"/>
        </w:rPr>
        <w:t> </w:t>
      </w:r>
      <w:r>
        <w:rPr>
          <w:color w:val="005DA1"/>
          <w:u w:val="single" w:color="005DA1"/>
          <w:vertAlign w:val="superscript"/>
        </w:rPr>
        <w:t>998</w:t>
      </w:r>
      <w:r>
        <w:rPr>
          <w:color w:val="005DA1"/>
          <w:spacing w:val="80"/>
          <w:vertAlign w:val="baseline"/>
        </w:rPr>
        <w:t> </w:t>
      </w:r>
      <w:r>
        <w:rPr>
          <w:color w:val="005DA1"/>
          <w:position w:val="-2"/>
          <w:vertAlign w:val="baseline"/>
        </w:rPr>
        <w:drawing>
          <wp:inline distT="0" distB="0" distL="0" distR="0">
            <wp:extent cx="107988" cy="10798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has</w:t>
      </w:r>
      <w:r>
        <w:rPr>
          <w:spacing w:val="-3"/>
          <w:vertAlign w:val="baseline"/>
        </w:rPr>
        <w:t> </w:t>
      </w:r>
      <w:r>
        <w:rPr>
          <w:vertAlign w:val="baseline"/>
        </w:rPr>
        <w:t>cited</w:t>
      </w:r>
      <w:r>
        <w:rPr>
          <w:spacing w:val="-3"/>
          <w:vertAlign w:val="baseline"/>
        </w:rPr>
        <w:t> </w:t>
      </w:r>
      <w:r>
        <w:rPr>
          <w:vertAlign w:val="baseline"/>
        </w:rPr>
        <w:t>with</w:t>
      </w:r>
      <w:r>
        <w:rPr>
          <w:spacing w:val="-3"/>
          <w:vertAlign w:val="baseline"/>
        </w:rPr>
        <w:t> </w:t>
      </w:r>
      <w:r>
        <w:rPr>
          <w:vertAlign w:val="baseline"/>
        </w:rPr>
        <w:t>approval</w:t>
      </w:r>
      <w:r>
        <w:rPr>
          <w:spacing w:val="-4"/>
          <w:vertAlign w:val="baseline"/>
        </w:rPr>
        <w:t> </w:t>
      </w:r>
      <w:r>
        <w:rPr>
          <w:color w:val="005DA1"/>
          <w:u w:val="single" w:color="005DA1"/>
          <w:vertAlign w:val="superscript"/>
        </w:rPr>
        <w:t>999</w:t>
      </w:r>
      <w:r>
        <w:rPr>
          <w:color w:val="005DA1"/>
          <w:spacing w:val="80"/>
          <w:vertAlign w:val="baseline"/>
        </w:rPr>
        <w:t> </w:t>
      </w:r>
      <w:r>
        <w:rPr>
          <w:color w:val="005DA1"/>
          <w:position w:val="-2"/>
          <w:vertAlign w:val="baseline"/>
        </w:rPr>
        <w:drawing>
          <wp:inline distT="0" distB="0" distL="0" distR="0">
            <wp:extent cx="107988" cy="1079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the</w:t>
      </w:r>
      <w:r>
        <w:rPr>
          <w:spacing w:val="-3"/>
          <w:vertAlign w:val="baseline"/>
        </w:rPr>
        <w:t> </w:t>
      </w:r>
      <w:r>
        <w:rPr>
          <w:vertAlign w:val="baseline"/>
        </w:rPr>
        <w:t>view</w:t>
      </w:r>
      <w:r>
        <w:rPr>
          <w:spacing w:val="-3"/>
          <w:vertAlign w:val="baseline"/>
        </w:rPr>
        <w:t> </w:t>
      </w:r>
      <w:r>
        <w:rPr>
          <w:vertAlign w:val="baseline"/>
        </w:rPr>
        <w:t>of</w:t>
      </w:r>
      <w:r>
        <w:rPr>
          <w:spacing w:val="-3"/>
          <w:vertAlign w:val="baseline"/>
        </w:rPr>
        <w:t> </w:t>
      </w:r>
      <w:r>
        <w:rPr>
          <w:vertAlign w:val="baseline"/>
        </w:rPr>
        <w:t>Dickson</w:t>
      </w:r>
      <w:r>
        <w:rPr>
          <w:spacing w:val="-3"/>
          <w:vertAlign w:val="baseline"/>
        </w:rPr>
        <w:t> </w:t>
      </w:r>
      <w:r>
        <w:rPr>
          <w:vertAlign w:val="baseline"/>
        </w:rPr>
        <w:t>J.</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Supreme</w:t>
      </w:r>
      <w:r>
        <w:rPr>
          <w:spacing w:val="-3"/>
          <w:vertAlign w:val="baseline"/>
        </w:rPr>
        <w:t> </w:t>
      </w:r>
      <w:r>
        <w:rPr>
          <w:vertAlign w:val="baseline"/>
        </w:rPr>
        <w:t>Court</w:t>
      </w:r>
      <w:r>
        <w:rPr>
          <w:spacing w:val="-3"/>
          <w:vertAlign w:val="baseline"/>
        </w:rPr>
        <w:t> </w:t>
      </w:r>
      <w:r>
        <w:rPr>
          <w:vertAlign w:val="baseline"/>
        </w:rPr>
        <w:t>of Canada that:</w:t>
      </w:r>
    </w:p>
    <w:p>
      <w:pPr>
        <w:pStyle w:val="BodyText"/>
      </w:pPr>
    </w:p>
    <w:p>
      <w:pPr>
        <w:pStyle w:val="BodyText"/>
        <w:spacing w:before="126"/>
      </w:pPr>
    </w:p>
    <w:p>
      <w:pPr>
        <w:pStyle w:val="BodyText"/>
        <w:spacing w:line="235" w:lineRule="auto"/>
        <w:ind w:left="1103" w:right="25"/>
        <w:jc w:val="both"/>
      </w:pPr>
      <w:r>
        <w:rPr/>
        <w:t>“… the power to strike down a penalty clause is a blatant interference with freedom of </w:t>
      </w:r>
      <w:bookmarkStart w:name="_bookmark226" w:id="228"/>
      <w:bookmarkEnd w:id="228"/>
      <w:r>
        <w:rPr/>
        <w:t>contract</w:t>
      </w:r>
      <w:r>
        <w:rPr>
          <w:spacing w:val="-3"/>
        </w:rPr>
        <w:t> </w:t>
      </w:r>
      <w:r>
        <w:rPr/>
        <w:t>and</w:t>
      </w:r>
      <w:r>
        <w:rPr>
          <w:spacing w:val="-3"/>
        </w:rPr>
        <w:t> </w:t>
      </w:r>
      <w:r>
        <w:rPr/>
        <w:t>is</w:t>
      </w:r>
      <w:r>
        <w:rPr>
          <w:spacing w:val="-3"/>
        </w:rPr>
        <w:t> </w:t>
      </w:r>
      <w:r>
        <w:rPr/>
        <w:t>designed</w:t>
      </w:r>
      <w:r>
        <w:rPr>
          <w:spacing w:val="-3"/>
        </w:rPr>
        <w:t> </w:t>
      </w:r>
      <w:r>
        <w:rPr/>
        <w:t>for</w:t>
      </w:r>
      <w:r>
        <w:rPr>
          <w:spacing w:val="-3"/>
        </w:rPr>
        <w:t> </w:t>
      </w:r>
      <w:r>
        <w:rPr/>
        <w:t>the</w:t>
      </w:r>
      <w:r>
        <w:rPr>
          <w:spacing w:val="-3"/>
        </w:rPr>
        <w:t> </w:t>
      </w:r>
      <w:r>
        <w:rPr/>
        <w:t>sole</w:t>
      </w:r>
      <w:r>
        <w:rPr>
          <w:spacing w:val="-3"/>
        </w:rPr>
        <w:t> </w:t>
      </w:r>
      <w:r>
        <w:rPr/>
        <w:t>purpose</w:t>
      </w:r>
      <w:r>
        <w:rPr>
          <w:spacing w:val="-3"/>
        </w:rPr>
        <w:t> </w:t>
      </w:r>
      <w:r>
        <w:rPr/>
        <w:t>of</w:t>
      </w:r>
      <w:r>
        <w:rPr>
          <w:spacing w:val="-3"/>
        </w:rPr>
        <w:t> </w:t>
      </w:r>
      <w:r>
        <w:rPr/>
        <w:t>providing</w:t>
      </w:r>
      <w:r>
        <w:rPr>
          <w:spacing w:val="-3"/>
        </w:rPr>
        <w:t> </w:t>
      </w:r>
      <w:r>
        <w:rPr/>
        <w:t>relief</w:t>
      </w:r>
      <w:r>
        <w:rPr>
          <w:spacing w:val="-3"/>
        </w:rPr>
        <w:t> </w:t>
      </w:r>
      <w:r>
        <w:rPr/>
        <w:t>against</w:t>
      </w:r>
      <w:r>
        <w:rPr>
          <w:spacing w:val="-3"/>
        </w:rPr>
        <w:t> </w:t>
      </w:r>
      <w:r>
        <w:rPr/>
        <w:t>oppression</w:t>
      </w:r>
      <w:r>
        <w:rPr>
          <w:spacing w:val="-3"/>
        </w:rPr>
        <w:t> </w:t>
      </w:r>
      <w:r>
        <w:rPr/>
        <w:t>for</w:t>
      </w:r>
      <w:r>
        <w:rPr>
          <w:spacing w:val="-3"/>
        </w:rPr>
        <w:t> </w:t>
      </w:r>
      <w:r>
        <w:rPr/>
        <w:t>the party</w:t>
      </w:r>
      <w:r>
        <w:rPr>
          <w:spacing w:val="3"/>
        </w:rPr>
        <w:t> </w:t>
      </w:r>
      <w:r>
        <w:rPr/>
        <w:t>having</w:t>
      </w:r>
      <w:r>
        <w:rPr>
          <w:spacing w:val="5"/>
        </w:rPr>
        <w:t> </w:t>
      </w:r>
      <w:r>
        <w:rPr/>
        <w:t>to</w:t>
      </w:r>
      <w:r>
        <w:rPr>
          <w:spacing w:val="5"/>
        </w:rPr>
        <w:t> </w:t>
      </w:r>
      <w:r>
        <w:rPr/>
        <w:t>pay</w:t>
      </w:r>
      <w:r>
        <w:rPr>
          <w:spacing w:val="5"/>
        </w:rPr>
        <w:t> </w:t>
      </w:r>
      <w:r>
        <w:rPr/>
        <w:t>the</w:t>
      </w:r>
      <w:r>
        <w:rPr>
          <w:spacing w:val="5"/>
        </w:rPr>
        <w:t> </w:t>
      </w:r>
      <w:r>
        <w:rPr/>
        <w:t>stipulated</w:t>
      </w:r>
      <w:r>
        <w:rPr>
          <w:spacing w:val="5"/>
        </w:rPr>
        <w:t> </w:t>
      </w:r>
      <w:r>
        <w:rPr/>
        <w:t>sum.</w:t>
      </w:r>
      <w:r>
        <w:rPr>
          <w:spacing w:val="5"/>
        </w:rPr>
        <w:t> </w:t>
      </w:r>
      <w:r>
        <w:rPr/>
        <w:t>It</w:t>
      </w:r>
      <w:r>
        <w:rPr>
          <w:spacing w:val="5"/>
        </w:rPr>
        <w:t> </w:t>
      </w:r>
      <w:r>
        <w:rPr/>
        <w:t>has</w:t>
      </w:r>
      <w:r>
        <w:rPr>
          <w:spacing w:val="5"/>
        </w:rPr>
        <w:t> </w:t>
      </w:r>
      <w:r>
        <w:rPr/>
        <w:t>no</w:t>
      </w:r>
      <w:r>
        <w:rPr>
          <w:spacing w:val="5"/>
        </w:rPr>
        <w:t> </w:t>
      </w:r>
      <w:r>
        <w:rPr/>
        <w:t>place</w:t>
      </w:r>
      <w:r>
        <w:rPr>
          <w:spacing w:val="5"/>
        </w:rPr>
        <w:t> </w:t>
      </w:r>
      <w:r>
        <w:rPr/>
        <w:t>where</w:t>
      </w:r>
      <w:r>
        <w:rPr>
          <w:spacing w:val="5"/>
        </w:rPr>
        <w:t> </w:t>
      </w:r>
      <w:r>
        <w:rPr/>
        <w:t>there</w:t>
      </w:r>
      <w:r>
        <w:rPr>
          <w:spacing w:val="5"/>
        </w:rPr>
        <w:t> </w:t>
      </w:r>
      <w:r>
        <w:rPr/>
        <w:t>is</w:t>
      </w:r>
      <w:r>
        <w:rPr>
          <w:spacing w:val="5"/>
        </w:rPr>
        <w:t> </w:t>
      </w:r>
      <w:r>
        <w:rPr/>
        <w:t>no</w:t>
      </w:r>
      <w:r>
        <w:rPr>
          <w:spacing w:val="5"/>
        </w:rPr>
        <w:t> </w:t>
      </w:r>
      <w:r>
        <w:rPr/>
        <w:t>oppression.”</w:t>
      </w:r>
      <w:r>
        <w:rPr>
          <w:spacing w:val="4"/>
        </w:rPr>
        <w:t> </w:t>
      </w:r>
      <w:r>
        <w:rPr>
          <w:color w:val="005DA1"/>
          <w:spacing w:val="-7"/>
          <w:u w:val="single" w:color="005DA1"/>
          <w:vertAlign w:val="superscript"/>
        </w:rPr>
        <w:t>1000</w:t>
      </w:r>
    </w:p>
    <w:p>
      <w:pPr>
        <w:pStyle w:val="BodyText"/>
        <w:spacing w:before="9"/>
        <w:rPr>
          <w:sz w:val="11"/>
        </w:rPr>
      </w:pPr>
      <w:r>
        <w:rPr>
          <w:sz w:val="11"/>
        </w:rPr>
        <w:drawing>
          <wp:anchor distT="0" distB="0" distL="0" distR="0" allowOverlap="1" layoutInCell="1" locked="0" behindDoc="1" simplePos="0" relativeHeight="487597568">
            <wp:simplePos x="0" y="0"/>
            <wp:positionH relativeFrom="page">
              <wp:posOffset>1670811</wp:posOffset>
            </wp:positionH>
            <wp:positionV relativeFrom="paragraph">
              <wp:posOffset>101426</wp:posOffset>
            </wp:positionV>
            <wp:extent cx="107727" cy="107727"/>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107727" cy="107727"/>
                    </a:xfrm>
                    <a:prstGeom prst="rect">
                      <a:avLst/>
                    </a:prstGeom>
                  </pic:spPr>
                </pic:pic>
              </a:graphicData>
            </a:graphic>
          </wp:anchor>
        </w:drawing>
      </w:r>
    </w:p>
    <w:p>
      <w:pPr>
        <w:pStyle w:val="BodyText"/>
        <w:spacing w:before="128"/>
      </w:pPr>
    </w:p>
    <w:p>
      <w:pPr>
        <w:pStyle w:val="BodyText"/>
        <w:spacing w:line="360" w:lineRule="auto"/>
        <w:ind w:left="23"/>
      </w:pPr>
      <w:bookmarkStart w:name="_bookmark227" w:id="229"/>
      <w:bookmarkEnd w:id="229"/>
      <w:r>
        <w:rPr/>
      </w:r>
      <w:r>
        <w:rPr/>
        <w:t>Therefore,</w:t>
      </w:r>
      <w:r>
        <w:rPr>
          <w:spacing w:val="27"/>
        </w:rPr>
        <w:t> </w:t>
      </w:r>
      <w:r>
        <w:rPr/>
        <w:t>where</w:t>
      </w:r>
      <w:r>
        <w:rPr>
          <w:spacing w:val="27"/>
        </w:rPr>
        <w:t> </w:t>
      </w:r>
      <w:r>
        <w:rPr/>
        <w:t>there</w:t>
      </w:r>
      <w:r>
        <w:rPr>
          <w:spacing w:val="27"/>
        </w:rPr>
        <w:t> </w:t>
      </w:r>
      <w:r>
        <w:rPr/>
        <w:t>is</w:t>
      </w:r>
      <w:r>
        <w:rPr>
          <w:spacing w:val="27"/>
        </w:rPr>
        <w:t> </w:t>
      </w:r>
      <w:r>
        <w:rPr/>
        <w:t>no</w:t>
      </w:r>
      <w:r>
        <w:rPr>
          <w:spacing w:val="27"/>
        </w:rPr>
        <w:t> </w:t>
      </w:r>
      <w:r>
        <w:rPr/>
        <w:t>suggestion</w:t>
      </w:r>
      <w:r>
        <w:rPr>
          <w:spacing w:val="27"/>
        </w:rPr>
        <w:t> </w:t>
      </w:r>
      <w:r>
        <w:rPr/>
        <w:t>of</w:t>
      </w:r>
      <w:r>
        <w:rPr>
          <w:spacing w:val="27"/>
        </w:rPr>
        <w:t> </w:t>
      </w:r>
      <w:r>
        <w:rPr/>
        <w:t>oppression,</w:t>
      </w:r>
      <w:r>
        <w:rPr>
          <w:spacing w:val="27"/>
        </w:rPr>
        <w:t> </w:t>
      </w:r>
      <w:r>
        <w:rPr/>
        <w:t>“the</w:t>
      </w:r>
      <w:r>
        <w:rPr>
          <w:spacing w:val="27"/>
        </w:rPr>
        <w:t> </w:t>
      </w:r>
      <w:r>
        <w:rPr/>
        <w:t>court</w:t>
      </w:r>
      <w:r>
        <w:rPr>
          <w:spacing w:val="27"/>
        </w:rPr>
        <w:t> </w:t>
      </w:r>
      <w:r>
        <w:rPr/>
        <w:t>should</w:t>
      </w:r>
      <w:r>
        <w:rPr>
          <w:spacing w:val="27"/>
        </w:rPr>
        <w:t> </w:t>
      </w:r>
      <w:r>
        <w:rPr/>
        <w:t>not</w:t>
      </w:r>
      <w:r>
        <w:rPr>
          <w:spacing w:val="27"/>
        </w:rPr>
        <w:t> </w:t>
      </w:r>
      <w:r>
        <w:rPr/>
        <w:t>be</w:t>
      </w:r>
      <w:r>
        <w:rPr>
          <w:spacing w:val="27"/>
        </w:rPr>
        <w:t> </w:t>
      </w:r>
      <w:r>
        <w:rPr/>
        <w:t>astute</w:t>
      </w:r>
      <w:r>
        <w:rPr>
          <w:spacing w:val="27"/>
        </w:rPr>
        <w:t> </w:t>
      </w:r>
      <w:r>
        <w:rPr/>
        <w:t>to</w:t>
      </w:r>
      <w:r>
        <w:rPr>
          <w:spacing w:val="27"/>
        </w:rPr>
        <w:t> </w:t>
      </w:r>
      <w:r>
        <w:rPr/>
        <w:t>decry</w:t>
      </w:r>
      <w:r>
        <w:rPr>
          <w:spacing w:val="27"/>
        </w:rPr>
        <w:t> </w:t>
      </w:r>
      <w:r>
        <w:rPr/>
        <w:t>a ‘penalty clause”’. </w:t>
      </w:r>
      <w:hyperlink w:history="true" w:anchor="_bookmark267">
        <w:r>
          <w:rPr>
            <w:color w:val="005DA1"/>
            <w:u w:val="single" w:color="005DA1"/>
            <w:vertAlign w:val="superscript"/>
          </w:rPr>
          <w:t>1001</w:t>
        </w:r>
        <w:r>
          <w:rPr>
            <w:color w:val="005DA1"/>
            <w:spacing w:val="80"/>
            <w:vertAlign w:val="baseline"/>
          </w:rPr>
          <w:t> </w:t>
        </w:r>
        <w:r>
          <w:rPr>
            <w:color w:val="005DA1"/>
            <w:position w:val="-2"/>
            <w:vertAlign w:val="baseline"/>
          </w:rPr>
          <w:drawing>
            <wp:inline distT="0" distB="0" distL="0" distR="0">
              <wp:extent cx="107988" cy="10798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The:</w:t>
        </w:r>
      </w:hyperlink>
    </w:p>
    <w:p>
      <w:pPr>
        <w:pStyle w:val="BodyText"/>
      </w:pPr>
    </w:p>
    <w:p>
      <w:pPr>
        <w:pStyle w:val="BodyText"/>
        <w:spacing w:before="10"/>
      </w:pPr>
    </w:p>
    <w:p>
      <w:pPr>
        <w:pStyle w:val="BodyText"/>
        <w:spacing w:line="235" w:lineRule="auto"/>
        <w:ind w:left="1103" w:right="25"/>
        <w:jc w:val="both"/>
      </w:pPr>
      <w:r>
        <w:rPr/>
        <w:t>“…</w:t>
      </w:r>
      <w:r>
        <w:rPr>
          <w:spacing w:val="-1"/>
        </w:rPr>
        <w:t> </w:t>
      </w:r>
      <w:r>
        <w:rPr/>
        <w:t>courts</w:t>
      </w:r>
      <w:r>
        <w:rPr>
          <w:spacing w:val="-1"/>
        </w:rPr>
        <w:t> </w:t>
      </w:r>
      <w:r>
        <w:rPr/>
        <w:t>are</w:t>
      </w:r>
      <w:r>
        <w:rPr>
          <w:spacing w:val="-1"/>
        </w:rPr>
        <w:t> </w:t>
      </w:r>
      <w:r>
        <w:rPr/>
        <w:t>predisposed</w:t>
      </w:r>
      <w:r>
        <w:rPr>
          <w:spacing w:val="-1"/>
        </w:rPr>
        <w:t> </w:t>
      </w:r>
      <w:r>
        <w:rPr/>
        <w:t>…</w:t>
      </w:r>
      <w:r>
        <w:rPr>
          <w:spacing w:val="-1"/>
        </w:rPr>
        <w:t> </w:t>
      </w:r>
      <w:r>
        <w:rPr/>
        <w:t>to</w:t>
      </w:r>
      <w:r>
        <w:rPr>
          <w:spacing w:val="-1"/>
        </w:rPr>
        <w:t> </w:t>
      </w:r>
      <w:r>
        <w:rPr/>
        <w:t>uphold</w:t>
      </w:r>
      <w:r>
        <w:rPr>
          <w:spacing w:val="-1"/>
        </w:rPr>
        <w:t> </w:t>
      </w:r>
      <w:r>
        <w:rPr/>
        <w:t>[liquidated</w:t>
      </w:r>
      <w:r>
        <w:rPr>
          <w:spacing w:val="-1"/>
        </w:rPr>
        <w:t> </w:t>
      </w:r>
      <w:r>
        <w:rPr/>
        <w:t>damages</w:t>
      </w:r>
      <w:r>
        <w:rPr>
          <w:spacing w:val="-1"/>
        </w:rPr>
        <w:t> </w:t>
      </w:r>
      <w:r>
        <w:rPr/>
        <w:t>clauses].</w:t>
      </w:r>
      <w:r>
        <w:rPr>
          <w:spacing w:val="-1"/>
        </w:rPr>
        <w:t> </w:t>
      </w:r>
      <w:r>
        <w:rPr/>
        <w:t>This</w:t>
      </w:r>
      <w:r>
        <w:rPr>
          <w:spacing w:val="-1"/>
        </w:rPr>
        <w:t> </w:t>
      </w:r>
      <w:r>
        <w:rPr/>
        <w:t>predisposition </w:t>
      </w:r>
      <w:bookmarkStart w:name="_bookmark228" w:id="230"/>
      <w:bookmarkEnd w:id="230"/>
      <w:r>
        <w:rPr/>
        <w:t>is</w:t>
      </w:r>
      <w:r>
        <w:rPr>
          <w:spacing w:val="13"/>
        </w:rPr>
        <w:t> </w:t>
      </w:r>
      <w:r>
        <w:rPr/>
        <w:t>even</w:t>
      </w:r>
      <w:r>
        <w:rPr>
          <w:spacing w:val="15"/>
        </w:rPr>
        <w:t> </w:t>
      </w:r>
      <w:r>
        <w:rPr/>
        <w:t>stronger</w:t>
      </w:r>
      <w:r>
        <w:rPr>
          <w:spacing w:val="15"/>
        </w:rPr>
        <w:t> </w:t>
      </w:r>
      <w:r>
        <w:rPr/>
        <w:t>in</w:t>
      </w:r>
      <w:r>
        <w:rPr>
          <w:spacing w:val="15"/>
        </w:rPr>
        <w:t> </w:t>
      </w:r>
      <w:r>
        <w:rPr/>
        <w:t>the</w:t>
      </w:r>
      <w:r>
        <w:rPr>
          <w:spacing w:val="15"/>
        </w:rPr>
        <w:t> </w:t>
      </w:r>
      <w:r>
        <w:rPr/>
        <w:t>case</w:t>
      </w:r>
      <w:r>
        <w:rPr>
          <w:spacing w:val="15"/>
        </w:rPr>
        <w:t> </w:t>
      </w:r>
      <w:r>
        <w:rPr/>
        <w:t>of</w:t>
      </w:r>
      <w:r>
        <w:rPr>
          <w:spacing w:val="15"/>
        </w:rPr>
        <w:t> </w:t>
      </w:r>
      <w:r>
        <w:rPr/>
        <w:t>commercial</w:t>
      </w:r>
      <w:r>
        <w:rPr>
          <w:spacing w:val="15"/>
        </w:rPr>
        <w:t> </w:t>
      </w:r>
      <w:r>
        <w:rPr/>
        <w:t>contracts</w:t>
      </w:r>
      <w:r>
        <w:rPr>
          <w:spacing w:val="15"/>
        </w:rPr>
        <w:t> </w:t>
      </w:r>
      <w:r>
        <w:rPr/>
        <w:t>freely</w:t>
      </w:r>
      <w:r>
        <w:rPr>
          <w:spacing w:val="15"/>
        </w:rPr>
        <w:t> </w:t>
      </w:r>
      <w:r>
        <w:rPr/>
        <w:t>entered</w:t>
      </w:r>
      <w:r>
        <w:rPr>
          <w:spacing w:val="15"/>
        </w:rPr>
        <w:t> </w:t>
      </w:r>
      <w:r>
        <w:rPr/>
        <w:t>into</w:t>
      </w:r>
      <w:r>
        <w:rPr>
          <w:spacing w:val="15"/>
        </w:rPr>
        <w:t> </w:t>
      </w:r>
      <w:r>
        <w:rPr/>
        <w:t>between</w:t>
      </w:r>
      <w:r>
        <w:rPr>
          <w:spacing w:val="15"/>
        </w:rPr>
        <w:t> </w:t>
      </w:r>
      <w:r>
        <w:rPr>
          <w:spacing w:val="-2"/>
        </w:rPr>
        <w:t>parties</w:t>
      </w:r>
    </w:p>
    <w:p>
      <w:pPr>
        <w:pStyle w:val="BodyText"/>
        <w:spacing w:before="116"/>
        <w:ind w:left="1103"/>
        <w:jc w:val="both"/>
        <w:rPr>
          <w:position w:val="-2"/>
        </w:rPr>
      </w:pPr>
      <w:r>
        <w:rPr/>
        <w:t>of comparable bargaining power.” </w:t>
      </w:r>
      <w:hyperlink w:history="true" w:anchor="_bookmark268">
        <w:r>
          <w:rPr>
            <w:color w:val="005DA1"/>
            <w:u w:val="single" w:color="005DA1"/>
            <w:vertAlign w:val="superscript"/>
          </w:rPr>
          <w:t>1002</w:t>
        </w:r>
        <w:r>
          <w:rPr>
            <w:color w:val="005DA1"/>
            <w:spacing w:val="80"/>
            <w:w w:val="150"/>
            <w:vertAlign w:val="baseline"/>
          </w:rPr>
          <w:t> </w:t>
        </w:r>
        <w:r>
          <w:rPr>
            <w:color w:val="005DA1"/>
            <w:position w:val="-2"/>
            <w:vertAlign w:val="baseline"/>
          </w:rPr>
          <w:drawing>
            <wp:inline distT="0" distB="0" distL="0" distR="0">
              <wp:extent cx="107988" cy="10798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5"/>
      </w:pPr>
    </w:p>
    <w:p>
      <w:pPr>
        <w:pStyle w:val="BodyText"/>
        <w:spacing w:line="235" w:lineRule="auto"/>
        <w:ind w:left="23" w:right="25"/>
        <w:jc w:val="both"/>
      </w:pPr>
      <w:r>
        <w:rPr/>
        <w:t>However, as it was put before the doctrine was modified by the </w:t>
      </w:r>
      <w:r>
        <w:rPr>
          <w:rFonts w:ascii="Arial"/>
          <w:i/>
        </w:rPr>
        <w:t>Cavendish Square </w:t>
      </w:r>
      <w:r>
        <w:rPr/>
        <w:t>case, the correct question is not whether one party secured the clause by the use of unequal bargaining power </w:t>
      </w:r>
      <w:r>
        <w:rPr/>
        <w:t>or oppression, but whether or not the clause is a genuine pre-estimate of the likely loss:</w:t>
      </w:r>
    </w:p>
    <w:p>
      <w:pPr>
        <w:pStyle w:val="BodyText"/>
      </w:pPr>
    </w:p>
    <w:p>
      <w:pPr>
        <w:pStyle w:val="BodyText"/>
        <w:spacing w:before="126"/>
      </w:pPr>
    </w:p>
    <w:p>
      <w:pPr>
        <w:pStyle w:val="BodyText"/>
        <w:spacing w:line="235" w:lineRule="auto"/>
        <w:ind w:left="1103" w:right="25"/>
        <w:jc w:val="both"/>
      </w:pPr>
      <w:r>
        <w:rPr/>
        <w:t>“… whether a provision is to be treated as a penalty is a matter of construction to </w:t>
      </w:r>
      <w:r>
        <w:rPr/>
        <w:t>be resolved by asking whether at the time the contract was entered into the predominant contractual function of the provision was to deter a party from breaking the contract or to compensate the innocent party for breach …. The question that has always had to be </w:t>
      </w:r>
      <w:bookmarkStart w:name="_bookmark229" w:id="231"/>
      <w:bookmarkEnd w:id="231"/>
      <w:r>
        <w:rPr/>
        <w:t>addressed</w:t>
      </w:r>
      <w:r>
        <w:rPr>
          <w:spacing w:val="6"/>
        </w:rPr>
        <w:t> </w:t>
      </w:r>
      <w:r>
        <w:rPr/>
        <w:t>is</w:t>
      </w:r>
      <w:r>
        <w:rPr>
          <w:spacing w:val="6"/>
        </w:rPr>
        <w:t> </w:t>
      </w:r>
      <w:r>
        <w:rPr/>
        <w:t>therefore</w:t>
      </w:r>
      <w:r>
        <w:rPr>
          <w:spacing w:val="6"/>
        </w:rPr>
        <w:t> </w:t>
      </w:r>
      <w:r>
        <w:rPr/>
        <w:t>whether</w:t>
      </w:r>
      <w:r>
        <w:rPr>
          <w:spacing w:val="6"/>
        </w:rPr>
        <w:t> </w:t>
      </w:r>
      <w:r>
        <w:rPr/>
        <w:t>the</w:t>
      </w:r>
      <w:r>
        <w:rPr>
          <w:spacing w:val="6"/>
        </w:rPr>
        <w:t> </w:t>
      </w:r>
      <w:r>
        <w:rPr/>
        <w:t>alleged</w:t>
      </w:r>
      <w:r>
        <w:rPr>
          <w:spacing w:val="6"/>
        </w:rPr>
        <w:t> </w:t>
      </w:r>
      <w:r>
        <w:rPr/>
        <w:t>penalty</w:t>
      </w:r>
      <w:r>
        <w:rPr>
          <w:spacing w:val="6"/>
        </w:rPr>
        <w:t> </w:t>
      </w:r>
      <w:r>
        <w:rPr/>
        <w:t>clause</w:t>
      </w:r>
      <w:r>
        <w:rPr>
          <w:spacing w:val="6"/>
        </w:rPr>
        <w:t> </w:t>
      </w:r>
      <w:r>
        <w:rPr/>
        <w:t>can</w:t>
      </w:r>
      <w:r>
        <w:rPr>
          <w:spacing w:val="6"/>
        </w:rPr>
        <w:t> </w:t>
      </w:r>
      <w:r>
        <w:rPr/>
        <w:t>pass</w:t>
      </w:r>
      <w:r>
        <w:rPr>
          <w:spacing w:val="6"/>
        </w:rPr>
        <w:t> </w:t>
      </w:r>
      <w:r>
        <w:rPr/>
        <w:t>muster</w:t>
      </w:r>
      <w:r>
        <w:rPr>
          <w:spacing w:val="6"/>
        </w:rPr>
        <w:t> </w:t>
      </w:r>
      <w:r>
        <w:rPr/>
        <w:t>as</w:t>
      </w:r>
      <w:r>
        <w:rPr>
          <w:spacing w:val="6"/>
        </w:rPr>
        <w:t> </w:t>
      </w:r>
      <w:r>
        <w:rPr/>
        <w:t>a</w:t>
      </w:r>
      <w:r>
        <w:rPr>
          <w:spacing w:val="6"/>
        </w:rPr>
        <w:t> </w:t>
      </w:r>
      <w:r>
        <w:rPr>
          <w:spacing w:val="-2"/>
        </w:rPr>
        <w:t>genuine</w:t>
      </w:r>
    </w:p>
    <w:p>
      <w:pPr>
        <w:pStyle w:val="BodyText"/>
        <w:spacing w:before="114"/>
        <w:ind w:left="1103"/>
        <w:jc w:val="both"/>
        <w:rPr>
          <w:position w:val="-2"/>
        </w:rPr>
      </w:pPr>
      <w:r>
        <w:rPr/>
        <w:t>pre-estimate of loss.” </w:t>
      </w:r>
      <w:hyperlink w:history="true" w:anchor="_bookmark269">
        <w:r>
          <w:rPr>
            <w:color w:val="005DA1"/>
            <w:u w:val="single" w:color="005DA1"/>
            <w:vertAlign w:val="superscript"/>
          </w:rPr>
          <w:t>1003</w:t>
        </w:r>
        <w:r>
          <w:rPr>
            <w:color w:val="005DA1"/>
            <w:spacing w:val="80"/>
            <w:w w:val="150"/>
            <w:vertAlign w:val="baseline"/>
          </w:rPr>
          <w:t> </w:t>
        </w:r>
        <w:r>
          <w:rPr>
            <w:color w:val="005DA1"/>
            <w:position w:val="-2"/>
            <w:vertAlign w:val="baseline"/>
          </w:rPr>
          <w:drawing>
            <wp:inline distT="0" distB="0" distL="0" distR="0">
              <wp:extent cx="107988" cy="107988"/>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6"/>
      </w:pPr>
    </w:p>
    <w:p>
      <w:pPr>
        <w:spacing w:line="235" w:lineRule="auto" w:before="0"/>
        <w:ind w:left="23" w:right="25" w:firstLine="0"/>
        <w:jc w:val="both"/>
        <w:rPr>
          <w:sz w:val="20"/>
        </w:rPr>
      </w:pPr>
      <w:r>
        <w:rPr>
          <w:sz w:val="20"/>
        </w:rPr>
        <w:t>Similarly, in </w:t>
      </w:r>
      <w:r>
        <w:rPr>
          <w:rFonts w:ascii="Arial"/>
          <w:i/>
          <w:sz w:val="20"/>
        </w:rPr>
        <w:t>Cavendish Square Holding BV v Makdessi </w:t>
      </w:r>
      <w:r>
        <w:rPr>
          <w:sz w:val="20"/>
        </w:rPr>
        <w:t>and </w:t>
      </w:r>
      <w:r>
        <w:rPr>
          <w:rFonts w:ascii="Arial"/>
          <w:i/>
          <w:sz w:val="20"/>
        </w:rPr>
        <w:t>ParkingEye Ltd v Beavis </w:t>
      </w:r>
      <w:r>
        <w:rPr>
          <w:sz w:val="20"/>
        </w:rPr>
        <w:t>the </w:t>
      </w:r>
      <w:r>
        <w:rPr>
          <w:sz w:val="20"/>
        </w:rPr>
        <w:t>Supreme Court emphasised that where a party has a legitimate interest in securing performance rather than </w:t>
      </w:r>
      <w:bookmarkStart w:name="_bookmark230" w:id="232"/>
      <w:bookmarkEnd w:id="232"/>
      <w:r>
        <w:rPr>
          <w:sz w:val="20"/>
        </w:rPr>
        <w:t>damages,</w:t>
      </w:r>
      <w:r>
        <w:rPr>
          <w:spacing w:val="20"/>
          <w:sz w:val="20"/>
        </w:rPr>
        <w:t> </w:t>
      </w:r>
      <w:r>
        <w:rPr>
          <w:sz w:val="20"/>
        </w:rPr>
        <w:t>the</w:t>
      </w:r>
      <w:r>
        <w:rPr>
          <w:spacing w:val="20"/>
          <w:sz w:val="20"/>
        </w:rPr>
        <w:t> </w:t>
      </w:r>
      <w:r>
        <w:rPr>
          <w:sz w:val="20"/>
        </w:rPr>
        <w:t>test</w:t>
      </w:r>
      <w:r>
        <w:rPr>
          <w:spacing w:val="20"/>
          <w:sz w:val="20"/>
        </w:rPr>
        <w:t> </w:t>
      </w:r>
      <w:r>
        <w:rPr>
          <w:sz w:val="20"/>
        </w:rPr>
        <w:t>of</w:t>
      </w:r>
      <w:r>
        <w:rPr>
          <w:spacing w:val="20"/>
          <w:sz w:val="20"/>
        </w:rPr>
        <w:t> </w:t>
      </w:r>
      <w:r>
        <w:rPr>
          <w:sz w:val="20"/>
        </w:rPr>
        <w:t>validity</w:t>
      </w:r>
      <w:r>
        <w:rPr>
          <w:spacing w:val="20"/>
          <w:sz w:val="20"/>
        </w:rPr>
        <w:t> </w:t>
      </w:r>
      <w:r>
        <w:rPr>
          <w:sz w:val="20"/>
        </w:rPr>
        <w:t>is</w:t>
      </w:r>
      <w:r>
        <w:rPr>
          <w:spacing w:val="20"/>
          <w:sz w:val="20"/>
        </w:rPr>
        <w:t> </w:t>
      </w:r>
      <w:r>
        <w:rPr>
          <w:sz w:val="20"/>
        </w:rPr>
        <w:t>whether</w:t>
      </w:r>
      <w:r>
        <w:rPr>
          <w:spacing w:val="20"/>
          <w:sz w:val="20"/>
        </w:rPr>
        <w:t> </w:t>
      </w:r>
      <w:r>
        <w:rPr>
          <w:sz w:val="20"/>
        </w:rPr>
        <w:t>the</w:t>
      </w:r>
      <w:r>
        <w:rPr>
          <w:spacing w:val="20"/>
          <w:sz w:val="20"/>
        </w:rPr>
        <w:t> </w:t>
      </w:r>
      <w:r>
        <w:rPr>
          <w:sz w:val="20"/>
        </w:rPr>
        <w:t>amount</w:t>
      </w:r>
      <w:r>
        <w:rPr>
          <w:spacing w:val="20"/>
          <w:sz w:val="20"/>
        </w:rPr>
        <w:t> </w:t>
      </w:r>
      <w:r>
        <w:rPr>
          <w:sz w:val="20"/>
        </w:rPr>
        <w:t>payable</w:t>
      </w:r>
      <w:r>
        <w:rPr>
          <w:spacing w:val="20"/>
          <w:sz w:val="20"/>
        </w:rPr>
        <w:t> </w:t>
      </w:r>
      <w:r>
        <w:rPr>
          <w:sz w:val="20"/>
        </w:rPr>
        <w:t>if</w:t>
      </w:r>
      <w:r>
        <w:rPr>
          <w:spacing w:val="20"/>
          <w:sz w:val="20"/>
        </w:rPr>
        <w:t> </w:t>
      </w:r>
      <w:r>
        <w:rPr>
          <w:sz w:val="20"/>
        </w:rPr>
        <w:t>the</w:t>
      </w:r>
      <w:r>
        <w:rPr>
          <w:spacing w:val="20"/>
          <w:sz w:val="20"/>
        </w:rPr>
        <w:t> </w:t>
      </w:r>
      <w:r>
        <w:rPr>
          <w:sz w:val="20"/>
        </w:rPr>
        <w:t>contract</w:t>
      </w:r>
      <w:r>
        <w:rPr>
          <w:spacing w:val="20"/>
          <w:sz w:val="20"/>
        </w:rPr>
        <w:t> </w:t>
      </w:r>
      <w:r>
        <w:rPr>
          <w:sz w:val="20"/>
        </w:rPr>
        <w:t>is</w:t>
      </w:r>
      <w:r>
        <w:rPr>
          <w:spacing w:val="20"/>
          <w:sz w:val="20"/>
        </w:rPr>
        <w:t> </w:t>
      </w:r>
      <w:r>
        <w:rPr>
          <w:sz w:val="20"/>
        </w:rPr>
        <w:t>broken</w:t>
      </w:r>
      <w:r>
        <w:rPr>
          <w:spacing w:val="20"/>
          <w:sz w:val="20"/>
        </w:rPr>
        <w:t> </w:t>
      </w:r>
      <w:r>
        <w:rPr>
          <w:sz w:val="20"/>
        </w:rPr>
        <w:t>is</w:t>
      </w:r>
      <w:r>
        <w:rPr>
          <w:spacing w:val="20"/>
          <w:sz w:val="20"/>
        </w:rPr>
        <w:t> </w:t>
      </w:r>
      <w:r>
        <w:rPr>
          <w:spacing w:val="-2"/>
          <w:sz w:val="20"/>
        </w:rPr>
        <w:t>extravagant</w:t>
      </w:r>
    </w:p>
    <w:p>
      <w:pPr>
        <w:pStyle w:val="BodyText"/>
        <w:spacing w:line="360" w:lineRule="auto" w:before="115"/>
        <w:ind w:left="23" w:right="26"/>
        <w:jc w:val="both"/>
        <w:rPr>
          <w:position w:val="-2"/>
        </w:rPr>
      </w:pPr>
      <w:bookmarkStart w:name="_bookmark231" w:id="233"/>
      <w:bookmarkEnd w:id="233"/>
      <w:r>
        <w:rPr/>
      </w:r>
      <w:r>
        <w:rPr/>
        <w:t>and unconscionable in comparison to that interest. </w:t>
      </w:r>
      <w:hyperlink w:history="true" w:anchor="_bookmark270">
        <w:r>
          <w:rPr>
            <w:color w:val="005DA1"/>
            <w:u w:val="single" w:color="005DA1"/>
            <w:vertAlign w:val="superscript"/>
          </w:rPr>
          <w:t>1004</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36"/>
            <w:vertAlign w:val="baseline"/>
          </w:rPr>
          <w:t> </w:t>
        </w:r>
        <w:r>
          <w:rPr>
            <w:vertAlign w:val="baseline"/>
          </w:rPr>
          <w:t>A clause may be a penalty even though </w:t>
        </w:r>
        <w:r>
          <w:rPr>
            <w:vertAlign w:val="baseline"/>
          </w:rPr>
          <w:t>it was freely negotiated between parties of equal bargaining power. </w:t>
        </w:r>
        <w:hyperlink w:history="true" w:anchor="_bookmark271">
          <w:r>
            <w:rPr>
              <w:color w:val="005DA1"/>
              <w:u w:val="single" w:color="005DA1"/>
              <w:vertAlign w:val="superscript"/>
            </w:rPr>
            <w:t>1005</w:t>
          </w:r>
          <w:r>
            <w:rPr>
              <w:color w:val="005DA1"/>
              <w:spacing w:val="80"/>
              <w:vertAlign w:val="baseline"/>
            </w:rPr>
            <w:t> </w:t>
          </w:r>
          <w:r>
            <w:rPr>
              <w:color w:val="005DA1"/>
              <w:position w:val="-2"/>
              <w:vertAlign w:val="baseline"/>
            </w:rPr>
            <w:drawing>
              <wp:inline distT="0" distB="0" distL="0" distR="0">
                <wp:extent cx="107988" cy="10798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5"/>
        <w:rPr>
          <w:sz w:val="18"/>
        </w:rPr>
      </w:pPr>
    </w:p>
    <w:p>
      <w:pPr>
        <w:spacing w:before="1"/>
        <w:ind w:left="23" w:right="0" w:firstLine="0"/>
        <w:jc w:val="left"/>
        <w:rPr>
          <w:rFonts w:ascii="Arial"/>
          <w:b/>
          <w:sz w:val="18"/>
        </w:rPr>
      </w:pPr>
      <w:r>
        <w:rPr>
          <w:rFonts w:ascii="Arial"/>
          <w:b/>
          <w:sz w:val="18"/>
        </w:rPr>
        <w:t>A question of </w:t>
      </w:r>
      <w:r>
        <w:rPr>
          <w:rFonts w:ascii="Arial"/>
          <w:b/>
          <w:spacing w:val="-5"/>
          <w:sz w:val="18"/>
        </w:rPr>
        <w:t>law</w:t>
      </w:r>
    </w:p>
    <w:p>
      <w:pPr>
        <w:pStyle w:val="BodyText"/>
        <w:spacing w:before="41"/>
        <w:rPr>
          <w:rFonts w:ascii="Arial"/>
          <w:b/>
          <w:sz w:val="18"/>
        </w:rPr>
      </w:pPr>
    </w:p>
    <w:p>
      <w:pPr>
        <w:pStyle w:val="Heading2"/>
      </w:pPr>
      <w:r>
        <w:rPr/>
        <w:t>26-</w:t>
      </w:r>
      <w:r>
        <w:rPr>
          <w:spacing w:val="-4"/>
        </w:rPr>
        <w:t>181B</w:t>
      </w:r>
    </w:p>
    <w:p>
      <w:pPr>
        <w:pStyle w:val="BodyText"/>
        <w:spacing w:before="89"/>
        <w:rPr>
          <w:rFonts w:ascii="Arial"/>
          <w:b/>
        </w:rPr>
      </w:pPr>
    </w:p>
    <w:p>
      <w:pPr>
        <w:pStyle w:val="BodyText"/>
        <w:spacing w:line="360" w:lineRule="auto"/>
        <w:ind w:left="23"/>
        <w:rPr>
          <w:position w:val="-2"/>
        </w:rPr>
      </w:pPr>
      <w:r>
        <w:rPr>
          <w:position w:val="-2"/>
        </w:rPr>
        <w:drawing>
          <wp:inline distT="0" distB="0" distL="0" distR="0">
            <wp:extent cx="107988" cy="10798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9"/>
        </w:rPr>
        <w:t> </w:t>
      </w:r>
      <w:bookmarkStart w:name="_bookmark232" w:id="234"/>
      <w:bookmarkEnd w:id="234"/>
      <w:r>
        <w:rPr>
          <w:rFonts w:ascii="Times New Roman"/>
          <w:spacing w:val="-19"/>
        </w:rPr>
      </w:r>
      <w:r>
        <w:rPr/>
        <w:t>The</w:t>
      </w:r>
      <w:r>
        <w:rPr>
          <w:spacing w:val="23"/>
        </w:rPr>
        <w:t> </w:t>
      </w:r>
      <w:r>
        <w:rPr/>
        <w:t>question</w:t>
      </w:r>
      <w:r>
        <w:rPr>
          <w:spacing w:val="23"/>
        </w:rPr>
        <w:t> </w:t>
      </w:r>
      <w:r>
        <w:rPr/>
        <w:t>whether</w:t>
      </w:r>
      <w:r>
        <w:rPr>
          <w:spacing w:val="23"/>
        </w:rPr>
        <w:t> </w:t>
      </w:r>
      <w:r>
        <w:rPr/>
        <w:t>a</w:t>
      </w:r>
      <w:r>
        <w:rPr>
          <w:spacing w:val="23"/>
        </w:rPr>
        <w:t> </w:t>
      </w:r>
      <w:r>
        <w:rPr/>
        <w:t>sum</w:t>
      </w:r>
      <w:r>
        <w:rPr>
          <w:spacing w:val="23"/>
        </w:rPr>
        <w:t> </w:t>
      </w:r>
      <w:r>
        <w:rPr/>
        <w:t>stipulated</w:t>
      </w:r>
      <w:r>
        <w:rPr>
          <w:spacing w:val="23"/>
        </w:rPr>
        <w:t> </w:t>
      </w:r>
      <w:r>
        <w:rPr/>
        <w:t>for</w:t>
      </w:r>
      <w:r>
        <w:rPr>
          <w:spacing w:val="23"/>
        </w:rPr>
        <w:t> </w:t>
      </w:r>
      <w:r>
        <w:rPr/>
        <w:t>in</w:t>
      </w:r>
      <w:r>
        <w:rPr>
          <w:spacing w:val="23"/>
        </w:rPr>
        <w:t> </w:t>
      </w:r>
      <w:r>
        <w:rPr/>
        <w:t>a</w:t>
      </w:r>
      <w:r>
        <w:rPr>
          <w:spacing w:val="23"/>
        </w:rPr>
        <w:t> </w:t>
      </w:r>
      <w:r>
        <w:rPr/>
        <w:t>contract</w:t>
      </w:r>
      <w:r>
        <w:rPr>
          <w:spacing w:val="23"/>
        </w:rPr>
        <w:t> </w:t>
      </w:r>
      <w:r>
        <w:rPr/>
        <w:t>is</w:t>
      </w:r>
      <w:r>
        <w:rPr>
          <w:spacing w:val="23"/>
        </w:rPr>
        <w:t> </w:t>
      </w:r>
      <w:r>
        <w:rPr/>
        <w:t>a</w:t>
      </w:r>
      <w:r>
        <w:rPr>
          <w:spacing w:val="23"/>
        </w:rPr>
        <w:t> </w:t>
      </w:r>
      <w:r>
        <w:rPr/>
        <w:t>penalty</w:t>
      </w:r>
      <w:r>
        <w:rPr>
          <w:spacing w:val="23"/>
        </w:rPr>
        <w:t> </w:t>
      </w:r>
      <w:r>
        <w:rPr/>
        <w:t>or</w:t>
      </w:r>
      <w:r>
        <w:rPr>
          <w:spacing w:val="23"/>
        </w:rPr>
        <w:t> </w:t>
      </w:r>
      <w:r>
        <w:rPr/>
        <w:t>liquidated</w:t>
      </w:r>
      <w:r>
        <w:rPr>
          <w:spacing w:val="23"/>
        </w:rPr>
        <w:t> </w:t>
      </w:r>
      <w:r>
        <w:rPr/>
        <w:t>damages</w:t>
      </w:r>
      <w:r>
        <w:rPr>
          <w:spacing w:val="23"/>
        </w:rPr>
        <w:t> </w:t>
      </w:r>
      <w:r>
        <w:rPr/>
        <w:t>is</w:t>
      </w:r>
      <w:r>
        <w:rPr>
          <w:spacing w:val="23"/>
        </w:rPr>
        <w:t> </w:t>
      </w:r>
      <w:r>
        <w:rPr/>
        <w:t>a question of law. </w:t>
      </w:r>
      <w:hyperlink w:history="true" w:anchor="_bookmark272">
        <w:r>
          <w:rPr>
            <w:color w:val="005DA1"/>
            <w:u w:val="single" w:color="005DA1"/>
            <w:vertAlign w:val="superscript"/>
          </w:rPr>
          <w:t>1006</w:t>
        </w:r>
        <w:r>
          <w:rPr>
            <w:color w:val="005DA1"/>
            <w:spacing w:val="80"/>
            <w:vertAlign w:val="baseline"/>
          </w:rPr>
          <w:t> </w:t>
        </w:r>
        <w:r>
          <w:rPr>
            <w:color w:val="005DA1"/>
            <w:position w:val="-2"/>
            <w:vertAlign w:val="baseline"/>
          </w:rPr>
          <w:drawing>
            <wp:inline distT="0" distB="0" distL="0" distR="0">
              <wp:extent cx="107988" cy="10798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5"/>
        <w:rPr>
          <w:sz w:val="18"/>
        </w:rPr>
      </w:pPr>
    </w:p>
    <w:p>
      <w:pPr>
        <w:spacing w:before="0"/>
        <w:ind w:left="23" w:right="0" w:firstLine="0"/>
        <w:jc w:val="left"/>
        <w:rPr>
          <w:rFonts w:ascii="Arial"/>
          <w:b/>
          <w:sz w:val="18"/>
        </w:rPr>
      </w:pPr>
      <w:r>
        <w:rPr>
          <w:rFonts w:ascii="Arial"/>
          <w:b/>
          <w:sz w:val="18"/>
        </w:rPr>
        <w:t>A question of </w:t>
      </w:r>
      <w:r>
        <w:rPr>
          <w:rFonts w:ascii="Arial"/>
          <w:b/>
          <w:spacing w:val="-2"/>
          <w:sz w:val="18"/>
        </w:rPr>
        <w:t>construction</w:t>
      </w:r>
    </w:p>
    <w:p>
      <w:pPr>
        <w:pStyle w:val="BodyText"/>
        <w:spacing w:before="41"/>
        <w:rPr>
          <w:rFonts w:ascii="Arial"/>
          <w:b/>
          <w:sz w:val="18"/>
        </w:rPr>
      </w:pPr>
    </w:p>
    <w:p>
      <w:pPr>
        <w:pStyle w:val="Heading2"/>
        <w:spacing w:before="1"/>
      </w:pPr>
      <w:r>
        <w:rPr/>
        <w:t>26-</w:t>
      </w:r>
      <w:r>
        <w:rPr>
          <w:spacing w:val="-4"/>
        </w:rPr>
        <w:t>181C</w:t>
      </w:r>
    </w:p>
    <w:p>
      <w:pPr>
        <w:pStyle w:val="BodyText"/>
        <w:spacing w:before="208"/>
        <w:rPr>
          <w:rFonts w:ascii="Arial"/>
          <w:b/>
        </w:rPr>
      </w:pPr>
    </w:p>
    <w:p>
      <w:pPr>
        <w:spacing w:before="0"/>
        <w:ind w:left="23" w:right="0" w:firstLine="0"/>
        <w:jc w:val="left"/>
        <w:rPr>
          <w:sz w:val="20"/>
        </w:rPr>
      </w:pPr>
      <w:r>
        <w:rPr>
          <w:position w:val="-2"/>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
          <w:sz w:val="20"/>
        </w:rPr>
        <w:t> </w:t>
      </w:r>
      <w:bookmarkStart w:name="_bookmark233" w:id="235"/>
      <w:bookmarkEnd w:id="235"/>
      <w:r>
        <w:rPr>
          <w:rFonts w:ascii="Times New Roman"/>
          <w:spacing w:val="6"/>
          <w:sz w:val="20"/>
        </w:rPr>
      </w:r>
      <w:r>
        <w:rPr>
          <w:sz w:val="20"/>
        </w:rPr>
        <w:t>In</w:t>
      </w:r>
      <w:r>
        <w:rPr>
          <w:spacing w:val="-2"/>
          <w:sz w:val="20"/>
        </w:rPr>
        <w:t> </w:t>
      </w:r>
      <w:r>
        <w:rPr>
          <w:rFonts w:ascii="Arial"/>
          <w:i/>
          <w:sz w:val="20"/>
        </w:rPr>
        <w:t>Cavendish</w:t>
      </w:r>
      <w:r>
        <w:rPr>
          <w:rFonts w:ascii="Arial"/>
          <w:i/>
          <w:spacing w:val="-2"/>
          <w:sz w:val="20"/>
        </w:rPr>
        <w:t> </w:t>
      </w:r>
      <w:r>
        <w:rPr>
          <w:rFonts w:ascii="Arial"/>
          <w:i/>
          <w:sz w:val="20"/>
        </w:rPr>
        <w:t>Square</w:t>
      </w:r>
      <w:r>
        <w:rPr>
          <w:rFonts w:ascii="Arial"/>
          <w:i/>
          <w:spacing w:val="-2"/>
          <w:sz w:val="20"/>
        </w:rPr>
        <w:t> </w:t>
      </w:r>
      <w:r>
        <w:rPr>
          <w:rFonts w:ascii="Arial"/>
          <w:i/>
          <w:sz w:val="20"/>
        </w:rPr>
        <w:t>Holding</w:t>
      </w:r>
      <w:r>
        <w:rPr>
          <w:rFonts w:ascii="Arial"/>
          <w:i/>
          <w:spacing w:val="-2"/>
          <w:sz w:val="20"/>
        </w:rPr>
        <w:t> </w:t>
      </w:r>
      <w:r>
        <w:rPr>
          <w:rFonts w:ascii="Arial"/>
          <w:i/>
          <w:sz w:val="20"/>
        </w:rPr>
        <w:t>BV</w:t>
      </w:r>
      <w:r>
        <w:rPr>
          <w:rFonts w:ascii="Arial"/>
          <w:i/>
          <w:spacing w:val="-2"/>
          <w:sz w:val="20"/>
        </w:rPr>
        <w:t> </w:t>
      </w:r>
      <w:r>
        <w:rPr>
          <w:rFonts w:ascii="Arial"/>
          <w:i/>
          <w:sz w:val="20"/>
        </w:rPr>
        <w:t>v</w:t>
      </w:r>
      <w:r>
        <w:rPr>
          <w:rFonts w:ascii="Arial"/>
          <w:i/>
          <w:spacing w:val="-2"/>
          <w:sz w:val="20"/>
        </w:rPr>
        <w:t> </w:t>
      </w:r>
      <w:r>
        <w:rPr>
          <w:rFonts w:ascii="Arial"/>
          <w:i/>
          <w:sz w:val="20"/>
        </w:rPr>
        <w:t>Makdessi</w:t>
      </w:r>
      <w:r>
        <w:rPr>
          <w:rFonts w:ascii="Arial"/>
          <w:i/>
          <w:spacing w:val="-2"/>
          <w:sz w:val="20"/>
        </w:rPr>
        <w:t> </w:t>
      </w:r>
      <w:r>
        <w:rPr>
          <w:sz w:val="20"/>
        </w:rPr>
        <w:t>and</w:t>
      </w:r>
      <w:r>
        <w:rPr>
          <w:spacing w:val="-2"/>
          <w:sz w:val="20"/>
        </w:rPr>
        <w:t> </w:t>
      </w:r>
      <w:r>
        <w:rPr>
          <w:rFonts w:ascii="Arial"/>
          <w:i/>
          <w:sz w:val="20"/>
        </w:rPr>
        <w:t>ParkingEye</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Beavis</w:t>
      </w:r>
      <w:r>
        <w:rPr>
          <w:rFonts w:ascii="Arial"/>
          <w:i/>
          <w:spacing w:val="-2"/>
          <w:sz w:val="20"/>
        </w:rPr>
        <w:t> </w:t>
      </w:r>
      <w:hyperlink w:history="true" w:anchor="_bookmark273">
        <w:r>
          <w:rPr>
            <w:color w:val="005DA1"/>
            <w:sz w:val="20"/>
            <w:u w:val="single" w:color="005DA1"/>
            <w:vertAlign w:val="superscript"/>
          </w:rPr>
          <w:t>1007</w:t>
        </w:r>
        <w:r>
          <w:rPr>
            <w:color w:val="005DA1"/>
            <w:spacing w:val="80"/>
            <w:w w:val="150"/>
            <w:sz w:val="20"/>
            <w:vertAlign w:val="baseline"/>
          </w:rPr>
          <w:t> </w:t>
        </w:r>
        <w:r>
          <w:rPr>
            <w:color w:val="005DA1"/>
            <w:spacing w:val="2"/>
            <w:position w:val="-2"/>
            <w:sz w:val="20"/>
            <w:vertAlign w:val="baseline"/>
          </w:rPr>
          <w:drawing>
            <wp:inline distT="0" distB="0" distL="0" distR="0">
              <wp:extent cx="107988" cy="1079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
            <w:position w:val="-2"/>
            <w:sz w:val="20"/>
            <w:vertAlign w:val="baseline"/>
          </w:rPr>
        </w:r>
        <w:r>
          <w:rPr>
            <w:rFonts w:ascii="Times New Roman"/>
            <w:color w:val="005DA1"/>
            <w:spacing w:val="2"/>
            <w:sz w:val="20"/>
            <w:vertAlign w:val="baseline"/>
          </w:rPr>
          <w:t> </w:t>
        </w:r>
        <w:r>
          <w:rPr>
            <w:sz w:val="20"/>
            <w:vertAlign w:val="baseline"/>
          </w:rPr>
          <w:t>a</w:t>
        </w:r>
        <w:r>
          <w:rPr>
            <w:spacing w:val="-2"/>
            <w:sz w:val="20"/>
            <w:vertAlign w:val="baseline"/>
          </w:rPr>
          <w:t> </w:t>
        </w:r>
        <w:r>
          <w:rPr>
            <w:sz w:val="20"/>
            <w:vertAlign w:val="baseline"/>
          </w:rPr>
          <w:t>majority</w:t>
        </w:r>
        <w:r>
          <w:rPr>
            <w:spacing w:val="-2"/>
            <w:sz w:val="20"/>
            <w:vertAlign w:val="baseline"/>
          </w:rPr>
          <w:t> </w:t>
        </w:r>
        <w:r>
          <w:rPr>
            <w:sz w:val="20"/>
            <w:vertAlign w:val="baseline"/>
          </w:rPr>
          <w:t>stated</w:t>
        </w:r>
      </w:hyperlink>
    </w:p>
    <w:p>
      <w:pPr>
        <w:sectPr>
          <w:pgSz w:w="11900" w:h="16840"/>
          <w:pgMar w:header="971" w:footer="0" w:top="1300" w:bottom="280" w:left="1417" w:right="1417"/>
        </w:sectPr>
      </w:pPr>
    </w:p>
    <w:p>
      <w:pPr>
        <w:pStyle w:val="BodyText"/>
        <w:spacing w:line="235" w:lineRule="auto" w:before="110"/>
        <w:ind w:left="23" w:right="25"/>
        <w:jc w:val="both"/>
      </w:pPr>
      <w:r>
        <w:rPr/>
        <w:t>that whether a clause is a penalty is a question of construction. From this it follows, Lords Neuberger and Sumption said, that the test must be applied as of the date of the agreement, not when it falls to be enforced; a penalty clause is a species of agreement that is by its nature contrary to public </w:t>
      </w:r>
      <w:r>
        <w:rPr/>
        <w:t>policy.</w:t>
      </w:r>
      <w:r>
        <w:rPr>
          <w:spacing w:val="40"/>
        </w:rPr>
        <w:t> </w:t>
      </w:r>
      <w:r>
        <w:rPr/>
        <w:t>It also follows that the application of the test does not involve a discretion, and if the clause is penal it </w:t>
      </w:r>
      <w:bookmarkStart w:name="_bookmark234" w:id="236"/>
      <w:bookmarkEnd w:id="236"/>
      <w:r>
        <w:rPr/>
        <w:t>is</w:t>
      </w:r>
      <w:r>
        <w:rPr>
          <w:spacing w:val="57"/>
        </w:rPr>
        <w:t> </w:t>
      </w:r>
      <w:r>
        <w:rPr/>
        <w:t>wholly</w:t>
      </w:r>
      <w:r>
        <w:rPr>
          <w:spacing w:val="57"/>
        </w:rPr>
        <w:t> </w:t>
      </w:r>
      <w:r>
        <w:rPr/>
        <w:t>unenforceable.</w:t>
      </w:r>
      <w:r>
        <w:rPr>
          <w:spacing w:val="57"/>
        </w:rPr>
        <w:t> </w:t>
      </w:r>
      <w:r>
        <w:rPr/>
        <w:t>These</w:t>
      </w:r>
      <w:r>
        <w:rPr>
          <w:spacing w:val="57"/>
        </w:rPr>
        <w:t> </w:t>
      </w:r>
      <w:r>
        <w:rPr/>
        <w:t>points</w:t>
      </w:r>
      <w:r>
        <w:rPr>
          <w:spacing w:val="57"/>
        </w:rPr>
        <w:t> </w:t>
      </w:r>
      <w:r>
        <w:rPr/>
        <w:t>suggest</w:t>
      </w:r>
      <w:r>
        <w:rPr>
          <w:spacing w:val="57"/>
        </w:rPr>
        <w:t> </w:t>
      </w:r>
      <w:r>
        <w:rPr/>
        <w:t>that</w:t>
      </w:r>
      <w:r>
        <w:rPr>
          <w:spacing w:val="57"/>
        </w:rPr>
        <w:t> </w:t>
      </w:r>
      <w:r>
        <w:rPr/>
        <w:t>the</w:t>
      </w:r>
      <w:r>
        <w:rPr>
          <w:spacing w:val="57"/>
        </w:rPr>
        <w:t> </w:t>
      </w:r>
      <w:r>
        <w:rPr/>
        <w:t>question</w:t>
      </w:r>
      <w:r>
        <w:rPr>
          <w:spacing w:val="57"/>
        </w:rPr>
        <w:t> </w:t>
      </w:r>
      <w:r>
        <w:rPr/>
        <w:t>is</w:t>
      </w:r>
      <w:r>
        <w:rPr>
          <w:spacing w:val="57"/>
        </w:rPr>
        <w:t> </w:t>
      </w:r>
      <w:r>
        <w:rPr/>
        <w:t>one</w:t>
      </w:r>
      <w:r>
        <w:rPr>
          <w:spacing w:val="57"/>
        </w:rPr>
        <w:t> </w:t>
      </w:r>
      <w:r>
        <w:rPr/>
        <w:t>that</w:t>
      </w:r>
      <w:r>
        <w:rPr>
          <w:spacing w:val="57"/>
        </w:rPr>
        <w:t> </w:t>
      </w:r>
      <w:r>
        <w:rPr/>
        <w:t>other</w:t>
      </w:r>
      <w:r>
        <w:rPr>
          <w:spacing w:val="57"/>
        </w:rPr>
        <w:t> </w:t>
      </w:r>
      <w:r>
        <w:rPr/>
        <w:t>courts</w:t>
      </w:r>
      <w:r>
        <w:rPr>
          <w:spacing w:val="57"/>
        </w:rPr>
        <w:t> </w:t>
      </w:r>
      <w:r>
        <w:rPr>
          <w:spacing w:val="-4"/>
        </w:rPr>
        <w:t>have</w:t>
      </w:r>
    </w:p>
    <w:p>
      <w:pPr>
        <w:pStyle w:val="BodyText"/>
        <w:spacing w:line="235" w:lineRule="auto" w:before="118"/>
        <w:ind w:left="23" w:right="25"/>
        <w:jc w:val="both"/>
      </w:pPr>
      <w:r>
        <w:rPr/>
        <w:t>preferred to call one of characterisation rather than of interpretation or construction. </w:t>
      </w:r>
      <w:hyperlink w:history="true" w:anchor="_bookmark274">
        <w:r>
          <w:rPr>
            <w:color w:val="005DA1"/>
            <w:u w:val="single" w:color="005DA1"/>
            <w:vertAlign w:val="superscript"/>
          </w:rPr>
          <w:t>1008</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8"/>
            <w:vertAlign w:val="baseline"/>
          </w:rPr>
          <w:t> </w:t>
        </w:r>
        <w:r>
          <w:rPr>
            <w:vertAlign w:val="baseline"/>
          </w:rPr>
          <w:t>However, </w:t>
        </w:r>
        <w:bookmarkStart w:name="_bookmark235" w:id="237"/>
        <w:bookmarkEnd w:id="237"/>
        <w:r>
          <w:rPr>
            <w:vertAlign w:val="baseline"/>
          </w:rPr>
          <w:t>construction</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normal</w:t>
        </w:r>
        <w:r>
          <w:rPr>
            <w:spacing w:val="14"/>
            <w:vertAlign w:val="baseline"/>
          </w:rPr>
          <w:t> </w:t>
        </w:r>
        <w:r>
          <w:rPr>
            <w:vertAlign w:val="baseline"/>
          </w:rPr>
          <w:t>sense</w:t>
        </w:r>
        <w:r>
          <w:rPr>
            <w:spacing w:val="14"/>
            <w:vertAlign w:val="baseline"/>
          </w:rPr>
          <w:t> </w:t>
        </w:r>
        <w:r>
          <w:rPr>
            <w:vertAlign w:val="baseline"/>
          </w:rPr>
          <w:t>may</w:t>
        </w:r>
        <w:r>
          <w:rPr>
            <w:spacing w:val="14"/>
            <w:vertAlign w:val="baseline"/>
          </w:rPr>
          <w:t> </w:t>
        </w:r>
        <w:r>
          <w:rPr>
            <w:vertAlign w:val="baseline"/>
          </w:rPr>
          <w:t>also</w:t>
        </w:r>
        <w:r>
          <w:rPr>
            <w:spacing w:val="14"/>
            <w:vertAlign w:val="baseline"/>
          </w:rPr>
          <w:t> </w:t>
        </w:r>
        <w:r>
          <w:rPr>
            <w:vertAlign w:val="baseline"/>
          </w:rPr>
          <w:t>be</w:t>
        </w:r>
        <w:r>
          <w:rPr>
            <w:spacing w:val="14"/>
            <w:vertAlign w:val="baseline"/>
          </w:rPr>
          <w:t> </w:t>
        </w:r>
        <w:r>
          <w:rPr>
            <w:vertAlign w:val="baseline"/>
          </w:rPr>
          <w:t>relevant.</w:t>
        </w:r>
        <w:r>
          <w:rPr>
            <w:spacing w:val="14"/>
            <w:vertAlign w:val="baseline"/>
          </w:rPr>
          <w:t> </w:t>
        </w:r>
        <w:r>
          <w:rPr>
            <w:vertAlign w:val="baseline"/>
          </w:rPr>
          <w:t>Though</w:t>
        </w:r>
        <w:r>
          <w:rPr>
            <w:spacing w:val="14"/>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usually</w:t>
        </w:r>
        <w:r>
          <w:rPr>
            <w:spacing w:val="14"/>
            <w:vertAlign w:val="baseline"/>
          </w:rPr>
          <w:t> </w:t>
        </w:r>
        <w:r>
          <w:rPr>
            <w:vertAlign w:val="baseline"/>
          </w:rPr>
          <w:t>accepted</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spacing w:val="-2"/>
            <w:vertAlign w:val="baseline"/>
          </w:rPr>
          <w:t>words</w:t>
        </w:r>
      </w:hyperlink>
    </w:p>
    <w:p>
      <w:pPr>
        <w:pStyle w:val="BodyText"/>
        <w:spacing w:line="235" w:lineRule="auto" w:before="120"/>
        <w:ind w:left="22" w:right="25"/>
        <w:jc w:val="both"/>
      </w:pPr>
      <w:r>
        <w:rPr/>
        <w:t>used by the parties are not determinative, </w:t>
      </w:r>
      <w:hyperlink w:history="true" w:anchor="_bookmark275">
        <w:r>
          <w:rPr>
            <w:color w:val="005DA1"/>
            <w:u w:val="single" w:color="005DA1"/>
            <w:vertAlign w:val="superscript"/>
          </w:rPr>
          <w:t>1009</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vertAlign w:val="baseline"/>
          </w:rPr>
          <w:t> </w:t>
        </w:r>
        <w:r>
          <w:rPr>
            <w:vertAlign w:val="baseline"/>
          </w:rPr>
          <w:t>if the parties’ intention was to compensate rather than to deter, it seems that the validity of the clause should be judged by whether it is extravagant by comparison to a “genuine pre-estimate” test, disregarding any interest that might have justified a </w:t>
        </w:r>
        <w:r>
          <w:rPr>
            <w:spacing w:val="-2"/>
            <w:vertAlign w:val="baseline"/>
          </w:rPr>
          <w:t>deterrent.</w:t>
        </w:r>
      </w:hyperlink>
    </w:p>
    <w:p>
      <w:pPr>
        <w:pStyle w:val="BodyText"/>
      </w:pPr>
    </w:p>
    <w:p>
      <w:pPr>
        <w:pStyle w:val="BodyText"/>
        <w:spacing w:before="38"/>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185548</wp:posOffset>
                </wp:positionV>
                <wp:extent cx="572452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0145pt;width:450.75pt;height:.1pt;mso-position-horizontal-relative:page;mso-position-vertical-relative:paragraph;z-index:-15718400;mso-wrap-distance-left:0;mso-wrap-distance-right:0" id="docshape4" coordorigin="1440,292" coordsize="9015,0" path="m1440,292l10454,292e" filled="false" stroked="true" strokeweight="1pt" strokecolor="#000000">
                <v:path arrowok="t"/>
                <v:stroke dashstyle="solid"/>
                <w10:wrap type="topAndBottom"/>
              </v:shape>
            </w:pict>
          </mc:Fallback>
        </mc:AlternateContent>
      </w:r>
    </w:p>
    <w:p>
      <w:pPr>
        <w:pStyle w:val="BodyText"/>
        <w:spacing w:before="9"/>
      </w:pPr>
    </w:p>
    <w:p>
      <w:pPr>
        <w:pStyle w:val="BodyText"/>
        <w:spacing w:after="0"/>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39392">
            <wp:simplePos x="0" y="0"/>
            <wp:positionH relativeFrom="page">
              <wp:posOffset>1257846</wp:posOffset>
            </wp:positionH>
            <wp:positionV relativeFrom="paragraph">
              <wp:posOffset>160286</wp:posOffset>
            </wp:positionV>
            <wp:extent cx="107988" cy="107988"/>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36" w:id="238"/>
      <w:bookmarkEnd w:id="238"/>
      <w:r>
        <w:rPr/>
      </w:r>
      <w:hyperlink w:history="true" w:anchor="_bookmark195">
        <w:r>
          <w:rPr>
            <w:color w:val="005DA1"/>
            <w:spacing w:val="-4"/>
            <w:sz w:val="14"/>
            <w:u w:val="single" w:color="005DA1"/>
          </w:rPr>
          <w:t>969</w:t>
        </w:r>
      </w:hyperlink>
      <w:r>
        <w:rPr>
          <w:spacing w:val="-4"/>
          <w:sz w:val="14"/>
        </w:rPr>
        <w:t>.</w:t>
      </w:r>
    </w:p>
    <w:p>
      <w:pPr>
        <w:pStyle w:val="BodyText"/>
        <w:spacing w:line="235" w:lineRule="auto" w:before="212"/>
        <w:ind w:left="23" w:right="25" w:firstLine="170"/>
        <w:jc w:val="both"/>
      </w:pPr>
      <w:r>
        <w:rPr/>
        <w:br w:type="column"/>
      </w:r>
      <w:r>
        <w:rPr/>
        <w:t>A valid agreed damages clause is probably not subject to the Unfair Contract Terms Act 1977 (see Vol.I, paras 15-062 et seq.), even if it is set at a figure below the likely loss, see </w:t>
      </w:r>
      <w:r>
        <w:rPr/>
        <w:t>below, para.26-180. cf. however, the Unfair Terms in Consumer Contracts Regulations 1999 and Consumer Rights Act 2015 (below, para.26-180).</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237" w:id="239"/>
      <w:bookmarkEnd w:id="239"/>
      <w:r>
        <w:rPr/>
      </w:r>
      <w:hyperlink w:history="true" w:anchor="_bookmark196">
        <w:r>
          <w:rPr>
            <w:color w:val="005DA1"/>
            <w:spacing w:val="-4"/>
            <w:sz w:val="14"/>
            <w:u w:val="single" w:color="005DA1"/>
          </w:rPr>
          <w:t>970</w:t>
        </w:r>
      </w:hyperlink>
      <w:r>
        <w:rPr>
          <w:spacing w:val="-4"/>
          <w:sz w:val="14"/>
        </w:rPr>
        <w:t>.</w:t>
      </w:r>
    </w:p>
    <w:p>
      <w:pPr>
        <w:spacing w:line="227" w:lineRule="exact" w:before="209"/>
        <w:ind w:left="193" w:right="0" w:firstLine="0"/>
        <w:jc w:val="left"/>
        <w:rPr>
          <w:sz w:val="20"/>
        </w:rPr>
      </w:pPr>
      <w:r>
        <w:rPr/>
        <w:br w:type="column"/>
      </w:r>
      <w:r>
        <w:rPr>
          <w:rFonts w:ascii="Arial"/>
          <w:i/>
          <w:sz w:val="20"/>
        </w:rPr>
        <w:t>[2015]</w:t>
      </w:r>
      <w:r>
        <w:rPr>
          <w:rFonts w:ascii="Arial"/>
          <w:i/>
          <w:spacing w:val="42"/>
          <w:sz w:val="20"/>
        </w:rPr>
        <w:t> </w:t>
      </w:r>
      <w:r>
        <w:rPr>
          <w:rFonts w:ascii="Arial"/>
          <w:i/>
          <w:sz w:val="20"/>
        </w:rPr>
        <w:t>UKSC</w:t>
      </w:r>
      <w:r>
        <w:rPr>
          <w:rFonts w:ascii="Arial"/>
          <w:i/>
          <w:spacing w:val="43"/>
          <w:sz w:val="20"/>
        </w:rPr>
        <w:t> </w:t>
      </w:r>
      <w:r>
        <w:rPr>
          <w:rFonts w:ascii="Arial"/>
          <w:i/>
          <w:sz w:val="20"/>
        </w:rPr>
        <w:t>67,</w:t>
      </w:r>
      <w:r>
        <w:rPr>
          <w:rFonts w:ascii="Arial"/>
          <w:i/>
          <w:spacing w:val="43"/>
          <w:sz w:val="20"/>
        </w:rPr>
        <w:t> </w:t>
      </w:r>
      <w:r>
        <w:rPr>
          <w:rFonts w:ascii="Arial"/>
          <w:i/>
          <w:sz w:val="20"/>
        </w:rPr>
        <w:t>[2016]</w:t>
      </w:r>
      <w:r>
        <w:rPr>
          <w:rFonts w:ascii="Arial"/>
          <w:i/>
          <w:spacing w:val="43"/>
          <w:sz w:val="20"/>
        </w:rPr>
        <w:t> </w:t>
      </w:r>
      <w:r>
        <w:rPr>
          <w:rFonts w:ascii="Arial"/>
          <w:i/>
          <w:sz w:val="20"/>
        </w:rPr>
        <w:t>A.C.</w:t>
      </w:r>
      <w:r>
        <w:rPr>
          <w:rFonts w:ascii="Arial"/>
          <w:i/>
          <w:spacing w:val="43"/>
          <w:sz w:val="20"/>
        </w:rPr>
        <w:t> </w:t>
      </w:r>
      <w:r>
        <w:rPr>
          <w:rFonts w:ascii="Arial"/>
          <w:i/>
          <w:sz w:val="20"/>
        </w:rPr>
        <w:t>1172</w:t>
      </w:r>
      <w:r>
        <w:rPr>
          <w:sz w:val="20"/>
        </w:rPr>
        <w:t>,</w:t>
      </w:r>
      <w:r>
        <w:rPr>
          <w:spacing w:val="43"/>
          <w:sz w:val="20"/>
        </w:rPr>
        <w:t> </w:t>
      </w:r>
      <w:r>
        <w:rPr>
          <w:sz w:val="20"/>
        </w:rPr>
        <w:t>noted</w:t>
      </w:r>
      <w:r>
        <w:rPr>
          <w:spacing w:val="43"/>
          <w:sz w:val="20"/>
        </w:rPr>
        <w:t> </w:t>
      </w:r>
      <w:r>
        <w:rPr>
          <w:sz w:val="20"/>
        </w:rPr>
        <w:t>by</w:t>
      </w:r>
      <w:r>
        <w:rPr>
          <w:spacing w:val="43"/>
          <w:sz w:val="20"/>
        </w:rPr>
        <w:t> </w:t>
      </w:r>
      <w:r>
        <w:rPr>
          <w:sz w:val="20"/>
        </w:rPr>
        <w:t>Conte</w:t>
      </w:r>
      <w:r>
        <w:rPr>
          <w:spacing w:val="43"/>
          <w:sz w:val="20"/>
        </w:rPr>
        <w:t> </w:t>
      </w:r>
      <w:r>
        <w:rPr>
          <w:sz w:val="20"/>
        </w:rPr>
        <w:t>(2016)</w:t>
      </w:r>
      <w:r>
        <w:rPr>
          <w:spacing w:val="43"/>
          <w:sz w:val="20"/>
        </w:rPr>
        <w:t> </w:t>
      </w:r>
      <w:r>
        <w:rPr>
          <w:sz w:val="20"/>
        </w:rPr>
        <w:t>132</w:t>
      </w:r>
      <w:r>
        <w:rPr>
          <w:spacing w:val="43"/>
          <w:sz w:val="20"/>
        </w:rPr>
        <w:t> </w:t>
      </w:r>
      <w:r>
        <w:rPr>
          <w:sz w:val="20"/>
        </w:rPr>
        <w:t>L.Q.R.</w:t>
      </w:r>
      <w:r>
        <w:rPr>
          <w:spacing w:val="43"/>
          <w:sz w:val="20"/>
        </w:rPr>
        <w:t> </w:t>
      </w:r>
      <w:r>
        <w:rPr>
          <w:sz w:val="20"/>
        </w:rPr>
        <w:t>382</w:t>
      </w:r>
      <w:r>
        <w:rPr>
          <w:spacing w:val="43"/>
          <w:sz w:val="20"/>
        </w:rPr>
        <w:t> </w:t>
      </w:r>
      <w:r>
        <w:rPr>
          <w:sz w:val="20"/>
        </w:rPr>
        <w:t>and</w:t>
      </w:r>
      <w:r>
        <w:rPr>
          <w:spacing w:val="43"/>
          <w:sz w:val="20"/>
        </w:rPr>
        <w:t> </w:t>
      </w:r>
      <w:r>
        <w:rPr>
          <w:spacing w:val="-2"/>
          <w:sz w:val="20"/>
        </w:rPr>
        <w:t>Morgan</w:t>
      </w:r>
    </w:p>
    <w:p>
      <w:pPr>
        <w:spacing w:line="235" w:lineRule="auto" w:before="1"/>
        <w:ind w:left="23" w:right="26" w:firstLine="0"/>
        <w:jc w:val="left"/>
        <w:rPr>
          <w:sz w:val="20"/>
        </w:rPr>
      </w:pPr>
      <w:r>
        <w:rPr>
          <w:sz w:val="20"/>
        </w:rPr>
        <w:drawing>
          <wp:anchor distT="0" distB="0" distL="0" distR="0" allowOverlap="1" layoutInCell="1" locked="0" behindDoc="0" simplePos="0" relativeHeight="15739904">
            <wp:simplePos x="0" y="0"/>
            <wp:positionH relativeFrom="page">
              <wp:posOffset>1257846</wp:posOffset>
            </wp:positionH>
            <wp:positionV relativeFrom="paragraph">
              <wp:posOffset>-116574</wp:posOffset>
            </wp:positionV>
            <wp:extent cx="107988" cy="107988"/>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7" cstate="print"/>
                    <a:stretch>
                      <a:fillRect/>
                    </a:stretch>
                  </pic:blipFill>
                  <pic:spPr>
                    <a:xfrm>
                      <a:off x="0" y="0"/>
                      <a:ext cx="107988" cy="107988"/>
                    </a:xfrm>
                    <a:prstGeom prst="rect">
                      <a:avLst/>
                    </a:prstGeom>
                  </pic:spPr>
                </pic:pic>
              </a:graphicData>
            </a:graphic>
          </wp:anchor>
        </w:drawing>
      </w:r>
      <w:r>
        <w:rPr>
          <w:sz w:val="20"/>
        </w:rPr>
        <w:t>[2016]</w:t>
      </w:r>
      <w:r>
        <w:rPr>
          <w:spacing w:val="34"/>
          <w:sz w:val="20"/>
        </w:rPr>
        <w:t> </w:t>
      </w:r>
      <w:r>
        <w:rPr>
          <w:sz w:val="20"/>
        </w:rPr>
        <w:t>C.L.J.</w:t>
      </w:r>
      <w:r>
        <w:rPr>
          <w:spacing w:val="34"/>
          <w:sz w:val="20"/>
        </w:rPr>
        <w:t> </w:t>
      </w:r>
      <w:r>
        <w:rPr>
          <w:sz w:val="20"/>
        </w:rPr>
        <w:t>11.</w:t>
      </w:r>
      <w:r>
        <w:rPr>
          <w:spacing w:val="34"/>
          <w:sz w:val="20"/>
        </w:rPr>
        <w:t> </w:t>
      </w:r>
      <w:r>
        <w:rPr>
          <w:sz w:val="20"/>
        </w:rPr>
        <w:t>In</w:t>
      </w:r>
      <w:r>
        <w:rPr>
          <w:spacing w:val="34"/>
          <w:sz w:val="20"/>
        </w:rPr>
        <w:t> </w:t>
      </w:r>
      <w:r>
        <w:rPr>
          <w:sz w:val="20"/>
        </w:rPr>
        <w:t>what</w:t>
      </w:r>
      <w:r>
        <w:rPr>
          <w:spacing w:val="34"/>
          <w:sz w:val="20"/>
        </w:rPr>
        <w:t> </w:t>
      </w:r>
      <w:r>
        <w:rPr>
          <w:sz w:val="20"/>
        </w:rPr>
        <w:t>follows</w:t>
      </w:r>
      <w:r>
        <w:rPr>
          <w:spacing w:val="34"/>
          <w:sz w:val="20"/>
        </w:rPr>
        <w:t> </w:t>
      </w:r>
      <w:r>
        <w:rPr>
          <w:sz w:val="20"/>
        </w:rPr>
        <w:t>the</w:t>
      </w:r>
      <w:r>
        <w:rPr>
          <w:spacing w:val="34"/>
          <w:sz w:val="20"/>
        </w:rPr>
        <w:t> </w:t>
      </w:r>
      <w:r>
        <w:rPr>
          <w:sz w:val="20"/>
        </w:rPr>
        <w:t>decisions</w:t>
      </w:r>
      <w:r>
        <w:rPr>
          <w:spacing w:val="34"/>
          <w:sz w:val="20"/>
        </w:rPr>
        <w:t> </w:t>
      </w:r>
      <w:r>
        <w:rPr>
          <w:sz w:val="20"/>
        </w:rPr>
        <w:t>will</w:t>
      </w:r>
      <w:r>
        <w:rPr>
          <w:spacing w:val="34"/>
          <w:sz w:val="20"/>
        </w:rPr>
        <w:t> </w:t>
      </w:r>
      <w:r>
        <w:rPr>
          <w:sz w:val="20"/>
        </w:rPr>
        <w:t>frequently</w:t>
      </w:r>
      <w:r>
        <w:rPr>
          <w:spacing w:val="34"/>
          <w:sz w:val="20"/>
        </w:rPr>
        <w:t> </w:t>
      </w:r>
      <w:r>
        <w:rPr>
          <w:sz w:val="20"/>
        </w:rPr>
        <w:t>be</w:t>
      </w:r>
      <w:r>
        <w:rPr>
          <w:spacing w:val="34"/>
          <w:sz w:val="20"/>
        </w:rPr>
        <w:t> </w:t>
      </w:r>
      <w:r>
        <w:rPr>
          <w:sz w:val="20"/>
        </w:rPr>
        <w:t>referred</w:t>
      </w:r>
      <w:r>
        <w:rPr>
          <w:spacing w:val="34"/>
          <w:sz w:val="20"/>
        </w:rPr>
        <w:t> </w:t>
      </w:r>
      <w:r>
        <w:rPr>
          <w:sz w:val="20"/>
        </w:rPr>
        <w:t>to</w:t>
      </w:r>
      <w:r>
        <w:rPr>
          <w:spacing w:val="34"/>
          <w:sz w:val="20"/>
        </w:rPr>
        <w:t> </w:t>
      </w:r>
      <w:r>
        <w:rPr>
          <w:sz w:val="20"/>
        </w:rPr>
        <w:t>as</w:t>
      </w:r>
      <w:r>
        <w:rPr>
          <w:spacing w:val="34"/>
          <w:sz w:val="20"/>
        </w:rPr>
        <w:t> </w:t>
      </w:r>
      <w:r>
        <w:rPr>
          <w:sz w:val="20"/>
        </w:rPr>
        <w:t>“</w:t>
      </w:r>
      <w:r>
        <w:rPr>
          <w:spacing w:val="-20"/>
          <w:sz w:val="20"/>
        </w:rPr>
        <w:t> </w:t>
      </w:r>
      <w:r>
        <w:rPr>
          <w:rFonts w:ascii="Arial" w:hAnsi="Arial"/>
          <w:i/>
          <w:sz w:val="20"/>
        </w:rPr>
        <w:t>Cavendish Square</w:t>
      </w:r>
      <w:r>
        <w:rPr>
          <w:sz w:val="20"/>
        </w:rPr>
        <w:t>” and “</w:t>
      </w:r>
      <w:r>
        <w:rPr>
          <w:rFonts w:ascii="Arial" w:hAnsi="Arial"/>
          <w:i/>
          <w:sz w:val="20"/>
        </w:rPr>
        <w:t>ParkingEye</w:t>
      </w:r>
      <w:r>
        <w:rPr>
          <w:sz w:val="20"/>
        </w:rPr>
        <w:t>”.</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238" w:id="240"/>
      <w:bookmarkEnd w:id="240"/>
      <w:r>
        <w:rPr/>
      </w:r>
      <w:hyperlink w:history="true" w:anchor="_bookmark197">
        <w:r>
          <w:rPr>
            <w:color w:val="005DA1"/>
            <w:spacing w:val="-4"/>
            <w:sz w:val="14"/>
            <w:u w:val="single" w:color="005DA1"/>
          </w:rPr>
          <w:t>971</w:t>
        </w:r>
      </w:hyperlink>
      <w:r>
        <w:rPr>
          <w:spacing w:val="-4"/>
          <w:sz w:val="14"/>
        </w:rPr>
        <w:t>.</w:t>
      </w:r>
    </w:p>
    <w:p>
      <w:pPr>
        <w:spacing w:line="235" w:lineRule="auto" w:before="212"/>
        <w:ind w:left="23" w:right="25" w:firstLine="170"/>
        <w:jc w:val="both"/>
        <w:rPr>
          <w:rFonts w:ascii="Arial"/>
          <w:i/>
          <w:sz w:val="20"/>
        </w:rPr>
      </w:pPr>
      <w:r>
        <w:rPr/>
        <w:br w:type="column"/>
      </w:r>
      <w:r>
        <w:rPr>
          <w:sz w:val="20"/>
        </w:rPr>
        <w:t>See the test laid down by Lord Dunedin in </w:t>
      </w:r>
      <w:r>
        <w:rPr>
          <w:rFonts w:ascii="Arial"/>
          <w:i/>
          <w:sz w:val="20"/>
        </w:rPr>
        <w:t>Dunlop Pneumatic Tyre Co Ltd v New Garage </w:t>
      </w:r>
      <w:r>
        <w:rPr>
          <w:rFonts w:ascii="Arial"/>
          <w:i/>
          <w:sz w:val="20"/>
        </w:rPr>
        <w:t>&amp; Motor Co Ltd [1915] A.C. 79</w:t>
      </w:r>
      <w:r>
        <w:rPr>
          <w:sz w:val="20"/>
        </w:rPr>
        <w:t>, below, para.26-182. It is presumed that a party has a legitimate interest in recovering its likely loss: </w:t>
      </w:r>
      <w:r>
        <w:rPr>
          <w:rFonts w:ascii="Arial"/>
          <w:i/>
          <w:sz w:val="20"/>
        </w:rPr>
        <w:t>Cavendish Square [2015] UKSC 67 </w:t>
      </w:r>
      <w:r>
        <w:rPr>
          <w:sz w:val="20"/>
        </w:rPr>
        <w:t>at [32]. cf. a performance bond, which is </w:t>
      </w:r>
      <w:r>
        <w:rPr>
          <w:rFonts w:ascii="Arial"/>
          <w:i/>
          <w:sz w:val="20"/>
        </w:rPr>
        <w:t>not </w:t>
      </w:r>
      <w:r>
        <w:rPr>
          <w:sz w:val="20"/>
        </w:rPr>
        <w:t>an estimate of the damage which might be caused by a breach of</w:t>
      </w:r>
      <w:r>
        <w:rPr>
          <w:spacing w:val="25"/>
          <w:sz w:val="20"/>
        </w:rPr>
        <w:t> </w:t>
      </w:r>
      <w:r>
        <w:rPr>
          <w:sz w:val="20"/>
        </w:rPr>
        <w:t>contract:</w:t>
      </w:r>
      <w:r>
        <w:rPr>
          <w:spacing w:val="25"/>
          <w:sz w:val="20"/>
        </w:rPr>
        <w:t> </w:t>
      </w:r>
      <w:r>
        <w:rPr>
          <w:rFonts w:ascii="Arial"/>
          <w:i/>
          <w:sz w:val="20"/>
        </w:rPr>
        <w:t>Cargill</w:t>
      </w:r>
      <w:r>
        <w:rPr>
          <w:rFonts w:ascii="Arial"/>
          <w:i/>
          <w:spacing w:val="25"/>
          <w:sz w:val="20"/>
        </w:rPr>
        <w:t> </w:t>
      </w:r>
      <w:r>
        <w:rPr>
          <w:rFonts w:ascii="Arial"/>
          <w:i/>
          <w:sz w:val="20"/>
        </w:rPr>
        <w:t>International</w:t>
      </w:r>
      <w:r>
        <w:rPr>
          <w:rFonts w:ascii="Arial"/>
          <w:i/>
          <w:spacing w:val="25"/>
          <w:sz w:val="20"/>
        </w:rPr>
        <w:t> </w:t>
      </w:r>
      <w:r>
        <w:rPr>
          <w:rFonts w:ascii="Arial"/>
          <w:i/>
          <w:sz w:val="20"/>
        </w:rPr>
        <w:t>SA</w:t>
      </w:r>
      <w:r>
        <w:rPr>
          <w:rFonts w:ascii="Arial"/>
          <w:i/>
          <w:spacing w:val="25"/>
          <w:sz w:val="20"/>
        </w:rPr>
        <w:t> </w:t>
      </w:r>
      <w:r>
        <w:rPr>
          <w:rFonts w:ascii="Arial"/>
          <w:i/>
          <w:sz w:val="20"/>
        </w:rPr>
        <w:t>v</w:t>
      </w:r>
      <w:r>
        <w:rPr>
          <w:rFonts w:ascii="Arial"/>
          <w:i/>
          <w:spacing w:val="25"/>
          <w:sz w:val="20"/>
        </w:rPr>
        <w:t> </w:t>
      </w:r>
      <w:r>
        <w:rPr>
          <w:rFonts w:ascii="Arial"/>
          <w:i/>
          <w:sz w:val="20"/>
        </w:rPr>
        <w:t>Bangladesh</w:t>
      </w:r>
      <w:r>
        <w:rPr>
          <w:rFonts w:ascii="Arial"/>
          <w:i/>
          <w:spacing w:val="25"/>
          <w:sz w:val="20"/>
        </w:rPr>
        <w:t> </w:t>
      </w:r>
      <w:r>
        <w:rPr>
          <w:rFonts w:ascii="Arial"/>
          <w:i/>
          <w:sz w:val="20"/>
        </w:rPr>
        <w:t>Sugar</w:t>
      </w:r>
      <w:r>
        <w:rPr>
          <w:rFonts w:ascii="Arial"/>
          <w:i/>
          <w:spacing w:val="25"/>
          <w:sz w:val="20"/>
        </w:rPr>
        <w:t> </w:t>
      </w:r>
      <w:r>
        <w:rPr>
          <w:rFonts w:ascii="Arial"/>
          <w:i/>
          <w:sz w:val="20"/>
        </w:rPr>
        <w:t>&amp;</w:t>
      </w:r>
      <w:r>
        <w:rPr>
          <w:rFonts w:ascii="Arial"/>
          <w:i/>
          <w:spacing w:val="25"/>
          <w:sz w:val="20"/>
        </w:rPr>
        <w:t> </w:t>
      </w:r>
      <w:r>
        <w:rPr>
          <w:rFonts w:ascii="Arial"/>
          <w:i/>
          <w:sz w:val="20"/>
        </w:rPr>
        <w:t>Food</w:t>
      </w:r>
      <w:r>
        <w:rPr>
          <w:rFonts w:ascii="Arial"/>
          <w:i/>
          <w:spacing w:val="25"/>
          <w:sz w:val="20"/>
        </w:rPr>
        <w:t> </w:t>
      </w:r>
      <w:r>
        <w:rPr>
          <w:rFonts w:ascii="Arial"/>
          <w:i/>
          <w:sz w:val="20"/>
        </w:rPr>
        <w:t>Industries</w:t>
      </w:r>
      <w:r>
        <w:rPr>
          <w:rFonts w:ascii="Arial"/>
          <w:i/>
          <w:spacing w:val="25"/>
          <w:sz w:val="20"/>
        </w:rPr>
        <w:t> </w:t>
      </w:r>
      <w:r>
        <w:rPr>
          <w:rFonts w:ascii="Arial"/>
          <w:i/>
          <w:sz w:val="20"/>
        </w:rPr>
        <w:t>Corp</w:t>
      </w:r>
      <w:r>
        <w:rPr>
          <w:rFonts w:ascii="Arial"/>
          <w:i/>
          <w:spacing w:val="25"/>
          <w:sz w:val="20"/>
        </w:rPr>
        <w:t> </w:t>
      </w:r>
      <w:r>
        <w:rPr>
          <w:rFonts w:ascii="Arial"/>
          <w:i/>
          <w:sz w:val="20"/>
        </w:rPr>
        <w:t>[1996]</w:t>
      </w:r>
      <w:r>
        <w:rPr>
          <w:rFonts w:ascii="Arial"/>
          <w:i/>
          <w:spacing w:val="25"/>
          <w:sz w:val="20"/>
        </w:rPr>
        <w:t> </w:t>
      </w:r>
      <w:r>
        <w:rPr>
          <w:rFonts w:ascii="Arial"/>
          <w:i/>
          <w:sz w:val="20"/>
        </w:rPr>
        <w:t>4</w:t>
      </w:r>
      <w:r>
        <w:rPr>
          <w:rFonts w:ascii="Arial"/>
          <w:i/>
          <w:spacing w:val="25"/>
          <w:sz w:val="20"/>
        </w:rPr>
        <w:t> </w:t>
      </w:r>
      <w:r>
        <w:rPr>
          <w:rFonts w:ascii="Arial"/>
          <w:i/>
          <w:spacing w:val="-5"/>
          <w:sz w:val="20"/>
        </w:rPr>
        <w:t>All</w:t>
      </w:r>
    </w:p>
    <w:p>
      <w:pPr>
        <w:spacing w:line="224" w:lineRule="exact" w:before="0"/>
        <w:ind w:left="23" w:right="0" w:firstLine="0"/>
        <w:jc w:val="left"/>
        <w:rPr>
          <w:sz w:val="20"/>
        </w:rPr>
      </w:pPr>
      <w:r>
        <w:rPr>
          <w:sz w:val="20"/>
        </w:rPr>
        <w:drawing>
          <wp:anchor distT="0" distB="0" distL="0" distR="0" allowOverlap="1" layoutInCell="1" locked="0" behindDoc="0" simplePos="0" relativeHeight="15740416">
            <wp:simplePos x="0" y="0"/>
            <wp:positionH relativeFrom="page">
              <wp:posOffset>1257846</wp:posOffset>
            </wp:positionH>
            <wp:positionV relativeFrom="paragraph">
              <wp:posOffset>-689760</wp:posOffset>
            </wp:positionV>
            <wp:extent cx="107988" cy="107988"/>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E.R.</w:t>
      </w:r>
      <w:r>
        <w:rPr>
          <w:rFonts w:ascii="Arial" w:hAnsi="Arial"/>
          <w:i/>
          <w:spacing w:val="-1"/>
          <w:sz w:val="20"/>
        </w:rPr>
        <w:t> </w:t>
      </w:r>
      <w:r>
        <w:rPr>
          <w:rFonts w:ascii="Arial" w:hAnsi="Arial"/>
          <w:i/>
          <w:sz w:val="20"/>
        </w:rPr>
        <w:t>563</w:t>
      </w:r>
      <w:r>
        <w:rPr>
          <w:sz w:val="20"/>
        </w:rPr>
        <w:t>; </w:t>
      </w:r>
      <w:r>
        <w:rPr>
          <w:rFonts w:ascii="Arial" w:hAnsi="Arial"/>
          <w:i/>
          <w:sz w:val="20"/>
        </w:rPr>
        <w:t>Comdel Commodities Ltd v Siporex Trade SA [1997] 1 Lloyd’s Rep. 424 </w:t>
      </w:r>
      <w:r>
        <w:rPr>
          <w:rFonts w:ascii="Arial" w:hAnsi="Arial"/>
          <w:i/>
          <w:spacing w:val="-5"/>
          <w:sz w:val="20"/>
        </w:rPr>
        <w:t>CA</w:t>
      </w:r>
      <w:r>
        <w:rPr>
          <w:spacing w:val="-5"/>
          <w:sz w:val="20"/>
        </w:rPr>
        <w:t>.</w:t>
      </w:r>
    </w:p>
    <w:p>
      <w:pPr>
        <w:spacing w:after="0" w:line="224" w:lineRule="exact"/>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239" w:id="241"/>
      <w:bookmarkEnd w:id="241"/>
      <w:r>
        <w:rPr/>
      </w:r>
      <w:hyperlink w:history="true" w:anchor="_bookmark198">
        <w:r>
          <w:rPr>
            <w:color w:val="005DA1"/>
            <w:spacing w:val="-4"/>
            <w:sz w:val="14"/>
            <w:u w:val="single" w:color="005DA1"/>
          </w:rPr>
          <w:t>972</w:t>
        </w:r>
      </w:hyperlink>
      <w:r>
        <w:rPr>
          <w:spacing w:val="-4"/>
          <w:sz w:val="14"/>
        </w:rPr>
        <w:t>.</w:t>
      </w:r>
    </w:p>
    <w:p>
      <w:pPr>
        <w:spacing w:line="235" w:lineRule="auto" w:before="212"/>
        <w:ind w:left="23" w:right="25" w:firstLine="170"/>
        <w:jc w:val="both"/>
        <w:rPr>
          <w:rFonts w:ascii="Arial" w:hAnsi="Arial"/>
          <w:i/>
          <w:sz w:val="20"/>
        </w:rPr>
      </w:pPr>
      <w:r>
        <w:rPr/>
        <w:br w:type="column"/>
      </w:r>
      <w:r>
        <w:rPr>
          <w:rFonts w:ascii="Arial" w:hAnsi="Arial"/>
          <w:i/>
          <w:sz w:val="20"/>
        </w:rPr>
        <w:t>Lordsvale Finance Plc v Bank of Zambia [1996] Q.B. 752, 762–764</w:t>
      </w:r>
      <w:r>
        <w:rPr>
          <w:sz w:val="20"/>
        </w:rPr>
        <w:t>; </w:t>
      </w:r>
      <w:r>
        <w:rPr>
          <w:rFonts w:ascii="Arial" w:hAnsi="Arial"/>
          <w:i/>
          <w:sz w:val="20"/>
        </w:rPr>
        <w:t>United International Pictures v Cine Bes Filmcilik ve Yapimcilik AS [2003] EWCA Civ 1669 </w:t>
      </w:r>
      <w:r>
        <w:rPr>
          <w:sz w:val="20"/>
        </w:rPr>
        <w:t>at [15]; </w:t>
      </w:r>
      <w:r>
        <w:rPr>
          <w:rFonts w:ascii="Arial" w:hAnsi="Arial"/>
          <w:i/>
          <w:sz w:val="20"/>
        </w:rPr>
        <w:t>Euro London Appointments</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Claessens</w:t>
      </w:r>
      <w:r>
        <w:rPr>
          <w:rFonts w:ascii="Arial" w:hAnsi="Arial"/>
          <w:i/>
          <w:spacing w:val="22"/>
          <w:sz w:val="20"/>
        </w:rPr>
        <w:t> </w:t>
      </w:r>
      <w:r>
        <w:rPr>
          <w:rFonts w:ascii="Arial" w:hAnsi="Arial"/>
          <w:i/>
          <w:sz w:val="20"/>
        </w:rPr>
        <w:t>International</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[2006]</w:t>
      </w:r>
      <w:r>
        <w:rPr>
          <w:rFonts w:ascii="Arial" w:hAnsi="Arial"/>
          <w:i/>
          <w:spacing w:val="22"/>
          <w:sz w:val="20"/>
        </w:rPr>
        <w:t> </w:t>
      </w:r>
      <w:r>
        <w:rPr>
          <w:rFonts w:ascii="Arial" w:hAnsi="Arial"/>
          <w:i/>
          <w:sz w:val="20"/>
        </w:rPr>
        <w:t>EWCA</w:t>
      </w:r>
      <w:r>
        <w:rPr>
          <w:rFonts w:ascii="Arial" w:hAnsi="Arial"/>
          <w:i/>
          <w:spacing w:val="22"/>
          <w:sz w:val="20"/>
        </w:rPr>
        <w:t> </w:t>
      </w:r>
      <w:r>
        <w:rPr>
          <w:rFonts w:ascii="Arial" w:hAnsi="Arial"/>
          <w:i/>
          <w:sz w:val="20"/>
        </w:rPr>
        <w:t>Civ</w:t>
      </w:r>
      <w:r>
        <w:rPr>
          <w:rFonts w:ascii="Arial" w:hAnsi="Arial"/>
          <w:i/>
          <w:spacing w:val="22"/>
          <w:sz w:val="20"/>
        </w:rPr>
        <w:t> </w:t>
      </w:r>
      <w:r>
        <w:rPr>
          <w:rFonts w:ascii="Arial" w:hAnsi="Arial"/>
          <w:i/>
          <w:sz w:val="20"/>
        </w:rPr>
        <w:t>385,</w:t>
      </w:r>
      <w:r>
        <w:rPr>
          <w:rFonts w:ascii="Arial" w:hAnsi="Arial"/>
          <w:i/>
          <w:spacing w:val="22"/>
          <w:sz w:val="20"/>
        </w:rPr>
        <w:t> </w:t>
      </w:r>
      <w:r>
        <w:rPr>
          <w:rFonts w:ascii="Arial" w:hAnsi="Arial"/>
          <w:i/>
          <w:sz w:val="20"/>
        </w:rPr>
        <w:t>[2006]</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pacing w:val="-4"/>
          <w:sz w:val="20"/>
        </w:rPr>
        <w:t>Rep.</w:t>
      </w:r>
    </w:p>
    <w:p>
      <w:pPr>
        <w:spacing w:line="235" w:lineRule="auto" w:before="0"/>
        <w:ind w:left="23" w:right="25" w:firstLine="0"/>
        <w:jc w:val="both"/>
        <w:rPr>
          <w:sz w:val="20"/>
        </w:rPr>
      </w:pPr>
      <w:r>
        <w:rPr>
          <w:sz w:val="20"/>
        </w:rPr>
        <w:drawing>
          <wp:anchor distT="0" distB="0" distL="0" distR="0" allowOverlap="1" layoutInCell="1" locked="0" behindDoc="0" simplePos="0" relativeHeight="15740928">
            <wp:simplePos x="0" y="0"/>
            <wp:positionH relativeFrom="page">
              <wp:posOffset>1257846</wp:posOffset>
            </wp:positionH>
            <wp:positionV relativeFrom="paragraph">
              <wp:posOffset>-403664</wp:posOffset>
            </wp:positionV>
            <wp:extent cx="107988" cy="107988"/>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436 </w:t>
      </w:r>
      <w:r>
        <w:rPr>
          <w:sz w:val="20"/>
        </w:rPr>
        <w:t>at [30]; </w:t>
      </w:r>
      <w:r>
        <w:rPr>
          <w:rFonts w:ascii="Arial" w:hAnsi="Arial"/>
          <w:i/>
          <w:sz w:val="20"/>
        </w:rPr>
        <w:t>General Trading Co (Holdings) Ltd v Richmond Corp Ltd [2008] EWHC 1479 (Comm), [2008] 2 Lloyd’s Rep. 475</w:t>
      </w:r>
      <w:r>
        <w:rPr>
          <w:sz w:val="20"/>
        </w:rPr>
        <w:t>; </w:t>
      </w:r>
      <w:r>
        <w:rPr>
          <w:rFonts w:ascii="Arial" w:hAnsi="Arial"/>
          <w:i/>
          <w:sz w:val="20"/>
        </w:rPr>
        <w:t>Makdessi v Cavendish Square Holdings BV [2013] EWCA Civ 1539</w:t>
      </w:r>
      <w:r>
        <w:rPr>
          <w:sz w:val="20"/>
        </w:rPr>
        <w:t>. See further below, paras 26-193—26-194.</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7"/>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160767</wp:posOffset>
            </wp:positionV>
            <wp:extent cx="107988" cy="107988"/>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40" w:id="242"/>
      <w:bookmarkEnd w:id="242"/>
      <w:r>
        <w:rPr/>
      </w:r>
      <w:hyperlink w:history="true" w:anchor="_bookmark199">
        <w:r>
          <w:rPr>
            <w:color w:val="005DA1"/>
            <w:spacing w:val="-4"/>
            <w:sz w:val="14"/>
            <w:u w:val="single" w:color="005DA1"/>
          </w:rPr>
          <w:t>973</w:t>
        </w:r>
      </w:hyperlink>
      <w:r>
        <w:rPr>
          <w:spacing w:val="-4"/>
          <w:sz w:val="14"/>
        </w:rPr>
        <w:t>.</w:t>
      </w:r>
    </w:p>
    <w:p>
      <w:pPr>
        <w:spacing w:line="235" w:lineRule="auto" w:before="213"/>
        <w:ind w:left="23" w:right="25" w:firstLine="170"/>
        <w:jc w:val="both"/>
        <w:rPr>
          <w:sz w:val="20"/>
        </w:rPr>
      </w:pPr>
      <w:r>
        <w:rPr/>
        <w:br w:type="column"/>
      </w:r>
      <w:r>
        <w:rPr>
          <w:rFonts w:ascii="Arial"/>
          <w:i/>
          <w:sz w:val="20"/>
        </w:rPr>
        <w:t>Clydebank Engineering &amp; Shipbuilding Co Ltd v Don Jose Ramos Yzquierdo y Castaneda [1905]</w:t>
      </w:r>
      <w:r>
        <w:rPr>
          <w:rFonts w:ascii="Arial"/>
          <w:i/>
          <w:spacing w:val="-2"/>
          <w:sz w:val="20"/>
        </w:rPr>
        <w:t> </w:t>
      </w:r>
      <w:r>
        <w:rPr>
          <w:rFonts w:ascii="Arial"/>
          <w:i/>
          <w:sz w:val="20"/>
        </w:rPr>
        <w:t>A.C.</w:t>
      </w:r>
      <w:r>
        <w:rPr>
          <w:rFonts w:ascii="Arial"/>
          <w:i/>
          <w:spacing w:val="-2"/>
          <w:sz w:val="20"/>
        </w:rPr>
        <w:t> </w:t>
      </w:r>
      <w:r>
        <w:rPr>
          <w:rFonts w:ascii="Arial"/>
          <w:i/>
          <w:sz w:val="20"/>
        </w:rPr>
        <w:t>6</w:t>
      </w:r>
      <w:r>
        <w:rPr>
          <w:sz w:val="20"/>
        </w:rPr>
        <w:t>.</w:t>
      </w:r>
      <w:r>
        <w:rPr>
          <w:spacing w:val="-2"/>
          <w:sz w:val="20"/>
        </w:rPr>
        <w:t> </w:t>
      </w:r>
      <w:r>
        <w:rPr>
          <w:sz w:val="20"/>
        </w:rPr>
        <w:t>This</w:t>
      </w:r>
      <w:r>
        <w:rPr>
          <w:spacing w:val="-2"/>
          <w:sz w:val="20"/>
        </w:rPr>
        <w:t> </w:t>
      </w:r>
      <w:r>
        <w:rPr>
          <w:sz w:val="20"/>
        </w:rPr>
        <w:t>rule</w:t>
      </w:r>
      <w:r>
        <w:rPr>
          <w:spacing w:val="-2"/>
          <w:sz w:val="20"/>
        </w:rPr>
        <w:t> </w:t>
      </w:r>
      <w:r>
        <w:rPr>
          <w:sz w:val="20"/>
        </w:rPr>
        <w:t>does</w:t>
      </w:r>
      <w:r>
        <w:rPr>
          <w:spacing w:val="-2"/>
          <w:sz w:val="20"/>
        </w:rPr>
        <w:t> </w:t>
      </w:r>
      <w:r>
        <w:rPr>
          <w:sz w:val="20"/>
        </w:rPr>
        <w:t>not</w:t>
      </w:r>
      <w:r>
        <w:rPr>
          <w:spacing w:val="-2"/>
          <w:sz w:val="20"/>
        </w:rPr>
        <w:t> </w:t>
      </w:r>
      <w:r>
        <w:rPr>
          <w:sz w:val="20"/>
        </w:rPr>
        <w:t>apply</w:t>
      </w:r>
      <w:r>
        <w:rPr>
          <w:spacing w:val="-2"/>
          <w:sz w:val="20"/>
        </w:rPr>
        <w:t> </w:t>
      </w:r>
      <w:r>
        <w:rPr>
          <w:sz w:val="20"/>
        </w:rPr>
        <w:t>to</w:t>
      </w:r>
      <w:r>
        <w:rPr>
          <w:spacing w:val="-2"/>
          <w:sz w:val="20"/>
        </w:rPr>
        <w:t> </w:t>
      </w:r>
      <w:r>
        <w:rPr>
          <w:sz w:val="20"/>
        </w:rPr>
        <w:t>deposits,</w:t>
      </w:r>
      <w:r>
        <w:rPr>
          <w:spacing w:val="-2"/>
          <w:sz w:val="20"/>
        </w:rPr>
        <w:t> </w:t>
      </w:r>
      <w:r>
        <w:rPr>
          <w:sz w:val="20"/>
        </w:rPr>
        <w:t>though</w:t>
      </w:r>
      <w:r>
        <w:rPr>
          <w:spacing w:val="-2"/>
          <w:sz w:val="20"/>
        </w:rPr>
        <w:t> </w:t>
      </w:r>
      <w:r>
        <w:rPr>
          <w:sz w:val="20"/>
        </w:rPr>
        <w:t>at</w:t>
      </w:r>
      <w:r>
        <w:rPr>
          <w:spacing w:val="-2"/>
          <w:sz w:val="20"/>
        </w:rPr>
        <w:t> </w:t>
      </w:r>
      <w:r>
        <w:rPr>
          <w:sz w:val="20"/>
        </w:rPr>
        <w:t>least</w:t>
      </w:r>
      <w:r>
        <w:rPr>
          <w:spacing w:val="-2"/>
          <w:sz w:val="20"/>
        </w:rPr>
        <w:t> </w:t>
      </w:r>
      <w:r>
        <w:rPr>
          <w:sz w:val="20"/>
        </w:rPr>
        <w:t>a</w:t>
      </w:r>
      <w:r>
        <w:rPr>
          <w:spacing w:val="-2"/>
          <w:sz w:val="20"/>
        </w:rPr>
        <w:t> </w:t>
      </w:r>
      <w:r>
        <w:rPr>
          <w:sz w:val="20"/>
        </w:rPr>
        <w:t>deposit</w:t>
      </w:r>
      <w:r>
        <w:rPr>
          <w:spacing w:val="-2"/>
          <w:sz w:val="20"/>
        </w:rPr>
        <w:t> </w:t>
      </w:r>
      <w:r>
        <w:rPr>
          <w:sz w:val="20"/>
        </w:rPr>
        <w:t>that</w:t>
      </w:r>
      <w:r>
        <w:rPr>
          <w:spacing w:val="-2"/>
          <w:sz w:val="20"/>
        </w:rPr>
        <w:t> </w:t>
      </w:r>
      <w:r>
        <w:rPr>
          <w:sz w:val="20"/>
        </w:rPr>
        <w:t>it</w:t>
      </w:r>
      <w:r>
        <w:rPr>
          <w:spacing w:val="-2"/>
          <w:sz w:val="20"/>
        </w:rPr>
        <w:t> </w:t>
      </w:r>
      <w:r>
        <w:rPr>
          <w:sz w:val="20"/>
        </w:rPr>
        <w:t>is</w:t>
      </w:r>
      <w:r>
        <w:rPr>
          <w:spacing w:val="-2"/>
          <w:sz w:val="20"/>
        </w:rPr>
        <w:t> </w:t>
      </w:r>
      <w:r>
        <w:rPr>
          <w:sz w:val="20"/>
        </w:rPr>
        <w:t>larger</w:t>
      </w:r>
      <w:r>
        <w:rPr>
          <w:spacing w:val="-2"/>
          <w:sz w:val="20"/>
        </w:rPr>
        <w:t> </w:t>
      </w:r>
      <w:r>
        <w:rPr>
          <w:sz w:val="20"/>
        </w:rPr>
        <w:t>than the customary amount may be a penalty: see below, paras 26-216Q and 26-216R.</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160684</wp:posOffset>
            </wp:positionV>
            <wp:extent cx="107988" cy="107988"/>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41" w:id="243"/>
      <w:bookmarkEnd w:id="243"/>
      <w:r>
        <w:rPr/>
      </w:r>
      <w:hyperlink w:history="true" w:anchor="_bookmark200">
        <w:r>
          <w:rPr>
            <w:color w:val="005DA1"/>
            <w:spacing w:val="-4"/>
            <w:sz w:val="14"/>
            <w:u w:val="single" w:color="005DA1"/>
          </w:rPr>
          <w:t>974</w:t>
        </w:r>
      </w:hyperlink>
      <w:r>
        <w:rPr>
          <w:spacing w:val="-4"/>
          <w:sz w:val="14"/>
        </w:rPr>
        <w:t>.</w:t>
      </w:r>
    </w:p>
    <w:p>
      <w:pPr>
        <w:spacing w:line="235" w:lineRule="auto" w:before="213"/>
        <w:ind w:left="23" w:right="25" w:firstLine="170"/>
        <w:jc w:val="both"/>
        <w:rPr>
          <w:sz w:val="20"/>
        </w:rPr>
      </w:pPr>
      <w:r>
        <w:rPr/>
        <w:br w:type="column"/>
      </w:r>
      <w:r>
        <w:rPr>
          <w:sz w:val="20"/>
        </w:rPr>
        <w:t>Story, </w:t>
      </w:r>
      <w:r>
        <w:rPr>
          <w:rFonts w:ascii="Arial"/>
          <w:i/>
          <w:sz w:val="20"/>
        </w:rPr>
        <w:t>Equitable Jurisprudence</w:t>
      </w:r>
      <w:r>
        <w:rPr>
          <w:sz w:val="20"/>
        </w:rPr>
        <w:t>, para.1316. The assessment of damages is according to common law; there is no equitable rule on damages where a clause has been held to be penal: </w:t>
      </w:r>
      <w:r>
        <w:rPr>
          <w:rFonts w:ascii="Arial"/>
          <w:i/>
          <w:sz w:val="20"/>
        </w:rPr>
        <w:t>AMEV-UDC Finance Ltd v Austin (1986) 60 A.L.J.R. 741</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160601</wp:posOffset>
            </wp:positionV>
            <wp:extent cx="107988" cy="107988"/>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42" w:id="244"/>
      <w:bookmarkEnd w:id="244"/>
      <w:r>
        <w:rPr/>
      </w:r>
      <w:hyperlink w:history="true" w:anchor="_bookmark201">
        <w:r>
          <w:rPr>
            <w:color w:val="005DA1"/>
            <w:spacing w:val="-4"/>
            <w:sz w:val="14"/>
            <w:u w:val="single" w:color="005DA1"/>
          </w:rPr>
          <w:t>975</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Jobson v Johnson [1989] 1 W.L.R. 1026, 1040 </w:t>
      </w:r>
      <w:r>
        <w:rPr>
          <w:sz w:val="20"/>
        </w:rPr>
        <w:t>(see also at 1038, 1039–1042, 1049). (cf. however, the dictum in </w:t>
      </w:r>
      <w:r>
        <w:rPr>
          <w:rFonts w:ascii="Arial" w:hAnsi="Arial"/>
          <w:i/>
          <w:sz w:val="20"/>
        </w:rPr>
        <w:t>Scandinavian Trading Tanker Co AB v Flota Petrolera Ecuatoriana </w:t>
      </w:r>
      <w:r>
        <w:rPr>
          <w:rFonts w:ascii="Arial" w:hAnsi="Arial"/>
          <w:i/>
          <w:sz w:val="20"/>
        </w:rPr>
        <w:t>(The Scaptrade) [1983] 2 A.C. 694, 702</w:t>
      </w:r>
      <w:r>
        <w:rPr>
          <w:sz w:val="20"/>
        </w:rPr>
        <w:t>). (“The classic form of relief against such a penalty clause has been to refuse to give effect to it, but to award the common law measure of damages for</w:t>
      </w:r>
      <w:r>
        <w:rPr>
          <w:spacing w:val="40"/>
          <w:sz w:val="20"/>
        </w:rPr>
        <w:t> </w:t>
      </w:r>
      <w:r>
        <w:rPr>
          <w:sz w:val="20"/>
        </w:rPr>
        <w:t>the</w:t>
      </w:r>
      <w:r>
        <w:rPr>
          <w:spacing w:val="-1"/>
          <w:sz w:val="20"/>
        </w:rPr>
        <w:t> </w:t>
      </w:r>
      <w:r>
        <w:rPr>
          <w:sz w:val="20"/>
        </w:rPr>
        <w:t>breach</w:t>
      </w:r>
      <w:r>
        <w:rPr>
          <w:spacing w:val="-1"/>
          <w:sz w:val="20"/>
        </w:rPr>
        <w:t> </w:t>
      </w:r>
      <w:r>
        <w:rPr>
          <w:sz w:val="20"/>
        </w:rPr>
        <w:t>of</w:t>
      </w:r>
      <w:r>
        <w:rPr>
          <w:spacing w:val="-1"/>
          <w:sz w:val="20"/>
        </w:rPr>
        <w:t> </w:t>
      </w:r>
      <w:r>
        <w:rPr>
          <w:sz w:val="20"/>
        </w:rPr>
        <w:t>the</w:t>
      </w:r>
      <w:r>
        <w:rPr>
          <w:spacing w:val="-1"/>
          <w:sz w:val="20"/>
        </w:rPr>
        <w:t> </w:t>
      </w:r>
      <w:r>
        <w:rPr>
          <w:sz w:val="20"/>
        </w:rPr>
        <w:t>primary</w:t>
      </w:r>
      <w:r>
        <w:rPr>
          <w:spacing w:val="-1"/>
          <w:sz w:val="20"/>
        </w:rPr>
        <w:t> </w:t>
      </w:r>
      <w:r>
        <w:rPr>
          <w:sz w:val="20"/>
        </w:rPr>
        <w:t>obligation</w:t>
      </w:r>
      <w:r>
        <w:rPr>
          <w:spacing w:val="-1"/>
          <w:sz w:val="20"/>
        </w:rPr>
        <w:t> </w:t>
      </w:r>
      <w:r>
        <w:rPr>
          <w:sz w:val="20"/>
        </w:rPr>
        <w:t>instead.”)</w:t>
      </w:r>
      <w:r>
        <w:rPr>
          <w:spacing w:val="-1"/>
          <w:sz w:val="20"/>
        </w:rPr>
        <w:t> </w:t>
      </w:r>
      <w:r>
        <w:rPr>
          <w:sz w:val="20"/>
        </w:rPr>
        <w:t>In</w:t>
      </w:r>
      <w:r>
        <w:rPr>
          <w:spacing w:val="-1"/>
          <w:sz w:val="20"/>
        </w:rPr>
        <w:t> </w:t>
      </w:r>
      <w:r>
        <w:rPr>
          <w:rFonts w:ascii="Arial" w:hAnsi="Arial"/>
          <w:i/>
          <w:sz w:val="20"/>
        </w:rPr>
        <w:t>Cavendish</w:t>
      </w:r>
      <w:r>
        <w:rPr>
          <w:rFonts w:ascii="Arial" w:hAnsi="Arial"/>
          <w:i/>
          <w:spacing w:val="-1"/>
          <w:sz w:val="20"/>
        </w:rPr>
        <w:t> </w:t>
      </w:r>
      <w:r>
        <w:rPr>
          <w:rFonts w:ascii="Arial" w:hAnsi="Arial"/>
          <w:i/>
          <w:sz w:val="20"/>
        </w:rPr>
        <w:t>Square</w:t>
      </w:r>
      <w:r>
        <w:rPr>
          <w:rFonts w:ascii="Arial" w:hAnsi="Arial"/>
          <w:i/>
          <w:spacing w:val="-1"/>
          <w:sz w:val="20"/>
        </w:rPr>
        <w:t> </w:t>
      </w:r>
      <w:r>
        <w:rPr>
          <w:rFonts w:ascii="Arial" w:hAnsi="Arial"/>
          <w:i/>
          <w:sz w:val="20"/>
        </w:rPr>
        <w:t>Holding</w:t>
      </w:r>
      <w:r>
        <w:rPr>
          <w:rFonts w:ascii="Arial" w:hAnsi="Arial"/>
          <w:i/>
          <w:spacing w:val="-1"/>
          <w:sz w:val="20"/>
        </w:rPr>
        <w:t> </w:t>
      </w:r>
      <w:r>
        <w:rPr>
          <w:rFonts w:ascii="Arial" w:hAnsi="Arial"/>
          <w:i/>
          <w:sz w:val="20"/>
        </w:rPr>
        <w:t>BV</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Makdessi</w:t>
      </w:r>
      <w:r>
        <w:rPr>
          <w:rFonts w:ascii="Arial" w:hAnsi="Arial"/>
          <w:i/>
          <w:spacing w:val="-1"/>
          <w:sz w:val="20"/>
        </w:rPr>
        <w:t> </w:t>
      </w:r>
      <w:r>
        <w:rPr>
          <w:sz w:val="20"/>
        </w:rPr>
        <w:t>and </w:t>
      </w:r>
      <w:r>
        <w:rPr>
          <w:rFonts w:ascii="Arial" w:hAnsi="Arial"/>
          <w:i/>
          <w:sz w:val="20"/>
        </w:rPr>
        <w:t>ParkingEye Ltd v Beavis [2015] UKSC 67, [2016] A.C. 1172 Jobson v Johnson </w:t>
      </w:r>
      <w:r>
        <w:rPr>
          <w:sz w:val="20"/>
        </w:rPr>
        <w:t>was</w:t>
      </w:r>
      <w:r>
        <w:rPr>
          <w:spacing w:val="40"/>
          <w:sz w:val="20"/>
        </w:rPr>
        <w:t> </w:t>
      </w:r>
      <w:r>
        <w:rPr>
          <w:sz w:val="20"/>
        </w:rPr>
        <w:t>disapproved on other grounds, see below, para.26-216K. On whether the claimant may recover more than was provided for by the invalid penalty clause, see below, para.26-216L.</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7"/>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2976">
            <wp:simplePos x="0" y="0"/>
            <wp:positionH relativeFrom="page">
              <wp:posOffset>1257846</wp:posOffset>
            </wp:positionH>
            <wp:positionV relativeFrom="paragraph">
              <wp:posOffset>160579</wp:posOffset>
            </wp:positionV>
            <wp:extent cx="107988" cy="10798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43" w:id="245"/>
      <w:bookmarkEnd w:id="245"/>
      <w:r>
        <w:rPr/>
      </w:r>
      <w:hyperlink w:history="true" w:anchor="_bookmark202">
        <w:r>
          <w:rPr>
            <w:color w:val="005DA1"/>
            <w:spacing w:val="-4"/>
            <w:sz w:val="14"/>
            <w:u w:val="single" w:color="005DA1"/>
          </w:rPr>
          <w:t>976</w:t>
        </w:r>
      </w:hyperlink>
      <w:r>
        <w:rPr>
          <w:spacing w:val="-4"/>
          <w:sz w:val="14"/>
        </w:rPr>
        <w:t>.</w:t>
      </w:r>
    </w:p>
    <w:p>
      <w:pPr>
        <w:pStyle w:val="BodyText"/>
        <w:spacing w:before="209"/>
        <w:ind w:left="193"/>
      </w:pPr>
      <w:r>
        <w:rPr/>
        <w:br w:type="column"/>
      </w:r>
      <w:r>
        <w:rPr/>
        <w:t>See</w:t>
      </w:r>
      <w:r>
        <w:rPr>
          <w:spacing w:val="42"/>
        </w:rPr>
        <w:t> </w:t>
      </w:r>
      <w:r>
        <w:rPr/>
        <w:t>the</w:t>
      </w:r>
      <w:r>
        <w:rPr>
          <w:spacing w:val="42"/>
        </w:rPr>
        <w:t> </w:t>
      </w:r>
      <w:r>
        <w:rPr/>
        <w:t>cases</w:t>
      </w:r>
      <w:r>
        <w:rPr>
          <w:spacing w:val="42"/>
        </w:rPr>
        <w:t> </w:t>
      </w:r>
      <w:r>
        <w:rPr/>
        <w:t>cited</w:t>
      </w:r>
      <w:r>
        <w:rPr>
          <w:spacing w:val="42"/>
        </w:rPr>
        <w:t> </w:t>
      </w:r>
      <w:r>
        <w:rPr/>
        <w:t>in</w:t>
      </w:r>
      <w:r>
        <w:rPr>
          <w:spacing w:val="42"/>
        </w:rPr>
        <w:t> </w:t>
      </w:r>
      <w:r>
        <w:rPr/>
        <w:t>Vol.I,</w:t>
      </w:r>
      <w:r>
        <w:rPr>
          <w:spacing w:val="42"/>
        </w:rPr>
        <w:t> </w:t>
      </w:r>
      <w:r>
        <w:rPr/>
        <w:t>para.26-007</w:t>
      </w:r>
      <w:r>
        <w:rPr>
          <w:spacing w:val="42"/>
        </w:rPr>
        <w:t> </w:t>
      </w:r>
      <w:r>
        <w:rPr/>
        <w:t>n.48.</w:t>
      </w:r>
      <w:r>
        <w:rPr>
          <w:spacing w:val="42"/>
        </w:rPr>
        <w:t> </w:t>
      </w:r>
      <w:r>
        <w:rPr/>
        <w:t>Agreed</w:t>
      </w:r>
      <w:r>
        <w:rPr>
          <w:spacing w:val="42"/>
        </w:rPr>
        <w:t> </w:t>
      </w:r>
      <w:r>
        <w:rPr/>
        <w:t>damages</w:t>
      </w:r>
      <w:r>
        <w:rPr>
          <w:spacing w:val="42"/>
        </w:rPr>
        <w:t> </w:t>
      </w:r>
      <w:r>
        <w:rPr/>
        <w:t>clauses</w:t>
      </w:r>
      <w:r>
        <w:rPr>
          <w:spacing w:val="42"/>
        </w:rPr>
        <w:t> </w:t>
      </w:r>
      <w:r>
        <w:rPr/>
        <w:t>do</w:t>
      </w:r>
      <w:r>
        <w:rPr>
          <w:spacing w:val="42"/>
        </w:rPr>
        <w:t> </w:t>
      </w:r>
      <w:r>
        <w:rPr/>
        <w:t>not</w:t>
      </w:r>
      <w:r>
        <w:rPr>
          <w:spacing w:val="42"/>
        </w:rPr>
        <w:t> </w:t>
      </w:r>
      <w:r>
        <w:rPr/>
        <w:t>bar</w:t>
      </w:r>
      <w:r>
        <w:rPr>
          <w:spacing w:val="42"/>
        </w:rPr>
        <w:t> </w:t>
      </w:r>
      <w:r>
        <w:rPr>
          <w:spacing w:val="-5"/>
        </w:rPr>
        <w:t>the</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106"/>
        <w:ind w:left="563"/>
      </w:pPr>
      <w:r>
        <w:rPr/>
        <w:t>remedy of rejection of the goods: Benjamin’s Sale of Goods, 9th edn (2014), </w:t>
      </w:r>
      <w:r>
        <w:rPr>
          <w:spacing w:val="-2"/>
        </w:rPr>
        <w:t>para.13–037.</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244" w:id="246"/>
      <w:bookmarkEnd w:id="246"/>
      <w:r>
        <w:rPr/>
      </w:r>
      <w:hyperlink w:history="true" w:anchor="_bookmark203">
        <w:r>
          <w:rPr>
            <w:color w:val="005DA1"/>
            <w:spacing w:val="-4"/>
            <w:sz w:val="14"/>
            <w:u w:val="single" w:color="005DA1"/>
          </w:rPr>
          <w:t>977</w:t>
        </w:r>
      </w:hyperlink>
      <w:r>
        <w:rPr>
          <w:spacing w:val="-4"/>
          <w:sz w:val="14"/>
        </w:rPr>
        <w:t>.</w:t>
      </w:r>
    </w:p>
    <w:p>
      <w:pPr>
        <w:pStyle w:val="BodyText"/>
        <w:spacing w:line="227" w:lineRule="exact" w:before="209"/>
        <w:ind w:left="193"/>
      </w:pPr>
      <w:r>
        <w:rPr/>
        <w:br w:type="column"/>
      </w:r>
      <w:r>
        <w:rPr/>
        <w:t>For</w:t>
      </w:r>
      <w:r>
        <w:rPr>
          <w:spacing w:val="19"/>
        </w:rPr>
        <w:t> </w:t>
      </w:r>
      <w:r>
        <w:rPr/>
        <w:t>an</w:t>
      </w:r>
      <w:r>
        <w:rPr>
          <w:spacing w:val="19"/>
        </w:rPr>
        <w:t> </w:t>
      </w:r>
      <w:r>
        <w:rPr/>
        <w:t>economic</w:t>
      </w:r>
      <w:r>
        <w:rPr>
          <w:spacing w:val="19"/>
        </w:rPr>
        <w:t> </w:t>
      </w:r>
      <w:r>
        <w:rPr/>
        <w:t>analysis</w:t>
      </w:r>
      <w:r>
        <w:rPr>
          <w:spacing w:val="19"/>
        </w:rPr>
        <w:t> </w:t>
      </w:r>
      <w:r>
        <w:rPr/>
        <w:t>of</w:t>
      </w:r>
      <w:r>
        <w:rPr>
          <w:spacing w:val="19"/>
        </w:rPr>
        <w:t> </w:t>
      </w:r>
      <w:r>
        <w:rPr/>
        <w:t>agreed</w:t>
      </w:r>
      <w:r>
        <w:rPr>
          <w:spacing w:val="19"/>
        </w:rPr>
        <w:t> </w:t>
      </w:r>
      <w:r>
        <w:rPr/>
        <w:t>damages</w:t>
      </w:r>
      <w:r>
        <w:rPr>
          <w:spacing w:val="19"/>
        </w:rPr>
        <w:t> </w:t>
      </w:r>
      <w:r>
        <w:rPr/>
        <w:t>clauses,</w:t>
      </w:r>
      <w:r>
        <w:rPr>
          <w:spacing w:val="19"/>
        </w:rPr>
        <w:t> </w:t>
      </w:r>
      <w:r>
        <w:rPr/>
        <w:t>see</w:t>
      </w:r>
      <w:r>
        <w:rPr>
          <w:spacing w:val="19"/>
        </w:rPr>
        <w:t> </w:t>
      </w:r>
      <w:r>
        <w:rPr/>
        <w:t>Goetz</w:t>
      </w:r>
      <w:r>
        <w:rPr>
          <w:spacing w:val="19"/>
        </w:rPr>
        <w:t> </w:t>
      </w:r>
      <w:r>
        <w:rPr/>
        <w:t>and</w:t>
      </w:r>
      <w:r>
        <w:rPr>
          <w:spacing w:val="19"/>
        </w:rPr>
        <w:t> </w:t>
      </w:r>
      <w:r>
        <w:rPr/>
        <w:t>Scott</w:t>
      </w:r>
      <w:r>
        <w:rPr>
          <w:spacing w:val="19"/>
        </w:rPr>
        <w:t> </w:t>
      </w:r>
      <w:r>
        <w:rPr/>
        <w:t>(1977)</w:t>
      </w:r>
      <w:r>
        <w:rPr>
          <w:spacing w:val="19"/>
        </w:rPr>
        <w:t> </w:t>
      </w:r>
      <w:r>
        <w:rPr/>
        <w:t>77</w:t>
      </w:r>
      <w:r>
        <w:rPr>
          <w:spacing w:val="19"/>
        </w:rPr>
        <w:t> </w:t>
      </w:r>
      <w:r>
        <w:rPr>
          <w:spacing w:val="-4"/>
        </w:rPr>
        <w:t>Col.</w:t>
      </w:r>
    </w:p>
    <w:p>
      <w:pPr>
        <w:spacing w:line="235" w:lineRule="auto" w:before="1"/>
        <w:ind w:left="23" w:right="26" w:firstLine="0"/>
        <w:jc w:val="left"/>
        <w:rPr>
          <w:sz w:val="20"/>
        </w:rPr>
      </w:pPr>
      <w:r>
        <w:rPr>
          <w:sz w:val="20"/>
        </w:rPr>
        <w:drawing>
          <wp:anchor distT="0" distB="0" distL="0" distR="0" allowOverlap="1" layoutInCell="1" locked="0" behindDoc="0" simplePos="0" relativeHeight="15743488">
            <wp:simplePos x="0" y="0"/>
            <wp:positionH relativeFrom="page">
              <wp:posOffset>1257846</wp:posOffset>
            </wp:positionH>
            <wp:positionV relativeFrom="paragraph">
              <wp:posOffset>-116640</wp:posOffset>
            </wp:positionV>
            <wp:extent cx="107988" cy="10798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7" cstate="print"/>
                    <a:stretch>
                      <a:fillRect/>
                    </a:stretch>
                  </pic:blipFill>
                  <pic:spPr>
                    <a:xfrm>
                      <a:off x="0" y="0"/>
                      <a:ext cx="107988" cy="107988"/>
                    </a:xfrm>
                    <a:prstGeom prst="rect">
                      <a:avLst/>
                    </a:prstGeom>
                  </pic:spPr>
                </pic:pic>
              </a:graphicData>
            </a:graphic>
          </wp:anchor>
        </w:drawing>
      </w:r>
      <w:r>
        <w:rPr>
          <w:sz w:val="20"/>
        </w:rPr>
        <w:t>L.R. 554; Rea (1984) 13 J.Leg.Stud. 147. See also Harris, Campbell and Halson, </w:t>
      </w:r>
      <w:r>
        <w:rPr>
          <w:rFonts w:ascii="Arial"/>
          <w:i/>
          <w:sz w:val="20"/>
        </w:rPr>
        <w:t>Remedies in Contract and Tort</w:t>
      </w:r>
      <w:r>
        <w:rPr>
          <w:sz w:val="20"/>
        </w:rPr>
        <w:t>, 2nd edn (2002) at Ch.9.</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160378</wp:posOffset>
            </wp:positionV>
            <wp:extent cx="107988" cy="107988"/>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45" w:id="247"/>
      <w:bookmarkEnd w:id="247"/>
      <w:r>
        <w:rPr/>
      </w:r>
      <w:hyperlink w:history="true" w:anchor="_bookmark204">
        <w:r>
          <w:rPr>
            <w:color w:val="005DA1"/>
            <w:spacing w:val="-4"/>
            <w:sz w:val="14"/>
            <w:u w:val="single" w:color="005DA1"/>
          </w:rPr>
          <w:t>978</w:t>
        </w:r>
      </w:hyperlink>
      <w:r>
        <w:rPr>
          <w:spacing w:val="-4"/>
          <w:sz w:val="14"/>
        </w:rPr>
        <w:t>.</w:t>
      </w:r>
    </w:p>
    <w:p>
      <w:pPr>
        <w:spacing w:line="235" w:lineRule="auto" w:before="212"/>
        <w:ind w:left="23" w:right="25" w:firstLine="170"/>
        <w:jc w:val="both"/>
        <w:rPr>
          <w:sz w:val="20"/>
        </w:rPr>
      </w:pPr>
      <w:r>
        <w:rPr/>
        <w:br w:type="column"/>
      </w:r>
      <w:r>
        <w:rPr>
          <w:rFonts w:ascii="Arial"/>
          <w:i/>
          <w:sz w:val="20"/>
        </w:rPr>
        <w:t>Clydebank Engineering &amp; Shipbuilding Co Ltd v Don Jose Ramos Yzquierdo y Castaneda [1905] A.C. 6, 11</w:t>
      </w:r>
      <w:r>
        <w:rPr>
          <w:sz w:val="20"/>
        </w:rPr>
        <w:t>. Even where the consequences of a breach are precisely ascertainable after the event, a sum reserved by the contract may be intended by the parties as an </w:t>
      </w:r>
      <w:r>
        <w:rPr>
          <w:sz w:val="20"/>
        </w:rPr>
        <w:t>agreed</w:t>
      </w:r>
      <w:r>
        <w:rPr>
          <w:spacing w:val="40"/>
          <w:sz w:val="20"/>
        </w:rPr>
        <w:t> </w:t>
      </w:r>
      <w:r>
        <w:rPr>
          <w:sz w:val="20"/>
        </w:rPr>
        <w:t>estimate of damage in order to avoid the expense and difficulty of assessment: </w:t>
      </w:r>
      <w:r>
        <w:rPr>
          <w:rFonts w:ascii="Arial"/>
          <w:i/>
          <w:sz w:val="20"/>
        </w:rPr>
        <w:t>Diestal v Stevenson [1906] 2 K.B. 345</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4512">
            <wp:simplePos x="0" y="0"/>
            <wp:positionH relativeFrom="page">
              <wp:posOffset>1257846</wp:posOffset>
            </wp:positionH>
            <wp:positionV relativeFrom="paragraph">
              <wp:posOffset>160446</wp:posOffset>
            </wp:positionV>
            <wp:extent cx="107988" cy="107988"/>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46" w:id="248"/>
      <w:bookmarkEnd w:id="248"/>
      <w:r>
        <w:rPr/>
      </w:r>
      <w:hyperlink w:history="true" w:anchor="_bookmark205">
        <w:r>
          <w:rPr>
            <w:color w:val="005DA1"/>
            <w:spacing w:val="-4"/>
            <w:sz w:val="14"/>
            <w:u w:val="single" w:color="005DA1"/>
          </w:rPr>
          <w:t>979</w:t>
        </w:r>
      </w:hyperlink>
      <w:r>
        <w:rPr>
          <w:spacing w:val="-4"/>
          <w:sz w:val="14"/>
        </w:rPr>
        <w:t>.</w:t>
      </w:r>
    </w:p>
    <w:p>
      <w:pPr>
        <w:spacing w:line="235" w:lineRule="auto" w:before="212"/>
        <w:ind w:left="23" w:right="26" w:firstLine="170"/>
        <w:jc w:val="left"/>
        <w:rPr>
          <w:sz w:val="20"/>
        </w:rPr>
      </w:pPr>
      <w:r>
        <w:rPr/>
        <w:br w:type="column"/>
      </w:r>
      <w:r>
        <w:rPr>
          <w:rFonts w:ascii="Arial" w:hAnsi="Arial"/>
          <w:i/>
          <w:sz w:val="20"/>
        </w:rPr>
        <w:t>Robophone</w:t>
      </w:r>
      <w:r>
        <w:rPr>
          <w:rFonts w:ascii="Arial" w:hAnsi="Arial"/>
          <w:i/>
          <w:spacing w:val="40"/>
          <w:sz w:val="20"/>
        </w:rPr>
        <w:t> </w:t>
      </w:r>
      <w:r>
        <w:rPr>
          <w:rFonts w:ascii="Arial" w:hAnsi="Arial"/>
          <w:i/>
          <w:sz w:val="20"/>
        </w:rPr>
        <w:t>Facilities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Blank</w:t>
      </w:r>
      <w:r>
        <w:rPr>
          <w:rFonts w:ascii="Arial" w:hAnsi="Arial"/>
          <w:i/>
          <w:spacing w:val="40"/>
          <w:sz w:val="20"/>
        </w:rPr>
        <w:t> </w:t>
      </w:r>
      <w:r>
        <w:rPr>
          <w:rFonts w:ascii="Arial" w:hAnsi="Arial"/>
          <w:i/>
          <w:sz w:val="20"/>
        </w:rPr>
        <w:t>[1966]</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1428,</w:t>
      </w:r>
      <w:r>
        <w:rPr>
          <w:rFonts w:ascii="Arial" w:hAnsi="Arial"/>
          <w:i/>
          <w:spacing w:val="40"/>
          <w:sz w:val="20"/>
        </w:rPr>
        <w:t> </w:t>
      </w:r>
      <w:r>
        <w:rPr>
          <w:rFonts w:ascii="Arial" w:hAnsi="Arial"/>
          <w:i/>
          <w:sz w:val="20"/>
        </w:rPr>
        <w:t>1447–1448</w:t>
      </w:r>
      <w:r>
        <w:rPr>
          <w:sz w:val="20"/>
        </w:rPr>
        <w:t>.</w:t>
      </w:r>
      <w:r>
        <w:rPr>
          <w:spacing w:val="40"/>
          <w:sz w:val="20"/>
        </w:rPr>
        <w:t> </w:t>
      </w:r>
      <w:r>
        <w:rPr>
          <w:sz w:val="20"/>
        </w:rPr>
        <w:t>See</w:t>
      </w:r>
      <w:r>
        <w:rPr>
          <w:spacing w:val="40"/>
          <w:sz w:val="20"/>
        </w:rPr>
        <w:t> </w:t>
      </w:r>
      <w:r>
        <w:rPr>
          <w:sz w:val="20"/>
        </w:rPr>
        <w:t>further</w:t>
      </w:r>
      <w:r>
        <w:rPr>
          <w:spacing w:val="40"/>
          <w:sz w:val="20"/>
        </w:rPr>
        <w:t> </w:t>
      </w:r>
      <w:r>
        <w:rPr>
          <w:sz w:val="20"/>
        </w:rPr>
        <w:t>below, </w:t>
      </w:r>
      <w:r>
        <w:rPr>
          <w:spacing w:val="-2"/>
          <w:sz w:val="20"/>
        </w:rPr>
        <w:t>para.26-186.</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160604</wp:posOffset>
            </wp:positionV>
            <wp:extent cx="107988" cy="107988"/>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47" w:id="249"/>
      <w:bookmarkEnd w:id="249"/>
      <w:r>
        <w:rPr/>
      </w:r>
      <w:hyperlink w:history="true" w:anchor="_bookmark206">
        <w:r>
          <w:rPr>
            <w:color w:val="005DA1"/>
            <w:spacing w:val="-4"/>
            <w:sz w:val="14"/>
            <w:u w:val="single" w:color="005DA1"/>
          </w:rPr>
          <w:t>980</w:t>
        </w:r>
      </w:hyperlink>
      <w:r>
        <w:rPr>
          <w:spacing w:val="-4"/>
          <w:sz w:val="14"/>
        </w:rPr>
        <w:t>.</w:t>
      </w:r>
    </w:p>
    <w:p>
      <w:pPr>
        <w:pStyle w:val="BodyText"/>
        <w:spacing w:line="235" w:lineRule="auto" w:before="212"/>
        <w:ind w:left="23" w:right="25" w:firstLine="170"/>
        <w:jc w:val="both"/>
      </w:pPr>
      <w:r>
        <w:rPr/>
        <w:br w:type="column"/>
      </w:r>
      <w:r>
        <w:rPr/>
        <w:t>The clause may also operate as a limitation on liability: below, para.26-180. The traditional legal test, which was restricted to expected </w:t>
      </w:r>
      <w:r>
        <w:rPr>
          <w:rFonts w:ascii="Arial" w:hAnsi="Arial"/>
          <w:i/>
        </w:rPr>
        <w:t>loss</w:t>
      </w:r>
      <w:r>
        <w:rPr/>
        <w:t>, did not permit the promisee to justify the sum fixed as a reasonable incentive to the promisor to perform his promise, nor as a disincentive to the promisor not to commit a </w:t>
      </w:r>
      <w:r>
        <w:rPr>
          <w:rFonts w:ascii="Arial" w:hAnsi="Arial"/>
          <w:i/>
        </w:rPr>
        <w:t>deliberate </w:t>
      </w:r>
      <w:r>
        <w:rPr/>
        <w:t>breach (see Harris, Campbell and Halson at pp.136–139); but giving an incentive to perform or deterring breach is now accepted </w:t>
      </w:r>
      <w:r>
        <w:rPr/>
        <w:t>as legitimate if the party to whom the sum must be paid has a legitimate interest is securing performance rather than relying on damages. See below, para.26-197.</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160189</wp:posOffset>
            </wp:positionV>
            <wp:extent cx="107988" cy="107988"/>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48" w:id="250"/>
      <w:bookmarkEnd w:id="250"/>
      <w:r>
        <w:rPr/>
      </w:r>
      <w:hyperlink w:history="true" w:anchor="_bookmark207">
        <w:r>
          <w:rPr>
            <w:color w:val="005DA1"/>
            <w:spacing w:val="-4"/>
            <w:sz w:val="14"/>
            <w:u w:val="single" w:color="005DA1"/>
          </w:rPr>
          <w:t>981</w:t>
        </w:r>
      </w:hyperlink>
      <w:r>
        <w:rPr>
          <w:spacing w:val="-4"/>
          <w:sz w:val="14"/>
        </w:rPr>
        <w:t>.</w:t>
      </w:r>
    </w:p>
    <w:p>
      <w:pPr>
        <w:spacing w:line="235" w:lineRule="auto" w:before="212"/>
        <w:ind w:left="23" w:right="26" w:firstLine="170"/>
        <w:jc w:val="left"/>
        <w:rPr>
          <w:sz w:val="20"/>
        </w:rPr>
      </w:pPr>
      <w:r>
        <w:rPr/>
        <w:br w:type="column"/>
      </w:r>
      <w:r>
        <w:rPr>
          <w:rFonts w:ascii="Arial"/>
          <w:i/>
          <w:sz w:val="20"/>
        </w:rPr>
        <w:t>Cavendish</w:t>
      </w:r>
      <w:r>
        <w:rPr>
          <w:rFonts w:ascii="Arial"/>
          <w:i/>
          <w:spacing w:val="26"/>
          <w:sz w:val="20"/>
        </w:rPr>
        <w:t> </w:t>
      </w:r>
      <w:r>
        <w:rPr>
          <w:rFonts w:ascii="Arial"/>
          <w:i/>
          <w:sz w:val="20"/>
        </w:rPr>
        <w:t>Square</w:t>
      </w:r>
      <w:r>
        <w:rPr>
          <w:rFonts w:ascii="Arial"/>
          <w:i/>
          <w:spacing w:val="26"/>
          <w:sz w:val="20"/>
        </w:rPr>
        <w:t> </w:t>
      </w:r>
      <w:r>
        <w:rPr>
          <w:rFonts w:ascii="Arial"/>
          <w:i/>
          <w:sz w:val="20"/>
        </w:rPr>
        <w:t>Holding</w:t>
      </w:r>
      <w:r>
        <w:rPr>
          <w:rFonts w:ascii="Arial"/>
          <w:i/>
          <w:spacing w:val="26"/>
          <w:sz w:val="20"/>
        </w:rPr>
        <w:t> </w:t>
      </w:r>
      <w:r>
        <w:rPr>
          <w:rFonts w:ascii="Arial"/>
          <w:i/>
          <w:sz w:val="20"/>
        </w:rPr>
        <w:t>BV</w:t>
      </w:r>
      <w:r>
        <w:rPr>
          <w:rFonts w:ascii="Arial"/>
          <w:i/>
          <w:spacing w:val="26"/>
          <w:sz w:val="20"/>
        </w:rPr>
        <w:t> </w:t>
      </w:r>
      <w:r>
        <w:rPr>
          <w:rFonts w:ascii="Arial"/>
          <w:i/>
          <w:sz w:val="20"/>
        </w:rPr>
        <w:t>v</w:t>
      </w:r>
      <w:r>
        <w:rPr>
          <w:rFonts w:ascii="Arial"/>
          <w:i/>
          <w:spacing w:val="26"/>
          <w:sz w:val="20"/>
        </w:rPr>
        <w:t> </w:t>
      </w:r>
      <w:r>
        <w:rPr>
          <w:rFonts w:ascii="Arial"/>
          <w:i/>
          <w:sz w:val="20"/>
        </w:rPr>
        <w:t>Makdessi</w:t>
      </w:r>
      <w:r>
        <w:rPr>
          <w:rFonts w:ascii="Arial"/>
          <w:i/>
          <w:spacing w:val="25"/>
          <w:sz w:val="20"/>
        </w:rPr>
        <w:t> </w:t>
      </w:r>
      <w:r>
        <w:rPr>
          <w:sz w:val="20"/>
        </w:rPr>
        <w:t>and</w:t>
      </w:r>
      <w:r>
        <w:rPr>
          <w:spacing w:val="26"/>
          <w:sz w:val="20"/>
        </w:rPr>
        <w:t> </w:t>
      </w:r>
      <w:r>
        <w:rPr>
          <w:rFonts w:ascii="Arial"/>
          <w:i/>
          <w:sz w:val="20"/>
        </w:rPr>
        <w:t>ParkingEye</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Beavis</w:t>
      </w:r>
      <w:r>
        <w:rPr>
          <w:rFonts w:ascii="Arial"/>
          <w:i/>
          <w:spacing w:val="26"/>
          <w:sz w:val="20"/>
        </w:rPr>
        <w:t> </w:t>
      </w:r>
      <w:r>
        <w:rPr>
          <w:rFonts w:ascii="Arial"/>
          <w:i/>
          <w:sz w:val="20"/>
        </w:rPr>
        <w:t>[2015]</w:t>
      </w:r>
      <w:r>
        <w:rPr>
          <w:rFonts w:ascii="Arial"/>
          <w:i/>
          <w:spacing w:val="26"/>
          <w:sz w:val="20"/>
        </w:rPr>
        <w:t> </w:t>
      </w:r>
      <w:r>
        <w:rPr>
          <w:rFonts w:ascii="Arial"/>
          <w:i/>
          <w:sz w:val="20"/>
        </w:rPr>
        <w:t>UKSC</w:t>
      </w:r>
      <w:r>
        <w:rPr>
          <w:rFonts w:ascii="Arial"/>
          <w:i/>
          <w:spacing w:val="26"/>
          <w:sz w:val="20"/>
        </w:rPr>
        <w:t> </w:t>
      </w:r>
      <w:r>
        <w:rPr>
          <w:rFonts w:ascii="Arial"/>
          <w:i/>
          <w:sz w:val="20"/>
        </w:rPr>
        <w:t>67, [2016] A.C. 1172</w:t>
      </w:r>
      <w:r>
        <w:rPr>
          <w:sz w:val="20"/>
        </w:rPr>
        <w:t>.</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249" w:id="251"/>
      <w:bookmarkEnd w:id="251"/>
      <w:r>
        <w:rPr/>
      </w:r>
      <w:hyperlink w:history="true" w:anchor="_bookmark208">
        <w:r>
          <w:rPr>
            <w:color w:val="005DA1"/>
            <w:spacing w:val="-4"/>
            <w:sz w:val="14"/>
            <w:u w:val="single" w:color="005DA1"/>
          </w:rPr>
          <w:t>982</w:t>
        </w:r>
      </w:hyperlink>
      <w:r>
        <w:rPr>
          <w:spacing w:val="-4"/>
          <w:sz w:val="14"/>
        </w:rPr>
        <w:t>.</w:t>
      </w:r>
    </w:p>
    <w:p>
      <w:pPr>
        <w:spacing w:before="208"/>
        <w:ind w:left="193" w:right="0" w:firstLine="0"/>
        <w:jc w:val="left"/>
        <w:rPr>
          <w:sz w:val="20"/>
        </w:rPr>
      </w:pPr>
      <w:r>
        <w:rPr/>
        <w:br w:type="column"/>
      </w:r>
      <w:r>
        <w:rPr>
          <w:sz w:val="20"/>
        </w:rPr>
        <w:t>e.g. </w:t>
      </w:r>
      <w:r>
        <w:rPr>
          <w:rFonts w:ascii="Arial"/>
          <w:i/>
          <w:sz w:val="20"/>
        </w:rPr>
        <w:t>Aktieselskabet Reidar v Arcos Ltd [1927] 1 K.B. </w:t>
      </w:r>
      <w:r>
        <w:rPr>
          <w:rFonts w:ascii="Arial"/>
          <w:i/>
          <w:spacing w:val="-4"/>
          <w:sz w:val="20"/>
        </w:rPr>
        <w:t>352</w:t>
      </w:r>
      <w:r>
        <w:rPr>
          <w:spacing w:val="-4"/>
          <w:sz w:val="20"/>
        </w:rPr>
        <w:t>.</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6048">
            <wp:simplePos x="0" y="0"/>
            <wp:positionH relativeFrom="page">
              <wp:posOffset>1257846</wp:posOffset>
            </wp:positionH>
            <wp:positionV relativeFrom="paragraph">
              <wp:posOffset>-211106</wp:posOffset>
            </wp:positionV>
            <wp:extent cx="107988" cy="107988"/>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6560">
            <wp:simplePos x="0" y="0"/>
            <wp:positionH relativeFrom="page">
              <wp:posOffset>1257846</wp:posOffset>
            </wp:positionH>
            <wp:positionV relativeFrom="paragraph">
              <wp:posOffset>160368</wp:posOffset>
            </wp:positionV>
            <wp:extent cx="107988" cy="107988"/>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50" w:id="252"/>
      <w:bookmarkEnd w:id="252"/>
      <w:r>
        <w:rPr/>
      </w:r>
      <w:hyperlink w:history="true" w:anchor="_bookmark209">
        <w:r>
          <w:rPr>
            <w:color w:val="005DA1"/>
            <w:spacing w:val="-4"/>
            <w:sz w:val="14"/>
            <w:u w:val="single" w:color="005DA1"/>
          </w:rPr>
          <w:t>983</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Cellulose Acetate Silk Co Ltd v Widnes Foundry (1925) Ltd [1933] A.C. 20</w:t>
      </w:r>
      <w:r>
        <w:rPr>
          <w:sz w:val="20"/>
        </w:rPr>
        <w:t>; </w:t>
      </w:r>
      <w:r>
        <w:rPr>
          <w:rFonts w:ascii="Arial" w:hAnsi="Arial"/>
          <w:i/>
          <w:sz w:val="20"/>
        </w:rPr>
        <w:t>Tullett </w:t>
      </w:r>
      <w:r>
        <w:rPr>
          <w:rFonts w:ascii="Arial" w:hAnsi="Arial"/>
          <w:i/>
          <w:sz w:val="20"/>
        </w:rPr>
        <w:t>Prebon Group Ltd v El-Hajjali [2008] EWHC 1924 (QB), [2008] I.R.L.R. 760 </w:t>
      </w:r>
      <w:r>
        <w:rPr>
          <w:sz w:val="20"/>
        </w:rPr>
        <w:t>at [83] (“a significantly smaller stipulated sum than the probable damages would be most unlikely to render a clause a penalty clause, though each case has to be decided on its own individual facts”).</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251" w:id="253"/>
      <w:bookmarkEnd w:id="253"/>
      <w:r>
        <w:rPr/>
      </w:r>
      <w:hyperlink w:history="true" w:anchor="_bookmark210">
        <w:r>
          <w:rPr>
            <w:color w:val="005DA1"/>
            <w:spacing w:val="-4"/>
            <w:sz w:val="14"/>
            <w:u w:val="single" w:color="005DA1"/>
          </w:rPr>
          <w:t>984</w:t>
        </w:r>
      </w:hyperlink>
      <w:r>
        <w:rPr>
          <w:spacing w:val="-4"/>
          <w:sz w:val="14"/>
        </w:rPr>
        <w:t>.</w:t>
      </w:r>
    </w:p>
    <w:p>
      <w:pPr>
        <w:pStyle w:val="BodyText"/>
        <w:spacing w:line="227" w:lineRule="exact" w:before="209"/>
        <w:ind w:left="193"/>
      </w:pPr>
      <w:r>
        <w:rPr/>
        <w:br w:type="column"/>
      </w:r>
      <w:r>
        <w:rPr/>
        <w:t>cf.</w:t>
      </w:r>
      <w:r>
        <w:rPr>
          <w:spacing w:val="2"/>
        </w:rPr>
        <w:t> </w:t>
      </w:r>
      <w:r>
        <w:rPr/>
        <w:t>the</w:t>
      </w:r>
      <w:r>
        <w:rPr>
          <w:spacing w:val="2"/>
        </w:rPr>
        <w:t> </w:t>
      </w:r>
      <w:r>
        <w:rPr/>
        <w:t>rule</w:t>
      </w:r>
      <w:r>
        <w:rPr>
          <w:spacing w:val="2"/>
        </w:rPr>
        <w:t> </w:t>
      </w:r>
      <w:r>
        <w:rPr/>
        <w:t>that</w:t>
      </w:r>
      <w:r>
        <w:rPr>
          <w:spacing w:val="2"/>
        </w:rPr>
        <w:t> </w:t>
      </w:r>
      <w:r>
        <w:rPr/>
        <w:t>the</w:t>
      </w:r>
      <w:r>
        <w:rPr>
          <w:spacing w:val="2"/>
        </w:rPr>
        <w:t> </w:t>
      </w:r>
      <w:r>
        <w:rPr/>
        <w:t>effect</w:t>
      </w:r>
      <w:r>
        <w:rPr>
          <w:spacing w:val="2"/>
        </w:rPr>
        <w:t> </w:t>
      </w:r>
      <w:r>
        <w:rPr/>
        <w:t>of</w:t>
      </w:r>
      <w:r>
        <w:rPr>
          <w:spacing w:val="2"/>
        </w:rPr>
        <w:t> </w:t>
      </w:r>
      <w:r>
        <w:rPr/>
        <w:t>an</w:t>
      </w:r>
      <w:r>
        <w:rPr>
          <w:spacing w:val="2"/>
        </w:rPr>
        <w:t> </w:t>
      </w:r>
      <w:r>
        <w:rPr/>
        <w:t>exemption</w:t>
      </w:r>
      <w:r>
        <w:rPr>
          <w:spacing w:val="2"/>
        </w:rPr>
        <w:t> </w:t>
      </w:r>
      <w:r>
        <w:rPr/>
        <w:t>clause</w:t>
      </w:r>
      <w:r>
        <w:rPr>
          <w:spacing w:val="2"/>
        </w:rPr>
        <w:t> </w:t>
      </w:r>
      <w:r>
        <w:rPr/>
        <w:t>depends</w:t>
      </w:r>
      <w:r>
        <w:rPr>
          <w:spacing w:val="2"/>
        </w:rPr>
        <w:t> </w:t>
      </w:r>
      <w:r>
        <w:rPr/>
        <w:t>on</w:t>
      </w:r>
      <w:r>
        <w:rPr>
          <w:spacing w:val="2"/>
        </w:rPr>
        <w:t> </w:t>
      </w:r>
      <w:r>
        <w:rPr/>
        <w:t>the</w:t>
      </w:r>
      <w:r>
        <w:rPr>
          <w:spacing w:val="2"/>
        </w:rPr>
        <w:t> </w:t>
      </w:r>
      <w:r>
        <w:rPr/>
        <w:t>construction</w:t>
      </w:r>
      <w:r>
        <w:rPr>
          <w:spacing w:val="2"/>
        </w:rPr>
        <w:t> </w:t>
      </w:r>
      <w:r>
        <w:rPr/>
        <w:t>of</w:t>
      </w:r>
      <w:r>
        <w:rPr>
          <w:spacing w:val="2"/>
        </w:rPr>
        <w:t> </w:t>
      </w:r>
      <w:r>
        <w:rPr/>
        <w:t>the</w:t>
      </w:r>
      <w:r>
        <w:rPr>
          <w:spacing w:val="2"/>
        </w:rPr>
        <w:t> </w:t>
      </w:r>
      <w:r>
        <w:rPr>
          <w:spacing w:val="-2"/>
        </w:rPr>
        <w:t>contract:</w:t>
      </w:r>
    </w:p>
    <w:p>
      <w:pPr>
        <w:spacing w:line="225" w:lineRule="exact" w:before="0"/>
        <w:ind w:left="23" w:right="0" w:firstLine="0"/>
        <w:jc w:val="left"/>
        <w:rPr>
          <w:rFonts w:ascii="Arial" w:hAnsi="Arial"/>
          <w:i/>
          <w:sz w:val="20"/>
        </w:rPr>
      </w:pPr>
      <w:r>
        <w:rPr>
          <w:rFonts w:ascii="Arial" w:hAnsi="Arial"/>
          <w:i/>
          <w:sz w:val="20"/>
        </w:rPr>
        <w:drawing>
          <wp:anchor distT="0" distB="0" distL="0" distR="0" allowOverlap="1" layoutInCell="1" locked="0" behindDoc="0" simplePos="0" relativeHeight="15747072">
            <wp:simplePos x="0" y="0"/>
            <wp:positionH relativeFrom="page">
              <wp:posOffset>1257846</wp:posOffset>
            </wp:positionH>
            <wp:positionV relativeFrom="paragraph">
              <wp:posOffset>-116493</wp:posOffset>
            </wp:positionV>
            <wp:extent cx="107988" cy="107988"/>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Suisse</w:t>
      </w:r>
      <w:r>
        <w:rPr>
          <w:rFonts w:ascii="Arial" w:hAnsi="Arial"/>
          <w:i/>
          <w:spacing w:val="17"/>
          <w:sz w:val="20"/>
        </w:rPr>
        <w:t> </w:t>
      </w:r>
      <w:r>
        <w:rPr>
          <w:rFonts w:ascii="Arial" w:hAnsi="Arial"/>
          <w:i/>
          <w:sz w:val="20"/>
        </w:rPr>
        <w:t>Atlantique</w:t>
      </w:r>
      <w:r>
        <w:rPr>
          <w:rFonts w:ascii="Arial" w:hAnsi="Arial"/>
          <w:i/>
          <w:spacing w:val="17"/>
          <w:sz w:val="20"/>
        </w:rPr>
        <w:t> </w:t>
      </w:r>
      <w:r>
        <w:rPr>
          <w:rFonts w:ascii="Arial" w:hAnsi="Arial"/>
          <w:i/>
          <w:sz w:val="20"/>
        </w:rPr>
        <w:t>Société</w:t>
      </w:r>
      <w:r>
        <w:rPr>
          <w:rFonts w:ascii="Arial" w:hAnsi="Arial"/>
          <w:i/>
          <w:spacing w:val="17"/>
          <w:sz w:val="20"/>
        </w:rPr>
        <w:t> </w:t>
      </w:r>
      <w:r>
        <w:rPr>
          <w:rFonts w:ascii="Arial" w:hAnsi="Arial"/>
          <w:i/>
          <w:sz w:val="20"/>
        </w:rPr>
        <w:t>d’Armement</w:t>
      </w:r>
      <w:r>
        <w:rPr>
          <w:rFonts w:ascii="Arial" w:hAnsi="Arial"/>
          <w:i/>
          <w:spacing w:val="17"/>
          <w:sz w:val="20"/>
        </w:rPr>
        <w:t> </w:t>
      </w:r>
      <w:r>
        <w:rPr>
          <w:rFonts w:ascii="Arial" w:hAnsi="Arial"/>
          <w:i/>
          <w:sz w:val="20"/>
        </w:rPr>
        <w:t>Maritime</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NV</w:t>
      </w:r>
      <w:r>
        <w:rPr>
          <w:rFonts w:ascii="Arial" w:hAnsi="Arial"/>
          <w:i/>
          <w:spacing w:val="17"/>
          <w:sz w:val="20"/>
        </w:rPr>
        <w:t> </w:t>
      </w:r>
      <w:r>
        <w:rPr>
          <w:rFonts w:ascii="Arial" w:hAnsi="Arial"/>
          <w:i/>
          <w:sz w:val="20"/>
        </w:rPr>
        <w:t>Rotterdamsche</w:t>
      </w:r>
      <w:r>
        <w:rPr>
          <w:rFonts w:ascii="Arial" w:hAnsi="Arial"/>
          <w:i/>
          <w:spacing w:val="17"/>
          <w:sz w:val="20"/>
        </w:rPr>
        <w:t> </w:t>
      </w:r>
      <w:r>
        <w:rPr>
          <w:rFonts w:ascii="Arial" w:hAnsi="Arial"/>
          <w:i/>
          <w:sz w:val="20"/>
        </w:rPr>
        <w:t>Kolen</w:t>
      </w:r>
      <w:r>
        <w:rPr>
          <w:rFonts w:ascii="Arial" w:hAnsi="Arial"/>
          <w:i/>
          <w:spacing w:val="17"/>
          <w:sz w:val="20"/>
        </w:rPr>
        <w:t> </w:t>
      </w:r>
      <w:r>
        <w:rPr>
          <w:rFonts w:ascii="Arial" w:hAnsi="Arial"/>
          <w:i/>
          <w:sz w:val="20"/>
        </w:rPr>
        <w:t>Centrale</w:t>
      </w:r>
      <w:r>
        <w:rPr>
          <w:rFonts w:ascii="Arial" w:hAnsi="Arial"/>
          <w:i/>
          <w:spacing w:val="17"/>
          <w:sz w:val="20"/>
        </w:rPr>
        <w:t> </w:t>
      </w:r>
      <w:r>
        <w:rPr>
          <w:rFonts w:ascii="Arial" w:hAnsi="Arial"/>
          <w:i/>
          <w:sz w:val="20"/>
        </w:rPr>
        <w:t>[1967]</w:t>
      </w:r>
      <w:r>
        <w:rPr>
          <w:rFonts w:ascii="Arial" w:hAnsi="Arial"/>
          <w:i/>
          <w:spacing w:val="17"/>
          <w:sz w:val="20"/>
        </w:rPr>
        <w:t> </w:t>
      </w:r>
      <w:r>
        <w:rPr>
          <w:rFonts w:ascii="Arial" w:hAnsi="Arial"/>
          <w:i/>
          <w:spacing w:val="-10"/>
          <w:sz w:val="20"/>
        </w:rPr>
        <w:t>1</w:t>
      </w:r>
    </w:p>
    <w:p>
      <w:pPr>
        <w:spacing w:line="235" w:lineRule="auto" w:before="1"/>
        <w:ind w:left="23" w:right="26" w:firstLine="0"/>
        <w:jc w:val="left"/>
        <w:rPr>
          <w:sz w:val="20"/>
        </w:rPr>
      </w:pPr>
      <w:r>
        <w:rPr>
          <w:rFonts w:ascii="Arial"/>
          <w:i/>
          <w:sz w:val="20"/>
        </w:rPr>
        <w:t>A.C.</w:t>
      </w:r>
      <w:r>
        <w:rPr>
          <w:rFonts w:ascii="Arial"/>
          <w:i/>
          <w:spacing w:val="30"/>
          <w:sz w:val="20"/>
        </w:rPr>
        <w:t> </w:t>
      </w:r>
      <w:r>
        <w:rPr>
          <w:rFonts w:ascii="Arial"/>
          <w:i/>
          <w:sz w:val="20"/>
        </w:rPr>
        <w:t>361</w:t>
      </w:r>
      <w:r>
        <w:rPr>
          <w:sz w:val="20"/>
        </w:rPr>
        <w:t>;</w:t>
      </w:r>
      <w:r>
        <w:rPr>
          <w:spacing w:val="30"/>
          <w:sz w:val="20"/>
        </w:rPr>
        <w:t> </w:t>
      </w:r>
      <w:r>
        <w:rPr>
          <w:rFonts w:ascii="Arial"/>
          <w:i/>
          <w:sz w:val="20"/>
        </w:rPr>
        <w:t>Photo</w:t>
      </w:r>
      <w:r>
        <w:rPr>
          <w:rFonts w:ascii="Arial"/>
          <w:i/>
          <w:spacing w:val="30"/>
          <w:sz w:val="20"/>
        </w:rPr>
        <w:t> </w:t>
      </w:r>
      <w:r>
        <w:rPr>
          <w:rFonts w:ascii="Arial"/>
          <w:i/>
          <w:sz w:val="20"/>
        </w:rPr>
        <w:t>Production</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Securicor</w:t>
      </w:r>
      <w:r>
        <w:rPr>
          <w:rFonts w:ascii="Arial"/>
          <w:i/>
          <w:spacing w:val="30"/>
          <w:sz w:val="20"/>
        </w:rPr>
        <w:t> </w:t>
      </w:r>
      <w:r>
        <w:rPr>
          <w:rFonts w:ascii="Arial"/>
          <w:i/>
          <w:sz w:val="20"/>
        </w:rPr>
        <w:t>Transport</w:t>
      </w:r>
      <w:r>
        <w:rPr>
          <w:rFonts w:ascii="Arial"/>
          <w:i/>
          <w:spacing w:val="30"/>
          <w:sz w:val="20"/>
        </w:rPr>
        <w:t> </w:t>
      </w:r>
      <w:r>
        <w:rPr>
          <w:rFonts w:ascii="Arial"/>
          <w:i/>
          <w:sz w:val="20"/>
        </w:rPr>
        <w:t>Ltd</w:t>
      </w:r>
      <w:r>
        <w:rPr>
          <w:rFonts w:ascii="Arial"/>
          <w:i/>
          <w:spacing w:val="30"/>
          <w:sz w:val="20"/>
        </w:rPr>
        <w:t> </w:t>
      </w:r>
      <w:r>
        <w:rPr>
          <w:rFonts w:ascii="Arial"/>
          <w:i/>
          <w:sz w:val="20"/>
        </w:rPr>
        <w:t>[1980]</w:t>
      </w:r>
      <w:r>
        <w:rPr>
          <w:rFonts w:ascii="Arial"/>
          <w:i/>
          <w:spacing w:val="30"/>
          <w:sz w:val="20"/>
        </w:rPr>
        <w:t> </w:t>
      </w:r>
      <w:r>
        <w:rPr>
          <w:rFonts w:ascii="Arial"/>
          <w:i/>
          <w:sz w:val="20"/>
        </w:rPr>
        <w:t>A.C.</w:t>
      </w:r>
      <w:r>
        <w:rPr>
          <w:rFonts w:ascii="Arial"/>
          <w:i/>
          <w:spacing w:val="30"/>
          <w:sz w:val="20"/>
        </w:rPr>
        <w:t> </w:t>
      </w:r>
      <w:r>
        <w:rPr>
          <w:rFonts w:ascii="Arial"/>
          <w:i/>
          <w:sz w:val="20"/>
        </w:rPr>
        <w:t>827</w:t>
      </w:r>
      <w:r>
        <w:rPr>
          <w:rFonts w:ascii="Arial"/>
          <w:i/>
          <w:spacing w:val="29"/>
          <w:sz w:val="20"/>
        </w:rPr>
        <w:t> </w:t>
      </w:r>
      <w:r>
        <w:rPr>
          <w:sz w:val="20"/>
        </w:rPr>
        <w:t>(see</w:t>
      </w:r>
      <w:r>
        <w:rPr>
          <w:spacing w:val="30"/>
          <w:sz w:val="20"/>
        </w:rPr>
        <w:t> </w:t>
      </w:r>
      <w:r>
        <w:rPr>
          <w:sz w:val="20"/>
        </w:rPr>
        <w:t>Vol.I,</w:t>
      </w:r>
      <w:r>
        <w:rPr>
          <w:spacing w:val="30"/>
          <w:sz w:val="20"/>
        </w:rPr>
        <w:t> </w:t>
      </w:r>
      <w:r>
        <w:rPr>
          <w:sz w:val="20"/>
        </w:rPr>
        <w:t>paras 15-025 et seq.).</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252" w:id="254"/>
      <w:bookmarkEnd w:id="254"/>
      <w:r>
        <w:rPr/>
      </w:r>
      <w:hyperlink w:history="true" w:anchor="_bookmark211">
        <w:r>
          <w:rPr>
            <w:color w:val="005DA1"/>
            <w:spacing w:val="-4"/>
            <w:sz w:val="14"/>
            <w:u w:val="single" w:color="005DA1"/>
          </w:rPr>
          <w:t>985</w:t>
        </w:r>
      </w:hyperlink>
      <w:r>
        <w:rPr>
          <w:spacing w:val="-4"/>
          <w:sz w:val="14"/>
        </w:rPr>
        <w:t>.</w:t>
      </w:r>
    </w:p>
    <w:p>
      <w:pPr>
        <w:pStyle w:val="BodyText"/>
        <w:spacing w:before="208"/>
        <w:ind w:left="193"/>
      </w:pPr>
      <w:r>
        <w:rPr/>
        <w:br w:type="column"/>
      </w:r>
      <w:r>
        <w:rPr/>
        <w:t>See Vol.I, paras 15-066 et seq., and in particular para.15-</w:t>
      </w:r>
      <w:r>
        <w:rPr>
          <w:spacing w:val="-4"/>
        </w:rPr>
        <w:t>069.</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7584">
            <wp:simplePos x="0" y="0"/>
            <wp:positionH relativeFrom="page">
              <wp:posOffset>1257846</wp:posOffset>
            </wp:positionH>
            <wp:positionV relativeFrom="paragraph">
              <wp:posOffset>-210929</wp:posOffset>
            </wp:positionV>
            <wp:extent cx="107988" cy="107988"/>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53" w:id="255"/>
      <w:bookmarkEnd w:id="255"/>
      <w:r>
        <w:rPr/>
      </w:r>
      <w:hyperlink w:history="true" w:anchor="_bookmark212">
        <w:r>
          <w:rPr>
            <w:color w:val="005DA1"/>
            <w:spacing w:val="-4"/>
            <w:sz w:val="14"/>
            <w:u w:val="single" w:color="005DA1"/>
          </w:rPr>
          <w:t>986</w:t>
        </w:r>
      </w:hyperlink>
      <w:r>
        <w:rPr>
          <w:spacing w:val="-4"/>
          <w:sz w:val="14"/>
        </w:rPr>
        <w:t>.</w:t>
      </w:r>
    </w:p>
    <w:p>
      <w:pPr>
        <w:spacing w:before="209"/>
        <w:ind w:left="193" w:right="0" w:firstLine="0"/>
        <w:jc w:val="left"/>
        <w:rPr>
          <w:sz w:val="20"/>
        </w:rPr>
      </w:pPr>
      <w:r>
        <w:rPr/>
        <w:br w:type="column"/>
      </w:r>
      <w:r>
        <w:rPr>
          <w:sz w:val="20"/>
        </w:rPr>
        <w:t>See</w:t>
      </w:r>
      <w:r>
        <w:rPr>
          <w:spacing w:val="-1"/>
          <w:sz w:val="20"/>
        </w:rPr>
        <w:t> </w:t>
      </w:r>
      <w:r>
        <w:rPr>
          <w:sz w:val="20"/>
        </w:rPr>
        <w:t>Peel,</w:t>
      </w:r>
      <w:r>
        <w:rPr>
          <w:spacing w:val="-1"/>
          <w:sz w:val="20"/>
        </w:rPr>
        <w:t> </w:t>
      </w:r>
      <w:r>
        <w:rPr>
          <w:rFonts w:ascii="Arial" w:hAnsi="Arial"/>
          <w:i/>
          <w:sz w:val="20"/>
        </w:rPr>
        <w:t>Treitel on The Law of Contract</w:t>
      </w:r>
      <w:r>
        <w:rPr>
          <w:sz w:val="20"/>
        </w:rPr>
        <w:t>, 14th edn (2015), paras 7–055 and </w:t>
      </w:r>
      <w:r>
        <w:rPr>
          <w:spacing w:val="-2"/>
          <w:sz w:val="20"/>
        </w:rPr>
        <w:t>20–140.</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-210909</wp:posOffset>
            </wp:positionV>
            <wp:extent cx="107988" cy="107988"/>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54" w:id="256"/>
      <w:bookmarkEnd w:id="256"/>
      <w:r>
        <w:rPr/>
      </w:r>
      <w:hyperlink w:history="true" w:anchor="_bookmark213">
        <w:r>
          <w:rPr>
            <w:color w:val="005DA1"/>
            <w:spacing w:val="-4"/>
            <w:sz w:val="14"/>
            <w:u w:val="single" w:color="005DA1"/>
          </w:rPr>
          <w:t>987</w:t>
        </w:r>
      </w:hyperlink>
      <w:r>
        <w:rPr>
          <w:spacing w:val="-4"/>
          <w:sz w:val="14"/>
        </w:rPr>
        <w:t>.</w:t>
      </w:r>
    </w:p>
    <w:p>
      <w:pPr>
        <w:pStyle w:val="BodyText"/>
        <w:spacing w:before="209"/>
        <w:ind w:left="193"/>
      </w:pPr>
      <w:r>
        <w:rPr/>
        <w:br w:type="column"/>
      </w:r>
      <w:r>
        <w:rPr/>
        <w:t>See Vol.II, paras 38-201 et </w:t>
      </w:r>
      <w:r>
        <w:rPr>
          <w:spacing w:val="-4"/>
        </w:rPr>
        <w:t>seq.</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8608">
            <wp:simplePos x="0" y="0"/>
            <wp:positionH relativeFrom="page">
              <wp:posOffset>1257846</wp:posOffset>
            </wp:positionH>
            <wp:positionV relativeFrom="paragraph">
              <wp:posOffset>-210889</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55" w:id="257"/>
      <w:bookmarkEnd w:id="257"/>
      <w:r>
        <w:rPr/>
      </w:r>
      <w:hyperlink w:history="true" w:anchor="_bookmark214">
        <w:r>
          <w:rPr>
            <w:color w:val="005DA1"/>
            <w:spacing w:val="-4"/>
            <w:sz w:val="14"/>
            <w:u w:val="single" w:color="005DA1"/>
          </w:rPr>
          <w:t>988</w:t>
        </w:r>
      </w:hyperlink>
      <w:r>
        <w:rPr>
          <w:spacing w:val="-4"/>
          <w:sz w:val="14"/>
        </w:rPr>
        <w:t>.</w:t>
      </w:r>
    </w:p>
    <w:p>
      <w:pPr>
        <w:pStyle w:val="BodyText"/>
        <w:spacing w:before="209"/>
        <w:ind w:left="193"/>
      </w:pPr>
      <w:r>
        <w:rPr/>
        <w:br w:type="column"/>
      </w:r>
      <w:r>
        <w:rPr/>
        <w:t>See Vol.II, paras 38-334 et </w:t>
      </w:r>
      <w:r>
        <w:rPr>
          <w:spacing w:val="-4"/>
        </w:rPr>
        <w:t>seq.</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9120">
            <wp:simplePos x="0" y="0"/>
            <wp:positionH relativeFrom="page">
              <wp:posOffset>1257846</wp:posOffset>
            </wp:positionH>
            <wp:positionV relativeFrom="paragraph">
              <wp:posOffset>-210870</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56" w:id="258"/>
      <w:bookmarkEnd w:id="258"/>
      <w:r>
        <w:rPr/>
      </w:r>
      <w:hyperlink w:history="true" w:anchor="_bookmark215">
        <w:r>
          <w:rPr>
            <w:color w:val="005DA1"/>
            <w:spacing w:val="-4"/>
            <w:sz w:val="14"/>
            <w:u w:val="single" w:color="005DA1"/>
          </w:rPr>
          <w:t>989</w:t>
        </w:r>
      </w:hyperlink>
      <w:r>
        <w:rPr>
          <w:spacing w:val="-4"/>
          <w:sz w:val="14"/>
        </w:rPr>
        <w:t>.</w:t>
      </w:r>
    </w:p>
    <w:p>
      <w:pPr>
        <w:spacing w:before="209"/>
        <w:ind w:left="193" w:right="0" w:firstLine="0"/>
        <w:jc w:val="left"/>
        <w:rPr>
          <w:sz w:val="20"/>
        </w:rPr>
      </w:pPr>
      <w:r>
        <w:rPr/>
        <w:br w:type="column"/>
      </w:r>
      <w:r>
        <w:rPr>
          <w:rFonts w:ascii="Arial"/>
          <w:i/>
          <w:sz w:val="20"/>
        </w:rPr>
        <w:t>[2015] UKSC 67, [2016] A.C. </w:t>
      </w:r>
      <w:r>
        <w:rPr>
          <w:rFonts w:ascii="Arial"/>
          <w:i/>
          <w:spacing w:val="-2"/>
          <w:sz w:val="20"/>
        </w:rPr>
        <w:t>1172</w:t>
      </w:r>
      <w:r>
        <w:rPr>
          <w:spacing w:val="-2"/>
          <w:sz w:val="20"/>
        </w:rPr>
        <w:t>.</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9632">
            <wp:simplePos x="0" y="0"/>
            <wp:positionH relativeFrom="page">
              <wp:posOffset>1257846</wp:posOffset>
            </wp:positionH>
            <wp:positionV relativeFrom="paragraph">
              <wp:posOffset>-210850</wp:posOffset>
            </wp:positionV>
            <wp:extent cx="107988" cy="107988"/>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57" w:id="259"/>
      <w:bookmarkEnd w:id="259"/>
      <w:r>
        <w:rPr/>
      </w:r>
      <w:hyperlink w:history="true" w:anchor="_bookmark216">
        <w:r>
          <w:rPr>
            <w:color w:val="005DA1"/>
            <w:spacing w:val="-4"/>
            <w:sz w:val="14"/>
            <w:u w:val="single" w:color="005DA1"/>
          </w:rPr>
          <w:t>990</w:t>
        </w:r>
      </w:hyperlink>
      <w:r>
        <w:rPr>
          <w:spacing w:val="-4"/>
          <w:sz w:val="14"/>
        </w:rPr>
        <w:t>.</w:t>
      </w:r>
    </w:p>
    <w:p>
      <w:pPr>
        <w:pStyle w:val="BodyText"/>
        <w:spacing w:before="209"/>
        <w:ind w:left="193"/>
      </w:pPr>
      <w:r>
        <w:rPr/>
        <w:br w:type="column"/>
      </w:r>
      <w:r>
        <w:rPr/>
        <w:t>See below, para.26-</w:t>
      </w:r>
      <w:r>
        <w:rPr>
          <w:spacing w:val="-4"/>
        </w:rPr>
        <w:t>216.</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0144">
            <wp:simplePos x="0" y="0"/>
            <wp:positionH relativeFrom="page">
              <wp:posOffset>1257846</wp:posOffset>
            </wp:positionH>
            <wp:positionV relativeFrom="paragraph">
              <wp:posOffset>-210830</wp:posOffset>
            </wp:positionV>
            <wp:extent cx="107988" cy="107988"/>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160644</wp:posOffset>
            </wp:positionV>
            <wp:extent cx="107988" cy="107988"/>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58" w:id="260"/>
      <w:bookmarkEnd w:id="260"/>
      <w:r>
        <w:rPr/>
      </w:r>
      <w:hyperlink w:history="true" w:anchor="_bookmark217">
        <w:r>
          <w:rPr>
            <w:color w:val="005DA1"/>
            <w:spacing w:val="-4"/>
            <w:sz w:val="14"/>
            <w:u w:val="single" w:color="005DA1"/>
          </w:rPr>
          <w:t>991</w:t>
        </w:r>
      </w:hyperlink>
      <w:r>
        <w:rPr>
          <w:spacing w:val="-4"/>
          <w:sz w:val="14"/>
        </w:rPr>
        <w:t>.</w:t>
      </w:r>
    </w:p>
    <w:p>
      <w:pPr>
        <w:pStyle w:val="BodyText"/>
        <w:spacing w:before="209"/>
        <w:ind w:left="193"/>
      </w:pPr>
      <w:r>
        <w:rPr/>
        <w:br w:type="column"/>
      </w:r>
      <w:r>
        <w:rPr/>
        <w:t>See below, para.26-</w:t>
      </w:r>
      <w:r>
        <w:rPr>
          <w:spacing w:val="-4"/>
        </w:rPr>
        <w:t>216.</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12"/>
        <w:rPr>
          <w:sz w:val="14"/>
        </w:rPr>
      </w:pPr>
    </w:p>
    <w:p>
      <w:pPr>
        <w:spacing w:before="1"/>
        <w:ind w:left="23" w:right="0" w:firstLine="0"/>
        <w:jc w:val="left"/>
        <w:rPr>
          <w:sz w:val="14"/>
        </w:rPr>
      </w:pPr>
      <w:hyperlink w:history="true" w:anchor="_bookmark218">
        <w:r>
          <w:rPr>
            <w:color w:val="005DA1"/>
            <w:spacing w:val="-4"/>
            <w:sz w:val="14"/>
            <w:u w:val="single" w:color="005DA1"/>
          </w:rPr>
          <w:t>992</w:t>
        </w:r>
      </w:hyperlink>
      <w:r>
        <w:rPr>
          <w:spacing w:val="-4"/>
          <w:sz w:val="14"/>
        </w:rPr>
        <w:t>.</w:t>
      </w:r>
    </w:p>
    <w:p>
      <w:pPr>
        <w:spacing w:line="240" w:lineRule="auto" w:before="56"/>
        <w:rPr>
          <w:sz w:val="20"/>
        </w:rPr>
      </w:pPr>
      <w:r>
        <w:rPr/>
        <w:br w:type="column"/>
      </w:r>
      <w:r>
        <w:rPr>
          <w:sz w:val="20"/>
        </w:rPr>
      </w:r>
    </w:p>
    <w:p>
      <w:pPr>
        <w:pStyle w:val="BodyText"/>
        <w:ind w:left="193"/>
      </w:pPr>
      <w:r>
        <w:rPr/>
        <w:drawing>
          <wp:anchor distT="0" distB="0" distL="0" distR="0" allowOverlap="1" layoutInCell="1" locked="0" behindDoc="0" simplePos="0" relativeHeight="15751168">
            <wp:simplePos x="0" y="0"/>
            <wp:positionH relativeFrom="page">
              <wp:posOffset>1257846</wp:posOffset>
            </wp:positionH>
            <wp:positionV relativeFrom="paragraph">
              <wp:posOffset>28443</wp:posOffset>
            </wp:positionV>
            <wp:extent cx="107988" cy="1079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7" cstate="print"/>
                    <a:stretch>
                      <a:fillRect/>
                    </a:stretch>
                  </pic:blipFill>
                  <pic:spPr>
                    <a:xfrm>
                      <a:off x="0" y="0"/>
                      <a:ext cx="107988" cy="107988"/>
                    </a:xfrm>
                    <a:prstGeom prst="rect">
                      <a:avLst/>
                    </a:prstGeom>
                  </pic:spPr>
                </pic:pic>
              </a:graphicData>
            </a:graphic>
          </wp:anchor>
        </w:drawing>
      </w:r>
      <w:r>
        <w:rPr/>
        <w:t>See below, para.26-</w:t>
      </w:r>
      <w:r>
        <w:rPr>
          <w:spacing w:val="-2"/>
        </w:rPr>
        <w:t>216Q.</w:t>
      </w:r>
    </w:p>
    <w:p>
      <w:pPr>
        <w:pStyle w:val="BodyText"/>
        <w:spacing w:after="0"/>
        <w:sectPr>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259" w:id="261"/>
      <w:bookmarkEnd w:id="261"/>
      <w:r>
        <w:rPr/>
      </w:r>
      <w:hyperlink w:history="true" w:anchor="_bookmark219">
        <w:r>
          <w:rPr>
            <w:color w:val="005DA1"/>
            <w:spacing w:val="-4"/>
            <w:sz w:val="14"/>
            <w:u w:val="single" w:color="005DA1"/>
          </w:rPr>
          <w:t>993</w:t>
        </w:r>
      </w:hyperlink>
      <w:r>
        <w:rPr>
          <w:spacing w:val="-4"/>
          <w:sz w:val="14"/>
        </w:rPr>
        <w:t>.</w:t>
      </w:r>
    </w:p>
    <w:p>
      <w:pPr>
        <w:pStyle w:val="BodyText"/>
        <w:spacing w:before="209"/>
        <w:ind w:left="193"/>
      </w:pPr>
      <w:r>
        <w:rPr/>
        <w:br w:type="column"/>
      </w:r>
      <w:r>
        <w:rPr/>
        <w:t>See below, paras 26-216S et </w:t>
      </w:r>
      <w:r>
        <w:rPr>
          <w:spacing w:val="-4"/>
        </w:rPr>
        <w:t>seq.</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-210912</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60" w:id="262"/>
      <w:bookmarkEnd w:id="262"/>
      <w:r>
        <w:rPr/>
      </w:r>
      <w:hyperlink w:history="true" w:anchor="_bookmark220">
        <w:r>
          <w:rPr>
            <w:color w:val="005DA1"/>
            <w:spacing w:val="-4"/>
            <w:sz w:val="14"/>
            <w:u w:val="single" w:color="005DA1"/>
          </w:rPr>
          <w:t>994</w:t>
        </w:r>
      </w:hyperlink>
      <w:r>
        <w:rPr>
          <w:spacing w:val="-4"/>
          <w:sz w:val="14"/>
        </w:rPr>
        <w:t>.</w:t>
      </w:r>
    </w:p>
    <w:p>
      <w:pPr>
        <w:pStyle w:val="BodyText"/>
        <w:spacing w:before="209"/>
        <w:ind w:left="193"/>
      </w:pPr>
      <w:r>
        <w:rPr/>
        <w:br w:type="column"/>
      </w:r>
      <w:r>
        <w:rPr/>
        <w:t>See below, paras 26-216C et </w:t>
      </w:r>
      <w:r>
        <w:rPr>
          <w:spacing w:val="-4"/>
        </w:rPr>
        <w:t>seq.</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2192">
            <wp:simplePos x="0" y="0"/>
            <wp:positionH relativeFrom="page">
              <wp:posOffset>1257846</wp:posOffset>
            </wp:positionH>
            <wp:positionV relativeFrom="paragraph">
              <wp:posOffset>-210892</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160582</wp:posOffset>
            </wp:positionV>
            <wp:extent cx="107988" cy="10798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61" w:id="263"/>
      <w:bookmarkEnd w:id="263"/>
      <w:r>
        <w:rPr/>
      </w:r>
      <w:hyperlink w:history="true" w:anchor="_bookmark221">
        <w:r>
          <w:rPr>
            <w:color w:val="005DA1"/>
            <w:spacing w:val="-4"/>
            <w:sz w:val="14"/>
            <w:u w:val="single" w:color="005DA1"/>
          </w:rPr>
          <w:t>995</w:t>
        </w:r>
      </w:hyperlink>
      <w:r>
        <w:rPr>
          <w:spacing w:val="-4"/>
          <w:sz w:val="14"/>
        </w:rPr>
        <w:t>.</w:t>
      </w:r>
    </w:p>
    <w:p>
      <w:pPr>
        <w:spacing w:line="235" w:lineRule="auto" w:before="212"/>
        <w:ind w:left="23" w:right="26" w:firstLine="170"/>
        <w:jc w:val="both"/>
        <w:rPr>
          <w:sz w:val="20"/>
        </w:rPr>
      </w:pPr>
      <w:r>
        <w:rPr/>
        <w:br w:type="column"/>
      </w:r>
      <w:r>
        <w:rPr>
          <w:sz w:val="20"/>
        </w:rPr>
        <w:t>For an early example see </w:t>
      </w:r>
      <w:r>
        <w:rPr>
          <w:rFonts w:ascii="Arial"/>
          <w:i/>
          <w:sz w:val="20"/>
        </w:rPr>
        <w:t>Betts v Burch (1859) 4 H &amp; N 506, 509</w:t>
      </w:r>
      <w:r>
        <w:rPr>
          <w:sz w:val="20"/>
        </w:rPr>
        <w:t>, cited by Lords Neuberger and Sumption in </w:t>
      </w:r>
      <w:r>
        <w:rPr>
          <w:rFonts w:ascii="Arial"/>
          <w:i/>
          <w:sz w:val="20"/>
        </w:rPr>
        <w:t>Cavendish Square Holding BV v Makdessi </w:t>
      </w:r>
      <w:r>
        <w:rPr>
          <w:sz w:val="20"/>
        </w:rPr>
        <w:t>and </w:t>
      </w:r>
      <w:r>
        <w:rPr>
          <w:rFonts w:ascii="Arial"/>
          <w:i/>
          <w:sz w:val="20"/>
        </w:rPr>
        <w:t>ParkingEye Ltd v Beavis</w:t>
      </w:r>
      <w:r>
        <w:rPr>
          <w:rFonts w:ascii="Arial"/>
          <w:i/>
          <w:spacing w:val="40"/>
          <w:sz w:val="20"/>
        </w:rPr>
        <w:t> </w:t>
      </w:r>
      <w:r>
        <w:rPr>
          <w:rFonts w:ascii="Arial"/>
          <w:i/>
          <w:sz w:val="20"/>
        </w:rPr>
        <w:t>[2015] UKSC 67, [2016] A.C. 1172 </w:t>
      </w:r>
      <w:r>
        <w:rPr>
          <w:sz w:val="20"/>
        </w:rPr>
        <w:t>at [8]. See also their judgment at [33].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262" w:id="264"/>
      <w:bookmarkEnd w:id="264"/>
      <w:r>
        <w:rPr/>
      </w:r>
      <w:hyperlink w:history="true" w:anchor="_bookmark222">
        <w:r>
          <w:rPr>
            <w:color w:val="005DA1"/>
            <w:spacing w:val="-4"/>
            <w:sz w:val="14"/>
            <w:u w:val="single" w:color="005DA1"/>
          </w:rPr>
          <w:t>996</w:t>
        </w:r>
      </w:hyperlink>
      <w:r>
        <w:rPr>
          <w:spacing w:val="-4"/>
          <w:sz w:val="14"/>
        </w:rPr>
        <w:t>.</w:t>
      </w:r>
    </w:p>
    <w:p>
      <w:pPr>
        <w:spacing w:before="208"/>
        <w:ind w:left="193" w:right="0" w:firstLine="0"/>
        <w:jc w:val="left"/>
        <w:rPr>
          <w:sz w:val="20"/>
        </w:rPr>
      </w:pPr>
      <w:r>
        <w:rPr/>
        <w:br w:type="column"/>
      </w:r>
      <w:r>
        <w:rPr>
          <w:rFonts w:ascii="Arial"/>
          <w:i/>
          <w:sz w:val="20"/>
        </w:rPr>
        <w:t>[2015] UKSC 67, [2016] A.C. </w:t>
      </w:r>
      <w:r>
        <w:rPr>
          <w:rFonts w:ascii="Arial"/>
          <w:i/>
          <w:spacing w:val="-2"/>
          <w:sz w:val="20"/>
        </w:rPr>
        <w:t>1172</w:t>
      </w:r>
      <w:r>
        <w:rPr>
          <w:spacing w:val="-2"/>
          <w:sz w:val="20"/>
        </w:rPr>
        <w:t>.</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-210955</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63" w:id="265"/>
      <w:bookmarkEnd w:id="265"/>
      <w:r>
        <w:rPr/>
      </w:r>
      <w:hyperlink w:history="true" w:anchor="_bookmark223">
        <w:r>
          <w:rPr>
            <w:color w:val="005DA1"/>
            <w:spacing w:val="-4"/>
            <w:sz w:val="14"/>
            <w:u w:val="single" w:color="005DA1"/>
          </w:rPr>
          <w:t>997</w:t>
        </w:r>
      </w:hyperlink>
      <w:r>
        <w:rPr>
          <w:spacing w:val="-4"/>
          <w:sz w:val="14"/>
        </w:rPr>
        <w:t>.</w:t>
      </w:r>
    </w:p>
    <w:p>
      <w:pPr>
        <w:spacing w:line="235" w:lineRule="auto" w:before="212"/>
        <w:ind w:left="23" w:right="23" w:firstLine="170"/>
        <w:jc w:val="left"/>
        <w:rPr>
          <w:sz w:val="20"/>
        </w:rPr>
      </w:pPr>
      <w:r>
        <w:rPr/>
        <w:br w:type="column"/>
      </w:r>
      <w:r>
        <w:rPr>
          <w:sz w:val="20"/>
        </w:rPr>
        <w:t>The history of the rule in English law is summarised in the judgments of Lords Neuberger and Sumption</w:t>
      </w:r>
      <w:r>
        <w:rPr>
          <w:spacing w:val="17"/>
          <w:sz w:val="20"/>
        </w:rPr>
        <w:t> </w:t>
      </w:r>
      <w:r>
        <w:rPr>
          <w:sz w:val="20"/>
        </w:rPr>
        <w:t>in</w:t>
      </w:r>
      <w:r>
        <w:rPr>
          <w:spacing w:val="17"/>
          <w:sz w:val="20"/>
        </w:rPr>
        <w:t> </w:t>
      </w:r>
      <w:r>
        <w:rPr>
          <w:sz w:val="20"/>
        </w:rPr>
        <w:t>the</w:t>
      </w:r>
      <w:r>
        <w:rPr>
          <w:spacing w:val="17"/>
          <w:sz w:val="20"/>
        </w:rPr>
        <w:t> </w:t>
      </w:r>
      <w:r>
        <w:rPr>
          <w:rFonts w:ascii="Arial" w:hAnsi="Arial"/>
          <w:i/>
          <w:sz w:val="20"/>
        </w:rPr>
        <w:t>Cavendish</w:t>
      </w:r>
      <w:r>
        <w:rPr>
          <w:rFonts w:ascii="Arial" w:hAnsi="Arial"/>
          <w:i/>
          <w:spacing w:val="17"/>
          <w:sz w:val="20"/>
        </w:rPr>
        <w:t> </w:t>
      </w:r>
      <w:r>
        <w:rPr>
          <w:rFonts w:ascii="Arial" w:hAnsi="Arial"/>
          <w:i/>
          <w:sz w:val="20"/>
        </w:rPr>
        <w:t>Square</w:t>
      </w:r>
      <w:r>
        <w:rPr>
          <w:rFonts w:ascii="Arial" w:hAnsi="Arial"/>
          <w:i/>
          <w:spacing w:val="17"/>
          <w:sz w:val="20"/>
        </w:rPr>
        <w:t> </w:t>
      </w:r>
      <w:r>
        <w:rPr>
          <w:rFonts w:ascii="Arial" w:hAnsi="Arial"/>
          <w:i/>
          <w:sz w:val="20"/>
        </w:rPr>
        <w:t>case</w:t>
      </w:r>
      <w:r>
        <w:rPr>
          <w:rFonts w:ascii="Arial" w:hAnsi="Arial"/>
          <w:i/>
          <w:spacing w:val="17"/>
          <w:sz w:val="20"/>
        </w:rPr>
        <w:t> </w:t>
      </w:r>
      <w:r>
        <w:rPr>
          <w:rFonts w:ascii="Arial" w:hAnsi="Arial"/>
          <w:i/>
          <w:sz w:val="20"/>
        </w:rPr>
        <w:t>[2015]</w:t>
      </w:r>
      <w:r>
        <w:rPr>
          <w:rFonts w:ascii="Arial" w:hAnsi="Arial"/>
          <w:i/>
          <w:spacing w:val="17"/>
          <w:sz w:val="20"/>
        </w:rPr>
        <w:t> </w:t>
      </w:r>
      <w:r>
        <w:rPr>
          <w:rFonts w:ascii="Arial" w:hAnsi="Arial"/>
          <w:i/>
          <w:sz w:val="20"/>
        </w:rPr>
        <w:t>UKSC</w:t>
      </w:r>
      <w:r>
        <w:rPr>
          <w:rFonts w:ascii="Arial" w:hAnsi="Arial"/>
          <w:i/>
          <w:spacing w:val="17"/>
          <w:sz w:val="20"/>
        </w:rPr>
        <w:t> </w:t>
      </w:r>
      <w:r>
        <w:rPr>
          <w:rFonts w:ascii="Arial" w:hAnsi="Arial"/>
          <w:i/>
          <w:sz w:val="20"/>
        </w:rPr>
        <w:t>67</w:t>
      </w:r>
      <w:r>
        <w:rPr>
          <w:rFonts w:ascii="Arial" w:hAnsi="Arial"/>
          <w:i/>
          <w:spacing w:val="16"/>
          <w:sz w:val="20"/>
        </w:rPr>
        <w:t> </w:t>
      </w:r>
      <w:r>
        <w:rPr>
          <w:sz w:val="20"/>
        </w:rPr>
        <w:t>at</w:t>
      </w:r>
      <w:r>
        <w:rPr>
          <w:spacing w:val="17"/>
          <w:sz w:val="20"/>
        </w:rPr>
        <w:t> </w:t>
      </w:r>
      <w:r>
        <w:rPr>
          <w:sz w:val="20"/>
        </w:rPr>
        <w:t>[4]–[8]</w:t>
      </w:r>
      <w:r>
        <w:rPr>
          <w:spacing w:val="17"/>
          <w:sz w:val="20"/>
        </w:rPr>
        <w:t> </w:t>
      </w:r>
      <w:r>
        <w:rPr>
          <w:sz w:val="20"/>
        </w:rPr>
        <w:t>and</w:t>
      </w:r>
      <w:r>
        <w:rPr>
          <w:spacing w:val="17"/>
          <w:sz w:val="20"/>
        </w:rPr>
        <w:t> </w:t>
      </w:r>
      <w:r>
        <w:rPr>
          <w:sz w:val="20"/>
        </w:rPr>
        <w:t>of</w:t>
      </w:r>
      <w:r>
        <w:rPr>
          <w:spacing w:val="17"/>
          <w:sz w:val="20"/>
        </w:rPr>
        <w:t> </w:t>
      </w:r>
      <w:r>
        <w:rPr>
          <w:sz w:val="20"/>
        </w:rPr>
        <w:t>Mason</w:t>
      </w:r>
      <w:r>
        <w:rPr>
          <w:spacing w:val="17"/>
          <w:sz w:val="20"/>
        </w:rPr>
        <w:t> </w:t>
      </w:r>
      <w:r>
        <w:rPr>
          <w:sz w:val="20"/>
        </w:rPr>
        <w:t>and</w:t>
      </w:r>
      <w:r>
        <w:rPr>
          <w:spacing w:val="17"/>
          <w:sz w:val="20"/>
        </w:rPr>
        <w:t> </w:t>
      </w:r>
      <w:r>
        <w:rPr>
          <w:spacing w:val="-2"/>
          <w:sz w:val="20"/>
        </w:rPr>
        <w:t>Wilson</w:t>
      </w:r>
    </w:p>
    <w:p>
      <w:pPr>
        <w:spacing w:line="223" w:lineRule="exact" w:before="0"/>
        <w:ind w:left="23" w:right="0" w:firstLine="0"/>
        <w:jc w:val="both"/>
        <w:rPr>
          <w:sz w:val="20"/>
        </w:rPr>
      </w:pPr>
      <w:r>
        <w:rPr>
          <w:sz w:val="20"/>
        </w:rPr>
        <w:drawing>
          <wp:anchor distT="0" distB="0" distL="0" distR="0" allowOverlap="1" layoutInCell="1" locked="0" behindDoc="0" simplePos="0" relativeHeight="15753728">
            <wp:simplePos x="0" y="0"/>
            <wp:positionH relativeFrom="page">
              <wp:posOffset>1257846</wp:posOffset>
            </wp:positionH>
            <wp:positionV relativeFrom="paragraph">
              <wp:posOffset>-260334</wp:posOffset>
            </wp:positionV>
            <wp:extent cx="107988" cy="107988"/>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107988" cy="107988"/>
                    </a:xfrm>
                    <a:prstGeom prst="rect">
                      <a:avLst/>
                    </a:prstGeom>
                  </pic:spPr>
                </pic:pic>
              </a:graphicData>
            </a:graphic>
          </wp:anchor>
        </w:drawing>
      </w:r>
      <w:r>
        <w:rPr>
          <w:sz w:val="20"/>
        </w:rPr>
        <w:t>JJ.</w:t>
      </w:r>
      <w:r>
        <w:rPr>
          <w:spacing w:val="51"/>
          <w:sz w:val="20"/>
        </w:rPr>
        <w:t> </w:t>
      </w:r>
      <w:r>
        <w:rPr>
          <w:sz w:val="20"/>
        </w:rPr>
        <w:t>in</w:t>
      </w:r>
      <w:r>
        <w:rPr>
          <w:spacing w:val="51"/>
          <w:sz w:val="20"/>
        </w:rPr>
        <w:t> </w:t>
      </w:r>
      <w:r>
        <w:rPr>
          <w:sz w:val="20"/>
        </w:rPr>
        <w:t>the</w:t>
      </w:r>
      <w:r>
        <w:rPr>
          <w:spacing w:val="51"/>
          <w:sz w:val="20"/>
        </w:rPr>
        <w:t> </w:t>
      </w:r>
      <w:r>
        <w:rPr>
          <w:sz w:val="20"/>
        </w:rPr>
        <w:t>Australian</w:t>
      </w:r>
      <w:r>
        <w:rPr>
          <w:spacing w:val="51"/>
          <w:sz w:val="20"/>
        </w:rPr>
        <w:t> </w:t>
      </w:r>
      <w:r>
        <w:rPr>
          <w:sz w:val="20"/>
        </w:rPr>
        <w:t>case</w:t>
      </w:r>
      <w:r>
        <w:rPr>
          <w:spacing w:val="51"/>
          <w:sz w:val="20"/>
        </w:rPr>
        <w:t> </w:t>
      </w:r>
      <w:r>
        <w:rPr>
          <w:sz w:val="20"/>
        </w:rPr>
        <w:t>of</w:t>
      </w:r>
      <w:r>
        <w:rPr>
          <w:spacing w:val="51"/>
          <w:sz w:val="20"/>
        </w:rPr>
        <w:t> </w:t>
      </w:r>
      <w:r>
        <w:rPr>
          <w:rFonts w:ascii="Arial"/>
          <w:i/>
          <w:sz w:val="20"/>
        </w:rPr>
        <w:t>AMEV-UDC</w:t>
      </w:r>
      <w:r>
        <w:rPr>
          <w:rFonts w:ascii="Arial"/>
          <w:i/>
          <w:spacing w:val="51"/>
          <w:sz w:val="20"/>
        </w:rPr>
        <w:t> </w:t>
      </w:r>
      <w:r>
        <w:rPr>
          <w:rFonts w:ascii="Arial"/>
          <w:i/>
          <w:sz w:val="20"/>
        </w:rPr>
        <w:t>Finance</w:t>
      </w:r>
      <w:r>
        <w:rPr>
          <w:rFonts w:ascii="Arial"/>
          <w:i/>
          <w:spacing w:val="51"/>
          <w:sz w:val="20"/>
        </w:rPr>
        <w:t> </w:t>
      </w:r>
      <w:r>
        <w:rPr>
          <w:rFonts w:ascii="Arial"/>
          <w:i/>
          <w:sz w:val="20"/>
        </w:rPr>
        <w:t>Ltd</w:t>
      </w:r>
      <w:r>
        <w:rPr>
          <w:rFonts w:ascii="Arial"/>
          <w:i/>
          <w:spacing w:val="51"/>
          <w:sz w:val="20"/>
        </w:rPr>
        <w:t> </w:t>
      </w:r>
      <w:r>
        <w:rPr>
          <w:rFonts w:ascii="Arial"/>
          <w:i/>
          <w:sz w:val="20"/>
        </w:rPr>
        <w:t>v</w:t>
      </w:r>
      <w:r>
        <w:rPr>
          <w:rFonts w:ascii="Arial"/>
          <w:i/>
          <w:spacing w:val="51"/>
          <w:sz w:val="20"/>
        </w:rPr>
        <w:t> </w:t>
      </w:r>
      <w:r>
        <w:rPr>
          <w:rFonts w:ascii="Arial"/>
          <w:i/>
          <w:sz w:val="20"/>
        </w:rPr>
        <w:t>Austin</w:t>
      </w:r>
      <w:r>
        <w:rPr>
          <w:rFonts w:ascii="Arial"/>
          <w:i/>
          <w:spacing w:val="51"/>
          <w:sz w:val="20"/>
        </w:rPr>
        <w:t> </w:t>
      </w:r>
      <w:r>
        <w:rPr>
          <w:rFonts w:ascii="Arial"/>
          <w:i/>
          <w:sz w:val="20"/>
        </w:rPr>
        <w:t>(1986)</w:t>
      </w:r>
      <w:r>
        <w:rPr>
          <w:rFonts w:ascii="Arial"/>
          <w:i/>
          <w:spacing w:val="51"/>
          <w:sz w:val="20"/>
        </w:rPr>
        <w:t> </w:t>
      </w:r>
      <w:r>
        <w:rPr>
          <w:rFonts w:ascii="Arial"/>
          <w:i/>
          <w:sz w:val="20"/>
        </w:rPr>
        <w:t>162</w:t>
      </w:r>
      <w:r>
        <w:rPr>
          <w:rFonts w:ascii="Arial"/>
          <w:i/>
          <w:spacing w:val="51"/>
          <w:sz w:val="20"/>
        </w:rPr>
        <w:t> </w:t>
      </w:r>
      <w:r>
        <w:rPr>
          <w:rFonts w:ascii="Arial"/>
          <w:i/>
          <w:sz w:val="20"/>
        </w:rPr>
        <w:t>C.L.R.</w:t>
      </w:r>
      <w:r>
        <w:rPr>
          <w:rFonts w:ascii="Arial"/>
          <w:i/>
          <w:spacing w:val="51"/>
          <w:sz w:val="20"/>
        </w:rPr>
        <w:t> </w:t>
      </w:r>
      <w:r>
        <w:rPr>
          <w:rFonts w:ascii="Arial"/>
          <w:i/>
          <w:sz w:val="20"/>
        </w:rPr>
        <w:t>170</w:t>
      </w:r>
      <w:r>
        <w:rPr>
          <w:rFonts w:ascii="Arial"/>
          <w:i/>
          <w:spacing w:val="50"/>
          <w:sz w:val="20"/>
        </w:rPr>
        <w:t> </w:t>
      </w:r>
      <w:r>
        <w:rPr>
          <w:spacing w:val="-5"/>
          <w:sz w:val="20"/>
        </w:rPr>
        <w:t>at</w:t>
      </w:r>
    </w:p>
    <w:p>
      <w:pPr>
        <w:pStyle w:val="BodyText"/>
        <w:spacing w:line="225" w:lineRule="exact"/>
        <w:ind w:left="23"/>
        <w:jc w:val="both"/>
      </w:pPr>
      <w:r>
        <w:rPr/>
        <w:t>[27]–[34].</w:t>
      </w:r>
      <w:r>
        <w:rPr>
          <w:spacing w:val="45"/>
        </w:rPr>
        <w:t> </w:t>
      </w:r>
      <w:r>
        <w:rPr/>
        <w:t>See</w:t>
      </w:r>
      <w:r>
        <w:rPr>
          <w:spacing w:val="45"/>
        </w:rPr>
        <w:t> </w:t>
      </w:r>
      <w:r>
        <w:rPr/>
        <w:t>also</w:t>
      </w:r>
      <w:r>
        <w:rPr>
          <w:spacing w:val="45"/>
        </w:rPr>
        <w:t> </w:t>
      </w:r>
      <w:r>
        <w:rPr/>
        <w:t>A.</w:t>
      </w:r>
      <w:r>
        <w:rPr>
          <w:spacing w:val="45"/>
        </w:rPr>
        <w:t> </w:t>
      </w:r>
      <w:r>
        <w:rPr/>
        <w:t>Simpson,</w:t>
      </w:r>
      <w:r>
        <w:rPr>
          <w:spacing w:val="45"/>
        </w:rPr>
        <w:t> </w:t>
      </w:r>
      <w:r>
        <w:rPr/>
        <w:t>“The</w:t>
      </w:r>
      <w:r>
        <w:rPr>
          <w:spacing w:val="45"/>
        </w:rPr>
        <w:t> </w:t>
      </w:r>
      <w:r>
        <w:rPr/>
        <w:t>Penal</w:t>
      </w:r>
      <w:r>
        <w:rPr>
          <w:spacing w:val="45"/>
        </w:rPr>
        <w:t> </w:t>
      </w:r>
      <w:r>
        <w:rPr/>
        <w:t>Bond</w:t>
      </w:r>
      <w:r>
        <w:rPr>
          <w:spacing w:val="45"/>
        </w:rPr>
        <w:t> </w:t>
      </w:r>
      <w:r>
        <w:rPr/>
        <w:t>with</w:t>
      </w:r>
      <w:r>
        <w:rPr>
          <w:spacing w:val="45"/>
        </w:rPr>
        <w:t> </w:t>
      </w:r>
      <w:r>
        <w:rPr/>
        <w:t>Conditional</w:t>
      </w:r>
      <w:r>
        <w:rPr>
          <w:spacing w:val="45"/>
        </w:rPr>
        <w:t> </w:t>
      </w:r>
      <w:r>
        <w:rPr/>
        <w:t>Defeasance”</w:t>
      </w:r>
      <w:r>
        <w:rPr>
          <w:spacing w:val="45"/>
        </w:rPr>
        <w:t> </w:t>
      </w:r>
      <w:r>
        <w:rPr/>
        <w:t>(1996)</w:t>
      </w:r>
      <w:r>
        <w:rPr>
          <w:spacing w:val="45"/>
        </w:rPr>
        <w:t> </w:t>
      </w:r>
      <w:r>
        <w:rPr>
          <w:spacing w:val="-5"/>
        </w:rPr>
        <w:t>82</w:t>
      </w:r>
    </w:p>
    <w:p>
      <w:pPr>
        <w:spacing w:line="235" w:lineRule="auto" w:before="2"/>
        <w:ind w:left="23" w:right="25" w:firstLine="0"/>
        <w:jc w:val="both"/>
        <w:rPr>
          <w:sz w:val="20"/>
        </w:rPr>
      </w:pPr>
      <w:r>
        <w:rPr>
          <w:sz w:val="20"/>
        </w:rPr>
        <w:t>L.Q.R. 392; D. Ibbetson, </w:t>
      </w:r>
      <w:r>
        <w:rPr>
          <w:rFonts w:ascii="Arial" w:hAnsi="Arial"/>
          <w:i/>
          <w:sz w:val="20"/>
        </w:rPr>
        <w:t>A Historical Introduction to the Law of Obligations</w:t>
      </w:r>
      <w:r>
        <w:rPr>
          <w:rFonts w:ascii="Arial" w:hAnsi="Arial"/>
          <w:i/>
          <w:spacing w:val="-1"/>
          <w:sz w:val="20"/>
        </w:rPr>
        <w:t> </w:t>
      </w:r>
      <w:r>
        <w:rPr>
          <w:sz w:val="20"/>
        </w:rPr>
        <w:t>(1999), especially </w:t>
      </w:r>
      <w:r>
        <w:rPr>
          <w:sz w:val="20"/>
        </w:rPr>
        <w:t>at pp.213 et seq. and 255 et seq. Lord Hodge gives an account of the history in Scots law at</w:t>
      </w:r>
      <w:r>
        <w:rPr>
          <w:spacing w:val="40"/>
          <w:sz w:val="20"/>
        </w:rPr>
        <w:t> </w:t>
      </w:r>
      <w:r>
        <w:rPr>
          <w:rFonts w:ascii="Arial" w:hAnsi="Arial"/>
          <w:i/>
          <w:sz w:val="20"/>
        </w:rPr>
        <w:t>[2015] UKSC 67 </w:t>
      </w:r>
      <w:r>
        <w:rPr>
          <w:sz w:val="20"/>
        </w:rPr>
        <w:t>at [251]–[253].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264" w:id="266"/>
      <w:bookmarkEnd w:id="266"/>
      <w:r>
        <w:rPr/>
      </w:r>
      <w:hyperlink w:history="true" w:anchor="_bookmark224">
        <w:r>
          <w:rPr>
            <w:color w:val="005DA1"/>
            <w:spacing w:val="-4"/>
            <w:sz w:val="14"/>
            <w:u w:val="single" w:color="005DA1"/>
          </w:rPr>
          <w:t>998</w:t>
        </w:r>
      </w:hyperlink>
      <w:r>
        <w:rPr>
          <w:spacing w:val="-4"/>
          <w:sz w:val="14"/>
        </w:rPr>
        <w:t>.</w:t>
      </w:r>
    </w:p>
    <w:p>
      <w:pPr>
        <w:spacing w:before="209"/>
        <w:ind w:left="193" w:right="0" w:firstLine="0"/>
        <w:jc w:val="left"/>
        <w:rPr>
          <w:sz w:val="20"/>
        </w:rPr>
      </w:pPr>
      <w:r>
        <w:rPr/>
        <w:br w:type="column"/>
      </w:r>
      <w:r>
        <w:rPr>
          <w:rFonts w:ascii="Arial"/>
          <w:i/>
          <w:sz w:val="20"/>
        </w:rPr>
        <w:t>Philips Hong Kong Ltd v Att-Gen of Hong Kong (1993) 61 Build. L.R. 49, </w:t>
      </w:r>
      <w:r>
        <w:rPr>
          <w:rFonts w:ascii="Arial"/>
          <w:i/>
          <w:spacing w:val="-5"/>
          <w:sz w:val="20"/>
        </w:rPr>
        <w:t>58</w:t>
      </w:r>
      <w:r>
        <w:rPr>
          <w:spacing w:val="-5"/>
          <w:sz w:val="20"/>
        </w:rPr>
        <w:t>.</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4240">
            <wp:simplePos x="0" y="0"/>
            <wp:positionH relativeFrom="page">
              <wp:posOffset>1257846</wp:posOffset>
            </wp:positionH>
            <wp:positionV relativeFrom="paragraph">
              <wp:posOffset>-210852</wp:posOffset>
            </wp:positionV>
            <wp:extent cx="107988" cy="107988"/>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54752">
            <wp:simplePos x="0" y="0"/>
            <wp:positionH relativeFrom="page">
              <wp:posOffset>1257846</wp:posOffset>
            </wp:positionH>
            <wp:positionV relativeFrom="paragraph">
              <wp:posOffset>160622</wp:posOffset>
            </wp:positionV>
            <wp:extent cx="107988" cy="107988"/>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65" w:id="267"/>
      <w:bookmarkEnd w:id="267"/>
      <w:r>
        <w:rPr/>
      </w:r>
      <w:hyperlink w:history="true" w:anchor="_bookmark225">
        <w:r>
          <w:rPr>
            <w:color w:val="005DA1"/>
            <w:spacing w:val="-4"/>
            <w:sz w:val="14"/>
            <w:u w:val="single" w:color="005DA1"/>
          </w:rPr>
          <w:t>999</w:t>
        </w:r>
      </w:hyperlink>
      <w:r>
        <w:rPr>
          <w:spacing w:val="-4"/>
          <w:sz w:val="14"/>
        </w:rPr>
        <w:t>.</w:t>
      </w:r>
    </w:p>
    <w:p>
      <w:pPr>
        <w:spacing w:line="235" w:lineRule="auto" w:before="212"/>
        <w:ind w:left="23" w:right="25" w:firstLine="170"/>
        <w:jc w:val="both"/>
        <w:rPr>
          <w:sz w:val="20"/>
        </w:rPr>
      </w:pPr>
      <w:r>
        <w:rPr/>
        <w:br w:type="column"/>
      </w:r>
      <w:r>
        <w:rPr>
          <w:sz w:val="20"/>
        </w:rPr>
        <w:t>The view was also cited with approval in the High Court of Australia: </w:t>
      </w:r>
      <w:r>
        <w:rPr>
          <w:rFonts w:ascii="Arial" w:hAnsi="Arial"/>
          <w:i/>
          <w:sz w:val="20"/>
        </w:rPr>
        <w:t>Esanda Finance </w:t>
      </w:r>
      <w:r>
        <w:rPr>
          <w:rFonts w:ascii="Arial" w:hAnsi="Arial"/>
          <w:i/>
          <w:sz w:val="20"/>
        </w:rPr>
        <w:t>Corp</w:t>
      </w:r>
      <w:r>
        <w:rPr>
          <w:rFonts w:ascii="Arial" w:hAnsi="Arial"/>
          <w:i/>
          <w:spacing w:val="40"/>
          <w:sz w:val="20"/>
        </w:rPr>
        <w:t> </w:t>
      </w:r>
      <w:r>
        <w:rPr>
          <w:rFonts w:ascii="Arial" w:hAnsi="Arial"/>
          <w:i/>
          <w:sz w:val="20"/>
        </w:rPr>
        <w:t>Ltd v Plessing (1989) 166 C.L.R. 131, 140</w:t>
      </w:r>
      <w:r>
        <w:rPr>
          <w:sz w:val="20"/>
        </w:rPr>
        <w:t>. See also Lord Neuberger and Lord Sumption’s descriptions of the doubts as to the basis of the doctrine, </w:t>
      </w:r>
      <w:r>
        <w:rPr>
          <w:rFonts w:ascii="Arial" w:hAnsi="Arial"/>
          <w:i/>
          <w:sz w:val="20"/>
        </w:rPr>
        <w:t>Cavendish Square Holding BV v Makdessi [2015] UKSC 67 </w:t>
      </w:r>
      <w:r>
        <w:rPr>
          <w:sz w:val="20"/>
        </w:rPr>
        <w:t>at [3].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125"/>
      </w:pPr>
    </w:p>
    <w:p>
      <w:pPr>
        <w:spacing w:before="0"/>
        <w:ind w:left="23" w:right="0" w:firstLine="0"/>
        <w:jc w:val="left"/>
        <w:rPr>
          <w:sz w:val="20"/>
        </w:rPr>
      </w:pPr>
      <w:bookmarkStart w:name="_bookmark266" w:id="268"/>
      <w:bookmarkEnd w:id="268"/>
      <w:r>
        <w:rPr/>
      </w:r>
      <w:hyperlink w:history="true" w:anchor="_bookmark226">
        <w:r>
          <w:rPr>
            <w:color w:val="005DA1"/>
            <w:sz w:val="20"/>
            <w:u w:val="single" w:color="005DA1"/>
            <w:vertAlign w:val="superscript"/>
          </w:rPr>
          <w:t>1000</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Elsey</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J.G.</w:t>
      </w:r>
      <w:r>
        <w:rPr>
          <w:rFonts w:ascii="Arial"/>
          <w:i/>
          <w:spacing w:val="1"/>
          <w:sz w:val="20"/>
          <w:vertAlign w:val="baseline"/>
        </w:rPr>
        <w:t> </w:t>
      </w:r>
      <w:r>
        <w:rPr>
          <w:rFonts w:ascii="Arial"/>
          <w:i/>
          <w:sz w:val="20"/>
          <w:vertAlign w:val="baseline"/>
        </w:rPr>
        <w:t>Collins</w:t>
      </w:r>
      <w:r>
        <w:rPr>
          <w:rFonts w:ascii="Arial"/>
          <w:i/>
          <w:spacing w:val="1"/>
          <w:sz w:val="20"/>
          <w:vertAlign w:val="baseline"/>
        </w:rPr>
        <w:t> </w:t>
      </w:r>
      <w:r>
        <w:rPr>
          <w:rFonts w:ascii="Arial"/>
          <w:i/>
          <w:sz w:val="20"/>
          <w:vertAlign w:val="baseline"/>
        </w:rPr>
        <w:t>Insurance</w:t>
      </w:r>
      <w:r>
        <w:rPr>
          <w:rFonts w:ascii="Arial"/>
          <w:i/>
          <w:spacing w:val="2"/>
          <w:sz w:val="20"/>
          <w:vertAlign w:val="baseline"/>
        </w:rPr>
        <w:t> </w:t>
      </w:r>
      <w:r>
        <w:rPr>
          <w:rFonts w:ascii="Arial"/>
          <w:i/>
          <w:sz w:val="20"/>
          <w:vertAlign w:val="baseline"/>
        </w:rPr>
        <w:t>Agencies</w:t>
      </w:r>
      <w:r>
        <w:rPr>
          <w:rFonts w:ascii="Arial"/>
          <w:i/>
          <w:spacing w:val="1"/>
          <w:sz w:val="20"/>
          <w:vertAlign w:val="baseline"/>
        </w:rPr>
        <w:t> </w:t>
      </w:r>
      <w:r>
        <w:rPr>
          <w:rFonts w:ascii="Arial"/>
          <w:i/>
          <w:sz w:val="20"/>
          <w:vertAlign w:val="baseline"/>
        </w:rPr>
        <w:t>Ltd</w:t>
      </w:r>
      <w:r>
        <w:rPr>
          <w:rFonts w:ascii="Arial"/>
          <w:i/>
          <w:spacing w:val="2"/>
          <w:sz w:val="20"/>
          <w:vertAlign w:val="baseline"/>
        </w:rPr>
        <w:t> </w:t>
      </w:r>
      <w:r>
        <w:rPr>
          <w:rFonts w:ascii="Arial"/>
          <w:i/>
          <w:sz w:val="20"/>
          <w:vertAlign w:val="baseline"/>
        </w:rPr>
        <w:t>(1978)</w:t>
      </w:r>
      <w:r>
        <w:rPr>
          <w:rFonts w:ascii="Arial"/>
          <w:i/>
          <w:spacing w:val="1"/>
          <w:sz w:val="20"/>
          <w:vertAlign w:val="baseline"/>
        </w:rPr>
        <w:t> </w:t>
      </w:r>
      <w:r>
        <w:rPr>
          <w:rFonts w:ascii="Arial"/>
          <w:i/>
          <w:sz w:val="20"/>
          <w:vertAlign w:val="baseline"/>
        </w:rPr>
        <w:t>83</w:t>
      </w:r>
      <w:r>
        <w:rPr>
          <w:rFonts w:ascii="Arial"/>
          <w:i/>
          <w:spacing w:val="1"/>
          <w:sz w:val="20"/>
          <w:vertAlign w:val="baseline"/>
        </w:rPr>
        <w:t> </w:t>
      </w:r>
      <w:r>
        <w:rPr>
          <w:rFonts w:ascii="Arial"/>
          <w:i/>
          <w:sz w:val="20"/>
          <w:vertAlign w:val="baseline"/>
        </w:rPr>
        <w:t>D.L.R.</w:t>
      </w:r>
      <w:r>
        <w:rPr>
          <w:rFonts w:ascii="Arial"/>
          <w:i/>
          <w:spacing w:val="2"/>
          <w:sz w:val="20"/>
          <w:vertAlign w:val="baseline"/>
        </w:rPr>
        <w:t> </w:t>
      </w:r>
      <w:r>
        <w:rPr>
          <w:rFonts w:ascii="Arial"/>
          <w:i/>
          <w:sz w:val="20"/>
          <w:vertAlign w:val="baseline"/>
        </w:rPr>
        <w:t>(3d.)</w:t>
      </w:r>
      <w:r>
        <w:rPr>
          <w:rFonts w:ascii="Arial"/>
          <w:i/>
          <w:spacing w:val="1"/>
          <w:sz w:val="20"/>
          <w:vertAlign w:val="baseline"/>
        </w:rPr>
        <w:t> </w:t>
      </w:r>
      <w:r>
        <w:rPr>
          <w:rFonts w:ascii="Arial"/>
          <w:i/>
          <w:sz w:val="20"/>
          <w:vertAlign w:val="baseline"/>
        </w:rPr>
        <w:t>1,</w:t>
      </w:r>
      <w:r>
        <w:rPr>
          <w:rFonts w:ascii="Arial"/>
          <w:i/>
          <w:spacing w:val="2"/>
          <w:sz w:val="20"/>
          <w:vertAlign w:val="baseline"/>
        </w:rPr>
        <w:t> </w:t>
      </w:r>
      <w:r>
        <w:rPr>
          <w:rFonts w:ascii="Arial"/>
          <w:i/>
          <w:spacing w:val="-5"/>
          <w:sz w:val="20"/>
          <w:vertAlign w:val="baseline"/>
        </w:rPr>
        <w:t>15</w:t>
      </w:r>
      <w:r>
        <w:rPr>
          <w:spacing w:val="-5"/>
          <w:sz w:val="20"/>
          <w:vertAlign w:val="baseline"/>
        </w:rPr>
        <w:t>.</w:t>
      </w:r>
    </w:p>
    <w:p>
      <w:pPr>
        <w:pStyle w:val="BodyText"/>
        <w:spacing w:before="125"/>
      </w:pPr>
    </w:p>
    <w:p>
      <w:pPr>
        <w:spacing w:before="0"/>
        <w:ind w:left="23" w:right="0" w:firstLine="0"/>
        <w:jc w:val="left"/>
        <w:rPr>
          <w:sz w:val="20"/>
        </w:rPr>
      </w:pPr>
      <w:bookmarkStart w:name="_bookmark267" w:id="269"/>
      <w:bookmarkEnd w:id="269"/>
      <w:r>
        <w:rPr/>
      </w:r>
      <w:hyperlink w:history="true" w:anchor="_bookmark227">
        <w:r>
          <w:rPr>
            <w:color w:val="005DA1"/>
            <w:sz w:val="20"/>
            <w:u w:val="single" w:color="005DA1"/>
            <w:vertAlign w:val="superscript"/>
          </w:rPr>
          <w:t>1001</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Robophone</w:t>
      </w:r>
      <w:r>
        <w:rPr>
          <w:rFonts w:ascii="Arial"/>
          <w:i/>
          <w:spacing w:val="2"/>
          <w:sz w:val="20"/>
          <w:vertAlign w:val="baseline"/>
        </w:rPr>
        <w:t> </w:t>
      </w:r>
      <w:r>
        <w:rPr>
          <w:rFonts w:ascii="Arial"/>
          <w:i/>
          <w:sz w:val="20"/>
          <w:vertAlign w:val="baseline"/>
        </w:rPr>
        <w:t>Facilities</w:t>
      </w:r>
      <w:r>
        <w:rPr>
          <w:rFonts w:ascii="Arial"/>
          <w:i/>
          <w:spacing w:val="1"/>
          <w:sz w:val="20"/>
          <w:vertAlign w:val="baseline"/>
        </w:rPr>
        <w:t> </w:t>
      </w:r>
      <w:r>
        <w:rPr>
          <w:rFonts w:ascii="Arial"/>
          <w:i/>
          <w:sz w:val="20"/>
          <w:vertAlign w:val="baseline"/>
        </w:rPr>
        <w:t>Ltd</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Blank</w:t>
      </w:r>
      <w:r>
        <w:rPr>
          <w:rFonts w:ascii="Arial"/>
          <w:i/>
          <w:spacing w:val="2"/>
          <w:sz w:val="20"/>
          <w:vertAlign w:val="baseline"/>
        </w:rPr>
        <w:t> </w:t>
      </w:r>
      <w:r>
        <w:rPr>
          <w:rFonts w:ascii="Arial"/>
          <w:i/>
          <w:sz w:val="20"/>
          <w:vertAlign w:val="baseline"/>
        </w:rPr>
        <w:t>[1966]</w:t>
      </w:r>
      <w:r>
        <w:rPr>
          <w:rFonts w:ascii="Arial"/>
          <w:i/>
          <w:spacing w:val="1"/>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W.L.R.</w:t>
      </w:r>
      <w:r>
        <w:rPr>
          <w:rFonts w:ascii="Arial"/>
          <w:i/>
          <w:spacing w:val="2"/>
          <w:sz w:val="20"/>
          <w:vertAlign w:val="baseline"/>
        </w:rPr>
        <w:t> </w:t>
      </w:r>
      <w:r>
        <w:rPr>
          <w:rFonts w:ascii="Arial"/>
          <w:i/>
          <w:sz w:val="20"/>
          <w:vertAlign w:val="baseline"/>
        </w:rPr>
        <w:t>1428,</w:t>
      </w:r>
      <w:r>
        <w:rPr>
          <w:rFonts w:ascii="Arial"/>
          <w:i/>
          <w:spacing w:val="2"/>
          <w:sz w:val="20"/>
          <w:vertAlign w:val="baseline"/>
        </w:rPr>
        <w:t> </w:t>
      </w:r>
      <w:r>
        <w:rPr>
          <w:rFonts w:ascii="Arial"/>
          <w:i/>
          <w:spacing w:val="-2"/>
          <w:sz w:val="20"/>
          <w:vertAlign w:val="baseline"/>
        </w:rPr>
        <w:t>1447</w:t>
      </w:r>
      <w:r>
        <w:rPr>
          <w:spacing w:val="-2"/>
          <w:sz w:val="20"/>
          <w:vertAlign w:val="baseline"/>
        </w:rPr>
        <w:t>.</w:t>
      </w:r>
    </w:p>
    <w:p>
      <w:pPr>
        <w:pStyle w:val="BodyText"/>
        <w:spacing w:before="129"/>
      </w:pPr>
    </w:p>
    <w:p>
      <w:pPr>
        <w:spacing w:line="235" w:lineRule="auto" w:before="0"/>
        <w:ind w:left="563" w:right="26" w:hanging="541"/>
        <w:jc w:val="both"/>
        <w:rPr>
          <w:sz w:val="20"/>
        </w:rPr>
      </w:pPr>
      <w:bookmarkStart w:name="_bookmark268" w:id="270"/>
      <w:bookmarkEnd w:id="270"/>
      <w:r>
        <w:rPr/>
      </w:r>
      <w:hyperlink w:history="true" w:anchor="_bookmark228">
        <w:r>
          <w:rPr>
            <w:color w:val="005DA1"/>
            <w:sz w:val="20"/>
            <w:u w:val="single" w:color="005DA1"/>
            <w:vertAlign w:val="superscript"/>
          </w:rPr>
          <w:t>1002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Alfred McAlpine Capital Projects Ltd v Tilebox Ltd [2005] Build. L.R. 271 (TCC) </w:t>
      </w:r>
      <w:r>
        <w:rPr>
          <w:sz w:val="20"/>
          <w:vertAlign w:val="baseline"/>
        </w:rPr>
        <w:t>at [48]. See also the </w:t>
      </w:r>
      <w:r>
        <w:rPr>
          <w:rFonts w:ascii="Arial"/>
          <w:i/>
          <w:sz w:val="20"/>
          <w:vertAlign w:val="baseline"/>
        </w:rPr>
        <w:t>Cavendish Square case [2015] UKSC 67 </w:t>
      </w:r>
      <w:r>
        <w:rPr>
          <w:sz w:val="20"/>
          <w:vertAlign w:val="baseline"/>
        </w:rPr>
        <w:t>at [33].</w:t>
      </w:r>
    </w:p>
    <w:p>
      <w:pPr>
        <w:pStyle w:val="BodyText"/>
        <w:spacing w:before="129"/>
      </w:pPr>
    </w:p>
    <w:p>
      <w:pPr>
        <w:spacing w:line="235" w:lineRule="auto" w:before="0"/>
        <w:ind w:left="563" w:right="25" w:hanging="541"/>
        <w:jc w:val="both"/>
        <w:rPr>
          <w:sz w:val="20"/>
        </w:rPr>
      </w:pPr>
      <w:bookmarkStart w:name="_bookmark269" w:id="271"/>
      <w:bookmarkEnd w:id="271"/>
      <w:r>
        <w:rPr/>
      </w:r>
      <w:hyperlink w:history="true" w:anchor="_bookmark229">
        <w:r>
          <w:rPr>
            <w:color w:val="005DA1"/>
            <w:sz w:val="20"/>
            <w:u w:val="single" w:color="005DA1"/>
            <w:vertAlign w:val="superscript"/>
          </w:rPr>
          <w:t>1003</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Lordsvale Finance Plc v Bank of Zambia [1996] Q.B. 752, 762–764</w:t>
      </w:r>
      <w:r>
        <w:rPr>
          <w:sz w:val="20"/>
          <w:vertAlign w:val="baseline"/>
        </w:rPr>
        <w:t>, cited with approval in</w:t>
      </w:r>
      <w:r>
        <w:rPr>
          <w:spacing w:val="80"/>
          <w:sz w:val="20"/>
          <w:vertAlign w:val="baseline"/>
        </w:rPr>
        <w:t> </w:t>
      </w:r>
      <w:r>
        <w:rPr>
          <w:rFonts w:ascii="Arial" w:hAnsi="Arial"/>
          <w:i/>
          <w:sz w:val="20"/>
          <w:vertAlign w:val="baseline"/>
        </w:rPr>
        <w:t>Euro London Appointments Ltd v Claessens International Ltd [2006] EWCA Civ 385, [2006] </w:t>
      </w:r>
      <w:r>
        <w:rPr>
          <w:rFonts w:ascii="Arial" w:hAnsi="Arial"/>
          <w:i/>
          <w:sz w:val="20"/>
          <w:vertAlign w:val="baseline"/>
        </w:rPr>
        <w:t>2 Lloyd’s Rep. 436 </w:t>
      </w:r>
      <w:r>
        <w:rPr>
          <w:sz w:val="20"/>
          <w:vertAlign w:val="baseline"/>
        </w:rPr>
        <w:t>at [30].</w:t>
      </w:r>
    </w:p>
    <w:p>
      <w:pPr>
        <w:pStyle w:val="BodyText"/>
        <w:spacing w:before="129"/>
      </w:pPr>
    </w:p>
    <w:p>
      <w:pPr>
        <w:pStyle w:val="BodyText"/>
        <w:spacing w:line="235" w:lineRule="auto"/>
        <w:ind w:left="563" w:right="25" w:hanging="541"/>
      </w:pPr>
      <w:bookmarkStart w:name="_bookmark270" w:id="272"/>
      <w:bookmarkEnd w:id="272"/>
      <w:r>
        <w:rPr/>
      </w:r>
      <w:hyperlink w:history="true" w:anchor="_bookmark230">
        <w:r>
          <w:rPr>
            <w:color w:val="005DA1"/>
            <w:u w:val="single" w:color="005DA1"/>
            <w:vertAlign w:val="superscript"/>
          </w:rPr>
          <w:t>1004</w:t>
        </w:r>
      </w:hyperlink>
      <w:r>
        <w:rPr>
          <w:vertAlign w:val="superscript"/>
        </w:rPr>
        <w:t>.</w:t>
      </w:r>
      <w:r>
        <w:rPr>
          <w:spacing w:val="39"/>
          <w:vertAlign w:val="baseline"/>
        </w:rPr>
        <w:t>  </w:t>
      </w:r>
      <w:r>
        <w:rPr>
          <w:spacing w:val="23"/>
          <w:position w:val="-2"/>
          <w:vertAlign w:val="baseline"/>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w:t>
      </w:r>
      <w:r>
        <w:rPr>
          <w:rFonts w:ascii="Arial"/>
          <w:i/>
          <w:spacing w:val="70"/>
          <w:vertAlign w:val="baseline"/>
        </w:rPr>
        <w:t> </w:t>
      </w:r>
      <w:r>
        <w:rPr>
          <w:rFonts w:ascii="Arial"/>
          <w:i/>
          <w:vertAlign w:val="baseline"/>
        </w:rPr>
        <w:t>UKSC</w:t>
      </w:r>
      <w:r>
        <w:rPr>
          <w:rFonts w:ascii="Arial"/>
          <w:i/>
          <w:spacing w:val="70"/>
          <w:vertAlign w:val="baseline"/>
        </w:rPr>
        <w:t> </w:t>
      </w:r>
      <w:r>
        <w:rPr>
          <w:rFonts w:ascii="Arial"/>
          <w:i/>
          <w:vertAlign w:val="baseline"/>
        </w:rPr>
        <w:t>67</w:t>
      </w:r>
      <w:r>
        <w:rPr>
          <w:rFonts w:ascii="Arial"/>
          <w:i/>
          <w:spacing w:val="70"/>
          <w:vertAlign w:val="baseline"/>
        </w:rPr>
        <w:t> </w:t>
      </w:r>
      <w:r>
        <w:rPr>
          <w:vertAlign w:val="baseline"/>
        </w:rPr>
        <w:t>at</w:t>
      </w:r>
      <w:r>
        <w:rPr>
          <w:spacing w:val="70"/>
          <w:vertAlign w:val="baseline"/>
        </w:rPr>
        <w:t> </w:t>
      </w:r>
      <w:r>
        <w:rPr>
          <w:vertAlign w:val="baseline"/>
        </w:rPr>
        <w:t>[32].</w:t>
      </w:r>
      <w:r>
        <w:rPr>
          <w:spacing w:val="70"/>
          <w:vertAlign w:val="baseline"/>
        </w:rPr>
        <w:t> </w:t>
      </w:r>
      <w:r>
        <w:rPr>
          <w:vertAlign w:val="baseline"/>
        </w:rPr>
        <w:t>On</w:t>
      </w:r>
      <w:r>
        <w:rPr>
          <w:spacing w:val="70"/>
          <w:vertAlign w:val="baseline"/>
        </w:rPr>
        <w:t> </w:t>
      </w:r>
      <w:r>
        <w:rPr>
          <w:vertAlign w:val="baseline"/>
        </w:rPr>
        <w:t>the</w:t>
      </w:r>
      <w:r>
        <w:rPr>
          <w:spacing w:val="70"/>
          <w:vertAlign w:val="baseline"/>
        </w:rPr>
        <w:t> </w:t>
      </w:r>
      <w:r>
        <w:rPr>
          <w:vertAlign w:val="baseline"/>
        </w:rPr>
        <w:t>role</w:t>
      </w:r>
      <w:r>
        <w:rPr>
          <w:spacing w:val="70"/>
          <w:vertAlign w:val="baseline"/>
        </w:rPr>
        <w:t> </w:t>
      </w:r>
      <w:r>
        <w:rPr>
          <w:vertAlign w:val="baseline"/>
        </w:rPr>
        <w:t>of</w:t>
      </w:r>
      <w:r>
        <w:rPr>
          <w:spacing w:val="70"/>
          <w:vertAlign w:val="baseline"/>
        </w:rPr>
        <w:t> </w:t>
      </w:r>
      <w:r>
        <w:rPr>
          <w:vertAlign w:val="baseline"/>
        </w:rPr>
        <w:t>unconscionability</w:t>
      </w:r>
      <w:r>
        <w:rPr>
          <w:spacing w:val="70"/>
          <w:vertAlign w:val="baseline"/>
        </w:rPr>
        <w:t> </w:t>
      </w:r>
      <w:r>
        <w:rPr>
          <w:vertAlign w:val="baseline"/>
        </w:rPr>
        <w:t>in</w:t>
      </w:r>
      <w:r>
        <w:rPr>
          <w:spacing w:val="70"/>
          <w:vertAlign w:val="baseline"/>
        </w:rPr>
        <w:t> </w:t>
      </w:r>
      <w:r>
        <w:rPr>
          <w:vertAlign w:val="baseline"/>
        </w:rPr>
        <w:t>this</w:t>
      </w:r>
      <w:r>
        <w:rPr>
          <w:spacing w:val="70"/>
          <w:vertAlign w:val="baseline"/>
        </w:rPr>
        <w:t> </w:t>
      </w:r>
      <w:r>
        <w:rPr>
          <w:vertAlign w:val="baseline"/>
        </w:rPr>
        <w:t>context,</w:t>
      </w:r>
      <w:r>
        <w:rPr>
          <w:spacing w:val="70"/>
          <w:vertAlign w:val="baseline"/>
        </w:rPr>
        <w:t> </w:t>
      </w:r>
      <w:r>
        <w:rPr>
          <w:vertAlign w:val="baseline"/>
        </w:rPr>
        <w:t>see</w:t>
      </w:r>
      <w:r>
        <w:rPr>
          <w:spacing w:val="70"/>
          <w:vertAlign w:val="baseline"/>
        </w:rPr>
        <w:t> </w:t>
      </w:r>
      <w:r>
        <w:rPr>
          <w:vertAlign w:val="baseline"/>
        </w:rPr>
        <w:t>below, </w:t>
      </w:r>
      <w:r>
        <w:rPr>
          <w:spacing w:val="-2"/>
          <w:vertAlign w:val="baseline"/>
        </w:rPr>
        <w:t>para.26-214.</w:t>
      </w:r>
    </w:p>
    <w:p>
      <w:pPr>
        <w:pStyle w:val="BodyText"/>
        <w:spacing w:before="125"/>
      </w:pPr>
    </w:p>
    <w:p>
      <w:pPr>
        <w:spacing w:line="227" w:lineRule="exact" w:before="1"/>
        <w:ind w:left="23" w:right="0" w:firstLine="0"/>
        <w:jc w:val="left"/>
        <w:rPr>
          <w:sz w:val="20"/>
        </w:rPr>
      </w:pPr>
      <w:bookmarkStart w:name="_bookmark271" w:id="273"/>
      <w:bookmarkEnd w:id="273"/>
      <w:r>
        <w:rPr/>
      </w:r>
      <w:hyperlink w:history="true" w:anchor="_bookmark231">
        <w:r>
          <w:rPr>
            <w:color w:val="005DA1"/>
            <w:sz w:val="20"/>
            <w:u w:val="single" w:color="005DA1"/>
            <w:vertAlign w:val="superscript"/>
          </w:rPr>
          <w:t>1005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Makdessi</w:t>
      </w:r>
      <w:r>
        <w:rPr>
          <w:rFonts w:ascii="Arial"/>
          <w:i/>
          <w:spacing w:val="7"/>
          <w:sz w:val="20"/>
          <w:vertAlign w:val="baseline"/>
        </w:rPr>
        <w:t> </w:t>
      </w:r>
      <w:r>
        <w:rPr>
          <w:rFonts w:ascii="Arial"/>
          <w:i/>
          <w:sz w:val="20"/>
          <w:vertAlign w:val="baseline"/>
        </w:rPr>
        <w:t>v</w:t>
      </w:r>
      <w:r>
        <w:rPr>
          <w:rFonts w:ascii="Arial"/>
          <w:i/>
          <w:spacing w:val="7"/>
          <w:sz w:val="20"/>
          <w:vertAlign w:val="baseline"/>
        </w:rPr>
        <w:t> </w:t>
      </w:r>
      <w:r>
        <w:rPr>
          <w:rFonts w:ascii="Arial"/>
          <w:i/>
          <w:sz w:val="20"/>
          <w:vertAlign w:val="baseline"/>
        </w:rPr>
        <w:t>Cavendish</w:t>
      </w:r>
      <w:r>
        <w:rPr>
          <w:rFonts w:ascii="Arial"/>
          <w:i/>
          <w:spacing w:val="7"/>
          <w:sz w:val="20"/>
          <w:vertAlign w:val="baseline"/>
        </w:rPr>
        <w:t> </w:t>
      </w:r>
      <w:r>
        <w:rPr>
          <w:rFonts w:ascii="Arial"/>
          <w:i/>
          <w:sz w:val="20"/>
          <w:vertAlign w:val="baseline"/>
        </w:rPr>
        <w:t>Square</w:t>
      </w:r>
      <w:r>
        <w:rPr>
          <w:rFonts w:ascii="Arial"/>
          <w:i/>
          <w:spacing w:val="7"/>
          <w:sz w:val="20"/>
          <w:vertAlign w:val="baseline"/>
        </w:rPr>
        <w:t> </w:t>
      </w:r>
      <w:r>
        <w:rPr>
          <w:rFonts w:ascii="Arial"/>
          <w:i/>
          <w:sz w:val="20"/>
          <w:vertAlign w:val="baseline"/>
        </w:rPr>
        <w:t>Holdings</w:t>
      </w:r>
      <w:r>
        <w:rPr>
          <w:rFonts w:ascii="Arial"/>
          <w:i/>
          <w:spacing w:val="7"/>
          <w:sz w:val="20"/>
          <w:vertAlign w:val="baseline"/>
        </w:rPr>
        <w:t> </w:t>
      </w:r>
      <w:r>
        <w:rPr>
          <w:rFonts w:ascii="Arial"/>
          <w:i/>
          <w:sz w:val="20"/>
          <w:vertAlign w:val="baseline"/>
        </w:rPr>
        <w:t>BV</w:t>
      </w:r>
      <w:r>
        <w:rPr>
          <w:rFonts w:ascii="Arial"/>
          <w:i/>
          <w:spacing w:val="7"/>
          <w:sz w:val="20"/>
          <w:vertAlign w:val="baseline"/>
        </w:rPr>
        <w:t> </w:t>
      </w:r>
      <w:r>
        <w:rPr>
          <w:rFonts w:ascii="Arial"/>
          <w:i/>
          <w:sz w:val="20"/>
          <w:vertAlign w:val="baseline"/>
        </w:rPr>
        <w:t>[2013]</w:t>
      </w:r>
      <w:r>
        <w:rPr>
          <w:rFonts w:ascii="Arial"/>
          <w:i/>
          <w:spacing w:val="8"/>
          <w:sz w:val="20"/>
          <w:vertAlign w:val="baseline"/>
        </w:rPr>
        <w:t> </w:t>
      </w:r>
      <w:r>
        <w:rPr>
          <w:rFonts w:ascii="Arial"/>
          <w:i/>
          <w:sz w:val="20"/>
          <w:vertAlign w:val="baseline"/>
        </w:rPr>
        <w:t>EWCA</w:t>
      </w:r>
      <w:r>
        <w:rPr>
          <w:rFonts w:ascii="Arial"/>
          <w:i/>
          <w:spacing w:val="7"/>
          <w:sz w:val="20"/>
          <w:vertAlign w:val="baseline"/>
        </w:rPr>
        <w:t> </w:t>
      </w:r>
      <w:r>
        <w:rPr>
          <w:rFonts w:ascii="Arial"/>
          <w:i/>
          <w:sz w:val="20"/>
          <w:vertAlign w:val="baseline"/>
        </w:rPr>
        <w:t>Civ</w:t>
      </w:r>
      <w:r>
        <w:rPr>
          <w:rFonts w:ascii="Arial"/>
          <w:i/>
          <w:spacing w:val="7"/>
          <w:sz w:val="20"/>
          <w:vertAlign w:val="baseline"/>
        </w:rPr>
        <w:t> </w:t>
      </w:r>
      <w:r>
        <w:rPr>
          <w:rFonts w:ascii="Arial"/>
          <w:i/>
          <w:sz w:val="20"/>
          <w:vertAlign w:val="baseline"/>
        </w:rPr>
        <w:t>1539;</w:t>
      </w:r>
      <w:r>
        <w:rPr>
          <w:rFonts w:ascii="Arial"/>
          <w:i/>
          <w:spacing w:val="7"/>
          <w:sz w:val="20"/>
          <w:vertAlign w:val="baseline"/>
        </w:rPr>
        <w:t> </w:t>
      </w:r>
      <w:r>
        <w:rPr>
          <w:rFonts w:ascii="Arial"/>
          <w:i/>
          <w:sz w:val="20"/>
          <w:vertAlign w:val="baseline"/>
        </w:rPr>
        <w:t>[2015]</w:t>
      </w:r>
      <w:r>
        <w:rPr>
          <w:rFonts w:ascii="Arial"/>
          <w:i/>
          <w:spacing w:val="7"/>
          <w:sz w:val="20"/>
          <w:vertAlign w:val="baseline"/>
        </w:rPr>
        <w:t> </w:t>
      </w:r>
      <w:r>
        <w:rPr>
          <w:rFonts w:ascii="Arial"/>
          <w:i/>
          <w:sz w:val="20"/>
          <w:vertAlign w:val="baseline"/>
        </w:rPr>
        <w:t>UKHL</w:t>
      </w:r>
      <w:r>
        <w:rPr>
          <w:rFonts w:ascii="Arial"/>
          <w:i/>
          <w:spacing w:val="7"/>
          <w:sz w:val="20"/>
          <w:vertAlign w:val="baseline"/>
        </w:rPr>
        <w:t> </w:t>
      </w:r>
      <w:r>
        <w:rPr>
          <w:rFonts w:ascii="Arial"/>
          <w:i/>
          <w:sz w:val="20"/>
          <w:vertAlign w:val="baseline"/>
        </w:rPr>
        <w:t>67</w:t>
      </w:r>
      <w:r>
        <w:rPr>
          <w:sz w:val="20"/>
          <w:vertAlign w:val="baseline"/>
        </w:rPr>
        <w:t>,</w:t>
      </w:r>
      <w:r>
        <w:rPr>
          <w:spacing w:val="8"/>
          <w:sz w:val="20"/>
          <w:vertAlign w:val="baseline"/>
        </w:rPr>
        <w:t> </w:t>
      </w:r>
      <w:r>
        <w:rPr>
          <w:sz w:val="20"/>
          <w:vertAlign w:val="baseline"/>
        </w:rPr>
        <w:t>esp.</w:t>
      </w:r>
      <w:r>
        <w:rPr>
          <w:spacing w:val="7"/>
          <w:sz w:val="20"/>
          <w:vertAlign w:val="baseline"/>
        </w:rPr>
        <w:t> </w:t>
      </w:r>
      <w:r>
        <w:rPr>
          <w:spacing w:val="-5"/>
          <w:sz w:val="20"/>
          <w:vertAlign w:val="baseline"/>
        </w:rPr>
        <w:t>at</w:t>
      </w:r>
    </w:p>
    <w:p>
      <w:pPr>
        <w:pStyle w:val="BodyText"/>
        <w:spacing w:line="227" w:lineRule="exact"/>
        <w:ind w:left="563"/>
      </w:pPr>
      <w:r>
        <w:rPr/>
        <w:t>[257] (Lord </w:t>
      </w:r>
      <w:r>
        <w:rPr>
          <w:spacing w:val="-2"/>
        </w:rPr>
        <w:t>Hodge).</w:t>
      </w:r>
    </w:p>
    <w:p>
      <w:pPr>
        <w:pStyle w:val="BodyText"/>
        <w:spacing w:before="124"/>
      </w:pPr>
    </w:p>
    <w:p>
      <w:pPr>
        <w:spacing w:before="1"/>
        <w:ind w:left="23" w:right="0" w:firstLine="0"/>
        <w:jc w:val="left"/>
        <w:rPr>
          <w:sz w:val="20"/>
        </w:rPr>
      </w:pPr>
      <w:bookmarkStart w:name="_bookmark272" w:id="274"/>
      <w:bookmarkEnd w:id="274"/>
      <w:r>
        <w:rPr/>
      </w:r>
      <w:hyperlink w:history="true" w:anchor="_bookmark232">
        <w:r>
          <w:rPr>
            <w:color w:val="005DA1"/>
            <w:sz w:val="20"/>
            <w:u w:val="single" w:color="005DA1"/>
            <w:vertAlign w:val="superscript"/>
          </w:rPr>
          <w:t>1006</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Sainter</w:t>
      </w:r>
      <w:r>
        <w:rPr>
          <w:rFonts w:ascii="Arial"/>
          <w:i/>
          <w:spacing w:val="3"/>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Ferguson</w:t>
      </w:r>
      <w:r>
        <w:rPr>
          <w:rFonts w:ascii="Arial"/>
          <w:i/>
          <w:spacing w:val="2"/>
          <w:sz w:val="20"/>
          <w:vertAlign w:val="baseline"/>
        </w:rPr>
        <w:t> </w:t>
      </w:r>
      <w:r>
        <w:rPr>
          <w:rFonts w:ascii="Arial"/>
          <w:i/>
          <w:sz w:val="20"/>
          <w:vertAlign w:val="baseline"/>
        </w:rPr>
        <w:t>(1849)</w:t>
      </w:r>
      <w:r>
        <w:rPr>
          <w:rFonts w:ascii="Arial"/>
          <w:i/>
          <w:spacing w:val="2"/>
          <w:sz w:val="20"/>
          <w:vertAlign w:val="baseline"/>
        </w:rPr>
        <w:t> </w:t>
      </w:r>
      <w:r>
        <w:rPr>
          <w:rFonts w:ascii="Arial"/>
          <w:i/>
          <w:sz w:val="20"/>
          <w:vertAlign w:val="baseline"/>
        </w:rPr>
        <w:t>7</w:t>
      </w:r>
      <w:r>
        <w:rPr>
          <w:rFonts w:ascii="Arial"/>
          <w:i/>
          <w:spacing w:val="3"/>
          <w:sz w:val="20"/>
          <w:vertAlign w:val="baseline"/>
        </w:rPr>
        <w:t> </w:t>
      </w:r>
      <w:r>
        <w:rPr>
          <w:rFonts w:ascii="Arial"/>
          <w:i/>
          <w:sz w:val="20"/>
          <w:vertAlign w:val="baseline"/>
        </w:rPr>
        <w:t>C.B.</w:t>
      </w:r>
      <w:r>
        <w:rPr>
          <w:rFonts w:ascii="Arial"/>
          <w:i/>
          <w:spacing w:val="2"/>
          <w:sz w:val="20"/>
          <w:vertAlign w:val="baseline"/>
        </w:rPr>
        <w:t> </w:t>
      </w:r>
      <w:r>
        <w:rPr>
          <w:rFonts w:ascii="Arial"/>
          <w:i/>
          <w:sz w:val="20"/>
          <w:vertAlign w:val="baseline"/>
        </w:rPr>
        <w:t>716,</w:t>
      </w:r>
      <w:r>
        <w:rPr>
          <w:rFonts w:ascii="Arial"/>
          <w:i/>
          <w:spacing w:val="2"/>
          <w:sz w:val="20"/>
          <w:vertAlign w:val="baseline"/>
        </w:rPr>
        <w:t> </w:t>
      </w:r>
      <w:r>
        <w:rPr>
          <w:rFonts w:ascii="Arial"/>
          <w:i/>
          <w:spacing w:val="-4"/>
          <w:sz w:val="20"/>
          <w:vertAlign w:val="baseline"/>
        </w:rPr>
        <w:t>727</w:t>
      </w:r>
      <w:r>
        <w:rPr>
          <w:spacing w:val="-4"/>
          <w:sz w:val="20"/>
          <w:vertAlign w:val="baseline"/>
        </w:rPr>
        <w:t>.</w:t>
      </w:r>
    </w:p>
    <w:p>
      <w:pPr>
        <w:pStyle w:val="BodyText"/>
        <w:spacing w:before="128"/>
      </w:pPr>
    </w:p>
    <w:p>
      <w:pPr>
        <w:pStyle w:val="BodyText"/>
        <w:spacing w:line="235" w:lineRule="auto"/>
        <w:ind w:left="563" w:hanging="541"/>
      </w:pPr>
      <w:bookmarkStart w:name="_bookmark273" w:id="275"/>
      <w:bookmarkEnd w:id="275"/>
      <w:r>
        <w:rPr/>
      </w:r>
      <w:hyperlink w:history="true" w:anchor="_bookmark233">
        <w:r>
          <w:rPr>
            <w:color w:val="005DA1"/>
            <w:u w:val="single" w:color="005DA1"/>
            <w:vertAlign w:val="superscript"/>
          </w:rPr>
          <w:t>1007</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w:t>
      </w:r>
      <w:r>
        <w:rPr>
          <w:rFonts w:ascii="Arial"/>
          <w:i/>
          <w:spacing w:val="24"/>
          <w:vertAlign w:val="baseline"/>
        </w:rPr>
        <w:t> </w:t>
      </w:r>
      <w:r>
        <w:rPr>
          <w:rFonts w:ascii="Arial"/>
          <w:i/>
          <w:vertAlign w:val="baseline"/>
        </w:rPr>
        <w:t>UKSC</w:t>
      </w:r>
      <w:r>
        <w:rPr>
          <w:rFonts w:ascii="Arial"/>
          <w:i/>
          <w:spacing w:val="24"/>
          <w:vertAlign w:val="baseline"/>
        </w:rPr>
        <w:t> </w:t>
      </w:r>
      <w:r>
        <w:rPr>
          <w:rFonts w:ascii="Arial"/>
          <w:i/>
          <w:vertAlign w:val="baseline"/>
        </w:rPr>
        <w:t>67,</w:t>
      </w:r>
      <w:r>
        <w:rPr>
          <w:rFonts w:ascii="Arial"/>
          <w:i/>
          <w:spacing w:val="24"/>
          <w:vertAlign w:val="baseline"/>
        </w:rPr>
        <w:t> </w:t>
      </w:r>
      <w:r>
        <w:rPr>
          <w:rFonts w:ascii="Arial"/>
          <w:i/>
          <w:vertAlign w:val="baseline"/>
        </w:rPr>
        <w:t>[2016]</w:t>
      </w:r>
      <w:r>
        <w:rPr>
          <w:rFonts w:ascii="Arial"/>
          <w:i/>
          <w:spacing w:val="24"/>
          <w:vertAlign w:val="baseline"/>
        </w:rPr>
        <w:t> </w:t>
      </w:r>
      <w:r>
        <w:rPr>
          <w:rFonts w:ascii="Arial"/>
          <w:i/>
          <w:vertAlign w:val="baseline"/>
        </w:rPr>
        <w:t>A.C.</w:t>
      </w:r>
      <w:r>
        <w:rPr>
          <w:rFonts w:ascii="Arial"/>
          <w:i/>
          <w:spacing w:val="24"/>
          <w:vertAlign w:val="baseline"/>
        </w:rPr>
        <w:t> </w:t>
      </w:r>
      <w:r>
        <w:rPr>
          <w:rFonts w:ascii="Arial"/>
          <w:i/>
          <w:vertAlign w:val="baseline"/>
        </w:rPr>
        <w:t>1172</w:t>
      </w:r>
      <w:r>
        <w:rPr>
          <w:rFonts w:ascii="Arial"/>
          <w:i/>
          <w:spacing w:val="24"/>
          <w:vertAlign w:val="baseline"/>
        </w:rPr>
        <w:t> </w:t>
      </w:r>
      <w:r>
        <w:rPr>
          <w:vertAlign w:val="baseline"/>
        </w:rPr>
        <w:t>at</w:t>
      </w:r>
      <w:r>
        <w:rPr>
          <w:spacing w:val="24"/>
          <w:vertAlign w:val="baseline"/>
        </w:rPr>
        <w:t> </w:t>
      </w:r>
      <w:r>
        <w:rPr>
          <w:vertAlign w:val="baseline"/>
        </w:rPr>
        <w:t>[9]</w:t>
      </w:r>
      <w:r>
        <w:rPr>
          <w:spacing w:val="24"/>
          <w:vertAlign w:val="baseline"/>
        </w:rPr>
        <w:t> </w:t>
      </w:r>
      <w:r>
        <w:rPr>
          <w:vertAlign w:val="baseline"/>
        </w:rPr>
        <w:t>(Lords</w:t>
      </w:r>
      <w:r>
        <w:rPr>
          <w:spacing w:val="24"/>
          <w:vertAlign w:val="baseline"/>
        </w:rPr>
        <w:t> </w:t>
      </w:r>
      <w:r>
        <w:rPr>
          <w:vertAlign w:val="baseline"/>
        </w:rPr>
        <w:t>Neuberger</w:t>
      </w:r>
      <w:r>
        <w:rPr>
          <w:spacing w:val="24"/>
          <w:vertAlign w:val="baseline"/>
        </w:rPr>
        <w:t> </w:t>
      </w:r>
      <w:r>
        <w:rPr>
          <w:vertAlign w:val="baseline"/>
        </w:rPr>
        <w:t>and</w:t>
      </w:r>
      <w:r>
        <w:rPr>
          <w:spacing w:val="24"/>
          <w:vertAlign w:val="baseline"/>
        </w:rPr>
        <w:t> </w:t>
      </w:r>
      <w:r>
        <w:rPr>
          <w:vertAlign w:val="baseline"/>
        </w:rPr>
        <w:t>Sumption)</w:t>
      </w:r>
      <w:r>
        <w:rPr>
          <w:spacing w:val="24"/>
          <w:vertAlign w:val="baseline"/>
        </w:rPr>
        <w:t> </w:t>
      </w:r>
      <w:r>
        <w:rPr>
          <w:vertAlign w:val="baseline"/>
        </w:rPr>
        <w:t>and</w:t>
      </w:r>
      <w:r>
        <w:rPr>
          <w:spacing w:val="24"/>
          <w:vertAlign w:val="baseline"/>
        </w:rPr>
        <w:t> </w:t>
      </w:r>
      <w:r>
        <w:rPr>
          <w:vertAlign w:val="baseline"/>
        </w:rPr>
        <w:t>[243]</w:t>
      </w:r>
      <w:r>
        <w:rPr>
          <w:spacing w:val="24"/>
          <w:vertAlign w:val="baseline"/>
        </w:rPr>
        <w:t> </w:t>
      </w:r>
      <w:r>
        <w:rPr>
          <w:vertAlign w:val="baseline"/>
        </w:rPr>
        <w:t>(Lord Hodge). See particularly on the construction point Dawson [2016] L.M.C.L.Q. 207.</w:t>
      </w:r>
    </w:p>
    <w:p>
      <w:pPr>
        <w:pStyle w:val="BodyText"/>
        <w:spacing w:before="130"/>
      </w:pPr>
    </w:p>
    <w:p>
      <w:pPr>
        <w:pStyle w:val="BodyText"/>
        <w:spacing w:line="235" w:lineRule="auto"/>
        <w:ind w:left="563" w:hanging="541"/>
      </w:pPr>
      <w:bookmarkStart w:name="_bookmark274" w:id="276"/>
      <w:bookmarkEnd w:id="276"/>
      <w:r>
        <w:rPr/>
      </w:r>
      <w:hyperlink w:history="true" w:anchor="_bookmark234">
        <w:r>
          <w:rPr>
            <w:color w:val="005DA1"/>
            <w:u w:val="single" w:color="005DA1"/>
            <w:vertAlign w:val="superscript"/>
          </w:rPr>
          <w:t>1008</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the two-stage process (interpretation of the agreement to ascertain the parties’ rights and obligations,</w:t>
      </w:r>
      <w:r>
        <w:rPr>
          <w:spacing w:val="35"/>
          <w:vertAlign w:val="baseline"/>
        </w:rPr>
        <w:t> </w:t>
      </w:r>
      <w:r>
        <w:rPr>
          <w:vertAlign w:val="baseline"/>
        </w:rPr>
        <w:t>followed</w:t>
      </w:r>
      <w:r>
        <w:rPr>
          <w:spacing w:val="35"/>
          <w:vertAlign w:val="baseline"/>
        </w:rPr>
        <w:t> </w:t>
      </w:r>
      <w:r>
        <w:rPr>
          <w:vertAlign w:val="baseline"/>
        </w:rPr>
        <w:t>by</w:t>
      </w:r>
      <w:r>
        <w:rPr>
          <w:spacing w:val="35"/>
          <w:vertAlign w:val="baseline"/>
        </w:rPr>
        <w:t> </w:t>
      </w:r>
      <w:r>
        <w:rPr>
          <w:vertAlign w:val="baseline"/>
        </w:rPr>
        <w:t>correct</w:t>
      </w:r>
      <w:r>
        <w:rPr>
          <w:spacing w:val="35"/>
          <w:vertAlign w:val="baseline"/>
        </w:rPr>
        <w:t> </w:t>
      </w:r>
      <w:r>
        <w:rPr>
          <w:vertAlign w:val="baseline"/>
        </w:rPr>
        <w:t>characterisation</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agreement)</w:t>
      </w:r>
      <w:r>
        <w:rPr>
          <w:spacing w:val="35"/>
          <w:vertAlign w:val="baseline"/>
        </w:rPr>
        <w:t> </w:t>
      </w:r>
      <w:r>
        <w:rPr>
          <w:vertAlign w:val="baseline"/>
        </w:rPr>
        <w:t>set</w:t>
      </w:r>
      <w:r>
        <w:rPr>
          <w:spacing w:val="35"/>
          <w:vertAlign w:val="baseline"/>
        </w:rPr>
        <w:t> </w:t>
      </w:r>
      <w:r>
        <w:rPr>
          <w:vertAlign w:val="baseline"/>
        </w:rPr>
        <w:t>out</w:t>
      </w:r>
      <w:r>
        <w:rPr>
          <w:spacing w:val="35"/>
          <w:vertAlign w:val="baseline"/>
        </w:rPr>
        <w:t> </w:t>
      </w:r>
      <w:r>
        <w:rPr>
          <w:vertAlign w:val="baseline"/>
        </w:rPr>
        <w:t>by</w:t>
      </w:r>
      <w:r>
        <w:rPr>
          <w:spacing w:val="35"/>
          <w:vertAlign w:val="baseline"/>
        </w:rPr>
        <w:t> </w:t>
      </w:r>
      <w:r>
        <w:rPr>
          <w:vertAlign w:val="baseline"/>
        </w:rPr>
        <w:t>Lord</w:t>
      </w:r>
      <w:r>
        <w:rPr>
          <w:spacing w:val="35"/>
          <w:vertAlign w:val="baseline"/>
        </w:rPr>
        <w:t> </w:t>
      </w:r>
      <w:r>
        <w:rPr>
          <w:vertAlign w:val="baseline"/>
        </w:rPr>
        <w:t>Millett</w:t>
      </w:r>
      <w:r>
        <w:rPr>
          <w:spacing w:val="35"/>
          <w:vertAlign w:val="baseline"/>
        </w:rPr>
        <w:t> </w:t>
      </w:r>
      <w:r>
        <w:rPr>
          <w:spacing w:val="-5"/>
          <w:vertAlign w:val="baseline"/>
        </w:rPr>
        <w:t>in</w:t>
      </w:r>
    </w:p>
    <w:p>
      <w:pPr>
        <w:pStyle w:val="BodyText"/>
        <w:spacing w:after="0" w:line="235" w:lineRule="auto"/>
        <w:sectPr>
          <w:type w:val="continuous"/>
          <w:pgSz w:w="11900" w:h="16840"/>
          <w:pgMar w:header="971" w:footer="0" w:top="1300" w:bottom="280" w:left="1417" w:right="1417"/>
        </w:sectPr>
      </w:pPr>
    </w:p>
    <w:p>
      <w:pPr>
        <w:spacing w:before="106"/>
        <w:ind w:left="563" w:right="0" w:firstLine="0"/>
        <w:jc w:val="left"/>
        <w:rPr>
          <w:sz w:val="20"/>
        </w:rPr>
      </w:pPr>
      <w:r>
        <w:rPr>
          <w:rFonts w:ascii="Arial"/>
          <w:i/>
          <w:sz w:val="20"/>
        </w:rPr>
        <w:t>Agnew v Inland Revenue Commissioners [2001] UKPC 28, [2008] 2 A.C. 710</w:t>
      </w:r>
      <w:r>
        <w:rPr>
          <w:rFonts w:ascii="Arial"/>
          <w:i/>
          <w:spacing w:val="-1"/>
          <w:sz w:val="20"/>
        </w:rPr>
        <w:t> </w:t>
      </w:r>
      <w:r>
        <w:rPr>
          <w:sz w:val="20"/>
        </w:rPr>
        <w:t>at </w:t>
      </w:r>
      <w:r>
        <w:rPr>
          <w:spacing w:val="-2"/>
          <w:sz w:val="20"/>
        </w:rPr>
        <w:t>[32].</w:t>
      </w:r>
    </w:p>
    <w:p>
      <w:pPr>
        <w:pStyle w:val="BodyText"/>
        <w:spacing w:before="13"/>
      </w:pPr>
    </w:p>
    <w:p>
      <w:pPr>
        <w:spacing w:line="137" w:lineRule="exact" w:before="0"/>
        <w:ind w:left="23" w:right="0" w:firstLine="0"/>
        <w:jc w:val="left"/>
        <w:rPr>
          <w:sz w:val="14"/>
        </w:rPr>
      </w:pPr>
      <w:bookmarkStart w:name="_bookmark275" w:id="277"/>
      <w:bookmarkEnd w:id="277"/>
      <w:r>
        <w:rPr/>
      </w:r>
      <w:hyperlink w:history="true" w:anchor="_bookmark235">
        <w:r>
          <w:rPr>
            <w:color w:val="005DA1"/>
            <w:spacing w:val="-2"/>
            <w:sz w:val="14"/>
            <w:u w:val="single" w:color="005DA1"/>
          </w:rPr>
          <w:t>1009</w:t>
        </w:r>
      </w:hyperlink>
      <w:r>
        <w:rPr>
          <w:spacing w:val="-2"/>
          <w:sz w:val="14"/>
        </w:rPr>
        <w:t>.</w:t>
      </w:r>
    </w:p>
    <w:p>
      <w:pPr>
        <w:spacing w:line="203" w:lineRule="exact" w:before="0"/>
        <w:ind w:left="733" w:right="0" w:firstLine="0"/>
        <w:jc w:val="left"/>
        <w:rPr>
          <w:rFonts w:ascii="Arial" w:hAnsi="Arial"/>
          <w:i/>
          <w:sz w:val="20"/>
        </w:rPr>
      </w:pPr>
      <w:r>
        <w:rPr>
          <w:rFonts w:ascii="Arial" w:hAnsi="Arial"/>
          <w:i/>
          <w:sz w:val="20"/>
        </w:rPr>
        <w:drawing>
          <wp:anchor distT="0" distB="0" distL="0" distR="0" allowOverlap="1" layoutInCell="1" locked="0" behindDoc="0" simplePos="0" relativeHeight="15755264">
            <wp:simplePos x="0" y="0"/>
            <wp:positionH relativeFrom="page">
              <wp:posOffset>1257846</wp:posOffset>
            </wp:positionH>
            <wp:positionV relativeFrom="paragraph">
              <wp:posOffset>12648</wp:posOffset>
            </wp:positionV>
            <wp:extent cx="107988" cy="107988"/>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107988" cy="107988"/>
                    </a:xfrm>
                    <a:prstGeom prst="rect">
                      <a:avLst/>
                    </a:prstGeom>
                  </pic:spPr>
                </pic:pic>
              </a:graphicData>
            </a:graphic>
          </wp:anchor>
        </w:drawing>
      </w:r>
      <w:r>
        <w:rPr>
          <w:sz w:val="20"/>
        </w:rPr>
        <w:t>See</w:t>
      </w:r>
      <w:r>
        <w:rPr>
          <w:spacing w:val="3"/>
          <w:sz w:val="20"/>
        </w:rPr>
        <w:t> </w:t>
      </w:r>
      <w:r>
        <w:rPr>
          <w:sz w:val="20"/>
        </w:rPr>
        <w:t>Lord</w:t>
      </w:r>
      <w:r>
        <w:rPr>
          <w:spacing w:val="3"/>
          <w:sz w:val="20"/>
        </w:rPr>
        <w:t> </w:t>
      </w:r>
      <w:r>
        <w:rPr>
          <w:sz w:val="20"/>
        </w:rPr>
        <w:t>Dunedin’s</w:t>
      </w:r>
      <w:r>
        <w:rPr>
          <w:spacing w:val="3"/>
          <w:sz w:val="20"/>
        </w:rPr>
        <w:t> </w:t>
      </w:r>
      <w:r>
        <w:rPr>
          <w:sz w:val="20"/>
        </w:rPr>
        <w:t>first</w:t>
      </w:r>
      <w:r>
        <w:rPr>
          <w:spacing w:val="3"/>
          <w:sz w:val="20"/>
        </w:rPr>
        <w:t> </w:t>
      </w:r>
      <w:r>
        <w:rPr>
          <w:sz w:val="20"/>
        </w:rPr>
        <w:t>proposition</w:t>
      </w:r>
      <w:r>
        <w:rPr>
          <w:spacing w:val="3"/>
          <w:sz w:val="20"/>
        </w:rPr>
        <w:t> </w:t>
      </w:r>
      <w:r>
        <w:rPr>
          <w:sz w:val="20"/>
        </w:rPr>
        <w:t>in</w:t>
      </w:r>
      <w:r>
        <w:rPr>
          <w:spacing w:val="2"/>
          <w:sz w:val="20"/>
        </w:rPr>
        <w:t> </w:t>
      </w:r>
      <w:r>
        <w:rPr>
          <w:rFonts w:ascii="Arial" w:hAnsi="Arial"/>
          <w:i/>
          <w:sz w:val="20"/>
        </w:rPr>
        <w:t>Dunlop</w:t>
      </w:r>
      <w:r>
        <w:rPr>
          <w:rFonts w:ascii="Arial" w:hAnsi="Arial"/>
          <w:i/>
          <w:spacing w:val="3"/>
          <w:sz w:val="20"/>
        </w:rPr>
        <w:t> </w:t>
      </w:r>
      <w:r>
        <w:rPr>
          <w:rFonts w:ascii="Arial" w:hAnsi="Arial"/>
          <w:i/>
          <w:sz w:val="20"/>
        </w:rPr>
        <w:t>Pneumatic</w:t>
      </w:r>
      <w:r>
        <w:rPr>
          <w:rFonts w:ascii="Arial" w:hAnsi="Arial"/>
          <w:i/>
          <w:spacing w:val="3"/>
          <w:sz w:val="20"/>
        </w:rPr>
        <w:t> </w:t>
      </w:r>
      <w:r>
        <w:rPr>
          <w:rFonts w:ascii="Arial" w:hAnsi="Arial"/>
          <w:i/>
          <w:sz w:val="20"/>
        </w:rPr>
        <w:t>Tyre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New</w:t>
      </w:r>
      <w:r>
        <w:rPr>
          <w:rFonts w:ascii="Arial" w:hAnsi="Arial"/>
          <w:i/>
          <w:spacing w:val="3"/>
          <w:sz w:val="20"/>
        </w:rPr>
        <w:t> </w:t>
      </w:r>
      <w:r>
        <w:rPr>
          <w:rFonts w:ascii="Arial" w:hAnsi="Arial"/>
          <w:i/>
          <w:sz w:val="20"/>
        </w:rPr>
        <w:t>Garage</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pacing w:val="-2"/>
          <w:sz w:val="20"/>
        </w:rPr>
        <w:t>Motor</w:t>
      </w:r>
    </w:p>
    <w:p>
      <w:pPr>
        <w:spacing w:line="227" w:lineRule="exact" w:before="0"/>
        <w:ind w:left="563" w:right="0" w:firstLine="0"/>
        <w:jc w:val="left"/>
        <w:rPr>
          <w:sz w:val="20"/>
        </w:rPr>
      </w:pPr>
      <w:r>
        <w:rPr>
          <w:rFonts w:ascii="Arial"/>
          <w:i/>
          <w:sz w:val="20"/>
        </w:rPr>
        <w:t>Co</w:t>
      </w:r>
      <w:r>
        <w:rPr>
          <w:rFonts w:ascii="Arial"/>
          <w:i/>
          <w:spacing w:val="-1"/>
          <w:sz w:val="20"/>
        </w:rPr>
        <w:t> </w:t>
      </w:r>
      <w:r>
        <w:rPr>
          <w:rFonts w:ascii="Arial"/>
          <w:i/>
          <w:sz w:val="20"/>
        </w:rPr>
        <w:t>Ltd [1915] A.C. 79, 86</w:t>
      </w:r>
      <w:r>
        <w:rPr>
          <w:sz w:val="20"/>
        </w:rPr>
        <w:t>, quoted below, para.26-182 and </w:t>
      </w:r>
      <w:r>
        <w:rPr>
          <w:spacing w:val="-2"/>
          <w:sz w:val="20"/>
        </w:rPr>
        <w:t>n.934.</w:t>
      </w:r>
    </w:p>
    <w:p>
      <w:pPr>
        <w:pStyle w:val="BodyText"/>
        <w:spacing w:before="192"/>
      </w:pPr>
    </w:p>
    <w:p>
      <w:pPr>
        <w:spacing w:before="0"/>
        <w:ind w:left="798" w:right="801" w:firstLine="0"/>
        <w:jc w:val="center"/>
        <w:rPr>
          <w:sz w:val="14"/>
        </w:rPr>
      </w:pPr>
      <w:r>
        <w:rPr>
          <w:sz w:val="14"/>
        </w:rPr>
        <w:t>© 2018 Sweet &amp; </w:t>
      </w:r>
      <w:r>
        <w:rPr>
          <w:spacing w:val="-2"/>
          <w:sz w:val="14"/>
        </w:rPr>
        <w:t>Maxwell</w:t>
      </w:r>
    </w:p>
    <w:sectPr>
      <w:pgSz w:w="11900" w:h="16840"/>
      <w:pgMar w:header="971" w:footer="0" w:top="13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17280">
              <wp:simplePos x="0" y="0"/>
              <wp:positionH relativeFrom="page">
                <wp:posOffset>6221984</wp:posOffset>
              </wp:positionH>
              <wp:positionV relativeFrom="page">
                <wp:posOffset>617496</wp:posOffset>
              </wp:positionV>
              <wp:extent cx="44259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920013pt;margin-top:48.621811pt;width:34.85pt;height:10.95pt;mso-position-horizontal-relative:page;mso-position-vertical-relative:page;z-index:-16499200"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17792">
              <wp:simplePos x="0" y="0"/>
              <wp:positionH relativeFrom="page">
                <wp:posOffset>6278473</wp:posOffset>
              </wp:positionH>
              <wp:positionV relativeFrom="page">
                <wp:posOffset>617496</wp:posOffset>
              </wp:positionV>
              <wp:extent cx="386080" cy="1390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498688" type="#_x0000_t202" id="docshape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72"/>
      <w:numFmt w:val="decimal"/>
      <w:lvlText w:val="%1."/>
      <w:lvlJc w:val="left"/>
      <w:pPr>
        <w:ind w:left="563"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410" w:hanging="541"/>
      </w:pPr>
      <w:rPr>
        <w:rFonts w:hint="default"/>
        <w:lang w:val="en-US" w:eastAsia="en-US" w:bidi="ar-SA"/>
      </w:rPr>
    </w:lvl>
    <w:lvl w:ilvl="2">
      <w:start w:val="0"/>
      <w:numFmt w:val="bullet"/>
      <w:lvlText w:val="•"/>
      <w:lvlJc w:val="left"/>
      <w:pPr>
        <w:ind w:left="2261" w:hanging="541"/>
      </w:pPr>
      <w:rPr>
        <w:rFonts w:hint="default"/>
        <w:lang w:val="en-US" w:eastAsia="en-US" w:bidi="ar-SA"/>
      </w:rPr>
    </w:lvl>
    <w:lvl w:ilvl="3">
      <w:start w:val="0"/>
      <w:numFmt w:val="bullet"/>
      <w:lvlText w:val="•"/>
      <w:lvlJc w:val="left"/>
      <w:pPr>
        <w:ind w:left="3111" w:hanging="541"/>
      </w:pPr>
      <w:rPr>
        <w:rFonts w:hint="default"/>
        <w:lang w:val="en-US" w:eastAsia="en-US" w:bidi="ar-SA"/>
      </w:rPr>
    </w:lvl>
    <w:lvl w:ilvl="4">
      <w:start w:val="0"/>
      <w:numFmt w:val="bullet"/>
      <w:lvlText w:val="•"/>
      <w:lvlJc w:val="left"/>
      <w:pPr>
        <w:ind w:left="3962" w:hanging="541"/>
      </w:pPr>
      <w:rPr>
        <w:rFonts w:hint="default"/>
        <w:lang w:val="en-US" w:eastAsia="en-US" w:bidi="ar-SA"/>
      </w:rPr>
    </w:lvl>
    <w:lvl w:ilvl="5">
      <w:start w:val="0"/>
      <w:numFmt w:val="bullet"/>
      <w:lvlText w:val="•"/>
      <w:lvlJc w:val="left"/>
      <w:pPr>
        <w:ind w:left="4813" w:hanging="541"/>
      </w:pPr>
      <w:rPr>
        <w:rFonts w:hint="default"/>
        <w:lang w:val="en-US" w:eastAsia="en-US" w:bidi="ar-SA"/>
      </w:rPr>
    </w:lvl>
    <w:lvl w:ilvl="6">
      <w:start w:val="0"/>
      <w:numFmt w:val="bullet"/>
      <w:lvlText w:val="•"/>
      <w:lvlJc w:val="left"/>
      <w:pPr>
        <w:ind w:left="5663" w:hanging="541"/>
      </w:pPr>
      <w:rPr>
        <w:rFonts w:hint="default"/>
        <w:lang w:val="en-US" w:eastAsia="en-US" w:bidi="ar-SA"/>
      </w:rPr>
    </w:lvl>
    <w:lvl w:ilvl="7">
      <w:start w:val="0"/>
      <w:numFmt w:val="bullet"/>
      <w:lvlText w:val="•"/>
      <w:lvlJc w:val="left"/>
      <w:pPr>
        <w:ind w:left="6514" w:hanging="541"/>
      </w:pPr>
      <w:rPr>
        <w:rFonts w:hint="default"/>
        <w:lang w:val="en-US" w:eastAsia="en-US" w:bidi="ar-SA"/>
      </w:rPr>
    </w:lvl>
    <w:lvl w:ilvl="8">
      <w:start w:val="0"/>
      <w:numFmt w:val="bullet"/>
      <w:lvlText w:val="•"/>
      <w:lvlJc w:val="left"/>
      <w:pPr>
        <w:ind w:left="7364" w:hanging="54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798" w:right="801"/>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23"/>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563" w:hanging="54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2025-03-18T09:18:18Z</dcterms:created>
  <dcterms:modified xsi:type="dcterms:W3CDTF">2025-03-18T09:18:18Z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