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057"/>
          <w:sz w:val="50"/>
        </w:rPr>
        <w:t>WLAN Pi Wireless Engineering Platform</w:t>
      </w:r>
    </w:p>
    <w:p>
      <w:pPr>
        <w:jc w:val="center"/>
      </w:pPr>
      <w:r>
        <w:rPr>
          <w:b/>
          <w:color w:val="304E6A"/>
          <w:sz w:val="34"/>
        </w:rPr>
        <w:t>03  |  Repository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color w:val="0F406E"/>
              </w:rPr>
              <w:t>Version</w:t>
            </w:r>
          </w:p>
        </w:tc>
        <w:tc>
          <w:tcPr>
            <w:tcW w:type="dxa" w:w="5040"/>
            <w:vAlign w:val="center"/>
          </w:tcPr>
          <w:p>
            <w:r>
              <w:t>1.0.0</w:t>
            </w:r>
          </w:p>
        </w:tc>
      </w:tr>
      <w:tr>
        <w:tc>
          <w:tcPr>
            <w:tcW w:type="dxa" w:w="5040"/>
            <w:vAlign w:val="center"/>
          </w:tcPr>
          <w:p>
            <w:r>
              <w:rPr>
                <w:b/>
                <w:color w:val="0F406E"/>
              </w:rPr>
              <w:t>Audience</w:t>
            </w:r>
          </w:p>
        </w:tc>
        <w:tc>
          <w:tcPr>
            <w:tcW w:type="dxa" w:w="5040"/>
            <w:vAlign w:val="center"/>
          </w:tcPr>
          <w:p>
            <w:r>
              <w:t>Wireless engineers, maintainers, and contributors</w:t>
            </w:r>
          </w:p>
        </w:tc>
      </w:tr>
      <w:tr>
        <w:tc>
          <w:tcPr>
            <w:tcW w:type="dxa" w:w="5040"/>
            <w:vAlign w:val="center"/>
          </w:tcPr>
          <w:p>
            <w:r>
              <w:rPr>
                <w:b/>
                <w:color w:val="0F406E"/>
              </w:rPr>
              <w:t>Purpose</w:t>
            </w:r>
          </w:p>
        </w:tc>
        <w:tc>
          <w:tcPr>
            <w:tcW w:type="dxa" w:w="5040"/>
            <w:vAlign w:val="center"/>
          </w:tcPr>
          <w:p>
            <w:r>
              <w:t>Define the approved project workspace, source tree, artifact locations, and ownership boundaries</w:t>
            </w:r>
          </w:p>
        </w:tc>
      </w:tr>
      <w:tr>
        <w:tc>
          <w:tcPr>
            <w:tcW w:type="dxa" w:w="5040"/>
            <w:vAlign w:val="center"/>
          </w:tcPr>
          <w:p>
            <w:r>
              <w:rPr>
                <w:b/>
                <w:color w:val="0F406E"/>
              </w:rPr>
              <w:t>Status</w:t>
            </w:r>
          </w:p>
        </w:tc>
        <w:tc>
          <w:tcPr>
            <w:tcW w:type="dxa" w:w="5040"/>
            <w:vAlign w:val="center"/>
          </w:tcPr>
          <w:p>
            <w:r>
              <w:t>Knowledge Base development</w:t>
            </w:r>
          </w:p>
        </w:tc>
      </w:tr>
    </w:tbl>
    <w:p/>
    <w:p>
      <w:pPr>
        <w:pStyle w:val="Heading1"/>
      </w:pPr>
      <w:r>
        <w:t>1. Purpose</w:t>
      </w:r>
    </w:p>
    <w:p>
      <w:r>
        <w:t>This document defines the approved directory structure for the WLAN Pi Wireless Engineering Platform. It separates source code, documentation, captures, reports, deployment material, releases, and supporting tools so that engineers can locate artifacts consistently and maintain a clean version-controlled source tree.</w:t>
      </w:r>
    </w:p>
    <w:p>
      <w:pPr>
        <w:pStyle w:val="Heading1"/>
      </w:pPr>
      <w:r>
        <w:t>2. Project Root</w:t>
      </w:r>
    </w:p>
    <w:p>
      <w:r>
        <w:t>The project workspace is maintained under the user Documents directory. The project root is:</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urier New" w:hAnsi="Courier New"/>
                <w:sz w:val="17"/>
              </w:rPr>
              <w:t>~/Documents/WLAN-Pi-Go-Toolkit/</w:t>
            </w:r>
          </w:p>
        </w:tc>
      </w:tr>
    </w:tbl>
    <w:p>
      <w:pPr>
        <w:spacing w:after="0"/>
      </w:pPr>
    </w:p>
    <w:tbl>
      <w:tblPr>
        <w:tblW w:type="auto" w:w="0"/>
        <w:jc w:val="center"/>
        <w:tblLook w:firstColumn="1" w:firstRow="1" w:lastColumn="0" w:lastRow="0" w:noHBand="0" w:noVBand="1" w:val="04A0"/>
      </w:tblPr>
      <w:tblGrid>
        <w:gridCol w:w="1872"/>
        <w:gridCol w:w="8496"/>
      </w:tblGrid>
      <w:tr>
        <w:tc>
          <w:tcPr>
            <w:tcW w:type="dxa" w:w="5040"/>
            <w:vAlign w:val="center"/>
            <w:shd w:fill="EAF2F8"/>
          </w:tcPr>
          <w:p>
            <w:r>
              <w:rPr>
                <w:b/>
                <w:color w:val="0F406E"/>
              </w:rPr>
              <w:t>Rule</w:t>
            </w:r>
          </w:p>
        </w:tc>
        <w:tc>
          <w:tcPr>
            <w:tcW w:type="dxa" w:w="5040"/>
            <w:vAlign w:val="center"/>
            <w:shd w:fill="EAF2F8"/>
          </w:tcPr>
          <w:p>
            <w:r>
              <w:t>Treat the project root as the workspace boundary. Toolkit source code is maintained separately under Toolkit_Source/.</w:t>
            </w:r>
          </w:p>
        </w:tc>
      </w:tr>
    </w:tbl>
    <w:p>
      <w:pPr>
        <w:spacing w:after="0"/>
      </w:pPr>
    </w:p>
    <w:p>
      <w:pPr>
        <w:pStyle w:val="Heading1"/>
      </w:pPr>
      <w:r>
        <w:t>3. Approved Workspace Layout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406E"/>
          </w:tcPr>
          <w:p>
            <w:r>
              <w:rPr>
                <w:b/>
                <w:color w:val="FFFFFF"/>
              </w:rPr>
              <w:t>Folder</w:t>
            </w:r>
          </w:p>
        </w:tc>
        <w:tc>
          <w:tcPr>
            <w:tcW w:type="dxa" w:w="3360"/>
            <w:shd w:fill="0F406E"/>
          </w:tcPr>
          <w:p>
            <w:r>
              <w:rPr>
                <w:b/>
                <w:color w:val="FFFFFF"/>
              </w:rPr>
              <w:t>Purpose</w:t>
            </w:r>
          </w:p>
        </w:tc>
        <w:tc>
          <w:tcPr>
            <w:tcW w:type="dxa" w:w="3360"/>
            <w:shd w:fill="0F406E"/>
          </w:tcPr>
          <w:p>
            <w:r>
              <w:rPr>
                <w:b/>
                <w:color w:val="FFFFFF"/>
              </w:rPr>
              <w:t>Classification</w:t>
            </w:r>
          </w:p>
        </w:tc>
      </w:tr>
      <w:tr>
        <w:tc>
          <w:tcPr>
            <w:tcW w:type="dxa" w:w="3360"/>
            <w:vAlign w:val="center"/>
          </w:tcPr>
          <w:p>
            <w:r>
              <w:t>Captures/</w:t>
            </w:r>
          </w:p>
        </w:tc>
        <w:tc>
          <w:tcPr>
            <w:tcW w:type="dxa" w:w="3360"/>
            <w:vAlign w:val="center"/>
          </w:tcPr>
          <w:p>
            <w:r>
              <w:t>Generated packet captures and capture-session artifacts.</w:t>
            </w:r>
          </w:p>
        </w:tc>
        <w:tc>
          <w:tcPr>
            <w:tcW w:type="dxa" w:w="3360"/>
            <w:vAlign w:val="center"/>
          </w:tcPr>
          <w:p>
            <w:r>
              <w:t>Working data / generated</w:t>
            </w:r>
          </w:p>
        </w:tc>
      </w:tr>
      <w:tr>
        <w:tc>
          <w:tcPr>
            <w:tcW w:type="dxa" w:w="3360"/>
            <w:vAlign w:val="center"/>
          </w:tcPr>
          <w:p>
            <w:r>
              <w:t>Deploy/</w:t>
            </w:r>
          </w:p>
        </w:tc>
        <w:tc>
          <w:tcPr>
            <w:tcW w:type="dxa" w:w="3360"/>
            <w:vAlign w:val="center"/>
          </w:tcPr>
          <w:p>
            <w:r>
              <w:t>Deployment helpers, staging material, and deployment-related artifacts.</w:t>
            </w:r>
          </w:p>
        </w:tc>
        <w:tc>
          <w:tcPr>
            <w:tcW w:type="dxa" w:w="3360"/>
            <w:vAlign w:val="center"/>
          </w:tcPr>
          <w:p>
            <w:r>
              <w:t>Operational support</w:t>
            </w:r>
          </w:p>
        </w:tc>
      </w:tr>
      <w:tr>
        <w:tc>
          <w:tcPr>
            <w:tcW w:type="dxa" w:w="3360"/>
            <w:vAlign w:val="center"/>
          </w:tcPr>
          <w:p>
            <w:r>
              <w:t>Docs/</w:t>
            </w:r>
          </w:p>
        </w:tc>
        <w:tc>
          <w:tcPr>
            <w:tcW w:type="dxa" w:w="3360"/>
            <w:vAlign w:val="center"/>
          </w:tcPr>
          <w:p>
            <w:r>
              <w:t>Published human-readable documentation and project reference material.</w:t>
            </w:r>
          </w:p>
        </w:tc>
        <w:tc>
          <w:tcPr>
            <w:tcW w:type="dxa" w:w="3360"/>
            <w:vAlign w:val="center"/>
          </w:tcPr>
          <w:p>
            <w:r>
              <w:t>Documentation</w:t>
            </w:r>
          </w:p>
        </w:tc>
      </w:tr>
      <w:tr>
        <w:tc>
          <w:tcPr>
            <w:tcW w:type="dxa" w:w="3360"/>
            <w:vAlign w:val="center"/>
          </w:tcPr>
          <w:p>
            <w:r>
              <w:t>Downloads/</w:t>
            </w:r>
          </w:p>
        </w:tc>
        <w:tc>
          <w:tcPr>
            <w:tcW w:type="dxa" w:w="3360"/>
            <w:vAlign w:val="center"/>
          </w:tcPr>
          <w:p>
            <w:r>
              <w:t>Downloaded vendor packages and external utilities retained for project use.</w:t>
            </w:r>
          </w:p>
        </w:tc>
        <w:tc>
          <w:tcPr>
            <w:tcW w:type="dxa" w:w="3360"/>
            <w:vAlign w:val="center"/>
          </w:tcPr>
          <w:p>
            <w:r>
              <w:t>External inputs</w:t>
            </w:r>
          </w:p>
        </w:tc>
      </w:tr>
      <w:tr>
        <w:tc>
          <w:tcPr>
            <w:tcW w:type="dxa" w:w="3360"/>
            <w:vAlign w:val="center"/>
          </w:tcPr>
          <w:p>
            <w:r>
              <w:t>Releases/</w:t>
            </w:r>
          </w:p>
        </w:tc>
        <w:tc>
          <w:tcPr>
            <w:tcW w:type="dxa" w:w="3360"/>
            <w:vAlign w:val="center"/>
          </w:tcPr>
          <w:p>
            <w:r>
              <w:t>Release packages and versioned distribution artifacts.</w:t>
            </w:r>
          </w:p>
        </w:tc>
        <w:tc>
          <w:tcPr>
            <w:tcW w:type="dxa" w:w="3360"/>
            <w:vAlign w:val="center"/>
          </w:tcPr>
          <w:p>
            <w:r>
              <w:t>Distribution</w:t>
            </w:r>
          </w:p>
        </w:tc>
      </w:tr>
      <w:tr>
        <w:tc>
          <w:tcPr>
            <w:tcW w:type="dxa" w:w="3360"/>
            <w:vAlign w:val="center"/>
          </w:tcPr>
          <w:p>
            <w:r>
              <w:t>Reports/</w:t>
            </w:r>
          </w:p>
        </w:tc>
        <w:tc>
          <w:tcPr>
            <w:tcW w:type="dxa" w:w="3360"/>
            <w:vAlign w:val="center"/>
          </w:tcPr>
          <w:p>
            <w:r>
              <w:t>Generated engineering reports.</w:t>
            </w:r>
          </w:p>
        </w:tc>
        <w:tc>
          <w:tcPr>
            <w:tcW w:type="dxa" w:w="3360"/>
            <w:vAlign w:val="center"/>
          </w:tcPr>
          <w:p>
            <w:r>
              <w:t>Generated output</w:t>
            </w:r>
          </w:p>
        </w:tc>
      </w:tr>
      <w:tr>
        <w:tc>
          <w:tcPr>
            <w:tcW w:type="dxa" w:w="3360"/>
            <w:vAlign w:val="center"/>
          </w:tcPr>
          <w:p>
            <w:r>
              <w:t>Survey_Exports/</w:t>
            </w:r>
          </w:p>
        </w:tc>
        <w:tc>
          <w:tcPr>
            <w:tcW w:type="dxa" w:w="3360"/>
            <w:vAlign w:val="center"/>
          </w:tcPr>
          <w:p>
            <w:r>
              <w:t>Exported RF survey packages and survey-specific output.</w:t>
            </w:r>
          </w:p>
        </w:tc>
        <w:tc>
          <w:tcPr>
            <w:tcW w:type="dxa" w:w="3360"/>
            <w:vAlign w:val="center"/>
          </w:tcPr>
          <w:p>
            <w:r>
              <w:t>Generated output</w:t>
            </w:r>
          </w:p>
        </w:tc>
      </w:tr>
      <w:tr>
        <w:tc>
          <w:tcPr>
            <w:tcW w:type="dxa" w:w="3360"/>
            <w:vAlign w:val="center"/>
          </w:tcPr>
          <w:p>
            <w:r>
              <w:t>Toolkit_Source/</w:t>
            </w:r>
          </w:p>
        </w:tc>
        <w:tc>
          <w:tcPr>
            <w:tcW w:type="dxa" w:w="3360"/>
            <w:vAlign w:val="center"/>
          </w:tcPr>
          <w:p>
            <w:r>
              <w:t>Git-controlled toolkit source, configuration, scripts, profiles, and source documentation.</w:t>
            </w:r>
          </w:p>
        </w:tc>
        <w:tc>
          <w:tcPr>
            <w:tcW w:type="dxa" w:w="3360"/>
            <w:vAlign w:val="center"/>
          </w:tcPr>
          <w:p>
            <w:r>
              <w:t>Authoritative source</w:t>
            </w:r>
          </w:p>
        </w:tc>
      </w:tr>
      <w:tr>
        <w:tc>
          <w:tcPr>
            <w:tcW w:type="dxa" w:w="3360"/>
            <w:vAlign w:val="center"/>
          </w:tcPr>
          <w:p>
            <w:r>
              <w:t>Tools/</w:t>
            </w:r>
          </w:p>
        </w:tc>
        <w:tc>
          <w:tcPr>
            <w:tcW w:type="dxa" w:w="3360"/>
            <w:vAlign w:val="center"/>
          </w:tcPr>
          <w:p>
            <w:r>
              <w:t>Supporting utilities, including vendor capture tooling and local helper packages.</w:t>
            </w:r>
          </w:p>
        </w:tc>
        <w:tc>
          <w:tcPr>
            <w:tcW w:type="dxa" w:w="3360"/>
            <w:vAlign w:val="center"/>
          </w:tcPr>
          <w:p>
            <w:r>
              <w:t>Supporting tools</w:t>
            </w:r>
          </w:p>
        </w:tc>
      </w:tr>
    </w:tbl>
    <w:p>
      <w:pPr>
        <w:pStyle w:val="Heading1"/>
      </w:pPr>
      <w:r>
        <w:t>4. Knowledge Base Structure</w:t>
      </w:r>
    </w:p>
    <w:p>
      <w:r>
        <w:t>The published Knowledge Base is stored under Docs/Knowledge_Base/. Each document is a Word document and is numbered so that the recommended reading order is obvious.</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urier New" w:hAnsi="Courier New"/>
                <w:sz w:val="17"/>
              </w:rPr>
              <w:t>Docs/</w:t>
              <w:br/>
              <w:t>└── Knowledge_Base/</w:t>
              <w:br/>
              <w:t xml:space="preserve">    ├── 01_Project_Overview.docx</w:t>
              <w:br/>
              <w:t xml:space="preserve">    ├── 02_Architecture.docx</w:t>
              <w:br/>
              <w:t xml:space="preserve">    ├── 03_Repository_Structure.docx</w:t>
              <w:br/>
              <w:t xml:space="preserve">    ├── 04_macOS_Installation.docx</w:t>
              <w:br/>
              <w:t xml:space="preserve">    ├── 05_Windows_Installation.docx</w:t>
              <w:br/>
              <w:t xml:space="preserve">    ├── 06_New_Machine_Setup.docx</w:t>
              <w:br/>
              <w:t xml:space="preserve">    └── ...</w:t>
            </w:r>
          </w:p>
        </w:tc>
      </w:tr>
    </w:tbl>
    <w:p>
      <w:pPr>
        <w:spacing w:after="0"/>
      </w:pPr>
    </w:p>
    <w:p>
      <w:pPr>
        <w:pStyle w:val="Heading1"/>
      </w:pPr>
      <w:r>
        <w:t>5. Toolkit Source Tree</w:t>
      </w:r>
    </w:p>
    <w:p>
      <w:r>
        <w:t>Toolkit_Source/ is the authoritative source-controlled tree. Changes to scripts, configuration, profiles, and source documentation are made here first, then deployed to the WLAN Pi Go or published to the workspace as appropriate.</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urier New" w:hAnsi="Courier New"/>
                <w:sz w:val="17"/>
              </w:rPr>
              <w:t>Toolkit_Source/</w:t>
              <w:br/>
              <w:t>├── launcher.sh</w:t>
              <w:br/>
              <w:t>├── deploy.sh</w:t>
              <w:br/>
              <w:t>├── install.sh</w:t>
              <w:br/>
              <w:t>├── start-go-session.sh</w:t>
              <w:br/>
              <w:t>├── toolkit.conf</w:t>
              <w:br/>
              <w:t>├── VERSION</w:t>
              <w:br/>
              <w:t>├── CHANGELOG.md</w:t>
              <w:br/>
              <w:t>├── README.md</w:t>
              <w:br/>
              <w:t>├── ROADMAP.md</w:t>
              <w:br/>
              <w:t>├── lib/</w:t>
              <w:br/>
              <w:t>├── profiles/</w:t>
              <w:br/>
              <w:t>└── docs/    (source documentation when maintained in Git)</w:t>
            </w:r>
          </w:p>
        </w:tc>
      </w:tr>
    </w:tbl>
    <w:p>
      <w:pPr>
        <w:spacing w:after="0"/>
      </w:pPr>
    </w:p>
    <w:p>
      <w:pPr>
        <w:pStyle w:val="Heading2"/>
      </w:pPr>
      <w:r>
        <w:t>Core source areas</w:t>
      </w:r>
    </w:p>
    <w:p>
      <w:pPr>
        <w:pStyle w:val="ListBullet"/>
        <w:spacing w:after="40"/>
      </w:pPr>
      <w:r>
        <w:t>launcher.sh - primary interactive toolkit menu and dispatch.</w:t>
      </w:r>
    </w:p>
    <w:p>
      <w:pPr>
        <w:pStyle w:val="ListBullet"/>
        <w:spacing w:after="40"/>
      </w:pPr>
      <w:r>
        <w:t>deploy.sh - copies the approved toolkit source to the WLAN Pi Go and performs deployment verification.</w:t>
      </w:r>
    </w:p>
    <w:p>
      <w:pPr>
        <w:pStyle w:val="ListBullet"/>
        <w:spacing w:after="40"/>
      </w:pPr>
      <w:r>
        <w:t>start-go-session.sh - performs the standard start-of-session readiness checks on the Go.</w:t>
      </w:r>
    </w:p>
    <w:p>
      <w:pPr>
        <w:pStyle w:val="ListBullet"/>
        <w:spacing w:after="40"/>
      </w:pPr>
      <w:r>
        <w:t>toolkit.conf - toolkit runtime defaults and configurable paths.</w:t>
      </w:r>
    </w:p>
    <w:p>
      <w:pPr>
        <w:pStyle w:val="ListBullet"/>
        <w:spacing w:after="40"/>
      </w:pPr>
      <w:r>
        <w:t>VERSION - current toolkit version.</w:t>
      </w:r>
    </w:p>
    <w:p>
      <w:pPr>
        <w:pStyle w:val="ListBullet"/>
        <w:spacing w:after="40"/>
      </w:pPr>
      <w:r>
        <w:t>lib/ - functional modules such as profiler, RF survey, channel analysis, security analysis, enterprise inventory, neighbor inventory, dashboard, exports, and capture status.</w:t>
      </w:r>
    </w:p>
    <w:p>
      <w:pPr>
        <w:pStyle w:val="ListBullet"/>
        <w:spacing w:after="40"/>
      </w:pPr>
      <w:r>
        <w:t>profiles/ - client validation profiles used by the toolkit.</w:t>
      </w:r>
    </w:p>
    <w:p>
      <w:pPr>
        <w:pStyle w:val="Heading1"/>
      </w:pPr>
      <w:r>
        <w:t>6. Captures and Generated Data</w:t>
      </w:r>
    </w:p>
    <w:p>
      <w:pPr>
        <w:pStyle w:val="Heading2"/>
      </w:pPr>
      <w:r>
        <w:t>Captures/</w:t>
      </w:r>
    </w:p>
    <w:p>
      <w:r>
        <w:t>Use Captures/ for packet captures and capture-session artifacts that are generated during testing. Keep raw captures separate from final engineering reports.</w:t>
      </w:r>
    </w:p>
    <w:p>
      <w:pPr>
        <w:pStyle w:val="ListBullet"/>
        <w:spacing w:after="40"/>
      </w:pPr>
      <w:r>
        <w:t>OTA packet captures are generated through the validated WLAN Pi Go + MetaGeek workflow.</w:t>
      </w:r>
    </w:p>
    <w:p>
      <w:pPr>
        <w:pStyle w:val="ListBullet"/>
        <w:spacing w:after="40"/>
      </w:pPr>
      <w:r>
        <w:t>PCAPNG files should retain their original capture format and should not be edited in place.</w:t>
      </w:r>
    </w:p>
    <w:p>
      <w:pPr>
        <w:pStyle w:val="ListBullet"/>
        <w:spacing w:after="40"/>
      </w:pPr>
      <w:r>
        <w:t>When a capture becomes a formal case artifact, associate it with the corresponding report or session metadata.</w:t>
      </w:r>
    </w:p>
    <w:p>
      <w:pPr>
        <w:pStyle w:val="Heading2"/>
      </w:pPr>
      <w:r>
        <w:t>Survey_Exports/</w:t>
      </w:r>
    </w:p>
    <w:p>
      <w:r>
        <w:t>Use Survey_Exports/ for exported RF survey packages. Current survey packages may contain raw scan data, metadata, survey summaries, channel analysis, security analysis, hidden-network analysis, enterprise-network analysis, and neighbor inventory.</w:t>
      </w:r>
    </w:p>
    <w:p>
      <w:pPr>
        <w:pStyle w:val="Heading2"/>
      </w:pPr>
      <w:r>
        <w:t>Reports/</w:t>
      </w:r>
    </w:p>
    <w:p>
      <w:r>
        <w:t>Use Reports/ for generated engineering reports. Reports are outputs derived from captures, surveys, profiler runs, or other validated workflows.</w:t>
      </w:r>
    </w:p>
    <w:p>
      <w:pPr>
        <w:pStyle w:val="Heading1"/>
      </w:pPr>
      <w:r>
        <w:t>7. Supporting Tools and External Inputs</w:t>
      </w:r>
    </w:p>
    <w:p>
      <w:pPr>
        <w:pStyle w:val="Heading2"/>
      </w:pPr>
      <w:r>
        <w:t>Tools/</w:t>
      </w:r>
    </w:p>
    <w:p>
      <w:r>
        <w:t>Tools/ contains utilities needed to support the platform but not owned as part of the toolkit source itself. The current workspace includes the Oscium ARM64 capture binary and supporting Wireshark-related material.</w:t>
      </w:r>
    </w:p>
    <w:tbl>
      <w:tblPr>
        <w:tblW w:type="auto" w:w="0"/>
        <w:jc w:val="center"/>
        <w:tblLook w:firstColumn="1" w:firstRow="1" w:lastColumn="0" w:lastRow="0" w:noHBand="0" w:noVBand="1" w:val="04A0"/>
      </w:tblPr>
      <w:tblGrid>
        <w:gridCol w:w="1872"/>
        <w:gridCol w:w="8496"/>
      </w:tblGrid>
      <w:tr>
        <w:tc>
          <w:tcPr>
            <w:tcW w:type="dxa" w:w="5040"/>
            <w:vAlign w:val="center"/>
            <w:shd w:fill="EAF2F8"/>
          </w:tcPr>
          <w:p>
            <w:r>
              <w:rPr>
                <w:b/>
                <w:color w:val="0F406E"/>
              </w:rPr>
              <w:t>Boundary</w:t>
            </w:r>
          </w:p>
        </w:tc>
        <w:tc>
          <w:tcPr>
            <w:tcW w:type="dxa" w:w="5040"/>
            <w:vAlign w:val="center"/>
            <w:shd w:fill="EAF2F8"/>
          </w:tcPr>
          <w:p>
            <w:r>
              <w:t>Do not treat vendor binaries stored in Tools/ as equivalent to source-controlled toolkit code. Record their vendor/version context in the Vendor Issues or release documentation when they affect platform behavior.</w:t>
            </w:r>
          </w:p>
        </w:tc>
      </w:tr>
    </w:tbl>
    <w:p>
      <w:pPr>
        <w:spacing w:after="0"/>
      </w:pPr>
    </w:p>
    <w:p>
      <w:pPr>
        <w:pStyle w:val="Heading2"/>
      </w:pPr>
      <w:r>
        <w:t>Downloads/</w:t>
      </w:r>
    </w:p>
    <w:p>
      <w:r>
        <w:t>Downloads/ is a staging area for packages obtained from vendors or other approved sources. Files should remain identifiable by product and version and should not be mistaken for the current deployed toolkit.</w:t>
      </w:r>
    </w:p>
    <w:p>
      <w:pPr>
        <w:pStyle w:val="Heading1"/>
      </w:pPr>
      <w:r>
        <w:t>8. Version-Control Boundary</w:t>
      </w:r>
    </w:p>
    <w:p>
      <w:r>
        <w:t>The authoritative Git boundary is Toolkit_Source/. The workspace folders outside Toolkit_Source/ are operational and generated-data locations unless explicitly added to source control.</w:t>
      </w:r>
    </w:p>
    <w:p>
      <w:pPr>
        <w:pStyle w:val="ListBullet"/>
        <w:spacing w:after="40"/>
      </w:pPr>
      <w:r>
        <w:t>Do not edit deployed files on the WLAN Pi Go as the primary change method.</w:t>
      </w:r>
    </w:p>
    <w:p>
      <w:pPr>
        <w:pStyle w:val="ListBullet"/>
        <w:spacing w:after="40"/>
      </w:pPr>
      <w:r>
        <w:t>Do not make feature changes directly in Reports/, Captures/, or other generated-data folders.</w:t>
      </w:r>
    </w:p>
    <w:p>
      <w:pPr>
        <w:pStyle w:val="ListBullet"/>
        <w:spacing w:after="40"/>
      </w:pPr>
      <w:r>
        <w:t>Commit source changes to Git before declaring a platform change complete.</w:t>
      </w:r>
    </w:p>
    <w:p>
      <w:pPr>
        <w:pStyle w:val="ListBullet"/>
        <w:spacing w:after="40"/>
      </w:pPr>
      <w:r>
        <w:t>Use the approved deployment workflow to push the tested source tree to the Go.</w:t>
      </w:r>
    </w:p>
    <w:p>
      <w:pPr>
        <w:pStyle w:val="Heading1"/>
      </w:pPr>
      <w:r>
        <w:t>9. New-Machine Expectations</w:t>
      </w:r>
    </w:p>
    <w:p>
      <w:r>
        <w:t>A new MacBook or Windows machine should reproduce the same workspace layout. The machine-specific setup, software prerequisites, WLAN Pi Go connectivity, and validation sequence will be documented in the platform installation and new-machine procedures.</w:t>
      </w:r>
    </w:p>
    <w:p>
      <w:pPr>
        <w:pStyle w:val="ListNumber"/>
        <w:spacing w:after="40"/>
      </w:pPr>
      <w:r>
        <w:t>Clone or obtain the Toolkit_Source repository.</w:t>
      </w:r>
    </w:p>
    <w:p>
      <w:pPr>
        <w:pStyle w:val="ListNumber"/>
        <w:spacing w:after="40"/>
      </w:pPr>
      <w:r>
        <w:t>Create or validate the project root and standard workspace folders.</w:t>
      </w:r>
    </w:p>
    <w:p>
      <w:pPr>
        <w:pStyle w:val="ListNumber"/>
        <w:spacing w:after="40"/>
      </w:pPr>
      <w:r>
        <w:t>Install the documented software prerequisites for the operating system.</w:t>
      </w:r>
    </w:p>
    <w:p>
      <w:pPr>
        <w:pStyle w:val="ListNumber"/>
        <w:spacing w:after="40"/>
      </w:pPr>
      <w:r>
        <w:t>Connect to the WLAN Pi Go using the documented transport method.</w:t>
      </w:r>
    </w:p>
    <w:p>
      <w:pPr>
        <w:pStyle w:val="ListNumber"/>
        <w:spacing w:after="40"/>
      </w:pPr>
      <w:r>
        <w:t>Run the platform preflight and deployment verification before performing engineering work.</w:t>
      </w:r>
    </w:p>
    <w:p>
      <w:pPr>
        <w:pStyle w:val="Heading1"/>
      </w:pPr>
      <w:r>
        <w:t>10. Naming and Handling Standards</w:t>
      </w:r>
    </w:p>
    <w:p>
      <w:pPr>
        <w:pStyle w:val="ListBullet"/>
        <w:spacing w:after="40"/>
      </w:pPr>
      <w:r>
        <w:t>Use descriptive names that include site, purpose, and date when a generated artifact benefits from them.</w:t>
      </w:r>
    </w:p>
    <w:p>
      <w:pPr>
        <w:pStyle w:val="ListBullet"/>
        <w:spacing w:after="40"/>
      </w:pPr>
      <w:r>
        <w:t>Do not overwrite raw captures; preserve the original file and create derived files separately.</w:t>
      </w:r>
    </w:p>
    <w:p>
      <w:pPr>
        <w:pStyle w:val="ListBullet"/>
        <w:spacing w:after="40"/>
      </w:pPr>
      <w:r>
        <w:t>Keep vendor downloads separate from released toolkit packages.</w:t>
      </w:r>
    </w:p>
    <w:p>
      <w:pPr>
        <w:pStyle w:val="ListBullet"/>
        <w:spacing w:after="40"/>
      </w:pPr>
      <w:r>
        <w:t>Keep documentation filenames numbered and stable once published.</w:t>
      </w:r>
    </w:p>
    <w:p>
      <w:pPr>
        <w:pStyle w:val="Heading1"/>
      </w:pPr>
      <w:r>
        <w:t>11. Revision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406E"/>
          </w:tcPr>
          <w:p>
            <w:r>
              <w:rPr>
                <w:b/>
                <w:color w:val="FFFFFF"/>
              </w:rPr>
              <w:t>Version</w:t>
            </w:r>
          </w:p>
        </w:tc>
        <w:tc>
          <w:tcPr>
            <w:tcW w:type="dxa" w:w="3360"/>
            <w:shd w:fill="0F406E"/>
          </w:tcPr>
          <w:p>
            <w:r>
              <w:rPr>
                <w:b/>
                <w:color w:val="FFFFFF"/>
              </w:rPr>
              <w:t>Date</w:t>
            </w:r>
          </w:p>
        </w:tc>
        <w:tc>
          <w:tcPr>
            <w:tcW w:type="dxa" w:w="3360"/>
            <w:shd w:fill="0F406E"/>
          </w:tcPr>
          <w:p>
            <w:r>
              <w:rPr>
                <w:b/>
                <w:color w:val="FFFFFF"/>
              </w:rPr>
              <w:t>Change</w:t>
            </w:r>
          </w:p>
        </w:tc>
      </w:tr>
      <w:tr>
        <w:tc>
          <w:tcPr>
            <w:tcW w:type="dxa" w:w="3360"/>
          </w:tcPr>
          <w:p>
            <w:r>
              <w:t>1.0.0</w:t>
            </w:r>
          </w:p>
        </w:tc>
        <w:tc>
          <w:tcPr>
            <w:tcW w:type="dxa" w:w="3360"/>
          </w:tcPr>
          <w:p>
            <w:r>
              <w:t>2026-08-21</w:t>
            </w:r>
          </w:p>
        </w:tc>
        <w:tc>
          <w:tcPr>
            <w:tcW w:type="dxa" w:w="3360"/>
          </w:tcPr>
          <w:p>
            <w:r>
              <w:t>Initial repository and workspace structure definition.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WLAN Pi Wireless Engineering Platform  |  03 - Repository Structure  |  Version 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40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04E6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30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3737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