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Vendor Issues and Engineering Dependencies</w:t>
      </w:r>
    </w:p>
    <w:p>
      <w:r>
        <w:rPr>
          <w:b/>
          <w:color w:val="2F75B5"/>
        </w:rPr>
        <w:t>Document 16  |  Version 1.0.0</w:t>
      </w:r>
    </w:p>
    <w:tbl>
      <w:tblPr>
        <w:tblW w:type="auto" w:w="0"/>
        <w:jc w:val="left"/>
        <w:tblLayout w:type="fixed"/>
        <w:tblLook w:firstColumn="1" w:firstRow="1" w:lastColumn="0" w:lastRow="0" w:noHBand="0" w:noVBand="1" w:val="04A0"/>
      </w:tblPr>
      <w:tblGrid>
        <w:gridCol w:w="4968"/>
        <w:gridCol w:w="4968"/>
      </w:tblGrid>
      <w:tr>
        <w:tc>
          <w:tcPr>
            <w:tcW w:type="dxa" w:w="2160"/>
            <w:tcMar>
              <w:top w:w="90" w:type="dxa"/>
              <w:start w:w="100" w:type="dxa"/>
              <w:bottom w:w="90" w:type="dxa"/>
              <w:end w:w="100" w:type="dxa"/>
            </w:tcMar>
            <w:shd w:fill="EAF2F8"/>
          </w:tcPr>
          <w:p>
            <w:r>
              <w:rPr>
                <w:b/>
              </w:rPr>
              <w:t>Purpose</w:t>
            </w:r>
          </w:p>
        </w:tc>
        <w:tc>
          <w:tcPr>
            <w:tcW w:type="dxa" w:w="8208"/>
            <w:tcMar>
              <w:top w:w="90" w:type="dxa"/>
              <w:start w:w="100" w:type="dxa"/>
              <w:bottom w:w="90" w:type="dxa"/>
              <w:end w:w="100" w:type="dxa"/>
            </w:tcMar>
          </w:tcPr>
          <w:p>
            <w:r>
              <w:t>Tracks known vendor-owned limitations and the evidence required to communicate them clearly.</w:t>
            </w:r>
          </w:p>
        </w:tc>
      </w:tr>
      <w:tr>
        <w:tc>
          <w:tcPr>
            <w:tcW w:type="dxa" w:w="2160"/>
            <w:tcMar>
              <w:top w:w="90" w:type="dxa"/>
              <w:start w:w="100" w:type="dxa"/>
              <w:bottom w:w="90" w:type="dxa"/>
              <w:end w:w="100" w:type="dxa"/>
            </w:tcMar>
            <w:shd w:fill="EAF2F8"/>
          </w:tcPr>
          <w:p>
            <w:r>
              <w:rPr>
                <w:b/>
              </w:rPr>
              <w:t>Audience</w:t>
            </w:r>
          </w:p>
        </w:tc>
        <w:tc>
          <w:tcPr>
            <w:tcW w:type="dxa" w:w="8208"/>
            <w:tcMar>
              <w:top w:w="90" w:type="dxa"/>
              <w:start w:w="100" w:type="dxa"/>
              <w:bottom w:w="90" w:type="dxa"/>
              <w:end w:w="100" w:type="dxa"/>
            </w:tcMar>
          </w:tcPr>
          <w:p>
            <w:r>
              <w:t>Platform maintainers and engineers working with MetaGeek/Oscium support.</w:t>
            </w:r>
          </w:p>
        </w:tc>
      </w:tr>
      <w:tr>
        <w:tc>
          <w:tcPr>
            <w:tcW w:type="dxa" w:w="2160"/>
            <w:tcMar>
              <w:top w:w="90" w:type="dxa"/>
              <w:start w:w="100" w:type="dxa"/>
              <w:bottom w:w="90" w:type="dxa"/>
              <w:end w:w="100" w:type="dxa"/>
            </w:tcMar>
            <w:shd w:fill="EAF2F8"/>
          </w:tcPr>
          <w:p>
            <w:r>
              <w:rPr>
                <w:b/>
              </w:rPr>
              <w:t>Prerequisites</w:t>
            </w:r>
          </w:p>
        </w:tc>
        <w:tc>
          <w:tcPr>
            <w:tcW w:type="dxa" w:w="8208"/>
            <w:tcMar>
              <w:top w:w="90" w:type="dxa"/>
              <w:start w:w="100" w:type="dxa"/>
              <w:bottom w:w="90" w:type="dxa"/>
              <w:end w:w="100" w:type="dxa"/>
            </w:tcMar>
          </w:tcPr>
          <w:p>
            <w:r>
              <w:t>See the relevant setup and deployment procedures. (Document is an operational reference, not a substitute for those prerequisites.)</w:t>
            </w:r>
          </w:p>
        </w:tc>
      </w:tr>
      <w:tr>
        <w:tc>
          <w:tcPr>
            <w:tcW w:type="dxa" w:w="2160"/>
            <w:tcMar>
              <w:top w:w="90" w:type="dxa"/>
              <w:start w:w="100" w:type="dxa"/>
              <w:bottom w:w="90" w:type="dxa"/>
              <w:end w:w="100" w:type="dxa"/>
            </w:tcMar>
            <w:shd w:fill="EAF2F8"/>
          </w:tcPr>
          <w:p>
            <w:r>
              <w:rPr>
                <w:b/>
              </w:rPr>
              <w:t>Status</w:t>
            </w:r>
          </w:p>
        </w:tc>
        <w:tc>
          <w:tcPr>
            <w:tcW w:type="dxa" w:w="8208"/>
            <w:tcMar>
              <w:top w:w="90" w:type="dxa"/>
              <w:start w:w="100" w:type="dxa"/>
              <w:bottom w:w="90" w:type="dxa"/>
              <w:end w:w="100" w:type="dxa"/>
            </w:tcMar>
          </w:tcPr>
          <w:p>
            <w:r>
              <w:t>Knowledge Base document; content reflects the validated project state as of August 2026.</w:t>
            </w:r>
          </w:p>
        </w:tc>
      </w:tr>
    </w:tbl>
    <w:p/>
    <w:p>
      <w:pPr>
        <w:pStyle w:val="Heading1"/>
      </w:pPr>
      <w:r>
        <w:t>1. Wireshark ExtCap Compatibility</w:t>
      </w:r>
    </w:p>
    <w:p>
      <w:pPr>
        <w:spacing w:after="120"/>
      </w:pPr>
      <w:r>
        <w:t>The ARM64 osciumdump ExtCap workflow was validated at the executable level, but Wireshark 4.6.6 hangs during "Initializing external capture plugins" when the ExtCap is installed. Vendor support reproduced the same behavior on their own Mac and reported that engineering would investigate compatibility and whether an updated ExtCap build is required.</w:t>
      </w:r>
    </w:p>
    <w:tbl>
      <w:tblPr>
        <w:tblW w:type="auto" w:w="0"/>
        <w:jc w:val="left"/>
        <w:tblLayout w:type="fixed"/>
        <w:tblLook w:firstColumn="1" w:firstRow="1" w:lastColumn="0" w:lastRow="0" w:noHBand="0" w:noVBand="1" w:val="04A0"/>
      </w:tblPr>
      <w:tblGrid>
        <w:gridCol w:w="4968"/>
        <w:gridCol w:w="4968"/>
      </w:tblGrid>
      <w:tr>
        <w:tc>
          <w:tcPr>
            <w:tcW w:type="dxa" w:w="3600"/>
            <w:shd w:fill="17365D"/>
            <w:tcMar>
              <w:top w:w="90" w:type="dxa"/>
              <w:start w:w="100" w:type="dxa"/>
              <w:bottom w:w="90" w:type="dxa"/>
              <w:end w:w="100" w:type="dxa"/>
            </w:tcMar>
            <w:vAlign w:val="center"/>
          </w:tcPr>
          <w:p>
            <w:r>
              <w:rPr>
                <w:b/>
                <w:color w:val="FFFFFF"/>
              </w:rPr>
              <w:t>Evidence</w:t>
            </w:r>
          </w:p>
        </w:tc>
        <w:tc>
          <w:tcPr>
            <w:tcW w:type="dxa" w:w="6768"/>
            <w:shd w:fill="17365D"/>
            <w:tcMar>
              <w:top w:w="90" w:type="dxa"/>
              <w:start w:w="100" w:type="dxa"/>
              <w:bottom w:w="90" w:type="dxa"/>
              <w:end w:w="100" w:type="dxa"/>
            </w:tcMar>
            <w:vAlign w:val="center"/>
          </w:tcPr>
          <w:p>
            <w:r>
              <w:rPr>
                <w:b/>
                <w:color w:val="FFFFFF"/>
              </w:rPr>
              <w:t>Status</w:t>
            </w:r>
          </w:p>
        </w:tc>
      </w:tr>
      <w:tr>
        <w:tc>
          <w:tcPr>
            <w:tcW w:type="dxa" w:w="3600"/>
            <w:tcMar>
              <w:top w:w="90" w:type="dxa"/>
              <w:start w:w="100" w:type="dxa"/>
              <w:bottom w:w="90" w:type="dxa"/>
              <w:end w:w="100" w:type="dxa"/>
            </w:tcMar>
            <w:vAlign w:val="center"/>
          </w:tcPr>
          <w:p>
            <w:r>
              <w:t>oscium-capture service</w:t>
            </w:r>
          </w:p>
        </w:tc>
        <w:tc>
          <w:tcPr>
            <w:tcW w:type="dxa" w:w="6768"/>
            <w:tcMar>
              <w:top w:w="90" w:type="dxa"/>
              <w:start w:w="100" w:type="dxa"/>
              <w:bottom w:w="90" w:type="dxa"/>
              <w:end w:w="100" w:type="dxa"/>
            </w:tcMar>
            <w:vAlign w:val="center"/>
          </w:tcPr>
          <w:p>
            <w:r>
              <w:t>Healthy during validation.</w:t>
            </w:r>
          </w:p>
        </w:tc>
      </w:tr>
      <w:tr>
        <w:tc>
          <w:tcPr>
            <w:tcW w:type="dxa" w:w="3600"/>
            <w:tcMar>
              <w:top w:w="90" w:type="dxa"/>
              <w:start w:w="100" w:type="dxa"/>
              <w:bottom w:w="90" w:type="dxa"/>
              <w:end w:w="100" w:type="dxa"/>
            </w:tcMar>
            <w:vAlign w:val="center"/>
          </w:tcPr>
          <w:p>
            <w:r>
              <w:t>TCP 6174</w:t>
            </w:r>
          </w:p>
        </w:tc>
        <w:tc>
          <w:tcPr>
            <w:tcW w:type="dxa" w:w="6768"/>
            <w:tcMar>
              <w:top w:w="90" w:type="dxa"/>
              <w:start w:w="100" w:type="dxa"/>
              <w:bottom w:w="90" w:type="dxa"/>
              <w:end w:w="100" w:type="dxa"/>
            </w:tcMar>
            <w:vAlign w:val="center"/>
          </w:tcPr>
          <w:p>
            <w:r>
              <w:t>Reachable/listening during validation.</w:t>
            </w:r>
          </w:p>
        </w:tc>
      </w:tr>
      <w:tr>
        <w:tc>
          <w:tcPr>
            <w:tcW w:type="dxa" w:w="3600"/>
            <w:tcMar>
              <w:top w:w="90" w:type="dxa"/>
              <w:start w:w="100" w:type="dxa"/>
              <w:bottom w:w="90" w:type="dxa"/>
              <w:end w:w="100" w:type="dxa"/>
            </w:tcMar>
            <w:vAlign w:val="center"/>
          </w:tcPr>
          <w:p>
            <w:r>
              <w:t>ARM64 osciumdump</w:t>
            </w:r>
          </w:p>
        </w:tc>
        <w:tc>
          <w:tcPr>
            <w:tcW w:type="dxa" w:w="6768"/>
            <w:tcMar>
              <w:top w:w="90" w:type="dxa"/>
              <w:start w:w="100" w:type="dxa"/>
              <w:bottom w:w="90" w:type="dxa"/>
              <w:end w:w="100" w:type="dxa"/>
            </w:tcMar>
            <w:vAlign w:val="center"/>
          </w:tcPr>
          <w:p>
            <w:r>
              <w:t>Executable and able to return ExtCap configuration/DLT information.</w:t>
            </w:r>
          </w:p>
        </w:tc>
      </w:tr>
      <w:tr>
        <w:tc>
          <w:tcPr>
            <w:tcW w:type="dxa" w:w="3600"/>
            <w:tcMar>
              <w:top w:w="90" w:type="dxa"/>
              <w:start w:w="100" w:type="dxa"/>
              <w:bottom w:w="90" w:type="dxa"/>
              <w:end w:w="100" w:type="dxa"/>
            </w:tcMar>
            <w:vAlign w:val="center"/>
          </w:tcPr>
          <w:p>
            <w:r>
              <w:t>Wireshark 4.6.6</w:t>
            </w:r>
          </w:p>
        </w:tc>
        <w:tc>
          <w:tcPr>
            <w:tcW w:type="dxa" w:w="6768"/>
            <w:tcMar>
              <w:top w:w="90" w:type="dxa"/>
              <w:start w:w="100" w:type="dxa"/>
              <w:bottom w:w="90" w:type="dxa"/>
              <w:end w:w="100" w:type="dxa"/>
            </w:tcMar>
            <w:vAlign w:val="center"/>
          </w:tcPr>
          <w:p>
            <w:r>
              <w:t>Hangs during ExtCap initialization with the plugin installed.</w:t>
            </w:r>
          </w:p>
        </w:tc>
      </w:tr>
      <w:tr>
        <w:tc>
          <w:tcPr>
            <w:tcW w:type="dxa" w:w="3600"/>
            <w:tcMar>
              <w:top w:w="90" w:type="dxa"/>
              <w:start w:w="100" w:type="dxa"/>
              <w:bottom w:w="90" w:type="dxa"/>
              <w:end w:w="100" w:type="dxa"/>
            </w:tcMar>
            <w:vAlign w:val="center"/>
          </w:tcPr>
          <w:p>
            <w:r>
              <w:t>Vendor engineering</w:t>
            </w:r>
          </w:p>
        </w:tc>
        <w:tc>
          <w:tcPr>
            <w:tcW w:type="dxa" w:w="6768"/>
            <w:tcMar>
              <w:top w:w="90" w:type="dxa"/>
              <w:start w:w="100" w:type="dxa"/>
              <w:bottom w:w="90" w:type="dxa"/>
              <w:end w:w="100" w:type="dxa"/>
            </w:tcMar>
            <w:vAlign w:val="center"/>
          </w:tcPr>
          <w:p>
            <w:r>
              <w:t>Issue reproduced and escalated.</w:t>
            </w:r>
          </w:p>
        </w:tc>
      </w:tr>
    </w:tbl>
    <w:p/>
    <w:p>
      <w:pPr>
        <w:pStyle w:val="Heading1"/>
      </w:pPr>
      <w:r>
        <w:t>2. MetaGeek App</w:t>
      </w:r>
    </w:p>
    <w:p>
      <w:pPr>
        <w:spacing w:after="120"/>
      </w:pPr>
      <w:r>
        <w:t>The MetaGeek App initially showed authentication difficulty, but the same account was confirmed to work from the web portal and the application was subsequently able to open and capture OTA data from the WLAN Pi Go. Application logs showed a proxy-related runtime exception during earlier login attempts; this should be treated as historical diagnostic evidence, not as the current state of the application.</w:t>
      </w:r>
    </w:p>
    <w:p>
      <w:pPr>
        <w:pStyle w:val="Heading1"/>
      </w:pPr>
      <w:r>
        <w:t>3. Current Supported Workaround</w:t>
      </w:r>
    </w:p>
    <w:p>
      <w:pPr>
        <w:pStyle w:val="ListBullet"/>
        <w:spacing w:after="40"/>
      </w:pPr>
      <w:r>
        <w:t>Use the MetaGeek App to establish the WLAN Pi Go capture source.</w:t>
      </w:r>
    </w:p>
    <w:p>
      <w:pPr>
        <w:pStyle w:val="ListBullet"/>
        <w:spacing w:after="40"/>
      </w:pPr>
      <w:r>
        <w:t>Export the resulting PCAPNG capture.</w:t>
      </w:r>
    </w:p>
    <w:p>
      <w:pPr>
        <w:pStyle w:val="ListBullet"/>
        <w:spacing w:after="40"/>
      </w:pPr>
      <w:r>
        <w:t>Validate the PCAPNG in Wireshark as an offline analysis workflow.</w:t>
      </w:r>
    </w:p>
    <w:p>
      <w:pPr>
        <w:pStyle w:val="ListBullet"/>
        <w:spacing w:after="40"/>
      </w:pPr>
      <w:r>
        <w:t>Keep the native live ExtCap option clearly labeled as vendor engineering pending until a compatible build is provided.</w:t>
      </w:r>
    </w:p>
    <w:p>
      <w:pPr>
        <w:pStyle w:val="Heading1"/>
      </w:pPr>
      <w:r>
        <w:t>4. Vendor Communication Checklist</w:t>
      </w:r>
    </w:p>
    <w:p>
      <w:pPr>
        <w:pStyle w:val="ListNumber"/>
        <w:spacing w:after="40"/>
      </w:pPr>
      <w:r>
        <w:t>State the exact software versions.</w:t>
      </w:r>
    </w:p>
    <w:p>
      <w:pPr>
        <w:pStyle w:val="ListNumber"/>
        <w:spacing w:after="40"/>
      </w:pPr>
      <w:r>
        <w:t>State the hardware and OS.</w:t>
      </w:r>
    </w:p>
    <w:p>
      <w:pPr>
        <w:pStyle w:val="ListNumber"/>
        <w:spacing w:after="40"/>
      </w:pPr>
      <w:r>
        <w:t>Provide the reproducible symptom.</w:t>
      </w:r>
    </w:p>
    <w:p>
      <w:pPr>
        <w:pStyle w:val="ListNumber"/>
        <w:spacing w:after="40"/>
      </w:pPr>
      <w:r>
        <w:t>List what has already been validated.</w:t>
      </w:r>
    </w:p>
    <w:p>
      <w:pPr>
        <w:pStyle w:val="ListNumber"/>
        <w:spacing w:after="40"/>
      </w:pPr>
      <w:r>
        <w:t>Provide logs/screenshots only after checking for sensitive information.</w:t>
      </w:r>
    </w:p>
    <w:p>
      <w:pPr>
        <w:pStyle w:val="ListNumber"/>
        <w:spacing w:after="40"/>
      </w:pPr>
      <w:r>
        <w:t>Ask for a specific supported build or engineering guidance.</w:t>
      </w:r>
    </w:p>
    <w:p>
      <w:pPr>
        <w:pStyle w:val="Heading1"/>
      </w:pPr>
      <w:r>
        <w:t>5. Change Log Rule</w:t>
      </w:r>
    </w:p>
    <w:tbl>
      <w:tblPr>
        <w:tblW w:type="auto" w:w="0"/>
        <w:jc w:val="left"/>
        <w:tblLook w:firstColumn="1" w:firstRow="1" w:lastColumn="0" w:lastRow="0" w:noHBand="0" w:noVBand="1" w:val="04A0"/>
      </w:tblPr>
      <w:tblGrid>
        <w:gridCol w:w="9936"/>
      </w:tblGrid>
      <w:tr>
        <w:tc>
          <w:tcPr>
            <w:tcW w:type="dxa" w:w="9936"/>
            <w:shd w:fill="F7FBFF"/>
            <w:tcMar>
              <w:top w:w="120" w:type="dxa"/>
              <w:start w:w="140" w:type="dxa"/>
              <w:bottom w:w="120" w:type="dxa"/>
              <w:end w:w="140" w:type="dxa"/>
            </w:tcMar>
          </w:tcPr>
          <w:p>
            <w:r>
              <w:rPr>
                <w:b/>
                <w:color w:val="2F75B5"/>
              </w:rPr>
              <w:t xml:space="preserve">Project rule: </w:t>
            </w:r>
            <w:r>
              <w:t>Do not remove a documented limitation until the replacement workflow has been independently validated and the vendor status supports the change.</w:t>
            </w:r>
          </w:p>
        </w:tc>
      </w:tr>
    </w:tbl>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WLAN Pi Wireless Engineering Platform  |  Knowledge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