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51B57">
      <w:pPr>
        <w:pBdr>
          <w:bottom w:val="double" w:color="auto" w:sz="4" w:space="0"/>
        </w:pBdr>
        <w:spacing w:before="480" w:after="480" w:line="288" w:lineRule="auto"/>
        <w:jc w:val="center"/>
        <w:rPr>
          <w:rFonts w:hint="default" w:cs="Arial" w:asciiTheme="minorEastAsia" w:hAnsiTheme="minorEastAsia"/>
          <w:b/>
          <w:sz w:val="32"/>
          <w:szCs w:val="32"/>
          <w:lang w:val="en-US" w:eastAsia="zh-CN"/>
        </w:rPr>
      </w:pPr>
      <w:r>
        <w:rPr>
          <w:rFonts w:hint="eastAsia" w:cs="Arial" w:asciiTheme="minorEastAsia" w:hAnsiTheme="minorEastAsia"/>
          <w:b/>
          <w:sz w:val="32"/>
          <w:szCs w:val="32"/>
          <w:lang w:val="en-US" w:eastAsia="zh-CN"/>
        </w:rPr>
        <w:t>2026年同济大学数学建模竞赛赛题</w:t>
      </w:r>
    </w:p>
    <w:p w14:paraId="727AC156">
      <w:pPr>
        <w:spacing w:before="480" w:after="480" w:line="288" w:lineRule="auto"/>
        <w:jc w:val="both"/>
        <w:rPr>
          <w:rFonts w:asciiTheme="minorEastAsia" w:hAnsiTheme="minorEastAsia"/>
          <w:sz w:val="32"/>
          <w:szCs w:val="32"/>
        </w:rPr>
      </w:pPr>
      <w:r>
        <w:rPr>
          <w:rFonts w:hint="eastAsia" w:cs="Arial" w:asciiTheme="minorEastAsia" w:hAnsiTheme="minorEastAsia"/>
          <w:b/>
          <w:sz w:val="32"/>
          <w:szCs w:val="32"/>
          <w:lang w:val="en-US" w:eastAsia="zh-CN"/>
        </w:rPr>
        <w:t xml:space="preserve">A </w:t>
      </w:r>
      <w:r>
        <w:rPr>
          <w:rFonts w:cs="Arial" w:asciiTheme="minorEastAsia" w:hAnsiTheme="minorEastAsia"/>
          <w:b/>
          <w:sz w:val="32"/>
          <w:szCs w:val="32"/>
        </w:rPr>
        <w:t>绿色可回收物回收量动态预测与回收体系稳定性分析</w:t>
      </w:r>
    </w:p>
    <w:p w14:paraId="0FFFD5F6">
      <w:pPr>
        <w:spacing w:before="380" w:after="140" w:line="288" w:lineRule="auto"/>
        <w:jc w:val="left"/>
        <w:outlineLvl w:val="0"/>
        <w:rPr>
          <w:rFonts w:asciiTheme="minorEastAsia" w:hAnsiTheme="minorEastAsia"/>
          <w:sz w:val="24"/>
          <w:szCs w:val="24"/>
        </w:rPr>
      </w:pPr>
      <w:bookmarkStart w:id="0" w:name="heading_0"/>
      <w:r>
        <w:rPr>
          <w:rFonts w:cs="Arial" w:asciiTheme="minorEastAsia" w:hAnsiTheme="minorEastAsia"/>
          <w:b/>
          <w:sz w:val="24"/>
          <w:szCs w:val="24"/>
        </w:rPr>
        <w:t>问题背景</w:t>
      </w:r>
      <w:bookmarkEnd w:id="0"/>
    </w:p>
    <w:p w14:paraId="4DA95303">
      <w:pPr>
        <w:widowControl/>
        <w:spacing w:line="44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t>随着“双碳”战略持续推进，城市可回收物资源化利用成为垃圾分类与生态治理的核心环节，以上海“沪尚回收”体系为代表的城市绿色回收网络，已建成覆盖全域的“点—站—场”三级回收模式，全市布局超1.5万个基础回收服务点、4300余台智能回收箱、800个惠民服务点及配套中转集散设施，实现社区就近回收全覆盖，成为城市资源循环的核心载体。但这套庞大的回收网络在实际运营中，并非始终保持高效稳定，运行效率随时间与运维质量呈现明显动态波动，同时暴露出诸多现实痛点：老年群体操作智能回收设备难度大、适配性不足；智能回收箱满溢后清运不及时，导致居民</w:t>
      </w:r>
      <w:r>
        <w:rPr>
          <w:rFonts w:hint="eastAsia" w:ascii="宋体" w:hAnsi="宋体" w:eastAsia="宋体" w:cs="宋体"/>
          <w:kern w:val="0"/>
          <w:sz w:val="24"/>
          <w:szCs w:val="24"/>
        </w:rPr>
        <w:t>无法</w:t>
      </w:r>
      <w:r>
        <w:rPr>
          <w:rFonts w:ascii="宋体" w:hAnsi="宋体" w:eastAsia="宋体" w:cs="宋体"/>
          <w:kern w:val="0"/>
          <w:sz w:val="24"/>
          <w:szCs w:val="24"/>
        </w:rPr>
        <w:t>投递；居民回收习惯养成周期长，源头分类不精细，低价值可回收物回收意愿偏低，进而导致回收量增长乏力、甚至阶段性回落，严重影响回收体系长效稳定运行。目前该体系多依托静态布局规划与常规运维模式，忽略了回收量随居民参与度、站点运维质量、服务便利性等的动态演化规律，难以预判中长期运行趋势、提前防控体系失衡风险。</w:t>
      </w:r>
    </w:p>
    <w:p w14:paraId="43AA7B8A">
      <w:pPr>
        <w:spacing w:before="120" w:after="120" w:line="440" w:lineRule="exact"/>
        <w:ind w:firstLine="480" w:firstLineChars="200"/>
        <w:jc w:val="left"/>
        <w:rPr>
          <w:rFonts w:cs="Arial" w:asciiTheme="minorEastAsia" w:hAnsiTheme="minorEastAsia"/>
          <w:sz w:val="24"/>
          <w:szCs w:val="24"/>
        </w:rPr>
      </w:pPr>
      <w:r>
        <w:rPr>
          <w:rFonts w:cs="Arial" w:asciiTheme="minorEastAsia" w:hAnsiTheme="minorEastAsia"/>
          <w:sz w:val="24"/>
          <w:szCs w:val="24"/>
        </w:rPr>
        <w:t>为精准预判可回收物回收量的中长期变化趋势、判定回收体系运行稳定性、制定科学的长效运维策略，请建立微分方程动力学模型，量化各类影响因素的作用机制，通过模型求解、稳定性分析与</w:t>
      </w:r>
      <w:r>
        <w:rPr>
          <w:rFonts w:hint="eastAsia" w:cs="Arial" w:asciiTheme="minorEastAsia" w:hAnsiTheme="minorEastAsia"/>
          <w:sz w:val="24"/>
          <w:szCs w:val="24"/>
        </w:rPr>
        <w:t>参数</w:t>
      </w:r>
      <w:r>
        <w:rPr>
          <w:rFonts w:cs="Arial" w:asciiTheme="minorEastAsia" w:hAnsiTheme="minorEastAsia"/>
          <w:sz w:val="24"/>
          <w:szCs w:val="24"/>
        </w:rPr>
        <w:t>灵敏度分析，为城市绿色回收体系优化提供定量决策依据。</w:t>
      </w:r>
    </w:p>
    <w:p w14:paraId="232231FE">
      <w:pPr>
        <w:spacing w:before="120" w:after="120" w:line="440" w:lineRule="exact"/>
        <w:ind w:firstLine="480" w:firstLineChars="200"/>
        <w:jc w:val="left"/>
        <w:rPr>
          <w:rFonts w:cs="Arial" w:asciiTheme="minorEastAsia" w:hAnsiTheme="minorEastAsia"/>
          <w:sz w:val="24"/>
          <w:szCs w:val="24"/>
        </w:rPr>
      </w:pPr>
      <w:r>
        <w:rPr>
          <w:rFonts w:cs="Arial" w:asciiTheme="minorEastAsia" w:hAnsiTheme="minorEastAsia"/>
          <w:sz w:val="24"/>
          <w:szCs w:val="24"/>
        </w:rPr>
        <w:t>具体解决以下几个问题：</w:t>
      </w:r>
    </w:p>
    <w:p w14:paraId="0276C8FA">
      <w:pPr>
        <w:spacing w:before="120" w:after="120" w:line="440" w:lineRule="exact"/>
        <w:jc w:val="left"/>
        <w:rPr>
          <w:rFonts w:cs="Arial" w:asciiTheme="minorEastAsia" w:hAnsiTheme="minorEastAsia"/>
          <w:sz w:val="24"/>
          <w:szCs w:val="24"/>
        </w:rPr>
      </w:pPr>
      <w:r>
        <w:rPr>
          <w:rFonts w:cs="Arial" w:asciiTheme="minorEastAsia" w:hAnsiTheme="minorEastAsia"/>
          <w:sz w:val="24"/>
          <w:szCs w:val="24"/>
        </w:rPr>
        <w:t>1.忽略回收服务受到的</w:t>
      </w:r>
      <w:r>
        <w:rPr>
          <w:rFonts w:hint="eastAsia" w:cs="Arial" w:asciiTheme="minorEastAsia" w:hAnsiTheme="minorEastAsia"/>
          <w:sz w:val="24"/>
          <w:szCs w:val="24"/>
        </w:rPr>
        <w:t>外部</w:t>
      </w:r>
      <w:r>
        <w:rPr>
          <w:rFonts w:cs="Arial" w:asciiTheme="minorEastAsia" w:hAnsiTheme="minorEastAsia"/>
          <w:sz w:val="24"/>
          <w:szCs w:val="24"/>
        </w:rPr>
        <w:t>促进或抑制作用，仅考虑可回收物潜在饱和上限与自然增长效应，建立</w:t>
      </w:r>
      <w:r>
        <w:rPr>
          <w:rFonts w:ascii="Times New Roman" w:hAnsi="Times New Roman" w:cs="Times New Roman"/>
          <w:sz w:val="24"/>
          <w:szCs w:val="24"/>
        </w:rPr>
        <w:t>模型</w:t>
      </w:r>
      <w:r>
        <w:rPr>
          <w:rFonts w:cs="Arial" w:asciiTheme="minorEastAsia" w:hAnsiTheme="minorEastAsia"/>
          <w:sz w:val="24"/>
          <w:szCs w:val="24"/>
        </w:rPr>
        <w:t>，刻画回收量的基本动态变化规律；</w:t>
      </w:r>
      <w:r>
        <w:rPr>
          <w:rFonts w:asciiTheme="minorEastAsia" w:hAnsiTheme="minorEastAsia"/>
          <w:sz w:val="24"/>
          <w:szCs w:val="24"/>
        </w:rPr>
        <w:t xml:space="preserve"> </w:t>
      </w:r>
    </w:p>
    <w:p w14:paraId="0D195D59">
      <w:pPr>
        <w:spacing w:before="120" w:after="120" w:line="440" w:lineRule="exact"/>
        <w:jc w:val="left"/>
        <w:rPr>
          <w:rFonts w:cs="Arial" w:asciiTheme="minorEastAsia" w:hAnsiTheme="minorEastAsia"/>
          <w:sz w:val="24"/>
          <w:szCs w:val="24"/>
        </w:rPr>
      </w:pPr>
      <w:r>
        <w:rPr>
          <w:rFonts w:hint="eastAsia" w:cs="Arial" w:asciiTheme="minorEastAsia" w:hAnsiTheme="minorEastAsia"/>
          <w:sz w:val="24"/>
          <w:szCs w:val="24"/>
        </w:rPr>
        <w:t>2</w:t>
      </w:r>
      <w:r>
        <w:rPr>
          <w:rFonts w:cs="Arial" w:asciiTheme="minorEastAsia" w:hAnsiTheme="minorEastAsia"/>
          <w:sz w:val="24"/>
          <w:szCs w:val="24"/>
        </w:rPr>
        <w:t>.实际场景中，回收量</w:t>
      </w:r>
      <w:r>
        <w:rPr>
          <w:rFonts w:hint="eastAsia" w:cs="Arial" w:asciiTheme="minorEastAsia" w:hAnsiTheme="minorEastAsia"/>
          <w:sz w:val="24"/>
          <w:szCs w:val="24"/>
        </w:rPr>
        <w:t>会受到</w:t>
      </w:r>
      <w:r>
        <w:rPr>
          <w:rFonts w:cs="Arial" w:asciiTheme="minorEastAsia" w:hAnsiTheme="minorEastAsia"/>
          <w:sz w:val="24"/>
          <w:szCs w:val="24"/>
        </w:rPr>
        <w:t>外部作用的影响，如受站点覆盖率变大、宣传引导力度加大等的正向促进与激励机制弱化、服务滞后等的负向抑制双重作用。请引入促进系数</w:t>
      </w:r>
      <m:oMath>
        <m:r>
          <m:rPr>
            <m:sty m:val="p"/>
          </m:rPr>
          <w:rPr>
            <w:rFonts w:ascii="Cambria Math" w:hAnsi="Cambria Math" w:eastAsia="宋体" w:cs="宋体"/>
            <w:kern w:val="0"/>
            <w:sz w:val="24"/>
            <w:szCs w:val="24"/>
          </w:rPr>
          <m:t>α</m:t>
        </m:r>
      </m:oMath>
      <w:r>
        <w:rPr>
          <w:rFonts w:cs="Arial" w:asciiTheme="minorEastAsia" w:hAnsiTheme="minorEastAsia"/>
          <w:sz w:val="24"/>
          <w:szCs w:val="24"/>
        </w:rPr>
        <w:t>以及抑制系数</w:t>
      </w:r>
      <m:oMath>
        <m:r>
          <m:rPr>
            <m:sty m:val="p"/>
          </m:rPr>
          <w:rPr>
            <w:rFonts w:ascii="Cambria Math" w:hAnsi="Cambria Math" w:eastAsia="宋体" w:cs="宋体"/>
            <w:kern w:val="0"/>
            <w:sz w:val="24"/>
            <w:szCs w:val="24"/>
          </w:rPr>
          <m:t>β对</m:t>
        </m:r>
      </m:oMath>
      <w:r>
        <w:rPr>
          <w:rFonts w:cs="Arial" w:asciiTheme="minorEastAsia" w:hAnsiTheme="minorEastAsia"/>
          <w:sz w:val="24"/>
          <w:szCs w:val="24"/>
        </w:rPr>
        <w:t>问题</w:t>
      </w:r>
      <w:r>
        <w:rPr>
          <w:rFonts w:hint="eastAsia" w:cs="Arial" w:asciiTheme="minorEastAsia" w:hAnsiTheme="minorEastAsia"/>
          <w:sz w:val="24"/>
          <w:szCs w:val="24"/>
        </w:rPr>
        <w:t>1中建立的</w:t>
      </w:r>
      <w:r>
        <w:rPr>
          <w:rFonts w:cs="Arial" w:asciiTheme="minorEastAsia" w:hAnsiTheme="minorEastAsia"/>
          <w:sz w:val="24"/>
          <w:szCs w:val="24"/>
        </w:rPr>
        <w:t>模型进行改进，并根据表</w:t>
      </w:r>
      <w:r>
        <w:rPr>
          <w:rFonts w:hint="eastAsia" w:cs="Arial" w:asciiTheme="minorEastAsia" w:hAnsiTheme="minorEastAsia"/>
          <w:sz w:val="24"/>
          <w:szCs w:val="24"/>
        </w:rPr>
        <w:t>（b）中的实测数据进行拟合确定两个系数，</w:t>
      </w:r>
      <w:r>
        <w:rPr>
          <w:rFonts w:cs="Arial" w:asciiTheme="minorEastAsia" w:hAnsiTheme="minorEastAsia"/>
          <w:sz w:val="24"/>
          <w:szCs w:val="24"/>
        </w:rPr>
        <w:t>还原真实动态演化机制；</w:t>
      </w:r>
    </w:p>
    <w:p w14:paraId="05F21A00">
      <w:pPr>
        <w:widowControl/>
        <w:spacing w:line="440" w:lineRule="exact"/>
        <w:jc w:val="left"/>
        <w:rPr>
          <w:rFonts w:hint="eastAsia" w:cs="Arial" w:asciiTheme="minorEastAsia" w:hAnsiTheme="minorEastAsia"/>
          <w:sz w:val="24"/>
          <w:szCs w:val="24"/>
        </w:rPr>
      </w:pPr>
      <w:r>
        <w:rPr>
          <w:rFonts w:hint="eastAsia" w:cs="Arial" w:asciiTheme="minorEastAsia" w:hAnsiTheme="minorEastAsia"/>
          <w:sz w:val="24"/>
          <w:szCs w:val="24"/>
        </w:rPr>
        <w:t>3</w:t>
      </w:r>
      <w:r>
        <w:rPr>
          <w:rFonts w:cs="Arial" w:asciiTheme="minorEastAsia" w:hAnsiTheme="minorEastAsia"/>
          <w:sz w:val="24"/>
          <w:szCs w:val="24"/>
        </w:rPr>
        <w:t>.</w:t>
      </w:r>
      <w:r>
        <w:rPr>
          <w:rFonts w:ascii="宋体" w:hAnsi="宋体" w:eastAsia="宋体" w:cs="宋体"/>
          <w:kern w:val="0"/>
          <w:sz w:val="24"/>
          <w:szCs w:val="24"/>
        </w:rPr>
        <w:t>“沪尚回收”体系最大的运营风险痛点，就是回收量断崖下跌、体系失衡、站点运维失效导致的回收网络瘫痪</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在数学上讨论上述模型的</w:t>
      </w:r>
      <w:r>
        <w:rPr>
          <w:rFonts w:hint="eastAsia" w:ascii="宋体" w:hAnsi="宋体" w:eastAsia="宋体" w:cs="宋体"/>
          <w:kern w:val="0"/>
          <w:sz w:val="24"/>
          <w:szCs w:val="24"/>
        </w:rPr>
        <w:t>平衡点</w:t>
      </w:r>
      <w:r>
        <w:rPr>
          <w:rFonts w:hint="eastAsia" w:ascii="宋体" w:hAnsi="宋体" w:eastAsia="宋体" w:cs="宋体"/>
          <w:kern w:val="0"/>
          <w:sz w:val="24"/>
          <w:szCs w:val="24"/>
          <w:lang w:eastAsia="zh-CN"/>
        </w:rPr>
        <w:t>，</w:t>
      </w:r>
      <w:r>
        <w:rPr>
          <w:rFonts w:cs="Arial" w:asciiTheme="minorEastAsia" w:hAnsiTheme="minorEastAsia"/>
          <w:sz w:val="24"/>
          <w:szCs w:val="24"/>
        </w:rPr>
        <w:t>对</w:t>
      </w:r>
      <w:r>
        <w:rPr>
          <w:rFonts w:hint="eastAsia" w:cs="Arial" w:asciiTheme="minorEastAsia" w:hAnsiTheme="minorEastAsia"/>
          <w:sz w:val="24"/>
          <w:szCs w:val="24"/>
          <w:lang w:val="en-US" w:eastAsia="zh-CN"/>
        </w:rPr>
        <w:t>其改进</w:t>
      </w:r>
      <w:r>
        <w:rPr>
          <w:rFonts w:hint="eastAsia" w:cs="Arial" w:asciiTheme="minorEastAsia" w:hAnsiTheme="minorEastAsia"/>
          <w:sz w:val="24"/>
          <w:szCs w:val="24"/>
        </w:rPr>
        <w:t>，</w:t>
      </w:r>
      <w:r>
        <w:rPr>
          <w:rFonts w:hint="eastAsia" w:cs="Arial" w:asciiTheme="minorEastAsia" w:hAnsiTheme="minorEastAsia"/>
          <w:sz w:val="24"/>
          <w:szCs w:val="24"/>
          <w:lang w:val="en-US" w:eastAsia="zh-CN"/>
        </w:rPr>
        <w:t>重新</w:t>
      </w:r>
      <w:r>
        <w:rPr>
          <w:rFonts w:hint="eastAsia" w:cs="Arial" w:asciiTheme="minorEastAsia" w:hAnsiTheme="minorEastAsia"/>
          <w:sz w:val="24"/>
          <w:szCs w:val="24"/>
        </w:rPr>
        <w:t>进行</w:t>
      </w:r>
      <w:r>
        <w:rPr>
          <w:rFonts w:cs="Arial" w:asciiTheme="minorEastAsia" w:hAnsiTheme="minorEastAsia"/>
          <w:sz w:val="24"/>
          <w:szCs w:val="24"/>
        </w:rPr>
        <w:t>稳定性分析</w:t>
      </w:r>
      <w:r>
        <w:rPr>
          <w:rFonts w:hint="eastAsia" w:cs="Arial" w:asciiTheme="minorEastAsia" w:hAnsiTheme="minorEastAsia"/>
          <w:sz w:val="24"/>
          <w:szCs w:val="24"/>
          <w:lang w:eastAsia="zh-CN"/>
        </w:rPr>
        <w:t>。</w:t>
      </w:r>
      <w:r>
        <w:rPr>
          <w:rFonts w:cs="Arial" w:asciiTheme="minorEastAsia" w:hAnsiTheme="minorEastAsia"/>
          <w:kern w:val="0"/>
          <w:sz w:val="24"/>
          <w:szCs w:val="24"/>
        </w:rPr>
        <w:t>给出</w:t>
      </w:r>
      <w:r>
        <w:rPr>
          <w:rFonts w:ascii="宋体" w:hAnsi="宋体" w:eastAsia="宋体" w:cs="宋体"/>
          <w:kern w:val="0"/>
          <w:sz w:val="24"/>
          <w:szCs w:val="24"/>
        </w:rPr>
        <w:t>促进系数</w:t>
      </w:r>
      <m:oMath>
        <m:r>
          <m:rPr>
            <m:sty m:val="p"/>
          </m:rPr>
          <w:rPr>
            <w:rFonts w:ascii="Cambria Math" w:hAnsi="Cambria Math" w:eastAsia="宋体" w:cs="宋体"/>
            <w:kern w:val="0"/>
            <w:sz w:val="24"/>
            <w:szCs w:val="24"/>
          </w:rPr>
          <m:t>α</m:t>
        </m:r>
      </m:oMath>
      <w:r>
        <w:rPr>
          <w:rFonts w:ascii="宋体" w:hAnsi="宋体" w:eastAsia="宋体" w:cs="宋体"/>
          <w:kern w:val="0"/>
          <w:sz w:val="24"/>
          <w:szCs w:val="24"/>
        </w:rPr>
        <w:t>和抑制系数</w:t>
      </w:r>
      <m:oMath>
        <m:r>
          <m:rPr>
            <m:sty m:val="p"/>
          </m:rPr>
          <w:rPr>
            <w:rFonts w:ascii="Cambria Math" w:hAnsi="Cambria Math" w:eastAsia="宋体" w:cs="宋体"/>
            <w:kern w:val="0"/>
            <w:sz w:val="24"/>
            <w:szCs w:val="24"/>
          </w:rPr>
          <m:t>β</m:t>
        </m:r>
      </m:oMath>
      <w:r>
        <w:rPr>
          <w:rFonts w:ascii="宋体" w:hAnsi="宋体" w:eastAsia="宋体" w:cs="宋体"/>
          <w:kern w:val="0"/>
          <w:sz w:val="24"/>
          <w:szCs w:val="24"/>
        </w:rPr>
        <w:t>的合理取值区间，以便划定</w:t>
      </w:r>
      <w:r>
        <w:rPr>
          <w:rFonts w:hint="eastAsia" w:ascii="宋体" w:hAnsi="宋体" w:eastAsia="宋体" w:cs="宋体"/>
          <w:kern w:val="0"/>
          <w:sz w:val="24"/>
          <w:szCs w:val="24"/>
        </w:rPr>
        <w:t>平衡点</w:t>
      </w:r>
      <w:r>
        <w:rPr>
          <w:rFonts w:ascii="宋体" w:hAnsi="宋体" w:eastAsia="宋体" w:cs="宋体"/>
          <w:kern w:val="0"/>
          <w:sz w:val="24"/>
          <w:szCs w:val="24"/>
        </w:rPr>
        <w:t>稳定的安全边界，提前预警参数超标引发的回收体系失衡风险；</w:t>
      </w:r>
    </w:p>
    <w:p w14:paraId="0F8E1274">
      <w:pPr>
        <w:widowControl/>
        <w:spacing w:line="440" w:lineRule="exact"/>
        <w:jc w:val="left"/>
        <w:rPr>
          <w:rFonts w:cs="Arial" w:asciiTheme="minorEastAsia" w:hAnsiTheme="minorEastAsia"/>
          <w:sz w:val="24"/>
          <w:szCs w:val="24"/>
        </w:rPr>
      </w:pPr>
      <w:r>
        <w:rPr>
          <w:rFonts w:cs="Arial" w:asciiTheme="minorEastAsia" w:hAnsiTheme="minorEastAsia"/>
          <w:sz w:val="24"/>
          <w:szCs w:val="24"/>
        </w:rPr>
        <w:t>4.</w:t>
      </w:r>
      <w:r>
        <w:rPr>
          <w:rFonts w:hint="eastAsia" w:ascii="宋体" w:hAnsi="宋体" w:eastAsia="宋体" w:cs="宋体"/>
          <w:kern w:val="0"/>
          <w:sz w:val="24"/>
          <w:szCs w:val="24"/>
        </w:rPr>
        <w:t>请利用表（c）给出的数据，</w:t>
      </w:r>
      <w:r>
        <w:rPr>
          <w:rFonts w:ascii="宋体" w:hAnsi="宋体" w:eastAsia="宋体" w:cs="宋体"/>
          <w:kern w:val="0"/>
          <w:sz w:val="24"/>
          <w:szCs w:val="24"/>
        </w:rPr>
        <w:t>对</w:t>
      </w:r>
      <w:r>
        <w:rPr>
          <w:rFonts w:hint="eastAsia" w:ascii="宋体" w:hAnsi="宋体" w:eastAsia="宋体" w:cs="宋体"/>
          <w:kern w:val="0"/>
          <w:sz w:val="24"/>
          <w:szCs w:val="24"/>
          <w:lang w:val="en-US" w:eastAsia="zh-CN"/>
        </w:rPr>
        <w:t>其中各</w:t>
      </w:r>
      <w:r>
        <w:rPr>
          <w:rFonts w:ascii="宋体" w:hAnsi="宋体" w:eastAsia="宋体" w:cs="宋体"/>
          <w:kern w:val="0"/>
          <w:sz w:val="24"/>
          <w:szCs w:val="24"/>
        </w:rPr>
        <w:t>参数</w:t>
      </w:r>
      <w:r>
        <w:rPr>
          <w:rFonts w:hint="eastAsia" w:ascii="宋体" w:hAnsi="宋体" w:eastAsia="宋体" w:cs="宋体"/>
          <w:kern w:val="0"/>
          <w:sz w:val="24"/>
          <w:szCs w:val="24"/>
          <w:lang w:val="en-US" w:eastAsia="zh-CN"/>
        </w:rPr>
        <w:t>进行灵敏度分析，确定其</w:t>
      </w:r>
      <w:r>
        <w:rPr>
          <w:rFonts w:ascii="宋体" w:hAnsi="宋体" w:eastAsia="宋体" w:cs="宋体"/>
          <w:kern w:val="0"/>
          <w:sz w:val="24"/>
          <w:szCs w:val="24"/>
        </w:rPr>
        <w:t>敏感等级，用于</w:t>
      </w:r>
      <w:r>
        <w:rPr>
          <w:rFonts w:cs="Arial" w:asciiTheme="minorEastAsia" w:hAnsiTheme="minorEastAsia"/>
          <w:sz w:val="24"/>
          <w:szCs w:val="24"/>
        </w:rPr>
        <w:t>量化各参数波动对平衡点及稳定性的影响程度</w:t>
      </w:r>
      <w:r>
        <w:rPr>
          <w:rFonts w:hint="eastAsia" w:cs="Arial" w:asciiTheme="minorEastAsia" w:hAnsiTheme="minorEastAsia"/>
          <w:sz w:val="24"/>
          <w:szCs w:val="24"/>
        </w:rPr>
        <w:t>。最后</w:t>
      </w:r>
      <w:r>
        <w:rPr>
          <w:rFonts w:cs="Arial" w:asciiTheme="minorEastAsia" w:hAnsiTheme="minorEastAsia"/>
          <w:sz w:val="24"/>
          <w:szCs w:val="24"/>
        </w:rPr>
        <w:t>结合问题</w:t>
      </w:r>
      <w:r>
        <w:rPr>
          <w:rFonts w:hint="eastAsia" w:cs="Arial" w:asciiTheme="minorEastAsia" w:hAnsiTheme="minorEastAsia"/>
          <w:sz w:val="24"/>
          <w:szCs w:val="24"/>
        </w:rPr>
        <w:t>3的</w:t>
      </w:r>
      <w:r>
        <w:rPr>
          <w:rFonts w:cs="Arial" w:asciiTheme="minorEastAsia" w:hAnsiTheme="minorEastAsia"/>
          <w:sz w:val="24"/>
          <w:szCs w:val="24"/>
        </w:rPr>
        <w:t>稳定性结论与灵敏度结果，说明如何通过调控关键参数实现回收体系长效稳定运行。</w:t>
      </w:r>
    </w:p>
    <w:p w14:paraId="178C3E6B">
      <w:pPr>
        <w:widowControl/>
        <w:spacing w:line="440" w:lineRule="exact"/>
        <w:jc w:val="left"/>
        <w:rPr>
          <w:rFonts w:hint="eastAsia" w:asciiTheme="minorEastAsia" w:hAnsiTheme="minorEastAsia"/>
          <w:sz w:val="24"/>
          <w:szCs w:val="24"/>
        </w:rPr>
      </w:pPr>
    </w:p>
    <w:p w14:paraId="42E6581D">
      <w:pPr>
        <w:widowControl/>
        <w:jc w:val="left"/>
        <w:rPr>
          <w:rFonts w:ascii="宋体" w:hAnsi="宋体" w:eastAsia="宋体" w:cs="宋体"/>
          <w:b/>
          <w:kern w:val="0"/>
          <w:sz w:val="24"/>
          <w:szCs w:val="24"/>
        </w:rPr>
      </w:pPr>
      <w:r>
        <w:rPr>
          <w:rFonts w:hint="eastAsia" w:ascii="宋体" w:hAnsi="宋体" w:eastAsia="宋体" w:cs="宋体"/>
          <w:b/>
          <w:kern w:val="0"/>
          <w:sz w:val="24"/>
          <w:szCs w:val="24"/>
        </w:rPr>
        <w:t>基本</w:t>
      </w:r>
      <w:r>
        <w:rPr>
          <w:rFonts w:ascii="宋体" w:hAnsi="宋体" w:eastAsia="宋体" w:cs="宋体"/>
          <w:b/>
          <w:kern w:val="0"/>
          <w:sz w:val="24"/>
          <w:szCs w:val="24"/>
        </w:rPr>
        <w:t>数据：</w:t>
      </w:r>
    </w:p>
    <w:p w14:paraId="7683B9A1">
      <w:pPr>
        <w:widowControl/>
        <w:jc w:val="left"/>
        <w:rPr>
          <w:rFonts w:ascii="宋体" w:hAnsi="宋体" w:eastAsia="宋体" w:cs="宋体"/>
          <w:kern w:val="0"/>
          <w:sz w:val="24"/>
          <w:szCs w:val="24"/>
        </w:rPr>
      </w:pPr>
    </w:p>
    <w:p w14:paraId="5EC9925E">
      <w:pPr>
        <w:widowControl/>
        <w:jc w:val="left"/>
        <w:rPr>
          <w:rFonts w:ascii="宋体" w:hAnsi="宋体" w:eastAsia="宋体" w:cs="宋体"/>
          <w:kern w:val="0"/>
          <w:sz w:val="24"/>
          <w:szCs w:val="24"/>
        </w:rPr>
      </w:pPr>
      <w:r>
        <w:rPr>
          <w:rFonts w:ascii="宋体" w:hAnsi="宋体" w:eastAsia="宋体" w:cs="宋体"/>
          <w:kern w:val="0"/>
          <w:sz w:val="24"/>
          <w:szCs w:val="24"/>
        </w:rPr>
        <w:t>以下为 “沪尚回收”体系优化后整个上海市</w:t>
      </w:r>
      <w:r>
        <w:rPr>
          <w:rFonts w:hint="eastAsia" w:ascii="宋体" w:hAnsi="宋体" w:eastAsia="宋体" w:cs="宋体"/>
          <w:kern w:val="0"/>
          <w:sz w:val="24"/>
          <w:szCs w:val="24"/>
        </w:rPr>
        <w:t>2</w:t>
      </w:r>
      <w:r>
        <w:rPr>
          <w:rFonts w:ascii="宋体" w:hAnsi="宋体" w:eastAsia="宋体" w:cs="宋体"/>
          <w:kern w:val="0"/>
          <w:sz w:val="24"/>
          <w:szCs w:val="24"/>
        </w:rPr>
        <w:t>025年的基本数据</w:t>
      </w:r>
      <w:r>
        <w:rPr>
          <w:rFonts w:hint="eastAsia" w:ascii="宋体" w:hAnsi="宋体" w:eastAsia="宋体" w:cs="宋体"/>
          <w:kern w:val="0"/>
          <w:sz w:val="24"/>
          <w:szCs w:val="24"/>
        </w:rPr>
        <w:t>：</w:t>
      </w:r>
    </w:p>
    <w:p w14:paraId="52EF8241">
      <w:pPr>
        <w:widowControl/>
        <w:jc w:val="left"/>
        <w:rPr>
          <w:rFonts w:hint="eastAsia" w:ascii="宋体" w:hAnsi="宋体" w:eastAsia="宋体" w:cs="宋体"/>
          <w:kern w:val="0"/>
          <w:sz w:val="24"/>
          <w:szCs w:val="24"/>
        </w:rPr>
      </w:pPr>
    </w:p>
    <w:p w14:paraId="7F944CA3">
      <w:pPr>
        <w:widowControl/>
        <w:jc w:val="left"/>
        <w:rPr>
          <w:rFonts w:ascii="宋体" w:hAnsi="宋体" w:eastAsia="宋体" w:cs="宋体"/>
          <w:kern w:val="0"/>
          <w:sz w:val="24"/>
          <w:szCs w:val="24"/>
        </w:rPr>
      </w:pPr>
      <w:r>
        <w:rPr>
          <w:rFonts w:hint="eastAsia" w:ascii="宋体" w:hAnsi="宋体" w:eastAsia="宋体" w:cs="宋体"/>
          <w:kern w:val="0"/>
          <w:sz w:val="24"/>
          <w:szCs w:val="24"/>
        </w:rPr>
        <w:t>（</w:t>
      </w:r>
      <w:r>
        <w:rPr>
          <w:rFonts w:ascii="宋体" w:hAnsi="宋体" w:eastAsia="宋体" w:cs="宋体"/>
          <w:kern w:val="0"/>
          <w:sz w:val="24"/>
          <w:szCs w:val="24"/>
        </w:rPr>
        <w:t>a</w:t>
      </w:r>
      <w:r>
        <w:rPr>
          <w:rFonts w:hint="eastAsia" w:ascii="宋体" w:hAnsi="宋体" w:eastAsia="宋体" w:cs="宋体"/>
          <w:kern w:val="0"/>
          <w:sz w:val="24"/>
          <w:szCs w:val="24"/>
        </w:rPr>
        <w:t>）</w:t>
      </w:r>
      <w:r>
        <w:rPr>
          <w:rFonts w:ascii="宋体" w:hAnsi="宋体" w:eastAsia="宋体" w:cs="宋体"/>
          <w:kern w:val="0"/>
          <w:sz w:val="24"/>
          <w:szCs w:val="24"/>
        </w:rPr>
        <w:t>基础固定参数：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600"/>
        <w:gridCol w:w="1600"/>
        <w:gridCol w:w="2074"/>
      </w:tblGrid>
      <w:tr w14:paraId="769B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C6BD9D4">
            <w:pPr>
              <w:widowControl/>
              <w:jc w:val="left"/>
              <w:rPr>
                <w:rFonts w:ascii="宋体" w:hAnsi="宋体" w:eastAsia="宋体" w:cs="宋体"/>
                <w:kern w:val="0"/>
                <w:sz w:val="24"/>
                <w:szCs w:val="24"/>
              </w:rPr>
            </w:pPr>
            <w:r>
              <w:rPr>
                <w:rFonts w:ascii="宋体" w:hAnsi="宋体" w:eastAsia="宋体" w:cs="宋体"/>
                <w:kern w:val="0"/>
                <w:sz w:val="24"/>
                <w:szCs w:val="24"/>
              </w:rPr>
              <w:t>参数名称</w:t>
            </w:r>
          </w:p>
        </w:tc>
        <w:tc>
          <w:tcPr>
            <w:tcW w:w="1600" w:type="dxa"/>
          </w:tcPr>
          <w:p w14:paraId="2E30E33F">
            <w:pPr>
              <w:widowControl/>
              <w:jc w:val="left"/>
              <w:rPr>
                <w:rFonts w:ascii="宋体" w:hAnsi="宋体" w:eastAsia="宋体" w:cs="宋体"/>
                <w:kern w:val="0"/>
                <w:sz w:val="24"/>
                <w:szCs w:val="24"/>
              </w:rPr>
            </w:pPr>
            <w:r>
              <w:rPr>
                <w:rFonts w:ascii="宋体" w:hAnsi="宋体" w:eastAsia="宋体" w:cs="宋体"/>
                <w:kern w:val="0"/>
                <w:sz w:val="24"/>
                <w:szCs w:val="24"/>
              </w:rPr>
              <w:t>符号</w:t>
            </w:r>
          </w:p>
        </w:tc>
        <w:tc>
          <w:tcPr>
            <w:tcW w:w="1600" w:type="dxa"/>
          </w:tcPr>
          <w:p w14:paraId="5555F508">
            <w:pPr>
              <w:widowControl/>
              <w:jc w:val="left"/>
              <w:rPr>
                <w:rFonts w:ascii="宋体" w:hAnsi="宋体" w:eastAsia="宋体" w:cs="宋体"/>
                <w:kern w:val="0"/>
                <w:sz w:val="24"/>
                <w:szCs w:val="24"/>
              </w:rPr>
            </w:pPr>
            <w:r>
              <w:rPr>
                <w:rFonts w:ascii="宋体" w:hAnsi="宋体" w:eastAsia="宋体" w:cs="宋体"/>
                <w:kern w:val="0"/>
                <w:sz w:val="24"/>
                <w:szCs w:val="24"/>
              </w:rPr>
              <w:t>数值</w:t>
            </w:r>
          </w:p>
        </w:tc>
        <w:tc>
          <w:tcPr>
            <w:tcW w:w="2074" w:type="dxa"/>
          </w:tcPr>
          <w:p w14:paraId="510D0340">
            <w:pPr>
              <w:widowControl/>
              <w:jc w:val="left"/>
              <w:rPr>
                <w:rFonts w:ascii="宋体" w:hAnsi="宋体" w:eastAsia="宋体" w:cs="宋体"/>
                <w:kern w:val="0"/>
                <w:sz w:val="24"/>
                <w:szCs w:val="24"/>
              </w:rPr>
            </w:pPr>
            <w:r>
              <w:rPr>
                <w:rFonts w:ascii="宋体" w:hAnsi="宋体" w:eastAsia="宋体" w:cs="宋体"/>
                <w:kern w:val="0"/>
                <w:sz w:val="24"/>
                <w:szCs w:val="24"/>
              </w:rPr>
              <w:t>单位</w:t>
            </w:r>
          </w:p>
        </w:tc>
      </w:tr>
      <w:tr w14:paraId="3F97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2BE9C64">
            <w:pPr>
              <w:widowControl/>
              <w:jc w:val="left"/>
              <w:rPr>
                <w:rFonts w:ascii="宋体" w:hAnsi="宋体" w:eastAsia="宋体" w:cs="宋体"/>
                <w:kern w:val="0"/>
                <w:sz w:val="24"/>
                <w:szCs w:val="24"/>
              </w:rPr>
            </w:pPr>
            <w:r>
              <w:rPr>
                <w:rFonts w:ascii="宋体" w:hAnsi="宋体" w:eastAsia="宋体" w:cs="宋体"/>
                <w:kern w:val="0"/>
                <w:sz w:val="24"/>
                <w:szCs w:val="24"/>
              </w:rPr>
              <w:t>初始回收总量</w:t>
            </w:r>
            <w:r>
              <w:rPr>
                <w:rFonts w:ascii="宋体" w:hAnsi="宋体" w:eastAsia="宋体" w:cs="宋体"/>
                <w:kern w:val="0"/>
                <w:sz w:val="24"/>
                <w:szCs w:val="24"/>
              </w:rPr>
              <w:tab/>
            </w:r>
          </w:p>
        </w:tc>
        <w:tc>
          <w:tcPr>
            <w:tcW w:w="1600" w:type="dxa"/>
          </w:tcPr>
          <w:p w14:paraId="23F23EA0">
            <w:pPr>
              <w:widowControl/>
              <w:jc w:val="left"/>
              <w:rPr>
                <w:rFonts w:hint="eastAsia" w:ascii="宋体" w:hAnsi="宋体" w:eastAsia="宋体" w:cs="宋体"/>
                <w:kern w:val="0"/>
                <w:sz w:val="24"/>
                <w:szCs w:val="24"/>
              </w:rPr>
            </w:pPr>
            <m:oMathPara>
              <m:oMath>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x</m:t>
                    </m:r>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0</m:t>
                    </m:r>
                    <m:ctrlPr>
                      <w:rPr>
                        <w:rFonts w:ascii="Cambria Math" w:hAnsi="Cambria Math" w:eastAsia="宋体" w:cs="宋体"/>
                        <w:kern w:val="0"/>
                        <w:sz w:val="24"/>
                        <w:szCs w:val="24"/>
                      </w:rPr>
                    </m:ctrlPr>
                  </m:sub>
                </m:sSub>
              </m:oMath>
            </m:oMathPara>
          </w:p>
        </w:tc>
        <w:tc>
          <w:tcPr>
            <w:tcW w:w="1600" w:type="dxa"/>
          </w:tcPr>
          <w:p w14:paraId="29EA6756">
            <w:pPr>
              <w:widowControl/>
              <w:jc w:val="left"/>
              <w:rPr>
                <w:rFonts w:ascii="宋体" w:hAnsi="宋体" w:eastAsia="宋体" w:cs="宋体"/>
                <w:kern w:val="0"/>
                <w:sz w:val="24"/>
                <w:szCs w:val="24"/>
              </w:rPr>
            </w:pPr>
            <w:r>
              <w:rPr>
                <w:rFonts w:ascii="宋体" w:hAnsi="宋体" w:eastAsia="宋体" w:cs="宋体"/>
                <w:kern w:val="0"/>
                <w:sz w:val="24"/>
                <w:szCs w:val="24"/>
              </w:rPr>
              <w:t>6314</w:t>
            </w:r>
          </w:p>
        </w:tc>
        <w:tc>
          <w:tcPr>
            <w:tcW w:w="2074" w:type="dxa"/>
          </w:tcPr>
          <w:p w14:paraId="5385E0FD">
            <w:pPr>
              <w:widowControl/>
              <w:jc w:val="left"/>
              <w:rPr>
                <w:rFonts w:ascii="宋体" w:hAnsi="宋体" w:eastAsia="宋体" w:cs="宋体"/>
                <w:kern w:val="0"/>
                <w:sz w:val="24"/>
                <w:szCs w:val="24"/>
              </w:rPr>
            </w:pPr>
            <w:r>
              <w:rPr>
                <w:rFonts w:ascii="宋体" w:hAnsi="宋体" w:eastAsia="宋体" w:cs="宋体"/>
                <w:kern w:val="0"/>
                <w:sz w:val="24"/>
                <w:szCs w:val="24"/>
              </w:rPr>
              <w:t>吨/天</w:t>
            </w:r>
          </w:p>
        </w:tc>
      </w:tr>
      <w:tr w14:paraId="3982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557681D">
            <w:pPr>
              <w:widowControl/>
              <w:jc w:val="left"/>
              <w:rPr>
                <w:rFonts w:ascii="宋体" w:hAnsi="宋体" w:eastAsia="宋体" w:cs="宋体"/>
                <w:kern w:val="0"/>
                <w:sz w:val="24"/>
                <w:szCs w:val="24"/>
              </w:rPr>
            </w:pPr>
            <w:r>
              <w:rPr>
                <w:rFonts w:ascii="宋体" w:hAnsi="宋体" w:eastAsia="宋体" w:cs="宋体"/>
                <w:kern w:val="0"/>
                <w:sz w:val="24"/>
                <w:szCs w:val="24"/>
              </w:rPr>
              <w:t>饱和总量</w:t>
            </w:r>
          </w:p>
        </w:tc>
        <w:tc>
          <w:tcPr>
            <w:tcW w:w="1600" w:type="dxa"/>
          </w:tcPr>
          <w:p w14:paraId="7C24ECF8">
            <w:pPr>
              <w:widowControl/>
              <w:jc w:val="left"/>
              <w:rPr>
                <w:rFonts w:hint="eastAsia" w:ascii="宋体" w:hAnsi="宋体" w:eastAsia="宋体" w:cs="宋体"/>
                <w:kern w:val="0"/>
                <w:sz w:val="24"/>
                <w:szCs w:val="24"/>
              </w:rPr>
            </w:pPr>
            <m:oMathPara>
              <m:oMath>
                <m:r>
                  <m:rPr>
                    <m:sty m:val="p"/>
                  </m:rPr>
                  <w:rPr>
                    <w:rFonts w:ascii="Cambria Math" w:hAnsi="Cambria Math" w:eastAsia="宋体" w:cs="宋体"/>
                    <w:kern w:val="0"/>
                    <w:sz w:val="24"/>
                    <w:szCs w:val="24"/>
                  </w:rPr>
                  <m:t>K</m:t>
                </m:r>
              </m:oMath>
            </m:oMathPara>
          </w:p>
        </w:tc>
        <w:tc>
          <w:tcPr>
            <w:tcW w:w="1600" w:type="dxa"/>
          </w:tcPr>
          <w:p w14:paraId="3574551A">
            <w:pPr>
              <w:widowControl/>
              <w:jc w:val="left"/>
              <w:rPr>
                <w:rFonts w:ascii="宋体" w:hAnsi="宋体" w:eastAsia="宋体" w:cs="宋体"/>
                <w:kern w:val="0"/>
                <w:sz w:val="24"/>
                <w:szCs w:val="24"/>
              </w:rPr>
            </w:pPr>
            <w:r>
              <w:rPr>
                <w:rFonts w:ascii="宋体" w:hAnsi="宋体" w:eastAsia="宋体" w:cs="宋体"/>
                <w:kern w:val="0"/>
                <w:sz w:val="24"/>
                <w:szCs w:val="24"/>
              </w:rPr>
              <w:t>8011</w:t>
            </w:r>
          </w:p>
        </w:tc>
        <w:tc>
          <w:tcPr>
            <w:tcW w:w="2074" w:type="dxa"/>
          </w:tcPr>
          <w:p w14:paraId="59FF2C0E">
            <w:pPr>
              <w:widowControl/>
              <w:jc w:val="left"/>
              <w:rPr>
                <w:rFonts w:ascii="宋体" w:hAnsi="宋体" w:eastAsia="宋体" w:cs="宋体"/>
                <w:kern w:val="0"/>
                <w:sz w:val="24"/>
                <w:szCs w:val="24"/>
              </w:rPr>
            </w:pPr>
            <w:r>
              <w:rPr>
                <w:rFonts w:ascii="宋体" w:hAnsi="宋体" w:eastAsia="宋体" w:cs="宋体"/>
                <w:kern w:val="0"/>
                <w:sz w:val="24"/>
                <w:szCs w:val="24"/>
              </w:rPr>
              <w:t>吨/天</w:t>
            </w:r>
          </w:p>
        </w:tc>
      </w:tr>
      <w:tr w14:paraId="269D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B365C64">
            <w:pPr>
              <w:widowControl/>
              <w:jc w:val="left"/>
              <w:rPr>
                <w:rFonts w:ascii="宋体" w:hAnsi="宋体" w:eastAsia="宋体" w:cs="宋体"/>
                <w:kern w:val="0"/>
                <w:sz w:val="24"/>
                <w:szCs w:val="24"/>
              </w:rPr>
            </w:pPr>
            <w:r>
              <w:rPr>
                <w:rFonts w:ascii="宋体" w:hAnsi="宋体" w:eastAsia="宋体" w:cs="宋体"/>
                <w:kern w:val="0"/>
                <w:sz w:val="24"/>
                <w:szCs w:val="24"/>
              </w:rPr>
              <w:t>固有增长率</w:t>
            </w:r>
          </w:p>
        </w:tc>
        <w:tc>
          <w:tcPr>
            <w:tcW w:w="1600" w:type="dxa"/>
          </w:tcPr>
          <w:p w14:paraId="47CE1437">
            <w:pPr>
              <w:widowControl/>
              <w:jc w:val="left"/>
              <w:rPr>
                <w:rFonts w:hint="eastAsia" w:ascii="宋体" w:hAnsi="宋体" w:eastAsia="宋体" w:cs="宋体"/>
                <w:kern w:val="0"/>
                <w:sz w:val="24"/>
                <w:szCs w:val="24"/>
              </w:rPr>
            </w:pPr>
            <m:oMathPara>
              <m:oMath>
                <m:r>
                  <m:rPr>
                    <m:sty m:val="p"/>
                  </m:rPr>
                  <w:rPr>
                    <w:rFonts w:ascii="Cambria Math" w:hAnsi="Cambria Math" w:eastAsia="宋体" w:cs="宋体"/>
                    <w:kern w:val="0"/>
                    <w:sz w:val="24"/>
                    <w:szCs w:val="24"/>
                  </w:rPr>
                  <m:t>γ</m:t>
                </m:r>
              </m:oMath>
            </m:oMathPara>
          </w:p>
        </w:tc>
        <w:tc>
          <w:tcPr>
            <w:tcW w:w="1600" w:type="dxa"/>
          </w:tcPr>
          <w:p w14:paraId="06575D12">
            <w:pPr>
              <w:widowControl/>
              <w:jc w:val="left"/>
              <w:rPr>
                <w:rFonts w:ascii="宋体" w:hAnsi="宋体" w:eastAsia="宋体" w:cs="宋体"/>
                <w:kern w:val="0"/>
                <w:sz w:val="24"/>
                <w:szCs w:val="24"/>
              </w:rPr>
            </w:pPr>
            <w:r>
              <w:rPr>
                <w:rFonts w:hint="eastAsia" w:ascii="宋体" w:hAnsi="宋体" w:eastAsia="宋体" w:cs="宋体"/>
                <w:kern w:val="0"/>
                <w:sz w:val="24"/>
                <w:szCs w:val="24"/>
              </w:rPr>
              <w:t>0</w:t>
            </w:r>
            <w:r>
              <w:rPr>
                <w:rFonts w:ascii="宋体" w:hAnsi="宋体" w:eastAsia="宋体" w:cs="宋体"/>
                <w:kern w:val="0"/>
                <w:sz w:val="24"/>
                <w:szCs w:val="24"/>
              </w:rPr>
              <w:t>.022</w:t>
            </w:r>
          </w:p>
        </w:tc>
        <w:tc>
          <w:tcPr>
            <w:tcW w:w="2074" w:type="dxa"/>
          </w:tcPr>
          <w:p w14:paraId="47A56603">
            <w:pPr>
              <w:widowControl/>
              <w:jc w:val="left"/>
              <w:rPr>
                <w:rFonts w:ascii="宋体" w:hAnsi="宋体" w:eastAsia="宋体" w:cs="宋体"/>
                <w:kern w:val="0"/>
                <w:sz w:val="24"/>
                <w:szCs w:val="24"/>
              </w:rPr>
            </w:pPr>
            <w:r>
              <w:rPr>
                <w:rFonts w:ascii="宋体" w:hAnsi="宋体" w:eastAsia="宋体" w:cs="宋体"/>
                <w:kern w:val="0"/>
                <w:sz w:val="24"/>
                <w:szCs w:val="24"/>
              </w:rPr>
              <w:t>天</w:t>
            </w:r>
            <w:r>
              <w:rPr>
                <w:rFonts w:hint="eastAsia" w:ascii="MS Gothic" w:hAnsi="MS Gothic" w:eastAsia="MS Gothic" w:cs="MS Gothic"/>
                <w:kern w:val="0"/>
                <w:sz w:val="24"/>
                <w:szCs w:val="24"/>
              </w:rPr>
              <w:t>⁻</w:t>
            </w:r>
            <w:r>
              <w:rPr>
                <w:rFonts w:ascii="宋体" w:hAnsi="宋体" w:eastAsia="宋体" w:cs="宋体"/>
                <w:kern w:val="0"/>
                <w:sz w:val="24"/>
                <w:szCs w:val="24"/>
              </w:rPr>
              <w:t>¹</w:t>
            </w:r>
          </w:p>
        </w:tc>
      </w:tr>
    </w:tbl>
    <w:p w14:paraId="3CDA7D7E">
      <w:pPr>
        <w:widowControl/>
        <w:spacing w:before="100" w:beforeAutospacing="1" w:after="100" w:afterAutospacing="1"/>
        <w:jc w:val="left"/>
        <w:rPr>
          <w:rFonts w:hint="eastAsia" w:ascii="宋体" w:hAnsi="宋体" w:eastAsia="宋体" w:cs="宋体"/>
          <w:kern w:val="0"/>
          <w:sz w:val="24"/>
          <w:szCs w:val="24"/>
        </w:rPr>
      </w:pPr>
      <w:r>
        <w:rPr>
          <w:rFonts w:ascii="宋体" w:hAnsi="宋体" w:eastAsia="宋体" w:cs="宋体"/>
          <w:kern w:val="0"/>
          <w:sz w:val="24"/>
          <w:szCs w:val="24"/>
        </w:rPr>
        <w:t>符号说明：</w:t>
      </w:r>
    </w:p>
    <w:p w14:paraId="09DB7558">
      <w:pPr>
        <w:pStyle w:val="11"/>
        <w:widowControl/>
        <w:numPr>
          <w:ilvl w:val="0"/>
          <w:numId w:val="1"/>
        </w:numPr>
        <w:spacing w:before="100" w:beforeAutospacing="1" w:after="100" w:afterAutospacing="1"/>
        <w:ind w:firstLineChars="0"/>
        <w:jc w:val="left"/>
        <w:rPr>
          <w:kern w:val="0"/>
          <w:sz w:val="24"/>
          <w:szCs w:val="24"/>
        </w:rPr>
      </w:pPr>
      <m:oMath>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x</m:t>
            </m:r>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0</m:t>
            </m:r>
            <m:ctrlPr>
              <w:rPr>
                <w:rFonts w:ascii="Cambria Math" w:hAnsi="Cambria Math" w:eastAsia="宋体" w:cs="宋体"/>
                <w:kern w:val="0"/>
                <w:sz w:val="24"/>
                <w:szCs w:val="24"/>
              </w:rPr>
            </m:ctrlPr>
          </m:sub>
        </m:sSub>
      </m:oMath>
      <w:r>
        <w:rPr>
          <w:rFonts w:ascii="宋体" w:hAnsi="宋体" w:eastAsia="宋体" w:cs="宋体"/>
          <w:kern w:val="0"/>
          <w:sz w:val="24"/>
          <w:szCs w:val="24"/>
        </w:rPr>
        <w:t>：初始时刻（</w:t>
      </w:r>
      <w:r>
        <w:rPr>
          <w:rFonts w:hint="eastAsia" w:ascii="宋体" w:hAnsi="宋体" w:eastAsia="宋体" w:cs="宋体"/>
          <w:kern w:val="0"/>
          <w:sz w:val="24"/>
          <w:szCs w:val="24"/>
        </w:rPr>
        <w:t>体系</w:t>
      </w:r>
      <w:r>
        <w:rPr>
          <w:rFonts w:ascii="宋体" w:hAnsi="宋体" w:eastAsia="宋体" w:cs="宋体"/>
          <w:kern w:val="0"/>
          <w:sz w:val="24"/>
          <w:szCs w:val="24"/>
        </w:rPr>
        <w:t>优化第0天）日均可回收物回收量，即模型初值条件；</w:t>
      </w:r>
    </w:p>
    <w:p w14:paraId="6A895066">
      <w:pPr>
        <w:widowControl/>
        <w:numPr>
          <w:ilvl w:val="0"/>
          <w:numId w:val="1"/>
        </w:numPr>
        <w:spacing w:before="100" w:beforeAutospacing="1" w:after="100" w:afterAutospacing="1"/>
        <w:jc w:val="left"/>
        <w:rPr>
          <w:rFonts w:hint="eastAsia" w:ascii="宋体" w:hAnsi="宋体" w:eastAsia="宋体" w:cs="宋体"/>
          <w:kern w:val="0"/>
          <w:sz w:val="24"/>
          <w:szCs w:val="24"/>
        </w:rPr>
      </w:pPr>
      <m:oMath>
        <m:r>
          <m:rPr>
            <m:sty m:val="p"/>
          </m:rPr>
          <w:rPr>
            <w:rFonts w:ascii="Cambria Math" w:hAnsi="Cambria Math" w:eastAsia="宋体" w:cs="宋体"/>
            <w:kern w:val="0"/>
            <w:sz w:val="24"/>
            <w:szCs w:val="24"/>
          </w:rPr>
          <m:t>K</m:t>
        </m:r>
      </m:oMath>
      <w:r>
        <w:rPr>
          <w:rFonts w:ascii="宋体" w:hAnsi="宋体" w:eastAsia="宋体" w:cs="宋体"/>
          <w:kern w:val="0"/>
          <w:sz w:val="24"/>
          <w:szCs w:val="24"/>
        </w:rPr>
        <w:t>：最大回收量；</w:t>
      </w:r>
    </w:p>
    <w:p w14:paraId="7ABE7B5F">
      <w:pPr>
        <w:widowControl/>
        <w:numPr>
          <w:ilvl w:val="0"/>
          <w:numId w:val="1"/>
        </w:numPr>
        <w:spacing w:before="100" w:beforeAutospacing="1" w:after="100" w:afterAutospacing="1"/>
        <w:jc w:val="left"/>
        <w:rPr>
          <w:rFonts w:ascii="宋体" w:hAnsi="宋体" w:eastAsia="宋体" w:cs="宋体"/>
          <w:kern w:val="0"/>
          <w:sz w:val="24"/>
          <w:szCs w:val="24"/>
        </w:rPr>
      </w:pPr>
      <m:oMath>
        <m:r>
          <m:rPr>
            <m:sty m:val="p"/>
          </m:rPr>
          <w:rPr>
            <w:rFonts w:ascii="Cambria Math" w:hAnsi="Cambria Math" w:eastAsia="宋体" w:cs="宋体"/>
            <w:kern w:val="0"/>
            <w:sz w:val="24"/>
            <w:szCs w:val="24"/>
          </w:rPr>
          <m:t>γ</m:t>
        </m:r>
      </m:oMath>
      <w:r>
        <w:rPr>
          <w:rFonts w:ascii="宋体" w:hAnsi="宋体" w:eastAsia="宋体" w:cs="宋体"/>
          <w:kern w:val="0"/>
          <w:sz w:val="24"/>
          <w:szCs w:val="24"/>
        </w:rPr>
        <w:t>：无外部作用下，回收量的固有自然增长率，反映居民基础参与度与政策例行推动效率等；</w:t>
      </w:r>
    </w:p>
    <w:p w14:paraId="52C7C913">
      <w:pPr>
        <w:widowControl/>
        <w:numPr>
          <w:ilvl w:val="0"/>
          <w:numId w:val="1"/>
        </w:numPr>
        <w:spacing w:before="100" w:beforeAutospacing="1" w:after="100" w:afterAutospacing="1"/>
        <w:jc w:val="left"/>
        <w:rPr>
          <w:rFonts w:ascii="宋体" w:hAnsi="宋体" w:eastAsia="宋体" w:cs="宋体"/>
          <w:kern w:val="0"/>
          <w:sz w:val="24"/>
          <w:szCs w:val="24"/>
        </w:rPr>
      </w:pPr>
      <m:oMath>
        <m:r>
          <m:rPr>
            <m:sty m:val="p"/>
          </m:rPr>
          <w:rPr>
            <w:rFonts w:ascii="Cambria Math" w:hAnsi="Cambria Math" w:eastAsia="宋体" w:cs="宋体"/>
            <w:kern w:val="0"/>
            <w:sz w:val="24"/>
            <w:szCs w:val="24"/>
          </w:rPr>
          <m:t>促进系数α</m:t>
        </m:r>
      </m:oMath>
      <w:r>
        <w:rPr>
          <w:rFonts w:ascii="宋体" w:hAnsi="宋体" w:eastAsia="宋体" w:cs="宋体"/>
          <w:kern w:val="0"/>
          <w:sz w:val="24"/>
          <w:szCs w:val="24"/>
        </w:rPr>
        <w:t>：如站点覆盖越完善、投递越便捷，则系数值越大；</w:t>
      </w:r>
    </w:p>
    <w:p w14:paraId="0B4ADE43">
      <w:pPr>
        <w:widowControl/>
        <w:numPr>
          <w:ilvl w:val="0"/>
          <w:numId w:val="1"/>
        </w:numPr>
        <w:spacing w:before="100" w:beforeAutospacing="1" w:after="100" w:afterAutospacing="1"/>
        <w:jc w:val="left"/>
        <w:rPr>
          <w:rFonts w:ascii="宋体" w:hAnsi="宋体" w:eastAsia="宋体" w:cs="宋体"/>
          <w:kern w:val="0"/>
          <w:sz w:val="24"/>
          <w:szCs w:val="24"/>
        </w:rPr>
      </w:pPr>
      <m:oMath>
        <m:r>
          <m:rPr>
            <m:sty m:val="p"/>
          </m:rPr>
          <w:rPr>
            <w:rFonts w:ascii="Cambria Math" w:hAnsi="Cambria Math" w:eastAsia="宋体" w:cs="宋体"/>
            <w:kern w:val="0"/>
            <w:sz w:val="24"/>
            <w:szCs w:val="24"/>
          </w:rPr>
          <m:t>抑制系数β</m:t>
        </m:r>
      </m:oMath>
      <w:r>
        <w:rPr>
          <w:rFonts w:ascii="宋体" w:hAnsi="宋体" w:eastAsia="宋体" w:cs="宋体"/>
          <w:kern w:val="0"/>
          <w:sz w:val="24"/>
          <w:szCs w:val="24"/>
        </w:rPr>
        <w:t>：反映清运延迟、站点运维不足等的负面效应，系数值越大抑制越强。</w:t>
      </w:r>
    </w:p>
    <w:p w14:paraId="38DE0BF8">
      <w:pPr>
        <w:widowControl/>
        <w:jc w:val="left"/>
        <w:rPr>
          <w:rFonts w:hint="eastAsia" w:ascii="宋体" w:hAnsi="宋体" w:eastAsia="宋体" w:cs="宋体"/>
          <w:kern w:val="0"/>
          <w:sz w:val="24"/>
          <w:szCs w:val="24"/>
        </w:rPr>
      </w:pPr>
    </w:p>
    <w:p w14:paraId="31AB5CFC">
      <w:pPr>
        <w:widowControl/>
        <w:jc w:val="left"/>
        <w:rPr>
          <w:rFonts w:ascii="宋体" w:hAnsi="宋体" w:eastAsia="宋体" w:cs="宋体"/>
          <w:kern w:val="0"/>
          <w:sz w:val="24"/>
          <w:szCs w:val="24"/>
        </w:rPr>
      </w:pPr>
      <w:r>
        <w:rPr>
          <w:rFonts w:ascii="宋体" w:hAnsi="宋体" w:eastAsia="宋体" w:cs="宋体"/>
          <w:kern w:val="0"/>
          <w:sz w:val="24"/>
          <w:szCs w:val="24"/>
        </w:rPr>
        <w:t>（</w:t>
      </w:r>
      <w:r>
        <w:rPr>
          <w:rFonts w:hint="eastAsia" w:ascii="宋体" w:hAnsi="宋体" w:eastAsia="宋体" w:cs="宋体"/>
          <w:kern w:val="0"/>
          <w:sz w:val="24"/>
          <w:szCs w:val="24"/>
        </w:rPr>
        <w:t>b</w:t>
      </w:r>
      <w:r>
        <w:rPr>
          <w:rFonts w:ascii="宋体" w:hAnsi="宋体" w:eastAsia="宋体" w:cs="宋体"/>
          <w:kern w:val="0"/>
          <w:sz w:val="24"/>
          <w:szCs w:val="24"/>
        </w:rPr>
        <w:t>）实测时序</w:t>
      </w:r>
      <w:r>
        <w:rPr>
          <w:rFonts w:hint="eastAsia" w:ascii="宋体" w:hAnsi="宋体" w:eastAsia="宋体" w:cs="宋体"/>
          <w:kern w:val="0"/>
          <w:sz w:val="24"/>
          <w:szCs w:val="24"/>
        </w:rPr>
        <w:t>数据：</w:t>
      </w:r>
    </w:p>
    <w:tbl>
      <w:tblPr>
        <w:tblStyle w:val="7"/>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3679"/>
      </w:tblGrid>
      <w:tr w14:paraId="4DDC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5E691C5">
            <w:pPr>
              <w:widowControl/>
              <w:jc w:val="left"/>
              <w:rPr>
                <w:rFonts w:ascii="宋体" w:hAnsi="宋体" w:eastAsia="宋体" w:cs="宋体"/>
                <w:kern w:val="0"/>
                <w:sz w:val="24"/>
                <w:szCs w:val="24"/>
              </w:rPr>
            </w:pPr>
            <w:r>
              <w:rPr>
                <w:rFonts w:ascii="宋体" w:hAnsi="宋体" w:eastAsia="宋体" w:cs="宋体"/>
                <w:kern w:val="0"/>
                <w:sz w:val="24"/>
                <w:szCs w:val="24"/>
              </w:rPr>
              <w:t>时间t(天)</w:t>
            </w:r>
          </w:p>
        </w:tc>
        <w:tc>
          <w:tcPr>
            <w:tcW w:w="2765" w:type="dxa"/>
          </w:tcPr>
          <w:p w14:paraId="0048744A">
            <w:pPr>
              <w:widowControl/>
              <w:jc w:val="left"/>
              <w:rPr>
                <w:rFonts w:ascii="宋体" w:hAnsi="宋体" w:eastAsia="宋体" w:cs="宋体"/>
                <w:kern w:val="0"/>
                <w:sz w:val="24"/>
                <w:szCs w:val="24"/>
              </w:rPr>
            </w:pPr>
            <w:r>
              <w:rPr>
                <w:rFonts w:ascii="宋体" w:hAnsi="宋体" w:eastAsia="宋体" w:cs="宋体"/>
                <w:kern w:val="0"/>
                <w:sz w:val="24"/>
                <w:szCs w:val="24"/>
              </w:rPr>
              <w:t>实际回收量(吨/天)</w:t>
            </w:r>
          </w:p>
        </w:tc>
        <w:tc>
          <w:tcPr>
            <w:tcW w:w="3679" w:type="dxa"/>
          </w:tcPr>
          <w:p w14:paraId="5D04A514">
            <w:pPr>
              <w:widowControl/>
              <w:jc w:val="left"/>
              <w:rPr>
                <w:rFonts w:ascii="宋体" w:hAnsi="宋体" w:eastAsia="宋体" w:cs="宋体"/>
                <w:kern w:val="0"/>
                <w:sz w:val="24"/>
                <w:szCs w:val="24"/>
              </w:rPr>
            </w:pPr>
            <w:r>
              <w:rPr>
                <w:rFonts w:ascii="宋体" w:hAnsi="宋体" w:eastAsia="宋体" w:cs="宋体"/>
                <w:kern w:val="0"/>
                <w:sz w:val="24"/>
                <w:szCs w:val="24"/>
              </w:rPr>
              <w:t>阶段备注</w:t>
            </w:r>
          </w:p>
        </w:tc>
      </w:tr>
      <w:tr w14:paraId="7E70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C65566">
            <w:pPr>
              <w:widowControl/>
              <w:jc w:val="left"/>
              <w:rPr>
                <w:rFonts w:ascii="宋体" w:hAnsi="宋体" w:eastAsia="宋体" w:cs="宋体"/>
                <w:kern w:val="0"/>
                <w:sz w:val="24"/>
                <w:szCs w:val="24"/>
              </w:rPr>
            </w:pPr>
            <w:r>
              <w:rPr>
                <w:rFonts w:hint="eastAsia" w:ascii="宋体" w:hAnsi="宋体" w:eastAsia="宋体" w:cs="宋体"/>
                <w:kern w:val="0"/>
                <w:sz w:val="24"/>
                <w:szCs w:val="24"/>
              </w:rPr>
              <w:t>0</w:t>
            </w:r>
          </w:p>
        </w:tc>
        <w:tc>
          <w:tcPr>
            <w:tcW w:w="2765" w:type="dxa"/>
          </w:tcPr>
          <w:p w14:paraId="5C905627">
            <w:pPr>
              <w:widowControl/>
              <w:jc w:val="left"/>
              <w:rPr>
                <w:rFonts w:ascii="宋体" w:hAnsi="宋体" w:eastAsia="宋体" w:cs="宋体"/>
                <w:kern w:val="0"/>
                <w:sz w:val="24"/>
                <w:szCs w:val="24"/>
              </w:rPr>
            </w:pPr>
            <w:r>
              <w:rPr>
                <w:rFonts w:ascii="宋体" w:hAnsi="宋体" w:eastAsia="宋体" w:cs="宋体"/>
                <w:kern w:val="0"/>
                <w:sz w:val="24"/>
                <w:szCs w:val="24"/>
              </w:rPr>
              <w:t>6314</w:t>
            </w:r>
          </w:p>
        </w:tc>
        <w:tc>
          <w:tcPr>
            <w:tcW w:w="3679" w:type="dxa"/>
          </w:tcPr>
          <w:p w14:paraId="2BB802E0">
            <w:pPr>
              <w:widowControl/>
              <w:jc w:val="left"/>
              <w:rPr>
                <w:rFonts w:hint="eastAsia" w:ascii="宋体" w:hAnsi="宋体" w:eastAsia="宋体" w:cs="宋体"/>
                <w:kern w:val="0"/>
                <w:sz w:val="24"/>
                <w:szCs w:val="24"/>
              </w:rPr>
            </w:pPr>
            <w:r>
              <w:rPr>
                <w:rFonts w:ascii="宋体" w:hAnsi="宋体" w:eastAsia="宋体" w:cs="宋体"/>
                <w:kern w:val="0"/>
                <w:sz w:val="24"/>
                <w:szCs w:val="24"/>
              </w:rPr>
              <w:t>体系优化</w:t>
            </w:r>
            <w:r>
              <w:rPr>
                <w:rFonts w:hint="eastAsia" w:ascii="宋体" w:hAnsi="宋体" w:eastAsia="宋体" w:cs="宋体"/>
                <w:kern w:val="0"/>
                <w:sz w:val="24"/>
                <w:szCs w:val="24"/>
              </w:rPr>
              <w:t>启动初期</w:t>
            </w:r>
          </w:p>
        </w:tc>
      </w:tr>
      <w:tr w14:paraId="3452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082F79C">
            <w:pPr>
              <w:widowControl/>
              <w:jc w:val="left"/>
              <w:rPr>
                <w:rFonts w:ascii="宋体" w:hAnsi="宋体" w:eastAsia="宋体" w:cs="宋体"/>
                <w:kern w:val="0"/>
                <w:sz w:val="24"/>
                <w:szCs w:val="24"/>
              </w:rPr>
            </w:pPr>
            <w:r>
              <w:rPr>
                <w:rFonts w:hint="eastAsia" w:ascii="宋体" w:hAnsi="宋体" w:eastAsia="宋体" w:cs="宋体"/>
                <w:kern w:val="0"/>
                <w:sz w:val="24"/>
                <w:szCs w:val="24"/>
              </w:rPr>
              <w:t>3</w:t>
            </w:r>
            <w:r>
              <w:rPr>
                <w:rFonts w:ascii="宋体" w:hAnsi="宋体" w:eastAsia="宋体" w:cs="宋体"/>
                <w:kern w:val="0"/>
                <w:sz w:val="24"/>
                <w:szCs w:val="24"/>
              </w:rPr>
              <w:t>0</w:t>
            </w:r>
          </w:p>
        </w:tc>
        <w:tc>
          <w:tcPr>
            <w:tcW w:w="2765" w:type="dxa"/>
          </w:tcPr>
          <w:p w14:paraId="5AF14E2D">
            <w:pPr>
              <w:widowControl/>
              <w:jc w:val="left"/>
              <w:rPr>
                <w:rFonts w:ascii="宋体" w:hAnsi="宋体" w:eastAsia="宋体" w:cs="宋体"/>
                <w:kern w:val="0"/>
                <w:sz w:val="24"/>
                <w:szCs w:val="24"/>
              </w:rPr>
            </w:pPr>
            <w:r>
              <w:rPr>
                <w:rFonts w:ascii="宋体" w:hAnsi="宋体" w:eastAsia="宋体" w:cs="宋体"/>
                <w:kern w:val="0"/>
                <w:sz w:val="24"/>
                <w:szCs w:val="24"/>
              </w:rPr>
              <w:t>6542</w:t>
            </w:r>
          </w:p>
        </w:tc>
        <w:tc>
          <w:tcPr>
            <w:tcW w:w="3679" w:type="dxa"/>
          </w:tcPr>
          <w:p w14:paraId="1843C39B">
            <w:pPr>
              <w:widowControl/>
              <w:jc w:val="left"/>
              <w:rPr>
                <w:rFonts w:ascii="宋体" w:hAnsi="宋体" w:eastAsia="宋体" w:cs="宋体"/>
                <w:kern w:val="0"/>
                <w:sz w:val="24"/>
                <w:szCs w:val="24"/>
              </w:rPr>
            </w:pPr>
            <w:r>
              <w:rPr>
                <w:rFonts w:ascii="宋体" w:hAnsi="宋体" w:eastAsia="宋体" w:cs="宋体"/>
                <w:kern w:val="0"/>
                <w:sz w:val="24"/>
                <w:szCs w:val="24"/>
              </w:rPr>
              <w:t>宣传推广启动</w:t>
            </w:r>
          </w:p>
        </w:tc>
      </w:tr>
      <w:tr w14:paraId="3A51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7B79D18">
            <w:pPr>
              <w:widowControl/>
              <w:jc w:val="left"/>
              <w:rPr>
                <w:rFonts w:ascii="宋体" w:hAnsi="宋体" w:eastAsia="宋体" w:cs="宋体"/>
                <w:kern w:val="0"/>
                <w:sz w:val="24"/>
                <w:szCs w:val="24"/>
              </w:rPr>
            </w:pPr>
            <w:r>
              <w:rPr>
                <w:rFonts w:hint="eastAsia" w:ascii="宋体" w:hAnsi="宋体" w:eastAsia="宋体" w:cs="宋体"/>
                <w:kern w:val="0"/>
                <w:sz w:val="24"/>
                <w:szCs w:val="24"/>
              </w:rPr>
              <w:t>6</w:t>
            </w:r>
            <w:r>
              <w:rPr>
                <w:rFonts w:ascii="宋体" w:hAnsi="宋体" w:eastAsia="宋体" w:cs="宋体"/>
                <w:kern w:val="0"/>
                <w:sz w:val="24"/>
                <w:szCs w:val="24"/>
              </w:rPr>
              <w:t>0</w:t>
            </w:r>
          </w:p>
        </w:tc>
        <w:tc>
          <w:tcPr>
            <w:tcW w:w="2765" w:type="dxa"/>
          </w:tcPr>
          <w:p w14:paraId="4D258945">
            <w:pPr>
              <w:widowControl/>
              <w:jc w:val="left"/>
              <w:rPr>
                <w:rFonts w:ascii="宋体" w:hAnsi="宋体" w:eastAsia="宋体" w:cs="宋体"/>
                <w:kern w:val="0"/>
                <w:sz w:val="24"/>
                <w:szCs w:val="24"/>
              </w:rPr>
            </w:pPr>
            <w:r>
              <w:rPr>
                <w:rFonts w:ascii="宋体" w:hAnsi="宋体" w:eastAsia="宋体" w:cs="宋体"/>
                <w:kern w:val="0"/>
                <w:sz w:val="24"/>
                <w:szCs w:val="24"/>
              </w:rPr>
              <w:t>6875</w:t>
            </w:r>
          </w:p>
        </w:tc>
        <w:tc>
          <w:tcPr>
            <w:tcW w:w="3679" w:type="dxa"/>
          </w:tcPr>
          <w:p w14:paraId="3BC3C297">
            <w:pPr>
              <w:widowControl/>
              <w:jc w:val="left"/>
              <w:rPr>
                <w:rFonts w:hint="eastAsia" w:ascii="宋体" w:hAnsi="宋体" w:eastAsia="宋体" w:cs="宋体"/>
                <w:kern w:val="0"/>
                <w:sz w:val="24"/>
                <w:szCs w:val="24"/>
              </w:rPr>
            </w:pPr>
            <w:r>
              <w:rPr>
                <w:rFonts w:ascii="宋体" w:hAnsi="宋体" w:eastAsia="宋体" w:cs="宋体"/>
                <w:kern w:val="0"/>
                <w:sz w:val="24"/>
                <w:szCs w:val="24"/>
              </w:rPr>
              <w:t>集中宣传，居民参与度小幅提升</w:t>
            </w:r>
          </w:p>
        </w:tc>
      </w:tr>
      <w:tr w14:paraId="2519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1C6254F">
            <w:pPr>
              <w:widowControl/>
              <w:jc w:val="left"/>
              <w:rPr>
                <w:rFonts w:ascii="宋体" w:hAnsi="宋体" w:eastAsia="宋体" w:cs="宋体"/>
                <w:kern w:val="0"/>
                <w:sz w:val="24"/>
                <w:szCs w:val="24"/>
              </w:rPr>
            </w:pPr>
            <w:r>
              <w:rPr>
                <w:rFonts w:hint="eastAsia" w:ascii="宋体" w:hAnsi="宋体" w:eastAsia="宋体" w:cs="宋体"/>
                <w:kern w:val="0"/>
                <w:sz w:val="24"/>
                <w:szCs w:val="24"/>
              </w:rPr>
              <w:t>9</w:t>
            </w:r>
            <w:r>
              <w:rPr>
                <w:rFonts w:ascii="宋体" w:hAnsi="宋体" w:eastAsia="宋体" w:cs="宋体"/>
                <w:kern w:val="0"/>
                <w:sz w:val="24"/>
                <w:szCs w:val="24"/>
              </w:rPr>
              <w:t>0</w:t>
            </w:r>
          </w:p>
        </w:tc>
        <w:tc>
          <w:tcPr>
            <w:tcW w:w="2765" w:type="dxa"/>
          </w:tcPr>
          <w:p w14:paraId="147FC686">
            <w:pPr>
              <w:widowControl/>
              <w:jc w:val="left"/>
              <w:rPr>
                <w:rFonts w:ascii="宋体" w:hAnsi="宋体" w:eastAsia="宋体" w:cs="宋体"/>
                <w:kern w:val="0"/>
                <w:sz w:val="24"/>
                <w:szCs w:val="24"/>
              </w:rPr>
            </w:pPr>
            <w:r>
              <w:rPr>
                <w:rFonts w:hint="eastAsia" w:ascii="宋体" w:hAnsi="宋体" w:eastAsia="宋体" w:cs="宋体"/>
                <w:kern w:val="0"/>
                <w:sz w:val="24"/>
                <w:szCs w:val="24"/>
              </w:rPr>
              <w:t>7</w:t>
            </w:r>
            <w:r>
              <w:rPr>
                <w:rFonts w:ascii="宋体" w:hAnsi="宋体" w:eastAsia="宋体" w:cs="宋体"/>
                <w:kern w:val="0"/>
                <w:sz w:val="24"/>
                <w:szCs w:val="24"/>
              </w:rPr>
              <w:t>173</w:t>
            </w:r>
          </w:p>
        </w:tc>
        <w:tc>
          <w:tcPr>
            <w:tcW w:w="3679" w:type="dxa"/>
          </w:tcPr>
          <w:p w14:paraId="3FBCE8DB">
            <w:pPr>
              <w:widowControl/>
              <w:jc w:val="left"/>
              <w:rPr>
                <w:rFonts w:ascii="宋体" w:hAnsi="宋体" w:eastAsia="宋体" w:cs="宋体"/>
                <w:kern w:val="0"/>
                <w:sz w:val="24"/>
                <w:szCs w:val="24"/>
              </w:rPr>
            </w:pPr>
            <w:r>
              <w:rPr>
                <w:rFonts w:ascii="宋体" w:hAnsi="宋体" w:eastAsia="宋体" w:cs="宋体"/>
                <w:kern w:val="0"/>
                <w:sz w:val="24"/>
                <w:szCs w:val="24"/>
              </w:rPr>
              <w:t>社区回收站点运维完善，低价值品类回收提升</w:t>
            </w:r>
          </w:p>
        </w:tc>
      </w:tr>
      <w:tr w14:paraId="0237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0606E4C">
            <w:pPr>
              <w:widowControl/>
              <w:jc w:val="left"/>
              <w:rPr>
                <w:rFonts w:ascii="宋体" w:hAnsi="宋体" w:eastAsia="宋体" w:cs="宋体"/>
                <w:kern w:val="0"/>
                <w:sz w:val="24"/>
                <w:szCs w:val="24"/>
              </w:rPr>
            </w:pPr>
            <w:r>
              <w:rPr>
                <w:rFonts w:hint="eastAsia" w:ascii="宋体" w:hAnsi="宋体" w:eastAsia="宋体" w:cs="宋体"/>
                <w:kern w:val="0"/>
                <w:sz w:val="24"/>
                <w:szCs w:val="24"/>
              </w:rPr>
              <w:t>1</w:t>
            </w:r>
            <w:r>
              <w:rPr>
                <w:rFonts w:ascii="宋体" w:hAnsi="宋体" w:eastAsia="宋体" w:cs="宋体"/>
                <w:kern w:val="0"/>
                <w:sz w:val="24"/>
                <w:szCs w:val="24"/>
              </w:rPr>
              <w:t>20</w:t>
            </w:r>
          </w:p>
        </w:tc>
        <w:tc>
          <w:tcPr>
            <w:tcW w:w="2765" w:type="dxa"/>
          </w:tcPr>
          <w:p w14:paraId="3DB8EFEC">
            <w:pPr>
              <w:widowControl/>
              <w:jc w:val="left"/>
              <w:rPr>
                <w:rFonts w:ascii="宋体" w:hAnsi="宋体" w:eastAsia="宋体" w:cs="宋体"/>
                <w:kern w:val="0"/>
                <w:sz w:val="24"/>
                <w:szCs w:val="24"/>
              </w:rPr>
            </w:pPr>
            <w:r>
              <w:rPr>
                <w:rFonts w:ascii="宋体" w:hAnsi="宋体" w:eastAsia="宋体" w:cs="宋体"/>
                <w:kern w:val="0"/>
                <w:sz w:val="24"/>
                <w:szCs w:val="24"/>
              </w:rPr>
              <w:t>7368</w:t>
            </w:r>
          </w:p>
        </w:tc>
        <w:tc>
          <w:tcPr>
            <w:tcW w:w="3679" w:type="dxa"/>
          </w:tcPr>
          <w:p w14:paraId="3103A085">
            <w:pPr>
              <w:widowControl/>
              <w:jc w:val="left"/>
              <w:rPr>
                <w:rFonts w:ascii="宋体" w:hAnsi="宋体" w:eastAsia="宋体" w:cs="宋体"/>
                <w:kern w:val="0"/>
                <w:sz w:val="24"/>
                <w:szCs w:val="24"/>
              </w:rPr>
            </w:pPr>
            <w:r>
              <w:rPr>
                <w:rFonts w:ascii="宋体" w:hAnsi="宋体" w:eastAsia="宋体" w:cs="宋体"/>
                <w:kern w:val="0"/>
                <w:sz w:val="24"/>
                <w:szCs w:val="24"/>
              </w:rPr>
              <w:t>居民参与度提升，快速增长阶段</w:t>
            </w:r>
          </w:p>
        </w:tc>
      </w:tr>
      <w:tr w14:paraId="4AAC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CFEC7CF">
            <w:pPr>
              <w:widowControl/>
              <w:jc w:val="left"/>
              <w:rPr>
                <w:rFonts w:ascii="宋体" w:hAnsi="宋体" w:eastAsia="宋体" w:cs="宋体"/>
                <w:kern w:val="0"/>
                <w:sz w:val="24"/>
                <w:szCs w:val="24"/>
              </w:rPr>
            </w:pPr>
            <w:r>
              <w:rPr>
                <w:rFonts w:hint="eastAsia" w:ascii="宋体" w:hAnsi="宋体" w:eastAsia="宋体" w:cs="宋体"/>
                <w:kern w:val="0"/>
                <w:sz w:val="24"/>
                <w:szCs w:val="24"/>
              </w:rPr>
              <w:t>1</w:t>
            </w:r>
            <w:r>
              <w:rPr>
                <w:rFonts w:ascii="宋体" w:hAnsi="宋体" w:eastAsia="宋体" w:cs="宋体"/>
                <w:kern w:val="0"/>
                <w:sz w:val="24"/>
                <w:szCs w:val="24"/>
              </w:rPr>
              <w:t>50</w:t>
            </w:r>
          </w:p>
        </w:tc>
        <w:tc>
          <w:tcPr>
            <w:tcW w:w="2765" w:type="dxa"/>
          </w:tcPr>
          <w:p w14:paraId="700B5741">
            <w:pPr>
              <w:widowControl/>
              <w:jc w:val="left"/>
              <w:rPr>
                <w:rFonts w:ascii="宋体" w:hAnsi="宋体" w:eastAsia="宋体" w:cs="宋体"/>
                <w:kern w:val="0"/>
                <w:sz w:val="24"/>
                <w:szCs w:val="24"/>
              </w:rPr>
            </w:pPr>
            <w:r>
              <w:rPr>
                <w:rFonts w:ascii="宋体" w:hAnsi="宋体" w:eastAsia="宋体" w:cs="宋体"/>
                <w:kern w:val="0"/>
                <w:sz w:val="24"/>
                <w:szCs w:val="24"/>
              </w:rPr>
              <w:t>7591</w:t>
            </w:r>
          </w:p>
        </w:tc>
        <w:tc>
          <w:tcPr>
            <w:tcW w:w="3679" w:type="dxa"/>
          </w:tcPr>
          <w:p w14:paraId="4A38F839">
            <w:pPr>
              <w:widowControl/>
              <w:jc w:val="left"/>
              <w:rPr>
                <w:rFonts w:ascii="宋体" w:hAnsi="宋体" w:eastAsia="宋体" w:cs="宋体"/>
                <w:kern w:val="0"/>
                <w:sz w:val="24"/>
                <w:szCs w:val="24"/>
              </w:rPr>
            </w:pPr>
            <w:r>
              <w:rPr>
                <w:rFonts w:ascii="宋体" w:hAnsi="宋体" w:eastAsia="宋体" w:cs="宋体"/>
                <w:kern w:val="0"/>
                <w:sz w:val="24"/>
                <w:szCs w:val="24"/>
              </w:rPr>
              <w:t>增长速率放缓，趋近饱和</w:t>
            </w:r>
          </w:p>
        </w:tc>
      </w:tr>
      <w:tr w14:paraId="4560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DF3FB7E">
            <w:pPr>
              <w:widowControl/>
              <w:jc w:val="left"/>
              <w:rPr>
                <w:rFonts w:ascii="宋体" w:hAnsi="宋体" w:eastAsia="宋体" w:cs="宋体"/>
                <w:kern w:val="0"/>
                <w:sz w:val="24"/>
                <w:szCs w:val="24"/>
              </w:rPr>
            </w:pPr>
            <w:r>
              <w:rPr>
                <w:rFonts w:hint="eastAsia" w:ascii="宋体" w:hAnsi="宋体" w:eastAsia="宋体" w:cs="宋体"/>
                <w:kern w:val="0"/>
                <w:sz w:val="24"/>
                <w:szCs w:val="24"/>
              </w:rPr>
              <w:t>1</w:t>
            </w:r>
            <w:r>
              <w:rPr>
                <w:rFonts w:ascii="宋体" w:hAnsi="宋体" w:eastAsia="宋体" w:cs="宋体"/>
                <w:kern w:val="0"/>
                <w:sz w:val="24"/>
                <w:szCs w:val="24"/>
              </w:rPr>
              <w:t>80</w:t>
            </w:r>
          </w:p>
        </w:tc>
        <w:tc>
          <w:tcPr>
            <w:tcW w:w="2765" w:type="dxa"/>
          </w:tcPr>
          <w:p w14:paraId="44A7DA32">
            <w:pPr>
              <w:widowControl/>
              <w:jc w:val="left"/>
              <w:rPr>
                <w:rFonts w:ascii="宋体" w:hAnsi="宋体" w:eastAsia="宋体" w:cs="宋体"/>
                <w:kern w:val="0"/>
                <w:sz w:val="24"/>
                <w:szCs w:val="24"/>
              </w:rPr>
            </w:pPr>
            <w:r>
              <w:rPr>
                <w:rFonts w:ascii="宋体" w:hAnsi="宋体" w:eastAsia="宋体" w:cs="宋体"/>
                <w:kern w:val="0"/>
                <w:sz w:val="24"/>
                <w:szCs w:val="24"/>
              </w:rPr>
              <w:t>7724</w:t>
            </w:r>
          </w:p>
        </w:tc>
        <w:tc>
          <w:tcPr>
            <w:tcW w:w="3679" w:type="dxa"/>
          </w:tcPr>
          <w:p w14:paraId="53BE2442">
            <w:pPr>
              <w:widowControl/>
              <w:jc w:val="left"/>
              <w:rPr>
                <w:rFonts w:ascii="宋体" w:hAnsi="宋体" w:eastAsia="宋体" w:cs="宋体"/>
                <w:kern w:val="0"/>
                <w:sz w:val="24"/>
                <w:szCs w:val="24"/>
              </w:rPr>
            </w:pPr>
            <w:r>
              <w:rPr>
                <w:rFonts w:ascii="宋体" w:hAnsi="宋体" w:eastAsia="宋体" w:cs="宋体"/>
                <w:kern w:val="0"/>
                <w:sz w:val="24"/>
                <w:szCs w:val="24"/>
              </w:rPr>
              <w:t>饱和前期，回收量趋于平稳</w:t>
            </w:r>
          </w:p>
        </w:tc>
      </w:tr>
      <w:tr w14:paraId="3544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1A76348">
            <w:pPr>
              <w:widowControl/>
              <w:jc w:val="left"/>
              <w:rPr>
                <w:rFonts w:ascii="宋体" w:hAnsi="宋体" w:eastAsia="宋体" w:cs="宋体"/>
                <w:kern w:val="0"/>
                <w:sz w:val="24"/>
                <w:szCs w:val="24"/>
              </w:rPr>
            </w:pPr>
            <w:r>
              <w:rPr>
                <w:rFonts w:hint="eastAsia" w:ascii="宋体" w:hAnsi="宋体" w:eastAsia="宋体" w:cs="宋体"/>
                <w:kern w:val="0"/>
                <w:sz w:val="24"/>
                <w:szCs w:val="24"/>
              </w:rPr>
              <w:t>2</w:t>
            </w:r>
            <w:r>
              <w:rPr>
                <w:rFonts w:ascii="宋体" w:hAnsi="宋体" w:eastAsia="宋体" w:cs="宋体"/>
                <w:kern w:val="0"/>
                <w:sz w:val="24"/>
                <w:szCs w:val="24"/>
              </w:rPr>
              <w:t>70</w:t>
            </w:r>
          </w:p>
        </w:tc>
        <w:tc>
          <w:tcPr>
            <w:tcW w:w="2765" w:type="dxa"/>
          </w:tcPr>
          <w:p w14:paraId="6432DED4">
            <w:pPr>
              <w:widowControl/>
              <w:jc w:val="left"/>
              <w:rPr>
                <w:rFonts w:ascii="宋体" w:hAnsi="宋体" w:eastAsia="宋体" w:cs="宋体"/>
                <w:kern w:val="0"/>
                <w:sz w:val="24"/>
                <w:szCs w:val="24"/>
              </w:rPr>
            </w:pPr>
            <w:r>
              <w:rPr>
                <w:rFonts w:ascii="宋体" w:hAnsi="宋体" w:eastAsia="宋体" w:cs="宋体"/>
                <w:kern w:val="0"/>
                <w:sz w:val="24"/>
                <w:szCs w:val="24"/>
              </w:rPr>
              <w:t>7896</w:t>
            </w:r>
          </w:p>
        </w:tc>
        <w:tc>
          <w:tcPr>
            <w:tcW w:w="3679" w:type="dxa"/>
          </w:tcPr>
          <w:p w14:paraId="35FE023E">
            <w:pPr>
              <w:widowControl/>
              <w:jc w:val="left"/>
              <w:rPr>
                <w:rFonts w:ascii="宋体" w:hAnsi="宋体" w:eastAsia="宋体" w:cs="宋体"/>
                <w:kern w:val="0"/>
                <w:sz w:val="24"/>
                <w:szCs w:val="24"/>
              </w:rPr>
            </w:pPr>
            <w:r>
              <w:rPr>
                <w:rFonts w:ascii="宋体" w:hAnsi="宋体" w:eastAsia="宋体" w:cs="宋体"/>
                <w:kern w:val="0"/>
                <w:sz w:val="24"/>
                <w:szCs w:val="24"/>
              </w:rPr>
              <w:t>饱和过渡期，接近最大容量</w:t>
            </w:r>
          </w:p>
        </w:tc>
      </w:tr>
      <w:tr w14:paraId="4B40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22653F2">
            <w:pPr>
              <w:widowControl/>
              <w:jc w:val="left"/>
              <w:rPr>
                <w:rFonts w:ascii="宋体" w:hAnsi="宋体" w:eastAsia="宋体" w:cs="宋体"/>
                <w:kern w:val="0"/>
                <w:sz w:val="24"/>
                <w:szCs w:val="24"/>
              </w:rPr>
            </w:pPr>
            <w:r>
              <w:rPr>
                <w:rFonts w:hint="eastAsia" w:ascii="宋体" w:hAnsi="宋体" w:eastAsia="宋体" w:cs="宋体"/>
                <w:kern w:val="0"/>
                <w:sz w:val="24"/>
                <w:szCs w:val="24"/>
              </w:rPr>
              <w:t>3</w:t>
            </w:r>
            <w:r>
              <w:rPr>
                <w:rFonts w:ascii="宋体" w:hAnsi="宋体" w:eastAsia="宋体" w:cs="宋体"/>
                <w:kern w:val="0"/>
                <w:sz w:val="24"/>
                <w:szCs w:val="24"/>
              </w:rPr>
              <w:t>65</w:t>
            </w:r>
          </w:p>
        </w:tc>
        <w:tc>
          <w:tcPr>
            <w:tcW w:w="2765" w:type="dxa"/>
          </w:tcPr>
          <w:p w14:paraId="756DCB66">
            <w:pPr>
              <w:widowControl/>
              <w:jc w:val="left"/>
              <w:rPr>
                <w:rFonts w:ascii="宋体" w:hAnsi="宋体" w:eastAsia="宋体" w:cs="宋体"/>
                <w:kern w:val="0"/>
                <w:sz w:val="24"/>
                <w:szCs w:val="24"/>
              </w:rPr>
            </w:pPr>
            <w:r>
              <w:rPr>
                <w:rFonts w:ascii="宋体" w:hAnsi="宋体" w:eastAsia="宋体" w:cs="宋体"/>
                <w:kern w:val="0"/>
                <w:sz w:val="24"/>
                <w:szCs w:val="24"/>
              </w:rPr>
              <w:t>8002</w:t>
            </w:r>
          </w:p>
        </w:tc>
        <w:tc>
          <w:tcPr>
            <w:tcW w:w="3679" w:type="dxa"/>
          </w:tcPr>
          <w:p w14:paraId="78F97047">
            <w:pPr>
              <w:widowControl/>
              <w:jc w:val="left"/>
              <w:rPr>
                <w:rFonts w:ascii="宋体" w:hAnsi="宋体" w:eastAsia="宋体" w:cs="宋体"/>
                <w:kern w:val="0"/>
                <w:sz w:val="24"/>
                <w:szCs w:val="24"/>
              </w:rPr>
            </w:pPr>
            <w:r>
              <w:rPr>
                <w:rFonts w:ascii="宋体" w:hAnsi="宋体" w:eastAsia="宋体" w:cs="宋体"/>
                <w:kern w:val="0"/>
                <w:sz w:val="24"/>
                <w:szCs w:val="24"/>
              </w:rPr>
              <w:t>优化满一年，接近理论饱和值</w:t>
            </w:r>
          </w:p>
        </w:tc>
      </w:tr>
    </w:tbl>
    <w:p w14:paraId="731792BE">
      <w:pPr>
        <w:widowControl/>
        <w:jc w:val="left"/>
        <w:rPr>
          <w:rFonts w:ascii="宋体" w:hAnsi="宋体" w:eastAsia="宋体" w:cs="宋体"/>
          <w:kern w:val="0"/>
          <w:sz w:val="24"/>
          <w:szCs w:val="24"/>
        </w:rPr>
      </w:pPr>
    </w:p>
    <w:p w14:paraId="35F59C85">
      <w:pPr>
        <w:widowControl/>
        <w:jc w:val="left"/>
        <w:rPr>
          <w:rFonts w:ascii="宋体" w:hAnsi="宋体" w:eastAsia="宋体" w:cs="宋体"/>
          <w:kern w:val="0"/>
          <w:sz w:val="24"/>
          <w:szCs w:val="24"/>
        </w:rPr>
      </w:pPr>
      <w:r>
        <w:rPr>
          <w:rFonts w:ascii="宋体" w:hAnsi="宋体" w:eastAsia="宋体" w:cs="宋体"/>
          <w:kern w:val="0"/>
          <w:sz w:val="24"/>
          <w:szCs w:val="24"/>
        </w:rPr>
        <w:t>（c）参数灵敏度对照数据：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tblGrid>
      <w:tr w14:paraId="510A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C43A6E6">
            <w:pPr>
              <w:widowControl/>
              <w:jc w:val="left"/>
              <w:rPr>
                <w:rFonts w:ascii="宋体" w:hAnsi="宋体" w:eastAsia="宋体" w:cs="宋体"/>
                <w:kern w:val="0"/>
                <w:sz w:val="24"/>
                <w:szCs w:val="24"/>
              </w:rPr>
            </w:pPr>
            <w:r>
              <w:rPr>
                <w:rFonts w:ascii="宋体" w:hAnsi="宋体" w:eastAsia="宋体" w:cs="宋体"/>
                <w:kern w:val="0"/>
                <w:sz w:val="24"/>
                <w:szCs w:val="24"/>
              </w:rPr>
              <w:t>参数名称</w:t>
            </w:r>
          </w:p>
        </w:tc>
        <w:tc>
          <w:tcPr>
            <w:tcW w:w="2765" w:type="dxa"/>
          </w:tcPr>
          <w:p w14:paraId="041DAECA">
            <w:pPr>
              <w:widowControl/>
              <w:jc w:val="left"/>
              <w:rPr>
                <w:rFonts w:ascii="宋体" w:hAnsi="宋体" w:eastAsia="宋体" w:cs="宋体"/>
                <w:kern w:val="0"/>
                <w:sz w:val="24"/>
                <w:szCs w:val="24"/>
              </w:rPr>
            </w:pPr>
            <w:r>
              <w:rPr>
                <w:rFonts w:ascii="宋体" w:hAnsi="宋体" w:eastAsia="宋体" w:cs="宋体"/>
                <w:kern w:val="0"/>
                <w:sz w:val="24"/>
                <w:szCs w:val="24"/>
              </w:rPr>
              <w:t>波动幅度</w:t>
            </w:r>
          </w:p>
        </w:tc>
      </w:tr>
      <w:tr w14:paraId="6B92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8391DA8">
            <w:pPr>
              <w:widowControl/>
              <w:jc w:val="left"/>
              <w:rPr>
                <w:rFonts w:ascii="宋体" w:hAnsi="宋体" w:eastAsia="宋体" w:cs="宋体"/>
                <w:kern w:val="0"/>
                <w:sz w:val="24"/>
                <w:szCs w:val="24"/>
              </w:rPr>
            </w:pPr>
            <w:r>
              <w:rPr>
                <w:rFonts w:ascii="宋体" w:hAnsi="宋体" w:eastAsia="宋体" w:cs="宋体"/>
                <w:kern w:val="0"/>
                <w:sz w:val="24"/>
                <w:szCs w:val="24"/>
              </w:rPr>
              <w:t>固有增长率</w:t>
            </w:r>
            <m:oMath>
              <m:r>
                <m:rPr>
                  <m:sty m:val="p"/>
                </m:rPr>
                <w:rPr>
                  <w:rFonts w:ascii="Cambria Math" w:hAnsi="Cambria Math" w:eastAsia="宋体" w:cs="宋体"/>
                  <w:kern w:val="0"/>
                  <w:sz w:val="24"/>
                  <w:szCs w:val="24"/>
                </w:rPr>
                <m:t>γ</m:t>
              </m:r>
            </m:oMath>
          </w:p>
        </w:tc>
        <w:tc>
          <w:tcPr>
            <w:tcW w:w="2765" w:type="dxa"/>
          </w:tcPr>
          <w:p w14:paraId="37BD2493">
            <w:pPr>
              <w:widowControl/>
              <w:jc w:val="left"/>
              <w:rPr>
                <w:rFonts w:ascii="宋体" w:hAnsi="宋体" w:eastAsia="宋体" w:cs="宋体"/>
                <w:kern w:val="0"/>
                <w:sz w:val="24"/>
                <w:szCs w:val="24"/>
              </w:rPr>
            </w:pPr>
            <w:r>
              <w:rPr>
                <w:rFonts w:ascii="宋体" w:hAnsi="宋体" w:eastAsia="宋体" w:cs="宋体"/>
                <w:kern w:val="0"/>
                <w:sz w:val="24"/>
                <w:szCs w:val="24"/>
              </w:rPr>
              <w:t>±10%</w:t>
            </w:r>
          </w:p>
        </w:tc>
      </w:tr>
      <w:tr w14:paraId="6D6E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2D62467">
            <w:pPr>
              <w:widowControl/>
              <w:jc w:val="left"/>
              <w:rPr>
                <w:rFonts w:ascii="宋体" w:hAnsi="宋体" w:eastAsia="宋体" w:cs="宋体"/>
                <w:kern w:val="0"/>
                <w:sz w:val="24"/>
                <w:szCs w:val="24"/>
              </w:rPr>
            </w:pPr>
            <w:r>
              <w:rPr>
                <w:rFonts w:ascii="宋体" w:hAnsi="宋体" w:eastAsia="宋体" w:cs="宋体"/>
                <w:kern w:val="0"/>
                <w:sz w:val="24"/>
                <w:szCs w:val="24"/>
              </w:rPr>
              <w:t>促进系数</w:t>
            </w:r>
            <m:oMath>
              <m:r>
                <m:rPr>
                  <m:sty m:val="p"/>
                </m:rPr>
                <w:rPr>
                  <w:rFonts w:ascii="Cambria Math" w:hAnsi="Cambria Math" w:eastAsia="宋体" w:cs="宋体"/>
                  <w:kern w:val="0"/>
                  <w:sz w:val="24"/>
                  <w:szCs w:val="24"/>
                </w:rPr>
                <m:t>α</m:t>
              </m:r>
            </m:oMath>
          </w:p>
        </w:tc>
        <w:tc>
          <w:tcPr>
            <w:tcW w:w="2765" w:type="dxa"/>
          </w:tcPr>
          <w:p w14:paraId="1B4AFB43">
            <w:pPr>
              <w:widowControl/>
              <w:jc w:val="left"/>
              <w:rPr>
                <w:rFonts w:ascii="宋体" w:hAnsi="宋体" w:eastAsia="宋体" w:cs="宋体"/>
                <w:kern w:val="0"/>
                <w:sz w:val="24"/>
                <w:szCs w:val="24"/>
              </w:rPr>
            </w:pPr>
            <w:r>
              <w:rPr>
                <w:rFonts w:ascii="宋体" w:hAnsi="宋体" w:eastAsia="宋体" w:cs="宋体"/>
                <w:kern w:val="0"/>
                <w:sz w:val="24"/>
                <w:szCs w:val="24"/>
              </w:rPr>
              <w:t>±10%</w:t>
            </w:r>
          </w:p>
        </w:tc>
      </w:tr>
      <w:tr w14:paraId="509A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500003E">
            <w:pPr>
              <w:widowControl/>
              <w:jc w:val="left"/>
              <w:rPr>
                <w:rFonts w:ascii="宋体" w:hAnsi="宋体" w:eastAsia="宋体" w:cs="宋体"/>
                <w:kern w:val="0"/>
                <w:sz w:val="24"/>
                <w:szCs w:val="24"/>
              </w:rPr>
            </w:pPr>
            <w:r>
              <w:rPr>
                <w:rFonts w:ascii="宋体" w:hAnsi="宋体" w:eastAsia="宋体" w:cs="宋体"/>
                <w:kern w:val="0"/>
                <w:sz w:val="24"/>
                <w:szCs w:val="24"/>
              </w:rPr>
              <w:t>抑制系数</w:t>
            </w:r>
            <m:oMath>
              <m:r>
                <m:rPr>
                  <m:sty m:val="p"/>
                </m:rPr>
                <w:rPr>
                  <w:rFonts w:ascii="Cambria Math" w:hAnsi="Cambria Math" w:eastAsia="宋体" w:cs="宋体"/>
                  <w:kern w:val="0"/>
                  <w:sz w:val="24"/>
                  <w:szCs w:val="24"/>
                </w:rPr>
                <m:t>β</m:t>
              </m:r>
            </m:oMath>
          </w:p>
        </w:tc>
        <w:tc>
          <w:tcPr>
            <w:tcW w:w="2765" w:type="dxa"/>
          </w:tcPr>
          <w:p w14:paraId="3D7FB5D0">
            <w:pPr>
              <w:widowControl/>
              <w:jc w:val="left"/>
              <w:rPr>
                <w:rFonts w:ascii="宋体" w:hAnsi="宋体" w:eastAsia="宋体" w:cs="宋体"/>
                <w:kern w:val="0"/>
                <w:sz w:val="24"/>
                <w:szCs w:val="24"/>
              </w:rPr>
            </w:pPr>
            <w:r>
              <w:rPr>
                <w:rFonts w:ascii="宋体" w:hAnsi="宋体" w:eastAsia="宋体" w:cs="宋体"/>
                <w:kern w:val="0"/>
                <w:sz w:val="24"/>
                <w:szCs w:val="24"/>
              </w:rPr>
              <w:t>±10%</w:t>
            </w:r>
          </w:p>
        </w:tc>
      </w:tr>
      <w:tr w14:paraId="7625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EC4879D">
            <w:pPr>
              <w:widowControl/>
              <w:jc w:val="left"/>
              <w:rPr>
                <w:rFonts w:ascii="宋体" w:hAnsi="宋体" w:eastAsia="宋体" w:cs="宋体"/>
                <w:kern w:val="0"/>
                <w:sz w:val="24"/>
                <w:szCs w:val="24"/>
              </w:rPr>
            </w:pPr>
            <w:r>
              <w:rPr>
                <w:rFonts w:ascii="宋体" w:hAnsi="宋体" w:eastAsia="宋体" w:cs="宋体"/>
                <w:kern w:val="0"/>
                <w:sz w:val="24"/>
                <w:szCs w:val="24"/>
              </w:rPr>
              <w:t>潜在饱和总量</w:t>
            </w:r>
            <m:oMath>
              <m:r>
                <m:rPr>
                  <m:sty m:val="p"/>
                </m:rPr>
                <w:rPr>
                  <w:rFonts w:ascii="Cambria Math" w:hAnsi="Cambria Math" w:eastAsia="宋体" w:cs="宋体"/>
                  <w:kern w:val="0"/>
                  <w:sz w:val="24"/>
                  <w:szCs w:val="24"/>
                </w:rPr>
                <m:t>K</m:t>
              </m:r>
            </m:oMath>
          </w:p>
        </w:tc>
        <w:tc>
          <w:tcPr>
            <w:tcW w:w="2765" w:type="dxa"/>
          </w:tcPr>
          <w:p w14:paraId="5B3A2C80">
            <w:pPr>
              <w:widowControl/>
              <w:jc w:val="left"/>
              <w:rPr>
                <w:rFonts w:ascii="宋体" w:hAnsi="宋体" w:eastAsia="宋体" w:cs="宋体"/>
                <w:kern w:val="0"/>
                <w:sz w:val="24"/>
                <w:szCs w:val="24"/>
              </w:rPr>
            </w:pPr>
            <w:r>
              <w:rPr>
                <w:rFonts w:ascii="宋体" w:hAnsi="宋体" w:eastAsia="宋体" w:cs="宋体"/>
                <w:kern w:val="0"/>
                <w:sz w:val="24"/>
                <w:szCs w:val="24"/>
              </w:rPr>
              <w:t>±10%</w:t>
            </w:r>
          </w:p>
        </w:tc>
      </w:tr>
    </w:tbl>
    <w:p w14:paraId="0D137333">
      <w:pPr>
        <w:widowControl/>
        <w:jc w:val="left"/>
        <w:rPr>
          <w:rFonts w:ascii="宋体" w:hAnsi="宋体" w:eastAsia="宋体" w:cs="宋体"/>
          <w:kern w:val="0"/>
          <w:sz w:val="24"/>
          <w:szCs w:val="24"/>
        </w:rPr>
      </w:pPr>
    </w:p>
    <w:p w14:paraId="4870D5A9">
      <w:pPr>
        <w:widowControl/>
        <w:jc w:val="left"/>
        <w:rPr>
          <w:rFonts w:ascii="宋体" w:hAnsi="宋体" w:eastAsia="宋体" w:cs="宋体"/>
          <w:kern w:val="0"/>
          <w:sz w:val="24"/>
          <w:szCs w:val="24"/>
        </w:rPr>
      </w:pPr>
    </w:p>
    <w:p w14:paraId="406822DA">
      <w:pPr>
        <w:keepNext w:val="0"/>
        <w:keepLines w:val="0"/>
        <w:widowControl/>
        <w:suppressLineNumbers w:val="0"/>
        <w:jc w:val="left"/>
        <w:rPr>
          <w:rFonts w:ascii="瀹嬩綋" w:hAnsi="瀹嬩綋" w:eastAsia="瀹嬩綋" w:cs="瀹嬩綋"/>
          <w:color w:val="000000"/>
          <w:kern w:val="0"/>
          <w:sz w:val="21"/>
          <w:szCs w:val="21"/>
          <w:lang w:val="en-US" w:eastAsia="zh-CN" w:bidi="ar"/>
        </w:rPr>
      </w:pPr>
      <w:r>
        <w:rPr>
          <w:rFonts w:hint="eastAsia" w:cs="Arial" w:asciiTheme="minorEastAsia" w:hAnsiTheme="minorEastAsia"/>
          <w:b/>
          <w:sz w:val="32"/>
          <w:szCs w:val="32"/>
          <w:lang w:val="en-US" w:eastAsia="zh-CN"/>
        </w:rPr>
        <w:t xml:space="preserve">B </w:t>
      </w:r>
      <w:r>
        <w:rPr>
          <w:rFonts w:cs="Arial" w:asciiTheme="minorEastAsia" w:hAnsiTheme="minorEastAsia"/>
          <w:b/>
          <w:sz w:val="32"/>
          <w:szCs w:val="32"/>
          <w:lang w:val="en-US" w:eastAsia="zh-CN"/>
        </w:rPr>
        <w:t>黄河水沙通量的变化规律</w:t>
      </w:r>
    </w:p>
    <w:p w14:paraId="487E44CB">
      <w:pPr>
        <w:widowControl/>
        <w:spacing w:line="440" w:lineRule="exact"/>
        <w:jc w:val="left"/>
        <w:rPr>
          <w:rFonts w:ascii="宋体" w:hAnsi="宋体" w:eastAsia="宋体" w:cs="宋体"/>
          <w:kern w:val="0"/>
          <w:sz w:val="24"/>
          <w:szCs w:val="24"/>
        </w:rPr>
      </w:pPr>
      <w:r>
        <w:rPr>
          <w:rFonts w:ascii="宋体" w:hAnsi="宋体" w:eastAsia="宋体" w:cs="宋体"/>
          <w:kern w:val="0"/>
          <w:sz w:val="24"/>
          <w:szCs w:val="24"/>
          <w:lang w:val="en-US" w:eastAsia="zh-CN"/>
        </w:rPr>
        <w:t>黄河是中华民族的母亲河。研究黄河水沙通量的变化规律对沿黄流域的环境治理、气候</w:t>
      </w:r>
      <w:r>
        <w:rPr>
          <w:rFonts w:hint="default" w:ascii="宋体" w:hAnsi="宋体" w:eastAsia="宋体" w:cs="宋体"/>
          <w:kern w:val="0"/>
          <w:sz w:val="24"/>
          <w:szCs w:val="24"/>
          <w:lang w:val="en-US" w:eastAsia="zh-CN"/>
        </w:rPr>
        <w:t xml:space="preserve">变化和人民生活的影响，以及对优化黄河流域水资源分配、协调人地关系、调水调沙、防洪减灾 等方面都具有重要的理论指导意义。 </w:t>
      </w:r>
    </w:p>
    <w:p w14:paraId="0DBD16CD">
      <w:pPr>
        <w:widowControl/>
        <w:spacing w:line="440" w:lineRule="exact"/>
        <w:jc w:val="left"/>
      </w:pPr>
      <w:r>
        <w:rPr>
          <w:rFonts w:hint="default" w:ascii="宋体" w:hAnsi="宋体" w:eastAsia="宋体" w:cs="宋体"/>
          <w:kern w:val="0"/>
          <w:sz w:val="24"/>
          <w:szCs w:val="24"/>
          <w:lang w:val="en-US" w:eastAsia="zh-CN"/>
        </w:rPr>
        <w:t xml:space="preserve">附件 </w:t>
      </w:r>
      <w:r>
        <w:rPr>
          <w:rFonts w:ascii="宋体" w:hAnsi="宋体" w:eastAsia="宋体" w:cs="宋体"/>
          <w:kern w:val="0"/>
          <w:sz w:val="24"/>
          <w:szCs w:val="24"/>
          <w:lang w:val="en-US" w:eastAsia="zh-CN"/>
        </w:rPr>
        <w:t>1</w:t>
      </w:r>
      <w:r>
        <w:rPr>
          <w:rFonts w:hint="default" w:ascii="宋体" w:hAnsi="宋体" w:eastAsia="宋体" w:cs="宋体"/>
          <w:kern w:val="0"/>
          <w:sz w:val="24"/>
          <w:szCs w:val="24"/>
          <w:lang w:val="en-US" w:eastAsia="zh-CN"/>
        </w:rPr>
        <w:t>给出了位于小浪底水库下游黄河某水文站近6年的水位、水流量与含沙量的实际监测数据，附件 2 给出了该水文站近 6 年黄河断面的测量数据，附件 3给出了该水文站部分监测 点的相关数据。请建立数学模型研究以下问题：</w:t>
      </w:r>
      <w:r>
        <w:rPr>
          <w:rFonts w:hint="default" w:ascii="瀹嬩綋" w:hAnsi="瀹嬩綋" w:eastAsia="瀹嬩綋" w:cs="瀹嬩綋"/>
          <w:color w:val="000000"/>
          <w:kern w:val="0"/>
          <w:sz w:val="21"/>
          <w:szCs w:val="21"/>
          <w:lang w:val="en-US" w:eastAsia="zh-CN" w:bidi="ar"/>
        </w:rPr>
        <w:t xml:space="preserve"> </w:t>
      </w:r>
    </w:p>
    <w:p w14:paraId="3B1D5D7E">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b/>
          <w:bCs/>
          <w:kern w:val="0"/>
          <w:sz w:val="24"/>
          <w:szCs w:val="24"/>
          <w:lang w:val="en-US" w:eastAsia="zh-CN"/>
        </w:rPr>
        <w:t>问题 1</w:t>
      </w:r>
      <w:r>
        <w:rPr>
          <w:rFonts w:hint="default" w:ascii="宋体" w:hAnsi="宋体" w:eastAsia="宋体" w:cs="宋体"/>
          <w:kern w:val="0"/>
          <w:sz w:val="24"/>
          <w:szCs w:val="24"/>
          <w:lang w:val="en-US" w:eastAsia="zh-CN"/>
        </w:rPr>
        <w:t xml:space="preserve"> 附件 2 提供了不同年份的断面测量数据。请定义或引入“河床断面形态熵</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Morphological Entropy</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”或其他几何特征指标，定量刻画该监测站断面形状的复杂程度与稳定性。请建立模型分析在“调水调沙”期间，水沙通量的剧烈变化是如何驱动断面几何形状演化的</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例如：是变窄加深还是变宽变浅？</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 xml:space="preserve">。基于耗散结构理论或动力学系统理论，预测在当前气候波动条件下，该河段断面是否存在一个“演化稳态”。若未来 10 年不进行人为干预，请建立模型论证该断面形态将趋向于某种特定的几何拓扑结构，还是会发生不可逆的形态崩溃（如剧烈的侧蚀或下切）。 </w:t>
      </w:r>
    </w:p>
    <w:p w14:paraId="776D74F0">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b/>
          <w:bCs/>
          <w:kern w:val="0"/>
          <w:sz w:val="24"/>
          <w:szCs w:val="24"/>
          <w:lang w:val="en-US" w:eastAsia="zh-CN"/>
        </w:rPr>
        <w:t>问题 2</w:t>
      </w:r>
      <w:r>
        <w:rPr>
          <w:rFonts w:hint="default" w:ascii="宋体" w:hAnsi="宋体" w:eastAsia="宋体" w:cs="宋体"/>
          <w:kern w:val="0"/>
          <w:sz w:val="24"/>
          <w:szCs w:val="24"/>
          <w:lang w:val="en-US" w:eastAsia="zh-CN"/>
        </w:rPr>
        <w:t xml:space="preserve"> 假设监测站的传感器存在一定的测量噪声和失效风险，且不同监测点</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附件 3</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之间存在空间相关性。请建立一个“信息价值</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 xml:space="preserve">Value of </w:t>
      </w:r>
      <w:r>
        <w:rPr>
          <w:rFonts w:hint="eastAsia" w:ascii="宋体" w:hAnsi="宋体" w:eastAsia="宋体" w:cs="宋体"/>
          <w:kern w:val="0"/>
          <w:sz w:val="24"/>
          <w:szCs w:val="24"/>
          <w:lang w:val="en-US" w:eastAsia="zh-CN"/>
        </w:rPr>
        <w:t xml:space="preserve"> </w:t>
      </w:r>
      <w:r>
        <w:rPr>
          <w:rFonts w:hint="default" w:ascii="宋体" w:hAnsi="宋体" w:eastAsia="宋体" w:cs="宋体"/>
          <w:kern w:val="0"/>
          <w:sz w:val="24"/>
          <w:szCs w:val="24"/>
          <w:lang w:val="en-US" w:eastAsia="zh-CN"/>
        </w:rPr>
        <w:t>Information, VoI</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”评估模型，量化每一个监测点对于还原整条河流动力学特征的贡献度。如果必须关停 30% 的监测点以节约成本，请给出最优的</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关停序列”。设计一套简便易行的“自适应采样规则”。该规则需基于易观测指标</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如水位实时波动率</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来触发高频采样指令。例如：</w:t>
      </w:r>
      <w:r>
        <w:rPr>
          <w:rFonts w:ascii="宋体" w:hAnsi="宋体" w:eastAsia="宋体" w:cs="宋体"/>
          <w:kern w:val="0"/>
          <w:sz w:val="24"/>
          <w:szCs w:val="24"/>
          <w:lang w:val="en-US" w:eastAsia="zh-CN"/>
        </w:rPr>
        <w:t xml:space="preserve"> </w:t>
      </w:r>
    </w:p>
    <w:p w14:paraId="7C8C11B4">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当水位每小时变化超过 H_0 时，采样频率提升为每 X 小时一次； </w:t>
      </w:r>
    </w:p>
    <w:p w14:paraId="3BB9CF2B">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当含沙量低于阈值 S_0 时，降低采样频率。 </w:t>
      </w:r>
    </w:p>
    <w:p w14:paraId="528B0794">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b/>
          <w:bCs/>
          <w:kern w:val="0"/>
          <w:sz w:val="24"/>
          <w:szCs w:val="24"/>
          <w:lang w:val="en-US" w:eastAsia="zh-CN"/>
        </w:rPr>
        <w:t>方案效能验证：</w:t>
      </w:r>
      <w:r>
        <w:rPr>
          <w:rFonts w:hint="default" w:ascii="宋体" w:hAnsi="宋体" w:eastAsia="宋体" w:cs="宋体"/>
          <w:kern w:val="0"/>
          <w:sz w:val="24"/>
          <w:szCs w:val="24"/>
          <w:lang w:val="en-US" w:eastAsia="zh-CN"/>
        </w:rPr>
        <w:t xml:space="preserve"> 利用 2016-2021 年的实测数据作为“全样本真值”，对比你的“自适应采样方案”与“每周固定频率采样方案”。在相同采样次数下，哪种方案对年总排沙量的估算误差更小？请给出量化评价。 </w:t>
      </w:r>
    </w:p>
    <w:p w14:paraId="4430B716">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附件 1 2016-2021 年黄河水沙监测数据 </w:t>
      </w:r>
    </w:p>
    <w:p w14:paraId="7F01529D">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附件 2 黄河断面的测量数据 </w:t>
      </w:r>
    </w:p>
    <w:p w14:paraId="2833CDA7">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附件 3 黄河部分监测点的监测数据 </w:t>
      </w:r>
    </w:p>
    <w:p w14:paraId="6AB45617">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 xml:space="preserve">附录说明 </w:t>
      </w:r>
    </w:p>
    <w:p w14:paraId="503EB52D">
      <w:pPr>
        <w:widowControl/>
        <w:spacing w:line="440" w:lineRule="exact"/>
        <w:jc w:val="left"/>
        <w:rPr>
          <w:rFonts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(1)“水位”和“河底高程”均以“1985国家高程基准”</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海拔72.26米</w:t>
      </w:r>
      <w:r>
        <w:rPr>
          <w:rFonts w:hint="eastAsia" w:ascii="宋体" w:hAnsi="宋体" w:eastAsia="宋体" w:cs="宋体"/>
          <w:kern w:val="0"/>
          <w:sz w:val="24"/>
          <w:szCs w:val="24"/>
          <w:lang w:val="en-US" w:eastAsia="zh-CN"/>
        </w:rPr>
        <w:t>)</w:t>
      </w:r>
      <w:r>
        <w:rPr>
          <w:rFonts w:hint="default" w:ascii="宋体" w:hAnsi="宋体" w:eastAsia="宋体" w:cs="宋体"/>
          <w:kern w:val="0"/>
          <w:sz w:val="24"/>
          <w:szCs w:val="24"/>
          <w:lang w:val="en-US" w:eastAsia="zh-CN"/>
        </w:rPr>
        <w:t xml:space="preserve">为基准面。 </w:t>
      </w:r>
    </w:p>
    <w:p w14:paraId="2E35305C">
      <w:pPr>
        <w:widowControl/>
        <w:spacing w:line="440" w:lineRule="exact"/>
        <w:jc w:val="left"/>
        <w:rPr>
          <w:rFonts w:hint="default" w:ascii="宋体" w:hAnsi="宋体" w:eastAsia="宋体" w:cs="宋体"/>
          <w:kern w:val="0"/>
          <w:sz w:val="24"/>
          <w:szCs w:val="24"/>
          <w:lang w:val="en-US" w:eastAsia="zh-CN"/>
        </w:rPr>
      </w:pPr>
      <w:r>
        <w:rPr>
          <w:rFonts w:hint="default" w:ascii="宋体" w:hAnsi="宋体" w:eastAsia="宋体" w:cs="宋体"/>
          <w:kern w:val="0"/>
          <w:sz w:val="24"/>
          <w:szCs w:val="24"/>
          <w:lang w:val="en-US" w:eastAsia="zh-CN"/>
        </w:rPr>
        <w:t>(2) 附件中的“起点距离”以河岸边某定点作为起点。</w:t>
      </w:r>
    </w:p>
    <w:p w14:paraId="5BDC86D3">
      <w:pPr>
        <w:widowControl/>
        <w:spacing w:line="440" w:lineRule="exact"/>
        <w:jc w:val="left"/>
        <w:rPr>
          <w:rFonts w:hint="default" w:ascii="宋体" w:hAnsi="宋体" w:eastAsia="宋体" w:cs="宋体"/>
          <w:kern w:val="0"/>
          <w:sz w:val="24"/>
          <w:szCs w:val="24"/>
          <w:lang w:val="en-US" w:eastAsia="zh-CN"/>
        </w:rPr>
      </w:pPr>
    </w:p>
    <w:p w14:paraId="1CAACC20">
      <w:pPr>
        <w:keepNext w:val="0"/>
        <w:keepLines w:val="0"/>
        <w:widowControl/>
        <w:suppressLineNumbers w:val="0"/>
        <w:jc w:val="left"/>
        <w:rPr>
          <w:rFonts w:hint="eastAsia" w:cs="Arial" w:asciiTheme="minorEastAsia" w:hAnsiTheme="minorEastAsia"/>
          <w:b/>
          <w:sz w:val="32"/>
          <w:szCs w:val="32"/>
          <w:lang w:val="en-US" w:eastAsia="zh-CN"/>
        </w:rPr>
      </w:pPr>
      <w:r>
        <w:rPr>
          <w:rFonts w:hint="eastAsia" w:cs="Arial" w:asciiTheme="minorEastAsia" w:hAnsiTheme="minorEastAsia"/>
          <w:b/>
          <w:sz w:val="32"/>
          <w:szCs w:val="32"/>
          <w:lang w:val="en-US" w:eastAsia="zh-CN"/>
        </w:rPr>
        <w:t>C 面向智慧社区的多无人机—物业人员联合巡检优化</w:t>
      </w:r>
    </w:p>
    <w:p w14:paraId="5F65BA7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随着智慧社区建设的发展，无人机正逐步应用于社区外立面检查、屋顶设施巡查、消防通道核查和公共空间安全巡检等任务。相较于传统人工巡检，无人机具有机动性强、空间可达性高和作业效率高等优势，但其巡检过程并非简单的“到点拍照”问题，还涉及任务分配、飞行路径、停留观测时间以及后续人工复核等多个环节。</w:t>
      </w:r>
    </w:p>
    <w:p w14:paraId="5CB06FE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某智慧社区计划构建“无人机巡检—物业复核”联合巡检机制。无人机首先对社区各巡检目标点进行空中巡检；在目标点处，无人机通过悬停观测获取该点的巡检信息。一般而言，停留时间越长，对目标点状态的识别结果越可靠。若某目标点的累计停留时间达到要求，则认为该点可由无人机直接确认；否则，需由物业人员前往现场进一步复核。</w:t>
      </w:r>
    </w:p>
    <w:p w14:paraId="77C2D679">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现给出社区巡检目标点的位置、优先级、目标点之间的飞行时间与飞行能耗、无人机参数、换电时间、各目标点的基础巡检时间要求、无人机直接确认所需的累计停留时间阈值，以及物业人员地面复核通行时间等数据。请建立数学模型，完成以下问题。</w:t>
      </w:r>
    </w:p>
    <w:p w14:paraId="08AAD812">
      <w:pPr>
        <w:widowControl/>
        <w:spacing w:line="440" w:lineRule="exact"/>
        <w:jc w:val="left"/>
        <w:rPr>
          <w:rFonts w:ascii="宋体" w:hAnsi="宋体" w:eastAsia="宋体" w:cs="宋体"/>
          <w:b/>
          <w:bCs/>
          <w:kern w:val="0"/>
          <w:sz w:val="24"/>
          <w:szCs w:val="24"/>
          <w:lang w:val="en-US" w:eastAsia="zh-CN"/>
        </w:rPr>
      </w:pPr>
      <w:r>
        <w:rPr>
          <w:rFonts w:ascii="宋体" w:hAnsi="宋体" w:eastAsia="宋体" w:cs="宋体"/>
          <w:b/>
          <w:bCs/>
          <w:kern w:val="0"/>
          <w:sz w:val="24"/>
          <w:szCs w:val="24"/>
          <w:lang w:val="en-US" w:eastAsia="zh-CN"/>
        </w:rPr>
        <w:t>一、基本说明</w:t>
      </w:r>
    </w:p>
    <w:p w14:paraId="1D2FE49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1. 社区服务中心记为节点 0，所有无人机均从节点 0 起飞，并在每次巡检任务结束后返回节点 0。</w:t>
      </w:r>
    </w:p>
    <w:p w14:paraId="516205B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2. 社区内共有 K 架同构无人机。每架无人机在运营时段内可执行多次巡检任务；每次返航后可更换电池并再次起飞，换电时间为常数 τ_b。</w:t>
      </w:r>
    </w:p>
    <w:p w14:paraId="38833865">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3. 巡检目标点集合记为 S={1,2,…,n}。无人机到达目标点 s 后，可在该点悬停停留一段时间，用于完成巡检观测。</w:t>
      </w:r>
    </w:p>
    <w:p w14:paraId="1D174386">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4. 目标点 s 可以被同一架无人机多次巡检，也可以由不同无人机分别巡检。其累计停留时间记为 T_s，即所有无人机在该目标点上的全部停留时间之和。</w:t>
      </w:r>
    </w:p>
    <w:p w14:paraId="20863470">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5. 每个目标点 s 均有一个基础巡检时间要求 ̲t_s（附件字段为 base_hover_time_s）。当 T_s≥̲t_s 时，认为该目标点完成了基本空中巡检。</w:t>
      </w:r>
    </w:p>
    <w:p w14:paraId="57966E79">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6. 附件已直接给出目标点 s 由无人机直接确认所需的累计停留时间阈值 h_s（附件字段为 direct_confirm_time_s）。当 T_s≥h_s 时，认为该点可由无人机直接确认；否则需由物业人员到场复核。</w:t>
      </w:r>
    </w:p>
    <w:p w14:paraId="4119043B">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7. 物业服务中心与社区服务中心同址；附件中无人机起降点记为节点 0，物业复核起点记为 P0，二者坐标一致。</w:t>
      </w:r>
    </w:p>
    <w:p w14:paraId="77C410F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8. operating_horizon_s 仅用于约束无人机阶段总作业时长；物业复核阶段耗时计入闭环总完成时间 T=T_u+T_g，但不再受 operating_horizon_s 直接限制。</w:t>
      </w:r>
    </w:p>
    <w:p w14:paraId="37CBC326">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9. 为降低建模复杂度，不考虑服务中心起降排队与空中动态避碰，只考虑飞行时间、飞行能耗、换电时间和地面复核通行时间。</w:t>
      </w:r>
    </w:p>
    <w:p w14:paraId="1F0A668B">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10. 附件中的 priority_level 与 priority_weight 可用于刻画高优先级点的提前完成需求、目标函数加权或结果分析；但所有目标点最终都必须满足基础巡检要求。</w:t>
      </w:r>
    </w:p>
    <w:p w14:paraId="6D0C9EE3">
      <w:pPr>
        <w:widowControl/>
        <w:spacing w:line="440" w:lineRule="exact"/>
        <w:jc w:val="left"/>
        <w:rPr>
          <w:rFonts w:ascii="宋体" w:hAnsi="宋体" w:eastAsia="宋体" w:cs="宋体"/>
          <w:kern w:val="0"/>
          <w:sz w:val="24"/>
          <w:szCs w:val="24"/>
          <w:lang w:val="en-US" w:eastAsia="zh-CN"/>
        </w:rPr>
      </w:pPr>
      <w:r>
        <w:rPr>
          <w:rFonts w:ascii="宋体" w:hAnsi="宋体" w:eastAsia="宋体" w:cs="宋体"/>
          <w:b/>
          <w:bCs/>
          <w:kern w:val="0"/>
          <w:sz w:val="24"/>
          <w:szCs w:val="24"/>
          <w:lang w:val="en-US" w:eastAsia="zh-CN"/>
        </w:rPr>
        <w:t>二、问题1：</w:t>
      </w:r>
      <w:r>
        <w:rPr>
          <w:rFonts w:ascii="宋体" w:hAnsi="宋体" w:eastAsia="宋体" w:cs="宋体"/>
          <w:kern w:val="0"/>
          <w:sz w:val="24"/>
          <w:szCs w:val="24"/>
          <w:lang w:val="en-US" w:eastAsia="zh-CN"/>
        </w:rPr>
        <w:t>多无人机协同巡检路径与停留时间优化</w:t>
      </w:r>
    </w:p>
    <w:p w14:paraId="183853B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现考虑 K 架无人机协同执行社区巡检任务。请建立数学模型，确定：各巡检目标点由哪些无人机巡检；每架无人机执行多少次巡检任务；每次巡检任务访问哪些目标点以及访问顺序；各目标点的累计停留时间如何在不同无人机、不同任务之间分配。</w:t>
      </w:r>
    </w:p>
    <w:p w14:paraId="43F15B71">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在满足以下条件的前提下，使系统总巡检完成时间尽可能短，并兼顾高优先级点的早完成性、总飞行能耗与多机负载均衡：</w:t>
      </w:r>
    </w:p>
    <w:p w14:paraId="1D4DD97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（1）每个目标点均需完成基本空中巡检，即 T_s≥base_hover_time_s；</w:t>
      </w:r>
    </w:p>
    <w:p w14:paraId="4E9C74C9">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 xml:space="preserve">    每次飞行任务的总能耗不得超过单次可用电量上限 effective_energy_limit_J；</w:t>
      </w:r>
    </w:p>
    <w:p w14:paraId="6339129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 xml:space="preserve">    所有任务须在给定运营时段 operating_horizon_s 内完成。</w:t>
      </w:r>
    </w:p>
    <w:p w14:paraId="1F8B2750">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其中，系统总巡检完成时间定义为所有无人机完成其全部巡检任务所需时间的最大值。</w:t>
      </w:r>
    </w:p>
    <w:p w14:paraId="386FF69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（1）比较不同无人机数量 K=1,2,3,… 时系统总巡检完成时间、总飞行能耗和多机负载均衡程度的变化；</w:t>
      </w:r>
    </w:p>
    <w:p w14:paraId="3A53C01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（2）分析换电时间 τ_b 对巡检效率的影响；</w:t>
      </w:r>
    </w:p>
    <w:p w14:paraId="39FE20C1">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（3）结合边际收益递减特征，给出推荐的无人机配置规模，并说明理由。</w:t>
      </w:r>
    </w:p>
    <w:p w14:paraId="653B6E7E">
      <w:pPr>
        <w:widowControl/>
        <w:spacing w:line="440" w:lineRule="exact"/>
        <w:jc w:val="left"/>
        <w:rPr>
          <w:rFonts w:ascii="宋体" w:hAnsi="宋体" w:eastAsia="宋体" w:cs="宋体"/>
          <w:kern w:val="0"/>
          <w:sz w:val="24"/>
          <w:szCs w:val="24"/>
          <w:lang w:val="en-US" w:eastAsia="zh-CN"/>
        </w:rPr>
      </w:pPr>
      <w:r>
        <w:rPr>
          <w:rFonts w:ascii="宋体" w:hAnsi="宋体" w:eastAsia="宋体" w:cs="宋体"/>
          <w:b/>
          <w:bCs/>
          <w:kern w:val="0"/>
          <w:sz w:val="24"/>
          <w:szCs w:val="24"/>
          <w:lang w:val="en-US" w:eastAsia="zh-CN"/>
        </w:rPr>
        <w:t>三、问题2：</w:t>
      </w:r>
      <w:r>
        <w:rPr>
          <w:rFonts w:ascii="宋体" w:hAnsi="宋体" w:eastAsia="宋体" w:cs="宋体"/>
          <w:kern w:val="0"/>
          <w:sz w:val="24"/>
          <w:szCs w:val="24"/>
          <w:lang w:val="en-US" w:eastAsia="zh-CN"/>
        </w:rPr>
        <w:t>多无人机—物业人员联合巡检闭环优化</w:t>
      </w:r>
    </w:p>
    <w:p w14:paraId="340AC492">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在问题1基础上，进一步考虑目标点的无人机直接确认与物业人工复核。若某目标点 s 的累计停留时间 T_s≥direct_confirm_time_s，则认为该目标点由无人机直接确认完成；若 T_s&lt;direct_confirm_time_s，则该目标点需由物业人员到场复核。物业人员在无人机完成全部空中巡检后统一出发，依次完成所有待复核点位。</w:t>
      </w:r>
    </w:p>
    <w:p w14:paraId="1C23E4FD">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请建立联合优化模型，确定：多架无人机的任务分配、任务次数、访问顺序和各目标点停留时间；哪些目标点由无人机直接确认；哪些目标点需转交物业人员复核；以及物业人员的复核顺序与地面路径安排。</w:t>
      </w:r>
    </w:p>
    <w:p w14:paraId="2814907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在满足问题1相关约束的基础上，尽量兼顾以下目标：缩短无人机巡检阶段完成时间；减少需物业人工复核的目标点数量，尤其是高优先级目标点；缩短物业复核总耗时；提高整体巡检闭环效率。可将总闭环完成时间表示为 T=T_u+T_g，其中 T_u 为无人机巡检阶段完成时间，T_g 为物业复核阶段完成时间。</w:t>
      </w:r>
    </w:p>
    <w:p w14:paraId="37F79EF8">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（1）比较“仅完成基础空中巡检”与“兼顾无人机直接确认能力的联合巡检方案”在总完成时间和人工复核工作量上的差异；</w:t>
      </w:r>
    </w:p>
    <w:p w14:paraId="319A533B">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（2）分析不同无人机数量 K 下，总闭环完成时间、人工复核点数和无人机直接确认比例的变化；</w:t>
      </w:r>
    </w:p>
    <w:p w14:paraId="0877CEAF">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（3）分析不同 direct_confirm_time_s 设定下，人工复核工作量与整体闭环效率的变化；</w:t>
      </w:r>
    </w:p>
    <w:p w14:paraId="7740D7A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（4）给出推荐的无人机配置与阈值设定建议。</w:t>
      </w:r>
    </w:p>
    <w:p w14:paraId="0D9E17D5">
      <w:pPr>
        <w:widowControl/>
        <w:spacing w:line="440" w:lineRule="exact"/>
        <w:jc w:val="left"/>
        <w:rPr>
          <w:rFonts w:ascii="宋体" w:hAnsi="宋体" w:eastAsia="宋体" w:cs="宋体"/>
          <w:b/>
          <w:bCs/>
          <w:kern w:val="0"/>
          <w:sz w:val="24"/>
          <w:szCs w:val="24"/>
          <w:lang w:val="en-US" w:eastAsia="zh-CN"/>
        </w:rPr>
      </w:pPr>
      <w:r>
        <w:rPr>
          <w:rFonts w:ascii="宋体" w:hAnsi="宋体" w:eastAsia="宋体" w:cs="宋体"/>
          <w:b/>
          <w:bCs/>
          <w:kern w:val="0"/>
          <w:sz w:val="24"/>
          <w:szCs w:val="24"/>
          <w:lang w:val="en-US" w:eastAsia="zh-CN"/>
        </w:rPr>
        <w:t>四、附件说明</w:t>
      </w:r>
    </w:p>
    <w:p w14:paraId="05050B18">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本题配套附件为“</w:t>
      </w:r>
      <w:r>
        <w:rPr>
          <w:rFonts w:hint="eastAsia" w:ascii="宋体" w:hAnsi="宋体" w:eastAsia="宋体" w:cs="宋体"/>
          <w:kern w:val="0"/>
          <w:sz w:val="24"/>
          <w:szCs w:val="24"/>
          <w:lang w:val="en-US" w:eastAsia="zh-CN"/>
        </w:rPr>
        <w:t>2026C数据</w:t>
      </w:r>
      <w:r>
        <w:rPr>
          <w:rFonts w:ascii="宋体" w:hAnsi="宋体" w:eastAsia="宋体" w:cs="宋体"/>
          <w:kern w:val="0"/>
          <w:sz w:val="24"/>
          <w:szCs w:val="24"/>
          <w:lang w:val="en-US" w:eastAsia="zh-CN"/>
        </w:rPr>
        <w:t>.xlsx”。其中关键工作表及用途如下。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6213"/>
      </w:tblGrid>
      <w:tr w14:paraId="7C8A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D873A7D">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工作表</w:t>
            </w:r>
          </w:p>
        </w:tc>
        <w:tc>
          <w:tcPr>
            <w:tcW w:w="6213" w:type="dxa"/>
          </w:tcPr>
          <w:p w14:paraId="37DB8BAD">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用途</w:t>
            </w:r>
          </w:p>
        </w:tc>
      </w:tr>
      <w:tr w14:paraId="1BBF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5F4CE65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NodeData</w:t>
            </w:r>
          </w:p>
        </w:tc>
        <w:tc>
          <w:tcPr>
            <w:tcW w:w="6213" w:type="dxa"/>
          </w:tcPr>
          <w:p w14:paraId="242E354F">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目标点基础信息，包括坐标、优先级、基础巡检时间、直接确认时间阈值、物业复核点与现场服务时间。</w:t>
            </w:r>
          </w:p>
        </w:tc>
      </w:tr>
      <w:tr w14:paraId="37A9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2B4F0794">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UAV_Params</w:t>
            </w:r>
          </w:p>
        </w:tc>
        <w:tc>
          <w:tcPr>
            <w:tcW w:w="6213" w:type="dxa"/>
          </w:tcPr>
          <w:p w14:paraId="11E274D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无人机数量上限、单次任务能耗上限、悬停能耗率、换电时间、运营时长等参数。</w:t>
            </w:r>
          </w:p>
        </w:tc>
      </w:tr>
      <w:tr w14:paraId="44BC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C68E0F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FlightTime</w:t>
            </w:r>
          </w:p>
        </w:tc>
        <w:tc>
          <w:tcPr>
            <w:tcW w:w="6213" w:type="dxa"/>
          </w:tcPr>
          <w:p w14:paraId="2E8BD021">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节点间飞行时间矩阵。</w:t>
            </w:r>
          </w:p>
        </w:tc>
      </w:tr>
      <w:tr w14:paraId="75F4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098BC0A6">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FlightEnergy</w:t>
            </w:r>
          </w:p>
        </w:tc>
        <w:tc>
          <w:tcPr>
            <w:tcW w:w="6213" w:type="dxa"/>
          </w:tcPr>
          <w:p w14:paraId="516A4C10">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节点间飞行能耗矩阵。</w:t>
            </w:r>
            <w:bookmarkStart w:id="1" w:name="_GoBack"/>
            <w:bookmarkEnd w:id="1"/>
          </w:p>
        </w:tc>
      </w:tr>
      <w:tr w14:paraId="5227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4E0E622B">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ManualPoints</w:t>
            </w:r>
          </w:p>
        </w:tc>
        <w:tc>
          <w:tcPr>
            <w:tcW w:w="6213" w:type="dxa"/>
          </w:tcPr>
          <w:p w14:paraId="18D8D9C6">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物业复核点基础数据。</w:t>
            </w:r>
          </w:p>
        </w:tc>
      </w:tr>
      <w:tr w14:paraId="1D76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47AA4D94">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GroundTime</w:t>
            </w:r>
          </w:p>
        </w:tc>
        <w:tc>
          <w:tcPr>
            <w:tcW w:w="6213" w:type="dxa"/>
          </w:tcPr>
          <w:p w14:paraId="6B6F0745">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物业地面通行时间矩阵。</w:t>
            </w:r>
          </w:p>
        </w:tc>
      </w:tr>
      <w:tr w14:paraId="2443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748E45EA">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Checks</w:t>
            </w:r>
          </w:p>
        </w:tc>
        <w:tc>
          <w:tcPr>
            <w:tcW w:w="6213" w:type="dxa"/>
          </w:tcPr>
          <w:p w14:paraId="111D188C">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一致性检查与建模辅助统计。</w:t>
            </w:r>
          </w:p>
        </w:tc>
      </w:tr>
      <w:tr w14:paraId="732D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8" w:type="dxa"/>
          </w:tcPr>
          <w:p w14:paraId="4ACAAB1E">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Notes/RevisionLog</w:t>
            </w:r>
          </w:p>
        </w:tc>
        <w:tc>
          <w:tcPr>
            <w:tcW w:w="6213" w:type="dxa"/>
          </w:tcPr>
          <w:p w14:paraId="5C138047">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附件使用说明与本次修订记录。</w:t>
            </w:r>
          </w:p>
        </w:tc>
      </w:tr>
    </w:tbl>
    <w:p w14:paraId="22E240CE">
      <w:pPr>
        <w:widowControl/>
        <w:spacing w:line="440" w:lineRule="exact"/>
        <w:jc w:val="left"/>
        <w:rPr>
          <w:rFonts w:ascii="宋体" w:hAnsi="宋体" w:eastAsia="宋体" w:cs="宋体"/>
          <w:b/>
          <w:bCs/>
          <w:kern w:val="0"/>
          <w:sz w:val="24"/>
          <w:szCs w:val="24"/>
          <w:lang w:val="en-US" w:eastAsia="zh-CN"/>
        </w:rPr>
      </w:pPr>
      <w:r>
        <w:rPr>
          <w:rFonts w:ascii="宋体" w:hAnsi="宋体" w:eastAsia="宋体" w:cs="宋体"/>
          <w:b/>
          <w:bCs/>
          <w:kern w:val="0"/>
          <w:sz w:val="24"/>
          <w:szCs w:val="24"/>
          <w:lang w:val="en-US" w:eastAsia="zh-CN"/>
        </w:rPr>
        <w:t>五、说明</w:t>
      </w:r>
    </w:p>
    <w:p w14:paraId="5CDCF17B">
      <w:pPr>
        <w:widowControl/>
        <w:spacing w:line="440" w:lineRule="exact"/>
        <w:jc w:val="left"/>
        <w:rPr>
          <w:rFonts w:ascii="宋体" w:hAnsi="宋体" w:eastAsia="宋体" w:cs="宋体"/>
          <w:kern w:val="0"/>
          <w:sz w:val="24"/>
          <w:szCs w:val="24"/>
          <w:lang w:val="en-US" w:eastAsia="zh-CN"/>
        </w:rPr>
      </w:pPr>
      <w:r>
        <w:rPr>
          <w:rFonts w:ascii="宋体" w:hAnsi="宋体" w:eastAsia="宋体" w:cs="宋体"/>
          <w:kern w:val="0"/>
          <w:sz w:val="24"/>
          <w:szCs w:val="24"/>
          <w:lang w:val="en-US" w:eastAsia="zh-CN"/>
        </w:rPr>
        <w:t>• 本题数据为场景化构造数据，但均为可直接计算的实质数值，可用于问题1与问题2的模型建立、算法设计和结果分析。</w:t>
      </w:r>
    </w:p>
    <w:p w14:paraId="7296D033">
      <w:pPr>
        <w:widowControl/>
        <w:spacing w:line="440" w:lineRule="exact"/>
        <w:jc w:val="left"/>
        <w:rPr>
          <w:rFonts w:hint="eastAsia" w:ascii="宋体" w:hAnsi="宋体" w:eastAsia="宋体" w:cs="宋体"/>
          <w:kern w:val="0"/>
          <w:sz w:val="24"/>
          <w:szCs w:val="24"/>
          <w:lang w:val="en-US" w:eastAsia="zh-CN"/>
        </w:rPr>
      </w:pPr>
      <w:r>
        <w:rPr>
          <w:rFonts w:ascii="宋体" w:hAnsi="宋体" w:eastAsia="宋体" w:cs="宋体"/>
          <w:kern w:val="0"/>
          <w:sz w:val="24"/>
          <w:szCs w:val="24"/>
          <w:lang w:val="en-US" w:eastAsia="zh-CN"/>
        </w:rPr>
        <w:t>• 参赛者可在满足题面约束的前提下，自主设定具体目标函数、求解算法和比较方案</w:t>
      </w:r>
      <w:r>
        <w:rPr>
          <w:rFonts w:hint="eastAsia" w:ascii="宋体" w:hAnsi="宋体" w:eastAsia="宋体" w:cs="宋体"/>
          <w:kern w:val="0"/>
          <w:sz w:val="24"/>
          <w:szCs w:val="24"/>
          <w:lang w:val="en-US" w:eastAsia="zh-CN"/>
        </w:rPr>
        <w:t>。</w:t>
      </w:r>
    </w:p>
    <w:p w14:paraId="1EBE2B84">
      <w:pPr>
        <w:widowControl/>
        <w:spacing w:line="440" w:lineRule="exact"/>
        <w:jc w:val="left"/>
        <w:rPr>
          <w:rFonts w:ascii="宋体" w:hAnsi="宋体" w:eastAsia="宋体" w:cs="宋体"/>
          <w:kern w:val="0"/>
          <w:sz w:val="24"/>
          <w:szCs w:val="24"/>
          <w:lang w:val="en-US" w:eastAsia="zh-CN"/>
        </w:rPr>
      </w:pPr>
    </w:p>
    <w:p w14:paraId="1AE37BE6">
      <w:pPr>
        <w:widowControl/>
        <w:spacing w:line="440" w:lineRule="exact"/>
        <w:jc w:val="left"/>
        <w:rPr>
          <w:rFonts w:hint="default" w:ascii="宋体" w:hAnsi="宋体" w:eastAsia="宋体" w:cs="宋体"/>
          <w:kern w:val="0"/>
          <w:sz w:val="24"/>
          <w:szCs w:val="24"/>
          <w:lang w:val="en-US" w:eastAsia="zh-CN"/>
        </w:rPr>
      </w:pP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B9790E"/>
    <w:multiLevelType w:val="multilevel"/>
    <w:tmpl w:val="1DB9790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093"/>
    <w:rsid w:val="00027F4D"/>
    <w:rsid w:val="00037ED9"/>
    <w:rsid w:val="000742D0"/>
    <w:rsid w:val="000822A4"/>
    <w:rsid w:val="000B7B2D"/>
    <w:rsid w:val="000E289B"/>
    <w:rsid w:val="000E605A"/>
    <w:rsid w:val="000F6B1D"/>
    <w:rsid w:val="001029AC"/>
    <w:rsid w:val="00121135"/>
    <w:rsid w:val="00132556"/>
    <w:rsid w:val="0013715F"/>
    <w:rsid w:val="0014333C"/>
    <w:rsid w:val="001708D4"/>
    <w:rsid w:val="001900CF"/>
    <w:rsid w:val="001C57BF"/>
    <w:rsid w:val="001D0AE3"/>
    <w:rsid w:val="00216AA8"/>
    <w:rsid w:val="0026639C"/>
    <w:rsid w:val="00272C31"/>
    <w:rsid w:val="002853AD"/>
    <w:rsid w:val="002A1851"/>
    <w:rsid w:val="002B4C3A"/>
    <w:rsid w:val="002E380D"/>
    <w:rsid w:val="002E6257"/>
    <w:rsid w:val="00304DE7"/>
    <w:rsid w:val="0034124A"/>
    <w:rsid w:val="00380937"/>
    <w:rsid w:val="00393D1E"/>
    <w:rsid w:val="00396798"/>
    <w:rsid w:val="003A5564"/>
    <w:rsid w:val="003B0FEF"/>
    <w:rsid w:val="004258CE"/>
    <w:rsid w:val="00436710"/>
    <w:rsid w:val="00440BCA"/>
    <w:rsid w:val="00477CCA"/>
    <w:rsid w:val="00492E77"/>
    <w:rsid w:val="004F7F00"/>
    <w:rsid w:val="00536EB6"/>
    <w:rsid w:val="00552D04"/>
    <w:rsid w:val="00554A9A"/>
    <w:rsid w:val="00576489"/>
    <w:rsid w:val="0058094D"/>
    <w:rsid w:val="00583012"/>
    <w:rsid w:val="005C5123"/>
    <w:rsid w:val="005C662D"/>
    <w:rsid w:val="00605DB6"/>
    <w:rsid w:val="00633406"/>
    <w:rsid w:val="00642273"/>
    <w:rsid w:val="0067135E"/>
    <w:rsid w:val="006E5F41"/>
    <w:rsid w:val="006F5DBC"/>
    <w:rsid w:val="00743CA4"/>
    <w:rsid w:val="007452FA"/>
    <w:rsid w:val="007F65C6"/>
    <w:rsid w:val="00813DDA"/>
    <w:rsid w:val="0081699A"/>
    <w:rsid w:val="008528BB"/>
    <w:rsid w:val="00854F76"/>
    <w:rsid w:val="00874CBA"/>
    <w:rsid w:val="00893D98"/>
    <w:rsid w:val="008B0E6E"/>
    <w:rsid w:val="008B1919"/>
    <w:rsid w:val="008B5FF7"/>
    <w:rsid w:val="00A45441"/>
    <w:rsid w:val="00A65F59"/>
    <w:rsid w:val="00A7121B"/>
    <w:rsid w:val="00AA5093"/>
    <w:rsid w:val="00AC44A2"/>
    <w:rsid w:val="00AD47E6"/>
    <w:rsid w:val="00AD7304"/>
    <w:rsid w:val="00AE2967"/>
    <w:rsid w:val="00AF7EDE"/>
    <w:rsid w:val="00B03719"/>
    <w:rsid w:val="00B10D4A"/>
    <w:rsid w:val="00B42E09"/>
    <w:rsid w:val="00B50884"/>
    <w:rsid w:val="00B844CD"/>
    <w:rsid w:val="00B90D53"/>
    <w:rsid w:val="00BA483D"/>
    <w:rsid w:val="00BB7B56"/>
    <w:rsid w:val="00BC01A5"/>
    <w:rsid w:val="00BC0E1A"/>
    <w:rsid w:val="00BC321A"/>
    <w:rsid w:val="00BE091A"/>
    <w:rsid w:val="00BE4327"/>
    <w:rsid w:val="00C118B7"/>
    <w:rsid w:val="00C65736"/>
    <w:rsid w:val="00C65A81"/>
    <w:rsid w:val="00C93A3C"/>
    <w:rsid w:val="00C9703F"/>
    <w:rsid w:val="00CA309B"/>
    <w:rsid w:val="00CB7406"/>
    <w:rsid w:val="00CC582F"/>
    <w:rsid w:val="00CD7256"/>
    <w:rsid w:val="00CF7AA4"/>
    <w:rsid w:val="00D058E0"/>
    <w:rsid w:val="00D11771"/>
    <w:rsid w:val="00D153F8"/>
    <w:rsid w:val="00D2476B"/>
    <w:rsid w:val="00D418CA"/>
    <w:rsid w:val="00D41C92"/>
    <w:rsid w:val="00D647D4"/>
    <w:rsid w:val="00D675C2"/>
    <w:rsid w:val="00DA71F1"/>
    <w:rsid w:val="00DA73E7"/>
    <w:rsid w:val="00DB2F39"/>
    <w:rsid w:val="00DB5760"/>
    <w:rsid w:val="00E01AB7"/>
    <w:rsid w:val="00E153A6"/>
    <w:rsid w:val="00E23B25"/>
    <w:rsid w:val="00E2533E"/>
    <w:rsid w:val="00E3037F"/>
    <w:rsid w:val="00E56165"/>
    <w:rsid w:val="00E5640B"/>
    <w:rsid w:val="00E87894"/>
    <w:rsid w:val="00E92735"/>
    <w:rsid w:val="00EC5996"/>
    <w:rsid w:val="00EC745F"/>
    <w:rsid w:val="00EF121D"/>
    <w:rsid w:val="00EF6F1E"/>
    <w:rsid w:val="00F47BDE"/>
    <w:rsid w:val="00F539D4"/>
    <w:rsid w:val="00F73736"/>
    <w:rsid w:val="00F84D56"/>
    <w:rsid w:val="00FF340A"/>
    <w:rsid w:val="114B69DC"/>
    <w:rsid w:val="18B4534D"/>
    <w:rsid w:val="2D454123"/>
    <w:rsid w:val="45CE1B16"/>
    <w:rsid w:val="5D5E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b/>
      <w:color w:val="333F50" w:themeColor="text2" w:themeShade="BF"/>
      <w:spacing w:val="5"/>
      <w:kern w:val="28"/>
      <w:sz w:val="36"/>
      <w:szCs w:val="52"/>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宋体" w:hAnsi="宋体" w:eastAsia="宋体" w:cs="宋体"/>
      <w:sz w:val="24"/>
      <w:szCs w:val="24"/>
    </w:rPr>
  </w:style>
  <w:style w:type="paragraph" w:styleId="11">
    <w:name w:val="List Paragraph"/>
    <w:basedOn w:val="1"/>
    <w:qFormat/>
    <w:uiPriority w:val="34"/>
    <w:pPr>
      <w:ind w:firstLine="420" w:firstLineChars="200"/>
    </w:pPr>
  </w:style>
  <w:style w:type="character" w:styleId="12">
    <w:name w:val="Placeholder Text"/>
    <w:basedOn w:val="8"/>
    <w:semiHidden/>
    <w:qFormat/>
    <w:uiPriority w:val="99"/>
    <w:rPr>
      <w:color w:val="808080"/>
    </w:rPr>
  </w:style>
  <w:style w:type="character" w:customStyle="1" w:styleId="13">
    <w:name w:val="页眉 Char"/>
    <w:basedOn w:val="8"/>
    <w:link w:val="4"/>
    <w:qFormat/>
    <w:uiPriority w:val="99"/>
    <w:rPr>
      <w:sz w:val="18"/>
      <w:szCs w:val="18"/>
    </w:rPr>
  </w:style>
  <w:style w:type="character" w:customStyle="1" w:styleId="14">
    <w:name w:val="页脚 Char"/>
    <w:basedOn w:val="8"/>
    <w:link w:val="3"/>
    <w:qFormat/>
    <w:uiPriority w:val="99"/>
    <w:rPr>
      <w:sz w:val="18"/>
      <w:szCs w:val="18"/>
    </w:rPr>
  </w:style>
  <w:style w:type="character" w:customStyle="1" w:styleId="15">
    <w:name w:val="block-paste-placeholder"/>
    <w:basedOn w:val="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7</Pages>
  <Words>1129</Words>
  <Characters>1158</Characters>
  <Lines>12</Lines>
  <Paragraphs>3</Paragraphs>
  <TotalTime>4</TotalTime>
  <ScaleCrop>false</ScaleCrop>
  <LinksUpToDate>false</LinksUpToDate>
  <CharactersWithSpaces>1162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2026-03-21T05:25:00Z</dcterms:created>
  <dc:creator>Apache POI</dc:creator>
  <cp:lastModifiedBy>程序岛</cp:lastModifiedBy>
  <dcterms:modified xsi:type="dcterms:W3CDTF">2026-04-14T08:17:09Z</dcterms:modified>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eyJoZGlkIjoiMDljYzUzMWQ4OWI0YzBkYjYzMDRhZTY5ZjZkYmFmYTgiLCJ1c2VySWQiOiIzNDM2NjI0NjkifQ==</vt:lpwstr>
  </property>
  <property fmtid="{D5CDD505-2E9C-101B-9397-08002B2CF9AE}" pid="3" name="KSOProductBuildVer">
    <vt:lpwstr>2052-12.1.0.25225</vt:lpwstr>
  </property>
  <property fmtid="{D5CDD505-2E9C-101B-9397-08002B2CF9AE}" pid="4" name="ICV">
    <vt:lpwstr>2AB01FBED2D743B8ABEBC311CCB852E7_12</vt:lpwstr>
  </property>
</Properties>
</file>