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0.6.3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needs your name and email the first time you use it. Litterbox asks for them if they are missing. You can also set them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and Material.</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cad\cancelled-revs folder (read-only, kept for the history),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When an assembly is released, Litterbox saves its indented BOM beside the model as HCR‑100010‑500_A_BOM.csv, as a fixed record of the released revision.</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cad\cancelled-revs</w:t>
            </w:r>
          </w:p>
        </w:tc>
        <w:tc>
          <w:tcPr>
            <w:tcW w:type="dxa" w:w="7056"/>
            <w:shd w:val="clear" w:color="auto" w:fill="EEF3F7"/>
          </w:tcPr>
          <w:p>
            <w:pPr>
              <w:spacing w:after="40"/>
            </w:pPr>
            <w:r>
              <w:rPr>
                <w:sz w:val="20"/>
              </w:rPr>
              <w:t>Revisions cancelled before release, kept for the history (at the top of the vault before 0.6.3).</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download: all</w:t>
            </w:r>
          </w:p>
        </w:tc>
        <w:tc>
          <w:tcPr>
            <w:tcW w:type="dxa" w:w="6192"/>
            <w:shd w:val="clear" w:color="auto" w:fill="EEF3F7"/>
          </w:tcPr>
          <w:p>
            <w:pPr>
              <w:spacing w:after="40"/>
            </w:pPr>
            <w:r>
              <w:rPr>
                <w:sz w:val="20"/>
              </w:rPr>
              <w:t>Download every CAD file, not only those you use.</w:t>
            </w:r>
          </w:p>
        </w:tc>
      </w:tr>
      <w:tr>
        <w:trPr>
          <w:cantSplit/>
        </w:trPr>
        <w:tc>
          <w:tcPr>
            <w:tcW w:type="dxa" w:w="3168"/>
          </w:tcPr>
          <w:p>
            <w:pPr>
              <w:spacing w:after="40"/>
            </w:pPr>
            <w:r>
              <w:rPr>
                <w:sz w:val="20"/>
              </w:rPr>
              <w:t>open_with</w:t>
            </w:r>
          </w:p>
        </w:tc>
        <w:tc>
          <w:tcPr>
            <w:tcW w:type="dxa" w:w="6192"/>
          </w:tcPr>
          <w:p>
            <w:pPr>
              <w:spacing w:after="40"/>
            </w:pPr>
            <w:r>
              <w:rPr>
                <w:sz w:val="20"/>
              </w:rPr>
              <w:t>The program that opens each file type.</w:t>
            </w:r>
          </w:p>
        </w:tc>
      </w:tr>
      <w:tr>
        <w:trPr>
          <w:cantSplit/>
        </w:trPr>
        <w:tc>
          <w:tcPr>
            <w:tcW w:type="dxa" w:w="3168"/>
            <w:shd w:val="clear" w:color="auto" w:fill="EEF3F7"/>
          </w:tcPr>
          <w:p>
            <w:pPr>
              <w:spacing w:after="40"/>
            </w:pPr>
            <w:r>
              <w:rPr>
                <w:sz w:val="20"/>
              </w:rPr>
              <w:t>solidworks_watch: true</w:t>
            </w:r>
          </w:p>
        </w:tc>
        <w:tc>
          <w:tcPr>
            <w:tcW w:type="dxa" w:w="6192"/>
            <w:shd w:val="clear" w:color="auto" w:fill="EEF3F7"/>
          </w:tcPr>
          <w:p>
            <w:pPr>
              <w:spacing w:after="40"/>
            </w:pPr>
            <w:r>
              <w:rPr>
                <w:sz w:val="20"/>
              </w:rPr>
              <w:t>Watch what SolidWorks has open (see Working with SolidWorks).</w:t>
            </w:r>
          </w:p>
        </w:tc>
      </w:tr>
      <w:tr>
        <w:trPr>
          <w:cantSplit/>
        </w:trPr>
        <w:tc>
          <w:tcPr>
            <w:tcW w:type="dxa" w:w="3168"/>
          </w:tcPr>
          <w:p>
            <w:pPr>
              <w:spacing w:after="40"/>
            </w:pPr>
            <w:r>
              <w:rPr>
                <w:sz w:val="20"/>
              </w:rPr>
              <w:t>solidworks_popups: false</w:t>
            </w:r>
          </w:p>
        </w:tc>
        <w:tc>
          <w:tcPr>
            <w:tcW w:type="dxa" w:w="6192"/>
          </w:tcPr>
          <w:p>
            <w:pPr>
              <w:spacing w:after="40"/>
            </w:pPr>
            <w:r>
              <w:rPr>
                <w:sz w:val="20"/>
              </w:rPr>
              <w:t>Send the watcher's warnings to the log instead of pop-ups.</w:t>
            </w:r>
          </w:p>
        </w:tc>
      </w:tr>
      <w:tr>
        <w:trPr>
          <w:cantSplit/>
        </w:trPr>
        <w:tc>
          <w:tcPr>
            <w:tcW w:type="dxa" w:w="3168"/>
            <w:shd w:val="clear" w:color="auto" w:fill="EEF3F7"/>
          </w:tcPr>
          <w:p>
            <w:pPr>
              <w:spacing w:after="40"/>
            </w:pPr>
            <w:r>
              <w:rPr>
                <w:sz w:val="20"/>
              </w:rPr>
              <w:t>debug_mode: true</w:t>
            </w:r>
          </w:p>
        </w:tc>
        <w:tc>
          <w:tcPr>
            <w:tcW w:type="dxa" w:w="6192"/>
            <w:shd w:val="clear" w:color="auto" w:fill="EEF3F7"/>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0.6.3</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