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0.6.2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needs your name and email the first time you use it. Litterbox asks for them if they are missing. You can also set them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and Material.</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cancelled-revs folder,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When an assembly is released, Litterbox saves its indented BOM beside the model as HCR‑100010‑500_A_BOM.csv, as a fixed record of the released revision.</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cancelled-revs</w:t>
            </w:r>
          </w:p>
        </w:tc>
        <w:tc>
          <w:tcPr>
            <w:tcW w:type="dxa" w:w="7056"/>
            <w:shd w:val="clear" w:color="auto" w:fill="EEF3F7"/>
          </w:tcPr>
          <w:p>
            <w:pPr>
              <w:spacing w:after="40"/>
            </w:pPr>
            <w:r>
              <w:rPr>
                <w:sz w:val="20"/>
              </w:rPr>
              <w:t>Revisions cancelled before release, kept for the history.</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0.6.2</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