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1155cc"/>
          <w:u w:val="single"/>
        </w:rPr>
      </w:pPr>
      <w:r w:rsidDel="00000000" w:rsidR="00000000" w:rsidRPr="00000000">
        <w:rPr>
          <w:rtl w:val="0"/>
        </w:rPr>
        <w:t xml:space="preserve">The Grants.gov API provides a suite of RESTful services designed to facilitate programmatic access to federal grant opportunities and related data. These APIs are particularly beneficial for developers and organizations aiming to integrate grant data into their systems or automate aspects of the grant application process.​</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yacb3xcqvu7g" w:id="0"/>
      <w:bookmarkEnd w:id="0"/>
      <w:r w:rsidDel="00000000" w:rsidR="00000000" w:rsidRPr="00000000">
        <w:rPr>
          <w:b w:val="1"/>
          <w:color w:val="000000"/>
          <w:sz w:val="26"/>
          <w:szCs w:val="26"/>
          <w:rtl w:val="0"/>
        </w:rPr>
        <w:t xml:space="preserve">🔑 Accessing the API</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Base URLs</w:t>
      </w:r>
      <w:r w:rsidDel="00000000" w:rsidR="00000000" w:rsidRPr="00000000">
        <w:rPr>
          <w:rtl w:val="0"/>
        </w:rPr>
        <w:t xml:space="preserve">:</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b w:val="1"/>
          <w:rtl w:val="0"/>
        </w:rPr>
        <w:t xml:space="preserve">Production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https://api.grants.gov</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b w:val="1"/>
          <w:rtl w:val="0"/>
        </w:rPr>
        <w:t xml:space="preserve">Staging</w:t>
      </w:r>
      <w:r w:rsidDel="00000000" w:rsidR="00000000" w:rsidRPr="00000000">
        <w:rPr>
          <w:rtl w:val="0"/>
        </w:rPr>
        <w:t xml:space="preserve">: </w:t>
      </w:r>
      <w:hyperlink r:id="rId6">
        <w:r w:rsidDel="00000000" w:rsidR="00000000" w:rsidRPr="00000000">
          <w:rPr>
            <w:rFonts w:ascii="Roboto Mono" w:cs="Roboto Mono" w:eastAsia="Roboto Mono" w:hAnsi="Roboto Mono"/>
            <w:color w:val="1155cc"/>
            <w:u w:val="single"/>
            <w:rtl w:val="0"/>
          </w:rPr>
          <w:t xml:space="preserve">https://api.staging.grants.gov</w:t>
        </w:r>
      </w:hyperlink>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w:t>
      </w:r>
      <w:hyperlink r:id="rId7">
        <w:r w:rsidDel="00000000" w:rsidR="00000000" w:rsidRPr="00000000">
          <w:rPr>
            <w:color w:val="1155cc"/>
            <w:u w:val="single"/>
            <w:rtl w:val="0"/>
          </w:rPr>
          <w:t xml:space="preserve">API GUIDE</w:t>
        </w:r>
      </w:hyperlink>
      <w:r w:rsidDel="00000000" w:rsidR="00000000" w:rsidRPr="00000000">
        <w:rPr>
          <w:rtl w:val="0"/>
        </w:rPr>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b w:val="1"/>
          <w:rtl w:val="0"/>
        </w:rPr>
        <w:t xml:space="preserve">API Key</w:t>
      </w:r>
      <w:r w:rsidDel="00000000" w:rsidR="00000000" w:rsidRPr="00000000">
        <w:rPr>
          <w:rtl w:val="0"/>
        </w:rPr>
        <w:t xml:space="preserve">: Certain endpoints require an API key. To obtain one, submit a request through the Grants.gov Help Desk. Once received, safeguard your API key as you would any sensitive credential. ​</w:t>
      </w: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5s3zi4xzpm5o" w:id="1"/>
      <w:bookmarkEnd w:id="1"/>
      <w:r w:rsidDel="00000000" w:rsidR="00000000" w:rsidRPr="00000000">
        <w:rPr>
          <w:b w:val="1"/>
          <w:color w:val="000000"/>
          <w:sz w:val="26"/>
          <w:szCs w:val="26"/>
          <w:rtl w:val="0"/>
        </w:rPr>
        <w:t xml:space="preserve">📚 Available APIs</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g8kqntdcwsq0" w:id="2"/>
      <w:bookmarkEnd w:id="2"/>
      <w:r w:rsidDel="00000000" w:rsidR="00000000" w:rsidRPr="00000000">
        <w:rPr>
          <w:b w:val="1"/>
          <w:color w:val="000000"/>
          <w:sz w:val="22"/>
          <w:szCs w:val="22"/>
          <w:rtl w:val="0"/>
        </w:rPr>
        <w:t xml:space="preserve">1. search2</w:t>
      </w:r>
    </w:p>
    <w:p w:rsidR="00000000" w:rsidDel="00000000" w:rsidP="00000000" w:rsidRDefault="00000000" w:rsidRPr="00000000" w14:paraId="0000000B">
      <w:pPr>
        <w:numPr>
          <w:ilvl w:val="0"/>
          <w:numId w:val="9"/>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Search for grant opportunities based on specific criteria.</w:t>
      </w:r>
    </w:p>
    <w:p w:rsidR="00000000" w:rsidDel="00000000" w:rsidP="00000000" w:rsidRDefault="00000000" w:rsidRPr="00000000" w14:paraId="0000000C">
      <w:pPr>
        <w:numPr>
          <w:ilvl w:val="0"/>
          <w:numId w:val="9"/>
        </w:numPr>
        <w:spacing w:after="0" w:afterAutospacing="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w:t>
      </w:r>
    </w:p>
    <w:p w:rsidR="00000000" w:rsidDel="00000000" w:rsidP="00000000" w:rsidRDefault="00000000" w:rsidRPr="00000000" w14:paraId="0000000D">
      <w:pPr>
        <w:numPr>
          <w:ilvl w:val="0"/>
          <w:numId w:val="9"/>
        </w:numPr>
        <w:spacing w:after="0" w:afterAutospacing="0" w:before="0" w:beforeAutospacing="0" w:lineRule="auto"/>
        <w:ind w:left="720" w:hanging="360"/>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/v1/api/search2</w:t>
      </w:r>
    </w:p>
    <w:p w:rsidR="00000000" w:rsidDel="00000000" w:rsidP="00000000" w:rsidRDefault="00000000" w:rsidRPr="00000000" w14:paraId="0000000E">
      <w:pPr>
        <w:numPr>
          <w:ilvl w:val="0"/>
          <w:numId w:val="9"/>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Not required.</w:t>
      </w:r>
    </w:p>
    <w:p w:rsidR="00000000" w:rsidDel="00000000" w:rsidP="00000000" w:rsidRDefault="00000000" w:rsidRPr="00000000" w14:paraId="0000000F">
      <w:pPr>
        <w:numPr>
          <w:ilvl w:val="0"/>
          <w:numId w:val="9"/>
        </w:numPr>
        <w:spacing w:after="240" w:before="0" w:beforeAutospacing="0" w:lineRule="auto"/>
        <w:ind w:left="720" w:hanging="360"/>
      </w:pPr>
      <w:r w:rsidDel="00000000" w:rsidR="00000000" w:rsidRPr="00000000">
        <w:rPr>
          <w:b w:val="1"/>
          <w:rtl w:val="0"/>
        </w:rPr>
        <w:t xml:space="preserve">Sample Request Body</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"keyword": "education",</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"rows": 10,</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"oppStatuses": "posted|forecasted"</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6"/>
        </w:numPr>
        <w:spacing w:after="240" w:before="240" w:lineRule="auto"/>
        <w:ind w:left="720" w:hanging="360"/>
      </w:pPr>
      <w:r w:rsidDel="00000000" w:rsidR="00000000" w:rsidRPr="00000000">
        <w:rPr>
          <w:b w:val="1"/>
          <w:rtl w:val="0"/>
        </w:rPr>
        <w:t xml:space="preserve">Response</w:t>
      </w:r>
      <w:r w:rsidDel="00000000" w:rsidR="00000000" w:rsidRPr="00000000">
        <w:rPr>
          <w:rtl w:val="0"/>
        </w:rPr>
        <w:t xml:space="preserve">: Returns a list of matching opportunities with details such as opportunity ID, title, agency, and status. </w:t>
      </w:r>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fecjy3y0zmw2" w:id="3"/>
      <w:bookmarkEnd w:id="3"/>
      <w:r w:rsidDel="00000000" w:rsidR="00000000" w:rsidRPr="00000000">
        <w:rPr>
          <w:b w:val="1"/>
          <w:color w:val="000000"/>
          <w:sz w:val="22"/>
          <w:szCs w:val="22"/>
          <w:rtl w:val="0"/>
        </w:rPr>
        <w:t xml:space="preserve">2. fetchOpportunity</w:t>
      </w:r>
    </w:p>
    <w:p w:rsidR="00000000" w:rsidDel="00000000" w:rsidP="00000000" w:rsidRDefault="00000000" w:rsidRPr="00000000" w14:paraId="00000019">
      <w:pPr>
        <w:numPr>
          <w:ilvl w:val="0"/>
          <w:numId w:val="7"/>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Retrieve detailed information about a specific opportunity.</w:t>
      </w:r>
    </w:p>
    <w:p w:rsidR="00000000" w:rsidDel="00000000" w:rsidP="00000000" w:rsidRDefault="00000000" w:rsidRPr="00000000" w14:paraId="0000001A">
      <w:pPr>
        <w:numPr>
          <w:ilvl w:val="0"/>
          <w:numId w:val="7"/>
        </w:numPr>
        <w:spacing w:after="0" w:afterAutospacing="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w:t>
      </w:r>
    </w:p>
    <w:p w:rsidR="00000000" w:rsidDel="00000000" w:rsidP="00000000" w:rsidRDefault="00000000" w:rsidRPr="00000000" w14:paraId="0000001B">
      <w:pPr>
        <w:numPr>
          <w:ilvl w:val="0"/>
          <w:numId w:val="7"/>
        </w:numPr>
        <w:spacing w:after="0" w:afterAutospacing="0" w:before="0" w:beforeAutospacing="0" w:lineRule="auto"/>
        <w:ind w:left="720" w:hanging="360"/>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/v1/api/fetchOpportunity</w:t>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Not required.</w:t>
      </w:r>
    </w:p>
    <w:p w:rsidR="00000000" w:rsidDel="00000000" w:rsidP="00000000" w:rsidRDefault="00000000" w:rsidRPr="00000000" w14:paraId="0000001D">
      <w:pPr>
        <w:numPr>
          <w:ilvl w:val="0"/>
          <w:numId w:val="7"/>
        </w:numPr>
        <w:spacing w:after="0" w:afterAutospacing="0" w:before="0" w:beforeAutospacing="0" w:lineRule="auto"/>
        <w:ind w:left="720" w:hanging="360"/>
      </w:pPr>
      <w:r w:rsidDel="00000000" w:rsidR="00000000" w:rsidRPr="00000000">
        <w:rPr>
          <w:b w:val="1"/>
          <w:rtl w:val="0"/>
        </w:rPr>
        <w:t xml:space="preserve">Request Parameter</w:t>
      </w:r>
      <w:r w:rsidDel="00000000" w:rsidR="00000000" w:rsidRPr="00000000">
        <w:rPr>
          <w:rtl w:val="0"/>
        </w:rPr>
        <w:t xml:space="preserve">: Opportunity ID.</w:t>
      </w:r>
    </w:p>
    <w:p w:rsidR="00000000" w:rsidDel="00000000" w:rsidP="00000000" w:rsidRDefault="00000000" w:rsidRPr="00000000" w14:paraId="0000001E">
      <w:pPr>
        <w:numPr>
          <w:ilvl w:val="0"/>
          <w:numId w:val="7"/>
        </w:numPr>
        <w:spacing w:after="240" w:before="0" w:beforeAutospacing="0" w:lineRule="auto"/>
        <w:ind w:left="720" w:hanging="360"/>
      </w:pPr>
      <w:r w:rsidDel="00000000" w:rsidR="00000000" w:rsidRPr="00000000">
        <w:rPr>
          <w:b w:val="1"/>
          <w:rtl w:val="0"/>
        </w:rPr>
        <w:t xml:space="preserve">Response</w:t>
      </w:r>
      <w:r w:rsidDel="00000000" w:rsidR="00000000" w:rsidRPr="00000000">
        <w:rPr>
          <w:rtl w:val="0"/>
        </w:rPr>
        <w:t xml:space="preserve">: Provides comprehensive details, including forecast, synopsis, package information, related documents, and links. ​</w:t>
      </w:r>
      <w:hyperlink r:id="rId8">
        <w:r w:rsidDel="00000000" w:rsidR="00000000" w:rsidRPr="00000000">
          <w:rPr>
            <w:color w:val="1155cc"/>
            <w:u w:val="single"/>
            <w:rtl w:val="0"/>
          </w:rPr>
          <w:t xml:space="preserve">OPPORTUNITY TOTALS BY CFDA</w:t>
        </w:r>
      </w:hyperlink>
      <w:r w:rsidDel="00000000" w:rsidR="00000000" w:rsidRPr="00000000">
        <w:rPr>
          <w:rtl w:val="0"/>
        </w:rPr>
      </w:r>
    </w:p>
    <w:p w:rsidR="00000000" w:rsidDel="00000000" w:rsidP="00000000" w:rsidRDefault="00000000" w:rsidRPr="00000000" w14:paraId="0000001F">
      <w:pPr>
        <w:spacing w:after="240" w:before="240" w:lineRule="auto"/>
        <w:ind w:left="0" w:firstLine="0"/>
        <w:rPr>
          <w:b w:val="1"/>
          <w:color w:val="000000"/>
          <w:sz w:val="22"/>
          <w:szCs w:val="22"/>
        </w:rPr>
      </w:pPr>
      <w:r w:rsidDel="00000000" w:rsidR="00000000" w:rsidRPr="00000000">
        <w:rPr>
          <w:b w:val="1"/>
          <w:color w:val="000000"/>
          <w:sz w:val="22"/>
          <w:szCs w:val="22"/>
          <w:rtl w:val="0"/>
        </w:rPr>
        <w:t xml:space="preserve">3. Opportunity Totals by CFDA</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Retrieve counts of opportunities categorized by CFDA (Catalog of Federal Domestic Assistance) numbers and their statuses.</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/grantsws/rest/opportunities/search/cfda/totals</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API key required.</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Headers</w:t>
      </w:r>
      <w:r w:rsidDel="00000000" w:rsidR="00000000" w:rsidRPr="00000000">
        <w:rPr>
          <w:rtl w:val="0"/>
        </w:rPr>
        <w:t xml:space="preserve">:</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b w:val="1"/>
          <w:rtl w:val="0"/>
        </w:rPr>
        <w:t xml:space="preserve">Authorization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APIKEY=your-api-key</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b w:val="1"/>
          <w:rtl w:val="0"/>
        </w:rPr>
        <w:t xml:space="preserve">Content-Type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application/x-www-form-urlencoded</w:t>
      </w:r>
    </w:p>
    <w:p w:rsidR="00000000" w:rsidDel="00000000" w:rsidP="00000000" w:rsidRDefault="00000000" w:rsidRPr="00000000" w14:paraId="00000027">
      <w:pPr>
        <w:numPr>
          <w:ilvl w:val="0"/>
          <w:numId w:val="3"/>
        </w:numPr>
        <w:spacing w:after="240" w:before="0" w:beforeAutospacing="0" w:lineRule="auto"/>
        <w:ind w:left="720" w:hanging="360"/>
      </w:pPr>
      <w:r w:rsidDel="00000000" w:rsidR="00000000" w:rsidRPr="00000000">
        <w:rPr>
          <w:b w:val="1"/>
          <w:rtl w:val="0"/>
        </w:rPr>
        <w:t xml:space="preserve">Response</w:t>
      </w:r>
      <w:r w:rsidDel="00000000" w:rsidR="00000000" w:rsidRPr="00000000">
        <w:rPr>
          <w:rtl w:val="0"/>
        </w:rPr>
        <w:t xml:space="preserve">: Returns a JSON object with CFDA numbers as keys and counts of forecasted, posted, closed, and archived opportunities. ​</w:t>
      </w:r>
      <w:hyperlink r:id="rId9">
        <w:r w:rsidDel="00000000" w:rsidR="00000000" w:rsidRPr="00000000">
          <w:rPr>
            <w:color w:val="1155cc"/>
            <w:u w:val="single"/>
            <w:rtl w:val="0"/>
          </w:rPr>
          <w:t xml:space="preserve">OPPORTUNITY TOTALS BY CFDA</w:t>
        </w:r>
      </w:hyperlink>
      <w:r w:rsidDel="00000000" w:rsidR="00000000" w:rsidRPr="00000000">
        <w:rPr>
          <w:rtl w:val="0"/>
        </w:rPr>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1tfo7q2yncoq" w:id="4"/>
      <w:bookmarkEnd w:id="4"/>
      <w:r w:rsidDel="00000000" w:rsidR="00000000" w:rsidRPr="00000000">
        <w:rPr>
          <w:b w:val="1"/>
          <w:color w:val="000000"/>
          <w:sz w:val="26"/>
          <w:szCs w:val="26"/>
          <w:rtl w:val="0"/>
        </w:rPr>
        <w:t xml:space="preserve">🧪 Testing the APIs</w:t>
      </w:r>
    </w:p>
    <w:p w:rsidR="00000000" w:rsidDel="00000000" w:rsidP="00000000" w:rsidRDefault="00000000" w:rsidRPr="00000000" w14:paraId="0000002A">
      <w:pPr>
        <w:numPr>
          <w:ilvl w:val="0"/>
          <w:numId w:val="5"/>
        </w:numPr>
        <w:spacing w:after="0" w:afterAutospacing="0" w:before="240" w:lineRule="auto"/>
        <w:ind w:left="720" w:hanging="360"/>
      </w:pPr>
      <w:r w:rsidDel="00000000" w:rsidR="00000000" w:rsidRPr="00000000">
        <w:rPr>
          <w:b w:val="1"/>
          <w:rtl w:val="0"/>
        </w:rPr>
        <w:t xml:space="preserve">Postman</w:t>
      </w:r>
      <w:r w:rsidDel="00000000" w:rsidR="00000000" w:rsidRPr="00000000">
        <w:rPr>
          <w:rtl w:val="0"/>
        </w:rPr>
        <w:t xml:space="preserve">:</w:t>
      </w:r>
    </w:p>
    <w:p w:rsidR="00000000" w:rsidDel="00000000" w:rsidP="00000000" w:rsidRDefault="00000000" w:rsidRPr="00000000" w14:paraId="0000002B">
      <w:pPr>
        <w:numPr>
          <w:ilvl w:val="1"/>
          <w:numId w:val="5"/>
        </w:numPr>
        <w:spacing w:after="0" w:afterAutospacing="0" w:before="0" w:beforeAutospacing="0" w:lineRule="auto"/>
        <w:ind w:left="1440" w:hanging="360"/>
      </w:pPr>
      <w:r w:rsidDel="00000000" w:rsidR="00000000" w:rsidRPr="00000000">
        <w:rPr>
          <w:rtl w:val="0"/>
        </w:rPr>
        <w:t xml:space="preserve">Import the provided Postman collection into your workspace.</w:t>
      </w:r>
    </w:p>
    <w:p w:rsidR="00000000" w:rsidDel="00000000" w:rsidP="00000000" w:rsidRDefault="00000000" w:rsidRPr="00000000" w14:paraId="0000002C">
      <w:pPr>
        <w:numPr>
          <w:ilvl w:val="1"/>
          <w:numId w:val="5"/>
        </w:numPr>
        <w:spacing w:after="0" w:afterAutospacing="0" w:before="0" w:beforeAutospacing="0" w:lineRule="auto"/>
        <w:ind w:left="1440" w:hanging="360"/>
      </w:pPr>
      <w:r w:rsidDel="00000000" w:rsidR="00000000" w:rsidRPr="00000000">
        <w:rPr>
          <w:rtl w:val="0"/>
        </w:rPr>
        <w:t xml:space="preserve">Configure the necessary headers and request bodies as per the API requirements.</w:t>
      </w:r>
    </w:p>
    <w:p w:rsidR="00000000" w:rsidDel="00000000" w:rsidP="00000000" w:rsidRDefault="00000000" w:rsidRPr="00000000" w14:paraId="0000002D">
      <w:pPr>
        <w:numPr>
          <w:ilvl w:val="1"/>
          <w:numId w:val="5"/>
        </w:numPr>
        <w:spacing w:after="0" w:afterAutospacing="0" w:before="0" w:beforeAutospacing="0" w:lineRule="auto"/>
        <w:ind w:left="1440" w:hanging="360"/>
      </w:pPr>
      <w:r w:rsidDel="00000000" w:rsidR="00000000" w:rsidRPr="00000000">
        <w:rPr>
          <w:rtl w:val="0"/>
        </w:rPr>
        <w:t xml:space="preserve">Send requests to the staging or production endpoints to test functionality.​</w:t>
      </w:r>
      <w:hyperlink r:id="rId10">
        <w:r w:rsidDel="00000000" w:rsidR="00000000" w:rsidRPr="00000000">
          <w:rPr>
            <w:color w:val="1155cc"/>
            <w:u w:val="single"/>
            <w:rtl w:val="0"/>
          </w:rPr>
          <w:t xml:space="preserve">Grants.gov</w:t>
        </w:r>
      </w:hyperlink>
      <w:r w:rsidDel="00000000" w:rsidR="00000000" w:rsidRPr="00000000">
        <w:rPr>
          <w:rtl w:val="0"/>
        </w:rPr>
      </w:r>
    </w:p>
    <w:p w:rsidR="00000000" w:rsidDel="00000000" w:rsidP="00000000" w:rsidRDefault="00000000" w:rsidRPr="00000000" w14:paraId="0000002E">
      <w:pPr>
        <w:numPr>
          <w:ilvl w:val="0"/>
          <w:numId w:val="5"/>
        </w:numPr>
        <w:spacing w:after="240" w:before="0" w:beforeAutospacing="0" w:lineRule="auto"/>
        <w:ind w:left="720" w:hanging="360"/>
      </w:pPr>
      <w:r w:rsidDel="00000000" w:rsidR="00000000" w:rsidRPr="00000000">
        <w:rPr>
          <w:b w:val="1"/>
          <w:rtl w:val="0"/>
        </w:rPr>
        <w:t xml:space="preserve">cURL</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curl --location 'https://api.grants.gov/v1/api/search2' \</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--header 'Content-Type: application/json' \</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 '{"keyword": "health"}'</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Rule="auto"/>
        <w:rPr>
          <w:color w:val="1155cc"/>
          <w:u w:val="single"/>
        </w:rPr>
      </w:pPr>
      <w:r w:rsidDel="00000000" w:rsidR="00000000" w:rsidRPr="00000000">
        <w:rPr>
          <w:rtl w:val="0"/>
        </w:rPr>
        <w:t xml:space="preserve">Ensure you replace the sample data with your actual parameters. ​</w:t>
      </w:r>
      <w:hyperlink r:id="rId11">
        <w:r w:rsidDel="00000000" w:rsidR="00000000" w:rsidRPr="00000000">
          <w:rPr>
            <w:color w:val="1155cc"/>
            <w:u w:val="single"/>
            <w:rtl w:val="0"/>
          </w:rPr>
          <w:t xml:space="preserve">SEARCH2</w:t>
        </w:r>
      </w:hyperlink>
      <w:r w:rsidDel="00000000" w:rsidR="00000000" w:rsidRPr="00000000">
        <w:rPr>
          <w:rtl w:val="0"/>
        </w:rPr>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wxfmex2prg5h" w:id="5"/>
      <w:bookmarkEnd w:id="5"/>
      <w:r w:rsidDel="00000000" w:rsidR="00000000" w:rsidRPr="00000000">
        <w:rPr>
          <w:b w:val="1"/>
          <w:color w:val="000000"/>
          <w:sz w:val="26"/>
          <w:szCs w:val="26"/>
          <w:rtl w:val="0"/>
        </w:rPr>
        <w:t xml:space="preserve">🔄 API Versioning</w:t>
      </w:r>
    </w:p>
    <w:p w:rsidR="00000000" w:rsidDel="00000000" w:rsidP="00000000" w:rsidRDefault="00000000" w:rsidRPr="00000000" w14:paraId="00000037">
      <w:pPr>
        <w:spacing w:after="240" w:before="240" w:lineRule="auto"/>
        <w:rPr>
          <w:color w:val="1155cc"/>
          <w:u w:val="single"/>
        </w:rPr>
      </w:pPr>
      <w:r w:rsidDel="00000000" w:rsidR="00000000" w:rsidRPr="00000000">
        <w:rPr>
          <w:rtl w:val="0"/>
        </w:rPr>
        <w:t xml:space="preserve">Grants.gov employs a versioning strategy to maintain API stability:​</w:t>
      </w:r>
      <w:hyperlink r:id="rId12">
        <w:r w:rsidDel="00000000" w:rsidR="00000000" w:rsidRPr="00000000">
          <w:rPr>
            <w:color w:val="1155cc"/>
            <w:u w:val="single"/>
            <w:rtl w:val="0"/>
          </w:rPr>
          <w:t xml:space="preserve">API VERSIONING</w:t>
        </w:r>
      </w:hyperlink>
      <w:r w:rsidDel="00000000" w:rsidR="00000000" w:rsidRPr="00000000">
        <w:rPr>
          <w:rtl w:val="0"/>
        </w:rPr>
      </w:r>
    </w:p>
    <w:p w:rsidR="00000000" w:rsidDel="00000000" w:rsidP="00000000" w:rsidRDefault="00000000" w:rsidRPr="00000000" w14:paraId="00000038">
      <w:pPr>
        <w:numPr>
          <w:ilvl w:val="0"/>
          <w:numId w:val="4"/>
        </w:numPr>
        <w:spacing w:after="0" w:afterAutospacing="0" w:before="240" w:lineRule="auto"/>
        <w:ind w:left="720" w:hanging="360"/>
      </w:pPr>
      <w:r w:rsidDel="00000000" w:rsidR="00000000" w:rsidRPr="00000000">
        <w:rPr>
          <w:b w:val="1"/>
          <w:rtl w:val="0"/>
        </w:rPr>
        <w:t xml:space="preserve">Major Versions</w:t>
      </w:r>
      <w:r w:rsidDel="00000000" w:rsidR="00000000" w:rsidRPr="00000000">
        <w:rPr>
          <w:rtl w:val="0"/>
        </w:rPr>
        <w:t xml:space="preserve">: Indicated in the URL path (e.g., </w:t>
      </w:r>
      <w:r w:rsidDel="00000000" w:rsidR="00000000" w:rsidRPr="00000000">
        <w:rPr>
          <w:rFonts w:ascii="Roboto Mono" w:cs="Roboto Mono" w:eastAsia="Roboto Mono" w:hAnsi="Roboto Mono"/>
          <w:color w:val="188038"/>
          <w:rtl w:val="0"/>
        </w:rPr>
        <w:t xml:space="preserve">/v1/</w:t>
      </w:r>
      <w:r w:rsidDel="00000000" w:rsidR="00000000" w:rsidRPr="00000000">
        <w:rPr>
          <w:rtl w:val="0"/>
        </w:rPr>
        <w:t xml:space="preserve">). Major updates that may introduce breaking changes will result in a new version number.</w:t>
      </w:r>
      <w:r w:rsidDel="00000000" w:rsidR="00000000" w:rsidRPr="00000000">
        <w:rPr>
          <w:rtl w:val="0"/>
        </w:rPr>
      </w:r>
    </w:p>
    <w:p w:rsidR="00000000" w:rsidDel="00000000" w:rsidP="00000000" w:rsidRDefault="00000000" w:rsidRPr="00000000" w14:paraId="00000039">
      <w:pPr>
        <w:numPr>
          <w:ilvl w:val="0"/>
          <w:numId w:val="4"/>
        </w:numPr>
        <w:spacing w:after="240" w:before="0" w:beforeAutospacing="0" w:lineRule="auto"/>
        <w:ind w:left="720" w:hanging="360"/>
      </w:pPr>
      <w:r w:rsidDel="00000000" w:rsidR="00000000" w:rsidRPr="00000000">
        <w:rPr>
          <w:b w:val="1"/>
          <w:rtl w:val="0"/>
        </w:rPr>
        <w:t xml:space="preserve">Minor Versions</w:t>
      </w:r>
      <w:r w:rsidDel="00000000" w:rsidR="00000000" w:rsidRPr="00000000">
        <w:rPr>
          <w:rtl w:val="0"/>
        </w:rPr>
        <w:t xml:space="preserve">: Represent non-breaking changes and are specified in the </w:t>
      </w:r>
      <w:r w:rsidDel="00000000" w:rsidR="00000000" w:rsidRPr="00000000">
        <w:rPr>
          <w:rFonts w:ascii="Roboto Mono" w:cs="Roboto Mono" w:eastAsia="Roboto Mono" w:hAnsi="Roboto Mono"/>
          <w:color w:val="188038"/>
          <w:rtl w:val="0"/>
        </w:rPr>
        <w:t xml:space="preserve">X-API-Version</w:t>
      </w:r>
      <w:r w:rsidDel="00000000" w:rsidR="00000000" w:rsidRPr="00000000">
        <w:rPr>
          <w:rtl w:val="0"/>
        </w:rPr>
        <w:t xml:space="preserve"> HTTP header (e.g., </w:t>
      </w:r>
      <w:r w:rsidDel="00000000" w:rsidR="00000000" w:rsidRPr="00000000">
        <w:rPr>
          <w:rFonts w:ascii="Roboto Mono" w:cs="Roboto Mono" w:eastAsia="Roboto Mono" w:hAnsi="Roboto Mono"/>
          <w:color w:val="188038"/>
          <w:rtl w:val="0"/>
        </w:rPr>
        <w:t xml:space="preserve">X-API-Version: 1.1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A">
      <w:pPr>
        <w:spacing w:after="240" w:before="240" w:lineRule="auto"/>
        <w:rPr>
          <w:color w:val="1155cc"/>
          <w:u w:val="single"/>
        </w:rPr>
      </w:pPr>
      <w:r w:rsidDel="00000000" w:rsidR="00000000" w:rsidRPr="00000000">
        <w:rPr>
          <w:rtl w:val="0"/>
        </w:rPr>
        <w:t xml:space="preserve">This approach ensures backward compatibility and provides clear communication about updates. ​</w:t>
      </w:r>
      <w:hyperlink r:id="rId13">
        <w:r w:rsidDel="00000000" w:rsidR="00000000" w:rsidRPr="00000000">
          <w:rPr>
            <w:color w:val="1155cc"/>
            <w:u w:val="single"/>
            <w:rtl w:val="0"/>
          </w:rPr>
          <w:t xml:space="preserve">Grants.gov</w:t>
        </w:r>
      </w:hyperlink>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88w9xdowq3h1" w:id="6"/>
      <w:bookmarkEnd w:id="6"/>
      <w:r w:rsidDel="00000000" w:rsidR="00000000" w:rsidRPr="00000000">
        <w:rPr>
          <w:b w:val="1"/>
          <w:color w:val="000000"/>
          <w:sz w:val="26"/>
          <w:szCs w:val="26"/>
          <w:rtl w:val="0"/>
        </w:rPr>
        <w:t xml:space="preserve">📄 Terms of Service</w:t>
      </w:r>
    </w:p>
    <w:p w:rsidR="00000000" w:rsidDel="00000000" w:rsidP="00000000" w:rsidRDefault="00000000" w:rsidRPr="00000000" w14:paraId="0000003D">
      <w:pPr>
        <w:spacing w:after="240" w:before="240" w:lineRule="auto"/>
        <w:rPr>
          <w:color w:val="1155cc"/>
          <w:u w:val="single"/>
        </w:rPr>
      </w:pPr>
      <w:r w:rsidDel="00000000" w:rsidR="00000000" w:rsidRPr="00000000">
        <w:rPr>
          <w:rtl w:val="0"/>
        </w:rPr>
        <w:t xml:space="preserve">By using the Grants.gov API, you agree to the following:​</w:t>
      </w:r>
      <w:hyperlink r:id="rId14">
        <w:r w:rsidDel="00000000" w:rsidR="00000000" w:rsidRPr="00000000">
          <w:rPr>
            <w:color w:val="1155cc"/>
            <w:u w:val="single"/>
            <w:rtl w:val="0"/>
          </w:rPr>
          <w:t xml:space="preserve">TERMS &amp; CONDITIONS</w:t>
        </w:r>
      </w:hyperlink>
      <w:r w:rsidDel="00000000" w:rsidR="00000000" w:rsidRPr="00000000">
        <w:rPr>
          <w:rtl w:val="0"/>
        </w:rPr>
      </w:r>
    </w:p>
    <w:p w:rsidR="00000000" w:rsidDel="00000000" w:rsidP="00000000" w:rsidRDefault="00000000" w:rsidRPr="00000000" w14:paraId="0000003E">
      <w:pPr>
        <w:numPr>
          <w:ilvl w:val="0"/>
          <w:numId w:val="2"/>
        </w:numPr>
        <w:spacing w:after="0" w:afterAutospacing="0" w:before="240" w:lineRule="auto"/>
        <w:ind w:left="720" w:hanging="360"/>
      </w:pPr>
      <w:r w:rsidDel="00000000" w:rsidR="00000000" w:rsidRPr="00000000">
        <w:rPr>
          <w:b w:val="1"/>
          <w:rtl w:val="0"/>
        </w:rPr>
        <w:t xml:space="preserve">Usage</w:t>
      </w:r>
      <w:r w:rsidDel="00000000" w:rsidR="00000000" w:rsidRPr="00000000">
        <w:rPr>
          <w:rtl w:val="0"/>
        </w:rPr>
        <w:t xml:space="preserve">: APIs are provided "as is" without warranties.​</w:t>
      </w:r>
      <w:r w:rsidDel="00000000" w:rsidR="00000000" w:rsidRPr="00000000">
        <w:rPr>
          <w:rtl w:val="0"/>
        </w:rPr>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b w:val="1"/>
          <w:rtl w:val="0"/>
        </w:rPr>
        <w:t xml:space="preserve">Attribution</w:t>
      </w:r>
      <w:r w:rsidDel="00000000" w:rsidR="00000000" w:rsidRPr="00000000">
        <w:rPr>
          <w:rtl w:val="0"/>
        </w:rPr>
        <w:t xml:space="preserve">: Any application utilizing the API should display the notice:</w:t>
        <w:br w:type="textWrapping"/>
        <w:t xml:space="preserve">"This product uses the Grants.gov API but is not endorsed or certified by the U.S. Department of Health and Human Services."​</w:t>
      </w:r>
      <w:r w:rsidDel="00000000" w:rsidR="00000000" w:rsidRPr="00000000">
        <w:rPr>
          <w:rtl w:val="0"/>
        </w:rPr>
      </w:r>
    </w:p>
    <w:p w:rsidR="00000000" w:rsidDel="00000000" w:rsidP="00000000" w:rsidRDefault="00000000" w:rsidRPr="00000000" w14:paraId="00000040">
      <w:pPr>
        <w:numPr>
          <w:ilvl w:val="0"/>
          <w:numId w:val="2"/>
        </w:numPr>
        <w:spacing w:after="240" w:before="0" w:beforeAutospacing="0" w:lineRule="auto"/>
        <w:ind w:left="720" w:hanging="360"/>
      </w:pPr>
      <w:r w:rsidDel="00000000" w:rsidR="00000000" w:rsidRPr="00000000">
        <w:rPr>
          <w:b w:val="1"/>
          <w:rtl w:val="0"/>
        </w:rPr>
        <w:t xml:space="preserve">Limitations</w:t>
      </w:r>
      <w:r w:rsidDel="00000000" w:rsidR="00000000" w:rsidRPr="00000000">
        <w:rPr>
          <w:rtl w:val="0"/>
        </w:rPr>
        <w:t xml:space="preserve">: Grants.gov may impose limits on API usage and reserves the right to revoke access if terms are violated. ​</w:t>
      </w:r>
      <w:r w:rsidDel="00000000" w:rsidR="00000000" w:rsidRPr="00000000">
        <w:rPr>
          <w:rtl w:val="0"/>
        </w:rPr>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y71q8r9m3gpy" w:id="7"/>
      <w:bookmarkEnd w:id="7"/>
      <w:r w:rsidDel="00000000" w:rsidR="00000000" w:rsidRPr="00000000">
        <w:rPr>
          <w:b w:val="1"/>
          <w:color w:val="000000"/>
          <w:sz w:val="26"/>
          <w:szCs w:val="26"/>
          <w:rtl w:val="0"/>
        </w:rPr>
        <w:t xml:space="preserve">🧰 Additional Resources</w:t>
      </w:r>
    </w:p>
    <w:p w:rsidR="00000000" w:rsidDel="00000000" w:rsidP="00000000" w:rsidRDefault="00000000" w:rsidRPr="00000000" w14:paraId="00000043">
      <w:pPr>
        <w:numPr>
          <w:ilvl w:val="0"/>
          <w:numId w:val="8"/>
        </w:numPr>
        <w:spacing w:after="0" w:afterAutospacing="0" w:before="240" w:lineRule="auto"/>
        <w:ind w:left="720" w:hanging="360"/>
      </w:pPr>
      <w:r w:rsidDel="00000000" w:rsidR="00000000" w:rsidRPr="00000000">
        <w:rPr>
          <w:b w:val="1"/>
          <w:rtl w:val="0"/>
        </w:rPr>
        <w:t xml:space="preserve">API Guide</w:t>
      </w:r>
      <w:r w:rsidDel="00000000" w:rsidR="00000000" w:rsidRPr="00000000">
        <w:rPr>
          <w:rtl w:val="0"/>
        </w:rPr>
        <w:t xml:space="preserve">: Comprehensive instructions on using and testing the APIs. ​</w:t>
      </w:r>
    </w:p>
    <w:p w:rsidR="00000000" w:rsidDel="00000000" w:rsidP="00000000" w:rsidRDefault="00000000" w:rsidRPr="00000000" w14:paraId="00000044">
      <w:pPr>
        <w:numPr>
          <w:ilvl w:val="0"/>
          <w:numId w:val="8"/>
        </w:numPr>
        <w:spacing w:after="0" w:afterAutospacing="0" w:before="0" w:beforeAutospacing="0" w:lineRule="auto"/>
        <w:ind w:left="720" w:hanging="360"/>
      </w:pPr>
      <w:r w:rsidDel="00000000" w:rsidR="00000000" w:rsidRPr="00000000">
        <w:rPr>
          <w:b w:val="1"/>
          <w:rtl w:val="0"/>
        </w:rPr>
        <w:t xml:space="preserve">Reference Implementation</w:t>
      </w:r>
      <w:r w:rsidDel="00000000" w:rsidR="00000000" w:rsidRPr="00000000">
        <w:rPr>
          <w:rtl w:val="0"/>
        </w:rPr>
        <w:t xml:space="preserve">: Sample Java application with MySQL database to assist in client application development and connectivity testing. ​</w:t>
      </w:r>
      <w:hyperlink r:id="rId15">
        <w:r w:rsidDel="00000000" w:rsidR="00000000" w:rsidRPr="00000000">
          <w:rPr>
            <w:color w:val="1155cc"/>
            <w:u w:val="single"/>
            <w:rtl w:val="0"/>
          </w:rPr>
          <w:t xml:space="preserve">REFERENCE IMPLEMENTATION</w:t>
        </w:r>
      </w:hyperlink>
      <w:r w:rsidDel="00000000" w:rsidR="00000000" w:rsidRPr="00000000">
        <w:rPr>
          <w:rtl w:val="0"/>
        </w:rPr>
      </w:r>
    </w:p>
    <w:p w:rsidR="00000000" w:rsidDel="00000000" w:rsidP="00000000" w:rsidRDefault="00000000" w:rsidRPr="00000000" w14:paraId="00000045">
      <w:pPr>
        <w:numPr>
          <w:ilvl w:val="0"/>
          <w:numId w:val="8"/>
        </w:numPr>
        <w:spacing w:after="240" w:before="0" w:beforeAutospacing="0" w:lineRule="auto"/>
        <w:ind w:left="720" w:hanging="360"/>
      </w:pPr>
      <w:r w:rsidDel="00000000" w:rsidR="00000000" w:rsidRPr="00000000">
        <w:rPr>
          <w:b w:val="1"/>
          <w:rtl w:val="0"/>
        </w:rPr>
        <w:t xml:space="preserve">Schemas</w:t>
      </w:r>
      <w:r w:rsidDel="00000000" w:rsidR="00000000" w:rsidRPr="00000000">
        <w:rPr>
          <w:rtl w:val="0"/>
        </w:rPr>
        <w:t xml:space="preserve">: Detailed XML schemas for various components like Grants Opportunity, Package, and Related Documents. ​</w:t>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rants.gov/api/common/search2?utm_source=chatgpt.com" TargetMode="External"/><Relationship Id="rId10" Type="http://schemas.openxmlformats.org/officeDocument/2006/relationships/hyperlink" Target="https://grants.gov/api/api-guide?utm_source=chatgpt.com" TargetMode="External"/><Relationship Id="rId13" Type="http://schemas.openxmlformats.org/officeDocument/2006/relationships/hyperlink" Target="https://grants.gov/api/api-versioning?utm_source=chatgpt.com" TargetMode="External"/><Relationship Id="rId12" Type="http://schemas.openxmlformats.org/officeDocument/2006/relationships/hyperlink" Target="https://grants.gov/api/api-versioning?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ants.gov/api/api-guide?utm_source=chatgpt.com" TargetMode="External"/><Relationship Id="rId15" Type="http://schemas.openxmlformats.org/officeDocument/2006/relationships/hyperlink" Target="https://www.grants.gov/system-to-system/grantor-system-to-system/reference-implementation?utm_source=chatgpt.com" TargetMode="External"/><Relationship Id="rId14" Type="http://schemas.openxmlformats.org/officeDocument/2006/relationships/hyperlink" Target="https://www.grants.gov/api/terms-conditions?utm_source=chatgpt.com" TargetMode="External"/><Relationship Id="rId5" Type="http://schemas.openxmlformats.org/officeDocument/2006/relationships/styles" Target="styles.xml"/><Relationship Id="rId6" Type="http://schemas.openxmlformats.org/officeDocument/2006/relationships/hyperlink" Target="https://api.staging.grants.gov" TargetMode="External"/><Relationship Id="rId7" Type="http://schemas.openxmlformats.org/officeDocument/2006/relationships/hyperlink" Target="https://grants.gov/api/api-guide?utm_source=chatgpt.com" TargetMode="External"/><Relationship Id="rId8" Type="http://schemas.openxmlformats.org/officeDocument/2006/relationships/hyperlink" Target="https://grants.gov/api/api-guide?utm_source=chatgp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