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olor w:val="146EB4"/>
          <w:sz w:val="40"/>
          <w:szCs w:val="40"/>
        </w:rPr>
        <w:t xml:space="preserve">Two-Tier Web Application Automation with Terraform</w:t>
      </w:r>
    </w:p>
    <w:p>
      <w:pPr>
        <w:spacing w:after="600"/>
        <w:jc w:val="center"/>
      </w:pPr>
      <w:r>
        <w:rPr>
          <w:color w:val="1B2733"/>
          <w:sz w:val="26"/>
          <w:szCs w:val="26"/>
        </w:rPr>
        <w:t xml:space="preserve">ACS730 — Final Project Report</w:t>
      </w:r>
    </w:p>
    <w:p>
      <w:pPr>
        <w:spacing w:after="80" w:line="276"/>
        <w:jc w:val="center"/>
      </w:pPr>
      <w:r>
        <w:rPr>
          <w:color w:val="1B2733"/>
          <w:sz w:val="22"/>
          <w:szCs w:val="22"/>
        </w:rPr>
        <w:t xml:space="preserve">Student name: [Your Name]</w:t>
      </w:r>
    </w:p>
    <w:p>
      <w:pPr>
        <w:spacing w:after="80" w:line="276"/>
        <w:jc w:val="center"/>
      </w:pPr>
      <w:r>
        <w:rPr>
          <w:color w:val="1B2733"/>
          <w:sz w:val="22"/>
          <w:szCs w:val="22"/>
        </w:rPr>
        <w:t xml:space="preserve">Course: ACS730 — Cloud Automation</w:t>
      </w:r>
    </w:p>
    <w:p>
      <w:pPr>
        <w:spacing w:after="80" w:line="276"/>
        <w:jc w:val="center"/>
      </w:pPr>
      <w:r>
        <w:rPr>
          <w:color w:val="1B2733"/>
          <w:sz w:val="22"/>
          <w:szCs w:val="22"/>
        </w:rPr>
        <w:t xml:space="preserve">Section: [Your Section]</w:t>
      </w:r>
    </w:p>
    <w:p>
      <w:pPr>
        <w:spacing w:after="80" w:line="276"/>
        <w:jc w:val="center"/>
      </w:pPr>
      <w:r>
        <w:rPr>
          <w:color w:val="1B2733"/>
          <w:sz w:val="22"/>
          <w:szCs w:val="22"/>
        </w:rPr>
        <w:t xml:space="preserve">Professor: [Professor's Name]</w:t>
      </w:r>
    </w:p>
    <w:p>
      <w:pPr>
        <w:spacing w:after="80" w:line="276"/>
        <w:jc w:val="center"/>
      </w:pPr>
      <w:r>
        <w:rPr>
          <w:color w:val="1B2733"/>
          <w:sz w:val="22"/>
          <w:szCs w:val="22"/>
        </w:rPr>
        <w:t xml:space="preserve">Date: [Submission Date]</w:t>
      </w:r>
    </w:p>
    <w:p>
      <w:r>
        <w:br w:type="page"/>
      </w:r>
    </w:p>
    <w:p>
      <w:pPr>
        <w:pStyle w:val="Heading1"/>
        <w:spacing w:after="120" w:before="240"/>
      </w:pPr>
      <w:r>
        <w:rPr>
          <w:b/>
          <w:bCs/>
          <w:color w:val="146EB4"/>
        </w:rPr>
        <w:t xml:space="preserve">1. Team Members and GitHub Mapping</w:t>
      </w:r>
    </w:p>
    <w:p>
      <w:pPr>
        <w:spacing w:after="160" w:line="276"/>
      </w:pPr>
      <w:r>
        <w:rPr>
          <w:color w:val="1B2733"/>
          <w:sz w:val="22"/>
          <w:szCs w:val="22"/>
        </w:rPr>
        <w:t xml:space="preserve">The table below maps each team member to their GitHub account. Individual contributions can be verified through the commit history of the project repository. (Replace the bracketed placeholders before submitting.)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46EB4" w:color="auto" w:val="clear"/>
            <w:tcMar>
              <w:top w:type="dxa" w:w="60"/>
              <w:left w:type="dxa" w:w="120"/>
              <w:bottom w:type="dxa" w:w="60"/>
              <w:right w:type="dxa" w:w="120"/>
            </w:tcMar>
          </w:tcPr>
          <w:p>
            <w:r>
              <w:rPr>
                <w:b/>
                <w:bCs/>
                <w:color w:val="FFFFFF"/>
                <w:sz w:val="22"/>
                <w:szCs w:val="22"/>
              </w:rPr>
              <w:t xml:space="preserve">Team Member (Full Name)</w:t>
            </w:r>
          </w:p>
        </w:tc>
        <w:tc>
          <w:tcPr>
            <w:tcW w:type="dxa" w:w="4680"/>
            <w:shd w:fill="146EB4" w:color="auto" w:val="clear"/>
            <w:tcMar>
              <w:top w:type="dxa" w:w="60"/>
              <w:left w:type="dxa" w:w="120"/>
              <w:bottom w:type="dxa" w:w="60"/>
              <w:right w:type="dxa" w:w="120"/>
            </w:tcMar>
          </w:tcPr>
          <w:p>
            <w:r>
              <w:rPr>
                <w:b/>
                <w:bCs/>
                <w:color w:val="FFFFFF"/>
                <w:sz w:val="22"/>
                <w:szCs w:val="22"/>
              </w:rPr>
              <w:t xml:space="preserve">GitHub Username</w:t>
            </w:r>
          </w:p>
        </w:tc>
      </w:tr>
      <w:tr>
        <w:tc>
          <w:tcPr>
            <w:tcW w:type="dxa" w:w="4680"/>
            <w:tcMar>
              <w:top w:type="dxa" w:w="60"/>
              <w:left w:type="dxa" w:w="120"/>
              <w:bottom w:type="dxa" w:w="60"/>
              <w:right w:type="dxa" w:w="120"/>
            </w:tcMar>
          </w:tcPr>
          <w:p>
            <w:r>
              <w:rPr>
                <w:b w:val="false"/>
                <w:bCs w:val="false"/>
                <w:color w:val="1B2733"/>
                <w:sz w:val="22"/>
                <w:szCs w:val="22"/>
              </w:rPr>
              <w:t xml:space="preserve">Halimat [Last Name]</w:t>
            </w:r>
          </w:p>
        </w:tc>
        <w:tc>
          <w:tcPr>
            <w:tcW w:type="dxa" w:w="4680"/>
            <w:tcMar>
              <w:top w:type="dxa" w:w="60"/>
              <w:left w:type="dxa" w:w="120"/>
              <w:bottom w:type="dxa" w:w="60"/>
              <w:right w:type="dxa" w:w="120"/>
            </w:tcMar>
          </w:tcPr>
          <w:p>
            <w:r>
              <w:rPr>
                <w:b w:val="false"/>
                <w:bCs w:val="false"/>
                <w:color w:val="1B2733"/>
                <w:sz w:val="22"/>
                <w:szCs w:val="22"/>
              </w:rPr>
              <w:t xml:space="preserve">[github-username]</w:t>
            </w:r>
          </w:p>
        </w:tc>
      </w:tr>
      <w:tr>
        <w:tc>
          <w:tcPr>
            <w:tcW w:type="dxa" w:w="4680"/>
            <w:tcMar>
              <w:top w:type="dxa" w:w="60"/>
              <w:left w:type="dxa" w:w="120"/>
              <w:bottom w:type="dxa" w:w="60"/>
              <w:right w:type="dxa" w:w="120"/>
            </w:tcMar>
          </w:tcPr>
          <w:p>
            <w:r>
              <w:rPr>
                <w:b w:val="false"/>
                <w:bCs w:val="false"/>
                <w:color w:val="1B2733"/>
                <w:sz w:val="22"/>
                <w:szCs w:val="22"/>
              </w:rPr>
              <w:t xml:space="preserve">[Team Member 2]</w:t>
            </w:r>
          </w:p>
        </w:tc>
        <w:tc>
          <w:tcPr>
            <w:tcW w:type="dxa" w:w="4680"/>
            <w:tcMar>
              <w:top w:type="dxa" w:w="60"/>
              <w:left w:type="dxa" w:w="120"/>
              <w:bottom w:type="dxa" w:w="60"/>
              <w:right w:type="dxa" w:w="120"/>
            </w:tcMar>
          </w:tcPr>
          <w:p>
            <w:r>
              <w:rPr>
                <w:b w:val="false"/>
                <w:bCs w:val="false"/>
                <w:color w:val="1B2733"/>
                <w:sz w:val="22"/>
                <w:szCs w:val="22"/>
              </w:rPr>
              <w:t xml:space="preserve">[github-username]</w:t>
            </w:r>
          </w:p>
        </w:tc>
      </w:tr>
      <w:tr>
        <w:tc>
          <w:tcPr>
            <w:tcW w:type="dxa" w:w="4680"/>
            <w:tcMar>
              <w:top w:type="dxa" w:w="60"/>
              <w:left w:type="dxa" w:w="120"/>
              <w:bottom w:type="dxa" w:w="60"/>
              <w:right w:type="dxa" w:w="120"/>
            </w:tcMar>
          </w:tcPr>
          <w:p>
            <w:r>
              <w:rPr>
                <w:b w:val="false"/>
                <w:bCs w:val="false"/>
                <w:color w:val="1B2733"/>
                <w:sz w:val="22"/>
                <w:szCs w:val="22"/>
              </w:rPr>
              <w:t xml:space="preserve">[Team Member 3]</w:t>
            </w:r>
          </w:p>
        </w:tc>
        <w:tc>
          <w:tcPr>
            <w:tcW w:type="dxa" w:w="4680"/>
            <w:tcMar>
              <w:top w:type="dxa" w:w="60"/>
              <w:left w:type="dxa" w:w="120"/>
              <w:bottom w:type="dxa" w:w="60"/>
              <w:right w:type="dxa" w:w="120"/>
            </w:tcMar>
          </w:tcPr>
          <w:p>
            <w:r>
              <w:rPr>
                <w:b w:val="false"/>
                <w:bCs w:val="false"/>
                <w:color w:val="1B2733"/>
                <w:sz w:val="22"/>
                <w:szCs w:val="22"/>
              </w:rPr>
              <w:t xml:space="preserve">[github-username]</w:t>
            </w:r>
          </w:p>
        </w:tc>
      </w:tr>
    </w:tbl>
    <w:p>
      <w:pPr>
        <w:spacing w:after="200" w:line="276"/>
      </w:pPr>
      <w:r>
        <w:rPr>
          <w:color w:val="1B2733"/>
          <w:sz w:val="22"/>
          <w:szCs w:val="22"/>
        </w:rPr>
        <w:t xml:space="preserve"/>
      </w:r>
    </w:p>
    <w:p>
      <w:pPr>
        <w:pStyle w:val="Heading1"/>
        <w:spacing w:after="120" w:before="240"/>
      </w:pPr>
      <w:r>
        <w:rPr>
          <w:b/>
          <w:bCs/>
          <w:color w:val="146EB4"/>
        </w:rPr>
        <w:t xml:space="preserve">2. Traffic Flow Explanations</w:t>
      </w:r>
    </w:p>
    <w:p>
      <w:pPr>
        <w:spacing w:after="160" w:line="276"/>
      </w:pPr>
      <w:r>
        <w:rPr>
          <w:color w:val="1B2733"/>
          <w:sz w:val="22"/>
          <w:szCs w:val="22"/>
        </w:rPr>
        <w:t xml:space="preserve">The architecture carries three distinct traffic flows. Each is described below against the four required questions. Note: confirm the colour-to-flow mapping against your own Traffic Flows diagram — the colours are matched to the most likely flow for this two-tier design.</w:t>
      </w:r>
    </w:p>
    <w:p>
      <w:pPr>
        <w:pStyle w:val="Heading2"/>
        <w:spacing w:after="120" w:before="240"/>
      </w:pPr>
      <w:r>
        <w:rPr>
          <w:b/>
          <w:bCs/>
          <w:color w:val="146EB4"/>
        </w:rPr>
        <w:t xml:space="preserve">2.1 End-user web traffic</w:t>
      </w:r>
    </w:p>
    <w:p>
      <w:pPr>
        <w:spacing w:after="120"/>
      </w:pPr>
      <w:r>
        <w:rPr>
          <w:i/>
          <w:iCs/>
          <w:color w:val="146EB4"/>
          <w:sz w:val="20"/>
          <w:szCs w:val="20"/>
        </w:rPr>
        <w:t xml:space="preserve">Likely diagram colour: purple</w:t>
      </w:r>
    </w:p>
    <w:p>
      <w:pPr>
        <w:spacing w:after="160" w:line="276"/>
      </w:pPr>
      <w:r>
        <w:rPr>
          <w:color w:val="1B2733"/>
          <w:sz w:val="22"/>
          <w:szCs w:val="22"/>
        </w:rPr>
        <w:t xml:space="preserve">This is the primary production flow that serves the static website to visitors. A user's browser resolves the Application Load Balancer's DNS name and sends an HTTP request. The request enters the VPC through the Internet Gateway, reaches the ALB in the public subnets, and is forwarded over port 80 to a healthy web server in one of the private subnets. The web server returns the HTML page along with the image it previously downloaded from the private S3 bucket. The ALB spreads successive requests across instances in all three Availability Zones.</w:t>
      </w:r>
    </w:p>
    <w:p>
      <w:pPr>
        <w:pStyle w:val="ListParagraph"/>
        <w:numPr>
          <w:ilvl w:val="0"/>
          <w:numId w:val="1"/>
        </w:numPr>
        <w:spacing w:after="80" w:line="276"/>
      </w:pPr>
      <w:r>
        <w:rPr>
          <w:color w:val="1B2733"/>
          <w:sz w:val="22"/>
          <w:szCs w:val="22"/>
        </w:rPr>
        <w:t xml:space="preserve">Lifecycle stage: Runtime / production — occurs continuously once the environment is deployed and healthy.</w:t>
      </w:r>
    </w:p>
    <w:p>
      <w:pPr>
        <w:pStyle w:val="ListParagraph"/>
        <w:numPr>
          <w:ilvl w:val="0"/>
          <w:numId w:val="1"/>
        </w:numPr>
        <w:spacing w:after="80" w:line="276"/>
      </w:pPr>
      <w:r>
        <w:rPr>
          <w:color w:val="1B2733"/>
          <w:sz w:val="22"/>
          <w:szCs w:val="22"/>
        </w:rPr>
        <w:t xml:space="preserve">How it is triggered: Triggered by an end user opening the website URL (the ALB DNS name) in a browser.</w:t>
      </w:r>
    </w:p>
    <w:p>
      <w:pPr>
        <w:pStyle w:val="ListParagraph"/>
        <w:numPr>
          <w:ilvl w:val="0"/>
          <w:numId w:val="1"/>
        </w:numPr>
        <w:spacing w:after="80" w:line="276"/>
      </w:pPr>
      <w:r>
        <w:rPr>
          <w:color w:val="1B2733"/>
          <w:sz w:val="22"/>
          <w:szCs w:val="22"/>
        </w:rPr>
        <w:t xml:space="preserve">Who the users are: External, unauthenticated public visitors of the website.</w:t>
      </w:r>
    </w:p>
    <w:p>
      <w:pPr>
        <w:pStyle w:val="ListParagraph"/>
        <w:numPr>
          <w:ilvl w:val="0"/>
          <w:numId w:val="1"/>
        </w:numPr>
        <w:spacing w:after="80" w:line="276"/>
      </w:pPr>
      <w:r>
        <w:rPr>
          <w:color w:val="1B2733"/>
          <w:sz w:val="22"/>
          <w:szCs w:val="22"/>
        </w:rPr>
        <w:t xml:space="preserve">Type of traffic: Web (HTTP) application traffic, north-south, entering from the internet.</w:t>
      </w:r>
    </w:p>
    <w:p>
      <w:pPr>
        <w:pStyle w:val="Heading2"/>
        <w:spacing w:after="120" w:before="240"/>
      </w:pPr>
      <w:r>
        <w:rPr>
          <w:b/>
          <w:bCs/>
          <w:color w:val="146EB4"/>
        </w:rPr>
        <w:t xml:space="preserve">2.2 Application-to-S3 data flow</w:t>
      </w:r>
    </w:p>
    <w:p>
      <w:pPr>
        <w:spacing w:after="120"/>
      </w:pPr>
      <w:r>
        <w:rPr>
          <w:i/>
          <w:iCs/>
          <w:color w:val="146EB4"/>
          <w:sz w:val="20"/>
          <w:szCs w:val="20"/>
        </w:rPr>
        <w:t xml:space="preserve">Likely diagram colour: pink</w:t>
      </w:r>
    </w:p>
    <w:p>
      <w:pPr>
        <w:spacing w:after="160" w:line="276"/>
      </w:pPr>
      <w:r>
        <w:rPr>
          <w:color w:val="1B2733"/>
          <w:sz w:val="22"/>
          <w:szCs w:val="22"/>
        </w:rPr>
        <w:t xml:space="preserve">This flow lets the private web servers fetch the website image from the private S3 bucket. Because the instances have no public IP, their outbound requests leave through the NAT Gateway in the public subnet and reach the S3 service endpoint. The instances authenticate using the temporary credentials of the IAM role attached through their instance profile — no access keys are stored on the host. The S3 read permission is scoped to this one bucket, so the bucket can remain fully private while still serving content to the application.</w:t>
      </w:r>
    </w:p>
    <w:p>
      <w:pPr>
        <w:pStyle w:val="ListParagraph"/>
        <w:numPr>
          <w:ilvl w:val="0"/>
          <w:numId w:val="1"/>
        </w:numPr>
        <w:spacing w:after="80" w:line="276"/>
      </w:pPr>
      <w:r>
        <w:rPr>
          <w:color w:val="1B2733"/>
          <w:sz w:val="22"/>
          <w:szCs w:val="22"/>
        </w:rPr>
        <w:t xml:space="preserve">Lifecycle stage: Deployment / bootstrap and runtime — runs when an instance launches (user-data) and whenever content is refreshed.</w:t>
      </w:r>
    </w:p>
    <w:p>
      <w:pPr>
        <w:pStyle w:val="ListParagraph"/>
        <w:numPr>
          <w:ilvl w:val="0"/>
          <w:numId w:val="1"/>
        </w:numPr>
        <w:spacing w:after="80" w:line="276"/>
      </w:pPr>
      <w:r>
        <w:rPr>
          <w:color w:val="1B2733"/>
          <w:sz w:val="22"/>
          <w:szCs w:val="22"/>
        </w:rPr>
        <w:t xml:space="preserve">How it is triggered: Triggered automatically by the EC2 user-data script at boot (and by the Auto Scaling Group when it launches replacement instances).</w:t>
      </w:r>
    </w:p>
    <w:p>
      <w:pPr>
        <w:pStyle w:val="ListParagraph"/>
        <w:numPr>
          <w:ilvl w:val="0"/>
          <w:numId w:val="1"/>
        </w:numPr>
        <w:spacing w:after="80" w:line="276"/>
      </w:pPr>
      <w:r>
        <w:rPr>
          <w:color w:val="1B2733"/>
          <w:sz w:val="22"/>
          <w:szCs w:val="22"/>
        </w:rPr>
        <w:t xml:space="preserve">Who the users are: The EC2 web servers themselves, acting via their IAM role (machine-to-service, no human user).</w:t>
      </w:r>
    </w:p>
    <w:p>
      <w:pPr>
        <w:pStyle w:val="ListParagraph"/>
        <w:numPr>
          <w:ilvl w:val="0"/>
          <w:numId w:val="1"/>
        </w:numPr>
        <w:spacing w:after="80" w:line="276"/>
      </w:pPr>
      <w:r>
        <w:rPr>
          <w:color w:val="1B2733"/>
          <w:sz w:val="22"/>
          <w:szCs w:val="22"/>
        </w:rPr>
        <w:t xml:space="preserve">Type of traffic: Systems/data traffic — an authenticated API call to the S3 service, east-west and outbound via NAT.</w:t>
      </w:r>
    </w:p>
    <w:p>
      <w:pPr>
        <w:pStyle w:val="Heading2"/>
        <w:spacing w:after="120" w:before="240"/>
      </w:pPr>
      <w:r>
        <w:rPr>
          <w:b/>
          <w:bCs/>
          <w:color w:val="146EB4"/>
        </w:rPr>
        <w:t xml:space="preserve">2.3 Administrative / SSH traffic</w:t>
      </w:r>
    </w:p>
    <w:p>
      <w:pPr>
        <w:spacing w:after="120"/>
      </w:pPr>
      <w:r>
        <w:rPr>
          <w:i/>
          <w:iCs/>
          <w:color w:val="146EB4"/>
          <w:sz w:val="20"/>
          <w:szCs w:val="20"/>
        </w:rPr>
        <w:t xml:space="preserve">Likely diagram colour: grey</w:t>
      </w:r>
    </w:p>
    <w:p>
      <w:pPr>
        <w:spacing w:after="160" w:line="276"/>
      </w:pPr>
      <w:r>
        <w:rPr>
          <w:color w:val="1B2733"/>
          <w:sz w:val="22"/>
          <w:szCs w:val="22"/>
        </w:rPr>
        <w:t xml:space="preserve">This is the management flow used to administer the web servers, which sit in private subnets and are not directly reachable from the internet. An administrator connects by SSH to the bastion host in a public subnet, and from the bastion opens an SSH session to a private web server. Security groups enforce the path: the bastion accepts SSH only from an allowed CIDR, and the web servers accept SSH only from the bastion's security group. (Session Manager is also enabled via the instance role as a keyless alternative.)</w:t>
      </w:r>
    </w:p>
    <w:p>
      <w:pPr>
        <w:pStyle w:val="ListParagraph"/>
        <w:numPr>
          <w:ilvl w:val="0"/>
          <w:numId w:val="1"/>
        </w:numPr>
        <w:spacing w:after="80" w:line="276"/>
      </w:pPr>
      <w:r>
        <w:rPr>
          <w:color w:val="1B2733"/>
          <w:sz w:val="22"/>
          <w:szCs w:val="22"/>
        </w:rPr>
        <w:t xml:space="preserve">Lifecycle stage: Maintenance / operations — occurs on demand during troubleshooting, patching, or configuration changes, not during normal serving.</w:t>
      </w:r>
    </w:p>
    <w:p>
      <w:pPr>
        <w:pStyle w:val="ListParagraph"/>
        <w:numPr>
          <w:ilvl w:val="0"/>
          <w:numId w:val="1"/>
        </w:numPr>
        <w:spacing w:after="80" w:line="276"/>
      </w:pPr>
      <w:r>
        <w:rPr>
          <w:color w:val="1B2733"/>
          <w:sz w:val="22"/>
          <w:szCs w:val="22"/>
        </w:rPr>
        <w:t xml:space="preserve">How it is triggered: Triggered manually by an administrator initiating an SSH connection to the bastion.</w:t>
      </w:r>
    </w:p>
    <w:p>
      <w:pPr>
        <w:pStyle w:val="ListParagraph"/>
        <w:numPr>
          <w:ilvl w:val="0"/>
          <w:numId w:val="1"/>
        </w:numPr>
        <w:spacing w:after="80" w:line="276"/>
      </w:pPr>
      <w:r>
        <w:rPr>
          <w:color w:val="1B2733"/>
          <w:sz w:val="22"/>
          <w:szCs w:val="22"/>
        </w:rPr>
        <w:t xml:space="preserve">Who the users are: Internal administrators / the DevOps team (authenticated).</w:t>
      </w:r>
    </w:p>
    <w:p>
      <w:pPr>
        <w:pStyle w:val="ListParagraph"/>
        <w:numPr>
          <w:ilvl w:val="0"/>
          <w:numId w:val="1"/>
        </w:numPr>
        <w:spacing w:after="80" w:line="276"/>
      </w:pPr>
      <w:r>
        <w:rPr>
          <w:color w:val="1B2733"/>
          <w:sz w:val="22"/>
          <w:szCs w:val="22"/>
        </w:rPr>
        <w:t xml:space="preserve">Type of traffic: Systems administration traffic (SSH, port 22), north-south to the bastion then east-west to the web tier.</w:t>
      </w:r>
    </w:p>
    <w:p>
      <w:r>
        <w:br w:type="page"/>
      </w:r>
    </w:p>
    <w:p>
      <w:pPr>
        <w:pStyle w:val="Heading1"/>
        <w:spacing w:after="120" w:before="240"/>
      </w:pPr>
      <w:r>
        <w:rPr>
          <w:b/>
          <w:bCs/>
          <w:color w:val="146EB4"/>
        </w:rPr>
        <w:t xml:space="preserve">3. Challenges, Solutions, and Learnings</w:t>
      </w:r>
    </w:p>
    <w:p>
      <w:pPr>
        <w:spacing w:after="160" w:line="276"/>
      </w:pPr>
      <w:r>
        <w:rPr>
          <w:color w:val="1B2733"/>
          <w:sz w:val="22"/>
          <w:szCs w:val="22"/>
        </w:rPr>
        <w:t xml:space="preserve">Building a fully modular, multi-environment Terraform solution surfaced a number of practical challenges that shaped the final design.</w:t>
      </w:r>
    </w:p>
    <w:p>
      <w:pPr>
        <w:spacing w:after="160" w:line="276"/>
      </w:pPr>
      <w:r>
        <w:rPr>
          <w:color w:val="1B2733"/>
          <w:sz w:val="22"/>
          <w:szCs w:val="22"/>
        </w:rPr>
        <w:t xml:space="preserve">The first challenge was avoiding code duplication across three environments while still allowing each to differ in CIDR range, instance size, and instance count. We solved this by splitting the infrastructure into five reusable modules — networking, security groups, ALB, compute, and S3/IAM — and keeping each environment's root configuration identical. Only the backend definition and a terraform.tfvars file change per environment. This made the difference between Dev, Staging, and Prod a matter of variable values rather than duplicated resource blocks, and it kept the Auto Scaling Group's minimum size and instance type parameterized.</w:t>
      </w:r>
    </w:p>
    <w:p>
      <w:pPr>
        <w:spacing w:after="160" w:line="276"/>
      </w:pPr>
      <w:r>
        <w:rPr>
          <w:color w:val="1B2733"/>
          <w:sz w:val="22"/>
          <w:szCs w:val="22"/>
        </w:rPr>
        <w:t xml:space="preserve">A second challenge was serving an image from a bucket that must not be public. Our first instinct was a public bucket policy, which the requirements explicitly forbid. We resolved this by attaching an IAM role to the instances through an instance profile and granting read access scoped to the single image bucket. The user-data script then uses the AWS CLI, which transparently picks up the role's temporary credentials, so no keys are ever stored on the instance and the bucket stays private.</w:t>
      </w:r>
    </w:p>
    <w:p>
      <w:pPr>
        <w:spacing w:after="160" w:line="276"/>
      </w:pPr>
      <w:r>
        <w:rPr>
          <w:color w:val="1B2733"/>
          <w:sz w:val="22"/>
          <w:szCs w:val="22"/>
        </w:rPr>
        <w:t xml:space="preserve">Networking details also required care. Instances in private subnets still need outbound access to reach S3 and to install packages, so we added a NAT Gateway and a private route table, while the public subnets route directly through the Internet Gateway. Sizing every subnet to a /24 (256 addresses) within each /16 VPC forced us to plan the address space deliberately rather than letting Terraform pick ranges.</w:t>
      </w:r>
    </w:p>
    <w:p>
      <w:pPr>
        <w:spacing w:after="160" w:line="276"/>
      </w:pPr>
      <w:r>
        <w:rPr>
          <w:color w:val="1B2733"/>
          <w:sz w:val="22"/>
          <w:szCs w:val="22"/>
        </w:rPr>
        <w:t xml:space="preserve">Wiring the load balancer to the Auto Scaling Group was another learning point. Rather than registering static instances, the ASG references the target group so that any instance it launches — including replacements after a failure — is automatically registered and health-checked. Combined with the ELB health-check type, this is what gives the solution its high availability: stopping one instance simply causes the ASG to launch a new one with no change to the public URL.</w:t>
      </w:r>
    </w:p>
    <w:p>
      <w:pPr>
        <w:spacing w:after="160" w:line="276"/>
      </w:pPr>
      <w:r>
        <w:rPr>
          <w:color w:val="1B2733"/>
          <w:sz w:val="22"/>
          <w:szCs w:val="22"/>
        </w:rPr>
        <w:t xml:space="preserve">Finally, integrating security scanning early changed how we worked. Wiring tflint and trivy into GitHub Actions on pushes to staging and pull requests into prod, together with branch protection, meant misconfigurations and accidental secrets were caught before they reached the production branch. The main things we learned were how Terraform modules and remote state enable safe collaboration, how IAM roles remove the need for long-lived credentials, and how load balancers and Auto Scaling Groups combine to deliver resilience automatically.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46EB4"/>
      <w:sz w:val="30"/>
      <w:szCs w:val="30"/>
    </w:rPr>
  </w:style>
  <w:style w:type="paragraph" w:styleId="Heading2">
    <w:name w:val="Heading 2"/>
    <w:basedOn w:val="Normal"/>
    <w:next w:val="Normal"/>
    <w:qFormat/>
    <w:pPr>
      <w:spacing w:after="100" w:before="200"/>
    </w:pPr>
    <w:rPr>
      <w:b/>
      <w:bCs/>
      <w:color w:val="146EB4"/>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2026-08-04T21:22:45.541Z</dcterms:created>
  <dcterms:modified xsi:type="dcterms:W3CDTF">2026-08-04T21:22:45.541Z</dcterms:modified>
</cp:coreProperties>
</file>

<file path=docProps/custom.xml><?xml version="1.0" encoding="utf-8"?>
<Properties xmlns="http://schemas.openxmlformats.org/officeDocument/2006/custom-properties" xmlns:vt="http://schemas.openxmlformats.org/officeDocument/2006/docPropsVTypes"/>
</file>