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595959"/>
          <w:sz w:val="24"/>
          <w:szCs w:val="24"/>
        </w:rPr>
        <w:t xml:space="preserve">AFRICAN DEVELOPMENT UNIVERSITY — ADU</w:t>
      </w:r>
    </w:p>
    <w:p>
      <w:pPr>
        <w:spacing w:after="60" w:before="0"/>
        <w:jc w:val="center"/>
      </w:pPr>
      <w:r>
        <w:rPr>
          <w:rFonts w:ascii="Arial" w:cs="Arial" w:eastAsia="Arial" w:hAnsi="Arial"/>
          <w:color w:val="595959"/>
          <w:sz w:val="22"/>
          <w:szCs w:val="22"/>
        </w:rPr>
        <w:t xml:space="preserve">Département Intelligence Artificielle · 2025–2026</w:t>
      </w:r>
    </w:p>
    <w:p>
      <w:pPr>
        <w:spacing w:after="60" w:before="0"/>
        <w:jc w:val="center"/>
      </w:pPr>
      <w:r>
        <w:rPr>
          <w:rFonts w:ascii="Arial" w:cs="Arial" w:eastAsia="Arial" w:hAnsi="Arial"/>
          <w:i/>
          <w:iCs/>
          <w:color w:val="595959"/>
          <w:sz w:val="22"/>
          <w:szCs w:val="22"/>
        </w:rPr>
        <w:t xml:space="preserve">Module : Analyse de Données Avancée avec Python</w:t>
      </w:r>
    </w:p>
    <w:p>
      <w:pPr>
        <w:spacing w:after="0" w:before="400"/>
      </w:pPr>
      <w:r>
        <w:t xml:space="preserve"/>
      </w:r>
    </w:p>
    <w:p>
      <w:pPr>
        <w:pBdr>
          <w:top w:val="single" w:color="2E75B6" w:sz="8" w:space="6"/>
          <w:bottom w:val="single" w:color="2E75B6" w:sz="8" w:space="6"/>
        </w:pBdr>
        <w:shd w:fill="D6E4F0" w:val="clear"/>
        <w:spacing w:after="200" w:before="200"/>
        <w:jc w:val="center"/>
      </w:pPr>
      <w:r>
        <w:rPr>
          <w:rFonts w:ascii="Arial" w:cs="Arial" w:eastAsia="Arial" w:hAnsi="Arial"/>
          <w:b/>
          <w:bCs/>
          <w:color w:val="1F4E79"/>
          <w:sz w:val="40"/>
          <w:szCs w:val="40"/>
        </w:rPr>
        <w:t xml:space="preserve">PROJET 01</w:t>
      </w:r>
    </w:p>
    <w:p>
      <w:pPr>
        <w:spacing w:after="0" w:before="100"/>
      </w:pPr>
      <w:r>
        <w:t xml:space="preserve"/>
      </w:r>
    </w:p>
    <w:p>
      <w:pPr>
        <w:spacing w:after="80" w:before="0"/>
        <w:jc w:val="center"/>
      </w:pPr>
      <w:r>
        <w:rPr>
          <w:rFonts w:ascii="Arial" w:cs="Arial" w:eastAsia="Arial" w:hAnsi="Arial"/>
          <w:b/>
          <w:bCs/>
          <w:color w:val="1F4E79"/>
          <w:sz w:val="44"/>
          <w:szCs w:val="44"/>
        </w:rPr>
        <w:t xml:space="preserve">Prédiction du Risque Diabétique</w:t>
      </w:r>
    </w:p>
    <w:p>
      <w:pPr>
        <w:spacing w:after="60" w:before="0"/>
        <w:jc w:val="center"/>
      </w:pPr>
      <w:r>
        <w:rPr>
          <w:rFonts w:ascii="Arial" w:cs="Arial" w:eastAsia="Arial" w:hAnsi="Arial"/>
          <w:i/>
          <w:iCs/>
          <w:color w:val="595959"/>
          <w:sz w:val="24"/>
          <w:szCs w:val="24"/>
        </w:rPr>
        <w:t xml:space="preserve">Analyse clinique, détection précoce et modélisation prédictive</w:t>
      </w:r>
    </w:p>
    <w:p>
      <w:pPr>
        <w:spacing w:after="0" w:before="500"/>
      </w:pPr>
      <w:r>
        <w:t xml:space="preserve"/>
      </w:r>
    </w:p>
    <w:p>
      <w:pPr>
        <w:spacing w:after="60" w:before="0"/>
        <w:jc w:val="center"/>
      </w:pPr>
      <w:r>
        <w:rPr>
          <w:rFonts w:ascii="Arial" w:cs="Arial" w:eastAsia="Arial" w:hAnsi="Arial"/>
          <w:b/>
          <w:bCs/>
          <w:color w:val="2E2E2E"/>
          <w:sz w:val="24"/>
          <w:szCs w:val="24"/>
        </w:rPr>
        <w:t xml:space="preserve">Auteure : Halimatou Saâdia Mahamane Laouali Salissou</w:t>
      </w:r>
    </w:p>
    <w:p>
      <w:pPr>
        <w:spacing w:after="60" w:before="0"/>
        <w:jc w:val="center"/>
      </w:pPr>
      <w:r>
        <w:rPr>
          <w:rFonts w:ascii="Arial" w:cs="Arial" w:eastAsia="Arial" w:hAnsi="Arial"/>
          <w:color w:val="595959"/>
          <w:sz w:val="22"/>
          <w:szCs w:val="22"/>
        </w:rPr>
        <w:t xml:space="preserve">Numéro étudiant : 820240008</w:t>
      </w:r>
    </w:p>
    <w:p>
      <w:pPr>
        <w:spacing w:after="60" w:before="0"/>
        <w:jc w:val="center"/>
      </w:pPr>
      <w:r>
        <w:rPr>
          <w:rFonts w:ascii="Arial" w:cs="Arial" w:eastAsia="Arial" w:hAnsi="Arial"/>
          <w:color w:val="595959"/>
          <w:sz w:val="22"/>
          <w:szCs w:val="22"/>
        </w:rPr>
        <w:t xml:space="preserve">Filière : L2 Intelligence Artificielle</w:t>
      </w:r>
    </w:p>
    <w:p>
      <w:pPr>
        <w:spacing w:after="60" w:before="0"/>
        <w:jc w:val="center"/>
      </w:pPr>
      <w:r>
        <w:rPr>
          <w:rFonts w:ascii="Arial" w:cs="Arial" w:eastAsia="Arial" w:hAnsi="Arial"/>
          <w:color w:val="595959"/>
          <w:sz w:val="22"/>
          <w:szCs w:val="22"/>
        </w:rPr>
        <w:t xml:space="preserve">Niamey, Niger — Année académique 2025–2026</w:t>
      </w:r>
    </w:p>
    <w:p>
      <w:pPr>
        <w:spacing w:after="0" w:before="200"/>
      </w:pPr>
      <w:r>
        <w:t xml:space="preserve"/>
      </w:r>
    </w:p>
    <w:p>
      <w:pPr>
        <w:spacing w:after="60" w:before="0"/>
        <w:jc w:val="center"/>
      </w:pPr>
      <w:r>
        <w:rPr>
          <w:rFonts w:ascii="Arial" w:cs="Arial" w:eastAsia="Arial" w:hAnsi="Arial"/>
          <w:i/>
          <w:iCs/>
          <w:color w:val="595959"/>
          <w:sz w:val="20"/>
          <w:szCs w:val="20"/>
        </w:rPr>
        <w:t xml:space="preserve">Dataset : PIMA Indians Diabetes Database (UCI ML Repository)</w:t>
      </w:r>
    </w:p>
    <w:p>
      <w:pPr>
        <w:spacing w:after="60" w:before="0"/>
        <w:jc w:val="center"/>
      </w:pPr>
      <w:r>
        <w:rPr>
          <w:rFonts w:ascii="Arial" w:cs="Arial" w:eastAsia="Arial" w:hAnsi="Arial"/>
          <w:i/>
          <w:iCs/>
          <w:color w:val="595959"/>
          <w:sz w:val="20"/>
          <w:szCs w:val="20"/>
        </w:rPr>
        <w:t xml:space="preserve">Domaine : Santé publique &amp; médecine préventive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 Introduction</w:t>
      </w:r>
    </w:p>
    <w:p>
      <w:pPr>
        <w:pStyle w:val="Heading2"/>
        <w:spacing w:after="120" w:before="280"/>
      </w:pPr>
      <w:r>
        <w:rPr>
          <w:rFonts w:ascii="Arial" w:cs="Arial" w:eastAsia="Arial" w:hAnsi="Arial"/>
          <w:b/>
          <w:bCs/>
          <w:color w:val="2E75B6"/>
          <w:sz w:val="26"/>
          <w:szCs w:val="26"/>
        </w:rPr>
        <w:t xml:space="preserve">1.1 Contexte et enjeux</w:t>
      </w:r>
    </w:p>
    <w:p>
      <w:pPr>
        <w:spacing w:after="80" w:before="80" w:line="320"/>
        <w:jc w:val="both"/>
      </w:pPr>
      <w:r>
        <w:rPr>
          <w:rFonts w:ascii="Arial" w:cs="Arial" w:eastAsia="Arial" w:hAnsi="Arial"/>
          <w:b w:val="false"/>
          <w:bCs w:val="false"/>
          <w:i w:val="false"/>
          <w:iCs w:val="false"/>
          <w:color w:val="2E2E2E"/>
          <w:sz w:val="22"/>
          <w:szCs w:val="22"/>
        </w:rPr>
        <w:t xml:space="preserve">Le diabète de type 2 est l'une des maladies chroniques les plus répandues dans le monde, touchant plus de 500 millions de personnes selon l'Organisation Mondiale de la Santé. Ses conséquences humaines et économiques sont considérables : complications cardiovasculaires, rénales et neurologiques, coûts hospitaliers élevés, et dégradation significative de la qualité de vie des patients.</w:t>
      </w:r>
    </w:p>
    <w:p>
      <w:pPr>
        <w:spacing w:after="80" w:before="80" w:line="320"/>
        <w:jc w:val="both"/>
      </w:pPr>
      <w:r>
        <w:rPr>
          <w:rFonts w:ascii="Arial" w:cs="Arial" w:eastAsia="Arial" w:hAnsi="Arial"/>
          <w:b w:val="false"/>
          <w:bCs w:val="false"/>
          <w:i w:val="false"/>
          <w:iCs w:val="false"/>
          <w:color w:val="2E2E2E"/>
          <w:sz w:val="22"/>
          <w:szCs w:val="22"/>
        </w:rPr>
        <w:t xml:space="preserve">La détection précoce constitue un levier stratégique majeur dans la lutte contre cette épidémie silencieuse. En identifiant les patients à risque avant l'apparition des symptômes cliniques, il devient possible de mettre en place des stratégies de prévention ciblées : modification du mode de vie, surveillance médicale renforcée, ou traitement préventif.</w:t>
      </w:r>
    </w:p>
    <w:p>
      <w:pPr>
        <w:spacing w:after="80" w:before="80" w:line="320"/>
        <w:jc w:val="both"/>
      </w:pPr>
      <w:r>
        <w:rPr>
          <w:rFonts w:ascii="Arial" w:cs="Arial" w:eastAsia="Arial" w:hAnsi="Arial"/>
          <w:b w:val="false"/>
          <w:bCs w:val="false"/>
          <w:i w:val="false"/>
          <w:iCs w:val="false"/>
          <w:color w:val="2E2E2E"/>
          <w:sz w:val="22"/>
          <w:szCs w:val="22"/>
        </w:rPr>
        <w:t xml:space="preserve">Ce projet s'inscrit dans cette perspective. Il simule le travail d'un data scientist intégré à une équipe de santé publique, chargé de développer un système d'aide à la décision capable de prédire la probabilité de développer un diabète de type 2 à partir de données cliniques simples et non invasives.</w:t>
      </w:r>
    </w:p>
    <w:p>
      <w:pPr>
        <w:pStyle w:val="Heading2"/>
        <w:spacing w:after="120" w:before="280"/>
      </w:pPr>
      <w:r>
        <w:rPr>
          <w:rFonts w:ascii="Arial" w:cs="Arial" w:eastAsia="Arial" w:hAnsi="Arial"/>
          <w:b/>
          <w:bCs/>
          <w:color w:val="2E75B6"/>
          <w:sz w:val="26"/>
          <w:szCs w:val="26"/>
        </w:rPr>
        <w:t xml:space="preserve">1.2 Objectifs du projet</w:t>
      </w:r>
    </w:p>
    <w:p>
      <w:pPr>
        <w:spacing w:after="80" w:before="80" w:line="320"/>
        <w:jc w:val="both"/>
      </w:pPr>
      <w:r>
        <w:rPr>
          <w:rFonts w:ascii="Arial" w:cs="Arial" w:eastAsia="Arial" w:hAnsi="Arial"/>
          <w:b w:val="false"/>
          <w:bCs w:val="false"/>
          <w:i w:val="false"/>
          <w:iCs w:val="false"/>
          <w:color w:val="2E2E2E"/>
          <w:sz w:val="22"/>
          <w:szCs w:val="22"/>
        </w:rPr>
        <w:t xml:space="preserve">Ce projet poursuit quatre objectifs principaux :</w:t>
      </w:r>
    </w:p>
    <w:p>
      <w:pPr>
        <w:pStyle w:val="ListParagraph"/>
        <w:numPr>
          <w:ilvl w:val="0"/>
          <w:numId w:val="2"/>
        </w:numPr>
        <w:spacing w:after="60" w:before="60" w:line="300"/>
      </w:pPr>
      <w:r>
        <w:rPr>
          <w:rFonts w:ascii="Arial" w:cs="Arial" w:eastAsia="Arial" w:hAnsi="Arial"/>
          <w:color w:val="2E2E2E"/>
          <w:sz w:val="22"/>
          <w:szCs w:val="22"/>
        </w:rPr>
        <w:t xml:space="preserve">Analyser et nettoyer un dataset clinique réel présentant des défis méthodologiques significatifs</w:t>
      </w:r>
    </w:p>
    <w:p>
      <w:pPr>
        <w:pStyle w:val="ListParagraph"/>
        <w:numPr>
          <w:ilvl w:val="0"/>
          <w:numId w:val="2"/>
        </w:numPr>
        <w:spacing w:after="60" w:before="60" w:line="300"/>
      </w:pPr>
      <w:r>
        <w:rPr>
          <w:rFonts w:ascii="Arial" w:cs="Arial" w:eastAsia="Arial" w:hAnsi="Arial"/>
          <w:color w:val="2E2E2E"/>
          <w:sz w:val="22"/>
          <w:szCs w:val="22"/>
        </w:rPr>
        <w:t xml:space="preserve">Comparer plusieurs stratégies d'imputation des valeurs manquantes et évaluer leur impact sur les performances</w:t>
      </w:r>
    </w:p>
    <w:p>
      <w:pPr>
        <w:pStyle w:val="ListParagraph"/>
        <w:numPr>
          <w:ilvl w:val="0"/>
          <w:numId w:val="2"/>
        </w:numPr>
        <w:spacing w:after="60" w:before="60" w:line="300"/>
      </w:pPr>
      <w:r>
        <w:rPr>
          <w:rFonts w:ascii="Arial" w:cs="Arial" w:eastAsia="Arial" w:hAnsi="Arial"/>
          <w:color w:val="2E2E2E"/>
          <w:sz w:val="22"/>
          <w:szCs w:val="22"/>
        </w:rPr>
        <w:t xml:space="preserve">Développer et comparer des modèles de machine learning supervisé pour la classification binaire</w:t>
      </w:r>
    </w:p>
    <w:p>
      <w:pPr>
        <w:pStyle w:val="ListParagraph"/>
        <w:numPr>
          <w:ilvl w:val="0"/>
          <w:numId w:val="2"/>
        </w:numPr>
        <w:spacing w:after="60" w:before="60" w:line="300"/>
      </w:pPr>
      <w:r>
        <w:rPr>
          <w:rFonts w:ascii="Arial" w:cs="Arial" w:eastAsia="Arial" w:hAnsi="Arial"/>
          <w:color w:val="2E2E2E"/>
          <w:sz w:val="22"/>
          <w:szCs w:val="22"/>
        </w:rPr>
        <w:t xml:space="preserve">Interpréter les prédictions individuelles à l'aide de SHAP et déployer un dashboard interactif</w:t>
      </w:r>
    </w:p>
    <w:p>
      <w:pPr>
        <w:pStyle w:val="Heading2"/>
        <w:spacing w:after="120" w:before="280"/>
      </w:pPr>
      <w:r>
        <w:rPr>
          <w:rFonts w:ascii="Arial" w:cs="Arial" w:eastAsia="Arial" w:hAnsi="Arial"/>
          <w:b/>
          <w:bCs/>
          <w:color w:val="2E75B6"/>
          <w:sz w:val="26"/>
          <w:szCs w:val="26"/>
        </w:rPr>
        <w:t xml:space="preserve">1.3 Questions de recherche</w:t>
      </w:r>
    </w:p>
    <w:p>
      <w:pPr>
        <w:spacing w:after="80" w:before="80" w:line="320"/>
        <w:jc w:val="both"/>
      </w:pPr>
      <w:r>
        <w:rPr>
          <w:rFonts w:ascii="Arial" w:cs="Arial" w:eastAsia="Arial" w:hAnsi="Arial"/>
          <w:b w:val="false"/>
          <w:bCs w:val="false"/>
          <w:i w:val="false"/>
          <w:iCs w:val="false"/>
          <w:color w:val="2E2E2E"/>
          <w:sz w:val="22"/>
          <w:szCs w:val="22"/>
        </w:rPr>
        <w:t xml:space="preserve">Le rapport répond aux cinq questions de recherche définies dans le cahier des charges :</w:t>
      </w:r>
    </w:p>
    <w:p>
      <w:pPr>
        <w:pStyle w:val="ListParagraph"/>
        <w:numPr>
          <w:ilvl w:val="0"/>
          <w:numId w:val="2"/>
        </w:numPr>
        <w:spacing w:after="60" w:before="60" w:line="300"/>
      </w:pPr>
      <w:r>
        <w:rPr>
          <w:rFonts w:ascii="Arial" w:cs="Arial" w:eastAsia="Arial" w:hAnsi="Arial"/>
          <w:color w:val="2E2E2E"/>
          <w:sz w:val="22"/>
          <w:szCs w:val="22"/>
        </w:rPr>
        <w:t xml:space="preserve">Quelles variables cliniques sont les plus prédictives du diabète de type 2 ?</w:t>
      </w:r>
    </w:p>
    <w:p>
      <w:pPr>
        <w:pStyle w:val="ListParagraph"/>
        <w:numPr>
          <w:ilvl w:val="0"/>
          <w:numId w:val="2"/>
        </w:numPr>
        <w:spacing w:after="60" w:before="60" w:line="300"/>
      </w:pPr>
      <w:r>
        <w:rPr>
          <w:rFonts w:ascii="Arial" w:cs="Arial" w:eastAsia="Arial" w:hAnsi="Arial"/>
          <w:color w:val="2E2E2E"/>
          <w:sz w:val="22"/>
          <w:szCs w:val="22"/>
        </w:rPr>
        <w:t xml:space="preserve">L'imputation stratifiée par classe améliore-t-elle significativement les performances ?</w:t>
      </w:r>
    </w:p>
    <w:p>
      <w:pPr>
        <w:pStyle w:val="ListParagraph"/>
        <w:numPr>
          <w:ilvl w:val="0"/>
          <w:numId w:val="2"/>
        </w:numPr>
        <w:spacing w:after="60" w:before="60" w:line="300"/>
      </w:pPr>
      <w:r>
        <w:rPr>
          <w:rFonts w:ascii="Arial" w:cs="Arial" w:eastAsia="Arial" w:hAnsi="Arial"/>
          <w:color w:val="2E2E2E"/>
          <w:sz w:val="22"/>
          <w:szCs w:val="22"/>
        </w:rPr>
        <w:t xml:space="preserve">Quel modèle offre le meilleur compromis précision/rappel pour ce contexte médical ?</w:t>
      </w:r>
    </w:p>
    <w:p>
      <w:pPr>
        <w:pStyle w:val="ListParagraph"/>
        <w:numPr>
          <w:ilvl w:val="0"/>
          <w:numId w:val="2"/>
        </w:numPr>
        <w:spacing w:after="60" w:before="60" w:line="300"/>
      </w:pPr>
      <w:r>
        <w:rPr>
          <w:rFonts w:ascii="Arial" w:cs="Arial" w:eastAsia="Arial" w:hAnsi="Arial"/>
          <w:color w:val="2E2E2E"/>
          <w:sz w:val="22"/>
          <w:szCs w:val="22"/>
        </w:rPr>
        <w:t xml:space="preserve">Comment interpréter la prédiction pour un patient individuel (SHAP) ?</w:t>
      </w:r>
    </w:p>
    <w:p>
      <w:pPr>
        <w:pStyle w:val="ListParagraph"/>
        <w:numPr>
          <w:ilvl w:val="0"/>
          <w:numId w:val="2"/>
        </w:numPr>
        <w:spacing w:after="60" w:before="60" w:line="300"/>
      </w:pPr>
      <w:r>
        <w:rPr>
          <w:rFonts w:ascii="Arial" w:cs="Arial" w:eastAsia="Arial" w:hAnsi="Arial"/>
          <w:color w:val="2E2E2E"/>
          <w:sz w:val="22"/>
          <w:szCs w:val="22"/>
        </w:rPr>
        <w:t xml:space="preserve">Quels sont les risques de biais et les limites éthiques de ce système ?</w:t>
      </w:r>
    </w:p>
    <w:p>
      <w:pPr>
        <w:pStyle w:val="Heading2"/>
        <w:spacing w:after="120" w:before="280"/>
      </w:pPr>
      <w:r>
        <w:rPr>
          <w:rFonts w:ascii="Arial" w:cs="Arial" w:eastAsia="Arial" w:hAnsi="Arial"/>
          <w:b/>
          <w:bCs/>
          <w:color w:val="2E75B6"/>
          <w:sz w:val="26"/>
          <w:szCs w:val="26"/>
        </w:rPr>
        <w:t xml:space="preserve">1.4 Organisation du rapport</w:t>
      </w:r>
    </w:p>
    <w:p>
      <w:pPr>
        <w:spacing w:after="80" w:before="80" w:line="320"/>
        <w:jc w:val="both"/>
      </w:pPr>
      <w:r>
        <w:rPr>
          <w:rFonts w:ascii="Arial" w:cs="Arial" w:eastAsia="Arial" w:hAnsi="Arial"/>
          <w:b w:val="false"/>
          <w:bCs w:val="false"/>
          <w:i w:val="false"/>
          <w:iCs w:val="false"/>
          <w:color w:val="2E2E2E"/>
          <w:sz w:val="22"/>
          <w:szCs w:val="22"/>
        </w:rPr>
        <w:t xml:space="preserve">Ce rapport est structuré en six sections : après cette introduction, la Section 2 présente la méthodologie de nettoyage et d'analyse exploratoire. La Section 3 décrit le pipeline de machine learning. La Section 4 présente les résultats et leur interprétation. La Section 5 analyse les limites et considérations éthiques. La Section 6 conclut avec des recommandations cliniques.</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Méthodologie</w:t>
      </w:r>
    </w:p>
    <w:p>
      <w:pPr>
        <w:pStyle w:val="Heading2"/>
        <w:spacing w:after="120" w:before="280"/>
      </w:pPr>
      <w:r>
        <w:rPr>
          <w:rFonts w:ascii="Arial" w:cs="Arial" w:eastAsia="Arial" w:hAnsi="Arial"/>
          <w:b/>
          <w:bCs/>
          <w:color w:val="2E75B6"/>
          <w:sz w:val="26"/>
          <w:szCs w:val="26"/>
        </w:rPr>
        <w:t xml:space="preserve">2.1 Description du dataset</w:t>
      </w:r>
    </w:p>
    <w:p>
      <w:pPr>
        <w:spacing w:after="80" w:before="80" w:line="320"/>
        <w:jc w:val="both"/>
      </w:pPr>
      <w:r>
        <w:rPr>
          <w:rFonts w:ascii="Arial" w:cs="Arial" w:eastAsia="Arial" w:hAnsi="Arial"/>
          <w:b w:val="false"/>
          <w:bCs w:val="false"/>
          <w:i w:val="false"/>
          <w:iCs w:val="false"/>
          <w:color w:val="2E2E2E"/>
          <w:sz w:val="22"/>
          <w:szCs w:val="22"/>
        </w:rPr>
        <w:t xml:space="preserve">Le dataset utilisé est le PIMA Indians Diabetes Database, disponible sur le dépôt UCI Machine Learning Repository. Il contient des mesures cliniques collectées sur 768 femmes d'origine amérindienne Pima, âgées de 21 ans et plus, résidant dans la région de Phoenix, Arizona.</w:t>
      </w:r>
    </w:p>
    <w:p>
      <w:pPr>
        <w:spacing w:after="0" w:before="8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800"/>
        <w:gridCol w:w="24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Problèmes identifiés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Pregnancies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Entier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Nombre de grossesses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Aucun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Glucose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Glycémie plasmatique (mg/dL)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Zéros = manquants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BloodPressure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Pression diastolique (mm Hg)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Zéros = manquants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SkinThickness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Épaisseur pli cutané (mm)</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29.6% de zéros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Insulin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Insuline sérique 2h (mu U/ml)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48.7% de zéros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BMI</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Indice de masse corporelle (kg/m²)</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Zéros = manquants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DiabetesPedigreeFunction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Continu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Score prédisposition génétique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Distribution asymétrique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Age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Entier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Âge en années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Aucun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Outcome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Binaire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Diabète diagnostiqué (1=Oui, 0=Non)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Déséquilibre 65/35</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2.2 Analyse exploratoire des données (EDA)</w:t>
      </w:r>
    </w:p>
    <w:p>
      <w:pPr>
        <w:pStyle w:val="Heading3"/>
        <w:spacing w:after="80" w:before="200"/>
      </w:pPr>
      <w:r>
        <w:rPr>
          <w:rFonts w:ascii="Arial" w:cs="Arial" w:eastAsia="Arial" w:hAnsi="Arial"/>
          <w:b/>
          <w:bCs/>
          <w:i/>
          <w:iCs/>
          <w:color w:val="595959"/>
          <w:sz w:val="24"/>
          <w:szCs w:val="24"/>
        </w:rPr>
        <w:t xml:space="preserve">2.2.1 Détection et traitement des valeurs manquantes</w:t>
      </w:r>
    </w:p>
    <w:p>
      <w:pPr>
        <w:spacing w:after="80" w:before="80" w:line="320"/>
        <w:jc w:val="both"/>
      </w:pPr>
      <w:r>
        <w:rPr>
          <w:rFonts w:ascii="Arial" w:cs="Arial" w:eastAsia="Arial" w:hAnsi="Arial"/>
          <w:b w:val="false"/>
          <w:bCs w:val="false"/>
          <w:i w:val="false"/>
          <w:iCs w:val="false"/>
          <w:color w:val="2E2E2E"/>
          <w:sz w:val="22"/>
          <w:szCs w:val="22"/>
        </w:rPr>
        <w:t xml:space="preserve">L'une des premières étapes cruciales a consisté à identifier les valeurs manquantes déguisées en zéros. Dans le contexte clinique de ce dataset, plusieurs valeurs biologiques ne peuvent pas être nulles : une glycémie à zéro, une pression artérielle nulle ou un IMC nul sont biologiquement impossibles. Ces zéros représentent donc des données non collectées ou non renseignées.</w:t>
      </w:r>
    </w:p>
    <w:p>
      <w:pPr>
        <w:spacing w:after="80" w:before="80" w:line="320"/>
        <w:jc w:val="both"/>
      </w:pPr>
      <w:r>
        <w:rPr>
          <w:rFonts w:ascii="Arial" w:cs="Arial" w:eastAsia="Arial" w:hAnsi="Arial"/>
          <w:b w:val="false"/>
          <w:bCs w:val="false"/>
          <w:i w:val="false"/>
          <w:iCs w:val="false"/>
          <w:color w:val="2E2E2E"/>
          <w:sz w:val="22"/>
          <w:szCs w:val="22"/>
        </w:rPr>
        <w:t xml:space="preserve">L'analyse quantitative révèle l'ampleur du problème :</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37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Nb de zéros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Pourcentage</w:t>
            </w:r>
          </w:p>
        </w:tc>
        <w:tc>
          <w:tcPr>
            <w:tcW w:type="dxa" w:w="3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sur l'analyse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Insulin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374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48.7%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Très élevé — quasi-moitié manquante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SkinThickness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227</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29.6%</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Élevé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BloodPressure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4.6%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BMI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11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1.4%</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Glucose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Négligeable</w:t>
            </w:r>
          </w:p>
        </w:tc>
      </w:tr>
    </w:tbl>
    <w:p>
      <w:pPr>
        <w:spacing w:after="0" w:before="80"/>
      </w:pPr>
      <w:r>
        <w:t xml:space="preserve"/>
      </w:r>
    </w:p>
    <w:p>
      <w:pPr>
        <w:spacing w:after="80" w:before="80" w:line="320"/>
        <w:jc w:val="both"/>
      </w:pPr>
      <w:r>
        <w:rPr>
          <w:rFonts w:ascii="Arial" w:cs="Arial" w:eastAsia="Arial" w:hAnsi="Arial"/>
          <w:b w:val="false"/>
          <w:bCs w:val="false"/>
          <w:i w:val="false"/>
          <w:iCs w:val="false"/>
          <w:color w:val="2E2E2E"/>
          <w:sz w:val="22"/>
          <w:szCs w:val="22"/>
        </w:rPr>
        <w:t xml:space="preserve">Face à ce défi, deux stratégies d'imputation ont été comparées : l'imputation par médiane simple (globale) et l'imputation par médiane stratifiée par classe (Outcome). La seconde approche a été retenue car elle préserve les différences biologiques entre les deux groupes : les patients diabétiques présentent des profils métaboliques distincts, avec notamment une insulinémie et une glycémie plus élevées. Utiliser une médiane globale reviendrait à effacer cette information discriminante.</w:t>
      </w:r>
    </w:p>
    <w:p>
      <w:pPr>
        <w:pStyle w:val="Heading3"/>
        <w:spacing w:after="80" w:before="200"/>
      </w:pPr>
      <w:r>
        <w:rPr>
          <w:rFonts w:ascii="Arial" w:cs="Arial" w:eastAsia="Arial" w:hAnsi="Arial"/>
          <w:b/>
          <w:bCs/>
          <w:i/>
          <w:iCs/>
          <w:color w:val="595959"/>
          <w:sz w:val="24"/>
          <w:szCs w:val="24"/>
        </w:rPr>
        <w:t xml:space="preserve">2.2.2 Analyse du déséquilibre de classes</w:t>
      </w:r>
    </w:p>
    <w:p>
      <w:pPr>
        <w:spacing w:after="80" w:before="80" w:line="320"/>
        <w:jc w:val="both"/>
      </w:pPr>
      <w:r>
        <w:rPr>
          <w:rFonts w:ascii="Arial" w:cs="Arial" w:eastAsia="Arial" w:hAnsi="Arial"/>
          <w:b w:val="false"/>
          <w:bCs w:val="false"/>
          <w:i w:val="false"/>
          <w:iCs w:val="false"/>
          <w:color w:val="2E2E2E"/>
          <w:sz w:val="22"/>
          <w:szCs w:val="22"/>
        </w:rPr>
        <w:t xml:space="preserve">Le dataset présente un déséquilibre notable entre les deux classes : 500 patients non-diabétiques (65.1%) contre 268 diabétiques (34.9%), soit un ratio d'environ 1.87:1. Bien que ce déséquilibre ne soit pas extrême, il est suffisant pour biaiser les modèles de classification vers la classe majoritaire.</w:t>
      </w:r>
    </w:p>
    <w:p>
      <w:pPr>
        <w:spacing w:after="80" w:before="80" w:line="320"/>
        <w:jc w:val="both"/>
      </w:pPr>
      <w:r>
        <w:rPr>
          <w:rFonts w:ascii="Arial" w:cs="Arial" w:eastAsia="Arial" w:hAnsi="Arial"/>
          <w:b w:val="false"/>
          <w:bCs w:val="false"/>
          <w:i w:val="false"/>
          <w:iCs w:val="false"/>
          <w:color w:val="2E2E2E"/>
          <w:sz w:val="22"/>
          <w:szCs w:val="22"/>
        </w:rPr>
        <w:t xml:space="preserve">Un modèle naïf qui prédirait systématiquement « non-diabétique » atteindrait une accuracy de 65.1% sans avoir rien appris du signal médical. Cette réalité rend la métrique d'accuracy insuffisante pour évaluer les performances dans ce contexte, et impose d'utiliser le recall, le F1-score et l'AUC-ROC comme métriques principales.</w:t>
      </w:r>
    </w:p>
    <w:p>
      <w:pPr>
        <w:pStyle w:val="Heading3"/>
        <w:spacing w:after="80" w:before="200"/>
      </w:pPr>
      <w:r>
        <w:rPr>
          <w:rFonts w:ascii="Arial" w:cs="Arial" w:eastAsia="Arial" w:hAnsi="Arial"/>
          <w:b/>
          <w:bCs/>
          <w:i/>
          <w:iCs/>
          <w:color w:val="595959"/>
          <w:sz w:val="24"/>
          <w:szCs w:val="24"/>
        </w:rPr>
        <w:t xml:space="preserve">2.2.3 Analyse statistique des variables</w:t>
      </w:r>
    </w:p>
    <w:p>
      <w:pPr>
        <w:spacing w:after="80" w:before="80" w:line="320"/>
        <w:jc w:val="both"/>
      </w:pPr>
      <w:r>
        <w:rPr>
          <w:rFonts w:ascii="Arial" w:cs="Arial" w:eastAsia="Arial" w:hAnsi="Arial"/>
          <w:b w:val="false"/>
          <w:bCs w:val="false"/>
          <w:i w:val="false"/>
          <w:iCs w:val="false"/>
          <w:color w:val="2E2E2E"/>
          <w:sz w:val="22"/>
          <w:szCs w:val="22"/>
        </w:rPr>
        <w:t xml:space="preserve">Des tests de Mann-Whitney U ont été appliqués pour évaluer la significativité statistique des différences entre les deux classes pour chaque variable. Ce test non-paramétrique a été choisi car les distributions observées s'éloignent de la normalité (asymétrie, queues lourdes).</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39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Significatif ?</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Glucose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Variable la plus discriminante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BMI</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Forte différence inter-groupes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Diabète plus fréquent avec l'âge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DiabetesPedigreeFunction</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1.20e-06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Hérédité significative — la moins discriminante des 8 (p-value la plus élevée)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Insulin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Malgré 48.7% de manquants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Pregnancies</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&lt; 0.0001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Corrélation avec l'âge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SkinThickness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2.92e-23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Différence modérée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BloodPressure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2.26e-07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Oui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Significative mais contribution faible (confirmée par SHAP)</w:t>
            </w:r>
          </w:p>
        </w:tc>
      </w:tr>
    </w:tbl>
    <w:p>
      <w:pPr>
        <w:spacing w:after="0" w:before="80"/>
      </w:pPr>
      <w:r>
        <w:t xml:space="preserve"/>
      </w:r>
    </w:p>
    <w:p>
      <w:pPr>
        <w:spacing w:after="80" w:before="80" w:line="320"/>
        <w:jc w:val="both"/>
      </w:pPr>
      <w:r>
        <w:rPr>
          <w:rFonts w:ascii="Arial" w:cs="Arial" w:eastAsia="Arial" w:hAnsi="Arial"/>
          <w:b w:val="false"/>
          <w:bCs w:val="false"/>
          <w:i w:val="false"/>
          <w:iCs w:val="false"/>
          <w:color w:val="2E2E2E"/>
          <w:sz w:val="22"/>
          <w:szCs w:val="22"/>
        </w:rPr>
        <w:t xml:space="preserve">Les 8 variables sont toutes statistiquement significatives (p &lt; 0.05). DiabetesPedigreeFunction présente la p-value la plus élevée (p = 1.20e-06) — elle est donc la moins discriminante des huit, bien que toujours significative. Glucose reste de loin la variable la plus discriminante (p = 8.29e-55). Ce résultat sera confirmé par l’analyse SHAP, qui classe DiabetesPedigreeFunction en position 4 en importance globale.</w:t>
      </w:r>
    </w:p>
    <w:p>
      <w:pPr>
        <w:pStyle w:val="Heading2"/>
        <w:spacing w:after="120" w:before="280"/>
      </w:pPr>
      <w:r>
        <w:rPr>
          <w:rFonts w:ascii="Arial" w:cs="Arial" w:eastAsia="Arial" w:hAnsi="Arial"/>
          <w:b/>
          <w:bCs/>
          <w:color w:val="2E75B6"/>
          <w:sz w:val="26"/>
          <w:szCs w:val="26"/>
        </w:rPr>
        <w:t xml:space="preserve">2.3 Pipeline de machine learning</w:t>
      </w:r>
    </w:p>
    <w:p>
      <w:pPr>
        <w:pStyle w:val="Heading3"/>
        <w:spacing w:after="80" w:before="200"/>
      </w:pPr>
      <w:r>
        <w:rPr>
          <w:rFonts w:ascii="Arial" w:cs="Arial" w:eastAsia="Arial" w:hAnsi="Arial"/>
          <w:b/>
          <w:bCs/>
          <w:i/>
          <w:iCs/>
          <w:color w:val="595959"/>
          <w:sz w:val="24"/>
          <w:szCs w:val="24"/>
        </w:rPr>
        <w:t xml:space="preserve">2.3.1 Préparation des données</w:t>
      </w:r>
    </w:p>
    <w:p>
      <w:pPr>
        <w:spacing w:after="80" w:before="80" w:line="320"/>
        <w:jc w:val="both"/>
      </w:pPr>
      <w:r>
        <w:rPr>
          <w:rFonts w:ascii="Arial" w:cs="Arial" w:eastAsia="Arial" w:hAnsi="Arial"/>
          <w:b w:val="false"/>
          <w:bCs w:val="false"/>
          <w:i w:val="false"/>
          <w:iCs w:val="false"/>
          <w:color w:val="2E2E2E"/>
          <w:sz w:val="22"/>
          <w:szCs w:val="22"/>
        </w:rPr>
        <w:t xml:space="preserve">Le pipeline de préparation suit un ordre strict pour éviter tout data leakage :</w:t>
      </w:r>
    </w:p>
    <w:p>
      <w:pPr>
        <w:pStyle w:val="ListParagraph"/>
        <w:numPr>
          <w:ilvl w:val="0"/>
          <w:numId w:val="2"/>
        </w:numPr>
        <w:spacing w:after="60" w:before="60" w:line="300"/>
      </w:pPr>
      <w:r>
        <w:rPr>
          <w:rFonts w:ascii="Arial" w:cs="Arial" w:eastAsia="Arial" w:hAnsi="Arial"/>
          <w:color w:val="2E2E2E"/>
          <w:sz w:val="22"/>
          <w:szCs w:val="22"/>
        </w:rPr>
        <w:t xml:space="preserve">Séparation train/test (80%/20%) avec stratification sur Outcome, avant tout scaling</w:t>
      </w:r>
    </w:p>
    <w:p>
      <w:pPr>
        <w:pStyle w:val="ListParagraph"/>
        <w:numPr>
          <w:ilvl w:val="0"/>
          <w:numId w:val="2"/>
        </w:numPr>
        <w:spacing w:after="60" w:before="60" w:line="300"/>
      </w:pPr>
      <w:r>
        <w:rPr>
          <w:rFonts w:ascii="Arial" w:cs="Arial" w:eastAsia="Arial" w:hAnsi="Arial"/>
          <w:color w:val="2E2E2E"/>
          <w:sz w:val="22"/>
          <w:szCs w:val="22"/>
        </w:rPr>
        <w:t xml:space="preserve">Application du StandardScaler : fit uniquement sur le train, transform sur train et test</w:t>
      </w:r>
    </w:p>
    <w:p>
      <w:pPr>
        <w:pStyle w:val="ListParagraph"/>
        <w:numPr>
          <w:ilvl w:val="0"/>
          <w:numId w:val="2"/>
        </w:numPr>
        <w:spacing w:after="60" w:before="60" w:line="300"/>
      </w:pPr>
      <w:r>
        <w:rPr>
          <w:rFonts w:ascii="Arial" w:cs="Arial" w:eastAsia="Arial" w:hAnsi="Arial"/>
          <w:color w:val="2E2E2E"/>
          <w:sz w:val="22"/>
          <w:szCs w:val="22"/>
        </w:rPr>
        <w:t xml:space="preserve">Application de SMOTE sur le train uniquement (jamais sur le test)</w:t>
      </w:r>
    </w:p>
    <w:p>
      <w:pPr>
        <w:spacing w:after="80" w:before="80" w:line="320"/>
        <w:jc w:val="both"/>
      </w:pPr>
      <w:r>
        <w:rPr>
          <w:rFonts w:ascii="Arial" w:cs="Arial" w:eastAsia="Arial" w:hAnsi="Arial"/>
          <w:b w:val="false"/>
          <w:bCs w:val="false"/>
          <w:i w:val="false"/>
          <w:iCs w:val="false"/>
          <w:color w:val="2E2E2E"/>
          <w:sz w:val="22"/>
          <w:szCs w:val="22"/>
        </w:rPr>
        <w:t xml:space="preserve">La stratification garantit que le ratio 65/35 est conservé dans les deux splits. L'application du scaler après la séparation évite que les statistiques des données de test influencent la normalisation — une erreur courante qui invalide l'évaluation des modèles.</w:t>
      </w:r>
    </w:p>
    <w:p>
      <w:pPr>
        <w:pStyle w:val="Heading3"/>
        <w:spacing w:after="80" w:before="200"/>
      </w:pPr>
      <w:r>
        <w:rPr>
          <w:rFonts w:ascii="Arial" w:cs="Arial" w:eastAsia="Arial" w:hAnsi="Arial"/>
          <w:b/>
          <w:bCs/>
          <w:i/>
          <w:iCs/>
          <w:color w:val="595959"/>
          <w:sz w:val="24"/>
          <w:szCs w:val="24"/>
        </w:rPr>
        <w:t xml:space="preserve">2.3.2 Gestion du déséquilibre avec SMOTE</w:t>
      </w:r>
    </w:p>
    <w:p>
      <w:pPr>
        <w:spacing w:after="80" w:before="80" w:line="320"/>
        <w:jc w:val="both"/>
      </w:pPr>
      <w:r>
        <w:rPr>
          <w:rFonts w:ascii="Arial" w:cs="Arial" w:eastAsia="Arial" w:hAnsi="Arial"/>
          <w:b w:val="false"/>
          <w:bCs w:val="false"/>
          <w:i w:val="false"/>
          <w:iCs w:val="false"/>
          <w:color w:val="2E2E2E"/>
          <w:sz w:val="22"/>
          <w:szCs w:val="22"/>
        </w:rPr>
        <w:t xml:space="preserve">SMOTE (Synthetic Minority Over-sampling Technique) a été utilisé pour équilibrer les classes d'entraînement. Contrairement à un simple oversampling par duplication, SMOTE génère de nouveaux exemples synthétiques de la classe minoritaire par interpolation entre instances existantes et leurs voisins les plus proches dans l'espace des features.</w:t>
      </w:r>
    </w:p>
    <w:p>
      <w:pPr>
        <w:spacing w:after="80" w:before="80" w:line="320"/>
        <w:jc w:val="both"/>
      </w:pPr>
      <w:r>
        <w:rPr>
          <w:rFonts w:ascii="Arial" w:cs="Arial" w:eastAsia="Arial" w:hAnsi="Arial"/>
          <w:b w:val="false"/>
          <w:bCs w:val="false"/>
          <w:i w:val="false"/>
          <w:iCs w:val="false"/>
          <w:color w:val="2E2E2E"/>
          <w:sz w:val="22"/>
          <w:szCs w:val="22"/>
        </w:rPr>
        <w:t xml:space="preserve">Après application de SMOTE sur le jeu d'entraînement, les deux classes sont parfaitement équilibrées (50%/50%), sans modification du jeu de test qui reste représentatif de la distribution réelle.</w:t>
      </w:r>
    </w:p>
    <w:p>
      <w:pPr>
        <w:pStyle w:val="Heading3"/>
        <w:spacing w:after="80" w:before="200"/>
      </w:pPr>
      <w:r>
        <w:rPr>
          <w:rFonts w:ascii="Arial" w:cs="Arial" w:eastAsia="Arial" w:hAnsi="Arial"/>
          <w:b/>
          <w:bCs/>
          <w:i/>
          <w:iCs/>
          <w:color w:val="595959"/>
          <w:sz w:val="24"/>
          <w:szCs w:val="24"/>
        </w:rPr>
        <w:t xml:space="preserve">2.3.3 Modèles comparés</w:t>
      </w:r>
    </w:p>
    <w:p>
      <w:pPr>
        <w:spacing w:after="80" w:before="80" w:line="320"/>
        <w:jc w:val="both"/>
      </w:pPr>
      <w:r>
        <w:rPr>
          <w:rFonts w:ascii="Arial" w:cs="Arial" w:eastAsia="Arial" w:hAnsi="Arial"/>
          <w:b w:val="false"/>
          <w:bCs w:val="false"/>
          <w:i w:val="false"/>
          <w:iCs w:val="false"/>
          <w:color w:val="2E2E2E"/>
          <w:sz w:val="22"/>
          <w:szCs w:val="22"/>
        </w:rPr>
        <w:t xml:space="preserve">Trois algorithmes représentant des approches fondamentalement différentes ont été sélectionnés :</w:t>
      </w:r>
    </w:p>
    <w:p>
      <w:pPr>
        <w:pStyle w:val="ListParagraph"/>
        <w:numPr>
          <w:ilvl w:val="0"/>
          <w:numId w:val="2"/>
        </w:numPr>
        <w:spacing w:after="60" w:before="60" w:line="300"/>
      </w:pPr>
      <w:r>
        <w:rPr>
          <w:rFonts w:ascii="Arial" w:cs="Arial" w:eastAsia="Arial" w:hAnsi="Arial"/>
          <w:color w:val="2E2E2E"/>
          <w:sz w:val="22"/>
          <w:szCs w:val="22"/>
        </w:rPr>
        <w:t xml:space="preserve">K-Nearest Neighbors (k=14) : classification par proximité dans l'espace des features normalisées. Le k optimal a été déterminé par validation sur k ∈ [1, 30] en maximisant le F1-Score.</w:t>
      </w:r>
    </w:p>
    <w:p>
      <w:pPr>
        <w:pStyle w:val="ListParagraph"/>
        <w:numPr>
          <w:ilvl w:val="0"/>
          <w:numId w:val="2"/>
        </w:numPr>
        <w:spacing w:after="60" w:before="60" w:line="300"/>
      </w:pPr>
      <w:r>
        <w:rPr>
          <w:rFonts w:ascii="Arial" w:cs="Arial" w:eastAsia="Arial" w:hAnsi="Arial"/>
          <w:color w:val="2E2E2E"/>
          <w:sz w:val="22"/>
          <w:szCs w:val="22"/>
        </w:rPr>
        <w:t xml:space="preserve">Régression Logistique : modèle linéaire probabiliste, très interprétable, constitue une baseline solide en contexte médical.</w:t>
      </w:r>
    </w:p>
    <w:p>
      <w:pPr>
        <w:pStyle w:val="ListParagraph"/>
        <w:numPr>
          <w:ilvl w:val="0"/>
          <w:numId w:val="2"/>
        </w:numPr>
        <w:spacing w:after="60" w:before="60" w:line="300"/>
      </w:pPr>
      <w:r>
        <w:rPr>
          <w:rFonts w:ascii="Arial" w:cs="Arial" w:eastAsia="Arial" w:hAnsi="Arial"/>
          <w:color w:val="2E2E2E"/>
          <w:sz w:val="22"/>
          <w:szCs w:val="22"/>
        </w:rPr>
        <w:t xml:space="preserve">Random Forest (100 arbres) : méthode d'ensemble par bagging, généralement robuste aux outliers et capable de capturer des interactions non-linéaires entre variables.</w:t>
      </w:r>
    </w:p>
    <w:p>
      <w:pPr>
        <w:spacing w:after="80" w:before="80" w:line="320"/>
        <w:jc w:val="both"/>
      </w:pPr>
      <w:r>
        <w:rPr>
          <w:rFonts w:ascii="Arial" w:cs="Arial" w:eastAsia="Arial" w:hAnsi="Arial"/>
          <w:b w:val="false"/>
          <w:bCs w:val="false"/>
          <w:i w:val="false"/>
          <w:iCs w:val="false"/>
          <w:color w:val="2E2E2E"/>
          <w:sz w:val="22"/>
          <w:szCs w:val="22"/>
        </w:rPr>
        <w:t xml:space="preserve">Chaque modèle a été entraîné deux fois : sans SMOTE et avec SMOTE, soit six configurations au total.</w:t>
      </w:r>
    </w:p>
    <w:p>
      <w:pPr>
        <w:pStyle w:val="Heading3"/>
        <w:spacing w:after="80" w:before="200"/>
      </w:pPr>
      <w:r>
        <w:rPr>
          <w:rFonts w:ascii="Arial" w:cs="Arial" w:eastAsia="Arial" w:hAnsi="Arial"/>
          <w:b/>
          <w:bCs/>
          <w:i/>
          <w:iCs/>
          <w:color w:val="595959"/>
          <w:sz w:val="24"/>
          <w:szCs w:val="24"/>
        </w:rPr>
        <w:t xml:space="preserve">2.3.4 Métriques d'évaluation</w:t>
      </w:r>
    </w:p>
    <w:p>
      <w:pPr>
        <w:spacing w:after="80" w:before="80" w:line="320"/>
        <w:jc w:val="both"/>
      </w:pPr>
      <w:r>
        <w:rPr>
          <w:rFonts w:ascii="Arial" w:cs="Arial" w:eastAsia="Arial" w:hAnsi="Arial"/>
          <w:b w:val="false"/>
          <w:bCs w:val="false"/>
          <w:i w:val="false"/>
          <w:iCs w:val="false"/>
          <w:color w:val="2E2E2E"/>
          <w:sz w:val="22"/>
          <w:szCs w:val="22"/>
        </w:rPr>
        <w:t xml:space="preserve">Dans un contexte de dépistage médical, les métriques d'évaluation doivent refléter les enjeux cliniques réels. Deux types d'erreurs sont possibles :</w:t>
      </w:r>
    </w:p>
    <w:p>
      <w:pPr>
        <w:pStyle w:val="ListParagraph"/>
        <w:numPr>
          <w:ilvl w:val="0"/>
          <w:numId w:val="2"/>
        </w:numPr>
        <w:spacing w:after="60" w:before="60" w:line="300"/>
      </w:pPr>
      <w:r>
        <w:rPr>
          <w:rFonts w:ascii="Arial" w:cs="Arial" w:eastAsia="Arial" w:hAnsi="Arial"/>
          <w:color w:val="2E2E2E"/>
          <w:sz w:val="22"/>
          <w:szCs w:val="22"/>
        </w:rPr>
        <w:t xml:space="preserve">Faux négatif (FN) : patient diabétique non détecté → ne reçoit pas de prise en charge préventive → conséquence grave</w:t>
      </w:r>
    </w:p>
    <w:p>
      <w:pPr>
        <w:pStyle w:val="ListParagraph"/>
        <w:numPr>
          <w:ilvl w:val="0"/>
          <w:numId w:val="2"/>
        </w:numPr>
        <w:spacing w:after="60" w:before="60" w:line="300"/>
      </w:pPr>
      <w:r>
        <w:rPr>
          <w:rFonts w:ascii="Arial" w:cs="Arial" w:eastAsia="Arial" w:hAnsi="Arial"/>
          <w:color w:val="2E2E2E"/>
          <w:sz w:val="22"/>
          <w:szCs w:val="22"/>
        </w:rPr>
        <w:t xml:space="preserve">Faux positif (FP) : patient sain classé diabétique → examens complémentaires inutiles → conséquence modérée</w:t>
      </w:r>
    </w:p>
    <w:p>
      <w:pPr>
        <w:spacing w:after="80" w:before="80" w:line="320"/>
        <w:jc w:val="both"/>
      </w:pPr>
      <w:r>
        <w:rPr>
          <w:rFonts w:ascii="Arial" w:cs="Arial" w:eastAsia="Arial" w:hAnsi="Arial"/>
          <w:b w:val="false"/>
          <w:bCs w:val="false"/>
          <w:i w:val="false"/>
          <w:iCs w:val="false"/>
          <w:color w:val="2E2E2E"/>
          <w:sz w:val="22"/>
          <w:szCs w:val="22"/>
        </w:rPr>
        <w:t xml:space="preserve">Cette asymétrie des coûts justifie de prioriser le Recall (sensibilité) plutôt que l'accuracy globale, tout en surveillant le F1-score pour contrôler les faux positifs. L'AUC-ROC complète l'évaluation en mesurant la capacité discriminante globale du modèle sur l'ensemble des seuils de décision.</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Résultats</w:t>
      </w:r>
    </w:p>
    <w:p>
      <w:pPr>
        <w:pStyle w:val="Heading2"/>
        <w:spacing w:after="120" w:before="280"/>
      </w:pPr>
      <w:r>
        <w:rPr>
          <w:rFonts w:ascii="Arial" w:cs="Arial" w:eastAsia="Arial" w:hAnsi="Arial"/>
          <w:b/>
          <w:bCs/>
          <w:color w:val="2E75B6"/>
          <w:sz w:val="26"/>
          <w:szCs w:val="26"/>
        </w:rPr>
        <w:t xml:space="preserve">3.1 Comparaison des modèles</w:t>
      </w:r>
    </w:p>
    <w:p>
      <w:pPr>
        <w:spacing w:after="80" w:before="80" w:line="320"/>
        <w:jc w:val="both"/>
      </w:pPr>
      <w:r>
        <w:rPr>
          <w:rFonts w:ascii="Arial" w:cs="Arial" w:eastAsia="Arial" w:hAnsi="Arial"/>
          <w:b w:val="false"/>
          <w:bCs w:val="false"/>
          <w:i w:val="false"/>
          <w:iCs w:val="false"/>
          <w:color w:val="2E2E2E"/>
          <w:sz w:val="22"/>
          <w:szCs w:val="22"/>
        </w:rPr>
        <w:t xml:space="preserve">Le tableau suivant présente les performances des six configurations testées, triées par Recall décroissant :</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200"/>
        <w:gridCol w:w="1200"/>
        <w:gridCol w:w="1200"/>
      </w:tblGrid>
      <w:tr>
        <w:trPr>
          <w:tblHeader/>
        </w:trPr>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 (%)</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AUC-ROC (%)</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KNN (k=14) + SMOTE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88.89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75.59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85.94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79.87</w:t>
            </w:r>
          </w:p>
        </w:tc>
      </w:tr>
      <w:tr>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Random Forest + SMOTE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83.33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81.82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94.45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87.01</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Logistic Regression + SMOTE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81.48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70.40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82.61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75.97</w:t>
            </w:r>
          </w:p>
        </w:tc>
      </w:tr>
      <w:tr>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Random Forest (sans SMOTE)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79.63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80.37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94.47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86.36</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KNN (k=14) sans SMOTE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72.22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70.27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85.72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78.57</w:t>
            </w:r>
          </w:p>
        </w:tc>
      </w:tr>
      <w:tr>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Logistic Regression (sans SMOTE)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55.56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57.14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82.63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70.78</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3.2 Choix et justification du modèle retenu</w:t>
      </w:r>
    </w:p>
    <w:p>
      <w:pPr>
        <w:spacing w:after="80" w:before="80" w:line="320"/>
        <w:jc w:val="both"/>
      </w:pPr>
      <w:r>
        <w:rPr>
          <w:rFonts w:ascii="Arial" w:cs="Arial" w:eastAsia="Arial" w:hAnsi="Arial"/>
          <w:b w:val="false"/>
          <w:bCs w:val="false"/>
          <w:i w:val="false"/>
          <w:iCs w:val="false"/>
          <w:color w:val="2E2E2E"/>
          <w:sz w:val="22"/>
          <w:szCs w:val="22"/>
        </w:rPr>
        <w:t xml:space="preserve">Le modèle retenu est le </w:t>
      </w:r>
      <w:r>
        <w:rPr>
          <w:rFonts w:ascii="Arial" w:cs="Arial" w:eastAsia="Arial" w:hAnsi="Arial"/>
          <w:b/>
          <w:bCs/>
          <w:i w:val="false"/>
          <w:iCs w:val="false"/>
          <w:color w:val="2E2E2E"/>
          <w:sz w:val="22"/>
          <w:szCs w:val="22"/>
        </w:rPr>
        <w:t xml:space="preserve">Random Forest + SMOTE</w:t>
      </w:r>
      <w:r>
        <w:rPr>
          <w:rFonts w:ascii="Arial" w:cs="Arial" w:eastAsia="Arial" w:hAnsi="Arial"/>
          <w:b w:val="false"/>
          <w:bCs w:val="false"/>
          <w:i w:val="false"/>
          <w:iCs w:val="false"/>
          <w:color w:val="2E2E2E"/>
          <w:sz w:val="22"/>
          <w:szCs w:val="22"/>
        </w:rPr>
        <w:t xml:space="preserve">, malgré un Recall légèrement inférieur à KNN + SMOTE (83.33% vs 88.89%). Ce choix repose sur plusieurs arguments convergents :</w:t>
      </w:r>
    </w:p>
    <w:p>
      <w:pPr>
        <w:pStyle w:val="ListParagraph"/>
        <w:numPr>
          <w:ilvl w:val="0"/>
          <w:numId w:val="2"/>
        </w:numPr>
        <w:spacing w:after="60" w:before="60" w:line="300"/>
      </w:pPr>
      <w:r>
        <w:rPr>
          <w:rFonts w:ascii="Arial" w:cs="Arial" w:eastAsia="Arial" w:hAnsi="Arial"/>
          <w:color w:val="2E2E2E"/>
          <w:sz w:val="22"/>
          <w:szCs w:val="22"/>
        </w:rPr>
        <w:t xml:space="preserve">F1-Score supérieur (81.82% vs 75.59%) : un F1 faible pour KNN indique un nombre élevé de faux positifs — des patients sains orientés inutilement vers des examens complémentaires</w:t>
      </w:r>
    </w:p>
    <w:p>
      <w:pPr>
        <w:pStyle w:val="ListParagraph"/>
        <w:numPr>
          <w:ilvl w:val="0"/>
          <w:numId w:val="2"/>
        </w:numPr>
        <w:spacing w:after="60" w:before="60" w:line="300"/>
      </w:pPr>
      <w:r>
        <w:rPr>
          <w:rFonts w:ascii="Arial" w:cs="Arial" w:eastAsia="Arial" w:hAnsi="Arial"/>
          <w:color w:val="2E2E2E"/>
          <w:sz w:val="22"/>
          <w:szCs w:val="22"/>
        </w:rPr>
        <w:t xml:space="preserve">AUC-ROC nettement meilleur (94.45% vs 85.94%) : le Random Forest discrimine bien mieux les deux classes sur l'ensemble des seuils de décision, ce qui lui confère une robustesse supérieure en cas d'ajustement du seuil de classification</w:t>
      </w:r>
    </w:p>
    <w:p>
      <w:pPr>
        <w:pStyle w:val="ListParagraph"/>
        <w:numPr>
          <w:ilvl w:val="0"/>
          <w:numId w:val="2"/>
        </w:numPr>
        <w:spacing w:after="60" w:before="60" w:line="300"/>
      </w:pPr>
      <w:r>
        <w:rPr>
          <w:rFonts w:ascii="Arial" w:cs="Arial" w:eastAsia="Arial" w:hAnsi="Arial"/>
          <w:color w:val="2E2E2E"/>
          <w:sz w:val="22"/>
          <w:szCs w:val="22"/>
        </w:rPr>
        <w:t xml:space="preserve">Accuracy globale supérieure (87.01% vs 79.87%) : performance globale plus équilibrée</w:t>
      </w:r>
    </w:p>
    <w:p>
      <w:pPr>
        <w:pStyle w:val="ListParagraph"/>
        <w:numPr>
          <w:ilvl w:val="0"/>
          <w:numId w:val="2"/>
        </w:numPr>
        <w:spacing w:after="60" w:before="60" w:line="300"/>
      </w:pPr>
      <w:r>
        <w:rPr>
          <w:rFonts w:ascii="Arial" w:cs="Arial" w:eastAsia="Arial" w:hAnsi="Arial"/>
          <w:color w:val="2E2E2E"/>
          <w:sz w:val="22"/>
          <w:szCs w:val="22"/>
        </w:rPr>
        <w:t xml:space="preserve">Interprétabilité via l'importance des features : contrairement à KNN, Random Forest permet d'extraire directement la contribution de chaque variable, ce qui est essentiel pour la communication aux professionnels de santé</w:t>
      </w:r>
    </w:p>
    <w:p>
      <w:pPr>
        <w:shd w:fill="D6E4F0" w:val="clear"/>
        <w:spacing w:after="100" w:before="100" w:line="300"/>
        <w:ind w:left="360" w:right="360"/>
        <w:jc w:val="both"/>
      </w:pPr>
      <w:r>
        <w:rPr>
          <w:rFonts w:ascii="Arial" w:cs="Arial" w:eastAsia="Arial" w:hAnsi="Arial"/>
          <w:i/>
          <w:iCs/>
          <w:color w:val="2E2E2E"/>
          <w:sz w:val="21"/>
          <w:szCs w:val="21"/>
        </w:rPr>
        <w:t xml:space="preserve">La différence de 5.56 points de Recall entre les deux modèles se traduit concrètement par 3 patients supplémentaires non détectés sur 154 dans notre jeu de test. Ce compromis est jugé acceptable au regard du gain substantiel en F1-Score (+6.23 pts) et AUC-ROC (+8.51 pts) offert par le Random Forest.</w:t>
      </w:r>
    </w:p>
    <w:p>
      <w:pPr>
        <w:pStyle w:val="Heading2"/>
        <w:spacing w:after="120" w:before="280"/>
      </w:pPr>
      <w:r>
        <w:rPr>
          <w:rFonts w:ascii="Arial" w:cs="Arial" w:eastAsia="Arial" w:hAnsi="Arial"/>
          <w:b/>
          <w:bCs/>
          <w:color w:val="2E75B6"/>
          <w:sz w:val="26"/>
          <w:szCs w:val="26"/>
        </w:rPr>
        <w:t xml:space="preserve">3.3 Impact de SMOTE</w:t>
      </w:r>
    </w:p>
    <w:p>
      <w:pPr>
        <w:spacing w:after="80" w:before="80" w:line="320"/>
        <w:jc w:val="both"/>
      </w:pPr>
      <w:r>
        <w:rPr>
          <w:rFonts w:ascii="Arial" w:cs="Arial" w:eastAsia="Arial" w:hAnsi="Arial"/>
          <w:b w:val="false"/>
          <w:bCs w:val="false"/>
          <w:i w:val="false"/>
          <w:iCs w:val="false"/>
          <w:color w:val="2E2E2E"/>
          <w:sz w:val="22"/>
          <w:szCs w:val="22"/>
        </w:rPr>
        <w:t xml:space="preserve">SMOTE améliore systématiquement le Recall pour les trois modèles testés, avec des gains significatifs :</w:t>
      </w:r>
    </w:p>
    <w:p>
      <w:pPr>
        <w:spacing w:after="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Modèle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sans SMOTE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avec SMOTE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KNN (k=14)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72.22%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88.89%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+16.67 pts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55.56%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81.48%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+25.92 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79.63%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83.33%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+3.70 pts</w:t>
            </w:r>
          </w:p>
        </w:tc>
      </w:tr>
    </w:tbl>
    <w:p>
      <w:pPr>
        <w:spacing w:after="0" w:before="80"/>
      </w:pPr>
      <w:r>
        <w:t xml:space="preserve"/>
      </w:r>
    </w:p>
    <w:p>
      <w:pPr>
        <w:spacing w:after="80" w:before="80" w:line="320"/>
        <w:jc w:val="both"/>
      </w:pPr>
      <w:r>
        <w:rPr>
          <w:rFonts w:ascii="Arial" w:cs="Arial" w:eastAsia="Arial" w:hAnsi="Arial"/>
          <w:b w:val="false"/>
          <w:bCs w:val="false"/>
          <w:i w:val="false"/>
          <w:iCs w:val="false"/>
          <w:color w:val="2E2E2E"/>
          <w:sz w:val="22"/>
          <w:szCs w:val="22"/>
        </w:rPr>
        <w:t xml:space="preserve">Le gain le plus spectaculaire concerne la Régression Logistique (+25.92 pts), ce qui confirme que les modèles linéaires sont particulièrement sensibles au déséquilibre de classes. Le Random Forest est naturellement plus robuste à ce déséquilibre, d'où un gain plus modeste mais réel.</w:t>
      </w:r>
    </w:p>
    <w:p>
      <w:pPr>
        <w:pStyle w:val="Heading2"/>
        <w:spacing w:after="120" w:before="280"/>
      </w:pPr>
      <w:r>
        <w:rPr>
          <w:rFonts w:ascii="Arial" w:cs="Arial" w:eastAsia="Arial" w:hAnsi="Arial"/>
          <w:b/>
          <w:bCs/>
          <w:color w:val="2E75B6"/>
          <w:sz w:val="26"/>
          <w:szCs w:val="26"/>
        </w:rPr>
        <w:t xml:space="preserve">3.4 Importance des variables (Random Forest + SMOTE)</w:t>
      </w:r>
    </w:p>
    <w:p>
      <w:pPr>
        <w:spacing w:after="80" w:before="80" w:line="320"/>
        <w:jc w:val="both"/>
      </w:pPr>
      <w:r>
        <w:rPr>
          <w:rFonts w:ascii="Arial" w:cs="Arial" w:eastAsia="Arial" w:hAnsi="Arial"/>
          <w:b w:val="false"/>
          <w:bCs w:val="false"/>
          <w:i w:val="false"/>
          <w:iCs w:val="false"/>
          <w:color w:val="2E2E2E"/>
          <w:sz w:val="22"/>
          <w:szCs w:val="22"/>
        </w:rPr>
        <w:t xml:space="preserve">L'analyse de l'importance des features issues du modèle Random Forest + SMOTE confirme et précise les résultats de l'EDA statistique :</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35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Importance SHAP (moyenne |contribution|)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Interprétation clinique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Glucose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Très élevée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Facteur de risque primaire du diabète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BMI</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Élevée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Obésité fortement associée à l'insulinorésistance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Modérée-haute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Risque croissant avec l'âge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DiabetesPedigreeFunction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Prédisposition génétique confirmée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Pregnancies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Corrélé à l'âge et au profil hormonal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Insulin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Modérée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Malgré les nombreuses valeurs manquantes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BloodPressure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Faible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Contribution faible malgré une p-value significative (p = 2.26e-07)</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SkinThickness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Faible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Faible pouvoir discriminant dans ce dataset</w:t>
            </w:r>
          </w:p>
        </w:tc>
      </w:tr>
    </w:tbl>
    <w:p>
      <w:pPr>
        <w:spacing w:after="0" w:before="80"/>
      </w:pPr>
      <w:r>
        <w:t xml:space="preserve"/>
      </w:r>
    </w:p>
    <w:p>
      <w:pPr>
        <w:spacing w:after="80" w:before="80" w:line="320"/>
        <w:jc w:val="both"/>
      </w:pPr>
      <w:r>
        <w:rPr>
          <w:rFonts w:ascii="Arial" w:cs="Arial" w:eastAsia="Arial" w:hAnsi="Arial"/>
          <w:b/>
          <w:bCs/>
          <w:i w:val="false"/>
          <w:iCs w:val="false"/>
          <w:color w:val="2E2E2E"/>
          <w:sz w:val="22"/>
          <w:szCs w:val="22"/>
        </w:rPr>
        <w:t xml:space="preserve">Réponse à la question de recherche n°1 : </w:t>
      </w:r>
      <w:r>
        <w:rPr>
          <w:rFonts w:ascii="Arial" w:cs="Arial" w:eastAsia="Arial" w:hAnsi="Arial"/>
          <w:b w:val="false"/>
          <w:bCs w:val="false"/>
          <w:i w:val="false"/>
          <w:iCs w:val="false"/>
          <w:color w:val="2E2E2E"/>
          <w:sz w:val="22"/>
          <w:szCs w:val="22"/>
        </w:rPr>
        <w:t xml:space="preserve">Les variables les plus prédictives du diabète de type 2 dans ce dataset sont, par ordre d’importance décroissante : Glucose, BMI, Age et DiabetesPedigreeFunction. BloodPressure et SkinThickness apportent une contribution marginale. DiabetesPedigreeFunction est la moins discriminante statistiquement (p = 1.20e-06), bien que toujours significative — ce que SHAP confirmera en la plaçant en position 4 dans l’importance globale du modèle.</w:t>
      </w:r>
    </w:p>
    <w:p>
      <w:pPr>
        <w:pStyle w:val="Heading2"/>
        <w:spacing w:after="120" w:before="280"/>
      </w:pPr>
      <w:r>
        <w:rPr>
          <w:rFonts w:ascii="Arial" w:cs="Arial" w:eastAsia="Arial" w:hAnsi="Arial"/>
          <w:b/>
          <w:bCs/>
          <w:color w:val="2E75B6"/>
          <w:sz w:val="26"/>
          <w:szCs w:val="26"/>
        </w:rPr>
        <w:t xml:space="preserve">3.5 Interprétation individuelle (SHAP)</w:t>
      </w:r>
    </w:p>
    <w:p>
      <w:pPr>
        <w:spacing w:after="80" w:before="80" w:line="320"/>
        <w:jc w:val="both"/>
      </w:pPr>
      <w:r>
        <w:rPr>
          <w:rFonts w:ascii="Arial" w:cs="Arial" w:eastAsia="Arial" w:hAnsi="Arial"/>
          <w:b w:val="false"/>
          <w:bCs w:val="false"/>
          <w:i w:val="false"/>
          <w:iCs w:val="false"/>
          <w:color w:val="2E2E2E"/>
          <w:sz w:val="22"/>
          <w:szCs w:val="22"/>
        </w:rPr>
        <w:t xml:space="preserve">L'analyse SHAP a été réalisée sur trois profils patients pour illustrer le fonctionnement du modèle à l'échelle individuelle :</w:t>
      </w:r>
    </w:p>
    <w:p>
      <w:pPr>
        <w:spacing w:after="0" w:before="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1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Probabilité prédite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Prédiction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Réalité</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Diabétique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88.0%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Diabétique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Diabétique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Vrai positif ✓</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color w:val="2E2E2E"/>
                <w:sz w:val="20"/>
                <w:szCs w:val="20"/>
              </w:rPr>
              <w:t xml:space="preserve">Cas limite (faux négatif)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46.0%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Non-diabétique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Diabétique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color w:val="2E2E2E"/>
                <w:sz w:val="20"/>
                <w:szCs w:val="20"/>
              </w:rPr>
              <w:t xml:space="preserve">Faux négatif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E2E2E"/>
                <w:sz w:val="20"/>
                <w:szCs w:val="20"/>
              </w:rPr>
              <w:t xml:space="preserve">Patient sain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15.0%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Non-diabétique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Non-diabétique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2E2E"/>
                <w:sz w:val="20"/>
                <w:szCs w:val="20"/>
              </w:rPr>
              <w:t xml:space="preserve">Vrai négatif ✓</w:t>
            </w:r>
          </w:p>
        </w:tc>
      </w:tr>
    </w:tbl>
    <w:p>
      <w:pPr>
        <w:spacing w:after="0" w:before="80"/>
      </w:pPr>
      <w:r>
        <w:t xml:space="preserve"/>
      </w:r>
    </w:p>
    <w:p>
      <w:pPr>
        <w:spacing w:after="80" w:before="80" w:line="320"/>
        <w:jc w:val="both"/>
      </w:pPr>
      <w:r>
        <w:rPr>
          <w:rFonts w:ascii="Arial" w:cs="Arial" w:eastAsia="Arial" w:hAnsi="Arial"/>
          <w:b w:val="false"/>
          <w:bCs w:val="false"/>
          <w:i w:val="false"/>
          <w:iCs w:val="false"/>
          <w:color w:val="2E2E2E"/>
          <w:sz w:val="22"/>
          <w:szCs w:val="22"/>
        </w:rPr>
        <w:t xml:space="preserve">Le cas limite à 46% est particulièrement instructif : le modèle hésite car les marqueurs cliniques de ce patient sont ambigus — glucose et BMI dans des zones intermédiaires. C'est précisément pour ces cas frontières que l'apport d'un médecin est irremplaçable.</w:t>
      </w:r>
    </w:p>
    <w:p>
      <w:pPr>
        <w:spacing w:after="80" w:before="80" w:line="320"/>
        <w:jc w:val="both"/>
      </w:pPr>
      <w:r>
        <w:rPr>
          <w:rFonts w:ascii="Arial" w:cs="Arial" w:eastAsia="Arial" w:hAnsi="Arial"/>
          <w:b/>
          <w:bCs/>
          <w:i w:val="false"/>
          <w:iCs w:val="false"/>
          <w:color w:val="2E2E2E"/>
          <w:sz w:val="22"/>
          <w:szCs w:val="22"/>
        </w:rPr>
        <w:t xml:space="preserve">Réponse à la question de recherche n°4 : </w:t>
      </w:r>
      <w:r>
        <w:rPr>
          <w:rFonts w:ascii="Arial" w:cs="Arial" w:eastAsia="Arial" w:hAnsi="Arial"/>
          <w:b w:val="false"/>
          <w:bCs w:val="false"/>
          <w:i w:val="false"/>
          <w:iCs w:val="false"/>
          <w:color w:val="2E2E2E"/>
          <w:sz w:val="22"/>
          <w:szCs w:val="22"/>
        </w:rPr>
        <w:t xml:space="preserve">Pour un patient individuel, SHAP décompose la prédiction en contributions additives de chaque variable. Un Glucose élevé pousse fortement vers la prédiction « diabétique » (contribution positive élevée), tandis qu'un BMI faible réduit le risque prédit. Cette transparence est essentielle pour la communication médecin-patient.</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Analyse et discussion</w:t>
      </w:r>
    </w:p>
    <w:p>
      <w:pPr>
        <w:pStyle w:val="Heading2"/>
        <w:spacing w:after="120" w:before="280"/>
      </w:pPr>
      <w:r>
        <w:rPr>
          <w:rFonts w:ascii="Arial" w:cs="Arial" w:eastAsia="Arial" w:hAnsi="Arial"/>
          <w:b/>
          <w:bCs/>
          <w:color w:val="2E75B6"/>
          <w:sz w:val="26"/>
          <w:szCs w:val="26"/>
        </w:rPr>
        <w:t xml:space="preserve">4.1 Réponse aux questions de recherche</w:t>
      </w:r>
    </w:p>
    <w:p>
      <w:pPr>
        <w:spacing w:after="80" w:before="80" w:line="320"/>
        <w:jc w:val="both"/>
      </w:pPr>
      <w:r>
        <w:rPr>
          <w:rFonts w:ascii="Arial" w:cs="Arial" w:eastAsia="Arial" w:hAnsi="Arial"/>
          <w:b/>
          <w:bCs/>
          <w:i w:val="false"/>
          <w:iCs w:val="false"/>
          <w:color w:val="2E2E2E"/>
          <w:sz w:val="22"/>
          <w:szCs w:val="22"/>
          <w:u w:val="single"/>
        </w:rPr>
        <w:t xml:space="preserve">QR2 — Impact de l'imputation stratifiée :</w:t>
      </w:r>
    </w:p>
    <w:p>
      <w:pPr>
        <w:spacing w:after="80" w:before="80" w:line="320"/>
        <w:jc w:val="both"/>
      </w:pPr>
      <w:r>
        <w:rPr>
          <w:rFonts w:ascii="Arial" w:cs="Arial" w:eastAsia="Arial" w:hAnsi="Arial"/>
          <w:b w:val="false"/>
          <w:bCs w:val="false"/>
          <w:i w:val="false"/>
          <w:iCs w:val="false"/>
          <w:color w:val="2E2E2E"/>
          <w:sz w:val="22"/>
          <w:szCs w:val="22"/>
        </w:rPr>
        <w:t xml:space="preserve">L'imputation stratifiée par classe préserve les différences biologiques entre diabétiques et non-diabétiques. La médiane de Glucose chez les diabétiques (140 mg/dL) est significativement plus élevée que chez les non-diabétiques (107 mg/dL). Une imputation globale aurait sous-estimé cette différence pour les diabétiques et la sur-estimé pour les non-diabétiques, introduisant un biais systématique favorable aux faux négatifs — l'erreur la plus coûteuse dans ce contexte.</w:t>
      </w:r>
    </w:p>
    <w:p>
      <w:pPr>
        <w:spacing w:after="0" w:before="60"/>
      </w:pPr>
      <w:r>
        <w:t xml:space="preserve"/>
      </w:r>
    </w:p>
    <w:p>
      <w:pPr>
        <w:spacing w:after="80" w:before="80" w:line="320"/>
        <w:jc w:val="both"/>
      </w:pPr>
      <w:r>
        <w:rPr>
          <w:rFonts w:ascii="Arial" w:cs="Arial" w:eastAsia="Arial" w:hAnsi="Arial"/>
          <w:b/>
          <w:bCs/>
          <w:i w:val="false"/>
          <w:iCs w:val="false"/>
          <w:color w:val="2E2E2E"/>
          <w:sz w:val="22"/>
          <w:szCs w:val="22"/>
          <w:u w:val="single"/>
        </w:rPr>
        <w:t xml:space="preserve">QR3 — Meilleur compromis précision/rappel :</w:t>
      </w:r>
    </w:p>
    <w:p>
      <w:pPr>
        <w:spacing w:after="80" w:before="80" w:line="320"/>
        <w:jc w:val="both"/>
      </w:pPr>
      <w:r>
        <w:rPr>
          <w:rFonts w:ascii="Arial" w:cs="Arial" w:eastAsia="Arial" w:hAnsi="Arial"/>
          <w:b w:val="false"/>
          <w:bCs w:val="false"/>
          <w:i w:val="false"/>
          <w:iCs w:val="false"/>
          <w:color w:val="2E2E2E"/>
          <w:sz w:val="22"/>
          <w:szCs w:val="22"/>
        </w:rPr>
        <w:t xml:space="preserve">Le Random Forest + SMOTE offre le meilleur compromis pour ce contexte médical. Il combine un Recall cliniquement satisfaisant (83.33%), un F1-Score élevé (81.82%) limitant les faux positifs, et la meilleure capacité discriminante globale (AUC-ROC 94.45%). Sa robustesse aux outliers et sa capacité à capturer des interactions non-linéaires entre variables lui confèrent un avantage structurel sur les modèles linéaires.</w:t>
      </w:r>
    </w:p>
    <w:p>
      <w:pPr>
        <w:pStyle w:val="Heading2"/>
        <w:spacing w:after="120" w:before="280"/>
      </w:pPr>
      <w:r>
        <w:rPr>
          <w:rFonts w:ascii="Arial" w:cs="Arial" w:eastAsia="Arial" w:hAnsi="Arial"/>
          <w:b/>
          <w:bCs/>
          <w:color w:val="2E75B6"/>
          <w:sz w:val="26"/>
          <w:szCs w:val="26"/>
        </w:rPr>
        <w:t xml:space="preserve">4.2 Comparaison des stratégies d'imputation</w:t>
      </w:r>
    </w:p>
    <w:p>
      <w:pPr>
        <w:spacing w:after="80" w:before="80" w:line="320"/>
        <w:jc w:val="both"/>
      </w:pPr>
      <w:r>
        <w:rPr>
          <w:rFonts w:ascii="Arial" w:cs="Arial" w:eastAsia="Arial" w:hAnsi="Arial"/>
          <w:b w:val="false"/>
          <w:bCs w:val="false"/>
          <w:i w:val="false"/>
          <w:iCs w:val="false"/>
          <w:color w:val="2E2E2E"/>
          <w:sz w:val="22"/>
          <w:szCs w:val="22"/>
        </w:rPr>
        <w:t xml:space="preserve">Pour confirmer l'avantage de l'imputation stratifiée, une comparaison avec l'imputation par médiane simple a été effectuée sur le modèle Random Forest. L'imputation stratifiée améliore le Recall de 2 à 4 points selon les configurations testées, ce qui représente 1 à 3 patients supplémentaires détectés pour 154 patients en test. Bien que modeste en valeur absolue, ce gain est cohérent avec les attentes théoriques et justifie l'approche retenue.</w:t>
      </w:r>
    </w:p>
    <w:p>
      <w:pPr>
        <w:pStyle w:val="Heading2"/>
        <w:spacing w:after="120" w:before="280"/>
      </w:pPr>
      <w:r>
        <w:rPr>
          <w:rFonts w:ascii="Arial" w:cs="Arial" w:eastAsia="Arial" w:hAnsi="Arial"/>
          <w:b/>
          <w:bCs/>
          <w:color w:val="2E75B6"/>
          <w:sz w:val="26"/>
          <w:szCs w:val="26"/>
        </w:rPr>
        <w:t xml:space="preserve">4.3 Limites méthodologiques</w:t>
      </w:r>
    </w:p>
    <w:p>
      <w:pPr>
        <w:pStyle w:val="ListParagraph"/>
        <w:numPr>
          <w:ilvl w:val="0"/>
          <w:numId w:val="2"/>
        </w:numPr>
        <w:spacing w:after="60" w:before="60" w:line="300"/>
      </w:pPr>
      <w:r>
        <w:rPr>
          <w:rFonts w:ascii="Arial" w:cs="Arial" w:eastAsia="Arial" w:hAnsi="Arial"/>
          <w:color w:val="2E2E2E"/>
          <w:sz w:val="22"/>
          <w:szCs w:val="22"/>
        </w:rPr>
        <w:t xml:space="preserve">Taille du dataset : 768 observations est relativement faible pour entraîner des modèles robustes. Des techniques comme la validation croisée k-fold auraient permis d'estimer la variance des performances.</w:t>
      </w:r>
    </w:p>
    <w:p>
      <w:pPr>
        <w:pStyle w:val="ListParagraph"/>
        <w:numPr>
          <w:ilvl w:val="0"/>
          <w:numId w:val="2"/>
        </w:numPr>
        <w:spacing w:after="60" w:before="60" w:line="300"/>
      </w:pPr>
      <w:r>
        <w:rPr>
          <w:rFonts w:ascii="Arial" w:cs="Arial" w:eastAsia="Arial" w:hAnsi="Arial"/>
          <w:color w:val="2E2E2E"/>
          <w:sz w:val="22"/>
          <w:szCs w:val="22"/>
        </w:rPr>
        <w:t xml:space="preserve">Données manquantes sur Insulin : avec 48.7% de zéros, l'imputation reste une approximation imparfaite. Des méthodes avancées comme MICE (Multiple Imputation by Chained Equations) pourraient améliorer la qualité de l'imputation.</w:t>
      </w:r>
    </w:p>
    <w:p>
      <w:pPr>
        <w:pStyle w:val="ListParagraph"/>
        <w:numPr>
          <w:ilvl w:val="0"/>
          <w:numId w:val="2"/>
        </w:numPr>
        <w:spacing w:after="60" w:before="60" w:line="300"/>
      </w:pPr>
      <w:r>
        <w:rPr>
          <w:rFonts w:ascii="Arial" w:cs="Arial" w:eastAsia="Arial" w:hAnsi="Arial"/>
          <w:color w:val="2E2E2E"/>
          <w:sz w:val="22"/>
          <w:szCs w:val="22"/>
        </w:rPr>
        <w:t xml:space="preserve">Absence de validation temporelle : les données ne sont pas datées, ce qui empêche une validation chronologique (walk-forward validation) qui serait plus réaliste en contexte de déploiement clinique.</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Considérations éthiques et limites d'usage</w:t>
      </w:r>
    </w:p>
    <w:p>
      <w:pPr>
        <w:pStyle w:val="Heading2"/>
        <w:spacing w:after="120" w:before="280"/>
      </w:pPr>
      <w:r>
        <w:rPr>
          <w:rFonts w:ascii="Arial" w:cs="Arial" w:eastAsia="Arial" w:hAnsi="Arial"/>
          <w:b/>
          <w:bCs/>
          <w:color w:val="2E75B6"/>
          <w:sz w:val="26"/>
          <w:szCs w:val="26"/>
        </w:rPr>
        <w:t xml:space="preserve">5.1 Biais de représentation</w:t>
      </w:r>
    </w:p>
    <w:p>
      <w:pPr>
        <w:spacing w:after="80" w:before="80" w:line="320"/>
        <w:jc w:val="both"/>
      </w:pPr>
      <w:r>
        <w:rPr>
          <w:rFonts w:ascii="Arial" w:cs="Arial" w:eastAsia="Arial" w:hAnsi="Arial"/>
          <w:b w:val="false"/>
          <w:bCs w:val="false"/>
          <w:i w:val="false"/>
          <w:iCs w:val="false"/>
          <w:color w:val="2E2E2E"/>
          <w:sz w:val="22"/>
          <w:szCs w:val="22"/>
        </w:rPr>
        <w:t xml:space="preserve">Le dataset PIMA Indians Diabetes est collecté exclusivement sur des femmes d'origine amérindienne Pima âgées de 21 ans et plus, une population présentant une prévalence génétique particulièrement élevée au diabète de type 2. Ce biais de sélection est fondamental : les modèles entraînés sur cette population peuvent ne pas être généralisables à d'autres groupes ethniques, à des hommes, ou à des personnes de moins de 21 ans.</w:t>
      </w:r>
    </w:p>
    <w:p>
      <w:pPr>
        <w:shd w:fill="D6E4F0" w:val="clear"/>
        <w:spacing w:after="100" w:before="100" w:line="300"/>
        <w:ind w:left="360" w:right="360"/>
        <w:jc w:val="both"/>
      </w:pPr>
      <w:r>
        <w:rPr>
          <w:rFonts w:ascii="Arial" w:cs="Arial" w:eastAsia="Arial" w:hAnsi="Arial"/>
          <w:i/>
          <w:iCs/>
          <w:color w:val="2E2E2E"/>
          <w:sz w:val="21"/>
          <w:szCs w:val="21"/>
        </w:rPr>
        <w:t xml:space="preserve">Un système de dépistage basé sur ce modèle ne devrait pas être déployé sur des populations différentes sans revalidation rigoureuse sur des données représentatives de la population cible.</w:t>
      </w:r>
    </w:p>
    <w:p>
      <w:pPr>
        <w:pStyle w:val="Heading2"/>
        <w:spacing w:after="120" w:before="280"/>
      </w:pPr>
      <w:r>
        <w:rPr>
          <w:rFonts w:ascii="Arial" w:cs="Arial" w:eastAsia="Arial" w:hAnsi="Arial"/>
          <w:b/>
          <w:bCs/>
          <w:color w:val="2E75B6"/>
          <w:sz w:val="26"/>
          <w:szCs w:val="26"/>
        </w:rPr>
        <w:t xml:space="preserve">5.2 Risque de discrimination algorithmique</w:t>
      </w:r>
    </w:p>
    <w:p>
      <w:pPr>
        <w:spacing w:after="80" w:before="80" w:line="320"/>
        <w:jc w:val="both"/>
      </w:pPr>
      <w:r>
        <w:rPr>
          <w:rFonts w:ascii="Arial" w:cs="Arial" w:eastAsia="Arial" w:hAnsi="Arial"/>
          <w:b w:val="false"/>
          <w:bCs w:val="false"/>
          <w:i w:val="false"/>
          <w:iCs w:val="false"/>
          <w:color w:val="2E2E2E"/>
          <w:sz w:val="22"/>
          <w:szCs w:val="22"/>
        </w:rPr>
        <w:t xml:space="preserve">L'utilisation d'une variable comme DiabetesPedigreeFunction (score d'hérédité) soulève des questions éthiques sur la discrimination fondée sur des caractéristiques génétiques. Un patient peut se voir attribuer un risque élevé non pas en raison de ses propres habitudes de vie, mais uniquement à cause de son héritage familial — sur lequel il n'a aucun contrôle. Cette dimension doit être expliquée clairement aux patients.</w:t>
      </w:r>
    </w:p>
    <w:p>
      <w:pPr>
        <w:pStyle w:val="Heading2"/>
        <w:spacing w:after="120" w:before="280"/>
      </w:pPr>
      <w:r>
        <w:rPr>
          <w:rFonts w:ascii="Arial" w:cs="Arial" w:eastAsia="Arial" w:hAnsi="Arial"/>
          <w:b/>
          <w:bCs/>
          <w:color w:val="2E75B6"/>
          <w:sz w:val="26"/>
          <w:szCs w:val="26"/>
        </w:rPr>
        <w:t xml:space="preserve">5.3 Limites d'usage et implications légales</w:t>
      </w:r>
    </w:p>
    <w:p>
      <w:pPr>
        <w:pStyle w:val="ListParagraph"/>
        <w:numPr>
          <w:ilvl w:val="0"/>
          <w:numId w:val="2"/>
        </w:numPr>
        <w:spacing w:after="60" w:before="60" w:line="300"/>
      </w:pPr>
      <w:r>
        <w:rPr>
          <w:rFonts w:ascii="Arial" w:cs="Arial" w:eastAsia="Arial" w:hAnsi="Arial"/>
          <w:color w:val="2E2E2E"/>
          <w:sz w:val="22"/>
          <w:szCs w:val="22"/>
        </w:rPr>
        <w:t xml:space="preserve">Ce système est un outil d'aide à la décision, pas un outil de diagnostic. Aucune décision médicale ne doit reposer exclusivement sur sa sortie.</w:t>
      </w:r>
    </w:p>
    <w:p>
      <w:pPr>
        <w:pStyle w:val="ListParagraph"/>
        <w:numPr>
          <w:ilvl w:val="0"/>
          <w:numId w:val="2"/>
        </w:numPr>
        <w:spacing w:after="60" w:before="60" w:line="300"/>
      </w:pPr>
      <w:r>
        <w:rPr>
          <w:rFonts w:ascii="Arial" w:cs="Arial" w:eastAsia="Arial" w:hAnsi="Arial"/>
          <w:color w:val="2E2E2E"/>
          <w:sz w:val="22"/>
          <w:szCs w:val="22"/>
        </w:rPr>
        <w:t xml:space="preserve">Les réglementations RGPD (Union Européenne) et leurs équivalents nationaux imposent des contraintes strictes sur le traitement de données de santé. Un déploiement réel nécessiterait un consentement éclairé des patients et une analyse d'impact sur la protection des données.</w:t>
      </w:r>
    </w:p>
    <w:p>
      <w:pPr>
        <w:pStyle w:val="ListParagraph"/>
        <w:numPr>
          <w:ilvl w:val="0"/>
          <w:numId w:val="2"/>
        </w:numPr>
        <w:spacing w:after="60" w:before="60" w:line="300"/>
      </w:pPr>
      <w:r>
        <w:rPr>
          <w:rFonts w:ascii="Arial" w:cs="Arial" w:eastAsia="Arial" w:hAnsi="Arial"/>
          <w:color w:val="2E2E2E"/>
          <w:sz w:val="22"/>
          <w:szCs w:val="22"/>
        </w:rPr>
        <w:t xml:space="preserve">Un Recall de 83.33% signifie que 16.67% des diabétiques ne sont pas détectés. Dans une population de 100 000 personnes avec 30% de prévalence, cela représente environ 5 000 patients manqués — chiffre qui doit être communiqué transparentement aux décideurs.</w:t>
      </w:r>
    </w:p>
    <w:p>
      <w:pPr>
        <w:pStyle w:val="ListParagraph"/>
        <w:numPr>
          <w:ilvl w:val="0"/>
          <w:numId w:val="2"/>
        </w:numPr>
        <w:spacing w:after="60" w:before="60" w:line="300"/>
      </w:pPr>
      <w:r>
        <w:rPr>
          <w:rFonts w:ascii="Arial" w:cs="Arial" w:eastAsia="Arial" w:hAnsi="Arial"/>
          <w:color w:val="2E2E2E"/>
          <w:sz w:val="22"/>
          <w:szCs w:val="22"/>
        </w:rPr>
        <w:t xml:space="preserve">La transparence algorithmique (explainabilité via SHAP) est une exigence éthique et de plus en plus réglementaire pour les systèmes d'IA appliqués à la santé.</w:t>
      </w:r>
    </w:p>
    <w:p>
      <w:pPr>
        <w:spacing w:after="80" w:before="80" w:line="320"/>
        <w:jc w:val="both"/>
      </w:pPr>
      <w:r>
        <w:rPr>
          <w:rFonts w:ascii="Arial" w:cs="Arial" w:eastAsia="Arial" w:hAnsi="Arial"/>
          <w:b/>
          <w:bCs/>
          <w:i w:val="false"/>
          <w:iCs w:val="false"/>
          <w:color w:val="2E2E2E"/>
          <w:sz w:val="22"/>
          <w:szCs w:val="22"/>
        </w:rPr>
        <w:t xml:space="preserve">Réponse à la question de recherche n°5 : </w:t>
      </w:r>
      <w:r>
        <w:rPr>
          <w:rFonts w:ascii="Arial" w:cs="Arial" w:eastAsia="Arial" w:hAnsi="Arial"/>
          <w:b w:val="false"/>
          <w:bCs w:val="false"/>
          <w:i w:val="false"/>
          <w:iCs w:val="false"/>
          <w:color w:val="2E2E2E"/>
          <w:sz w:val="22"/>
          <w:szCs w:val="22"/>
        </w:rPr>
        <w:t xml:space="preserve">Les principaux risques de biais sont la non-généralisabilité à d'autres populations, la discrimination génétique potentielle, et le risque de sur-confiance dans les prédictions. Les limites d'usage incluent l'interdiction de substituer le système à un diagnostic médical, la nécessité d'un consentement éclairé, et l'obligation de transparence sur les taux d'erreur réels.</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Recommandations cliniques</w:t>
      </w:r>
    </w:p>
    <w:p>
      <w:pPr>
        <w:spacing w:after="80" w:before="80" w:line="320"/>
        <w:jc w:val="both"/>
      </w:pPr>
      <w:r>
        <w:rPr>
          <w:rFonts w:ascii="Arial" w:cs="Arial" w:eastAsia="Arial" w:hAnsi="Arial"/>
          <w:b w:val="false"/>
          <w:bCs w:val="false"/>
          <w:i w:val="false"/>
          <w:iCs w:val="false"/>
          <w:color w:val="2E2E2E"/>
          <w:sz w:val="22"/>
          <w:szCs w:val="22"/>
        </w:rPr>
        <w:t xml:space="preserve">À destination des médecins et professionnels de santé utilisant ce système d'aide au dépistage :</w:t>
      </w:r>
    </w:p>
    <w:p>
      <w:pPr>
        <w:pStyle w:val="Heading2"/>
        <w:spacing w:after="120" w:before="280"/>
      </w:pPr>
      <w:r>
        <w:rPr>
          <w:rFonts w:ascii="Arial" w:cs="Arial" w:eastAsia="Arial" w:hAnsi="Arial"/>
          <w:b/>
          <w:bCs/>
          <w:color w:val="2E75B6"/>
          <w:sz w:val="26"/>
          <w:szCs w:val="26"/>
        </w:rPr>
        <w:t xml:space="preserve">6.1 Utilisation recommandée</w:t>
      </w:r>
    </w:p>
    <w:p>
      <w:pPr>
        <w:pStyle w:val="ListParagraph"/>
        <w:numPr>
          <w:ilvl w:val="0"/>
          <w:numId w:val="2"/>
        </w:numPr>
        <w:spacing w:after="60" w:before="60" w:line="300"/>
      </w:pPr>
      <w:r>
        <w:rPr>
          <w:rFonts w:ascii="Arial" w:cs="Arial" w:eastAsia="Arial" w:hAnsi="Arial"/>
          <w:color w:val="2E2E2E"/>
          <w:sz w:val="22"/>
          <w:szCs w:val="22"/>
        </w:rPr>
        <w:t xml:space="preserve">Utiliser le système comme outil de triage de premier niveau pour identifier les patients à risque élevé nécessitant un bilan approfondi (HGPO, HbA1c).</w:t>
      </w:r>
    </w:p>
    <w:p>
      <w:pPr>
        <w:pStyle w:val="ListParagraph"/>
        <w:numPr>
          <w:ilvl w:val="0"/>
          <w:numId w:val="2"/>
        </w:numPr>
        <w:spacing w:after="60" w:before="60" w:line="300"/>
      </w:pPr>
      <w:r>
        <w:rPr>
          <w:rFonts w:ascii="Arial" w:cs="Arial" w:eastAsia="Arial" w:hAnsi="Arial"/>
          <w:color w:val="2E2E2E"/>
          <w:sz w:val="22"/>
          <w:szCs w:val="22"/>
        </w:rPr>
        <w:t xml:space="preserve">Prioriser les patients avec une probabilité prédite &gt; 60% pour des consultations de suivi spécialisées.</w:t>
      </w:r>
    </w:p>
    <w:p>
      <w:pPr>
        <w:pStyle w:val="ListParagraph"/>
        <w:numPr>
          <w:ilvl w:val="0"/>
          <w:numId w:val="2"/>
        </w:numPr>
        <w:spacing w:after="60" w:before="60" w:line="300"/>
      </w:pPr>
      <w:r>
        <w:rPr>
          <w:rFonts w:ascii="Arial" w:cs="Arial" w:eastAsia="Arial" w:hAnsi="Arial"/>
          <w:color w:val="2E2E2E"/>
          <w:sz w:val="22"/>
          <w:szCs w:val="22"/>
        </w:rPr>
        <w:t xml:space="preserve">Pour les cas limites (40-60% de probabilité), combiner la prédiction du modèle avec l'évaluation clinique du praticien et l'historique patient.</w:t>
      </w:r>
    </w:p>
    <w:p>
      <w:pPr>
        <w:pStyle w:val="ListParagraph"/>
        <w:numPr>
          <w:ilvl w:val="0"/>
          <w:numId w:val="2"/>
        </w:numPr>
        <w:spacing w:after="60" w:before="60" w:line="300"/>
      </w:pPr>
      <w:r>
        <w:rPr>
          <w:rFonts w:ascii="Arial" w:cs="Arial" w:eastAsia="Arial" w:hAnsi="Arial"/>
          <w:color w:val="2E2E2E"/>
          <w:sz w:val="22"/>
          <w:szCs w:val="22"/>
        </w:rPr>
        <w:t xml:space="preserve">Revalider périodiquement les performances du modèle sur les nouvelles données cliniques collectées.</w:t>
      </w:r>
    </w:p>
    <w:p>
      <w:pPr>
        <w:pStyle w:val="Heading2"/>
        <w:spacing w:after="120" w:before="280"/>
      </w:pPr>
      <w:r>
        <w:rPr>
          <w:rFonts w:ascii="Arial" w:cs="Arial" w:eastAsia="Arial" w:hAnsi="Arial"/>
          <w:b/>
          <w:bCs/>
          <w:color w:val="2E75B6"/>
          <w:sz w:val="26"/>
          <w:szCs w:val="26"/>
        </w:rPr>
        <w:t xml:space="preserve">6.2 Variables à surveiller en priorité</w:t>
      </w:r>
    </w:p>
    <w:p>
      <w:pPr>
        <w:spacing w:after="80" w:before="80" w:line="320"/>
        <w:jc w:val="both"/>
      </w:pPr>
      <w:r>
        <w:rPr>
          <w:rFonts w:ascii="Arial" w:cs="Arial" w:eastAsia="Arial" w:hAnsi="Arial"/>
          <w:b w:val="false"/>
          <w:bCs w:val="false"/>
          <w:i w:val="false"/>
          <w:iCs w:val="false"/>
          <w:color w:val="2E2E2E"/>
          <w:sz w:val="22"/>
          <w:szCs w:val="22"/>
        </w:rPr>
        <w:t xml:space="preserve">Les trois variables les plus prédictives identifiées par le modèle constituent des cibles d'intervention prioritaires en médecine préventive :</w:t>
      </w:r>
    </w:p>
    <w:p>
      <w:pPr>
        <w:pStyle w:val="ListParagraph"/>
        <w:numPr>
          <w:ilvl w:val="0"/>
          <w:numId w:val="2"/>
        </w:numPr>
        <w:spacing w:after="60" w:before="60" w:line="300"/>
      </w:pPr>
      <w:r>
        <w:rPr>
          <w:rFonts w:ascii="Arial" w:cs="Arial" w:eastAsia="Arial" w:hAnsi="Arial"/>
          <w:color w:val="2E2E2E"/>
          <w:sz w:val="22"/>
          <w:szCs w:val="22"/>
        </w:rPr>
        <w:t xml:space="preserve">Glucose : surveillance régulière de la glycémie à jeun, particulièrement chez les patients en surpoids ou avec antécédents familiaux</w:t>
      </w:r>
    </w:p>
    <w:p>
      <w:pPr>
        <w:pStyle w:val="ListParagraph"/>
        <w:numPr>
          <w:ilvl w:val="0"/>
          <w:numId w:val="2"/>
        </w:numPr>
        <w:spacing w:after="60" w:before="60" w:line="300"/>
      </w:pPr>
      <w:r>
        <w:rPr>
          <w:rFonts w:ascii="Arial" w:cs="Arial" w:eastAsia="Arial" w:hAnsi="Arial"/>
          <w:color w:val="2E2E2E"/>
          <w:sz w:val="22"/>
          <w:szCs w:val="22"/>
        </w:rPr>
        <w:t xml:space="preserve">BMI : accompagnement nutritionnel et promotion de l'activité physique pour les patients avec IMC &gt; 30</w:t>
      </w:r>
    </w:p>
    <w:p>
      <w:pPr>
        <w:pStyle w:val="ListParagraph"/>
        <w:numPr>
          <w:ilvl w:val="0"/>
          <w:numId w:val="2"/>
        </w:numPr>
        <w:spacing w:after="60" w:before="60" w:line="300"/>
      </w:pPr>
      <w:r>
        <w:rPr>
          <w:rFonts w:ascii="Arial" w:cs="Arial" w:eastAsia="Arial" w:hAnsi="Arial"/>
          <w:color w:val="2E2E2E"/>
          <w:sz w:val="22"/>
          <w:szCs w:val="22"/>
        </w:rPr>
        <w:t xml:space="preserve">DiabetesPedigreeFunction : renforcer le suivi des patients avec antécédents familiaux de diabète au premier degré</w:t>
      </w:r>
    </w:p>
    <w:p>
      <w:pPr>
        <w:pStyle w:val="Heading2"/>
        <w:spacing w:after="120" w:before="280"/>
      </w:pPr>
      <w:r>
        <w:rPr>
          <w:rFonts w:ascii="Arial" w:cs="Arial" w:eastAsia="Arial" w:hAnsi="Arial"/>
          <w:b/>
          <w:bCs/>
          <w:color w:val="2E75B6"/>
          <w:sz w:val="26"/>
          <w:szCs w:val="26"/>
        </w:rPr>
        <w:t xml:space="preserve">6.3 Protocole de communication patient</w:t>
      </w:r>
    </w:p>
    <w:p>
      <w:pPr>
        <w:spacing w:after="80" w:before="80" w:line="320"/>
        <w:jc w:val="both"/>
      </w:pPr>
      <w:r>
        <w:rPr>
          <w:rFonts w:ascii="Arial" w:cs="Arial" w:eastAsia="Arial" w:hAnsi="Arial"/>
          <w:b w:val="false"/>
          <w:bCs w:val="false"/>
          <w:i w:val="false"/>
          <w:iCs w:val="false"/>
          <w:color w:val="2E2E2E"/>
          <w:sz w:val="22"/>
          <w:szCs w:val="22"/>
        </w:rPr>
        <w:t xml:space="preserve">Lors de la communication d'un résultat à risque élevé à un patient :</w:t>
      </w:r>
    </w:p>
    <w:p>
      <w:pPr>
        <w:pStyle w:val="ListParagraph"/>
        <w:numPr>
          <w:ilvl w:val="0"/>
          <w:numId w:val="2"/>
        </w:numPr>
        <w:spacing w:after="60" w:before="60" w:line="300"/>
      </w:pPr>
      <w:r>
        <w:rPr>
          <w:rFonts w:ascii="Arial" w:cs="Arial" w:eastAsia="Arial" w:hAnsi="Arial"/>
          <w:color w:val="2E2E2E"/>
          <w:sz w:val="22"/>
          <w:szCs w:val="22"/>
        </w:rPr>
        <w:t xml:space="preserve">Expliquer que le système est probabiliste et non diagnostique</w:t>
      </w:r>
    </w:p>
    <w:p>
      <w:pPr>
        <w:pStyle w:val="ListParagraph"/>
        <w:numPr>
          <w:ilvl w:val="0"/>
          <w:numId w:val="2"/>
        </w:numPr>
        <w:spacing w:after="60" w:before="60" w:line="300"/>
      </w:pPr>
      <w:r>
        <w:rPr>
          <w:rFonts w:ascii="Arial" w:cs="Arial" w:eastAsia="Arial" w:hAnsi="Arial"/>
          <w:color w:val="2E2E2E"/>
          <w:sz w:val="22"/>
          <w:szCs w:val="22"/>
        </w:rPr>
        <w:t xml:space="preserve">Présenter la contribution des facteurs de risque personnels (graphe SHAP en langage accessible)</w:t>
      </w:r>
    </w:p>
    <w:p>
      <w:pPr>
        <w:pStyle w:val="ListParagraph"/>
        <w:numPr>
          <w:ilvl w:val="0"/>
          <w:numId w:val="2"/>
        </w:numPr>
        <w:spacing w:after="60" w:before="60" w:line="300"/>
      </w:pPr>
      <w:r>
        <w:rPr>
          <w:rFonts w:ascii="Arial" w:cs="Arial" w:eastAsia="Arial" w:hAnsi="Arial"/>
          <w:color w:val="2E2E2E"/>
          <w:sz w:val="22"/>
          <w:szCs w:val="22"/>
        </w:rPr>
        <w:t xml:space="preserve">Proposer systématiquement un suivi clinique complémentaire avant toute conclusion</w:t>
      </w:r>
    </w:p>
    <w:p>
      <w:pPr>
        <w:pStyle w:val="ListParagraph"/>
        <w:numPr>
          <w:ilvl w:val="0"/>
          <w:numId w:val="2"/>
        </w:numPr>
        <w:spacing w:after="60" w:before="60" w:line="300"/>
      </w:pPr>
      <w:r>
        <w:rPr>
          <w:rFonts w:ascii="Arial" w:cs="Arial" w:eastAsia="Arial" w:hAnsi="Arial"/>
          <w:color w:val="2E2E2E"/>
          <w:sz w:val="22"/>
          <w:szCs w:val="22"/>
        </w:rPr>
        <w:t xml:space="preserve">Rappeler que les facteurs modifiables (BMI, alimentation, activité physique) peuvent réduire significativement le risque réel</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7. Conclusion</w:t>
      </w:r>
    </w:p>
    <w:p>
      <w:pPr>
        <w:spacing w:after="80" w:before="80" w:line="320"/>
        <w:jc w:val="both"/>
      </w:pPr>
      <w:r>
        <w:rPr>
          <w:rFonts w:ascii="Arial" w:cs="Arial" w:eastAsia="Arial" w:hAnsi="Arial"/>
          <w:b w:val="false"/>
          <w:bCs w:val="false"/>
          <w:i w:val="false"/>
          <w:iCs w:val="false"/>
          <w:color w:val="2E2E2E"/>
          <w:sz w:val="22"/>
          <w:szCs w:val="22"/>
        </w:rPr>
        <w:t xml:space="preserve">Ce projet a permis de développer un pipeline complet d'analyse de données cliniques pour la prédiction du risque diabétique, couvrant l'ensemble des étapes depuis le nettoyage des données jusqu'au déploiement d'un dashboard interactif.</w:t>
      </w:r>
    </w:p>
    <w:p>
      <w:pPr>
        <w:spacing w:after="80" w:before="80" w:line="320"/>
        <w:jc w:val="both"/>
      </w:pPr>
      <w:r>
        <w:rPr>
          <w:rFonts w:ascii="Arial" w:cs="Arial" w:eastAsia="Arial" w:hAnsi="Arial"/>
          <w:b w:val="false"/>
          <w:bCs w:val="false"/>
          <w:i w:val="false"/>
          <w:iCs w:val="false"/>
          <w:color w:val="2E2E2E"/>
          <w:sz w:val="22"/>
          <w:szCs w:val="22"/>
        </w:rPr>
        <w:t xml:space="preserve">Les principaux enseignements sont les suivants : le Glucose est la variable la plus prédictive du diabète de type 2 dans ce dataset, confirmant les connaissances médicales établies. L'imputation stratifiée par classe améliore la qualité du signal biologique préservé dans les données. SMOTE améliore significativement le Recall, particulièrement pour les modèles sensibles au déséquilibre de classes.</w:t>
      </w:r>
    </w:p>
    <w:p>
      <w:pPr>
        <w:spacing w:after="80" w:before="80" w:line="320"/>
        <w:jc w:val="both"/>
      </w:pPr>
      <w:r>
        <w:rPr>
          <w:rFonts w:ascii="Arial" w:cs="Arial" w:eastAsia="Arial" w:hAnsi="Arial"/>
          <w:b w:val="false"/>
          <w:bCs w:val="false"/>
          <w:i w:val="false"/>
          <w:iCs w:val="false"/>
          <w:color w:val="2E2E2E"/>
          <w:sz w:val="22"/>
          <w:szCs w:val="22"/>
        </w:rPr>
        <w:t xml:space="preserve">Le modèle Random Forest + SMOTE a été retenu comme modèle final pour son meilleur compromis entre sensibilité clinique (Recall 83.33%) et précision globale (F1-Score 81.82%, AUC-ROC 94.45%). L'interprétabilité assurée par SHAP permet de communiquer les prédictions individuelles de manière transparente et actionnable pour les professionnels de santé.</w:t>
      </w:r>
    </w:p>
    <w:p>
      <w:pPr>
        <w:spacing w:after="80" w:before="80" w:line="320"/>
        <w:jc w:val="both"/>
      </w:pPr>
      <w:r>
        <w:rPr>
          <w:rFonts w:ascii="Arial" w:cs="Arial" w:eastAsia="Arial" w:hAnsi="Arial"/>
          <w:b w:val="false"/>
          <w:bCs w:val="false"/>
          <w:i w:val="false"/>
          <w:iCs w:val="false"/>
          <w:color w:val="2E2E2E"/>
          <w:sz w:val="22"/>
          <w:szCs w:val="22"/>
        </w:rPr>
        <w:t xml:space="preserve">Les limites identifiées — notamment la spécificité populationnelle du dataset et les 16.67% de faux négatifs résiduels — rappellent que ce système doit être considéré comme un outil d'aide à la décision, complémentaire et non substitutif à l'expertise médicale.</w:t>
      </w:r>
    </w:p>
    <w:p>
      <w:pPr>
        <w:spacing w:after="80" w:before="80" w:line="320"/>
        <w:jc w:val="both"/>
      </w:pPr>
      <w:r>
        <w:rPr>
          <w:rFonts w:ascii="Arial" w:cs="Arial" w:eastAsia="Arial" w:hAnsi="Arial"/>
          <w:b w:val="false"/>
          <w:bCs w:val="false"/>
          <w:i w:val="false"/>
          <w:iCs w:val="false"/>
          <w:color w:val="2E2E2E"/>
          <w:sz w:val="22"/>
          <w:szCs w:val="22"/>
        </w:rPr>
        <w:t xml:space="preserve">Des perspectives d'amélioration incluent l'intégration de données longitudinales, l'application de méthodes d'imputation avancées (MICE), et la revalidation du modèle sur des populations plus diverses pour évaluer sa généralisabilité.</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Références bibliographiques</w:t>
      </w:r>
    </w:p>
    <w:p>
      <w:pPr>
        <w:pStyle w:val="ListParagraph"/>
        <w:numPr>
          <w:ilvl w:val="0"/>
          <w:numId w:val="2"/>
        </w:numPr>
        <w:spacing w:after="60" w:before="60" w:line="300"/>
      </w:pPr>
      <w:r>
        <w:rPr>
          <w:rFonts w:ascii="Arial" w:cs="Arial" w:eastAsia="Arial" w:hAnsi="Arial"/>
          <w:color w:val="2E2E2E"/>
          <w:sz w:val="22"/>
          <w:szCs w:val="22"/>
        </w:rPr>
        <w:t xml:space="preserve">Smith, J.W. et al. (1988). Using the ADAP learning algorithm to forecast the onset of diabetes mellitus. Proceedings of the Annual Symposium on Computer Application in Medical Care, 261–265.</w:t>
      </w:r>
    </w:p>
    <w:p>
      <w:pPr>
        <w:pStyle w:val="ListParagraph"/>
        <w:numPr>
          <w:ilvl w:val="0"/>
          <w:numId w:val="2"/>
        </w:numPr>
        <w:spacing w:after="60" w:before="60" w:line="300"/>
      </w:pPr>
      <w:r>
        <w:rPr>
          <w:rFonts w:ascii="Arial" w:cs="Arial" w:eastAsia="Arial" w:hAnsi="Arial"/>
          <w:color w:val="2E2E2E"/>
          <w:sz w:val="22"/>
          <w:szCs w:val="22"/>
        </w:rPr>
        <w:t xml:space="preserve">Chawla, N.V. et al. (2002). SMOTE: Synthetic Minority Over-sampling Technique. Journal of Artificial Intelligence Research, 16, 321–357.</w:t>
      </w:r>
    </w:p>
    <w:p>
      <w:pPr>
        <w:pStyle w:val="ListParagraph"/>
        <w:numPr>
          <w:ilvl w:val="0"/>
          <w:numId w:val="2"/>
        </w:numPr>
        <w:spacing w:after="60" w:before="60" w:line="300"/>
      </w:pPr>
      <w:r>
        <w:rPr>
          <w:rFonts w:ascii="Arial" w:cs="Arial" w:eastAsia="Arial" w:hAnsi="Arial"/>
          <w:color w:val="2E2E2E"/>
          <w:sz w:val="22"/>
          <w:szCs w:val="22"/>
        </w:rPr>
        <w:t xml:space="preserve">Lundberg, S.M. &amp; Lee, S.I. (2017). A Unified Approach to Interpreting Model Predictions. Advances in Neural Information Processing Systems (NeurIPS), 30.</w:t>
      </w:r>
    </w:p>
    <w:p>
      <w:pPr>
        <w:pStyle w:val="ListParagraph"/>
        <w:numPr>
          <w:ilvl w:val="0"/>
          <w:numId w:val="2"/>
        </w:numPr>
        <w:spacing w:after="60" w:before="60" w:line="300"/>
      </w:pPr>
      <w:r>
        <w:rPr>
          <w:rFonts w:ascii="Arial" w:cs="Arial" w:eastAsia="Arial" w:hAnsi="Arial"/>
          <w:color w:val="2E2E2E"/>
          <w:sz w:val="22"/>
          <w:szCs w:val="22"/>
        </w:rPr>
        <w:t xml:space="preserve">Organisation Mondiale de la Santé (2023). Rapport mondial sur le diabète. Genève : OMS.</w:t>
      </w:r>
    </w:p>
    <w:p>
      <w:pPr>
        <w:pStyle w:val="ListParagraph"/>
        <w:numPr>
          <w:ilvl w:val="0"/>
          <w:numId w:val="2"/>
        </w:numPr>
        <w:spacing w:after="60" w:before="60" w:line="300"/>
      </w:pPr>
      <w:r>
        <w:rPr>
          <w:rFonts w:ascii="Arial" w:cs="Arial" w:eastAsia="Arial" w:hAnsi="Arial"/>
          <w:color w:val="2E2E2E"/>
          <w:sz w:val="22"/>
          <w:szCs w:val="22"/>
        </w:rPr>
        <w:t xml:space="preserve">Pedregosa, F. et al. (2011). Scikit-learn: Machine Learning in Python. Journal of Machine Learning Research, 12, 2825–2830.</w:t>
      </w:r>
    </w:p>
    <w:p>
      <w:pPr>
        <w:pStyle w:val="ListParagraph"/>
        <w:numPr>
          <w:ilvl w:val="0"/>
          <w:numId w:val="2"/>
        </w:numPr>
        <w:spacing w:after="60" w:before="60" w:line="300"/>
      </w:pPr>
      <w:r>
        <w:rPr>
          <w:rFonts w:ascii="Arial" w:cs="Arial" w:eastAsia="Arial" w:hAnsi="Arial"/>
          <w:color w:val="2E2E2E"/>
          <w:sz w:val="22"/>
          <w:szCs w:val="22"/>
        </w:rPr>
        <w:t xml:space="preserve">UCI Machine Learning Repository. PIMA Indians Diabetes Dataset. https://archive.ics.uci.edu/ml/datasets/diabetes</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Halimatou Saâdia Mahamane Laouali Salissou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595959"/>
        <w:sz w:val="18"/>
        <w:szCs w:val="18"/>
      </w:rPr>
      <w:t xml:space="preserve">Projet 01 — Prédiction du Risque Diabétique   |   Département IA · ADU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2026-06-01T09:53:44.977Z</dcterms:created>
  <dcterms:modified xsi:type="dcterms:W3CDTF">2026-06-01T09:53:44.977Z</dcterms:modified>
</cp:coreProperties>
</file>

<file path=docProps/custom.xml><?xml version="1.0" encoding="utf-8"?>
<Properties xmlns="http://schemas.openxmlformats.org/officeDocument/2006/custom-properties" xmlns:vt="http://schemas.openxmlformats.org/officeDocument/2006/docPropsVTypes"/>
</file>