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sz w:val="36"/>
          <w:szCs w:val="36"/>
        </w:rPr>
      </w:pPr>
      <w:r w:rsidDel="00000000" w:rsidR="00000000" w:rsidRPr="00000000">
        <w:rPr>
          <w:b w:val="1"/>
          <w:sz w:val="36"/>
          <w:szCs w:val="36"/>
          <w:rtl w:val="0"/>
        </w:rPr>
        <w:t xml:space="preserve">Development of production-grade ETL Pipeline for Databricks (PySpark + ADLS)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sz w:val="32"/>
          <w:szCs w:val="32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Objective:</w:t>
      </w:r>
    </w:p>
    <w:p w:rsidR="00000000" w:rsidDel="00000000" w:rsidP="00000000" w:rsidRDefault="00000000" w:rsidRPr="00000000" w14:paraId="00000004">
      <w:pPr>
        <w:jc w:val="both"/>
        <w:rPr/>
      </w:pPr>
      <w:r w:rsidDel="00000000" w:rsidR="00000000" w:rsidRPr="00000000">
        <w:rPr>
          <w:rtl w:val="0"/>
        </w:rPr>
        <w:t xml:space="preserve">The objective of this project is to design and implement a generic, scalable solution for ingesting and standardizing Excel data across multiple systems, with the ability to extend to new systems in the future.</w:t>
      </w:r>
    </w:p>
    <w:p w:rsidR="00000000" w:rsidDel="00000000" w:rsidP="00000000" w:rsidRDefault="00000000" w:rsidRPr="00000000" w14:paraId="00000005">
      <w:pPr>
        <w:rPr>
          <w:b w:val="1"/>
          <w:sz w:val="32"/>
          <w:szCs w:val="32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Assumption: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Large Volume of Data are in several systems as below-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~30 GB across 8 systems, each system 2–8 GB, with ~4 years worth of excel files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This is how the folder is organized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Historyfolder/system/year/system2019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Within each file there are sheets, some files we might need to ingest two sheets.</w:t>
      </w:r>
    </w:p>
    <w:p w:rsidR="00000000" w:rsidDel="00000000" w:rsidP="00000000" w:rsidRDefault="00000000" w:rsidRPr="00000000" w14:paraId="0000000B">
      <w:pPr>
        <w:rPr>
          <w:b w:val="1"/>
          <w:sz w:val="32"/>
          <w:szCs w:val="32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Timeline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sz w:val="32"/>
          <w:szCs w:val="32"/>
          <w:rtl w:val="0"/>
        </w:rPr>
        <w:t xml:space="preserve">(Approximately 12–16 Weeks)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The entire assignment is divided into tentative 7 phases as given below. The timeline is dynamic in nature and therefore, some of the phases may consume more than the allocated time.</w:t>
      </w:r>
    </w:p>
    <w:p w:rsidR="00000000" w:rsidDel="00000000" w:rsidP="00000000" w:rsidRDefault="00000000" w:rsidRPr="00000000" w14:paraId="0000000D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Phase 1: Setup &amp; Discovery (Weeks 1–2)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Repo, configs, and Git setup.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Mount ADLS to Databricks workspace.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Build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file inventory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(“inventory.file_inventory”).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Run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header detection + normalization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on sample files.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b w:val="1"/>
          <w:rtl w:val="0"/>
        </w:rPr>
        <w:t xml:space="preserve">Deliverable</w:t>
      </w:r>
      <w:r w:rsidDel="00000000" w:rsidR="00000000" w:rsidRPr="00000000">
        <w:rPr>
          <w:rtl w:val="0"/>
        </w:rPr>
        <w:t xml:space="preserve">: First report of normalized headers for all 12 files.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Phase 2: Mapping &amp; Canonicalization (Weeks 3–4)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Create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mapping table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(~67 canonical fields).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Business SME sessions to confirm mappings across 7 systems.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Drift detection prototype (“schema_drift” Delta table).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b w:val="1"/>
          <w:rtl w:val="0"/>
        </w:rPr>
        <w:t xml:space="preserve">Deliverable</w:t>
      </w:r>
      <w:r w:rsidDel="00000000" w:rsidR="00000000" w:rsidRPr="00000000">
        <w:rPr>
          <w:rtl w:val="0"/>
        </w:rPr>
        <w:t xml:space="preserve">: Initial conformed schema + mapping draft.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Phase 3: Bronze Layer (Weeks 5–6)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Implement Excel -&gt; parquet ingestion.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bronze ingestion job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(with metadata: filename, system, year/month).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Populate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audit.ingestion_log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b w:val="1"/>
          <w:rtl w:val="0"/>
        </w:rPr>
        <w:t xml:space="preserve">Deliverable</w:t>
      </w:r>
      <w:r w:rsidDel="00000000" w:rsidR="00000000" w:rsidRPr="00000000">
        <w:rPr>
          <w:rtl w:val="0"/>
        </w:rPr>
        <w:t xml:space="preserve">: All 12 files loaded into Bronze (ADLS/Delta).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Phase 4: Silver Layer + DQ (Weeks 7–9)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Apply mappings to Bronze -&gt; Silver.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Type casting + DQ checks (“dq_logs”).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Resolve duplicate columns handling.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b w:val="1"/>
          <w:rtl w:val="0"/>
        </w:rPr>
        <w:t xml:space="preserve">Deliverable:</w:t>
      </w:r>
      <w:r w:rsidDel="00000000" w:rsidR="00000000" w:rsidRPr="00000000">
        <w:rPr>
          <w:rtl w:val="0"/>
        </w:rPr>
        <w:t xml:space="preserve"> Silver tables with canonical schema across all 7 systems.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Phase 5: Drift Engine &amp; Monitoring (Weeks 10–11)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Automate schema drift logging (“audit.schema_drift”).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 dashboards (Databricks SQL / Power BI).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Configure alerts for ingestion failures &amp; drift events.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b w:val="1"/>
          <w:rtl w:val="0"/>
        </w:rPr>
        <w:t xml:space="preserve">Deliverable</w:t>
      </w:r>
      <w:r w:rsidDel="00000000" w:rsidR="00000000" w:rsidRPr="00000000">
        <w:rPr>
          <w:rtl w:val="0"/>
        </w:rPr>
        <w:t xml:space="preserve">: Drift reports + monitoring dashboard.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Phase 6: Backfill &amp; QA (Weeks 12–13)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Run </w:t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one-time backfill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for all historic 30 GB.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Validate row counts, mapping accuracy, DQ exceptions.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b w:val="1"/>
          <w:rtl w:val="0"/>
        </w:rPr>
        <w:t xml:space="preserve">Deliverable</w:t>
      </w:r>
      <w:r w:rsidDel="00000000" w:rsidR="00000000" w:rsidRPr="00000000">
        <w:rPr>
          <w:rtl w:val="0"/>
        </w:rPr>
        <w:t xml:space="preserve">: Backfilled Bronze &amp; Silver, validation logs.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Phase 7: Documentation &amp; Handover (Weeks 14–16)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Write </w:t>
      </w:r>
      <w:r w:rsidDel="00000000" w:rsidR="00000000" w:rsidRPr="00000000">
        <w:rPr>
          <w:b w:val="1"/>
          <w:i w:val="1"/>
          <w:rtl w:val="0"/>
        </w:rPr>
        <w:t xml:space="preserve">runbook + mapping change playbook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Train client team on: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how to update mappings,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how to review drift reports,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how to re-run ingestion/backfill jobs.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rtl w:val="0"/>
        </w:rPr>
        <w:t xml:space="preserve">Deliverable</w:t>
      </w:r>
      <w:r w:rsidDel="00000000" w:rsidR="00000000" w:rsidRPr="00000000">
        <w:rPr>
          <w:rtl w:val="0"/>
        </w:rPr>
        <w:t xml:space="preserve">: Final signed-off solution + handover.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b w:val="1"/>
          <w:sz w:val="32"/>
          <w:szCs w:val="32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Summary</w:t>
      </w:r>
    </w:p>
    <w:tbl>
      <w:tblPr>
        <w:tblStyle w:val="Table1"/>
        <w:tblW w:w="973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A0"/>
      </w:tblPr>
      <w:tblGrid>
        <w:gridCol w:w="2790"/>
        <w:gridCol w:w="1710"/>
        <w:gridCol w:w="2805"/>
        <w:gridCol w:w="2430"/>
        <w:tblGridChange w:id="0">
          <w:tblGrid>
            <w:gridCol w:w="2790"/>
            <w:gridCol w:w="1710"/>
            <w:gridCol w:w="2805"/>
            <w:gridCol w:w="243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B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Phase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C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Weeks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D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E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Actual Completion Date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3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Setup &amp; Discovery</w:t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40">
            <w:pPr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1–2</w:t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41">
            <w:pPr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Oct 6 – Oct 19, 2025</w:t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42">
            <w:pPr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Oct 20, 2025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4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Mapping &amp; Canonicalization</w:t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44">
            <w:pPr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3–4</w:t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45">
            <w:pPr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Oct 20 – Nov 2, 2025</w:t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46">
            <w:pPr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4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Bronze Layer</w:t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48">
            <w:pPr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5–6</w:t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49">
            <w:pPr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Nov 3 – Nov 16, 2025</w:t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4A">
            <w:pPr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4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Silver + DQ</w:t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4C">
            <w:pPr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7–9</w:t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4D">
            <w:pPr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Nov 17 – Dec 7, 2025</w:t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4E">
            <w:pPr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4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Drift &amp; Monitoring</w:t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50">
            <w:pPr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10–11</w:t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51">
            <w:pPr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Dec 8 – Dec 21, 2025</w:t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52">
            <w:pPr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5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Backfill &amp; QA</w:t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54">
            <w:pPr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12–13</w:t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55">
            <w:pPr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Dec 22, 2025 – Jan 4, 2026</w:t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56">
            <w:pPr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05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Documentation &amp; Handover</w:t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58">
            <w:pPr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14–16</w:t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59">
            <w:pPr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Jan 5 – Jan 25, 2026</w:t>
            </w:r>
          </w:p>
        </w:tc>
        <w:tc>
          <w:tcPr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05A">
            <w:pPr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00E33C67"/>
    <w:pPr>
      <w:ind w:left="720"/>
      <w:contextualSpacing w:val="1"/>
    </w:pPr>
  </w:style>
  <w:style w:type="table" w:styleId="MediumShading1-Accent5">
    <w:name w:val="Medium Shading 1 Accent 5"/>
    <w:basedOn w:val="TableNormal"/>
    <w:uiPriority w:val="63"/>
    <w:rsid w:val="00416207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insideH w:color="000000" w:space="0" w:sz="0" w:val="nil"/>
          <w:insideV w:color="000000" w:space="0" w:sz="0" w:val="nil"/>
        </w:tcBorders>
        <w:shd w:fill="d2eaf0" w:val="clear"/>
      </w:tcPr>
    </w:tblStylePr>
    <w:tblStylePr w:type="band1Vert">
      <w:tcPr>
        <w:shd w:fill="d2eaf0" w:val="clear"/>
      </w:tcPr>
    </w:tblStylePr>
    <w:tblStylePr w:type="band2Horz">
      <w:tcPr>
        <w:tcBorders>
          <w:insideH w:color="000000" w:space="0" w:sz="0" w:val="nil"/>
          <w:insideV w:color="000000" w:space="0" w:sz="0" w:val="nil"/>
        </w:tcBorders>
      </w:tcPr>
    </w:tblStylePr>
    <w:tblStylePr w:type="firstCol">
      <w:rPr>
        <w:b w:val="1"/>
      </w:rPr>
    </w:tblStylePr>
    <w:tblStylePr w:type="firstRow">
      <w:pPr>
        <w:spacing w:after="0" w:before="0" w:line="240" w:lineRule="auto"/>
      </w:pPr>
      <w:rPr>
        <w:b w:val="1"/>
        <w:color w:val="ffffff"/>
      </w:rPr>
      <w:tcPr>
        <w:tcBorders>
          <w:top w:color="78c0d4" w:space="0" w:sz="8" w:val="single"/>
          <w:left w:color="78c0d4" w:space="0" w:sz="8" w:val="single"/>
          <w:bottom w:color="78c0d4" w:space="0" w:sz="8" w:val="single"/>
          <w:right w:color="78c0d4" w:space="0" w:sz="8" w:val="single"/>
          <w:insideH w:color="000000" w:space="0" w:sz="0" w:val="nil"/>
          <w:insideV w:color="000000" w:space="0" w:sz="0" w:val="nil"/>
        </w:tcBorders>
        <w:shd w:fill="4bacc6" w:val="clear"/>
      </w:tcPr>
    </w:tblStylePr>
    <w:tblStylePr w:type="lastCol">
      <w:rPr>
        <w:b w:val="1"/>
      </w:rPr>
    </w:tblStylePr>
    <w:tblStylePr w:type="lastRow">
      <w:pPr>
        <w:spacing w:after="0" w:before="0" w:line="240" w:lineRule="auto"/>
      </w:pPr>
      <w:rPr>
        <w:b w:val="1"/>
      </w:rPr>
      <w:tcPr>
        <w:tcBorders>
          <w:top w:color="78c0d4" w:space="0" w:sz="6" w:val="single"/>
          <w:left w:color="78c0d4" w:space="0" w:sz="8" w:val="single"/>
          <w:bottom w:color="78c0d4" w:space="0" w:sz="8" w:val="single"/>
          <w:right w:color="78c0d4" w:space="0" w:sz="8" w:val="single"/>
          <w:insideH w:color="000000" w:space="0" w:sz="0" w:val="nil"/>
          <w:insideV w:color="000000" w:space="0" w:sz="0" w:val="nil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vCONY1USaqp5XJg4vhE6vaxWHw==">CgMxLjA4AHIhMWFqZVIyYndYOEN0VGEySmYzNDRZc2dmVEJiRERHTnVa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2025-10-04T06:25:00Z</dcterms:created>
  <dc:creator>Lenovo</dc:creator>
</cp:coreProperties>
</file>